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Pr="00E91188" w:rsidRDefault="000D733F">
      <w:pPr>
        <w:spacing w:after="200" w:line="276" w:lineRule="auto"/>
      </w:pPr>
      <w:bookmarkStart w:id="0" w:name="_GoBack"/>
      <w:bookmarkEnd w:id="0"/>
    </w:p>
    <w:p w:rsidR="000D733F" w:rsidRPr="00E91188" w:rsidRDefault="000D733F" w:rsidP="009E79EC"/>
    <w:p w:rsidR="000D733F" w:rsidRPr="00E91188" w:rsidRDefault="000D733F">
      <w:pPr>
        <w:spacing w:after="200" w:line="276" w:lineRule="auto"/>
      </w:pPr>
    </w:p>
    <w:p w:rsidR="000D733F" w:rsidRPr="00E91188" w:rsidRDefault="000D733F">
      <w:pPr>
        <w:spacing w:after="200" w:line="276" w:lineRule="auto"/>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1227C3" w:rsidRPr="00E91188" w:rsidRDefault="001227C3" w:rsidP="000D733F">
      <w:pPr>
        <w:pStyle w:val="Title"/>
        <w:ind w:left="2694" w:right="-624"/>
        <w:rPr>
          <w:noProof/>
          <w:color w:val="FFFFFF"/>
          <w:spacing w:val="0"/>
          <w:sz w:val="50"/>
          <w:szCs w:val="50"/>
          <w:lang w:eastAsia="en-US"/>
        </w:rPr>
      </w:pPr>
    </w:p>
    <w:p w:rsidR="000D733F" w:rsidRPr="00E91188" w:rsidRDefault="000D733F" w:rsidP="000D733F">
      <w:pPr>
        <w:pStyle w:val="Title"/>
        <w:ind w:left="2694" w:right="-624"/>
        <w:rPr>
          <w:noProof/>
          <w:color w:val="FFFFFF"/>
          <w:spacing w:val="0"/>
          <w:sz w:val="50"/>
          <w:szCs w:val="50"/>
          <w:lang w:eastAsia="en-US"/>
        </w:rPr>
      </w:pPr>
      <w:r w:rsidRPr="00E91188">
        <w:rPr>
          <w:noProof/>
          <w:color w:val="FFFFFF"/>
          <w:spacing w:val="0"/>
          <w:sz w:val="50"/>
          <w:szCs w:val="50"/>
          <w:lang w:eastAsia="en-US"/>
        </w:rPr>
        <w:t>Aid</w:t>
      </w:r>
      <w:r w:rsidR="008D280D" w:rsidRPr="00E91188">
        <w:rPr>
          <w:noProof/>
          <w:color w:val="FFFFFF"/>
          <w:spacing w:val="0"/>
          <w:sz w:val="50"/>
          <w:szCs w:val="50"/>
          <w:lang w:eastAsia="en-US"/>
        </w:rPr>
        <w:t xml:space="preserve"> Program Performance Report 2014-15</w:t>
      </w:r>
      <w:r w:rsidRPr="00E91188">
        <w:rPr>
          <w:noProof/>
          <w:color w:val="FFFFFF"/>
          <w:spacing w:val="0"/>
          <w:sz w:val="50"/>
          <w:szCs w:val="50"/>
          <w:lang w:eastAsia="en-US"/>
        </w:rPr>
        <w:t xml:space="preserve"> </w:t>
      </w:r>
      <w:r w:rsidRPr="00E91188">
        <w:rPr>
          <w:noProof/>
          <w:color w:val="FFFFFF"/>
          <w:spacing w:val="0"/>
          <w:sz w:val="50"/>
          <w:szCs w:val="50"/>
        </w:rPr>
        <w:drawing>
          <wp:anchor distT="0" distB="0" distL="114300" distR="114300" simplePos="0" relativeHeight="251662336" behindDoc="1" locked="1" layoutInCell="1" allowOverlap="1" wp14:anchorId="78086E06" wp14:editId="7671D051">
            <wp:simplePos x="0" y="0"/>
            <wp:positionH relativeFrom="page">
              <wp:posOffset>-142875</wp:posOffset>
            </wp:positionH>
            <wp:positionV relativeFrom="page">
              <wp:posOffset>-114300</wp:posOffset>
            </wp:positionV>
            <wp:extent cx="7682230" cy="10866755"/>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682230" cy="1086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E91188" w:rsidRDefault="00D27EFC" w:rsidP="000D733F">
      <w:pPr>
        <w:pStyle w:val="Subtitle"/>
        <w:ind w:left="2694" w:right="-624"/>
        <w:rPr>
          <w:noProof/>
          <w:color w:val="FFFFFF"/>
          <w:spacing w:val="0"/>
          <w:sz w:val="32"/>
          <w:szCs w:val="32"/>
          <w:lang w:eastAsia="en-US"/>
        </w:rPr>
      </w:pPr>
      <w:r w:rsidRPr="00E91188">
        <w:rPr>
          <w:noProof/>
          <w:color w:val="FFFFFF"/>
          <w:spacing w:val="0"/>
          <w:sz w:val="32"/>
          <w:szCs w:val="32"/>
          <w:lang w:eastAsia="en-US"/>
        </w:rPr>
        <w:t>South Asia</w:t>
      </w:r>
      <w:r w:rsidR="000D733F" w:rsidRPr="00E91188">
        <w:rPr>
          <w:noProof/>
          <w:color w:val="FFFFFF"/>
          <w:spacing w:val="0"/>
          <w:sz w:val="32"/>
          <w:szCs w:val="32"/>
          <w:lang w:eastAsia="en-US"/>
        </w:rPr>
        <w:t xml:space="preserve"> Regional Program</w:t>
      </w:r>
    </w:p>
    <w:p w:rsidR="00CE1DFB" w:rsidRPr="00E91188" w:rsidRDefault="00CE1DFB" w:rsidP="00CE1DFB">
      <w:pPr>
        <w:pStyle w:val="Date"/>
        <w:spacing w:before="200" w:after="600" w:line="380" w:lineRule="atLeast"/>
        <w:ind w:left="2694" w:right="-624"/>
        <w:rPr>
          <w:rFonts w:ascii="Helvetica" w:eastAsia="Times New Roman" w:hAnsi="Helvetica"/>
          <w:noProof/>
          <w:color w:val="FFFFFF"/>
          <w:kern w:val="28"/>
          <w:sz w:val="24"/>
          <w:lang w:eastAsia="en-US"/>
        </w:rPr>
      </w:pPr>
      <w:r w:rsidRPr="00E91188">
        <w:rPr>
          <w:lang w:eastAsia="en-US"/>
        </w:rPr>
        <w:tab/>
      </w:r>
      <w:r w:rsidRPr="00E91188">
        <w:rPr>
          <w:lang w:eastAsia="en-US"/>
        </w:rPr>
        <w:tab/>
      </w:r>
      <w:r w:rsidRPr="00E91188">
        <w:rPr>
          <w:lang w:eastAsia="en-US"/>
        </w:rPr>
        <w:tab/>
      </w:r>
    </w:p>
    <w:p w:rsidR="001D6059" w:rsidRPr="00E91188" w:rsidRDefault="00125002" w:rsidP="00CE1DFB">
      <w:pPr>
        <w:pStyle w:val="Date"/>
        <w:spacing w:before="200" w:after="600" w:line="380" w:lineRule="atLeast"/>
        <w:ind w:left="2694" w:right="-624"/>
        <w:rPr>
          <w:rFonts w:ascii="Helvetica" w:eastAsia="Times New Roman" w:hAnsi="Helvetica"/>
          <w:noProof/>
          <w:color w:val="FFFFFF"/>
          <w:kern w:val="28"/>
          <w:sz w:val="24"/>
          <w:lang w:eastAsia="en-US"/>
        </w:rPr>
      </w:pPr>
      <w:r w:rsidRPr="00E91188">
        <w:rPr>
          <w:rFonts w:ascii="Helvetica" w:eastAsia="Times New Roman" w:hAnsi="Helvetica"/>
          <w:noProof/>
          <w:color w:val="FFFFFF"/>
          <w:kern w:val="28"/>
          <w:sz w:val="24"/>
          <w:lang w:eastAsia="en-US"/>
        </w:rPr>
        <w:t>November</w:t>
      </w:r>
      <w:r w:rsidR="000D733F" w:rsidRPr="00E91188">
        <w:rPr>
          <w:rFonts w:ascii="Helvetica" w:eastAsia="Times New Roman" w:hAnsi="Helvetica"/>
          <w:noProof/>
          <w:color w:val="FFFFFF"/>
          <w:kern w:val="28"/>
          <w:sz w:val="24"/>
          <w:lang w:eastAsia="en-US"/>
        </w:rPr>
        <w:t xml:space="preserve"> 201</w:t>
      </w:r>
      <w:r w:rsidRPr="00E91188">
        <w:rPr>
          <w:rFonts w:ascii="Helvetica" w:eastAsia="Times New Roman" w:hAnsi="Helvetica"/>
          <w:noProof/>
          <w:color w:val="FFFFFF"/>
          <w:kern w:val="28"/>
          <w:sz w:val="24"/>
          <w:lang w:eastAsia="en-US"/>
        </w:rPr>
        <w:t>5</w:t>
      </w:r>
    </w:p>
    <w:p w:rsidR="000D733F" w:rsidRPr="00E91188" w:rsidRDefault="000D733F" w:rsidP="002660AA">
      <w:pPr>
        <w:pStyle w:val="Heading2"/>
        <w:rPr>
          <w:rStyle w:val="BodyTextChar"/>
          <w:color w:val="auto"/>
        </w:rPr>
      </w:pPr>
      <w:bookmarkStart w:id="1" w:name="_Toc373853205"/>
      <w:r w:rsidRPr="00E91188">
        <w:rPr>
          <w:sz w:val="28"/>
        </w:rPr>
        <w:lastRenderedPageBreak/>
        <w:t>Key Messages</w:t>
      </w:r>
      <w:bookmarkEnd w:id="1"/>
      <w:r w:rsidRPr="00E91188">
        <w:rPr>
          <w:sz w:val="28"/>
        </w:rPr>
        <w:tab/>
      </w:r>
      <w:r w:rsidRPr="00E91188">
        <w:tab/>
      </w:r>
      <w:r w:rsidRPr="00E91188">
        <w:rPr>
          <w:sz w:val="32"/>
          <w:szCs w:val="32"/>
        </w:rPr>
        <w:tab/>
      </w:r>
      <w:r w:rsidRPr="00E91188">
        <w:rPr>
          <w:sz w:val="32"/>
          <w:szCs w:val="32"/>
        </w:rPr>
        <w:tab/>
      </w:r>
      <w:r w:rsidRPr="00E91188">
        <w:rPr>
          <w:sz w:val="32"/>
          <w:szCs w:val="32"/>
        </w:rPr>
        <w:tab/>
      </w:r>
      <w:r w:rsidRPr="00E91188">
        <w:rPr>
          <w:sz w:val="32"/>
          <w:szCs w:val="32"/>
        </w:rPr>
        <w:tab/>
      </w:r>
    </w:p>
    <w:p w:rsidR="00E71D28" w:rsidRPr="00E91188" w:rsidRDefault="00B62D7F" w:rsidP="00E71D28">
      <w:pPr>
        <w:pStyle w:val="BodyText"/>
      </w:pPr>
      <w:r w:rsidRPr="00E91188">
        <w:t>This Aid Program Performance Report (APPR) assesses</w:t>
      </w:r>
      <w:r w:rsidR="002E27B4">
        <w:t xml:space="preserve"> the progress of the South Asia Regional program</w:t>
      </w:r>
      <w:r w:rsidRPr="00E91188">
        <w:t xml:space="preserve"> in addressing </w:t>
      </w:r>
      <w:r w:rsidR="007E147C">
        <w:t xml:space="preserve">key </w:t>
      </w:r>
      <w:r w:rsidRPr="00E91188">
        <w:t>region-wide barriers to sustainable economic growth</w:t>
      </w:r>
      <w:r w:rsidR="00682458">
        <w:t xml:space="preserve"> and development</w:t>
      </w:r>
      <w:r w:rsidR="002E27B4">
        <w:t>.</w:t>
      </w:r>
      <w:r w:rsidR="00E16CC7">
        <w:t xml:space="preserve">  </w:t>
      </w:r>
      <w:r w:rsidR="003964BA">
        <w:t>R</w:t>
      </w:r>
      <w:r w:rsidR="00E16CC7">
        <w:t>esults for 2014-15 include:</w:t>
      </w:r>
    </w:p>
    <w:p w:rsidR="00172819" w:rsidRDefault="00172819" w:rsidP="00791DB8">
      <w:pPr>
        <w:pStyle w:val="ListBullet"/>
        <w:tabs>
          <w:tab w:val="clear" w:pos="284"/>
        </w:tabs>
        <w:rPr>
          <w:lang w:val="en-GB"/>
        </w:rPr>
      </w:pPr>
      <w:r>
        <w:rPr>
          <w:lang w:val="en-GB"/>
        </w:rPr>
        <w:t xml:space="preserve">DFAT’s support for </w:t>
      </w:r>
      <w:r>
        <w:rPr>
          <w:b/>
          <w:bCs/>
          <w:lang w:val="en-GB"/>
        </w:rPr>
        <w:t>sustainable development</w:t>
      </w:r>
      <w:r>
        <w:rPr>
          <w:lang w:val="en-GB"/>
        </w:rPr>
        <w:t xml:space="preserve"> in the region</w:t>
      </w:r>
      <w:r w:rsidR="00EE3440">
        <w:rPr>
          <w:lang w:val="en-GB"/>
        </w:rPr>
        <w:t xml:space="preserve">, delivered through </w:t>
      </w:r>
      <w:r w:rsidR="003964BA">
        <w:rPr>
          <w:lang w:val="en-GB"/>
        </w:rPr>
        <w:t>our</w:t>
      </w:r>
      <w:r w:rsidR="00EE3440">
        <w:rPr>
          <w:lang w:val="en-GB"/>
        </w:rPr>
        <w:t xml:space="preserve"> Sustainable Development Investment Portfolio (SDIP), </w:t>
      </w:r>
      <w:r>
        <w:rPr>
          <w:lang w:val="en-GB"/>
        </w:rPr>
        <w:t>progress</w:t>
      </w:r>
      <w:r w:rsidR="00EE3440">
        <w:rPr>
          <w:lang w:val="en-GB"/>
        </w:rPr>
        <w:t xml:space="preserve">ed in line with expectations.  </w:t>
      </w:r>
      <w:r w:rsidR="006E5523">
        <w:rPr>
          <w:lang w:val="en-GB"/>
        </w:rPr>
        <w:t>In 2014-15,</w:t>
      </w:r>
      <w:r>
        <w:rPr>
          <w:lang w:val="en-GB"/>
        </w:rPr>
        <w:t xml:space="preserve"> important gains w</w:t>
      </w:r>
      <w:r w:rsidR="003964BA">
        <w:rPr>
          <w:lang w:val="en-GB"/>
        </w:rPr>
        <w:t xml:space="preserve">ere </w:t>
      </w:r>
      <w:r>
        <w:rPr>
          <w:lang w:val="en-GB"/>
        </w:rPr>
        <w:t>made in</w:t>
      </w:r>
      <w:r w:rsidR="009D4AF0">
        <w:rPr>
          <w:lang w:val="en-GB"/>
        </w:rPr>
        <w:t xml:space="preserve"> outcome areas relating to</w:t>
      </w:r>
      <w:r>
        <w:rPr>
          <w:lang w:val="en-GB"/>
        </w:rPr>
        <w:t xml:space="preserve"> </w:t>
      </w:r>
      <w:r w:rsidRPr="0029341F">
        <w:rPr>
          <w:lang w:val="en-GB"/>
        </w:rPr>
        <w:t>capacity building, technology transfer, and mobilising civil society and private sector engagement</w:t>
      </w:r>
      <w:r w:rsidR="00EE3440">
        <w:rPr>
          <w:lang w:val="en-GB"/>
        </w:rPr>
        <w:t xml:space="preserve"> – the building blocks for influencing long-term strategic change</w:t>
      </w:r>
      <w:r w:rsidR="00EC0EBC">
        <w:rPr>
          <w:lang w:val="en-GB"/>
        </w:rPr>
        <w:t xml:space="preserve">. </w:t>
      </w:r>
      <w:r>
        <w:rPr>
          <w:lang w:val="en-GB"/>
        </w:rPr>
        <w:t xml:space="preserve">Partners delivered </w:t>
      </w:r>
      <w:r w:rsidR="00A12D4F">
        <w:rPr>
          <w:lang w:val="en-GB"/>
        </w:rPr>
        <w:t>good</w:t>
      </w:r>
      <w:r>
        <w:rPr>
          <w:lang w:val="en-GB"/>
        </w:rPr>
        <w:t xml:space="preserve"> results in these areas across the three target sectors</w:t>
      </w:r>
      <w:r w:rsidR="00EE3440">
        <w:rPr>
          <w:lang w:val="en-GB"/>
        </w:rPr>
        <w:t xml:space="preserve"> (water, food and energy security)</w:t>
      </w:r>
      <w:r>
        <w:rPr>
          <w:lang w:val="en-GB"/>
        </w:rPr>
        <w:t>.</w:t>
      </w:r>
    </w:p>
    <w:p w:rsidR="00A65013" w:rsidRPr="00A65013" w:rsidRDefault="006E5523" w:rsidP="00791DB8">
      <w:pPr>
        <w:pStyle w:val="ListBullet"/>
        <w:tabs>
          <w:tab w:val="clear" w:pos="284"/>
        </w:tabs>
      </w:pPr>
      <w:r>
        <w:t>Good</w:t>
      </w:r>
      <w:r w:rsidR="00682458" w:rsidRPr="00A65013">
        <w:t xml:space="preserve"> progress </w:t>
      </w:r>
      <w:r w:rsidR="00682458">
        <w:t>w</w:t>
      </w:r>
      <w:r w:rsidR="00682458" w:rsidRPr="00A65013">
        <w:t xml:space="preserve">as made </w:t>
      </w:r>
      <w:r w:rsidR="00682458">
        <w:t>toward</w:t>
      </w:r>
      <w:r w:rsidR="00682458" w:rsidRPr="00A65013">
        <w:t xml:space="preserve"> DFAT’s </w:t>
      </w:r>
      <w:r w:rsidR="00682458" w:rsidRPr="00A65013">
        <w:rPr>
          <w:b/>
        </w:rPr>
        <w:t>regional connectivity</w:t>
      </w:r>
      <w:r w:rsidR="00682458" w:rsidRPr="00A65013">
        <w:t xml:space="preserve"> objective</w:t>
      </w:r>
      <w:r w:rsidR="00682458">
        <w:t xml:space="preserve"> in 2014-15 after some delay the previous year</w:t>
      </w:r>
      <w:r w:rsidR="00682458" w:rsidRPr="00A65013">
        <w:t xml:space="preserve">. A South Asia Regional Trade Facilitation Program (SARTFP) </w:t>
      </w:r>
      <w:r>
        <w:t>w</w:t>
      </w:r>
      <w:r w:rsidR="00682458" w:rsidRPr="00A65013">
        <w:t>as designed and mobilised</w:t>
      </w:r>
      <w:r w:rsidR="00682458">
        <w:rPr>
          <w:lang w:val="en-US"/>
        </w:rPr>
        <w:t>,</w:t>
      </w:r>
      <w:r w:rsidR="00682458">
        <w:t xml:space="preserve"> </w:t>
      </w:r>
      <w:r>
        <w:t>with</w:t>
      </w:r>
      <w:r w:rsidR="00682458">
        <w:t xml:space="preserve"> </w:t>
      </w:r>
      <w:r w:rsidR="00A65013" w:rsidRPr="00A65013">
        <w:t xml:space="preserve">a focus on </w:t>
      </w:r>
      <w:r w:rsidR="00EC0EBC">
        <w:t xml:space="preserve">gender and trade facilitation. </w:t>
      </w:r>
      <w:r w:rsidR="00682458">
        <w:t>N</w:t>
      </w:r>
      <w:r w:rsidR="00A65013" w:rsidRPr="00A65013">
        <w:t xml:space="preserve">ew engagement arrangements have been established with the </w:t>
      </w:r>
      <w:r w:rsidR="00C6757D">
        <w:t xml:space="preserve">World </w:t>
      </w:r>
      <w:r w:rsidR="00A65013" w:rsidRPr="00A65013">
        <w:t>Bank to allow DFAT to strategically guide the investment.</w:t>
      </w:r>
    </w:p>
    <w:p w:rsidR="00682458" w:rsidRDefault="00682458" w:rsidP="00791DB8">
      <w:pPr>
        <w:pStyle w:val="ListBullet"/>
        <w:tabs>
          <w:tab w:val="clear" w:pos="284"/>
        </w:tabs>
      </w:pPr>
      <w:r>
        <w:t xml:space="preserve">An explicit focus on </w:t>
      </w:r>
      <w:r w:rsidRPr="00E91188">
        <w:rPr>
          <w:b/>
        </w:rPr>
        <w:t>gender equality</w:t>
      </w:r>
      <w:r w:rsidRPr="00E91188">
        <w:t xml:space="preserve"> across the regional program </w:t>
      </w:r>
      <w:r w:rsidRPr="00925575">
        <w:t>yielded</w:t>
      </w:r>
      <w:r w:rsidR="00E55521">
        <w:t xml:space="preserve"> </w:t>
      </w:r>
      <w:r w:rsidRPr="00E91188">
        <w:t xml:space="preserve">results, with </w:t>
      </w:r>
      <w:r>
        <w:t>delivery</w:t>
      </w:r>
      <w:r w:rsidRPr="00E91188">
        <w:t xml:space="preserve"> partners strengthening the empowerment of women and girls through </w:t>
      </w:r>
      <w:r w:rsidR="00AC4A41">
        <w:t xml:space="preserve">their </w:t>
      </w:r>
      <w:r w:rsidRPr="00E91188">
        <w:t>activities</w:t>
      </w:r>
      <w:r w:rsidR="00306DBA">
        <w:t xml:space="preserve"> and through a better recognition of gender issues in </w:t>
      </w:r>
      <w:r w:rsidRPr="00E91188">
        <w:t xml:space="preserve">monitoring and evaluation </w:t>
      </w:r>
      <w:r w:rsidR="00306DBA">
        <w:t>systems</w:t>
      </w:r>
      <w:r>
        <w:t>.</w:t>
      </w:r>
    </w:p>
    <w:p w:rsidR="00E71D28" w:rsidRPr="00E91188" w:rsidRDefault="00017E24" w:rsidP="00791DB8">
      <w:pPr>
        <w:pStyle w:val="ListBullet"/>
        <w:tabs>
          <w:tab w:val="clear" w:pos="284"/>
        </w:tabs>
      </w:pPr>
      <w:r w:rsidRPr="00E91188">
        <w:t xml:space="preserve">The South Asia Regional program continued its transition from a multi-sectoral, multi-country program to a </w:t>
      </w:r>
      <w:r w:rsidR="0019258E">
        <w:t xml:space="preserve">more </w:t>
      </w:r>
      <w:r w:rsidRPr="00E91188">
        <w:t>targeted regional program</w:t>
      </w:r>
      <w:r w:rsidR="00F77825" w:rsidRPr="00E91188">
        <w:t xml:space="preserve"> addressing region-wide barriers to sustainable economic growth</w:t>
      </w:r>
      <w:r w:rsidR="006E5523">
        <w:t xml:space="preserve"> and development</w:t>
      </w:r>
      <w:r w:rsidR="00F77825" w:rsidRPr="00E91188">
        <w:t xml:space="preserve">. </w:t>
      </w:r>
      <w:r w:rsidR="008104C4" w:rsidRPr="00E91188">
        <w:t>A number of</w:t>
      </w:r>
      <w:r w:rsidR="00F77825" w:rsidRPr="00E91188">
        <w:t xml:space="preserve"> </w:t>
      </w:r>
      <w:r w:rsidRPr="00E91188">
        <w:t>legacy a</w:t>
      </w:r>
      <w:r w:rsidR="00F77825" w:rsidRPr="00E91188">
        <w:t>ctivities concluded in 2014-15</w:t>
      </w:r>
      <w:r w:rsidR="003A21E4" w:rsidRPr="00E91188">
        <w:t xml:space="preserve">, with others on </w:t>
      </w:r>
      <w:r w:rsidR="00F77825" w:rsidRPr="00E91188">
        <w:t>track to be completed in the next year.</w:t>
      </w:r>
    </w:p>
    <w:p w:rsidR="000D733F" w:rsidRPr="00E91188" w:rsidRDefault="000D733F" w:rsidP="000D733F">
      <w:pPr>
        <w:pStyle w:val="Heading2"/>
        <w:rPr>
          <w:rStyle w:val="BodyTextChar"/>
          <w:color w:val="auto"/>
        </w:rPr>
      </w:pPr>
      <w:r w:rsidRPr="00E91188">
        <w:rPr>
          <w:sz w:val="28"/>
        </w:rPr>
        <w:t xml:space="preserve">Context </w:t>
      </w:r>
      <w:r w:rsidRPr="00E91188">
        <w:rPr>
          <w:sz w:val="28"/>
        </w:rPr>
        <w:tab/>
      </w:r>
      <w:r w:rsidRPr="00E91188">
        <w:rPr>
          <w:sz w:val="32"/>
          <w:szCs w:val="32"/>
        </w:rPr>
        <w:tab/>
      </w:r>
      <w:r w:rsidRPr="00E91188">
        <w:rPr>
          <w:rStyle w:val="BodyTextChar"/>
        </w:rPr>
        <w:tab/>
      </w:r>
      <w:r w:rsidRPr="00E91188">
        <w:rPr>
          <w:rStyle w:val="BodyTextChar"/>
        </w:rPr>
        <w:tab/>
      </w:r>
      <w:r w:rsidRPr="00E91188">
        <w:rPr>
          <w:rStyle w:val="BodyTextChar"/>
        </w:rPr>
        <w:tab/>
      </w:r>
      <w:r w:rsidRPr="00E91188">
        <w:rPr>
          <w:rStyle w:val="BodyTextChar"/>
        </w:rPr>
        <w:tab/>
      </w:r>
      <w:r w:rsidRPr="00E91188">
        <w:rPr>
          <w:rStyle w:val="BodyTextChar"/>
        </w:rPr>
        <w:tab/>
      </w:r>
    </w:p>
    <w:p w:rsidR="00E369DF" w:rsidRDefault="00A45E91" w:rsidP="00E369DF">
      <w:pPr>
        <w:pStyle w:val="BodyText"/>
        <w:rPr>
          <w:szCs w:val="21"/>
        </w:rPr>
      </w:pPr>
      <w:r w:rsidRPr="00A65013">
        <w:t>South Asia has experienced a long period of strong</w:t>
      </w:r>
      <w:r w:rsidR="00FB0B45">
        <w:t xml:space="preserve"> economic growth. It</w:t>
      </w:r>
      <w:r w:rsidRPr="00A65013">
        <w:t xml:space="preserve"> </w:t>
      </w:r>
      <w:r>
        <w:t xml:space="preserve">overtook East Asia </w:t>
      </w:r>
      <w:r w:rsidRPr="00A65013">
        <w:t>at the end of 2014 to become the fastest growing region in the world</w:t>
      </w:r>
      <w:r>
        <w:t>.</w:t>
      </w:r>
      <w:r w:rsidRPr="00172819">
        <w:rPr>
          <w:vertAlign w:val="superscript"/>
        </w:rPr>
        <w:footnoteReference w:id="1"/>
      </w:r>
      <w:r w:rsidRPr="00A65013">
        <w:t xml:space="preserve"> </w:t>
      </w:r>
      <w:r w:rsidR="00E369DF">
        <w:t xml:space="preserve"> </w:t>
      </w:r>
      <w:r w:rsidR="00E369DF">
        <w:rPr>
          <w:szCs w:val="21"/>
        </w:rPr>
        <w:t xml:space="preserve">In </w:t>
      </w:r>
      <w:r w:rsidR="00E369DF" w:rsidRPr="0081015E">
        <w:rPr>
          <w:szCs w:val="21"/>
        </w:rPr>
        <w:t xml:space="preserve">2014-15 </w:t>
      </w:r>
      <w:r w:rsidR="00E369DF">
        <w:rPr>
          <w:szCs w:val="21"/>
        </w:rPr>
        <w:t>there was a</w:t>
      </w:r>
      <w:r w:rsidR="00E369DF" w:rsidRPr="0081015E">
        <w:rPr>
          <w:szCs w:val="21"/>
        </w:rPr>
        <w:t xml:space="preserve"> shif</w:t>
      </w:r>
      <w:r w:rsidR="00E369DF">
        <w:rPr>
          <w:szCs w:val="21"/>
        </w:rPr>
        <w:t xml:space="preserve">t in the </w:t>
      </w:r>
      <w:r w:rsidR="00306DBA">
        <w:rPr>
          <w:szCs w:val="21"/>
        </w:rPr>
        <w:t>dynamics of regional engagement</w:t>
      </w:r>
      <w:r w:rsidR="00E369DF">
        <w:rPr>
          <w:szCs w:val="21"/>
        </w:rPr>
        <w:t xml:space="preserve"> w</w:t>
      </w:r>
      <w:r w:rsidR="00E369DF" w:rsidRPr="0081015E">
        <w:rPr>
          <w:szCs w:val="21"/>
        </w:rPr>
        <w:t xml:space="preserve">ith the </w:t>
      </w:r>
      <w:r w:rsidR="00306DBA">
        <w:rPr>
          <w:szCs w:val="21"/>
        </w:rPr>
        <w:t xml:space="preserve">new </w:t>
      </w:r>
      <w:r w:rsidR="00E369DF" w:rsidRPr="0081015E">
        <w:rPr>
          <w:szCs w:val="21"/>
        </w:rPr>
        <w:t xml:space="preserve">Modi Government </w:t>
      </w:r>
      <w:r w:rsidR="00E369DF">
        <w:rPr>
          <w:szCs w:val="21"/>
        </w:rPr>
        <w:t>in India</w:t>
      </w:r>
      <w:r w:rsidR="00306DBA">
        <w:rPr>
          <w:szCs w:val="21"/>
        </w:rPr>
        <w:t xml:space="preserve"> placing a higher priority on</w:t>
      </w:r>
      <w:r w:rsidR="00AC4A41">
        <w:rPr>
          <w:szCs w:val="21"/>
        </w:rPr>
        <w:t xml:space="preserve"> cooperation with countries in south and e</w:t>
      </w:r>
      <w:r w:rsidR="00306DBA">
        <w:rPr>
          <w:szCs w:val="21"/>
        </w:rPr>
        <w:t>ast Asia</w:t>
      </w:r>
      <w:r w:rsidR="00E369DF">
        <w:rPr>
          <w:szCs w:val="21"/>
        </w:rPr>
        <w:t xml:space="preserve">.  In November 2014, </w:t>
      </w:r>
      <w:r w:rsidR="00E369DF" w:rsidRPr="0081015E">
        <w:rPr>
          <w:szCs w:val="21"/>
        </w:rPr>
        <w:t xml:space="preserve">South Asia Association for Regional Cooperation (SAARC) heads of governments </w:t>
      </w:r>
      <w:r w:rsidR="003964BA">
        <w:rPr>
          <w:szCs w:val="21"/>
        </w:rPr>
        <w:t>concluded</w:t>
      </w:r>
      <w:r w:rsidR="00E369DF">
        <w:rPr>
          <w:szCs w:val="21"/>
        </w:rPr>
        <w:t xml:space="preserve"> </w:t>
      </w:r>
      <w:r w:rsidR="003964BA">
        <w:rPr>
          <w:szCs w:val="21"/>
        </w:rPr>
        <w:t>a</w:t>
      </w:r>
      <w:r w:rsidR="00E369DF" w:rsidRPr="0081015E">
        <w:rPr>
          <w:szCs w:val="21"/>
        </w:rPr>
        <w:t xml:space="preserve"> SAARC Framework Agreement for Energy Cooperation to facilitate the trade of energy at the regional level.</w:t>
      </w:r>
      <w:r w:rsidR="00E369DF" w:rsidRPr="00A45E91">
        <w:rPr>
          <w:szCs w:val="21"/>
          <w:vertAlign w:val="superscript"/>
        </w:rPr>
        <w:footnoteReference w:id="2"/>
      </w:r>
      <w:r w:rsidR="00E369DF" w:rsidRPr="0081015E">
        <w:rPr>
          <w:szCs w:val="21"/>
        </w:rPr>
        <w:t xml:space="preserve">  </w:t>
      </w:r>
    </w:p>
    <w:p w:rsidR="00E369DF" w:rsidRPr="000C3E1C" w:rsidRDefault="003964BA" w:rsidP="00E369DF">
      <w:pPr>
        <w:pStyle w:val="BodyText"/>
        <w:rPr>
          <w:szCs w:val="21"/>
        </w:rPr>
      </w:pPr>
      <w:r>
        <w:rPr>
          <w:szCs w:val="21"/>
        </w:rPr>
        <w:t>S</w:t>
      </w:r>
      <w:r w:rsidR="00E369DF" w:rsidRPr="0081015E">
        <w:rPr>
          <w:szCs w:val="21"/>
        </w:rPr>
        <w:t xml:space="preserve">ub-regional </w:t>
      </w:r>
      <w:r>
        <w:rPr>
          <w:szCs w:val="21"/>
        </w:rPr>
        <w:t xml:space="preserve">interactions in the areas of focus </w:t>
      </w:r>
      <w:r w:rsidR="00032CC7">
        <w:rPr>
          <w:szCs w:val="21"/>
        </w:rPr>
        <w:t>of</w:t>
      </w:r>
      <w:r>
        <w:rPr>
          <w:szCs w:val="21"/>
        </w:rPr>
        <w:t xml:space="preserve"> our regional program have expanded</w:t>
      </w:r>
      <w:r w:rsidR="00E369DF">
        <w:rPr>
          <w:szCs w:val="21"/>
        </w:rPr>
        <w:t xml:space="preserve">. </w:t>
      </w:r>
      <w:r w:rsidR="00E369DF" w:rsidRPr="0081015E">
        <w:rPr>
          <w:szCs w:val="21"/>
        </w:rPr>
        <w:t xml:space="preserve">In February 2015, India hosted a BBIN (Bangladesh, Bhutan, India, and Nepal) sub-grouping of SAARC countries to discuss water resources management, hydropower and connectivity and transit within the region.  In June 2015, BBIN countries signed a Motor Vehicles Agreement to </w:t>
      </w:r>
      <w:r w:rsidR="00E369DF" w:rsidRPr="00FE06FC">
        <w:rPr>
          <w:szCs w:val="21"/>
        </w:rPr>
        <w:lastRenderedPageBreak/>
        <w:t xml:space="preserve">facilitate </w:t>
      </w:r>
      <w:r w:rsidR="00E369DF" w:rsidRPr="0081015E">
        <w:rPr>
          <w:szCs w:val="21"/>
        </w:rPr>
        <w:t>the movement of people</w:t>
      </w:r>
      <w:r w:rsidR="00E369DF">
        <w:rPr>
          <w:szCs w:val="21"/>
        </w:rPr>
        <w:t xml:space="preserve"> and goods across the borders. </w:t>
      </w:r>
      <w:r w:rsidR="00E369DF" w:rsidRPr="0081015E">
        <w:rPr>
          <w:szCs w:val="21"/>
        </w:rPr>
        <w:t xml:space="preserve">BBIN countries have also agreed to exchange lists of potential hydropower projects and work out a model for power trade and inter-grid connectivity between the four countries. </w:t>
      </w:r>
    </w:p>
    <w:p w:rsidR="00E369DF" w:rsidRPr="00B5544B" w:rsidRDefault="00E369DF" w:rsidP="00E369DF">
      <w:pPr>
        <w:pStyle w:val="BodyText"/>
        <w:rPr>
          <w:szCs w:val="21"/>
        </w:rPr>
      </w:pPr>
      <w:r w:rsidRPr="00B5544B">
        <w:rPr>
          <w:szCs w:val="21"/>
        </w:rPr>
        <w:t>In June 2015, India and Bangladesh signed a Land Boundary Agreement, which simplifies the 4,000 km India-Bangladesh border and clarifies the territorial rights of around 200 enclaves.</w:t>
      </w:r>
      <w:r w:rsidRPr="00B5544B">
        <w:rPr>
          <w:szCs w:val="21"/>
          <w:vertAlign w:val="superscript"/>
        </w:rPr>
        <w:footnoteReference w:id="3"/>
      </w:r>
      <w:r w:rsidRPr="00B5544B">
        <w:rPr>
          <w:szCs w:val="21"/>
        </w:rPr>
        <w:t xml:space="preserve">  There have also been a number of bilateral agreements on energy connectivity, trading and hydropower development.</w:t>
      </w:r>
      <w:r w:rsidRPr="00B5544B">
        <w:rPr>
          <w:szCs w:val="21"/>
          <w:vertAlign w:val="superscript"/>
        </w:rPr>
        <w:footnoteReference w:id="4"/>
      </w:r>
      <w:r>
        <w:rPr>
          <w:szCs w:val="21"/>
        </w:rPr>
        <w:t xml:space="preserve"> However,</w:t>
      </w:r>
      <w:r w:rsidRPr="0081015E">
        <w:rPr>
          <w:szCs w:val="21"/>
        </w:rPr>
        <w:t xml:space="preserve"> in the west of the region</w:t>
      </w:r>
      <w:r>
        <w:rPr>
          <w:szCs w:val="21"/>
        </w:rPr>
        <w:t>,</w:t>
      </w:r>
      <w:r w:rsidRPr="0081015E">
        <w:rPr>
          <w:szCs w:val="21"/>
        </w:rPr>
        <w:t xml:space="preserve"> the India Pakistan relationship remain</w:t>
      </w:r>
      <w:r>
        <w:rPr>
          <w:szCs w:val="21"/>
        </w:rPr>
        <w:t>ed</w:t>
      </w:r>
      <w:r w:rsidRPr="0081015E">
        <w:rPr>
          <w:szCs w:val="21"/>
        </w:rPr>
        <w:t xml:space="preserve"> politically complex</w:t>
      </w:r>
      <w:r>
        <w:rPr>
          <w:szCs w:val="21"/>
        </w:rPr>
        <w:t>.</w:t>
      </w:r>
    </w:p>
    <w:p w:rsidR="00E369DF" w:rsidRPr="00A65013" w:rsidRDefault="00E369DF" w:rsidP="00E369DF">
      <w:pPr>
        <w:pStyle w:val="BodyText"/>
        <w:rPr>
          <w:szCs w:val="21"/>
        </w:rPr>
      </w:pPr>
      <w:r w:rsidRPr="00726B48">
        <w:rPr>
          <w:szCs w:val="21"/>
        </w:rPr>
        <w:t xml:space="preserve">In India, the clean-up of the Ganges, a transboundary river, </w:t>
      </w:r>
      <w:r w:rsidRPr="00A65013">
        <w:rPr>
          <w:szCs w:val="21"/>
        </w:rPr>
        <w:t xml:space="preserve">is now a major public policy focus.  The Indian Government’s “Namami Gange” (Integrated Ganga Conversation) Program has </w:t>
      </w:r>
      <w:r w:rsidR="003964BA">
        <w:rPr>
          <w:szCs w:val="21"/>
        </w:rPr>
        <w:t xml:space="preserve">been </w:t>
      </w:r>
      <w:r w:rsidRPr="00A65013">
        <w:rPr>
          <w:szCs w:val="21"/>
        </w:rPr>
        <w:t>allocated a budget of INR 20,000 (~AU$3.8 billion) over five years.</w:t>
      </w:r>
    </w:p>
    <w:p w:rsidR="00A45E91" w:rsidRPr="00A65013" w:rsidRDefault="003964BA" w:rsidP="00A45E91">
      <w:pPr>
        <w:pStyle w:val="BodyText"/>
      </w:pPr>
      <w:r>
        <w:t>T</w:t>
      </w:r>
      <w:r w:rsidR="00E369DF">
        <w:t>here are still significant issues to address. E</w:t>
      </w:r>
      <w:r w:rsidR="00E369DF" w:rsidRPr="00A65013">
        <w:t xml:space="preserve">conomic growth </w:t>
      </w:r>
      <w:r w:rsidR="00E369DF">
        <w:t xml:space="preserve">was variable across the region </w:t>
      </w:r>
      <w:r w:rsidR="00E369DF" w:rsidRPr="00A65013">
        <w:t>and serious human development challenges</w:t>
      </w:r>
      <w:r w:rsidR="00E369DF">
        <w:t xml:space="preserve"> remain</w:t>
      </w:r>
      <w:r w:rsidR="00E369DF" w:rsidRPr="00A65013">
        <w:t xml:space="preserve">. </w:t>
      </w:r>
      <w:r w:rsidR="00E369DF">
        <w:t xml:space="preserve"> </w:t>
      </w:r>
      <w:r w:rsidR="00A45E91" w:rsidRPr="00A65013">
        <w:t>Nearly 400 million people in South Asia—40 per cent of the world’s poor—live on less than $1.25 a day</w:t>
      </w:r>
      <w:r w:rsidR="00A45E91">
        <w:t>.</w:t>
      </w:r>
      <w:r w:rsidR="00A45E91" w:rsidRPr="00172819">
        <w:rPr>
          <w:rStyle w:val="FootnoteReference"/>
          <w:rFonts w:ascii="Franklin Gothic Book" w:hAnsi="Franklin Gothic Book"/>
          <w:sz w:val="20"/>
          <w:szCs w:val="21"/>
          <w:vertAlign w:val="superscript"/>
        </w:rPr>
        <w:footnoteReference w:id="5"/>
      </w:r>
      <w:r w:rsidR="00A45E91" w:rsidRPr="00A65013">
        <w:t xml:space="preserve">  Many more live just above the poverty line and remain</w:t>
      </w:r>
      <w:r w:rsidR="00A45E91" w:rsidRPr="00A65013">
        <w:rPr>
          <w:iCs/>
          <w:lang w:val="en"/>
        </w:rPr>
        <w:t xml:space="preserve"> vulnerable to shocks related to health and disasters</w:t>
      </w:r>
      <w:r w:rsidR="00FB0B45">
        <w:rPr>
          <w:iCs/>
          <w:lang w:val="en"/>
        </w:rPr>
        <w:t xml:space="preserve"> </w:t>
      </w:r>
      <w:r w:rsidR="00A45E91" w:rsidRPr="00A65013">
        <w:t>particularly women and girls</w:t>
      </w:r>
      <w:r w:rsidR="00A45E91">
        <w:t>.</w:t>
      </w:r>
      <w:r w:rsidR="00A45E91" w:rsidRPr="00172819">
        <w:rPr>
          <w:rStyle w:val="FootnoteReference"/>
          <w:rFonts w:ascii="Franklin Gothic Book" w:hAnsi="Franklin Gothic Book"/>
          <w:sz w:val="21"/>
          <w:szCs w:val="21"/>
          <w:vertAlign w:val="superscript"/>
        </w:rPr>
        <w:footnoteReference w:id="6"/>
      </w:r>
      <w:r w:rsidR="003A671A">
        <w:t xml:space="preserve">  </w:t>
      </w:r>
      <w:r w:rsidR="00A45E91" w:rsidRPr="00A65013">
        <w:t>Women are over represented</w:t>
      </w:r>
      <w:r w:rsidR="00A45E91">
        <w:t xml:space="preserve"> among </w:t>
      </w:r>
      <w:r w:rsidR="00A45E91" w:rsidRPr="00A65013">
        <w:t xml:space="preserve">the region’s poor and the female </w:t>
      </w:r>
      <w:r w:rsidR="00A45E91">
        <w:t>participat</w:t>
      </w:r>
      <w:r w:rsidR="002E2C3D">
        <w:t>ion</w:t>
      </w:r>
      <w:r w:rsidR="00A45E91">
        <w:t xml:space="preserve"> rate of 35 per cent in the formal </w:t>
      </w:r>
      <w:r w:rsidR="00A45E91" w:rsidRPr="00A65013">
        <w:t>labour force in South Asia is among the lowest in the world</w:t>
      </w:r>
      <w:r w:rsidR="00A45E91">
        <w:t>.</w:t>
      </w:r>
      <w:r w:rsidR="00A45E91" w:rsidRPr="00172819">
        <w:rPr>
          <w:rStyle w:val="FootnoteReference"/>
          <w:sz w:val="20"/>
          <w:szCs w:val="20"/>
          <w:vertAlign w:val="superscript"/>
        </w:rPr>
        <w:footnoteReference w:id="7"/>
      </w:r>
    </w:p>
    <w:p w:rsidR="00A45E91" w:rsidRDefault="00A45E91" w:rsidP="00A45E91">
      <w:pPr>
        <w:pStyle w:val="BodyText"/>
        <w:rPr>
          <w:szCs w:val="21"/>
        </w:rPr>
      </w:pPr>
      <w:r>
        <w:rPr>
          <w:szCs w:val="21"/>
        </w:rPr>
        <w:t>I</w:t>
      </w:r>
      <w:r w:rsidRPr="00A65013">
        <w:rPr>
          <w:szCs w:val="21"/>
        </w:rPr>
        <w:t xml:space="preserve">ntra-regional trade in South Asia stands at </w:t>
      </w:r>
      <w:r w:rsidR="00FB0B45">
        <w:rPr>
          <w:szCs w:val="21"/>
        </w:rPr>
        <w:t xml:space="preserve">just </w:t>
      </w:r>
      <w:r w:rsidRPr="00A65013">
        <w:rPr>
          <w:szCs w:val="21"/>
        </w:rPr>
        <w:t>5 per cent of total trade compared with 50 per cent for East Asia and 30 per cent for Southeast Asia</w:t>
      </w:r>
      <w:r>
        <w:rPr>
          <w:szCs w:val="21"/>
        </w:rPr>
        <w:t>.</w:t>
      </w:r>
      <w:r w:rsidRPr="00172819">
        <w:rPr>
          <w:rStyle w:val="FootnoteReference"/>
          <w:rFonts w:ascii="Franklin Gothic Book" w:hAnsi="Franklin Gothic Book"/>
          <w:sz w:val="21"/>
          <w:szCs w:val="21"/>
          <w:vertAlign w:val="superscript"/>
        </w:rPr>
        <w:footnoteReference w:id="8"/>
      </w:r>
      <w:r w:rsidRPr="00A65013">
        <w:rPr>
          <w:szCs w:val="21"/>
        </w:rPr>
        <w:t xml:space="preserve">  Non-tariff barriers—onerous and subjective procedural and administrative requirements at borders—are a primary cause for the lack of intra-regional trade and for the region having the second highest trade costs</w:t>
      </w:r>
      <w:r>
        <w:rPr>
          <w:szCs w:val="21"/>
        </w:rPr>
        <w:t xml:space="preserve"> globally</w:t>
      </w:r>
      <w:r w:rsidRPr="00A65013">
        <w:rPr>
          <w:szCs w:val="21"/>
        </w:rPr>
        <w:t xml:space="preserve">. </w:t>
      </w:r>
      <w:r>
        <w:rPr>
          <w:szCs w:val="21"/>
        </w:rPr>
        <w:t xml:space="preserve">This helps account for </w:t>
      </w:r>
      <w:r w:rsidRPr="00A65013">
        <w:rPr>
          <w:szCs w:val="21"/>
        </w:rPr>
        <w:t>South Asia</w:t>
      </w:r>
      <w:r w:rsidR="00306DBA">
        <w:rPr>
          <w:szCs w:val="21"/>
        </w:rPr>
        <w:t>’s</w:t>
      </w:r>
      <w:r w:rsidRPr="00A65013">
        <w:rPr>
          <w:szCs w:val="21"/>
        </w:rPr>
        <w:t xml:space="preserve"> poor</w:t>
      </w:r>
      <w:r>
        <w:rPr>
          <w:szCs w:val="21"/>
        </w:rPr>
        <w:t xml:space="preserve"> ranking</w:t>
      </w:r>
      <w:r w:rsidRPr="00A65013">
        <w:rPr>
          <w:szCs w:val="21"/>
        </w:rPr>
        <w:t xml:space="preserve"> in the World Bank’s Ease of Doing Business Index and the World Bank’s Logistics Performance Index</w:t>
      </w:r>
      <w:r>
        <w:rPr>
          <w:szCs w:val="21"/>
        </w:rPr>
        <w:t>.</w:t>
      </w:r>
      <w:r w:rsidRPr="00172819">
        <w:rPr>
          <w:rStyle w:val="FootnoteReference"/>
          <w:rFonts w:ascii="Franklin Gothic Book" w:hAnsi="Franklin Gothic Book"/>
          <w:sz w:val="21"/>
          <w:szCs w:val="21"/>
          <w:vertAlign w:val="superscript"/>
        </w:rPr>
        <w:footnoteReference w:id="9"/>
      </w:r>
      <w:r w:rsidRPr="0081015E">
        <w:rPr>
          <w:szCs w:val="21"/>
        </w:rPr>
        <w:t xml:space="preserve"> </w:t>
      </w:r>
    </w:p>
    <w:p w:rsidR="00E369DF" w:rsidRPr="00A65013" w:rsidRDefault="00E369DF" w:rsidP="00E369DF">
      <w:pPr>
        <w:pStyle w:val="BodyText"/>
        <w:rPr>
          <w:szCs w:val="21"/>
        </w:rPr>
      </w:pPr>
      <w:r>
        <w:rPr>
          <w:szCs w:val="21"/>
        </w:rPr>
        <w:t xml:space="preserve">The </w:t>
      </w:r>
      <w:r w:rsidRPr="00A65013">
        <w:rPr>
          <w:szCs w:val="21"/>
        </w:rPr>
        <w:t xml:space="preserve">2014-15 </w:t>
      </w:r>
      <w:r>
        <w:rPr>
          <w:szCs w:val="21"/>
        </w:rPr>
        <w:t xml:space="preserve">period </w:t>
      </w:r>
      <w:r w:rsidRPr="00A65013">
        <w:rPr>
          <w:szCs w:val="21"/>
        </w:rPr>
        <w:t xml:space="preserve">re-affirmed how vulnerable the region </w:t>
      </w:r>
      <w:r>
        <w:rPr>
          <w:szCs w:val="21"/>
        </w:rPr>
        <w:t>remains</w:t>
      </w:r>
      <w:r w:rsidRPr="00A65013">
        <w:rPr>
          <w:szCs w:val="21"/>
        </w:rPr>
        <w:t xml:space="preserve"> to natural disasters. </w:t>
      </w:r>
      <w:r>
        <w:rPr>
          <w:szCs w:val="21"/>
        </w:rPr>
        <w:t xml:space="preserve"> </w:t>
      </w:r>
      <w:r w:rsidRPr="00A65013">
        <w:rPr>
          <w:szCs w:val="21"/>
        </w:rPr>
        <w:t>Over the last 20 years, natural disasters have affected more than 750 million people and inflicted US$45 billion worth of damage</w:t>
      </w:r>
      <w:r>
        <w:rPr>
          <w:szCs w:val="21"/>
        </w:rPr>
        <w:t>.</w:t>
      </w:r>
      <w:r w:rsidRPr="00172819">
        <w:rPr>
          <w:rStyle w:val="FootnoteReference"/>
          <w:rFonts w:ascii="Franklin Gothic Book" w:hAnsi="Franklin Gothic Book"/>
          <w:sz w:val="21"/>
          <w:szCs w:val="21"/>
          <w:vertAlign w:val="superscript"/>
        </w:rPr>
        <w:footnoteReference w:id="10"/>
      </w:r>
      <w:r w:rsidRPr="00A65013">
        <w:rPr>
          <w:szCs w:val="21"/>
        </w:rPr>
        <w:t xml:space="preserve">  In April 2015, a major earthquake and subsequent aftershocks led to widespread damage and loss of life in Nepal and the Indian state of Bihar.  Floods were also widespread.  In September 2014, the Kashmir region in India and Pakistan suffered disastrous floods across 2,550 villages</w:t>
      </w:r>
      <w:r>
        <w:rPr>
          <w:szCs w:val="21"/>
        </w:rPr>
        <w:t>, and</w:t>
      </w:r>
      <w:r w:rsidRPr="00A65013">
        <w:rPr>
          <w:szCs w:val="21"/>
        </w:rPr>
        <w:t xml:space="preserve"> 1.5 million people were affected by floods in the Indian state of Assa</w:t>
      </w:r>
      <w:r>
        <w:rPr>
          <w:szCs w:val="21"/>
        </w:rPr>
        <w:t xml:space="preserve">m. Building the region’s climate resilience will be of utmost </w:t>
      </w:r>
      <w:r>
        <w:rPr>
          <w:szCs w:val="21"/>
        </w:rPr>
        <w:lastRenderedPageBreak/>
        <w:t>importance given t</w:t>
      </w:r>
      <w:r w:rsidRPr="00A65013">
        <w:rPr>
          <w:szCs w:val="21"/>
        </w:rPr>
        <w:t>he region remains one of the most vulnerable to the effects of climate change.</w:t>
      </w:r>
    </w:p>
    <w:p w:rsidR="00A45E91" w:rsidRPr="00A65013" w:rsidRDefault="00A45E91" w:rsidP="00A45E91">
      <w:pPr>
        <w:pStyle w:val="BodyText"/>
        <w:rPr>
          <w:szCs w:val="21"/>
        </w:rPr>
      </w:pPr>
      <w:r>
        <w:rPr>
          <w:szCs w:val="21"/>
        </w:rPr>
        <w:t>T</w:t>
      </w:r>
      <w:r>
        <w:rPr>
          <w:szCs w:val="21"/>
          <w:lang w:val="en-US"/>
        </w:rPr>
        <w:t>he f</w:t>
      </w:r>
      <w:r w:rsidRPr="00A65013">
        <w:rPr>
          <w:szCs w:val="21"/>
          <w:lang w:val="en-US"/>
        </w:rPr>
        <w:t>uture growth</w:t>
      </w:r>
      <w:r w:rsidR="003964BA">
        <w:rPr>
          <w:szCs w:val="21"/>
          <w:lang w:val="en-US"/>
        </w:rPr>
        <w:t xml:space="preserve"> and</w:t>
      </w:r>
      <w:r w:rsidRPr="00A65013">
        <w:rPr>
          <w:szCs w:val="21"/>
          <w:lang w:val="en-US"/>
        </w:rPr>
        <w:t xml:space="preserve"> stability of the region will depend heavily on its ability to increase cooperation in several critical areas: regional connectivity, integrated natural resource management that acknowledges</w:t>
      </w:r>
      <w:r w:rsidR="006E5523">
        <w:rPr>
          <w:szCs w:val="21"/>
          <w:lang w:val="en-US"/>
        </w:rPr>
        <w:t xml:space="preserve"> the</w:t>
      </w:r>
      <w:r w:rsidRPr="00A65013">
        <w:rPr>
          <w:szCs w:val="21"/>
          <w:lang w:val="en-US"/>
        </w:rPr>
        <w:t xml:space="preserve"> interdependencies and trade-offs between water, food and energy security; and women’s economic empowerment.</w:t>
      </w:r>
      <w:r>
        <w:rPr>
          <w:szCs w:val="21"/>
          <w:lang w:val="en-US"/>
        </w:rPr>
        <w:t xml:space="preserve"> </w:t>
      </w:r>
      <w:r>
        <w:rPr>
          <w:szCs w:val="21"/>
        </w:rPr>
        <w:t>Fostering policy dialogue between South Asian countries on regional economic connectivity and sustainable development issues will be critical to achievin</w:t>
      </w:r>
      <w:r w:rsidR="006E5523">
        <w:rPr>
          <w:szCs w:val="21"/>
        </w:rPr>
        <w:t>g deeper regional cooperation</w:t>
      </w:r>
      <w:r w:rsidR="003A5BF4">
        <w:rPr>
          <w:szCs w:val="21"/>
        </w:rPr>
        <w:t>.</w:t>
      </w:r>
    </w:p>
    <w:p w:rsidR="00A45E91" w:rsidRPr="00A65013" w:rsidRDefault="00A45E91" w:rsidP="00A45E91">
      <w:pPr>
        <w:pStyle w:val="BodyText"/>
        <w:rPr>
          <w:b/>
        </w:rPr>
      </w:pPr>
      <w:r w:rsidRPr="00A65013">
        <w:rPr>
          <w:b/>
        </w:rPr>
        <w:t>Australia’s aid program to the South Asia Region</w:t>
      </w:r>
    </w:p>
    <w:p w:rsidR="00A45E91" w:rsidRPr="00A65013" w:rsidRDefault="00A45E91" w:rsidP="00A45E91">
      <w:pPr>
        <w:pStyle w:val="BodyText"/>
      </w:pPr>
      <w:r>
        <w:t>This APPR is the last to report on t</w:t>
      </w:r>
      <w:r w:rsidRPr="00A65013">
        <w:t xml:space="preserve">he </w:t>
      </w:r>
      <w:r w:rsidRPr="00A65013">
        <w:rPr>
          <w:i/>
        </w:rPr>
        <w:t>South Asia Regional Development Program Strategy 2013–2017</w:t>
      </w:r>
      <w:r>
        <w:rPr>
          <w:i/>
        </w:rPr>
        <w:t>,</w:t>
      </w:r>
      <w:r w:rsidRPr="00A65013">
        <w:rPr>
          <w:i/>
        </w:rPr>
        <w:t xml:space="preserve"> </w:t>
      </w:r>
      <w:r w:rsidRPr="00CA18C9">
        <w:t xml:space="preserve">which </w:t>
      </w:r>
      <w:r w:rsidRPr="00A65013">
        <w:t xml:space="preserve">describes the program’s aim to reduce poverty and promote sustainable and inclusive growth by improving regional cooperation and connectivity.  </w:t>
      </w:r>
      <w:r>
        <w:t>Since 2012, t</w:t>
      </w:r>
      <w:r w:rsidRPr="00A65013">
        <w:t xml:space="preserve">he program </w:t>
      </w:r>
      <w:r>
        <w:t xml:space="preserve">has </w:t>
      </w:r>
      <w:r w:rsidRPr="00A65013">
        <w:t>evolv</w:t>
      </w:r>
      <w:r>
        <w:t>ed</w:t>
      </w:r>
      <w:r w:rsidRPr="00A65013">
        <w:t xml:space="preserve"> from a disparate, multi-country program covering eight countries to a more targeted program operating across five countries (India, Bangladesh, Nepal, Bhutan and Pa</w:t>
      </w:r>
      <w:r w:rsidR="00EC0EBC">
        <w:t xml:space="preserve">kistan) around two objectives. </w:t>
      </w:r>
      <w:r w:rsidRPr="00A65013">
        <w:t>The</w:t>
      </w:r>
      <w:r>
        <w:t xml:space="preserve">se </w:t>
      </w:r>
      <w:r w:rsidRPr="00A65013">
        <w:t>objectives address two of the region’s most entrenched barriers to sustainable economic growth</w:t>
      </w:r>
      <w:r w:rsidR="00C326F0">
        <w:t xml:space="preserve"> and development</w:t>
      </w:r>
      <w:r>
        <w:t>,</w:t>
      </w:r>
      <w:r w:rsidRPr="00A65013">
        <w:t xml:space="preserve"> with a </w:t>
      </w:r>
      <w:r w:rsidR="003F2808">
        <w:t xml:space="preserve">particular </w:t>
      </w:r>
      <w:r w:rsidRPr="00A65013">
        <w:t>focus on gender equality.  The objectives are:</w:t>
      </w:r>
    </w:p>
    <w:p w:rsidR="00A45E91" w:rsidRPr="00A65013" w:rsidRDefault="00A45E91" w:rsidP="00A45E91">
      <w:pPr>
        <w:pStyle w:val="ListBullet"/>
        <w:tabs>
          <w:tab w:val="clear" w:pos="284"/>
        </w:tabs>
      </w:pPr>
      <w:r w:rsidRPr="00A65013">
        <w:rPr>
          <w:b/>
        </w:rPr>
        <w:t>Objective 1:</w:t>
      </w:r>
      <w:r w:rsidRPr="00A65013">
        <w:t xml:space="preserve"> Increased water, food and energy security in South Asia to facilitate economic growth and improve the livelihoods of the poor and vulnerable (particularly women and girls); and</w:t>
      </w:r>
    </w:p>
    <w:p w:rsidR="00A45E91" w:rsidRPr="00A65013" w:rsidRDefault="00A45E91" w:rsidP="00A45E91">
      <w:pPr>
        <w:pStyle w:val="ListBullet"/>
        <w:tabs>
          <w:tab w:val="clear" w:pos="284"/>
        </w:tabs>
      </w:pPr>
      <w:r w:rsidRPr="00A65013">
        <w:rPr>
          <w:b/>
        </w:rPr>
        <w:t>Objective 2:</w:t>
      </w:r>
      <w:r w:rsidRPr="00A65013">
        <w:t xml:space="preserve"> Increased regional connectivity (for the benefit of the men and women of South Asia) through gender integrated trade facilitation and economic and infrastructure connectivity initiatives.</w:t>
      </w:r>
    </w:p>
    <w:p w:rsidR="00A45E91" w:rsidRPr="00A65013" w:rsidRDefault="003964BA" w:rsidP="00A45E91">
      <w:pPr>
        <w:pStyle w:val="BodyText"/>
      </w:pPr>
      <w:r>
        <w:t xml:space="preserve">Our new </w:t>
      </w:r>
      <w:r w:rsidR="00A45E91" w:rsidRPr="00A65013">
        <w:rPr>
          <w:i/>
        </w:rPr>
        <w:t>Aid Investment Plan for the South Asia Regional Deve</w:t>
      </w:r>
      <w:r w:rsidR="008402C2">
        <w:rPr>
          <w:i/>
        </w:rPr>
        <w:t>lopment Program 2015-1</w:t>
      </w:r>
      <w:r w:rsidR="00A45E91" w:rsidRPr="00A65013">
        <w:rPr>
          <w:i/>
        </w:rPr>
        <w:t>9</w:t>
      </w:r>
      <w:r w:rsidR="00A45E91" w:rsidRPr="00A65013">
        <w:t xml:space="preserve"> </w:t>
      </w:r>
      <w:r w:rsidR="00A45E91">
        <w:t xml:space="preserve">maintains the </w:t>
      </w:r>
      <w:r w:rsidR="00A45E91" w:rsidRPr="00A65013">
        <w:t xml:space="preserve">focus </w:t>
      </w:r>
      <w:r w:rsidR="00A45E91">
        <w:t>on sustainable development and regiona</w:t>
      </w:r>
      <w:r w:rsidR="008402C2">
        <w:t>l connectivity while further</w:t>
      </w:r>
      <w:r w:rsidR="00A45E91">
        <w:t xml:space="preserve"> emphasising </w:t>
      </w:r>
      <w:r w:rsidR="00A45E91" w:rsidRPr="00A65013">
        <w:t>the imp</w:t>
      </w:r>
      <w:r w:rsidR="00A45E91">
        <w:t xml:space="preserve">ortance </w:t>
      </w:r>
      <w:r w:rsidR="00A45E91" w:rsidRPr="00A65013">
        <w:t xml:space="preserve">of gender equality </w:t>
      </w:r>
      <w:r w:rsidR="00A45E91">
        <w:t xml:space="preserve">to </w:t>
      </w:r>
      <w:r w:rsidR="00A45E91" w:rsidRPr="00A65013">
        <w:t>the program</w:t>
      </w:r>
      <w:r w:rsidR="00A45E91">
        <w:t>’s outcomes</w:t>
      </w:r>
      <w:r w:rsidR="00A45E91" w:rsidRPr="00A65013">
        <w:t>.</w:t>
      </w:r>
    </w:p>
    <w:p w:rsidR="00A45E91" w:rsidRDefault="00A45E91" w:rsidP="00A45E91">
      <w:pPr>
        <w:pStyle w:val="BodyText"/>
      </w:pPr>
      <w:r w:rsidRPr="00A65013">
        <w:t>Australi</w:t>
      </w:r>
      <w:r w:rsidR="003F2808">
        <w:t>a works</w:t>
      </w:r>
      <w:r w:rsidRPr="00A65013">
        <w:t xml:space="preserve"> closely with other donors also investing in region wide initiatives on sustainable development and economic connectivity (</w:t>
      </w:r>
      <w:r>
        <w:t xml:space="preserve">World Bank, </w:t>
      </w:r>
      <w:r w:rsidR="00EC0EBC">
        <w:t xml:space="preserve">UK and Norway). </w:t>
      </w:r>
      <w:r>
        <w:t xml:space="preserve">DFAT works closely with the World Bank given its analytical capacity and its lending portfolio across the </w:t>
      </w:r>
      <w:r w:rsidR="00EC0EBC">
        <w:t xml:space="preserve">region to partner governments. </w:t>
      </w:r>
      <w:r w:rsidRPr="00A65013">
        <w:t xml:space="preserve">This </w:t>
      </w:r>
      <w:r w:rsidR="00991191">
        <w:t xml:space="preserve">donor focus reflects a changing ODA landscape, </w:t>
      </w:r>
      <w:r w:rsidR="00306DBA">
        <w:t xml:space="preserve">with </w:t>
      </w:r>
      <w:r w:rsidR="00991191">
        <w:t>donors continu</w:t>
      </w:r>
      <w:r w:rsidR="00306DBA">
        <w:t>ing</w:t>
      </w:r>
      <w:r w:rsidRPr="00A65013">
        <w:t xml:space="preserve"> to </w:t>
      </w:r>
      <w:r w:rsidR="003F2808">
        <w:t>reduce</w:t>
      </w:r>
      <w:r w:rsidR="00991191">
        <w:t xml:space="preserve"> </w:t>
      </w:r>
      <w:r w:rsidRPr="00A65013">
        <w:t>bilateral aid to India and refocus on regional engagement.</w:t>
      </w:r>
      <w:r>
        <w:t xml:space="preserve"> </w:t>
      </w:r>
      <w:r w:rsidRPr="00A65013">
        <w:t xml:space="preserve"> In addition, donors are moving away from providing </w:t>
      </w:r>
      <w:r w:rsidR="00306DBA">
        <w:t>financial</w:t>
      </w:r>
      <w:r w:rsidRPr="00A65013">
        <w:t xml:space="preserve"> assistance to</w:t>
      </w:r>
      <w:r w:rsidR="003964BA">
        <w:t>wards</w:t>
      </w:r>
      <w:r w:rsidRPr="00A65013">
        <w:t xml:space="preserve"> </w:t>
      </w:r>
      <w:r>
        <w:t>support</w:t>
      </w:r>
      <w:r w:rsidR="003964BA">
        <w:t>ing</w:t>
      </w:r>
      <w:r>
        <w:t xml:space="preserve"> </w:t>
      </w:r>
      <w:r w:rsidRPr="00A65013">
        <w:t xml:space="preserve">technical capacity development. </w:t>
      </w:r>
    </w:p>
    <w:p w:rsidR="000D733F" w:rsidRPr="00E91188" w:rsidRDefault="000D733F" w:rsidP="00057FB2">
      <w:pPr>
        <w:pStyle w:val="Heading2"/>
        <w:rPr>
          <w:sz w:val="28"/>
        </w:rPr>
      </w:pPr>
      <w:r w:rsidRPr="00E91188">
        <w:rPr>
          <w:sz w:val="28"/>
        </w:rPr>
        <w:lastRenderedPageBreak/>
        <w:t>Expenditure</w:t>
      </w:r>
    </w:p>
    <w:p w:rsidR="00AA785B" w:rsidRPr="00E91188" w:rsidRDefault="00AA785B" w:rsidP="007E147C">
      <w:pPr>
        <w:pStyle w:val="BodyText"/>
        <w:keepNext/>
      </w:pPr>
      <w:r w:rsidRPr="007E3474">
        <w:t>I</w:t>
      </w:r>
      <w:r w:rsidR="00E81255" w:rsidRPr="007E3474">
        <w:t xml:space="preserve">n 2014-15, Australia provided </w:t>
      </w:r>
      <w:r w:rsidR="0083592B" w:rsidRPr="007E147C">
        <w:t>$</w:t>
      </w:r>
      <w:r w:rsidR="0068415C">
        <w:t>32.8</w:t>
      </w:r>
      <w:r w:rsidR="007E3474" w:rsidRPr="007E147C">
        <w:t xml:space="preserve"> </w:t>
      </w:r>
      <w:r w:rsidR="00E81255" w:rsidRPr="007E147C">
        <w:t>million</w:t>
      </w:r>
      <w:r w:rsidRPr="00BE1DE7">
        <w:t xml:space="preserve"> in Of</w:t>
      </w:r>
      <w:r w:rsidR="00E81255" w:rsidRPr="00BE1DE7">
        <w:t xml:space="preserve">ficial Development Assistance (ODA) </w:t>
      </w:r>
      <w:r w:rsidR="0068415C">
        <w:t xml:space="preserve">to South Asia regional </w:t>
      </w:r>
      <w:r w:rsidR="00057FB2">
        <w:t>initiatives</w:t>
      </w:r>
      <w:r w:rsidR="0068415C">
        <w:t>.</w:t>
      </w:r>
    </w:p>
    <w:p w:rsidR="007E3474" w:rsidRPr="00E91188" w:rsidRDefault="007E3474" w:rsidP="007E3474">
      <w:pPr>
        <w:pStyle w:val="Caption"/>
        <w:keepLines/>
      </w:pPr>
      <w:bookmarkStart w:id="2" w:name="_Toc373853206"/>
      <w:r w:rsidRPr="00E91188">
        <w:t xml:space="preserve">Table </w:t>
      </w:r>
      <w:fldSimple w:instr=" SEQ Table \* ARABIC ">
        <w:r w:rsidR="00AC4A41">
          <w:rPr>
            <w:noProof/>
          </w:rPr>
          <w:t>1</w:t>
        </w:r>
      </w:fldSimple>
      <w:r w:rsidRPr="00E91188">
        <w:t xml:space="preserve"> 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7E3474" w:rsidRPr="00BE1DE7" w:rsidTr="00E3426E">
        <w:tc>
          <w:tcPr>
            <w:tcW w:w="6204" w:type="dxa"/>
          </w:tcPr>
          <w:p w:rsidR="007E3474" w:rsidRPr="007E147C" w:rsidRDefault="007E3474" w:rsidP="00E3426E">
            <w:pPr>
              <w:pStyle w:val="BodyText"/>
              <w:keepNext/>
              <w:rPr>
                <w:b/>
                <w:sz w:val="17"/>
                <w:szCs w:val="17"/>
              </w:rPr>
            </w:pPr>
            <w:r w:rsidRPr="007E147C">
              <w:rPr>
                <w:b/>
                <w:sz w:val="17"/>
                <w:szCs w:val="17"/>
              </w:rPr>
              <w:t>Objective</w:t>
            </w:r>
          </w:p>
        </w:tc>
        <w:tc>
          <w:tcPr>
            <w:tcW w:w="992" w:type="dxa"/>
          </w:tcPr>
          <w:p w:rsidR="007E3474" w:rsidRPr="007E147C" w:rsidRDefault="007E3474" w:rsidP="00E3426E">
            <w:pPr>
              <w:pStyle w:val="BodyText"/>
              <w:keepNext/>
              <w:rPr>
                <w:sz w:val="17"/>
                <w:szCs w:val="17"/>
              </w:rPr>
            </w:pPr>
            <w:r w:rsidRPr="007E147C">
              <w:rPr>
                <w:b/>
                <w:sz w:val="17"/>
                <w:szCs w:val="17"/>
              </w:rPr>
              <w:t>A$ million</w:t>
            </w:r>
          </w:p>
        </w:tc>
        <w:tc>
          <w:tcPr>
            <w:tcW w:w="1525" w:type="dxa"/>
          </w:tcPr>
          <w:p w:rsidR="007E3474" w:rsidRPr="007E147C" w:rsidRDefault="007E3474" w:rsidP="00E3426E">
            <w:pPr>
              <w:pStyle w:val="BodyText"/>
              <w:keepNext/>
              <w:rPr>
                <w:sz w:val="17"/>
                <w:szCs w:val="17"/>
              </w:rPr>
            </w:pPr>
            <w:r w:rsidRPr="007E147C">
              <w:rPr>
                <w:b/>
                <w:sz w:val="17"/>
                <w:szCs w:val="17"/>
              </w:rPr>
              <w:t>% of total ODA</w:t>
            </w:r>
          </w:p>
        </w:tc>
      </w:tr>
      <w:tr w:rsidR="007E3474" w:rsidRPr="00BE1DE7" w:rsidTr="007E147C">
        <w:trPr>
          <w:trHeight w:val="239"/>
        </w:trPr>
        <w:tc>
          <w:tcPr>
            <w:tcW w:w="6204" w:type="dxa"/>
          </w:tcPr>
          <w:p w:rsidR="007E3474" w:rsidRPr="007E147C" w:rsidRDefault="0068415C" w:rsidP="0068415C">
            <w:pPr>
              <w:pStyle w:val="BodyText"/>
              <w:keepNext/>
              <w:rPr>
                <w:b/>
                <w:i/>
                <w:sz w:val="17"/>
                <w:szCs w:val="17"/>
              </w:rPr>
            </w:pPr>
            <w:r>
              <w:rPr>
                <w:b/>
                <w:i/>
                <w:sz w:val="17"/>
                <w:szCs w:val="17"/>
              </w:rPr>
              <w:t>DFAT South Asia Regional Program</w:t>
            </w:r>
          </w:p>
        </w:tc>
        <w:tc>
          <w:tcPr>
            <w:tcW w:w="992" w:type="dxa"/>
          </w:tcPr>
          <w:p w:rsidR="007E3474" w:rsidRPr="007E147C" w:rsidRDefault="007E3474" w:rsidP="00E3426E">
            <w:pPr>
              <w:pStyle w:val="BodyText"/>
              <w:keepNext/>
              <w:rPr>
                <w:b/>
                <w:sz w:val="17"/>
                <w:szCs w:val="17"/>
              </w:rPr>
            </w:pPr>
          </w:p>
        </w:tc>
        <w:tc>
          <w:tcPr>
            <w:tcW w:w="1525" w:type="dxa"/>
          </w:tcPr>
          <w:p w:rsidR="007E3474" w:rsidRPr="007E147C" w:rsidRDefault="007E3474" w:rsidP="00E3426E">
            <w:pPr>
              <w:pStyle w:val="BodyText"/>
              <w:keepNext/>
              <w:rPr>
                <w:b/>
                <w:sz w:val="17"/>
                <w:szCs w:val="17"/>
              </w:rPr>
            </w:pPr>
          </w:p>
        </w:tc>
      </w:tr>
      <w:tr w:rsidR="007E3474" w:rsidRPr="00BE1DE7" w:rsidTr="00E3426E">
        <w:tc>
          <w:tcPr>
            <w:tcW w:w="6204" w:type="dxa"/>
          </w:tcPr>
          <w:p w:rsidR="007E3474" w:rsidRPr="007E147C" w:rsidRDefault="007E3474" w:rsidP="00E3426E">
            <w:pPr>
              <w:pStyle w:val="BodyText"/>
              <w:keepNext/>
              <w:spacing w:before="40" w:after="40"/>
              <w:rPr>
                <w:sz w:val="17"/>
                <w:szCs w:val="17"/>
              </w:rPr>
            </w:pPr>
            <w:r w:rsidRPr="007E147C">
              <w:rPr>
                <w:sz w:val="17"/>
                <w:szCs w:val="17"/>
              </w:rPr>
              <w:t>Objective 1: Sustainable development – water, food and energy security</w:t>
            </w:r>
          </w:p>
        </w:tc>
        <w:tc>
          <w:tcPr>
            <w:tcW w:w="992" w:type="dxa"/>
          </w:tcPr>
          <w:p w:rsidR="007E3474" w:rsidRPr="007E147C" w:rsidRDefault="007E3474" w:rsidP="00E3426E">
            <w:pPr>
              <w:pStyle w:val="BodyText"/>
              <w:keepNext/>
              <w:spacing w:before="40" w:after="40"/>
              <w:rPr>
                <w:sz w:val="17"/>
                <w:szCs w:val="17"/>
              </w:rPr>
            </w:pPr>
            <w:r w:rsidRPr="007E147C">
              <w:rPr>
                <w:sz w:val="17"/>
                <w:szCs w:val="17"/>
              </w:rPr>
              <w:t>13.5</w:t>
            </w:r>
          </w:p>
        </w:tc>
        <w:tc>
          <w:tcPr>
            <w:tcW w:w="1525" w:type="dxa"/>
          </w:tcPr>
          <w:p w:rsidR="007E3474" w:rsidRPr="007E147C" w:rsidRDefault="007E3474" w:rsidP="00E3426E">
            <w:pPr>
              <w:pStyle w:val="BodyText"/>
              <w:keepNext/>
              <w:spacing w:before="40" w:after="40"/>
              <w:rPr>
                <w:sz w:val="17"/>
                <w:szCs w:val="17"/>
              </w:rPr>
            </w:pPr>
            <w:r w:rsidRPr="007E147C">
              <w:rPr>
                <w:sz w:val="17"/>
                <w:szCs w:val="17"/>
              </w:rPr>
              <w:t>41.2</w:t>
            </w:r>
          </w:p>
        </w:tc>
      </w:tr>
      <w:tr w:rsidR="007E3474" w:rsidRPr="00BE1DE7" w:rsidTr="00E3426E">
        <w:tc>
          <w:tcPr>
            <w:tcW w:w="6204" w:type="dxa"/>
          </w:tcPr>
          <w:p w:rsidR="007E3474" w:rsidRPr="007E147C" w:rsidRDefault="007E3474" w:rsidP="00E3426E">
            <w:pPr>
              <w:pStyle w:val="BodyText"/>
              <w:keepNext/>
              <w:spacing w:before="40" w:after="40"/>
              <w:rPr>
                <w:sz w:val="17"/>
                <w:szCs w:val="17"/>
              </w:rPr>
            </w:pPr>
            <w:r w:rsidRPr="007E147C">
              <w:rPr>
                <w:sz w:val="17"/>
                <w:szCs w:val="17"/>
              </w:rPr>
              <w:t>Objective 2: Regional connectivity – infrastructure and trade</w:t>
            </w:r>
          </w:p>
        </w:tc>
        <w:tc>
          <w:tcPr>
            <w:tcW w:w="992" w:type="dxa"/>
          </w:tcPr>
          <w:p w:rsidR="007E3474" w:rsidRPr="007E147C" w:rsidRDefault="007E3474" w:rsidP="00E3426E">
            <w:pPr>
              <w:pStyle w:val="BodyText"/>
              <w:keepNext/>
              <w:spacing w:before="40" w:after="40"/>
              <w:rPr>
                <w:sz w:val="17"/>
                <w:szCs w:val="17"/>
              </w:rPr>
            </w:pPr>
            <w:r w:rsidRPr="007E147C">
              <w:rPr>
                <w:sz w:val="17"/>
                <w:szCs w:val="17"/>
              </w:rPr>
              <w:t>8.6</w:t>
            </w:r>
          </w:p>
        </w:tc>
        <w:tc>
          <w:tcPr>
            <w:tcW w:w="1525" w:type="dxa"/>
          </w:tcPr>
          <w:p w:rsidR="007E3474" w:rsidRPr="007E147C" w:rsidRDefault="007E3474" w:rsidP="00E3426E">
            <w:pPr>
              <w:pStyle w:val="BodyText"/>
              <w:keepNext/>
              <w:spacing w:before="40" w:after="40"/>
              <w:rPr>
                <w:sz w:val="17"/>
                <w:szCs w:val="17"/>
              </w:rPr>
            </w:pPr>
            <w:r w:rsidRPr="007E147C">
              <w:rPr>
                <w:sz w:val="17"/>
                <w:szCs w:val="17"/>
              </w:rPr>
              <w:t>26.2</w:t>
            </w:r>
          </w:p>
        </w:tc>
      </w:tr>
      <w:tr w:rsidR="007E3474" w:rsidRPr="00BE1DE7" w:rsidTr="00E3426E">
        <w:tc>
          <w:tcPr>
            <w:tcW w:w="6204" w:type="dxa"/>
          </w:tcPr>
          <w:p w:rsidR="007E3474" w:rsidRPr="007E147C" w:rsidRDefault="007E3474" w:rsidP="00E3426E">
            <w:pPr>
              <w:pStyle w:val="BodyText"/>
              <w:keepNext/>
              <w:spacing w:before="40" w:after="40"/>
              <w:rPr>
                <w:color w:val="000000" w:themeColor="text1" w:themeShade="BF"/>
                <w:sz w:val="17"/>
                <w:szCs w:val="17"/>
                <w:highlight w:val="yellow"/>
              </w:rPr>
            </w:pPr>
            <w:r w:rsidRPr="007E147C">
              <w:rPr>
                <w:sz w:val="17"/>
                <w:szCs w:val="17"/>
              </w:rPr>
              <w:t xml:space="preserve">Other </w:t>
            </w:r>
            <w:r w:rsidR="00057FB2">
              <w:rPr>
                <w:sz w:val="17"/>
                <w:szCs w:val="17"/>
              </w:rPr>
              <w:t xml:space="preserve">- </w:t>
            </w:r>
            <w:r w:rsidRPr="007E147C">
              <w:rPr>
                <w:sz w:val="17"/>
                <w:szCs w:val="17"/>
              </w:rPr>
              <w:t>cross cutting, legacy programs and management costs</w:t>
            </w:r>
          </w:p>
        </w:tc>
        <w:tc>
          <w:tcPr>
            <w:tcW w:w="992" w:type="dxa"/>
          </w:tcPr>
          <w:p w:rsidR="007E3474" w:rsidRPr="007E147C" w:rsidRDefault="007E3474" w:rsidP="00E3426E">
            <w:pPr>
              <w:pStyle w:val="BodyText"/>
              <w:keepNext/>
              <w:spacing w:before="40" w:after="40"/>
              <w:rPr>
                <w:sz w:val="17"/>
                <w:szCs w:val="17"/>
              </w:rPr>
            </w:pPr>
            <w:r w:rsidRPr="007E147C">
              <w:rPr>
                <w:sz w:val="17"/>
                <w:szCs w:val="17"/>
              </w:rPr>
              <w:t>2.3</w:t>
            </w:r>
          </w:p>
        </w:tc>
        <w:tc>
          <w:tcPr>
            <w:tcW w:w="1525" w:type="dxa"/>
          </w:tcPr>
          <w:p w:rsidR="007E3474" w:rsidRPr="007E147C" w:rsidRDefault="007E3474" w:rsidP="00E3426E">
            <w:pPr>
              <w:pStyle w:val="BodyText"/>
              <w:keepNext/>
              <w:spacing w:before="40" w:after="40"/>
              <w:rPr>
                <w:sz w:val="17"/>
                <w:szCs w:val="17"/>
              </w:rPr>
            </w:pPr>
            <w:r w:rsidRPr="007E147C">
              <w:rPr>
                <w:sz w:val="17"/>
                <w:szCs w:val="17"/>
              </w:rPr>
              <w:t>7</w:t>
            </w:r>
          </w:p>
        </w:tc>
      </w:tr>
      <w:tr w:rsidR="007E3474" w:rsidRPr="00BE1DE7" w:rsidTr="00E3426E">
        <w:tc>
          <w:tcPr>
            <w:tcW w:w="6204" w:type="dxa"/>
          </w:tcPr>
          <w:p w:rsidR="007E3474" w:rsidRPr="007E147C" w:rsidRDefault="007E3474" w:rsidP="0068415C">
            <w:pPr>
              <w:pStyle w:val="BodyText"/>
              <w:keepNext/>
              <w:rPr>
                <w:b/>
                <w:sz w:val="17"/>
                <w:szCs w:val="17"/>
              </w:rPr>
            </w:pPr>
            <w:r w:rsidRPr="007E147C">
              <w:rPr>
                <w:b/>
                <w:sz w:val="17"/>
                <w:szCs w:val="17"/>
              </w:rPr>
              <w:t xml:space="preserve">Sub-Total </w:t>
            </w:r>
            <w:r w:rsidR="0068415C">
              <w:rPr>
                <w:b/>
                <w:sz w:val="17"/>
                <w:szCs w:val="17"/>
              </w:rPr>
              <w:t>DFAT South Asia Regional Program</w:t>
            </w:r>
          </w:p>
        </w:tc>
        <w:tc>
          <w:tcPr>
            <w:tcW w:w="992" w:type="dxa"/>
          </w:tcPr>
          <w:p w:rsidR="007E3474" w:rsidRPr="007E147C" w:rsidRDefault="007E3474" w:rsidP="00E3426E">
            <w:pPr>
              <w:pStyle w:val="BodyText"/>
              <w:keepNext/>
              <w:rPr>
                <w:sz w:val="17"/>
                <w:szCs w:val="17"/>
              </w:rPr>
            </w:pPr>
            <w:r w:rsidRPr="007E147C">
              <w:rPr>
                <w:sz w:val="17"/>
                <w:szCs w:val="17"/>
              </w:rPr>
              <w:t>24.4</w:t>
            </w:r>
          </w:p>
        </w:tc>
        <w:tc>
          <w:tcPr>
            <w:tcW w:w="1525" w:type="dxa"/>
          </w:tcPr>
          <w:p w:rsidR="007E3474" w:rsidRPr="007E147C" w:rsidRDefault="007E3474" w:rsidP="00E3426E">
            <w:pPr>
              <w:pStyle w:val="BodyText"/>
              <w:keepNext/>
              <w:rPr>
                <w:sz w:val="17"/>
                <w:szCs w:val="17"/>
              </w:rPr>
            </w:pPr>
            <w:r w:rsidRPr="007E147C">
              <w:rPr>
                <w:sz w:val="17"/>
                <w:szCs w:val="17"/>
              </w:rPr>
              <w:t>74.4</w:t>
            </w:r>
          </w:p>
        </w:tc>
      </w:tr>
      <w:tr w:rsidR="007E3474" w:rsidRPr="00BE1DE7" w:rsidTr="00E3426E">
        <w:tc>
          <w:tcPr>
            <w:tcW w:w="6204" w:type="dxa"/>
          </w:tcPr>
          <w:p w:rsidR="007E3474" w:rsidRPr="007E147C" w:rsidRDefault="007E147C" w:rsidP="00E3426E">
            <w:pPr>
              <w:pStyle w:val="BodyText"/>
              <w:keepNext/>
              <w:spacing w:before="40" w:after="40"/>
              <w:rPr>
                <w:sz w:val="17"/>
                <w:szCs w:val="17"/>
              </w:rPr>
            </w:pPr>
            <w:r>
              <w:rPr>
                <w:sz w:val="17"/>
                <w:szCs w:val="17"/>
              </w:rPr>
              <w:t xml:space="preserve">Other </w:t>
            </w:r>
            <w:r w:rsidR="007E3474" w:rsidRPr="007E147C">
              <w:rPr>
                <w:sz w:val="17"/>
                <w:szCs w:val="17"/>
              </w:rPr>
              <w:t>Regional and Global</w:t>
            </w:r>
            <w:r>
              <w:rPr>
                <w:sz w:val="17"/>
                <w:szCs w:val="17"/>
              </w:rPr>
              <w:t xml:space="preserve"> Flows</w:t>
            </w:r>
          </w:p>
        </w:tc>
        <w:tc>
          <w:tcPr>
            <w:tcW w:w="992" w:type="dxa"/>
          </w:tcPr>
          <w:p w:rsidR="007E3474" w:rsidRPr="007E147C" w:rsidRDefault="007E3474" w:rsidP="00E3426E">
            <w:pPr>
              <w:pStyle w:val="BodyText"/>
              <w:keepNext/>
              <w:spacing w:before="40" w:after="40"/>
              <w:rPr>
                <w:sz w:val="17"/>
                <w:szCs w:val="17"/>
              </w:rPr>
            </w:pPr>
            <w:r w:rsidRPr="007E147C">
              <w:rPr>
                <w:sz w:val="17"/>
                <w:szCs w:val="17"/>
              </w:rPr>
              <w:t>4.1</w:t>
            </w:r>
          </w:p>
        </w:tc>
        <w:tc>
          <w:tcPr>
            <w:tcW w:w="1525" w:type="dxa"/>
          </w:tcPr>
          <w:p w:rsidR="007E3474" w:rsidRPr="007E147C" w:rsidRDefault="007E3474" w:rsidP="00E3426E">
            <w:pPr>
              <w:pStyle w:val="BodyText"/>
              <w:keepNext/>
              <w:spacing w:before="40" w:after="40"/>
              <w:rPr>
                <w:sz w:val="17"/>
                <w:szCs w:val="17"/>
              </w:rPr>
            </w:pPr>
            <w:r w:rsidRPr="007E147C">
              <w:rPr>
                <w:sz w:val="17"/>
                <w:szCs w:val="17"/>
              </w:rPr>
              <w:t>12.5</w:t>
            </w:r>
          </w:p>
        </w:tc>
      </w:tr>
      <w:tr w:rsidR="007E3474" w:rsidRPr="00BE1DE7" w:rsidTr="00E3426E">
        <w:tc>
          <w:tcPr>
            <w:tcW w:w="6204" w:type="dxa"/>
          </w:tcPr>
          <w:p w:rsidR="007E3474" w:rsidRPr="007E147C" w:rsidRDefault="007E3474" w:rsidP="00E3426E">
            <w:pPr>
              <w:pStyle w:val="BodyText"/>
              <w:keepNext/>
              <w:spacing w:before="40" w:after="40"/>
              <w:rPr>
                <w:sz w:val="17"/>
                <w:szCs w:val="17"/>
              </w:rPr>
            </w:pPr>
            <w:r w:rsidRPr="007E147C">
              <w:rPr>
                <w:sz w:val="17"/>
                <w:szCs w:val="17"/>
              </w:rPr>
              <w:t>Other Government Departments</w:t>
            </w:r>
          </w:p>
        </w:tc>
        <w:tc>
          <w:tcPr>
            <w:tcW w:w="992" w:type="dxa"/>
          </w:tcPr>
          <w:p w:rsidR="007E3474" w:rsidRPr="007E147C" w:rsidRDefault="007E3474" w:rsidP="00E3426E">
            <w:pPr>
              <w:pStyle w:val="BodyText"/>
              <w:keepNext/>
              <w:spacing w:before="40" w:after="40"/>
              <w:rPr>
                <w:sz w:val="17"/>
                <w:szCs w:val="17"/>
              </w:rPr>
            </w:pPr>
            <w:r w:rsidRPr="007E147C">
              <w:rPr>
                <w:sz w:val="17"/>
                <w:szCs w:val="17"/>
              </w:rPr>
              <w:t>4.3</w:t>
            </w:r>
          </w:p>
        </w:tc>
        <w:tc>
          <w:tcPr>
            <w:tcW w:w="1525" w:type="dxa"/>
          </w:tcPr>
          <w:p w:rsidR="007E3474" w:rsidRPr="007E147C" w:rsidRDefault="007E3474" w:rsidP="00E3426E">
            <w:pPr>
              <w:pStyle w:val="BodyText"/>
              <w:keepNext/>
              <w:spacing w:before="40" w:after="40"/>
              <w:rPr>
                <w:sz w:val="17"/>
                <w:szCs w:val="17"/>
              </w:rPr>
            </w:pPr>
            <w:r w:rsidRPr="007E147C">
              <w:rPr>
                <w:sz w:val="17"/>
                <w:szCs w:val="17"/>
              </w:rPr>
              <w:t>13.1</w:t>
            </w:r>
          </w:p>
        </w:tc>
      </w:tr>
      <w:tr w:rsidR="007E3474" w:rsidRPr="00BE1DE7" w:rsidTr="00E3426E">
        <w:tc>
          <w:tcPr>
            <w:tcW w:w="6204" w:type="dxa"/>
          </w:tcPr>
          <w:p w:rsidR="007E3474" w:rsidRPr="007E147C" w:rsidRDefault="007E3474" w:rsidP="00E3426E">
            <w:pPr>
              <w:pStyle w:val="BodyText"/>
              <w:keepNext/>
              <w:rPr>
                <w:b/>
                <w:sz w:val="17"/>
                <w:szCs w:val="17"/>
              </w:rPr>
            </w:pPr>
            <w:r w:rsidRPr="007E147C">
              <w:rPr>
                <w:b/>
                <w:sz w:val="17"/>
                <w:szCs w:val="17"/>
              </w:rPr>
              <w:t>Total ODA Expenditure</w:t>
            </w:r>
          </w:p>
        </w:tc>
        <w:tc>
          <w:tcPr>
            <w:tcW w:w="992" w:type="dxa"/>
          </w:tcPr>
          <w:p w:rsidR="007E3474" w:rsidRPr="007E147C" w:rsidRDefault="007E3474" w:rsidP="00E3426E">
            <w:pPr>
              <w:pStyle w:val="BodyText"/>
              <w:keepNext/>
              <w:rPr>
                <w:sz w:val="17"/>
                <w:szCs w:val="17"/>
              </w:rPr>
            </w:pPr>
            <w:r w:rsidRPr="00BE1DE7">
              <w:rPr>
                <w:sz w:val="17"/>
                <w:szCs w:val="17"/>
              </w:rPr>
              <w:t>32.8</w:t>
            </w:r>
          </w:p>
        </w:tc>
        <w:tc>
          <w:tcPr>
            <w:tcW w:w="1525" w:type="dxa"/>
          </w:tcPr>
          <w:p w:rsidR="007E3474" w:rsidRPr="00BE1DE7" w:rsidRDefault="007E3474" w:rsidP="00E3426E">
            <w:pPr>
              <w:pStyle w:val="BodyText"/>
              <w:keepNext/>
              <w:rPr>
                <w:sz w:val="17"/>
                <w:szCs w:val="17"/>
              </w:rPr>
            </w:pPr>
          </w:p>
        </w:tc>
      </w:tr>
    </w:tbl>
    <w:p w:rsidR="000D733F" w:rsidRPr="00E91188" w:rsidRDefault="00511A0F" w:rsidP="00511A0F">
      <w:pPr>
        <w:pStyle w:val="Heading2"/>
        <w:rPr>
          <w:sz w:val="28"/>
        </w:rPr>
      </w:pPr>
      <w:r w:rsidRPr="00E91188">
        <w:rPr>
          <w:sz w:val="28"/>
        </w:rPr>
        <w:t xml:space="preserve">Progress </w:t>
      </w:r>
      <w:r w:rsidR="00E15678" w:rsidRPr="00E91188">
        <w:rPr>
          <w:sz w:val="28"/>
        </w:rPr>
        <w:t>towards</w:t>
      </w:r>
      <w:r w:rsidRPr="00E91188">
        <w:rPr>
          <w:sz w:val="28"/>
        </w:rPr>
        <w:t xml:space="preserve"> O</w:t>
      </w:r>
      <w:r w:rsidR="000D733F" w:rsidRPr="00E91188">
        <w:rPr>
          <w:sz w:val="28"/>
        </w:rPr>
        <w:t>bjectives</w:t>
      </w:r>
      <w:r w:rsidR="000D733F" w:rsidRPr="00E91188">
        <w:rPr>
          <w:sz w:val="28"/>
        </w:rPr>
        <w:tab/>
      </w:r>
    </w:p>
    <w:p w:rsidR="00A95565" w:rsidRPr="00657D62" w:rsidRDefault="00A95565" w:rsidP="00A95565">
      <w:pPr>
        <w:pStyle w:val="ListBullet"/>
        <w:numPr>
          <w:ilvl w:val="0"/>
          <w:numId w:val="0"/>
        </w:numPr>
        <w:rPr>
          <w:rFonts w:asciiTheme="minorHAnsi" w:hAnsiTheme="minorHAnsi" w:cstheme="minorHAnsi"/>
          <w:sz w:val="22"/>
          <w:szCs w:val="22"/>
          <w:lang w:val="en-US"/>
        </w:rPr>
      </w:pPr>
      <w:r w:rsidRPr="00E91188">
        <w:t xml:space="preserve">Overall, progress towards the South Asia Regional program’s two key objectives in 2014-15 was as expected and demonstrated an improvement in performance since 2013-14.  </w:t>
      </w:r>
      <w:r w:rsidR="007E147C">
        <w:t>Progress was also made in the area of g</w:t>
      </w:r>
      <w:r>
        <w:t>ender equality a</w:t>
      </w:r>
      <w:r w:rsidR="007E147C">
        <w:t>s</w:t>
      </w:r>
      <w:r>
        <w:t xml:space="preserve"> </w:t>
      </w:r>
      <w:r w:rsidR="00E55521">
        <w:t xml:space="preserve">a </w:t>
      </w:r>
      <w:r w:rsidRPr="00A95565">
        <w:t xml:space="preserve">focus </w:t>
      </w:r>
      <w:r w:rsidR="00E55521">
        <w:t>of</w:t>
      </w:r>
      <w:r w:rsidRPr="00A95565">
        <w:t xml:space="preserve"> both objectives.</w:t>
      </w:r>
      <w:r w:rsidR="00DA3A15">
        <w:t xml:space="preserve">  </w:t>
      </w:r>
      <w:r w:rsidR="00DA3A15" w:rsidRPr="00991191">
        <w:t>As for the previous year’s APPR,</w:t>
      </w:r>
      <w:r w:rsidR="00657D62" w:rsidRPr="00991191">
        <w:t xml:space="preserve"> ‘legacy’</w:t>
      </w:r>
      <w:r w:rsidR="00DA3A15" w:rsidRPr="00991191">
        <w:t xml:space="preserve"> investments not aligned with the regional program’s two objectives </w:t>
      </w:r>
      <w:r w:rsidR="00DA3A15" w:rsidRPr="00991191">
        <w:rPr>
          <w:lang w:val="en-US"/>
        </w:rPr>
        <w:t>are not covered in detail in this document</w:t>
      </w:r>
      <w:r w:rsidR="00657D62" w:rsidRPr="00991191">
        <w:t>.  Progress of these investments is described under ‘Analysis of AQCs’</w:t>
      </w:r>
      <w:r w:rsidR="00391E22" w:rsidRPr="00991191">
        <w:t>.</w:t>
      </w:r>
    </w:p>
    <w:p w:rsidR="005901D2" w:rsidRPr="00E91188" w:rsidRDefault="005901D2" w:rsidP="005901D2">
      <w:pPr>
        <w:pStyle w:val="Caption"/>
      </w:pPr>
    </w:p>
    <w:p w:rsidR="000D733F" w:rsidRPr="00E91188" w:rsidRDefault="000D733F" w:rsidP="005901D2">
      <w:pPr>
        <w:pStyle w:val="Caption"/>
      </w:pPr>
      <w:r w:rsidRPr="00E91188">
        <w:t xml:space="preserve">Table </w:t>
      </w:r>
      <w:fldSimple w:instr=" SEQ Table \* ARABIC ">
        <w:r w:rsidR="00AC4A41">
          <w:rPr>
            <w:noProof/>
          </w:rPr>
          <w:t>2</w:t>
        </w:r>
      </w:fldSimple>
      <w:r w:rsidR="00582C22" w:rsidRPr="00E91188">
        <w:t xml:space="preserve"> Rating of the Program's P</w:t>
      </w:r>
      <w:r w:rsidRPr="00E91188">
        <w:t xml:space="preserve">rogress towards Australia’s </w:t>
      </w:r>
      <w:r w:rsidR="00582C22" w:rsidRPr="00E91188">
        <w:t>A</w:t>
      </w:r>
      <w:r w:rsidR="00D206B3" w:rsidRPr="00E91188">
        <w:t xml:space="preserve">id </w:t>
      </w:r>
      <w:r w:rsidR="00582C22" w:rsidRPr="00E91188">
        <w:t>O</w:t>
      </w:r>
      <w:r w:rsidRPr="00E91188">
        <w:t>bjectives</w:t>
      </w:r>
    </w:p>
    <w:tbl>
      <w:tblPr>
        <w:tblStyle w:val="APPR"/>
        <w:tblW w:w="5000" w:type="pct"/>
        <w:tblLook w:val="0000" w:firstRow="0" w:lastRow="0" w:firstColumn="0" w:lastColumn="0" w:noHBand="0" w:noVBand="0"/>
      </w:tblPr>
      <w:tblGrid>
        <w:gridCol w:w="6234"/>
        <w:gridCol w:w="1026"/>
        <w:gridCol w:w="426"/>
        <w:gridCol w:w="1091"/>
      </w:tblGrid>
      <w:tr w:rsidR="000D733F" w:rsidRPr="00E91188" w:rsidTr="008D0648">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0D733F" w:rsidRPr="00E91188" w:rsidRDefault="000D733F" w:rsidP="000D733F">
            <w:pPr>
              <w:pStyle w:val="TableTextColumnHeading"/>
            </w:pPr>
            <w:r w:rsidRPr="00E91188">
              <w:rPr>
                <w:noProof/>
                <w:lang w:eastAsia="en-AU"/>
              </w:rPr>
              <w:drawing>
                <wp:anchor distT="0" distB="0" distL="114300" distR="114300" simplePos="0" relativeHeight="251663360" behindDoc="0" locked="0" layoutInCell="1" allowOverlap="1" wp14:anchorId="192BB83C" wp14:editId="3D47A106">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188">
              <w:t>Objective</w:t>
            </w:r>
          </w:p>
        </w:tc>
        <w:tc>
          <w:tcPr>
            <w:tcW w:w="998" w:type="dxa"/>
          </w:tcPr>
          <w:p w:rsidR="000D733F" w:rsidRPr="00E91188" w:rsidRDefault="004F4630" w:rsidP="000D733F">
            <w:pPr>
              <w:pStyle w:val="TableTextColumnHeading"/>
            </w:pPr>
            <w:r w:rsidRPr="00E91188">
              <w:t>Previous Rating</w:t>
            </w:r>
          </w:p>
        </w:tc>
        <w:tc>
          <w:tcPr>
            <w:tcW w:w="398" w:type="dxa"/>
          </w:tcPr>
          <w:p w:rsidR="000D733F" w:rsidRPr="00E91188" w:rsidRDefault="000D733F" w:rsidP="000D733F">
            <w:pPr>
              <w:pStyle w:val="TableTextColumnHeading"/>
            </w:pPr>
          </w:p>
        </w:tc>
        <w:tc>
          <w:tcPr>
            <w:tcW w:w="1049" w:type="dxa"/>
          </w:tcPr>
          <w:p w:rsidR="000D733F" w:rsidRPr="00E91188" w:rsidRDefault="004F4630" w:rsidP="000D733F">
            <w:pPr>
              <w:pStyle w:val="TableTextColumnHeading"/>
            </w:pPr>
            <w:r w:rsidRPr="00E91188">
              <w:t>Current Rating</w:t>
            </w:r>
          </w:p>
        </w:tc>
      </w:tr>
      <w:tr w:rsidR="008D0648" w:rsidRPr="00E91188" w:rsidTr="008D0648">
        <w:trPr>
          <w:cnfStyle w:val="000000010000" w:firstRow="0" w:lastRow="0" w:firstColumn="0" w:lastColumn="0" w:oddVBand="0" w:evenVBand="0" w:oddHBand="0" w:evenHBand="1" w:firstRowFirstColumn="0" w:firstRowLastColumn="0" w:lastRowFirstColumn="0" w:lastRowLastColumn="0"/>
        </w:trPr>
        <w:tc>
          <w:tcPr>
            <w:tcW w:w="6192" w:type="dxa"/>
          </w:tcPr>
          <w:p w:rsidR="008D0648" w:rsidRPr="00E91188" w:rsidRDefault="008D0648" w:rsidP="000D733F">
            <w:pPr>
              <w:pStyle w:val="TableTextEntries"/>
            </w:pPr>
            <w:r w:rsidRPr="00E91188">
              <w:t>Objective 1</w:t>
            </w:r>
          </w:p>
          <w:p w:rsidR="008D0648" w:rsidRPr="00E91188" w:rsidRDefault="008D0648" w:rsidP="000D733F">
            <w:pPr>
              <w:pStyle w:val="TableTextEntries"/>
            </w:pPr>
            <w:r w:rsidRPr="00E91188">
              <w:t>Sustainable development – water, food and energy security</w:t>
            </w:r>
          </w:p>
        </w:tc>
        <w:tc>
          <w:tcPr>
            <w:tcW w:w="998" w:type="dxa"/>
            <w:shd w:val="clear" w:color="auto" w:fill="72AF2F"/>
            <w:noWrap/>
          </w:tcPr>
          <w:p w:rsidR="008D0648" w:rsidRPr="00E91188" w:rsidRDefault="008D0648" w:rsidP="000D733F">
            <w:pPr>
              <w:pStyle w:val="TableTextEntries"/>
              <w:jc w:val="center"/>
              <w:rPr>
                <w:color w:val="FFFFFF" w:themeColor="background1"/>
              </w:rPr>
            </w:pPr>
            <w:r w:rsidRPr="00E91188">
              <w:rPr>
                <w:color w:val="FFFFFF" w:themeColor="background1"/>
              </w:rPr>
              <w:t>Green</w:t>
            </w:r>
          </w:p>
        </w:tc>
        <w:tc>
          <w:tcPr>
            <w:tcW w:w="398" w:type="dxa"/>
          </w:tcPr>
          <w:p w:rsidR="008D0648" w:rsidRPr="00E91188" w:rsidRDefault="008D0648" w:rsidP="000D733F">
            <w:pPr>
              <w:pStyle w:val="TableTextEntries"/>
              <w:jc w:val="center"/>
              <w:rPr>
                <w:color w:val="FFFFFF" w:themeColor="background1"/>
              </w:rPr>
            </w:pPr>
          </w:p>
        </w:tc>
        <w:tc>
          <w:tcPr>
            <w:tcW w:w="1049" w:type="dxa"/>
            <w:shd w:val="clear" w:color="auto" w:fill="72AF2F"/>
            <w:noWrap/>
          </w:tcPr>
          <w:p w:rsidR="008D0648" w:rsidRPr="00E91188" w:rsidRDefault="008D0648" w:rsidP="008D0648">
            <w:pPr>
              <w:pStyle w:val="TableTextEntries"/>
              <w:jc w:val="center"/>
              <w:rPr>
                <w:color w:val="FFFFFF" w:themeColor="background1"/>
              </w:rPr>
            </w:pPr>
            <w:r w:rsidRPr="00E91188">
              <w:rPr>
                <w:color w:val="FFFFFF" w:themeColor="background1"/>
              </w:rPr>
              <w:t>Green</w:t>
            </w:r>
          </w:p>
        </w:tc>
      </w:tr>
      <w:tr w:rsidR="008D0648" w:rsidRPr="00E91188" w:rsidTr="008359D7">
        <w:trPr>
          <w:cnfStyle w:val="000000010000" w:firstRow="0" w:lastRow="0" w:firstColumn="0" w:lastColumn="0" w:oddVBand="0" w:evenVBand="0" w:oddHBand="0" w:evenHBand="1" w:firstRowFirstColumn="0" w:firstRowLastColumn="0" w:lastRowFirstColumn="0" w:lastRowLastColumn="0"/>
        </w:trPr>
        <w:tc>
          <w:tcPr>
            <w:tcW w:w="6192" w:type="dxa"/>
          </w:tcPr>
          <w:p w:rsidR="008D0648" w:rsidRPr="00E91188" w:rsidRDefault="008D0648" w:rsidP="000D733F">
            <w:pPr>
              <w:pStyle w:val="TableTextEntries"/>
            </w:pPr>
            <w:r w:rsidRPr="00E91188">
              <w:t>Objective 2</w:t>
            </w:r>
          </w:p>
          <w:p w:rsidR="008D0648" w:rsidRPr="00E91188" w:rsidRDefault="008D0648" w:rsidP="000D733F">
            <w:pPr>
              <w:pStyle w:val="TableTextEntries"/>
            </w:pPr>
            <w:r w:rsidRPr="00E91188">
              <w:t>Regional connectivity – infrastructure and trade</w:t>
            </w:r>
          </w:p>
        </w:tc>
        <w:tc>
          <w:tcPr>
            <w:tcW w:w="998" w:type="dxa"/>
            <w:shd w:val="clear" w:color="auto" w:fill="E36C0A"/>
            <w:noWrap/>
          </w:tcPr>
          <w:p w:rsidR="008D0648" w:rsidRPr="00E91188" w:rsidRDefault="008359D7" w:rsidP="000D733F">
            <w:pPr>
              <w:pStyle w:val="TableTextEntries"/>
              <w:jc w:val="center"/>
              <w:rPr>
                <w:color w:val="FFFFFF" w:themeColor="background1"/>
              </w:rPr>
            </w:pPr>
            <w:r w:rsidRPr="00E91188">
              <w:rPr>
                <w:color w:val="FFFFFF" w:themeColor="background1"/>
              </w:rPr>
              <w:t>Amber</w:t>
            </w:r>
          </w:p>
        </w:tc>
        <w:tc>
          <w:tcPr>
            <w:tcW w:w="398" w:type="dxa"/>
          </w:tcPr>
          <w:p w:rsidR="008D0648" w:rsidRPr="00E91188" w:rsidRDefault="008D0648" w:rsidP="000D733F">
            <w:pPr>
              <w:pStyle w:val="TableTextEntries"/>
              <w:jc w:val="center"/>
              <w:rPr>
                <w:color w:val="FFFFFF" w:themeColor="background1"/>
              </w:rPr>
            </w:pPr>
          </w:p>
        </w:tc>
        <w:tc>
          <w:tcPr>
            <w:tcW w:w="1049" w:type="dxa"/>
            <w:tcBorders>
              <w:bottom w:val="single" w:sz="12" w:space="0" w:color="000000" w:themeColor="text1"/>
            </w:tcBorders>
            <w:shd w:val="clear" w:color="auto" w:fill="72AF2F"/>
            <w:noWrap/>
          </w:tcPr>
          <w:p w:rsidR="008D0648" w:rsidRPr="00E91188" w:rsidRDefault="005B03FE" w:rsidP="000D733F">
            <w:pPr>
              <w:pStyle w:val="TableTextEntries"/>
              <w:jc w:val="center"/>
              <w:rPr>
                <w:color w:val="FFFFFF" w:themeColor="background1"/>
              </w:rPr>
            </w:pPr>
            <w:r w:rsidRPr="00E91188">
              <w:rPr>
                <w:color w:val="FFFFFF" w:themeColor="background1"/>
              </w:rPr>
              <w:t>Green</w:t>
            </w:r>
          </w:p>
        </w:tc>
      </w:tr>
    </w:tbl>
    <w:p w:rsidR="000D733F" w:rsidRPr="00E91188" w:rsidRDefault="000D733F" w:rsidP="00582C22">
      <w:pPr>
        <w:pStyle w:val="Note"/>
      </w:pPr>
      <w:r w:rsidRPr="00E91188">
        <w:t xml:space="preserve">Note: </w:t>
      </w:r>
    </w:p>
    <w:p w:rsidR="000D733F" w:rsidRPr="00E91188" w:rsidRDefault="000D733F" w:rsidP="00582C22">
      <w:pPr>
        <w:pStyle w:val="Note"/>
      </w:pPr>
      <w:r w:rsidRPr="00E91188">
        <w:rPr>
          <w:color w:val="72AF2F"/>
        </w:rPr>
        <w:sym w:font="Webdings" w:char="F067"/>
      </w:r>
      <w:r w:rsidRPr="00E91188">
        <w:t> </w:t>
      </w:r>
      <w:r w:rsidRPr="00E91188">
        <w:t xml:space="preserve"> Green. Progress is as expected </w:t>
      </w:r>
      <w:r w:rsidR="00581979" w:rsidRPr="00E91188">
        <w:t xml:space="preserve">at this stage of implementation </w:t>
      </w:r>
      <w:r w:rsidRPr="00E91188">
        <w:t>and it is likely that the objective will be achieved. Standard program management practices are sufficient.</w:t>
      </w:r>
    </w:p>
    <w:p w:rsidR="000D733F" w:rsidRPr="00E91188" w:rsidRDefault="000D733F" w:rsidP="00582C22">
      <w:pPr>
        <w:pStyle w:val="Note"/>
      </w:pPr>
      <w:r w:rsidRPr="00E91188">
        <w:rPr>
          <w:color w:val="E36C0A"/>
        </w:rPr>
        <w:sym w:font="Webdings" w:char="F067"/>
      </w:r>
      <w:r w:rsidRPr="00E91188">
        <w:t> </w:t>
      </w:r>
      <w:r w:rsidRPr="00E91188">
        <w:t xml:space="preserve"> Amber. Progress is somewhat less than expected </w:t>
      </w:r>
      <w:r w:rsidR="00581979" w:rsidRPr="00E91188">
        <w:t xml:space="preserve">at this stage of implementation </w:t>
      </w:r>
      <w:r w:rsidRPr="00E91188">
        <w:t>and restorative action will be necessary if the objective is to be achieved. Close performance monitoring is recommended.</w:t>
      </w:r>
    </w:p>
    <w:p w:rsidR="000D733F" w:rsidRPr="00E91188" w:rsidRDefault="000D733F" w:rsidP="00582C22">
      <w:pPr>
        <w:pStyle w:val="Note"/>
      </w:pPr>
      <w:r w:rsidRPr="00E91188">
        <w:rPr>
          <w:color w:val="FF0000"/>
        </w:rPr>
        <w:sym w:font="Webdings" w:char="F067"/>
      </w:r>
      <w:r w:rsidRPr="00E91188">
        <w:t> </w:t>
      </w:r>
      <w:r w:rsidRPr="00E91188">
        <w:t xml:space="preserve"> Red. Progress is significantly less than expected </w:t>
      </w:r>
      <w:r w:rsidR="00581979" w:rsidRPr="00E91188">
        <w:t xml:space="preserve">at this stage of implementation </w:t>
      </w:r>
      <w:r w:rsidRPr="00E91188">
        <w:t>and the objective is not likely to be met given available resources and priorities. Recasting the objective may be required.</w:t>
      </w:r>
    </w:p>
    <w:p w:rsidR="000D733F" w:rsidRPr="00E91188" w:rsidRDefault="000D733F" w:rsidP="00582C22">
      <w:pPr>
        <w:pStyle w:val="Note"/>
      </w:pPr>
      <w:r w:rsidRPr="00E91188">
        <w:t xml:space="preserve">Reporting period:  </w:t>
      </w:r>
      <w:r w:rsidR="008D0648" w:rsidRPr="00E91188">
        <w:t>July 2014-June 2015</w:t>
      </w:r>
    </w:p>
    <w:p w:rsidR="000D733F" w:rsidRPr="00E91188" w:rsidRDefault="000D733F">
      <w:pPr>
        <w:rPr>
          <w:rFonts w:ascii="Helvetica" w:hAnsi="Helvetica" w:cs="Arial"/>
          <w:color w:val="0C7DAF"/>
          <w:kern w:val="28"/>
          <w:szCs w:val="28"/>
        </w:rPr>
      </w:pPr>
    </w:p>
    <w:p w:rsidR="00992F9C" w:rsidRDefault="00992F9C">
      <w:pPr>
        <w:spacing w:after="200" w:line="276" w:lineRule="auto"/>
        <w:rPr>
          <w:rFonts w:ascii="Helvetica" w:eastAsia="Times New Roman" w:hAnsi="Helvetica" w:cs="Arial"/>
          <w:b/>
          <w:color w:val="124486"/>
          <w:kern w:val="28"/>
          <w:sz w:val="22"/>
          <w:szCs w:val="22"/>
          <w:lang w:eastAsia="zh-CN"/>
        </w:rPr>
      </w:pPr>
      <w:r>
        <w:br w:type="page"/>
      </w:r>
    </w:p>
    <w:p w:rsidR="000D733F" w:rsidRPr="00E91188" w:rsidRDefault="008D0648" w:rsidP="00511A0F">
      <w:pPr>
        <w:pStyle w:val="Heading3"/>
      </w:pPr>
      <w:r w:rsidRPr="00E91188">
        <w:lastRenderedPageBreak/>
        <w:t>Objective 1</w:t>
      </w:r>
      <w:r w:rsidR="00AE7F55" w:rsidRPr="00E91188">
        <w:t>: Sustainable development (water, food and energy security)</w:t>
      </w:r>
    </w:p>
    <w:p w:rsidR="00C469BA" w:rsidRPr="00C469BA" w:rsidRDefault="00C469BA" w:rsidP="00C469BA">
      <w:pPr>
        <w:pStyle w:val="BodyText"/>
        <w:rPr>
          <w:i/>
          <w:lang w:eastAsia="zh-CN"/>
        </w:rPr>
      </w:pPr>
      <w:r w:rsidRPr="00C469BA">
        <w:rPr>
          <w:i/>
          <w:lang w:eastAsia="zh-CN"/>
        </w:rPr>
        <w:t xml:space="preserve">This objective </w:t>
      </w:r>
      <w:r w:rsidR="00B528DA">
        <w:rPr>
          <w:i/>
          <w:lang w:eastAsia="zh-CN"/>
        </w:rPr>
        <w:t>maintained its</w:t>
      </w:r>
      <w:r w:rsidRPr="00C469BA">
        <w:rPr>
          <w:i/>
          <w:lang w:eastAsia="zh-CN"/>
        </w:rPr>
        <w:t xml:space="preserve"> green</w:t>
      </w:r>
      <w:r w:rsidR="00B528DA">
        <w:rPr>
          <w:i/>
          <w:lang w:eastAsia="zh-CN"/>
        </w:rPr>
        <w:t xml:space="preserve"> rating from the previous year</w:t>
      </w:r>
      <w:r w:rsidR="00991191">
        <w:rPr>
          <w:i/>
          <w:lang w:eastAsia="zh-CN"/>
        </w:rPr>
        <w:t xml:space="preserve">, reflecting </w:t>
      </w:r>
      <w:r w:rsidRPr="00C469BA">
        <w:rPr>
          <w:i/>
          <w:lang w:eastAsia="zh-CN"/>
        </w:rPr>
        <w:t xml:space="preserve">progress </w:t>
      </w:r>
      <w:r w:rsidR="00C45A07">
        <w:rPr>
          <w:i/>
          <w:lang w:eastAsia="zh-CN"/>
        </w:rPr>
        <w:t xml:space="preserve">made by the </w:t>
      </w:r>
      <w:r w:rsidRPr="00C469BA">
        <w:rPr>
          <w:i/>
          <w:lang w:eastAsia="zh-CN"/>
        </w:rPr>
        <w:t xml:space="preserve">Sustainable Development Investment Portfolio (SDIP) </w:t>
      </w:r>
      <w:r w:rsidR="00C45A07">
        <w:rPr>
          <w:i/>
          <w:lang w:eastAsia="zh-CN"/>
        </w:rPr>
        <w:t xml:space="preserve">in </w:t>
      </w:r>
      <w:r w:rsidRPr="00C469BA">
        <w:rPr>
          <w:i/>
          <w:lang w:eastAsia="zh-CN"/>
        </w:rPr>
        <w:t>influenc</w:t>
      </w:r>
      <w:r w:rsidR="00C45A07">
        <w:rPr>
          <w:i/>
          <w:lang w:eastAsia="zh-CN"/>
        </w:rPr>
        <w:t>ing</w:t>
      </w:r>
      <w:r w:rsidRPr="00C469BA">
        <w:rPr>
          <w:i/>
          <w:lang w:eastAsia="zh-CN"/>
        </w:rPr>
        <w:t xml:space="preserve"> </w:t>
      </w:r>
      <w:r w:rsidR="00C45A07">
        <w:rPr>
          <w:i/>
          <w:lang w:eastAsia="zh-CN"/>
        </w:rPr>
        <w:t>improvements in</w:t>
      </w:r>
      <w:r w:rsidRPr="00C469BA">
        <w:rPr>
          <w:i/>
          <w:lang w:eastAsia="zh-CN"/>
        </w:rPr>
        <w:t xml:space="preserve"> water, food a</w:t>
      </w:r>
      <w:r w:rsidR="00DD4FDE">
        <w:rPr>
          <w:i/>
          <w:lang w:eastAsia="zh-CN"/>
        </w:rPr>
        <w:t>nd energy security</w:t>
      </w:r>
      <w:r w:rsidRPr="00C469BA">
        <w:rPr>
          <w:i/>
          <w:lang w:eastAsia="zh-CN"/>
        </w:rPr>
        <w:t>.</w:t>
      </w:r>
      <w:r w:rsidR="00C45A07">
        <w:rPr>
          <w:i/>
          <w:lang w:eastAsia="zh-CN"/>
        </w:rPr>
        <w:t xml:space="preserve"> </w:t>
      </w:r>
      <w:r w:rsidRPr="00C469BA">
        <w:rPr>
          <w:i/>
          <w:lang w:eastAsia="zh-CN"/>
        </w:rPr>
        <w:t xml:space="preserve"> Progress was as expected f</w:t>
      </w:r>
      <w:r w:rsidR="009C009B">
        <w:rPr>
          <w:i/>
          <w:lang w:eastAsia="zh-CN"/>
        </w:rPr>
        <w:t>or this stage of implementation.</w:t>
      </w:r>
    </w:p>
    <w:p w:rsidR="002F6A95" w:rsidRDefault="00387A5D" w:rsidP="001C3539">
      <w:pPr>
        <w:pStyle w:val="BodyText"/>
        <w:rPr>
          <w:lang w:eastAsia="zh-CN"/>
        </w:rPr>
      </w:pPr>
      <w:r>
        <w:rPr>
          <w:lang w:eastAsia="zh-CN"/>
        </w:rPr>
        <w:t>T</w:t>
      </w:r>
      <w:r w:rsidR="00C469BA" w:rsidRPr="00C469BA">
        <w:rPr>
          <w:lang w:eastAsia="zh-CN"/>
        </w:rPr>
        <w:t xml:space="preserve">he SDIP aims to increase water, food and energy security in South Asia to facilitate economic growth and improve livelihoods, targeting the poorest and most vulnerable, particularly women and girls.  </w:t>
      </w:r>
      <w:r>
        <w:rPr>
          <w:lang w:eastAsia="zh-CN"/>
        </w:rPr>
        <w:t xml:space="preserve">DFAT is working with </w:t>
      </w:r>
      <w:r w:rsidRPr="00C469BA">
        <w:rPr>
          <w:lang w:eastAsia="zh-CN"/>
        </w:rPr>
        <w:t xml:space="preserve">seven </w:t>
      </w:r>
      <w:r>
        <w:rPr>
          <w:lang w:eastAsia="zh-CN"/>
        </w:rPr>
        <w:t>delivery p</w:t>
      </w:r>
      <w:r w:rsidRPr="00C469BA">
        <w:rPr>
          <w:lang w:eastAsia="zh-CN"/>
        </w:rPr>
        <w:t xml:space="preserve">artners across three </w:t>
      </w:r>
      <w:r w:rsidR="006C7BDA">
        <w:rPr>
          <w:lang w:eastAsia="zh-CN"/>
        </w:rPr>
        <w:t xml:space="preserve">Himalayan </w:t>
      </w:r>
      <w:r w:rsidRPr="00C469BA">
        <w:rPr>
          <w:lang w:eastAsia="zh-CN"/>
        </w:rPr>
        <w:t xml:space="preserve">river basins </w:t>
      </w:r>
      <w:r>
        <w:rPr>
          <w:lang w:eastAsia="zh-CN"/>
        </w:rPr>
        <w:t xml:space="preserve">(Indus, Ganges and Brahmaputra) </w:t>
      </w:r>
      <w:r w:rsidR="009C009B">
        <w:rPr>
          <w:lang w:eastAsia="zh-CN"/>
        </w:rPr>
        <w:t>to influence 28</w:t>
      </w:r>
      <w:r w:rsidR="006C7BDA">
        <w:rPr>
          <w:lang w:eastAsia="zh-CN"/>
        </w:rPr>
        <w:t xml:space="preserve"> </w:t>
      </w:r>
      <w:r w:rsidRPr="00E91188">
        <w:rPr>
          <w:lang w:eastAsia="zh-CN"/>
        </w:rPr>
        <w:t xml:space="preserve">‘outcome areas’ that contribute to systemic change in the region. </w:t>
      </w:r>
      <w:r w:rsidR="006C7BDA">
        <w:rPr>
          <w:lang w:eastAsia="zh-CN"/>
        </w:rPr>
        <w:t xml:space="preserve"> </w:t>
      </w:r>
      <w:r w:rsidR="00C469BA" w:rsidRPr="00C469BA">
        <w:rPr>
          <w:lang w:eastAsia="zh-CN"/>
        </w:rPr>
        <w:t xml:space="preserve">Nine </w:t>
      </w:r>
      <w:r w:rsidR="006C7BDA">
        <w:rPr>
          <w:lang w:eastAsia="zh-CN"/>
        </w:rPr>
        <w:t xml:space="preserve">of </w:t>
      </w:r>
      <w:r w:rsidR="00DD4FDE">
        <w:rPr>
          <w:lang w:eastAsia="zh-CN"/>
        </w:rPr>
        <w:t>these</w:t>
      </w:r>
      <w:r w:rsidR="006C7BDA">
        <w:rPr>
          <w:lang w:eastAsia="zh-CN"/>
        </w:rPr>
        <w:t xml:space="preserve"> outcome areas</w:t>
      </w:r>
      <w:r w:rsidR="00C469BA" w:rsidRPr="00C469BA">
        <w:rPr>
          <w:lang w:eastAsia="zh-CN"/>
        </w:rPr>
        <w:t xml:space="preserve"> are monitored as indicators of </w:t>
      </w:r>
      <w:r w:rsidR="00BD4672">
        <w:rPr>
          <w:lang w:eastAsia="zh-CN"/>
        </w:rPr>
        <w:t xml:space="preserve">the </w:t>
      </w:r>
      <w:r w:rsidR="00C469BA" w:rsidRPr="00C469BA">
        <w:rPr>
          <w:lang w:eastAsia="zh-CN"/>
        </w:rPr>
        <w:t>overall performance</w:t>
      </w:r>
      <w:r w:rsidR="00BD4672">
        <w:rPr>
          <w:lang w:eastAsia="zh-CN"/>
        </w:rPr>
        <w:t xml:space="preserve"> of the SDIP</w:t>
      </w:r>
      <w:r w:rsidR="00057FB2">
        <w:rPr>
          <w:lang w:eastAsia="zh-CN"/>
        </w:rPr>
        <w:t>, brought together in a Performance Assessment Framework (PAF)</w:t>
      </w:r>
      <w:r w:rsidR="00991191">
        <w:rPr>
          <w:lang w:eastAsia="zh-CN"/>
        </w:rPr>
        <w:t>.</w:t>
      </w:r>
      <w:r w:rsidR="001C3539">
        <w:rPr>
          <w:rStyle w:val="FootnoteReference"/>
          <w:lang w:eastAsia="zh-CN"/>
        </w:rPr>
        <w:footnoteReference w:id="11"/>
      </w:r>
    </w:p>
    <w:p w:rsidR="00C469BA" w:rsidRPr="00685BB0" w:rsidRDefault="003A44FA" w:rsidP="00685BB0">
      <w:pPr>
        <w:pStyle w:val="BodyText"/>
      </w:pPr>
      <w:r>
        <w:rPr>
          <w:lang w:eastAsia="zh-CN"/>
        </w:rPr>
        <w:t xml:space="preserve">The SDIP is </w:t>
      </w:r>
      <w:r>
        <w:rPr>
          <w:lang w:val="en-US" w:eastAsia="zh-CN"/>
        </w:rPr>
        <w:t>in</w:t>
      </w:r>
      <w:r>
        <w:rPr>
          <w:lang w:eastAsia="zh-CN"/>
        </w:rPr>
        <w:t xml:space="preserve"> the foundational phase of an intende</w:t>
      </w:r>
      <w:r w:rsidR="00EC0EBC">
        <w:rPr>
          <w:lang w:eastAsia="zh-CN"/>
        </w:rPr>
        <w:t xml:space="preserve">d 12 year engagement strategy. </w:t>
      </w:r>
      <w:r w:rsidR="00C469BA" w:rsidRPr="00685BB0">
        <w:t xml:space="preserve">In 2014-15, </w:t>
      </w:r>
      <w:r w:rsidR="007A4655">
        <w:rPr>
          <w:lang w:val="en-GB"/>
        </w:rPr>
        <w:t xml:space="preserve">the second full year of implementation, it was expected that the investment would make important gains in </w:t>
      </w:r>
      <w:r w:rsidR="009A62D9">
        <w:rPr>
          <w:lang w:val="en-GB"/>
        </w:rPr>
        <w:t xml:space="preserve">areas relating to </w:t>
      </w:r>
      <w:r w:rsidR="007A4655" w:rsidRPr="0029341F">
        <w:rPr>
          <w:lang w:val="en-GB"/>
        </w:rPr>
        <w:t>capacity building, technology transfer, and mobilising civil society and private sector engagement</w:t>
      </w:r>
      <w:r w:rsidR="00991191">
        <w:rPr>
          <w:lang w:val="en-GB"/>
        </w:rPr>
        <w:t xml:space="preserve">.  Partners delivered </w:t>
      </w:r>
      <w:r w:rsidR="007A4655">
        <w:rPr>
          <w:lang w:val="en-GB"/>
        </w:rPr>
        <w:t>results in these outcome areas across the three target sectors</w:t>
      </w:r>
      <w:r w:rsidR="00D14682">
        <w:rPr>
          <w:lang w:val="en-GB"/>
        </w:rPr>
        <w:t xml:space="preserve"> (water, food and energy security)</w:t>
      </w:r>
      <w:r w:rsidR="007A4655">
        <w:rPr>
          <w:lang w:val="en-GB"/>
        </w:rPr>
        <w:t>.</w:t>
      </w:r>
      <w:r w:rsidR="007A4655">
        <w:t xml:space="preserve">  </w:t>
      </w:r>
      <w:r w:rsidR="00E76D8D">
        <w:t>Our</w:t>
      </w:r>
      <w:r w:rsidR="00E76D8D" w:rsidRPr="00685BB0">
        <w:t xml:space="preserve"> peer</w:t>
      </w:r>
      <w:r w:rsidR="00C469BA" w:rsidRPr="00685BB0">
        <w:t>-reviewed 2015 Aid Quality Check concluded that the SDIP is on track to meet the progress indic</w:t>
      </w:r>
      <w:r w:rsidR="006C7BDA" w:rsidRPr="00685BB0">
        <w:t>a</w:t>
      </w:r>
      <w:r w:rsidR="00C469BA" w:rsidRPr="00685BB0">
        <w:t>tors for expected change at the end of Phase 1 (2012-2016)</w:t>
      </w:r>
      <w:r w:rsidR="00991191">
        <w:t>, as outlined in the PAF</w:t>
      </w:r>
      <w:r w:rsidR="00C469BA" w:rsidRPr="00685BB0">
        <w:t>.</w:t>
      </w:r>
    </w:p>
    <w:p w:rsidR="00BD639A" w:rsidRDefault="00685BB0" w:rsidP="00685BB0">
      <w:pPr>
        <w:pStyle w:val="BodyText"/>
      </w:pPr>
      <w:r w:rsidRPr="00D11370">
        <w:t xml:space="preserve">In the </w:t>
      </w:r>
      <w:r w:rsidRPr="00D11370">
        <w:rPr>
          <w:b/>
        </w:rPr>
        <w:t>water sector</w:t>
      </w:r>
      <w:r w:rsidRPr="00D11370">
        <w:t xml:space="preserve">, </w:t>
      </w:r>
      <w:r w:rsidR="009C009B" w:rsidRPr="00D11370">
        <w:t>an expected end-of-investment outcome</w:t>
      </w:r>
      <w:r w:rsidR="0091688F" w:rsidRPr="00D11370">
        <w:t xml:space="preserve"> for SDIP is </w:t>
      </w:r>
      <w:r w:rsidR="009C009B" w:rsidRPr="00D11370">
        <w:t xml:space="preserve">that governments in the region </w:t>
      </w:r>
      <w:r w:rsidR="0091688F" w:rsidRPr="00D11370">
        <w:t>have improved capa</w:t>
      </w:r>
      <w:r w:rsidR="00D539A5">
        <w:t>bility</w:t>
      </w:r>
      <w:r w:rsidR="0091688F" w:rsidRPr="00D11370">
        <w:t xml:space="preserve"> to </w:t>
      </w:r>
      <w:r w:rsidRPr="00D11370">
        <w:t>gather and analyse hydrological data</w:t>
      </w:r>
      <w:r w:rsidR="0091688F" w:rsidRPr="00D11370">
        <w:t xml:space="preserve"> to support strategic planning</w:t>
      </w:r>
      <w:r w:rsidR="00937F28" w:rsidRPr="00D11370">
        <w:t>.</w:t>
      </w:r>
      <w:r w:rsidR="00D14682" w:rsidRPr="00D11370">
        <w:t xml:space="preserve"> </w:t>
      </w:r>
      <w:r w:rsidRPr="00D11370">
        <w:t xml:space="preserve"> </w:t>
      </w:r>
      <w:r w:rsidR="00991191">
        <w:t>A</w:t>
      </w:r>
      <w:r w:rsidR="0091688F" w:rsidRPr="00D11370">
        <w:t>gain</w:t>
      </w:r>
      <w:r w:rsidR="00991191">
        <w:t>st this outcome area in 2014-15, in</w:t>
      </w:r>
      <w:r w:rsidRPr="00685BB0">
        <w:t xml:space="preserve"> India, </w:t>
      </w:r>
      <w:r w:rsidR="003A44FA">
        <w:t xml:space="preserve">the </w:t>
      </w:r>
      <w:r w:rsidR="003A44FA" w:rsidRPr="00685BB0">
        <w:t xml:space="preserve">Commonwealth Scientific and Industrial Research Organisation </w:t>
      </w:r>
      <w:r w:rsidR="003A44FA">
        <w:t>(</w:t>
      </w:r>
      <w:r w:rsidRPr="00685BB0">
        <w:t>CSIRO</w:t>
      </w:r>
      <w:r w:rsidR="003A44FA">
        <w:t>)</w:t>
      </w:r>
      <w:r w:rsidRPr="00685BB0">
        <w:t xml:space="preserve"> continued to work with India’s Central Water Commission </w:t>
      </w:r>
      <w:r w:rsidR="004E37D4">
        <w:t xml:space="preserve">and </w:t>
      </w:r>
      <w:r w:rsidR="0091688F">
        <w:t xml:space="preserve">relevant </w:t>
      </w:r>
      <w:r w:rsidRPr="00685BB0">
        <w:t>state government</w:t>
      </w:r>
      <w:r w:rsidR="0091688F">
        <w:t>s</w:t>
      </w:r>
      <w:r w:rsidRPr="00685BB0">
        <w:t xml:space="preserve"> to support river basin planning in the Brahmani-Baitarni River</w:t>
      </w:r>
      <w:r w:rsidR="003A44FA">
        <w:t xml:space="preserve"> basin</w:t>
      </w:r>
      <w:r w:rsidR="00D539A5">
        <w:t xml:space="preserve">. This work </w:t>
      </w:r>
      <w:r w:rsidR="00991191">
        <w:t>led to</w:t>
      </w:r>
      <w:r w:rsidR="0091688F" w:rsidRPr="00D11370">
        <w:t xml:space="preserve"> collation of key datasets, </w:t>
      </w:r>
      <w:r w:rsidR="00991191">
        <w:t xml:space="preserve">the </w:t>
      </w:r>
      <w:r w:rsidR="0091688F" w:rsidRPr="00D11370">
        <w:t>development of a prototype model for the basin,</w:t>
      </w:r>
      <w:r w:rsidR="007A427E" w:rsidRPr="00D11370">
        <w:t xml:space="preserve"> and training of Indian government officials in water modelling</w:t>
      </w:r>
      <w:r w:rsidRPr="00D11370">
        <w:t xml:space="preserve">. </w:t>
      </w:r>
      <w:r w:rsidR="004E37D4" w:rsidRPr="00D11370">
        <w:t xml:space="preserve"> </w:t>
      </w:r>
      <w:r w:rsidR="007A427E" w:rsidRPr="00D11370">
        <w:t xml:space="preserve">In Pakistan, CSIRO </w:t>
      </w:r>
      <w:r w:rsidR="009C009B" w:rsidRPr="00D11370">
        <w:t xml:space="preserve">strengthened </w:t>
      </w:r>
      <w:r w:rsidR="00D539A5">
        <w:t>its</w:t>
      </w:r>
      <w:r w:rsidR="009C009B" w:rsidRPr="00D11370">
        <w:t xml:space="preserve"> re</w:t>
      </w:r>
      <w:r w:rsidR="007A427E" w:rsidRPr="00D11370">
        <w:t>lationships with key water management agencies and sourced important datasets for the development of an Indus River system model.</w:t>
      </w:r>
      <w:r w:rsidR="007A427E">
        <w:t xml:space="preserve">  </w:t>
      </w:r>
      <w:r w:rsidR="00937F28">
        <w:t xml:space="preserve">These investments represent significant steps </w:t>
      </w:r>
      <w:r w:rsidR="00EC0EBC">
        <w:t xml:space="preserve">towards </w:t>
      </w:r>
      <w:r w:rsidR="00937F28">
        <w:t xml:space="preserve">better water management in the region and </w:t>
      </w:r>
      <w:r w:rsidR="00EC0EBC">
        <w:t>to</w:t>
      </w:r>
      <w:r w:rsidR="00937F28">
        <w:t xml:space="preserve"> build</w:t>
      </w:r>
      <w:r w:rsidR="00EC0EBC">
        <w:t>ing</w:t>
      </w:r>
      <w:r w:rsidR="00937F28">
        <w:t xml:space="preserve"> an evidence base to help shift </w:t>
      </w:r>
      <w:r w:rsidR="00C6757D">
        <w:t>approaches</w:t>
      </w:r>
      <w:r w:rsidR="009E556D">
        <w:t xml:space="preserve"> </w:t>
      </w:r>
      <w:r w:rsidR="002C6C1B">
        <w:t xml:space="preserve">to </w:t>
      </w:r>
      <w:r w:rsidR="00937F28">
        <w:t xml:space="preserve">river </w:t>
      </w:r>
      <w:r w:rsidR="00991191">
        <w:t>basin</w:t>
      </w:r>
      <w:r w:rsidR="00937F28">
        <w:t xml:space="preserve"> </w:t>
      </w:r>
      <w:r w:rsidR="009E556D">
        <w:t>management</w:t>
      </w:r>
      <w:r w:rsidR="00937F28">
        <w:t xml:space="preserve">.  </w:t>
      </w:r>
      <w:r w:rsidR="00991191">
        <w:t xml:space="preserve">Capacity building in strategic water </w:t>
      </w:r>
      <w:r w:rsidR="00EC0EBC">
        <w:t xml:space="preserve">planning and </w:t>
      </w:r>
      <w:r w:rsidR="00991191">
        <w:t>management was</w:t>
      </w:r>
      <w:r w:rsidR="0046505A">
        <w:t xml:space="preserve"> supported by a study programme</w:t>
      </w:r>
      <w:r w:rsidR="00BD639A">
        <w:t xml:space="preserve"> </w:t>
      </w:r>
      <w:r w:rsidR="00EC0EBC">
        <w:t>of</w:t>
      </w:r>
      <w:r w:rsidR="00BD639A">
        <w:t xml:space="preserve"> water officials from China, Nepal and India (hosted by International Centre of Excellence in Water Resources Management) which shared Australia’s water reform experience and training for over 450 </w:t>
      </w:r>
      <w:r w:rsidR="00BD639A" w:rsidRPr="00685BB0">
        <w:t>water professionals in the region</w:t>
      </w:r>
      <w:r w:rsidR="00BD639A">
        <w:t xml:space="preserve"> delivered by the World Bank South Asia Water Initiative (SAWI).</w:t>
      </w:r>
    </w:p>
    <w:p w:rsidR="004E37D4" w:rsidRPr="00C44983" w:rsidRDefault="003E2E17" w:rsidP="004E37D4">
      <w:pPr>
        <w:pStyle w:val="BodyText"/>
        <w:rPr>
          <w:szCs w:val="22"/>
        </w:rPr>
      </w:pPr>
      <w:r w:rsidRPr="00667BF5">
        <w:t>Private sector engagement is a focus of the SDIP</w:t>
      </w:r>
      <w:r w:rsidR="00685BB0" w:rsidRPr="00667BF5">
        <w:t xml:space="preserve">.  In </w:t>
      </w:r>
      <w:r w:rsidR="001E373C" w:rsidRPr="00667BF5">
        <w:t xml:space="preserve">the </w:t>
      </w:r>
      <w:r w:rsidR="00685BB0" w:rsidRPr="00D11370">
        <w:rPr>
          <w:b/>
        </w:rPr>
        <w:t>energy</w:t>
      </w:r>
      <w:r w:rsidR="001E373C" w:rsidRPr="00D11370">
        <w:rPr>
          <w:b/>
        </w:rPr>
        <w:t xml:space="preserve"> sector</w:t>
      </w:r>
      <w:r w:rsidR="00685BB0" w:rsidRPr="00667BF5">
        <w:t xml:space="preserve">, </w:t>
      </w:r>
      <w:r w:rsidR="002D5DF2" w:rsidRPr="00667BF5">
        <w:t>an</w:t>
      </w:r>
      <w:r w:rsidR="009C009B" w:rsidRPr="00667BF5">
        <w:t xml:space="preserve"> expected </w:t>
      </w:r>
      <w:r w:rsidR="00BD639A">
        <w:t xml:space="preserve">end of investment </w:t>
      </w:r>
      <w:r w:rsidR="002D5DF2" w:rsidRPr="00667BF5">
        <w:t xml:space="preserve">outcome is </w:t>
      </w:r>
      <w:r w:rsidR="009C009B" w:rsidRPr="00667BF5">
        <w:t xml:space="preserve">that </w:t>
      </w:r>
      <w:r w:rsidR="002F56DB" w:rsidRPr="00667BF5">
        <w:t xml:space="preserve">SDIP </w:t>
      </w:r>
      <w:r w:rsidR="009C009B" w:rsidRPr="00667BF5">
        <w:t xml:space="preserve">will </w:t>
      </w:r>
      <w:r w:rsidR="002F56DB" w:rsidRPr="00667BF5">
        <w:t>improve</w:t>
      </w:r>
      <w:r w:rsidR="00306DBA">
        <w:t xml:space="preserve"> the</w:t>
      </w:r>
      <w:r w:rsidR="002F56DB" w:rsidRPr="00667BF5">
        <w:t xml:space="preserve"> institutional capacity</w:t>
      </w:r>
      <w:r w:rsidR="00CA1231" w:rsidRPr="00667BF5">
        <w:t xml:space="preserve"> of governments</w:t>
      </w:r>
      <w:r w:rsidR="002F56DB" w:rsidRPr="00667BF5">
        <w:t xml:space="preserve"> to </w:t>
      </w:r>
      <w:r w:rsidR="00EC0EBC">
        <w:t xml:space="preserve">engage in </w:t>
      </w:r>
      <w:r w:rsidR="002F56DB" w:rsidRPr="00667BF5">
        <w:t>public-private partnership investments</w:t>
      </w:r>
      <w:r w:rsidR="00F2042B" w:rsidRPr="00667BF5">
        <w:t xml:space="preserve">. </w:t>
      </w:r>
      <w:r w:rsidR="00DE1659">
        <w:t>P</w:t>
      </w:r>
      <w:r w:rsidR="009D4AF0" w:rsidRPr="00667BF5">
        <w:rPr>
          <w:lang w:val="en-US"/>
        </w:rPr>
        <w:t xml:space="preserve">rogress </w:t>
      </w:r>
      <w:r w:rsidR="00F2042B" w:rsidRPr="00667BF5">
        <w:rPr>
          <w:lang w:val="en-US"/>
        </w:rPr>
        <w:t xml:space="preserve">in this </w:t>
      </w:r>
      <w:r w:rsidR="00C16990">
        <w:rPr>
          <w:lang w:val="en-US"/>
        </w:rPr>
        <w:t xml:space="preserve">area </w:t>
      </w:r>
      <w:r w:rsidR="00F2042B" w:rsidRPr="00667BF5">
        <w:rPr>
          <w:lang w:val="en-US"/>
        </w:rPr>
        <w:t xml:space="preserve">was demonstrated </w:t>
      </w:r>
      <w:r w:rsidR="009D4AF0" w:rsidRPr="00667BF5">
        <w:rPr>
          <w:lang w:val="en-US"/>
        </w:rPr>
        <w:t>over the reporting period</w:t>
      </w:r>
      <w:r w:rsidR="002F56DB" w:rsidRPr="00667BF5">
        <w:rPr>
          <w:lang w:val="en-US"/>
        </w:rPr>
        <w:t>.</w:t>
      </w:r>
      <w:r w:rsidR="002F56DB">
        <w:rPr>
          <w:lang w:val="en-US"/>
        </w:rPr>
        <w:t xml:space="preserve">  </w:t>
      </w:r>
      <w:r w:rsidR="009D4AF0">
        <w:rPr>
          <w:lang w:val="en-US"/>
        </w:rPr>
        <w:t>T</w:t>
      </w:r>
      <w:r w:rsidR="002F56DB">
        <w:rPr>
          <w:lang w:val="en-US"/>
        </w:rPr>
        <w:t xml:space="preserve">he </w:t>
      </w:r>
      <w:r w:rsidR="00685BB0" w:rsidRPr="00685BB0">
        <w:t xml:space="preserve">International Finance Corporation (IFC) </w:t>
      </w:r>
      <w:r w:rsidR="00DD0205">
        <w:t xml:space="preserve">established </w:t>
      </w:r>
      <w:r w:rsidR="00685BB0" w:rsidRPr="00685BB0">
        <w:t xml:space="preserve">projects </w:t>
      </w:r>
      <w:r w:rsidR="001E373C">
        <w:t xml:space="preserve">in Bhutan </w:t>
      </w:r>
      <w:r w:rsidR="001E373C">
        <w:lastRenderedPageBreak/>
        <w:t>(</w:t>
      </w:r>
      <w:r w:rsidR="00685BB0" w:rsidRPr="00685BB0">
        <w:t>with Druk Holding</w:t>
      </w:r>
      <w:r w:rsidR="001E373C">
        <w:t xml:space="preserve">) and India (with </w:t>
      </w:r>
      <w:r w:rsidR="00685BB0" w:rsidRPr="00685BB0">
        <w:t>Bihar Transmission Grid and Madhya Pradesh Wind Repowering</w:t>
      </w:r>
      <w:r w:rsidR="001E373C">
        <w:t>)</w:t>
      </w:r>
      <w:r w:rsidR="005D4F75">
        <w:t>.</w:t>
      </w:r>
      <w:r w:rsidR="001E373C">
        <w:t xml:space="preserve"> </w:t>
      </w:r>
      <w:r w:rsidR="002F56DB">
        <w:t xml:space="preserve"> </w:t>
      </w:r>
      <w:r w:rsidR="005D4F75">
        <w:t xml:space="preserve">These </w:t>
      </w:r>
      <w:r w:rsidR="002F56DB">
        <w:t xml:space="preserve">projects </w:t>
      </w:r>
      <w:r w:rsidR="00912F16">
        <w:t>aim</w:t>
      </w:r>
      <w:r w:rsidR="00685BB0" w:rsidRPr="00685BB0">
        <w:t xml:space="preserve"> to bring more </w:t>
      </w:r>
      <w:r w:rsidR="00912F16">
        <w:t xml:space="preserve">energy efficient and renewable </w:t>
      </w:r>
      <w:r w:rsidR="00685BB0" w:rsidRPr="00685BB0">
        <w:t xml:space="preserve">investments to the region by </w:t>
      </w:r>
      <w:r w:rsidR="00EC0EBC">
        <w:t xml:space="preserve">helping </w:t>
      </w:r>
      <w:r w:rsidR="00912F16">
        <w:t>South Asian g</w:t>
      </w:r>
      <w:r w:rsidR="00685BB0" w:rsidRPr="00685BB0">
        <w:t>overnment</w:t>
      </w:r>
      <w:r w:rsidR="00912F16">
        <w:t xml:space="preserve">s to </w:t>
      </w:r>
      <w:r w:rsidR="00685BB0" w:rsidRPr="00685BB0">
        <w:t>structur</w:t>
      </w:r>
      <w:r w:rsidR="00912F16">
        <w:t>e</w:t>
      </w:r>
      <w:r w:rsidR="00685BB0" w:rsidRPr="00685BB0">
        <w:t xml:space="preserve"> sustainable, scalable and bankable projects for construction.  </w:t>
      </w:r>
      <w:r w:rsidR="009D4AF0">
        <w:t>With SDIP support, the</w:t>
      </w:r>
      <w:r w:rsidR="001E373C" w:rsidRPr="001E373C">
        <w:t xml:space="preserve"> IFC also assisted national governments and project developers </w:t>
      </w:r>
      <w:r w:rsidR="001E373C">
        <w:t xml:space="preserve">to </w:t>
      </w:r>
      <w:r w:rsidR="001E373C" w:rsidRPr="001E373C">
        <w:t>establish regulatory regimes and structure investment finance</w:t>
      </w:r>
      <w:r w:rsidR="001E373C">
        <w:t xml:space="preserve"> for high-quality hydropower projects, an important step in addressing the energy deficit that is inhibiting economic growth in the region. </w:t>
      </w:r>
      <w:r w:rsidR="00EC0EBC">
        <w:t xml:space="preserve"> </w:t>
      </w:r>
      <w:r w:rsidR="00C16990">
        <w:t>A</w:t>
      </w:r>
      <w:r w:rsidR="00C16990" w:rsidRPr="006E77D5">
        <w:t xml:space="preserve">n expected outcome </w:t>
      </w:r>
      <w:r w:rsidR="00C16990">
        <w:t xml:space="preserve">in the </w:t>
      </w:r>
      <w:r w:rsidR="00C16990" w:rsidRPr="00C16990">
        <w:rPr>
          <w:b/>
        </w:rPr>
        <w:t xml:space="preserve">agriculture sector </w:t>
      </w:r>
      <w:r w:rsidR="00C16990" w:rsidRPr="006E77D5">
        <w:t>is</w:t>
      </w:r>
      <w:r w:rsidR="00C16990">
        <w:t xml:space="preserve"> that the SDIP will help </w:t>
      </w:r>
      <w:r w:rsidR="00C16990" w:rsidRPr="006E77D5">
        <w:t>establish collaborative structures between farmer organisations</w:t>
      </w:r>
      <w:r w:rsidR="00EC0EBC">
        <w:t>,</w:t>
      </w:r>
      <w:r w:rsidR="00C16990" w:rsidRPr="006E77D5">
        <w:t xml:space="preserve"> </w:t>
      </w:r>
      <w:r w:rsidR="00EC0EBC" w:rsidRPr="006E77D5">
        <w:t>agr</w:t>
      </w:r>
      <w:r w:rsidR="00306DBA">
        <w:t>i</w:t>
      </w:r>
      <w:r w:rsidR="00EC0EBC" w:rsidRPr="006E77D5">
        <w:t>-business</w:t>
      </w:r>
      <w:r w:rsidR="00EC0EBC">
        <w:t>,</w:t>
      </w:r>
      <w:r w:rsidR="00C16990" w:rsidRPr="006E77D5">
        <w:t xml:space="preserve"> researchers and relevant public agencies</w:t>
      </w:r>
      <w:r w:rsidR="00C16990">
        <w:t xml:space="preserve">. This </w:t>
      </w:r>
      <w:r w:rsidR="00C16990" w:rsidRPr="006E77D5">
        <w:t xml:space="preserve">will support improvements in agricultural productivity </w:t>
      </w:r>
      <w:r w:rsidR="00EC0EBC">
        <w:t xml:space="preserve">to </w:t>
      </w:r>
      <w:r w:rsidR="00C16990" w:rsidRPr="006E77D5">
        <w:t>benefit smallholder farmers (including female headed households).</w:t>
      </w:r>
      <w:r w:rsidR="00C16990">
        <w:t xml:space="preserve"> </w:t>
      </w:r>
      <w:r w:rsidR="006A0B68" w:rsidRPr="006A0B68">
        <w:t>The Australian Centre for International Agricultural Research (ACIAR)</w:t>
      </w:r>
      <w:r w:rsidR="006A0B68">
        <w:t xml:space="preserve"> is improving</w:t>
      </w:r>
      <w:r w:rsidR="006A0B68" w:rsidRPr="006A0B68">
        <w:t xml:space="preserve"> agricultural productivity</w:t>
      </w:r>
      <w:r w:rsidR="006A0B68">
        <w:t xml:space="preserve"> in </w:t>
      </w:r>
      <w:r w:rsidR="006A0B68" w:rsidRPr="006A0B68">
        <w:t>India (</w:t>
      </w:r>
      <w:r w:rsidR="006A0B68">
        <w:t xml:space="preserve">West Bengal, </w:t>
      </w:r>
      <w:r w:rsidR="006A0B68" w:rsidRPr="006A0B68">
        <w:t>Bihar</w:t>
      </w:r>
      <w:r w:rsidR="006A0B68">
        <w:t>), Bangladesh (Rangpur,</w:t>
      </w:r>
      <w:r w:rsidR="006A0B68" w:rsidRPr="006A0B68">
        <w:t xml:space="preserve"> Rajshahi) and Nepal</w:t>
      </w:r>
      <w:r w:rsidR="006A0B68">
        <w:t xml:space="preserve"> (Sunsari,</w:t>
      </w:r>
      <w:r w:rsidR="006A0B68" w:rsidRPr="006A0B68">
        <w:t xml:space="preserve"> Dhanusha) through field trials </w:t>
      </w:r>
      <w:r w:rsidR="00EC0EBC">
        <w:t>of</w:t>
      </w:r>
      <w:r w:rsidR="006A0B68" w:rsidRPr="006A0B68">
        <w:t xml:space="preserve"> conservation agriculture </w:t>
      </w:r>
      <w:r w:rsidR="00EC0EBC">
        <w:t xml:space="preserve">techniques </w:t>
      </w:r>
      <w:r w:rsidR="006A0B68" w:rsidRPr="006A0B68">
        <w:t>and the establishment of ‘innovation platforms’</w:t>
      </w:r>
      <w:r w:rsidR="006A0B68">
        <w:t xml:space="preserve">. The platforms </w:t>
      </w:r>
      <w:r w:rsidR="006A0B68" w:rsidRPr="006A0B68">
        <w:t xml:space="preserve">link researchers, farmers and local entrepreneurs to </w:t>
      </w:r>
      <w:r w:rsidR="006A0B68">
        <w:t>strengthen agricultural markets and promote conservation agriculture.</w:t>
      </w:r>
      <w:r w:rsidR="006A0B68" w:rsidRPr="006A0B68">
        <w:t xml:space="preserve"> In </w:t>
      </w:r>
      <w:r w:rsidR="006A0B68">
        <w:t>2014-15</w:t>
      </w:r>
      <w:r w:rsidR="006A0B68" w:rsidRPr="006A0B68">
        <w:t xml:space="preserve">, </w:t>
      </w:r>
      <w:r w:rsidR="006A0B68">
        <w:t>ACIAR collaborated</w:t>
      </w:r>
      <w:r w:rsidR="006A0B68" w:rsidRPr="006A0B68">
        <w:t xml:space="preserve"> with men and women farmers to set up over 800 field trials and trained over 60 people in innovation platform theory</w:t>
      </w:r>
      <w:r w:rsidR="006A0B68">
        <w:t xml:space="preserve">. Further capacity building included </w:t>
      </w:r>
      <w:r w:rsidR="006A0B68" w:rsidRPr="006A0B68">
        <w:t xml:space="preserve">farmer field days, study tours and advanced training for local agricultural scientists. Over 6000 people have benefited </w:t>
      </w:r>
      <w:r w:rsidR="00306DBA" w:rsidRPr="00C44983">
        <w:rPr>
          <w:szCs w:val="22"/>
        </w:rPr>
        <w:t xml:space="preserve">from </w:t>
      </w:r>
      <w:r w:rsidR="006A0B68" w:rsidRPr="00C44983">
        <w:rPr>
          <w:szCs w:val="22"/>
        </w:rPr>
        <w:t>capacity building activities</w:t>
      </w:r>
      <w:r w:rsidR="00D539A5">
        <w:rPr>
          <w:szCs w:val="22"/>
        </w:rPr>
        <w:t xml:space="preserve"> under the program in 2014-15</w:t>
      </w:r>
      <w:r w:rsidR="00306DBA" w:rsidRPr="00C44983">
        <w:rPr>
          <w:szCs w:val="22"/>
        </w:rPr>
        <w:t>.</w:t>
      </w:r>
    </w:p>
    <w:p w:rsidR="00685BB0" w:rsidRPr="00C44983" w:rsidRDefault="004E37D4" w:rsidP="00C44983">
      <w:pPr>
        <w:pStyle w:val="BodyText"/>
        <w:rPr>
          <w:szCs w:val="22"/>
        </w:rPr>
      </w:pPr>
      <w:r w:rsidRPr="00C44983">
        <w:rPr>
          <w:szCs w:val="22"/>
        </w:rPr>
        <w:t>An explicit focus on gender equality in the SDIP is already having significant impact</w:t>
      </w:r>
      <w:r w:rsidR="002F56DB" w:rsidRPr="00C44983">
        <w:rPr>
          <w:szCs w:val="22"/>
        </w:rPr>
        <w:t xml:space="preserve"> and delivery partners demonstrated </w:t>
      </w:r>
      <w:r w:rsidR="00306DBA" w:rsidRPr="00C44983">
        <w:rPr>
          <w:szCs w:val="22"/>
        </w:rPr>
        <w:t>measurable</w:t>
      </w:r>
      <w:r w:rsidR="002F56DB" w:rsidRPr="00C44983">
        <w:rPr>
          <w:szCs w:val="22"/>
        </w:rPr>
        <w:t xml:space="preserve"> achievements on this issue in the reporting period.</w:t>
      </w:r>
      <w:r w:rsidRPr="00C44983">
        <w:rPr>
          <w:szCs w:val="22"/>
        </w:rPr>
        <w:t xml:space="preserve"> </w:t>
      </w:r>
      <w:r w:rsidR="002F56DB" w:rsidRPr="00C44983">
        <w:rPr>
          <w:szCs w:val="22"/>
        </w:rPr>
        <w:t xml:space="preserve"> </w:t>
      </w:r>
      <w:r w:rsidRPr="00C44983">
        <w:rPr>
          <w:szCs w:val="22"/>
        </w:rPr>
        <w:t>ACIAR has incorporated gender into all of its activities including specific research on women</w:t>
      </w:r>
      <w:r w:rsidR="002C6C1B" w:rsidRPr="00C44983">
        <w:rPr>
          <w:szCs w:val="22"/>
        </w:rPr>
        <w:t>-</w:t>
      </w:r>
      <w:r w:rsidR="006A0B68" w:rsidRPr="00C44983">
        <w:rPr>
          <w:szCs w:val="22"/>
        </w:rPr>
        <w:t>headed households, and considerable</w:t>
      </w:r>
      <w:r w:rsidRPr="00C44983">
        <w:rPr>
          <w:szCs w:val="22"/>
        </w:rPr>
        <w:t xml:space="preserve"> involvement of women’s groups in technology-trial activities. </w:t>
      </w:r>
      <w:r w:rsidR="002F56DB" w:rsidRPr="00C44983">
        <w:rPr>
          <w:szCs w:val="22"/>
        </w:rPr>
        <w:t xml:space="preserve"> </w:t>
      </w:r>
      <w:r w:rsidRPr="00C44983">
        <w:rPr>
          <w:szCs w:val="22"/>
        </w:rPr>
        <w:t xml:space="preserve">Both </w:t>
      </w:r>
      <w:r w:rsidR="00306DBA" w:rsidRPr="00C44983">
        <w:rPr>
          <w:szCs w:val="22"/>
        </w:rPr>
        <w:t xml:space="preserve">the </w:t>
      </w:r>
      <w:r w:rsidR="00C44983" w:rsidRPr="00C44983">
        <w:rPr>
          <w:szCs w:val="22"/>
        </w:rPr>
        <w:t>International Centre for Integrated Mountain Development (</w:t>
      </w:r>
      <w:r w:rsidRPr="00C44983">
        <w:rPr>
          <w:szCs w:val="22"/>
        </w:rPr>
        <w:t>ICIMOD</w:t>
      </w:r>
      <w:r w:rsidR="00C44983" w:rsidRPr="00C44983">
        <w:rPr>
          <w:szCs w:val="22"/>
        </w:rPr>
        <w:t>)</w:t>
      </w:r>
      <w:r w:rsidRPr="00C44983">
        <w:rPr>
          <w:szCs w:val="22"/>
        </w:rPr>
        <w:t xml:space="preserve"> and CSIRO are improving their collection of gender-sensitive data and developing more gender-sensitive </w:t>
      </w:r>
      <w:r w:rsidR="002A6DF4" w:rsidRPr="00C44983">
        <w:rPr>
          <w:szCs w:val="22"/>
        </w:rPr>
        <w:t>monitoring and evaluation (</w:t>
      </w:r>
      <w:r w:rsidRPr="00C44983">
        <w:rPr>
          <w:szCs w:val="22"/>
        </w:rPr>
        <w:t>M&amp;E</w:t>
      </w:r>
      <w:r w:rsidR="002A6DF4" w:rsidRPr="00C44983">
        <w:rPr>
          <w:szCs w:val="22"/>
        </w:rPr>
        <w:t>)</w:t>
      </w:r>
      <w:r w:rsidRPr="00C44983">
        <w:rPr>
          <w:szCs w:val="22"/>
        </w:rPr>
        <w:t xml:space="preserve"> frameworks to </w:t>
      </w:r>
      <w:r w:rsidR="006A0B68" w:rsidRPr="00C44983">
        <w:rPr>
          <w:szCs w:val="22"/>
        </w:rPr>
        <w:t>better understand</w:t>
      </w:r>
      <w:r w:rsidRPr="00C44983">
        <w:rPr>
          <w:szCs w:val="22"/>
        </w:rPr>
        <w:t xml:space="preserve"> gender in their climate change analyses. </w:t>
      </w:r>
      <w:r w:rsidR="00992F9C" w:rsidRPr="00C44983">
        <w:rPr>
          <w:szCs w:val="22"/>
        </w:rPr>
        <w:t xml:space="preserve"> </w:t>
      </w:r>
      <w:r w:rsidR="00C44983">
        <w:rPr>
          <w:szCs w:val="22"/>
        </w:rPr>
        <w:t xml:space="preserve">The </w:t>
      </w:r>
      <w:r w:rsidR="00C44983" w:rsidRPr="00C44983">
        <w:rPr>
          <w:szCs w:val="22"/>
        </w:rPr>
        <w:t>International Centre of Excellence in Water Resources Management (</w:t>
      </w:r>
      <w:r w:rsidR="00C44983" w:rsidRPr="00C44983">
        <w:rPr>
          <w:bCs/>
          <w:szCs w:val="22"/>
        </w:rPr>
        <w:t>ICEWaRM</w:t>
      </w:r>
      <w:r w:rsidR="00C44983" w:rsidRPr="00C44983">
        <w:rPr>
          <w:szCs w:val="22"/>
        </w:rPr>
        <w:t xml:space="preserve">) </w:t>
      </w:r>
      <w:r w:rsidRPr="00C44983">
        <w:rPr>
          <w:szCs w:val="22"/>
        </w:rPr>
        <w:t xml:space="preserve">has partnered with India’s </w:t>
      </w:r>
      <w:r w:rsidR="003A3DCE">
        <w:rPr>
          <w:szCs w:val="22"/>
        </w:rPr>
        <w:t xml:space="preserve">TERI </w:t>
      </w:r>
      <w:r w:rsidR="0046505A">
        <w:rPr>
          <w:szCs w:val="22"/>
        </w:rPr>
        <w:t xml:space="preserve">University </w:t>
      </w:r>
      <w:r w:rsidRPr="00C44983">
        <w:rPr>
          <w:szCs w:val="22"/>
        </w:rPr>
        <w:t>to develop a short course in water resources management that explici</w:t>
      </w:r>
      <w:r w:rsidR="00992F9C" w:rsidRPr="00C44983">
        <w:rPr>
          <w:szCs w:val="22"/>
        </w:rPr>
        <w:t>tly addresses gender equality.</w:t>
      </w:r>
      <w:r w:rsidR="00EC0EBC" w:rsidRPr="00C44983">
        <w:rPr>
          <w:szCs w:val="22"/>
        </w:rPr>
        <w:t xml:space="preserve"> </w:t>
      </w:r>
      <w:r w:rsidRPr="00C44983">
        <w:rPr>
          <w:szCs w:val="22"/>
        </w:rPr>
        <w:t>The focus on gender is also strengthening SDIP partners</w:t>
      </w:r>
      <w:r w:rsidR="009E556D" w:rsidRPr="00C44983">
        <w:rPr>
          <w:szCs w:val="22"/>
        </w:rPr>
        <w:t>’</w:t>
      </w:r>
      <w:r w:rsidR="00106C46" w:rsidRPr="00C44983">
        <w:rPr>
          <w:szCs w:val="22"/>
        </w:rPr>
        <w:t xml:space="preserve"> </w:t>
      </w:r>
      <w:r w:rsidR="009E556D" w:rsidRPr="00C44983">
        <w:rPr>
          <w:szCs w:val="22"/>
        </w:rPr>
        <w:t>own organisations</w:t>
      </w:r>
      <w:r w:rsidRPr="00C44983">
        <w:rPr>
          <w:szCs w:val="22"/>
        </w:rPr>
        <w:t>.</w:t>
      </w:r>
      <w:r w:rsidR="00992F9C" w:rsidRPr="00C44983">
        <w:rPr>
          <w:szCs w:val="22"/>
        </w:rPr>
        <w:t xml:space="preserve"> </w:t>
      </w:r>
      <w:r w:rsidRPr="00C44983">
        <w:rPr>
          <w:szCs w:val="22"/>
        </w:rPr>
        <w:t xml:space="preserve"> </w:t>
      </w:r>
      <w:r w:rsidR="002F56DB" w:rsidRPr="00C44983">
        <w:rPr>
          <w:szCs w:val="22"/>
        </w:rPr>
        <w:t>In CSIRO, for example,</w:t>
      </w:r>
      <w:r w:rsidRPr="00C44983">
        <w:rPr>
          <w:szCs w:val="22"/>
        </w:rPr>
        <w:t xml:space="preserve"> SDIP supported a shift in the way gender </w:t>
      </w:r>
      <w:r w:rsidR="002F56DB" w:rsidRPr="00C44983">
        <w:rPr>
          <w:szCs w:val="22"/>
        </w:rPr>
        <w:t xml:space="preserve">is considered </w:t>
      </w:r>
      <w:r w:rsidRPr="00C44983">
        <w:rPr>
          <w:szCs w:val="22"/>
        </w:rPr>
        <w:t xml:space="preserve">in science – where gender was previously considered outside the scope of water modelling, scientists are now </w:t>
      </w:r>
      <w:r w:rsidR="002F56DB" w:rsidRPr="00C44983">
        <w:rPr>
          <w:szCs w:val="22"/>
        </w:rPr>
        <w:t xml:space="preserve">identifying </w:t>
      </w:r>
      <w:r w:rsidRPr="00C44983">
        <w:rPr>
          <w:szCs w:val="22"/>
        </w:rPr>
        <w:t>links between their science and potential long-term impacts on vulnerable populations.</w:t>
      </w:r>
    </w:p>
    <w:p w:rsidR="00AE7F55" w:rsidRPr="00E91188" w:rsidRDefault="00AE7F55" w:rsidP="00AE7F55">
      <w:pPr>
        <w:pStyle w:val="Heading3"/>
      </w:pPr>
      <w:r w:rsidRPr="00E91188">
        <w:t>Objective 2: Regional connectivity (trade facilitation and infrastructure connectivity)</w:t>
      </w:r>
    </w:p>
    <w:p w:rsidR="00A45E91" w:rsidRPr="00D14682" w:rsidRDefault="00A45E91" w:rsidP="00A45E91">
      <w:pPr>
        <w:pStyle w:val="BodyText"/>
        <w:rPr>
          <w:i/>
        </w:rPr>
      </w:pPr>
      <w:r w:rsidRPr="00D14682">
        <w:rPr>
          <w:i/>
        </w:rPr>
        <w:t xml:space="preserve">Progress toward this objective </w:t>
      </w:r>
      <w:r>
        <w:rPr>
          <w:i/>
        </w:rPr>
        <w:t xml:space="preserve">improved from amber to </w:t>
      </w:r>
      <w:r w:rsidRPr="00D14682">
        <w:rPr>
          <w:i/>
        </w:rPr>
        <w:t>green</w:t>
      </w:r>
      <w:r>
        <w:rPr>
          <w:i/>
        </w:rPr>
        <w:t xml:space="preserve">.  This was </w:t>
      </w:r>
      <w:r w:rsidR="00391E22">
        <w:rPr>
          <w:i/>
        </w:rPr>
        <w:t>because</w:t>
      </w:r>
      <w:r w:rsidRPr="00D14682">
        <w:rPr>
          <w:i/>
        </w:rPr>
        <w:t xml:space="preserve"> </w:t>
      </w:r>
      <w:r w:rsidRPr="00D14682">
        <w:rPr>
          <w:i/>
          <w:szCs w:val="22"/>
        </w:rPr>
        <w:t>SARTFP</w:t>
      </w:r>
      <w:r w:rsidRPr="00D14682">
        <w:rPr>
          <w:i/>
        </w:rPr>
        <w:t xml:space="preserve">, the principal investment under this objective, was </w:t>
      </w:r>
      <w:r>
        <w:rPr>
          <w:i/>
        </w:rPr>
        <w:t>designed and mobilised as planned</w:t>
      </w:r>
      <w:r w:rsidR="008402C2">
        <w:rPr>
          <w:i/>
        </w:rPr>
        <w:t xml:space="preserve"> with dedicated DFAT resourcing for M&amp;E and program governance</w:t>
      </w:r>
      <w:r w:rsidR="00306DBA">
        <w:rPr>
          <w:i/>
        </w:rPr>
        <w:t>. In addition, there were i</w:t>
      </w:r>
      <w:r w:rsidRPr="00D14682">
        <w:rPr>
          <w:i/>
        </w:rPr>
        <w:t>mprovements in funding disbursement on the Infrast</w:t>
      </w:r>
      <w:r w:rsidR="00306DBA">
        <w:rPr>
          <w:i/>
        </w:rPr>
        <w:t>ructure for Growth (IFG) program</w:t>
      </w:r>
      <w:r w:rsidRPr="00D14682">
        <w:rPr>
          <w:i/>
        </w:rPr>
        <w:t xml:space="preserve"> and </w:t>
      </w:r>
      <w:r w:rsidR="00306DBA">
        <w:rPr>
          <w:i/>
        </w:rPr>
        <w:t xml:space="preserve">a </w:t>
      </w:r>
      <w:r w:rsidRPr="00D14682">
        <w:rPr>
          <w:i/>
        </w:rPr>
        <w:t>better alignme</w:t>
      </w:r>
      <w:r w:rsidR="006A0B68">
        <w:rPr>
          <w:i/>
        </w:rPr>
        <w:t xml:space="preserve">nt between IFG and SARTFP </w:t>
      </w:r>
      <w:r w:rsidR="00306DBA">
        <w:rPr>
          <w:i/>
        </w:rPr>
        <w:t>activities</w:t>
      </w:r>
      <w:r w:rsidRPr="00D14682">
        <w:rPr>
          <w:i/>
        </w:rPr>
        <w:t>.</w:t>
      </w:r>
    </w:p>
    <w:p w:rsidR="00A45E91" w:rsidRPr="00D14682" w:rsidRDefault="00A45E91" w:rsidP="00A45E91">
      <w:pPr>
        <w:pStyle w:val="BodyText"/>
      </w:pPr>
      <w:r w:rsidRPr="00D14682">
        <w:rPr>
          <w:szCs w:val="22"/>
        </w:rPr>
        <w:t>During 2014-15, Australia addressed regional connectivity challenges in the region through three</w:t>
      </w:r>
      <w:r w:rsidRPr="00D14682" w:rsidDel="00FA1BCC">
        <w:rPr>
          <w:szCs w:val="22"/>
        </w:rPr>
        <w:t xml:space="preserve"> programs</w:t>
      </w:r>
      <w:r w:rsidRPr="00D14682">
        <w:rPr>
          <w:szCs w:val="22"/>
        </w:rPr>
        <w:t xml:space="preserve"> </w:t>
      </w:r>
      <w:r w:rsidRPr="00D14682" w:rsidDel="00FA1BCC">
        <w:rPr>
          <w:szCs w:val="22"/>
        </w:rPr>
        <w:t>—</w:t>
      </w:r>
      <w:r w:rsidRPr="00D14682">
        <w:rPr>
          <w:szCs w:val="22"/>
        </w:rPr>
        <w:t xml:space="preserve"> </w:t>
      </w:r>
      <w:r w:rsidRPr="00D14682" w:rsidDel="00FA1BCC">
        <w:rPr>
          <w:szCs w:val="22"/>
        </w:rPr>
        <w:t>the World Bank</w:t>
      </w:r>
      <w:r w:rsidRPr="00D14682">
        <w:rPr>
          <w:szCs w:val="22"/>
        </w:rPr>
        <w:noBreakHyphen/>
      </w:r>
      <w:r w:rsidRPr="00D14682" w:rsidDel="00FA1BCC">
        <w:rPr>
          <w:szCs w:val="22"/>
        </w:rPr>
        <w:t>implemented</w:t>
      </w:r>
      <w:r w:rsidRPr="00D14682">
        <w:rPr>
          <w:szCs w:val="22"/>
        </w:rPr>
        <w:t xml:space="preserve"> SARTFP and</w:t>
      </w:r>
      <w:r w:rsidRPr="00D14682" w:rsidDel="00FA1BCC">
        <w:rPr>
          <w:szCs w:val="22"/>
        </w:rPr>
        <w:t xml:space="preserve"> IFG program</w:t>
      </w:r>
      <w:r>
        <w:rPr>
          <w:szCs w:val="22"/>
        </w:rPr>
        <w:t>,</w:t>
      </w:r>
      <w:r w:rsidRPr="00D14682" w:rsidDel="00FA1BCC">
        <w:rPr>
          <w:szCs w:val="22"/>
        </w:rPr>
        <w:t xml:space="preserve"> and the </w:t>
      </w:r>
      <w:r>
        <w:rPr>
          <w:szCs w:val="22"/>
        </w:rPr>
        <w:t xml:space="preserve">recently completed </w:t>
      </w:r>
      <w:r w:rsidRPr="00D14682" w:rsidDel="00FA1BCC">
        <w:rPr>
          <w:szCs w:val="22"/>
        </w:rPr>
        <w:t xml:space="preserve">Australia–Asian Development Bank </w:t>
      </w:r>
      <w:r w:rsidR="00391E22">
        <w:rPr>
          <w:szCs w:val="22"/>
        </w:rPr>
        <w:t xml:space="preserve">(ADB) </w:t>
      </w:r>
      <w:r w:rsidRPr="00D14682" w:rsidDel="00FA1BCC">
        <w:rPr>
          <w:szCs w:val="22"/>
        </w:rPr>
        <w:t>South Asia Developm</w:t>
      </w:r>
      <w:r w:rsidR="00391E22">
        <w:rPr>
          <w:szCs w:val="22"/>
        </w:rPr>
        <w:t>ent Partnership Facility</w:t>
      </w:r>
      <w:r w:rsidRPr="00D14682">
        <w:rPr>
          <w:szCs w:val="22"/>
        </w:rPr>
        <w:t>.</w:t>
      </w:r>
    </w:p>
    <w:p w:rsidR="00A45E91" w:rsidRPr="00D14682" w:rsidRDefault="00A45E91" w:rsidP="00A45E91">
      <w:pPr>
        <w:pStyle w:val="BodyText"/>
      </w:pPr>
      <w:r w:rsidRPr="00D14682">
        <w:lastRenderedPageBreak/>
        <w:t>DFAT will provide the World Bank with up to $25 million over four years</w:t>
      </w:r>
      <w:r w:rsidR="006A0B68">
        <w:t xml:space="preserve"> (2014-18) for</w:t>
      </w:r>
      <w:r w:rsidRPr="00D14682">
        <w:t xml:space="preserve"> SARTFP. </w:t>
      </w:r>
      <w:r>
        <w:t xml:space="preserve"> </w:t>
      </w:r>
      <w:r w:rsidRPr="00D14682">
        <w:t xml:space="preserve">SARTFP is an “aid for trade” investment that specifically focuses on supporting gender-sensitive </w:t>
      </w:r>
      <w:r w:rsidR="00306DBA">
        <w:t xml:space="preserve">approaches </w:t>
      </w:r>
      <w:r w:rsidRPr="00D14682">
        <w:t>in trade facilitation, infrastructure connectivity, livelihood and enterprise development</w:t>
      </w:r>
      <w:r w:rsidRPr="00057325">
        <w:t xml:space="preserve"> </w:t>
      </w:r>
      <w:r w:rsidRPr="00D14682">
        <w:t xml:space="preserve">initiatives. </w:t>
      </w:r>
      <w:r>
        <w:t xml:space="preserve"> </w:t>
      </w:r>
      <w:r w:rsidRPr="00D14682">
        <w:t>Through SARTFP, DFAT will strengthen the integration of gende</w:t>
      </w:r>
      <w:r w:rsidR="00306DBA">
        <w:t>r equality in South Asia trade</w:t>
      </w:r>
      <w:r w:rsidR="00AC4A41">
        <w:t xml:space="preserve"> programs</w:t>
      </w:r>
      <w:r w:rsidRPr="00D14682">
        <w:t>, challenging the assumption that trade is gender neutral</w:t>
      </w:r>
      <w:r>
        <w:t>,</w:t>
      </w:r>
      <w:r w:rsidRPr="00D14682">
        <w:t xml:space="preserve"> and demonstrate why gender matters in regional trade facilitation an</w:t>
      </w:r>
      <w:r>
        <w:t>d infrastructure connectivity.</w:t>
      </w:r>
    </w:p>
    <w:p w:rsidR="00A45E91" w:rsidRPr="00D14682" w:rsidRDefault="00A45E91" w:rsidP="00A45E91">
      <w:pPr>
        <w:pStyle w:val="BodyText"/>
      </w:pPr>
      <w:r>
        <w:t>In 2014-15 a</w:t>
      </w:r>
      <w:r w:rsidRPr="00D14682">
        <w:t>s part of SARTFP</w:t>
      </w:r>
      <w:r>
        <w:t>,</w:t>
      </w:r>
      <w:r w:rsidRPr="00D14682">
        <w:t xml:space="preserve"> new </w:t>
      </w:r>
      <w:r>
        <w:t>a</w:t>
      </w:r>
      <w:r w:rsidRPr="00D14682">
        <w:t>rrangements have been established to guide the investment</w:t>
      </w:r>
      <w:r w:rsidR="00E55521">
        <w:t xml:space="preserve"> strategy</w:t>
      </w:r>
      <w:r w:rsidRPr="00D14682">
        <w:t xml:space="preserve">. </w:t>
      </w:r>
      <w:r>
        <w:t xml:space="preserve"> </w:t>
      </w:r>
      <w:r w:rsidRPr="00D14682">
        <w:t xml:space="preserve">This includes a </w:t>
      </w:r>
      <w:r>
        <w:t>World Bank-DFAT SARTFP Donor Steering Committee</w:t>
      </w:r>
      <w:r w:rsidR="00391E22">
        <w:t xml:space="preserve"> and</w:t>
      </w:r>
      <w:r w:rsidR="008402C2">
        <w:t xml:space="preserve"> </w:t>
      </w:r>
      <w:r w:rsidRPr="00D14682">
        <w:t xml:space="preserve">a Technical Advisory Facility (TAF) to support </w:t>
      </w:r>
      <w:r w:rsidR="00391E22">
        <w:t>DFAT’s</w:t>
      </w:r>
      <w:r>
        <w:t xml:space="preserve"> </w:t>
      </w:r>
      <w:r w:rsidRPr="00D14682">
        <w:t xml:space="preserve">technical engagement in SARTFP.  </w:t>
      </w:r>
      <w:r w:rsidR="00D539A5">
        <w:t>T</w:t>
      </w:r>
      <w:r w:rsidRPr="00D14682">
        <w:t xml:space="preserve">he SARTFP design </w:t>
      </w:r>
      <w:r>
        <w:t xml:space="preserve">was finalised in </w:t>
      </w:r>
      <w:r w:rsidRPr="00D14682">
        <w:t>late 2014</w:t>
      </w:r>
      <w:r w:rsidRPr="00D14682">
        <w:noBreakHyphen/>
        <w:t>15, delaying completion of the monitoring and evaluation framework.</w:t>
      </w:r>
      <w:r>
        <w:t xml:space="preserve"> </w:t>
      </w:r>
      <w:r w:rsidRPr="00D14682">
        <w:t xml:space="preserve"> This is a priority for 2015-16</w:t>
      </w:r>
      <w:r>
        <w:t>.</w:t>
      </w:r>
    </w:p>
    <w:p w:rsidR="00A45E91" w:rsidRPr="00D14682" w:rsidRDefault="00A45E91" w:rsidP="00A45E91">
      <w:pPr>
        <w:pStyle w:val="BodyText"/>
      </w:pPr>
      <w:r w:rsidRPr="00D14682">
        <w:t xml:space="preserve">Over the reporting period, measures have been taken to better integrate SARTFP with </w:t>
      </w:r>
      <w:r w:rsidR="00D539A5">
        <w:t>our</w:t>
      </w:r>
      <w:r w:rsidRPr="00D14682">
        <w:t xml:space="preserve"> other key investment under the regional connectivity objective, the </w:t>
      </w:r>
      <w:r>
        <w:t>IFG</w:t>
      </w:r>
      <w:r w:rsidRPr="00D14682">
        <w:t xml:space="preserve"> program.  </w:t>
      </w:r>
      <w:r>
        <w:t xml:space="preserve">This includes working </w:t>
      </w:r>
      <w:r w:rsidRPr="00D14682">
        <w:t>with the World Bank to re</w:t>
      </w:r>
      <w:r w:rsidR="00D539A5">
        <w:t>vise</w:t>
      </w:r>
      <w:r w:rsidRPr="00D14682">
        <w:t xml:space="preserve"> the overarching Partnership fo</w:t>
      </w:r>
      <w:r>
        <w:t>r South Asia (PFSA) ‘umbrella’ Trust F</w:t>
      </w:r>
      <w:r w:rsidRPr="00D14682">
        <w:t xml:space="preserve">und Administration Agreement, which </w:t>
      </w:r>
      <w:r w:rsidR="00D539A5">
        <w:t>covers</w:t>
      </w:r>
      <w:r w:rsidRPr="00D14682">
        <w:t xml:space="preserve"> both the IFG and SA</w:t>
      </w:r>
      <w:r w:rsidR="00E55521">
        <w:t>RTFP investments.  This</w:t>
      </w:r>
      <w:r w:rsidRPr="00D14682">
        <w:t xml:space="preserve"> </w:t>
      </w:r>
      <w:r w:rsidR="00D539A5">
        <w:t>should</w:t>
      </w:r>
      <w:r w:rsidRPr="00D14682">
        <w:t xml:space="preserve"> ensure that the governance arrangements for these programs remain fit for purpose, and allow the alignment and complementarity between the SARTFP and IFG program</w:t>
      </w:r>
      <w:r>
        <w:t xml:space="preserve">s, helping to </w:t>
      </w:r>
      <w:r w:rsidRPr="00D14682">
        <w:t>maximis</w:t>
      </w:r>
      <w:r>
        <w:t>e</w:t>
      </w:r>
      <w:r w:rsidRPr="00D14682">
        <w:t xml:space="preserve"> </w:t>
      </w:r>
      <w:r w:rsidR="00306DBA">
        <w:t xml:space="preserve">benefits from </w:t>
      </w:r>
      <w:r w:rsidRPr="00D14682">
        <w:t>the investments under each program.</w:t>
      </w:r>
    </w:p>
    <w:p w:rsidR="00391E22" w:rsidRDefault="00A45E91" w:rsidP="00A45E91">
      <w:pPr>
        <w:pStyle w:val="BodyText"/>
        <w:rPr>
          <w:szCs w:val="21"/>
        </w:rPr>
      </w:pPr>
      <w:r w:rsidRPr="00D14682">
        <w:t xml:space="preserve">The objective of the IFG program is to meet infrastructure gaps in the region </w:t>
      </w:r>
      <w:r>
        <w:t xml:space="preserve">to facilitate </w:t>
      </w:r>
      <w:r w:rsidRPr="00D14682">
        <w:t xml:space="preserve">connectivity and integration, both within countries and within the region. </w:t>
      </w:r>
      <w:r>
        <w:t xml:space="preserve"> </w:t>
      </w:r>
      <w:r w:rsidRPr="00D14682">
        <w:t xml:space="preserve">Considerable progress was made under IFG during 2014-15, after a slow start. </w:t>
      </w:r>
      <w:r>
        <w:t xml:space="preserve"> </w:t>
      </w:r>
      <w:r w:rsidRPr="00D14682">
        <w:t>Sixteen new activities valued at approximately $5.8 million were funded</w:t>
      </w:r>
      <w:r>
        <w:t xml:space="preserve">.  This included </w:t>
      </w:r>
      <w:r w:rsidRPr="00D14682">
        <w:t>an India Eastern Corridor Intermodal Transport and Logistics activity to identify and define the potential for increasing intermodal transport and improving logistics along th</w:t>
      </w:r>
      <w:r w:rsidR="00306DBA">
        <w:t>is trade c</w:t>
      </w:r>
      <w:r w:rsidRPr="00D14682">
        <w:t>orridor</w:t>
      </w:r>
      <w:r>
        <w:t>.</w:t>
      </w:r>
    </w:p>
    <w:p w:rsidR="00A45E91" w:rsidRPr="00D14682" w:rsidRDefault="00A45E91" w:rsidP="00A45E91">
      <w:pPr>
        <w:pStyle w:val="BodyText"/>
        <w:rPr>
          <w:szCs w:val="21"/>
        </w:rPr>
      </w:pPr>
      <w:r w:rsidRPr="00D14682">
        <w:rPr>
          <w:szCs w:val="21"/>
        </w:rPr>
        <w:t>The Australia–</w:t>
      </w:r>
      <w:r w:rsidR="00391E22">
        <w:rPr>
          <w:szCs w:val="21"/>
        </w:rPr>
        <w:t>ADB</w:t>
      </w:r>
      <w:r w:rsidRPr="00D14682">
        <w:rPr>
          <w:szCs w:val="21"/>
        </w:rPr>
        <w:t xml:space="preserve"> South Asia Development Partnership Facility </w:t>
      </w:r>
      <w:r w:rsidR="00391E22">
        <w:rPr>
          <w:szCs w:val="21"/>
        </w:rPr>
        <w:t xml:space="preserve">(the Facility) </w:t>
      </w:r>
      <w:r w:rsidRPr="00D14682">
        <w:rPr>
          <w:szCs w:val="21"/>
        </w:rPr>
        <w:t>co</w:t>
      </w:r>
      <w:r>
        <w:rPr>
          <w:szCs w:val="21"/>
        </w:rPr>
        <w:t xml:space="preserve">ncluded </w:t>
      </w:r>
      <w:r w:rsidRPr="00D14682">
        <w:rPr>
          <w:szCs w:val="21"/>
        </w:rPr>
        <w:t xml:space="preserve">in March 2015. </w:t>
      </w:r>
      <w:r>
        <w:rPr>
          <w:szCs w:val="21"/>
        </w:rPr>
        <w:t xml:space="preserve"> </w:t>
      </w:r>
      <w:r w:rsidRPr="00D14682">
        <w:rPr>
          <w:szCs w:val="21"/>
        </w:rPr>
        <w:t>In total, 27 sub-projects were financed</w:t>
      </w:r>
      <w:r>
        <w:rPr>
          <w:szCs w:val="21"/>
        </w:rPr>
        <w:t xml:space="preserve"> </w:t>
      </w:r>
      <w:r w:rsidRPr="00D14682">
        <w:rPr>
          <w:szCs w:val="21"/>
        </w:rPr>
        <w:t>to advanc</w:t>
      </w:r>
      <w:r>
        <w:rPr>
          <w:szCs w:val="21"/>
        </w:rPr>
        <w:t>e</w:t>
      </w:r>
      <w:r w:rsidRPr="00D14682">
        <w:rPr>
          <w:szCs w:val="21"/>
        </w:rPr>
        <w:t xml:space="preserve"> regional cooperation and integration, as well as climate change and green growth.  The success of the Facility was assessed</w:t>
      </w:r>
      <w:r w:rsidR="006A0B68">
        <w:rPr>
          <w:szCs w:val="21"/>
        </w:rPr>
        <w:t xml:space="preserve"> at a workshop</w:t>
      </w:r>
      <w:r w:rsidRPr="00D14682">
        <w:rPr>
          <w:szCs w:val="21"/>
        </w:rPr>
        <w:t xml:space="preserve"> </w:t>
      </w:r>
      <w:r w:rsidR="00391E22">
        <w:rPr>
          <w:szCs w:val="21"/>
        </w:rPr>
        <w:t xml:space="preserve">in November 2014 </w:t>
      </w:r>
      <w:r w:rsidR="00306DBA">
        <w:rPr>
          <w:szCs w:val="21"/>
        </w:rPr>
        <w:t xml:space="preserve">attended </w:t>
      </w:r>
      <w:r w:rsidRPr="00D14682">
        <w:rPr>
          <w:szCs w:val="21"/>
        </w:rPr>
        <w:t xml:space="preserve">by government officials, ADB technical specialists, UN agencies and NGO and civil society representatives.  </w:t>
      </w:r>
      <w:r>
        <w:rPr>
          <w:szCs w:val="21"/>
        </w:rPr>
        <w:t xml:space="preserve">The outputs of </w:t>
      </w:r>
      <w:r w:rsidRPr="00D14682">
        <w:rPr>
          <w:szCs w:val="21"/>
        </w:rPr>
        <w:t xml:space="preserve">sub-projects have been </w:t>
      </w:r>
      <w:r>
        <w:rPr>
          <w:szCs w:val="21"/>
        </w:rPr>
        <w:t xml:space="preserve">used </w:t>
      </w:r>
      <w:r w:rsidRPr="00D14682">
        <w:rPr>
          <w:szCs w:val="21"/>
        </w:rPr>
        <w:t xml:space="preserve">by relevant governments and have also </w:t>
      </w:r>
      <w:r w:rsidR="00D539A5">
        <w:rPr>
          <w:szCs w:val="21"/>
        </w:rPr>
        <w:t>helped pave</w:t>
      </w:r>
      <w:r w:rsidRPr="00D14682">
        <w:rPr>
          <w:szCs w:val="21"/>
        </w:rPr>
        <w:t xml:space="preserve"> the way for private sector investment.  For example, the study </w:t>
      </w:r>
      <w:r w:rsidRPr="00D14682">
        <w:rPr>
          <w:i/>
          <w:szCs w:val="21"/>
        </w:rPr>
        <w:t>Bhutan: Critical Development Constraints</w:t>
      </w:r>
      <w:r w:rsidRPr="00D14682">
        <w:rPr>
          <w:szCs w:val="21"/>
        </w:rPr>
        <w:t xml:space="preserve"> was used by the Royal Government of Bhutan in preparing the country’s Eleventh Five Year Plan (2013-18). </w:t>
      </w:r>
      <w:r>
        <w:rPr>
          <w:szCs w:val="21"/>
        </w:rPr>
        <w:t xml:space="preserve"> </w:t>
      </w:r>
      <w:r w:rsidRPr="00D14682">
        <w:rPr>
          <w:szCs w:val="21"/>
        </w:rPr>
        <w:t>Nineteen per cent of the Facility’s budget funded five sub</w:t>
      </w:r>
      <w:r>
        <w:rPr>
          <w:szCs w:val="21"/>
        </w:rPr>
        <w:t>-p</w:t>
      </w:r>
      <w:r w:rsidRPr="00D14682">
        <w:rPr>
          <w:szCs w:val="21"/>
        </w:rPr>
        <w:t xml:space="preserve">rojects that specifically addressed gender equality and the empowerment of women and girls.  </w:t>
      </w:r>
      <w:r>
        <w:rPr>
          <w:szCs w:val="21"/>
        </w:rPr>
        <w:t xml:space="preserve">Other </w:t>
      </w:r>
      <w:r w:rsidRPr="00D14682">
        <w:rPr>
          <w:szCs w:val="21"/>
        </w:rPr>
        <w:t xml:space="preserve">results from the Facility </w:t>
      </w:r>
      <w:r>
        <w:rPr>
          <w:szCs w:val="21"/>
        </w:rPr>
        <w:t>were</w:t>
      </w:r>
      <w:r w:rsidRPr="00D14682">
        <w:rPr>
          <w:szCs w:val="21"/>
        </w:rPr>
        <w:t>:</w:t>
      </w:r>
    </w:p>
    <w:p w:rsidR="00A45E91" w:rsidRPr="00D14682" w:rsidRDefault="00A45E91" w:rsidP="00A45E91">
      <w:pPr>
        <w:pStyle w:val="ListBullet"/>
        <w:tabs>
          <w:tab w:val="clear" w:pos="284"/>
        </w:tabs>
      </w:pPr>
      <w:r w:rsidRPr="00D14682">
        <w:t>In Bangladesh, a sub-project result</w:t>
      </w:r>
      <w:r>
        <w:t>ed</w:t>
      </w:r>
      <w:r w:rsidRPr="00D14682">
        <w:t xml:space="preserve"> in bankers expanding their lending to include women borrowers and provid</w:t>
      </w:r>
      <w:r>
        <w:t>ed</w:t>
      </w:r>
      <w:r w:rsidRPr="00D14682">
        <w:t xml:space="preserve"> legal literacy training to 150 women entrepreneurs. </w:t>
      </w:r>
    </w:p>
    <w:p w:rsidR="00A45E91" w:rsidRPr="00D14682" w:rsidRDefault="00A45E91" w:rsidP="00A45E91">
      <w:pPr>
        <w:pStyle w:val="ListBullet"/>
        <w:tabs>
          <w:tab w:val="clear" w:pos="284"/>
        </w:tabs>
      </w:pPr>
      <w:r w:rsidRPr="00D14682">
        <w:t xml:space="preserve">Training for 60 South Asia Subregional Economic Cooperation trade officials </w:t>
      </w:r>
      <w:r>
        <w:t xml:space="preserve">on </w:t>
      </w:r>
      <w:r w:rsidRPr="00D14682">
        <w:t>customs and logistics, trade processes and reforms, and risk management.</w:t>
      </w:r>
    </w:p>
    <w:p w:rsidR="00D14682" w:rsidRPr="00D14682" w:rsidRDefault="00D14682" w:rsidP="00D14682">
      <w:pPr>
        <w:pStyle w:val="Heading3"/>
        <w:rPr>
          <w:sz w:val="32"/>
          <w:szCs w:val="32"/>
        </w:rPr>
      </w:pPr>
      <w:r w:rsidRPr="00D14682">
        <w:t>Performance Benchmarks</w:t>
      </w:r>
      <w:r w:rsidRPr="00D14682">
        <w:rPr>
          <w:sz w:val="32"/>
          <w:szCs w:val="32"/>
        </w:rPr>
        <w:tab/>
      </w:r>
    </w:p>
    <w:p w:rsidR="00A45E91" w:rsidRPr="00D14682" w:rsidRDefault="00A12D4F" w:rsidP="00A45E91">
      <w:pPr>
        <w:pStyle w:val="ListBullet"/>
        <w:numPr>
          <w:ilvl w:val="0"/>
          <w:numId w:val="0"/>
        </w:numPr>
      </w:pPr>
      <w:r>
        <w:t>Good</w:t>
      </w:r>
      <w:r w:rsidR="00A45E91" w:rsidRPr="00D14682">
        <w:t xml:space="preserve"> progress was made against the South Asia Regional program’s pilot performance benchmarks for 2014-15, with five out of the six benchmarks achieved in the reporting period. </w:t>
      </w:r>
      <w:r w:rsidR="00A45E91">
        <w:t xml:space="preserve"> </w:t>
      </w:r>
      <w:r w:rsidR="00E55521">
        <w:t>The sixth benchmark was</w:t>
      </w:r>
      <w:r w:rsidR="00A45E91" w:rsidRPr="00D14682">
        <w:t xml:space="preserve"> no longer relevant due to </w:t>
      </w:r>
      <w:r w:rsidR="00E55521">
        <w:t xml:space="preserve">aid </w:t>
      </w:r>
      <w:r w:rsidR="00A45E91" w:rsidRPr="00D14682">
        <w:t xml:space="preserve">budget </w:t>
      </w:r>
      <w:r w:rsidR="00A45E91">
        <w:t>reductions</w:t>
      </w:r>
      <w:r w:rsidR="00A45E91" w:rsidRPr="00D14682">
        <w:t xml:space="preserve">. </w:t>
      </w:r>
      <w:r w:rsidR="00A45E91">
        <w:t xml:space="preserve"> </w:t>
      </w:r>
      <w:r w:rsidR="00A45E91" w:rsidRPr="00D14682">
        <w:t xml:space="preserve">The good progress </w:t>
      </w:r>
      <w:r w:rsidR="00A45E91" w:rsidRPr="00D14682">
        <w:lastRenderedPageBreak/>
        <w:t>on</w:t>
      </w:r>
      <w:r w:rsidR="00A45E91">
        <w:t xml:space="preserve"> </w:t>
      </w:r>
      <w:r w:rsidR="00A45E91" w:rsidRPr="00D14682">
        <w:t xml:space="preserve">benchmarks, particularly the benchmark relating to capacity building </w:t>
      </w:r>
      <w:r w:rsidR="00A45E91">
        <w:t xml:space="preserve">in the </w:t>
      </w:r>
      <w:r w:rsidR="00A45E91" w:rsidRPr="00D14682">
        <w:t xml:space="preserve">water </w:t>
      </w:r>
      <w:r w:rsidR="00A45E91">
        <w:t xml:space="preserve">and </w:t>
      </w:r>
      <w:r w:rsidR="00A45E91" w:rsidRPr="00D14682">
        <w:t xml:space="preserve">agricultural </w:t>
      </w:r>
      <w:r w:rsidR="00A45E91">
        <w:t xml:space="preserve">sectors, </w:t>
      </w:r>
      <w:r w:rsidR="00A45E91" w:rsidRPr="00D14682">
        <w:t xml:space="preserve">indicates </w:t>
      </w:r>
      <w:r w:rsidR="007E128F">
        <w:t>more robust benchmarks could be set</w:t>
      </w:r>
      <w:r w:rsidR="00A45E91" w:rsidRPr="00D14682">
        <w:t xml:space="preserve">. </w:t>
      </w:r>
      <w:r w:rsidR="00A45E91">
        <w:t xml:space="preserve"> As a result, t</w:t>
      </w:r>
      <w:r w:rsidR="00A45E91" w:rsidRPr="00D14682">
        <w:t xml:space="preserve">he benchmarks were revised </w:t>
      </w:r>
      <w:r w:rsidR="00A45E91">
        <w:t xml:space="preserve">during development of </w:t>
      </w:r>
      <w:r w:rsidR="00D539A5">
        <w:t>DFAT’s new</w:t>
      </w:r>
      <w:r w:rsidR="00A45E91" w:rsidRPr="00D14682">
        <w:t xml:space="preserve"> </w:t>
      </w:r>
      <w:r w:rsidR="00A45E91">
        <w:t xml:space="preserve">South Asia Regional </w:t>
      </w:r>
      <w:r w:rsidR="00A45E91" w:rsidRPr="00D14682">
        <w:t>A</w:t>
      </w:r>
      <w:r w:rsidR="00AC4A41">
        <w:t xml:space="preserve">id Investment Plan </w:t>
      </w:r>
      <w:r w:rsidR="007E128F" w:rsidRPr="00D14682">
        <w:t>2015-19</w:t>
      </w:r>
      <w:r w:rsidR="007E128F">
        <w:t xml:space="preserve"> </w:t>
      </w:r>
      <w:r w:rsidR="00A45E91" w:rsidRPr="00D14682">
        <w:t xml:space="preserve">to ensure they </w:t>
      </w:r>
      <w:r w:rsidR="007E128F">
        <w:t xml:space="preserve">were both </w:t>
      </w:r>
      <w:r w:rsidR="00A45E91" w:rsidRPr="00D14682">
        <w:t xml:space="preserve">realistic and sufficiently ambitious. </w:t>
      </w:r>
      <w:r w:rsidR="00A45E91">
        <w:t xml:space="preserve"> </w:t>
      </w:r>
      <w:r w:rsidR="00A45E91" w:rsidRPr="00D14682">
        <w:t xml:space="preserve">A detailed description of progress is included in </w:t>
      </w:r>
      <w:r w:rsidR="00A45E91" w:rsidRPr="00D14682">
        <w:rPr>
          <w:b/>
        </w:rPr>
        <w:t>Annex B</w:t>
      </w:r>
      <w:r w:rsidR="00A45E91" w:rsidRPr="00D14682">
        <w:t>.</w:t>
      </w:r>
      <w:r w:rsidR="00BB26D2">
        <w:t xml:space="preserve">  </w:t>
      </w:r>
      <w:r w:rsidR="00A45E91" w:rsidRPr="00D14682">
        <w:t xml:space="preserve">From 2015-16, the South Asia Regional program will report against the benchmarks outlined in the </w:t>
      </w:r>
      <w:r w:rsidR="007E128F">
        <w:t xml:space="preserve">new </w:t>
      </w:r>
      <w:r w:rsidR="00AC4A41">
        <w:t>South Asia Regional Aid Investment Plan</w:t>
      </w:r>
      <w:r w:rsidR="00A45E91" w:rsidRPr="00D14682">
        <w:t>.</w:t>
      </w:r>
    </w:p>
    <w:p w:rsidR="00D14682" w:rsidRPr="00D14682" w:rsidRDefault="00D14682" w:rsidP="00D14682">
      <w:pPr>
        <w:pStyle w:val="Heading3"/>
        <w:rPr>
          <w:rStyle w:val="BodyTextChar"/>
          <w:b w:val="0"/>
          <w:color w:val="auto"/>
        </w:rPr>
      </w:pPr>
      <w:r w:rsidRPr="00D14682">
        <w:t>Mutual Obligations</w:t>
      </w:r>
      <w:r w:rsidRPr="00D14682">
        <w:rPr>
          <w:sz w:val="32"/>
          <w:szCs w:val="32"/>
        </w:rPr>
        <w:tab/>
      </w:r>
      <w:r w:rsidRPr="00D14682">
        <w:tab/>
      </w:r>
      <w:r w:rsidRPr="00D14682">
        <w:tab/>
      </w:r>
      <w:r w:rsidRPr="00D14682">
        <w:tab/>
      </w:r>
    </w:p>
    <w:p w:rsidR="00A45E91" w:rsidRPr="00D14682" w:rsidRDefault="007E128F" w:rsidP="00A45E91">
      <w:pPr>
        <w:pStyle w:val="ListBullet"/>
        <w:numPr>
          <w:ilvl w:val="0"/>
          <w:numId w:val="0"/>
        </w:numPr>
        <w:rPr>
          <w:rFonts w:ascii="Helvetica" w:hAnsi="Helvetica" w:cs="Arial"/>
          <w:color w:val="007FAD"/>
          <w:kern w:val="28"/>
          <w:szCs w:val="28"/>
        </w:rPr>
      </w:pPr>
      <w:r>
        <w:t xml:space="preserve">Where possible the regional program is </w:t>
      </w:r>
      <w:r w:rsidR="00D539A5">
        <w:t>aligned to</w:t>
      </w:r>
      <w:r>
        <w:t xml:space="preserve"> the priorities of regional organisations (e.g. those of SAARC in the energy sector).  Where this is not possible, </w:t>
      </w:r>
      <w:r w:rsidR="00A45E91" w:rsidRPr="00D14682">
        <w:t>investments under the regional pr</w:t>
      </w:r>
      <w:r w:rsidR="006A0B68">
        <w:t>ogram will be aligned to, and</w:t>
      </w:r>
      <w:r w:rsidR="00A45E91" w:rsidRPr="00D14682">
        <w:t xml:space="preserve"> dependent on, </w:t>
      </w:r>
      <w:r w:rsidR="00A45E91">
        <w:t xml:space="preserve">regional or bilateral measures taken by South Asian </w:t>
      </w:r>
      <w:r w:rsidR="00A45E91" w:rsidRPr="00D14682">
        <w:t xml:space="preserve">governments (India, Pakistan, Bangladesh, Nepal and Bhutan) </w:t>
      </w:r>
      <w:r w:rsidR="00A45E91">
        <w:t xml:space="preserve">related to advancing </w:t>
      </w:r>
      <w:r w:rsidR="00A45E91" w:rsidRPr="00D14682">
        <w:t xml:space="preserve">regional </w:t>
      </w:r>
      <w:r w:rsidR="006A0B68">
        <w:t>cooperation</w:t>
      </w:r>
      <w:r w:rsidR="00A45E91" w:rsidRPr="00D14682">
        <w:t xml:space="preserve">. </w:t>
      </w:r>
      <w:r w:rsidR="00A45E91">
        <w:t xml:space="preserve"> This includes policy changes, new regional cooperation activities and cross-border agreements.  With respect to the regional connectivity objective, DFAT’s support to the World Bank is complementing large Bank loans to partner governments in the region for trade </w:t>
      </w:r>
      <w:r w:rsidR="006A0B68">
        <w:t>facilitation, providing a good</w:t>
      </w:r>
      <w:r w:rsidR="00A45E91">
        <w:t xml:space="preserve"> indicator of government </w:t>
      </w:r>
      <w:r>
        <w:t xml:space="preserve">commitment </w:t>
      </w:r>
      <w:r w:rsidR="00A45E91">
        <w:t>to this objective</w:t>
      </w:r>
      <w:r w:rsidR="00D02B36">
        <w:t>.</w:t>
      </w:r>
    </w:p>
    <w:p w:rsidR="00D14682" w:rsidRPr="00D14682" w:rsidRDefault="00D14682" w:rsidP="00D14682">
      <w:pPr>
        <w:pStyle w:val="Heading2"/>
        <w:rPr>
          <w:sz w:val="28"/>
        </w:rPr>
      </w:pPr>
      <w:r w:rsidRPr="00D14682">
        <w:rPr>
          <w:sz w:val="28"/>
        </w:rPr>
        <w:t xml:space="preserve">Program Quality and Partner Performance </w:t>
      </w:r>
    </w:p>
    <w:p w:rsidR="00D14682" w:rsidRPr="00D14682" w:rsidRDefault="00D14682" w:rsidP="00D14682">
      <w:pPr>
        <w:pStyle w:val="Heading3"/>
      </w:pPr>
      <w:r w:rsidRPr="00D14682">
        <w:t>Overview</w:t>
      </w:r>
      <w:r w:rsidRPr="00D14682">
        <w:tab/>
      </w:r>
      <w:r w:rsidRPr="00D14682">
        <w:tab/>
      </w:r>
    </w:p>
    <w:p w:rsidR="00D02B36" w:rsidRPr="00D14682" w:rsidRDefault="00D539A5" w:rsidP="00D02B36">
      <w:pPr>
        <w:pStyle w:val="BodyText"/>
        <w:keepNext/>
      </w:pPr>
      <w:r>
        <w:t xml:space="preserve">We made </w:t>
      </w:r>
      <w:r w:rsidR="00D02B36" w:rsidRPr="00D14682">
        <w:t xml:space="preserve">steady progress in consolidating the South Asia Regional program in 2014-15.  Less than 10 per cent of funding through DFAT’s South Asia Regional Program was allocated to investments </w:t>
      </w:r>
      <w:r w:rsidR="00E55521">
        <w:t>that fe</w:t>
      </w:r>
      <w:r w:rsidR="00D02B36" w:rsidRPr="00D14682">
        <w:t>ll outside the two objectives of the regional program, compared with 19.2 per cent in 2013-14 and 40 per cent in 2012-13.  Two legacy activities were closed, and a further two are expected to conclude in 2015-16.  From 2015-16, the funding pipeline will focus on two key investments (SDIP and SARTFP) and two high priority initiatives (support to the Indian Ocean Rim Association (IORA) and the Australia-India Strategic Research Fund (AISRF)).</w:t>
      </w:r>
    </w:p>
    <w:p w:rsidR="00D02B36" w:rsidRPr="00D14682" w:rsidRDefault="00D02B36" w:rsidP="00D02B36">
      <w:pPr>
        <w:pStyle w:val="BodyText"/>
      </w:pPr>
      <w:r w:rsidRPr="00D14682">
        <w:t xml:space="preserve">A comprehensive </w:t>
      </w:r>
      <w:r w:rsidR="007E128F">
        <w:t xml:space="preserve">monitoring and evaluation (M&amp;E) </w:t>
      </w:r>
      <w:r w:rsidRPr="00D14682">
        <w:t xml:space="preserve">system, including a </w:t>
      </w:r>
      <w:r w:rsidR="00DD4FDE">
        <w:t>PAF</w:t>
      </w:r>
      <w:r w:rsidRPr="00D14682">
        <w:t xml:space="preserve">, is tracking progress </w:t>
      </w:r>
      <w:r w:rsidR="002A6DF4">
        <w:t>under SDIP</w:t>
      </w:r>
      <w:r w:rsidRPr="00D14682">
        <w:t>.  Despite this, monitoring and reporting on such a complex investment remains a challenge and there has been a concerted effort to strengthen</w:t>
      </w:r>
      <w:r w:rsidR="007E128F">
        <w:t xml:space="preserve"> M&amp;E and reporting in 2014-15.  For example, </w:t>
      </w:r>
      <w:r w:rsidRPr="00D14682">
        <w:t>DFAT hosted an M&amp;E wor</w:t>
      </w:r>
      <w:r w:rsidR="002A6DF4">
        <w:t xml:space="preserve">kshop in March 2015, which </w:t>
      </w:r>
      <w:r w:rsidRPr="00D14682">
        <w:t>focused on gender monitoring and reporting.  Partner reporting requirements unde</w:t>
      </w:r>
      <w:r w:rsidR="002A6DF4">
        <w:t>r SDIP were also strengthened.</w:t>
      </w:r>
    </w:p>
    <w:p w:rsidR="00D02B36" w:rsidRPr="00D14682" w:rsidRDefault="00D02B36" w:rsidP="00D02B36">
      <w:pPr>
        <w:pStyle w:val="BodyText"/>
      </w:pPr>
      <w:r w:rsidRPr="00D14682">
        <w:t>Development of a monitoring and evaluation framework</w:t>
      </w:r>
      <w:r w:rsidR="00E55521">
        <w:t xml:space="preserve"> for the newly designed SARTFP </w:t>
      </w:r>
      <w:r w:rsidRPr="00D14682">
        <w:t xml:space="preserve">is a priority for 2015-16.  Two evaluations relating to DFAT’s regional-connectivity investments were completed in 2014-15 (see </w:t>
      </w:r>
      <w:r w:rsidRPr="00D14682">
        <w:rPr>
          <w:b/>
        </w:rPr>
        <w:t>Annex C</w:t>
      </w:r>
      <w:r w:rsidRPr="00D14682">
        <w:t>), with l</w:t>
      </w:r>
      <w:r>
        <w:t>earning</w:t>
      </w:r>
      <w:r w:rsidRPr="00D14682">
        <w:t xml:space="preserve"> incorporated in the design of SARTFP.  An independent </w:t>
      </w:r>
      <w:r>
        <w:t xml:space="preserve">review </w:t>
      </w:r>
      <w:r w:rsidRPr="00D14682">
        <w:t xml:space="preserve">of the first phase of the SDIP commenced in July 2015, and is expected to be completed by November 2015.  </w:t>
      </w:r>
      <w:r>
        <w:t>Its</w:t>
      </w:r>
      <w:r w:rsidRPr="00D14682">
        <w:t xml:space="preserve"> recommendations will inform the design of </w:t>
      </w:r>
      <w:r w:rsidR="002A6DF4">
        <w:t>P</w:t>
      </w:r>
      <w:r w:rsidRPr="00D14682">
        <w:t>hase 2 to be mobilised in July 2016.</w:t>
      </w:r>
    </w:p>
    <w:p w:rsidR="00D14682" w:rsidRPr="00D14682" w:rsidRDefault="00D14682" w:rsidP="00D14682">
      <w:pPr>
        <w:pStyle w:val="Heading3"/>
      </w:pPr>
      <w:r w:rsidRPr="00D14682">
        <w:t>Analysis of Aid Quality Checks (AQCs)</w:t>
      </w:r>
    </w:p>
    <w:p w:rsidR="0065142F" w:rsidRDefault="00D02B36" w:rsidP="00D02B36">
      <w:pPr>
        <w:pStyle w:val="BodyText"/>
      </w:pPr>
      <w:r w:rsidRPr="00D14682">
        <w:t xml:space="preserve">In 2015, overall AQC performance for the South Asia Regional program improved from the previous year (see ratings in </w:t>
      </w:r>
      <w:r w:rsidRPr="00D14682">
        <w:rPr>
          <w:b/>
        </w:rPr>
        <w:t>Annex D</w:t>
      </w:r>
      <w:r w:rsidRPr="00D14682">
        <w:t xml:space="preserve">).  Five investments were reviewed and three received exemptions.  SDIP maintained good ratings across all AQC performance categories and continues to be considered a relevant, efficient and effective program.  Under the Regional Connectivity objective – which principally covers SARTFP and IFG – less than adequate ratings </w:t>
      </w:r>
      <w:r w:rsidRPr="00D14682">
        <w:lastRenderedPageBreak/>
        <w:t xml:space="preserve">for efficiency and M&amp;E were due to slow commitment and disbursement of funds under IFG and a delay in finalising the design of SARTFP.  </w:t>
      </w:r>
      <w:r w:rsidR="00D539A5">
        <w:t>T</w:t>
      </w:r>
      <w:r w:rsidRPr="00D14682">
        <w:t xml:space="preserve">here has now been an increase in funding committed </w:t>
      </w:r>
      <w:r>
        <w:t xml:space="preserve">under IFG </w:t>
      </w:r>
      <w:r w:rsidRPr="00D14682">
        <w:t>and it is expected that implementation will accelerate.</w:t>
      </w:r>
      <w:r>
        <w:t xml:space="preserve">  T</w:t>
      </w:r>
      <w:r w:rsidRPr="00D14682">
        <w:t>he Australia-ADB Facility concluded this year, with an overall adequate rating.</w:t>
      </w:r>
      <w:r w:rsidR="0065142F">
        <w:t xml:space="preserve">  </w:t>
      </w:r>
    </w:p>
    <w:p w:rsidR="00D34C43" w:rsidRDefault="00D02B36" w:rsidP="00D02B36">
      <w:pPr>
        <w:pStyle w:val="BodyText"/>
      </w:pPr>
      <w:r w:rsidRPr="00D14682">
        <w:t>Water and Sanitation India (WSI)</w:t>
      </w:r>
      <w:r>
        <w:t xml:space="preserve"> and</w:t>
      </w:r>
      <w:r w:rsidRPr="00D14682">
        <w:t xml:space="preserve"> South Asia Food Security and Nutrition Initiative (SAFANSI), which were identified as </w:t>
      </w:r>
      <w:r>
        <w:t>underperforming investments</w:t>
      </w:r>
      <w:r w:rsidRPr="00D14682">
        <w:t xml:space="preserve"> in 2014</w:t>
      </w:r>
      <w:r>
        <w:t>,</w:t>
      </w:r>
      <w:r w:rsidRPr="00D14682">
        <w:t xml:space="preserve"> </w:t>
      </w:r>
      <w:r>
        <w:t>i</w:t>
      </w:r>
      <w:r w:rsidR="007E128F">
        <w:t xml:space="preserve">mproved their performance </w:t>
      </w:r>
      <w:r w:rsidRPr="00D14682">
        <w:t>ratings in 2015</w:t>
      </w:r>
      <w:r w:rsidR="007E128F">
        <w:t xml:space="preserve">, with better </w:t>
      </w:r>
      <w:r w:rsidRPr="00D14682">
        <w:t>reporting by del</w:t>
      </w:r>
      <w:r>
        <w:t>ivery partners.</w:t>
      </w:r>
      <w:r w:rsidR="0065142F">
        <w:t xml:space="preserve">  </w:t>
      </w:r>
    </w:p>
    <w:p w:rsidR="00D02B36" w:rsidRPr="00D14682" w:rsidRDefault="00D02B36" w:rsidP="00D02B36">
      <w:pPr>
        <w:pStyle w:val="BodyText"/>
      </w:pPr>
      <w:r w:rsidRPr="00D14682">
        <w:t xml:space="preserve">Ratings for gender equality improved overall, reflecting a sustained focus on gender across the regional program, </w:t>
      </w:r>
      <w:r>
        <w:t xml:space="preserve">including on </w:t>
      </w:r>
      <w:r w:rsidRPr="00D14682">
        <w:t>the importance of tracking gender sensitive data.</w:t>
      </w:r>
    </w:p>
    <w:p w:rsidR="00D14682" w:rsidRPr="00D14682" w:rsidRDefault="00D14682" w:rsidP="00D14682">
      <w:pPr>
        <w:pStyle w:val="Heading3"/>
      </w:pPr>
      <w:r w:rsidRPr="00D14682">
        <w:t>Performance of key delivery partners</w:t>
      </w:r>
    </w:p>
    <w:p w:rsidR="00D02B36" w:rsidRPr="00D14682" w:rsidRDefault="00D02B36" w:rsidP="00D02B36">
      <w:pPr>
        <w:pStyle w:val="BodyText"/>
      </w:pPr>
      <w:r w:rsidRPr="00D14682">
        <w:t>The South Asia Regional program is delivered through multilateral partners, intergovernmental organisations, civil society organisa</w:t>
      </w:r>
      <w:r>
        <w:t>tions and Australian agencies.</w:t>
      </w:r>
    </w:p>
    <w:p w:rsidR="00D02B36" w:rsidRPr="00D14682" w:rsidRDefault="00D02B36" w:rsidP="00D02B36">
      <w:pPr>
        <w:pStyle w:val="BodyText"/>
      </w:pPr>
      <w:r w:rsidRPr="00D14682">
        <w:t xml:space="preserve">The World Bank is a major implementing partner, delivering programs including SARTFP, IFG, SAFANSI, WSI and SAWI.  In 2014-15, DFAT completed four Partner Performance Assessments (PPAs) for </w:t>
      </w:r>
      <w:r w:rsidR="007E128F">
        <w:t xml:space="preserve">World Bank </w:t>
      </w:r>
      <w:r w:rsidRPr="00D14682">
        <w:t>investments in South Asia, rating the Bank’s performance as adequate to good.  There were some delays in activity implementation and reporting</w:t>
      </w:r>
      <w:r w:rsidR="00D539A5">
        <w:t xml:space="preserve"> but </w:t>
      </w:r>
      <w:r w:rsidRPr="00D14682">
        <w:t>these mat</w:t>
      </w:r>
      <w:r>
        <w:t>t</w:t>
      </w:r>
      <w:r w:rsidRPr="00D14682">
        <w:t>ers have been addressed and investments are now on track</w:t>
      </w:r>
      <w:r>
        <w:t>,</w:t>
      </w:r>
      <w:r w:rsidRPr="00D14682">
        <w:t xml:space="preserve"> with DFAT and the </w:t>
      </w:r>
      <w:r w:rsidR="007E128F">
        <w:t xml:space="preserve">World </w:t>
      </w:r>
      <w:r w:rsidRPr="00D14682">
        <w:t>Bank dedicating considerable resources to strengthening</w:t>
      </w:r>
      <w:r>
        <w:t xml:space="preserve"> the partnership over 2014-15.</w:t>
      </w:r>
    </w:p>
    <w:p w:rsidR="00D02B36" w:rsidRPr="00D14682" w:rsidRDefault="00D02B36" w:rsidP="00D02B36">
      <w:pPr>
        <w:pStyle w:val="BodyText"/>
      </w:pPr>
      <w:r>
        <w:t xml:space="preserve">Regarding </w:t>
      </w:r>
      <w:r w:rsidRPr="00D14682">
        <w:t>the Australia-ADB Facility</w:t>
      </w:r>
      <w:r>
        <w:t>, which</w:t>
      </w:r>
      <w:r w:rsidRPr="00D14682">
        <w:t xml:space="preserve"> concluded in March 2015</w:t>
      </w:r>
      <w:r>
        <w:t>, t</w:t>
      </w:r>
      <w:r w:rsidRPr="00D14682">
        <w:rPr>
          <w:rFonts w:cs="Tahoma"/>
          <w:bdr w:val="none" w:sz="0" w:space="0" w:color="auto" w:frame="1"/>
        </w:rPr>
        <w:t xml:space="preserve">he PPA found that </w:t>
      </w:r>
      <w:r w:rsidR="00D539A5">
        <w:rPr>
          <w:rFonts w:cs="Tahoma"/>
          <w:bdr w:val="none" w:sz="0" w:space="0" w:color="auto" w:frame="1"/>
        </w:rPr>
        <w:t xml:space="preserve">the </w:t>
      </w:r>
      <w:r w:rsidRPr="00D14682">
        <w:rPr>
          <w:rFonts w:cs="Tahoma"/>
          <w:bdr w:val="none" w:sz="0" w:space="0" w:color="auto" w:frame="1"/>
        </w:rPr>
        <w:t>ADB was responsive and open to changes in policy direction, particularly around sectoral foc</w:t>
      </w:r>
      <w:r>
        <w:rPr>
          <w:rFonts w:cs="Tahoma"/>
          <w:bdr w:val="none" w:sz="0" w:space="0" w:color="auto" w:frame="1"/>
        </w:rPr>
        <w:t>i</w:t>
      </w:r>
      <w:r w:rsidRPr="00D14682">
        <w:rPr>
          <w:rFonts w:cs="Tahoma"/>
          <w:bdr w:val="none" w:sz="0" w:space="0" w:color="auto" w:frame="1"/>
        </w:rPr>
        <w:t xml:space="preserve">.  DFAT experienced some </w:t>
      </w:r>
      <w:r w:rsidR="00D539A5">
        <w:rPr>
          <w:rFonts w:cs="Tahoma"/>
          <w:bdr w:val="none" w:sz="0" w:space="0" w:color="auto" w:frame="1"/>
        </w:rPr>
        <w:t>M&amp;E</w:t>
      </w:r>
      <w:r w:rsidR="00D539A5" w:rsidRPr="00D14682">
        <w:rPr>
          <w:rFonts w:cs="Tahoma"/>
          <w:bdr w:val="none" w:sz="0" w:space="0" w:color="auto" w:frame="1"/>
        </w:rPr>
        <w:t xml:space="preserve"> </w:t>
      </w:r>
      <w:r w:rsidRPr="00D14682">
        <w:rPr>
          <w:rFonts w:cs="Tahoma"/>
          <w:bdr w:val="none" w:sz="0" w:space="0" w:color="auto" w:frame="1"/>
        </w:rPr>
        <w:t xml:space="preserve">issues </w:t>
      </w:r>
      <w:r w:rsidR="00D539A5">
        <w:rPr>
          <w:rFonts w:cs="Tahoma"/>
          <w:bdr w:val="none" w:sz="0" w:space="0" w:color="auto" w:frame="1"/>
        </w:rPr>
        <w:t xml:space="preserve">with </w:t>
      </w:r>
      <w:r w:rsidRPr="00D14682">
        <w:rPr>
          <w:rFonts w:cs="Tahoma"/>
          <w:bdr w:val="none" w:sz="0" w:space="0" w:color="auto" w:frame="1"/>
        </w:rPr>
        <w:t>the program</w:t>
      </w:r>
      <w:r>
        <w:rPr>
          <w:rFonts w:cs="Tahoma"/>
          <w:bdr w:val="none" w:sz="0" w:space="0" w:color="auto" w:frame="1"/>
        </w:rPr>
        <w:t>,</w:t>
      </w:r>
      <w:r w:rsidRPr="00D14682">
        <w:rPr>
          <w:rFonts w:cs="Tahoma"/>
          <w:bdr w:val="none" w:sz="0" w:space="0" w:color="auto" w:frame="1"/>
        </w:rPr>
        <w:t xml:space="preserve"> and has dedicated resources to developing a coherent results framework for SARTFP to avoid similar issues</w:t>
      </w:r>
      <w:r w:rsidR="007E128F">
        <w:rPr>
          <w:rFonts w:cs="Tahoma"/>
          <w:bdr w:val="none" w:sz="0" w:space="0" w:color="auto" w:frame="1"/>
        </w:rPr>
        <w:t xml:space="preserve"> in the future</w:t>
      </w:r>
      <w:r>
        <w:rPr>
          <w:rFonts w:cs="Tahoma"/>
          <w:bdr w:val="none" w:sz="0" w:space="0" w:color="auto" w:frame="1"/>
        </w:rPr>
        <w:t>.</w:t>
      </w:r>
    </w:p>
    <w:p w:rsidR="00D02B36" w:rsidRPr="00D14682" w:rsidRDefault="00D02B36" w:rsidP="00D02B36">
      <w:pPr>
        <w:pStyle w:val="BodyText"/>
      </w:pPr>
      <w:r w:rsidRPr="00D14682">
        <w:t xml:space="preserve">SDIP delivery partners continued to perform well in 2014-15.  Comprehensive partner assessment processes were established as part of the </w:t>
      </w:r>
      <w:r>
        <w:t xml:space="preserve">SDIP </w:t>
      </w:r>
      <w:r w:rsidRPr="00D14682">
        <w:t>design.  DFAT meets face-to-face for an annual ‘health check’ with each partner to review performance</w:t>
      </w:r>
      <w:r>
        <w:t xml:space="preserve"> and</w:t>
      </w:r>
      <w:r w:rsidRPr="00D14682">
        <w:t xml:space="preserve"> progress.  Partner performance is also reviewed through annual reporting to DFAT (which details progress against work plans) and through the </w:t>
      </w:r>
      <w:r>
        <w:t xml:space="preserve">SDIP </w:t>
      </w:r>
      <w:r w:rsidRPr="00D14682">
        <w:t xml:space="preserve">Annual Dialogue forum.  In 2014-15, SDIP delivery partners </w:t>
      </w:r>
      <w:r w:rsidR="00D539A5">
        <w:t xml:space="preserve">generally </w:t>
      </w:r>
      <w:r w:rsidRPr="00D14682">
        <w:t>made expected progress against their individual work plans and strengthened their relationships with DFAT, partner governments and other implementing partners.</w:t>
      </w:r>
    </w:p>
    <w:p w:rsidR="00D02B36" w:rsidRPr="00E91188" w:rsidRDefault="00D02B36" w:rsidP="00D02B36">
      <w:pPr>
        <w:pStyle w:val="BodyText"/>
      </w:pPr>
      <w:r w:rsidRPr="00D14682">
        <w:t xml:space="preserve">There is </w:t>
      </w:r>
      <w:r w:rsidR="00A12D4F">
        <w:t>good</w:t>
      </w:r>
      <w:r w:rsidRPr="00D14682">
        <w:t xml:space="preserve"> evidence of institutional strengthening across all SDIP partners, in particular a greater focus on gender (see</w:t>
      </w:r>
      <w:r>
        <w:t xml:space="preserve"> Progress towards Objectives).</w:t>
      </w:r>
    </w:p>
    <w:p w:rsidR="000D733F" w:rsidRPr="00E91188" w:rsidRDefault="000D733F" w:rsidP="00511A0F">
      <w:pPr>
        <w:pStyle w:val="Heading3"/>
      </w:pPr>
      <w:r w:rsidRPr="00E91188">
        <w:lastRenderedPageBreak/>
        <w:t>Risks</w:t>
      </w:r>
    </w:p>
    <w:p w:rsidR="00FF2319" w:rsidRPr="00E91188" w:rsidRDefault="00FF2319" w:rsidP="00D02B36">
      <w:pPr>
        <w:pStyle w:val="Caption"/>
      </w:pPr>
      <w:r w:rsidRPr="00E91188">
        <w:t>Table 3 Management of Key Risks to Achieving Objectives</w:t>
      </w:r>
    </w:p>
    <w:tbl>
      <w:tblPr>
        <w:tblStyle w:val="APPR"/>
        <w:tblW w:w="5000" w:type="pct"/>
        <w:tblLook w:val="0600" w:firstRow="0" w:lastRow="0" w:firstColumn="0" w:lastColumn="0" w:noHBand="1" w:noVBand="1"/>
      </w:tblPr>
      <w:tblGrid>
        <w:gridCol w:w="2049"/>
        <w:gridCol w:w="2277"/>
        <w:gridCol w:w="2473"/>
        <w:gridCol w:w="1978"/>
      </w:tblGrid>
      <w:tr w:rsidR="00FF2319" w:rsidRPr="00E91188" w:rsidTr="00D02B36">
        <w:tc>
          <w:tcPr>
            <w:tcW w:w="2007" w:type="dxa"/>
            <w:hideMark/>
          </w:tcPr>
          <w:p w:rsidR="00FF2319" w:rsidRPr="00E91188" w:rsidRDefault="00FF2319" w:rsidP="00D02B36">
            <w:pPr>
              <w:pStyle w:val="TableTextColumnHeading"/>
              <w:keepNext/>
            </w:pPr>
            <w:r w:rsidRPr="00E91188">
              <w:t>Key risks</w:t>
            </w:r>
          </w:p>
        </w:tc>
        <w:tc>
          <w:tcPr>
            <w:tcW w:w="2249" w:type="dxa"/>
          </w:tcPr>
          <w:p w:rsidR="00FF2319" w:rsidRPr="00E91188" w:rsidRDefault="00FF2319" w:rsidP="00D02B36">
            <w:pPr>
              <w:pStyle w:val="TableTextColumnHeading"/>
              <w:keepNext/>
            </w:pPr>
            <w:r w:rsidRPr="00E91188">
              <w:t>What actions were taken to manage the risks over the past year?</w:t>
            </w:r>
          </w:p>
        </w:tc>
        <w:tc>
          <w:tcPr>
            <w:tcW w:w="2445" w:type="dxa"/>
          </w:tcPr>
          <w:p w:rsidR="00FF2319" w:rsidRPr="00E91188" w:rsidRDefault="00FF2319" w:rsidP="00D02B36">
            <w:pPr>
              <w:pStyle w:val="TableTextColumnHeading"/>
              <w:keepNext/>
            </w:pPr>
            <w:r w:rsidRPr="00E91188">
              <w:t>What further actions will be taken to manage the risks in the coming year?</w:t>
            </w:r>
          </w:p>
        </w:tc>
        <w:tc>
          <w:tcPr>
            <w:tcW w:w="1936" w:type="dxa"/>
          </w:tcPr>
          <w:p w:rsidR="00FF2319" w:rsidRPr="00E91188" w:rsidRDefault="00FF2319" w:rsidP="00D02B36">
            <w:pPr>
              <w:pStyle w:val="TableTextColumnHeading"/>
              <w:keepNext/>
            </w:pPr>
            <w:r w:rsidRPr="00E91188">
              <w:t>For emerging/ongoing risks provide a Risk Rating (low, medium, high, very high)</w:t>
            </w:r>
          </w:p>
        </w:tc>
      </w:tr>
      <w:tr w:rsidR="00FF2319" w:rsidRPr="00E91188" w:rsidTr="00D02B36">
        <w:tc>
          <w:tcPr>
            <w:tcW w:w="2007" w:type="dxa"/>
            <w:hideMark/>
          </w:tcPr>
          <w:p w:rsidR="00FF2319" w:rsidRPr="00E91188" w:rsidRDefault="006A0B68" w:rsidP="0065142F">
            <w:pPr>
              <w:pStyle w:val="TableTextEntries"/>
              <w:keepNext/>
              <w:rPr>
                <w:sz w:val="16"/>
                <w:szCs w:val="16"/>
              </w:rPr>
            </w:pPr>
            <w:r>
              <w:t>P</w:t>
            </w:r>
            <w:r w:rsidR="00FF2319" w:rsidRPr="00326312">
              <w:t>rogram fragmentation due to investment</w:t>
            </w:r>
            <w:r w:rsidR="007E128F">
              <w:t>s</w:t>
            </w:r>
            <w:r w:rsidR="00FF2319" w:rsidRPr="00326312">
              <w:t xml:space="preserve"> not align</w:t>
            </w:r>
            <w:r w:rsidR="0065142F">
              <w:t>ed</w:t>
            </w:r>
            <w:r w:rsidR="00FF2319" w:rsidRPr="00326312">
              <w:t xml:space="preserve"> with program </w:t>
            </w:r>
            <w:r w:rsidR="00FF2319">
              <w:t>objectives</w:t>
            </w:r>
          </w:p>
        </w:tc>
        <w:tc>
          <w:tcPr>
            <w:tcW w:w="2249" w:type="dxa"/>
          </w:tcPr>
          <w:p w:rsidR="00FF2319" w:rsidRPr="00E91188" w:rsidRDefault="00FF2319" w:rsidP="006A0B68">
            <w:pPr>
              <w:pStyle w:val="TableTextEntries"/>
              <w:keepNext/>
            </w:pPr>
            <w:r>
              <w:t>Two non-aligned ‘legacy’ programs were finalised</w:t>
            </w:r>
          </w:p>
        </w:tc>
        <w:tc>
          <w:tcPr>
            <w:tcW w:w="2445" w:type="dxa"/>
          </w:tcPr>
          <w:p w:rsidR="00FF2319" w:rsidRPr="00E91188" w:rsidRDefault="006A0B68" w:rsidP="00876E3F">
            <w:pPr>
              <w:pStyle w:val="TableTextEntries"/>
              <w:keepNext/>
            </w:pPr>
            <w:r>
              <w:t xml:space="preserve">Continue to consolidate </w:t>
            </w:r>
            <w:r w:rsidR="00FF2319">
              <w:t xml:space="preserve">and </w:t>
            </w:r>
            <w:r w:rsidR="00876E3F">
              <w:t>align</w:t>
            </w:r>
            <w:r w:rsidR="00FF2319">
              <w:t xml:space="preserve"> future activities to regional program priorities</w:t>
            </w:r>
          </w:p>
        </w:tc>
        <w:tc>
          <w:tcPr>
            <w:tcW w:w="1936" w:type="dxa"/>
          </w:tcPr>
          <w:p w:rsidR="00FF2319" w:rsidRPr="00E91188" w:rsidRDefault="00FF2319" w:rsidP="00D02B36">
            <w:pPr>
              <w:pStyle w:val="TableTextEntries"/>
              <w:keepNext/>
            </w:pPr>
            <w:r>
              <w:t>Medium</w:t>
            </w:r>
          </w:p>
        </w:tc>
      </w:tr>
      <w:tr w:rsidR="00FF2319" w:rsidRPr="00E91188" w:rsidTr="00D02B36">
        <w:tc>
          <w:tcPr>
            <w:tcW w:w="2007" w:type="dxa"/>
            <w:hideMark/>
          </w:tcPr>
          <w:p w:rsidR="00FF2319" w:rsidRPr="00E91188" w:rsidRDefault="00FF2319" w:rsidP="00FF2319">
            <w:pPr>
              <w:pStyle w:val="TableTextEntries"/>
            </w:pPr>
            <w:r>
              <w:t>Political instability and/or civil unrest hinders program delivery</w:t>
            </w:r>
          </w:p>
        </w:tc>
        <w:tc>
          <w:tcPr>
            <w:tcW w:w="2249" w:type="dxa"/>
          </w:tcPr>
          <w:p w:rsidR="00FF2319" w:rsidRPr="00E91188" w:rsidRDefault="00DE0CCA" w:rsidP="00DE0CCA">
            <w:pPr>
              <w:pStyle w:val="TableTextEntries"/>
            </w:pPr>
            <w:r>
              <w:t>Ongoing monitoring</w:t>
            </w:r>
          </w:p>
        </w:tc>
        <w:tc>
          <w:tcPr>
            <w:tcW w:w="2445" w:type="dxa"/>
          </w:tcPr>
          <w:p w:rsidR="00FF2319" w:rsidRPr="00E91188" w:rsidRDefault="00FF2319" w:rsidP="00FF2319">
            <w:pPr>
              <w:pStyle w:val="TableTextEntries"/>
            </w:pPr>
            <w:r>
              <w:t>Support flexible program approaches. Monitor likelihood and strengthen engagement with bilateral Posts</w:t>
            </w:r>
          </w:p>
        </w:tc>
        <w:tc>
          <w:tcPr>
            <w:tcW w:w="1936" w:type="dxa"/>
          </w:tcPr>
          <w:p w:rsidR="00FF2319" w:rsidRPr="00E91188" w:rsidRDefault="00FF2319" w:rsidP="0019258E">
            <w:pPr>
              <w:pStyle w:val="TableTextEntries"/>
            </w:pPr>
            <w:r>
              <w:t>Medium</w:t>
            </w:r>
          </w:p>
        </w:tc>
      </w:tr>
      <w:tr w:rsidR="00FF2319" w:rsidRPr="00E91188" w:rsidTr="00D02B36">
        <w:tc>
          <w:tcPr>
            <w:tcW w:w="2007" w:type="dxa"/>
          </w:tcPr>
          <w:p w:rsidR="00FF2319" w:rsidRPr="00E91188" w:rsidRDefault="00FF2319" w:rsidP="00876E3F">
            <w:pPr>
              <w:pStyle w:val="TableTextEntries"/>
              <w:rPr>
                <w:color w:val="000000" w:themeColor="text1" w:themeShade="BF"/>
              </w:rPr>
            </w:pPr>
            <w:r>
              <w:t>Natural disasters disrupt activities</w:t>
            </w:r>
          </w:p>
        </w:tc>
        <w:tc>
          <w:tcPr>
            <w:tcW w:w="2249" w:type="dxa"/>
          </w:tcPr>
          <w:p w:rsidR="00FF2319" w:rsidRPr="00E91188" w:rsidRDefault="00FF2319" w:rsidP="00FF2319">
            <w:pPr>
              <w:pStyle w:val="TableTextEntries"/>
            </w:pPr>
            <w:r>
              <w:t>Raised during SDIP health checks and incorporated in partner risk registers</w:t>
            </w:r>
          </w:p>
        </w:tc>
        <w:tc>
          <w:tcPr>
            <w:tcW w:w="2445" w:type="dxa"/>
          </w:tcPr>
          <w:p w:rsidR="00FF2319" w:rsidRPr="00E91188" w:rsidRDefault="00FF2319" w:rsidP="00FF2319">
            <w:pPr>
              <w:pStyle w:val="TableTextEntries"/>
            </w:pPr>
            <w:r>
              <w:t>Encourage multiple engagement points by partners and support flexible program approaches</w:t>
            </w:r>
          </w:p>
        </w:tc>
        <w:tc>
          <w:tcPr>
            <w:tcW w:w="1936" w:type="dxa"/>
          </w:tcPr>
          <w:p w:rsidR="00FF2319" w:rsidRPr="00E91188" w:rsidRDefault="00FF2319" w:rsidP="0019258E">
            <w:pPr>
              <w:pStyle w:val="TableTextEntries"/>
            </w:pPr>
            <w:r>
              <w:t>Medium</w:t>
            </w:r>
          </w:p>
        </w:tc>
      </w:tr>
      <w:tr w:rsidR="00FF2319" w:rsidRPr="00E91188" w:rsidTr="00D02B36">
        <w:tc>
          <w:tcPr>
            <w:tcW w:w="2007" w:type="dxa"/>
            <w:vMerge w:val="restart"/>
          </w:tcPr>
          <w:p w:rsidR="00FF2319" w:rsidRPr="00E91188" w:rsidRDefault="00FF2319" w:rsidP="0065142F">
            <w:pPr>
              <w:pStyle w:val="TableTextEntries"/>
              <w:rPr>
                <w:color w:val="000000" w:themeColor="text1" w:themeShade="BF"/>
              </w:rPr>
            </w:pPr>
            <w:r>
              <w:t>Poor reporting from partners affects</w:t>
            </w:r>
            <w:r w:rsidR="00876E3F">
              <w:t xml:space="preserve"> the</w:t>
            </w:r>
            <w:r>
              <w:t xml:space="preserve"> ability to measure  progress </w:t>
            </w:r>
          </w:p>
        </w:tc>
        <w:tc>
          <w:tcPr>
            <w:tcW w:w="2249" w:type="dxa"/>
          </w:tcPr>
          <w:p w:rsidR="00FF2319" w:rsidRPr="00E91188" w:rsidRDefault="00FF2319" w:rsidP="0065142F">
            <w:pPr>
              <w:pStyle w:val="TableTextEntries"/>
              <w:rPr>
                <w:color w:val="000000" w:themeColor="text1" w:themeShade="BF"/>
              </w:rPr>
            </w:pPr>
            <w:r>
              <w:t>An M&amp;E workshop and guidance on reporting was provided to SDIP partners</w:t>
            </w:r>
          </w:p>
        </w:tc>
        <w:tc>
          <w:tcPr>
            <w:tcW w:w="2445" w:type="dxa"/>
          </w:tcPr>
          <w:p w:rsidR="00FF2319" w:rsidRPr="00E91188" w:rsidRDefault="0065142F" w:rsidP="0065142F">
            <w:pPr>
              <w:pStyle w:val="TableTextEntries"/>
            </w:pPr>
            <w:r>
              <w:t xml:space="preserve">Incorporate improvements to M&amp;E </w:t>
            </w:r>
            <w:r w:rsidR="00FF2319">
              <w:t xml:space="preserve">into </w:t>
            </w:r>
            <w:r>
              <w:t xml:space="preserve">the </w:t>
            </w:r>
            <w:r w:rsidR="00FF2319">
              <w:t>design of SDIP Phase II</w:t>
            </w:r>
          </w:p>
        </w:tc>
        <w:tc>
          <w:tcPr>
            <w:tcW w:w="1936" w:type="dxa"/>
            <w:vMerge w:val="restart"/>
          </w:tcPr>
          <w:p w:rsidR="00FF2319" w:rsidRPr="00E91188" w:rsidRDefault="00FF2319" w:rsidP="00FF2319">
            <w:pPr>
              <w:pStyle w:val="TableTextEntries"/>
            </w:pPr>
            <w:r>
              <w:t>Low</w:t>
            </w:r>
          </w:p>
        </w:tc>
      </w:tr>
      <w:tr w:rsidR="00FF2319" w:rsidRPr="00E91188" w:rsidTr="00D02B36">
        <w:tc>
          <w:tcPr>
            <w:tcW w:w="2007" w:type="dxa"/>
            <w:vMerge/>
          </w:tcPr>
          <w:p w:rsidR="00FF2319" w:rsidRDefault="00FF2319" w:rsidP="00FF2319">
            <w:pPr>
              <w:pStyle w:val="TableTextEntries"/>
            </w:pPr>
          </w:p>
        </w:tc>
        <w:tc>
          <w:tcPr>
            <w:tcW w:w="2249" w:type="dxa"/>
          </w:tcPr>
          <w:p w:rsidR="00FF2319" w:rsidRDefault="00657D62" w:rsidP="0065142F">
            <w:pPr>
              <w:pStyle w:val="TableTextEntries"/>
            </w:pPr>
            <w:r>
              <w:t>R</w:t>
            </w:r>
            <w:r w:rsidR="00FF2319">
              <w:t xml:space="preserve">egular </w:t>
            </w:r>
            <w:r w:rsidR="0065142F">
              <w:t xml:space="preserve">engagement with </w:t>
            </w:r>
            <w:r w:rsidR="00FF2319">
              <w:t>multilateral partners to improve reporting</w:t>
            </w:r>
          </w:p>
        </w:tc>
        <w:tc>
          <w:tcPr>
            <w:tcW w:w="2445" w:type="dxa"/>
          </w:tcPr>
          <w:p w:rsidR="00FF2319" w:rsidRDefault="0065142F" w:rsidP="0065142F">
            <w:pPr>
              <w:pStyle w:val="TableTextEntries"/>
            </w:pPr>
            <w:r>
              <w:t>Develop a</w:t>
            </w:r>
            <w:r w:rsidR="00FF2319">
              <w:t xml:space="preserve"> results framework for SARTFP </w:t>
            </w:r>
          </w:p>
        </w:tc>
        <w:tc>
          <w:tcPr>
            <w:tcW w:w="1936" w:type="dxa"/>
            <w:vMerge/>
          </w:tcPr>
          <w:p w:rsidR="00FF2319" w:rsidRDefault="00FF2319" w:rsidP="00FF2319">
            <w:pPr>
              <w:pStyle w:val="TableTextEntries"/>
            </w:pPr>
          </w:p>
        </w:tc>
      </w:tr>
      <w:tr w:rsidR="00D02B36" w:rsidRPr="00E91188" w:rsidTr="00D02B36">
        <w:tc>
          <w:tcPr>
            <w:tcW w:w="2007" w:type="dxa"/>
            <w:vMerge w:val="restart"/>
          </w:tcPr>
          <w:p w:rsidR="00D02B36" w:rsidRDefault="00D02B36" w:rsidP="00FF2319">
            <w:pPr>
              <w:pStyle w:val="TableTextEntries"/>
            </w:pPr>
            <w:r>
              <w:t>Gender equality outcomes across the program are not achieved</w:t>
            </w:r>
          </w:p>
        </w:tc>
        <w:tc>
          <w:tcPr>
            <w:tcW w:w="2249" w:type="dxa"/>
            <w:vMerge w:val="restart"/>
          </w:tcPr>
          <w:p w:rsidR="00D02B36" w:rsidRDefault="00D02B36" w:rsidP="00FF2319">
            <w:pPr>
              <w:pStyle w:val="TableTextEntries"/>
            </w:pPr>
            <w:r>
              <w:t>Regular consultation with partners to ensure program activities, M&amp;E and reporting are gender focused</w:t>
            </w:r>
          </w:p>
        </w:tc>
        <w:tc>
          <w:tcPr>
            <w:tcW w:w="2445" w:type="dxa"/>
          </w:tcPr>
          <w:p w:rsidR="00D02B36" w:rsidRDefault="0065142F" w:rsidP="0065142F">
            <w:pPr>
              <w:pStyle w:val="TableTextEntries"/>
            </w:pPr>
            <w:r>
              <w:t xml:space="preserve">Design </w:t>
            </w:r>
            <w:r w:rsidR="00876E3F">
              <w:t>SDIP Phase II</w:t>
            </w:r>
            <w:r w:rsidR="00D02B36">
              <w:t xml:space="preserve"> with a deeper gender orientation</w:t>
            </w:r>
          </w:p>
        </w:tc>
        <w:tc>
          <w:tcPr>
            <w:tcW w:w="1936" w:type="dxa"/>
            <w:vMerge w:val="restart"/>
          </w:tcPr>
          <w:p w:rsidR="00D02B36" w:rsidRDefault="00D02B36" w:rsidP="00FF2319">
            <w:pPr>
              <w:pStyle w:val="TableTextEntries"/>
            </w:pPr>
            <w:r>
              <w:t>Low</w:t>
            </w:r>
          </w:p>
        </w:tc>
      </w:tr>
      <w:tr w:rsidR="00D02B36" w:rsidRPr="00E91188" w:rsidTr="00D02B36">
        <w:tc>
          <w:tcPr>
            <w:tcW w:w="2007" w:type="dxa"/>
            <w:vMerge/>
          </w:tcPr>
          <w:p w:rsidR="00D02B36" w:rsidRDefault="00D02B36" w:rsidP="00FF2319">
            <w:pPr>
              <w:pStyle w:val="TableTextEntries"/>
            </w:pPr>
          </w:p>
        </w:tc>
        <w:tc>
          <w:tcPr>
            <w:tcW w:w="2249" w:type="dxa"/>
            <w:vMerge/>
          </w:tcPr>
          <w:p w:rsidR="00D02B36" w:rsidRDefault="00D02B36" w:rsidP="00FF2319">
            <w:pPr>
              <w:pStyle w:val="TableTextEntries"/>
            </w:pPr>
          </w:p>
        </w:tc>
        <w:tc>
          <w:tcPr>
            <w:tcW w:w="2445" w:type="dxa"/>
          </w:tcPr>
          <w:p w:rsidR="00D02B36" w:rsidRDefault="0065142F" w:rsidP="0065142F">
            <w:pPr>
              <w:pStyle w:val="TableTextEntries"/>
            </w:pPr>
            <w:r>
              <w:t>Develop a</w:t>
            </w:r>
            <w:r w:rsidR="00D02B36">
              <w:t xml:space="preserve"> </w:t>
            </w:r>
            <w:r>
              <w:t xml:space="preserve">SARTFP </w:t>
            </w:r>
            <w:r w:rsidR="00D02B36">
              <w:t xml:space="preserve">results framework </w:t>
            </w:r>
            <w:r>
              <w:t xml:space="preserve">to </w:t>
            </w:r>
            <w:r w:rsidR="00D02B36">
              <w:t>report on gender sensitive approaches across all SARTFP work</w:t>
            </w:r>
          </w:p>
        </w:tc>
        <w:tc>
          <w:tcPr>
            <w:tcW w:w="1936" w:type="dxa"/>
            <w:vMerge/>
          </w:tcPr>
          <w:p w:rsidR="00D02B36" w:rsidRDefault="00D02B36" w:rsidP="00FF2319">
            <w:pPr>
              <w:pStyle w:val="TableTextEntries"/>
            </w:pPr>
          </w:p>
        </w:tc>
      </w:tr>
    </w:tbl>
    <w:p w:rsidR="000D733F" w:rsidRPr="00E91188" w:rsidRDefault="000D733F" w:rsidP="0007149C">
      <w:pPr>
        <w:pStyle w:val="Heading2"/>
        <w:rPr>
          <w:sz w:val="28"/>
        </w:rPr>
      </w:pPr>
      <w:r w:rsidRPr="00E91188">
        <w:rPr>
          <w:sz w:val="28"/>
        </w:rPr>
        <w:t xml:space="preserve">Management </w:t>
      </w:r>
      <w:r w:rsidR="00805ADD" w:rsidRPr="00E91188">
        <w:rPr>
          <w:sz w:val="28"/>
        </w:rPr>
        <w:t>Responses</w:t>
      </w:r>
      <w:r w:rsidRPr="00E91188">
        <w:rPr>
          <w:sz w:val="28"/>
        </w:rPr>
        <w:tab/>
      </w:r>
      <w:r w:rsidRPr="00E91188">
        <w:rPr>
          <w:sz w:val="28"/>
        </w:rPr>
        <w:tab/>
      </w:r>
    </w:p>
    <w:p w:rsidR="00D02B36" w:rsidRPr="00E91188" w:rsidRDefault="00D02B36" w:rsidP="00D02B36">
      <w:pPr>
        <w:pStyle w:val="BodyText"/>
      </w:pPr>
      <w:r w:rsidRPr="00E91188">
        <w:t xml:space="preserve">Four out of the five management </w:t>
      </w:r>
      <w:r w:rsidR="0065142F">
        <w:t>actions</w:t>
      </w:r>
      <w:r w:rsidRPr="00E91188">
        <w:t xml:space="preserve"> identified in the previous APPR were successfully </w:t>
      </w:r>
      <w:r>
        <w:t>implemented</w:t>
      </w:r>
      <w:r w:rsidRPr="00E91188">
        <w:t xml:space="preserve"> in the reporting period.  </w:t>
      </w:r>
      <w:r>
        <w:t>E</w:t>
      </w:r>
      <w:r w:rsidRPr="00E91188">
        <w:t xml:space="preserve">stablishing a </w:t>
      </w:r>
      <w:r w:rsidR="00D34C43">
        <w:t xml:space="preserve">results framework for </w:t>
      </w:r>
      <w:r>
        <w:t xml:space="preserve">the </w:t>
      </w:r>
      <w:r w:rsidRPr="00E91188">
        <w:t xml:space="preserve">regional connectivity </w:t>
      </w:r>
      <w:r>
        <w:t xml:space="preserve">objective </w:t>
      </w:r>
      <w:r w:rsidRPr="00E91188">
        <w:t xml:space="preserve">of the </w:t>
      </w:r>
      <w:r>
        <w:t xml:space="preserve">South Asia Regional </w:t>
      </w:r>
      <w:r w:rsidRPr="00E91188">
        <w:t xml:space="preserve">program has been rescheduled to early </w:t>
      </w:r>
      <w:r>
        <w:t>20</w:t>
      </w:r>
      <w:r w:rsidRPr="00E91188">
        <w:t>16.  A detailed description of progress on 2014-15 m</w:t>
      </w:r>
      <w:r w:rsidR="00876E3F">
        <w:t>anagement responses is at</w:t>
      </w:r>
      <w:r w:rsidRPr="00E91188">
        <w:t xml:space="preserve"> </w:t>
      </w:r>
      <w:r w:rsidRPr="00E91188">
        <w:rPr>
          <w:b/>
        </w:rPr>
        <w:t>Annex A.</w:t>
      </w:r>
    </w:p>
    <w:p w:rsidR="00D02B36" w:rsidRPr="00E91188" w:rsidRDefault="00D02B36" w:rsidP="00D02B36">
      <w:pPr>
        <w:pStyle w:val="ListBullet"/>
        <w:numPr>
          <w:ilvl w:val="0"/>
          <w:numId w:val="0"/>
        </w:numPr>
      </w:pPr>
      <w:r>
        <w:t xml:space="preserve">The aid budget reductions taking effect from 2015-16 will further drive the planned consolidation of the South Asia Regional program.  </w:t>
      </w:r>
      <w:r w:rsidRPr="00E91188">
        <w:t xml:space="preserve">In 2015-16, DFAT will improve </w:t>
      </w:r>
      <w:r w:rsidR="0065142F">
        <w:t xml:space="preserve">program </w:t>
      </w:r>
      <w:r w:rsidRPr="00E91188">
        <w:t xml:space="preserve">performance by undertaking the following management </w:t>
      </w:r>
      <w:r>
        <w:t>actions</w:t>
      </w:r>
      <w:r w:rsidRPr="00E91188">
        <w:t>:</w:t>
      </w:r>
    </w:p>
    <w:p w:rsidR="00D02B36" w:rsidRPr="00E91188" w:rsidRDefault="00D02B36" w:rsidP="00D02B36">
      <w:pPr>
        <w:pStyle w:val="ListBullet"/>
        <w:tabs>
          <w:tab w:val="clear" w:pos="284"/>
        </w:tabs>
      </w:pPr>
      <w:r w:rsidRPr="00E91188">
        <w:t xml:space="preserve">Manage remaining ‘legacy’ activities to conclusion and, where possible, </w:t>
      </w:r>
      <w:r w:rsidR="00D34C43">
        <w:t xml:space="preserve">align </w:t>
      </w:r>
      <w:r w:rsidRPr="00E91188">
        <w:t xml:space="preserve">new activities with the two strategic objectives of the program outlined in the </w:t>
      </w:r>
      <w:r w:rsidR="00D34C43">
        <w:t xml:space="preserve">South Asia Regional </w:t>
      </w:r>
      <w:r w:rsidRPr="00E91188">
        <w:t>AIP.</w:t>
      </w:r>
    </w:p>
    <w:p w:rsidR="00D02B36" w:rsidRPr="00E91188" w:rsidRDefault="00D02B36" w:rsidP="00D02B36">
      <w:pPr>
        <w:pStyle w:val="ListBullet"/>
        <w:tabs>
          <w:tab w:val="clear" w:pos="284"/>
        </w:tabs>
      </w:pPr>
      <w:r>
        <w:t xml:space="preserve">Develop a results framework for </w:t>
      </w:r>
      <w:r w:rsidRPr="00E91188">
        <w:t>SARTFP</w:t>
      </w:r>
      <w:r>
        <w:t>.</w:t>
      </w:r>
    </w:p>
    <w:p w:rsidR="00D02B36" w:rsidRDefault="00D02B36" w:rsidP="00D02B36">
      <w:pPr>
        <w:pStyle w:val="ListBullet"/>
        <w:tabs>
          <w:tab w:val="clear" w:pos="284"/>
        </w:tabs>
      </w:pPr>
      <w:r w:rsidRPr="00E91188">
        <w:t xml:space="preserve">Complete an independent evaluation of the first phase of the SDIP, </w:t>
      </w:r>
      <w:r>
        <w:t xml:space="preserve">and </w:t>
      </w:r>
      <w:r w:rsidRPr="00E91188">
        <w:t>design the second phase of investment (due to commence in July 2016).</w:t>
      </w:r>
    </w:p>
    <w:p w:rsidR="00D02B36" w:rsidRDefault="00D02B36" w:rsidP="00D02B36">
      <w:pPr>
        <w:pStyle w:val="ListBullet"/>
        <w:tabs>
          <w:tab w:val="clear" w:pos="284"/>
        </w:tabs>
      </w:pPr>
      <w:r>
        <w:t>Establish gender as an explicit objective across the regional program.</w:t>
      </w:r>
    </w:p>
    <w:p w:rsidR="00923F25" w:rsidRPr="00E91188" w:rsidRDefault="00D02B36" w:rsidP="00D02B36">
      <w:pPr>
        <w:pStyle w:val="ListBullet"/>
        <w:tabs>
          <w:tab w:val="clear" w:pos="284"/>
        </w:tabs>
      </w:pPr>
      <w:r>
        <w:t xml:space="preserve">Increase awareness of the regional program by DFAT’s </w:t>
      </w:r>
      <w:r w:rsidR="00D539A5">
        <w:t xml:space="preserve">overseas missions and </w:t>
      </w:r>
      <w:r>
        <w:t>bilateral desks across South Asia, to maximise the utility of the regional program in bilateral public and economic diplomacy efforts.</w:t>
      </w:r>
    </w:p>
    <w:p w:rsidR="00923F25" w:rsidRPr="00E91188" w:rsidRDefault="00923F25" w:rsidP="00923F25">
      <w:pPr>
        <w:pStyle w:val="ListBullet"/>
        <w:numPr>
          <w:ilvl w:val="0"/>
          <w:numId w:val="0"/>
        </w:numPr>
        <w:tabs>
          <w:tab w:val="clear" w:pos="284"/>
        </w:tabs>
        <w:ind w:left="360" w:hanging="360"/>
      </w:pPr>
    </w:p>
    <w:p w:rsidR="00923F25" w:rsidRPr="00E91188" w:rsidRDefault="00923F25" w:rsidP="00923F25">
      <w:pPr>
        <w:pStyle w:val="ListBullet"/>
        <w:numPr>
          <w:ilvl w:val="0"/>
          <w:numId w:val="0"/>
        </w:numPr>
        <w:tabs>
          <w:tab w:val="clear" w:pos="284"/>
        </w:tabs>
        <w:ind w:left="360" w:hanging="360"/>
        <w:sectPr w:rsidR="00923F25" w:rsidRPr="00E91188" w:rsidSect="00CD061B">
          <w:footerReference w:type="default" r:id="rId14"/>
          <w:type w:val="continuous"/>
          <w:pgSz w:w="11907" w:h="16840" w:code="9"/>
          <w:pgMar w:top="2381" w:right="1701" w:bottom="907" w:left="1701" w:header="850" w:footer="567" w:gutter="0"/>
          <w:pgNumType w:start="1"/>
          <w:cols w:space="720"/>
          <w:docGrid w:linePitch="326"/>
        </w:sectPr>
      </w:pPr>
    </w:p>
    <w:p w:rsidR="00DD4FDE" w:rsidRPr="00E91188" w:rsidRDefault="00DD4FDE" w:rsidP="00DD4FDE">
      <w:pPr>
        <w:pStyle w:val="Heading2"/>
        <w:rPr>
          <w:sz w:val="28"/>
        </w:rPr>
      </w:pPr>
      <w:r w:rsidRPr="00E91188">
        <w:rPr>
          <w:sz w:val="28"/>
        </w:rPr>
        <w:lastRenderedPageBreak/>
        <w:t>Annex A - Progress in Addressing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DD4FDE" w:rsidRPr="00E91188" w:rsidTr="009C009B">
        <w:trPr>
          <w:cnfStyle w:val="000000010000" w:firstRow="0" w:lastRow="0" w:firstColumn="0" w:lastColumn="0" w:oddVBand="0" w:evenVBand="0" w:oddHBand="0" w:evenHBand="1" w:firstRowFirstColumn="0" w:firstRowLastColumn="0" w:lastRowFirstColumn="0" w:lastRowLastColumn="0"/>
        </w:trPr>
        <w:tc>
          <w:tcPr>
            <w:tcW w:w="6473" w:type="dxa"/>
          </w:tcPr>
          <w:p w:rsidR="00DD4FDE" w:rsidRPr="00E91188" w:rsidRDefault="00DD4FDE" w:rsidP="009C009B">
            <w:pPr>
              <w:pStyle w:val="TableTextColumnHeading"/>
              <w:tabs>
                <w:tab w:val="left" w:pos="1185"/>
              </w:tabs>
            </w:pPr>
            <w:r w:rsidRPr="00E91188">
              <w:t>Management responses identified in 2013-14 APPR</w:t>
            </w:r>
            <w:r w:rsidRPr="00E91188">
              <w:tab/>
            </w:r>
          </w:p>
        </w:tc>
        <w:tc>
          <w:tcPr>
            <w:tcW w:w="964" w:type="dxa"/>
          </w:tcPr>
          <w:p w:rsidR="00DD4FDE" w:rsidRPr="00E91188" w:rsidRDefault="00DD4FDE" w:rsidP="009C009B">
            <w:pPr>
              <w:pStyle w:val="TableTextColumnHeading"/>
            </w:pPr>
            <w:r w:rsidRPr="00E91188">
              <w:t>Rating</w:t>
            </w:r>
          </w:p>
        </w:tc>
        <w:tc>
          <w:tcPr>
            <w:tcW w:w="6896" w:type="dxa"/>
          </w:tcPr>
          <w:p w:rsidR="00DD4FDE" w:rsidRPr="00E91188" w:rsidRDefault="00DD4FDE" w:rsidP="009C009B">
            <w:pPr>
              <w:pStyle w:val="TableTextColumnHeading"/>
            </w:pPr>
            <w:r w:rsidRPr="00E91188">
              <w:t>Progress made in 2014-15</w:t>
            </w:r>
          </w:p>
        </w:tc>
      </w:tr>
      <w:tr w:rsidR="00DD4FDE" w:rsidRPr="00E91188" w:rsidTr="009C009B">
        <w:trPr>
          <w:cnfStyle w:val="000000010000" w:firstRow="0" w:lastRow="0" w:firstColumn="0" w:lastColumn="0" w:oddVBand="0" w:evenVBand="0" w:oddHBand="0" w:evenHBand="1" w:firstRowFirstColumn="0" w:firstRowLastColumn="0" w:lastRowFirstColumn="0" w:lastRowLastColumn="0"/>
        </w:trPr>
        <w:tc>
          <w:tcPr>
            <w:tcW w:w="6473" w:type="dxa"/>
          </w:tcPr>
          <w:p w:rsidR="00DD4FDE" w:rsidRPr="00E91188" w:rsidRDefault="00DD4FDE" w:rsidP="009C009B">
            <w:pPr>
              <w:pStyle w:val="TableTextEntries"/>
            </w:pPr>
            <w:r w:rsidRPr="00E91188">
              <w:t xml:space="preserve">Continue to consolidate the regional program by ensuring that all new activities align with the two strategic objectives and managing legacy activities through to conclusion.  We will develop an Aid Investment Plan that sets out a pipeline for consolidation of the regional program around the two pillars of sustainable development and regional connectivity.  </w:t>
            </w:r>
          </w:p>
        </w:tc>
        <w:tc>
          <w:tcPr>
            <w:tcW w:w="964" w:type="dxa"/>
            <w:shd w:val="clear" w:color="auto" w:fill="72AF2F"/>
          </w:tcPr>
          <w:p w:rsidR="00DD4FDE" w:rsidRPr="00E91188" w:rsidRDefault="00DD4FDE" w:rsidP="009C009B">
            <w:pPr>
              <w:pStyle w:val="TableTextEntries"/>
              <w:jc w:val="center"/>
              <w:rPr>
                <w:color w:val="FFFFFF" w:themeColor="background1"/>
              </w:rPr>
            </w:pPr>
            <w:r w:rsidRPr="00E91188">
              <w:rPr>
                <w:color w:val="FFFFFF" w:themeColor="background1"/>
              </w:rPr>
              <w:t>Achieved</w:t>
            </w:r>
          </w:p>
        </w:tc>
        <w:tc>
          <w:tcPr>
            <w:tcW w:w="6896" w:type="dxa"/>
          </w:tcPr>
          <w:p w:rsidR="00DD4FDE" w:rsidRPr="00E91188" w:rsidRDefault="00DD4FDE" w:rsidP="00A12D4F">
            <w:pPr>
              <w:pStyle w:val="TableTextEntries"/>
            </w:pPr>
            <w:r w:rsidRPr="00E91188">
              <w:t>There was</w:t>
            </w:r>
            <w:r w:rsidR="00A12D4F">
              <w:t xml:space="preserve"> good</w:t>
            </w:r>
            <w:r w:rsidRPr="00E91188">
              <w:t xml:space="preserve"> progress in consolidating the regional program in 2014-15.  The Aid Investment Plan for the South Asia Regional Program finalised in September 2015 </w:t>
            </w:r>
            <w:r>
              <w:t xml:space="preserve">reaffirms </w:t>
            </w:r>
            <w:r w:rsidRPr="00E91188">
              <w:t>the regional program</w:t>
            </w:r>
            <w:r>
              <w:t>’s</w:t>
            </w:r>
            <w:r w:rsidRPr="00E91188">
              <w:t xml:space="preserve"> focus on sustainable development and regional connectivity – with a reduction in the number of initiatives against each objective.  Two non-aligned ‘legacy’ programs were finalised in 2014-15 and several other activities are due to be completed in 2015-16.</w:t>
            </w:r>
            <w:r>
              <w:t xml:space="preserve"> T</w:t>
            </w:r>
            <w:r w:rsidRPr="00E91188">
              <w:t xml:space="preserve">he regional program </w:t>
            </w:r>
            <w:r>
              <w:t>will support t</w:t>
            </w:r>
            <w:r w:rsidRPr="00E91188">
              <w:t>wo high p</w:t>
            </w:r>
            <w:r>
              <w:t xml:space="preserve">riority </w:t>
            </w:r>
            <w:r w:rsidRPr="00E91188">
              <w:t>initiatives (Indian Ocean Rim Association (IORA) and the Australia-India Strategic Research Fund (AISRF)).</w:t>
            </w:r>
          </w:p>
        </w:tc>
      </w:tr>
      <w:tr w:rsidR="00DD4FDE" w:rsidRPr="00E91188" w:rsidTr="009C009B">
        <w:trPr>
          <w:cnfStyle w:val="000000010000" w:firstRow="0" w:lastRow="0" w:firstColumn="0" w:lastColumn="0" w:oddVBand="0" w:evenVBand="0" w:oddHBand="0" w:evenHBand="1" w:firstRowFirstColumn="0" w:firstRowLastColumn="0" w:lastRowFirstColumn="0" w:lastRowLastColumn="0"/>
        </w:trPr>
        <w:tc>
          <w:tcPr>
            <w:tcW w:w="6473" w:type="dxa"/>
          </w:tcPr>
          <w:p w:rsidR="00DD4FDE" w:rsidRPr="00E91188" w:rsidRDefault="00DD4FDE" w:rsidP="009C009B">
            <w:pPr>
              <w:pStyle w:val="TableTextEntries"/>
            </w:pPr>
            <w:r w:rsidRPr="00E91188">
              <w:t>Improve performance management and reporting by developing a Performance Assessment Framework for the program, derived from monitoring and evaluation frameworks for each of the two program pillars.</w:t>
            </w:r>
          </w:p>
        </w:tc>
        <w:tc>
          <w:tcPr>
            <w:tcW w:w="964" w:type="dxa"/>
            <w:shd w:val="clear" w:color="auto" w:fill="E36C0A"/>
          </w:tcPr>
          <w:p w:rsidR="00DD4FDE" w:rsidRPr="00E91188" w:rsidRDefault="00DD4FDE" w:rsidP="009C009B">
            <w:pPr>
              <w:pStyle w:val="TableTextEntries"/>
              <w:jc w:val="center"/>
              <w:rPr>
                <w:color w:val="FFFFFF" w:themeColor="background1"/>
              </w:rPr>
            </w:pPr>
            <w:r w:rsidRPr="00E91188">
              <w:rPr>
                <w:color w:val="FFFFFF" w:themeColor="background1"/>
              </w:rPr>
              <w:t>Partly achieved</w:t>
            </w:r>
            <w:r w:rsidRPr="00E91188">
              <w:rPr>
                <w:color w:val="FFFFFF" w:themeColor="background1"/>
              </w:rPr>
              <w:fldChar w:fldCharType="begin"/>
            </w:r>
            <w:r w:rsidRPr="00E91188">
              <w:rPr>
                <w:color w:val="FFFFFF" w:themeColor="background1"/>
              </w:rPr>
              <w:instrText xml:space="preserve"> AUTOTEXTLIST  \s "Rating bullet"\t "Right click to choose a rating" \* MERGEFORMAT </w:instrText>
            </w:r>
            <w:r w:rsidRPr="00E91188">
              <w:rPr>
                <w:color w:val="FFFFFF" w:themeColor="background1"/>
              </w:rPr>
              <w:fldChar w:fldCharType="end"/>
            </w:r>
          </w:p>
        </w:tc>
        <w:tc>
          <w:tcPr>
            <w:tcW w:w="6896" w:type="dxa"/>
          </w:tcPr>
          <w:p w:rsidR="00DD4FDE" w:rsidRPr="00E91188" w:rsidRDefault="00DD4FDE" w:rsidP="007E128F">
            <w:pPr>
              <w:pStyle w:val="TableTextEntries"/>
            </w:pPr>
            <w:r>
              <w:t xml:space="preserve">From 2015-16, the </w:t>
            </w:r>
            <w:r w:rsidRPr="00E91188">
              <w:t xml:space="preserve">South Asia Regional program will be principally focused on two investments: the Sustainable Development Investment Portfolio (SDIP) and South Asia Regional Trade Facilitation Program (SARTFP).  </w:t>
            </w:r>
            <w:r>
              <w:t xml:space="preserve">A </w:t>
            </w:r>
            <w:r w:rsidRPr="00E91188">
              <w:t xml:space="preserve">decision was made early in 2014-15 to develop two Performance Assessment Frameworks (PAFs; one for each investment). The SDIP PAF was </w:t>
            </w:r>
            <w:r>
              <w:t xml:space="preserve">successfully </w:t>
            </w:r>
            <w:r w:rsidRPr="00E91188">
              <w:t xml:space="preserve">used to frame performance assessment and reporting for the 2015 Aid Quality Check.  With SARTFP designed and mobilised in late 2014-15, </w:t>
            </w:r>
            <w:r w:rsidR="007E128F">
              <w:t xml:space="preserve">finalisation </w:t>
            </w:r>
            <w:r w:rsidRPr="00E91188">
              <w:t xml:space="preserve">of a </w:t>
            </w:r>
            <w:r>
              <w:t xml:space="preserve">results framework </w:t>
            </w:r>
            <w:r w:rsidRPr="00E91188">
              <w:t>for the investment is a priority for 2015-16.</w:t>
            </w:r>
          </w:p>
        </w:tc>
      </w:tr>
      <w:tr w:rsidR="00DD4FDE" w:rsidRPr="00E91188" w:rsidTr="009C009B">
        <w:trPr>
          <w:cnfStyle w:val="000000010000" w:firstRow="0" w:lastRow="0" w:firstColumn="0" w:lastColumn="0" w:oddVBand="0" w:evenVBand="0" w:oddHBand="0" w:evenHBand="1" w:firstRowFirstColumn="0" w:firstRowLastColumn="0" w:lastRowFirstColumn="0" w:lastRowLastColumn="0"/>
        </w:trPr>
        <w:tc>
          <w:tcPr>
            <w:tcW w:w="6473" w:type="dxa"/>
          </w:tcPr>
          <w:p w:rsidR="00DD4FDE" w:rsidRPr="00E91188" w:rsidRDefault="00DD4FDE" w:rsidP="009C009B">
            <w:pPr>
              <w:pStyle w:val="TableTextEntries"/>
            </w:pPr>
            <w:r w:rsidRPr="00E91188">
              <w:t xml:space="preserve">Enhance engagement with multilateral partners to ensure that program outcomes can be monitored in accordance with the aid policy and performance benchmarking requirements.  We will continue to implement the Australia-World Bank Partnership for South Asia and schedule two high level strategic / management discussions per year and quarterly officer-level discussions to support program management and technical collaboration.   </w:t>
            </w:r>
          </w:p>
        </w:tc>
        <w:tc>
          <w:tcPr>
            <w:tcW w:w="964" w:type="dxa"/>
            <w:shd w:val="clear" w:color="auto" w:fill="72AF2F"/>
          </w:tcPr>
          <w:p w:rsidR="00DD4FDE" w:rsidRPr="00E91188" w:rsidRDefault="00DD4FDE" w:rsidP="009C009B">
            <w:pPr>
              <w:pStyle w:val="TableTextEntries"/>
              <w:jc w:val="center"/>
              <w:rPr>
                <w:color w:val="FFFFFF" w:themeColor="background1"/>
              </w:rPr>
            </w:pPr>
            <w:r w:rsidRPr="00E91188">
              <w:rPr>
                <w:color w:val="FFFFFF" w:themeColor="background1"/>
              </w:rPr>
              <w:t>Achieved</w:t>
            </w:r>
          </w:p>
        </w:tc>
        <w:tc>
          <w:tcPr>
            <w:tcW w:w="6896" w:type="dxa"/>
          </w:tcPr>
          <w:p w:rsidR="00DD4FDE" w:rsidRPr="00E91188" w:rsidRDefault="00DD4FDE" w:rsidP="009C009B">
            <w:pPr>
              <w:pStyle w:val="TableTextEntries"/>
            </w:pPr>
            <w:r>
              <w:t>S</w:t>
            </w:r>
            <w:r w:rsidRPr="00E91188">
              <w:t xml:space="preserve">trategic management discussion for the Australia-World Bank Partnership for South Asia </w:t>
            </w:r>
            <w:r>
              <w:t xml:space="preserve">(PFSA) </w:t>
            </w:r>
            <w:r w:rsidRPr="00E91188">
              <w:t xml:space="preserve">took place in September 2015. There has been enhanced engagement at officer and management levels through the design of SARTFP.  Strengthened governance arrangements through revisions to </w:t>
            </w:r>
            <w:r w:rsidR="007E128F">
              <w:t xml:space="preserve">the </w:t>
            </w:r>
            <w:r w:rsidRPr="00E91188">
              <w:t xml:space="preserve">head agreement with the World Bank </w:t>
            </w:r>
            <w:r>
              <w:t xml:space="preserve">for the PFSA </w:t>
            </w:r>
            <w:r w:rsidRPr="00E91188">
              <w:t xml:space="preserve">and an </w:t>
            </w:r>
            <w:r>
              <w:t xml:space="preserve">associated </w:t>
            </w:r>
            <w:r w:rsidRPr="00E91188">
              <w:t>administrative manual</w:t>
            </w:r>
            <w:r>
              <w:t>,</w:t>
            </w:r>
            <w:r w:rsidRPr="00E91188">
              <w:t xml:space="preserve"> have institutionalised these relationships, allowing for greater DFAT influence and engagement</w:t>
            </w:r>
            <w:r>
              <w:t xml:space="preserve"> on both SARTFP and IFG</w:t>
            </w:r>
            <w:r w:rsidRPr="00E91188">
              <w:t xml:space="preserve">.  DFAT remains active on the World Bank South Asia Water Initiative (SAWI) donor steering committee.  </w:t>
            </w:r>
          </w:p>
        </w:tc>
      </w:tr>
      <w:tr w:rsidR="00DD4FDE" w:rsidRPr="00E91188" w:rsidTr="009C009B">
        <w:trPr>
          <w:cnfStyle w:val="000000010000" w:firstRow="0" w:lastRow="0" w:firstColumn="0" w:lastColumn="0" w:oddVBand="0" w:evenVBand="0" w:oddHBand="0" w:evenHBand="1" w:firstRowFirstColumn="0" w:firstRowLastColumn="0" w:lastRowFirstColumn="0" w:lastRowLastColumn="0"/>
        </w:trPr>
        <w:tc>
          <w:tcPr>
            <w:tcW w:w="6473" w:type="dxa"/>
          </w:tcPr>
          <w:p w:rsidR="00DD4FDE" w:rsidRPr="00E91188" w:rsidRDefault="00DD4FDE" w:rsidP="009C009B">
            <w:pPr>
              <w:pStyle w:val="TableTextEntries"/>
            </w:pPr>
            <w:r w:rsidRPr="00E91188">
              <w:t>Finalise design of the Regional Connectivity pillar and commence implementation by June 2015.  We will develop a detailed timeline for finalising scoping work, choosing a partner, undertaking any due diligence, agreeing objectives and reporting requirements, developing and approving a design, negotiating a partnering agreement, and commencing activity.  This timeline and milestones will be approved by the First Assistant Secretary, South and West Asia Division, DFAT.</w:t>
            </w:r>
          </w:p>
        </w:tc>
        <w:tc>
          <w:tcPr>
            <w:tcW w:w="964" w:type="dxa"/>
            <w:shd w:val="clear" w:color="auto" w:fill="72AF2F"/>
          </w:tcPr>
          <w:p w:rsidR="00DD4FDE" w:rsidRPr="00E91188" w:rsidRDefault="00DD4FDE" w:rsidP="009C009B">
            <w:pPr>
              <w:pStyle w:val="TableTextEntries"/>
              <w:jc w:val="center"/>
              <w:rPr>
                <w:color w:val="FFFFFF" w:themeColor="background1"/>
              </w:rPr>
            </w:pPr>
            <w:r w:rsidRPr="00E91188">
              <w:rPr>
                <w:color w:val="FFFFFF" w:themeColor="background1"/>
              </w:rPr>
              <w:t>Achieved</w:t>
            </w:r>
          </w:p>
        </w:tc>
        <w:tc>
          <w:tcPr>
            <w:tcW w:w="6896" w:type="dxa"/>
          </w:tcPr>
          <w:p w:rsidR="00DD4FDE" w:rsidRPr="00E91188" w:rsidRDefault="00DD4FDE" w:rsidP="009C009B">
            <w:pPr>
              <w:pStyle w:val="TableTextEntries"/>
            </w:pPr>
            <w:r w:rsidRPr="00E91188">
              <w:t xml:space="preserve">SARTFP, the </w:t>
            </w:r>
            <w:r>
              <w:t>principal</w:t>
            </w:r>
            <w:r w:rsidRPr="00E91188">
              <w:t xml:space="preserve"> </w:t>
            </w:r>
            <w:r>
              <w:t xml:space="preserve">Regional Connectivity </w:t>
            </w:r>
            <w:r w:rsidRPr="00E91188">
              <w:t>investment</w:t>
            </w:r>
            <w:r>
              <w:t>,</w:t>
            </w:r>
            <w:r w:rsidRPr="00E91188">
              <w:t xml:space="preserve"> was successfully designed and </w:t>
            </w:r>
            <w:r>
              <w:t xml:space="preserve">mobilised </w:t>
            </w:r>
            <w:r w:rsidRPr="00E91188">
              <w:t xml:space="preserve">in June 2015. A formal partnering agreement was not established as this was outside the agreed agency-wide governance arrangements between DFAT and the World Bank.  </w:t>
            </w:r>
          </w:p>
        </w:tc>
      </w:tr>
      <w:tr w:rsidR="00DD4FDE" w:rsidRPr="00E91188" w:rsidTr="009C009B">
        <w:trPr>
          <w:cnfStyle w:val="000000010000" w:firstRow="0" w:lastRow="0" w:firstColumn="0" w:lastColumn="0" w:oddVBand="0" w:evenVBand="0" w:oddHBand="0" w:evenHBand="1" w:firstRowFirstColumn="0" w:firstRowLastColumn="0" w:lastRowFirstColumn="0" w:lastRowLastColumn="0"/>
        </w:trPr>
        <w:tc>
          <w:tcPr>
            <w:tcW w:w="6473" w:type="dxa"/>
          </w:tcPr>
          <w:p w:rsidR="00DD4FDE" w:rsidRPr="00E91188" w:rsidRDefault="00DD4FDE" w:rsidP="009C009B">
            <w:pPr>
              <w:pStyle w:val="TableTextEntries"/>
            </w:pPr>
            <w:r w:rsidRPr="00E91188">
              <w:t>Increase focus and engagement in the energy sector under the SDIP, by establishing a partnership with an implementing organisation in this sector and commencing on-ground activities to improve access to and cooperation on energy.</w:t>
            </w:r>
          </w:p>
        </w:tc>
        <w:tc>
          <w:tcPr>
            <w:tcW w:w="964" w:type="dxa"/>
            <w:shd w:val="clear" w:color="auto" w:fill="72AF2F"/>
          </w:tcPr>
          <w:p w:rsidR="00DD4FDE" w:rsidRPr="00E91188" w:rsidRDefault="00DD4FDE" w:rsidP="009C009B">
            <w:pPr>
              <w:pStyle w:val="TableTextEntries"/>
              <w:jc w:val="center"/>
              <w:rPr>
                <w:color w:val="FFFFFF" w:themeColor="background1"/>
              </w:rPr>
            </w:pPr>
            <w:r w:rsidRPr="00E91188">
              <w:rPr>
                <w:color w:val="FFFFFF" w:themeColor="background1"/>
              </w:rPr>
              <w:t>Achieved</w:t>
            </w:r>
          </w:p>
        </w:tc>
        <w:tc>
          <w:tcPr>
            <w:tcW w:w="6896" w:type="dxa"/>
          </w:tcPr>
          <w:p w:rsidR="00DD4FDE" w:rsidRPr="00E91188" w:rsidRDefault="00DD4FDE" w:rsidP="007E128F">
            <w:pPr>
              <w:pStyle w:val="TableTextEntries"/>
            </w:pPr>
            <w:r w:rsidRPr="00E91188">
              <w:t xml:space="preserve">The International Finance Corporation (IFC) was </w:t>
            </w:r>
            <w:r w:rsidR="007E128F">
              <w:t xml:space="preserve">added </w:t>
            </w:r>
            <w:r w:rsidRPr="00E91188">
              <w:t xml:space="preserve">as SDIP’s energy </w:t>
            </w:r>
            <w:r w:rsidR="007E128F">
              <w:t>sector partner in October 2014.</w:t>
            </w:r>
            <w:r w:rsidRPr="00E91188">
              <w:t xml:space="preserve">IFC has established a comprehensive work program and </w:t>
            </w:r>
            <w:r>
              <w:t xml:space="preserve">has commenced implementation </w:t>
            </w:r>
            <w:r w:rsidRPr="00E91188">
              <w:t>across the</w:t>
            </w:r>
            <w:r>
              <w:t xml:space="preserve"> three target basins. </w:t>
            </w:r>
          </w:p>
        </w:tc>
      </w:tr>
    </w:tbl>
    <w:p w:rsidR="00DD4FDE" w:rsidRPr="00E91188" w:rsidRDefault="00DD4FDE" w:rsidP="00DD4FDE">
      <w:pPr>
        <w:pStyle w:val="Note"/>
      </w:pPr>
      <w:r w:rsidRPr="00E91188">
        <w:t xml:space="preserve">Note: </w:t>
      </w:r>
    </w:p>
    <w:p w:rsidR="00DD4FDE" w:rsidRPr="00E91188" w:rsidRDefault="00DD4FDE" w:rsidP="00DD4FDE">
      <w:pPr>
        <w:pStyle w:val="Note"/>
      </w:pPr>
      <w:r w:rsidRPr="00E91188">
        <w:rPr>
          <w:color w:val="72AF2F"/>
        </w:rPr>
        <w:sym w:font="Webdings" w:char="F067"/>
      </w:r>
      <w:r w:rsidRPr="00E91188">
        <w:t> </w:t>
      </w:r>
      <w:r w:rsidRPr="00E91188">
        <w:t xml:space="preserve"> Achieved.  Significant progress has been made in addressing the issue </w:t>
      </w:r>
    </w:p>
    <w:p w:rsidR="00DD4FDE" w:rsidRDefault="00DD4FDE" w:rsidP="00DD4FDE">
      <w:pPr>
        <w:pStyle w:val="Note"/>
      </w:pPr>
      <w:r w:rsidRPr="00E91188">
        <w:rPr>
          <w:color w:val="E36C0A"/>
        </w:rPr>
        <w:sym w:font="Webdings" w:char="F067"/>
      </w:r>
      <w:r w:rsidRPr="00E91188">
        <w:t> </w:t>
      </w:r>
      <w:r w:rsidRPr="00E91188">
        <w:t xml:space="preserve"> Partly achieved.  Some progress has been made in addressing the issue, but the issue has not been resolved </w:t>
      </w:r>
    </w:p>
    <w:p w:rsidR="00657D62" w:rsidRPr="00657D62" w:rsidRDefault="00657D62" w:rsidP="00657D62">
      <w:pPr>
        <w:pStyle w:val="Note"/>
      </w:pPr>
      <w:r w:rsidRPr="00E91188">
        <w:rPr>
          <w:color w:val="FF0000"/>
        </w:rPr>
        <w:sym w:font="Webdings" w:char="F067"/>
      </w:r>
      <w:r w:rsidRPr="00E91188">
        <w:t> </w:t>
      </w:r>
      <w:r w:rsidRPr="00E91188">
        <w:t xml:space="preserve"> Not achieved. Progress in addressing the issue has been significantly below expectations</w:t>
      </w:r>
      <w:r w:rsidRPr="00E91188">
        <w:rPr>
          <w:sz w:val="28"/>
        </w:rPr>
        <w:br w:type="page"/>
      </w:r>
    </w:p>
    <w:bookmarkEnd w:id="2"/>
    <w:p w:rsidR="00DD4FDE" w:rsidRPr="00E91188" w:rsidRDefault="00DD4FDE" w:rsidP="00DD4FDE">
      <w:pPr>
        <w:pStyle w:val="Heading2"/>
        <w:rPr>
          <w:sz w:val="28"/>
        </w:rPr>
      </w:pPr>
      <w:r w:rsidRPr="00E91188">
        <w:rPr>
          <w:sz w:val="28"/>
        </w:rPr>
        <w:lastRenderedPageBreak/>
        <w:t>Annex B - Progress towards Performance Benchmarks in 2014 -15</w:t>
      </w:r>
    </w:p>
    <w:tbl>
      <w:tblPr>
        <w:tblStyle w:val="DFATTable"/>
        <w:tblW w:w="5000" w:type="pct"/>
        <w:tblLook w:val="04A0" w:firstRow="1" w:lastRow="0" w:firstColumn="1" w:lastColumn="0" w:noHBand="0" w:noVBand="1"/>
      </w:tblPr>
      <w:tblGrid>
        <w:gridCol w:w="2092"/>
        <w:gridCol w:w="2397"/>
        <w:gridCol w:w="1353"/>
        <w:gridCol w:w="8547"/>
      </w:tblGrid>
      <w:tr w:rsidR="00DD4FDE" w:rsidRPr="00E91188" w:rsidTr="009C009B">
        <w:trPr>
          <w:tblHeader/>
        </w:trPr>
        <w:tc>
          <w:tcPr>
            <w:tcW w:w="727" w:type="pct"/>
            <w:tcMar>
              <w:top w:w="57" w:type="dxa"/>
              <w:bottom w:w="57" w:type="dxa"/>
            </w:tcMar>
          </w:tcPr>
          <w:p w:rsidR="00DD4FDE" w:rsidRPr="00E91188" w:rsidRDefault="00DD4FDE" w:rsidP="009C009B">
            <w:pPr>
              <w:pStyle w:val="TableHeading1"/>
            </w:pPr>
            <w:r w:rsidRPr="00E91188">
              <w:t>Aid objective</w:t>
            </w:r>
          </w:p>
        </w:tc>
        <w:tc>
          <w:tcPr>
            <w:tcW w:w="833" w:type="pct"/>
          </w:tcPr>
          <w:p w:rsidR="00DD4FDE" w:rsidRPr="00E91188" w:rsidRDefault="00DD4FDE" w:rsidP="009C009B">
            <w:pPr>
              <w:pStyle w:val="TableHeading1"/>
            </w:pPr>
            <w:r w:rsidRPr="00E91188">
              <w:t xml:space="preserve">2014-15 benchmark </w:t>
            </w:r>
          </w:p>
        </w:tc>
        <w:tc>
          <w:tcPr>
            <w:tcW w:w="470" w:type="pct"/>
            <w:tcBorders>
              <w:bottom w:val="nil"/>
            </w:tcBorders>
          </w:tcPr>
          <w:p w:rsidR="00DD4FDE" w:rsidRPr="00E91188" w:rsidRDefault="00DD4FDE" w:rsidP="009C009B">
            <w:pPr>
              <w:pStyle w:val="TableHeading1"/>
            </w:pPr>
            <w:r w:rsidRPr="00E91188">
              <w:t>Rating</w:t>
            </w:r>
          </w:p>
        </w:tc>
        <w:tc>
          <w:tcPr>
            <w:tcW w:w="2970" w:type="pct"/>
          </w:tcPr>
          <w:p w:rsidR="00DD4FDE" w:rsidRPr="00E91188" w:rsidRDefault="00DD4FDE" w:rsidP="009C009B">
            <w:pPr>
              <w:pStyle w:val="TableHeading1"/>
            </w:pPr>
            <w:r w:rsidRPr="00E91188">
              <w:t>Progress in 2014-15</w:t>
            </w:r>
          </w:p>
        </w:tc>
      </w:tr>
      <w:tr w:rsidR="00DD4FDE" w:rsidRPr="00E91188" w:rsidTr="009C009B">
        <w:tc>
          <w:tcPr>
            <w:tcW w:w="727" w:type="pct"/>
            <w:vMerge w:val="restart"/>
            <w:tcMar>
              <w:top w:w="57" w:type="dxa"/>
              <w:bottom w:w="57" w:type="dxa"/>
            </w:tcMar>
          </w:tcPr>
          <w:p w:rsidR="00DD4FDE" w:rsidRPr="00E91188" w:rsidRDefault="00DD4FDE" w:rsidP="009C009B">
            <w:pPr>
              <w:pStyle w:val="TableTextEntries"/>
            </w:pPr>
            <w:r w:rsidRPr="00E91188">
              <w:t>Increased water, food and energy security in South Asia to facilitate economic growth and improve livelihoods, targeting the poorest and most vulnerable, particularly women and girls.</w:t>
            </w:r>
          </w:p>
        </w:tc>
        <w:tc>
          <w:tcPr>
            <w:tcW w:w="833" w:type="pct"/>
          </w:tcPr>
          <w:p w:rsidR="00DD4FDE" w:rsidRPr="00E91188" w:rsidRDefault="00DD4FDE" w:rsidP="009C009B">
            <w:pPr>
              <w:pStyle w:val="TableTextEntries"/>
            </w:pPr>
            <w:r w:rsidRPr="00E91188">
              <w:t>Hold two workshops to transfer science and experience from Australia to improve water security and agricultural productivity in the Ganges basin.</w:t>
            </w:r>
          </w:p>
        </w:tc>
        <w:tc>
          <w:tcPr>
            <w:tcW w:w="470" w:type="pct"/>
            <w:tcBorders>
              <w:top w:val="nil"/>
              <w:bottom w:val="nil"/>
            </w:tcBorders>
            <w:shd w:val="clear" w:color="auto" w:fill="72AF2F"/>
          </w:tcPr>
          <w:p w:rsidR="00DD4FDE" w:rsidRPr="00E91188" w:rsidRDefault="00DD4FDE" w:rsidP="009C009B">
            <w:pPr>
              <w:pStyle w:val="TableTextEntries"/>
              <w:jc w:val="center"/>
              <w:rPr>
                <w:color w:val="FFFFFF" w:themeColor="background1"/>
              </w:rPr>
            </w:pPr>
            <w:r w:rsidRPr="00E91188">
              <w:rPr>
                <w:color w:val="FFFFFF" w:themeColor="background1"/>
              </w:rPr>
              <w:t>Achieved</w:t>
            </w:r>
          </w:p>
        </w:tc>
        <w:tc>
          <w:tcPr>
            <w:tcW w:w="2970" w:type="pct"/>
          </w:tcPr>
          <w:p w:rsidR="00DD4FDE" w:rsidRPr="00E91188" w:rsidRDefault="00DD4FDE" w:rsidP="00657D62">
            <w:pPr>
              <w:rPr>
                <w:rFonts w:ascii="Franklin Gothic Book" w:eastAsia="Times New Roman" w:hAnsi="Franklin Gothic Book"/>
                <w:iCs/>
                <w:sz w:val="17"/>
                <w:szCs w:val="17"/>
                <w:lang w:eastAsia="en-US"/>
              </w:rPr>
            </w:pPr>
            <w:r w:rsidRPr="00E91188">
              <w:rPr>
                <w:rFonts w:ascii="Franklin Gothic Book" w:eastAsia="Times New Roman" w:hAnsi="Franklin Gothic Book"/>
                <w:iCs/>
                <w:sz w:val="17"/>
                <w:szCs w:val="17"/>
                <w:lang w:eastAsia="en-US"/>
              </w:rPr>
              <w:t xml:space="preserve">Progress on this benchmark exceeded expectations. </w:t>
            </w:r>
            <w:r w:rsidR="00657D62">
              <w:rPr>
                <w:rFonts w:ascii="Franklin Gothic Book" w:eastAsia="Times New Roman" w:hAnsi="Franklin Gothic Book"/>
                <w:iCs/>
                <w:sz w:val="17"/>
                <w:szCs w:val="17"/>
                <w:lang w:eastAsia="en-US"/>
              </w:rPr>
              <w:t xml:space="preserve"> </w:t>
            </w:r>
            <w:r w:rsidRPr="00E91188">
              <w:rPr>
                <w:rFonts w:ascii="Franklin Gothic Book" w:eastAsia="Times New Roman" w:hAnsi="Franklin Gothic Book"/>
                <w:iCs/>
                <w:sz w:val="17"/>
                <w:szCs w:val="17"/>
                <w:lang w:eastAsia="en-US"/>
              </w:rPr>
              <w:t>SAWI held two workshops in February 2015 in New Delhi, both with about 100 participants</w:t>
            </w:r>
            <w:r>
              <w:rPr>
                <w:rFonts w:ascii="Franklin Gothic Book" w:eastAsia="Times New Roman" w:hAnsi="Franklin Gothic Book"/>
                <w:iCs/>
                <w:sz w:val="17"/>
                <w:szCs w:val="17"/>
                <w:lang w:eastAsia="en-US"/>
              </w:rPr>
              <w:t>, at which</w:t>
            </w:r>
            <w:r w:rsidR="00657D62">
              <w:rPr>
                <w:rFonts w:ascii="Franklin Gothic Book" w:eastAsia="Times New Roman" w:hAnsi="Franklin Gothic Book"/>
                <w:iCs/>
                <w:sz w:val="17"/>
                <w:szCs w:val="17"/>
                <w:lang w:eastAsia="en-US"/>
              </w:rPr>
              <w:t xml:space="preserve"> l</w:t>
            </w:r>
            <w:r w:rsidRPr="00E91188">
              <w:rPr>
                <w:rFonts w:ascii="Franklin Gothic Book" w:eastAsia="Times New Roman" w:hAnsi="Franklin Gothic Book"/>
                <w:iCs/>
                <w:sz w:val="17"/>
                <w:szCs w:val="17"/>
                <w:lang w:eastAsia="en-US"/>
              </w:rPr>
              <w:t xml:space="preserve">essons from the Australian experience, specifically on the Murray-Darling Basin, were shared. </w:t>
            </w:r>
            <w:r w:rsidR="00657D62">
              <w:rPr>
                <w:rFonts w:ascii="Franklin Gothic Book" w:eastAsia="Times New Roman" w:hAnsi="Franklin Gothic Book"/>
                <w:iCs/>
                <w:sz w:val="17"/>
                <w:szCs w:val="17"/>
                <w:lang w:eastAsia="en-US"/>
              </w:rPr>
              <w:t xml:space="preserve"> </w:t>
            </w:r>
            <w:r w:rsidRPr="00E91188">
              <w:rPr>
                <w:rFonts w:ascii="Franklin Gothic Book" w:eastAsia="Times New Roman" w:hAnsi="Franklin Gothic Book"/>
                <w:iCs/>
                <w:sz w:val="17"/>
                <w:szCs w:val="17"/>
                <w:lang w:eastAsia="en-US"/>
              </w:rPr>
              <w:t>CSIRO hosted a training workshop in May 2015 for 26 participants of India’s</w:t>
            </w:r>
            <w:r w:rsidR="00657D62">
              <w:rPr>
                <w:rFonts w:ascii="Franklin Gothic Book" w:eastAsia="Times New Roman" w:hAnsi="Franklin Gothic Book"/>
                <w:iCs/>
                <w:sz w:val="17"/>
                <w:szCs w:val="17"/>
                <w:lang w:eastAsia="en-US"/>
              </w:rPr>
              <w:t xml:space="preserve"> Central Water Commission </w:t>
            </w:r>
            <w:r w:rsidRPr="00E91188">
              <w:rPr>
                <w:rFonts w:ascii="Franklin Gothic Book" w:eastAsia="Times New Roman" w:hAnsi="Franklin Gothic Book"/>
                <w:iCs/>
                <w:sz w:val="17"/>
                <w:szCs w:val="17"/>
                <w:lang w:eastAsia="en-US"/>
              </w:rPr>
              <w:t>and state agencies</w:t>
            </w:r>
            <w:r>
              <w:rPr>
                <w:rFonts w:ascii="Franklin Gothic Book" w:eastAsia="Times New Roman" w:hAnsi="Franklin Gothic Book"/>
                <w:iCs/>
                <w:sz w:val="17"/>
                <w:szCs w:val="17"/>
                <w:lang w:eastAsia="en-US"/>
              </w:rPr>
              <w:t xml:space="preserve"> about </w:t>
            </w:r>
            <w:r w:rsidRPr="00E91188">
              <w:rPr>
                <w:rFonts w:ascii="Franklin Gothic Book" w:eastAsia="Times New Roman" w:hAnsi="Franklin Gothic Book"/>
                <w:iCs/>
                <w:sz w:val="17"/>
                <w:szCs w:val="17"/>
                <w:lang w:eastAsia="en-US"/>
              </w:rPr>
              <w:t>develop</w:t>
            </w:r>
            <w:r>
              <w:rPr>
                <w:rFonts w:ascii="Franklin Gothic Book" w:eastAsia="Times New Roman" w:hAnsi="Franklin Gothic Book"/>
                <w:iCs/>
                <w:sz w:val="17"/>
                <w:szCs w:val="17"/>
                <w:lang w:eastAsia="en-US"/>
              </w:rPr>
              <w:t>ing</w:t>
            </w:r>
            <w:r w:rsidRPr="00E91188">
              <w:rPr>
                <w:rFonts w:ascii="Franklin Gothic Book" w:eastAsia="Times New Roman" w:hAnsi="Franklin Gothic Book"/>
                <w:iCs/>
                <w:sz w:val="17"/>
                <w:szCs w:val="17"/>
                <w:lang w:eastAsia="en-US"/>
              </w:rPr>
              <w:t xml:space="preserve"> a Baitarni Basin model </w:t>
            </w:r>
            <w:r>
              <w:rPr>
                <w:rFonts w:ascii="Franklin Gothic Book" w:eastAsia="Times New Roman" w:hAnsi="Franklin Gothic Book"/>
                <w:iCs/>
                <w:sz w:val="17"/>
                <w:szCs w:val="17"/>
                <w:lang w:eastAsia="en-US"/>
              </w:rPr>
              <w:t xml:space="preserve">to </w:t>
            </w:r>
            <w:r w:rsidRPr="00E91188">
              <w:rPr>
                <w:rFonts w:ascii="Franklin Gothic Book" w:eastAsia="Times New Roman" w:hAnsi="Franklin Gothic Book"/>
                <w:iCs/>
                <w:sz w:val="17"/>
                <w:szCs w:val="17"/>
                <w:lang w:eastAsia="en-US"/>
              </w:rPr>
              <w:t>inform decision</w:t>
            </w:r>
            <w:r w:rsidRPr="00E91188">
              <w:rPr>
                <w:rFonts w:ascii="Cambria Math" w:eastAsia="Times New Roman" w:hAnsi="Cambria Math" w:cs="Cambria Math"/>
                <w:iCs/>
                <w:sz w:val="17"/>
                <w:szCs w:val="17"/>
                <w:lang w:eastAsia="en-US"/>
              </w:rPr>
              <w:t>‐</w:t>
            </w:r>
            <w:r w:rsidRPr="00E91188">
              <w:rPr>
                <w:rFonts w:ascii="Franklin Gothic Book" w:eastAsia="Times New Roman" w:hAnsi="Franklin Gothic Book"/>
                <w:iCs/>
                <w:sz w:val="17"/>
                <w:szCs w:val="17"/>
                <w:lang w:eastAsia="en-US"/>
              </w:rPr>
              <w:t>making about water resourcing</w:t>
            </w:r>
            <w:r w:rsidR="00657D62">
              <w:rPr>
                <w:rFonts w:ascii="Franklin Gothic Book" w:eastAsia="Times New Roman" w:hAnsi="Franklin Gothic Book"/>
                <w:iCs/>
                <w:sz w:val="17"/>
                <w:szCs w:val="17"/>
                <w:lang w:eastAsia="en-US"/>
              </w:rPr>
              <w:t xml:space="preserve"> and allocation</w:t>
            </w:r>
            <w:r w:rsidRPr="00E91188">
              <w:rPr>
                <w:rFonts w:ascii="Franklin Gothic Book" w:eastAsia="Times New Roman" w:hAnsi="Franklin Gothic Book"/>
                <w:iCs/>
                <w:sz w:val="17"/>
                <w:szCs w:val="17"/>
                <w:lang w:eastAsia="en-US"/>
              </w:rPr>
              <w:t>.</w:t>
            </w:r>
            <w:r w:rsidR="00657D62">
              <w:rPr>
                <w:rFonts w:ascii="Franklin Gothic Book" w:eastAsia="Times New Roman" w:hAnsi="Franklin Gothic Book"/>
                <w:iCs/>
                <w:sz w:val="17"/>
                <w:szCs w:val="17"/>
                <w:lang w:eastAsia="en-US"/>
              </w:rPr>
              <w:t xml:space="preserve"> </w:t>
            </w:r>
            <w:r w:rsidRPr="00E91188">
              <w:rPr>
                <w:rFonts w:ascii="Franklin Gothic Book" w:eastAsia="Times New Roman" w:hAnsi="Franklin Gothic Book"/>
                <w:iCs/>
                <w:sz w:val="17"/>
                <w:szCs w:val="17"/>
                <w:lang w:eastAsia="en-US"/>
              </w:rPr>
              <w:t xml:space="preserve"> CSIRO held a training workshop in December 2014 in Delhi on rainfall-runoff. </w:t>
            </w:r>
            <w:r>
              <w:rPr>
                <w:rFonts w:ascii="Franklin Gothic Book" w:eastAsia="Times New Roman" w:hAnsi="Franklin Gothic Book"/>
                <w:iCs/>
                <w:sz w:val="17"/>
                <w:szCs w:val="17"/>
                <w:lang w:eastAsia="en-US"/>
              </w:rPr>
              <w:t xml:space="preserve"> </w:t>
            </w:r>
            <w:r w:rsidRPr="00E91188">
              <w:rPr>
                <w:rFonts w:ascii="Franklin Gothic Book" w:eastAsia="Times New Roman" w:hAnsi="Franklin Gothic Book"/>
                <w:iCs/>
                <w:sz w:val="17"/>
                <w:szCs w:val="17"/>
                <w:lang w:eastAsia="en-US"/>
              </w:rPr>
              <w:t>ICE</w:t>
            </w:r>
            <w:r w:rsidR="00657D62">
              <w:rPr>
                <w:rFonts w:ascii="Franklin Gothic Book" w:eastAsia="Times New Roman" w:hAnsi="Franklin Gothic Book"/>
                <w:iCs/>
                <w:sz w:val="17"/>
                <w:szCs w:val="17"/>
                <w:lang w:eastAsia="en-US"/>
              </w:rPr>
              <w:t> </w:t>
            </w:r>
            <w:r w:rsidRPr="00E91188">
              <w:rPr>
                <w:rFonts w:ascii="Franklin Gothic Book" w:eastAsia="Times New Roman" w:hAnsi="Franklin Gothic Book"/>
                <w:iCs/>
                <w:sz w:val="17"/>
                <w:szCs w:val="17"/>
                <w:lang w:eastAsia="en-US"/>
              </w:rPr>
              <w:t>WaRM and CSIRO hosted 14 senior delegates from gov</w:t>
            </w:r>
            <w:r w:rsidR="00657D62">
              <w:rPr>
                <w:rFonts w:ascii="Franklin Gothic Book" w:eastAsia="Times New Roman" w:hAnsi="Franklin Gothic Book"/>
                <w:iCs/>
                <w:sz w:val="17"/>
                <w:szCs w:val="17"/>
                <w:lang w:eastAsia="en-US"/>
              </w:rPr>
              <w:t>ernment and research agencies from</w:t>
            </w:r>
            <w:r w:rsidRPr="00E91188">
              <w:rPr>
                <w:rFonts w:ascii="Franklin Gothic Book" w:eastAsia="Times New Roman" w:hAnsi="Franklin Gothic Book"/>
                <w:iCs/>
                <w:sz w:val="17"/>
                <w:szCs w:val="17"/>
                <w:lang w:eastAsia="en-US"/>
              </w:rPr>
              <w:t xml:space="preserve"> Nepal, India and China to Australia, providing participants first</w:t>
            </w:r>
            <w:r w:rsidR="00657D62">
              <w:rPr>
                <w:rFonts w:ascii="Franklin Gothic Book" w:eastAsia="Times New Roman" w:hAnsi="Franklin Gothic Book"/>
                <w:iCs/>
                <w:sz w:val="17"/>
                <w:szCs w:val="17"/>
                <w:lang w:eastAsia="en-US"/>
              </w:rPr>
              <w:t>-</w:t>
            </w:r>
            <w:r w:rsidRPr="00E91188">
              <w:rPr>
                <w:rFonts w:ascii="Franklin Gothic Book" w:eastAsia="Times New Roman" w:hAnsi="Franklin Gothic Book"/>
                <w:iCs/>
                <w:sz w:val="17"/>
                <w:szCs w:val="17"/>
                <w:lang w:eastAsia="en-US"/>
              </w:rPr>
              <w:t xml:space="preserve">hand experience of </w:t>
            </w:r>
            <w:r w:rsidR="00657D62">
              <w:rPr>
                <w:rFonts w:ascii="Franklin Gothic Book" w:eastAsia="Times New Roman" w:hAnsi="Franklin Gothic Book"/>
                <w:iCs/>
                <w:sz w:val="17"/>
                <w:szCs w:val="17"/>
                <w:lang w:eastAsia="en-US"/>
              </w:rPr>
              <w:t xml:space="preserve">water resources management </w:t>
            </w:r>
            <w:r w:rsidRPr="00E91188">
              <w:rPr>
                <w:rFonts w:ascii="Franklin Gothic Book" w:eastAsia="Times New Roman" w:hAnsi="Franklin Gothic Book"/>
                <w:iCs/>
                <w:sz w:val="17"/>
                <w:szCs w:val="17"/>
                <w:lang w:eastAsia="en-US"/>
              </w:rPr>
              <w:t>in Australia.  Supporting improved agricultural productivity, ACIAR h</w:t>
            </w:r>
            <w:r w:rsidR="00657D62">
              <w:rPr>
                <w:rFonts w:ascii="Franklin Gothic Book" w:eastAsia="Times New Roman" w:hAnsi="Franklin Gothic Book"/>
                <w:iCs/>
                <w:sz w:val="17"/>
                <w:szCs w:val="17"/>
                <w:lang w:eastAsia="en-US"/>
              </w:rPr>
              <w:t>eld formal training courses on innovation p</w:t>
            </w:r>
            <w:r w:rsidRPr="00E91188">
              <w:rPr>
                <w:rFonts w:ascii="Franklin Gothic Book" w:eastAsia="Times New Roman" w:hAnsi="Franklin Gothic Book"/>
                <w:iCs/>
                <w:sz w:val="17"/>
                <w:szCs w:val="17"/>
                <w:lang w:eastAsia="en-US"/>
              </w:rPr>
              <w:t>latforms</w:t>
            </w:r>
            <w:r>
              <w:rPr>
                <w:rFonts w:ascii="Franklin Gothic Book" w:eastAsia="Times New Roman" w:hAnsi="Franklin Gothic Book"/>
                <w:iCs/>
                <w:sz w:val="17"/>
                <w:szCs w:val="17"/>
                <w:lang w:eastAsia="en-US"/>
              </w:rPr>
              <w:t xml:space="preserve"> and </w:t>
            </w:r>
            <w:r w:rsidR="00657D62">
              <w:rPr>
                <w:rFonts w:ascii="Franklin Gothic Book" w:eastAsia="Times New Roman" w:hAnsi="Franklin Gothic Book"/>
                <w:iCs/>
                <w:sz w:val="17"/>
                <w:szCs w:val="17"/>
                <w:lang w:eastAsia="en-US"/>
              </w:rPr>
              <w:t>t</w:t>
            </w:r>
            <w:r w:rsidRPr="00E91188">
              <w:rPr>
                <w:rFonts w:ascii="Franklin Gothic Book" w:eastAsia="Times New Roman" w:hAnsi="Franklin Gothic Book"/>
                <w:iCs/>
                <w:sz w:val="17"/>
                <w:szCs w:val="17"/>
                <w:lang w:eastAsia="en-US"/>
              </w:rPr>
              <w:t xml:space="preserve">heory of </w:t>
            </w:r>
            <w:r w:rsidR="00657D62">
              <w:rPr>
                <w:rFonts w:ascii="Franklin Gothic Book" w:eastAsia="Times New Roman" w:hAnsi="Franklin Gothic Book"/>
                <w:iCs/>
                <w:sz w:val="17"/>
                <w:szCs w:val="17"/>
                <w:lang w:eastAsia="en-US"/>
              </w:rPr>
              <w:t>c</w:t>
            </w:r>
            <w:r w:rsidRPr="00E91188">
              <w:rPr>
                <w:rFonts w:ascii="Franklin Gothic Book" w:eastAsia="Times New Roman" w:hAnsi="Franklin Gothic Book"/>
                <w:iCs/>
                <w:sz w:val="17"/>
                <w:szCs w:val="17"/>
                <w:lang w:eastAsia="en-US"/>
              </w:rPr>
              <w:t>hange</w:t>
            </w:r>
            <w:r>
              <w:rPr>
                <w:rFonts w:ascii="Franklin Gothic Book" w:eastAsia="Times New Roman" w:hAnsi="Franklin Gothic Book"/>
                <w:iCs/>
                <w:sz w:val="17"/>
                <w:szCs w:val="17"/>
                <w:lang w:eastAsia="en-US"/>
              </w:rPr>
              <w:t>.</w:t>
            </w:r>
            <w:r w:rsidRPr="00E91188">
              <w:rPr>
                <w:rFonts w:ascii="Franklin Gothic Book" w:eastAsia="Times New Roman" w:hAnsi="Franklin Gothic Book"/>
                <w:iCs/>
                <w:sz w:val="17"/>
                <w:szCs w:val="17"/>
                <w:lang w:eastAsia="en-US"/>
              </w:rPr>
              <w:t xml:space="preserve"> </w:t>
            </w:r>
          </w:p>
        </w:tc>
      </w:tr>
      <w:tr w:rsidR="00DD4FDE" w:rsidRPr="00E91188" w:rsidTr="009C009B">
        <w:tc>
          <w:tcPr>
            <w:tcW w:w="727" w:type="pct"/>
            <w:vMerge/>
            <w:tcMar>
              <w:top w:w="57" w:type="dxa"/>
              <w:bottom w:w="57" w:type="dxa"/>
            </w:tcMar>
          </w:tcPr>
          <w:p w:rsidR="00DD4FDE" w:rsidRPr="00E91188" w:rsidRDefault="00DD4FDE" w:rsidP="009C009B">
            <w:pPr>
              <w:pStyle w:val="TableTextEntries"/>
            </w:pPr>
          </w:p>
        </w:tc>
        <w:tc>
          <w:tcPr>
            <w:tcW w:w="833" w:type="pct"/>
          </w:tcPr>
          <w:p w:rsidR="00DD4FDE" w:rsidRPr="00E91188" w:rsidRDefault="00DD4FDE" w:rsidP="009C009B">
            <w:pPr>
              <w:pStyle w:val="TableTextEntries"/>
            </w:pPr>
            <w:r w:rsidRPr="00E91188">
              <w:t>Engage a partner to implement the energy security component of the program and commence implementation and funding.</w:t>
            </w:r>
          </w:p>
        </w:tc>
        <w:tc>
          <w:tcPr>
            <w:tcW w:w="470" w:type="pct"/>
            <w:tcBorders>
              <w:top w:val="nil"/>
              <w:bottom w:val="nil"/>
            </w:tcBorders>
            <w:shd w:val="clear" w:color="auto" w:fill="72AF2F"/>
          </w:tcPr>
          <w:p w:rsidR="00DD4FDE" w:rsidRPr="00E91188" w:rsidRDefault="00DD4FDE" w:rsidP="009C009B">
            <w:pPr>
              <w:pStyle w:val="TableTextEntries"/>
              <w:jc w:val="center"/>
              <w:rPr>
                <w:color w:val="FFFFFF" w:themeColor="background1"/>
              </w:rPr>
            </w:pPr>
            <w:r w:rsidRPr="00E91188">
              <w:rPr>
                <w:color w:val="FFFFFF" w:themeColor="background1"/>
              </w:rPr>
              <w:t>Achieved</w:t>
            </w:r>
          </w:p>
        </w:tc>
        <w:tc>
          <w:tcPr>
            <w:tcW w:w="2970" w:type="pct"/>
          </w:tcPr>
          <w:p w:rsidR="00DD4FDE" w:rsidRPr="00E91188" w:rsidRDefault="00DD4FDE" w:rsidP="007E128F">
            <w:pPr>
              <w:pStyle w:val="TableTextEntries"/>
            </w:pPr>
            <w:r w:rsidRPr="00E91188">
              <w:t xml:space="preserve">The International Finance Corporation (IFC) was </w:t>
            </w:r>
            <w:r w:rsidR="007E128F">
              <w:t xml:space="preserve">added </w:t>
            </w:r>
            <w:r w:rsidRPr="00E91188">
              <w:t>as SDIP’s energy sector partner in October 2014 and the first tranche of funding was disbursed.</w:t>
            </w:r>
            <w:r w:rsidR="00657D62">
              <w:t xml:space="preserve"> </w:t>
            </w:r>
            <w:r w:rsidRPr="00E91188">
              <w:t>IFC has established a comprehensive work program and a range of activities are being implemented across the three target basins.</w:t>
            </w:r>
          </w:p>
        </w:tc>
      </w:tr>
      <w:tr w:rsidR="00DD4FDE" w:rsidRPr="00E91188" w:rsidTr="009C009B">
        <w:tc>
          <w:tcPr>
            <w:tcW w:w="727" w:type="pct"/>
            <w:tcMar>
              <w:top w:w="57" w:type="dxa"/>
              <w:bottom w:w="57" w:type="dxa"/>
            </w:tcMar>
          </w:tcPr>
          <w:p w:rsidR="00DD4FDE" w:rsidRPr="00E91188" w:rsidRDefault="00DD4FDE" w:rsidP="009C009B">
            <w:pPr>
              <w:pStyle w:val="TableTextEntries"/>
            </w:pPr>
            <w:r w:rsidRPr="00E91188">
              <w:t>Increasing regional connectivity through trade facilitation and infrastructure connectivity.</w:t>
            </w:r>
          </w:p>
        </w:tc>
        <w:tc>
          <w:tcPr>
            <w:tcW w:w="833" w:type="pct"/>
          </w:tcPr>
          <w:p w:rsidR="00DD4FDE" w:rsidRPr="00E91188" w:rsidRDefault="00DD4FDE" w:rsidP="009C009B">
            <w:pPr>
              <w:pStyle w:val="TableTextEntries"/>
            </w:pPr>
            <w:r w:rsidRPr="00E91188">
              <w:t xml:space="preserve">“Aid for trade” program design approved, and implementation commenced including mobilising funding.  </w:t>
            </w:r>
          </w:p>
        </w:tc>
        <w:tc>
          <w:tcPr>
            <w:tcW w:w="470" w:type="pct"/>
            <w:tcBorders>
              <w:top w:val="nil"/>
              <w:bottom w:val="nil"/>
            </w:tcBorders>
            <w:shd w:val="clear" w:color="auto" w:fill="72AF2F"/>
          </w:tcPr>
          <w:p w:rsidR="00DD4FDE" w:rsidRPr="00E91188" w:rsidRDefault="00DD4FDE" w:rsidP="009C009B">
            <w:pPr>
              <w:pStyle w:val="TableTextEntries"/>
              <w:jc w:val="center"/>
            </w:pPr>
            <w:r w:rsidRPr="00E91188">
              <w:rPr>
                <w:color w:val="FFFFFF" w:themeColor="background1"/>
              </w:rPr>
              <w:t>Achieved</w:t>
            </w:r>
          </w:p>
        </w:tc>
        <w:tc>
          <w:tcPr>
            <w:tcW w:w="2970" w:type="pct"/>
          </w:tcPr>
          <w:p w:rsidR="00DD4FDE" w:rsidRPr="00E91188" w:rsidRDefault="00DD4FDE" w:rsidP="009C009B">
            <w:pPr>
              <w:pStyle w:val="TableTextEntries"/>
            </w:pPr>
            <w:r w:rsidRPr="00E91188">
              <w:t xml:space="preserve">The design of the South Asia Regional Trade Facilitation Program (SARTFP) </w:t>
            </w:r>
            <w:r>
              <w:t>was</w:t>
            </w:r>
            <w:r w:rsidRPr="00E91188">
              <w:t xml:space="preserve"> approved late in the 2014-15 financial year and mobilised shortly thereafter. DFAT will provide the World Bank with up to $25 million over 4 years (2014-15 to 2017-</w:t>
            </w:r>
            <w:r w:rsidR="00657D62">
              <w:t>1</w:t>
            </w:r>
            <w:r w:rsidRPr="00E91188">
              <w:t xml:space="preserve">8) to support gender-sensitive “aid for trade” activities to improve cross border trade and economic connectivity in the eastern sub-region of South Asia.  The first tranche of funding was </w:t>
            </w:r>
            <w:r>
              <w:t>paid</w:t>
            </w:r>
            <w:r w:rsidRPr="00E91188">
              <w:t xml:space="preserve"> in June 2015.  </w:t>
            </w:r>
          </w:p>
        </w:tc>
      </w:tr>
      <w:tr w:rsidR="00DD4FDE" w:rsidRPr="00E91188" w:rsidTr="009C009B">
        <w:tc>
          <w:tcPr>
            <w:tcW w:w="727" w:type="pct"/>
            <w:vMerge w:val="restart"/>
            <w:tcMar>
              <w:top w:w="57" w:type="dxa"/>
              <w:bottom w:w="57" w:type="dxa"/>
            </w:tcMar>
          </w:tcPr>
          <w:p w:rsidR="00DD4FDE" w:rsidRPr="00E91188" w:rsidRDefault="00DD4FDE" w:rsidP="009C009B">
            <w:pPr>
              <w:pStyle w:val="TableTextEntries"/>
            </w:pPr>
            <w:r w:rsidRPr="00E91188">
              <w:t>Consolidation of program to two “pillars” that strengthen transboundary cooperation to promote more inclusive and resilient economic growth.</w:t>
            </w:r>
          </w:p>
        </w:tc>
        <w:tc>
          <w:tcPr>
            <w:tcW w:w="833" w:type="pct"/>
          </w:tcPr>
          <w:p w:rsidR="00DD4FDE" w:rsidRPr="00E91188" w:rsidRDefault="00DD4FDE" w:rsidP="009C009B">
            <w:pPr>
              <w:pStyle w:val="TableTextEntries"/>
            </w:pPr>
            <w:r w:rsidRPr="00E91188">
              <w:t>Close three “legacy” activities that are not aligned with the two objectives of the Regional program.</w:t>
            </w:r>
          </w:p>
        </w:tc>
        <w:tc>
          <w:tcPr>
            <w:tcW w:w="470" w:type="pct"/>
            <w:tcBorders>
              <w:top w:val="nil"/>
              <w:bottom w:val="nil"/>
            </w:tcBorders>
            <w:shd w:val="clear" w:color="auto" w:fill="72AF2F"/>
          </w:tcPr>
          <w:p w:rsidR="00DD4FDE" w:rsidRPr="00E91188" w:rsidRDefault="00DD4FDE" w:rsidP="009C009B">
            <w:pPr>
              <w:pStyle w:val="TableTextEntries"/>
              <w:jc w:val="center"/>
            </w:pPr>
            <w:r w:rsidRPr="00E91188">
              <w:rPr>
                <w:color w:val="FFFFFF" w:themeColor="background1"/>
              </w:rPr>
              <w:t>A</w:t>
            </w:r>
            <w:r w:rsidRPr="00E91188">
              <w:rPr>
                <w:color w:val="FFFFFF" w:themeColor="background1"/>
                <w:shd w:val="clear" w:color="auto" w:fill="72AF2F"/>
              </w:rPr>
              <w:t>chieved</w:t>
            </w:r>
          </w:p>
        </w:tc>
        <w:tc>
          <w:tcPr>
            <w:tcW w:w="2970" w:type="pct"/>
          </w:tcPr>
          <w:p w:rsidR="00DD4FDE" w:rsidRPr="00E91188" w:rsidRDefault="00DD4FDE" w:rsidP="007E128F">
            <w:pPr>
              <w:pStyle w:val="TableTextEntries"/>
            </w:pPr>
            <w:r>
              <w:t>A</w:t>
            </w:r>
            <w:r w:rsidRPr="00E91188">
              <w:t>ctivities associated with the Australia-</w:t>
            </w:r>
            <w:r w:rsidR="00657D62">
              <w:t xml:space="preserve">ADB </w:t>
            </w:r>
            <w:r w:rsidRPr="00E91188">
              <w:t xml:space="preserve">South Asia Development Partnership Facility (ING236) concluded in March 2015 and DFAT’s support for the International Planned Parenthood Federation’s South Asia Strategic Plan (INJ866) concluded in June 2015. </w:t>
            </w:r>
            <w:r>
              <w:t>T</w:t>
            </w:r>
            <w:r w:rsidRPr="00E91188">
              <w:t xml:space="preserve">he </w:t>
            </w:r>
            <w:r>
              <w:t xml:space="preserve">South Asia </w:t>
            </w:r>
            <w:r w:rsidRPr="00E91188">
              <w:t xml:space="preserve">Public Sector Linkages Program will continue until </w:t>
            </w:r>
            <w:r>
              <w:t>March 2016</w:t>
            </w:r>
            <w:r w:rsidRPr="00E91188">
              <w:t xml:space="preserve"> but management responsibility has been transferred to DFAT’s Whole of Government section. The UNDP’s H13 project (Preventing HIV transmission in drug users: H13) had been expected to conclude in 2014-15, but additional funding from other donors has enabled the program to continue until October 2015. A final report is expected in November 2015.</w:t>
            </w:r>
          </w:p>
        </w:tc>
      </w:tr>
      <w:tr w:rsidR="00DD4FDE" w:rsidRPr="00E91188" w:rsidTr="009C009B">
        <w:tc>
          <w:tcPr>
            <w:tcW w:w="727" w:type="pct"/>
            <w:vMerge/>
            <w:tcMar>
              <w:top w:w="57" w:type="dxa"/>
              <w:bottom w:w="57" w:type="dxa"/>
            </w:tcMar>
          </w:tcPr>
          <w:p w:rsidR="00DD4FDE" w:rsidRPr="00E91188" w:rsidRDefault="00DD4FDE" w:rsidP="009C009B">
            <w:pPr>
              <w:pStyle w:val="TableTextEntries"/>
            </w:pPr>
          </w:p>
        </w:tc>
        <w:tc>
          <w:tcPr>
            <w:tcW w:w="833" w:type="pct"/>
          </w:tcPr>
          <w:p w:rsidR="00DD4FDE" w:rsidRPr="00E91188" w:rsidRDefault="00DD4FDE" w:rsidP="009C009B">
            <w:pPr>
              <w:pStyle w:val="TableTextEntries"/>
            </w:pPr>
            <w:r w:rsidRPr="00E91188">
              <w:t xml:space="preserve">Put in place a mechanism for financing non-aligned activities.  </w:t>
            </w:r>
          </w:p>
        </w:tc>
        <w:tc>
          <w:tcPr>
            <w:tcW w:w="470" w:type="pct"/>
            <w:tcBorders>
              <w:top w:val="nil"/>
              <w:bottom w:val="single" w:sz="12" w:space="0" w:color="auto"/>
            </w:tcBorders>
            <w:shd w:val="clear" w:color="auto" w:fill="E36C0A"/>
          </w:tcPr>
          <w:p w:rsidR="00DD4FDE" w:rsidRPr="00E91188" w:rsidRDefault="00DD4FDE" w:rsidP="009C009B">
            <w:pPr>
              <w:pStyle w:val="TableTextEntries"/>
              <w:jc w:val="center"/>
              <w:rPr>
                <w:color w:val="FFFFFF" w:themeColor="background1"/>
              </w:rPr>
            </w:pPr>
            <w:r w:rsidRPr="00E91188">
              <w:rPr>
                <w:color w:val="FFFFFF" w:themeColor="background1"/>
              </w:rPr>
              <w:t>Partly achieved</w:t>
            </w:r>
          </w:p>
        </w:tc>
        <w:tc>
          <w:tcPr>
            <w:tcW w:w="2970" w:type="pct"/>
          </w:tcPr>
          <w:p w:rsidR="00DD4FDE" w:rsidRPr="00E91188" w:rsidRDefault="00DD4FDE" w:rsidP="00D539A5">
            <w:pPr>
              <w:pStyle w:val="TableTextEntries"/>
              <w:keepNext/>
            </w:pPr>
            <w:r w:rsidRPr="00E91188">
              <w:t xml:space="preserve">A separate program fund has been set up to finance activities associated with the Indian Ocean Rim Association. </w:t>
            </w:r>
            <w:r w:rsidR="00D539A5">
              <w:t>T</w:t>
            </w:r>
            <w:r w:rsidRPr="00E91188">
              <w:t xml:space="preserve">here is limited scope for funding initiatives beyond the </w:t>
            </w:r>
            <w:r>
              <w:t>Sustainable Development and Regional Connectivity objectives</w:t>
            </w:r>
            <w:r w:rsidRPr="00E91188">
              <w:t>.</w:t>
            </w:r>
          </w:p>
        </w:tc>
      </w:tr>
    </w:tbl>
    <w:p w:rsidR="00DD4FDE" w:rsidRPr="00E91188" w:rsidRDefault="00DD4FDE" w:rsidP="00DD4FDE">
      <w:pPr>
        <w:pStyle w:val="Note"/>
      </w:pPr>
      <w:r w:rsidRPr="00E91188">
        <w:t xml:space="preserve">Note: </w:t>
      </w:r>
    </w:p>
    <w:p w:rsidR="00DD4FDE" w:rsidRPr="00E91188" w:rsidRDefault="00DD4FDE" w:rsidP="00DD4FDE">
      <w:pPr>
        <w:pStyle w:val="Note"/>
      </w:pPr>
      <w:r w:rsidRPr="00E91188">
        <w:rPr>
          <w:color w:val="72AF2F"/>
        </w:rPr>
        <w:sym w:font="Webdings" w:char="F067"/>
      </w:r>
      <w:r w:rsidRPr="00E91188">
        <w:t> </w:t>
      </w:r>
      <w:r w:rsidRPr="00E91188">
        <w:t xml:space="preserve"> Achieved.  Significant progress has been made and the performance benchmark was achieved </w:t>
      </w:r>
    </w:p>
    <w:p w:rsidR="00DD4FDE" w:rsidRPr="00E91188" w:rsidRDefault="00DD4FDE" w:rsidP="00DD4FDE">
      <w:pPr>
        <w:pStyle w:val="Note"/>
      </w:pPr>
      <w:r w:rsidRPr="00E91188">
        <w:rPr>
          <w:color w:val="E36C0A"/>
        </w:rPr>
        <w:sym w:font="Webdings" w:char="F067"/>
      </w:r>
      <w:r w:rsidRPr="00E91188">
        <w:t> </w:t>
      </w:r>
      <w:r w:rsidRPr="00E91188">
        <w:t xml:space="preserve"> Partly achieved.  Some progress has been made towards achieving the performance benchmark, but progress was less than anticipated. </w:t>
      </w:r>
    </w:p>
    <w:p w:rsidR="00DD4FDE" w:rsidRPr="00E91188" w:rsidRDefault="00DD4FDE" w:rsidP="00DD4FDE">
      <w:pPr>
        <w:pStyle w:val="Note"/>
      </w:pPr>
      <w:r w:rsidRPr="00E91188">
        <w:rPr>
          <w:color w:val="FF0000"/>
        </w:rPr>
        <w:sym w:font="Webdings" w:char="F067"/>
      </w:r>
      <w:r w:rsidRPr="00E91188">
        <w:t> </w:t>
      </w:r>
      <w:r w:rsidRPr="00E91188">
        <w:t xml:space="preserve"> Not achieved. Progress towards the performance benchmark has been significantly below expectations</w:t>
      </w:r>
      <w:r w:rsidRPr="00E91188">
        <w:br w:type="page"/>
      </w:r>
    </w:p>
    <w:p w:rsidR="00DD4FDE" w:rsidRPr="00E91188" w:rsidRDefault="00DD4FDE" w:rsidP="00DD4FDE">
      <w:pPr>
        <w:pStyle w:val="BodyText"/>
        <w:sectPr w:rsidR="00DD4FDE" w:rsidRPr="00E91188" w:rsidSect="000D733F">
          <w:headerReference w:type="even" r:id="rId15"/>
          <w:footerReference w:type="first" r:id="rId16"/>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Pr="00E91188" w:rsidRDefault="005C310A" w:rsidP="00416B02">
      <w:pPr>
        <w:pStyle w:val="Heading2"/>
        <w:rPr>
          <w:sz w:val="28"/>
        </w:rPr>
      </w:pPr>
      <w:r w:rsidRPr="00E91188">
        <w:rPr>
          <w:sz w:val="28"/>
        </w:rPr>
        <w:lastRenderedPageBreak/>
        <w:t>Annex C</w:t>
      </w:r>
      <w:r w:rsidR="0057490F" w:rsidRPr="00E91188">
        <w:rPr>
          <w:sz w:val="28"/>
        </w:rPr>
        <w:t xml:space="preserve"> - </w:t>
      </w:r>
      <w:r w:rsidR="00416B02" w:rsidRPr="00E91188">
        <w:rPr>
          <w:sz w:val="28"/>
        </w:rPr>
        <w:t>Evaluation and Review Pipeline Planning</w:t>
      </w:r>
    </w:p>
    <w:p w:rsidR="00416B02" w:rsidRPr="00E91188" w:rsidRDefault="00416B02" w:rsidP="00416B02">
      <w:pPr>
        <w:pStyle w:val="Heading3"/>
      </w:pPr>
      <w:r w:rsidRPr="00E91188">
        <w:t xml:space="preserve">List of evaluations completed 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416B02" w:rsidRPr="00E91188"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E91188" w:rsidRDefault="00416B02" w:rsidP="00E15678">
            <w:pPr>
              <w:pStyle w:val="TableTextColumnHeading"/>
              <w:rPr>
                <w:b/>
              </w:rPr>
            </w:pPr>
            <w:r w:rsidRPr="00E91188">
              <w:rPr>
                <w:b/>
              </w:rPr>
              <w:t>Name of Investment</w:t>
            </w:r>
          </w:p>
        </w:tc>
        <w:tc>
          <w:tcPr>
            <w:tcW w:w="1933" w:type="dxa"/>
          </w:tcPr>
          <w:p w:rsidR="00416B02" w:rsidRPr="00E91188" w:rsidRDefault="00136CC1" w:rsidP="00E15678">
            <w:pPr>
              <w:pStyle w:val="TableTextColumnHeading"/>
              <w:rPr>
                <w:b/>
              </w:rPr>
            </w:pPr>
            <w:r w:rsidRPr="00E91188">
              <w:rPr>
                <w:b/>
              </w:rPr>
              <w:t>AidWorks</w:t>
            </w:r>
            <w:r w:rsidR="00416B02" w:rsidRPr="00E91188">
              <w:rPr>
                <w:b/>
              </w:rPr>
              <w:t xml:space="preserve"> number</w:t>
            </w:r>
          </w:p>
        </w:tc>
        <w:tc>
          <w:tcPr>
            <w:tcW w:w="2031" w:type="dxa"/>
          </w:tcPr>
          <w:p w:rsidR="00416B02" w:rsidRPr="00E91188" w:rsidRDefault="00416B02" w:rsidP="00E15678">
            <w:pPr>
              <w:pStyle w:val="TableTextColumnHeading"/>
              <w:rPr>
                <w:b/>
              </w:rPr>
            </w:pPr>
            <w:r w:rsidRPr="00E91188">
              <w:rPr>
                <w:b/>
              </w:rPr>
              <w:t>Name of evaluation</w:t>
            </w:r>
          </w:p>
        </w:tc>
        <w:tc>
          <w:tcPr>
            <w:tcW w:w="1939" w:type="dxa"/>
          </w:tcPr>
          <w:p w:rsidR="00416B02" w:rsidRPr="00E91188" w:rsidRDefault="00416B02" w:rsidP="00E15678">
            <w:pPr>
              <w:pStyle w:val="TableTextColumnHeading"/>
              <w:rPr>
                <w:b/>
              </w:rPr>
            </w:pPr>
            <w:r w:rsidRPr="00E91188">
              <w:rPr>
                <w:b/>
              </w:rPr>
              <w:t>Date finalised</w:t>
            </w:r>
          </w:p>
        </w:tc>
        <w:tc>
          <w:tcPr>
            <w:tcW w:w="1921" w:type="dxa"/>
          </w:tcPr>
          <w:p w:rsidR="00416B02" w:rsidRPr="00E91188" w:rsidRDefault="00416B02" w:rsidP="00E15678">
            <w:pPr>
              <w:pStyle w:val="TableTextColumnHeading"/>
              <w:rPr>
                <w:b/>
              </w:rPr>
            </w:pPr>
            <w:r w:rsidRPr="00E91188">
              <w:rPr>
                <w:b/>
              </w:rPr>
              <w:t xml:space="preserve">Date Evaluation report Uploaded into </w:t>
            </w:r>
            <w:r w:rsidR="00136CC1" w:rsidRPr="00E91188">
              <w:rPr>
                <w:b/>
              </w:rPr>
              <w:t>AidWorks</w:t>
            </w:r>
          </w:p>
        </w:tc>
        <w:tc>
          <w:tcPr>
            <w:tcW w:w="1743" w:type="dxa"/>
          </w:tcPr>
          <w:p w:rsidR="00416B02" w:rsidRPr="00E91188" w:rsidRDefault="00416B02" w:rsidP="00E15678">
            <w:pPr>
              <w:pStyle w:val="TableTextColumnHeading"/>
              <w:rPr>
                <w:b/>
              </w:rPr>
            </w:pPr>
            <w:r w:rsidRPr="00E91188">
              <w:rPr>
                <w:b/>
              </w:rPr>
              <w:t xml:space="preserve">Date Management response uploaded into </w:t>
            </w:r>
            <w:r w:rsidR="00136CC1" w:rsidRPr="00E91188">
              <w:rPr>
                <w:b/>
              </w:rPr>
              <w:t>AidWorks</w:t>
            </w:r>
          </w:p>
        </w:tc>
        <w:tc>
          <w:tcPr>
            <w:tcW w:w="1503" w:type="dxa"/>
          </w:tcPr>
          <w:p w:rsidR="00416B02" w:rsidRPr="00E91188" w:rsidRDefault="00416B02" w:rsidP="00E15678">
            <w:pPr>
              <w:pStyle w:val="TableTextColumnHeading"/>
              <w:rPr>
                <w:b/>
              </w:rPr>
            </w:pPr>
            <w:r w:rsidRPr="00E91188">
              <w:rPr>
                <w:b/>
              </w:rPr>
              <w:t>Published on website</w:t>
            </w:r>
          </w:p>
        </w:tc>
      </w:tr>
      <w:tr w:rsidR="00416B02" w:rsidRPr="00E91188"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685BB0" w:rsidRDefault="001006FC" w:rsidP="005116D8">
            <w:pPr>
              <w:pStyle w:val="TableTextEntries"/>
              <w:rPr>
                <w:b w:val="0"/>
              </w:rPr>
            </w:pPr>
            <w:r w:rsidRPr="00685BB0">
              <w:rPr>
                <w:b w:val="0"/>
              </w:rPr>
              <w:t>Australia-World Bank Partnership for South Asia Trust Fun</w:t>
            </w:r>
            <w:r w:rsidR="004016E7" w:rsidRPr="00685BB0">
              <w:rPr>
                <w:b w:val="0"/>
              </w:rPr>
              <w:t>d</w:t>
            </w:r>
          </w:p>
        </w:tc>
        <w:tc>
          <w:tcPr>
            <w:tcW w:w="1933" w:type="dxa"/>
          </w:tcPr>
          <w:p w:rsidR="00416B02" w:rsidRPr="00685BB0" w:rsidRDefault="001006FC" w:rsidP="00E15678">
            <w:pPr>
              <w:pStyle w:val="TableTextEntries"/>
              <w:rPr>
                <w:b w:val="0"/>
              </w:rPr>
            </w:pPr>
            <w:r w:rsidRPr="00685BB0">
              <w:rPr>
                <w:b w:val="0"/>
              </w:rPr>
              <w:t>INJ955/ INJ037/ 09B407/ INK431/ 12A149</w:t>
            </w:r>
          </w:p>
        </w:tc>
        <w:tc>
          <w:tcPr>
            <w:tcW w:w="2031" w:type="dxa"/>
          </w:tcPr>
          <w:p w:rsidR="00416B02" w:rsidRPr="00685BB0" w:rsidRDefault="001006FC" w:rsidP="00E15678">
            <w:pPr>
              <w:pStyle w:val="TableTextEntries"/>
              <w:rPr>
                <w:b w:val="0"/>
              </w:rPr>
            </w:pPr>
            <w:r w:rsidRPr="00685BB0">
              <w:rPr>
                <w:b w:val="0"/>
              </w:rPr>
              <w:t>Independent Mid-term Review of the Australian Foreign Affairs and Trade – World Bank Partnership for South Asia</w:t>
            </w:r>
          </w:p>
        </w:tc>
        <w:tc>
          <w:tcPr>
            <w:tcW w:w="1939" w:type="dxa"/>
          </w:tcPr>
          <w:p w:rsidR="00416B02" w:rsidRPr="00685BB0" w:rsidRDefault="001006FC" w:rsidP="00E15678">
            <w:pPr>
              <w:pStyle w:val="TableTextEntries"/>
              <w:rPr>
                <w:b w:val="0"/>
              </w:rPr>
            </w:pPr>
            <w:r w:rsidRPr="00685BB0">
              <w:rPr>
                <w:b w:val="0"/>
              </w:rPr>
              <w:t>January 2015</w:t>
            </w:r>
          </w:p>
        </w:tc>
        <w:tc>
          <w:tcPr>
            <w:tcW w:w="1921" w:type="dxa"/>
          </w:tcPr>
          <w:p w:rsidR="00416B02" w:rsidRPr="00685BB0" w:rsidRDefault="00685BB0" w:rsidP="00E15678">
            <w:pPr>
              <w:pStyle w:val="TableTextEntries"/>
            </w:pPr>
            <w:r w:rsidRPr="00685BB0">
              <w:t>N/A</w:t>
            </w:r>
          </w:p>
        </w:tc>
        <w:tc>
          <w:tcPr>
            <w:tcW w:w="1743" w:type="dxa"/>
          </w:tcPr>
          <w:p w:rsidR="00416B02" w:rsidRPr="00685BB0" w:rsidRDefault="00685BB0" w:rsidP="00E15678">
            <w:pPr>
              <w:pStyle w:val="TableTextEntries"/>
            </w:pPr>
            <w:r w:rsidRPr="00685BB0">
              <w:t>N/A</w:t>
            </w:r>
          </w:p>
        </w:tc>
        <w:tc>
          <w:tcPr>
            <w:tcW w:w="1503" w:type="dxa"/>
          </w:tcPr>
          <w:p w:rsidR="00416B02" w:rsidRPr="00E91188" w:rsidRDefault="003C52CF" w:rsidP="00E15678">
            <w:pPr>
              <w:pStyle w:val="TableTextEntries"/>
              <w:rPr>
                <w:b w:val="0"/>
              </w:rPr>
            </w:pPr>
            <w:r w:rsidRPr="00685BB0">
              <w:rPr>
                <w:b w:val="0"/>
              </w:rPr>
              <w:t xml:space="preserve">Internal document - </w:t>
            </w:r>
            <w:r w:rsidR="001006FC" w:rsidRPr="00685BB0">
              <w:rPr>
                <w:b w:val="0"/>
              </w:rPr>
              <w:t>Not for publication</w:t>
            </w:r>
          </w:p>
        </w:tc>
      </w:tr>
      <w:tr w:rsidR="00416B02" w:rsidRPr="00992F9C"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992F9C" w:rsidRDefault="00416B02" w:rsidP="00E15678">
            <w:pPr>
              <w:pStyle w:val="TableTextEntries"/>
              <w:rPr>
                <w:b w:val="0"/>
                <w:highlight w:val="yellow"/>
              </w:rPr>
            </w:pPr>
          </w:p>
        </w:tc>
        <w:tc>
          <w:tcPr>
            <w:tcW w:w="1933" w:type="dxa"/>
          </w:tcPr>
          <w:p w:rsidR="00416B02" w:rsidRPr="00992F9C" w:rsidRDefault="00416B02" w:rsidP="00E15678">
            <w:pPr>
              <w:pStyle w:val="TableTextEntries"/>
              <w:rPr>
                <w:b w:val="0"/>
                <w:highlight w:val="yellow"/>
              </w:rPr>
            </w:pPr>
          </w:p>
        </w:tc>
        <w:tc>
          <w:tcPr>
            <w:tcW w:w="2031" w:type="dxa"/>
          </w:tcPr>
          <w:p w:rsidR="00416B02" w:rsidRPr="00992F9C" w:rsidRDefault="00416B02" w:rsidP="00E15678">
            <w:pPr>
              <w:pStyle w:val="TableTextEntries"/>
              <w:rPr>
                <w:b w:val="0"/>
              </w:rPr>
            </w:pPr>
          </w:p>
        </w:tc>
        <w:tc>
          <w:tcPr>
            <w:tcW w:w="1939" w:type="dxa"/>
          </w:tcPr>
          <w:p w:rsidR="00416B02" w:rsidRPr="00992F9C" w:rsidRDefault="00416B02" w:rsidP="00E15678">
            <w:pPr>
              <w:pStyle w:val="TableTextEntries"/>
              <w:rPr>
                <w:b w:val="0"/>
              </w:rPr>
            </w:pPr>
          </w:p>
        </w:tc>
        <w:tc>
          <w:tcPr>
            <w:tcW w:w="1921" w:type="dxa"/>
          </w:tcPr>
          <w:p w:rsidR="00416B02" w:rsidRPr="00992F9C" w:rsidRDefault="00416B02" w:rsidP="00E15678">
            <w:pPr>
              <w:pStyle w:val="TableTextEntries"/>
              <w:rPr>
                <w:b w:val="0"/>
              </w:rPr>
            </w:pPr>
          </w:p>
        </w:tc>
        <w:tc>
          <w:tcPr>
            <w:tcW w:w="1743" w:type="dxa"/>
          </w:tcPr>
          <w:p w:rsidR="00416B02" w:rsidRPr="00992F9C" w:rsidRDefault="00416B02" w:rsidP="00E15678">
            <w:pPr>
              <w:pStyle w:val="TableTextEntries"/>
              <w:rPr>
                <w:b w:val="0"/>
              </w:rPr>
            </w:pPr>
          </w:p>
        </w:tc>
        <w:tc>
          <w:tcPr>
            <w:tcW w:w="1503" w:type="dxa"/>
          </w:tcPr>
          <w:p w:rsidR="00416B02" w:rsidRPr="00992F9C" w:rsidRDefault="00416B02" w:rsidP="00E15678">
            <w:pPr>
              <w:pStyle w:val="TableTextEntries"/>
              <w:rPr>
                <w:b w:val="0"/>
              </w:rPr>
            </w:pPr>
          </w:p>
        </w:tc>
      </w:tr>
    </w:tbl>
    <w:p w:rsidR="00416B02" w:rsidRPr="00E91188" w:rsidRDefault="00416B02" w:rsidP="00416B02">
      <w:pPr>
        <w:rPr>
          <w:b/>
        </w:rPr>
      </w:pPr>
    </w:p>
    <w:p w:rsidR="00416B02" w:rsidRPr="00E91188" w:rsidRDefault="00416B02" w:rsidP="00416B02">
      <w:pPr>
        <w:pStyle w:val="Heading3"/>
      </w:pPr>
      <w:r w:rsidRPr="00E91188">
        <w:t xml:space="preserve">List of evaluations planned in the next 12 months </w:t>
      </w:r>
    </w:p>
    <w:p w:rsidR="00416B02" w:rsidRPr="00E91188" w:rsidRDefault="00416B02" w:rsidP="00416B02">
      <w:pPr>
        <w:pStyle w:val="TableTextColumnHeading"/>
        <w:sectPr w:rsidR="00416B02" w:rsidRPr="00E91188" w:rsidSect="00CD061B">
          <w:headerReference w:type="even" r:id="rId17"/>
          <w:footerReference w:type="first" r:id="rId18"/>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416B02" w:rsidRPr="00E91188" w:rsidTr="00E15678">
        <w:tc>
          <w:tcPr>
            <w:tcW w:w="2601" w:type="dxa"/>
          </w:tcPr>
          <w:p w:rsidR="00416B02" w:rsidRPr="00E91188" w:rsidRDefault="00416B02" w:rsidP="00E15678">
            <w:pPr>
              <w:pStyle w:val="TableTextColumnHeading"/>
            </w:pPr>
            <w:r w:rsidRPr="00E91188">
              <w:lastRenderedPageBreak/>
              <w:t>Name of Investment</w:t>
            </w:r>
          </w:p>
        </w:tc>
        <w:tc>
          <w:tcPr>
            <w:tcW w:w="2530" w:type="dxa"/>
          </w:tcPr>
          <w:p w:rsidR="00416B02" w:rsidRPr="00E91188" w:rsidRDefault="00136CC1" w:rsidP="00E15678">
            <w:pPr>
              <w:pStyle w:val="TableTextColumnHeading"/>
            </w:pPr>
            <w:r w:rsidRPr="00E91188">
              <w:t>AidWorks</w:t>
            </w:r>
            <w:r w:rsidR="00416B02" w:rsidRPr="00E91188">
              <w:t xml:space="preserve"> number</w:t>
            </w:r>
          </w:p>
        </w:tc>
        <w:tc>
          <w:tcPr>
            <w:tcW w:w="2612" w:type="dxa"/>
          </w:tcPr>
          <w:p w:rsidR="00416B02" w:rsidRPr="00E91188" w:rsidRDefault="00416B02" w:rsidP="00E15678">
            <w:pPr>
              <w:pStyle w:val="TableTextColumnHeading"/>
            </w:pPr>
            <w:r w:rsidRPr="00E91188">
              <w:t>Type of evaluation</w:t>
            </w:r>
          </w:p>
        </w:tc>
        <w:tc>
          <w:tcPr>
            <w:tcW w:w="2612" w:type="dxa"/>
          </w:tcPr>
          <w:p w:rsidR="00416B02" w:rsidRPr="00E91188" w:rsidRDefault="00416B02" w:rsidP="00E15678">
            <w:pPr>
              <w:pStyle w:val="TableTextColumnHeading"/>
            </w:pPr>
            <w:r w:rsidRPr="00E91188">
              <w:t>Purpose of evaluation</w:t>
            </w:r>
          </w:p>
        </w:tc>
        <w:tc>
          <w:tcPr>
            <w:tcW w:w="2617" w:type="dxa"/>
          </w:tcPr>
          <w:p w:rsidR="00416B02" w:rsidRPr="00E91188" w:rsidRDefault="00416B02" w:rsidP="00E15678">
            <w:pPr>
              <w:pStyle w:val="TableTextColumnHeading"/>
            </w:pPr>
            <w:r w:rsidRPr="00E91188">
              <w:t>Expected completion date</w:t>
            </w:r>
          </w:p>
        </w:tc>
      </w:tr>
      <w:tr w:rsidR="00416B02" w:rsidRPr="00E91188" w:rsidTr="00E15678">
        <w:tc>
          <w:tcPr>
            <w:tcW w:w="2601" w:type="dxa"/>
          </w:tcPr>
          <w:p w:rsidR="00416B02" w:rsidRPr="00E91188" w:rsidRDefault="00C46F4B" w:rsidP="00E15678">
            <w:pPr>
              <w:pStyle w:val="TableTextEntries"/>
            </w:pPr>
            <w:r w:rsidRPr="00E91188">
              <w:t>Sustainable Development Investment Portfolio</w:t>
            </w:r>
          </w:p>
        </w:tc>
        <w:tc>
          <w:tcPr>
            <w:tcW w:w="2530" w:type="dxa"/>
          </w:tcPr>
          <w:p w:rsidR="00416B02" w:rsidRPr="00E91188" w:rsidRDefault="00C46F4B" w:rsidP="00E15678">
            <w:pPr>
              <w:pStyle w:val="TableTextEntries"/>
            </w:pPr>
            <w:r w:rsidRPr="00E91188">
              <w:t>INK999</w:t>
            </w:r>
          </w:p>
        </w:tc>
        <w:tc>
          <w:tcPr>
            <w:tcW w:w="2612" w:type="dxa"/>
          </w:tcPr>
          <w:p w:rsidR="00416B02" w:rsidRPr="00E91188" w:rsidRDefault="00C46F4B" w:rsidP="00E15678">
            <w:pPr>
              <w:pStyle w:val="TableTextEntries"/>
            </w:pPr>
            <w:r w:rsidRPr="00E91188">
              <w:t>Independent evaluation</w:t>
            </w:r>
          </w:p>
        </w:tc>
        <w:tc>
          <w:tcPr>
            <w:tcW w:w="2612" w:type="dxa"/>
          </w:tcPr>
          <w:p w:rsidR="00416B02" w:rsidRPr="00E91188" w:rsidRDefault="00C46F4B" w:rsidP="00E15678">
            <w:pPr>
              <w:pStyle w:val="TableTextEntries"/>
              <w:rPr>
                <w:color w:val="000000" w:themeColor="text1" w:themeShade="BF"/>
              </w:rPr>
            </w:pPr>
            <w:r w:rsidRPr="00E91188">
              <w:t>To inform the design of Phase 2 of the investment</w:t>
            </w:r>
          </w:p>
        </w:tc>
        <w:tc>
          <w:tcPr>
            <w:tcW w:w="2617" w:type="dxa"/>
          </w:tcPr>
          <w:p w:rsidR="00416B02" w:rsidRPr="00E91188" w:rsidRDefault="00C46F4B" w:rsidP="00E15678">
            <w:pPr>
              <w:pStyle w:val="TableTextEntries"/>
            </w:pPr>
            <w:r w:rsidRPr="00E91188">
              <w:t>November 2015</w:t>
            </w:r>
          </w:p>
        </w:tc>
      </w:tr>
    </w:tbl>
    <w:p w:rsidR="00416B02" w:rsidRPr="00E91188" w:rsidRDefault="00416B02" w:rsidP="00416B02">
      <w:pPr>
        <w:rPr>
          <w:b/>
        </w:rPr>
        <w:sectPr w:rsidR="00416B02" w:rsidRPr="00E91188"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Pr="00E91188" w:rsidRDefault="005C310A" w:rsidP="0057490F">
      <w:pPr>
        <w:pStyle w:val="Heading2"/>
        <w:tabs>
          <w:tab w:val="left" w:pos="1560"/>
        </w:tabs>
        <w:rPr>
          <w:sz w:val="28"/>
        </w:rPr>
      </w:pPr>
      <w:r w:rsidRPr="00E91188">
        <w:rPr>
          <w:sz w:val="28"/>
        </w:rPr>
        <w:lastRenderedPageBreak/>
        <w:t>Annex D</w:t>
      </w:r>
      <w:r w:rsidR="0057490F" w:rsidRPr="00E91188">
        <w:rPr>
          <w:sz w:val="28"/>
        </w:rPr>
        <w:t xml:space="preserve"> - </w:t>
      </w:r>
      <w:r w:rsidR="00416B02" w:rsidRPr="00E91188">
        <w:rPr>
          <w:sz w:val="28"/>
        </w:rPr>
        <w:t>Aid Quality Check ratings</w:t>
      </w:r>
    </w:p>
    <w:p w:rsidR="00416B02" w:rsidRPr="00E91188" w:rsidRDefault="00416B02" w:rsidP="00416B02">
      <w:pPr>
        <w:pStyle w:val="BodyText"/>
      </w:pPr>
      <w:r w:rsidRPr="00E91188">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rsidRPr="00E91188">
        <w:t>.</w:t>
      </w:r>
    </w:p>
    <w:p w:rsidR="00416B02" w:rsidRPr="00E91188" w:rsidRDefault="00416B02" w:rsidP="00416B02">
      <w:pPr>
        <w:pStyle w:val="Heading3"/>
      </w:pPr>
      <w:r w:rsidRPr="00E91188">
        <w:t>AQC ratings</w:t>
      </w:r>
    </w:p>
    <w:tbl>
      <w:tblPr>
        <w:tblStyle w:val="APPR"/>
        <w:tblW w:w="5000" w:type="pct"/>
        <w:tblLook w:val="0000" w:firstRow="0" w:lastRow="0" w:firstColumn="0" w:lastColumn="0" w:noHBand="0" w:noVBand="0"/>
      </w:tblPr>
      <w:tblGrid>
        <w:gridCol w:w="2208"/>
        <w:gridCol w:w="54"/>
        <w:gridCol w:w="1592"/>
        <w:gridCol w:w="54"/>
        <w:gridCol w:w="1013"/>
        <w:gridCol w:w="55"/>
        <w:gridCol w:w="1387"/>
        <w:gridCol w:w="55"/>
        <w:gridCol w:w="1007"/>
        <w:gridCol w:w="55"/>
        <w:gridCol w:w="1015"/>
        <w:gridCol w:w="55"/>
        <w:gridCol w:w="1015"/>
        <w:gridCol w:w="55"/>
        <w:gridCol w:w="1018"/>
        <w:gridCol w:w="55"/>
        <w:gridCol w:w="1566"/>
        <w:gridCol w:w="55"/>
        <w:gridCol w:w="1623"/>
      </w:tblGrid>
      <w:tr w:rsidR="00044677" w:rsidRPr="00E91188" w:rsidTr="004E5E1A">
        <w:trPr>
          <w:cnfStyle w:val="000000010000" w:firstRow="0" w:lastRow="0" w:firstColumn="0" w:lastColumn="0" w:oddVBand="0" w:evenVBand="0" w:oddHBand="0" w:evenHBand="1" w:firstRowFirstColumn="0" w:firstRowLastColumn="0" w:lastRowFirstColumn="0" w:lastRowLastColumn="0"/>
          <w:trHeight w:val="1413"/>
        </w:trPr>
        <w:tc>
          <w:tcPr>
            <w:tcW w:w="777" w:type="pct"/>
          </w:tcPr>
          <w:p w:rsidR="00416B02" w:rsidRPr="00E91188" w:rsidRDefault="00416B02" w:rsidP="00E15678">
            <w:pPr>
              <w:pStyle w:val="TableTextColumnHeading"/>
            </w:pPr>
            <w:r w:rsidRPr="00E91188">
              <w:rPr>
                <w:noProof/>
                <w:lang w:eastAsia="en-AU"/>
              </w:rPr>
              <w:drawing>
                <wp:anchor distT="0" distB="0" distL="114300" distR="114300" simplePos="0" relativeHeight="251666432" behindDoc="0" locked="0" layoutInCell="1" allowOverlap="1" wp14:anchorId="037C1614" wp14:editId="4A67A71D">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188">
              <w:t>Investment name</w:t>
            </w:r>
          </w:p>
        </w:tc>
        <w:tc>
          <w:tcPr>
            <w:tcW w:w="580" w:type="pct"/>
            <w:gridSpan w:val="2"/>
            <w:textDirection w:val="btLr"/>
          </w:tcPr>
          <w:p w:rsidR="00416B02" w:rsidRPr="00E91188" w:rsidRDefault="00416B02" w:rsidP="00E15678">
            <w:pPr>
              <w:pStyle w:val="TableTextColumnHeading"/>
            </w:pPr>
            <w:r w:rsidRPr="00E91188">
              <w:t>Approved budget and duration</w:t>
            </w:r>
          </w:p>
        </w:tc>
        <w:tc>
          <w:tcPr>
            <w:tcW w:w="373" w:type="pct"/>
            <w:gridSpan w:val="2"/>
            <w:textDirection w:val="btLr"/>
          </w:tcPr>
          <w:p w:rsidR="00416B02" w:rsidRPr="00E91188" w:rsidRDefault="00416B02" w:rsidP="00E15678">
            <w:pPr>
              <w:pStyle w:val="TableTextColumnHeading"/>
            </w:pPr>
            <w:r w:rsidRPr="00E91188">
              <w:t>AQC/QAI year</w:t>
            </w:r>
          </w:p>
        </w:tc>
        <w:tc>
          <w:tcPr>
            <w:tcW w:w="507" w:type="pct"/>
            <w:gridSpan w:val="2"/>
            <w:textDirection w:val="btLr"/>
          </w:tcPr>
          <w:p w:rsidR="00416B02" w:rsidRPr="00E91188" w:rsidRDefault="00416B02" w:rsidP="00E15678">
            <w:pPr>
              <w:pStyle w:val="TableTextColumnHeading"/>
            </w:pPr>
            <w:r w:rsidRPr="00E91188">
              <w:t>Relevance</w:t>
            </w:r>
          </w:p>
        </w:tc>
        <w:tc>
          <w:tcPr>
            <w:tcW w:w="371" w:type="pct"/>
            <w:gridSpan w:val="2"/>
            <w:textDirection w:val="btLr"/>
          </w:tcPr>
          <w:p w:rsidR="00416B02" w:rsidRPr="00E91188" w:rsidRDefault="00416B02" w:rsidP="00E15678">
            <w:pPr>
              <w:pStyle w:val="TableTextColumnHeading"/>
            </w:pPr>
            <w:r w:rsidRPr="00E91188">
              <w:t>Effectiveness</w:t>
            </w:r>
          </w:p>
        </w:tc>
        <w:tc>
          <w:tcPr>
            <w:tcW w:w="374" w:type="pct"/>
            <w:gridSpan w:val="2"/>
            <w:textDirection w:val="btLr"/>
          </w:tcPr>
          <w:p w:rsidR="00416B02" w:rsidRPr="00E91188" w:rsidRDefault="00416B02" w:rsidP="00E15678">
            <w:pPr>
              <w:pStyle w:val="TableTextColumnHeading"/>
            </w:pPr>
            <w:r w:rsidRPr="00E91188">
              <w:t>Efficiency</w:t>
            </w:r>
          </w:p>
        </w:tc>
        <w:tc>
          <w:tcPr>
            <w:tcW w:w="374" w:type="pct"/>
            <w:gridSpan w:val="2"/>
            <w:textDirection w:val="btLr"/>
          </w:tcPr>
          <w:p w:rsidR="00416B02" w:rsidRPr="00E91188" w:rsidRDefault="00416B02" w:rsidP="00E15678">
            <w:pPr>
              <w:pStyle w:val="TableTextColumnHeading"/>
            </w:pPr>
            <w:r w:rsidRPr="00E91188">
              <w:t>Monitoring and Evaluation</w:t>
            </w:r>
          </w:p>
        </w:tc>
        <w:tc>
          <w:tcPr>
            <w:tcW w:w="375" w:type="pct"/>
            <w:gridSpan w:val="2"/>
            <w:textDirection w:val="btLr"/>
          </w:tcPr>
          <w:p w:rsidR="00416B02" w:rsidRPr="00E91188" w:rsidRDefault="00416B02" w:rsidP="00E15678">
            <w:pPr>
              <w:pStyle w:val="TableTextColumnHeading"/>
            </w:pPr>
            <w:r w:rsidRPr="00E91188">
              <w:t>Sustainability</w:t>
            </w:r>
          </w:p>
        </w:tc>
        <w:tc>
          <w:tcPr>
            <w:tcW w:w="572" w:type="pct"/>
            <w:gridSpan w:val="2"/>
            <w:textDirection w:val="btLr"/>
          </w:tcPr>
          <w:p w:rsidR="00416B02" w:rsidRPr="00E91188" w:rsidRDefault="00416B02" w:rsidP="00E15678">
            <w:pPr>
              <w:pStyle w:val="TableTextColumnHeading"/>
            </w:pPr>
            <w:r w:rsidRPr="00E91188">
              <w:t>Gender equality</w:t>
            </w:r>
          </w:p>
        </w:tc>
        <w:tc>
          <w:tcPr>
            <w:tcW w:w="587" w:type="pct"/>
            <w:gridSpan w:val="2"/>
            <w:textDirection w:val="btLr"/>
          </w:tcPr>
          <w:p w:rsidR="00416B02" w:rsidRPr="00E91188" w:rsidRDefault="00416B02" w:rsidP="00E15678">
            <w:pPr>
              <w:pStyle w:val="TableTextColumnHeading"/>
            </w:pPr>
            <w:r w:rsidRPr="00E91188">
              <w:t>Risks  and Safeguards</w:t>
            </w:r>
          </w:p>
        </w:tc>
      </w:tr>
      <w:tr w:rsidR="00044677" w:rsidRPr="00E91188" w:rsidTr="004E5E1A">
        <w:trPr>
          <w:cnfStyle w:val="000000010000" w:firstRow="0" w:lastRow="0" w:firstColumn="0" w:lastColumn="0" w:oddVBand="0" w:evenVBand="0" w:oddHBand="0" w:evenHBand="1" w:firstRowFirstColumn="0" w:firstRowLastColumn="0" w:lastRowFirstColumn="0" w:lastRowLastColumn="0"/>
          <w:trHeight w:val="284"/>
        </w:trPr>
        <w:tc>
          <w:tcPr>
            <w:tcW w:w="777" w:type="pct"/>
            <w:vMerge w:val="restart"/>
          </w:tcPr>
          <w:p w:rsidR="000E602C" w:rsidRPr="00E91188" w:rsidRDefault="000E602C" w:rsidP="00E15678">
            <w:pPr>
              <w:pStyle w:val="TableTextEntries"/>
            </w:pPr>
            <w:r w:rsidRPr="00E91188">
              <w:t>Water and Sanitation - India</w:t>
            </w:r>
          </w:p>
        </w:tc>
        <w:tc>
          <w:tcPr>
            <w:tcW w:w="580" w:type="pct"/>
            <w:gridSpan w:val="2"/>
            <w:vMerge w:val="restart"/>
          </w:tcPr>
          <w:p w:rsidR="000E602C" w:rsidRPr="00E91188" w:rsidRDefault="000E602C" w:rsidP="00CC0248">
            <w:pPr>
              <w:pStyle w:val="TableTextEntries"/>
            </w:pPr>
            <w:r w:rsidRPr="00E91188">
              <w:t>$5.75 million (2009/10–201</w:t>
            </w:r>
            <w:r w:rsidR="00CC0248" w:rsidRPr="00E91188">
              <w:t>5</w:t>
            </w:r>
            <w:r w:rsidRPr="00E91188">
              <w:t>/1</w:t>
            </w:r>
            <w:r w:rsidR="00CC0248" w:rsidRPr="00E91188">
              <w:t>6</w:t>
            </w:r>
            <w:r w:rsidRPr="00E91188">
              <w:t>)</w:t>
            </w:r>
          </w:p>
        </w:tc>
        <w:tc>
          <w:tcPr>
            <w:tcW w:w="373" w:type="pct"/>
            <w:gridSpan w:val="2"/>
          </w:tcPr>
          <w:p w:rsidR="000E602C" w:rsidRPr="00E91188" w:rsidRDefault="000E602C" w:rsidP="00E15678">
            <w:pPr>
              <w:pStyle w:val="TableTextEntries"/>
            </w:pPr>
            <w:r w:rsidRPr="00E91188">
              <w:t>2014 AQC</w:t>
            </w:r>
          </w:p>
        </w:tc>
        <w:tc>
          <w:tcPr>
            <w:tcW w:w="507" w:type="pct"/>
            <w:gridSpan w:val="2"/>
            <w:shd w:val="clear" w:color="auto" w:fill="FFFF00"/>
            <w:noWrap/>
          </w:tcPr>
          <w:p w:rsidR="000E602C" w:rsidRPr="00E91188" w:rsidRDefault="000E602C" w:rsidP="00E15678">
            <w:pPr>
              <w:pStyle w:val="TableTextEntries"/>
              <w:jc w:val="center"/>
            </w:pPr>
            <w:r w:rsidRPr="00E91188">
              <w:t>4</w:t>
            </w:r>
          </w:p>
        </w:tc>
        <w:tc>
          <w:tcPr>
            <w:tcW w:w="371" w:type="pct"/>
            <w:gridSpan w:val="2"/>
            <w:shd w:val="clear" w:color="auto" w:fill="FFFF00"/>
            <w:noWrap/>
          </w:tcPr>
          <w:p w:rsidR="000E602C" w:rsidRPr="00E91188" w:rsidRDefault="000E602C" w:rsidP="00E15678">
            <w:pPr>
              <w:pStyle w:val="TableTextEntries"/>
              <w:jc w:val="center"/>
            </w:pPr>
            <w:r w:rsidRPr="00E91188">
              <w:t>4</w:t>
            </w:r>
          </w:p>
        </w:tc>
        <w:tc>
          <w:tcPr>
            <w:tcW w:w="374" w:type="pct"/>
            <w:gridSpan w:val="2"/>
            <w:shd w:val="clear" w:color="auto" w:fill="FFFF00"/>
            <w:noWrap/>
          </w:tcPr>
          <w:p w:rsidR="000E602C" w:rsidRPr="00E91188" w:rsidRDefault="001E75EC" w:rsidP="00F958C7">
            <w:pPr>
              <w:pStyle w:val="TableTextEntries"/>
              <w:jc w:val="center"/>
            </w:pPr>
            <w:r w:rsidRPr="00E91188">
              <w:t>4</w:t>
            </w:r>
          </w:p>
        </w:tc>
        <w:tc>
          <w:tcPr>
            <w:tcW w:w="374" w:type="pct"/>
            <w:gridSpan w:val="2"/>
            <w:shd w:val="clear" w:color="auto" w:fill="FFFF00"/>
            <w:noWrap/>
          </w:tcPr>
          <w:p w:rsidR="000E602C" w:rsidRPr="00E91188" w:rsidRDefault="000E602C" w:rsidP="00E15678">
            <w:pPr>
              <w:pStyle w:val="TableTextEntries"/>
              <w:jc w:val="center"/>
            </w:pPr>
            <w:r w:rsidRPr="00E91188">
              <w:t>4</w:t>
            </w:r>
          </w:p>
        </w:tc>
        <w:tc>
          <w:tcPr>
            <w:tcW w:w="375" w:type="pct"/>
            <w:gridSpan w:val="2"/>
            <w:shd w:val="clear" w:color="auto" w:fill="FFFF00"/>
            <w:noWrap/>
          </w:tcPr>
          <w:p w:rsidR="000E602C" w:rsidRPr="00E91188" w:rsidRDefault="000E602C" w:rsidP="00E15678">
            <w:pPr>
              <w:pStyle w:val="TableTextEntries"/>
              <w:jc w:val="center"/>
            </w:pPr>
            <w:r w:rsidRPr="00E91188">
              <w:t>4</w:t>
            </w:r>
          </w:p>
        </w:tc>
        <w:tc>
          <w:tcPr>
            <w:tcW w:w="572" w:type="pct"/>
            <w:gridSpan w:val="2"/>
            <w:shd w:val="clear" w:color="auto" w:fill="FFFF00"/>
            <w:noWrap/>
          </w:tcPr>
          <w:p w:rsidR="000E602C" w:rsidRPr="00E91188" w:rsidRDefault="000E602C" w:rsidP="00E15678">
            <w:pPr>
              <w:pStyle w:val="TableTextEntries"/>
              <w:jc w:val="center"/>
            </w:pPr>
            <w:r w:rsidRPr="00E91188">
              <w:t>4</w:t>
            </w:r>
          </w:p>
        </w:tc>
        <w:tc>
          <w:tcPr>
            <w:tcW w:w="587" w:type="pct"/>
            <w:gridSpan w:val="2"/>
            <w:shd w:val="clear" w:color="auto" w:fill="FFFF00"/>
          </w:tcPr>
          <w:p w:rsidR="000E602C" w:rsidRPr="00E91188" w:rsidRDefault="000E602C" w:rsidP="00E15678">
            <w:pPr>
              <w:pStyle w:val="TableTextEntries"/>
              <w:jc w:val="center"/>
            </w:pPr>
            <w:r w:rsidRPr="00E91188">
              <w:t>4</w:t>
            </w:r>
          </w:p>
        </w:tc>
      </w:tr>
      <w:tr w:rsidR="00F84C21"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02" w:type="pct"/>
            <w:vMerge/>
          </w:tcPr>
          <w:p w:rsidR="00416B02" w:rsidRPr="00E91188" w:rsidRDefault="00416B02" w:rsidP="00E15678">
            <w:pPr>
              <w:pStyle w:val="TableTextEntries"/>
            </w:pPr>
          </w:p>
        </w:tc>
        <w:tc>
          <w:tcPr>
            <w:tcW w:w="589" w:type="pct"/>
            <w:gridSpan w:val="2"/>
            <w:vMerge/>
          </w:tcPr>
          <w:p w:rsidR="00416B02" w:rsidRPr="00E91188" w:rsidRDefault="00416B02" w:rsidP="00E15678">
            <w:pPr>
              <w:pStyle w:val="TableTextEntries"/>
            </w:pPr>
          </w:p>
        </w:tc>
        <w:tc>
          <w:tcPr>
            <w:tcW w:w="374" w:type="pct"/>
            <w:gridSpan w:val="2"/>
          </w:tcPr>
          <w:p w:rsidR="00416B02" w:rsidRPr="00E91188" w:rsidRDefault="00416B02" w:rsidP="00E15678">
            <w:pPr>
              <w:pStyle w:val="TableTextEntries"/>
            </w:pPr>
            <w:r w:rsidRPr="00E91188">
              <w:t>2013 QAI</w:t>
            </w:r>
          </w:p>
        </w:tc>
        <w:tc>
          <w:tcPr>
            <w:tcW w:w="513" w:type="pct"/>
            <w:gridSpan w:val="2"/>
            <w:shd w:val="clear" w:color="auto" w:fill="F79646"/>
            <w:noWrap/>
          </w:tcPr>
          <w:p w:rsidR="00416B02" w:rsidRPr="00E91188" w:rsidRDefault="00C51ABA" w:rsidP="00E15678">
            <w:pPr>
              <w:pStyle w:val="TableTextEntries"/>
              <w:jc w:val="center"/>
            </w:pPr>
            <w:r w:rsidRPr="00E91188">
              <w:t>3</w:t>
            </w:r>
          </w:p>
        </w:tc>
        <w:tc>
          <w:tcPr>
            <w:tcW w:w="372" w:type="pct"/>
            <w:gridSpan w:val="2"/>
            <w:shd w:val="clear" w:color="auto" w:fill="F79646"/>
            <w:noWrap/>
          </w:tcPr>
          <w:p w:rsidR="00416B02" w:rsidRPr="00E91188" w:rsidRDefault="00C51ABA" w:rsidP="00E15678">
            <w:pPr>
              <w:pStyle w:val="TableTextEntries"/>
              <w:jc w:val="center"/>
            </w:pPr>
            <w:r w:rsidRPr="00E91188">
              <w:t>3</w:t>
            </w:r>
          </w:p>
        </w:tc>
        <w:tc>
          <w:tcPr>
            <w:tcW w:w="375" w:type="pct"/>
            <w:gridSpan w:val="2"/>
            <w:shd w:val="clear" w:color="auto" w:fill="F79646"/>
            <w:noWrap/>
          </w:tcPr>
          <w:p w:rsidR="00416B02" w:rsidRPr="00E91188" w:rsidRDefault="00C51ABA" w:rsidP="00E15678">
            <w:pPr>
              <w:pStyle w:val="TableTextEntries"/>
              <w:jc w:val="center"/>
            </w:pPr>
            <w:r w:rsidRPr="00E91188">
              <w:t>3</w:t>
            </w:r>
          </w:p>
        </w:tc>
        <w:tc>
          <w:tcPr>
            <w:tcW w:w="375" w:type="pct"/>
            <w:gridSpan w:val="2"/>
            <w:shd w:val="clear" w:color="auto" w:fill="F79646"/>
            <w:noWrap/>
          </w:tcPr>
          <w:p w:rsidR="00416B02" w:rsidRPr="00E91188" w:rsidRDefault="00C51ABA" w:rsidP="00E15678">
            <w:pPr>
              <w:pStyle w:val="TableTextEntries"/>
              <w:jc w:val="center"/>
            </w:pPr>
            <w:r w:rsidRPr="00E91188">
              <w:t>3</w:t>
            </w:r>
          </w:p>
        </w:tc>
        <w:tc>
          <w:tcPr>
            <w:tcW w:w="376" w:type="pct"/>
            <w:gridSpan w:val="2"/>
            <w:shd w:val="clear" w:color="auto" w:fill="F79646"/>
            <w:noWrap/>
          </w:tcPr>
          <w:p w:rsidR="00416B02" w:rsidRPr="00E91188" w:rsidRDefault="00C51ABA" w:rsidP="00E15678">
            <w:pPr>
              <w:pStyle w:val="TableTextEntries"/>
              <w:jc w:val="center"/>
            </w:pPr>
            <w:r w:rsidRPr="00E91188">
              <w:t>3</w:t>
            </w:r>
          </w:p>
        </w:tc>
        <w:tc>
          <w:tcPr>
            <w:tcW w:w="579" w:type="pct"/>
            <w:gridSpan w:val="2"/>
            <w:shd w:val="clear" w:color="auto" w:fill="FFFF00"/>
            <w:noWrap/>
          </w:tcPr>
          <w:p w:rsidR="00416B02" w:rsidRPr="00E91188" w:rsidRDefault="0047142C" w:rsidP="00E15678">
            <w:pPr>
              <w:pStyle w:val="TableTextEntries"/>
              <w:jc w:val="center"/>
            </w:pPr>
            <w:r w:rsidRPr="00E91188">
              <w:t>4</w:t>
            </w:r>
          </w:p>
        </w:tc>
        <w:tc>
          <w:tcPr>
            <w:tcW w:w="535" w:type="pct"/>
            <w:gridSpan w:val="2"/>
          </w:tcPr>
          <w:p w:rsidR="00416B02" w:rsidRPr="00E91188" w:rsidRDefault="004A7988" w:rsidP="00E15678">
            <w:pPr>
              <w:pStyle w:val="TableTextEntries"/>
              <w:jc w:val="center"/>
            </w:pPr>
            <w:r w:rsidRPr="00E91188">
              <w:t>n/a</w:t>
            </w:r>
          </w:p>
        </w:tc>
      </w:tr>
      <w:tr w:rsidR="00C51ABA"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02" w:type="pct"/>
            <w:vMerge w:val="restart"/>
          </w:tcPr>
          <w:p w:rsidR="00C51ABA" w:rsidRPr="00E91188" w:rsidRDefault="00C51ABA" w:rsidP="00C51ABA">
            <w:pPr>
              <w:pStyle w:val="TableTextEntries"/>
            </w:pPr>
            <w:r w:rsidRPr="00E91188">
              <w:t>Preventing HIV transmission in drug users: H13</w:t>
            </w:r>
          </w:p>
        </w:tc>
        <w:tc>
          <w:tcPr>
            <w:tcW w:w="589" w:type="pct"/>
            <w:gridSpan w:val="2"/>
            <w:vMerge w:val="restart"/>
          </w:tcPr>
          <w:p w:rsidR="00C51ABA" w:rsidRPr="00E91188" w:rsidRDefault="00C51ABA" w:rsidP="00CC0248">
            <w:pPr>
              <w:pStyle w:val="TableTextEntries"/>
            </w:pPr>
            <w:r w:rsidRPr="00E91188">
              <w:t>$9.7 million (2006/07–</w:t>
            </w:r>
            <w:r w:rsidR="00CC0248" w:rsidRPr="00E91188">
              <w:t>2015/16</w:t>
            </w:r>
            <w:r w:rsidRPr="00E91188">
              <w:t>)</w:t>
            </w:r>
          </w:p>
        </w:tc>
        <w:tc>
          <w:tcPr>
            <w:tcW w:w="374" w:type="pct"/>
            <w:gridSpan w:val="2"/>
          </w:tcPr>
          <w:p w:rsidR="00C51ABA" w:rsidRPr="00E91188" w:rsidRDefault="00C51ABA" w:rsidP="00C51ABA">
            <w:pPr>
              <w:pStyle w:val="TableTextEntries"/>
            </w:pPr>
            <w:r w:rsidRPr="00E91188">
              <w:t>2014 AQC</w:t>
            </w:r>
          </w:p>
        </w:tc>
        <w:tc>
          <w:tcPr>
            <w:tcW w:w="3185" w:type="pct"/>
            <w:gridSpan w:val="14"/>
            <w:noWrap/>
          </w:tcPr>
          <w:p w:rsidR="00C51ABA" w:rsidRPr="00E91188" w:rsidRDefault="00C51ABA" w:rsidP="00044677">
            <w:pPr>
              <w:pStyle w:val="TableTextEntries"/>
              <w:jc w:val="center"/>
            </w:pPr>
            <w:r w:rsidRPr="00E91188">
              <w:t>AQC exemption</w:t>
            </w:r>
          </w:p>
        </w:tc>
      </w:tr>
      <w:tr w:rsidR="00F84C21"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02" w:type="pct"/>
            <w:vMerge/>
          </w:tcPr>
          <w:p w:rsidR="007C1C4D" w:rsidRPr="00E91188" w:rsidRDefault="007C1C4D" w:rsidP="00C51ABA">
            <w:pPr>
              <w:pStyle w:val="TableTextEntries"/>
            </w:pPr>
          </w:p>
        </w:tc>
        <w:tc>
          <w:tcPr>
            <w:tcW w:w="589" w:type="pct"/>
            <w:gridSpan w:val="2"/>
            <w:vMerge/>
          </w:tcPr>
          <w:p w:rsidR="007C1C4D" w:rsidRPr="00E91188" w:rsidRDefault="007C1C4D" w:rsidP="00C51ABA">
            <w:pPr>
              <w:pStyle w:val="TableTextEntries"/>
            </w:pPr>
          </w:p>
        </w:tc>
        <w:tc>
          <w:tcPr>
            <w:tcW w:w="374" w:type="pct"/>
            <w:gridSpan w:val="2"/>
          </w:tcPr>
          <w:p w:rsidR="007C1C4D" w:rsidRPr="00E91188" w:rsidRDefault="007C1C4D" w:rsidP="00C51ABA">
            <w:pPr>
              <w:pStyle w:val="TableTextEntries"/>
            </w:pPr>
            <w:r w:rsidRPr="00E91188">
              <w:t>2013 QAI</w:t>
            </w:r>
          </w:p>
        </w:tc>
        <w:tc>
          <w:tcPr>
            <w:tcW w:w="513" w:type="pct"/>
            <w:gridSpan w:val="2"/>
            <w:shd w:val="clear" w:color="auto" w:fill="FFFF00"/>
            <w:noWrap/>
          </w:tcPr>
          <w:p w:rsidR="007C1C4D" w:rsidRPr="00E91188" w:rsidRDefault="00C51ABA" w:rsidP="00C51ABA">
            <w:pPr>
              <w:pStyle w:val="TableTextEntries"/>
              <w:jc w:val="center"/>
            </w:pPr>
            <w:r w:rsidRPr="00E91188">
              <w:t>4</w:t>
            </w:r>
          </w:p>
        </w:tc>
        <w:tc>
          <w:tcPr>
            <w:tcW w:w="372" w:type="pct"/>
            <w:gridSpan w:val="2"/>
            <w:shd w:val="clear" w:color="auto" w:fill="72AF2F"/>
            <w:noWrap/>
          </w:tcPr>
          <w:p w:rsidR="007C1C4D" w:rsidRPr="00E91188" w:rsidRDefault="00C51ABA" w:rsidP="00C51ABA">
            <w:pPr>
              <w:pStyle w:val="TableTextEntries"/>
              <w:jc w:val="center"/>
            </w:pPr>
            <w:r w:rsidRPr="00E91188">
              <w:t>5</w:t>
            </w:r>
          </w:p>
        </w:tc>
        <w:tc>
          <w:tcPr>
            <w:tcW w:w="375" w:type="pct"/>
            <w:gridSpan w:val="2"/>
            <w:shd w:val="clear" w:color="auto" w:fill="FFFF00"/>
            <w:noWrap/>
          </w:tcPr>
          <w:p w:rsidR="007C1C4D" w:rsidRPr="00E91188" w:rsidRDefault="00C51ABA" w:rsidP="00C51ABA">
            <w:pPr>
              <w:pStyle w:val="TableTextEntries"/>
              <w:jc w:val="center"/>
            </w:pPr>
            <w:r w:rsidRPr="00E91188">
              <w:t>4</w:t>
            </w:r>
          </w:p>
        </w:tc>
        <w:tc>
          <w:tcPr>
            <w:tcW w:w="375" w:type="pct"/>
            <w:gridSpan w:val="2"/>
            <w:shd w:val="clear" w:color="auto" w:fill="FFFF00"/>
            <w:noWrap/>
          </w:tcPr>
          <w:p w:rsidR="007C1C4D" w:rsidRPr="00E91188" w:rsidRDefault="00C51ABA" w:rsidP="00C51ABA">
            <w:pPr>
              <w:pStyle w:val="TableTextEntries"/>
              <w:jc w:val="center"/>
            </w:pPr>
            <w:r w:rsidRPr="00E91188">
              <w:t>4</w:t>
            </w:r>
          </w:p>
        </w:tc>
        <w:tc>
          <w:tcPr>
            <w:tcW w:w="376" w:type="pct"/>
            <w:gridSpan w:val="2"/>
            <w:shd w:val="clear" w:color="auto" w:fill="FFFF00"/>
            <w:noWrap/>
          </w:tcPr>
          <w:p w:rsidR="007C1C4D" w:rsidRPr="00E91188" w:rsidRDefault="00C51ABA" w:rsidP="00C51ABA">
            <w:pPr>
              <w:pStyle w:val="TableTextEntries"/>
              <w:jc w:val="center"/>
            </w:pPr>
            <w:r w:rsidRPr="00E91188">
              <w:t>4</w:t>
            </w:r>
          </w:p>
        </w:tc>
        <w:tc>
          <w:tcPr>
            <w:tcW w:w="579" w:type="pct"/>
            <w:gridSpan w:val="2"/>
            <w:shd w:val="clear" w:color="auto" w:fill="FFFF00"/>
            <w:noWrap/>
          </w:tcPr>
          <w:p w:rsidR="007C1C4D" w:rsidRPr="00E91188" w:rsidRDefault="001E75EC" w:rsidP="00C51ABA">
            <w:pPr>
              <w:pStyle w:val="TableTextEntries"/>
              <w:jc w:val="center"/>
            </w:pPr>
            <w:r w:rsidRPr="00E91188">
              <w:t>4</w:t>
            </w:r>
          </w:p>
        </w:tc>
        <w:tc>
          <w:tcPr>
            <w:tcW w:w="535" w:type="pct"/>
            <w:gridSpan w:val="2"/>
          </w:tcPr>
          <w:p w:rsidR="007C1C4D" w:rsidRPr="00E91188" w:rsidRDefault="007C1C4D" w:rsidP="00C51ABA">
            <w:pPr>
              <w:pStyle w:val="TableTextEntries"/>
              <w:jc w:val="center"/>
            </w:pPr>
            <w:r w:rsidRPr="00E91188">
              <w:t>n/a</w:t>
            </w:r>
          </w:p>
        </w:tc>
      </w:tr>
      <w:tr w:rsidR="00044677"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02" w:type="pct"/>
            <w:vMerge w:val="restart"/>
          </w:tcPr>
          <w:p w:rsidR="00044677" w:rsidRPr="00E91188" w:rsidRDefault="00044677" w:rsidP="004E5E1A">
            <w:pPr>
              <w:pStyle w:val="TableTextEntries"/>
            </w:pPr>
            <w:r w:rsidRPr="00E91188">
              <w:t>Australia-</w:t>
            </w:r>
            <w:r w:rsidR="004E5E1A">
              <w:t>ADB</w:t>
            </w:r>
            <w:r w:rsidRPr="00E91188">
              <w:t xml:space="preserve"> South Asia Development Partnership Facility</w:t>
            </w:r>
          </w:p>
        </w:tc>
        <w:tc>
          <w:tcPr>
            <w:tcW w:w="589" w:type="pct"/>
            <w:gridSpan w:val="2"/>
            <w:vMerge w:val="restart"/>
          </w:tcPr>
          <w:p w:rsidR="00044677" w:rsidRPr="00E91188" w:rsidRDefault="00CC0248" w:rsidP="00C51ABA">
            <w:pPr>
              <w:pStyle w:val="TableTextEntries"/>
            </w:pPr>
            <w:r w:rsidRPr="00E91188">
              <w:t>$14 million (2005/06-2014-15</w:t>
            </w:r>
            <w:r w:rsidR="00044677" w:rsidRPr="00E91188">
              <w:t>)</w:t>
            </w:r>
          </w:p>
        </w:tc>
        <w:tc>
          <w:tcPr>
            <w:tcW w:w="374" w:type="pct"/>
            <w:gridSpan w:val="2"/>
          </w:tcPr>
          <w:p w:rsidR="00044677" w:rsidRPr="00E91188" w:rsidRDefault="00044677" w:rsidP="00C51ABA">
            <w:pPr>
              <w:pStyle w:val="TableTextEntries"/>
            </w:pPr>
            <w:r w:rsidRPr="00E91188">
              <w:t>2014 AQC</w:t>
            </w:r>
          </w:p>
        </w:tc>
        <w:tc>
          <w:tcPr>
            <w:tcW w:w="3185" w:type="pct"/>
            <w:gridSpan w:val="14"/>
            <w:shd w:val="clear" w:color="auto" w:fill="auto"/>
            <w:noWrap/>
          </w:tcPr>
          <w:p w:rsidR="00044677" w:rsidRPr="00E91188" w:rsidRDefault="00044677" w:rsidP="00044677">
            <w:pPr>
              <w:pStyle w:val="TableTextEntries"/>
              <w:jc w:val="center"/>
            </w:pPr>
            <w:r w:rsidRPr="00E91188">
              <w:t>FAQC (see below)</w:t>
            </w:r>
          </w:p>
        </w:tc>
      </w:tr>
      <w:tr w:rsidR="00F84C21"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02" w:type="pct"/>
            <w:vMerge/>
          </w:tcPr>
          <w:p w:rsidR="007C1C4D" w:rsidRPr="00E91188" w:rsidRDefault="007C1C4D" w:rsidP="00C51ABA">
            <w:pPr>
              <w:pStyle w:val="TableTextEntries"/>
            </w:pPr>
          </w:p>
        </w:tc>
        <w:tc>
          <w:tcPr>
            <w:tcW w:w="589" w:type="pct"/>
            <w:gridSpan w:val="2"/>
            <w:vMerge/>
          </w:tcPr>
          <w:p w:rsidR="007C1C4D" w:rsidRPr="00E91188" w:rsidRDefault="007C1C4D" w:rsidP="00C51ABA">
            <w:pPr>
              <w:pStyle w:val="TableTextEntries"/>
            </w:pPr>
          </w:p>
        </w:tc>
        <w:tc>
          <w:tcPr>
            <w:tcW w:w="374" w:type="pct"/>
            <w:gridSpan w:val="2"/>
          </w:tcPr>
          <w:p w:rsidR="007C1C4D" w:rsidRPr="00E91188" w:rsidRDefault="007C1C4D" w:rsidP="00C51ABA">
            <w:pPr>
              <w:pStyle w:val="TableTextEntries"/>
            </w:pPr>
            <w:r w:rsidRPr="00E91188">
              <w:t>2013 QAI</w:t>
            </w:r>
          </w:p>
        </w:tc>
        <w:tc>
          <w:tcPr>
            <w:tcW w:w="513" w:type="pct"/>
            <w:gridSpan w:val="2"/>
            <w:shd w:val="clear" w:color="auto" w:fill="72AF2F"/>
            <w:noWrap/>
          </w:tcPr>
          <w:p w:rsidR="007C1C4D" w:rsidRPr="00E91188" w:rsidRDefault="00C51ABA" w:rsidP="00C51ABA">
            <w:pPr>
              <w:pStyle w:val="TableTextEntries"/>
              <w:jc w:val="center"/>
            </w:pPr>
            <w:r w:rsidRPr="00E91188">
              <w:t>5</w:t>
            </w:r>
          </w:p>
        </w:tc>
        <w:tc>
          <w:tcPr>
            <w:tcW w:w="372" w:type="pct"/>
            <w:gridSpan w:val="2"/>
            <w:shd w:val="clear" w:color="auto" w:fill="FFFF00"/>
            <w:noWrap/>
          </w:tcPr>
          <w:p w:rsidR="007C1C4D" w:rsidRPr="00E91188" w:rsidRDefault="00C51ABA" w:rsidP="00C51ABA">
            <w:pPr>
              <w:pStyle w:val="TableTextEntries"/>
              <w:jc w:val="center"/>
            </w:pPr>
            <w:r w:rsidRPr="00E91188">
              <w:t>4</w:t>
            </w:r>
          </w:p>
        </w:tc>
        <w:tc>
          <w:tcPr>
            <w:tcW w:w="375" w:type="pct"/>
            <w:gridSpan w:val="2"/>
            <w:shd w:val="clear" w:color="auto" w:fill="FFFF00"/>
            <w:noWrap/>
          </w:tcPr>
          <w:p w:rsidR="007C1C4D" w:rsidRPr="00E91188" w:rsidRDefault="00C51ABA" w:rsidP="00C51ABA">
            <w:pPr>
              <w:pStyle w:val="TableTextEntries"/>
              <w:jc w:val="center"/>
            </w:pPr>
            <w:r w:rsidRPr="00E91188">
              <w:t>4</w:t>
            </w:r>
          </w:p>
        </w:tc>
        <w:tc>
          <w:tcPr>
            <w:tcW w:w="375" w:type="pct"/>
            <w:gridSpan w:val="2"/>
            <w:shd w:val="clear" w:color="auto" w:fill="FF0000"/>
            <w:noWrap/>
          </w:tcPr>
          <w:p w:rsidR="007C1C4D" w:rsidRPr="00E91188" w:rsidRDefault="00C51ABA" w:rsidP="00C51ABA">
            <w:pPr>
              <w:pStyle w:val="TableTextEntries"/>
              <w:jc w:val="center"/>
            </w:pPr>
            <w:r w:rsidRPr="00E91188">
              <w:t>2</w:t>
            </w:r>
          </w:p>
        </w:tc>
        <w:tc>
          <w:tcPr>
            <w:tcW w:w="376" w:type="pct"/>
            <w:gridSpan w:val="2"/>
            <w:shd w:val="clear" w:color="auto" w:fill="FFFF00"/>
            <w:noWrap/>
          </w:tcPr>
          <w:p w:rsidR="007C1C4D" w:rsidRPr="00E91188" w:rsidRDefault="00C51ABA" w:rsidP="00C51ABA">
            <w:pPr>
              <w:pStyle w:val="TableTextEntries"/>
              <w:jc w:val="center"/>
            </w:pPr>
            <w:r w:rsidRPr="00E91188">
              <w:t>4</w:t>
            </w:r>
          </w:p>
        </w:tc>
        <w:tc>
          <w:tcPr>
            <w:tcW w:w="579" w:type="pct"/>
            <w:gridSpan w:val="2"/>
            <w:shd w:val="clear" w:color="auto" w:fill="FFFF00"/>
            <w:noWrap/>
          </w:tcPr>
          <w:p w:rsidR="007C1C4D" w:rsidRPr="00E91188" w:rsidRDefault="00C51ABA" w:rsidP="00C51ABA">
            <w:pPr>
              <w:pStyle w:val="TableTextEntries"/>
              <w:jc w:val="center"/>
            </w:pPr>
            <w:r w:rsidRPr="00E91188">
              <w:t>4</w:t>
            </w:r>
          </w:p>
        </w:tc>
        <w:tc>
          <w:tcPr>
            <w:tcW w:w="535" w:type="pct"/>
            <w:gridSpan w:val="2"/>
          </w:tcPr>
          <w:p w:rsidR="007C1C4D" w:rsidRPr="00E91188" w:rsidRDefault="007C1C4D" w:rsidP="00C51ABA">
            <w:pPr>
              <w:pStyle w:val="TableTextEntries"/>
              <w:jc w:val="center"/>
            </w:pPr>
            <w:r w:rsidRPr="00E91188">
              <w:t>n/a</w:t>
            </w:r>
          </w:p>
        </w:tc>
      </w:tr>
      <w:tr w:rsidR="00044677"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02" w:type="pct"/>
            <w:vMerge w:val="restart"/>
          </w:tcPr>
          <w:p w:rsidR="00044677" w:rsidRPr="00E91188" w:rsidRDefault="00044677" w:rsidP="00C51ABA">
            <w:pPr>
              <w:pStyle w:val="TableTextEntries"/>
            </w:pPr>
            <w:r w:rsidRPr="00E91188">
              <w:t>IPPF South Asia Strategic Plan 2010-2015</w:t>
            </w:r>
          </w:p>
        </w:tc>
        <w:tc>
          <w:tcPr>
            <w:tcW w:w="589" w:type="pct"/>
            <w:gridSpan w:val="2"/>
            <w:vMerge w:val="restart"/>
          </w:tcPr>
          <w:p w:rsidR="00044677" w:rsidRPr="00E91188" w:rsidRDefault="00044677" w:rsidP="00C51ABA">
            <w:pPr>
              <w:pStyle w:val="TableTextEntries"/>
            </w:pPr>
            <w:r w:rsidRPr="00E91188">
              <w:t>$13 million (2010/11-2014/15)</w:t>
            </w:r>
          </w:p>
        </w:tc>
        <w:tc>
          <w:tcPr>
            <w:tcW w:w="374" w:type="pct"/>
            <w:gridSpan w:val="2"/>
          </w:tcPr>
          <w:p w:rsidR="00044677" w:rsidRPr="00E91188" w:rsidRDefault="00044677" w:rsidP="00C51ABA">
            <w:pPr>
              <w:pStyle w:val="TableTextEntries"/>
            </w:pPr>
            <w:r w:rsidRPr="00E91188">
              <w:t>2014 AQC</w:t>
            </w:r>
          </w:p>
        </w:tc>
        <w:tc>
          <w:tcPr>
            <w:tcW w:w="3185" w:type="pct"/>
            <w:gridSpan w:val="14"/>
            <w:noWrap/>
          </w:tcPr>
          <w:p w:rsidR="00044677" w:rsidRPr="00E91188" w:rsidRDefault="00044677" w:rsidP="00C51ABA">
            <w:pPr>
              <w:pStyle w:val="TableTextEntries"/>
              <w:jc w:val="center"/>
            </w:pPr>
            <w:r w:rsidRPr="00E91188">
              <w:t>AQC exemption</w:t>
            </w:r>
          </w:p>
        </w:tc>
      </w:tr>
      <w:tr w:rsidR="00044677"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02" w:type="pct"/>
            <w:vMerge/>
          </w:tcPr>
          <w:p w:rsidR="00044677" w:rsidRPr="00E91188" w:rsidRDefault="00044677" w:rsidP="00C51ABA">
            <w:pPr>
              <w:pStyle w:val="TableTextEntries"/>
            </w:pPr>
          </w:p>
        </w:tc>
        <w:tc>
          <w:tcPr>
            <w:tcW w:w="589" w:type="pct"/>
            <w:gridSpan w:val="2"/>
            <w:vMerge/>
          </w:tcPr>
          <w:p w:rsidR="00044677" w:rsidRPr="00E91188" w:rsidRDefault="00044677" w:rsidP="00C51ABA">
            <w:pPr>
              <w:pStyle w:val="TableTextEntries"/>
            </w:pPr>
          </w:p>
        </w:tc>
        <w:tc>
          <w:tcPr>
            <w:tcW w:w="374" w:type="pct"/>
            <w:gridSpan w:val="2"/>
          </w:tcPr>
          <w:p w:rsidR="00044677" w:rsidRPr="00E91188" w:rsidRDefault="00044677" w:rsidP="00C51ABA">
            <w:pPr>
              <w:pStyle w:val="TableTextEntries"/>
            </w:pPr>
            <w:r w:rsidRPr="00E91188">
              <w:t>2013 QAI</w:t>
            </w:r>
          </w:p>
        </w:tc>
        <w:tc>
          <w:tcPr>
            <w:tcW w:w="3185" w:type="pct"/>
            <w:gridSpan w:val="14"/>
            <w:noWrap/>
          </w:tcPr>
          <w:p w:rsidR="00044677" w:rsidRPr="00E91188" w:rsidRDefault="00044677" w:rsidP="00C51ABA">
            <w:pPr>
              <w:pStyle w:val="TableTextEntries"/>
              <w:jc w:val="center"/>
            </w:pPr>
            <w:r w:rsidRPr="00E91188">
              <w:t>QAI exemption</w:t>
            </w:r>
          </w:p>
        </w:tc>
      </w:tr>
      <w:tr w:rsidR="00044677" w:rsidRPr="00E91188" w:rsidTr="00B4796B">
        <w:trPr>
          <w:cnfStyle w:val="000000010000" w:firstRow="0" w:lastRow="0" w:firstColumn="0" w:lastColumn="0" w:oddVBand="0" w:evenVBand="0" w:oddHBand="0" w:evenHBand="1" w:firstRowFirstColumn="0" w:firstRowLastColumn="0" w:lastRowFirstColumn="0" w:lastRowLastColumn="0"/>
          <w:trHeight w:val="284"/>
        </w:trPr>
        <w:tc>
          <w:tcPr>
            <w:tcW w:w="812" w:type="pct"/>
            <w:gridSpan w:val="2"/>
            <w:vMerge w:val="restart"/>
          </w:tcPr>
          <w:p w:rsidR="007C1C4D" w:rsidRPr="00E91188" w:rsidRDefault="00C51ABA" w:rsidP="00044677">
            <w:pPr>
              <w:pStyle w:val="TableTextEntries"/>
              <w:keepNext/>
            </w:pPr>
            <w:r w:rsidRPr="00E91188">
              <w:t>South Asia Food and Nutrition Security Initiative</w:t>
            </w:r>
          </w:p>
        </w:tc>
        <w:tc>
          <w:tcPr>
            <w:tcW w:w="589" w:type="pct"/>
            <w:gridSpan w:val="2"/>
            <w:vMerge w:val="restart"/>
          </w:tcPr>
          <w:p w:rsidR="007C1C4D" w:rsidRPr="00E91188" w:rsidRDefault="00C51ABA" w:rsidP="00CC0248">
            <w:pPr>
              <w:pStyle w:val="TableTextEntries"/>
              <w:keepNext/>
            </w:pPr>
            <w:r w:rsidRPr="00E91188">
              <w:t>$5.7 million (2010/11-201</w:t>
            </w:r>
            <w:r w:rsidR="00CC0248" w:rsidRPr="00E91188">
              <w:t>5/16</w:t>
            </w:r>
            <w:r w:rsidRPr="00E91188">
              <w:t>)</w:t>
            </w:r>
          </w:p>
        </w:tc>
        <w:tc>
          <w:tcPr>
            <w:tcW w:w="374" w:type="pct"/>
            <w:gridSpan w:val="2"/>
          </w:tcPr>
          <w:p w:rsidR="007C1C4D" w:rsidRPr="00E91188" w:rsidRDefault="007C1C4D" w:rsidP="00044677">
            <w:pPr>
              <w:pStyle w:val="TableTextEntries"/>
              <w:keepNext/>
            </w:pPr>
            <w:r w:rsidRPr="00E91188">
              <w:t>2014 AQC</w:t>
            </w:r>
          </w:p>
        </w:tc>
        <w:tc>
          <w:tcPr>
            <w:tcW w:w="513" w:type="pct"/>
            <w:gridSpan w:val="2"/>
            <w:shd w:val="clear" w:color="auto" w:fill="FFFF00"/>
            <w:noWrap/>
          </w:tcPr>
          <w:p w:rsidR="007C1C4D" w:rsidRPr="00E91188" w:rsidRDefault="00D51E8C" w:rsidP="00044677">
            <w:pPr>
              <w:pStyle w:val="TableTextEntries"/>
              <w:keepNext/>
              <w:jc w:val="center"/>
            </w:pPr>
            <w:r w:rsidRPr="00E91188">
              <w:t>4</w:t>
            </w:r>
          </w:p>
        </w:tc>
        <w:tc>
          <w:tcPr>
            <w:tcW w:w="372" w:type="pct"/>
            <w:gridSpan w:val="2"/>
            <w:shd w:val="clear" w:color="auto" w:fill="FFFF00"/>
            <w:noWrap/>
          </w:tcPr>
          <w:p w:rsidR="007C1C4D" w:rsidRPr="00E91188" w:rsidRDefault="00D51E8C" w:rsidP="00044677">
            <w:pPr>
              <w:pStyle w:val="TableTextEntries"/>
              <w:keepNext/>
              <w:jc w:val="center"/>
            </w:pPr>
            <w:r w:rsidRPr="00E91188">
              <w:t>4</w:t>
            </w:r>
          </w:p>
        </w:tc>
        <w:tc>
          <w:tcPr>
            <w:tcW w:w="375" w:type="pct"/>
            <w:gridSpan w:val="2"/>
            <w:shd w:val="clear" w:color="auto" w:fill="FFFF00"/>
            <w:noWrap/>
          </w:tcPr>
          <w:p w:rsidR="007C1C4D" w:rsidRPr="00E91188" w:rsidRDefault="00D51E8C" w:rsidP="00044677">
            <w:pPr>
              <w:pStyle w:val="TableTextEntries"/>
              <w:keepNext/>
              <w:jc w:val="center"/>
            </w:pPr>
            <w:r w:rsidRPr="00E91188">
              <w:t>4</w:t>
            </w:r>
          </w:p>
        </w:tc>
        <w:tc>
          <w:tcPr>
            <w:tcW w:w="375" w:type="pct"/>
            <w:gridSpan w:val="2"/>
            <w:shd w:val="clear" w:color="auto" w:fill="FFFF00"/>
            <w:noWrap/>
          </w:tcPr>
          <w:p w:rsidR="007C1C4D" w:rsidRPr="00E91188" w:rsidRDefault="00D51E8C" w:rsidP="00044677">
            <w:pPr>
              <w:pStyle w:val="TableTextEntries"/>
              <w:keepNext/>
              <w:jc w:val="center"/>
            </w:pPr>
            <w:r w:rsidRPr="00E91188">
              <w:t>4</w:t>
            </w:r>
          </w:p>
        </w:tc>
        <w:tc>
          <w:tcPr>
            <w:tcW w:w="376" w:type="pct"/>
            <w:gridSpan w:val="2"/>
            <w:shd w:val="clear" w:color="auto" w:fill="FFFF00"/>
            <w:noWrap/>
          </w:tcPr>
          <w:p w:rsidR="007C1C4D" w:rsidRPr="00E91188" w:rsidRDefault="00D51E8C" w:rsidP="00044677">
            <w:pPr>
              <w:pStyle w:val="TableTextEntries"/>
              <w:keepNext/>
              <w:jc w:val="center"/>
            </w:pPr>
            <w:r w:rsidRPr="00E91188">
              <w:t>4</w:t>
            </w:r>
          </w:p>
        </w:tc>
        <w:tc>
          <w:tcPr>
            <w:tcW w:w="579" w:type="pct"/>
            <w:gridSpan w:val="2"/>
            <w:shd w:val="clear" w:color="auto" w:fill="FFFF00"/>
            <w:noWrap/>
          </w:tcPr>
          <w:p w:rsidR="007C1C4D" w:rsidRPr="00E91188" w:rsidRDefault="00D51E8C" w:rsidP="00044677">
            <w:pPr>
              <w:pStyle w:val="TableTextEntries"/>
              <w:keepNext/>
              <w:jc w:val="center"/>
            </w:pPr>
            <w:r w:rsidRPr="00E91188">
              <w:t>4</w:t>
            </w:r>
          </w:p>
        </w:tc>
        <w:tc>
          <w:tcPr>
            <w:tcW w:w="525" w:type="pct"/>
            <w:shd w:val="clear" w:color="auto" w:fill="FFFF00"/>
          </w:tcPr>
          <w:p w:rsidR="007C1C4D" w:rsidRPr="00E91188" w:rsidRDefault="00D51E8C" w:rsidP="00044677">
            <w:pPr>
              <w:pStyle w:val="TableTextEntries"/>
              <w:keepNext/>
              <w:jc w:val="center"/>
            </w:pPr>
            <w:r w:rsidRPr="00E91188">
              <w:t>4</w:t>
            </w:r>
          </w:p>
        </w:tc>
      </w:tr>
      <w:tr w:rsidR="00044677" w:rsidRPr="00E91188" w:rsidTr="004E5E1A">
        <w:trPr>
          <w:cnfStyle w:val="000000010000" w:firstRow="0" w:lastRow="0" w:firstColumn="0" w:lastColumn="0" w:oddVBand="0" w:evenVBand="0" w:oddHBand="0" w:evenHBand="1" w:firstRowFirstColumn="0" w:firstRowLastColumn="0" w:lastRowFirstColumn="0" w:lastRowLastColumn="0"/>
          <w:trHeight w:val="284"/>
        </w:trPr>
        <w:tc>
          <w:tcPr>
            <w:tcW w:w="796" w:type="pct"/>
            <w:gridSpan w:val="2"/>
            <w:vMerge/>
          </w:tcPr>
          <w:p w:rsidR="007C1C4D" w:rsidRPr="00E91188" w:rsidRDefault="007C1C4D" w:rsidP="00C51ABA">
            <w:pPr>
              <w:pStyle w:val="TableTextEntries"/>
            </w:pPr>
          </w:p>
        </w:tc>
        <w:tc>
          <w:tcPr>
            <w:tcW w:w="580" w:type="pct"/>
            <w:gridSpan w:val="2"/>
            <w:vMerge/>
          </w:tcPr>
          <w:p w:rsidR="007C1C4D" w:rsidRPr="00E91188" w:rsidRDefault="007C1C4D" w:rsidP="00C51ABA">
            <w:pPr>
              <w:pStyle w:val="TableTextEntries"/>
            </w:pPr>
          </w:p>
        </w:tc>
        <w:tc>
          <w:tcPr>
            <w:tcW w:w="373" w:type="pct"/>
            <w:gridSpan w:val="2"/>
          </w:tcPr>
          <w:p w:rsidR="007C1C4D" w:rsidRPr="00E91188" w:rsidRDefault="007C1C4D" w:rsidP="00C51ABA">
            <w:pPr>
              <w:pStyle w:val="TableTextEntries"/>
            </w:pPr>
            <w:r w:rsidRPr="00E91188">
              <w:t>2013 QAI</w:t>
            </w:r>
          </w:p>
        </w:tc>
        <w:tc>
          <w:tcPr>
            <w:tcW w:w="507" w:type="pct"/>
            <w:gridSpan w:val="2"/>
            <w:shd w:val="clear" w:color="auto" w:fill="F79646"/>
            <w:noWrap/>
          </w:tcPr>
          <w:p w:rsidR="007C1C4D" w:rsidRPr="00E91188" w:rsidRDefault="00F84C21" w:rsidP="00C51ABA">
            <w:pPr>
              <w:pStyle w:val="TableTextEntries"/>
              <w:jc w:val="center"/>
            </w:pPr>
            <w:r w:rsidRPr="00E91188">
              <w:t>3</w:t>
            </w:r>
          </w:p>
        </w:tc>
        <w:tc>
          <w:tcPr>
            <w:tcW w:w="371" w:type="pct"/>
            <w:gridSpan w:val="2"/>
            <w:shd w:val="clear" w:color="auto" w:fill="F79646"/>
            <w:noWrap/>
          </w:tcPr>
          <w:p w:rsidR="007C1C4D" w:rsidRPr="00E91188" w:rsidRDefault="00F84C21" w:rsidP="00C51ABA">
            <w:pPr>
              <w:pStyle w:val="TableTextEntries"/>
              <w:jc w:val="center"/>
            </w:pPr>
            <w:r w:rsidRPr="00E91188">
              <w:t>3</w:t>
            </w:r>
          </w:p>
        </w:tc>
        <w:tc>
          <w:tcPr>
            <w:tcW w:w="374" w:type="pct"/>
            <w:gridSpan w:val="2"/>
            <w:shd w:val="clear" w:color="auto" w:fill="F79646"/>
            <w:noWrap/>
          </w:tcPr>
          <w:p w:rsidR="007C1C4D" w:rsidRPr="00E91188" w:rsidRDefault="00F84C21" w:rsidP="00C51ABA">
            <w:pPr>
              <w:pStyle w:val="TableTextEntries"/>
              <w:jc w:val="center"/>
            </w:pPr>
            <w:r w:rsidRPr="00E91188">
              <w:t>3</w:t>
            </w:r>
          </w:p>
        </w:tc>
        <w:tc>
          <w:tcPr>
            <w:tcW w:w="374" w:type="pct"/>
            <w:gridSpan w:val="2"/>
            <w:shd w:val="clear" w:color="auto" w:fill="F79646"/>
            <w:noWrap/>
          </w:tcPr>
          <w:p w:rsidR="007C1C4D" w:rsidRPr="00E91188" w:rsidRDefault="00F84C21" w:rsidP="00C51ABA">
            <w:pPr>
              <w:pStyle w:val="TableTextEntries"/>
              <w:jc w:val="center"/>
            </w:pPr>
            <w:r w:rsidRPr="00E91188">
              <w:t>3</w:t>
            </w:r>
          </w:p>
        </w:tc>
        <w:tc>
          <w:tcPr>
            <w:tcW w:w="375" w:type="pct"/>
            <w:gridSpan w:val="2"/>
            <w:shd w:val="clear" w:color="auto" w:fill="FFFF00"/>
            <w:noWrap/>
          </w:tcPr>
          <w:p w:rsidR="007C1C4D" w:rsidRPr="00E91188" w:rsidRDefault="00F84C21" w:rsidP="00C51ABA">
            <w:pPr>
              <w:pStyle w:val="TableTextEntries"/>
              <w:jc w:val="center"/>
            </w:pPr>
            <w:r w:rsidRPr="00E91188">
              <w:t>4</w:t>
            </w:r>
          </w:p>
        </w:tc>
        <w:tc>
          <w:tcPr>
            <w:tcW w:w="572" w:type="pct"/>
            <w:gridSpan w:val="2"/>
            <w:shd w:val="clear" w:color="auto" w:fill="F79646"/>
            <w:noWrap/>
          </w:tcPr>
          <w:p w:rsidR="007C1C4D" w:rsidRPr="00E91188" w:rsidRDefault="00F84C21" w:rsidP="00C51ABA">
            <w:pPr>
              <w:pStyle w:val="TableTextEntries"/>
              <w:jc w:val="center"/>
            </w:pPr>
            <w:r w:rsidRPr="00E91188">
              <w:t>3</w:t>
            </w:r>
          </w:p>
        </w:tc>
        <w:tc>
          <w:tcPr>
            <w:tcW w:w="567" w:type="pct"/>
          </w:tcPr>
          <w:p w:rsidR="007C1C4D" w:rsidRPr="00E91188" w:rsidRDefault="007C1C4D" w:rsidP="00C51ABA">
            <w:pPr>
              <w:pStyle w:val="TableTextEntries"/>
              <w:jc w:val="center"/>
            </w:pPr>
            <w:r w:rsidRPr="00E91188">
              <w:t>n/a</w:t>
            </w:r>
          </w:p>
        </w:tc>
      </w:tr>
      <w:tr w:rsidR="00044677" w:rsidRPr="00E91188" w:rsidTr="004E5E1A">
        <w:trPr>
          <w:cnfStyle w:val="000000010000" w:firstRow="0" w:lastRow="0" w:firstColumn="0" w:lastColumn="0" w:oddVBand="0" w:evenVBand="0" w:oddHBand="0" w:evenHBand="1" w:firstRowFirstColumn="0" w:firstRowLastColumn="0" w:lastRowFirstColumn="0" w:lastRowLastColumn="0"/>
          <w:trHeight w:val="284"/>
        </w:trPr>
        <w:tc>
          <w:tcPr>
            <w:tcW w:w="796" w:type="pct"/>
            <w:gridSpan w:val="2"/>
            <w:vMerge w:val="restart"/>
          </w:tcPr>
          <w:p w:rsidR="007C1C4D" w:rsidRPr="00E91188" w:rsidRDefault="00C51ABA" w:rsidP="00C51ABA">
            <w:pPr>
              <w:pStyle w:val="TableTextEntries"/>
            </w:pPr>
            <w:r w:rsidRPr="00E91188">
              <w:t>Sustainable Development Investment Portfolio</w:t>
            </w:r>
          </w:p>
        </w:tc>
        <w:tc>
          <w:tcPr>
            <w:tcW w:w="580" w:type="pct"/>
            <w:gridSpan w:val="2"/>
            <w:vMerge w:val="restart"/>
          </w:tcPr>
          <w:p w:rsidR="007C1C4D" w:rsidRPr="00E91188" w:rsidRDefault="00C51ABA" w:rsidP="00C51ABA">
            <w:pPr>
              <w:pStyle w:val="TableTextEntries"/>
            </w:pPr>
            <w:r w:rsidRPr="00E91188">
              <w:t>$49.4 million (2012/13-2015/16)</w:t>
            </w:r>
          </w:p>
        </w:tc>
        <w:tc>
          <w:tcPr>
            <w:tcW w:w="373" w:type="pct"/>
            <w:gridSpan w:val="2"/>
          </w:tcPr>
          <w:p w:rsidR="007C1C4D" w:rsidRPr="00E91188" w:rsidRDefault="007C1C4D" w:rsidP="00C51ABA">
            <w:pPr>
              <w:pStyle w:val="TableTextEntries"/>
            </w:pPr>
            <w:r w:rsidRPr="00E91188">
              <w:t>2014 AQC</w:t>
            </w:r>
          </w:p>
        </w:tc>
        <w:tc>
          <w:tcPr>
            <w:tcW w:w="507" w:type="pct"/>
            <w:gridSpan w:val="2"/>
            <w:shd w:val="clear" w:color="auto" w:fill="72AF2F"/>
            <w:noWrap/>
          </w:tcPr>
          <w:p w:rsidR="007C1C4D" w:rsidRPr="00E91188" w:rsidRDefault="00D51E8C" w:rsidP="00C51ABA">
            <w:pPr>
              <w:pStyle w:val="TableTextEntries"/>
              <w:jc w:val="center"/>
            </w:pPr>
            <w:r w:rsidRPr="00E91188">
              <w:t>5</w:t>
            </w:r>
          </w:p>
        </w:tc>
        <w:tc>
          <w:tcPr>
            <w:tcW w:w="371" w:type="pct"/>
            <w:gridSpan w:val="2"/>
            <w:shd w:val="clear" w:color="auto" w:fill="72AF2F"/>
            <w:noWrap/>
          </w:tcPr>
          <w:p w:rsidR="007C1C4D" w:rsidRPr="00E91188" w:rsidRDefault="00D51E8C" w:rsidP="00C51ABA">
            <w:pPr>
              <w:pStyle w:val="TableTextEntries"/>
              <w:jc w:val="center"/>
            </w:pPr>
            <w:r w:rsidRPr="00E91188">
              <w:t>5</w:t>
            </w:r>
          </w:p>
        </w:tc>
        <w:tc>
          <w:tcPr>
            <w:tcW w:w="374" w:type="pct"/>
            <w:gridSpan w:val="2"/>
            <w:shd w:val="clear" w:color="auto" w:fill="72AF2F"/>
            <w:noWrap/>
          </w:tcPr>
          <w:p w:rsidR="007C1C4D" w:rsidRPr="00E91188" w:rsidRDefault="00D51E8C" w:rsidP="00C51ABA">
            <w:pPr>
              <w:pStyle w:val="TableTextEntries"/>
              <w:jc w:val="center"/>
            </w:pPr>
            <w:r w:rsidRPr="00E91188">
              <w:t>5</w:t>
            </w:r>
          </w:p>
        </w:tc>
        <w:tc>
          <w:tcPr>
            <w:tcW w:w="374" w:type="pct"/>
            <w:gridSpan w:val="2"/>
            <w:shd w:val="clear" w:color="auto" w:fill="72AF2F"/>
            <w:noWrap/>
          </w:tcPr>
          <w:p w:rsidR="007C1C4D" w:rsidRPr="00E91188" w:rsidRDefault="00D51E8C" w:rsidP="00C51ABA">
            <w:pPr>
              <w:pStyle w:val="TableTextEntries"/>
              <w:jc w:val="center"/>
            </w:pPr>
            <w:r w:rsidRPr="00E91188">
              <w:t>5</w:t>
            </w:r>
          </w:p>
        </w:tc>
        <w:tc>
          <w:tcPr>
            <w:tcW w:w="375" w:type="pct"/>
            <w:gridSpan w:val="2"/>
            <w:shd w:val="clear" w:color="auto" w:fill="72AF2F"/>
            <w:noWrap/>
          </w:tcPr>
          <w:p w:rsidR="007C1C4D" w:rsidRPr="00E91188" w:rsidRDefault="00D51E8C" w:rsidP="00C51ABA">
            <w:pPr>
              <w:pStyle w:val="TableTextEntries"/>
              <w:jc w:val="center"/>
            </w:pPr>
            <w:r w:rsidRPr="00E91188">
              <w:t>5</w:t>
            </w:r>
          </w:p>
        </w:tc>
        <w:tc>
          <w:tcPr>
            <w:tcW w:w="572" w:type="pct"/>
            <w:gridSpan w:val="2"/>
            <w:shd w:val="clear" w:color="auto" w:fill="72AF2F"/>
            <w:noWrap/>
          </w:tcPr>
          <w:p w:rsidR="007C1C4D" w:rsidRPr="00E91188" w:rsidRDefault="00D51E8C" w:rsidP="00C51ABA">
            <w:pPr>
              <w:pStyle w:val="TableTextEntries"/>
              <w:jc w:val="center"/>
            </w:pPr>
            <w:r w:rsidRPr="00E91188">
              <w:t>5</w:t>
            </w:r>
          </w:p>
        </w:tc>
        <w:tc>
          <w:tcPr>
            <w:tcW w:w="567" w:type="pct"/>
            <w:shd w:val="clear" w:color="auto" w:fill="72AF2F"/>
          </w:tcPr>
          <w:p w:rsidR="007C1C4D" w:rsidRPr="00E91188" w:rsidRDefault="00D51E8C" w:rsidP="00C51ABA">
            <w:pPr>
              <w:pStyle w:val="TableTextEntries"/>
              <w:jc w:val="center"/>
            </w:pPr>
            <w:r w:rsidRPr="00E91188">
              <w:t>5</w:t>
            </w:r>
          </w:p>
        </w:tc>
      </w:tr>
      <w:tr w:rsidR="00044677" w:rsidRPr="00E91188" w:rsidTr="004E5E1A">
        <w:trPr>
          <w:cnfStyle w:val="000000010000" w:firstRow="0" w:lastRow="0" w:firstColumn="0" w:lastColumn="0" w:oddVBand="0" w:evenVBand="0" w:oddHBand="0" w:evenHBand="1" w:firstRowFirstColumn="0" w:firstRowLastColumn="0" w:lastRowFirstColumn="0" w:lastRowLastColumn="0"/>
          <w:trHeight w:val="284"/>
        </w:trPr>
        <w:tc>
          <w:tcPr>
            <w:tcW w:w="796" w:type="pct"/>
            <w:gridSpan w:val="2"/>
            <w:vMerge/>
          </w:tcPr>
          <w:p w:rsidR="007C1C4D" w:rsidRPr="00E91188" w:rsidRDefault="007C1C4D" w:rsidP="00C51ABA">
            <w:pPr>
              <w:pStyle w:val="TableTextEntries"/>
            </w:pPr>
          </w:p>
        </w:tc>
        <w:tc>
          <w:tcPr>
            <w:tcW w:w="580" w:type="pct"/>
            <w:gridSpan w:val="2"/>
            <w:vMerge/>
          </w:tcPr>
          <w:p w:rsidR="007C1C4D" w:rsidRPr="00E91188" w:rsidRDefault="007C1C4D" w:rsidP="00C51ABA">
            <w:pPr>
              <w:pStyle w:val="TableTextEntries"/>
            </w:pPr>
          </w:p>
        </w:tc>
        <w:tc>
          <w:tcPr>
            <w:tcW w:w="373" w:type="pct"/>
            <w:gridSpan w:val="2"/>
          </w:tcPr>
          <w:p w:rsidR="007C1C4D" w:rsidRPr="00E91188" w:rsidRDefault="007C1C4D" w:rsidP="00C51ABA">
            <w:pPr>
              <w:pStyle w:val="TableTextEntries"/>
            </w:pPr>
            <w:r w:rsidRPr="00E91188">
              <w:t>2013 QAI</w:t>
            </w:r>
          </w:p>
        </w:tc>
        <w:tc>
          <w:tcPr>
            <w:tcW w:w="507" w:type="pct"/>
            <w:gridSpan w:val="2"/>
            <w:shd w:val="clear" w:color="auto" w:fill="72AF2F"/>
            <w:noWrap/>
          </w:tcPr>
          <w:p w:rsidR="007C1C4D" w:rsidRPr="00E91188" w:rsidRDefault="00F84C21" w:rsidP="00C51ABA">
            <w:pPr>
              <w:pStyle w:val="TableTextEntries"/>
              <w:jc w:val="center"/>
            </w:pPr>
            <w:r w:rsidRPr="00E91188">
              <w:t>5</w:t>
            </w:r>
          </w:p>
        </w:tc>
        <w:tc>
          <w:tcPr>
            <w:tcW w:w="371" w:type="pct"/>
            <w:gridSpan w:val="2"/>
            <w:shd w:val="clear" w:color="auto" w:fill="72AF2F"/>
            <w:noWrap/>
          </w:tcPr>
          <w:p w:rsidR="007C1C4D" w:rsidRPr="00E91188" w:rsidRDefault="00F84C21" w:rsidP="00C51ABA">
            <w:pPr>
              <w:pStyle w:val="TableTextEntries"/>
              <w:jc w:val="center"/>
            </w:pPr>
            <w:r w:rsidRPr="00E91188">
              <w:t>5</w:t>
            </w:r>
          </w:p>
        </w:tc>
        <w:tc>
          <w:tcPr>
            <w:tcW w:w="374" w:type="pct"/>
            <w:gridSpan w:val="2"/>
            <w:shd w:val="clear" w:color="auto" w:fill="72AF2F"/>
            <w:noWrap/>
          </w:tcPr>
          <w:p w:rsidR="007C1C4D" w:rsidRPr="00E91188" w:rsidRDefault="00F84C21" w:rsidP="00C51ABA">
            <w:pPr>
              <w:pStyle w:val="TableTextEntries"/>
              <w:jc w:val="center"/>
            </w:pPr>
            <w:r w:rsidRPr="00E91188">
              <w:t>5</w:t>
            </w:r>
          </w:p>
        </w:tc>
        <w:tc>
          <w:tcPr>
            <w:tcW w:w="374" w:type="pct"/>
            <w:gridSpan w:val="2"/>
            <w:shd w:val="clear" w:color="auto" w:fill="72AF2F"/>
            <w:noWrap/>
          </w:tcPr>
          <w:p w:rsidR="007C1C4D" w:rsidRPr="00E91188" w:rsidRDefault="00F84C21" w:rsidP="00C51ABA">
            <w:pPr>
              <w:pStyle w:val="TableTextEntries"/>
              <w:jc w:val="center"/>
            </w:pPr>
            <w:r w:rsidRPr="00E91188">
              <w:t>5</w:t>
            </w:r>
          </w:p>
        </w:tc>
        <w:tc>
          <w:tcPr>
            <w:tcW w:w="375" w:type="pct"/>
            <w:gridSpan w:val="2"/>
            <w:shd w:val="clear" w:color="auto" w:fill="72AF2F"/>
            <w:noWrap/>
          </w:tcPr>
          <w:p w:rsidR="007C1C4D" w:rsidRPr="00E91188" w:rsidRDefault="00F84C21" w:rsidP="00C51ABA">
            <w:pPr>
              <w:pStyle w:val="TableTextEntries"/>
              <w:jc w:val="center"/>
            </w:pPr>
            <w:r w:rsidRPr="00E91188">
              <w:t>5</w:t>
            </w:r>
          </w:p>
        </w:tc>
        <w:tc>
          <w:tcPr>
            <w:tcW w:w="572" w:type="pct"/>
            <w:gridSpan w:val="2"/>
            <w:shd w:val="clear" w:color="auto" w:fill="72AF2F"/>
            <w:noWrap/>
          </w:tcPr>
          <w:p w:rsidR="007C1C4D" w:rsidRPr="00E91188" w:rsidRDefault="00F84C21" w:rsidP="00C51ABA">
            <w:pPr>
              <w:pStyle w:val="TableTextEntries"/>
              <w:jc w:val="center"/>
            </w:pPr>
            <w:r w:rsidRPr="00E91188">
              <w:t>5</w:t>
            </w:r>
          </w:p>
        </w:tc>
        <w:tc>
          <w:tcPr>
            <w:tcW w:w="567" w:type="pct"/>
          </w:tcPr>
          <w:p w:rsidR="007C1C4D" w:rsidRPr="00E91188" w:rsidRDefault="007C1C4D" w:rsidP="00C51ABA">
            <w:pPr>
              <w:pStyle w:val="TableTextEntries"/>
              <w:jc w:val="center"/>
            </w:pPr>
            <w:r w:rsidRPr="00E91188">
              <w:t>n/a</w:t>
            </w:r>
          </w:p>
        </w:tc>
      </w:tr>
      <w:tr w:rsidR="004E5E1A" w:rsidRPr="00E91188" w:rsidTr="009C009B">
        <w:trPr>
          <w:cnfStyle w:val="000000010000" w:firstRow="0" w:lastRow="0" w:firstColumn="0" w:lastColumn="0" w:oddVBand="0" w:evenVBand="0" w:oddHBand="0" w:evenHBand="1" w:firstRowFirstColumn="0" w:firstRowLastColumn="0" w:lastRowFirstColumn="0" w:lastRowLastColumn="0"/>
          <w:trHeight w:val="1413"/>
        </w:trPr>
        <w:tc>
          <w:tcPr>
            <w:tcW w:w="802" w:type="pct"/>
          </w:tcPr>
          <w:p w:rsidR="004E5E1A" w:rsidRPr="00E91188" w:rsidRDefault="004E5E1A" w:rsidP="009C009B">
            <w:pPr>
              <w:pStyle w:val="TableTextColumnHeading"/>
            </w:pPr>
            <w:r w:rsidRPr="00E91188">
              <w:rPr>
                <w:noProof/>
                <w:lang w:eastAsia="en-AU"/>
              </w:rPr>
              <w:lastRenderedPageBreak/>
              <w:drawing>
                <wp:anchor distT="0" distB="0" distL="114300" distR="114300" simplePos="0" relativeHeight="251675648" behindDoc="0" locked="0" layoutInCell="1" allowOverlap="1" wp14:anchorId="4F2907E8" wp14:editId="74211EA1">
                  <wp:simplePos x="0" y="0"/>
                  <wp:positionH relativeFrom="column">
                    <wp:posOffset>0</wp:posOffset>
                  </wp:positionH>
                  <wp:positionV relativeFrom="paragraph">
                    <wp:posOffset>0</wp:posOffset>
                  </wp:positionV>
                  <wp:extent cx="1857375" cy="228600"/>
                  <wp:effectExtent l="0" t="0" r="9525" b="0"/>
                  <wp:wrapNone/>
                  <wp:docPr id="10" name="Picture 1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188">
              <w:t>Investment name</w:t>
            </w:r>
          </w:p>
        </w:tc>
        <w:tc>
          <w:tcPr>
            <w:tcW w:w="589" w:type="pct"/>
            <w:gridSpan w:val="2"/>
            <w:textDirection w:val="btLr"/>
          </w:tcPr>
          <w:p w:rsidR="004E5E1A" w:rsidRPr="00E91188" w:rsidRDefault="004E5E1A" w:rsidP="009C009B">
            <w:pPr>
              <w:pStyle w:val="TableTextColumnHeading"/>
            </w:pPr>
            <w:r w:rsidRPr="00E91188">
              <w:t>Approved budget and duration</w:t>
            </w:r>
          </w:p>
        </w:tc>
        <w:tc>
          <w:tcPr>
            <w:tcW w:w="374" w:type="pct"/>
            <w:gridSpan w:val="2"/>
            <w:textDirection w:val="btLr"/>
          </w:tcPr>
          <w:p w:rsidR="004E5E1A" w:rsidRPr="00E91188" w:rsidRDefault="004E5E1A" w:rsidP="009C009B">
            <w:pPr>
              <w:pStyle w:val="TableTextColumnHeading"/>
            </w:pPr>
            <w:r w:rsidRPr="00E91188">
              <w:t>AQC/QAI year</w:t>
            </w:r>
          </w:p>
        </w:tc>
        <w:tc>
          <w:tcPr>
            <w:tcW w:w="513" w:type="pct"/>
            <w:gridSpan w:val="2"/>
            <w:textDirection w:val="btLr"/>
          </w:tcPr>
          <w:p w:rsidR="004E5E1A" w:rsidRPr="00E91188" w:rsidRDefault="004E5E1A" w:rsidP="009C009B">
            <w:pPr>
              <w:pStyle w:val="TableTextColumnHeading"/>
            </w:pPr>
            <w:r w:rsidRPr="00E91188">
              <w:t>Relevance</w:t>
            </w:r>
          </w:p>
        </w:tc>
        <w:tc>
          <w:tcPr>
            <w:tcW w:w="372" w:type="pct"/>
            <w:gridSpan w:val="2"/>
            <w:textDirection w:val="btLr"/>
          </w:tcPr>
          <w:p w:rsidR="004E5E1A" w:rsidRPr="00E91188" w:rsidRDefault="004E5E1A" w:rsidP="009C009B">
            <w:pPr>
              <w:pStyle w:val="TableTextColumnHeading"/>
            </w:pPr>
            <w:r w:rsidRPr="00E91188">
              <w:t>Effectiveness</w:t>
            </w:r>
          </w:p>
        </w:tc>
        <w:tc>
          <w:tcPr>
            <w:tcW w:w="375" w:type="pct"/>
            <w:gridSpan w:val="2"/>
            <w:textDirection w:val="btLr"/>
          </w:tcPr>
          <w:p w:rsidR="004E5E1A" w:rsidRPr="00E91188" w:rsidRDefault="004E5E1A" w:rsidP="009C009B">
            <w:pPr>
              <w:pStyle w:val="TableTextColumnHeading"/>
            </w:pPr>
            <w:r w:rsidRPr="00E91188">
              <w:t>Efficiency</w:t>
            </w:r>
          </w:p>
        </w:tc>
        <w:tc>
          <w:tcPr>
            <w:tcW w:w="375" w:type="pct"/>
            <w:gridSpan w:val="2"/>
            <w:textDirection w:val="btLr"/>
          </w:tcPr>
          <w:p w:rsidR="004E5E1A" w:rsidRPr="00E91188" w:rsidRDefault="004E5E1A" w:rsidP="009C009B">
            <w:pPr>
              <w:pStyle w:val="TableTextColumnHeading"/>
            </w:pPr>
            <w:r w:rsidRPr="00E91188">
              <w:t>Monitoring and Evaluation</w:t>
            </w:r>
          </w:p>
        </w:tc>
        <w:tc>
          <w:tcPr>
            <w:tcW w:w="376" w:type="pct"/>
            <w:gridSpan w:val="2"/>
            <w:textDirection w:val="btLr"/>
          </w:tcPr>
          <w:p w:rsidR="004E5E1A" w:rsidRPr="00E91188" w:rsidRDefault="004E5E1A" w:rsidP="009C009B">
            <w:pPr>
              <w:pStyle w:val="TableTextColumnHeading"/>
            </w:pPr>
            <w:r w:rsidRPr="00E91188">
              <w:t>Sustainability</w:t>
            </w:r>
          </w:p>
        </w:tc>
        <w:tc>
          <w:tcPr>
            <w:tcW w:w="579" w:type="pct"/>
            <w:gridSpan w:val="2"/>
            <w:textDirection w:val="btLr"/>
          </w:tcPr>
          <w:p w:rsidR="004E5E1A" w:rsidRPr="00E91188" w:rsidRDefault="004E5E1A" w:rsidP="009C009B">
            <w:pPr>
              <w:pStyle w:val="TableTextColumnHeading"/>
            </w:pPr>
            <w:r w:rsidRPr="00E91188">
              <w:t>Gender equality</w:t>
            </w:r>
          </w:p>
        </w:tc>
        <w:tc>
          <w:tcPr>
            <w:tcW w:w="535" w:type="pct"/>
            <w:gridSpan w:val="2"/>
            <w:textDirection w:val="btLr"/>
          </w:tcPr>
          <w:p w:rsidR="004E5E1A" w:rsidRPr="00E91188" w:rsidRDefault="004E5E1A" w:rsidP="009C009B">
            <w:pPr>
              <w:pStyle w:val="TableTextColumnHeading"/>
            </w:pPr>
            <w:r w:rsidRPr="00E91188">
              <w:t>Risks  and Safeguards</w:t>
            </w:r>
          </w:p>
        </w:tc>
      </w:tr>
      <w:tr w:rsidR="00044677" w:rsidRPr="00E91188" w:rsidTr="004E5E1A">
        <w:trPr>
          <w:cnfStyle w:val="000000010000" w:firstRow="0" w:lastRow="0" w:firstColumn="0" w:lastColumn="0" w:oddVBand="0" w:evenVBand="0" w:oddHBand="0" w:evenHBand="1" w:firstRowFirstColumn="0" w:firstRowLastColumn="0" w:lastRowFirstColumn="0" w:lastRowLastColumn="0"/>
          <w:trHeight w:val="284"/>
        </w:trPr>
        <w:tc>
          <w:tcPr>
            <w:tcW w:w="796" w:type="pct"/>
            <w:gridSpan w:val="2"/>
            <w:vMerge w:val="restart"/>
          </w:tcPr>
          <w:p w:rsidR="007C1C4D" w:rsidRPr="00E91188" w:rsidRDefault="00C51ABA" w:rsidP="00C51ABA">
            <w:pPr>
              <w:pStyle w:val="TableTextEntries"/>
            </w:pPr>
            <w:r w:rsidRPr="00E91188">
              <w:t>Regional Connectivity</w:t>
            </w:r>
            <w:r w:rsidR="00D51E8C" w:rsidRPr="00E91188">
              <w:t xml:space="preserve"> and Integration: Trade Facilitation and Infrastructure</w:t>
            </w:r>
          </w:p>
        </w:tc>
        <w:tc>
          <w:tcPr>
            <w:tcW w:w="580" w:type="pct"/>
            <w:gridSpan w:val="2"/>
            <w:vMerge w:val="restart"/>
          </w:tcPr>
          <w:p w:rsidR="007C1C4D" w:rsidRPr="00E91188" w:rsidRDefault="00C51ABA" w:rsidP="00C51ABA">
            <w:pPr>
              <w:pStyle w:val="TableTextEntries"/>
            </w:pPr>
            <w:r w:rsidRPr="00E91188">
              <w:t>$22.5 million (2012/13-2016/17)</w:t>
            </w:r>
          </w:p>
        </w:tc>
        <w:tc>
          <w:tcPr>
            <w:tcW w:w="373" w:type="pct"/>
            <w:gridSpan w:val="2"/>
          </w:tcPr>
          <w:p w:rsidR="007C1C4D" w:rsidRPr="00E91188" w:rsidRDefault="007C1C4D" w:rsidP="00C51ABA">
            <w:pPr>
              <w:pStyle w:val="TableTextEntries"/>
            </w:pPr>
            <w:r w:rsidRPr="00E91188">
              <w:t>2014 AQC</w:t>
            </w:r>
          </w:p>
        </w:tc>
        <w:tc>
          <w:tcPr>
            <w:tcW w:w="507" w:type="pct"/>
            <w:gridSpan w:val="2"/>
            <w:shd w:val="clear" w:color="auto" w:fill="72AF2F"/>
            <w:noWrap/>
          </w:tcPr>
          <w:p w:rsidR="007C1C4D" w:rsidRPr="00E91188" w:rsidRDefault="00E23405" w:rsidP="00C51ABA">
            <w:pPr>
              <w:pStyle w:val="TableTextEntries"/>
              <w:jc w:val="center"/>
            </w:pPr>
            <w:r w:rsidRPr="00E91188">
              <w:t>5</w:t>
            </w:r>
          </w:p>
        </w:tc>
        <w:tc>
          <w:tcPr>
            <w:tcW w:w="371" w:type="pct"/>
            <w:gridSpan w:val="2"/>
            <w:shd w:val="clear" w:color="auto" w:fill="FFFF00"/>
            <w:noWrap/>
          </w:tcPr>
          <w:p w:rsidR="007C1C4D" w:rsidRPr="00E91188" w:rsidRDefault="00E23405" w:rsidP="00C51ABA">
            <w:pPr>
              <w:pStyle w:val="TableTextEntries"/>
              <w:jc w:val="center"/>
            </w:pPr>
            <w:r w:rsidRPr="00E91188">
              <w:t>4</w:t>
            </w:r>
          </w:p>
        </w:tc>
        <w:tc>
          <w:tcPr>
            <w:tcW w:w="374" w:type="pct"/>
            <w:gridSpan w:val="2"/>
            <w:shd w:val="clear" w:color="auto" w:fill="F79646"/>
            <w:noWrap/>
          </w:tcPr>
          <w:p w:rsidR="007C1C4D" w:rsidRPr="00E91188" w:rsidRDefault="001E75EC" w:rsidP="00C51ABA">
            <w:pPr>
              <w:pStyle w:val="TableTextEntries"/>
              <w:jc w:val="center"/>
            </w:pPr>
            <w:r w:rsidRPr="00E91188">
              <w:t>3</w:t>
            </w:r>
          </w:p>
        </w:tc>
        <w:tc>
          <w:tcPr>
            <w:tcW w:w="374" w:type="pct"/>
            <w:gridSpan w:val="2"/>
            <w:shd w:val="clear" w:color="auto" w:fill="F79646"/>
            <w:noWrap/>
          </w:tcPr>
          <w:p w:rsidR="007C1C4D" w:rsidRPr="00E91188" w:rsidRDefault="001E75EC" w:rsidP="00C51ABA">
            <w:pPr>
              <w:pStyle w:val="TableTextEntries"/>
              <w:jc w:val="center"/>
            </w:pPr>
            <w:r w:rsidRPr="00E91188">
              <w:t>3</w:t>
            </w:r>
          </w:p>
        </w:tc>
        <w:tc>
          <w:tcPr>
            <w:tcW w:w="375" w:type="pct"/>
            <w:gridSpan w:val="2"/>
            <w:shd w:val="clear" w:color="auto" w:fill="FFFF00"/>
            <w:noWrap/>
          </w:tcPr>
          <w:p w:rsidR="007C1C4D" w:rsidRPr="00E91188" w:rsidRDefault="001E75EC" w:rsidP="00C51ABA">
            <w:pPr>
              <w:pStyle w:val="TableTextEntries"/>
              <w:jc w:val="center"/>
            </w:pPr>
            <w:r w:rsidRPr="00E91188">
              <w:t>4</w:t>
            </w:r>
          </w:p>
        </w:tc>
        <w:tc>
          <w:tcPr>
            <w:tcW w:w="572" w:type="pct"/>
            <w:gridSpan w:val="2"/>
            <w:shd w:val="clear" w:color="auto" w:fill="FFFF00"/>
            <w:noWrap/>
          </w:tcPr>
          <w:p w:rsidR="007C1C4D" w:rsidRPr="00E91188" w:rsidRDefault="00E23405" w:rsidP="00C51ABA">
            <w:pPr>
              <w:pStyle w:val="TableTextEntries"/>
              <w:jc w:val="center"/>
            </w:pPr>
            <w:r w:rsidRPr="00E91188">
              <w:t>4</w:t>
            </w:r>
          </w:p>
        </w:tc>
        <w:tc>
          <w:tcPr>
            <w:tcW w:w="567" w:type="pct"/>
            <w:shd w:val="clear" w:color="auto" w:fill="FFFF00"/>
          </w:tcPr>
          <w:p w:rsidR="007C1C4D" w:rsidRPr="00E91188" w:rsidRDefault="00E23405" w:rsidP="00C51ABA">
            <w:pPr>
              <w:pStyle w:val="TableTextEntries"/>
              <w:jc w:val="center"/>
            </w:pPr>
            <w:r w:rsidRPr="00E91188">
              <w:t>4</w:t>
            </w:r>
          </w:p>
        </w:tc>
      </w:tr>
      <w:tr w:rsidR="00044677" w:rsidRPr="00E91188" w:rsidTr="004E5E1A">
        <w:trPr>
          <w:cnfStyle w:val="000000010000" w:firstRow="0" w:lastRow="0" w:firstColumn="0" w:lastColumn="0" w:oddVBand="0" w:evenVBand="0" w:oddHBand="0" w:evenHBand="1" w:firstRowFirstColumn="0" w:firstRowLastColumn="0" w:lastRowFirstColumn="0" w:lastRowLastColumn="0"/>
          <w:trHeight w:val="284"/>
        </w:trPr>
        <w:tc>
          <w:tcPr>
            <w:tcW w:w="796" w:type="pct"/>
            <w:gridSpan w:val="2"/>
            <w:vMerge/>
          </w:tcPr>
          <w:p w:rsidR="007C1C4D" w:rsidRPr="00E91188" w:rsidRDefault="007C1C4D" w:rsidP="00C51ABA">
            <w:pPr>
              <w:pStyle w:val="TableTextEntries"/>
            </w:pPr>
          </w:p>
        </w:tc>
        <w:tc>
          <w:tcPr>
            <w:tcW w:w="580" w:type="pct"/>
            <w:gridSpan w:val="2"/>
            <w:vMerge/>
          </w:tcPr>
          <w:p w:rsidR="007C1C4D" w:rsidRPr="00E91188" w:rsidRDefault="007C1C4D" w:rsidP="00C51ABA">
            <w:pPr>
              <w:pStyle w:val="TableTextEntries"/>
            </w:pPr>
          </w:p>
        </w:tc>
        <w:tc>
          <w:tcPr>
            <w:tcW w:w="373" w:type="pct"/>
            <w:gridSpan w:val="2"/>
          </w:tcPr>
          <w:p w:rsidR="007C1C4D" w:rsidRPr="00E91188" w:rsidRDefault="007C1C4D" w:rsidP="00C51ABA">
            <w:pPr>
              <w:pStyle w:val="TableTextEntries"/>
            </w:pPr>
            <w:r w:rsidRPr="00E91188">
              <w:t>2013 QAI</w:t>
            </w:r>
          </w:p>
        </w:tc>
        <w:tc>
          <w:tcPr>
            <w:tcW w:w="507" w:type="pct"/>
            <w:gridSpan w:val="2"/>
            <w:shd w:val="clear" w:color="auto" w:fill="72AF2F"/>
            <w:noWrap/>
          </w:tcPr>
          <w:p w:rsidR="007C1C4D" w:rsidRPr="00E91188" w:rsidRDefault="00F84C21" w:rsidP="00C51ABA">
            <w:pPr>
              <w:pStyle w:val="TableTextEntries"/>
              <w:jc w:val="center"/>
            </w:pPr>
            <w:r w:rsidRPr="00E91188">
              <w:t>5</w:t>
            </w:r>
          </w:p>
        </w:tc>
        <w:tc>
          <w:tcPr>
            <w:tcW w:w="371" w:type="pct"/>
            <w:gridSpan w:val="2"/>
            <w:shd w:val="clear" w:color="auto" w:fill="FFFF00"/>
            <w:noWrap/>
          </w:tcPr>
          <w:p w:rsidR="007C1C4D" w:rsidRPr="00E91188" w:rsidRDefault="00F84C21" w:rsidP="00C51ABA">
            <w:pPr>
              <w:pStyle w:val="TableTextEntries"/>
              <w:jc w:val="center"/>
            </w:pPr>
            <w:r w:rsidRPr="00E91188">
              <w:t>4</w:t>
            </w:r>
          </w:p>
        </w:tc>
        <w:tc>
          <w:tcPr>
            <w:tcW w:w="374" w:type="pct"/>
            <w:gridSpan w:val="2"/>
            <w:shd w:val="clear" w:color="auto" w:fill="F79646"/>
            <w:noWrap/>
          </w:tcPr>
          <w:p w:rsidR="007C1C4D" w:rsidRPr="00E91188" w:rsidRDefault="00F84C21" w:rsidP="00C51ABA">
            <w:pPr>
              <w:pStyle w:val="TableTextEntries"/>
              <w:jc w:val="center"/>
            </w:pPr>
            <w:r w:rsidRPr="00E91188">
              <w:t>3</w:t>
            </w:r>
          </w:p>
        </w:tc>
        <w:tc>
          <w:tcPr>
            <w:tcW w:w="374" w:type="pct"/>
            <w:gridSpan w:val="2"/>
            <w:shd w:val="clear" w:color="auto" w:fill="F79646"/>
            <w:noWrap/>
          </w:tcPr>
          <w:p w:rsidR="007C1C4D" w:rsidRPr="00E91188" w:rsidRDefault="00F84C21" w:rsidP="00C51ABA">
            <w:pPr>
              <w:pStyle w:val="TableTextEntries"/>
              <w:jc w:val="center"/>
            </w:pPr>
            <w:r w:rsidRPr="00E91188">
              <w:t>3</w:t>
            </w:r>
          </w:p>
        </w:tc>
        <w:tc>
          <w:tcPr>
            <w:tcW w:w="375" w:type="pct"/>
            <w:gridSpan w:val="2"/>
            <w:shd w:val="clear" w:color="auto" w:fill="FFFF00"/>
            <w:noWrap/>
          </w:tcPr>
          <w:p w:rsidR="007C1C4D" w:rsidRPr="00E91188" w:rsidRDefault="00F84C21" w:rsidP="00C51ABA">
            <w:pPr>
              <w:pStyle w:val="TableTextEntries"/>
              <w:jc w:val="center"/>
            </w:pPr>
            <w:r w:rsidRPr="00E91188">
              <w:t>4</w:t>
            </w:r>
          </w:p>
        </w:tc>
        <w:tc>
          <w:tcPr>
            <w:tcW w:w="572" w:type="pct"/>
            <w:gridSpan w:val="2"/>
            <w:shd w:val="clear" w:color="auto" w:fill="F79646"/>
            <w:noWrap/>
          </w:tcPr>
          <w:p w:rsidR="007C1C4D" w:rsidRPr="00E91188" w:rsidRDefault="00F84C21" w:rsidP="00C51ABA">
            <w:pPr>
              <w:pStyle w:val="TableTextEntries"/>
              <w:jc w:val="center"/>
            </w:pPr>
            <w:r w:rsidRPr="00E91188">
              <w:t>3</w:t>
            </w:r>
          </w:p>
        </w:tc>
        <w:tc>
          <w:tcPr>
            <w:tcW w:w="567" w:type="pct"/>
          </w:tcPr>
          <w:p w:rsidR="007C1C4D" w:rsidRPr="00E91188" w:rsidRDefault="007C1C4D" w:rsidP="00C51ABA">
            <w:pPr>
              <w:pStyle w:val="TableTextEntries"/>
              <w:jc w:val="center"/>
            </w:pPr>
            <w:r w:rsidRPr="00E91188">
              <w:t>n/a</w:t>
            </w:r>
          </w:p>
        </w:tc>
      </w:tr>
    </w:tbl>
    <w:p w:rsidR="00416B02" w:rsidRPr="00E91188" w:rsidRDefault="00416B02" w:rsidP="00416B02">
      <w:pPr>
        <w:rPr>
          <w:iCs/>
        </w:rPr>
      </w:pPr>
    </w:p>
    <w:p w:rsidR="00416B02" w:rsidRPr="00E91188" w:rsidRDefault="00416B02" w:rsidP="00416B02">
      <w:pPr>
        <w:pStyle w:val="Heading3"/>
      </w:pPr>
      <w:r w:rsidRPr="00E91188">
        <w:t>FAQC ratings</w:t>
      </w:r>
    </w:p>
    <w:p w:rsidR="00416B02" w:rsidRPr="00E91188" w:rsidRDefault="00416B02" w:rsidP="00416B02">
      <w:pPr>
        <w:pStyle w:val="BodyText"/>
      </w:pPr>
      <w:r w:rsidRPr="00E91188">
        <w:t>FAQC scores assess performance over the lifetime of the investment and should not be compared to the previous year’s QAI ratings.</w:t>
      </w:r>
    </w:p>
    <w:tbl>
      <w:tblPr>
        <w:tblStyle w:val="APPR"/>
        <w:tblW w:w="5000" w:type="pct"/>
        <w:tblLook w:val="0000" w:firstRow="0" w:lastRow="0" w:firstColumn="0" w:lastColumn="0" w:noHBand="0" w:noVBand="0"/>
      </w:tblPr>
      <w:tblGrid>
        <w:gridCol w:w="2564"/>
        <w:gridCol w:w="1863"/>
        <w:gridCol w:w="1190"/>
        <w:gridCol w:w="1187"/>
        <w:gridCol w:w="1190"/>
        <w:gridCol w:w="1187"/>
        <w:gridCol w:w="1190"/>
        <w:gridCol w:w="1187"/>
        <w:gridCol w:w="1189"/>
        <w:gridCol w:w="1190"/>
      </w:tblGrid>
      <w:tr w:rsidR="004A7988" w:rsidRPr="00E91188" w:rsidTr="00044677">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4A7988" w:rsidRPr="00E91188" w:rsidRDefault="004A7988" w:rsidP="00E15678">
            <w:pPr>
              <w:pStyle w:val="TableTextColumnHeading"/>
            </w:pPr>
            <w:r w:rsidRPr="00E91188">
              <w:rPr>
                <w:noProof/>
                <w:lang w:eastAsia="en-AU"/>
              </w:rPr>
              <w:drawing>
                <wp:anchor distT="0" distB="0" distL="114300" distR="114300" simplePos="0" relativeHeight="251673600" behindDoc="0" locked="0" layoutInCell="1" allowOverlap="1" wp14:anchorId="48B98D34" wp14:editId="116AE826">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188">
              <w:t>Investment name</w:t>
            </w:r>
          </w:p>
        </w:tc>
        <w:tc>
          <w:tcPr>
            <w:tcW w:w="658" w:type="pct"/>
            <w:textDirection w:val="btLr"/>
          </w:tcPr>
          <w:p w:rsidR="004A7988" w:rsidRPr="00E91188" w:rsidRDefault="004A7988" w:rsidP="00E15678">
            <w:pPr>
              <w:pStyle w:val="TableTextColumnHeading"/>
            </w:pPr>
            <w:r w:rsidRPr="00E91188">
              <w:t>Approved budget and duration</w:t>
            </w:r>
          </w:p>
        </w:tc>
        <w:tc>
          <w:tcPr>
            <w:tcW w:w="417" w:type="pct"/>
            <w:noWrap/>
            <w:textDirection w:val="btLr"/>
          </w:tcPr>
          <w:p w:rsidR="004A7988" w:rsidRPr="00E91188" w:rsidRDefault="004A7988" w:rsidP="00E15678">
            <w:pPr>
              <w:pStyle w:val="TableTextColumnHeading"/>
            </w:pPr>
            <w:r w:rsidRPr="00E91188">
              <w:t>Overall rating</w:t>
            </w:r>
          </w:p>
        </w:tc>
        <w:tc>
          <w:tcPr>
            <w:tcW w:w="416" w:type="pct"/>
            <w:noWrap/>
            <w:textDirection w:val="btLr"/>
          </w:tcPr>
          <w:p w:rsidR="004A7988" w:rsidRPr="00E91188" w:rsidRDefault="004A7988" w:rsidP="00E15678">
            <w:pPr>
              <w:pStyle w:val="TableTextColumnHeading"/>
            </w:pPr>
            <w:r w:rsidRPr="00E91188">
              <w:t>Relevance</w:t>
            </w:r>
          </w:p>
        </w:tc>
        <w:tc>
          <w:tcPr>
            <w:tcW w:w="417" w:type="pct"/>
            <w:noWrap/>
            <w:textDirection w:val="btLr"/>
          </w:tcPr>
          <w:p w:rsidR="004A7988" w:rsidRPr="00E91188" w:rsidRDefault="004A7988" w:rsidP="00E15678">
            <w:pPr>
              <w:pStyle w:val="TableTextColumnHeading"/>
            </w:pPr>
            <w:r w:rsidRPr="00E91188">
              <w:t>Effectiveness</w:t>
            </w:r>
          </w:p>
        </w:tc>
        <w:tc>
          <w:tcPr>
            <w:tcW w:w="416" w:type="pct"/>
            <w:noWrap/>
            <w:textDirection w:val="btLr"/>
          </w:tcPr>
          <w:p w:rsidR="004A7988" w:rsidRPr="00E91188" w:rsidRDefault="004A7988" w:rsidP="00E15678">
            <w:pPr>
              <w:pStyle w:val="TableTextColumnHeading"/>
            </w:pPr>
            <w:r w:rsidRPr="00E91188">
              <w:t>Efficiency</w:t>
            </w:r>
          </w:p>
        </w:tc>
        <w:tc>
          <w:tcPr>
            <w:tcW w:w="417" w:type="pct"/>
            <w:noWrap/>
            <w:textDirection w:val="btLr"/>
          </w:tcPr>
          <w:p w:rsidR="004A7988" w:rsidRPr="00E91188" w:rsidRDefault="004A7988" w:rsidP="00E15678">
            <w:pPr>
              <w:pStyle w:val="TableTextColumnHeading"/>
            </w:pPr>
            <w:r w:rsidRPr="00E91188">
              <w:t>Monitoring and Evaluation</w:t>
            </w:r>
          </w:p>
        </w:tc>
        <w:tc>
          <w:tcPr>
            <w:tcW w:w="416" w:type="pct"/>
            <w:noWrap/>
            <w:textDirection w:val="btLr"/>
          </w:tcPr>
          <w:p w:rsidR="004A7988" w:rsidRPr="00E91188" w:rsidRDefault="004A7988" w:rsidP="00E15678">
            <w:pPr>
              <w:pStyle w:val="TableTextColumnHeading"/>
            </w:pPr>
            <w:r w:rsidRPr="00E91188">
              <w:t>Sustainability</w:t>
            </w:r>
          </w:p>
        </w:tc>
        <w:tc>
          <w:tcPr>
            <w:tcW w:w="417" w:type="pct"/>
            <w:textDirection w:val="btLr"/>
          </w:tcPr>
          <w:p w:rsidR="004A7988" w:rsidRPr="00E91188" w:rsidRDefault="004A7988" w:rsidP="00E15678">
            <w:pPr>
              <w:pStyle w:val="TableTextColumnHeading"/>
            </w:pPr>
            <w:r w:rsidRPr="00E91188">
              <w:t>Gender equality</w:t>
            </w:r>
          </w:p>
        </w:tc>
        <w:tc>
          <w:tcPr>
            <w:tcW w:w="412" w:type="pct"/>
            <w:textDirection w:val="btLr"/>
          </w:tcPr>
          <w:p w:rsidR="004A7988" w:rsidRPr="00E91188" w:rsidRDefault="004A7988" w:rsidP="00E15678">
            <w:pPr>
              <w:pStyle w:val="TableTextColumnHeading"/>
            </w:pPr>
            <w:r w:rsidRPr="00E91188">
              <w:t>Risks  and Safeguards</w:t>
            </w:r>
          </w:p>
        </w:tc>
      </w:tr>
      <w:tr w:rsidR="00044677" w:rsidRPr="00E91188" w:rsidTr="002E7158">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044677" w:rsidRPr="00E91188" w:rsidRDefault="00044677" w:rsidP="004E5E1A">
            <w:pPr>
              <w:pStyle w:val="TableTextEntries"/>
            </w:pPr>
            <w:r w:rsidRPr="00E91188">
              <w:t>Australia-</w:t>
            </w:r>
            <w:r w:rsidR="004E5E1A">
              <w:t>ADB</w:t>
            </w:r>
            <w:r w:rsidRPr="00E91188">
              <w:t xml:space="preserve"> South Asia Development Partnership Facility</w:t>
            </w:r>
          </w:p>
        </w:tc>
        <w:tc>
          <w:tcPr>
            <w:tcW w:w="658" w:type="pct"/>
          </w:tcPr>
          <w:p w:rsidR="00044677" w:rsidRPr="00E91188" w:rsidRDefault="00044677" w:rsidP="00E15678">
            <w:pPr>
              <w:pStyle w:val="TableTextEntries"/>
            </w:pPr>
            <w:r w:rsidRPr="00E91188">
              <w:t>$14 million (2005/06-2013-14)</w:t>
            </w:r>
          </w:p>
        </w:tc>
        <w:tc>
          <w:tcPr>
            <w:tcW w:w="417" w:type="pct"/>
            <w:shd w:val="clear" w:color="auto" w:fill="FFFF00"/>
            <w:noWrap/>
          </w:tcPr>
          <w:p w:rsidR="00044677" w:rsidRPr="00E91188" w:rsidRDefault="00044677" w:rsidP="00E15678">
            <w:pPr>
              <w:pStyle w:val="TableTextEntries"/>
              <w:jc w:val="center"/>
            </w:pPr>
            <w:r w:rsidRPr="00E91188">
              <w:t>4</w:t>
            </w:r>
          </w:p>
        </w:tc>
        <w:tc>
          <w:tcPr>
            <w:tcW w:w="416" w:type="pct"/>
            <w:shd w:val="clear" w:color="auto" w:fill="72AF2F"/>
            <w:noWrap/>
          </w:tcPr>
          <w:p w:rsidR="00044677" w:rsidRPr="00E91188" w:rsidRDefault="00044677" w:rsidP="00310A5F">
            <w:pPr>
              <w:pStyle w:val="TableTextEntries"/>
              <w:jc w:val="center"/>
            </w:pPr>
            <w:r w:rsidRPr="00E91188">
              <w:t>5</w:t>
            </w:r>
          </w:p>
        </w:tc>
        <w:tc>
          <w:tcPr>
            <w:tcW w:w="417" w:type="pct"/>
            <w:shd w:val="clear" w:color="auto" w:fill="FFFF00"/>
            <w:noWrap/>
          </w:tcPr>
          <w:p w:rsidR="00044677" w:rsidRPr="00E91188" w:rsidRDefault="00044677" w:rsidP="00310A5F">
            <w:pPr>
              <w:pStyle w:val="TableTextEntries"/>
              <w:jc w:val="center"/>
            </w:pPr>
            <w:r w:rsidRPr="00E91188">
              <w:t>4</w:t>
            </w:r>
          </w:p>
        </w:tc>
        <w:tc>
          <w:tcPr>
            <w:tcW w:w="416" w:type="pct"/>
            <w:shd w:val="clear" w:color="auto" w:fill="FFFF00"/>
            <w:noWrap/>
          </w:tcPr>
          <w:p w:rsidR="00044677" w:rsidRPr="00E91188" w:rsidRDefault="00044677" w:rsidP="00310A5F">
            <w:pPr>
              <w:pStyle w:val="TableTextEntries"/>
              <w:jc w:val="center"/>
            </w:pPr>
            <w:r w:rsidRPr="00E91188">
              <w:t>4</w:t>
            </w:r>
          </w:p>
        </w:tc>
        <w:tc>
          <w:tcPr>
            <w:tcW w:w="417" w:type="pct"/>
            <w:shd w:val="clear" w:color="auto" w:fill="F79646"/>
            <w:noWrap/>
          </w:tcPr>
          <w:p w:rsidR="00044677" w:rsidRPr="00E91188" w:rsidRDefault="00044677" w:rsidP="00310A5F">
            <w:pPr>
              <w:pStyle w:val="TableTextEntries"/>
              <w:jc w:val="center"/>
            </w:pPr>
            <w:r w:rsidRPr="00E91188">
              <w:t>3</w:t>
            </w:r>
          </w:p>
        </w:tc>
        <w:tc>
          <w:tcPr>
            <w:tcW w:w="416" w:type="pct"/>
            <w:shd w:val="clear" w:color="auto" w:fill="F79646"/>
            <w:noWrap/>
          </w:tcPr>
          <w:p w:rsidR="00044677" w:rsidRPr="00E91188" w:rsidRDefault="001E75EC" w:rsidP="00310A5F">
            <w:pPr>
              <w:pStyle w:val="TableTextEntries"/>
              <w:jc w:val="center"/>
            </w:pPr>
            <w:r w:rsidRPr="00E91188">
              <w:t>3</w:t>
            </w:r>
          </w:p>
        </w:tc>
        <w:tc>
          <w:tcPr>
            <w:tcW w:w="417" w:type="pct"/>
            <w:shd w:val="clear" w:color="auto" w:fill="FFFF00"/>
          </w:tcPr>
          <w:p w:rsidR="00044677" w:rsidRPr="00E91188" w:rsidRDefault="00044677" w:rsidP="00310A5F">
            <w:pPr>
              <w:pStyle w:val="TableTextEntries"/>
              <w:jc w:val="center"/>
            </w:pPr>
            <w:r w:rsidRPr="00E91188">
              <w:t>4</w:t>
            </w:r>
          </w:p>
        </w:tc>
        <w:tc>
          <w:tcPr>
            <w:tcW w:w="412" w:type="pct"/>
            <w:shd w:val="clear" w:color="auto" w:fill="auto"/>
          </w:tcPr>
          <w:p w:rsidR="00044677" w:rsidRPr="00E91188" w:rsidRDefault="002E7158" w:rsidP="00310A5F">
            <w:pPr>
              <w:pStyle w:val="TableTextEntries"/>
              <w:jc w:val="center"/>
            </w:pPr>
            <w:r>
              <w:t>N/A</w:t>
            </w:r>
          </w:p>
        </w:tc>
      </w:tr>
    </w:tbl>
    <w:p w:rsidR="0057490F" w:rsidRPr="00E91188" w:rsidRDefault="0057490F" w:rsidP="00582C22">
      <w:pPr>
        <w:pStyle w:val="Note"/>
      </w:pPr>
    </w:p>
    <w:p w:rsidR="00416B02" w:rsidRPr="00E91188" w:rsidRDefault="00416B02" w:rsidP="00582C22">
      <w:pPr>
        <w:pStyle w:val="Note"/>
      </w:pPr>
      <w:r w:rsidRPr="00E91188">
        <w:t>Definitions of rating scale:</w:t>
      </w:r>
      <w:r w:rsidRPr="00E91188">
        <w:tab/>
      </w:r>
    </w:p>
    <w:p w:rsidR="00416B02" w:rsidRPr="00E91188" w:rsidRDefault="00416B02" w:rsidP="00582C22">
      <w:pPr>
        <w:pStyle w:val="Note"/>
      </w:pPr>
      <w:r w:rsidRPr="00E91188">
        <w:t>Satisfactory (4, 5 and 6)</w:t>
      </w:r>
    </w:p>
    <w:p w:rsidR="00416B02" w:rsidRPr="00E91188" w:rsidRDefault="00416B02" w:rsidP="00582C22">
      <w:pPr>
        <w:pStyle w:val="Note"/>
      </w:pPr>
      <w:r w:rsidRPr="00E91188">
        <w:rPr>
          <w:color w:val="72AF2F"/>
        </w:rPr>
        <w:sym w:font="Webdings" w:char="F067"/>
      </w:r>
      <w:r w:rsidRPr="00E91188">
        <w:t xml:space="preserve"> = 6 = Very good; satisfies criteria in all or almost all areas</w:t>
      </w:r>
    </w:p>
    <w:p w:rsidR="00416B02" w:rsidRPr="00E91188" w:rsidRDefault="00416B02" w:rsidP="00582C22">
      <w:pPr>
        <w:pStyle w:val="Note"/>
      </w:pPr>
      <w:r w:rsidRPr="00E91188">
        <w:rPr>
          <w:color w:val="72AF2F"/>
        </w:rPr>
        <w:sym w:font="Webdings" w:char="F067"/>
      </w:r>
      <w:r w:rsidRPr="00E91188">
        <w:t xml:space="preserve"> = 5 = Good; satisfies criteria in most areas</w:t>
      </w:r>
    </w:p>
    <w:p w:rsidR="00416B02" w:rsidRPr="00E91188" w:rsidRDefault="00416B02" w:rsidP="00582C22">
      <w:pPr>
        <w:pStyle w:val="Note"/>
      </w:pPr>
      <w:r w:rsidRPr="00E91188">
        <w:rPr>
          <w:color w:val="FFFF00"/>
        </w:rPr>
        <w:sym w:font="Webdings" w:char="F067"/>
      </w:r>
      <w:r w:rsidRPr="00E91188">
        <w:t xml:space="preserve"> = 4 = Adequate; on balance, satisfies criteria; does not fail in any major area</w:t>
      </w:r>
    </w:p>
    <w:p w:rsidR="00416B02" w:rsidRPr="00E91188" w:rsidRDefault="00416B02" w:rsidP="00582C22">
      <w:pPr>
        <w:pStyle w:val="Note"/>
      </w:pPr>
      <w:r w:rsidRPr="00E91188">
        <w:t>Less than satisfactory (1, 2 and 3)</w:t>
      </w:r>
    </w:p>
    <w:p w:rsidR="00416B02" w:rsidRPr="00E91188" w:rsidRDefault="00416B02" w:rsidP="00582C22">
      <w:pPr>
        <w:pStyle w:val="Note"/>
      </w:pPr>
      <w:r w:rsidRPr="00E91188">
        <w:rPr>
          <w:color w:val="E36C0A"/>
        </w:rPr>
        <w:sym w:font="Webdings" w:char="F067"/>
      </w:r>
      <w:r w:rsidRPr="00E91188">
        <w:rPr>
          <w:color w:val="E36C0A"/>
        </w:rPr>
        <w:t xml:space="preserve"> </w:t>
      </w:r>
      <w:r w:rsidRPr="00E91188">
        <w:t>= 3 = Less than adequate; on balance does not satisfy criteria but does not fail in any major area</w:t>
      </w:r>
    </w:p>
    <w:p w:rsidR="00416B02" w:rsidRPr="00E91188" w:rsidRDefault="00416B02" w:rsidP="00582C22">
      <w:pPr>
        <w:pStyle w:val="Note"/>
      </w:pPr>
      <w:r w:rsidRPr="00E91188">
        <w:rPr>
          <w:color w:val="FF0000"/>
        </w:rPr>
        <w:sym w:font="Webdings" w:char="F067"/>
      </w:r>
      <w:r w:rsidRPr="00E91188">
        <w:t xml:space="preserve"> = 2 = Poor; does not satisfy criteria in major areas</w:t>
      </w:r>
    </w:p>
    <w:p w:rsidR="00516D93" w:rsidRPr="004E5E1A" w:rsidRDefault="00416B02" w:rsidP="004E5E1A">
      <w:pPr>
        <w:pStyle w:val="Note"/>
      </w:pPr>
      <w:r w:rsidRPr="00E91188">
        <w:rPr>
          <w:color w:val="FF0000"/>
        </w:rPr>
        <w:sym w:font="Webdings" w:char="F067"/>
      </w:r>
      <w:r w:rsidRPr="00E91188">
        <w:t xml:space="preserve"> = 1 = Very poor; does not satisfy criteria in many major areas</w:t>
      </w:r>
    </w:p>
    <w:sectPr w:rsidR="00516D93" w:rsidRPr="004E5E1A" w:rsidSect="001C745A">
      <w:headerReference w:type="even" r:id="rId19"/>
      <w:footerReference w:type="first" r:id="rId20"/>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C8" w:rsidRDefault="00E07AC8" w:rsidP="0050529F">
      <w:r>
        <w:separator/>
      </w:r>
    </w:p>
    <w:p w:rsidR="00E07AC8" w:rsidRDefault="00E07AC8"/>
    <w:p w:rsidR="00E07AC8" w:rsidRDefault="00E07AC8"/>
    <w:p w:rsidR="00E07AC8" w:rsidRDefault="00E07AC8"/>
    <w:p w:rsidR="00E07AC8" w:rsidRDefault="00E07AC8"/>
    <w:p w:rsidR="00E07AC8" w:rsidRDefault="00E07AC8"/>
    <w:p w:rsidR="00E07AC8" w:rsidRDefault="00E07AC8"/>
  </w:endnote>
  <w:endnote w:type="continuationSeparator" w:id="0">
    <w:p w:rsidR="00E07AC8" w:rsidRDefault="00E07AC8" w:rsidP="0050529F">
      <w:r>
        <w:continuationSeparator/>
      </w:r>
    </w:p>
    <w:p w:rsidR="00E07AC8" w:rsidRDefault="00E07AC8"/>
    <w:p w:rsidR="00E07AC8" w:rsidRDefault="00E07AC8"/>
    <w:p w:rsidR="00E07AC8" w:rsidRDefault="00E07AC8"/>
    <w:p w:rsidR="00E07AC8" w:rsidRDefault="00E07AC8"/>
    <w:p w:rsidR="00E07AC8" w:rsidRDefault="00E07AC8"/>
    <w:p w:rsidR="00E07AC8" w:rsidRDefault="00E07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588932"/>
      <w:docPartObj>
        <w:docPartGallery w:val="Page Numbers (Bottom of Page)"/>
        <w:docPartUnique/>
      </w:docPartObj>
    </w:sdtPr>
    <w:sdtEndPr>
      <w:rPr>
        <w:noProof/>
      </w:rPr>
    </w:sdtEndPr>
    <w:sdtContent>
      <w:p w:rsidR="003964BA" w:rsidRDefault="003964BA">
        <w:pPr>
          <w:pStyle w:val="Footer"/>
          <w:jc w:val="right"/>
        </w:pPr>
        <w:r>
          <w:fldChar w:fldCharType="begin"/>
        </w:r>
        <w:r>
          <w:instrText xml:space="preserve"> PAGE   \* MERGEFORMAT </w:instrText>
        </w:r>
        <w:r>
          <w:fldChar w:fldCharType="separate"/>
        </w:r>
        <w:r w:rsidR="0007018C">
          <w:rPr>
            <w:noProof/>
          </w:rPr>
          <w:t>1</w:t>
        </w:r>
        <w:r>
          <w:rPr>
            <w:noProof/>
          </w:rPr>
          <w:fldChar w:fldCharType="end"/>
        </w:r>
      </w:p>
    </w:sdtContent>
  </w:sdt>
  <w:p w:rsidR="003964BA" w:rsidRDefault="00396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BA" w:rsidRPr="004C4A3E" w:rsidRDefault="003964B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32992" behindDoc="1" locked="1" layoutInCell="1" allowOverlap="1" wp14:anchorId="20BA4D14" wp14:editId="262BACF1">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07018C">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07018C">
      <w:rPr>
        <w:rFonts w:ascii="Franklin Gothic Medium" w:hAnsi="Franklin Gothic Medium"/>
        <w:noProof/>
        <w:color w:val="54534A"/>
        <w:sz w:val="14"/>
        <w:szCs w:val="14"/>
      </w:rPr>
      <w:t>13</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31968" behindDoc="1" locked="0" layoutInCell="1" allowOverlap="1" wp14:anchorId="4912494E" wp14:editId="5D9309A1">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30944" behindDoc="1" locked="0" layoutInCell="1" allowOverlap="1" wp14:anchorId="6CE54C96" wp14:editId="33B8144C">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BA" w:rsidRPr="004C4A3E" w:rsidRDefault="003964B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7A236BFF" wp14:editId="3BF3207B">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Description: 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084B0A08" wp14:editId="41CC877C">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5E766AD3" wp14:editId="7FED0521">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BA" w:rsidRPr="004C4A3E" w:rsidRDefault="003964B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40E4FC47" wp14:editId="2BAF0CDB">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3C11805E" wp14:editId="0676747D">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095F86D3" wp14:editId="30C414F6">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C8" w:rsidRDefault="00E07AC8" w:rsidP="0050529F">
      <w:r>
        <w:separator/>
      </w:r>
    </w:p>
    <w:p w:rsidR="00E07AC8" w:rsidRDefault="00E07AC8"/>
    <w:p w:rsidR="00E07AC8" w:rsidRDefault="00E07AC8"/>
    <w:p w:rsidR="00E07AC8" w:rsidRDefault="00E07AC8"/>
    <w:p w:rsidR="00E07AC8" w:rsidRDefault="00E07AC8"/>
    <w:p w:rsidR="00E07AC8" w:rsidRDefault="00E07AC8"/>
    <w:p w:rsidR="00E07AC8" w:rsidRDefault="00E07AC8"/>
  </w:footnote>
  <w:footnote w:type="continuationSeparator" w:id="0">
    <w:p w:rsidR="00E07AC8" w:rsidRDefault="00E07AC8" w:rsidP="0050529F">
      <w:r>
        <w:continuationSeparator/>
      </w:r>
    </w:p>
    <w:p w:rsidR="00E07AC8" w:rsidRDefault="00E07AC8"/>
    <w:p w:rsidR="00E07AC8" w:rsidRDefault="00E07AC8"/>
    <w:p w:rsidR="00E07AC8" w:rsidRDefault="00E07AC8"/>
    <w:p w:rsidR="00E07AC8" w:rsidRDefault="00E07AC8"/>
    <w:p w:rsidR="00E07AC8" w:rsidRDefault="00E07AC8"/>
    <w:p w:rsidR="00E07AC8" w:rsidRDefault="00E07AC8"/>
  </w:footnote>
  <w:footnote w:id="1">
    <w:p w:rsidR="003964BA" w:rsidRPr="00362FDF" w:rsidRDefault="003964BA" w:rsidP="00A45E91">
      <w:pPr>
        <w:pStyle w:val="FootnoteText"/>
        <w:spacing w:line="240" w:lineRule="auto"/>
        <w:rPr>
          <w:lang w:val="en-US"/>
        </w:rPr>
      </w:pPr>
      <w:r>
        <w:rPr>
          <w:rStyle w:val="FootnoteReference"/>
        </w:rPr>
        <w:footnoteRef/>
      </w:r>
      <w:r>
        <w:t xml:space="preserve"> World Bank (2015) South Asia </w:t>
      </w:r>
      <w:r>
        <w:rPr>
          <w:lang w:val="en-US"/>
        </w:rPr>
        <w:t xml:space="preserve">Economic Focus Spring 2015: Making the Most of Cheap Coal, </w:t>
      </w:r>
      <w:r w:rsidRPr="00057FB2">
        <w:rPr>
          <w:lang w:val="en-US"/>
        </w:rPr>
        <w:t>http://www.worldbank.org/content/dam/Worldbank/document/SAR/saef-final.pdf</w:t>
      </w:r>
    </w:p>
  </w:footnote>
  <w:footnote w:id="2">
    <w:p w:rsidR="003964BA" w:rsidRPr="005E5E3C" w:rsidRDefault="003964BA" w:rsidP="00E369DF">
      <w:pPr>
        <w:pStyle w:val="FootnoteText"/>
        <w:spacing w:line="240" w:lineRule="auto"/>
        <w:rPr>
          <w:rFonts w:cs="Arial"/>
          <w:szCs w:val="16"/>
        </w:rPr>
      </w:pPr>
      <w:r w:rsidRPr="005E5E3C">
        <w:rPr>
          <w:rStyle w:val="FootnoteReference"/>
          <w:rFonts w:cs="Arial"/>
          <w:szCs w:val="16"/>
        </w:rPr>
        <w:footnoteRef/>
      </w:r>
      <w:r w:rsidRPr="005E5E3C">
        <w:rPr>
          <w:rFonts w:cs="Arial"/>
          <w:szCs w:val="16"/>
        </w:rPr>
        <w:t xml:space="preserve"> </w:t>
      </w:r>
      <w:hyperlink r:id="rId1" w:history="1">
        <w:r w:rsidRPr="00B61C99">
          <w:rPr>
            <w:rStyle w:val="Hyperlink"/>
            <w:rFonts w:cs="Arial"/>
            <w:sz w:val="16"/>
            <w:szCs w:val="16"/>
          </w:rPr>
          <w:t>http://www.saarc-sec.org/press-releases/18th-SAARC-Summit-Declaration/121/</w:t>
        </w:r>
      </w:hyperlink>
      <w:r>
        <w:rPr>
          <w:rFonts w:cs="Arial"/>
          <w:szCs w:val="16"/>
        </w:rPr>
        <w:t xml:space="preserve"> </w:t>
      </w:r>
    </w:p>
  </w:footnote>
  <w:footnote w:id="3">
    <w:p w:rsidR="003964BA" w:rsidRPr="005E5E3C" w:rsidRDefault="003964BA" w:rsidP="00E369DF">
      <w:pPr>
        <w:pStyle w:val="FootnoteText"/>
        <w:spacing w:line="240" w:lineRule="auto"/>
        <w:rPr>
          <w:rFonts w:ascii="Arial" w:hAnsi="Arial" w:cs="Arial"/>
          <w:sz w:val="18"/>
          <w:szCs w:val="18"/>
        </w:rPr>
      </w:pPr>
      <w:r w:rsidRPr="005E5E3C">
        <w:rPr>
          <w:rStyle w:val="FootnoteReference"/>
          <w:rFonts w:cs="Arial"/>
          <w:szCs w:val="16"/>
        </w:rPr>
        <w:footnoteRef/>
      </w:r>
      <w:r w:rsidRPr="005E5E3C">
        <w:rPr>
          <w:rFonts w:cs="Arial"/>
          <w:szCs w:val="16"/>
        </w:rPr>
        <w:t xml:space="preserve"> </w:t>
      </w:r>
      <w:hyperlink r:id="rId2" w:history="1">
        <w:r w:rsidRPr="00B61C99">
          <w:rPr>
            <w:rStyle w:val="Hyperlink"/>
            <w:rFonts w:cs="Arial"/>
            <w:sz w:val="16"/>
            <w:szCs w:val="16"/>
          </w:rPr>
          <w:t>http://www.reuters.com/article/2015/06/06/us-bangladesh-india-enclaves-idUSKBN0OM0IZ20150606</w:t>
        </w:r>
      </w:hyperlink>
      <w:r>
        <w:rPr>
          <w:rFonts w:cs="Arial"/>
          <w:szCs w:val="16"/>
        </w:rPr>
        <w:t xml:space="preserve"> </w:t>
      </w:r>
    </w:p>
  </w:footnote>
  <w:footnote w:id="4">
    <w:p w:rsidR="003964BA" w:rsidRDefault="003964BA" w:rsidP="00E369DF">
      <w:pPr>
        <w:pStyle w:val="FootnoteText"/>
        <w:spacing w:line="240" w:lineRule="auto"/>
      </w:pPr>
      <w:r>
        <w:rPr>
          <w:rStyle w:val="FootnoteReference"/>
        </w:rPr>
        <w:footnoteRef/>
      </w:r>
      <w:r>
        <w:t xml:space="preserve"> </w:t>
      </w:r>
      <w:r w:rsidRPr="00017747">
        <w:t>http://www.mea.gov.in/bilateral-</w:t>
      </w:r>
      <w:r>
        <w:t xml:space="preserve"> </w:t>
      </w:r>
      <w:r w:rsidRPr="00017747">
        <w:t>documents.htm?dtl/25344/List_of_Agreements_MoUs_and_other_Documents_concluded_during_the_visit_of_Prime_Minister_to_Dhaka_June_06_2015</w:t>
      </w:r>
      <w:r>
        <w:t xml:space="preserve">  </w:t>
      </w:r>
    </w:p>
  </w:footnote>
  <w:footnote w:id="5">
    <w:p w:rsidR="003964BA" w:rsidRDefault="003964BA" w:rsidP="00A45E91">
      <w:pPr>
        <w:pStyle w:val="FootnoteText"/>
        <w:spacing w:line="240" w:lineRule="auto"/>
      </w:pPr>
      <w:r>
        <w:rPr>
          <w:rStyle w:val="FootnoteReference"/>
        </w:rPr>
        <w:footnoteRef/>
      </w:r>
      <w:r>
        <w:t xml:space="preserve"> </w:t>
      </w:r>
      <w:hyperlink r:id="rId3" w:anchor="1" w:history="1">
        <w:r w:rsidRPr="007A1A1D">
          <w:t>http://www.worldbank.org/en/region/sar/overview#1</w:t>
        </w:r>
      </w:hyperlink>
      <w:r>
        <w:t>. These figures exclude Afghanistan</w:t>
      </w:r>
    </w:p>
  </w:footnote>
  <w:footnote w:id="6">
    <w:p w:rsidR="003964BA" w:rsidRPr="005E5E3C" w:rsidRDefault="003964BA" w:rsidP="00A45E91">
      <w:pPr>
        <w:pStyle w:val="FootnoteText"/>
        <w:spacing w:line="240" w:lineRule="auto"/>
        <w:rPr>
          <w:rFonts w:cs="Arial"/>
          <w:szCs w:val="16"/>
        </w:rPr>
      </w:pPr>
      <w:r w:rsidRPr="005E5E3C">
        <w:rPr>
          <w:rStyle w:val="FootnoteReference"/>
          <w:rFonts w:cs="Arial"/>
          <w:szCs w:val="16"/>
        </w:rPr>
        <w:footnoteRef/>
      </w:r>
      <w:r w:rsidRPr="005E5E3C">
        <w:rPr>
          <w:rFonts w:cs="Arial"/>
          <w:szCs w:val="16"/>
        </w:rPr>
        <w:t xml:space="preserve"> </w:t>
      </w:r>
      <w:hyperlink r:id="rId4" w:history="1">
        <w:r w:rsidRPr="00B61C99">
          <w:rPr>
            <w:rStyle w:val="Hyperlink"/>
            <w:rFonts w:cs="Arial"/>
            <w:sz w:val="16"/>
            <w:szCs w:val="16"/>
          </w:rPr>
          <w:t>https://openknowledge.worldbank.org/handle/10986/20395</w:t>
        </w:r>
      </w:hyperlink>
      <w:r>
        <w:rPr>
          <w:rFonts w:cs="Arial"/>
          <w:szCs w:val="16"/>
        </w:rPr>
        <w:t xml:space="preserve"> </w:t>
      </w:r>
    </w:p>
  </w:footnote>
  <w:footnote w:id="7">
    <w:p w:rsidR="003964BA" w:rsidRPr="00172819" w:rsidRDefault="003964BA" w:rsidP="00A45E91">
      <w:pPr>
        <w:pStyle w:val="FootnoteText"/>
        <w:rPr>
          <w:lang w:val="en-US"/>
        </w:rPr>
      </w:pPr>
      <w:r>
        <w:rPr>
          <w:rStyle w:val="FootnoteReference"/>
        </w:rPr>
        <w:footnoteRef/>
      </w:r>
      <w:r>
        <w:t xml:space="preserve"> </w:t>
      </w:r>
      <w:r>
        <w:rPr>
          <w:lang w:val="en-US"/>
        </w:rPr>
        <w:t xml:space="preserve">World Bank (2015) World Development Report, </w:t>
      </w:r>
      <w:hyperlink r:id="rId5" w:history="1">
        <w:r w:rsidRPr="00B20628">
          <w:rPr>
            <w:rStyle w:val="Hyperlink"/>
            <w:sz w:val="16"/>
            <w:lang w:val="en-US"/>
          </w:rPr>
          <w:t>www.worldbank.org/en/publication/wdr2015</w:t>
        </w:r>
      </w:hyperlink>
      <w:r>
        <w:rPr>
          <w:lang w:val="en-US"/>
        </w:rPr>
        <w:t xml:space="preserve"> </w:t>
      </w:r>
    </w:p>
  </w:footnote>
  <w:footnote w:id="8">
    <w:p w:rsidR="003964BA" w:rsidRDefault="003964BA" w:rsidP="00A45E91">
      <w:pPr>
        <w:pStyle w:val="FootnoteText"/>
        <w:spacing w:line="240" w:lineRule="auto"/>
      </w:pPr>
      <w:r>
        <w:rPr>
          <w:rStyle w:val="FootnoteReference"/>
        </w:rPr>
        <w:footnoteRef/>
      </w:r>
      <w:r>
        <w:t xml:space="preserve"> </w:t>
      </w:r>
      <w:r w:rsidRPr="000C319E">
        <w:t>ADB As</w:t>
      </w:r>
      <w:r>
        <w:t xml:space="preserve">ia Regional Integration Center, </w:t>
      </w:r>
      <w:hyperlink r:id="rId6" w:history="1">
        <w:r w:rsidRPr="00B61C99">
          <w:rPr>
            <w:rStyle w:val="Hyperlink"/>
            <w:sz w:val="16"/>
          </w:rPr>
          <w:t>www.aric.adb.org/indicator.php</w:t>
        </w:r>
      </w:hyperlink>
      <w:r>
        <w:t xml:space="preserve"> </w:t>
      </w:r>
    </w:p>
  </w:footnote>
  <w:footnote w:id="9">
    <w:p w:rsidR="003964BA" w:rsidRDefault="003964BA" w:rsidP="00A45E91">
      <w:pPr>
        <w:pStyle w:val="FootnoteText"/>
        <w:spacing w:line="240" w:lineRule="auto"/>
      </w:pPr>
      <w:r>
        <w:rPr>
          <w:rStyle w:val="FootnoteReference"/>
        </w:rPr>
        <w:footnoteRef/>
      </w:r>
      <w:r>
        <w:t xml:space="preserve"> </w:t>
      </w:r>
      <w:r w:rsidRPr="000C319E">
        <w:t>World Bank: Doing Business Report 2015  (www.doingbusiness.org/reports) and World Bank Logistics Performance Index 2014 (</w:t>
      </w:r>
      <w:hyperlink r:id="rId7" w:history="1">
        <w:r w:rsidRPr="00B61C99">
          <w:rPr>
            <w:rStyle w:val="Hyperlink"/>
            <w:sz w:val="16"/>
          </w:rPr>
          <w:t>http://lpi.worldbank.org/</w:t>
        </w:r>
      </w:hyperlink>
      <w:r w:rsidRPr="000C319E">
        <w:t>)</w:t>
      </w:r>
      <w:r>
        <w:t xml:space="preserve"> </w:t>
      </w:r>
    </w:p>
  </w:footnote>
  <w:footnote w:id="10">
    <w:p w:rsidR="003964BA" w:rsidRDefault="003964BA" w:rsidP="00E369DF">
      <w:pPr>
        <w:pStyle w:val="FootnoteText"/>
        <w:spacing w:line="240" w:lineRule="auto"/>
      </w:pPr>
      <w:r>
        <w:rPr>
          <w:rStyle w:val="FootnoteReference"/>
        </w:rPr>
        <w:footnoteRef/>
      </w:r>
      <w:r>
        <w:t xml:space="preserve"> World Bank (2013) Potsdam Institute for Climate Impact Research and Climate Analytics, Turn Down the Heat – Climate Extremes, Regional impacts and the Case for Resilience</w:t>
      </w:r>
    </w:p>
  </w:footnote>
  <w:footnote w:id="11">
    <w:p w:rsidR="003964BA" w:rsidRDefault="003964BA" w:rsidP="007E147C">
      <w:pPr>
        <w:pStyle w:val="FootnoteText"/>
        <w:spacing w:line="240" w:lineRule="auto"/>
      </w:pPr>
      <w:r>
        <w:rPr>
          <w:rStyle w:val="FootnoteReference"/>
        </w:rPr>
        <w:footnoteRef/>
      </w:r>
      <w:r>
        <w:t xml:space="preserve"> </w:t>
      </w:r>
      <w:r w:rsidRPr="001C3539">
        <w:t>Evidence of progress against these nine outcome areas is collected from partners’ annual reports to DFAT, annual partnership assessments, and through</w:t>
      </w:r>
      <w:r>
        <w:t xml:space="preserve"> an a</w:t>
      </w:r>
      <w:r w:rsidRPr="001C3539">
        <w:t xml:space="preserve">nnual </w:t>
      </w:r>
      <w:r>
        <w:t>d</w:t>
      </w:r>
      <w:r w:rsidRPr="001C3539">
        <w:t>ialogue – a two-day forum where DFAT and partners evaluate SDIP’s contribution to change in water, food and energy security in the region.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BA" w:rsidRDefault="00396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BA" w:rsidRDefault="00396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BA" w:rsidRDefault="00396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7">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DF540E"/>
    <w:multiLevelType w:val="hybridMultilevel"/>
    <w:tmpl w:val="C068D9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3B480809"/>
    <w:multiLevelType w:val="hybridMultilevel"/>
    <w:tmpl w:val="D0E46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09C70F5"/>
    <w:multiLevelType w:val="hybridMultilevel"/>
    <w:tmpl w:val="7458D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D573AC"/>
    <w:multiLevelType w:val="multilevel"/>
    <w:tmpl w:val="B38A5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4"/>
  </w:num>
  <w:num w:numId="4">
    <w:abstractNumId w:val="14"/>
  </w:num>
  <w:num w:numId="5">
    <w:abstractNumId w:val="13"/>
  </w:num>
  <w:num w:numId="6">
    <w:abstractNumId w:val="10"/>
  </w:num>
  <w:num w:numId="7">
    <w:abstractNumId w:val="18"/>
  </w:num>
  <w:num w:numId="8">
    <w:abstractNumId w:val="3"/>
  </w:num>
  <w:num w:numId="9">
    <w:abstractNumId w:val="6"/>
  </w:num>
  <w:num w:numId="10">
    <w:abstractNumId w:val="21"/>
  </w:num>
  <w:num w:numId="11">
    <w:abstractNumId w:val="22"/>
  </w:num>
  <w:num w:numId="12">
    <w:abstractNumId w:val="0"/>
  </w:num>
  <w:num w:numId="13">
    <w:abstractNumId w:val="2"/>
  </w:num>
  <w:num w:numId="14">
    <w:abstractNumId w:val="17"/>
  </w:num>
  <w:num w:numId="15">
    <w:abstractNumId w:val="1"/>
  </w:num>
  <w:num w:numId="16">
    <w:abstractNumId w:val="9"/>
  </w:num>
  <w:num w:numId="17">
    <w:abstractNumId w:val="7"/>
  </w:num>
  <w:num w:numId="18">
    <w:abstractNumId w:val="5"/>
  </w:num>
  <w:num w:numId="19">
    <w:abstractNumId w:val="12"/>
  </w:num>
  <w:num w:numId="20">
    <w:abstractNumId w:val="22"/>
  </w:num>
  <w:num w:numId="21">
    <w:abstractNumId w:val="22"/>
  </w:num>
  <w:num w:numId="22">
    <w:abstractNumId w:val="22"/>
  </w:num>
  <w:num w:numId="23">
    <w:abstractNumId w:val="11"/>
  </w:num>
  <w:num w:numId="24">
    <w:abstractNumId w:val="22"/>
  </w:num>
  <w:num w:numId="25">
    <w:abstractNumId w:val="19"/>
  </w:num>
  <w:num w:numId="2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178"/>
    <w:rsid w:val="000004FF"/>
    <w:rsid w:val="00002161"/>
    <w:rsid w:val="0000242A"/>
    <w:rsid w:val="00002A92"/>
    <w:rsid w:val="00002E28"/>
    <w:rsid w:val="000039CF"/>
    <w:rsid w:val="00004E18"/>
    <w:rsid w:val="00007E94"/>
    <w:rsid w:val="00011A6B"/>
    <w:rsid w:val="000124B4"/>
    <w:rsid w:val="000142A2"/>
    <w:rsid w:val="000143D9"/>
    <w:rsid w:val="00017747"/>
    <w:rsid w:val="00017E24"/>
    <w:rsid w:val="00020121"/>
    <w:rsid w:val="00021A9E"/>
    <w:rsid w:val="00026A22"/>
    <w:rsid w:val="00027629"/>
    <w:rsid w:val="00030111"/>
    <w:rsid w:val="00031100"/>
    <w:rsid w:val="00031EB5"/>
    <w:rsid w:val="0003231A"/>
    <w:rsid w:val="00032CC7"/>
    <w:rsid w:val="00040AF6"/>
    <w:rsid w:val="000426DF"/>
    <w:rsid w:val="00044677"/>
    <w:rsid w:val="00050125"/>
    <w:rsid w:val="000529AD"/>
    <w:rsid w:val="0005426D"/>
    <w:rsid w:val="0005506B"/>
    <w:rsid w:val="000550B0"/>
    <w:rsid w:val="00055E78"/>
    <w:rsid w:val="0005637C"/>
    <w:rsid w:val="00057325"/>
    <w:rsid w:val="00057589"/>
    <w:rsid w:val="00057D09"/>
    <w:rsid w:val="00057FB2"/>
    <w:rsid w:val="00065D23"/>
    <w:rsid w:val="00065E72"/>
    <w:rsid w:val="0007018C"/>
    <w:rsid w:val="0007149C"/>
    <w:rsid w:val="00071B95"/>
    <w:rsid w:val="000734E5"/>
    <w:rsid w:val="0007395B"/>
    <w:rsid w:val="000745E2"/>
    <w:rsid w:val="0007703B"/>
    <w:rsid w:val="000774FD"/>
    <w:rsid w:val="000818C0"/>
    <w:rsid w:val="00081F4E"/>
    <w:rsid w:val="00082C64"/>
    <w:rsid w:val="00086B43"/>
    <w:rsid w:val="000905A8"/>
    <w:rsid w:val="00091878"/>
    <w:rsid w:val="000957FC"/>
    <w:rsid w:val="00095CF5"/>
    <w:rsid w:val="000979A0"/>
    <w:rsid w:val="00097B02"/>
    <w:rsid w:val="000A1618"/>
    <w:rsid w:val="000A4247"/>
    <w:rsid w:val="000A53AE"/>
    <w:rsid w:val="000A714B"/>
    <w:rsid w:val="000B0391"/>
    <w:rsid w:val="000B3121"/>
    <w:rsid w:val="000B68F6"/>
    <w:rsid w:val="000B6BE5"/>
    <w:rsid w:val="000B6FEA"/>
    <w:rsid w:val="000B75E8"/>
    <w:rsid w:val="000C258A"/>
    <w:rsid w:val="000C29BF"/>
    <w:rsid w:val="000C319E"/>
    <w:rsid w:val="000C4A7A"/>
    <w:rsid w:val="000C4D79"/>
    <w:rsid w:val="000C5768"/>
    <w:rsid w:val="000C6080"/>
    <w:rsid w:val="000C60A8"/>
    <w:rsid w:val="000D0478"/>
    <w:rsid w:val="000D151B"/>
    <w:rsid w:val="000D1993"/>
    <w:rsid w:val="000D2117"/>
    <w:rsid w:val="000D2CDD"/>
    <w:rsid w:val="000D5ED2"/>
    <w:rsid w:val="000D733F"/>
    <w:rsid w:val="000D7952"/>
    <w:rsid w:val="000E4573"/>
    <w:rsid w:val="000E602C"/>
    <w:rsid w:val="000E7297"/>
    <w:rsid w:val="000E7A8D"/>
    <w:rsid w:val="000F115E"/>
    <w:rsid w:val="000F2138"/>
    <w:rsid w:val="000F25CD"/>
    <w:rsid w:val="000F2D94"/>
    <w:rsid w:val="00100485"/>
    <w:rsid w:val="001006FC"/>
    <w:rsid w:val="00100AA2"/>
    <w:rsid w:val="00106185"/>
    <w:rsid w:val="001064A7"/>
    <w:rsid w:val="00106BDC"/>
    <w:rsid w:val="00106C46"/>
    <w:rsid w:val="0010729C"/>
    <w:rsid w:val="00112E97"/>
    <w:rsid w:val="001139DE"/>
    <w:rsid w:val="00114751"/>
    <w:rsid w:val="001154CA"/>
    <w:rsid w:val="001171DE"/>
    <w:rsid w:val="00120FC7"/>
    <w:rsid w:val="00122038"/>
    <w:rsid w:val="00122299"/>
    <w:rsid w:val="001227C3"/>
    <w:rsid w:val="0012429A"/>
    <w:rsid w:val="00125002"/>
    <w:rsid w:val="001258C6"/>
    <w:rsid w:val="0012793C"/>
    <w:rsid w:val="00131FF0"/>
    <w:rsid w:val="00132003"/>
    <w:rsid w:val="00132643"/>
    <w:rsid w:val="00132A20"/>
    <w:rsid w:val="00133AAD"/>
    <w:rsid w:val="00133E19"/>
    <w:rsid w:val="00135806"/>
    <w:rsid w:val="001366B4"/>
    <w:rsid w:val="00136CC1"/>
    <w:rsid w:val="001375E3"/>
    <w:rsid w:val="00141A30"/>
    <w:rsid w:val="00143053"/>
    <w:rsid w:val="0014411B"/>
    <w:rsid w:val="001448E7"/>
    <w:rsid w:val="00147846"/>
    <w:rsid w:val="0015043E"/>
    <w:rsid w:val="00152DFD"/>
    <w:rsid w:val="00154EF9"/>
    <w:rsid w:val="00155405"/>
    <w:rsid w:val="00157858"/>
    <w:rsid w:val="001612CE"/>
    <w:rsid w:val="001624FB"/>
    <w:rsid w:val="0016544D"/>
    <w:rsid w:val="001657F1"/>
    <w:rsid w:val="00167331"/>
    <w:rsid w:val="0016740F"/>
    <w:rsid w:val="00171BB2"/>
    <w:rsid w:val="00172819"/>
    <w:rsid w:val="00173C6E"/>
    <w:rsid w:val="00175E4C"/>
    <w:rsid w:val="00177092"/>
    <w:rsid w:val="001772FD"/>
    <w:rsid w:val="00177FF9"/>
    <w:rsid w:val="00180357"/>
    <w:rsid w:val="00180B19"/>
    <w:rsid w:val="00180F3A"/>
    <w:rsid w:val="0018196F"/>
    <w:rsid w:val="001829BB"/>
    <w:rsid w:val="0018305E"/>
    <w:rsid w:val="0018353A"/>
    <w:rsid w:val="00192498"/>
    <w:rsid w:val="0019258E"/>
    <w:rsid w:val="001943B6"/>
    <w:rsid w:val="00194806"/>
    <w:rsid w:val="0019691A"/>
    <w:rsid w:val="00196AF9"/>
    <w:rsid w:val="001A374B"/>
    <w:rsid w:val="001A6CE8"/>
    <w:rsid w:val="001B1A0C"/>
    <w:rsid w:val="001B2948"/>
    <w:rsid w:val="001B41CD"/>
    <w:rsid w:val="001B714C"/>
    <w:rsid w:val="001C01CF"/>
    <w:rsid w:val="001C1EA0"/>
    <w:rsid w:val="001C31B9"/>
    <w:rsid w:val="001C3539"/>
    <w:rsid w:val="001C507E"/>
    <w:rsid w:val="001C700E"/>
    <w:rsid w:val="001C7117"/>
    <w:rsid w:val="001C745A"/>
    <w:rsid w:val="001C7DDD"/>
    <w:rsid w:val="001D20FC"/>
    <w:rsid w:val="001D210A"/>
    <w:rsid w:val="001D6059"/>
    <w:rsid w:val="001D6515"/>
    <w:rsid w:val="001D7E98"/>
    <w:rsid w:val="001E16EB"/>
    <w:rsid w:val="001E373C"/>
    <w:rsid w:val="001E3B8C"/>
    <w:rsid w:val="001E4BDE"/>
    <w:rsid w:val="001E6635"/>
    <w:rsid w:val="001E6C02"/>
    <w:rsid w:val="001E75EC"/>
    <w:rsid w:val="001F12A2"/>
    <w:rsid w:val="001F1563"/>
    <w:rsid w:val="001F484C"/>
    <w:rsid w:val="001F5CB1"/>
    <w:rsid w:val="001F5D93"/>
    <w:rsid w:val="001F61A8"/>
    <w:rsid w:val="001F7480"/>
    <w:rsid w:val="00201174"/>
    <w:rsid w:val="00202880"/>
    <w:rsid w:val="00202E4E"/>
    <w:rsid w:val="00203BCC"/>
    <w:rsid w:val="0020428C"/>
    <w:rsid w:val="00205E0B"/>
    <w:rsid w:val="00205F2B"/>
    <w:rsid w:val="002115BD"/>
    <w:rsid w:val="002126BA"/>
    <w:rsid w:val="00212B27"/>
    <w:rsid w:val="00212F10"/>
    <w:rsid w:val="00214CB4"/>
    <w:rsid w:val="0021515C"/>
    <w:rsid w:val="002177BA"/>
    <w:rsid w:val="00221803"/>
    <w:rsid w:val="002227A9"/>
    <w:rsid w:val="00223901"/>
    <w:rsid w:val="00226DEE"/>
    <w:rsid w:val="002274BE"/>
    <w:rsid w:val="00231D45"/>
    <w:rsid w:val="002335A9"/>
    <w:rsid w:val="00233AFB"/>
    <w:rsid w:val="002343CF"/>
    <w:rsid w:val="00235CC0"/>
    <w:rsid w:val="00235D29"/>
    <w:rsid w:val="002363D9"/>
    <w:rsid w:val="00236B8C"/>
    <w:rsid w:val="002373C6"/>
    <w:rsid w:val="00237C4B"/>
    <w:rsid w:val="0024009A"/>
    <w:rsid w:val="00240D59"/>
    <w:rsid w:val="00242C0A"/>
    <w:rsid w:val="002441D5"/>
    <w:rsid w:val="0024485B"/>
    <w:rsid w:val="00244AA7"/>
    <w:rsid w:val="002451E9"/>
    <w:rsid w:val="00246E5F"/>
    <w:rsid w:val="00247920"/>
    <w:rsid w:val="00247D55"/>
    <w:rsid w:val="00254374"/>
    <w:rsid w:val="00255C91"/>
    <w:rsid w:val="00256601"/>
    <w:rsid w:val="0025799A"/>
    <w:rsid w:val="00261E78"/>
    <w:rsid w:val="00263F5F"/>
    <w:rsid w:val="002660AA"/>
    <w:rsid w:val="00270898"/>
    <w:rsid w:val="00272AF0"/>
    <w:rsid w:val="00273C6F"/>
    <w:rsid w:val="00275C42"/>
    <w:rsid w:val="0027610E"/>
    <w:rsid w:val="00282FEF"/>
    <w:rsid w:val="002849B4"/>
    <w:rsid w:val="00285F7A"/>
    <w:rsid w:val="002911A4"/>
    <w:rsid w:val="00291F1C"/>
    <w:rsid w:val="0029341F"/>
    <w:rsid w:val="002979F4"/>
    <w:rsid w:val="00297FA7"/>
    <w:rsid w:val="002A15F4"/>
    <w:rsid w:val="002A1935"/>
    <w:rsid w:val="002A1A79"/>
    <w:rsid w:val="002A21D1"/>
    <w:rsid w:val="002A22F7"/>
    <w:rsid w:val="002A2EE3"/>
    <w:rsid w:val="002A449A"/>
    <w:rsid w:val="002A4D70"/>
    <w:rsid w:val="002A6DF4"/>
    <w:rsid w:val="002B1CB1"/>
    <w:rsid w:val="002B1F66"/>
    <w:rsid w:val="002B31B3"/>
    <w:rsid w:val="002B433A"/>
    <w:rsid w:val="002B61A8"/>
    <w:rsid w:val="002B6EBE"/>
    <w:rsid w:val="002B79D4"/>
    <w:rsid w:val="002C1E00"/>
    <w:rsid w:val="002C5722"/>
    <w:rsid w:val="002C639B"/>
    <w:rsid w:val="002C6C1B"/>
    <w:rsid w:val="002D0895"/>
    <w:rsid w:val="002D1328"/>
    <w:rsid w:val="002D3036"/>
    <w:rsid w:val="002D5D7B"/>
    <w:rsid w:val="002D5DF2"/>
    <w:rsid w:val="002D6914"/>
    <w:rsid w:val="002D6DF0"/>
    <w:rsid w:val="002D7862"/>
    <w:rsid w:val="002D7FFA"/>
    <w:rsid w:val="002E0F72"/>
    <w:rsid w:val="002E27B4"/>
    <w:rsid w:val="002E2C3D"/>
    <w:rsid w:val="002E3B38"/>
    <w:rsid w:val="002E55EA"/>
    <w:rsid w:val="002E5604"/>
    <w:rsid w:val="002E7158"/>
    <w:rsid w:val="002F2E20"/>
    <w:rsid w:val="002F479A"/>
    <w:rsid w:val="002F54F3"/>
    <w:rsid w:val="002F56DB"/>
    <w:rsid w:val="002F5A14"/>
    <w:rsid w:val="002F6A95"/>
    <w:rsid w:val="00303038"/>
    <w:rsid w:val="0030318A"/>
    <w:rsid w:val="00306734"/>
    <w:rsid w:val="00306DBA"/>
    <w:rsid w:val="00310426"/>
    <w:rsid w:val="00310974"/>
    <w:rsid w:val="00310A5F"/>
    <w:rsid w:val="00313E45"/>
    <w:rsid w:val="00315135"/>
    <w:rsid w:val="00315D13"/>
    <w:rsid w:val="003167E5"/>
    <w:rsid w:val="00320FCE"/>
    <w:rsid w:val="003218F7"/>
    <w:rsid w:val="003223F8"/>
    <w:rsid w:val="0032292A"/>
    <w:rsid w:val="00322D92"/>
    <w:rsid w:val="00323110"/>
    <w:rsid w:val="0032486D"/>
    <w:rsid w:val="003260C0"/>
    <w:rsid w:val="003266E1"/>
    <w:rsid w:val="00326B5A"/>
    <w:rsid w:val="003275D0"/>
    <w:rsid w:val="003279FD"/>
    <w:rsid w:val="003305E3"/>
    <w:rsid w:val="003326BE"/>
    <w:rsid w:val="003327F8"/>
    <w:rsid w:val="00335F19"/>
    <w:rsid w:val="003363C7"/>
    <w:rsid w:val="00341177"/>
    <w:rsid w:val="00341311"/>
    <w:rsid w:val="00342BF7"/>
    <w:rsid w:val="00343B25"/>
    <w:rsid w:val="00345892"/>
    <w:rsid w:val="00345B8E"/>
    <w:rsid w:val="00346E1B"/>
    <w:rsid w:val="0034754E"/>
    <w:rsid w:val="00351ACA"/>
    <w:rsid w:val="00351FD9"/>
    <w:rsid w:val="00352AE5"/>
    <w:rsid w:val="00354D41"/>
    <w:rsid w:val="00356ED9"/>
    <w:rsid w:val="00357648"/>
    <w:rsid w:val="00357AF7"/>
    <w:rsid w:val="00360662"/>
    <w:rsid w:val="00362FDF"/>
    <w:rsid w:val="00371F53"/>
    <w:rsid w:val="00372D2E"/>
    <w:rsid w:val="00372E1B"/>
    <w:rsid w:val="00373680"/>
    <w:rsid w:val="003743C8"/>
    <w:rsid w:val="00382CF8"/>
    <w:rsid w:val="00383294"/>
    <w:rsid w:val="00383F3F"/>
    <w:rsid w:val="00384342"/>
    <w:rsid w:val="003849ED"/>
    <w:rsid w:val="00385A4C"/>
    <w:rsid w:val="003867E6"/>
    <w:rsid w:val="00386F13"/>
    <w:rsid w:val="00387A5D"/>
    <w:rsid w:val="003901B8"/>
    <w:rsid w:val="00391E22"/>
    <w:rsid w:val="00392981"/>
    <w:rsid w:val="003929A7"/>
    <w:rsid w:val="00395CFA"/>
    <w:rsid w:val="003964BA"/>
    <w:rsid w:val="003A2059"/>
    <w:rsid w:val="003A21E4"/>
    <w:rsid w:val="003A27D2"/>
    <w:rsid w:val="003A2D7B"/>
    <w:rsid w:val="003A318E"/>
    <w:rsid w:val="003A344F"/>
    <w:rsid w:val="003A3DCE"/>
    <w:rsid w:val="003A44FA"/>
    <w:rsid w:val="003A5BF4"/>
    <w:rsid w:val="003A671A"/>
    <w:rsid w:val="003A74BF"/>
    <w:rsid w:val="003B122C"/>
    <w:rsid w:val="003B2756"/>
    <w:rsid w:val="003B5F7E"/>
    <w:rsid w:val="003C1FF5"/>
    <w:rsid w:val="003C288C"/>
    <w:rsid w:val="003C31EE"/>
    <w:rsid w:val="003C52CF"/>
    <w:rsid w:val="003C7636"/>
    <w:rsid w:val="003C7721"/>
    <w:rsid w:val="003D081D"/>
    <w:rsid w:val="003D2E2F"/>
    <w:rsid w:val="003D44F4"/>
    <w:rsid w:val="003E0E66"/>
    <w:rsid w:val="003E2E17"/>
    <w:rsid w:val="003E4982"/>
    <w:rsid w:val="003E63B3"/>
    <w:rsid w:val="003E6E05"/>
    <w:rsid w:val="003E7AA9"/>
    <w:rsid w:val="003F2808"/>
    <w:rsid w:val="003F6091"/>
    <w:rsid w:val="004016E7"/>
    <w:rsid w:val="00403152"/>
    <w:rsid w:val="00403AAA"/>
    <w:rsid w:val="00405831"/>
    <w:rsid w:val="00406000"/>
    <w:rsid w:val="00406699"/>
    <w:rsid w:val="00407149"/>
    <w:rsid w:val="00412707"/>
    <w:rsid w:val="00413539"/>
    <w:rsid w:val="0041396D"/>
    <w:rsid w:val="00415A92"/>
    <w:rsid w:val="00416B02"/>
    <w:rsid w:val="0041730D"/>
    <w:rsid w:val="00417BAD"/>
    <w:rsid w:val="00420E02"/>
    <w:rsid w:val="004228CD"/>
    <w:rsid w:val="004229E4"/>
    <w:rsid w:val="0042527A"/>
    <w:rsid w:val="00425CD3"/>
    <w:rsid w:val="00426354"/>
    <w:rsid w:val="004273CE"/>
    <w:rsid w:val="004309E9"/>
    <w:rsid w:val="00430A22"/>
    <w:rsid w:val="00431D7C"/>
    <w:rsid w:val="0043695A"/>
    <w:rsid w:val="00436BA1"/>
    <w:rsid w:val="00437C95"/>
    <w:rsid w:val="00441E77"/>
    <w:rsid w:val="00443639"/>
    <w:rsid w:val="004450BD"/>
    <w:rsid w:val="004453CE"/>
    <w:rsid w:val="00445A3B"/>
    <w:rsid w:val="00445A48"/>
    <w:rsid w:val="00445C4E"/>
    <w:rsid w:val="00445FE0"/>
    <w:rsid w:val="00446742"/>
    <w:rsid w:val="00451A9F"/>
    <w:rsid w:val="0045475F"/>
    <w:rsid w:val="00455727"/>
    <w:rsid w:val="0045669C"/>
    <w:rsid w:val="00457652"/>
    <w:rsid w:val="00462000"/>
    <w:rsid w:val="0046505A"/>
    <w:rsid w:val="00466C98"/>
    <w:rsid w:val="00467C3F"/>
    <w:rsid w:val="00467CE4"/>
    <w:rsid w:val="0047142C"/>
    <w:rsid w:val="0047710F"/>
    <w:rsid w:val="00481777"/>
    <w:rsid w:val="00482839"/>
    <w:rsid w:val="00483D03"/>
    <w:rsid w:val="00484F10"/>
    <w:rsid w:val="00485853"/>
    <w:rsid w:val="0049083E"/>
    <w:rsid w:val="00490BDE"/>
    <w:rsid w:val="00494504"/>
    <w:rsid w:val="004957EC"/>
    <w:rsid w:val="00495856"/>
    <w:rsid w:val="00496F8D"/>
    <w:rsid w:val="004A2EC3"/>
    <w:rsid w:val="004A568F"/>
    <w:rsid w:val="004A7400"/>
    <w:rsid w:val="004A7988"/>
    <w:rsid w:val="004B1971"/>
    <w:rsid w:val="004B1D62"/>
    <w:rsid w:val="004B201A"/>
    <w:rsid w:val="004B41B9"/>
    <w:rsid w:val="004B4A44"/>
    <w:rsid w:val="004B591E"/>
    <w:rsid w:val="004B64F3"/>
    <w:rsid w:val="004C33EA"/>
    <w:rsid w:val="004C36CF"/>
    <w:rsid w:val="004C4A3E"/>
    <w:rsid w:val="004C5550"/>
    <w:rsid w:val="004C59EA"/>
    <w:rsid w:val="004C5E29"/>
    <w:rsid w:val="004C65C6"/>
    <w:rsid w:val="004C660D"/>
    <w:rsid w:val="004C7E92"/>
    <w:rsid w:val="004D0699"/>
    <w:rsid w:val="004D1529"/>
    <w:rsid w:val="004D19CE"/>
    <w:rsid w:val="004D23F6"/>
    <w:rsid w:val="004D2ED0"/>
    <w:rsid w:val="004D4522"/>
    <w:rsid w:val="004D740B"/>
    <w:rsid w:val="004E01E9"/>
    <w:rsid w:val="004E37D4"/>
    <w:rsid w:val="004E3E40"/>
    <w:rsid w:val="004E4C69"/>
    <w:rsid w:val="004E570D"/>
    <w:rsid w:val="004E5E1A"/>
    <w:rsid w:val="004E6400"/>
    <w:rsid w:val="004E642E"/>
    <w:rsid w:val="004E6924"/>
    <w:rsid w:val="004E6A61"/>
    <w:rsid w:val="004E6E33"/>
    <w:rsid w:val="004E702A"/>
    <w:rsid w:val="004F0C2D"/>
    <w:rsid w:val="004F3D7E"/>
    <w:rsid w:val="004F4630"/>
    <w:rsid w:val="004F521E"/>
    <w:rsid w:val="004F6FEE"/>
    <w:rsid w:val="00500EB4"/>
    <w:rsid w:val="00501CD2"/>
    <w:rsid w:val="00503974"/>
    <w:rsid w:val="0050439B"/>
    <w:rsid w:val="005045A7"/>
    <w:rsid w:val="00504833"/>
    <w:rsid w:val="0050518A"/>
    <w:rsid w:val="0050529F"/>
    <w:rsid w:val="00506A51"/>
    <w:rsid w:val="00507E30"/>
    <w:rsid w:val="005110C3"/>
    <w:rsid w:val="005116D8"/>
    <w:rsid w:val="00511A0F"/>
    <w:rsid w:val="005124A8"/>
    <w:rsid w:val="00514B5E"/>
    <w:rsid w:val="005157C1"/>
    <w:rsid w:val="00515954"/>
    <w:rsid w:val="00515B83"/>
    <w:rsid w:val="00515E3D"/>
    <w:rsid w:val="00516B65"/>
    <w:rsid w:val="00516D93"/>
    <w:rsid w:val="005208AC"/>
    <w:rsid w:val="00521CB0"/>
    <w:rsid w:val="0052286C"/>
    <w:rsid w:val="00522AB9"/>
    <w:rsid w:val="00523712"/>
    <w:rsid w:val="0052642F"/>
    <w:rsid w:val="005265B9"/>
    <w:rsid w:val="005307E8"/>
    <w:rsid w:val="0053175E"/>
    <w:rsid w:val="00533533"/>
    <w:rsid w:val="00534CCB"/>
    <w:rsid w:val="00535C99"/>
    <w:rsid w:val="00535E24"/>
    <w:rsid w:val="00537E02"/>
    <w:rsid w:val="0054242A"/>
    <w:rsid w:val="00542718"/>
    <w:rsid w:val="00543224"/>
    <w:rsid w:val="005440F6"/>
    <w:rsid w:val="00544CCD"/>
    <w:rsid w:val="0054557A"/>
    <w:rsid w:val="00546DD6"/>
    <w:rsid w:val="00547869"/>
    <w:rsid w:val="0055172C"/>
    <w:rsid w:val="005542D5"/>
    <w:rsid w:val="0055569F"/>
    <w:rsid w:val="0055771D"/>
    <w:rsid w:val="005609B0"/>
    <w:rsid w:val="00560CA3"/>
    <w:rsid w:val="00560D15"/>
    <w:rsid w:val="00565055"/>
    <w:rsid w:val="00565635"/>
    <w:rsid w:val="0056695D"/>
    <w:rsid w:val="00567FCF"/>
    <w:rsid w:val="00570765"/>
    <w:rsid w:val="00570A53"/>
    <w:rsid w:val="00571521"/>
    <w:rsid w:val="005719C0"/>
    <w:rsid w:val="005730C7"/>
    <w:rsid w:val="005732BD"/>
    <w:rsid w:val="005733F9"/>
    <w:rsid w:val="00573E59"/>
    <w:rsid w:val="0057490F"/>
    <w:rsid w:val="00574D4D"/>
    <w:rsid w:val="00575295"/>
    <w:rsid w:val="00575EE8"/>
    <w:rsid w:val="00581979"/>
    <w:rsid w:val="00581C01"/>
    <w:rsid w:val="0058242D"/>
    <w:rsid w:val="00582C22"/>
    <w:rsid w:val="00584402"/>
    <w:rsid w:val="005845CB"/>
    <w:rsid w:val="0058498A"/>
    <w:rsid w:val="00586350"/>
    <w:rsid w:val="00586CDB"/>
    <w:rsid w:val="005901D2"/>
    <w:rsid w:val="00591977"/>
    <w:rsid w:val="0059238A"/>
    <w:rsid w:val="0059281C"/>
    <w:rsid w:val="0059385E"/>
    <w:rsid w:val="0059461A"/>
    <w:rsid w:val="005954BF"/>
    <w:rsid w:val="0059567F"/>
    <w:rsid w:val="00597520"/>
    <w:rsid w:val="005A18C5"/>
    <w:rsid w:val="005A3ED5"/>
    <w:rsid w:val="005A511C"/>
    <w:rsid w:val="005A7CF6"/>
    <w:rsid w:val="005B03FE"/>
    <w:rsid w:val="005B317D"/>
    <w:rsid w:val="005B42EE"/>
    <w:rsid w:val="005B4F7A"/>
    <w:rsid w:val="005B537E"/>
    <w:rsid w:val="005B7C71"/>
    <w:rsid w:val="005C2B39"/>
    <w:rsid w:val="005C2C5E"/>
    <w:rsid w:val="005C310A"/>
    <w:rsid w:val="005C4A6B"/>
    <w:rsid w:val="005C661F"/>
    <w:rsid w:val="005D2A59"/>
    <w:rsid w:val="005D4F75"/>
    <w:rsid w:val="005D7D03"/>
    <w:rsid w:val="005F0C00"/>
    <w:rsid w:val="005F15ED"/>
    <w:rsid w:val="005F33F2"/>
    <w:rsid w:val="005F460C"/>
    <w:rsid w:val="005F51F6"/>
    <w:rsid w:val="005F5D57"/>
    <w:rsid w:val="005F74D0"/>
    <w:rsid w:val="00600404"/>
    <w:rsid w:val="0060117A"/>
    <w:rsid w:val="00601250"/>
    <w:rsid w:val="006073EC"/>
    <w:rsid w:val="00612E14"/>
    <w:rsid w:val="00617F30"/>
    <w:rsid w:val="006231CF"/>
    <w:rsid w:val="0062598A"/>
    <w:rsid w:val="00625A52"/>
    <w:rsid w:val="0062686B"/>
    <w:rsid w:val="00633A74"/>
    <w:rsid w:val="00633CB0"/>
    <w:rsid w:val="00637549"/>
    <w:rsid w:val="0064075C"/>
    <w:rsid w:val="00642A6F"/>
    <w:rsid w:val="00642E50"/>
    <w:rsid w:val="006451E6"/>
    <w:rsid w:val="00646049"/>
    <w:rsid w:val="00647FBA"/>
    <w:rsid w:val="0065142F"/>
    <w:rsid w:val="00651846"/>
    <w:rsid w:val="0065268F"/>
    <w:rsid w:val="0065391A"/>
    <w:rsid w:val="0065591E"/>
    <w:rsid w:val="0065679C"/>
    <w:rsid w:val="00657108"/>
    <w:rsid w:val="00657D62"/>
    <w:rsid w:val="00663306"/>
    <w:rsid w:val="00663909"/>
    <w:rsid w:val="00663AC9"/>
    <w:rsid w:val="00663E95"/>
    <w:rsid w:val="006659FF"/>
    <w:rsid w:val="006671BC"/>
    <w:rsid w:val="00667BF5"/>
    <w:rsid w:val="0067299B"/>
    <w:rsid w:val="00673287"/>
    <w:rsid w:val="00674A45"/>
    <w:rsid w:val="00680679"/>
    <w:rsid w:val="0068146D"/>
    <w:rsid w:val="00682458"/>
    <w:rsid w:val="00682DB1"/>
    <w:rsid w:val="00683E4E"/>
    <w:rsid w:val="00683FFB"/>
    <w:rsid w:val="0068415C"/>
    <w:rsid w:val="00685BB0"/>
    <w:rsid w:val="006874BD"/>
    <w:rsid w:val="0068768A"/>
    <w:rsid w:val="00687B2F"/>
    <w:rsid w:val="00690BEA"/>
    <w:rsid w:val="00695279"/>
    <w:rsid w:val="00697C69"/>
    <w:rsid w:val="006A0A59"/>
    <w:rsid w:val="006A0B68"/>
    <w:rsid w:val="006A5742"/>
    <w:rsid w:val="006A7AE1"/>
    <w:rsid w:val="006B0F12"/>
    <w:rsid w:val="006B33A7"/>
    <w:rsid w:val="006B5B4B"/>
    <w:rsid w:val="006C1223"/>
    <w:rsid w:val="006C1260"/>
    <w:rsid w:val="006C2232"/>
    <w:rsid w:val="006C5025"/>
    <w:rsid w:val="006C5BEB"/>
    <w:rsid w:val="006C6800"/>
    <w:rsid w:val="006C7BDA"/>
    <w:rsid w:val="006D0BC5"/>
    <w:rsid w:val="006D172D"/>
    <w:rsid w:val="006D2239"/>
    <w:rsid w:val="006D2CF2"/>
    <w:rsid w:val="006D2E37"/>
    <w:rsid w:val="006D34C3"/>
    <w:rsid w:val="006D4F29"/>
    <w:rsid w:val="006D69ED"/>
    <w:rsid w:val="006E0699"/>
    <w:rsid w:val="006E06BD"/>
    <w:rsid w:val="006E327C"/>
    <w:rsid w:val="006E5523"/>
    <w:rsid w:val="006E7795"/>
    <w:rsid w:val="006E7E9F"/>
    <w:rsid w:val="006E7FA8"/>
    <w:rsid w:val="006F00DB"/>
    <w:rsid w:val="006F21C4"/>
    <w:rsid w:val="006F4623"/>
    <w:rsid w:val="006F4B40"/>
    <w:rsid w:val="006F4E28"/>
    <w:rsid w:val="00701FEA"/>
    <w:rsid w:val="007040D1"/>
    <w:rsid w:val="00705A00"/>
    <w:rsid w:val="007069F7"/>
    <w:rsid w:val="00706DE1"/>
    <w:rsid w:val="00710059"/>
    <w:rsid w:val="00710337"/>
    <w:rsid w:val="00710F47"/>
    <w:rsid w:val="007110C9"/>
    <w:rsid w:val="00712349"/>
    <w:rsid w:val="00712589"/>
    <w:rsid w:val="00712FCE"/>
    <w:rsid w:val="007131CA"/>
    <w:rsid w:val="00714BA3"/>
    <w:rsid w:val="00715180"/>
    <w:rsid w:val="0071537B"/>
    <w:rsid w:val="007167AE"/>
    <w:rsid w:val="00720485"/>
    <w:rsid w:val="00721098"/>
    <w:rsid w:val="007230FF"/>
    <w:rsid w:val="0072495B"/>
    <w:rsid w:val="007311E0"/>
    <w:rsid w:val="00733383"/>
    <w:rsid w:val="007360D3"/>
    <w:rsid w:val="0073644C"/>
    <w:rsid w:val="00736B20"/>
    <w:rsid w:val="00736D2D"/>
    <w:rsid w:val="00737641"/>
    <w:rsid w:val="00737C72"/>
    <w:rsid w:val="0074347B"/>
    <w:rsid w:val="007452F9"/>
    <w:rsid w:val="00745DC9"/>
    <w:rsid w:val="0074660C"/>
    <w:rsid w:val="00747531"/>
    <w:rsid w:val="00747B69"/>
    <w:rsid w:val="00750E77"/>
    <w:rsid w:val="00751449"/>
    <w:rsid w:val="00753329"/>
    <w:rsid w:val="00755D95"/>
    <w:rsid w:val="00756B0E"/>
    <w:rsid w:val="00757BAA"/>
    <w:rsid w:val="00760C24"/>
    <w:rsid w:val="00762064"/>
    <w:rsid w:val="00762B9C"/>
    <w:rsid w:val="0076378E"/>
    <w:rsid w:val="00763999"/>
    <w:rsid w:val="00766491"/>
    <w:rsid w:val="00766BCF"/>
    <w:rsid w:val="00767F39"/>
    <w:rsid w:val="007705BC"/>
    <w:rsid w:val="007726E1"/>
    <w:rsid w:val="00774502"/>
    <w:rsid w:val="00774F4B"/>
    <w:rsid w:val="007839BB"/>
    <w:rsid w:val="007852C0"/>
    <w:rsid w:val="00785307"/>
    <w:rsid w:val="00787573"/>
    <w:rsid w:val="00790149"/>
    <w:rsid w:val="00791DB8"/>
    <w:rsid w:val="0079256F"/>
    <w:rsid w:val="00792FC9"/>
    <w:rsid w:val="0079307B"/>
    <w:rsid w:val="007941CF"/>
    <w:rsid w:val="00796F48"/>
    <w:rsid w:val="007A1A1D"/>
    <w:rsid w:val="007A1A4C"/>
    <w:rsid w:val="007A2A5E"/>
    <w:rsid w:val="007A3C6A"/>
    <w:rsid w:val="007A427E"/>
    <w:rsid w:val="007A4655"/>
    <w:rsid w:val="007A5821"/>
    <w:rsid w:val="007A6844"/>
    <w:rsid w:val="007A6B87"/>
    <w:rsid w:val="007B0EBF"/>
    <w:rsid w:val="007B12EF"/>
    <w:rsid w:val="007B51E2"/>
    <w:rsid w:val="007B6F81"/>
    <w:rsid w:val="007C08B4"/>
    <w:rsid w:val="007C1C4D"/>
    <w:rsid w:val="007D015E"/>
    <w:rsid w:val="007D0905"/>
    <w:rsid w:val="007D0A64"/>
    <w:rsid w:val="007D5717"/>
    <w:rsid w:val="007D5D8D"/>
    <w:rsid w:val="007D608D"/>
    <w:rsid w:val="007D7EE0"/>
    <w:rsid w:val="007E0C33"/>
    <w:rsid w:val="007E10A5"/>
    <w:rsid w:val="007E128F"/>
    <w:rsid w:val="007E147C"/>
    <w:rsid w:val="007E2A95"/>
    <w:rsid w:val="007E3474"/>
    <w:rsid w:val="007E3D71"/>
    <w:rsid w:val="007E5BB1"/>
    <w:rsid w:val="007F0036"/>
    <w:rsid w:val="007F1B89"/>
    <w:rsid w:val="007F2841"/>
    <w:rsid w:val="007F3E30"/>
    <w:rsid w:val="007F5830"/>
    <w:rsid w:val="0080096B"/>
    <w:rsid w:val="00800B90"/>
    <w:rsid w:val="00802A66"/>
    <w:rsid w:val="00804089"/>
    <w:rsid w:val="00805ADD"/>
    <w:rsid w:val="00806950"/>
    <w:rsid w:val="008103A0"/>
    <w:rsid w:val="008104C4"/>
    <w:rsid w:val="00810DE3"/>
    <w:rsid w:val="00821541"/>
    <w:rsid w:val="00821A06"/>
    <w:rsid w:val="008220F3"/>
    <w:rsid w:val="00822273"/>
    <w:rsid w:val="008235DB"/>
    <w:rsid w:val="00823FCA"/>
    <w:rsid w:val="00826FE4"/>
    <w:rsid w:val="00827103"/>
    <w:rsid w:val="00830647"/>
    <w:rsid w:val="00830E80"/>
    <w:rsid w:val="00832911"/>
    <w:rsid w:val="00833071"/>
    <w:rsid w:val="008339D0"/>
    <w:rsid w:val="00833EB7"/>
    <w:rsid w:val="0083592B"/>
    <w:rsid w:val="008359D7"/>
    <w:rsid w:val="008402C2"/>
    <w:rsid w:val="0084092F"/>
    <w:rsid w:val="00843333"/>
    <w:rsid w:val="00844C87"/>
    <w:rsid w:val="00845E3F"/>
    <w:rsid w:val="00846291"/>
    <w:rsid w:val="00850A87"/>
    <w:rsid w:val="008532FB"/>
    <w:rsid w:val="008540F0"/>
    <w:rsid w:val="008568C0"/>
    <w:rsid w:val="00864874"/>
    <w:rsid w:val="00867850"/>
    <w:rsid w:val="00871CA1"/>
    <w:rsid w:val="00874F47"/>
    <w:rsid w:val="00876E3F"/>
    <w:rsid w:val="00877D87"/>
    <w:rsid w:val="00880255"/>
    <w:rsid w:val="00880A0C"/>
    <w:rsid w:val="008810FA"/>
    <w:rsid w:val="00884878"/>
    <w:rsid w:val="00885B9C"/>
    <w:rsid w:val="00886C91"/>
    <w:rsid w:val="00886D18"/>
    <w:rsid w:val="00887B22"/>
    <w:rsid w:val="00892303"/>
    <w:rsid w:val="00892E00"/>
    <w:rsid w:val="00896927"/>
    <w:rsid w:val="00897E16"/>
    <w:rsid w:val="008A144E"/>
    <w:rsid w:val="008A1632"/>
    <w:rsid w:val="008A310A"/>
    <w:rsid w:val="008A3EB1"/>
    <w:rsid w:val="008A6603"/>
    <w:rsid w:val="008B5F65"/>
    <w:rsid w:val="008C0FBD"/>
    <w:rsid w:val="008C4903"/>
    <w:rsid w:val="008C5617"/>
    <w:rsid w:val="008C6687"/>
    <w:rsid w:val="008C70BD"/>
    <w:rsid w:val="008C79C7"/>
    <w:rsid w:val="008C7AC8"/>
    <w:rsid w:val="008D0242"/>
    <w:rsid w:val="008D0648"/>
    <w:rsid w:val="008D1FBE"/>
    <w:rsid w:val="008D23EE"/>
    <w:rsid w:val="008D27EF"/>
    <w:rsid w:val="008D280D"/>
    <w:rsid w:val="008D28DF"/>
    <w:rsid w:val="008D2DC8"/>
    <w:rsid w:val="008D34F9"/>
    <w:rsid w:val="008D3D46"/>
    <w:rsid w:val="008D745E"/>
    <w:rsid w:val="008E29AB"/>
    <w:rsid w:val="008E44A5"/>
    <w:rsid w:val="008E4EF2"/>
    <w:rsid w:val="008F06F2"/>
    <w:rsid w:val="008F0F70"/>
    <w:rsid w:val="008F1E28"/>
    <w:rsid w:val="008F4C4B"/>
    <w:rsid w:val="008F5D80"/>
    <w:rsid w:val="008F7B8C"/>
    <w:rsid w:val="009006D2"/>
    <w:rsid w:val="0090331C"/>
    <w:rsid w:val="00906A81"/>
    <w:rsid w:val="00907A9B"/>
    <w:rsid w:val="009103F3"/>
    <w:rsid w:val="009126A4"/>
    <w:rsid w:val="00912F16"/>
    <w:rsid w:val="00915563"/>
    <w:rsid w:val="009163AF"/>
    <w:rsid w:val="0091688F"/>
    <w:rsid w:val="00916D52"/>
    <w:rsid w:val="00921B7A"/>
    <w:rsid w:val="00923D3D"/>
    <w:rsid w:val="00923F25"/>
    <w:rsid w:val="00924CCB"/>
    <w:rsid w:val="0092520A"/>
    <w:rsid w:val="00925575"/>
    <w:rsid w:val="00927978"/>
    <w:rsid w:val="00932FAD"/>
    <w:rsid w:val="00936ECF"/>
    <w:rsid w:val="00937307"/>
    <w:rsid w:val="00937CB2"/>
    <w:rsid w:val="00937F28"/>
    <w:rsid w:val="009439AA"/>
    <w:rsid w:val="009445BA"/>
    <w:rsid w:val="00945130"/>
    <w:rsid w:val="00945B0A"/>
    <w:rsid w:val="00946F68"/>
    <w:rsid w:val="009475F3"/>
    <w:rsid w:val="00950469"/>
    <w:rsid w:val="00951562"/>
    <w:rsid w:val="00951651"/>
    <w:rsid w:val="00953CAB"/>
    <w:rsid w:val="00954EF3"/>
    <w:rsid w:val="0095603B"/>
    <w:rsid w:val="00957948"/>
    <w:rsid w:val="009614FF"/>
    <w:rsid w:val="00961528"/>
    <w:rsid w:val="009668EF"/>
    <w:rsid w:val="009713CF"/>
    <w:rsid w:val="00971D1B"/>
    <w:rsid w:val="009729A9"/>
    <w:rsid w:val="00974DDA"/>
    <w:rsid w:val="009761F8"/>
    <w:rsid w:val="00976AF1"/>
    <w:rsid w:val="00976FB3"/>
    <w:rsid w:val="0098030D"/>
    <w:rsid w:val="00981B13"/>
    <w:rsid w:val="00981E62"/>
    <w:rsid w:val="00991191"/>
    <w:rsid w:val="009928E1"/>
    <w:rsid w:val="00992F9C"/>
    <w:rsid w:val="0099488A"/>
    <w:rsid w:val="00994D57"/>
    <w:rsid w:val="00996460"/>
    <w:rsid w:val="0099677B"/>
    <w:rsid w:val="009A0AA8"/>
    <w:rsid w:val="009A1E07"/>
    <w:rsid w:val="009A25EB"/>
    <w:rsid w:val="009A290D"/>
    <w:rsid w:val="009A5B21"/>
    <w:rsid w:val="009A62D9"/>
    <w:rsid w:val="009B3261"/>
    <w:rsid w:val="009B5190"/>
    <w:rsid w:val="009B5381"/>
    <w:rsid w:val="009B5D2A"/>
    <w:rsid w:val="009B654F"/>
    <w:rsid w:val="009C009B"/>
    <w:rsid w:val="009C16DF"/>
    <w:rsid w:val="009C179E"/>
    <w:rsid w:val="009C1FDC"/>
    <w:rsid w:val="009C2407"/>
    <w:rsid w:val="009C4804"/>
    <w:rsid w:val="009D104E"/>
    <w:rsid w:val="009D148A"/>
    <w:rsid w:val="009D1FDF"/>
    <w:rsid w:val="009D3524"/>
    <w:rsid w:val="009D4AF0"/>
    <w:rsid w:val="009D5236"/>
    <w:rsid w:val="009E1667"/>
    <w:rsid w:val="009E1CA8"/>
    <w:rsid w:val="009E28E1"/>
    <w:rsid w:val="009E2D37"/>
    <w:rsid w:val="009E38C1"/>
    <w:rsid w:val="009E556D"/>
    <w:rsid w:val="009E6780"/>
    <w:rsid w:val="009E79EC"/>
    <w:rsid w:val="009F2896"/>
    <w:rsid w:val="009F3569"/>
    <w:rsid w:val="009F4D99"/>
    <w:rsid w:val="009F50F0"/>
    <w:rsid w:val="009F5888"/>
    <w:rsid w:val="00A01327"/>
    <w:rsid w:val="00A018E7"/>
    <w:rsid w:val="00A03911"/>
    <w:rsid w:val="00A05140"/>
    <w:rsid w:val="00A06FC9"/>
    <w:rsid w:val="00A10DE1"/>
    <w:rsid w:val="00A11D59"/>
    <w:rsid w:val="00A123C7"/>
    <w:rsid w:val="00A12D4F"/>
    <w:rsid w:val="00A13029"/>
    <w:rsid w:val="00A13A17"/>
    <w:rsid w:val="00A13DA3"/>
    <w:rsid w:val="00A14E44"/>
    <w:rsid w:val="00A14E66"/>
    <w:rsid w:val="00A20730"/>
    <w:rsid w:val="00A20887"/>
    <w:rsid w:val="00A22538"/>
    <w:rsid w:val="00A232AC"/>
    <w:rsid w:val="00A27E2B"/>
    <w:rsid w:val="00A328FB"/>
    <w:rsid w:val="00A33B7B"/>
    <w:rsid w:val="00A34039"/>
    <w:rsid w:val="00A3552E"/>
    <w:rsid w:val="00A35E94"/>
    <w:rsid w:val="00A36449"/>
    <w:rsid w:val="00A414EE"/>
    <w:rsid w:val="00A417ED"/>
    <w:rsid w:val="00A417FA"/>
    <w:rsid w:val="00A42760"/>
    <w:rsid w:val="00A443C7"/>
    <w:rsid w:val="00A458B3"/>
    <w:rsid w:val="00A45B60"/>
    <w:rsid w:val="00A45E73"/>
    <w:rsid w:val="00A45E91"/>
    <w:rsid w:val="00A5117E"/>
    <w:rsid w:val="00A5551F"/>
    <w:rsid w:val="00A61B0C"/>
    <w:rsid w:val="00A62E17"/>
    <w:rsid w:val="00A65013"/>
    <w:rsid w:val="00A65CAA"/>
    <w:rsid w:val="00A662CF"/>
    <w:rsid w:val="00A66DD6"/>
    <w:rsid w:val="00A67739"/>
    <w:rsid w:val="00A766FD"/>
    <w:rsid w:val="00A80353"/>
    <w:rsid w:val="00A820E7"/>
    <w:rsid w:val="00A82DF8"/>
    <w:rsid w:val="00A83F20"/>
    <w:rsid w:val="00A851F8"/>
    <w:rsid w:val="00A9333E"/>
    <w:rsid w:val="00A94EC5"/>
    <w:rsid w:val="00A9554E"/>
    <w:rsid w:val="00A95565"/>
    <w:rsid w:val="00AA31F2"/>
    <w:rsid w:val="00AA3E62"/>
    <w:rsid w:val="00AA406C"/>
    <w:rsid w:val="00AA4F9F"/>
    <w:rsid w:val="00AA5E1B"/>
    <w:rsid w:val="00AA6DFB"/>
    <w:rsid w:val="00AA7256"/>
    <w:rsid w:val="00AA785B"/>
    <w:rsid w:val="00AB0987"/>
    <w:rsid w:val="00AB0FD3"/>
    <w:rsid w:val="00AB3900"/>
    <w:rsid w:val="00AB7215"/>
    <w:rsid w:val="00AC005D"/>
    <w:rsid w:val="00AC14DE"/>
    <w:rsid w:val="00AC2AD5"/>
    <w:rsid w:val="00AC4A41"/>
    <w:rsid w:val="00AC56C2"/>
    <w:rsid w:val="00AC5E19"/>
    <w:rsid w:val="00AC6F49"/>
    <w:rsid w:val="00AD2723"/>
    <w:rsid w:val="00AD445D"/>
    <w:rsid w:val="00AD6F47"/>
    <w:rsid w:val="00AE2781"/>
    <w:rsid w:val="00AE5C52"/>
    <w:rsid w:val="00AE6D76"/>
    <w:rsid w:val="00AE6E0A"/>
    <w:rsid w:val="00AE7A7F"/>
    <w:rsid w:val="00AE7F55"/>
    <w:rsid w:val="00AF045F"/>
    <w:rsid w:val="00AF0FA2"/>
    <w:rsid w:val="00AF0FDD"/>
    <w:rsid w:val="00AF5A70"/>
    <w:rsid w:val="00AF5C5C"/>
    <w:rsid w:val="00B03FB1"/>
    <w:rsid w:val="00B15829"/>
    <w:rsid w:val="00B16BCA"/>
    <w:rsid w:val="00B17A9D"/>
    <w:rsid w:val="00B17CF1"/>
    <w:rsid w:val="00B206FA"/>
    <w:rsid w:val="00B21C2F"/>
    <w:rsid w:val="00B22592"/>
    <w:rsid w:val="00B249B7"/>
    <w:rsid w:val="00B2764E"/>
    <w:rsid w:val="00B300DD"/>
    <w:rsid w:val="00B30E77"/>
    <w:rsid w:val="00B33F27"/>
    <w:rsid w:val="00B34B88"/>
    <w:rsid w:val="00B37026"/>
    <w:rsid w:val="00B37A25"/>
    <w:rsid w:val="00B40106"/>
    <w:rsid w:val="00B44032"/>
    <w:rsid w:val="00B44059"/>
    <w:rsid w:val="00B44802"/>
    <w:rsid w:val="00B456CC"/>
    <w:rsid w:val="00B478EF"/>
    <w:rsid w:val="00B4796B"/>
    <w:rsid w:val="00B47CB9"/>
    <w:rsid w:val="00B51BAD"/>
    <w:rsid w:val="00B528DA"/>
    <w:rsid w:val="00B53E4E"/>
    <w:rsid w:val="00B55044"/>
    <w:rsid w:val="00B55BE4"/>
    <w:rsid w:val="00B564A3"/>
    <w:rsid w:val="00B56514"/>
    <w:rsid w:val="00B56551"/>
    <w:rsid w:val="00B5743F"/>
    <w:rsid w:val="00B57AE9"/>
    <w:rsid w:val="00B57CA2"/>
    <w:rsid w:val="00B57DDC"/>
    <w:rsid w:val="00B62D7F"/>
    <w:rsid w:val="00B63521"/>
    <w:rsid w:val="00B638BD"/>
    <w:rsid w:val="00B65EB5"/>
    <w:rsid w:val="00B66555"/>
    <w:rsid w:val="00B66CF7"/>
    <w:rsid w:val="00B71672"/>
    <w:rsid w:val="00B72CEC"/>
    <w:rsid w:val="00B73156"/>
    <w:rsid w:val="00B73650"/>
    <w:rsid w:val="00B745A8"/>
    <w:rsid w:val="00B74754"/>
    <w:rsid w:val="00B74929"/>
    <w:rsid w:val="00B7716B"/>
    <w:rsid w:val="00B777E6"/>
    <w:rsid w:val="00B80134"/>
    <w:rsid w:val="00B80707"/>
    <w:rsid w:val="00B861D4"/>
    <w:rsid w:val="00B8737A"/>
    <w:rsid w:val="00B87675"/>
    <w:rsid w:val="00B910DF"/>
    <w:rsid w:val="00B922B9"/>
    <w:rsid w:val="00B92B2F"/>
    <w:rsid w:val="00B95043"/>
    <w:rsid w:val="00B9749F"/>
    <w:rsid w:val="00BA0128"/>
    <w:rsid w:val="00BA18D1"/>
    <w:rsid w:val="00BA3026"/>
    <w:rsid w:val="00BA3EFF"/>
    <w:rsid w:val="00BA4972"/>
    <w:rsid w:val="00BA5FE7"/>
    <w:rsid w:val="00BB1C24"/>
    <w:rsid w:val="00BB2580"/>
    <w:rsid w:val="00BB26D2"/>
    <w:rsid w:val="00BB27EC"/>
    <w:rsid w:val="00BB36D7"/>
    <w:rsid w:val="00BB37EE"/>
    <w:rsid w:val="00BB4AD6"/>
    <w:rsid w:val="00BB530B"/>
    <w:rsid w:val="00BB58D3"/>
    <w:rsid w:val="00BC179B"/>
    <w:rsid w:val="00BC3D6E"/>
    <w:rsid w:val="00BC432E"/>
    <w:rsid w:val="00BC6774"/>
    <w:rsid w:val="00BC6C8B"/>
    <w:rsid w:val="00BC6EEF"/>
    <w:rsid w:val="00BC7980"/>
    <w:rsid w:val="00BD28C5"/>
    <w:rsid w:val="00BD2FEE"/>
    <w:rsid w:val="00BD341A"/>
    <w:rsid w:val="00BD35F2"/>
    <w:rsid w:val="00BD4672"/>
    <w:rsid w:val="00BD4D43"/>
    <w:rsid w:val="00BD639A"/>
    <w:rsid w:val="00BD63CA"/>
    <w:rsid w:val="00BD7695"/>
    <w:rsid w:val="00BE0D5C"/>
    <w:rsid w:val="00BE0EE1"/>
    <w:rsid w:val="00BE1DE7"/>
    <w:rsid w:val="00BE4BDF"/>
    <w:rsid w:val="00BE5FED"/>
    <w:rsid w:val="00BE65E4"/>
    <w:rsid w:val="00BE7D81"/>
    <w:rsid w:val="00BF0AA7"/>
    <w:rsid w:val="00BF26CD"/>
    <w:rsid w:val="00BF2F97"/>
    <w:rsid w:val="00BF72CB"/>
    <w:rsid w:val="00C00765"/>
    <w:rsid w:val="00C00E26"/>
    <w:rsid w:val="00C03A2E"/>
    <w:rsid w:val="00C051B6"/>
    <w:rsid w:val="00C06287"/>
    <w:rsid w:val="00C12309"/>
    <w:rsid w:val="00C16990"/>
    <w:rsid w:val="00C20D5E"/>
    <w:rsid w:val="00C23583"/>
    <w:rsid w:val="00C306BD"/>
    <w:rsid w:val="00C312CC"/>
    <w:rsid w:val="00C3176D"/>
    <w:rsid w:val="00C326F0"/>
    <w:rsid w:val="00C36C67"/>
    <w:rsid w:val="00C4063D"/>
    <w:rsid w:val="00C4066A"/>
    <w:rsid w:val="00C40D0E"/>
    <w:rsid w:val="00C44983"/>
    <w:rsid w:val="00C45A07"/>
    <w:rsid w:val="00C469BA"/>
    <w:rsid w:val="00C469FC"/>
    <w:rsid w:val="00C46B7B"/>
    <w:rsid w:val="00C46F4B"/>
    <w:rsid w:val="00C51ABA"/>
    <w:rsid w:val="00C51DF7"/>
    <w:rsid w:val="00C5255D"/>
    <w:rsid w:val="00C53FFA"/>
    <w:rsid w:val="00C56BAB"/>
    <w:rsid w:val="00C57E14"/>
    <w:rsid w:val="00C602B7"/>
    <w:rsid w:val="00C60D92"/>
    <w:rsid w:val="00C65930"/>
    <w:rsid w:val="00C6757D"/>
    <w:rsid w:val="00C75AB0"/>
    <w:rsid w:val="00C82AA4"/>
    <w:rsid w:val="00C8305C"/>
    <w:rsid w:val="00C844D6"/>
    <w:rsid w:val="00C85FF6"/>
    <w:rsid w:val="00C9326B"/>
    <w:rsid w:val="00C94419"/>
    <w:rsid w:val="00C95691"/>
    <w:rsid w:val="00C96A47"/>
    <w:rsid w:val="00C970CE"/>
    <w:rsid w:val="00CA113C"/>
    <w:rsid w:val="00CA1231"/>
    <w:rsid w:val="00CA15DE"/>
    <w:rsid w:val="00CA1ECD"/>
    <w:rsid w:val="00CA4C7F"/>
    <w:rsid w:val="00CA73B3"/>
    <w:rsid w:val="00CB1255"/>
    <w:rsid w:val="00CB13B7"/>
    <w:rsid w:val="00CB6325"/>
    <w:rsid w:val="00CB7087"/>
    <w:rsid w:val="00CB723D"/>
    <w:rsid w:val="00CC0248"/>
    <w:rsid w:val="00CC41EE"/>
    <w:rsid w:val="00CD01CD"/>
    <w:rsid w:val="00CD061B"/>
    <w:rsid w:val="00CD0BF5"/>
    <w:rsid w:val="00CD0FA4"/>
    <w:rsid w:val="00CD1089"/>
    <w:rsid w:val="00CD1BCD"/>
    <w:rsid w:val="00CD41F8"/>
    <w:rsid w:val="00CD6D61"/>
    <w:rsid w:val="00CD7D66"/>
    <w:rsid w:val="00CD7FFC"/>
    <w:rsid w:val="00CE1DFB"/>
    <w:rsid w:val="00CE2C6E"/>
    <w:rsid w:val="00CE2D75"/>
    <w:rsid w:val="00CE6C66"/>
    <w:rsid w:val="00CE799B"/>
    <w:rsid w:val="00CF046A"/>
    <w:rsid w:val="00CF0CE3"/>
    <w:rsid w:val="00CF321C"/>
    <w:rsid w:val="00CF4755"/>
    <w:rsid w:val="00CF4FE6"/>
    <w:rsid w:val="00CF556F"/>
    <w:rsid w:val="00CF5974"/>
    <w:rsid w:val="00D0030F"/>
    <w:rsid w:val="00D02B36"/>
    <w:rsid w:val="00D03869"/>
    <w:rsid w:val="00D0445F"/>
    <w:rsid w:val="00D0562C"/>
    <w:rsid w:val="00D0608D"/>
    <w:rsid w:val="00D061D5"/>
    <w:rsid w:val="00D06E87"/>
    <w:rsid w:val="00D06EFC"/>
    <w:rsid w:val="00D074BF"/>
    <w:rsid w:val="00D11370"/>
    <w:rsid w:val="00D1197E"/>
    <w:rsid w:val="00D122E5"/>
    <w:rsid w:val="00D14682"/>
    <w:rsid w:val="00D1619E"/>
    <w:rsid w:val="00D206B3"/>
    <w:rsid w:val="00D219C1"/>
    <w:rsid w:val="00D22C33"/>
    <w:rsid w:val="00D27373"/>
    <w:rsid w:val="00D27EFC"/>
    <w:rsid w:val="00D30AD4"/>
    <w:rsid w:val="00D32833"/>
    <w:rsid w:val="00D32E49"/>
    <w:rsid w:val="00D33A27"/>
    <w:rsid w:val="00D33DA7"/>
    <w:rsid w:val="00D34C43"/>
    <w:rsid w:val="00D3507E"/>
    <w:rsid w:val="00D354D0"/>
    <w:rsid w:val="00D355AA"/>
    <w:rsid w:val="00D41D9A"/>
    <w:rsid w:val="00D43331"/>
    <w:rsid w:val="00D461E5"/>
    <w:rsid w:val="00D472D8"/>
    <w:rsid w:val="00D51E8C"/>
    <w:rsid w:val="00D5255B"/>
    <w:rsid w:val="00D538F6"/>
    <w:rsid w:val="00D539A5"/>
    <w:rsid w:val="00D5457D"/>
    <w:rsid w:val="00D54EF5"/>
    <w:rsid w:val="00D551E2"/>
    <w:rsid w:val="00D564B3"/>
    <w:rsid w:val="00D56FF4"/>
    <w:rsid w:val="00D61E55"/>
    <w:rsid w:val="00D6213A"/>
    <w:rsid w:val="00D64372"/>
    <w:rsid w:val="00D70223"/>
    <w:rsid w:val="00D713D4"/>
    <w:rsid w:val="00D73760"/>
    <w:rsid w:val="00D74036"/>
    <w:rsid w:val="00D753D8"/>
    <w:rsid w:val="00D763C0"/>
    <w:rsid w:val="00D802BD"/>
    <w:rsid w:val="00D808EE"/>
    <w:rsid w:val="00D868C5"/>
    <w:rsid w:val="00D87094"/>
    <w:rsid w:val="00D872D9"/>
    <w:rsid w:val="00D87A84"/>
    <w:rsid w:val="00D87FE7"/>
    <w:rsid w:val="00D91885"/>
    <w:rsid w:val="00D93663"/>
    <w:rsid w:val="00D938EA"/>
    <w:rsid w:val="00D94097"/>
    <w:rsid w:val="00D95DDC"/>
    <w:rsid w:val="00D96B60"/>
    <w:rsid w:val="00D9792B"/>
    <w:rsid w:val="00DA0634"/>
    <w:rsid w:val="00DA157D"/>
    <w:rsid w:val="00DA3A15"/>
    <w:rsid w:val="00DA3E6F"/>
    <w:rsid w:val="00DA62C5"/>
    <w:rsid w:val="00DA77A6"/>
    <w:rsid w:val="00DA7CB8"/>
    <w:rsid w:val="00DA7DA7"/>
    <w:rsid w:val="00DB0410"/>
    <w:rsid w:val="00DB0871"/>
    <w:rsid w:val="00DB0CB2"/>
    <w:rsid w:val="00DB2F1B"/>
    <w:rsid w:val="00DB4242"/>
    <w:rsid w:val="00DC08BC"/>
    <w:rsid w:val="00DC187A"/>
    <w:rsid w:val="00DC1F63"/>
    <w:rsid w:val="00DC231E"/>
    <w:rsid w:val="00DD0205"/>
    <w:rsid w:val="00DD1011"/>
    <w:rsid w:val="00DD299B"/>
    <w:rsid w:val="00DD384F"/>
    <w:rsid w:val="00DD4FDE"/>
    <w:rsid w:val="00DE0CCA"/>
    <w:rsid w:val="00DE1659"/>
    <w:rsid w:val="00DE221F"/>
    <w:rsid w:val="00DE3A2A"/>
    <w:rsid w:val="00DE55E6"/>
    <w:rsid w:val="00DE5DBB"/>
    <w:rsid w:val="00DF169D"/>
    <w:rsid w:val="00DF6C4B"/>
    <w:rsid w:val="00DF7AE1"/>
    <w:rsid w:val="00E00D97"/>
    <w:rsid w:val="00E0241F"/>
    <w:rsid w:val="00E04482"/>
    <w:rsid w:val="00E04D37"/>
    <w:rsid w:val="00E05840"/>
    <w:rsid w:val="00E07968"/>
    <w:rsid w:val="00E07AC8"/>
    <w:rsid w:val="00E10BA8"/>
    <w:rsid w:val="00E12448"/>
    <w:rsid w:val="00E1289D"/>
    <w:rsid w:val="00E14683"/>
    <w:rsid w:val="00E15678"/>
    <w:rsid w:val="00E15C6C"/>
    <w:rsid w:val="00E16CC7"/>
    <w:rsid w:val="00E174E1"/>
    <w:rsid w:val="00E207DB"/>
    <w:rsid w:val="00E21EFB"/>
    <w:rsid w:val="00E2267F"/>
    <w:rsid w:val="00E23405"/>
    <w:rsid w:val="00E235D4"/>
    <w:rsid w:val="00E25FBA"/>
    <w:rsid w:val="00E270B7"/>
    <w:rsid w:val="00E272F0"/>
    <w:rsid w:val="00E27C9F"/>
    <w:rsid w:val="00E31F08"/>
    <w:rsid w:val="00E3426E"/>
    <w:rsid w:val="00E369DF"/>
    <w:rsid w:val="00E36A50"/>
    <w:rsid w:val="00E41B22"/>
    <w:rsid w:val="00E43C87"/>
    <w:rsid w:val="00E44BDB"/>
    <w:rsid w:val="00E457BF"/>
    <w:rsid w:val="00E46E2F"/>
    <w:rsid w:val="00E528EB"/>
    <w:rsid w:val="00E5370B"/>
    <w:rsid w:val="00E55521"/>
    <w:rsid w:val="00E56811"/>
    <w:rsid w:val="00E56A3E"/>
    <w:rsid w:val="00E6139F"/>
    <w:rsid w:val="00E61E1E"/>
    <w:rsid w:val="00E62387"/>
    <w:rsid w:val="00E62882"/>
    <w:rsid w:val="00E64B3B"/>
    <w:rsid w:val="00E64FE7"/>
    <w:rsid w:val="00E677A0"/>
    <w:rsid w:val="00E67D97"/>
    <w:rsid w:val="00E71A05"/>
    <w:rsid w:val="00E71D28"/>
    <w:rsid w:val="00E742BC"/>
    <w:rsid w:val="00E76D8D"/>
    <w:rsid w:val="00E80AB0"/>
    <w:rsid w:val="00E81255"/>
    <w:rsid w:val="00E83ED9"/>
    <w:rsid w:val="00E8435E"/>
    <w:rsid w:val="00E90B9D"/>
    <w:rsid w:val="00E91188"/>
    <w:rsid w:val="00E923F1"/>
    <w:rsid w:val="00E93762"/>
    <w:rsid w:val="00E96A6F"/>
    <w:rsid w:val="00EA1B79"/>
    <w:rsid w:val="00EA42B1"/>
    <w:rsid w:val="00EA4BDE"/>
    <w:rsid w:val="00EA50DD"/>
    <w:rsid w:val="00EA58A4"/>
    <w:rsid w:val="00EA6D03"/>
    <w:rsid w:val="00EA7792"/>
    <w:rsid w:val="00EB0D89"/>
    <w:rsid w:val="00EB1D3D"/>
    <w:rsid w:val="00EB3D8A"/>
    <w:rsid w:val="00EB4AF9"/>
    <w:rsid w:val="00EB5120"/>
    <w:rsid w:val="00EB6139"/>
    <w:rsid w:val="00EB6FE9"/>
    <w:rsid w:val="00EB711D"/>
    <w:rsid w:val="00EC037A"/>
    <w:rsid w:val="00EC0476"/>
    <w:rsid w:val="00EC0EBC"/>
    <w:rsid w:val="00EC71ED"/>
    <w:rsid w:val="00EC7486"/>
    <w:rsid w:val="00ED04F4"/>
    <w:rsid w:val="00ED2536"/>
    <w:rsid w:val="00ED27A5"/>
    <w:rsid w:val="00ED6790"/>
    <w:rsid w:val="00ED7B38"/>
    <w:rsid w:val="00EE0057"/>
    <w:rsid w:val="00EE0E84"/>
    <w:rsid w:val="00EE120A"/>
    <w:rsid w:val="00EE208F"/>
    <w:rsid w:val="00EE2889"/>
    <w:rsid w:val="00EE29D4"/>
    <w:rsid w:val="00EE308D"/>
    <w:rsid w:val="00EE3440"/>
    <w:rsid w:val="00EE44C9"/>
    <w:rsid w:val="00EE45F5"/>
    <w:rsid w:val="00EE657A"/>
    <w:rsid w:val="00EF087C"/>
    <w:rsid w:val="00EF1AD1"/>
    <w:rsid w:val="00EF1BDA"/>
    <w:rsid w:val="00EF2769"/>
    <w:rsid w:val="00EF366A"/>
    <w:rsid w:val="00EF4DF3"/>
    <w:rsid w:val="00EF7621"/>
    <w:rsid w:val="00F02F28"/>
    <w:rsid w:val="00F06569"/>
    <w:rsid w:val="00F0799D"/>
    <w:rsid w:val="00F12744"/>
    <w:rsid w:val="00F13F24"/>
    <w:rsid w:val="00F1419E"/>
    <w:rsid w:val="00F1472A"/>
    <w:rsid w:val="00F16791"/>
    <w:rsid w:val="00F16EEB"/>
    <w:rsid w:val="00F17DA0"/>
    <w:rsid w:val="00F2042B"/>
    <w:rsid w:val="00F209D8"/>
    <w:rsid w:val="00F23B4B"/>
    <w:rsid w:val="00F27ED1"/>
    <w:rsid w:val="00F30CF8"/>
    <w:rsid w:val="00F31315"/>
    <w:rsid w:val="00F32F8C"/>
    <w:rsid w:val="00F3536F"/>
    <w:rsid w:val="00F36BFC"/>
    <w:rsid w:val="00F40408"/>
    <w:rsid w:val="00F42301"/>
    <w:rsid w:val="00F42F5E"/>
    <w:rsid w:val="00F43258"/>
    <w:rsid w:val="00F43B6E"/>
    <w:rsid w:val="00F43BA3"/>
    <w:rsid w:val="00F46297"/>
    <w:rsid w:val="00F46ABC"/>
    <w:rsid w:val="00F472AD"/>
    <w:rsid w:val="00F5172B"/>
    <w:rsid w:val="00F53655"/>
    <w:rsid w:val="00F53C1E"/>
    <w:rsid w:val="00F55290"/>
    <w:rsid w:val="00F55956"/>
    <w:rsid w:val="00F56CA9"/>
    <w:rsid w:val="00F6071E"/>
    <w:rsid w:val="00F614AD"/>
    <w:rsid w:val="00F616C5"/>
    <w:rsid w:val="00F62CFC"/>
    <w:rsid w:val="00F639E2"/>
    <w:rsid w:val="00F6411D"/>
    <w:rsid w:val="00F643A0"/>
    <w:rsid w:val="00F65284"/>
    <w:rsid w:val="00F65A5B"/>
    <w:rsid w:val="00F700A5"/>
    <w:rsid w:val="00F70DC7"/>
    <w:rsid w:val="00F711FF"/>
    <w:rsid w:val="00F71512"/>
    <w:rsid w:val="00F74363"/>
    <w:rsid w:val="00F74FA5"/>
    <w:rsid w:val="00F7658C"/>
    <w:rsid w:val="00F769FF"/>
    <w:rsid w:val="00F77825"/>
    <w:rsid w:val="00F77E6A"/>
    <w:rsid w:val="00F81249"/>
    <w:rsid w:val="00F81D93"/>
    <w:rsid w:val="00F831FB"/>
    <w:rsid w:val="00F84C21"/>
    <w:rsid w:val="00F86C62"/>
    <w:rsid w:val="00F87B17"/>
    <w:rsid w:val="00F907B5"/>
    <w:rsid w:val="00F92DFD"/>
    <w:rsid w:val="00F930C3"/>
    <w:rsid w:val="00F93164"/>
    <w:rsid w:val="00F93332"/>
    <w:rsid w:val="00F940A3"/>
    <w:rsid w:val="00F9413F"/>
    <w:rsid w:val="00F94A2D"/>
    <w:rsid w:val="00F94D21"/>
    <w:rsid w:val="00F94F18"/>
    <w:rsid w:val="00F958C7"/>
    <w:rsid w:val="00F95931"/>
    <w:rsid w:val="00FA11D0"/>
    <w:rsid w:val="00FA14EB"/>
    <w:rsid w:val="00FA344A"/>
    <w:rsid w:val="00FA39DE"/>
    <w:rsid w:val="00FA406D"/>
    <w:rsid w:val="00FA44DE"/>
    <w:rsid w:val="00FA4570"/>
    <w:rsid w:val="00FA690F"/>
    <w:rsid w:val="00FB0B45"/>
    <w:rsid w:val="00FB3748"/>
    <w:rsid w:val="00FB5056"/>
    <w:rsid w:val="00FB70A9"/>
    <w:rsid w:val="00FB7AB7"/>
    <w:rsid w:val="00FC015B"/>
    <w:rsid w:val="00FC019D"/>
    <w:rsid w:val="00FC0FB9"/>
    <w:rsid w:val="00FC19A6"/>
    <w:rsid w:val="00FC31E2"/>
    <w:rsid w:val="00FC3C87"/>
    <w:rsid w:val="00FD0CB0"/>
    <w:rsid w:val="00FD1315"/>
    <w:rsid w:val="00FD19F3"/>
    <w:rsid w:val="00FD53AE"/>
    <w:rsid w:val="00FD7BD8"/>
    <w:rsid w:val="00FE1536"/>
    <w:rsid w:val="00FE25EE"/>
    <w:rsid w:val="00FE4491"/>
    <w:rsid w:val="00FE5718"/>
    <w:rsid w:val="00FE5D07"/>
    <w:rsid w:val="00FE68CD"/>
    <w:rsid w:val="00FF061A"/>
    <w:rsid w:val="00FF2137"/>
    <w:rsid w:val="00FF2319"/>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ullet">
    <w:name w:val="Bullet"/>
    <w:aliases w:val="b,b + line"/>
    <w:basedOn w:val="Normal"/>
    <w:link w:val="BulletChar"/>
    <w:rsid w:val="00A65013"/>
    <w:pPr>
      <w:tabs>
        <w:tab w:val="num" w:pos="520"/>
      </w:tabs>
      <w:spacing w:after="240" w:line="320" w:lineRule="exact"/>
      <w:ind w:left="520" w:hanging="520"/>
    </w:pPr>
    <w:rPr>
      <w:rFonts w:ascii="Palatino" w:eastAsia="Times New Roman" w:hAnsi="Palatino"/>
      <w:color w:val="000000"/>
      <w:sz w:val="22"/>
      <w:szCs w:val="22"/>
    </w:rPr>
  </w:style>
  <w:style w:type="character" w:customStyle="1" w:styleId="BulletChar">
    <w:name w:val="Bullet Char"/>
    <w:aliases w:val="b Char,b + line Char Char"/>
    <w:link w:val="Bullet"/>
    <w:locked/>
    <w:rsid w:val="00A65013"/>
    <w:rPr>
      <w:rFonts w:ascii="Palatino" w:eastAsia="Times New Roman" w:hAnsi="Palatino" w:cs="Times New Roman"/>
      <w:color w:val="000000"/>
    </w:rPr>
  </w:style>
  <w:style w:type="character" w:styleId="Emphasis">
    <w:name w:val="Emphasis"/>
    <w:basedOn w:val="DefaultParagraphFont"/>
    <w:uiPriority w:val="20"/>
    <w:qFormat/>
    <w:rsid w:val="00C44983"/>
    <w:rPr>
      <w:b/>
      <w:bCs/>
      <w:i w:val="0"/>
      <w:iCs w:val="0"/>
    </w:rPr>
  </w:style>
  <w:style w:type="character" w:customStyle="1" w:styleId="st1">
    <w:name w:val="st1"/>
    <w:basedOn w:val="DefaultParagraphFont"/>
    <w:rsid w:val="00C44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11A0F"/>
    <w:pPr>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11A0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ullet">
    <w:name w:val="Bullet"/>
    <w:aliases w:val="b,b + line"/>
    <w:basedOn w:val="Normal"/>
    <w:link w:val="BulletChar"/>
    <w:rsid w:val="00A65013"/>
    <w:pPr>
      <w:tabs>
        <w:tab w:val="num" w:pos="520"/>
      </w:tabs>
      <w:spacing w:after="240" w:line="320" w:lineRule="exact"/>
      <w:ind w:left="520" w:hanging="520"/>
    </w:pPr>
    <w:rPr>
      <w:rFonts w:ascii="Palatino" w:eastAsia="Times New Roman" w:hAnsi="Palatino"/>
      <w:color w:val="000000"/>
      <w:sz w:val="22"/>
      <w:szCs w:val="22"/>
    </w:rPr>
  </w:style>
  <w:style w:type="character" w:customStyle="1" w:styleId="BulletChar">
    <w:name w:val="Bullet Char"/>
    <w:aliases w:val="b Char,b + line Char Char"/>
    <w:link w:val="Bullet"/>
    <w:locked/>
    <w:rsid w:val="00A65013"/>
    <w:rPr>
      <w:rFonts w:ascii="Palatino" w:eastAsia="Times New Roman" w:hAnsi="Palatino" w:cs="Times New Roman"/>
      <w:color w:val="000000"/>
    </w:rPr>
  </w:style>
  <w:style w:type="character" w:styleId="Emphasis">
    <w:name w:val="Emphasis"/>
    <w:basedOn w:val="DefaultParagraphFont"/>
    <w:uiPriority w:val="20"/>
    <w:qFormat/>
    <w:rsid w:val="00C44983"/>
    <w:rPr>
      <w:b/>
      <w:bCs/>
      <w:i w:val="0"/>
      <w:iCs w:val="0"/>
    </w:rPr>
  </w:style>
  <w:style w:type="character" w:customStyle="1" w:styleId="st1">
    <w:name w:val="st1"/>
    <w:basedOn w:val="DefaultParagraphFont"/>
    <w:rsid w:val="00C4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3093243">
      <w:bodyDiv w:val="1"/>
      <w:marLeft w:val="0"/>
      <w:marRight w:val="0"/>
      <w:marTop w:val="0"/>
      <w:marBottom w:val="0"/>
      <w:divBdr>
        <w:top w:val="none" w:sz="0" w:space="0" w:color="auto"/>
        <w:left w:val="none" w:sz="0" w:space="0" w:color="auto"/>
        <w:bottom w:val="none" w:sz="0" w:space="0" w:color="auto"/>
        <w:right w:val="none" w:sz="0" w:space="0" w:color="auto"/>
      </w:divBdr>
      <w:divsChild>
        <w:div w:id="7607601">
          <w:marLeft w:val="0"/>
          <w:marRight w:val="0"/>
          <w:marTop w:val="0"/>
          <w:marBottom w:val="0"/>
          <w:divBdr>
            <w:top w:val="none" w:sz="0" w:space="0" w:color="auto"/>
            <w:left w:val="none" w:sz="0" w:space="0" w:color="auto"/>
            <w:bottom w:val="none" w:sz="0" w:space="0" w:color="auto"/>
            <w:right w:val="none" w:sz="0" w:space="0" w:color="auto"/>
          </w:divBdr>
          <w:divsChild>
            <w:div w:id="502664937">
              <w:marLeft w:val="0"/>
              <w:marRight w:val="0"/>
              <w:marTop w:val="0"/>
              <w:marBottom w:val="0"/>
              <w:divBdr>
                <w:top w:val="none" w:sz="0" w:space="0" w:color="auto"/>
                <w:left w:val="none" w:sz="0" w:space="0" w:color="auto"/>
                <w:bottom w:val="none" w:sz="0" w:space="0" w:color="auto"/>
                <w:right w:val="none" w:sz="0" w:space="0" w:color="auto"/>
              </w:divBdr>
              <w:divsChild>
                <w:div w:id="1320963148">
                  <w:marLeft w:val="0"/>
                  <w:marRight w:val="0"/>
                  <w:marTop w:val="0"/>
                  <w:marBottom w:val="0"/>
                  <w:divBdr>
                    <w:top w:val="none" w:sz="0" w:space="0" w:color="auto"/>
                    <w:left w:val="none" w:sz="0" w:space="0" w:color="auto"/>
                    <w:bottom w:val="none" w:sz="0" w:space="0" w:color="auto"/>
                    <w:right w:val="none" w:sz="0" w:space="0" w:color="auto"/>
                  </w:divBdr>
                  <w:divsChild>
                    <w:div w:id="2109228726">
                      <w:marLeft w:val="0"/>
                      <w:marRight w:val="0"/>
                      <w:marTop w:val="45"/>
                      <w:marBottom w:val="0"/>
                      <w:divBdr>
                        <w:top w:val="none" w:sz="0" w:space="0" w:color="auto"/>
                        <w:left w:val="none" w:sz="0" w:space="0" w:color="auto"/>
                        <w:bottom w:val="none" w:sz="0" w:space="0" w:color="auto"/>
                        <w:right w:val="none" w:sz="0" w:space="0" w:color="auto"/>
                      </w:divBdr>
                      <w:divsChild>
                        <w:div w:id="712652560">
                          <w:marLeft w:val="0"/>
                          <w:marRight w:val="0"/>
                          <w:marTop w:val="0"/>
                          <w:marBottom w:val="0"/>
                          <w:divBdr>
                            <w:top w:val="none" w:sz="0" w:space="0" w:color="auto"/>
                            <w:left w:val="none" w:sz="0" w:space="0" w:color="auto"/>
                            <w:bottom w:val="none" w:sz="0" w:space="0" w:color="auto"/>
                            <w:right w:val="none" w:sz="0" w:space="0" w:color="auto"/>
                          </w:divBdr>
                          <w:divsChild>
                            <w:div w:id="917859040">
                              <w:marLeft w:val="10530"/>
                              <w:marRight w:val="0"/>
                              <w:marTop w:val="0"/>
                              <w:marBottom w:val="0"/>
                              <w:divBdr>
                                <w:top w:val="none" w:sz="0" w:space="0" w:color="auto"/>
                                <w:left w:val="none" w:sz="0" w:space="0" w:color="auto"/>
                                <w:bottom w:val="none" w:sz="0" w:space="0" w:color="auto"/>
                                <w:right w:val="none" w:sz="0" w:space="0" w:color="auto"/>
                              </w:divBdr>
                              <w:divsChild>
                                <w:div w:id="1472215953">
                                  <w:marLeft w:val="0"/>
                                  <w:marRight w:val="0"/>
                                  <w:marTop w:val="0"/>
                                  <w:marBottom w:val="0"/>
                                  <w:divBdr>
                                    <w:top w:val="none" w:sz="0" w:space="0" w:color="auto"/>
                                    <w:left w:val="none" w:sz="0" w:space="0" w:color="auto"/>
                                    <w:bottom w:val="none" w:sz="0" w:space="0" w:color="auto"/>
                                    <w:right w:val="none" w:sz="0" w:space="0" w:color="auto"/>
                                  </w:divBdr>
                                  <w:divsChild>
                                    <w:div w:id="397630172">
                                      <w:marLeft w:val="0"/>
                                      <w:marRight w:val="0"/>
                                      <w:marTop w:val="0"/>
                                      <w:marBottom w:val="0"/>
                                      <w:divBdr>
                                        <w:top w:val="none" w:sz="0" w:space="0" w:color="auto"/>
                                        <w:left w:val="none" w:sz="0" w:space="0" w:color="auto"/>
                                        <w:bottom w:val="none" w:sz="0" w:space="0" w:color="auto"/>
                                        <w:right w:val="none" w:sz="0" w:space="0" w:color="auto"/>
                                      </w:divBdr>
                                      <w:divsChild>
                                        <w:div w:id="476067527">
                                          <w:marLeft w:val="0"/>
                                          <w:marRight w:val="0"/>
                                          <w:marTop w:val="0"/>
                                          <w:marBottom w:val="0"/>
                                          <w:divBdr>
                                            <w:top w:val="none" w:sz="0" w:space="0" w:color="auto"/>
                                            <w:left w:val="none" w:sz="0" w:space="0" w:color="auto"/>
                                            <w:bottom w:val="none" w:sz="0" w:space="0" w:color="auto"/>
                                            <w:right w:val="none" w:sz="0" w:space="0" w:color="auto"/>
                                          </w:divBdr>
                                          <w:divsChild>
                                            <w:div w:id="1501888616">
                                              <w:marLeft w:val="0"/>
                                              <w:marRight w:val="0"/>
                                              <w:marTop w:val="0"/>
                                              <w:marBottom w:val="0"/>
                                              <w:divBdr>
                                                <w:top w:val="none" w:sz="0" w:space="0" w:color="auto"/>
                                                <w:left w:val="none" w:sz="0" w:space="0" w:color="auto"/>
                                                <w:bottom w:val="none" w:sz="0" w:space="0" w:color="auto"/>
                                                <w:right w:val="none" w:sz="0" w:space="0" w:color="auto"/>
                                              </w:divBdr>
                                              <w:divsChild>
                                                <w:div w:id="37047457">
                                                  <w:marLeft w:val="0"/>
                                                  <w:marRight w:val="0"/>
                                                  <w:marTop w:val="0"/>
                                                  <w:marBottom w:val="0"/>
                                                  <w:divBdr>
                                                    <w:top w:val="none" w:sz="0" w:space="0" w:color="auto"/>
                                                    <w:left w:val="none" w:sz="0" w:space="0" w:color="auto"/>
                                                    <w:bottom w:val="none" w:sz="0" w:space="0" w:color="auto"/>
                                                    <w:right w:val="none" w:sz="0" w:space="0" w:color="auto"/>
                                                  </w:divBdr>
                                                  <w:divsChild>
                                                    <w:div w:id="224682691">
                                                      <w:marLeft w:val="0"/>
                                                      <w:marRight w:val="0"/>
                                                      <w:marTop w:val="0"/>
                                                      <w:marBottom w:val="0"/>
                                                      <w:divBdr>
                                                        <w:top w:val="none" w:sz="0" w:space="0" w:color="auto"/>
                                                        <w:left w:val="none" w:sz="0" w:space="0" w:color="auto"/>
                                                        <w:bottom w:val="none" w:sz="0" w:space="0" w:color="auto"/>
                                                        <w:right w:val="none" w:sz="0" w:space="0" w:color="auto"/>
                                                      </w:divBdr>
                                                      <w:divsChild>
                                                        <w:div w:id="20859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35396664">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727587">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52361354">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139909">
      <w:bodyDiv w:val="1"/>
      <w:marLeft w:val="0"/>
      <w:marRight w:val="0"/>
      <w:marTop w:val="0"/>
      <w:marBottom w:val="0"/>
      <w:divBdr>
        <w:top w:val="none" w:sz="0" w:space="0" w:color="auto"/>
        <w:left w:val="none" w:sz="0" w:space="0" w:color="auto"/>
        <w:bottom w:val="none" w:sz="0" w:space="0" w:color="auto"/>
        <w:right w:val="none" w:sz="0" w:space="0" w:color="auto"/>
      </w:divBdr>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en/region/sar/overview" TargetMode="External"/><Relationship Id="rId7" Type="http://schemas.openxmlformats.org/officeDocument/2006/relationships/hyperlink" Target="http://lpi.worldbank.org/" TargetMode="External"/><Relationship Id="rId2" Type="http://schemas.openxmlformats.org/officeDocument/2006/relationships/hyperlink" Target="http://www.reuters.com/article/2015/06/06/us-bangladesh-india-enclaves-idUSKBN0OM0IZ20150606" TargetMode="External"/><Relationship Id="rId1" Type="http://schemas.openxmlformats.org/officeDocument/2006/relationships/hyperlink" Target="http://www.saarc-sec.org/press-releases/18th-SAARC-Summit-Declaration/121/" TargetMode="External"/><Relationship Id="rId6" Type="http://schemas.openxmlformats.org/officeDocument/2006/relationships/hyperlink" Target="http://www.aric.adb.org/indicator.php" TargetMode="External"/><Relationship Id="rId5" Type="http://schemas.openxmlformats.org/officeDocument/2006/relationships/hyperlink" Target="http://www.worldbank.org/en/publication/wdr2015" TargetMode="External"/><Relationship Id="rId4" Type="http://schemas.openxmlformats.org/officeDocument/2006/relationships/hyperlink" Target="https://openknowledge.worldbank.org/handle/10986/20395"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D17C8-DC1D-40A1-9B58-A506D7244C1F}"/>
</file>

<file path=customXml/itemProps2.xml><?xml version="1.0" encoding="utf-8"?>
<ds:datastoreItem xmlns:ds="http://schemas.openxmlformats.org/officeDocument/2006/customXml" ds:itemID="{C9514666-743A-47B9-879B-C6722833369A}"/>
</file>

<file path=customXml/itemProps3.xml><?xml version="1.0" encoding="utf-8"?>
<ds:datastoreItem xmlns:ds="http://schemas.openxmlformats.org/officeDocument/2006/customXml" ds:itemID="{C0365663-05BE-41A2-A060-9C67065AF9D5}"/>
</file>

<file path=customXml/itemProps4.xml><?xml version="1.0" encoding="utf-8"?>
<ds:datastoreItem xmlns:ds="http://schemas.openxmlformats.org/officeDocument/2006/customXml" ds:itemID="{E9B71E46-1FA2-40D5-A23E-42D6951E9E76}"/>
</file>

<file path=docProps/app.xml><?xml version="1.0" encoding="utf-8"?>
<Properties xmlns="http://schemas.openxmlformats.org/officeDocument/2006/extended-properties" xmlns:vt="http://schemas.openxmlformats.org/officeDocument/2006/docPropsVTypes">
  <Template>81493D05</Template>
  <TotalTime>0</TotalTime>
  <Pages>17</Pages>
  <Words>6201</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41465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creator/>
  <cp:lastModifiedBy/>
  <cp:revision>1</cp:revision>
  <dcterms:created xsi:type="dcterms:W3CDTF">2015-11-02T04:33:00Z</dcterms:created>
  <dcterms:modified xsi:type="dcterms:W3CDTF">2015-11-02T04:33:00Z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982600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