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5515"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1E10726" wp14:editId="40DC15E5">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5640CAE8" wp14:editId="49525D33">
            <wp:simplePos x="0" y="0"/>
            <wp:positionH relativeFrom="page">
              <wp:posOffset>5715</wp:posOffset>
            </wp:positionH>
            <wp:positionV relativeFrom="page">
              <wp:posOffset>231140</wp:posOffset>
            </wp:positionV>
            <wp:extent cx="7559675" cy="10693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p w14:paraId="6FC1E573" w14:textId="77777777" w:rsidR="003D352D" w:rsidRDefault="003D352D" w:rsidP="00D146A2"/>
    <w:p w14:paraId="7C8C54A0" w14:textId="77777777" w:rsidR="003D352D" w:rsidRDefault="003D352D" w:rsidP="00D146A2"/>
    <w:p w14:paraId="2E97750A" w14:textId="77777777" w:rsidR="003D352D" w:rsidRDefault="003D352D" w:rsidP="00D146A2"/>
    <w:p w14:paraId="0371BE4E" w14:textId="77777777" w:rsidR="003D352D" w:rsidRDefault="003D352D" w:rsidP="00D146A2"/>
    <w:p w14:paraId="3D9E5642" w14:textId="77777777" w:rsidR="003D352D" w:rsidRDefault="003D352D" w:rsidP="00D146A2"/>
    <w:p w14:paraId="7E5FE3FC" w14:textId="77777777" w:rsidR="003D352D" w:rsidRDefault="003D352D" w:rsidP="00D146A2"/>
    <w:p w14:paraId="3FBA3BB9" w14:textId="77777777" w:rsidR="003D352D" w:rsidRDefault="003D352D" w:rsidP="00D146A2"/>
    <w:p w14:paraId="669207BD" w14:textId="77777777" w:rsidR="003D352D" w:rsidRDefault="003D352D" w:rsidP="00D146A2"/>
    <w:p w14:paraId="0B3FCE35" w14:textId="77777777" w:rsidR="003D352D" w:rsidRDefault="003D352D" w:rsidP="00D146A2"/>
    <w:p w14:paraId="29D673FD" w14:textId="77777777" w:rsidR="003D352D" w:rsidRDefault="003D352D" w:rsidP="00D146A2"/>
    <w:p w14:paraId="232C753F" w14:textId="77777777" w:rsidR="003D352D" w:rsidRDefault="003D352D" w:rsidP="00D146A2"/>
    <w:p w14:paraId="7B9ABE89" w14:textId="77777777" w:rsidR="003D352D" w:rsidRDefault="003D352D" w:rsidP="00D146A2"/>
    <w:p w14:paraId="7A8C8700" w14:textId="77777777" w:rsidR="003D352D" w:rsidRDefault="003D352D" w:rsidP="00D146A2"/>
    <w:p w14:paraId="7C24074D" w14:textId="77777777" w:rsidR="003D352D" w:rsidRDefault="003D352D" w:rsidP="00D146A2"/>
    <w:p w14:paraId="0D39225E" w14:textId="77777777" w:rsidR="003D352D" w:rsidRDefault="003D352D" w:rsidP="00D146A2"/>
    <w:p w14:paraId="63E81A55" w14:textId="77777777" w:rsidR="003D352D" w:rsidRPr="0059146A" w:rsidRDefault="003D352D" w:rsidP="0059146A"/>
    <w:p w14:paraId="5A4712D5" w14:textId="77777777" w:rsidR="003D352D" w:rsidRPr="0059146A" w:rsidRDefault="003D352D" w:rsidP="0059146A"/>
    <w:p w14:paraId="73AA5B0E" w14:textId="77777777" w:rsidR="003D352D" w:rsidRPr="0059146A" w:rsidRDefault="003D352D" w:rsidP="0059146A"/>
    <w:p w14:paraId="69741494" w14:textId="77777777" w:rsidR="003D352D" w:rsidRPr="0059146A" w:rsidRDefault="003D352D" w:rsidP="0059146A"/>
    <w:p w14:paraId="25467292" w14:textId="77777777" w:rsidR="003D352D" w:rsidRPr="0059146A" w:rsidRDefault="003D352D" w:rsidP="0059146A"/>
    <w:p w14:paraId="1AA607BC" w14:textId="77777777" w:rsidR="003D352D" w:rsidRPr="0059146A" w:rsidRDefault="003D352D" w:rsidP="0059146A"/>
    <w:p w14:paraId="6E836FB7" w14:textId="77777777" w:rsidR="00A56F14" w:rsidRPr="0059146A" w:rsidRDefault="00A56F14" w:rsidP="00A56F14"/>
    <w:p w14:paraId="4361B711" w14:textId="77777777" w:rsidR="00A56F14" w:rsidRPr="0059146A" w:rsidRDefault="00A56F14" w:rsidP="0059146A"/>
    <w:p w14:paraId="16B8DD1F" w14:textId="77777777" w:rsidR="00A56F14" w:rsidRDefault="00A56F14" w:rsidP="0059146A"/>
    <w:p w14:paraId="4D07AED9" w14:textId="77777777" w:rsidR="0059146A" w:rsidRDefault="0059146A" w:rsidP="0059146A"/>
    <w:p w14:paraId="3ACBAAB3" w14:textId="77777777" w:rsidR="0059146A" w:rsidRDefault="0059146A" w:rsidP="0059146A"/>
    <w:p w14:paraId="32607623" w14:textId="77777777" w:rsidR="0059146A" w:rsidRDefault="0059146A" w:rsidP="0059146A"/>
    <w:p w14:paraId="39A0DFC7" w14:textId="77777777" w:rsidR="0059146A" w:rsidRPr="0059146A" w:rsidRDefault="0059146A" w:rsidP="0059146A"/>
    <w:p w14:paraId="6BB59E92" w14:textId="77777777"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2015-16</w:t>
      </w:r>
    </w:p>
    <w:p w14:paraId="3191399B" w14:textId="77777777" w:rsidR="0059146A" w:rsidRDefault="00357035" w:rsidP="00A56F14">
      <w:pPr>
        <w:rPr>
          <w:sz w:val="24"/>
        </w:rPr>
        <w:sectPr w:rsidR="0059146A" w:rsidSect="00A56F14">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titlePg/>
          <w:docGrid w:linePitch="360"/>
        </w:sectPr>
      </w:pPr>
      <w:r>
        <w:rPr>
          <w:sz w:val="40"/>
        </w:rPr>
        <w:t>South-East</w:t>
      </w:r>
      <w:r w:rsidR="00625E57">
        <w:rPr>
          <w:sz w:val="40"/>
        </w:rPr>
        <w:t xml:space="preserve"> Asia Regional Aid Program</w:t>
      </w:r>
      <w:r w:rsidR="0059146A">
        <w:rPr>
          <w:sz w:val="40"/>
        </w:rPr>
        <w:br/>
      </w:r>
      <w:r w:rsidR="0059146A" w:rsidRPr="0059146A">
        <w:rPr>
          <w:sz w:val="24"/>
        </w:rPr>
        <w:t>September 2016</w:t>
      </w:r>
    </w:p>
    <w:p w14:paraId="2B5BBECF" w14:textId="3C3B811B" w:rsidR="005B5769" w:rsidRPr="00B438D3" w:rsidRDefault="00625E57" w:rsidP="00B438D3">
      <w:pPr>
        <w:pStyle w:val="Title"/>
      </w:pPr>
      <w:r>
        <w:lastRenderedPageBreak/>
        <w:t>South</w:t>
      </w:r>
      <w:r w:rsidR="00F938A0">
        <w:t>-</w:t>
      </w:r>
      <w:r>
        <w:t>east asia regional</w:t>
      </w:r>
      <w:r w:rsidR="005B5769" w:rsidRPr="00B438D3">
        <w:t xml:space="preserve"> Aid Program Performance Information 2015-16</w:t>
      </w:r>
    </w:p>
    <w:p w14:paraId="79B3DA52" w14:textId="7DE928F7" w:rsidR="005B5769" w:rsidRPr="00C4114C" w:rsidRDefault="005B5769" w:rsidP="00B438D3">
      <w:pPr>
        <w:pStyle w:val="Subtitle"/>
      </w:pPr>
      <w:r w:rsidRPr="00C4114C">
        <w:t>Summary</w:t>
      </w:r>
    </w:p>
    <w:p w14:paraId="36DA238C" w14:textId="2AEFD752" w:rsidR="00A83C9B" w:rsidRDefault="009B6947" w:rsidP="00A83C9B">
      <w:r w:rsidRPr="009B6947">
        <w:rPr>
          <w:b/>
        </w:rPr>
        <w:t xml:space="preserve">Australia has a clear interest in a prosperous, peaceful and secure South-East Asia. </w:t>
      </w:r>
      <w:r w:rsidR="00A83C9B" w:rsidRPr="009B6947">
        <w:t>Australia’s South-East Asia Regional Economic Growth and Human Security Program (Regional Program)</w:t>
      </w:r>
      <w:r w:rsidR="00A83C9B">
        <w:t xml:space="preserve"> </w:t>
      </w:r>
      <w:r>
        <w:t xml:space="preserve">complements our bilateral programs by supporting </w:t>
      </w:r>
      <w:r w:rsidRPr="006F0EB1">
        <w:t xml:space="preserve">regional economic cooperation and inclusive growth (Objective 1) and strengthening regional responses to trafficking and the exploitation of migrant workers (Objective 2). </w:t>
      </w:r>
      <w:r>
        <w:t xml:space="preserve">Working with countries of the </w:t>
      </w:r>
      <w:r w:rsidRPr="00B959E3">
        <w:t>Association of South-East Asian Nations (ASEAN)</w:t>
      </w:r>
      <w:r w:rsidR="00C15FF8">
        <w:t xml:space="preserve"> as well as the ASEAN Secretariat in Jakarta</w:t>
      </w:r>
      <w:r>
        <w:t xml:space="preserve">, </w:t>
      </w:r>
      <w:r w:rsidR="00AD793A">
        <w:t>t</w:t>
      </w:r>
      <w:r w:rsidR="00C15FF8">
        <w:t>he Program promotes a</w:t>
      </w:r>
      <w:r>
        <w:t xml:space="preserve"> regional response to these economic and cross-border challenges. </w:t>
      </w:r>
    </w:p>
    <w:p w14:paraId="071C81DE" w14:textId="5433F0B3" w:rsidR="00A15B75" w:rsidRDefault="009B6947" w:rsidP="00A15B75">
      <w:r>
        <w:t>The Regional Program is</w:t>
      </w:r>
      <w:r w:rsidR="00D1224F">
        <w:t xml:space="preserve"> ambitious</w:t>
      </w:r>
      <w:r>
        <w:t>,</w:t>
      </w:r>
      <w:r w:rsidR="00D1224F">
        <w:t xml:space="preserve"> given the complexities of working through regional mechanisms, with multiple governments, partners and stakeholders.</w:t>
      </w:r>
      <w:r w:rsidR="00AC50B0">
        <w:t xml:space="preserve"> </w:t>
      </w:r>
      <w:r w:rsidR="00CD625C">
        <w:t xml:space="preserve">It benefits ASEAN Member States – </w:t>
      </w:r>
      <w:r w:rsidR="00A15B75">
        <w:rPr>
          <w:rFonts w:cstheme="minorHAnsi"/>
        </w:rPr>
        <w:t xml:space="preserve">Cambodia, Laos, Myanmar, Vietnam, Indonesia, Thailand, Malaysia, Philippines, Brunei and Singapore – </w:t>
      </w:r>
      <w:r w:rsidR="00A15B75">
        <w:t xml:space="preserve">and facilitates wider engagement with </w:t>
      </w:r>
      <w:r w:rsidR="0027337E">
        <w:t xml:space="preserve">other </w:t>
      </w:r>
      <w:r w:rsidR="00A15B75">
        <w:t xml:space="preserve">ASEAN </w:t>
      </w:r>
      <w:r w:rsidR="0027337E">
        <w:t>Dialogue P</w:t>
      </w:r>
      <w:r w:rsidR="00A15B75">
        <w:t xml:space="preserve">artners. </w:t>
      </w:r>
      <w:r w:rsidR="005535D0">
        <w:t>Investments are</w:t>
      </w:r>
      <w:r w:rsidR="00A15B75">
        <w:t xml:space="preserve"> managed by Australia’s Mission to ASEAN in Jakarta </w:t>
      </w:r>
      <w:r w:rsidR="005535D0">
        <w:t>(</w:t>
      </w:r>
      <w:r w:rsidR="00A15B75">
        <w:t xml:space="preserve">including </w:t>
      </w:r>
      <w:r w:rsidR="00CD625C">
        <w:t>its</w:t>
      </w:r>
      <w:r w:rsidR="00A15B75">
        <w:t xml:space="preserve"> Sub-Regional Office in Bangkok</w:t>
      </w:r>
      <w:r w:rsidR="005535D0">
        <w:t>)</w:t>
      </w:r>
      <w:r w:rsidR="00A15B75">
        <w:t xml:space="preserve"> and the Embassy in Vientiane</w:t>
      </w:r>
      <w:r w:rsidR="005535D0">
        <w:t>.</w:t>
      </w:r>
      <w:r w:rsidR="00A15B75">
        <w:t xml:space="preserve"> </w:t>
      </w:r>
    </w:p>
    <w:p w14:paraId="40E4885C" w14:textId="6030C563" w:rsidR="00A15B75" w:rsidRDefault="00CD625C" w:rsidP="00A15B75">
      <w:r>
        <w:t xml:space="preserve">This is the first year of implementation of the </w:t>
      </w:r>
      <w:r w:rsidR="00C15FF8">
        <w:t xml:space="preserve">current </w:t>
      </w:r>
      <w:r w:rsidR="00D1224F">
        <w:t>Aid Investment Plan (AIP)</w:t>
      </w:r>
      <w:r>
        <w:t>. The AIP</w:t>
      </w:r>
      <w:r w:rsidR="00D1224F">
        <w:t xml:space="preserve"> </w:t>
      </w:r>
      <w:r w:rsidR="00C15FF8">
        <w:t xml:space="preserve">provides a framework for Australia to make best use of our </w:t>
      </w:r>
      <w:r w:rsidR="00D1224F">
        <w:t>comparative advantage</w:t>
      </w:r>
      <w:r w:rsidR="00C15FF8">
        <w:t>,</w:t>
      </w:r>
      <w:r w:rsidR="00D1224F">
        <w:t xml:space="preserve"> </w:t>
      </w:r>
      <w:r w:rsidR="00C15FF8">
        <w:t>including</w:t>
      </w:r>
      <w:r>
        <w:t xml:space="preserve"> </w:t>
      </w:r>
      <w:r w:rsidR="00D1224F">
        <w:t xml:space="preserve">proven technical expertise, good relationships and a track record of cooperation. </w:t>
      </w:r>
      <w:r w:rsidR="00C15FF8">
        <w:t>C</w:t>
      </w:r>
      <w:r w:rsidR="00A15B75">
        <w:t xml:space="preserve">onsolidation has taken place over the past year with the </w:t>
      </w:r>
      <w:r w:rsidR="00C15FF8">
        <w:t>end-of-life</w:t>
      </w:r>
      <w:r w:rsidR="00A15B75">
        <w:t xml:space="preserve"> of some investments and a restructuring of ASEAN Mission arrangements. </w:t>
      </w:r>
      <w:r w:rsidR="00F938A0">
        <w:t>An interim Performance Assessment Framework (PAF) was developed along with the AIP. Work is underway to review the PAF to ensure that it best captures the performance of a consolidated Regional Program</w:t>
      </w:r>
      <w:r w:rsidR="00B143AC">
        <w:t xml:space="preserve"> and will be included in the 2016-17 APPR</w:t>
      </w:r>
      <w:r w:rsidR="00F938A0">
        <w:t>.</w:t>
      </w:r>
    </w:p>
    <w:p w14:paraId="4BC488C2" w14:textId="77777777" w:rsidR="008C713B" w:rsidRDefault="008C713B" w:rsidP="008C713B">
      <w:r>
        <w:t xml:space="preserve">Overall the Regional Program is performing well against its strategic objectives. With a budget of $31.3 million in 2015-16, the Program supported regional economic cooperation, financial inclusion, and responses to trafficking and safe migration. A number of nascent initiatives in the economic growth pillar matured, integration of gender equality improved, and the TRIANGLE II initiative was launched following the positive evaluation of the first phase. A number of new commitments, policies and studies that emerged from partner governments benefited from Australian advice and expertise, including Vietnam’s Delta Study, </w:t>
      </w:r>
      <w:r w:rsidRPr="001141FE">
        <w:t>sub-decrees for water resources management</w:t>
      </w:r>
      <w:r>
        <w:t xml:space="preserve"> in Cambodia and commitments on trafficking in persons.</w:t>
      </w:r>
    </w:p>
    <w:p w14:paraId="4B6CBA20" w14:textId="77777777" w:rsidR="00AC50B0" w:rsidRPr="00364561" w:rsidRDefault="00AC50B0" w:rsidP="00AC50B0">
      <w:pPr>
        <w:spacing w:before="0" w:after="0" w:line="240" w:lineRule="auto"/>
        <w:rPr>
          <w:sz w:val="14"/>
        </w:rPr>
      </w:pPr>
    </w:p>
    <w:p w14:paraId="74B80780" w14:textId="3BE2DA01" w:rsidR="005B5769" w:rsidRPr="008C2F58" w:rsidRDefault="005B5769" w:rsidP="00364561">
      <w:pPr>
        <w:spacing w:before="60"/>
        <w:rPr>
          <w:rFonts w:asciiTheme="majorHAnsi" w:eastAsiaTheme="majorEastAsia" w:hAnsiTheme="majorHAnsi" w:cstheme="majorBidi"/>
          <w:caps/>
          <w:sz w:val="36"/>
          <w:szCs w:val="26"/>
        </w:rPr>
      </w:pPr>
      <w:r w:rsidRPr="008C2F58">
        <w:rPr>
          <w:rFonts w:asciiTheme="majorHAnsi" w:eastAsiaTheme="majorEastAsia" w:hAnsiTheme="majorHAnsi" w:cstheme="majorBidi"/>
          <w:caps/>
          <w:sz w:val="36"/>
          <w:szCs w:val="26"/>
        </w:rPr>
        <w:t>Performance against Strategic Objectives</w:t>
      </w:r>
    </w:p>
    <w:tbl>
      <w:tblPr>
        <w:tblStyle w:val="APPR"/>
        <w:tblW w:w="5000" w:type="pct"/>
        <w:tblLook w:val="0000" w:firstRow="0" w:lastRow="0" w:firstColumn="0" w:lastColumn="0" w:noHBand="0" w:noVBand="0"/>
      </w:tblPr>
      <w:tblGrid>
        <w:gridCol w:w="7046"/>
        <w:gridCol w:w="1157"/>
        <w:gridCol w:w="479"/>
        <w:gridCol w:w="1228"/>
      </w:tblGrid>
      <w:tr w:rsidR="005B5769" w:rsidRPr="003B0793" w14:paraId="3D28934A" w14:textId="77777777" w:rsidTr="00520BC8">
        <w:trPr>
          <w:cnfStyle w:val="000000010000" w:firstRow="0" w:lastRow="0" w:firstColumn="0" w:lastColumn="0" w:oddVBand="0" w:evenVBand="0" w:oddHBand="0" w:evenHBand="1" w:firstRowFirstColumn="0" w:firstRowLastColumn="0" w:lastRowFirstColumn="0" w:lastRowLastColumn="0"/>
          <w:trHeight w:val="475"/>
        </w:trPr>
        <w:tc>
          <w:tcPr>
            <w:tcW w:w="7004" w:type="dxa"/>
          </w:tcPr>
          <w:p w14:paraId="5304B834" w14:textId="77777777" w:rsidR="005B5769" w:rsidRPr="003B0793" w:rsidRDefault="005B5769" w:rsidP="00520BC8">
            <w:pPr>
              <w:pStyle w:val="TableTextColumnHeading"/>
              <w:spacing w:before="40" w:after="40"/>
              <w:rPr>
                <w:rFonts w:asciiTheme="minorHAnsi" w:hAnsiTheme="minorHAnsi"/>
              </w:rPr>
            </w:pPr>
            <w:r w:rsidRPr="003B0793">
              <w:rPr>
                <w:rFonts w:asciiTheme="minorHAnsi" w:hAnsiTheme="minorHAnsi"/>
                <w:noProof/>
              </w:rPr>
              <w:drawing>
                <wp:anchor distT="0" distB="0" distL="114300" distR="114300" simplePos="0" relativeHeight="251666432" behindDoc="0" locked="0" layoutInCell="1" allowOverlap="1" wp14:anchorId="512E72CB" wp14:editId="7DF6C4B6">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hAnsiTheme="minorHAnsi"/>
              </w:rPr>
              <w:t>Objective</w:t>
            </w:r>
          </w:p>
        </w:tc>
        <w:tc>
          <w:tcPr>
            <w:tcW w:w="1129" w:type="dxa"/>
          </w:tcPr>
          <w:p w14:paraId="771B82B9" w14:textId="77777777" w:rsidR="005B5769" w:rsidRPr="003B0793" w:rsidRDefault="005B5769" w:rsidP="00520BC8">
            <w:pPr>
              <w:pStyle w:val="TableTextColumnHeading"/>
              <w:spacing w:before="40" w:after="40"/>
              <w:rPr>
                <w:rFonts w:asciiTheme="minorHAnsi" w:hAnsiTheme="minorHAnsi"/>
              </w:rPr>
            </w:pPr>
            <w:r w:rsidRPr="003B0793">
              <w:rPr>
                <w:rFonts w:asciiTheme="minorHAnsi" w:hAnsiTheme="minorHAnsi"/>
              </w:rPr>
              <w:t>Previous Rating</w:t>
            </w:r>
          </w:p>
        </w:tc>
        <w:tc>
          <w:tcPr>
            <w:tcW w:w="451" w:type="dxa"/>
          </w:tcPr>
          <w:p w14:paraId="7572D942" w14:textId="77777777" w:rsidR="005B5769" w:rsidRPr="003B0793" w:rsidRDefault="005B5769" w:rsidP="00520BC8">
            <w:pPr>
              <w:pStyle w:val="TableTextColumnHeading"/>
              <w:spacing w:before="40" w:after="40"/>
              <w:rPr>
                <w:rFonts w:asciiTheme="minorHAnsi" w:hAnsiTheme="minorHAnsi"/>
              </w:rPr>
            </w:pPr>
          </w:p>
        </w:tc>
        <w:tc>
          <w:tcPr>
            <w:tcW w:w="1186" w:type="dxa"/>
          </w:tcPr>
          <w:p w14:paraId="5205A21A" w14:textId="77777777" w:rsidR="005B5769" w:rsidRPr="003B0793" w:rsidRDefault="005B5769" w:rsidP="00520BC8">
            <w:pPr>
              <w:pStyle w:val="TableTextColumnHeading"/>
              <w:spacing w:before="40" w:after="40"/>
              <w:rPr>
                <w:rFonts w:asciiTheme="minorHAnsi" w:hAnsiTheme="minorHAnsi"/>
              </w:rPr>
            </w:pPr>
            <w:r w:rsidRPr="003B0793">
              <w:rPr>
                <w:rFonts w:asciiTheme="minorHAnsi" w:hAnsiTheme="minorHAnsi"/>
              </w:rPr>
              <w:t>Current Rating</w:t>
            </w:r>
          </w:p>
        </w:tc>
      </w:tr>
      <w:tr w:rsidR="005B5769" w:rsidRPr="003B0793" w14:paraId="652C9125" w14:textId="77777777" w:rsidTr="00A24919">
        <w:trPr>
          <w:cnfStyle w:val="000000010000" w:firstRow="0" w:lastRow="0" w:firstColumn="0" w:lastColumn="0" w:oddVBand="0" w:evenVBand="0" w:oddHBand="0" w:evenHBand="1" w:firstRowFirstColumn="0" w:firstRowLastColumn="0" w:lastRowFirstColumn="0" w:lastRowLastColumn="0"/>
        </w:trPr>
        <w:tc>
          <w:tcPr>
            <w:tcW w:w="7004" w:type="dxa"/>
          </w:tcPr>
          <w:p w14:paraId="58A76189" w14:textId="77777777" w:rsidR="005B5769" w:rsidRPr="003B0793" w:rsidRDefault="00AD1311" w:rsidP="005E39E5">
            <w:pPr>
              <w:pStyle w:val="TableTextEntries"/>
              <w:numPr>
                <w:ilvl w:val="0"/>
                <w:numId w:val="14"/>
              </w:numPr>
              <w:rPr>
                <w:rFonts w:asciiTheme="minorHAnsi" w:hAnsiTheme="minorHAnsi"/>
              </w:rPr>
            </w:pPr>
            <w:r w:rsidRPr="00AD1311">
              <w:rPr>
                <w:rFonts w:asciiTheme="minorHAnsi" w:hAnsiTheme="minorHAnsi"/>
              </w:rPr>
              <w:t>Enabling regional economic cooperation and inclusive growth</w:t>
            </w:r>
          </w:p>
        </w:tc>
        <w:tc>
          <w:tcPr>
            <w:tcW w:w="1129" w:type="dxa"/>
            <w:shd w:val="clear" w:color="auto" w:fill="7FB64D" w:themeFill="accent3" w:themeFillShade="BF"/>
            <w:noWrap/>
          </w:tcPr>
          <w:p w14:paraId="2855B4F0" w14:textId="77777777" w:rsidR="005B5769" w:rsidRPr="003B0793" w:rsidRDefault="005B5769" w:rsidP="00D15A00">
            <w:pPr>
              <w:pStyle w:val="TableTextEntries"/>
              <w:jc w:val="center"/>
              <w:rPr>
                <w:rFonts w:asciiTheme="minorHAnsi" w:hAnsiTheme="minorHAnsi"/>
                <w:color w:val="FFFFFF" w:themeColor="background1"/>
              </w:rPr>
            </w:pPr>
            <w:r w:rsidRPr="003B0793">
              <w:rPr>
                <w:rFonts w:asciiTheme="minorHAnsi" w:hAnsiTheme="minorHAnsi"/>
                <w:color w:val="FFFFFF" w:themeColor="background1"/>
              </w:rPr>
              <w:t>Green</w:t>
            </w:r>
          </w:p>
        </w:tc>
        <w:tc>
          <w:tcPr>
            <w:tcW w:w="451" w:type="dxa"/>
          </w:tcPr>
          <w:p w14:paraId="7B0B31CD" w14:textId="77777777" w:rsidR="005B5769" w:rsidRPr="003B0793" w:rsidRDefault="005B5769" w:rsidP="00D15A00">
            <w:pPr>
              <w:pStyle w:val="TableTextEntries"/>
              <w:jc w:val="center"/>
              <w:rPr>
                <w:rFonts w:asciiTheme="minorHAnsi" w:hAnsiTheme="minorHAnsi"/>
                <w:color w:val="FFFFFF" w:themeColor="background1"/>
              </w:rPr>
            </w:pPr>
          </w:p>
        </w:tc>
        <w:tc>
          <w:tcPr>
            <w:tcW w:w="1186" w:type="dxa"/>
            <w:shd w:val="clear" w:color="auto" w:fill="7FB64D" w:themeFill="accent3" w:themeFillShade="BF"/>
            <w:noWrap/>
          </w:tcPr>
          <w:p w14:paraId="778284C6" w14:textId="77777777" w:rsidR="005B5769" w:rsidRPr="003B0793" w:rsidRDefault="00363592"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r w:rsidR="005B5769" w:rsidRPr="003B0793" w14:paraId="19AA9259" w14:textId="77777777" w:rsidTr="00D36F5F">
        <w:trPr>
          <w:cnfStyle w:val="000000010000" w:firstRow="0" w:lastRow="0" w:firstColumn="0" w:lastColumn="0" w:oddVBand="0" w:evenVBand="0" w:oddHBand="0" w:evenHBand="1" w:firstRowFirstColumn="0" w:firstRowLastColumn="0" w:lastRowFirstColumn="0" w:lastRowLastColumn="0"/>
        </w:trPr>
        <w:tc>
          <w:tcPr>
            <w:tcW w:w="7004" w:type="dxa"/>
          </w:tcPr>
          <w:p w14:paraId="79C923F6" w14:textId="77777777" w:rsidR="005B5769" w:rsidRPr="003B0793" w:rsidRDefault="00AD1311" w:rsidP="005E39E5">
            <w:pPr>
              <w:pStyle w:val="TableTextEntries"/>
              <w:numPr>
                <w:ilvl w:val="0"/>
                <w:numId w:val="14"/>
              </w:numPr>
              <w:rPr>
                <w:rFonts w:asciiTheme="minorHAnsi" w:hAnsiTheme="minorHAnsi"/>
              </w:rPr>
            </w:pPr>
            <w:r w:rsidRPr="00AD1311">
              <w:rPr>
                <w:rFonts w:asciiTheme="minorHAnsi" w:hAnsiTheme="minorHAnsi"/>
              </w:rPr>
              <w:t>Strengthening regional responses to trafficking and the exploitation of migrant workers</w:t>
            </w:r>
          </w:p>
        </w:tc>
        <w:tc>
          <w:tcPr>
            <w:tcW w:w="1129" w:type="dxa"/>
            <w:shd w:val="clear" w:color="auto" w:fill="7FB64D" w:themeFill="accent3" w:themeFillShade="BF"/>
            <w:noWrap/>
          </w:tcPr>
          <w:p w14:paraId="3475874F" w14:textId="77777777" w:rsidR="005B5769" w:rsidRPr="003B0793" w:rsidRDefault="00363592"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51" w:type="dxa"/>
          </w:tcPr>
          <w:p w14:paraId="1BD4ADC1" w14:textId="77777777" w:rsidR="005B5769" w:rsidRPr="003B0793" w:rsidRDefault="005B5769" w:rsidP="00D15A00">
            <w:pPr>
              <w:pStyle w:val="TableTextEntries"/>
              <w:jc w:val="center"/>
              <w:rPr>
                <w:rFonts w:asciiTheme="minorHAnsi" w:hAnsiTheme="minorHAnsi"/>
                <w:color w:val="FFFFFF" w:themeColor="background1"/>
              </w:rPr>
            </w:pPr>
          </w:p>
        </w:tc>
        <w:tc>
          <w:tcPr>
            <w:tcW w:w="1186" w:type="dxa"/>
            <w:shd w:val="clear" w:color="auto" w:fill="7FB64D" w:themeFill="accent3" w:themeFillShade="BF"/>
            <w:noWrap/>
          </w:tcPr>
          <w:p w14:paraId="491A869A" w14:textId="77777777" w:rsidR="005B5769" w:rsidRPr="003B0793" w:rsidRDefault="00D36F5F"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bl>
    <w:p w14:paraId="3FBD0FFD" w14:textId="77777777" w:rsidR="005B5769" w:rsidRPr="003B0793" w:rsidRDefault="005B5769" w:rsidP="005B5769">
      <w:pPr>
        <w:pStyle w:val="Note"/>
        <w:rPr>
          <w:rFonts w:asciiTheme="minorHAnsi" w:hAnsiTheme="minorHAnsi"/>
          <w:sz w:val="16"/>
        </w:rPr>
      </w:pPr>
      <w:r w:rsidRPr="003B0793">
        <w:rPr>
          <w:rFonts w:asciiTheme="minorHAnsi" w:hAnsiTheme="minorHAnsi"/>
          <w:sz w:val="16"/>
        </w:rPr>
        <w:t xml:space="preserve">Note: </w:t>
      </w:r>
    </w:p>
    <w:p w14:paraId="531B2477" w14:textId="77777777" w:rsidR="005B5769" w:rsidRPr="003B0793" w:rsidRDefault="005B5769" w:rsidP="005B5769">
      <w:pPr>
        <w:pStyle w:val="Note"/>
        <w:rPr>
          <w:rFonts w:asciiTheme="minorHAnsi" w:hAnsiTheme="minorHAnsi"/>
          <w:sz w:val="16"/>
        </w:rPr>
      </w:pPr>
      <w:r w:rsidRPr="003B0793">
        <w:rPr>
          <w:rFonts w:asciiTheme="minorHAnsi" w:hAnsiTheme="minorHAnsi"/>
          <w:color w:val="72AF2F"/>
          <w:sz w:val="16"/>
        </w:rPr>
        <w:sym w:font="Webdings" w:char="F067"/>
      </w:r>
      <w:r w:rsidRPr="003B0793">
        <w:rPr>
          <w:rFonts w:asciiTheme="minorHAnsi" w:hAnsiTheme="minorHAnsi"/>
          <w:sz w:val="16"/>
        </w:rPr>
        <w:t> </w:t>
      </w:r>
      <w:r w:rsidRPr="003B0793">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5352D4FA" w14:textId="77777777" w:rsidR="005B5769" w:rsidRPr="003B0793" w:rsidRDefault="005B5769" w:rsidP="005B5769">
      <w:pPr>
        <w:pStyle w:val="Note"/>
        <w:rPr>
          <w:rFonts w:asciiTheme="minorHAnsi" w:hAnsiTheme="minorHAnsi"/>
          <w:sz w:val="16"/>
        </w:rPr>
      </w:pPr>
      <w:r w:rsidRPr="003B0793">
        <w:rPr>
          <w:rFonts w:asciiTheme="minorHAnsi" w:hAnsiTheme="minorHAnsi"/>
          <w:color w:val="E36C0A"/>
          <w:sz w:val="16"/>
        </w:rPr>
        <w:sym w:font="Webdings" w:char="F067"/>
      </w:r>
      <w:r w:rsidRPr="003B0793">
        <w:rPr>
          <w:rFonts w:asciiTheme="minorHAnsi" w:hAnsiTheme="minorHAnsi"/>
          <w:sz w:val="16"/>
        </w:rPr>
        <w:t> </w:t>
      </w:r>
      <w:r w:rsidRPr="003B0793">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2BC15C4E" w14:textId="77777777" w:rsidR="005B5769" w:rsidRPr="003B0793" w:rsidRDefault="005B5769" w:rsidP="005B5769">
      <w:pPr>
        <w:pStyle w:val="Note"/>
        <w:rPr>
          <w:rFonts w:asciiTheme="minorHAnsi" w:hAnsiTheme="minorHAnsi"/>
          <w:sz w:val="16"/>
        </w:rPr>
      </w:pPr>
      <w:r w:rsidRPr="003B0793">
        <w:rPr>
          <w:rFonts w:asciiTheme="minorHAnsi" w:hAnsiTheme="minorHAnsi"/>
          <w:color w:val="FF0000"/>
          <w:sz w:val="16"/>
        </w:rPr>
        <w:sym w:font="Webdings" w:char="F067"/>
      </w:r>
      <w:r w:rsidRPr="003B0793">
        <w:rPr>
          <w:rFonts w:asciiTheme="minorHAnsi" w:hAnsiTheme="minorHAnsi"/>
          <w:sz w:val="16"/>
        </w:rPr>
        <w:t> </w:t>
      </w:r>
      <w:r w:rsidRPr="003B0793">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33FEDBE0" w14:textId="77777777" w:rsidR="00520BC8" w:rsidRDefault="00520BC8" w:rsidP="005B5769">
      <w:pPr>
        <w:pStyle w:val="Note"/>
      </w:pPr>
    </w:p>
    <w:p w14:paraId="3498C2D9" w14:textId="646986D0" w:rsidR="00CD625C" w:rsidRPr="000D605C" w:rsidRDefault="00CD625C" w:rsidP="00CD625C">
      <w:r>
        <w:t>Progress towards Regional Program objectives is j</w:t>
      </w:r>
      <w:r w:rsidR="007B5C34">
        <w:t>udged to be on track. This judg</w:t>
      </w:r>
      <w:r>
        <w:t xml:space="preserve">ment takes into consideration AQC ratings, independent evaluations and progress against performance benchmarks included in </w:t>
      </w:r>
      <w:r w:rsidR="00F938A0">
        <w:t>an interim PAF.</w:t>
      </w:r>
    </w:p>
    <w:p w14:paraId="7A1553A7" w14:textId="59FD8A88" w:rsidR="005F4E6E" w:rsidRDefault="00364561" w:rsidP="00916B7D">
      <w:r>
        <w:lastRenderedPageBreak/>
        <w:t>In 2015-16</w:t>
      </w:r>
      <w:r w:rsidR="00306331">
        <w:t xml:space="preserve">, </w:t>
      </w:r>
      <w:r w:rsidR="00306331" w:rsidRPr="007B5C34">
        <w:rPr>
          <w:b/>
        </w:rPr>
        <w:t>Objective 1</w:t>
      </w:r>
      <w:r w:rsidR="00306331">
        <w:t xml:space="preserve"> i</w:t>
      </w:r>
      <w:r w:rsidR="00730C20" w:rsidRPr="00730C20">
        <w:t xml:space="preserve">nvestments </w:t>
      </w:r>
      <w:r w:rsidR="007E3D99">
        <w:t>continued to advance</w:t>
      </w:r>
      <w:r w:rsidR="00C97281">
        <w:t xml:space="preserve"> </w:t>
      </w:r>
      <w:r w:rsidR="00073E12">
        <w:t>Australia’s economic diplomacy</w:t>
      </w:r>
      <w:r w:rsidR="005F4E6E">
        <w:t>, aid-for-trade</w:t>
      </w:r>
      <w:r w:rsidR="00073E12">
        <w:t xml:space="preserve"> </w:t>
      </w:r>
      <w:r w:rsidR="005F4E6E">
        <w:t xml:space="preserve">and trade policy </w:t>
      </w:r>
      <w:r w:rsidR="000D605C">
        <w:t>objectives</w:t>
      </w:r>
      <w:r w:rsidR="005F4E6E">
        <w:t xml:space="preserve">. </w:t>
      </w:r>
      <w:r w:rsidR="007B5C34">
        <w:t>They supported</w:t>
      </w:r>
      <w:r w:rsidR="005F4E6E">
        <w:t xml:space="preserve"> </w:t>
      </w:r>
      <w:r w:rsidR="00105772">
        <w:t xml:space="preserve">ASEAN to </w:t>
      </w:r>
      <w:r w:rsidR="00073E12">
        <w:t xml:space="preserve">narrow the development gap </w:t>
      </w:r>
      <w:r w:rsidR="004975CB">
        <w:t xml:space="preserve">among Member States so that the benefits of regional economic integration are </w:t>
      </w:r>
      <w:r w:rsidR="007B5C34">
        <w:t xml:space="preserve">more equitably </w:t>
      </w:r>
      <w:r w:rsidR="004975CB">
        <w:t>shared by</w:t>
      </w:r>
      <w:r w:rsidR="00073E12">
        <w:t xml:space="preserve"> </w:t>
      </w:r>
      <w:r w:rsidR="004975CB">
        <w:t>its citizens</w:t>
      </w:r>
      <w:r w:rsidR="007E3D99">
        <w:t>.</w:t>
      </w:r>
      <w:r w:rsidR="002F14EB">
        <w:t xml:space="preserve"> </w:t>
      </w:r>
    </w:p>
    <w:p w14:paraId="463EDD00" w14:textId="45A93A82" w:rsidR="008C713B" w:rsidRDefault="008C713B" w:rsidP="008C713B">
      <w:r>
        <w:t xml:space="preserve">The </w:t>
      </w:r>
      <w:r w:rsidRPr="00A129A5">
        <w:rPr>
          <w:b/>
        </w:rPr>
        <w:t>ASEAN-Australia Development Cooperation Program Phase II (AADCP II)</w:t>
      </w:r>
      <w:r>
        <w:t xml:space="preserve"> and </w:t>
      </w:r>
      <w:r w:rsidRPr="00A129A5">
        <w:rPr>
          <w:b/>
        </w:rPr>
        <w:t xml:space="preserve">ASEAN-Australia-New Zealand Free Trade Area Economic Cooperation Support Program (AECSP) </w:t>
      </w:r>
      <w:r w:rsidRPr="0009758D">
        <w:t>are</w:t>
      </w:r>
      <w:r>
        <w:rPr>
          <w:b/>
        </w:rPr>
        <w:t xml:space="preserve"> </w:t>
      </w:r>
      <w:r w:rsidRPr="004F7BD6">
        <w:t>helping to</w:t>
      </w:r>
      <w:r>
        <w:rPr>
          <w:b/>
        </w:rPr>
        <w:t xml:space="preserve"> </w:t>
      </w:r>
      <w:r>
        <w:t xml:space="preserve">build </w:t>
      </w:r>
      <w:r w:rsidRPr="002F14EB">
        <w:t>a more competitive</w:t>
      </w:r>
      <w:r>
        <w:t>,</w:t>
      </w:r>
      <w:r w:rsidRPr="002F14EB">
        <w:t xml:space="preserve"> resilient</w:t>
      </w:r>
      <w:r>
        <w:t xml:space="preserve"> and economically integrated ASEAN, where people</w:t>
      </w:r>
      <w:r w:rsidRPr="002F14EB">
        <w:t xml:space="preserve">, goods, services and capital </w:t>
      </w:r>
      <w:r>
        <w:t>are connected</w:t>
      </w:r>
      <w:r w:rsidRPr="002F14EB">
        <w:t>.</w:t>
      </w:r>
      <w:r>
        <w:t xml:space="preserve"> These investments are </w:t>
      </w:r>
      <w:r w:rsidRPr="007B5C34">
        <w:t xml:space="preserve">unique in that </w:t>
      </w:r>
      <w:r>
        <w:t>Australia</w:t>
      </w:r>
      <w:r>
        <w:rPr>
          <w:b/>
        </w:rPr>
        <w:t xml:space="preserve"> </w:t>
      </w:r>
      <w:r w:rsidRPr="008B724B">
        <w:t>is the only Dialogue Partner</w:t>
      </w:r>
      <w:r>
        <w:t xml:space="preserve"> working directly with the ASEAN Secretariat (ASEC)</w:t>
      </w:r>
      <w:r w:rsidRPr="00182C20">
        <w:t xml:space="preserve"> to deliver development assistance through ASEAN systems using a genuine partnership model.</w:t>
      </w:r>
      <w:r>
        <w:t xml:space="preserve"> </w:t>
      </w:r>
      <w:r w:rsidRPr="00073E12">
        <w:t>T</w:t>
      </w:r>
      <w:r>
        <w:t xml:space="preserve">his allows these investments to remain highly relevant and focused on agreed ASEAN priorities. Australia influenced major pieces of work in 2015 that will inform the direction </w:t>
      </w:r>
      <w:r w:rsidR="005463C8">
        <w:t>of</w:t>
      </w:r>
      <w:r>
        <w:t xml:space="preserve"> ASEAN’s economic integration. For example, through AADCP II,</w:t>
      </w:r>
      <w:r w:rsidRPr="00182C20">
        <w:t xml:space="preserve"> </w:t>
      </w:r>
      <w:r>
        <w:t>Australia funded</w:t>
      </w:r>
      <w:r w:rsidRPr="00182C20">
        <w:t xml:space="preserve"> </w:t>
      </w:r>
      <w:r>
        <w:t>the</w:t>
      </w:r>
      <w:r w:rsidRPr="00182C20">
        <w:t xml:space="preserve"> develop</w:t>
      </w:r>
      <w:r>
        <w:t>ment of</w:t>
      </w:r>
      <w:r w:rsidRPr="00182C20">
        <w:t xml:space="preserve"> the new ASEAN Connectivity Master</w:t>
      </w:r>
      <w:r>
        <w:t xml:space="preserve"> P</w:t>
      </w:r>
      <w:r w:rsidRPr="00182C20">
        <w:t>lan</w:t>
      </w:r>
      <w:r>
        <w:t>, which aims to address critical impediments to integration across the ASEAN Community. AADCP II also supported</w:t>
      </w:r>
      <w:r w:rsidRPr="00182C20">
        <w:t xml:space="preserve"> the </w:t>
      </w:r>
      <w:r>
        <w:t xml:space="preserve">development of the </w:t>
      </w:r>
      <w:r w:rsidRPr="00182C20">
        <w:t xml:space="preserve">Initiative for ASEAN Integration </w:t>
      </w:r>
      <w:r>
        <w:t xml:space="preserve">(IAI) </w:t>
      </w:r>
      <w:r w:rsidRPr="00182C20">
        <w:t>Work</w:t>
      </w:r>
      <w:r>
        <w:t xml:space="preserve"> P</w:t>
      </w:r>
      <w:r w:rsidRPr="00182C20">
        <w:t>lan</w:t>
      </w:r>
      <w:r>
        <w:t xml:space="preserve"> III, the strategic plan to narrow the development gap between ASEAN economies. Both of these documents will </w:t>
      </w:r>
      <w:r w:rsidRPr="00182C20">
        <w:t>form part of ASEAN’s</w:t>
      </w:r>
      <w:r>
        <w:t xml:space="preserve"> overall blueprint for implementation of the ASEAN Community, </w:t>
      </w:r>
      <w:r w:rsidRPr="009B3FE2">
        <w:rPr>
          <w:i/>
        </w:rPr>
        <w:t>ASEAN 2025: Forging Ahead Together</w:t>
      </w:r>
      <w:r>
        <w:t xml:space="preserve">. AADCP II </w:t>
      </w:r>
      <w:r w:rsidRPr="00722760">
        <w:t>supported labour mobility through the</w:t>
      </w:r>
      <w:r>
        <w:t xml:space="preserve"> develop</w:t>
      </w:r>
      <w:r w:rsidRPr="00722760">
        <w:t>ment of</w:t>
      </w:r>
      <w:r>
        <w:t xml:space="preserve"> ASEAN-wide mutual recognition arrangements in the tourism industry, including a common ASEAN tourism curriculum, and provided training for 88 master trainers (46 female) and 80 master assessors (37 female)</w:t>
      </w:r>
      <w:r w:rsidRPr="00722760">
        <w:t>.</w:t>
      </w:r>
      <w:r>
        <w:t xml:space="preserve"> </w:t>
      </w:r>
      <w:r w:rsidRPr="00722760">
        <w:t>C</w:t>
      </w:r>
      <w:r>
        <w:t xml:space="preserve">onsumer protection models and guidelines </w:t>
      </w:r>
      <w:r w:rsidRPr="00722760">
        <w:t>were also produced</w:t>
      </w:r>
      <w:r>
        <w:t xml:space="preserve"> to help ASEAN Member States to implement consumer protection frameworks. Through AECSP, Australia </w:t>
      </w:r>
      <w:r w:rsidRPr="00330E4B">
        <w:t xml:space="preserve">supported Laos, Myanmar and </w:t>
      </w:r>
      <w:r>
        <w:t>Cambodia</w:t>
      </w:r>
      <w:r w:rsidRPr="00330E4B">
        <w:t xml:space="preserve"> to </w:t>
      </w:r>
      <w:r>
        <w:t>enact</w:t>
      </w:r>
      <w:r w:rsidRPr="00330E4B">
        <w:t xml:space="preserve"> national competition law and </w:t>
      </w:r>
      <w:r>
        <w:t>establish</w:t>
      </w:r>
      <w:r w:rsidRPr="00330E4B">
        <w:t xml:space="preserve"> competition authorities</w:t>
      </w:r>
      <w:r>
        <w:t xml:space="preserve">, and </w:t>
      </w:r>
      <w:r w:rsidRPr="00330E4B">
        <w:t>contributed to the accession of Cambodia and Lao</w:t>
      </w:r>
      <w:r>
        <w:t>s</w:t>
      </w:r>
      <w:r w:rsidRPr="00330E4B">
        <w:t xml:space="preserve"> to the Madrid Protocol</w:t>
      </w:r>
      <w:r>
        <w:t>, an international trademark registration system intended to</w:t>
      </w:r>
      <w:r w:rsidRPr="00CF100C">
        <w:t xml:space="preserve"> reduce the cost and complexity of doing business. The Madrid Protocol enables brand owners to file a single application in one language directly wi</w:t>
      </w:r>
      <w:r>
        <w:t>th an owner’s traditional trade</w:t>
      </w:r>
      <w:r w:rsidRPr="00CF100C">
        <w:t>mark office and to use that application to seek protection in other markets.</w:t>
      </w:r>
    </w:p>
    <w:p w14:paraId="6D48DCE5" w14:textId="77777777" w:rsidR="008C713B" w:rsidRPr="00CF100C" w:rsidRDefault="008C713B" w:rsidP="008C713B">
      <w:pPr>
        <w:rPr>
          <w:lang w:val="en-US"/>
        </w:rPr>
      </w:pPr>
      <w:r>
        <w:t xml:space="preserve">During the reporting period, Australia has worked hard to ensure our investments supported an inclusive ASEAN Community. </w:t>
      </w:r>
      <w:r w:rsidRPr="002A7DF1">
        <w:t>AADCP II</w:t>
      </w:r>
      <w:r>
        <w:t xml:space="preserve"> identified</w:t>
      </w:r>
      <w:r w:rsidRPr="002A7DF1">
        <w:t xml:space="preserve"> opportunities to mainstream gender equality</w:t>
      </w:r>
      <w:r>
        <w:t xml:space="preserve"> into ASEC activities</w:t>
      </w:r>
      <w:r w:rsidRPr="002A7DF1">
        <w:t>. F</w:t>
      </w:r>
      <w:r>
        <w:t>or example, gender was built in</w:t>
      </w:r>
      <w:r w:rsidRPr="002A7DF1">
        <w:t xml:space="preserve">to the IAI Work Plan III as a cross-cutting theme, and </w:t>
      </w:r>
      <w:r w:rsidRPr="002A7DF1">
        <w:rPr>
          <w:i/>
        </w:rPr>
        <w:t>Handbooks on Liberalisation of Professional Services through Mutual Recognition in ASEAN</w:t>
      </w:r>
      <w:r w:rsidRPr="002A7DF1">
        <w:t xml:space="preserve"> for engineering, architecture, accounting and surveying services included analysis on how gender is treated in regulatory environments.</w:t>
      </w:r>
      <w:r>
        <w:t xml:space="preserve"> </w:t>
      </w:r>
      <w:r w:rsidRPr="00CF100C">
        <w:t xml:space="preserve">Sex-disaggregated responses to participant evaluation surveys </w:t>
      </w:r>
      <w:r>
        <w:t>we</w:t>
      </w:r>
      <w:r w:rsidRPr="00CF100C">
        <w:t xml:space="preserve">re used by AECSP to </w:t>
      </w:r>
      <w:r>
        <w:t>show</w:t>
      </w:r>
      <w:r w:rsidRPr="00CF100C">
        <w:t xml:space="preserve"> </w:t>
      </w:r>
      <w:r>
        <w:t>how</w:t>
      </w:r>
      <w:r w:rsidRPr="00CF100C">
        <w:t xml:space="preserve"> activities </w:t>
      </w:r>
      <w:r>
        <w:t xml:space="preserve">benefited women and men, </w:t>
      </w:r>
      <w:r w:rsidRPr="00CF100C">
        <w:t xml:space="preserve">and to explore if women participants </w:t>
      </w:r>
      <w:r>
        <w:t>had</w:t>
      </w:r>
      <w:r w:rsidRPr="00CF100C">
        <w:t xml:space="preserve"> unique challenges in applying and adop</w:t>
      </w:r>
      <w:r>
        <w:t>ting new skills and knowledge in</w:t>
      </w:r>
      <w:r w:rsidRPr="00CF100C">
        <w:t xml:space="preserve"> the workplace. </w:t>
      </w:r>
      <w:r>
        <w:t>According to the findings, w</w:t>
      </w:r>
      <w:r w:rsidRPr="00CF100C">
        <w:t xml:space="preserve">omen holding senior government positions from Indonesia, Cambodia, Myanmar, Philippines, and Thailand </w:t>
      </w:r>
      <w:r>
        <w:t>participated in AECSP training and are</w:t>
      </w:r>
      <w:r w:rsidRPr="00CF100C">
        <w:t xml:space="preserve"> </w:t>
      </w:r>
      <w:r>
        <w:t>now leading</w:t>
      </w:r>
      <w:r w:rsidRPr="00CF100C">
        <w:t xml:space="preserve"> the adoption of new knowledge and skills within their respective institutions.</w:t>
      </w:r>
      <w:r>
        <w:t xml:space="preserve"> </w:t>
      </w:r>
    </w:p>
    <w:p w14:paraId="4A65C015" w14:textId="1872DAA9" w:rsidR="00CA2A8F" w:rsidRDefault="00CA2A8F" w:rsidP="00CA2A8F">
      <w:r>
        <w:t xml:space="preserve">Beyond our support delivered through the ASEAN Secretariat, the Regional Program is contributing to private sector development by enhancing access to finance for men- and women-led small businesses. During the reporting period, the </w:t>
      </w:r>
      <w:r w:rsidRPr="00A129A5">
        <w:rPr>
          <w:b/>
        </w:rPr>
        <w:t>Mekong Business Initiative</w:t>
      </w:r>
      <w:r>
        <w:t xml:space="preserve"> (MBI) established 18 projects to stimulate private sector growth in Cambodia, Laos, Myanmar and Vietnam. Outcomes included the development of </w:t>
      </w:r>
      <w:r w:rsidRPr="00926025">
        <w:t>Myanmar’s National Private Sector Development</w:t>
      </w:r>
      <w:r>
        <w:t xml:space="preserve"> (PSD)</w:t>
      </w:r>
      <w:r w:rsidRPr="00926025">
        <w:t xml:space="preserve"> Framework and Action Plan</w:t>
      </w:r>
      <w:r>
        <w:t>;</w:t>
      </w:r>
      <w:r w:rsidRPr="00926025">
        <w:t xml:space="preserve"> the establishment of the Mekong Angel Investor Network bringing venture</w:t>
      </w:r>
      <w:r>
        <w:t xml:space="preserve"> and investment</w:t>
      </w:r>
      <w:r w:rsidRPr="00926025">
        <w:t xml:space="preserve"> capital expertise and mentoring to Mekong markets</w:t>
      </w:r>
      <w:r>
        <w:t>;</w:t>
      </w:r>
      <w:r w:rsidRPr="00926025">
        <w:t xml:space="preserve"> the establishment of the Vietnam Private Sector Forum (</w:t>
      </w:r>
      <w:r>
        <w:t>subsequently endorsed</w:t>
      </w:r>
      <w:r w:rsidRPr="00926025">
        <w:t xml:space="preserve"> by the Government of Vietnam)</w:t>
      </w:r>
      <w:r>
        <w:t>;</w:t>
      </w:r>
      <w:r w:rsidRPr="00926025">
        <w:t xml:space="preserve"> and </w:t>
      </w:r>
      <w:r>
        <w:t xml:space="preserve">facilitated </w:t>
      </w:r>
      <w:r w:rsidRPr="00926025">
        <w:t xml:space="preserve">private sector input into </w:t>
      </w:r>
      <w:r>
        <w:t>the development of Vietnamese legislation focused on small and medium enterprises (</w:t>
      </w:r>
      <w:r w:rsidRPr="00926025">
        <w:t>SME</w:t>
      </w:r>
      <w:r>
        <w:t>)</w:t>
      </w:r>
      <w:r w:rsidRPr="00926025">
        <w:t xml:space="preserve"> and </w:t>
      </w:r>
      <w:r>
        <w:t>v</w:t>
      </w:r>
      <w:r w:rsidRPr="00926025">
        <w:t xml:space="preserve">enture </w:t>
      </w:r>
      <w:r>
        <w:t>c</w:t>
      </w:r>
      <w:r w:rsidRPr="00926025">
        <w:t xml:space="preserve">apital. </w:t>
      </w:r>
      <w:r>
        <w:t xml:space="preserve">MBI also actively supported a DFAT-led gender assessment of Australian-funded private sector investments in Myanmar that further informed the national PSD Framework. </w:t>
      </w:r>
    </w:p>
    <w:p w14:paraId="741F8DA3" w14:textId="65BC7176" w:rsidR="00CA2A8F" w:rsidRDefault="00CA2A8F" w:rsidP="00CA2A8F">
      <w:r>
        <w:rPr>
          <w:lang w:val="en-US"/>
        </w:rPr>
        <w:t xml:space="preserve">The </w:t>
      </w:r>
      <w:r w:rsidRPr="00A129A5">
        <w:rPr>
          <w:b/>
          <w:lang w:val="en-US"/>
        </w:rPr>
        <w:t xml:space="preserve">Shaping Inclusive Financial Transformation in ASEAN (SHIFT) </w:t>
      </w:r>
      <w:r w:rsidRPr="006A028D">
        <w:rPr>
          <w:lang w:val="en-US"/>
        </w:rPr>
        <w:t>program</w:t>
      </w:r>
      <w:r>
        <w:rPr>
          <w:lang w:val="en-US"/>
        </w:rPr>
        <w:t xml:space="preserve"> helped low-income men and women access financial services. In 2015, SHIFT opened two challenge fund windows calling for proposals to expand financial services to rural and remote areas. From this, Australia is supporting nine successful </w:t>
      </w:r>
      <w:r>
        <w:rPr>
          <w:lang w:val="en-US"/>
        </w:rPr>
        <w:lastRenderedPageBreak/>
        <w:t xml:space="preserve">proposals; five focused on finance for clean energy products and four focused on </w:t>
      </w:r>
      <w:r>
        <w:t xml:space="preserve">expanding financial services to low-income women and SMEs, particularly in rural areas. Solutions primarily </w:t>
      </w:r>
      <w:r w:rsidR="004F7BD6">
        <w:t>use</w:t>
      </w:r>
      <w:r>
        <w:t xml:space="preserve"> mobile phone technology to increase accessibility to services, educate users and offer deposit, remittance and micro-insurance services.</w:t>
      </w:r>
    </w:p>
    <w:p w14:paraId="4A32D56E" w14:textId="7C1DA06D" w:rsidR="00AD793A" w:rsidRDefault="00AD793A" w:rsidP="00AD793A">
      <w:r>
        <w:rPr>
          <w:lang w:val="en-US"/>
        </w:rPr>
        <w:t>Analysis of financial inclusion in Laos and Cambodia was conducted in 2015-16 and will inform their respective national financial inclusion strategies. T</w:t>
      </w:r>
      <w:r>
        <w:t>he</w:t>
      </w:r>
      <w:r w:rsidRPr="00783160">
        <w:t xml:space="preserve"> </w:t>
      </w:r>
      <w:r w:rsidRPr="00A129A5">
        <w:rPr>
          <w:b/>
        </w:rPr>
        <w:t xml:space="preserve">Women’s Economic Empowerment and Leadership in ASEAN (WEL ASEAN) </w:t>
      </w:r>
      <w:r w:rsidRPr="003E29AE">
        <w:t>investment</w:t>
      </w:r>
      <w:r>
        <w:rPr>
          <w:b/>
        </w:rPr>
        <w:t xml:space="preserve"> </w:t>
      </w:r>
      <w:r>
        <w:t>delivered</w:t>
      </w:r>
      <w:r w:rsidRPr="00783160">
        <w:t xml:space="preserve"> national level training</w:t>
      </w:r>
      <w:r>
        <w:t xml:space="preserve"> in Cambodia, Laos, Myanmar and Vietnam</w:t>
      </w:r>
      <w:r w:rsidRPr="00783160">
        <w:t xml:space="preserve">, </w:t>
      </w:r>
      <w:r>
        <w:t xml:space="preserve">as well as wider </w:t>
      </w:r>
      <w:r w:rsidRPr="00783160">
        <w:t xml:space="preserve">regional network dialogues </w:t>
      </w:r>
      <w:r>
        <w:t>involving ASEAN Member States and forums</w:t>
      </w:r>
      <w:r w:rsidRPr="00783160">
        <w:t xml:space="preserve">. </w:t>
      </w:r>
      <w:r>
        <w:rPr>
          <w:lang w:val="en-US"/>
        </w:rPr>
        <w:t xml:space="preserve">During the reporting period, </w:t>
      </w:r>
      <w:r>
        <w:t xml:space="preserve">Oxfam Australia and the </w:t>
      </w:r>
      <w:r w:rsidRPr="009919BC">
        <w:t>International Womens' Rights Action Watch Asia Pacific</w:t>
      </w:r>
      <w:r>
        <w:t xml:space="preserve"> </w:t>
      </w:r>
      <w:r w:rsidRPr="00783160">
        <w:t xml:space="preserve">produced </w:t>
      </w:r>
      <w:r>
        <w:t>a F</w:t>
      </w:r>
      <w:r w:rsidRPr="00783160">
        <w:t xml:space="preserve">ramework </w:t>
      </w:r>
      <w:r>
        <w:t>and Training Module for Women’s Economic Rights in ASEAN to help women’s rights organisations build their capacity to advocate for women’s economic rights</w:t>
      </w:r>
      <w:r w:rsidR="00CA2A8F">
        <w:t>. Locally translated</w:t>
      </w:r>
      <w:r w:rsidR="00CA2A8F" w:rsidRPr="00783160">
        <w:t xml:space="preserve"> training </w:t>
      </w:r>
      <w:r w:rsidR="00CA2A8F">
        <w:t xml:space="preserve">materials on women’s economic empowerment were also produced. </w:t>
      </w:r>
      <w:r w:rsidR="00CA2A8F" w:rsidRPr="00A129A5">
        <w:rPr>
          <w:b/>
        </w:rPr>
        <w:t>The Greater Mekong Subregional Transport and Trade Facilitation (</w:t>
      </w:r>
      <w:r w:rsidR="00CA2A8F">
        <w:rPr>
          <w:b/>
        </w:rPr>
        <w:t xml:space="preserve">GMS </w:t>
      </w:r>
      <w:r w:rsidR="00CA2A8F" w:rsidRPr="00A129A5">
        <w:rPr>
          <w:b/>
        </w:rPr>
        <w:t>TTF) Program</w:t>
      </w:r>
      <w:r w:rsidR="00CA2A8F" w:rsidRPr="00A129A5">
        <w:t xml:space="preserve"> </w:t>
      </w:r>
      <w:r w:rsidR="00CA2A8F">
        <w:t>built</w:t>
      </w:r>
      <w:r w:rsidR="00CA2A8F" w:rsidRPr="00A129A5">
        <w:t xml:space="preserve"> strong momentum in 2015-16. </w:t>
      </w:r>
      <w:r w:rsidR="00CA2A8F">
        <w:t xml:space="preserve">Our support in the reporting period assisted </w:t>
      </w:r>
      <w:r w:rsidR="00CA2A8F" w:rsidRPr="00A129A5">
        <w:t xml:space="preserve">Cambodia, China, </w:t>
      </w:r>
      <w:r w:rsidR="00CA2A8F">
        <w:t>Laos</w:t>
      </w:r>
      <w:r w:rsidR="00CA2A8F" w:rsidRPr="00A129A5">
        <w:t xml:space="preserve">, </w:t>
      </w:r>
      <w:r w:rsidR="00CA2A8F">
        <w:t xml:space="preserve">Myanmar </w:t>
      </w:r>
      <w:r w:rsidR="00CA2A8F" w:rsidRPr="00A129A5">
        <w:t xml:space="preserve">and Vietnam </w:t>
      </w:r>
      <w:r w:rsidR="00CA2A8F">
        <w:t xml:space="preserve">to agree on the implementation of the Cross Border Transport Facilitation Agreement (CBTA). From 1 January 2017, an initial 500 CBTA permits will </w:t>
      </w:r>
      <w:r w:rsidR="00CA2A8F" w:rsidRPr="00A129A5">
        <w:t>allow commercial transport and passenger vehicles to operate along major economic road corridors</w:t>
      </w:r>
      <w:r w:rsidR="00CA2A8F">
        <w:t xml:space="preserve"> connecting mainland ASEAN and East Asian markets</w:t>
      </w:r>
      <w:r w:rsidR="00CA2A8F" w:rsidRPr="00A129A5">
        <w:t xml:space="preserve">. Myanmar’s issuance is set to commence in January 2019. </w:t>
      </w:r>
      <w:r w:rsidR="004F7BD6">
        <w:t>I</w:t>
      </w:r>
      <w:r w:rsidR="00CA2A8F">
        <w:t xml:space="preserve">mplementation of the CBTA </w:t>
      </w:r>
      <w:r w:rsidR="00CA2A8F" w:rsidRPr="00A129A5">
        <w:t xml:space="preserve">will eliminate the need to </w:t>
      </w:r>
      <w:r w:rsidR="00CA2A8F">
        <w:t>unload/reload</w:t>
      </w:r>
      <w:r w:rsidR="00CA2A8F" w:rsidRPr="00A129A5">
        <w:t xml:space="preserve"> goods and passengers at border crossings, making border cross</w:t>
      </w:r>
      <w:r w:rsidR="00CA2A8F">
        <w:t>ing</w:t>
      </w:r>
      <w:r w:rsidR="00CA2A8F" w:rsidRPr="00A129A5">
        <w:t xml:space="preserve"> quicker, cheaper and more efficient.</w:t>
      </w:r>
    </w:p>
    <w:p w14:paraId="4FDC1B3A" w14:textId="5D28B952" w:rsidR="000D605C" w:rsidRDefault="004E3DC7" w:rsidP="000D605C">
      <w:r>
        <w:t>T</w:t>
      </w:r>
      <w:r w:rsidR="00C360B9">
        <w:t xml:space="preserve">he </w:t>
      </w:r>
      <w:r w:rsidR="00C360B9" w:rsidRPr="00A129A5">
        <w:rPr>
          <w:b/>
        </w:rPr>
        <w:t>Greater Mekong Water Resources Program (GMWRP</w:t>
      </w:r>
      <w:r w:rsidR="00C360B9">
        <w:rPr>
          <w:b/>
        </w:rPr>
        <w:t>)</w:t>
      </w:r>
      <w:r w:rsidR="00DA0426">
        <w:t xml:space="preserve"> </w:t>
      </w:r>
      <w:r>
        <w:t xml:space="preserve">made a number of contributions towards inclusive economic cooperation </w:t>
      </w:r>
      <w:r w:rsidR="004975CB">
        <w:t>d</w:t>
      </w:r>
      <w:r w:rsidR="00C360B9">
        <w:t>uring the reporting period</w:t>
      </w:r>
      <w:r w:rsidR="004975CB">
        <w:t>.</w:t>
      </w:r>
      <w:r w:rsidR="00C360B9">
        <w:t xml:space="preserve"> </w:t>
      </w:r>
      <w:r w:rsidR="004975CB">
        <w:t>T</w:t>
      </w:r>
      <w:r w:rsidR="00DA0426">
        <w:t xml:space="preserve">he </w:t>
      </w:r>
      <w:r w:rsidR="004975CB">
        <w:t>Mekong River Commission (MRC)</w:t>
      </w:r>
      <w:r w:rsidR="00BD6B47">
        <w:t xml:space="preserve"> – an</w:t>
      </w:r>
      <w:r w:rsidR="00BD6B47" w:rsidRPr="004959F2">
        <w:t xml:space="preserve"> </w:t>
      </w:r>
      <w:r w:rsidR="00BD6B47">
        <w:t>inter-governmental</w:t>
      </w:r>
      <w:r w:rsidR="00BD6B47" w:rsidRPr="00777515">
        <w:t xml:space="preserve"> facilitating and advisory body </w:t>
      </w:r>
      <w:r w:rsidR="00BD6B47">
        <w:t>working directly with</w:t>
      </w:r>
      <w:r w:rsidR="00BD6B47" w:rsidRPr="00777515">
        <w:t xml:space="preserve"> </w:t>
      </w:r>
      <w:r w:rsidR="00BD6B47">
        <w:t>Mekong countries to more sustainably share water resources –</w:t>
      </w:r>
      <w:r w:rsidR="004975CB">
        <w:t xml:space="preserve"> </w:t>
      </w:r>
      <w:r w:rsidR="00DA0426">
        <w:t>approved and began implementing its new strategic plan (2016-2020), which focusses on core priorities as well as moving the MRC to</w:t>
      </w:r>
      <w:r w:rsidR="00BD6B47">
        <w:t>wards</w:t>
      </w:r>
      <w:r w:rsidR="00DA0426">
        <w:t xml:space="preserve"> self-sufficiency by 2030. Australia </w:t>
      </w:r>
      <w:r w:rsidR="00DA0426" w:rsidRPr="00F1452D">
        <w:t xml:space="preserve">supported </w:t>
      </w:r>
      <w:r w:rsidR="00DA0426" w:rsidRPr="00C8011B">
        <w:t xml:space="preserve">eWater </w:t>
      </w:r>
      <w:r w:rsidR="00DA0426">
        <w:t>to introduce</w:t>
      </w:r>
      <w:r w:rsidR="00DA0426" w:rsidRPr="00C8011B">
        <w:t xml:space="preserve"> </w:t>
      </w:r>
      <w:r w:rsidR="00BD6B47">
        <w:t xml:space="preserve">the </w:t>
      </w:r>
      <w:r w:rsidR="00DA0426" w:rsidRPr="00C8011B">
        <w:t xml:space="preserve">Australian river modelling technology </w:t>
      </w:r>
      <w:r w:rsidR="00DA0426">
        <w:rPr>
          <w:i/>
        </w:rPr>
        <w:t xml:space="preserve">Source </w:t>
      </w:r>
      <w:r w:rsidR="00DA0426" w:rsidRPr="00C8011B">
        <w:t xml:space="preserve">to Mekong countries via </w:t>
      </w:r>
      <w:r w:rsidR="00DA0426">
        <w:t>the MRC</w:t>
      </w:r>
      <w:r w:rsidR="00DA0426" w:rsidRPr="00C8011B">
        <w:t>. The tool</w:t>
      </w:r>
      <w:r w:rsidR="00DA0426">
        <w:t>, which is used by Australian states to manage water allocations from the Murray-Darling Basin,</w:t>
      </w:r>
      <w:r w:rsidR="00DA0426" w:rsidRPr="00C8011B">
        <w:t xml:space="preserve"> is gradually being adopted by MRC member countries.</w:t>
      </w:r>
      <w:r w:rsidR="00DA0426">
        <w:t xml:space="preserve"> </w:t>
      </w:r>
      <w:r w:rsidR="00DA0426">
        <w:rPr>
          <w:i/>
        </w:rPr>
        <w:t xml:space="preserve">Source </w:t>
      </w:r>
      <w:r w:rsidR="00DA0426">
        <w:t xml:space="preserve">is also being used to establish baselines for the </w:t>
      </w:r>
      <w:r w:rsidR="00DA0426" w:rsidRPr="00C8011B">
        <w:t>MRC Council Study</w:t>
      </w:r>
      <w:r w:rsidR="00DA0426">
        <w:t xml:space="preserve">, which will incorporate the findings of </w:t>
      </w:r>
      <w:r w:rsidR="00BD6B47">
        <w:t>the Vietnam Government’s</w:t>
      </w:r>
      <w:r w:rsidR="00DA0426" w:rsidRPr="001141FE">
        <w:t xml:space="preserve"> Delta Study</w:t>
      </w:r>
      <w:r w:rsidR="00C360B9">
        <w:t xml:space="preserve"> on the impacts of upstream development on the Mekong Delta</w:t>
      </w:r>
      <w:r w:rsidR="00DA0426">
        <w:t>,</w:t>
      </w:r>
      <w:r w:rsidR="00DA0426" w:rsidRPr="001141FE">
        <w:t xml:space="preserve"> completed in 2015</w:t>
      </w:r>
      <w:r w:rsidR="00DA0426">
        <w:t xml:space="preserve">. Both studies were funded by Australia. </w:t>
      </w:r>
      <w:r w:rsidR="00C360B9">
        <w:t xml:space="preserve">Australia facilitated the sharing and discussion of these and other studies </w:t>
      </w:r>
      <w:r w:rsidR="000D605C">
        <w:t>through its annual Greater Mekong</w:t>
      </w:r>
      <w:r w:rsidR="000D605C" w:rsidRPr="001141FE">
        <w:t xml:space="preserve"> </w:t>
      </w:r>
      <w:r w:rsidR="00C360B9">
        <w:t>Water Resources Forum, held in October 2015</w:t>
      </w:r>
      <w:r w:rsidR="000D605C">
        <w:t xml:space="preserve">. </w:t>
      </w:r>
    </w:p>
    <w:p w14:paraId="66DF0812" w14:textId="2885F369" w:rsidR="00C54679" w:rsidRDefault="00BD6B47" w:rsidP="001B7EC3">
      <w:r>
        <w:t>The Regional Program helped facilitate a growing body of</w:t>
      </w:r>
      <w:r w:rsidR="00DA0426">
        <w:t xml:space="preserve"> research on environmental, social and economic impacts and sustainable solutions for the region’s river basins</w:t>
      </w:r>
      <w:r>
        <w:t>, which</w:t>
      </w:r>
      <w:r w:rsidR="00DA0426">
        <w:t xml:space="preserve"> is slowly informing policy</w:t>
      </w:r>
      <w:r w:rsidR="00DA0426" w:rsidRPr="001141FE">
        <w:t>.</w:t>
      </w:r>
      <w:r w:rsidR="00DA0426">
        <w:t xml:space="preserve"> </w:t>
      </w:r>
      <w:r w:rsidR="00C54679">
        <w:t>T</w:t>
      </w:r>
      <w:r w:rsidR="00C54679" w:rsidRPr="001141FE">
        <w:t>he Government of Cambodia approved sub-decrees for water resource management and several guidelines for irrigation management and maintenance</w:t>
      </w:r>
      <w:r w:rsidR="00C54679">
        <w:t>, funded by Australia</w:t>
      </w:r>
      <w:r w:rsidR="00C54679" w:rsidRPr="001141FE">
        <w:t xml:space="preserve">. </w:t>
      </w:r>
      <w:r w:rsidR="00C54679">
        <w:t xml:space="preserve">Australia also supported the establishment of Laos’ first river basin organisation, which will be the model for river basin management across </w:t>
      </w:r>
      <w:r>
        <w:t>the country</w:t>
      </w:r>
      <w:r w:rsidR="00C54679">
        <w:t xml:space="preserve">. </w:t>
      </w:r>
      <w:r w:rsidR="00DA0426">
        <w:t>Australia supported the International Finance Corporation (IFC)</w:t>
      </w:r>
      <w:r w:rsidR="00C54679">
        <w:t xml:space="preserve"> </w:t>
      </w:r>
      <w:r w:rsidR="00DA0426">
        <w:t>to work</w:t>
      </w:r>
      <w:r w:rsidR="00C54679">
        <w:t xml:space="preserve"> with </w:t>
      </w:r>
      <w:r w:rsidR="008E7A0D">
        <w:t xml:space="preserve">the </w:t>
      </w:r>
      <w:r w:rsidR="00C54679">
        <w:t>Lao</w:t>
      </w:r>
      <w:r w:rsidR="000D605C">
        <w:t>s</w:t>
      </w:r>
      <w:r w:rsidR="00C54679">
        <w:t xml:space="preserve"> </w:t>
      </w:r>
      <w:r w:rsidR="008E7A0D">
        <w:t>Ministry of Natural Resources and Environment (</w:t>
      </w:r>
      <w:r w:rsidR="00C54679">
        <w:t>MONRE</w:t>
      </w:r>
      <w:r w:rsidR="008E7A0D">
        <w:t>)</w:t>
      </w:r>
      <w:r w:rsidR="00C54679">
        <w:t xml:space="preserve"> to revise the water resources law. While the approval of the law has been delayed, t</w:t>
      </w:r>
      <w:r w:rsidR="00C54679" w:rsidRPr="001141FE">
        <w:t xml:space="preserve">he </w:t>
      </w:r>
      <w:r w:rsidR="00C54679">
        <w:t>Laos</w:t>
      </w:r>
      <w:r w:rsidR="00C54679" w:rsidRPr="001141FE">
        <w:t xml:space="preserve"> Department of Water Resources has embedded key action plans into a broader Natural Resources and Environment Strategy, reflecting a new approach by </w:t>
      </w:r>
      <w:r w:rsidR="00C54679">
        <w:t>MONRE</w:t>
      </w:r>
      <w:r w:rsidR="00C54679" w:rsidRPr="001141FE">
        <w:t>.</w:t>
      </w:r>
      <w:r w:rsidR="00DA0426">
        <w:t xml:space="preserve"> The IFC and Lao MONRE also conducted the largest study of a key tributary river in Laos (the Nam Ou river), which involved surveys of 1,200 households to attempt to quantify the social impact of rapid hydropower development. This study will form the evidence base for Laos’ river basin management plan. The IFC </w:t>
      </w:r>
      <w:r w:rsidR="00206063">
        <w:t xml:space="preserve">is now working with the Government of Myanmar to conduct </w:t>
      </w:r>
      <w:r w:rsidR="00DA0426">
        <w:t xml:space="preserve">a </w:t>
      </w:r>
      <w:r w:rsidR="00DA0426" w:rsidRPr="008E13BD">
        <w:t xml:space="preserve">Strategic Environmental </w:t>
      </w:r>
      <w:r w:rsidR="00DA0426">
        <w:t>and</w:t>
      </w:r>
      <w:r w:rsidR="00DA0426" w:rsidRPr="008E13BD">
        <w:t xml:space="preserve"> Social Assessment of hydropower development options in the Ayeyarwady and Thanlwin river basins</w:t>
      </w:r>
      <w:r w:rsidR="00DA0426">
        <w:t xml:space="preserve"> to ensure Myanmar’s development planning minimises social and environmental impacts</w:t>
      </w:r>
      <w:r w:rsidR="00DA0426" w:rsidRPr="008E13BD">
        <w:t>.</w:t>
      </w:r>
    </w:p>
    <w:p w14:paraId="4EC4A036" w14:textId="156E13CD" w:rsidR="001B7EC3" w:rsidRDefault="00DA0426" w:rsidP="002A7DF1">
      <w:r>
        <w:t xml:space="preserve">The GMWRP and its partners have demonstrated results in capacity building and inclusion. </w:t>
      </w:r>
      <w:r w:rsidR="006431C9">
        <w:t xml:space="preserve">Approximately </w:t>
      </w:r>
      <w:r w:rsidR="006431C9" w:rsidRPr="008D4FD9">
        <w:t xml:space="preserve">3900 </w:t>
      </w:r>
      <w:r w:rsidR="006431C9">
        <w:t>people</w:t>
      </w:r>
      <w:r w:rsidR="006431C9" w:rsidRPr="008D4FD9">
        <w:t xml:space="preserve"> </w:t>
      </w:r>
      <w:r w:rsidR="00BD6B47">
        <w:t>(</w:t>
      </w:r>
      <w:r w:rsidR="006431C9" w:rsidRPr="008D4FD9">
        <w:t>38</w:t>
      </w:r>
      <w:r w:rsidR="006431C9">
        <w:t xml:space="preserve"> per cent</w:t>
      </w:r>
      <w:r w:rsidR="006431C9" w:rsidRPr="008D4FD9">
        <w:t xml:space="preserve"> female</w:t>
      </w:r>
      <w:r w:rsidR="00BD6B47">
        <w:t>)</w:t>
      </w:r>
      <w:r w:rsidR="006431C9">
        <w:t xml:space="preserve"> participated in water resource training. Australia funded the establishment of the </w:t>
      </w:r>
      <w:r w:rsidR="006431C9" w:rsidRPr="002B45B7">
        <w:t xml:space="preserve">Faculty of Water Resources </w:t>
      </w:r>
      <w:r w:rsidR="006431C9">
        <w:t xml:space="preserve">course at the National University of Laos, from which 40 students </w:t>
      </w:r>
      <w:r w:rsidR="006431C9">
        <w:lastRenderedPageBreak/>
        <w:t xml:space="preserve">graduated in 2015-16. </w:t>
      </w:r>
      <w:r w:rsidR="006431C9" w:rsidRPr="006431C9">
        <w:t>This will produce new water professionals and leaders in the sector for the Mekong region.</w:t>
      </w:r>
      <w:r w:rsidR="006431C9">
        <w:t xml:space="preserve"> Driven by </w:t>
      </w:r>
      <w:r w:rsidR="00BD6B47">
        <w:t xml:space="preserve">program partner </w:t>
      </w:r>
      <w:r w:rsidR="006431C9">
        <w:t xml:space="preserve">Oxfam, the </w:t>
      </w:r>
      <w:r w:rsidR="008E7A0D" w:rsidRPr="002B45B7">
        <w:t>GMWRP has made progress on gender inclusion</w:t>
      </w:r>
      <w:r w:rsidR="006431C9">
        <w:t xml:space="preserve">, </w:t>
      </w:r>
      <w:r w:rsidR="008E7A0D" w:rsidRPr="002B45B7">
        <w:t xml:space="preserve">piloting a Gender Impact Assessment Tool in </w:t>
      </w:r>
      <w:r w:rsidR="008E7A0D">
        <w:t xml:space="preserve">Laos and </w:t>
      </w:r>
      <w:r w:rsidR="008E7A0D" w:rsidRPr="002B45B7">
        <w:t>Vietnam</w:t>
      </w:r>
      <w:r w:rsidR="008E7A0D">
        <w:t xml:space="preserve"> to</w:t>
      </w:r>
      <w:r w:rsidR="008E7A0D" w:rsidRPr="002B45B7">
        <w:t xml:space="preserve"> guide private sector and governments to identify and involve women in assessment and decision-making processes for hydropower development. </w:t>
      </w:r>
    </w:p>
    <w:p w14:paraId="2F2A0E8D" w14:textId="5136541B" w:rsidR="00AC034F" w:rsidRPr="00613613" w:rsidRDefault="004975CB" w:rsidP="00EE1BBE">
      <w:r w:rsidRPr="004975CB">
        <w:t>Investments under</w:t>
      </w:r>
      <w:r w:rsidR="00DA101D" w:rsidRPr="004975CB">
        <w:t xml:space="preserve"> </w:t>
      </w:r>
      <w:r w:rsidRPr="00BD6B47">
        <w:rPr>
          <w:b/>
        </w:rPr>
        <w:t>O</w:t>
      </w:r>
      <w:r w:rsidR="00DA101D" w:rsidRPr="00BD6B47">
        <w:rPr>
          <w:b/>
        </w:rPr>
        <w:t>bjective 2</w:t>
      </w:r>
      <w:r w:rsidR="00DA101D" w:rsidRPr="00344ADC">
        <w:t xml:space="preserve"> </w:t>
      </w:r>
      <w:r w:rsidR="00BD6B47">
        <w:t xml:space="preserve">are directly relevant </w:t>
      </w:r>
      <w:r w:rsidR="00321CF4">
        <w:t xml:space="preserve">to the Australian Government’s human security priorities in the region and </w:t>
      </w:r>
      <w:r w:rsidR="00F167AA">
        <w:t>continued to deliver</w:t>
      </w:r>
      <w:r w:rsidR="00BD6B47">
        <w:t xml:space="preserve"> strong outcomes</w:t>
      </w:r>
      <w:r w:rsidR="00F167AA">
        <w:t xml:space="preserve"> in the reporting period. </w:t>
      </w:r>
      <w:r w:rsidR="00BD6B47">
        <w:t xml:space="preserve">A number of key policy documents frame the Government’s policy in this field. </w:t>
      </w:r>
      <w:r w:rsidR="00077A25">
        <w:t xml:space="preserve">In March 2016, </w:t>
      </w:r>
      <w:r>
        <w:t>the Minister</w:t>
      </w:r>
      <w:r w:rsidR="00077A25">
        <w:t xml:space="preserve"> </w:t>
      </w:r>
      <w:r w:rsidR="00321CF4">
        <w:t xml:space="preserve">for Foreign Affairs </w:t>
      </w:r>
      <w:r w:rsidR="00077A25">
        <w:t xml:space="preserve">launched </w:t>
      </w:r>
      <w:r>
        <w:t>DFAT’s</w:t>
      </w:r>
      <w:r w:rsidR="00077A25">
        <w:t xml:space="preserve"> </w:t>
      </w:r>
      <w:r w:rsidR="00077A25">
        <w:rPr>
          <w:i/>
        </w:rPr>
        <w:t>International Strategy to Combat Human Trafficking and Slavery</w:t>
      </w:r>
      <w:r w:rsidR="00AC034F">
        <w:t xml:space="preserve">, which brings together Australian Government agencies’ activities. It complements Australia’s </w:t>
      </w:r>
      <w:r w:rsidR="00AC034F">
        <w:rPr>
          <w:i/>
        </w:rPr>
        <w:t xml:space="preserve">National Action Plan to Combat Human </w:t>
      </w:r>
      <w:r w:rsidR="006B12A0">
        <w:rPr>
          <w:i/>
        </w:rPr>
        <w:t>Trafficking and Slavery 2015-19</w:t>
      </w:r>
      <w:r w:rsidR="00AC034F">
        <w:rPr>
          <w:i/>
        </w:rPr>
        <w:t xml:space="preserve"> </w:t>
      </w:r>
      <w:r w:rsidR="006B12A0">
        <w:t>and</w:t>
      </w:r>
      <w:r w:rsidR="00AC034F">
        <w:t xml:space="preserve"> incorporates Australia’s responsibilities as co-chair of the </w:t>
      </w:r>
      <w:r w:rsidR="00AC034F" w:rsidRPr="001878B9">
        <w:rPr>
          <w:i/>
        </w:rPr>
        <w:t>Bali Process on People Smuggling, Trafficking in Persons and Related Transnational Crime</w:t>
      </w:r>
      <w:r w:rsidR="00AC034F">
        <w:t>, the principal mechanism for Australia’s regional cooperation on human trafficking.</w:t>
      </w:r>
      <w:r w:rsidR="00613613">
        <w:t xml:space="preserve"> </w:t>
      </w:r>
    </w:p>
    <w:p w14:paraId="45E11117" w14:textId="356EAA81" w:rsidR="00CA2A8F" w:rsidRDefault="00CA2A8F" w:rsidP="00CA2A8F">
      <w:r>
        <w:t>T</w:t>
      </w:r>
      <w:r w:rsidRPr="00AC034F">
        <w:t>he</w:t>
      </w:r>
      <w:r w:rsidRPr="00A129A5">
        <w:rPr>
          <w:b/>
        </w:rPr>
        <w:t xml:space="preserve"> Australia-Asia Program to Combat Trafficking in Persons (AAPTIP)</w:t>
      </w:r>
      <w:r>
        <w:rPr>
          <w:b/>
        </w:rPr>
        <w:t xml:space="preserve"> </w:t>
      </w:r>
      <w:r>
        <w:t xml:space="preserve">builds on over ten years of Australia’s strong anti-trafficking efforts. Achievements in the reporting period included supporting the </w:t>
      </w:r>
      <w:r w:rsidRPr="00761509">
        <w:t xml:space="preserve">drafting of the </w:t>
      </w:r>
      <w:r w:rsidRPr="00761509">
        <w:rPr>
          <w:i/>
        </w:rPr>
        <w:t>ASEAN Convention Against Trafficking in Persons, Especially Women and Children (ACTIP)</w:t>
      </w:r>
      <w:r w:rsidRPr="00761509">
        <w:t>, signed in November 2015 by ASEAN Leaders. ACTIP establishes a regional legal instrument</w:t>
      </w:r>
      <w:r>
        <w:t xml:space="preserve"> which aims to prevent and combat trafficking in persons, protect and assist victims of trafficking and promote cooperation between ASEAN Member States to achieve these objectives. </w:t>
      </w:r>
      <w:r w:rsidRPr="00122BF4">
        <w:t xml:space="preserve">AAPTIP supported the </w:t>
      </w:r>
      <w:r w:rsidRPr="006F4D26">
        <w:t>Senior Officials</w:t>
      </w:r>
      <w:r>
        <w:t>’</w:t>
      </w:r>
      <w:r w:rsidRPr="006F4D26">
        <w:t xml:space="preserve"> Meeting on Transnational Crime</w:t>
      </w:r>
      <w:r w:rsidRPr="00122BF4">
        <w:t xml:space="preserve"> Trafficking In Persons Working Group </w:t>
      </w:r>
      <w:r>
        <w:t>to draft</w:t>
      </w:r>
      <w:r w:rsidRPr="00122BF4">
        <w:t xml:space="preserve"> </w:t>
      </w:r>
      <w:r>
        <w:t>ACTIP</w:t>
      </w:r>
      <w:r w:rsidRPr="00122BF4">
        <w:t xml:space="preserve"> and is working closely with ASEAN Member States </w:t>
      </w:r>
      <w:r>
        <w:t>to advance</w:t>
      </w:r>
      <w:r w:rsidRPr="00122BF4">
        <w:t xml:space="preserve"> ratification and implementation of the criminal justice aspects</w:t>
      </w:r>
      <w:r>
        <w:t xml:space="preserve"> of the Convention</w:t>
      </w:r>
      <w:r w:rsidRPr="00122BF4">
        <w:t>.</w:t>
      </w:r>
      <w:r>
        <w:t xml:space="preserve"> </w:t>
      </w:r>
      <w:r w:rsidRPr="00122BF4">
        <w:t xml:space="preserve">AAPTIP’s regional work plan </w:t>
      </w:r>
      <w:r>
        <w:t xml:space="preserve">has been designed to assist Member States to deliver on specific ACTIP commitments, including by supporting </w:t>
      </w:r>
      <w:r w:rsidRPr="00122BF4">
        <w:t xml:space="preserve">a range of standard setting documents that will facilitate implementation once the </w:t>
      </w:r>
      <w:r>
        <w:t>C</w:t>
      </w:r>
      <w:r w:rsidRPr="00122BF4">
        <w:t>onvention enters into force</w:t>
      </w:r>
      <w:r>
        <w:t xml:space="preserve"> </w:t>
      </w:r>
      <w:r w:rsidRPr="00274781">
        <w:t>(</w:t>
      </w:r>
      <w:r>
        <w:t>of the</w:t>
      </w:r>
      <w:r w:rsidRPr="00274781">
        <w:t xml:space="preserve"> </w:t>
      </w:r>
      <w:r>
        <w:t xml:space="preserve">six ratifications required, </w:t>
      </w:r>
      <w:r w:rsidRPr="00274781">
        <w:t xml:space="preserve">Singapore, Cambodia and Thailand </w:t>
      </w:r>
      <w:r>
        <w:t>had</w:t>
      </w:r>
      <w:r w:rsidRPr="00274781">
        <w:t xml:space="preserve"> </w:t>
      </w:r>
      <w:r>
        <w:t>ratified by June 2016)</w:t>
      </w:r>
      <w:r w:rsidRPr="00274781">
        <w:t>.</w:t>
      </w:r>
      <w:r>
        <w:t xml:space="preserve"> Australia, through AAPTIP, provides a convening platform for countries to exchange information on active trafficking cases with the aid of international advisors in the areas of criminal investigations, prosecutions of trafficking cases and victim–witness advice. T</w:t>
      </w:r>
      <w:r w:rsidRPr="0051466D">
        <w:t xml:space="preserve">wo multilateral meetings on trafficking in the fishing sector between Thailand, Indonesia, Myanmar and Cambodia </w:t>
      </w:r>
      <w:r>
        <w:t xml:space="preserve">facilitated evidence exchange that </w:t>
      </w:r>
      <w:r w:rsidRPr="0051466D">
        <w:t xml:space="preserve">contributed to successful prosecutions of </w:t>
      </w:r>
      <w:r>
        <w:t>eight</w:t>
      </w:r>
      <w:r w:rsidRPr="0051466D">
        <w:t xml:space="preserve"> traffickers in Indonesia and support</w:t>
      </w:r>
      <w:r>
        <w:t xml:space="preserve">ed prosecutions </w:t>
      </w:r>
      <w:r w:rsidRPr="0051466D">
        <w:t>currently underway</w:t>
      </w:r>
      <w:r>
        <w:t xml:space="preserve"> in Thailand</w:t>
      </w:r>
      <w:r w:rsidRPr="0051466D">
        <w:t>.</w:t>
      </w:r>
      <w:r>
        <w:t xml:space="preserve"> </w:t>
      </w:r>
      <w:r w:rsidRPr="0051466D">
        <w:t xml:space="preserve">Two pilots of the ASEAN Training Program in International Legal Cooperation in Trafficking in Persons </w:t>
      </w:r>
      <w:r>
        <w:t>c</w:t>
      </w:r>
      <w:r w:rsidRPr="0051466D">
        <w:t>ases were undertaken in Myanmar (De</w:t>
      </w:r>
      <w:r>
        <w:t>cember) and Cambodia (February). R</w:t>
      </w:r>
      <w:r w:rsidRPr="0051466D">
        <w:t>epresentatives of Thailand’s Office of Attorney Generals deliver</w:t>
      </w:r>
      <w:r>
        <w:t>ed</w:t>
      </w:r>
      <w:r w:rsidRPr="0051466D">
        <w:t xml:space="preserve"> the training, bolstering relationships and capacity</w:t>
      </w:r>
      <w:r>
        <w:t xml:space="preserve"> within the region</w:t>
      </w:r>
      <w:r w:rsidRPr="0051466D">
        <w:t>.</w:t>
      </w:r>
      <w:r>
        <w:t xml:space="preserve"> </w:t>
      </w:r>
      <w:r w:rsidRPr="00122BF4">
        <w:t xml:space="preserve">AAPTIP </w:t>
      </w:r>
      <w:r>
        <w:t xml:space="preserve">helped broker </w:t>
      </w:r>
      <w:r w:rsidRPr="00122BF4">
        <w:t xml:space="preserve">an MOU between Malaysia and Vietnam </w:t>
      </w:r>
      <w:r>
        <w:t xml:space="preserve">to formalise bilateral cooperation </w:t>
      </w:r>
      <w:r w:rsidRPr="00122BF4">
        <w:t>on transnational investigati</w:t>
      </w:r>
      <w:r>
        <w:t>ons. A</w:t>
      </w:r>
      <w:r w:rsidRPr="00122BF4">
        <w:t xml:space="preserve"> similar agreement between Thailand and Cambodia </w:t>
      </w:r>
      <w:r>
        <w:t xml:space="preserve">is </w:t>
      </w:r>
      <w:r w:rsidRPr="00122BF4">
        <w:t>lik</w:t>
      </w:r>
      <w:r>
        <w:t xml:space="preserve">ely to be signed in </w:t>
      </w:r>
      <w:r w:rsidR="0031421D">
        <w:t>the later half of</w:t>
      </w:r>
      <w:r>
        <w:t xml:space="preserve"> 2016.</w:t>
      </w:r>
    </w:p>
    <w:p w14:paraId="19B7DCCC" w14:textId="7002D283" w:rsidR="00F9311B" w:rsidRDefault="00F9311B" w:rsidP="00CA2A8F">
      <w:r>
        <w:t>T</w:t>
      </w:r>
      <w:r w:rsidRPr="00F9311B">
        <w:t>he integration of gender activities into</w:t>
      </w:r>
      <w:r>
        <w:t xml:space="preserve"> AAPTIP</w:t>
      </w:r>
      <w:r w:rsidRPr="00F9311B">
        <w:t xml:space="preserve"> programming improved significantly</w:t>
      </w:r>
      <w:r>
        <w:t>, with t</w:t>
      </w:r>
      <w:r w:rsidRPr="00F9311B">
        <w:t xml:space="preserve">he Gender </w:t>
      </w:r>
      <w:r w:rsidR="00480993">
        <w:t>A</w:t>
      </w:r>
      <w:r w:rsidRPr="00F9311B">
        <w:t xml:space="preserve">dviser continued to promote gender sensitive approaches. The AAPTIP Gender Performance Framework has been effectively used to monitor implementation of the gender strategy and in the reporting period demonstrates improvement. </w:t>
      </w:r>
      <w:r w:rsidR="00CA2A8F">
        <w:t xml:space="preserve">Based on training provided by the Gender Adviser, the Country Program Coordinator in Vietnam delivered gender awareness training to border guards in Vietnamese. The activity evaluation indicated that 80 per cent of participants rated the content as high quality and 73 per cent felt </w:t>
      </w:r>
      <w:r w:rsidR="004F7BD6">
        <w:t>it was relevant to their duties, showing that</w:t>
      </w:r>
      <w:r w:rsidR="00CA2A8F">
        <w:t xml:space="preserve"> </w:t>
      </w:r>
      <w:r w:rsidR="004F7BD6">
        <w:t>e</w:t>
      </w:r>
      <w:r w:rsidR="00CA2A8F">
        <w:t>ffective resourcing and training has empowered AAPTIP staff to undertake their own initiatives on gender.</w:t>
      </w:r>
    </w:p>
    <w:p w14:paraId="2D924645" w14:textId="3DDA1F4E" w:rsidR="00BD6B47" w:rsidRDefault="00BD6B47" w:rsidP="00BD6B47">
      <w:r>
        <w:t xml:space="preserve">A final evaluation of the </w:t>
      </w:r>
      <w:r w:rsidRPr="00794C59">
        <w:t>GMS TRIANGLE</w:t>
      </w:r>
      <w:r>
        <w:t xml:space="preserve"> project was published in December 2015 and concluded that the investment achieved its intended outcomes – </w:t>
      </w:r>
      <w:r w:rsidRPr="0087510E">
        <w:t>to strengthen the formulation and implementation of recruitment and labour protection policies and practices in the G</w:t>
      </w:r>
      <w:r>
        <w:t xml:space="preserve">reater </w:t>
      </w:r>
      <w:r w:rsidRPr="0087510E">
        <w:t>M</w:t>
      </w:r>
      <w:r>
        <w:t xml:space="preserve">ekong </w:t>
      </w:r>
      <w:r w:rsidRPr="0087510E">
        <w:t>S</w:t>
      </w:r>
      <w:r>
        <w:t xml:space="preserve">ub-region (GMS). The investment made good use of the ILO’s comparative advantage </w:t>
      </w:r>
      <w:r w:rsidR="004F7BD6">
        <w:t>–</w:t>
      </w:r>
      <w:r>
        <w:t xml:space="preserve"> </w:t>
      </w:r>
      <w:r w:rsidRPr="00B4294E">
        <w:t>its normative framework and technical expertise to promote rights at work, its unique mandate</w:t>
      </w:r>
      <w:r>
        <w:t xml:space="preserve"> in addressing labour migration</w:t>
      </w:r>
      <w:r w:rsidRPr="00B4294E">
        <w:t xml:space="preserve"> and its </w:t>
      </w:r>
      <w:r>
        <w:t xml:space="preserve">promotion of social dialogue. The recommendations from the report were incorporated into the design for the successor </w:t>
      </w:r>
      <w:r w:rsidRPr="00794C59">
        <w:rPr>
          <w:b/>
          <w:lang w:val="en-US"/>
        </w:rPr>
        <w:t xml:space="preserve">Tripartite Action to Enhance the Contribution of Labour Migration to Growth and Development in the </w:t>
      </w:r>
      <w:r w:rsidRPr="00794C59">
        <w:rPr>
          <w:b/>
          <w:lang w:val="en-US"/>
        </w:rPr>
        <w:lastRenderedPageBreak/>
        <w:t>Association of South-East Asian Nations</w:t>
      </w:r>
      <w:r>
        <w:rPr>
          <w:lang w:val="en-US"/>
        </w:rPr>
        <w:t xml:space="preserve"> </w:t>
      </w:r>
      <w:r w:rsidRPr="00794C59">
        <w:rPr>
          <w:b/>
          <w:lang w:val="en-US"/>
        </w:rPr>
        <w:t>(</w:t>
      </w:r>
      <w:r w:rsidRPr="00794C59">
        <w:rPr>
          <w:b/>
        </w:rPr>
        <w:t>TRIANGLE II)</w:t>
      </w:r>
      <w:r>
        <w:t xml:space="preserve"> project, which </w:t>
      </w:r>
      <w:r w:rsidRPr="00441031">
        <w:t xml:space="preserve">was launched by </w:t>
      </w:r>
      <w:r>
        <w:t xml:space="preserve">the </w:t>
      </w:r>
      <w:r w:rsidRPr="00441031">
        <w:t xml:space="preserve">Minister </w:t>
      </w:r>
      <w:r>
        <w:t xml:space="preserve">for Foreign Affairs </w:t>
      </w:r>
      <w:r w:rsidRPr="00441031">
        <w:t>in November 2015</w:t>
      </w:r>
      <w:r>
        <w:t xml:space="preserve"> with the key objective to improve access to safe and legal migration channels. In its first year of implementation, the program has co</w:t>
      </w:r>
      <w:r w:rsidRPr="00590213">
        <w:t>nsult</w:t>
      </w:r>
      <w:r>
        <w:t>ed with</w:t>
      </w:r>
      <w:r w:rsidRPr="00590213">
        <w:t xml:space="preserve"> governments, employers, worker groups and civil society in Vietnam, Myanmar, Cambodia, </w:t>
      </w:r>
      <w:r>
        <w:t>Laos</w:t>
      </w:r>
      <w:r w:rsidRPr="00590213">
        <w:t>, Thailand and Malaysia on national priorities and the strategic direction that TRIANGLE II wil</w:t>
      </w:r>
      <w:r>
        <w:t xml:space="preserve">l take over the next 10 years. </w:t>
      </w:r>
    </w:p>
    <w:p w14:paraId="782CCF42" w14:textId="712575F9" w:rsidR="00AC50B0" w:rsidRDefault="00BD6B47" w:rsidP="00AC50B0">
      <w:r w:rsidRPr="00283C5A">
        <w:t xml:space="preserve">The </w:t>
      </w:r>
      <w:r>
        <w:t xml:space="preserve">project on </w:t>
      </w:r>
      <w:r w:rsidRPr="00794C59">
        <w:rPr>
          <w:b/>
        </w:rPr>
        <w:t>Preventing the Exploitation of Women Migrant Workers in ASEAN</w:t>
      </w:r>
      <w:r w:rsidRPr="00794C59">
        <w:t xml:space="preserve"> </w:t>
      </w:r>
      <w:r w:rsidRPr="00283C5A">
        <w:t xml:space="preserve">complements the work of TRIANGLE II and supports Australia’s broader strategic partnership with UN Women. The project has provided ASEAN policy makers with access to evidence and knowledge to better advocate for gender-sensitive national and regional policy responses. This includes research on the Projected Gender Impact </w:t>
      </w:r>
      <w:r>
        <w:t xml:space="preserve">of the ASEAN Economic Community, </w:t>
      </w:r>
      <w:r w:rsidRPr="00283C5A">
        <w:t>endorsed at the ASEAN Summit in November 2015. Policy briefs that recognise the gender-specific challenges and barriers of women migrant workers, including in the areas of social protection, skills development and labour inspection</w:t>
      </w:r>
      <w:r>
        <w:t>,</w:t>
      </w:r>
      <w:r w:rsidRPr="00283C5A">
        <w:t xml:space="preserve"> were developed and disseminated at the ASEAN Forum on Migrant Labour (AFML) in October 2015.</w:t>
      </w:r>
    </w:p>
    <w:p w14:paraId="452BC67F" w14:textId="77777777" w:rsidR="00AC50B0" w:rsidRPr="00AC50B0" w:rsidRDefault="00AC50B0" w:rsidP="00AC50B0">
      <w:pPr>
        <w:spacing w:before="0" w:after="0" w:line="240" w:lineRule="auto"/>
        <w:rPr>
          <w:sz w:val="14"/>
        </w:rPr>
      </w:pPr>
    </w:p>
    <w:p w14:paraId="17886D81" w14:textId="0114FBC7" w:rsidR="00854352" w:rsidRPr="00BB7812" w:rsidRDefault="005B5769" w:rsidP="00AC50B0">
      <w:pPr>
        <w:spacing w:before="60"/>
        <w:rPr>
          <w:rFonts w:asciiTheme="majorHAnsi" w:eastAsiaTheme="majorEastAsia" w:hAnsiTheme="majorHAnsi" w:cstheme="majorBidi"/>
          <w:caps/>
          <w:sz w:val="36"/>
          <w:szCs w:val="26"/>
        </w:rPr>
      </w:pPr>
      <w:r w:rsidRPr="008C2F58">
        <w:rPr>
          <w:rFonts w:asciiTheme="majorHAnsi" w:eastAsiaTheme="majorEastAsia" w:hAnsiTheme="majorHAnsi" w:cstheme="majorBidi"/>
          <w:caps/>
          <w:sz w:val="36"/>
          <w:szCs w:val="26"/>
        </w:rPr>
        <w:t>Progress towards Performance Benchmarks in 2015</w:t>
      </w:r>
      <w:r w:rsidR="00B438D3" w:rsidRPr="008C2F58">
        <w:rPr>
          <w:rFonts w:asciiTheme="majorHAnsi" w:eastAsiaTheme="majorEastAsia" w:hAnsiTheme="majorHAnsi" w:cstheme="majorBidi"/>
          <w:caps/>
          <w:sz w:val="36"/>
          <w:szCs w:val="26"/>
        </w:rPr>
        <w:noBreakHyphen/>
      </w:r>
      <w:r w:rsidRPr="008C2F58">
        <w:rPr>
          <w:rFonts w:asciiTheme="majorHAnsi" w:eastAsiaTheme="majorEastAsia" w:hAnsiTheme="majorHAnsi" w:cstheme="majorBidi"/>
          <w:caps/>
          <w:sz w:val="36"/>
          <w:szCs w:val="26"/>
        </w:rPr>
        <w:t>16</w:t>
      </w:r>
    </w:p>
    <w:tbl>
      <w:tblPr>
        <w:tblStyle w:val="DFATTable"/>
        <w:tblW w:w="5018" w:type="pct"/>
        <w:tblLook w:val="04A0" w:firstRow="1" w:lastRow="0" w:firstColumn="1" w:lastColumn="0" w:noHBand="0" w:noVBand="1"/>
      </w:tblPr>
      <w:tblGrid>
        <w:gridCol w:w="1540"/>
        <w:gridCol w:w="2538"/>
        <w:gridCol w:w="1135"/>
        <w:gridCol w:w="4676"/>
      </w:tblGrid>
      <w:tr w:rsidR="00911C98" w:rsidRPr="00C4114C" w14:paraId="038E186D" w14:textId="77777777" w:rsidTr="002502FC">
        <w:trPr>
          <w:tblHeader/>
        </w:trPr>
        <w:tc>
          <w:tcPr>
            <w:tcW w:w="779" w:type="pct"/>
            <w:tcMar>
              <w:top w:w="57" w:type="dxa"/>
              <w:bottom w:w="57" w:type="dxa"/>
            </w:tcMar>
          </w:tcPr>
          <w:p w14:paraId="67DDA9CE" w14:textId="1A85DDE4" w:rsidR="00911C98" w:rsidRPr="003B0793" w:rsidRDefault="00911C98" w:rsidP="00854352">
            <w:pPr>
              <w:pStyle w:val="TableHeading1"/>
              <w:keepNext/>
              <w:spacing w:line="240" w:lineRule="auto"/>
              <w:rPr>
                <w:rFonts w:asciiTheme="minorHAnsi" w:hAnsiTheme="minorHAnsi"/>
              </w:rPr>
            </w:pPr>
            <w:r w:rsidRPr="003B0793">
              <w:rPr>
                <w:rFonts w:asciiTheme="minorHAnsi" w:hAnsiTheme="minorHAnsi"/>
              </w:rPr>
              <w:t>Aid objective</w:t>
            </w:r>
          </w:p>
        </w:tc>
        <w:tc>
          <w:tcPr>
            <w:tcW w:w="1283" w:type="pct"/>
          </w:tcPr>
          <w:p w14:paraId="3DC829AA" w14:textId="79F7D146" w:rsidR="00911C98" w:rsidRPr="003B0793" w:rsidRDefault="00911C98" w:rsidP="009279EA">
            <w:pPr>
              <w:pStyle w:val="TableHeading1"/>
              <w:keepNext/>
              <w:spacing w:line="240" w:lineRule="auto"/>
              <w:rPr>
                <w:rFonts w:asciiTheme="minorHAnsi" w:hAnsiTheme="minorHAnsi"/>
              </w:rPr>
            </w:pPr>
            <w:r w:rsidRPr="003B0793">
              <w:rPr>
                <w:rFonts w:asciiTheme="minorHAnsi" w:hAnsiTheme="minorHAnsi"/>
              </w:rPr>
              <w:t xml:space="preserve">2015-16 benchmark </w:t>
            </w:r>
          </w:p>
        </w:tc>
        <w:tc>
          <w:tcPr>
            <w:tcW w:w="574" w:type="pct"/>
          </w:tcPr>
          <w:p w14:paraId="42F332D4" w14:textId="146C996F" w:rsidR="00911C98" w:rsidRPr="003B0793" w:rsidRDefault="00911C98" w:rsidP="00854352">
            <w:pPr>
              <w:pStyle w:val="TableHeading1"/>
              <w:keepNext/>
              <w:spacing w:line="240" w:lineRule="auto"/>
              <w:jc w:val="center"/>
              <w:rPr>
                <w:rFonts w:asciiTheme="minorHAnsi" w:hAnsiTheme="minorHAnsi"/>
              </w:rPr>
            </w:pPr>
            <w:r w:rsidRPr="003B0793">
              <w:rPr>
                <w:rFonts w:asciiTheme="minorHAnsi" w:hAnsiTheme="minorHAnsi"/>
              </w:rPr>
              <w:t>Rating</w:t>
            </w:r>
          </w:p>
        </w:tc>
        <w:tc>
          <w:tcPr>
            <w:tcW w:w="2364" w:type="pct"/>
          </w:tcPr>
          <w:p w14:paraId="06F1C137" w14:textId="3079004E" w:rsidR="00911C98" w:rsidRPr="003B0793" w:rsidRDefault="00911C98" w:rsidP="00854352">
            <w:pPr>
              <w:pStyle w:val="TableHeading1"/>
              <w:keepNext/>
              <w:spacing w:line="240" w:lineRule="auto"/>
              <w:jc w:val="center"/>
              <w:rPr>
                <w:rFonts w:asciiTheme="minorHAnsi" w:hAnsiTheme="minorHAnsi"/>
              </w:rPr>
            </w:pPr>
            <w:r w:rsidRPr="003B0793">
              <w:rPr>
                <w:rFonts w:asciiTheme="minorHAnsi" w:hAnsiTheme="minorHAnsi"/>
              </w:rPr>
              <w:t>Progress in 2015-16</w:t>
            </w:r>
          </w:p>
        </w:tc>
      </w:tr>
      <w:tr w:rsidR="00BD6B47" w:rsidRPr="00C4114C" w14:paraId="7CB0D9A8" w14:textId="77777777" w:rsidTr="002502FC">
        <w:trPr>
          <w:tblHeader/>
        </w:trPr>
        <w:tc>
          <w:tcPr>
            <w:tcW w:w="779" w:type="pct"/>
            <w:vMerge w:val="restart"/>
            <w:tcMar>
              <w:top w:w="57" w:type="dxa"/>
              <w:bottom w:w="57" w:type="dxa"/>
            </w:tcMar>
          </w:tcPr>
          <w:p w14:paraId="7D4BBEF9" w14:textId="77777777" w:rsidR="00BD6B47" w:rsidRPr="00025A36" w:rsidRDefault="00BD6B47" w:rsidP="00854352">
            <w:pPr>
              <w:pStyle w:val="TableTextEntries"/>
              <w:keepLines w:val="0"/>
              <w:snapToGrid w:val="0"/>
              <w:spacing w:line="240" w:lineRule="auto"/>
              <w:rPr>
                <w:rFonts w:asciiTheme="minorHAnsi" w:hAnsiTheme="minorHAnsi"/>
                <w:b/>
              </w:rPr>
            </w:pPr>
            <w:r w:rsidRPr="00025A36">
              <w:rPr>
                <w:rFonts w:asciiTheme="minorHAnsi" w:hAnsiTheme="minorHAnsi"/>
                <w:b/>
              </w:rPr>
              <w:t>Enabling regional economic cooperation and inclusive growth</w:t>
            </w:r>
          </w:p>
        </w:tc>
        <w:tc>
          <w:tcPr>
            <w:tcW w:w="1283" w:type="pct"/>
          </w:tcPr>
          <w:p w14:paraId="5DEA4B32" w14:textId="11AC3509" w:rsidR="00BD6B47" w:rsidRPr="002502FC" w:rsidRDefault="00BD6B47" w:rsidP="00854352">
            <w:pPr>
              <w:pStyle w:val="TableTextEntries"/>
              <w:keepLines w:val="0"/>
              <w:snapToGrid w:val="0"/>
              <w:spacing w:line="240" w:lineRule="auto"/>
              <w:rPr>
                <w:rFonts w:asciiTheme="minorHAnsi" w:hAnsiTheme="minorHAnsi"/>
              </w:rPr>
            </w:pPr>
            <w:r w:rsidRPr="003D7CEB">
              <w:rPr>
                <w:rFonts w:asciiTheme="minorHAnsi" w:hAnsiTheme="minorHAnsi"/>
              </w:rPr>
              <w:t>Australia’s economic research, policy advice and implementation is high quality, timely and supports priority AEC issues</w:t>
            </w:r>
          </w:p>
        </w:tc>
        <w:tc>
          <w:tcPr>
            <w:tcW w:w="574" w:type="pct"/>
            <w:shd w:val="clear" w:color="auto" w:fill="92D050"/>
          </w:tcPr>
          <w:p w14:paraId="00539702" w14:textId="77777777" w:rsidR="00BD6B47" w:rsidRPr="003B0793" w:rsidRDefault="00BD6B47" w:rsidP="00854352">
            <w:pPr>
              <w:pStyle w:val="TableTextEntries"/>
              <w:keepLines w:val="0"/>
              <w:snapToGrid w:val="0"/>
              <w:spacing w:line="240" w:lineRule="auto"/>
              <w:jc w:val="center"/>
              <w:rPr>
                <w:rFonts w:asciiTheme="minorHAnsi" w:hAnsiTheme="minorHAnsi"/>
                <w:color w:val="FFFFFF" w:themeColor="background1"/>
              </w:rPr>
            </w:pPr>
            <w:r w:rsidRPr="003B0793">
              <w:rPr>
                <w:rFonts w:asciiTheme="minorHAnsi" w:hAnsiTheme="minorHAnsi"/>
                <w:color w:val="FFFFFF" w:themeColor="background1"/>
              </w:rPr>
              <w:t>Achieved</w:t>
            </w:r>
          </w:p>
        </w:tc>
        <w:tc>
          <w:tcPr>
            <w:tcW w:w="2364" w:type="pct"/>
          </w:tcPr>
          <w:p w14:paraId="21D4D30A" w14:textId="4582CDED" w:rsidR="00BD6B47" w:rsidRPr="00D66276" w:rsidRDefault="00BD6B47" w:rsidP="00AC50B0">
            <w:pPr>
              <w:pStyle w:val="TableTextEntries"/>
              <w:keepLines w:val="0"/>
              <w:snapToGrid w:val="0"/>
              <w:spacing w:before="0" w:after="0" w:line="240" w:lineRule="auto"/>
              <w:rPr>
                <w:rFonts w:asciiTheme="minorHAnsi" w:hAnsiTheme="minorHAnsi"/>
              </w:rPr>
            </w:pPr>
            <w:r>
              <w:rPr>
                <w:rFonts w:asciiTheme="minorHAnsi" w:hAnsiTheme="minorHAnsi"/>
              </w:rPr>
              <w:t xml:space="preserve">AADCP II: </w:t>
            </w:r>
            <w:r w:rsidRPr="00B56E35">
              <w:rPr>
                <w:rFonts w:asciiTheme="minorHAnsi" w:hAnsiTheme="minorHAnsi"/>
              </w:rPr>
              <w:t>supported the development of the new ASEAN Connectivity Masterplan and the Initiative for ASEAN Integration Work</w:t>
            </w:r>
            <w:r>
              <w:rPr>
                <w:rFonts w:asciiTheme="minorHAnsi" w:hAnsiTheme="minorHAnsi"/>
              </w:rPr>
              <w:t xml:space="preserve"> P</w:t>
            </w:r>
            <w:r w:rsidRPr="00B56E35">
              <w:rPr>
                <w:rFonts w:asciiTheme="minorHAnsi" w:hAnsiTheme="minorHAnsi"/>
              </w:rPr>
              <w:t>lan</w:t>
            </w:r>
            <w:r>
              <w:rPr>
                <w:rFonts w:asciiTheme="minorHAnsi" w:hAnsiTheme="minorHAnsi"/>
              </w:rPr>
              <w:t xml:space="preserve"> III</w:t>
            </w:r>
            <w:r w:rsidRPr="00B56E35">
              <w:rPr>
                <w:rFonts w:asciiTheme="minorHAnsi" w:hAnsiTheme="minorHAnsi"/>
              </w:rPr>
              <w:t>;</w:t>
            </w:r>
            <w:r>
              <w:rPr>
                <w:rFonts w:asciiTheme="minorHAnsi" w:hAnsiTheme="minorHAnsi"/>
              </w:rPr>
              <w:t xml:space="preserve"> </w:t>
            </w:r>
            <w:r w:rsidRPr="00B56E35">
              <w:rPr>
                <w:rFonts w:asciiTheme="minorHAnsi" w:hAnsiTheme="minorHAnsi"/>
              </w:rPr>
              <w:t>helped develop ASEAN-wide mutual recognition arrangements in the tourism industry;</w:t>
            </w:r>
            <w:r>
              <w:rPr>
                <w:rFonts w:asciiTheme="minorHAnsi" w:hAnsiTheme="minorHAnsi"/>
              </w:rPr>
              <w:t xml:space="preserve"> </w:t>
            </w:r>
            <w:r w:rsidRPr="00B56E35">
              <w:rPr>
                <w:rFonts w:asciiTheme="minorHAnsi" w:hAnsiTheme="minorHAnsi"/>
              </w:rPr>
              <w:t xml:space="preserve">developed consumer protection models and guidelines to </w:t>
            </w:r>
            <w:r>
              <w:rPr>
                <w:rFonts w:asciiTheme="minorHAnsi" w:hAnsiTheme="minorHAnsi"/>
              </w:rPr>
              <w:t>help</w:t>
            </w:r>
            <w:r w:rsidRPr="00B56E35">
              <w:rPr>
                <w:rFonts w:asciiTheme="minorHAnsi" w:hAnsiTheme="minorHAnsi"/>
              </w:rPr>
              <w:t xml:space="preserve"> ASEAN Member States implement consumer protection frameworks.</w:t>
            </w:r>
            <w:r>
              <w:rPr>
                <w:rFonts w:asciiTheme="minorHAnsi" w:hAnsiTheme="minorHAnsi"/>
              </w:rPr>
              <w:t xml:space="preserve"> </w:t>
            </w:r>
          </w:p>
        </w:tc>
      </w:tr>
      <w:tr w:rsidR="00BD6B47" w:rsidRPr="00C4114C" w14:paraId="4E8671D6" w14:textId="77777777" w:rsidTr="002502FC">
        <w:trPr>
          <w:tblHeader/>
        </w:trPr>
        <w:tc>
          <w:tcPr>
            <w:tcW w:w="779" w:type="pct"/>
            <w:vMerge/>
            <w:tcMar>
              <w:top w:w="57" w:type="dxa"/>
              <w:bottom w:w="57" w:type="dxa"/>
            </w:tcMar>
          </w:tcPr>
          <w:p w14:paraId="279B0502" w14:textId="77777777" w:rsidR="00BD6B47" w:rsidRPr="00025A36" w:rsidRDefault="00BD6B47" w:rsidP="00854352">
            <w:pPr>
              <w:pStyle w:val="TableTextEntries"/>
              <w:keepLines w:val="0"/>
              <w:snapToGrid w:val="0"/>
              <w:spacing w:line="240" w:lineRule="auto"/>
              <w:rPr>
                <w:rFonts w:asciiTheme="minorHAnsi" w:hAnsiTheme="minorHAnsi"/>
                <w:b/>
              </w:rPr>
            </w:pPr>
          </w:p>
        </w:tc>
        <w:tc>
          <w:tcPr>
            <w:tcW w:w="1283" w:type="pct"/>
          </w:tcPr>
          <w:p w14:paraId="011BE4B0" w14:textId="141781EA" w:rsidR="00BD6B47" w:rsidRPr="002502FC" w:rsidRDefault="00BD6B47" w:rsidP="00854352">
            <w:pPr>
              <w:pStyle w:val="TableTextEntries"/>
              <w:keepLines w:val="0"/>
              <w:snapToGrid w:val="0"/>
              <w:spacing w:line="240" w:lineRule="auto"/>
              <w:rPr>
                <w:rFonts w:asciiTheme="minorHAnsi" w:hAnsiTheme="minorHAnsi"/>
              </w:rPr>
            </w:pPr>
            <w:r w:rsidRPr="003D7CEB">
              <w:rPr>
                <w:rFonts w:asciiTheme="minorHAnsi" w:hAnsiTheme="minorHAnsi"/>
              </w:rPr>
              <w:t>AECSP capacity building projects support AANZFTA implementation</w:t>
            </w:r>
          </w:p>
        </w:tc>
        <w:tc>
          <w:tcPr>
            <w:tcW w:w="574" w:type="pct"/>
            <w:shd w:val="clear" w:color="auto" w:fill="92D050"/>
          </w:tcPr>
          <w:p w14:paraId="2620E7F1" w14:textId="77777777" w:rsidR="00BD6B47" w:rsidRPr="003B0793" w:rsidRDefault="00BD6B47" w:rsidP="00854352">
            <w:pPr>
              <w:pStyle w:val="TableTextEntries"/>
              <w:keepLines w:val="0"/>
              <w:snapToGrid w:val="0"/>
              <w:spacing w:line="240" w:lineRule="auto"/>
              <w:jc w:val="center"/>
              <w:rPr>
                <w:rFonts w:asciiTheme="minorHAnsi" w:hAnsiTheme="minorHAnsi"/>
                <w:color w:val="FFFFFF" w:themeColor="background1"/>
              </w:rPr>
            </w:pPr>
            <w:r w:rsidRPr="003B0793">
              <w:rPr>
                <w:rFonts w:asciiTheme="minorHAnsi" w:hAnsiTheme="minorHAnsi"/>
                <w:color w:val="FFFFFF" w:themeColor="background1"/>
              </w:rPr>
              <w:t>Achieved</w:t>
            </w:r>
          </w:p>
        </w:tc>
        <w:tc>
          <w:tcPr>
            <w:tcW w:w="2364" w:type="pct"/>
          </w:tcPr>
          <w:p w14:paraId="576EBE46" w14:textId="3EC267B5" w:rsidR="00BD6B47" w:rsidRDefault="00BD6B47" w:rsidP="00AC50B0">
            <w:pPr>
              <w:pStyle w:val="TableTextEntries"/>
              <w:keepLines w:val="0"/>
              <w:snapToGrid w:val="0"/>
              <w:spacing w:before="0" w:after="0" w:line="240" w:lineRule="auto"/>
              <w:rPr>
                <w:rFonts w:asciiTheme="minorHAnsi" w:hAnsiTheme="minorHAnsi"/>
              </w:rPr>
            </w:pPr>
            <w:r>
              <w:rPr>
                <w:rFonts w:asciiTheme="minorHAnsi" w:hAnsiTheme="minorHAnsi"/>
              </w:rPr>
              <w:t xml:space="preserve">AECSP: </w:t>
            </w:r>
            <w:r w:rsidRPr="00B56E35">
              <w:rPr>
                <w:rFonts w:asciiTheme="minorHAnsi" w:hAnsiTheme="minorHAnsi"/>
              </w:rPr>
              <w:t xml:space="preserve">supported Laos, Myanmar and </w:t>
            </w:r>
            <w:r>
              <w:rPr>
                <w:rFonts w:asciiTheme="minorHAnsi" w:hAnsiTheme="minorHAnsi"/>
              </w:rPr>
              <w:t>Cambodia</w:t>
            </w:r>
            <w:r w:rsidRPr="00B56E35">
              <w:rPr>
                <w:rFonts w:asciiTheme="minorHAnsi" w:hAnsiTheme="minorHAnsi"/>
              </w:rPr>
              <w:t xml:space="preserve"> to enact national competition law and </w:t>
            </w:r>
            <w:r>
              <w:rPr>
                <w:rFonts w:asciiTheme="minorHAnsi" w:hAnsiTheme="minorHAnsi"/>
              </w:rPr>
              <w:t>establish</w:t>
            </w:r>
            <w:r w:rsidRPr="00B56E35">
              <w:rPr>
                <w:rFonts w:asciiTheme="minorHAnsi" w:hAnsiTheme="minorHAnsi"/>
              </w:rPr>
              <w:t xml:space="preserve"> competition authorities;</w:t>
            </w:r>
            <w:r>
              <w:rPr>
                <w:rFonts w:asciiTheme="minorHAnsi" w:hAnsiTheme="minorHAnsi"/>
              </w:rPr>
              <w:t xml:space="preserve"> </w:t>
            </w:r>
            <w:r w:rsidRPr="00B56E35">
              <w:rPr>
                <w:rFonts w:asciiTheme="minorHAnsi" w:hAnsiTheme="minorHAnsi"/>
              </w:rPr>
              <w:t xml:space="preserve">contributed to the accession of Cambodia and </w:t>
            </w:r>
            <w:r>
              <w:rPr>
                <w:rFonts w:asciiTheme="minorHAnsi" w:hAnsiTheme="minorHAnsi"/>
              </w:rPr>
              <w:t>Laos</w:t>
            </w:r>
            <w:r w:rsidRPr="00B56E35">
              <w:rPr>
                <w:rFonts w:asciiTheme="minorHAnsi" w:hAnsiTheme="minorHAnsi"/>
              </w:rPr>
              <w:t xml:space="preserve"> to the Madrid Protocol;</w:t>
            </w:r>
            <w:r>
              <w:rPr>
                <w:rFonts w:asciiTheme="minorHAnsi" w:hAnsiTheme="minorHAnsi"/>
              </w:rPr>
              <w:t xml:space="preserve"> </w:t>
            </w:r>
            <w:r w:rsidRPr="00B56E35">
              <w:rPr>
                <w:rFonts w:asciiTheme="minorHAnsi" w:hAnsiTheme="minorHAnsi"/>
              </w:rPr>
              <w:t>supported Myanmar in developing its trademark law;</w:t>
            </w:r>
            <w:r>
              <w:rPr>
                <w:rFonts w:asciiTheme="minorHAnsi" w:hAnsiTheme="minorHAnsi"/>
              </w:rPr>
              <w:t xml:space="preserve"> </w:t>
            </w:r>
            <w:r w:rsidRPr="000D4E3A">
              <w:rPr>
                <w:rFonts w:asciiTheme="minorHAnsi" w:hAnsiTheme="minorHAnsi"/>
              </w:rPr>
              <w:t>trained 400 users from</w:t>
            </w:r>
            <w:r w:rsidRPr="00B56E35">
              <w:rPr>
                <w:rFonts w:asciiTheme="minorHAnsi" w:hAnsiTheme="minorHAnsi"/>
              </w:rPr>
              <w:t xml:space="preserve"> Cambodia, Indonesia, </w:t>
            </w:r>
            <w:r>
              <w:rPr>
                <w:rFonts w:asciiTheme="minorHAnsi" w:hAnsiTheme="minorHAnsi"/>
              </w:rPr>
              <w:t>Laos</w:t>
            </w:r>
            <w:r w:rsidRPr="00B56E35">
              <w:rPr>
                <w:rFonts w:asciiTheme="minorHAnsi" w:hAnsiTheme="minorHAnsi"/>
              </w:rPr>
              <w:t>, Malaysia,</w:t>
            </w:r>
            <w:r>
              <w:rPr>
                <w:rFonts w:asciiTheme="minorHAnsi" w:hAnsiTheme="minorHAnsi"/>
              </w:rPr>
              <w:t xml:space="preserve"> Myanmar, Philippines, Thailand</w:t>
            </w:r>
            <w:r w:rsidRPr="00B56E35">
              <w:rPr>
                <w:rFonts w:asciiTheme="minorHAnsi" w:hAnsiTheme="minorHAnsi"/>
              </w:rPr>
              <w:t xml:space="preserve"> and Viet</w:t>
            </w:r>
            <w:r>
              <w:rPr>
                <w:rFonts w:asciiTheme="minorHAnsi" w:hAnsiTheme="minorHAnsi"/>
              </w:rPr>
              <w:t>n</w:t>
            </w:r>
            <w:r w:rsidRPr="00B56E35">
              <w:rPr>
                <w:rFonts w:asciiTheme="minorHAnsi" w:hAnsiTheme="minorHAnsi"/>
              </w:rPr>
              <w:t>am</w:t>
            </w:r>
            <w:r w:rsidRPr="000D4E3A">
              <w:rPr>
                <w:rFonts w:asciiTheme="minorHAnsi" w:hAnsiTheme="minorHAnsi"/>
              </w:rPr>
              <w:t xml:space="preserve"> to implement</w:t>
            </w:r>
            <w:r w:rsidRPr="00B56E35">
              <w:rPr>
                <w:rFonts w:asciiTheme="minorHAnsi" w:hAnsiTheme="minorHAnsi"/>
              </w:rPr>
              <w:t xml:space="preserve"> the provisions of </w:t>
            </w:r>
            <w:r w:rsidRPr="000D4E3A">
              <w:rPr>
                <w:rFonts w:asciiTheme="minorHAnsi" w:hAnsiTheme="minorHAnsi"/>
              </w:rPr>
              <w:t>AANZFTA’s rules of origin; and</w:t>
            </w:r>
            <w:r>
              <w:rPr>
                <w:rFonts w:asciiTheme="minorHAnsi" w:hAnsiTheme="minorHAnsi"/>
              </w:rPr>
              <w:t xml:space="preserve"> </w:t>
            </w:r>
            <w:r w:rsidRPr="000D4E3A">
              <w:rPr>
                <w:rFonts w:asciiTheme="minorHAnsi" w:hAnsiTheme="minorHAnsi"/>
              </w:rPr>
              <w:t>supported OECD reviews of investment policy in Myanmar, Vietnam and the Philippines.</w:t>
            </w:r>
          </w:p>
        </w:tc>
      </w:tr>
      <w:tr w:rsidR="00BD6B47" w:rsidRPr="00C4114C" w14:paraId="447B4C04" w14:textId="77777777" w:rsidTr="002502FC">
        <w:trPr>
          <w:tblHeader/>
        </w:trPr>
        <w:tc>
          <w:tcPr>
            <w:tcW w:w="779" w:type="pct"/>
            <w:vMerge/>
            <w:tcMar>
              <w:top w:w="57" w:type="dxa"/>
              <w:bottom w:w="57" w:type="dxa"/>
            </w:tcMar>
          </w:tcPr>
          <w:p w14:paraId="16C9FE34" w14:textId="77777777" w:rsidR="00BD6B47" w:rsidRPr="003B0793" w:rsidRDefault="00BD6B47" w:rsidP="002502FC">
            <w:pPr>
              <w:pStyle w:val="TableTextEntries"/>
              <w:keepLines w:val="0"/>
              <w:snapToGrid w:val="0"/>
              <w:spacing w:line="240" w:lineRule="auto"/>
              <w:rPr>
                <w:rFonts w:asciiTheme="minorHAnsi" w:hAnsiTheme="minorHAnsi"/>
              </w:rPr>
            </w:pPr>
          </w:p>
        </w:tc>
        <w:tc>
          <w:tcPr>
            <w:tcW w:w="1283" w:type="pct"/>
          </w:tcPr>
          <w:p w14:paraId="5E29D41A" w14:textId="65B3181C" w:rsidR="00BD6B47" w:rsidRPr="003B0793" w:rsidRDefault="00BD6B47" w:rsidP="009B6947">
            <w:pPr>
              <w:pStyle w:val="TableTextEntries"/>
              <w:keepLines w:val="0"/>
              <w:snapToGrid w:val="0"/>
              <w:spacing w:line="240" w:lineRule="auto"/>
              <w:rPr>
                <w:rFonts w:asciiTheme="minorHAnsi" w:hAnsiTheme="minorHAnsi"/>
              </w:rPr>
            </w:pPr>
            <w:r w:rsidRPr="001207F8">
              <w:rPr>
                <w:rFonts w:asciiTheme="minorHAnsi" w:hAnsiTheme="minorHAnsi" w:cstheme="minorHAnsi"/>
                <w:iCs w:val="0"/>
                <w:lang w:eastAsia="en-US"/>
              </w:rPr>
              <w:t xml:space="preserve">18 MBI sub-projects </w:t>
            </w:r>
            <w:r>
              <w:rPr>
                <w:rFonts w:asciiTheme="minorHAnsi" w:hAnsiTheme="minorHAnsi" w:cstheme="minorHAnsi"/>
                <w:iCs w:val="0"/>
                <w:lang w:eastAsia="en-US"/>
              </w:rPr>
              <w:t xml:space="preserve">established </w:t>
            </w:r>
            <w:r w:rsidRPr="001207F8">
              <w:rPr>
                <w:rFonts w:asciiTheme="minorHAnsi" w:hAnsiTheme="minorHAnsi" w:cstheme="minorHAnsi"/>
                <w:iCs w:val="0"/>
                <w:lang w:eastAsia="en-US"/>
              </w:rPr>
              <w:t>addressing regulatory access to finance and SME scale-up established in CLMV</w:t>
            </w:r>
          </w:p>
        </w:tc>
        <w:tc>
          <w:tcPr>
            <w:tcW w:w="574" w:type="pct"/>
            <w:shd w:val="clear" w:color="auto" w:fill="92D050"/>
          </w:tcPr>
          <w:p w14:paraId="05BAC0AA" w14:textId="77777777" w:rsidR="00BD6B47" w:rsidRPr="003B0793" w:rsidRDefault="00BD6B47" w:rsidP="002502FC">
            <w:pPr>
              <w:pStyle w:val="TableTextEntries"/>
              <w:keepLines w:val="0"/>
              <w:snapToGrid w:val="0"/>
              <w:spacing w:line="240" w:lineRule="auto"/>
              <w:jc w:val="center"/>
              <w:rPr>
                <w:rFonts w:asciiTheme="minorHAnsi" w:hAnsiTheme="minorHAnsi"/>
                <w:color w:val="FFFFFF" w:themeColor="background1"/>
              </w:rPr>
            </w:pPr>
            <w:r w:rsidRPr="003B0793">
              <w:rPr>
                <w:rFonts w:asciiTheme="minorHAnsi" w:hAnsiTheme="minorHAnsi"/>
                <w:color w:val="FFFFFF" w:themeColor="background1"/>
              </w:rPr>
              <w:t>Achieved</w:t>
            </w:r>
          </w:p>
        </w:tc>
        <w:tc>
          <w:tcPr>
            <w:tcW w:w="2364" w:type="pct"/>
          </w:tcPr>
          <w:p w14:paraId="687DFDB7" w14:textId="79017A2A" w:rsidR="00BD6B47" w:rsidRPr="00B92EF1" w:rsidRDefault="004F7BD6" w:rsidP="00AC50B0">
            <w:pPr>
              <w:pStyle w:val="TableTextEntries"/>
              <w:keepLines w:val="0"/>
              <w:snapToGrid w:val="0"/>
              <w:spacing w:before="0" w:after="0" w:line="240" w:lineRule="auto"/>
              <w:rPr>
                <w:rFonts w:asciiTheme="minorHAnsi" w:hAnsiTheme="minorHAnsi"/>
              </w:rPr>
            </w:pPr>
            <w:r>
              <w:rPr>
                <w:rFonts w:asciiTheme="minorHAnsi" w:hAnsiTheme="minorHAnsi"/>
              </w:rPr>
              <w:t>MBI</w:t>
            </w:r>
            <w:r w:rsidR="00CA2A8F">
              <w:rPr>
                <w:rFonts w:asciiTheme="minorHAnsi" w:hAnsiTheme="minorHAnsi"/>
              </w:rPr>
              <w:t xml:space="preserve"> </w:t>
            </w:r>
            <w:r w:rsidR="00CA2A8F" w:rsidRPr="00B92EF1">
              <w:rPr>
                <w:rFonts w:asciiTheme="minorHAnsi" w:hAnsiTheme="minorHAnsi"/>
              </w:rPr>
              <w:t xml:space="preserve">established </w:t>
            </w:r>
            <w:r w:rsidR="00CA2A8F">
              <w:rPr>
                <w:rFonts w:asciiTheme="minorHAnsi" w:hAnsiTheme="minorHAnsi"/>
              </w:rPr>
              <w:t xml:space="preserve">18 </w:t>
            </w:r>
            <w:r w:rsidR="00CA2A8F" w:rsidRPr="00B92EF1">
              <w:rPr>
                <w:rFonts w:asciiTheme="minorHAnsi" w:hAnsiTheme="minorHAnsi"/>
              </w:rPr>
              <w:t xml:space="preserve">projects </w:t>
            </w:r>
            <w:r w:rsidR="00CA2A8F">
              <w:rPr>
                <w:rFonts w:asciiTheme="minorHAnsi" w:hAnsiTheme="minorHAnsi"/>
              </w:rPr>
              <w:t xml:space="preserve">focused on </w:t>
            </w:r>
            <w:r w:rsidR="00CA2A8F" w:rsidRPr="00B92EF1">
              <w:rPr>
                <w:rFonts w:asciiTheme="minorHAnsi" w:hAnsiTheme="minorHAnsi"/>
              </w:rPr>
              <w:t>promoting privat</w:t>
            </w:r>
            <w:r w:rsidR="00CA2A8F">
              <w:rPr>
                <w:rFonts w:asciiTheme="minorHAnsi" w:hAnsiTheme="minorHAnsi"/>
              </w:rPr>
              <w:t xml:space="preserve">e sector development: </w:t>
            </w:r>
            <w:r>
              <w:rPr>
                <w:rFonts w:asciiTheme="minorHAnsi" w:hAnsiTheme="minorHAnsi"/>
              </w:rPr>
              <w:t xml:space="preserve">to </w:t>
            </w:r>
            <w:r w:rsidR="00CA2A8F">
              <w:rPr>
                <w:rFonts w:asciiTheme="minorHAnsi" w:hAnsiTheme="minorHAnsi"/>
              </w:rPr>
              <w:t>improve national</w:t>
            </w:r>
            <w:r w:rsidR="00CA2A8F" w:rsidRPr="00B92EF1">
              <w:rPr>
                <w:rFonts w:asciiTheme="minorHAnsi" w:hAnsiTheme="minorHAnsi"/>
              </w:rPr>
              <w:t xml:space="preserve"> regulation</w:t>
            </w:r>
            <w:r w:rsidR="00CA2A8F">
              <w:rPr>
                <w:rFonts w:asciiTheme="minorHAnsi" w:hAnsiTheme="minorHAnsi"/>
              </w:rPr>
              <w:t>, frameworks and policy; enhance</w:t>
            </w:r>
            <w:r w:rsidR="00CA2A8F" w:rsidRPr="00B92EF1">
              <w:rPr>
                <w:rFonts w:asciiTheme="minorHAnsi" w:hAnsiTheme="minorHAnsi"/>
              </w:rPr>
              <w:t xml:space="preserve"> the access and understanding of SMEs for internationa</w:t>
            </w:r>
            <w:r w:rsidR="00CA2A8F">
              <w:rPr>
                <w:rFonts w:asciiTheme="minorHAnsi" w:hAnsiTheme="minorHAnsi"/>
              </w:rPr>
              <w:t>l trade opportunities; enhance</w:t>
            </w:r>
            <w:r w:rsidR="00CA2A8F" w:rsidRPr="00B92EF1">
              <w:rPr>
                <w:rFonts w:asciiTheme="minorHAnsi" w:hAnsiTheme="minorHAnsi"/>
              </w:rPr>
              <w:t xml:space="preserve"> the traditional and alternative finance markets for SMEs, start-ups, and entrepreneurs</w:t>
            </w:r>
            <w:r w:rsidR="00CA2A8F">
              <w:rPr>
                <w:rFonts w:asciiTheme="minorHAnsi" w:hAnsiTheme="minorHAnsi"/>
              </w:rPr>
              <w:t xml:space="preserve"> with a strong focus on women owned businesses</w:t>
            </w:r>
            <w:r w:rsidR="00CA2A8F" w:rsidRPr="00B92EF1">
              <w:rPr>
                <w:rFonts w:asciiTheme="minorHAnsi" w:hAnsiTheme="minorHAnsi"/>
              </w:rPr>
              <w:t>; and improv</w:t>
            </w:r>
            <w:r w:rsidR="00CA2A8F">
              <w:rPr>
                <w:rFonts w:asciiTheme="minorHAnsi" w:hAnsiTheme="minorHAnsi"/>
              </w:rPr>
              <w:t>e</w:t>
            </w:r>
            <w:r w:rsidR="00CA2A8F" w:rsidRPr="00B92EF1">
              <w:rPr>
                <w:rFonts w:asciiTheme="minorHAnsi" w:hAnsiTheme="minorHAnsi"/>
              </w:rPr>
              <w:t xml:space="preserve"> business incubation and acceleration services.  All sub-projects have M&amp;E systems in place and are on track to measure and report results in the next reporting period.</w:t>
            </w:r>
          </w:p>
        </w:tc>
      </w:tr>
      <w:tr w:rsidR="00BD6B47" w:rsidRPr="00C4114C" w14:paraId="06E3F4F6" w14:textId="77777777" w:rsidTr="00AC50B0">
        <w:trPr>
          <w:trHeight w:val="515"/>
          <w:tblHeader/>
        </w:trPr>
        <w:tc>
          <w:tcPr>
            <w:tcW w:w="779" w:type="pct"/>
            <w:tcMar>
              <w:top w:w="57" w:type="dxa"/>
              <w:bottom w:w="57" w:type="dxa"/>
            </w:tcMar>
          </w:tcPr>
          <w:p w14:paraId="49201CEE" w14:textId="77777777" w:rsidR="00BD6B47" w:rsidRPr="003B0793" w:rsidRDefault="00BD6B47" w:rsidP="002502FC">
            <w:pPr>
              <w:pStyle w:val="TableTextEntries"/>
              <w:keepLines w:val="0"/>
              <w:snapToGrid w:val="0"/>
              <w:spacing w:line="240" w:lineRule="auto"/>
              <w:rPr>
                <w:rFonts w:asciiTheme="minorHAnsi" w:hAnsiTheme="minorHAnsi"/>
              </w:rPr>
            </w:pPr>
          </w:p>
        </w:tc>
        <w:tc>
          <w:tcPr>
            <w:tcW w:w="1283" w:type="pct"/>
          </w:tcPr>
          <w:p w14:paraId="7002AA61" w14:textId="68EAFEA7" w:rsidR="00BD6B47" w:rsidRPr="003B0793" w:rsidRDefault="00BD6B47" w:rsidP="002502FC">
            <w:pPr>
              <w:pStyle w:val="TableTextEntries"/>
              <w:keepLines w:val="0"/>
              <w:snapToGrid w:val="0"/>
              <w:spacing w:line="240" w:lineRule="auto"/>
              <w:rPr>
                <w:rFonts w:asciiTheme="minorHAnsi" w:hAnsiTheme="minorHAnsi"/>
              </w:rPr>
            </w:pPr>
            <w:r>
              <w:rPr>
                <w:rFonts w:asciiTheme="minorHAnsi" w:hAnsiTheme="minorHAnsi"/>
              </w:rPr>
              <w:t>5 challenge fund agreements implemented</w:t>
            </w:r>
          </w:p>
        </w:tc>
        <w:tc>
          <w:tcPr>
            <w:tcW w:w="574" w:type="pct"/>
            <w:shd w:val="clear" w:color="auto" w:fill="92D050"/>
          </w:tcPr>
          <w:p w14:paraId="314F35DD" w14:textId="075E8775" w:rsidR="00BD6B47" w:rsidRPr="003B0793" w:rsidRDefault="00BD6B47" w:rsidP="002502FC">
            <w:pPr>
              <w:pStyle w:val="TableTextEntries"/>
              <w:keepLines w:val="0"/>
              <w:snapToGrid w:val="0"/>
              <w:spacing w:line="240" w:lineRule="auto"/>
              <w:jc w:val="center"/>
              <w:rPr>
                <w:rFonts w:asciiTheme="minorHAnsi" w:hAnsiTheme="minorHAnsi"/>
              </w:rPr>
            </w:pPr>
            <w:r w:rsidRPr="003B0793">
              <w:rPr>
                <w:rFonts w:asciiTheme="minorHAnsi" w:hAnsiTheme="minorHAnsi"/>
                <w:color w:val="FFFFFF" w:themeColor="background1"/>
              </w:rPr>
              <w:t>Achieved</w:t>
            </w:r>
          </w:p>
        </w:tc>
        <w:tc>
          <w:tcPr>
            <w:tcW w:w="2364" w:type="pct"/>
          </w:tcPr>
          <w:p w14:paraId="46D2250B" w14:textId="0220530D" w:rsidR="00BD6B47" w:rsidRPr="00B92EF1" w:rsidRDefault="005463C8" w:rsidP="00AC50B0">
            <w:pPr>
              <w:pStyle w:val="TableTextEntries"/>
              <w:keepLines w:val="0"/>
              <w:snapToGrid w:val="0"/>
              <w:spacing w:before="0" w:after="0" w:line="240" w:lineRule="auto"/>
              <w:rPr>
                <w:rFonts w:asciiTheme="minorHAnsi" w:hAnsiTheme="minorHAnsi"/>
              </w:rPr>
            </w:pPr>
            <w:r>
              <w:rPr>
                <w:rFonts w:asciiTheme="minorHAnsi" w:hAnsiTheme="minorHAnsi"/>
              </w:rPr>
              <w:t>Progress is</w:t>
            </w:r>
            <w:r w:rsidR="00BD6B47">
              <w:rPr>
                <w:rFonts w:asciiTheme="minorHAnsi" w:hAnsiTheme="minorHAnsi"/>
              </w:rPr>
              <w:t xml:space="preserve"> on track. Two SHIFT </w:t>
            </w:r>
            <w:r w:rsidR="00BD6B47" w:rsidRPr="00B92EF1">
              <w:rPr>
                <w:rFonts w:asciiTheme="minorHAnsi" w:hAnsiTheme="minorHAnsi"/>
              </w:rPr>
              <w:t>fund</w:t>
            </w:r>
            <w:r w:rsidR="00BD6B47">
              <w:rPr>
                <w:rFonts w:asciiTheme="minorHAnsi" w:hAnsiTheme="minorHAnsi"/>
              </w:rPr>
              <w:t>ing</w:t>
            </w:r>
            <w:r w:rsidR="00BD6B47" w:rsidRPr="00B92EF1">
              <w:rPr>
                <w:rFonts w:asciiTheme="minorHAnsi" w:hAnsiTheme="minorHAnsi"/>
              </w:rPr>
              <w:t xml:space="preserve"> </w:t>
            </w:r>
            <w:r w:rsidR="00BD6B47">
              <w:rPr>
                <w:rFonts w:asciiTheme="minorHAnsi" w:hAnsiTheme="minorHAnsi"/>
              </w:rPr>
              <w:t>rounds</w:t>
            </w:r>
            <w:r w:rsidR="00BD6B47" w:rsidRPr="00B92EF1">
              <w:rPr>
                <w:rFonts w:asciiTheme="minorHAnsi" w:hAnsiTheme="minorHAnsi"/>
              </w:rPr>
              <w:t xml:space="preserve"> </w:t>
            </w:r>
            <w:r w:rsidR="00BD6B47">
              <w:rPr>
                <w:rFonts w:asciiTheme="minorHAnsi" w:hAnsiTheme="minorHAnsi"/>
              </w:rPr>
              <w:t xml:space="preserve">were </w:t>
            </w:r>
            <w:r w:rsidR="00BD6B47" w:rsidRPr="00B92EF1">
              <w:rPr>
                <w:rFonts w:asciiTheme="minorHAnsi" w:hAnsiTheme="minorHAnsi"/>
              </w:rPr>
              <w:t xml:space="preserve">launched with </w:t>
            </w:r>
            <w:r w:rsidR="00BD6B47">
              <w:rPr>
                <w:rFonts w:asciiTheme="minorHAnsi" w:hAnsiTheme="minorHAnsi"/>
              </w:rPr>
              <w:t xml:space="preserve">nine successful grant applicants, from which five agreements are </w:t>
            </w:r>
            <w:r w:rsidR="004F7BD6">
              <w:rPr>
                <w:rFonts w:asciiTheme="minorHAnsi" w:hAnsiTheme="minorHAnsi"/>
              </w:rPr>
              <w:t xml:space="preserve">currently </w:t>
            </w:r>
            <w:r w:rsidR="00BD6B47">
              <w:rPr>
                <w:rFonts w:asciiTheme="minorHAnsi" w:hAnsiTheme="minorHAnsi"/>
              </w:rPr>
              <w:t>being implemented.</w:t>
            </w:r>
            <w:r w:rsidR="00BD6B47" w:rsidRPr="00B92EF1">
              <w:rPr>
                <w:rFonts w:asciiTheme="minorHAnsi" w:hAnsiTheme="minorHAnsi"/>
              </w:rPr>
              <w:t xml:space="preserve"> </w:t>
            </w:r>
          </w:p>
        </w:tc>
      </w:tr>
      <w:tr w:rsidR="00BD6B47" w:rsidRPr="00C4114C" w14:paraId="38AB72FA" w14:textId="77777777" w:rsidTr="002502FC">
        <w:trPr>
          <w:tblHeader/>
        </w:trPr>
        <w:tc>
          <w:tcPr>
            <w:tcW w:w="779" w:type="pct"/>
            <w:tcMar>
              <w:top w:w="57" w:type="dxa"/>
              <w:bottom w:w="57" w:type="dxa"/>
            </w:tcMar>
          </w:tcPr>
          <w:p w14:paraId="72392C4C" w14:textId="77777777" w:rsidR="00BD6B47" w:rsidRPr="003B0793" w:rsidRDefault="00BD6B47" w:rsidP="002502FC">
            <w:pPr>
              <w:pStyle w:val="TableTextEntries"/>
              <w:keepLines w:val="0"/>
              <w:snapToGrid w:val="0"/>
              <w:spacing w:line="240" w:lineRule="auto"/>
              <w:rPr>
                <w:rFonts w:asciiTheme="minorHAnsi" w:hAnsiTheme="minorHAnsi"/>
              </w:rPr>
            </w:pPr>
          </w:p>
        </w:tc>
        <w:tc>
          <w:tcPr>
            <w:tcW w:w="1283" w:type="pct"/>
          </w:tcPr>
          <w:p w14:paraId="166562E3" w14:textId="1650D63D" w:rsidR="00BD6B47" w:rsidRPr="003B0793" w:rsidRDefault="00BD6B47" w:rsidP="00C75E9D">
            <w:pPr>
              <w:pStyle w:val="TableTextEntries"/>
              <w:keepLines w:val="0"/>
              <w:snapToGrid w:val="0"/>
              <w:spacing w:line="240" w:lineRule="auto"/>
              <w:rPr>
                <w:rFonts w:asciiTheme="minorHAnsi" w:hAnsiTheme="minorHAnsi"/>
              </w:rPr>
            </w:pPr>
            <w:r>
              <w:rPr>
                <w:rFonts w:asciiTheme="minorHAnsi" w:hAnsiTheme="minorHAnsi" w:cstheme="minorHAnsi"/>
                <w:iCs w:val="0"/>
                <w:lang w:eastAsia="en-US"/>
              </w:rPr>
              <w:t>2 water resource management frameworks strengthened</w:t>
            </w:r>
          </w:p>
        </w:tc>
        <w:tc>
          <w:tcPr>
            <w:tcW w:w="574" w:type="pct"/>
            <w:shd w:val="clear" w:color="auto" w:fill="92D050"/>
          </w:tcPr>
          <w:p w14:paraId="4A8F5AEF" w14:textId="77777777" w:rsidR="00BD6B47" w:rsidRPr="003B0793" w:rsidRDefault="00BD6B47" w:rsidP="002502FC">
            <w:pPr>
              <w:pStyle w:val="TableTextEntries"/>
              <w:keepLines w:val="0"/>
              <w:snapToGrid w:val="0"/>
              <w:spacing w:line="240" w:lineRule="auto"/>
              <w:jc w:val="center"/>
              <w:rPr>
                <w:rFonts w:asciiTheme="minorHAnsi" w:hAnsiTheme="minorHAnsi"/>
              </w:rPr>
            </w:pPr>
            <w:r w:rsidRPr="003B0793">
              <w:rPr>
                <w:rFonts w:asciiTheme="minorHAnsi" w:hAnsiTheme="minorHAnsi"/>
                <w:color w:val="FFFFFF" w:themeColor="background1"/>
              </w:rPr>
              <w:t>Achieved</w:t>
            </w:r>
          </w:p>
        </w:tc>
        <w:tc>
          <w:tcPr>
            <w:tcW w:w="2364" w:type="pct"/>
          </w:tcPr>
          <w:p w14:paraId="78A04CB3" w14:textId="49924CA0" w:rsidR="00BD6B47" w:rsidRPr="00CA4FC0" w:rsidRDefault="00BD6B47" w:rsidP="00AC50B0">
            <w:pPr>
              <w:pStyle w:val="TableTextEntries"/>
              <w:keepLines w:val="0"/>
              <w:snapToGrid w:val="0"/>
              <w:spacing w:before="0" w:after="0" w:line="240" w:lineRule="auto"/>
              <w:rPr>
                <w:rFonts w:asciiTheme="minorHAnsi" w:hAnsiTheme="minorHAnsi"/>
              </w:rPr>
            </w:pPr>
            <w:r>
              <w:rPr>
                <w:rFonts w:asciiTheme="minorHAnsi" w:hAnsiTheme="minorHAnsi"/>
              </w:rPr>
              <w:t xml:space="preserve">Drafting of the Laos </w:t>
            </w:r>
            <w:r w:rsidRPr="001B3FA0">
              <w:rPr>
                <w:rFonts w:asciiTheme="minorHAnsi" w:hAnsiTheme="minorHAnsi"/>
              </w:rPr>
              <w:t>water resources law</w:t>
            </w:r>
            <w:r>
              <w:rPr>
                <w:rFonts w:asciiTheme="minorHAnsi" w:hAnsiTheme="minorHAnsi"/>
              </w:rPr>
              <w:t xml:space="preserve"> was completed but has not yet been endorsed; </w:t>
            </w:r>
            <w:r w:rsidRPr="001B3FA0">
              <w:rPr>
                <w:rFonts w:asciiTheme="minorHAnsi" w:hAnsiTheme="minorHAnsi"/>
              </w:rPr>
              <w:t xml:space="preserve">action plans </w:t>
            </w:r>
            <w:r>
              <w:rPr>
                <w:rFonts w:asciiTheme="minorHAnsi" w:hAnsiTheme="minorHAnsi"/>
              </w:rPr>
              <w:t xml:space="preserve">have been built </w:t>
            </w:r>
            <w:r w:rsidRPr="001B3FA0">
              <w:rPr>
                <w:rFonts w:asciiTheme="minorHAnsi" w:hAnsiTheme="minorHAnsi"/>
              </w:rPr>
              <w:t>into a broader Natural Resources and Environment Strategy</w:t>
            </w:r>
            <w:r>
              <w:rPr>
                <w:rFonts w:asciiTheme="minorHAnsi" w:hAnsiTheme="minorHAnsi"/>
              </w:rPr>
              <w:t xml:space="preserve"> in Laos; </w:t>
            </w:r>
            <w:r w:rsidRPr="001B3FA0">
              <w:rPr>
                <w:rFonts w:asciiTheme="minorHAnsi" w:hAnsiTheme="minorHAnsi"/>
              </w:rPr>
              <w:t xml:space="preserve">sub-decrees for water resources management </w:t>
            </w:r>
            <w:r>
              <w:rPr>
                <w:rFonts w:asciiTheme="minorHAnsi" w:hAnsiTheme="minorHAnsi"/>
              </w:rPr>
              <w:t xml:space="preserve">approved in Cambodia </w:t>
            </w:r>
            <w:r w:rsidRPr="001B3FA0">
              <w:rPr>
                <w:rFonts w:asciiTheme="minorHAnsi" w:hAnsiTheme="minorHAnsi"/>
              </w:rPr>
              <w:t>and several guidelines for irrigation management and maintenance at national and sub-national levels.</w:t>
            </w:r>
          </w:p>
        </w:tc>
      </w:tr>
      <w:tr w:rsidR="00BD6B47" w:rsidRPr="00C4114C" w14:paraId="597419D1" w14:textId="77777777" w:rsidTr="002502FC">
        <w:trPr>
          <w:tblHeader/>
        </w:trPr>
        <w:tc>
          <w:tcPr>
            <w:tcW w:w="779" w:type="pct"/>
            <w:tcMar>
              <w:top w:w="57" w:type="dxa"/>
              <w:bottom w:w="57" w:type="dxa"/>
            </w:tcMar>
          </w:tcPr>
          <w:p w14:paraId="1F0B9FA4" w14:textId="77777777" w:rsidR="00BD6B47" w:rsidRPr="003B0793" w:rsidRDefault="00BD6B47" w:rsidP="002502FC">
            <w:pPr>
              <w:pStyle w:val="TableTextEntries"/>
              <w:keepLines w:val="0"/>
              <w:snapToGrid w:val="0"/>
              <w:spacing w:line="240" w:lineRule="auto"/>
              <w:rPr>
                <w:rFonts w:asciiTheme="minorHAnsi" w:hAnsiTheme="minorHAnsi"/>
              </w:rPr>
            </w:pPr>
            <w:r w:rsidRPr="00A055E6">
              <w:rPr>
                <w:rFonts w:asciiTheme="minorHAnsi" w:hAnsiTheme="minorHAnsi"/>
                <w:b/>
              </w:rPr>
              <w:t>Strengthening regional responses to trafficking and the exploitation of migrant workers</w:t>
            </w:r>
          </w:p>
        </w:tc>
        <w:tc>
          <w:tcPr>
            <w:tcW w:w="1283" w:type="pct"/>
          </w:tcPr>
          <w:p w14:paraId="1BF8088F" w14:textId="39F590D2" w:rsidR="00BD6B47" w:rsidRPr="00B92EF1" w:rsidRDefault="00BD6B47" w:rsidP="002502FC">
            <w:pPr>
              <w:pStyle w:val="TableTextEntries"/>
              <w:keepLines w:val="0"/>
              <w:snapToGrid w:val="0"/>
              <w:spacing w:line="240" w:lineRule="auto"/>
              <w:rPr>
                <w:rFonts w:asciiTheme="minorHAnsi" w:hAnsiTheme="minorHAnsi"/>
              </w:rPr>
            </w:pPr>
            <w:r w:rsidRPr="001207F8">
              <w:rPr>
                <w:rFonts w:asciiTheme="minorHAnsi" w:hAnsiTheme="minorHAnsi" w:cstheme="minorHAnsi"/>
                <w:iCs w:val="0"/>
                <w:lang w:eastAsia="en-US"/>
              </w:rPr>
              <w:t>2 or more TIP case investigations in which partners are cooperating</w:t>
            </w:r>
          </w:p>
        </w:tc>
        <w:tc>
          <w:tcPr>
            <w:tcW w:w="574" w:type="pct"/>
            <w:shd w:val="clear" w:color="auto" w:fill="92D050"/>
          </w:tcPr>
          <w:p w14:paraId="156D0F59" w14:textId="77777777" w:rsidR="00BD6B47" w:rsidRPr="003B0793" w:rsidRDefault="00BD6B47" w:rsidP="002502FC">
            <w:pPr>
              <w:pStyle w:val="TableTextEntries"/>
              <w:keepLines w:val="0"/>
              <w:snapToGrid w:val="0"/>
              <w:spacing w:line="240" w:lineRule="auto"/>
              <w:jc w:val="center"/>
              <w:rPr>
                <w:rFonts w:asciiTheme="minorHAnsi" w:hAnsiTheme="minorHAnsi"/>
                <w:color w:val="FFFFFF" w:themeColor="background1"/>
              </w:rPr>
            </w:pPr>
            <w:r>
              <w:rPr>
                <w:rFonts w:asciiTheme="minorHAnsi" w:hAnsiTheme="minorHAnsi"/>
                <w:color w:val="FFFFFF" w:themeColor="background1"/>
              </w:rPr>
              <w:t>Achieved</w:t>
            </w:r>
          </w:p>
        </w:tc>
        <w:tc>
          <w:tcPr>
            <w:tcW w:w="2364" w:type="pct"/>
          </w:tcPr>
          <w:p w14:paraId="13F2820E" w14:textId="646D5E70" w:rsidR="00BD6B47" w:rsidRPr="003B0793" w:rsidRDefault="00CA2A8F" w:rsidP="00AC50B0">
            <w:pPr>
              <w:pStyle w:val="TableTextEntries"/>
              <w:keepLines w:val="0"/>
              <w:snapToGrid w:val="0"/>
              <w:spacing w:before="0" w:after="0" w:line="240" w:lineRule="auto"/>
              <w:rPr>
                <w:rFonts w:asciiTheme="minorHAnsi" w:hAnsiTheme="minorHAnsi"/>
              </w:rPr>
            </w:pPr>
            <w:r>
              <w:rPr>
                <w:rFonts w:asciiTheme="minorHAnsi" w:hAnsiTheme="minorHAnsi"/>
              </w:rPr>
              <w:t xml:space="preserve">Exceeded as there are 21 TIP case investigations where partners are cooperating. AAPTIP supported an MOU on transnational investigative cooperation </w:t>
            </w:r>
            <w:r w:rsidRPr="00921F4B">
              <w:rPr>
                <w:rFonts w:asciiTheme="minorHAnsi" w:hAnsiTheme="minorHAnsi"/>
              </w:rPr>
              <w:t>between Malaysia and Vietnam</w:t>
            </w:r>
            <w:r>
              <w:rPr>
                <w:rFonts w:asciiTheme="minorHAnsi" w:hAnsiTheme="minorHAnsi"/>
              </w:rPr>
              <w:t xml:space="preserve">, </w:t>
            </w:r>
            <w:r w:rsidRPr="00921F4B">
              <w:rPr>
                <w:rFonts w:asciiTheme="minorHAnsi" w:hAnsiTheme="minorHAnsi"/>
              </w:rPr>
              <w:t>signed in June 2016</w:t>
            </w:r>
            <w:r>
              <w:rPr>
                <w:rFonts w:asciiTheme="minorHAnsi" w:hAnsiTheme="minorHAnsi"/>
              </w:rPr>
              <w:t>. T</w:t>
            </w:r>
            <w:r w:rsidRPr="00921F4B">
              <w:rPr>
                <w:rFonts w:asciiTheme="minorHAnsi" w:hAnsiTheme="minorHAnsi"/>
              </w:rPr>
              <w:t xml:space="preserve">wo multilateral meetings on trafficking in the fishing sector </w:t>
            </w:r>
            <w:r>
              <w:rPr>
                <w:rFonts w:asciiTheme="minorHAnsi" w:hAnsiTheme="minorHAnsi"/>
              </w:rPr>
              <w:t>involving</w:t>
            </w:r>
            <w:r w:rsidRPr="00921F4B">
              <w:rPr>
                <w:rFonts w:asciiTheme="minorHAnsi" w:hAnsiTheme="minorHAnsi"/>
              </w:rPr>
              <w:t xml:space="preserve"> Thailand, Indonesia, Myanmar and Cambodia</w:t>
            </w:r>
            <w:r>
              <w:rPr>
                <w:rFonts w:asciiTheme="minorHAnsi" w:hAnsiTheme="minorHAnsi"/>
              </w:rPr>
              <w:t xml:space="preserve"> led to eight prosecutions in Indonesia</w:t>
            </w:r>
            <w:r w:rsidRPr="00921F4B">
              <w:rPr>
                <w:rFonts w:asciiTheme="minorHAnsi" w:hAnsiTheme="minorHAnsi"/>
              </w:rPr>
              <w:t>.</w:t>
            </w:r>
            <w:r>
              <w:rPr>
                <w:rFonts w:asciiTheme="minorHAnsi" w:hAnsiTheme="minorHAnsi"/>
              </w:rPr>
              <w:t xml:space="preserve"> </w:t>
            </w:r>
          </w:p>
        </w:tc>
      </w:tr>
    </w:tbl>
    <w:p w14:paraId="67BEA066" w14:textId="77777777" w:rsidR="00245A37" w:rsidRPr="008C2F58" w:rsidRDefault="00245A37" w:rsidP="00245A37">
      <w:pPr>
        <w:pStyle w:val="Caption"/>
        <w:rPr>
          <w:sz w:val="24"/>
        </w:rPr>
      </w:pPr>
      <w:r w:rsidRPr="008C2F58">
        <w:rPr>
          <w:sz w:val="24"/>
        </w:rPr>
        <w:lastRenderedPageBreak/>
        <w:t xml:space="preserve">Performance Benchmarks 2016-17 to 2018-19 </w:t>
      </w:r>
    </w:p>
    <w:tbl>
      <w:tblPr>
        <w:tblStyle w:val="DFATTable"/>
        <w:tblW w:w="4874" w:type="pct"/>
        <w:tblLook w:val="04A0" w:firstRow="1" w:lastRow="0" w:firstColumn="1" w:lastColumn="0" w:noHBand="0" w:noVBand="1"/>
      </w:tblPr>
      <w:tblGrid>
        <w:gridCol w:w="1563"/>
        <w:gridCol w:w="2231"/>
        <w:gridCol w:w="175"/>
        <w:gridCol w:w="1810"/>
        <w:gridCol w:w="144"/>
        <w:gridCol w:w="1700"/>
        <w:gridCol w:w="142"/>
        <w:gridCol w:w="1841"/>
      </w:tblGrid>
      <w:tr w:rsidR="00245A37" w14:paraId="00A1C8B1" w14:textId="77777777" w:rsidTr="00C45BBC">
        <w:trPr>
          <w:trHeight w:val="331"/>
        </w:trPr>
        <w:tc>
          <w:tcPr>
            <w:tcW w:w="814" w:type="pct"/>
            <w:tcBorders>
              <w:top w:val="single" w:sz="12" w:space="0" w:color="auto"/>
              <w:left w:val="nil"/>
              <w:bottom w:val="nil"/>
              <w:right w:val="nil"/>
            </w:tcBorders>
          </w:tcPr>
          <w:p w14:paraId="171C4D76" w14:textId="77777777" w:rsidR="00245A37" w:rsidRPr="00364561" w:rsidRDefault="00245A37" w:rsidP="00C45BBC">
            <w:pPr>
              <w:pStyle w:val="TableHeading1"/>
              <w:rPr>
                <w:rFonts w:asciiTheme="minorHAnsi" w:hAnsiTheme="minorHAnsi"/>
              </w:rPr>
            </w:pPr>
          </w:p>
        </w:tc>
        <w:tc>
          <w:tcPr>
            <w:tcW w:w="1252" w:type="pct"/>
            <w:gridSpan w:val="2"/>
            <w:tcBorders>
              <w:top w:val="single" w:sz="12" w:space="0" w:color="auto"/>
              <w:left w:val="nil"/>
              <w:bottom w:val="nil"/>
              <w:right w:val="nil"/>
            </w:tcBorders>
          </w:tcPr>
          <w:p w14:paraId="33D46AA1" w14:textId="77777777" w:rsidR="00245A37" w:rsidRPr="00364561" w:rsidRDefault="00245A37" w:rsidP="00C45BBC">
            <w:pPr>
              <w:pStyle w:val="TableHeading1"/>
              <w:rPr>
                <w:rFonts w:asciiTheme="minorHAnsi" w:hAnsiTheme="minorHAnsi"/>
              </w:rPr>
            </w:pPr>
          </w:p>
        </w:tc>
        <w:tc>
          <w:tcPr>
            <w:tcW w:w="1017" w:type="pct"/>
            <w:gridSpan w:val="2"/>
            <w:tcBorders>
              <w:top w:val="single" w:sz="12" w:space="0" w:color="auto"/>
              <w:left w:val="nil"/>
              <w:bottom w:val="nil"/>
              <w:right w:val="nil"/>
            </w:tcBorders>
            <w:hideMark/>
          </w:tcPr>
          <w:p w14:paraId="770B7641" w14:textId="77777777" w:rsidR="00245A37" w:rsidRPr="00364561" w:rsidRDefault="00245A37" w:rsidP="00C45BBC">
            <w:pPr>
              <w:pStyle w:val="TableHeading1"/>
              <w:jc w:val="center"/>
              <w:rPr>
                <w:rFonts w:asciiTheme="minorHAnsi" w:hAnsiTheme="minorHAnsi"/>
              </w:rPr>
            </w:pPr>
            <w:r w:rsidRPr="00364561">
              <w:rPr>
                <w:rFonts w:asciiTheme="minorHAnsi" w:hAnsiTheme="minorHAnsi"/>
              </w:rPr>
              <w:t>2016-17</w:t>
            </w:r>
          </w:p>
        </w:tc>
        <w:tc>
          <w:tcPr>
            <w:tcW w:w="885" w:type="pct"/>
            <w:tcBorders>
              <w:top w:val="single" w:sz="12" w:space="0" w:color="auto"/>
              <w:left w:val="nil"/>
              <w:bottom w:val="nil"/>
              <w:right w:val="nil"/>
            </w:tcBorders>
            <w:hideMark/>
          </w:tcPr>
          <w:p w14:paraId="0DC49EAB" w14:textId="77777777" w:rsidR="00245A37" w:rsidRPr="00364561" w:rsidRDefault="00245A37" w:rsidP="00C45BBC">
            <w:pPr>
              <w:pStyle w:val="TableHeading1"/>
              <w:jc w:val="center"/>
              <w:rPr>
                <w:rFonts w:asciiTheme="minorHAnsi" w:hAnsiTheme="minorHAnsi"/>
              </w:rPr>
            </w:pPr>
            <w:r w:rsidRPr="00364561">
              <w:rPr>
                <w:rFonts w:asciiTheme="minorHAnsi" w:hAnsiTheme="minorHAnsi"/>
              </w:rPr>
              <w:t>2017-18</w:t>
            </w:r>
          </w:p>
        </w:tc>
        <w:tc>
          <w:tcPr>
            <w:tcW w:w="1032" w:type="pct"/>
            <w:gridSpan w:val="2"/>
            <w:tcBorders>
              <w:top w:val="single" w:sz="12" w:space="0" w:color="auto"/>
              <w:left w:val="nil"/>
              <w:bottom w:val="nil"/>
              <w:right w:val="nil"/>
            </w:tcBorders>
            <w:hideMark/>
          </w:tcPr>
          <w:p w14:paraId="4B07ADC2" w14:textId="77777777" w:rsidR="00245A37" w:rsidRPr="00364561" w:rsidRDefault="00245A37" w:rsidP="00C45BBC">
            <w:pPr>
              <w:pStyle w:val="TableHeading1"/>
              <w:jc w:val="center"/>
              <w:rPr>
                <w:rFonts w:asciiTheme="minorHAnsi" w:hAnsiTheme="minorHAnsi"/>
              </w:rPr>
            </w:pPr>
            <w:r w:rsidRPr="00364561">
              <w:rPr>
                <w:rFonts w:asciiTheme="minorHAnsi" w:hAnsiTheme="minorHAnsi"/>
              </w:rPr>
              <w:t>2018-19</w:t>
            </w:r>
          </w:p>
        </w:tc>
      </w:tr>
      <w:tr w:rsidR="00245A37" w14:paraId="7254E38D" w14:textId="77777777" w:rsidTr="00C45BBC">
        <w:trPr>
          <w:trHeight w:val="425"/>
        </w:trPr>
        <w:tc>
          <w:tcPr>
            <w:tcW w:w="5000" w:type="pct"/>
            <w:gridSpan w:val="8"/>
            <w:tcBorders>
              <w:top w:val="nil"/>
              <w:left w:val="nil"/>
              <w:bottom w:val="nil"/>
            </w:tcBorders>
            <w:hideMark/>
          </w:tcPr>
          <w:p w14:paraId="599CE047" w14:textId="77777777" w:rsidR="00245A37" w:rsidRPr="00364561" w:rsidRDefault="00245A37" w:rsidP="00C45BBC">
            <w:pPr>
              <w:pStyle w:val="TableTextEntries"/>
              <w:rPr>
                <w:rFonts w:asciiTheme="minorHAnsi" w:hAnsiTheme="minorHAnsi"/>
                <w:b/>
                <w:i/>
                <w:color w:val="808080" w:themeColor="background1" w:themeShade="80"/>
              </w:rPr>
            </w:pPr>
            <w:r w:rsidRPr="00364561">
              <w:rPr>
                <w:rFonts w:asciiTheme="minorHAnsi" w:hAnsiTheme="minorHAnsi"/>
                <w:b/>
              </w:rPr>
              <w:t>Enabling regional economic cooperation and inclusive growth</w:t>
            </w:r>
          </w:p>
        </w:tc>
      </w:tr>
      <w:tr w:rsidR="00245A37" w14:paraId="1C7B790D" w14:textId="77777777" w:rsidTr="00C45BBC">
        <w:trPr>
          <w:trHeight w:val="984"/>
        </w:trPr>
        <w:tc>
          <w:tcPr>
            <w:tcW w:w="1975" w:type="pct"/>
            <w:gridSpan w:val="2"/>
            <w:tcBorders>
              <w:top w:val="nil"/>
              <w:left w:val="nil"/>
              <w:bottom w:val="nil"/>
              <w:right w:val="nil"/>
            </w:tcBorders>
            <w:hideMark/>
          </w:tcPr>
          <w:p w14:paraId="3DAA82C5" w14:textId="77777777" w:rsidR="00245A37" w:rsidRPr="00364561" w:rsidRDefault="00245A37" w:rsidP="00C45BBC">
            <w:pPr>
              <w:pStyle w:val="TableHeading1"/>
              <w:rPr>
                <w:rFonts w:asciiTheme="minorHAnsi" w:hAnsiTheme="minorHAnsi"/>
                <w:b w:val="0"/>
                <w:i/>
                <w:color w:val="808080" w:themeColor="background1" w:themeShade="80"/>
              </w:rPr>
            </w:pPr>
            <w:r w:rsidRPr="00364561">
              <w:rPr>
                <w:rFonts w:asciiTheme="minorHAnsi" w:hAnsiTheme="minorHAnsi"/>
                <w:b w:val="0"/>
              </w:rPr>
              <w:t>Evidence of high quality and timely economic research, policy advice and policy implementation support to ASEAN on priority AEC issues</w:t>
            </w:r>
          </w:p>
        </w:tc>
        <w:tc>
          <w:tcPr>
            <w:tcW w:w="1033" w:type="pct"/>
            <w:gridSpan w:val="2"/>
            <w:tcBorders>
              <w:top w:val="nil"/>
              <w:left w:val="nil"/>
              <w:bottom w:val="nil"/>
              <w:right w:val="nil"/>
            </w:tcBorders>
            <w:hideMark/>
          </w:tcPr>
          <w:p w14:paraId="5167A4A5"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Australia’s economic research, policy advice and implementation is high quality, timely and supports priority AEC issues</w:t>
            </w:r>
          </w:p>
        </w:tc>
        <w:tc>
          <w:tcPr>
            <w:tcW w:w="1034" w:type="pct"/>
            <w:gridSpan w:val="3"/>
            <w:tcBorders>
              <w:top w:val="nil"/>
              <w:left w:val="nil"/>
              <w:bottom w:val="nil"/>
              <w:right w:val="nil"/>
            </w:tcBorders>
            <w:hideMark/>
          </w:tcPr>
          <w:p w14:paraId="1024290F"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Australia’s economic research, policy advice and implementation is high quality, timely and supports priority AEC issues</w:t>
            </w:r>
          </w:p>
        </w:tc>
        <w:tc>
          <w:tcPr>
            <w:tcW w:w="958" w:type="pct"/>
            <w:tcBorders>
              <w:top w:val="nil"/>
              <w:left w:val="nil"/>
              <w:bottom w:val="nil"/>
              <w:right w:val="nil"/>
            </w:tcBorders>
            <w:hideMark/>
          </w:tcPr>
          <w:p w14:paraId="5647D321"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Australia’s economic research, policy advice and implementation is high quality, timely and supports priority AEC issues</w:t>
            </w:r>
          </w:p>
        </w:tc>
      </w:tr>
      <w:tr w:rsidR="00245A37" w14:paraId="3D38A481" w14:textId="77777777" w:rsidTr="00C45BBC">
        <w:trPr>
          <w:trHeight w:val="614"/>
        </w:trPr>
        <w:tc>
          <w:tcPr>
            <w:tcW w:w="1975" w:type="pct"/>
            <w:gridSpan w:val="2"/>
            <w:tcBorders>
              <w:top w:val="nil"/>
              <w:left w:val="nil"/>
              <w:bottom w:val="nil"/>
              <w:right w:val="nil"/>
            </w:tcBorders>
            <w:hideMark/>
          </w:tcPr>
          <w:p w14:paraId="47DF95F4" w14:textId="77777777" w:rsidR="00245A37" w:rsidRPr="00364561" w:rsidRDefault="00245A37" w:rsidP="00C45BBC">
            <w:pPr>
              <w:pStyle w:val="TableHeading1"/>
              <w:rPr>
                <w:rFonts w:asciiTheme="minorHAnsi" w:hAnsiTheme="minorHAnsi"/>
                <w:b w:val="0"/>
                <w:i/>
                <w:color w:val="808080" w:themeColor="background1" w:themeShade="80"/>
              </w:rPr>
            </w:pPr>
            <w:r w:rsidRPr="00364561">
              <w:rPr>
                <w:rFonts w:asciiTheme="minorHAnsi" w:hAnsiTheme="minorHAnsi"/>
                <w:b w:val="0"/>
              </w:rPr>
              <w:t>Evidence of AECSP capacity building projects supporting AANZFTA implementation</w:t>
            </w:r>
          </w:p>
        </w:tc>
        <w:tc>
          <w:tcPr>
            <w:tcW w:w="1033" w:type="pct"/>
            <w:gridSpan w:val="2"/>
            <w:tcBorders>
              <w:top w:val="nil"/>
              <w:left w:val="nil"/>
              <w:bottom w:val="nil"/>
              <w:right w:val="nil"/>
            </w:tcBorders>
          </w:tcPr>
          <w:p w14:paraId="67888E40"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AECSP capacity building projects support AANZFTA implementation</w:t>
            </w:r>
          </w:p>
        </w:tc>
        <w:tc>
          <w:tcPr>
            <w:tcW w:w="1034" w:type="pct"/>
            <w:gridSpan w:val="3"/>
            <w:tcBorders>
              <w:top w:val="nil"/>
              <w:left w:val="nil"/>
              <w:bottom w:val="nil"/>
              <w:right w:val="nil"/>
            </w:tcBorders>
          </w:tcPr>
          <w:p w14:paraId="7CC61A91"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AECSP capacity building projects support AANZFTA implementation</w:t>
            </w:r>
          </w:p>
        </w:tc>
        <w:tc>
          <w:tcPr>
            <w:tcW w:w="958" w:type="pct"/>
            <w:tcBorders>
              <w:top w:val="nil"/>
              <w:left w:val="nil"/>
              <w:bottom w:val="nil"/>
              <w:right w:val="nil"/>
            </w:tcBorders>
          </w:tcPr>
          <w:p w14:paraId="56F62D67"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AECSP capacity building projects support AANZFTA implementation</w:t>
            </w:r>
          </w:p>
        </w:tc>
      </w:tr>
      <w:tr w:rsidR="00245A37" w14:paraId="28CA7B60" w14:textId="77777777" w:rsidTr="00C45BBC">
        <w:trPr>
          <w:trHeight w:val="614"/>
        </w:trPr>
        <w:tc>
          <w:tcPr>
            <w:tcW w:w="1975" w:type="pct"/>
            <w:gridSpan w:val="2"/>
            <w:tcBorders>
              <w:top w:val="nil"/>
              <w:left w:val="nil"/>
              <w:bottom w:val="nil"/>
              <w:right w:val="nil"/>
            </w:tcBorders>
          </w:tcPr>
          <w:p w14:paraId="410BCBC5" w14:textId="77777777" w:rsidR="00245A37" w:rsidRPr="00364561" w:rsidRDefault="00245A37" w:rsidP="00C45BBC">
            <w:pPr>
              <w:pStyle w:val="TableHeading1"/>
              <w:rPr>
                <w:rFonts w:asciiTheme="minorHAnsi" w:hAnsiTheme="minorHAnsi"/>
                <w:b w:val="0"/>
              </w:rPr>
            </w:pPr>
            <w:r w:rsidRPr="00364561">
              <w:rPr>
                <w:rFonts w:asciiTheme="minorHAnsi" w:hAnsiTheme="minorHAnsi"/>
                <w:b w:val="0"/>
              </w:rPr>
              <w:t>Better functioning national policy and financing environment for SME scale-up</w:t>
            </w:r>
          </w:p>
        </w:tc>
        <w:tc>
          <w:tcPr>
            <w:tcW w:w="1033" w:type="pct"/>
            <w:gridSpan w:val="2"/>
            <w:tcBorders>
              <w:top w:val="nil"/>
              <w:left w:val="nil"/>
              <w:bottom w:val="nil"/>
              <w:right w:val="nil"/>
            </w:tcBorders>
          </w:tcPr>
          <w:p w14:paraId="7C951569" w14:textId="74CFF6DC" w:rsidR="00245A37" w:rsidRPr="00364561" w:rsidRDefault="00CA2A8F" w:rsidP="00C45BBC">
            <w:pPr>
              <w:pStyle w:val="TableTextEntries"/>
              <w:keepLines w:val="0"/>
              <w:snapToGrid w:val="0"/>
              <w:spacing w:line="240" w:lineRule="auto"/>
              <w:rPr>
                <w:rFonts w:asciiTheme="minorHAnsi" w:hAnsiTheme="minorHAnsi"/>
              </w:rPr>
            </w:pPr>
            <w:r w:rsidRPr="00364561">
              <w:rPr>
                <w:rFonts w:asciiTheme="minorHAnsi" w:hAnsiTheme="minorHAnsi"/>
              </w:rPr>
              <w:t xml:space="preserve">Evidence of </w:t>
            </w:r>
            <w:r>
              <w:rPr>
                <w:rFonts w:asciiTheme="minorHAnsi" w:hAnsiTheme="minorHAnsi"/>
              </w:rPr>
              <w:t xml:space="preserve">effective implementation of </w:t>
            </w:r>
            <w:r w:rsidRPr="00364561">
              <w:rPr>
                <w:rFonts w:asciiTheme="minorHAnsi" w:hAnsiTheme="minorHAnsi"/>
              </w:rPr>
              <w:t>private sector development regulations and polic</w:t>
            </w:r>
            <w:r>
              <w:rPr>
                <w:rFonts w:asciiTheme="minorHAnsi" w:hAnsiTheme="minorHAnsi"/>
              </w:rPr>
              <w:t>i</w:t>
            </w:r>
            <w:r w:rsidRPr="00364561">
              <w:rPr>
                <w:rFonts w:asciiTheme="minorHAnsi" w:hAnsiTheme="minorHAnsi"/>
              </w:rPr>
              <w:t>es, financing mechanisms, expanded market access and scale-up for SMEs in CLMV</w:t>
            </w:r>
          </w:p>
        </w:tc>
        <w:tc>
          <w:tcPr>
            <w:tcW w:w="1034" w:type="pct"/>
            <w:gridSpan w:val="3"/>
            <w:tcBorders>
              <w:top w:val="nil"/>
              <w:left w:val="nil"/>
              <w:bottom w:val="nil"/>
              <w:right w:val="nil"/>
            </w:tcBorders>
          </w:tcPr>
          <w:p w14:paraId="7E635CF8" w14:textId="0176DFF3" w:rsidR="00245A37" w:rsidRPr="00364561" w:rsidRDefault="00CA2A8F" w:rsidP="00C45BBC">
            <w:pPr>
              <w:pStyle w:val="TableTextEntries"/>
              <w:keepLines w:val="0"/>
              <w:snapToGrid w:val="0"/>
              <w:spacing w:line="240" w:lineRule="auto"/>
              <w:rPr>
                <w:rFonts w:asciiTheme="minorHAnsi" w:hAnsiTheme="minorHAnsi"/>
              </w:rPr>
            </w:pPr>
            <w:r w:rsidRPr="00364561">
              <w:rPr>
                <w:rFonts w:asciiTheme="minorHAnsi" w:hAnsiTheme="minorHAnsi"/>
              </w:rPr>
              <w:t xml:space="preserve">Evidence of </w:t>
            </w:r>
            <w:r>
              <w:rPr>
                <w:rFonts w:asciiTheme="minorHAnsi" w:hAnsiTheme="minorHAnsi"/>
              </w:rPr>
              <w:t xml:space="preserve">effective implementation of </w:t>
            </w:r>
            <w:r w:rsidRPr="00364561">
              <w:rPr>
                <w:rFonts w:asciiTheme="minorHAnsi" w:hAnsiTheme="minorHAnsi"/>
              </w:rPr>
              <w:t>private sector development regulations and polic</w:t>
            </w:r>
            <w:r>
              <w:rPr>
                <w:rFonts w:asciiTheme="minorHAnsi" w:hAnsiTheme="minorHAnsi"/>
              </w:rPr>
              <w:t>i</w:t>
            </w:r>
            <w:r w:rsidRPr="00364561">
              <w:rPr>
                <w:rFonts w:asciiTheme="minorHAnsi" w:hAnsiTheme="minorHAnsi"/>
              </w:rPr>
              <w:t>es, financing mechanisms, expanded market access and scale-up for SMEs in CLMV</w:t>
            </w:r>
          </w:p>
        </w:tc>
        <w:tc>
          <w:tcPr>
            <w:tcW w:w="958" w:type="pct"/>
            <w:tcBorders>
              <w:top w:val="nil"/>
              <w:left w:val="nil"/>
              <w:bottom w:val="nil"/>
              <w:right w:val="nil"/>
            </w:tcBorders>
          </w:tcPr>
          <w:p w14:paraId="44F291A7"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TBC</w:t>
            </w:r>
          </w:p>
        </w:tc>
      </w:tr>
      <w:tr w:rsidR="00245A37" w14:paraId="5908470C" w14:textId="77777777" w:rsidTr="00C45BBC">
        <w:trPr>
          <w:trHeight w:val="614"/>
        </w:trPr>
        <w:tc>
          <w:tcPr>
            <w:tcW w:w="1975" w:type="pct"/>
            <w:gridSpan w:val="2"/>
            <w:tcBorders>
              <w:top w:val="nil"/>
              <w:left w:val="nil"/>
              <w:bottom w:val="nil"/>
              <w:right w:val="nil"/>
            </w:tcBorders>
          </w:tcPr>
          <w:p w14:paraId="7AEBE531" w14:textId="77777777" w:rsidR="00245A37" w:rsidRPr="00364561" w:rsidRDefault="00245A37" w:rsidP="00C45BBC">
            <w:pPr>
              <w:pStyle w:val="TableHeading1"/>
              <w:rPr>
                <w:rFonts w:asciiTheme="minorHAnsi" w:hAnsiTheme="minorHAnsi"/>
                <w:b w:val="0"/>
              </w:rPr>
            </w:pPr>
            <w:r w:rsidRPr="00364561">
              <w:rPr>
                <w:rFonts w:asciiTheme="minorHAnsi" w:hAnsiTheme="minorHAnsi"/>
                <w:b w:val="0"/>
              </w:rPr>
              <w:t>Number of first round challenge fund grant agreements implemented</w:t>
            </w:r>
          </w:p>
        </w:tc>
        <w:tc>
          <w:tcPr>
            <w:tcW w:w="1033" w:type="pct"/>
            <w:gridSpan w:val="2"/>
            <w:tcBorders>
              <w:top w:val="nil"/>
              <w:left w:val="nil"/>
              <w:bottom w:val="nil"/>
              <w:right w:val="nil"/>
            </w:tcBorders>
          </w:tcPr>
          <w:p w14:paraId="46C48867"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9</w:t>
            </w:r>
          </w:p>
          <w:p w14:paraId="7CB1BE24" w14:textId="77777777" w:rsidR="00245A37" w:rsidRPr="00364561" w:rsidRDefault="00245A37" w:rsidP="00C45BBC">
            <w:pPr>
              <w:pStyle w:val="TableTextEntries"/>
              <w:keepLines w:val="0"/>
              <w:snapToGrid w:val="0"/>
              <w:spacing w:line="240" w:lineRule="auto"/>
              <w:rPr>
                <w:rFonts w:asciiTheme="minorHAnsi" w:hAnsiTheme="minorHAnsi"/>
              </w:rPr>
            </w:pPr>
          </w:p>
        </w:tc>
        <w:tc>
          <w:tcPr>
            <w:tcW w:w="1034" w:type="pct"/>
            <w:gridSpan w:val="3"/>
            <w:tcBorders>
              <w:top w:val="nil"/>
              <w:left w:val="nil"/>
              <w:bottom w:val="nil"/>
              <w:right w:val="nil"/>
            </w:tcBorders>
          </w:tcPr>
          <w:p w14:paraId="49D86C67"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9</w:t>
            </w:r>
          </w:p>
          <w:p w14:paraId="0EC398E4" w14:textId="77777777" w:rsidR="00245A37" w:rsidRPr="00364561" w:rsidRDefault="00245A37" w:rsidP="00C45BBC">
            <w:pPr>
              <w:pStyle w:val="TableTextEntries"/>
              <w:keepLines w:val="0"/>
              <w:snapToGrid w:val="0"/>
              <w:spacing w:line="240" w:lineRule="auto"/>
              <w:rPr>
                <w:rFonts w:asciiTheme="minorHAnsi" w:hAnsiTheme="minorHAnsi"/>
              </w:rPr>
            </w:pPr>
          </w:p>
        </w:tc>
        <w:tc>
          <w:tcPr>
            <w:tcW w:w="958" w:type="pct"/>
            <w:tcBorders>
              <w:top w:val="nil"/>
              <w:left w:val="nil"/>
              <w:bottom w:val="nil"/>
              <w:right w:val="nil"/>
            </w:tcBorders>
          </w:tcPr>
          <w:p w14:paraId="00CD24C5"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TBC</w:t>
            </w:r>
          </w:p>
        </w:tc>
      </w:tr>
      <w:tr w:rsidR="00245A37" w14:paraId="63C062B2" w14:textId="77777777" w:rsidTr="00C45BBC">
        <w:trPr>
          <w:trHeight w:val="614"/>
        </w:trPr>
        <w:tc>
          <w:tcPr>
            <w:tcW w:w="1975" w:type="pct"/>
            <w:gridSpan w:val="2"/>
            <w:tcBorders>
              <w:top w:val="nil"/>
              <w:left w:val="nil"/>
              <w:bottom w:val="nil"/>
              <w:right w:val="nil"/>
            </w:tcBorders>
          </w:tcPr>
          <w:p w14:paraId="2D9A7B04" w14:textId="77777777" w:rsidR="00245A37" w:rsidRPr="00364561" w:rsidRDefault="00245A37" w:rsidP="00C45BBC">
            <w:pPr>
              <w:pStyle w:val="TableHeading1"/>
              <w:rPr>
                <w:rFonts w:asciiTheme="minorHAnsi" w:hAnsiTheme="minorHAnsi"/>
                <w:b w:val="0"/>
              </w:rPr>
            </w:pPr>
            <w:r w:rsidRPr="00364561">
              <w:rPr>
                <w:rFonts w:asciiTheme="minorHAnsi" w:hAnsiTheme="minorHAnsi"/>
                <w:b w:val="0"/>
              </w:rPr>
              <w:t>Strengthened institutional water resource management frameworks</w:t>
            </w:r>
          </w:p>
        </w:tc>
        <w:tc>
          <w:tcPr>
            <w:tcW w:w="1033" w:type="pct"/>
            <w:gridSpan w:val="2"/>
            <w:tcBorders>
              <w:top w:val="nil"/>
              <w:left w:val="nil"/>
              <w:bottom w:val="nil"/>
              <w:right w:val="nil"/>
            </w:tcBorders>
          </w:tcPr>
          <w:p w14:paraId="1A6E1DB9"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cstheme="minorHAnsi"/>
                <w:iCs w:val="0"/>
                <w:lang w:eastAsia="en-US"/>
              </w:rPr>
              <w:t>3</w:t>
            </w:r>
          </w:p>
        </w:tc>
        <w:tc>
          <w:tcPr>
            <w:tcW w:w="1034" w:type="pct"/>
            <w:gridSpan w:val="3"/>
            <w:tcBorders>
              <w:top w:val="nil"/>
              <w:left w:val="nil"/>
              <w:bottom w:val="nil"/>
              <w:right w:val="nil"/>
            </w:tcBorders>
          </w:tcPr>
          <w:p w14:paraId="0D7710CF"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cstheme="minorHAnsi"/>
                <w:iCs w:val="0"/>
                <w:lang w:eastAsia="en-US"/>
              </w:rPr>
              <w:t>4</w:t>
            </w:r>
          </w:p>
        </w:tc>
        <w:tc>
          <w:tcPr>
            <w:tcW w:w="958" w:type="pct"/>
            <w:tcBorders>
              <w:top w:val="nil"/>
              <w:left w:val="nil"/>
              <w:bottom w:val="nil"/>
              <w:right w:val="nil"/>
            </w:tcBorders>
          </w:tcPr>
          <w:p w14:paraId="2BCC9D6F"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cstheme="minorHAnsi"/>
                <w:iCs w:val="0"/>
                <w:lang w:eastAsia="en-US"/>
              </w:rPr>
              <w:t>6</w:t>
            </w:r>
          </w:p>
        </w:tc>
      </w:tr>
      <w:tr w:rsidR="00245A37" w14:paraId="501CD725" w14:textId="77777777" w:rsidTr="00C45BBC">
        <w:trPr>
          <w:trHeight w:val="381"/>
        </w:trPr>
        <w:tc>
          <w:tcPr>
            <w:tcW w:w="5000" w:type="pct"/>
            <w:gridSpan w:val="8"/>
            <w:tcBorders>
              <w:top w:val="nil"/>
              <w:left w:val="nil"/>
              <w:bottom w:val="nil"/>
              <w:right w:val="nil"/>
            </w:tcBorders>
          </w:tcPr>
          <w:p w14:paraId="6697296B" w14:textId="77777777" w:rsidR="00245A37" w:rsidRPr="00364561" w:rsidRDefault="00245A37" w:rsidP="00C45BBC">
            <w:pPr>
              <w:pStyle w:val="TableTextEntries"/>
              <w:rPr>
                <w:rFonts w:asciiTheme="minorHAnsi" w:hAnsiTheme="minorHAnsi"/>
                <w:b/>
              </w:rPr>
            </w:pPr>
            <w:r w:rsidRPr="00364561">
              <w:rPr>
                <w:rFonts w:asciiTheme="minorHAnsi" w:hAnsiTheme="minorHAnsi"/>
                <w:b/>
              </w:rPr>
              <w:t>Strengthening regional responses to trafficking and the exploitation of migrant workers</w:t>
            </w:r>
          </w:p>
        </w:tc>
      </w:tr>
      <w:tr w:rsidR="00245A37" w14:paraId="4EEEC11D" w14:textId="77777777" w:rsidTr="00C45BBC">
        <w:trPr>
          <w:trHeight w:val="614"/>
        </w:trPr>
        <w:tc>
          <w:tcPr>
            <w:tcW w:w="1975" w:type="pct"/>
            <w:gridSpan w:val="2"/>
            <w:tcBorders>
              <w:top w:val="nil"/>
              <w:left w:val="nil"/>
              <w:bottom w:val="single" w:sz="12" w:space="0" w:color="auto"/>
              <w:right w:val="nil"/>
            </w:tcBorders>
          </w:tcPr>
          <w:p w14:paraId="7D768825" w14:textId="77777777" w:rsidR="00245A37" w:rsidRPr="00364561" w:rsidRDefault="00245A37" w:rsidP="00C45BBC">
            <w:pPr>
              <w:pStyle w:val="TableHeading1"/>
              <w:rPr>
                <w:rFonts w:asciiTheme="minorHAnsi" w:hAnsiTheme="minorHAnsi"/>
                <w:b w:val="0"/>
              </w:rPr>
            </w:pPr>
            <w:r w:rsidRPr="00364561">
              <w:rPr>
                <w:rFonts w:asciiTheme="minorHAnsi" w:hAnsiTheme="minorHAnsi"/>
                <w:b w:val="0"/>
              </w:rPr>
              <w:t>Number of TIP case investigations in which partners are cooperating</w:t>
            </w:r>
          </w:p>
        </w:tc>
        <w:tc>
          <w:tcPr>
            <w:tcW w:w="1033" w:type="pct"/>
            <w:gridSpan w:val="2"/>
            <w:tcBorders>
              <w:top w:val="nil"/>
              <w:left w:val="nil"/>
              <w:bottom w:val="single" w:sz="12" w:space="0" w:color="auto"/>
              <w:right w:val="nil"/>
            </w:tcBorders>
          </w:tcPr>
          <w:p w14:paraId="4751EE40"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5 or more TIP case investigations</w:t>
            </w:r>
          </w:p>
        </w:tc>
        <w:tc>
          <w:tcPr>
            <w:tcW w:w="1034" w:type="pct"/>
            <w:gridSpan w:val="3"/>
            <w:tcBorders>
              <w:top w:val="nil"/>
              <w:left w:val="nil"/>
              <w:bottom w:val="single" w:sz="12" w:space="0" w:color="auto"/>
              <w:right w:val="nil"/>
            </w:tcBorders>
          </w:tcPr>
          <w:p w14:paraId="2D2DDC00"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5 or more TIP case investigations</w:t>
            </w:r>
          </w:p>
        </w:tc>
        <w:tc>
          <w:tcPr>
            <w:tcW w:w="958" w:type="pct"/>
            <w:tcBorders>
              <w:top w:val="nil"/>
              <w:left w:val="nil"/>
              <w:bottom w:val="single" w:sz="12" w:space="0" w:color="auto"/>
              <w:right w:val="nil"/>
            </w:tcBorders>
          </w:tcPr>
          <w:p w14:paraId="535DC22B" w14:textId="77777777" w:rsidR="00245A37" w:rsidRPr="00364561" w:rsidRDefault="00245A37" w:rsidP="00C45BBC">
            <w:pPr>
              <w:pStyle w:val="TableTextEntries"/>
              <w:keepLines w:val="0"/>
              <w:snapToGrid w:val="0"/>
              <w:spacing w:line="240" w:lineRule="auto"/>
              <w:rPr>
                <w:rFonts w:asciiTheme="minorHAnsi" w:hAnsiTheme="minorHAnsi"/>
              </w:rPr>
            </w:pPr>
            <w:r w:rsidRPr="00364561">
              <w:rPr>
                <w:rFonts w:asciiTheme="minorHAnsi" w:hAnsiTheme="minorHAnsi"/>
              </w:rPr>
              <w:t>5 or more TIP case investigations</w:t>
            </w:r>
          </w:p>
        </w:tc>
      </w:tr>
    </w:tbl>
    <w:p w14:paraId="3873590A" w14:textId="77777777" w:rsidR="00245A37" w:rsidRPr="00364561" w:rsidRDefault="00245A37" w:rsidP="00364561">
      <w:pPr>
        <w:spacing w:before="0" w:after="0" w:line="240" w:lineRule="auto"/>
        <w:rPr>
          <w:sz w:val="14"/>
        </w:rPr>
      </w:pPr>
    </w:p>
    <w:p w14:paraId="3C2BB6DD" w14:textId="77777777" w:rsidR="00245A37" w:rsidRPr="00364561" w:rsidRDefault="00245A37" w:rsidP="00364561">
      <w:pPr>
        <w:spacing w:before="60"/>
        <w:rPr>
          <w:rFonts w:asciiTheme="majorHAnsi" w:eastAsiaTheme="majorEastAsia" w:hAnsiTheme="majorHAnsi" w:cstheme="majorBidi"/>
          <w:caps/>
          <w:sz w:val="36"/>
          <w:szCs w:val="26"/>
        </w:rPr>
      </w:pPr>
      <w:r w:rsidRPr="00364561">
        <w:rPr>
          <w:rFonts w:asciiTheme="majorHAnsi" w:eastAsiaTheme="majorEastAsia" w:hAnsiTheme="majorHAnsi" w:cstheme="majorBidi"/>
          <w:caps/>
          <w:sz w:val="36"/>
          <w:szCs w:val="26"/>
        </w:rPr>
        <w:t>Mutual Obligations</w:t>
      </w:r>
    </w:p>
    <w:p w14:paraId="74131B24" w14:textId="77777777" w:rsidR="00245A37" w:rsidRDefault="00245A37" w:rsidP="00245A37">
      <w:r>
        <w:t xml:space="preserve">The Regional Program was delivered in line with the AIP, which establishes the importance of working with </w:t>
      </w:r>
      <w:r>
        <w:rPr>
          <w:lang w:val="en-US"/>
        </w:rPr>
        <w:t xml:space="preserve">regional frameworks </w:t>
      </w:r>
      <w:r w:rsidRPr="008F3397">
        <w:rPr>
          <w:lang w:val="en-US"/>
        </w:rPr>
        <w:t>and/or national-level development plans.</w:t>
      </w:r>
      <w:r>
        <w:rPr>
          <w:lang w:val="en-US"/>
        </w:rPr>
        <w:t xml:space="preserve"> As regional programs involve multiple country partners, Australia’s obligations</w:t>
      </w:r>
      <w:r w:rsidRPr="00DA5050">
        <w:t xml:space="preserve"> </w:t>
      </w:r>
      <w:r>
        <w:t xml:space="preserve">to those partners (and their obligations to Australia) are tracked through </w:t>
      </w:r>
      <w:r w:rsidRPr="00DA5050">
        <w:t xml:space="preserve">specific commitments under </w:t>
      </w:r>
      <w:r>
        <w:t>those</w:t>
      </w:r>
      <w:r w:rsidRPr="00DA5050">
        <w:t xml:space="preserve"> frameworks</w:t>
      </w:r>
      <w:r>
        <w:t xml:space="preserve"> and plans. </w:t>
      </w:r>
    </w:p>
    <w:p w14:paraId="68DD5D6C" w14:textId="680B9330" w:rsidR="00CA2A8F" w:rsidRDefault="00CA2A8F" w:rsidP="00CA2A8F">
      <w:pPr>
        <w:rPr>
          <w:lang w:val="en-US"/>
        </w:rPr>
      </w:pPr>
      <w:r>
        <w:t xml:space="preserve">Australia’s engagement with ASEAN is governed by the </w:t>
      </w:r>
      <w:r w:rsidRPr="005D6D36">
        <w:rPr>
          <w:i/>
        </w:rPr>
        <w:t>ASEAN-Australia Strategic Partnership (2014)</w:t>
      </w:r>
      <w:r>
        <w:t xml:space="preserve"> and associated Plan of Action, which is divided into areas of cooperation under ASEAN’s three pillars (Political-Security, Economic, Socio-Cultural).</w:t>
      </w:r>
      <w:r>
        <w:rPr>
          <w:i/>
        </w:rPr>
        <w:t xml:space="preserve"> </w:t>
      </w:r>
      <w:r>
        <w:t xml:space="preserve">Australia works directly with the ASEAN Secretariat (ASEC) to implement AADCP II and AECSP in support of the ASEAN Economic Community. ASEAN’s obligations under AADCP II are outlined in a program-level funding agreement, with the accountability of partners tracked and reported through the annual Joint Planning and Review Committee. In an innovative approach to economic cooperation, the AECSP is explicitly included as part of </w:t>
      </w:r>
      <w:r w:rsidRPr="0074613C">
        <w:t>AANZFTA</w:t>
      </w:r>
      <w:r>
        <w:t>. Australia’s co-chairmanship of the AANZFTA Joint Committee allows Australia to influence the regional trade liberalisation agenda. Mutual</w:t>
      </w:r>
      <w:r w:rsidRPr="004959F2">
        <w:rPr>
          <w:lang w:val="en-US"/>
        </w:rPr>
        <w:t xml:space="preserve"> obligations have been met under both programs.</w:t>
      </w:r>
    </w:p>
    <w:p w14:paraId="0E7442C0" w14:textId="41E6E8F2" w:rsidR="00245A37" w:rsidRDefault="00245A37" w:rsidP="00245A37">
      <w:r w:rsidRPr="004959F2">
        <w:t>Australia</w:t>
      </w:r>
      <w:r>
        <w:t xml:space="preserve"> has Memoranda</w:t>
      </w:r>
      <w:r w:rsidRPr="004959F2">
        <w:t xml:space="preserve"> of Understanding</w:t>
      </w:r>
      <w:r>
        <w:t>s</w:t>
      </w:r>
      <w:r w:rsidRPr="004959F2">
        <w:t xml:space="preserve"> (MOU</w:t>
      </w:r>
      <w:r>
        <w:t>s</w:t>
      </w:r>
      <w:r w:rsidRPr="004959F2">
        <w:t xml:space="preserve">) with Laos, Myanmar, Cambodia and Vietnam to govern investments under </w:t>
      </w:r>
      <w:r>
        <w:t>the GMWRP.</w:t>
      </w:r>
      <w:r w:rsidRPr="004959F2">
        <w:t xml:space="preserve"> Obligations under the MOUs have been met, though </w:t>
      </w:r>
      <w:r>
        <w:t>there have been some delays. For example, the National Assembly failed to approve the draft water law funded by Australia, seeking many changes. MONRE expects to re-submit the law for approval in late 2016. Our partnership with the Mekong River Commission (MRC) is guided by its new Strategic Plan (2016-2020)</w:t>
      </w:r>
      <w:r>
        <w:rPr>
          <w:i/>
        </w:rPr>
        <w:t>.</w:t>
      </w:r>
      <w:r>
        <w:t xml:space="preserve"> While the MRC has met its obligations with Australia, DFAT is monitoring the implementation of the MRC’s restructuring </w:t>
      </w:r>
      <w:r>
        <w:lastRenderedPageBreak/>
        <w:t>process. The MRC completed the first phase of its Council Study in this reporting period, as one of the priorities under the Strategic Plan.</w:t>
      </w:r>
    </w:p>
    <w:p w14:paraId="128E26C3" w14:textId="597C4653" w:rsidR="00364561" w:rsidRDefault="00245A37" w:rsidP="00245A37">
      <w:r>
        <w:t xml:space="preserve">The Regional Program’s human security investments help ASEAN Member States implement the </w:t>
      </w:r>
      <w:r w:rsidRPr="005D6D36">
        <w:rPr>
          <w:i/>
        </w:rPr>
        <w:t>ASEAN Convention on Trafficking in Persons Particularly Women and Children (ACTIP)</w:t>
      </w:r>
      <w:r w:rsidRPr="005D6D36">
        <w:t xml:space="preserve">, and </w:t>
      </w:r>
      <w:r>
        <w:t xml:space="preserve">associated </w:t>
      </w:r>
      <w:r w:rsidRPr="005D6D36">
        <w:t>ASEAN Plan of Action</w:t>
      </w:r>
      <w:r w:rsidRPr="005D6D36">
        <w:rPr>
          <w:vertAlign w:val="superscript"/>
        </w:rPr>
        <w:footnoteReference w:id="2"/>
      </w:r>
      <w:r>
        <w:t xml:space="preserve">, and </w:t>
      </w:r>
      <w:r w:rsidRPr="00BD3FB6">
        <w:rPr>
          <w:i/>
        </w:rPr>
        <w:t>ASEAN</w:t>
      </w:r>
      <w:r>
        <w:rPr>
          <w:i/>
        </w:rPr>
        <w:t xml:space="preserve"> </w:t>
      </w:r>
      <w:r w:rsidRPr="005D6D36">
        <w:rPr>
          <w:i/>
        </w:rPr>
        <w:t>Declaration on the Protection and Promotion of the Rights of Migrant Workers (2007)</w:t>
      </w:r>
      <w:r>
        <w:t xml:space="preserve">. </w:t>
      </w:r>
      <w:r w:rsidRPr="004959F2">
        <w:t xml:space="preserve">Australia’s partnerships with countries implementing AAPTIP and TRIANGLE II are governed by Memorandums of Subsidiary Arrangements (MSAs) and ILO MOUs respectively. </w:t>
      </w:r>
      <w:r>
        <w:t>A</w:t>
      </w:r>
      <w:r w:rsidRPr="00274781">
        <w:t xml:space="preserve">ctivities delivered under these agreements support </w:t>
      </w:r>
      <w:r w:rsidR="004F7BD6">
        <w:t>M</w:t>
      </w:r>
      <w:r w:rsidRPr="00274781">
        <w:t xml:space="preserve">ember </w:t>
      </w:r>
      <w:r w:rsidR="004F7BD6">
        <w:t>S</w:t>
      </w:r>
      <w:r w:rsidRPr="00274781">
        <w:t>tates to meet their mutual obligations under these regional instruments.</w:t>
      </w:r>
    </w:p>
    <w:p w14:paraId="1D3187AF" w14:textId="7271B66B" w:rsidR="00245A37" w:rsidRPr="00364561" w:rsidRDefault="00245A37" w:rsidP="00364561">
      <w:pPr>
        <w:spacing w:before="0" w:after="0" w:line="240" w:lineRule="auto"/>
        <w:rPr>
          <w:sz w:val="14"/>
        </w:rPr>
      </w:pPr>
      <w:r w:rsidRPr="00364561">
        <w:rPr>
          <w:sz w:val="14"/>
        </w:rPr>
        <w:t xml:space="preserve"> </w:t>
      </w:r>
    </w:p>
    <w:p w14:paraId="102F0670" w14:textId="77777777" w:rsidR="00245A37" w:rsidRPr="00364561" w:rsidRDefault="00245A37" w:rsidP="00364561">
      <w:pPr>
        <w:spacing w:before="60"/>
        <w:rPr>
          <w:rFonts w:asciiTheme="majorHAnsi" w:eastAsiaTheme="majorEastAsia" w:hAnsiTheme="majorHAnsi" w:cstheme="majorBidi"/>
          <w:caps/>
          <w:sz w:val="36"/>
          <w:szCs w:val="26"/>
        </w:rPr>
      </w:pPr>
      <w:r w:rsidRPr="00364561">
        <w:rPr>
          <w:rFonts w:asciiTheme="majorHAnsi" w:eastAsiaTheme="majorEastAsia" w:hAnsiTheme="majorHAnsi" w:cstheme="majorBidi"/>
          <w:caps/>
          <w:sz w:val="36"/>
          <w:szCs w:val="26"/>
        </w:rPr>
        <w:t>Program Quality</w:t>
      </w:r>
    </w:p>
    <w:p w14:paraId="486B0804" w14:textId="51D4C9D7" w:rsidR="00CA2A8F" w:rsidRDefault="00CA2A8F" w:rsidP="00CA2A8F">
      <w:r>
        <w:t>In 2015-16, the Regional Program invested significant resources into program quality and effective aid delivery. In addition to annual Aid Quality Checks (AQCs), six evaluations were conducted during the reporting period, with high levels of DFAT staff involvement as recommended by the Office of Development Effectiveness (ODE). The 2016 AQCs demonstrated that the majority of Regional Program investments performed well on gender equality, efficiency and risk management. On average, investments rated 4 for effectiveness, on a scale of 1-6.</w:t>
      </w:r>
      <w:r w:rsidRPr="006F4D26">
        <w:t xml:space="preserve"> </w:t>
      </w:r>
      <w:r>
        <w:t xml:space="preserve">AAPTIP, the WHO GMS Malaria project and PREVENT identified some key areas for improvement. AADCP II and AECSP rated 5 for effectiveness but had low gender equality ratings.  </w:t>
      </w:r>
    </w:p>
    <w:p w14:paraId="4D1F6029" w14:textId="0FA2B73F" w:rsidR="00CA2A8F" w:rsidRDefault="00CA2A8F" w:rsidP="00CA2A8F">
      <w:r>
        <w:t xml:space="preserve">Gender </w:t>
      </w:r>
      <w:r w:rsidRPr="009D4331">
        <w:t>equality ratings improved</w:t>
      </w:r>
      <w:r w:rsidRPr="00656B96">
        <w:t>, with the Regional Program achieving 71 per cent against DFAT’s target that 80 per cent of investments effectively address gender issues in their implementation – an improvement from 67 per cent in the previous year. This was in part due to DFAT’s consistent advocacy with partners. All programs managed from Bangkok, apart</w:t>
      </w:r>
      <w:r>
        <w:t xml:space="preserve"> from </w:t>
      </w:r>
      <w:r w:rsidR="004F7BD6">
        <w:t xml:space="preserve">the </w:t>
      </w:r>
      <w:r>
        <w:t xml:space="preserve">GMS TTF program, appointed their own gender advisor in 2015, so good results are expected to be maintained. Improved gender equality remains a challenge for our aid-for-trade programs. We will continue to advocate for ASEAN to mainstream gender issues across all three pillars in line with ASEAN’s </w:t>
      </w:r>
      <w:r w:rsidRPr="00CA2A8F">
        <w:rPr>
          <w:i/>
        </w:rPr>
        <w:t>Vision 2025</w:t>
      </w:r>
      <w:r>
        <w:t xml:space="preserve">.  </w:t>
      </w:r>
    </w:p>
    <w:p w14:paraId="47B8F583" w14:textId="59F5E0AD" w:rsidR="00CA2A8F" w:rsidRDefault="00CA2A8F" w:rsidP="00CA2A8F">
      <w:r>
        <w:t xml:space="preserve">M&amp;E was identified as an area for improvement in the previous APPR and the Regional Program made efforts to address this (see management responses). Improvements were made to designs, work plans, data collection and reporting over the past 12 months. A dedicated M&amp;E specialist assisted with M&amp;E frameworks for new programs such as MBI, TRIANGLE II and SHIFT, and AECSP appointed a new M&amp;E officer to the AANZFTA Support Unit in ASEC. The ratings in this year’s AQC process highlighted that there is still work to be done, particularly in the collection of robust gender disaggregated data and incorporating disability issues. </w:t>
      </w:r>
    </w:p>
    <w:p w14:paraId="1DAF7CA8" w14:textId="77777777" w:rsidR="00CA2A8F" w:rsidRPr="00015316" w:rsidRDefault="00CA2A8F" w:rsidP="00CA2A8F">
      <w:r>
        <w:t>The 2014-15 AQC process resulted in two investments requiring improvement (IRI) – The Asia Foundation Strategic Partnership (TAFSP) and Emerging Disease Risk Reduction (PREVENT). Both programs’ remediation plans resulted in improved ratings this year. TAFSP has since concluded and PREVENT</w:t>
      </w:r>
      <w:r w:rsidRPr="00A570AC">
        <w:t xml:space="preserve"> has been re-designed and will continue as the Highly Pathogenic Avian Influenza – Live Animal Marketing and Production (LAMP) project. </w:t>
      </w:r>
      <w:r>
        <w:t>There were no new IRIs in 2015-16. All six Final AQCs (TAFSP;</w:t>
      </w:r>
      <w:r w:rsidRPr="007C5516">
        <w:rPr>
          <w:rFonts w:eastAsia="Times New Roman" w:cstheme="minorHAnsi"/>
          <w:iCs/>
          <w:szCs w:val="17"/>
        </w:rPr>
        <w:t xml:space="preserve"> </w:t>
      </w:r>
      <w:r>
        <w:t>East Asia Vision Program;</w:t>
      </w:r>
      <w:r w:rsidRPr="007C5516">
        <w:rPr>
          <w:rFonts w:eastAsia="Times New Roman" w:cstheme="minorHAnsi"/>
          <w:iCs/>
          <w:szCs w:val="17"/>
        </w:rPr>
        <w:t xml:space="preserve"> Australia Mekong-NGO Engagement Platform</w:t>
      </w:r>
      <w:r>
        <w:rPr>
          <w:rFonts w:eastAsia="Times New Roman" w:cstheme="minorHAnsi"/>
          <w:iCs/>
          <w:szCs w:val="17"/>
        </w:rPr>
        <w:t xml:space="preserve">; </w:t>
      </w:r>
      <w:r w:rsidRPr="007A5548">
        <w:rPr>
          <w:rFonts w:eastAsia="Times New Roman" w:cstheme="minorHAnsi"/>
          <w:iCs/>
          <w:szCs w:val="17"/>
        </w:rPr>
        <w:t>Improving Mekong Water Resource Management</w:t>
      </w:r>
      <w:r>
        <w:rPr>
          <w:rFonts w:eastAsia="Times New Roman" w:cstheme="minorHAnsi"/>
          <w:iCs/>
          <w:szCs w:val="17"/>
        </w:rPr>
        <w:t xml:space="preserve">; </w:t>
      </w:r>
      <w:r w:rsidRPr="00B12AC9">
        <w:rPr>
          <w:rFonts w:eastAsia="Times New Roman" w:cstheme="minorHAnsi"/>
          <w:iCs/>
          <w:szCs w:val="17"/>
        </w:rPr>
        <w:t>National Integrated Water Resources Management</w:t>
      </w:r>
      <w:r>
        <w:rPr>
          <w:rFonts w:eastAsia="Times New Roman" w:cstheme="minorHAnsi"/>
          <w:iCs/>
          <w:szCs w:val="17"/>
        </w:rPr>
        <w:t xml:space="preserve">; and </w:t>
      </w:r>
      <w:r w:rsidRPr="007A5548">
        <w:rPr>
          <w:rFonts w:eastAsia="Times New Roman" w:cstheme="minorHAnsi"/>
          <w:iCs/>
          <w:szCs w:val="17"/>
        </w:rPr>
        <w:t>Cambodia WRMSD Program</w:t>
      </w:r>
      <w:r>
        <w:rPr>
          <w:rFonts w:eastAsia="Times New Roman" w:cstheme="minorHAnsi"/>
          <w:iCs/>
          <w:szCs w:val="17"/>
        </w:rPr>
        <w:t xml:space="preserve">) </w:t>
      </w:r>
      <w:r>
        <w:t xml:space="preserve">received overall ratings of 4. </w:t>
      </w:r>
    </w:p>
    <w:p w14:paraId="4B76B4EC" w14:textId="77777777" w:rsidR="00364561" w:rsidRDefault="00364561" w:rsidP="00245A37">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sectPr w:rsidR="00364561" w:rsidSect="00245A37">
          <w:headerReference w:type="default" r:id="rId18"/>
          <w:footerReference w:type="default" r:id="rId19"/>
          <w:headerReference w:type="first" r:id="rId20"/>
          <w:pgSz w:w="11906" w:h="16838" w:code="9"/>
          <w:pgMar w:top="1952" w:right="1134" w:bottom="851" w:left="1134" w:header="1107" w:footer="567" w:gutter="0"/>
          <w:cols w:space="397"/>
          <w:docGrid w:linePitch="360"/>
        </w:sectPr>
      </w:pPr>
    </w:p>
    <w:p w14:paraId="77CFBCF7" w14:textId="1654BA2B" w:rsidR="00245A37" w:rsidRPr="00015316" w:rsidRDefault="00245A37" w:rsidP="00245A37">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lastRenderedPageBreak/>
        <w:t>Management Responses</w:t>
      </w:r>
    </w:p>
    <w:p w14:paraId="59069931" w14:textId="6CF4914F" w:rsidR="006E39DF" w:rsidRPr="00D3078F" w:rsidRDefault="006E39DF" w:rsidP="006E39DF">
      <w:pPr>
        <w:ind w:right="-113"/>
        <w:rPr>
          <w:rFonts w:cstheme="minorHAnsi"/>
          <w:sz w:val="21"/>
          <w:szCs w:val="21"/>
        </w:rPr>
      </w:pPr>
      <w:r w:rsidRPr="00D3078F">
        <w:rPr>
          <w:rFonts w:cstheme="minorHAnsi"/>
          <w:sz w:val="21"/>
          <w:szCs w:val="21"/>
        </w:rPr>
        <w:t>The management response</w:t>
      </w:r>
      <w:r>
        <w:rPr>
          <w:rFonts w:cstheme="minorHAnsi"/>
          <w:sz w:val="21"/>
          <w:szCs w:val="21"/>
        </w:rPr>
        <w:t>s</w:t>
      </w:r>
      <w:r w:rsidRPr="00D3078F">
        <w:rPr>
          <w:rFonts w:cstheme="minorHAnsi"/>
          <w:sz w:val="21"/>
          <w:szCs w:val="21"/>
        </w:rPr>
        <w:t xml:space="preserve"> from last year’s APPR ha</w:t>
      </w:r>
      <w:r>
        <w:rPr>
          <w:rFonts w:cstheme="minorHAnsi"/>
          <w:sz w:val="21"/>
          <w:szCs w:val="21"/>
        </w:rPr>
        <w:t>ve</w:t>
      </w:r>
      <w:r w:rsidRPr="00D3078F">
        <w:rPr>
          <w:rFonts w:cstheme="minorHAnsi"/>
          <w:sz w:val="21"/>
          <w:szCs w:val="21"/>
        </w:rPr>
        <w:t xml:space="preserve"> been achieved (see </w:t>
      </w:r>
      <w:r>
        <w:rPr>
          <w:rFonts w:cstheme="minorHAnsi"/>
          <w:sz w:val="21"/>
          <w:szCs w:val="21"/>
        </w:rPr>
        <w:t>Annex A</w:t>
      </w:r>
      <w:r w:rsidRPr="00D3078F">
        <w:rPr>
          <w:rFonts w:cstheme="minorHAnsi"/>
          <w:sz w:val="21"/>
          <w:szCs w:val="21"/>
        </w:rPr>
        <w:t xml:space="preserve">). </w:t>
      </w:r>
      <w:r>
        <w:rPr>
          <w:rFonts w:cstheme="minorHAnsi"/>
          <w:sz w:val="21"/>
          <w:szCs w:val="21"/>
        </w:rPr>
        <w:t>In response to reduced funding, there have been considerable efforts toward program consolidation and resource sharing. P</w:t>
      </w:r>
      <w:r w:rsidRPr="00D3078F">
        <w:t>ro</w:t>
      </w:r>
      <w:r>
        <w:t>gram partners</w:t>
      </w:r>
      <w:r w:rsidRPr="00D3078F">
        <w:t xml:space="preserve"> have sourced their own specialists in M&amp;E, gender and communications. </w:t>
      </w:r>
      <w:r w:rsidRPr="00D3078F">
        <w:rPr>
          <w:rFonts w:cstheme="minorHAnsi"/>
          <w:sz w:val="21"/>
          <w:szCs w:val="21"/>
        </w:rPr>
        <w:t>Significant progress has been made on the incorporation of gender policy into programming</w:t>
      </w:r>
      <w:r w:rsidRPr="00D3078F">
        <w:t xml:space="preserve"> (reflected in 2015-16 AQC scores)</w:t>
      </w:r>
      <w:r>
        <w:t xml:space="preserve"> </w:t>
      </w:r>
      <w:r w:rsidRPr="00944C6E">
        <w:t xml:space="preserve">but </w:t>
      </w:r>
      <w:r>
        <w:t xml:space="preserve">this </w:t>
      </w:r>
      <w:r w:rsidRPr="00944C6E">
        <w:t xml:space="preserve">remains an ongoing challenge in some aid-for-trade initiatives. </w:t>
      </w:r>
      <w:r>
        <w:t>Drafting of a</w:t>
      </w:r>
      <w:r w:rsidRPr="00D3078F">
        <w:t xml:space="preserve"> regional gender action plan is underway </w:t>
      </w:r>
      <w:r>
        <w:t>and will</w:t>
      </w:r>
      <w:r w:rsidRPr="00D3078F">
        <w:t xml:space="preserve"> </w:t>
      </w:r>
      <w:r>
        <w:t xml:space="preserve">include </w:t>
      </w:r>
      <w:r w:rsidRPr="00D3078F">
        <w:t>strategic level targets</w:t>
      </w:r>
      <w:r>
        <w:t>.</w:t>
      </w:r>
      <w:r w:rsidRPr="00D3078F">
        <w:t xml:space="preserve"> </w:t>
      </w:r>
      <w:r>
        <w:t>A</w:t>
      </w:r>
      <w:r w:rsidRPr="00D3078F">
        <w:t xml:space="preserve"> strong focus on gender will continue into 2016-17 </w:t>
      </w:r>
      <w:r>
        <w:t>as the action plan is implemented</w:t>
      </w:r>
      <w:r w:rsidRPr="00D3078F">
        <w:t xml:space="preserve">. </w:t>
      </w:r>
    </w:p>
    <w:p w14:paraId="6D2FCF08" w14:textId="77777777" w:rsidR="006E39DF" w:rsidRPr="00D3078F" w:rsidRDefault="006E39DF" w:rsidP="006E39DF">
      <w:r w:rsidRPr="00D3078F">
        <w:t>The following management response</w:t>
      </w:r>
      <w:r>
        <w:t>s</w:t>
      </w:r>
      <w:r w:rsidRPr="00D3078F">
        <w:t xml:space="preserve"> </w:t>
      </w:r>
      <w:r>
        <w:t>have</w:t>
      </w:r>
      <w:r w:rsidRPr="00D3078F">
        <w:t xml:space="preserve"> been identified for the 2016-17 reporting period:</w:t>
      </w:r>
    </w:p>
    <w:p w14:paraId="7D28EB64" w14:textId="346E7AA8" w:rsidR="006E39DF" w:rsidRPr="00D3078F" w:rsidRDefault="006E39DF" w:rsidP="006E39DF">
      <w:pPr>
        <w:pStyle w:val="ListParagraph"/>
        <w:numPr>
          <w:ilvl w:val="0"/>
          <w:numId w:val="26"/>
        </w:numPr>
        <w:tabs>
          <w:tab w:val="left" w:pos="720"/>
        </w:tabs>
        <w:rPr>
          <w:rFonts w:asciiTheme="minorHAnsi" w:hAnsiTheme="minorHAnsi"/>
          <w:color w:val="495965" w:themeColor="text2"/>
        </w:rPr>
      </w:pPr>
      <w:r>
        <w:rPr>
          <w:rFonts w:asciiTheme="minorHAnsi" w:hAnsiTheme="minorHAnsi"/>
          <w:b/>
          <w:color w:val="495965" w:themeColor="text2"/>
        </w:rPr>
        <w:t xml:space="preserve">Improve the quality of monitoring and evaluation in Regional Programs to ensure that achievements are being captured and promoted. </w:t>
      </w:r>
      <w:r>
        <w:rPr>
          <w:rFonts w:asciiTheme="minorHAnsi" w:hAnsiTheme="minorHAnsi"/>
          <w:color w:val="495965" w:themeColor="text2"/>
        </w:rPr>
        <w:t xml:space="preserve">The </w:t>
      </w:r>
      <w:r w:rsidR="005463C8">
        <w:rPr>
          <w:rFonts w:asciiTheme="minorHAnsi" w:hAnsiTheme="minorHAnsi"/>
          <w:color w:val="495965" w:themeColor="text2"/>
        </w:rPr>
        <w:t>Regional Program</w:t>
      </w:r>
      <w:r>
        <w:rPr>
          <w:rFonts w:asciiTheme="minorHAnsi" w:hAnsiTheme="minorHAnsi"/>
          <w:color w:val="495965" w:themeColor="text2"/>
        </w:rPr>
        <w:t xml:space="preserve"> PAF will be reviewed to </w:t>
      </w:r>
      <w:r w:rsidR="004F7BD6">
        <w:rPr>
          <w:rFonts w:asciiTheme="minorHAnsi" w:hAnsiTheme="minorHAnsi"/>
          <w:color w:val="495965" w:themeColor="text2"/>
        </w:rPr>
        <w:t xml:space="preserve">ensure that it </w:t>
      </w:r>
      <w:r>
        <w:rPr>
          <w:rFonts w:asciiTheme="minorHAnsi" w:hAnsiTheme="minorHAnsi"/>
          <w:color w:val="495965" w:themeColor="text2"/>
        </w:rPr>
        <w:t>capture</w:t>
      </w:r>
      <w:r w:rsidR="004F7BD6">
        <w:rPr>
          <w:rFonts w:asciiTheme="minorHAnsi" w:hAnsiTheme="minorHAnsi"/>
          <w:color w:val="495965" w:themeColor="text2"/>
        </w:rPr>
        <w:t>s</w:t>
      </w:r>
      <w:r>
        <w:rPr>
          <w:rFonts w:asciiTheme="minorHAnsi" w:hAnsiTheme="minorHAnsi"/>
          <w:color w:val="495965" w:themeColor="text2"/>
        </w:rPr>
        <w:t xml:space="preserve"> the range of activities from the M&amp;E systems of project partners and DFAT’s own quality and monitoring processes</w:t>
      </w:r>
      <w:r w:rsidR="005463C8">
        <w:rPr>
          <w:rFonts w:asciiTheme="minorHAnsi" w:hAnsiTheme="minorHAnsi"/>
          <w:color w:val="495965" w:themeColor="text2"/>
        </w:rPr>
        <w:t>, and to ensure that it is fit-for-purpose for a smaller value program</w:t>
      </w:r>
      <w:r w:rsidRPr="00D3078F">
        <w:rPr>
          <w:rFonts w:asciiTheme="minorHAnsi" w:hAnsiTheme="minorHAnsi"/>
          <w:color w:val="495965" w:themeColor="text2"/>
        </w:rPr>
        <w:t xml:space="preserve">. </w:t>
      </w:r>
      <w:r>
        <w:rPr>
          <w:rFonts w:asciiTheme="minorHAnsi" w:hAnsiTheme="minorHAnsi"/>
          <w:color w:val="495965" w:themeColor="text2"/>
        </w:rPr>
        <w:t xml:space="preserve">This will provide good evidence for </w:t>
      </w:r>
      <w:r w:rsidRPr="00D3078F">
        <w:rPr>
          <w:rFonts w:asciiTheme="minorHAnsi" w:hAnsiTheme="minorHAnsi"/>
          <w:color w:val="495965" w:themeColor="text2"/>
        </w:rPr>
        <w:t>accountability and reporting</w:t>
      </w:r>
      <w:r>
        <w:rPr>
          <w:rFonts w:asciiTheme="minorHAnsi" w:hAnsiTheme="minorHAnsi"/>
          <w:color w:val="495965" w:themeColor="text2"/>
        </w:rPr>
        <w:t xml:space="preserve"> requirements as well as communication, policy dialogue and economic diplomacy. Program managers will work closely with partners and M&amp;E advisers to improve data reporting and analysis to inform AQCs and e</w:t>
      </w:r>
      <w:r w:rsidRPr="00D3078F">
        <w:rPr>
          <w:rFonts w:asciiTheme="minorHAnsi" w:hAnsiTheme="minorHAnsi"/>
          <w:color w:val="495965" w:themeColor="text2"/>
        </w:rPr>
        <w:t xml:space="preserve">valuations. </w:t>
      </w:r>
      <w:r w:rsidR="00EC740E">
        <w:rPr>
          <w:rFonts w:asciiTheme="minorHAnsi" w:hAnsiTheme="minorHAnsi"/>
          <w:color w:val="495965" w:themeColor="text2"/>
        </w:rPr>
        <w:t>The PAF will be included in the 2016-17 APPR.</w:t>
      </w:r>
    </w:p>
    <w:p w14:paraId="25DB5384" w14:textId="62463B82" w:rsidR="006E39DF" w:rsidRPr="00D3078F" w:rsidRDefault="006E39DF" w:rsidP="006E39DF">
      <w:pPr>
        <w:pStyle w:val="ListParagraph"/>
        <w:numPr>
          <w:ilvl w:val="0"/>
          <w:numId w:val="26"/>
        </w:numPr>
        <w:tabs>
          <w:tab w:val="left" w:pos="720"/>
        </w:tabs>
        <w:rPr>
          <w:rFonts w:asciiTheme="minorHAnsi" w:hAnsiTheme="minorHAnsi"/>
          <w:color w:val="495965" w:themeColor="text2"/>
        </w:rPr>
      </w:pPr>
      <w:r>
        <w:rPr>
          <w:rFonts w:asciiTheme="minorHAnsi" w:hAnsiTheme="minorHAnsi"/>
          <w:b/>
          <w:color w:val="495965" w:themeColor="text2"/>
        </w:rPr>
        <w:t xml:space="preserve">Raise awareness of the Regional Program and its importance to our ASEAN interests </w:t>
      </w:r>
      <w:r>
        <w:rPr>
          <w:rFonts w:asciiTheme="minorHAnsi" w:hAnsiTheme="minorHAnsi"/>
          <w:color w:val="495965" w:themeColor="text2"/>
        </w:rPr>
        <w:t xml:space="preserve">through improving public messaging and communication with ASEAN </w:t>
      </w:r>
      <w:r w:rsidR="004F7BD6">
        <w:rPr>
          <w:rFonts w:asciiTheme="minorHAnsi" w:hAnsiTheme="minorHAnsi"/>
          <w:color w:val="495965" w:themeColor="text2"/>
        </w:rPr>
        <w:t>M</w:t>
      </w:r>
      <w:r>
        <w:rPr>
          <w:rFonts w:asciiTheme="minorHAnsi" w:hAnsiTheme="minorHAnsi"/>
          <w:color w:val="495965" w:themeColor="text2"/>
        </w:rPr>
        <w:t xml:space="preserve">ember </w:t>
      </w:r>
      <w:r w:rsidR="004F7BD6">
        <w:rPr>
          <w:rFonts w:asciiTheme="minorHAnsi" w:hAnsiTheme="minorHAnsi"/>
          <w:color w:val="495965" w:themeColor="text2"/>
        </w:rPr>
        <w:t>S</w:t>
      </w:r>
      <w:r>
        <w:rPr>
          <w:rFonts w:asciiTheme="minorHAnsi" w:hAnsiTheme="minorHAnsi"/>
          <w:color w:val="495965" w:themeColor="text2"/>
        </w:rPr>
        <w:t>tates.</w:t>
      </w:r>
    </w:p>
    <w:p w14:paraId="6A1FAFEA" w14:textId="449CA069" w:rsidR="006E39DF" w:rsidRDefault="006E39DF" w:rsidP="006E39DF">
      <w:pPr>
        <w:pStyle w:val="ListParagraph"/>
        <w:numPr>
          <w:ilvl w:val="0"/>
          <w:numId w:val="26"/>
        </w:numPr>
        <w:tabs>
          <w:tab w:val="left" w:pos="720"/>
        </w:tabs>
        <w:rPr>
          <w:rFonts w:asciiTheme="minorHAnsi" w:hAnsiTheme="minorHAnsi"/>
          <w:color w:val="495965" w:themeColor="text2"/>
        </w:rPr>
      </w:pPr>
      <w:r w:rsidRPr="00D3078F">
        <w:rPr>
          <w:rFonts w:asciiTheme="minorHAnsi" w:hAnsiTheme="minorHAnsi"/>
          <w:b/>
          <w:color w:val="495965" w:themeColor="text2"/>
        </w:rPr>
        <w:t xml:space="preserve">Continue to </w:t>
      </w:r>
      <w:r>
        <w:rPr>
          <w:rFonts w:asciiTheme="minorHAnsi" w:hAnsiTheme="minorHAnsi"/>
          <w:b/>
          <w:color w:val="495965" w:themeColor="text2"/>
        </w:rPr>
        <w:t xml:space="preserve">improve </w:t>
      </w:r>
      <w:r w:rsidRPr="002C0A87">
        <w:rPr>
          <w:rFonts w:asciiTheme="minorHAnsi" w:hAnsiTheme="minorHAnsi"/>
          <w:b/>
          <w:color w:val="495965" w:themeColor="text2"/>
        </w:rPr>
        <w:t xml:space="preserve">gender </w:t>
      </w:r>
      <w:r w:rsidRPr="00AE5144">
        <w:rPr>
          <w:rFonts w:asciiTheme="minorHAnsi" w:hAnsiTheme="minorHAnsi"/>
          <w:b/>
          <w:color w:val="495965" w:themeColor="text2"/>
        </w:rPr>
        <w:t>equality and women’s empowerment, disability inclusion, private sector engagement and innovation.</w:t>
      </w:r>
      <w:r w:rsidRPr="00D3078F">
        <w:rPr>
          <w:rFonts w:asciiTheme="minorHAnsi" w:hAnsiTheme="minorHAnsi"/>
          <w:color w:val="495965" w:themeColor="text2"/>
        </w:rPr>
        <w:t xml:space="preserve"> </w:t>
      </w:r>
      <w:r>
        <w:rPr>
          <w:rFonts w:asciiTheme="minorHAnsi" w:hAnsiTheme="minorHAnsi"/>
          <w:color w:val="495965" w:themeColor="text2"/>
        </w:rPr>
        <w:t xml:space="preserve">The ASEAN Mission is developing an </w:t>
      </w:r>
      <w:r w:rsidRPr="007D3929">
        <w:rPr>
          <w:rFonts w:asciiTheme="minorHAnsi" w:hAnsiTheme="minorHAnsi"/>
          <w:color w:val="495965" w:themeColor="text2"/>
        </w:rPr>
        <w:t xml:space="preserve">Inclusion Strategy (including </w:t>
      </w:r>
      <w:r>
        <w:rPr>
          <w:rFonts w:asciiTheme="minorHAnsi" w:hAnsiTheme="minorHAnsi"/>
          <w:color w:val="495965" w:themeColor="text2"/>
        </w:rPr>
        <w:t xml:space="preserve">a </w:t>
      </w:r>
      <w:r w:rsidRPr="007D3929">
        <w:rPr>
          <w:rFonts w:asciiTheme="minorHAnsi" w:hAnsiTheme="minorHAnsi"/>
          <w:color w:val="495965" w:themeColor="text2"/>
        </w:rPr>
        <w:t>gender action plan)</w:t>
      </w:r>
      <w:r w:rsidRPr="00172D91">
        <w:rPr>
          <w:rFonts w:asciiTheme="minorHAnsi" w:hAnsiTheme="minorHAnsi"/>
          <w:color w:val="495965" w:themeColor="text2"/>
        </w:rPr>
        <w:t xml:space="preserve"> </w:t>
      </w:r>
      <w:r>
        <w:rPr>
          <w:rFonts w:asciiTheme="minorHAnsi" w:hAnsiTheme="minorHAnsi"/>
          <w:color w:val="495965" w:themeColor="text2"/>
        </w:rPr>
        <w:t>to</w:t>
      </w:r>
      <w:r w:rsidRPr="006D687D">
        <w:rPr>
          <w:rFonts w:asciiTheme="minorHAnsi" w:hAnsiTheme="minorHAnsi"/>
          <w:color w:val="495965" w:themeColor="text2"/>
        </w:rPr>
        <w:t xml:space="preserve"> be finalised </w:t>
      </w:r>
      <w:r>
        <w:rPr>
          <w:rFonts w:asciiTheme="minorHAnsi" w:hAnsiTheme="minorHAnsi"/>
          <w:color w:val="495965" w:themeColor="text2"/>
        </w:rPr>
        <w:t>in 2016-17</w:t>
      </w:r>
      <w:r w:rsidRPr="006D687D">
        <w:rPr>
          <w:rFonts w:asciiTheme="minorHAnsi" w:hAnsiTheme="minorHAnsi"/>
          <w:color w:val="495965" w:themeColor="text2"/>
        </w:rPr>
        <w:t xml:space="preserve">. </w:t>
      </w:r>
      <w:r w:rsidR="00EC740E">
        <w:rPr>
          <w:rFonts w:asciiTheme="minorHAnsi" w:hAnsiTheme="minorHAnsi"/>
          <w:color w:val="495965" w:themeColor="text2"/>
        </w:rPr>
        <w:t xml:space="preserve">A concerted effort will be made to identify opportunities to partner with the private sector as we develop the pipeline plan. Similarly, new program designs will adopt innovative approaches and modalities where it makes sense to do so. </w:t>
      </w:r>
    </w:p>
    <w:p w14:paraId="4D45A34A" w14:textId="29F6DD29" w:rsidR="00245A37" w:rsidRPr="006E39DF" w:rsidRDefault="006E39DF" w:rsidP="00245A37">
      <w:pPr>
        <w:pStyle w:val="ListParagraph"/>
        <w:numPr>
          <w:ilvl w:val="0"/>
          <w:numId w:val="26"/>
        </w:numPr>
        <w:tabs>
          <w:tab w:val="left" w:pos="720"/>
        </w:tabs>
        <w:rPr>
          <w:rFonts w:asciiTheme="minorHAnsi" w:hAnsiTheme="minorHAnsi"/>
          <w:color w:val="495965" w:themeColor="text2"/>
        </w:rPr>
      </w:pPr>
      <w:r>
        <w:rPr>
          <w:rFonts w:asciiTheme="minorHAnsi" w:hAnsiTheme="minorHAnsi"/>
          <w:b/>
          <w:color w:val="495965" w:themeColor="text2"/>
        </w:rPr>
        <w:t>Improve linkages with Australia’s bilateral programs.</w:t>
      </w:r>
      <w:r>
        <w:rPr>
          <w:rFonts w:asciiTheme="minorHAnsi" w:hAnsiTheme="minorHAnsi"/>
          <w:color w:val="495965" w:themeColor="text2"/>
        </w:rPr>
        <w:t xml:space="preserve"> We can attain more value from investments if the Regional Program and Australia’s bilateral programs in Cambodia, Indonesia, Laos, Myanmar, Philippines and Vietnam are complementary. In the next reporting period, the Regional Program will explore mechanisms to ensure ongoing alignment of our regional programs with our broader Southeast Asia interests.</w:t>
      </w:r>
    </w:p>
    <w:p w14:paraId="07BD581F" w14:textId="77777777" w:rsidR="00245A37" w:rsidRDefault="00245A37" w:rsidP="00245A37">
      <w:pPr>
        <w:pStyle w:val="Subtitle"/>
        <w:sectPr w:rsidR="00245A37" w:rsidSect="00245A37">
          <w:pgSz w:w="11906" w:h="16838" w:code="9"/>
          <w:pgMar w:top="1952" w:right="1134" w:bottom="851" w:left="1134" w:header="1107" w:footer="567" w:gutter="0"/>
          <w:cols w:space="397"/>
          <w:docGrid w:linePitch="360"/>
        </w:sectPr>
      </w:pPr>
    </w:p>
    <w:p w14:paraId="03961E83" w14:textId="48A89DDF" w:rsidR="00245A37" w:rsidRPr="00C61187" w:rsidRDefault="00245A37" w:rsidP="00245A37">
      <w:pPr>
        <w:pStyle w:val="Subtitle"/>
      </w:pPr>
      <w:r w:rsidRPr="00A8197B">
        <w:lastRenderedPageBreak/>
        <w:t xml:space="preserve">Annex A </w:t>
      </w:r>
      <w:r>
        <w:t>–</w:t>
      </w:r>
      <w:r w:rsidRPr="00A8197B">
        <w:t xml:space="preserve"> Progress in </w:t>
      </w:r>
      <w:r>
        <w:t>Addressing Management Responses</w:t>
      </w:r>
    </w:p>
    <w:tbl>
      <w:tblPr>
        <w:tblStyle w:val="APPR"/>
        <w:tblpPr w:leftFromText="180" w:rightFromText="180" w:vertAnchor="text" w:tblpY="1"/>
        <w:tblW w:w="5072" w:type="pct"/>
        <w:tblLayout w:type="fixed"/>
        <w:tblLook w:val="0000" w:firstRow="0" w:lastRow="0" w:firstColumn="0" w:lastColumn="0" w:noHBand="0" w:noVBand="0"/>
      </w:tblPr>
      <w:tblGrid>
        <w:gridCol w:w="6657"/>
        <w:gridCol w:w="985"/>
        <w:gridCol w:w="6871"/>
      </w:tblGrid>
      <w:tr w:rsidR="00245A37" w:rsidRPr="003B0793" w14:paraId="6CDAA05E" w14:textId="77777777" w:rsidTr="00C45BBC">
        <w:trPr>
          <w:cnfStyle w:val="000000010000" w:firstRow="0" w:lastRow="0" w:firstColumn="0" w:lastColumn="0" w:oddVBand="0" w:evenVBand="0" w:oddHBand="0" w:evenHBand="1" w:firstRowFirstColumn="0" w:firstRowLastColumn="0" w:lastRowFirstColumn="0" w:lastRowLastColumn="0"/>
        </w:trPr>
        <w:tc>
          <w:tcPr>
            <w:tcW w:w="6615" w:type="dxa"/>
          </w:tcPr>
          <w:p w14:paraId="311D3140" w14:textId="77777777" w:rsidR="00245A37" w:rsidRPr="003B0793" w:rsidRDefault="00245A37" w:rsidP="00C45BBC">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 xml:space="preserve">Management responses identified </w:t>
            </w:r>
            <w:r>
              <w:rPr>
                <w:rFonts w:asciiTheme="minorHAnsi" w:eastAsia="Times New Roman" w:hAnsiTheme="minorHAnsi"/>
                <w:b/>
                <w:iCs/>
                <w:szCs w:val="17"/>
                <w:lang w:eastAsia="en-US"/>
              </w:rPr>
              <w:t>covering</w:t>
            </w:r>
            <w:r w:rsidRPr="003B0793">
              <w:rPr>
                <w:rFonts w:asciiTheme="minorHAnsi" w:eastAsia="Times New Roman" w:hAnsiTheme="minorHAnsi"/>
                <w:b/>
                <w:iCs/>
                <w:szCs w:val="17"/>
                <w:lang w:eastAsia="en-US"/>
              </w:rPr>
              <w:t xml:space="preserve"> 201</w:t>
            </w:r>
            <w:r>
              <w:rPr>
                <w:rFonts w:asciiTheme="minorHAnsi" w:eastAsia="Times New Roman" w:hAnsiTheme="minorHAnsi"/>
                <w:b/>
                <w:iCs/>
                <w:szCs w:val="17"/>
                <w:lang w:eastAsia="en-US"/>
              </w:rPr>
              <w:t>5</w:t>
            </w:r>
            <w:r w:rsidRPr="003B0793">
              <w:rPr>
                <w:rFonts w:asciiTheme="minorHAnsi" w:eastAsia="Times New Roman" w:hAnsiTheme="minorHAnsi"/>
                <w:b/>
                <w:iCs/>
                <w:szCs w:val="17"/>
                <w:lang w:eastAsia="en-US"/>
              </w:rPr>
              <w:t>-1</w:t>
            </w:r>
            <w:r>
              <w:rPr>
                <w:rFonts w:asciiTheme="minorHAnsi" w:eastAsia="Times New Roman" w:hAnsiTheme="minorHAnsi"/>
                <w:b/>
                <w:iCs/>
                <w:szCs w:val="17"/>
                <w:lang w:eastAsia="en-US"/>
              </w:rPr>
              <w:t>6</w:t>
            </w:r>
            <w:r w:rsidRPr="003B0793">
              <w:rPr>
                <w:rFonts w:asciiTheme="minorHAnsi" w:eastAsia="Times New Roman" w:hAnsiTheme="minorHAnsi"/>
                <w:b/>
                <w:iCs/>
                <w:szCs w:val="17"/>
                <w:lang w:eastAsia="en-US"/>
              </w:rPr>
              <w:t xml:space="preserve"> APPR</w:t>
            </w:r>
            <w:r w:rsidRPr="003B0793">
              <w:rPr>
                <w:rFonts w:asciiTheme="minorHAnsi" w:eastAsia="Times New Roman" w:hAnsiTheme="minorHAnsi"/>
                <w:b/>
                <w:iCs/>
                <w:szCs w:val="17"/>
                <w:lang w:eastAsia="en-US"/>
              </w:rPr>
              <w:tab/>
            </w:r>
          </w:p>
        </w:tc>
        <w:tc>
          <w:tcPr>
            <w:tcW w:w="957" w:type="dxa"/>
          </w:tcPr>
          <w:p w14:paraId="47F73DCA" w14:textId="77777777" w:rsidR="00245A37" w:rsidRPr="003B0793" w:rsidRDefault="00245A37" w:rsidP="00C45BBC">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Rating</w:t>
            </w:r>
          </w:p>
        </w:tc>
        <w:tc>
          <w:tcPr>
            <w:tcW w:w="6829" w:type="dxa"/>
          </w:tcPr>
          <w:p w14:paraId="730A4A8B" w14:textId="4CE92E44" w:rsidR="00245A37" w:rsidRPr="003B0793" w:rsidRDefault="00245A37" w:rsidP="00755136">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Progress made  in 2015-16</w:t>
            </w:r>
          </w:p>
        </w:tc>
      </w:tr>
      <w:tr w:rsidR="006E39DF" w:rsidRPr="003B0793" w14:paraId="258FD22D" w14:textId="77777777" w:rsidTr="002F390B">
        <w:trPr>
          <w:cnfStyle w:val="000000010000" w:firstRow="0" w:lastRow="0" w:firstColumn="0" w:lastColumn="0" w:oddVBand="0" w:evenVBand="0" w:oddHBand="0" w:evenHBand="1" w:firstRowFirstColumn="0" w:firstRowLastColumn="0" w:lastRowFirstColumn="0" w:lastRowLastColumn="0"/>
        </w:trPr>
        <w:tc>
          <w:tcPr>
            <w:tcW w:w="6615" w:type="dxa"/>
          </w:tcPr>
          <w:p w14:paraId="1A472951" w14:textId="4AE9686A" w:rsidR="006E39DF" w:rsidRPr="00385D3A" w:rsidRDefault="006E39DF" w:rsidP="00A26FD7">
            <w:pPr>
              <w:keepLines/>
              <w:spacing w:before="40" w:after="40" w:line="200" w:lineRule="atLeast"/>
              <w:rPr>
                <w:rFonts w:asciiTheme="minorHAnsi" w:hAnsiTheme="minorHAnsi"/>
                <w:iCs/>
                <w:szCs w:val="17"/>
              </w:rPr>
            </w:pPr>
            <w:r w:rsidRPr="00B0740C">
              <w:rPr>
                <w:rFonts w:asciiTheme="minorHAnsi" w:eastAsia="Times New Roman" w:hAnsiTheme="minorHAnsi"/>
                <w:iCs/>
                <w:szCs w:val="17"/>
                <w:lang w:eastAsia="en-US"/>
              </w:rPr>
              <w:t>Monitor and mitigate risks associated with the changes in the policy objectives and internal management of the program, including:</w:t>
            </w:r>
            <w:r>
              <w:rPr>
                <w:rFonts w:asciiTheme="minorHAnsi" w:eastAsia="Times New Roman" w:hAnsiTheme="minorHAnsi"/>
                <w:iCs/>
                <w:szCs w:val="17"/>
                <w:lang w:eastAsia="en-US"/>
              </w:rPr>
              <w:t xml:space="preserve"> i</w:t>
            </w:r>
            <w:r w:rsidRPr="00B0740C">
              <w:rPr>
                <w:rFonts w:asciiTheme="minorHAnsi" w:hAnsiTheme="minorHAnsi"/>
                <w:iCs/>
                <w:szCs w:val="17"/>
              </w:rPr>
              <w:t>mproving the PAF to ensure targets are accurate and in-line with program priorities</w:t>
            </w:r>
            <w:r>
              <w:rPr>
                <w:rFonts w:asciiTheme="minorHAnsi" w:hAnsiTheme="minorHAnsi"/>
                <w:iCs/>
                <w:szCs w:val="17"/>
              </w:rPr>
              <w:t>; a</w:t>
            </w:r>
            <w:r w:rsidRPr="00B0740C">
              <w:rPr>
                <w:rFonts w:asciiTheme="minorHAnsi" w:hAnsiTheme="minorHAnsi"/>
                <w:iCs/>
                <w:szCs w:val="17"/>
              </w:rPr>
              <w:t xml:space="preserve"> Regional Gender Action Plan which outlines targets and actions to support the implementation of the AIP</w:t>
            </w:r>
            <w:r>
              <w:rPr>
                <w:rFonts w:asciiTheme="minorHAnsi" w:hAnsiTheme="minorHAnsi"/>
                <w:iCs/>
                <w:szCs w:val="17"/>
              </w:rPr>
              <w:t>; a</w:t>
            </w:r>
            <w:r w:rsidRPr="00B0740C">
              <w:rPr>
                <w:rFonts w:asciiTheme="minorHAnsi" w:hAnsiTheme="minorHAnsi"/>
                <w:iCs/>
                <w:szCs w:val="17"/>
              </w:rPr>
              <w:t xml:space="preserve"> communications strategy for the AIP which enables regular dialogue with bilateral Posts in the region</w:t>
            </w:r>
            <w:r>
              <w:rPr>
                <w:rFonts w:asciiTheme="minorHAnsi" w:hAnsiTheme="minorHAnsi"/>
                <w:iCs/>
                <w:szCs w:val="17"/>
              </w:rPr>
              <w:t>; s</w:t>
            </w:r>
            <w:r w:rsidRPr="00385D3A">
              <w:rPr>
                <w:rFonts w:asciiTheme="minorHAnsi" w:hAnsiTheme="minorHAnsi"/>
                <w:iCs/>
                <w:szCs w:val="17"/>
              </w:rPr>
              <w:t>trengthening communication on the breadth and depth of Australia’s water engagement in the Mekong region.</w:t>
            </w:r>
          </w:p>
        </w:tc>
        <w:tc>
          <w:tcPr>
            <w:tcW w:w="957" w:type="dxa"/>
            <w:shd w:val="clear" w:color="auto" w:fill="FF822D"/>
          </w:tcPr>
          <w:p w14:paraId="3708C2F2" w14:textId="51839545" w:rsidR="006E39DF" w:rsidRPr="003B0793" w:rsidRDefault="0047482A" w:rsidP="0047482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w:t>
            </w:r>
            <w:r w:rsidR="006E39DF">
              <w:rPr>
                <w:rFonts w:asciiTheme="minorHAnsi" w:eastAsia="Times New Roman" w:hAnsiTheme="minorHAnsi"/>
                <w:iCs/>
                <w:color w:val="FFFFFF" w:themeColor="background1"/>
                <w:szCs w:val="17"/>
                <w:lang w:eastAsia="en-US"/>
              </w:rPr>
              <w:t>chieved</w:t>
            </w:r>
          </w:p>
        </w:tc>
        <w:tc>
          <w:tcPr>
            <w:tcW w:w="6829" w:type="dxa"/>
          </w:tcPr>
          <w:p w14:paraId="309D81F8" w14:textId="25D7FBAD" w:rsidR="006E39DF" w:rsidRPr="001E4EA4" w:rsidRDefault="006E39DF" w:rsidP="00FD5EC4">
            <w:pPr>
              <w:keepLines/>
              <w:spacing w:before="40" w:after="40" w:line="200" w:lineRule="atLeast"/>
              <w:rPr>
                <w:rFonts w:asciiTheme="minorHAnsi" w:eastAsia="Times New Roman" w:hAnsiTheme="minorHAnsi"/>
                <w:iCs/>
                <w:szCs w:val="17"/>
                <w:lang w:val="en-AU" w:eastAsia="en-US"/>
              </w:rPr>
            </w:pPr>
            <w:r>
              <w:rPr>
                <w:rFonts w:asciiTheme="minorHAnsi" w:eastAsia="Times New Roman" w:hAnsiTheme="minorHAnsi"/>
                <w:iCs/>
                <w:szCs w:val="17"/>
                <w:lang w:eastAsia="en-US"/>
              </w:rPr>
              <w:t>R</w:t>
            </w:r>
            <w:r w:rsidRPr="00B0740C">
              <w:rPr>
                <w:rFonts w:asciiTheme="minorHAnsi" w:eastAsia="Times New Roman" w:hAnsiTheme="minorHAnsi"/>
                <w:iCs/>
                <w:szCs w:val="17"/>
                <w:lang w:eastAsia="en-US"/>
              </w:rPr>
              <w:t>isk register</w:t>
            </w:r>
            <w:r>
              <w:rPr>
                <w:rFonts w:asciiTheme="minorHAnsi" w:eastAsia="Times New Roman" w:hAnsiTheme="minorHAnsi"/>
                <w:iCs/>
                <w:szCs w:val="17"/>
                <w:lang w:eastAsia="en-US"/>
              </w:rPr>
              <w:t xml:space="preserve">s are </w:t>
            </w:r>
            <w:r w:rsidRPr="00B0740C">
              <w:rPr>
                <w:rFonts w:asciiTheme="minorHAnsi" w:eastAsia="Times New Roman" w:hAnsiTheme="minorHAnsi"/>
                <w:iCs/>
                <w:szCs w:val="17"/>
                <w:lang w:eastAsia="en-US"/>
              </w:rPr>
              <w:t>reviewed quarterly</w:t>
            </w:r>
            <w:r>
              <w:rPr>
                <w:rFonts w:asciiTheme="minorHAnsi" w:eastAsia="Times New Roman" w:hAnsiTheme="minorHAnsi"/>
                <w:iCs/>
                <w:szCs w:val="17"/>
                <w:lang w:eastAsia="en-US"/>
              </w:rPr>
              <w:t xml:space="preserve"> and h</w:t>
            </w:r>
            <w:r w:rsidRPr="00B0740C">
              <w:rPr>
                <w:rFonts w:asciiTheme="minorHAnsi" w:eastAsia="Times New Roman" w:hAnsiTheme="minorHAnsi"/>
                <w:iCs/>
                <w:szCs w:val="17"/>
                <w:lang w:eastAsia="en-US"/>
              </w:rPr>
              <w:t>igh level risks elevated to Senior Management</w:t>
            </w:r>
            <w:r>
              <w:rPr>
                <w:rFonts w:asciiTheme="minorHAnsi" w:eastAsia="Times New Roman" w:hAnsiTheme="minorHAnsi"/>
                <w:iCs/>
                <w:szCs w:val="17"/>
                <w:lang w:eastAsia="en-US"/>
              </w:rPr>
              <w:t xml:space="preserve"> as necessary.</w:t>
            </w:r>
            <w:r w:rsidRPr="00B0740C">
              <w:rPr>
                <w:rFonts w:asciiTheme="minorHAnsi" w:eastAsia="Times New Roman" w:hAnsiTheme="minorHAnsi"/>
                <w:iCs/>
                <w:szCs w:val="17"/>
                <w:lang w:eastAsia="en-US"/>
              </w:rPr>
              <w:t xml:space="preserve"> </w:t>
            </w:r>
            <w:r w:rsidRPr="00944C6E">
              <w:rPr>
                <w:rFonts w:asciiTheme="minorHAnsi" w:eastAsia="Times New Roman" w:hAnsiTheme="minorHAnsi"/>
                <w:iCs/>
                <w:szCs w:val="17"/>
                <w:lang w:eastAsia="en-US"/>
              </w:rPr>
              <w:t xml:space="preserve">PAF was revised and </w:t>
            </w:r>
            <w:r>
              <w:rPr>
                <w:rFonts w:asciiTheme="minorHAnsi" w:eastAsia="Times New Roman" w:hAnsiTheme="minorHAnsi"/>
                <w:iCs/>
                <w:szCs w:val="17"/>
                <w:lang w:eastAsia="en-US"/>
              </w:rPr>
              <w:t>aligned to</w:t>
            </w:r>
            <w:r w:rsidRPr="00944C6E">
              <w:rPr>
                <w:rFonts w:asciiTheme="minorHAnsi" w:eastAsia="Times New Roman" w:hAnsiTheme="minorHAnsi"/>
                <w:iCs/>
                <w:szCs w:val="17"/>
                <w:lang w:eastAsia="en-US"/>
              </w:rPr>
              <w:t xml:space="preserve"> M&amp;E systems to allow for more streamlined and robust reporting against performance benchmarks. A regional gender action plan outline has been developed which r</w:t>
            </w:r>
            <w:r>
              <w:rPr>
                <w:rFonts w:asciiTheme="minorHAnsi" w:eastAsia="Times New Roman" w:hAnsiTheme="minorHAnsi"/>
                <w:iCs/>
                <w:szCs w:val="17"/>
                <w:lang w:eastAsia="en-US"/>
              </w:rPr>
              <w:t>eflects strategic level targets and</w:t>
            </w:r>
            <w:r w:rsidRPr="00944C6E">
              <w:rPr>
                <w:rFonts w:asciiTheme="minorHAnsi" w:eastAsia="Times New Roman" w:hAnsiTheme="minorHAnsi"/>
                <w:iCs/>
                <w:szCs w:val="17"/>
                <w:lang w:eastAsia="en-US"/>
              </w:rPr>
              <w:t xml:space="preserve"> will be further refined in 2016. A quarterly update report and a brochure to promote the regional aid program</w:t>
            </w:r>
            <w:r>
              <w:rPr>
                <w:rFonts w:asciiTheme="minorHAnsi" w:eastAsia="Times New Roman" w:hAnsiTheme="minorHAnsi"/>
                <w:iCs/>
                <w:szCs w:val="17"/>
                <w:lang w:eastAsia="en-US"/>
              </w:rPr>
              <w:t xml:space="preserve"> have been produced</w:t>
            </w:r>
            <w:r w:rsidRPr="00944C6E">
              <w:rPr>
                <w:rFonts w:asciiTheme="minorHAnsi" w:eastAsia="Times New Roman" w:hAnsiTheme="minorHAnsi"/>
                <w:iCs/>
                <w:szCs w:val="17"/>
                <w:lang w:eastAsia="en-US"/>
              </w:rPr>
              <w:t xml:space="preserve">. </w:t>
            </w:r>
            <w:r w:rsidR="001E4EA4">
              <w:rPr>
                <w:rFonts w:asciiTheme="minorHAnsi" w:eastAsia="Times New Roman" w:hAnsiTheme="minorHAnsi"/>
                <w:iCs/>
                <w:szCs w:val="17"/>
                <w:lang w:eastAsia="en-US"/>
              </w:rPr>
              <w:t xml:space="preserve">A regional communications strategy and diplomatic strategy to </w:t>
            </w:r>
            <w:r w:rsidR="00FD5EC4">
              <w:rPr>
                <w:rFonts w:asciiTheme="minorHAnsi" w:eastAsia="Times New Roman" w:hAnsiTheme="minorHAnsi"/>
                <w:iCs/>
                <w:szCs w:val="17"/>
                <w:lang w:eastAsia="en-US"/>
              </w:rPr>
              <w:t xml:space="preserve">complement </w:t>
            </w:r>
            <w:r w:rsidR="001E4EA4">
              <w:rPr>
                <w:rFonts w:asciiTheme="minorHAnsi" w:eastAsia="Times New Roman" w:hAnsiTheme="minorHAnsi"/>
                <w:iCs/>
                <w:szCs w:val="17"/>
                <w:lang w:eastAsia="en-US"/>
              </w:rPr>
              <w:t xml:space="preserve">the </w:t>
            </w:r>
            <w:r w:rsidR="00FD5EC4">
              <w:rPr>
                <w:rFonts w:asciiTheme="minorHAnsi" w:eastAsia="Times New Roman" w:hAnsiTheme="minorHAnsi"/>
                <w:iCs/>
                <w:szCs w:val="17"/>
                <w:lang w:eastAsia="en-US"/>
              </w:rPr>
              <w:t>GMWRP</w:t>
            </w:r>
            <w:r w:rsidR="001E4EA4">
              <w:rPr>
                <w:rFonts w:asciiTheme="minorHAnsi" w:eastAsia="Times New Roman" w:hAnsiTheme="minorHAnsi"/>
                <w:iCs/>
                <w:szCs w:val="17"/>
                <w:lang w:eastAsia="en-US"/>
              </w:rPr>
              <w:t xml:space="preserve"> are both underway.</w:t>
            </w:r>
          </w:p>
        </w:tc>
      </w:tr>
      <w:tr w:rsidR="006E39DF" w:rsidRPr="003B0793" w14:paraId="11E55F21" w14:textId="77777777" w:rsidTr="006E39DF">
        <w:trPr>
          <w:cnfStyle w:val="000000010000" w:firstRow="0" w:lastRow="0" w:firstColumn="0" w:lastColumn="0" w:oddVBand="0" w:evenVBand="0" w:oddHBand="0" w:evenHBand="1" w:firstRowFirstColumn="0" w:firstRowLastColumn="0" w:lastRowFirstColumn="0" w:lastRowLastColumn="0"/>
        </w:trPr>
        <w:tc>
          <w:tcPr>
            <w:tcW w:w="6615" w:type="dxa"/>
          </w:tcPr>
          <w:p w14:paraId="197EBBFA" w14:textId="2AE48265" w:rsidR="006E39DF" w:rsidRPr="00B0740C" w:rsidRDefault="006E39DF" w:rsidP="006E39DF">
            <w:pPr>
              <w:keepLines/>
              <w:spacing w:before="40" w:after="40" w:line="200" w:lineRule="atLeast"/>
              <w:rPr>
                <w:rFonts w:asciiTheme="minorHAnsi" w:eastAsia="Times New Roman" w:hAnsiTheme="minorHAnsi"/>
                <w:iCs/>
                <w:szCs w:val="17"/>
                <w:lang w:eastAsia="en-US"/>
              </w:rPr>
            </w:pPr>
            <w:r w:rsidRPr="00B0740C">
              <w:rPr>
                <w:rFonts w:asciiTheme="minorHAnsi" w:eastAsia="Times New Roman" w:hAnsiTheme="minorHAnsi"/>
                <w:iCs/>
                <w:szCs w:val="17"/>
                <w:lang w:eastAsia="en-US"/>
              </w:rPr>
              <w:t>Maintain resources to enable strong policy dialogue with partners, which contribute to informing the broader development policy context and influencing the implementation of investments.</w:t>
            </w:r>
          </w:p>
        </w:tc>
        <w:tc>
          <w:tcPr>
            <w:tcW w:w="957" w:type="dxa"/>
            <w:shd w:val="clear" w:color="auto" w:fill="7FB64D" w:themeFill="accent3" w:themeFillShade="BF"/>
          </w:tcPr>
          <w:p w14:paraId="2DFE1F11" w14:textId="7416B83C" w:rsidR="006E39DF" w:rsidRPr="003B0793" w:rsidRDefault="006E39DF" w:rsidP="006E39DF">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829" w:type="dxa"/>
          </w:tcPr>
          <w:p w14:paraId="08FAA054" w14:textId="0A01080A" w:rsidR="006E39DF" w:rsidRPr="00944C6E" w:rsidRDefault="006E39DF" w:rsidP="006E39DF">
            <w:pPr>
              <w:keepLines/>
              <w:spacing w:before="40" w:after="40" w:line="200" w:lineRule="atLeast"/>
              <w:rPr>
                <w:rFonts w:asciiTheme="minorHAnsi" w:eastAsia="Times New Roman" w:hAnsiTheme="minorHAnsi"/>
                <w:iCs/>
                <w:szCs w:val="17"/>
                <w:lang w:eastAsia="en-US"/>
              </w:rPr>
            </w:pPr>
            <w:r w:rsidRPr="00944C6E">
              <w:rPr>
                <w:rFonts w:asciiTheme="minorHAnsi" w:eastAsia="Times New Roman" w:hAnsiTheme="minorHAnsi"/>
                <w:iCs/>
                <w:szCs w:val="17"/>
                <w:lang w:eastAsia="en-US"/>
              </w:rPr>
              <w:t xml:space="preserve">The integration of the ASEAN Mission in Jakarta and Sub-regional Office in Bangkok has improved capacity for </w:t>
            </w:r>
            <w:r>
              <w:rPr>
                <w:rFonts w:asciiTheme="minorHAnsi" w:eastAsia="Times New Roman" w:hAnsiTheme="minorHAnsi"/>
                <w:iCs/>
                <w:szCs w:val="17"/>
                <w:lang w:eastAsia="en-US"/>
              </w:rPr>
              <w:t xml:space="preserve">development </w:t>
            </w:r>
            <w:r w:rsidRPr="00944C6E">
              <w:rPr>
                <w:rFonts w:asciiTheme="minorHAnsi" w:eastAsia="Times New Roman" w:hAnsiTheme="minorHAnsi"/>
                <w:iCs/>
                <w:szCs w:val="17"/>
                <w:lang w:eastAsia="en-US"/>
              </w:rPr>
              <w:t>policy dialogue</w:t>
            </w:r>
            <w:r>
              <w:rPr>
                <w:rFonts w:asciiTheme="minorHAnsi" w:eastAsia="Times New Roman" w:hAnsiTheme="minorHAnsi"/>
                <w:iCs/>
                <w:szCs w:val="17"/>
                <w:lang w:eastAsia="en-US"/>
              </w:rPr>
              <w:t xml:space="preserve"> internally and with partners</w:t>
            </w:r>
            <w:r w:rsidRPr="00944C6E">
              <w:rPr>
                <w:rFonts w:asciiTheme="minorHAnsi" w:eastAsia="Times New Roman" w:hAnsiTheme="minorHAnsi"/>
                <w:iCs/>
                <w:szCs w:val="17"/>
                <w:lang w:eastAsia="en-US"/>
              </w:rPr>
              <w:t xml:space="preserve">. AADCP II contributed to substantial policy dialogue </w:t>
            </w:r>
            <w:r>
              <w:rPr>
                <w:rFonts w:asciiTheme="minorHAnsi" w:eastAsia="Times New Roman" w:hAnsiTheme="minorHAnsi"/>
                <w:iCs/>
                <w:szCs w:val="17"/>
                <w:lang w:eastAsia="en-US"/>
              </w:rPr>
              <w:t>with ASEAN on its</w:t>
            </w:r>
            <w:r w:rsidRPr="00944C6E">
              <w:rPr>
                <w:rFonts w:asciiTheme="minorHAnsi" w:eastAsia="Times New Roman" w:hAnsiTheme="minorHAnsi"/>
                <w:iCs/>
                <w:szCs w:val="17"/>
                <w:lang w:eastAsia="en-US"/>
              </w:rPr>
              <w:t xml:space="preserve"> connectivity plans. AECSP continued to support increased policy dialogue on a range of key trade issues relating to AANZFTA implementation.</w:t>
            </w:r>
          </w:p>
        </w:tc>
      </w:tr>
      <w:tr w:rsidR="006E39DF" w:rsidRPr="003B0793" w14:paraId="57EB0C8F" w14:textId="77777777" w:rsidTr="00C45BBC">
        <w:trPr>
          <w:cnfStyle w:val="000000010000" w:firstRow="0" w:lastRow="0" w:firstColumn="0" w:lastColumn="0" w:oddVBand="0" w:evenVBand="0" w:oddHBand="0" w:evenHBand="1" w:firstRowFirstColumn="0" w:firstRowLastColumn="0" w:lastRowFirstColumn="0" w:lastRowLastColumn="0"/>
        </w:trPr>
        <w:tc>
          <w:tcPr>
            <w:tcW w:w="6615" w:type="dxa"/>
          </w:tcPr>
          <w:p w14:paraId="277F39B3" w14:textId="1828EC19" w:rsidR="006E39DF" w:rsidRPr="003B0793" w:rsidRDefault="006E39DF" w:rsidP="006E39DF">
            <w:pPr>
              <w:keepLines/>
              <w:spacing w:before="40" w:after="40" w:line="200" w:lineRule="atLeast"/>
              <w:rPr>
                <w:rFonts w:asciiTheme="minorHAnsi" w:eastAsia="Times New Roman" w:hAnsiTheme="minorHAnsi"/>
                <w:iCs/>
                <w:szCs w:val="17"/>
                <w:lang w:eastAsia="en-US"/>
              </w:rPr>
            </w:pPr>
            <w:r w:rsidRPr="004156FB">
              <w:rPr>
                <w:rFonts w:asciiTheme="minorHAnsi" w:eastAsia="Times New Roman" w:hAnsiTheme="minorHAnsi"/>
                <w:iCs/>
                <w:szCs w:val="17"/>
                <w:lang w:eastAsia="en-US"/>
              </w:rPr>
              <w:t>Strengthen investment level M&amp;E tools to ensure programs can explain progress towards outcomes (AECSP; TRIANGLE</w:t>
            </w:r>
            <w:r>
              <w:rPr>
                <w:rFonts w:asciiTheme="minorHAnsi" w:eastAsia="Times New Roman" w:hAnsiTheme="minorHAnsi"/>
                <w:iCs/>
                <w:szCs w:val="17"/>
                <w:lang w:eastAsia="en-US"/>
              </w:rPr>
              <w:t xml:space="preserve"> II</w:t>
            </w:r>
            <w:r w:rsidRPr="004156FB">
              <w:rPr>
                <w:rFonts w:asciiTheme="minorHAnsi" w:eastAsia="Times New Roman" w:hAnsiTheme="minorHAnsi"/>
                <w:iCs/>
                <w:szCs w:val="17"/>
                <w:lang w:eastAsia="en-US"/>
              </w:rPr>
              <w:t>; AAPTIP)</w:t>
            </w:r>
          </w:p>
        </w:tc>
        <w:tc>
          <w:tcPr>
            <w:tcW w:w="957" w:type="dxa"/>
            <w:shd w:val="clear" w:color="auto" w:fill="7FB64D" w:themeFill="accent3" w:themeFillShade="BF"/>
          </w:tcPr>
          <w:p w14:paraId="56D55128" w14:textId="22A73E29" w:rsidR="006E39DF" w:rsidRPr="003B0793" w:rsidRDefault="006E39DF" w:rsidP="006E39DF">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829" w:type="dxa"/>
          </w:tcPr>
          <w:p w14:paraId="50975029" w14:textId="2D8C2F03" w:rsidR="006E39DF" w:rsidRPr="00334D9A" w:rsidRDefault="006E39DF" w:rsidP="006E39D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F</w:t>
            </w:r>
            <w:r w:rsidRPr="00F64F12">
              <w:rPr>
                <w:rFonts w:asciiTheme="minorHAnsi" w:eastAsia="Times New Roman" w:hAnsiTheme="minorHAnsi"/>
                <w:iCs/>
                <w:szCs w:val="17"/>
                <w:lang w:eastAsia="en-US"/>
              </w:rPr>
              <w:t>ull</w:t>
            </w:r>
            <w:r>
              <w:rPr>
                <w:rFonts w:asciiTheme="minorHAnsi" w:eastAsia="Times New Roman" w:hAnsiTheme="minorHAnsi"/>
                <w:iCs/>
                <w:szCs w:val="17"/>
                <w:lang w:eastAsia="en-US"/>
              </w:rPr>
              <w:t>-</w:t>
            </w:r>
            <w:r w:rsidRPr="00F64F12">
              <w:rPr>
                <w:rFonts w:asciiTheme="minorHAnsi" w:eastAsia="Times New Roman" w:hAnsiTheme="minorHAnsi"/>
                <w:iCs/>
                <w:szCs w:val="17"/>
                <w:lang w:eastAsia="en-US"/>
              </w:rPr>
              <w:t>time M&amp;E officer</w:t>
            </w:r>
            <w:r>
              <w:rPr>
                <w:rFonts w:asciiTheme="minorHAnsi" w:eastAsia="Times New Roman" w:hAnsiTheme="minorHAnsi"/>
                <w:iCs/>
                <w:szCs w:val="17"/>
                <w:lang w:eastAsia="en-US"/>
              </w:rPr>
              <w:t>s were</w:t>
            </w:r>
            <w:r w:rsidRPr="00F64F12">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appointed to TRIANGLE II, AAPTIP and AECSP</w:t>
            </w:r>
            <w:r w:rsidRPr="00F64F12">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Following a recommendation in the </w:t>
            </w:r>
            <w:r w:rsidRPr="00F64F12">
              <w:rPr>
                <w:rFonts w:asciiTheme="minorHAnsi" w:eastAsia="Times New Roman" w:hAnsiTheme="minorHAnsi"/>
                <w:iCs/>
                <w:szCs w:val="17"/>
                <w:lang w:eastAsia="en-US"/>
              </w:rPr>
              <w:t>mid-term review</w:t>
            </w:r>
            <w:r>
              <w:rPr>
                <w:rFonts w:asciiTheme="minorHAnsi" w:eastAsia="Times New Roman" w:hAnsiTheme="minorHAnsi"/>
                <w:iCs/>
                <w:szCs w:val="17"/>
                <w:lang w:eastAsia="en-US"/>
              </w:rPr>
              <w:t>,</w:t>
            </w:r>
            <w:r w:rsidRPr="00F64F12">
              <w:rPr>
                <w:rFonts w:asciiTheme="minorHAnsi" w:eastAsia="Times New Roman" w:hAnsiTheme="minorHAnsi"/>
                <w:iCs/>
                <w:szCs w:val="17"/>
                <w:lang w:eastAsia="en-US"/>
              </w:rPr>
              <w:t xml:space="preserve"> AAPTIP is reviewing </w:t>
            </w:r>
            <w:r>
              <w:rPr>
                <w:rFonts w:asciiTheme="minorHAnsi" w:eastAsia="Times New Roman" w:hAnsiTheme="minorHAnsi"/>
                <w:iCs/>
                <w:szCs w:val="17"/>
                <w:lang w:eastAsia="en-US"/>
              </w:rPr>
              <w:t xml:space="preserve">and simplifying </w:t>
            </w:r>
            <w:r w:rsidRPr="00F64F12">
              <w:rPr>
                <w:rFonts w:asciiTheme="minorHAnsi" w:eastAsia="Times New Roman" w:hAnsiTheme="minorHAnsi"/>
                <w:iCs/>
                <w:szCs w:val="17"/>
                <w:lang w:eastAsia="en-US"/>
              </w:rPr>
              <w:t>M&amp;E processes</w:t>
            </w:r>
            <w:r>
              <w:rPr>
                <w:rFonts w:asciiTheme="minorHAnsi" w:eastAsia="Times New Roman" w:hAnsiTheme="minorHAnsi"/>
                <w:iCs/>
                <w:szCs w:val="17"/>
                <w:lang w:eastAsia="en-US"/>
              </w:rPr>
              <w:t xml:space="preserve">. </w:t>
            </w:r>
            <w:r w:rsidRPr="00AE2169">
              <w:rPr>
                <w:rFonts w:asciiTheme="minorHAnsi" w:eastAsia="Times New Roman" w:hAnsiTheme="minorHAnsi"/>
                <w:iCs/>
                <w:szCs w:val="17"/>
                <w:lang w:eastAsia="en-US"/>
              </w:rPr>
              <w:t>AECSP developed a</w:t>
            </w:r>
            <w:r>
              <w:rPr>
                <w:rFonts w:asciiTheme="minorHAnsi" w:eastAsia="Times New Roman" w:hAnsiTheme="minorHAnsi"/>
                <w:iCs/>
                <w:szCs w:val="17"/>
                <w:lang w:eastAsia="en-US"/>
              </w:rPr>
              <w:t xml:space="preserve"> new</w:t>
            </w:r>
            <w:r w:rsidRPr="00AE2169">
              <w:rPr>
                <w:rFonts w:asciiTheme="minorHAnsi" w:eastAsia="Times New Roman" w:hAnsiTheme="minorHAnsi"/>
                <w:iCs/>
                <w:szCs w:val="17"/>
                <w:lang w:eastAsia="en-US"/>
              </w:rPr>
              <w:t xml:space="preserve"> M&amp;E plan</w:t>
            </w:r>
            <w:r>
              <w:rPr>
                <w:rFonts w:asciiTheme="minorHAnsi" w:eastAsia="Times New Roman" w:hAnsiTheme="minorHAnsi"/>
                <w:iCs/>
                <w:szCs w:val="17"/>
                <w:lang w:eastAsia="en-US"/>
              </w:rPr>
              <w:t xml:space="preserve"> with the </w:t>
            </w:r>
            <w:r w:rsidRPr="00AE2169">
              <w:rPr>
                <w:rFonts w:asciiTheme="minorHAnsi" w:eastAsia="Times New Roman" w:hAnsiTheme="minorHAnsi"/>
                <w:iCs/>
                <w:szCs w:val="17"/>
                <w:lang w:eastAsia="en-US"/>
              </w:rPr>
              <w:t xml:space="preserve">first monitoring exercise conducted in May 2016. </w:t>
            </w:r>
          </w:p>
        </w:tc>
      </w:tr>
      <w:tr w:rsidR="006E39DF" w:rsidRPr="003B0793" w14:paraId="0F70947C" w14:textId="77777777" w:rsidTr="00C45BBC">
        <w:trPr>
          <w:cnfStyle w:val="000000010000" w:firstRow="0" w:lastRow="0" w:firstColumn="0" w:lastColumn="0" w:oddVBand="0" w:evenVBand="0" w:oddHBand="0" w:evenHBand="1" w:firstRowFirstColumn="0" w:firstRowLastColumn="0" w:lastRowFirstColumn="0" w:lastRowLastColumn="0"/>
        </w:trPr>
        <w:tc>
          <w:tcPr>
            <w:tcW w:w="6615" w:type="dxa"/>
          </w:tcPr>
          <w:p w14:paraId="6F4DB7B7" w14:textId="394AD391" w:rsidR="006E39DF" w:rsidRPr="003B0793" w:rsidRDefault="006E39DF" w:rsidP="006E39DF">
            <w:pPr>
              <w:keepLines/>
              <w:spacing w:before="40" w:after="40" w:line="200" w:lineRule="atLeast"/>
              <w:rPr>
                <w:rFonts w:asciiTheme="minorHAnsi" w:eastAsia="Times New Roman" w:hAnsiTheme="minorHAnsi"/>
                <w:iCs/>
                <w:szCs w:val="17"/>
                <w:lang w:eastAsia="en-US"/>
              </w:rPr>
            </w:pPr>
            <w:r w:rsidRPr="004156FB">
              <w:rPr>
                <w:rFonts w:asciiTheme="minorHAnsi" w:eastAsia="Times New Roman" w:hAnsiTheme="minorHAnsi"/>
                <w:iCs/>
                <w:szCs w:val="17"/>
                <w:lang w:eastAsia="en-US"/>
              </w:rPr>
              <w:t xml:space="preserve">Explore private sector linkages with all investments. This includes building on existing efforts to forge working relationships between the SHIFT Program, the MBI, and the Australian and ASEAN financial services sector. </w:t>
            </w:r>
          </w:p>
        </w:tc>
        <w:tc>
          <w:tcPr>
            <w:tcW w:w="957" w:type="dxa"/>
            <w:shd w:val="clear" w:color="auto" w:fill="7FB64D" w:themeFill="accent3" w:themeFillShade="BF"/>
          </w:tcPr>
          <w:p w14:paraId="138DEBA8" w14:textId="3EF58B36" w:rsidR="006E39DF" w:rsidRPr="003B0793" w:rsidRDefault="006E39DF" w:rsidP="006E39DF">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829" w:type="dxa"/>
          </w:tcPr>
          <w:p w14:paraId="46964F64" w14:textId="29CBC994" w:rsidR="006E39DF" w:rsidRPr="00AE2169" w:rsidRDefault="006E39DF" w:rsidP="006E39DF">
            <w:pPr>
              <w:keepLines/>
              <w:spacing w:before="40" w:after="40" w:line="200" w:lineRule="atLeast"/>
              <w:rPr>
                <w:rFonts w:asciiTheme="minorHAnsi" w:eastAsia="Times New Roman" w:hAnsiTheme="minorHAnsi"/>
                <w:iCs/>
                <w:szCs w:val="17"/>
                <w:lang w:eastAsia="en-US"/>
              </w:rPr>
            </w:pPr>
            <w:r w:rsidRPr="00AE2169">
              <w:rPr>
                <w:rFonts w:asciiTheme="minorHAnsi" w:eastAsia="Times New Roman" w:hAnsiTheme="minorHAnsi"/>
                <w:iCs/>
                <w:szCs w:val="17"/>
                <w:lang w:eastAsia="en-US"/>
              </w:rPr>
              <w:t>More than 600 copies of the ASEAN Investment Report distributed to ASEAN Chambers of Commerce, Business Advisory Councils, and private sector entities.</w:t>
            </w:r>
            <w:r>
              <w:rPr>
                <w:rFonts w:asciiTheme="minorHAnsi" w:eastAsia="Times New Roman" w:hAnsiTheme="minorHAnsi"/>
                <w:iCs/>
                <w:szCs w:val="17"/>
                <w:lang w:eastAsia="en-US"/>
              </w:rPr>
              <w:t xml:space="preserve"> </w:t>
            </w:r>
            <w:r w:rsidRPr="00AE2169">
              <w:rPr>
                <w:rFonts w:asciiTheme="minorHAnsi" w:eastAsia="Times New Roman" w:hAnsiTheme="minorHAnsi"/>
                <w:iCs/>
                <w:szCs w:val="17"/>
                <w:lang w:eastAsia="en-US"/>
              </w:rPr>
              <w:t>AADCP II facilitated regional dialogue on the AEC with private sector actors.</w:t>
            </w:r>
            <w:r>
              <w:rPr>
                <w:rFonts w:asciiTheme="minorHAnsi" w:eastAsia="Times New Roman" w:hAnsiTheme="minorHAnsi"/>
                <w:iCs/>
                <w:szCs w:val="17"/>
                <w:lang w:eastAsia="en-US"/>
              </w:rPr>
              <w:t xml:space="preserve"> MBI established 18 projects promoting private sector development and held a joint event with SHIFT. </w:t>
            </w:r>
          </w:p>
        </w:tc>
      </w:tr>
      <w:tr w:rsidR="006E39DF" w:rsidRPr="003B0793" w14:paraId="2E23A086" w14:textId="77777777" w:rsidTr="002F390B">
        <w:trPr>
          <w:cnfStyle w:val="000000010000" w:firstRow="0" w:lastRow="0" w:firstColumn="0" w:lastColumn="0" w:oddVBand="0" w:evenVBand="0" w:oddHBand="0" w:evenHBand="1" w:firstRowFirstColumn="0" w:firstRowLastColumn="0" w:lastRowFirstColumn="0" w:lastRowLastColumn="0"/>
        </w:trPr>
        <w:tc>
          <w:tcPr>
            <w:tcW w:w="6615" w:type="dxa"/>
          </w:tcPr>
          <w:p w14:paraId="6CFD14C3" w14:textId="7016F4EA" w:rsidR="006E39DF" w:rsidRPr="003B0793" w:rsidRDefault="006E39DF" w:rsidP="006E39DF">
            <w:pPr>
              <w:keepLines/>
              <w:spacing w:before="40" w:after="40" w:line="200" w:lineRule="atLeast"/>
              <w:rPr>
                <w:rFonts w:asciiTheme="minorHAnsi" w:eastAsia="Times New Roman" w:hAnsiTheme="minorHAnsi"/>
                <w:iCs/>
                <w:szCs w:val="17"/>
                <w:lang w:eastAsia="en-US"/>
              </w:rPr>
            </w:pPr>
            <w:r w:rsidRPr="004156FB">
              <w:rPr>
                <w:rFonts w:asciiTheme="minorHAnsi" w:eastAsia="Times New Roman" w:hAnsiTheme="minorHAnsi"/>
                <w:iCs/>
                <w:szCs w:val="17"/>
                <w:lang w:eastAsia="en-US"/>
              </w:rPr>
              <w:t>Continue to improve the integration of appropriate gender equality interventions into all programs, noting the need for pragmatism.</w:t>
            </w:r>
          </w:p>
        </w:tc>
        <w:tc>
          <w:tcPr>
            <w:tcW w:w="957" w:type="dxa"/>
            <w:shd w:val="clear" w:color="auto" w:fill="FF822D"/>
          </w:tcPr>
          <w:p w14:paraId="44127420" w14:textId="5A7A6494" w:rsidR="006E39DF" w:rsidRPr="003B0793" w:rsidRDefault="002F390B" w:rsidP="002F390B">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w:t>
            </w:r>
            <w:r w:rsidR="006E39DF">
              <w:rPr>
                <w:rFonts w:asciiTheme="minorHAnsi" w:eastAsia="Times New Roman" w:hAnsiTheme="minorHAnsi"/>
                <w:iCs/>
                <w:color w:val="FFFFFF" w:themeColor="background1"/>
                <w:szCs w:val="17"/>
                <w:lang w:eastAsia="en-US"/>
              </w:rPr>
              <w:t>chieved</w:t>
            </w:r>
          </w:p>
        </w:tc>
        <w:tc>
          <w:tcPr>
            <w:tcW w:w="6829" w:type="dxa"/>
          </w:tcPr>
          <w:p w14:paraId="12FDD010" w14:textId="00BA85E2" w:rsidR="006E39DF" w:rsidRPr="00944C6E" w:rsidRDefault="002F390B" w:rsidP="002F390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71 per cent of investments met the target for effectively addressing gender issues in their implementation, an improvement on 2014-15. T</w:t>
            </w:r>
            <w:r w:rsidR="006E39DF">
              <w:rPr>
                <w:rFonts w:asciiTheme="minorHAnsi" w:eastAsia="Times New Roman" w:hAnsiTheme="minorHAnsi"/>
                <w:iCs/>
                <w:szCs w:val="17"/>
                <w:lang w:eastAsia="en-US"/>
              </w:rPr>
              <w:t xml:space="preserve">he majority </w:t>
            </w:r>
            <w:r>
              <w:rPr>
                <w:rFonts w:asciiTheme="minorHAnsi" w:eastAsia="Times New Roman" w:hAnsiTheme="minorHAnsi"/>
                <w:iCs/>
                <w:szCs w:val="17"/>
                <w:lang w:eastAsia="en-US"/>
              </w:rPr>
              <w:t xml:space="preserve">of investments </w:t>
            </w:r>
            <w:r w:rsidR="006E39DF">
              <w:rPr>
                <w:rFonts w:asciiTheme="minorHAnsi" w:eastAsia="Times New Roman" w:hAnsiTheme="minorHAnsi"/>
                <w:iCs/>
                <w:szCs w:val="17"/>
                <w:lang w:eastAsia="en-US"/>
              </w:rPr>
              <w:t>have now allocated budget for their own gender expertise.</w:t>
            </w:r>
            <w:r>
              <w:rPr>
                <w:rFonts w:asciiTheme="minorHAnsi" w:eastAsia="Times New Roman" w:hAnsiTheme="minorHAnsi"/>
                <w:iCs/>
                <w:szCs w:val="17"/>
                <w:lang w:eastAsia="en-US"/>
              </w:rPr>
              <w:t xml:space="preserve"> There is still work to be done to reach the 80 per cent target, particularly in aid-for-trade investments.</w:t>
            </w:r>
          </w:p>
        </w:tc>
      </w:tr>
      <w:tr w:rsidR="006E39DF" w:rsidRPr="003B0793" w14:paraId="5B4BDBF0" w14:textId="77777777" w:rsidTr="00C45BBC">
        <w:trPr>
          <w:cnfStyle w:val="000000010000" w:firstRow="0" w:lastRow="0" w:firstColumn="0" w:lastColumn="0" w:oddVBand="0" w:evenVBand="0" w:oddHBand="0" w:evenHBand="1" w:firstRowFirstColumn="0" w:firstRowLastColumn="0" w:lastRowFirstColumn="0" w:lastRowLastColumn="0"/>
        </w:trPr>
        <w:tc>
          <w:tcPr>
            <w:tcW w:w="6615" w:type="dxa"/>
          </w:tcPr>
          <w:p w14:paraId="27D1FCB0" w14:textId="03BD548D" w:rsidR="006E39DF" w:rsidRPr="004156FB" w:rsidRDefault="006E39DF" w:rsidP="006E39DF">
            <w:pPr>
              <w:keepLines/>
              <w:spacing w:before="40" w:after="40" w:line="200" w:lineRule="atLeast"/>
              <w:rPr>
                <w:rFonts w:eastAsia="Times New Roman"/>
                <w:iCs/>
                <w:szCs w:val="17"/>
              </w:rPr>
            </w:pPr>
            <w:r w:rsidRPr="004156FB">
              <w:rPr>
                <w:rFonts w:asciiTheme="minorHAnsi" w:eastAsia="Times New Roman" w:hAnsiTheme="minorHAnsi"/>
                <w:iCs/>
                <w:szCs w:val="17"/>
                <w:lang w:eastAsia="en-US"/>
              </w:rPr>
              <w:t>Ensure an effective process for the transition/completion of programs in 2015-16. Ensure financial transparency and final reporting meets expected outcomes of investments</w:t>
            </w:r>
            <w:r>
              <w:rPr>
                <w:rFonts w:asciiTheme="minorHAnsi" w:eastAsia="Times New Roman" w:hAnsiTheme="minorHAnsi"/>
                <w:iCs/>
                <w:szCs w:val="17"/>
                <w:lang w:eastAsia="en-US"/>
              </w:rPr>
              <w:t>.</w:t>
            </w:r>
          </w:p>
        </w:tc>
        <w:tc>
          <w:tcPr>
            <w:tcW w:w="957" w:type="dxa"/>
            <w:shd w:val="clear" w:color="auto" w:fill="7FB64D" w:themeFill="accent3" w:themeFillShade="BF"/>
          </w:tcPr>
          <w:p w14:paraId="3DD7B4C5" w14:textId="5E807D9A" w:rsidR="006E39DF" w:rsidRPr="003B0793" w:rsidRDefault="006E39DF" w:rsidP="006E39DF">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829" w:type="dxa"/>
          </w:tcPr>
          <w:p w14:paraId="173EB253" w14:textId="22D29DAE" w:rsidR="006E39DF" w:rsidRPr="003B0793" w:rsidRDefault="006E39DF" w:rsidP="006E39DF">
            <w:pPr>
              <w:keepLines/>
              <w:spacing w:before="40" w:after="40" w:line="200" w:lineRule="atLeast"/>
              <w:rPr>
                <w:rFonts w:eastAsia="Times New Roman"/>
                <w:iCs/>
                <w:color w:val="409F68" w:themeColor="accent6"/>
                <w:szCs w:val="17"/>
              </w:rPr>
            </w:pPr>
            <w:r w:rsidRPr="00AE2169">
              <w:rPr>
                <w:rFonts w:asciiTheme="minorHAnsi" w:eastAsia="Times New Roman" w:hAnsiTheme="minorHAnsi"/>
                <w:iCs/>
                <w:szCs w:val="17"/>
                <w:lang w:eastAsia="en-US"/>
              </w:rPr>
              <w:t>10 programs</w:t>
            </w:r>
            <w:r>
              <w:rPr>
                <w:rFonts w:asciiTheme="minorHAnsi" w:eastAsia="Times New Roman" w:hAnsiTheme="minorHAnsi"/>
                <w:iCs/>
                <w:szCs w:val="17"/>
                <w:lang w:eastAsia="en-US"/>
              </w:rPr>
              <w:t xml:space="preserve"> were completed in 2015-16. </w:t>
            </w:r>
            <w:r w:rsidRPr="007C5516">
              <w:rPr>
                <w:rFonts w:asciiTheme="minorHAnsi" w:eastAsia="Times New Roman" w:hAnsiTheme="minorHAnsi"/>
                <w:iCs/>
                <w:szCs w:val="17"/>
                <w:lang w:eastAsia="en-US"/>
              </w:rPr>
              <w:t>Australia Mekong-NGO Engagement Platform (AM-NEP)</w:t>
            </w:r>
            <w:r>
              <w:rPr>
                <w:rFonts w:asciiTheme="minorHAnsi" w:eastAsia="Times New Roman" w:hAnsiTheme="minorHAnsi"/>
                <w:iCs/>
                <w:szCs w:val="17"/>
                <w:lang w:eastAsia="en-US"/>
              </w:rPr>
              <w:t xml:space="preserve"> was the only program to end early; others met their obligations and objectives.</w:t>
            </w:r>
          </w:p>
        </w:tc>
      </w:tr>
    </w:tbl>
    <w:p w14:paraId="08417276" w14:textId="77777777" w:rsidR="00245A37" w:rsidRPr="003B0793" w:rsidRDefault="00245A37" w:rsidP="00245A37">
      <w:pPr>
        <w:spacing w:before="20" w:after="20" w:line="180" w:lineRule="atLeast"/>
        <w:jc w:val="both"/>
        <w:rPr>
          <w:rFonts w:eastAsia="Times New Roman"/>
          <w:b/>
          <w:sz w:val="16"/>
          <w:szCs w:val="14"/>
        </w:rPr>
      </w:pPr>
      <w:r w:rsidRPr="003B0793">
        <w:rPr>
          <w:rFonts w:eastAsia="Times New Roman"/>
          <w:b/>
          <w:sz w:val="16"/>
          <w:szCs w:val="14"/>
        </w:rPr>
        <w:t xml:space="preserve">Note: </w:t>
      </w:r>
    </w:p>
    <w:p w14:paraId="51D0DE66" w14:textId="44ED97B2" w:rsidR="00245A37" w:rsidRPr="003B0793" w:rsidRDefault="00245A37" w:rsidP="002F390B">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w:t>
      </w:r>
      <w:r w:rsidRPr="003B0793">
        <w:rPr>
          <w:rFonts w:eastAsia="Times New Roman"/>
          <w:b/>
          <w:sz w:val="16"/>
          <w:szCs w:val="14"/>
        </w:rPr>
        <w:t xml:space="preserve"> Achieved. Significant progress has been made in addressing the issue </w:t>
      </w:r>
    </w:p>
    <w:p w14:paraId="54F0DE79" w14:textId="69E160C0" w:rsidR="00245A37" w:rsidRPr="003B0793" w:rsidRDefault="00245A37" w:rsidP="002F390B">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Partly achieved. Some progress has been made in addressing the issue, but the issue has not been resolved </w:t>
      </w:r>
    </w:p>
    <w:p w14:paraId="3793A59E" w14:textId="77777777" w:rsidR="00245A37" w:rsidRPr="003B0793" w:rsidRDefault="00245A37" w:rsidP="002F390B">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Not achieved. Progress in addressing the issue has been significantly below expectations</w:t>
      </w:r>
    </w:p>
    <w:p w14:paraId="6E64798C" w14:textId="1630C33C" w:rsidR="00AF1B85" w:rsidRPr="003B0793" w:rsidRDefault="00AF1B85" w:rsidP="00AF1B85">
      <w:pPr>
        <w:spacing w:before="20" w:after="20" w:line="180" w:lineRule="atLeast"/>
        <w:jc w:val="both"/>
        <w:rPr>
          <w:rFonts w:eastAsia="Times New Roman"/>
          <w:b/>
          <w:sz w:val="16"/>
          <w:szCs w:val="14"/>
        </w:rPr>
      </w:pPr>
    </w:p>
    <w:p w14:paraId="1F97D9BC" w14:textId="77777777" w:rsidR="00D00802" w:rsidRPr="00245A37" w:rsidRDefault="00D00802" w:rsidP="005B5769">
      <w:pPr>
        <w:pStyle w:val="ListBullet"/>
        <w:tabs>
          <w:tab w:val="clear" w:pos="284"/>
        </w:tabs>
        <w:rPr>
          <w:lang w:val="en-GB"/>
        </w:rPr>
        <w:sectPr w:rsidR="00D00802" w:rsidRPr="00245A37" w:rsidSect="00245A37">
          <w:headerReference w:type="default" r:id="rId21"/>
          <w:pgSz w:w="16838" w:h="11906" w:orient="landscape" w:code="9"/>
          <w:pgMar w:top="1134" w:right="1952" w:bottom="1134" w:left="851" w:header="1107" w:footer="567" w:gutter="0"/>
          <w:cols w:space="397"/>
          <w:docGrid w:linePitch="360"/>
        </w:sectPr>
      </w:pPr>
    </w:p>
    <w:p w14:paraId="1F88CE1A" w14:textId="77777777" w:rsidR="00AF1B85" w:rsidRPr="00A8197B" w:rsidRDefault="00AF1B85" w:rsidP="005E606B">
      <w:pPr>
        <w:pStyle w:val="Subtitle"/>
      </w:pPr>
      <w:r w:rsidRPr="00A8197B">
        <w:lastRenderedPageBreak/>
        <w:t>Annex B - Evaluation Planning</w:t>
      </w:r>
    </w:p>
    <w:p w14:paraId="5E5775E3" w14:textId="77777777" w:rsidR="00AF1B85" w:rsidRPr="003B0793" w:rsidRDefault="00AF1B85" w:rsidP="003B0793">
      <w:pPr>
        <w:pStyle w:val="Caption"/>
        <w:rPr>
          <w:sz w:val="24"/>
        </w:rPr>
      </w:pPr>
      <w:r w:rsidRPr="003B0793">
        <w:rPr>
          <w:sz w:val="24"/>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701"/>
        <w:gridCol w:w="1984"/>
        <w:gridCol w:w="1843"/>
        <w:gridCol w:w="1984"/>
      </w:tblGrid>
      <w:tr w:rsidR="00AF1B85" w:rsidRPr="00C61187" w14:paraId="066A220C" w14:textId="77777777" w:rsidTr="00E530F3">
        <w:trPr>
          <w:cnfStyle w:val="100000000000" w:firstRow="1" w:lastRow="0" w:firstColumn="0" w:lastColumn="0" w:oddVBand="0" w:evenVBand="0" w:oddHBand="0" w:evenHBand="0" w:firstRowFirstColumn="0" w:firstRowLastColumn="0" w:lastRowFirstColumn="0" w:lastRowLastColumn="0"/>
        </w:trPr>
        <w:tc>
          <w:tcPr>
            <w:tcW w:w="3064" w:type="dxa"/>
          </w:tcPr>
          <w:p w14:paraId="5C527961" w14:textId="77777777"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 xml:space="preserve">Investment number and name </w:t>
            </w:r>
          </w:p>
          <w:p w14:paraId="63075800" w14:textId="77777777" w:rsidR="00AF1B85" w:rsidRPr="003B0793" w:rsidRDefault="00AF1B85" w:rsidP="00D15A00">
            <w:pPr>
              <w:keepLines/>
              <w:spacing w:line="200" w:lineRule="atLeast"/>
              <w:rPr>
                <w:rFonts w:asciiTheme="minorHAnsi" w:eastAsia="Times New Roman" w:hAnsiTheme="minorHAnsi"/>
                <w:b w:val="0"/>
                <w:iCs/>
                <w:szCs w:val="17"/>
                <w:lang w:eastAsia="en-US"/>
              </w:rPr>
            </w:pPr>
          </w:p>
        </w:tc>
        <w:tc>
          <w:tcPr>
            <w:tcW w:w="3665" w:type="dxa"/>
          </w:tcPr>
          <w:p w14:paraId="2BC7E911" w14:textId="77777777"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Name of evaluation</w:t>
            </w:r>
          </w:p>
        </w:tc>
        <w:tc>
          <w:tcPr>
            <w:tcW w:w="1673" w:type="dxa"/>
          </w:tcPr>
          <w:p w14:paraId="2F450EB0" w14:textId="77777777"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completed</w:t>
            </w:r>
          </w:p>
        </w:tc>
        <w:tc>
          <w:tcPr>
            <w:tcW w:w="1956" w:type="dxa"/>
          </w:tcPr>
          <w:p w14:paraId="075143CB" w14:textId="77777777"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Evaluation report Uploaded into AidWorks</w:t>
            </w:r>
          </w:p>
        </w:tc>
        <w:tc>
          <w:tcPr>
            <w:tcW w:w="1815" w:type="dxa"/>
          </w:tcPr>
          <w:p w14:paraId="53A26BA8" w14:textId="77777777"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Management response uploaded into AidWorks</w:t>
            </w:r>
          </w:p>
        </w:tc>
        <w:tc>
          <w:tcPr>
            <w:tcW w:w="1942" w:type="dxa"/>
          </w:tcPr>
          <w:p w14:paraId="1908EC9E" w14:textId="77777777"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Published on website</w:t>
            </w:r>
          </w:p>
        </w:tc>
      </w:tr>
      <w:tr w:rsidR="0097113B" w:rsidRPr="003B5EE5" w14:paraId="2AC7477A" w14:textId="77777777" w:rsidTr="00E530F3">
        <w:trPr>
          <w:cnfStyle w:val="100000000000" w:firstRow="1" w:lastRow="0" w:firstColumn="0" w:lastColumn="0" w:oddVBand="0" w:evenVBand="0" w:oddHBand="0" w:evenHBand="0" w:firstRowFirstColumn="0" w:firstRowLastColumn="0" w:lastRowFirstColumn="0" w:lastRowLastColumn="0"/>
        </w:trPr>
        <w:tc>
          <w:tcPr>
            <w:tcW w:w="3064" w:type="dxa"/>
          </w:tcPr>
          <w:p w14:paraId="30A8E620" w14:textId="77777777" w:rsidR="0097113B" w:rsidRPr="0097113B" w:rsidRDefault="0097113B"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INI 358 AANZFTA Economic Cooperation Support Program</w:t>
            </w:r>
          </w:p>
        </w:tc>
        <w:tc>
          <w:tcPr>
            <w:tcW w:w="3665" w:type="dxa"/>
          </w:tcPr>
          <w:p w14:paraId="5A912334" w14:textId="77777777" w:rsidR="0097113B" w:rsidRPr="0097113B" w:rsidRDefault="0097113B"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Independent Annual Review</w:t>
            </w:r>
          </w:p>
        </w:tc>
        <w:tc>
          <w:tcPr>
            <w:tcW w:w="1673" w:type="dxa"/>
          </w:tcPr>
          <w:p w14:paraId="0D0069F8" w14:textId="77777777" w:rsidR="0097113B" w:rsidRPr="0097113B" w:rsidRDefault="0097113B"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March 2016</w:t>
            </w:r>
          </w:p>
        </w:tc>
        <w:tc>
          <w:tcPr>
            <w:tcW w:w="1956" w:type="dxa"/>
          </w:tcPr>
          <w:p w14:paraId="63EE0E08" w14:textId="77777777" w:rsidR="0097113B" w:rsidRPr="0097113B" w:rsidRDefault="0097113B"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Jul 2016</w:t>
            </w:r>
          </w:p>
        </w:tc>
        <w:tc>
          <w:tcPr>
            <w:tcW w:w="1815" w:type="dxa"/>
          </w:tcPr>
          <w:p w14:paraId="3E9D38ED" w14:textId="77777777" w:rsidR="0097113B" w:rsidRPr="0097113B" w:rsidRDefault="00E70A6F" w:rsidP="00472C9D">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942" w:type="dxa"/>
          </w:tcPr>
          <w:p w14:paraId="309DA4C8" w14:textId="77777777" w:rsidR="0097113B" w:rsidRPr="0097113B" w:rsidRDefault="00E70A6F" w:rsidP="00472C9D">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Exemption</w:t>
            </w:r>
          </w:p>
        </w:tc>
      </w:tr>
      <w:tr w:rsidR="002219E6" w:rsidRPr="003B5EE5" w14:paraId="30D8C1FF" w14:textId="77777777" w:rsidTr="00E530F3">
        <w:trPr>
          <w:cnfStyle w:val="100000000000" w:firstRow="1" w:lastRow="0" w:firstColumn="0" w:lastColumn="0" w:oddVBand="0" w:evenVBand="0" w:oddHBand="0" w:evenHBand="0" w:firstRowFirstColumn="0" w:firstRowLastColumn="0" w:lastRowFirstColumn="0" w:lastRowLastColumn="0"/>
        </w:trPr>
        <w:tc>
          <w:tcPr>
            <w:tcW w:w="3064" w:type="dxa"/>
          </w:tcPr>
          <w:p w14:paraId="3A0DDD5A"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INI651 MRC Integrated Capacity Building Programme</w:t>
            </w:r>
          </w:p>
        </w:tc>
        <w:tc>
          <w:tcPr>
            <w:tcW w:w="3665" w:type="dxa"/>
          </w:tcPr>
          <w:p w14:paraId="40F18ADB"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 xml:space="preserve">Final evaluation </w:t>
            </w:r>
          </w:p>
          <w:p w14:paraId="0D68C024" w14:textId="77777777" w:rsidR="002219E6" w:rsidRPr="0097113B" w:rsidRDefault="002219E6" w:rsidP="00472C9D">
            <w:pPr>
              <w:pStyle w:val="TableTextEntries"/>
              <w:rPr>
                <w:rFonts w:asciiTheme="minorHAnsi" w:hAnsiTheme="minorHAnsi" w:cstheme="minorBidi"/>
                <w:b w:val="0"/>
                <w:color w:val="495965" w:themeColor="text2"/>
                <w:lang w:val="en-GB" w:eastAsia="en-US"/>
              </w:rPr>
            </w:pPr>
          </w:p>
        </w:tc>
        <w:tc>
          <w:tcPr>
            <w:tcW w:w="1673" w:type="dxa"/>
          </w:tcPr>
          <w:p w14:paraId="069FCA9F"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March 2016</w:t>
            </w:r>
          </w:p>
        </w:tc>
        <w:tc>
          <w:tcPr>
            <w:tcW w:w="1956" w:type="dxa"/>
          </w:tcPr>
          <w:p w14:paraId="3B2CE950" w14:textId="77777777" w:rsidR="002219E6" w:rsidRPr="0097113B" w:rsidRDefault="00E70A6F" w:rsidP="00472C9D">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April 2016</w:t>
            </w:r>
          </w:p>
        </w:tc>
        <w:tc>
          <w:tcPr>
            <w:tcW w:w="1815" w:type="dxa"/>
          </w:tcPr>
          <w:p w14:paraId="44FF7AB4" w14:textId="77777777" w:rsidR="002219E6" w:rsidRPr="0097113B" w:rsidRDefault="00E70A6F" w:rsidP="00472C9D">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942" w:type="dxa"/>
          </w:tcPr>
          <w:p w14:paraId="181320A9"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June 2016</w:t>
            </w:r>
          </w:p>
        </w:tc>
      </w:tr>
      <w:tr w:rsidR="002219E6" w:rsidRPr="003B5EE5" w14:paraId="0877D545" w14:textId="77777777" w:rsidTr="00E530F3">
        <w:trPr>
          <w:cnfStyle w:val="100000000000" w:firstRow="1" w:lastRow="0" w:firstColumn="0" w:lastColumn="0" w:oddVBand="0" w:evenVBand="0" w:oddHBand="0" w:evenHBand="0" w:firstRowFirstColumn="0" w:firstRowLastColumn="0" w:lastRowFirstColumn="0" w:lastRowLastColumn="0"/>
        </w:trPr>
        <w:tc>
          <w:tcPr>
            <w:tcW w:w="3064" w:type="dxa"/>
          </w:tcPr>
          <w:p w14:paraId="06971BDF"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INH157 ASEAN Australia Development Cooperation Project: Phase II</w:t>
            </w:r>
          </w:p>
        </w:tc>
        <w:tc>
          <w:tcPr>
            <w:tcW w:w="3665" w:type="dxa"/>
          </w:tcPr>
          <w:p w14:paraId="6E14F162"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Independent Annual Review</w:t>
            </w:r>
          </w:p>
        </w:tc>
        <w:tc>
          <w:tcPr>
            <w:tcW w:w="1673" w:type="dxa"/>
          </w:tcPr>
          <w:p w14:paraId="347D1F5C"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February 2016</w:t>
            </w:r>
          </w:p>
        </w:tc>
        <w:tc>
          <w:tcPr>
            <w:tcW w:w="1956" w:type="dxa"/>
          </w:tcPr>
          <w:p w14:paraId="3F28CF7C"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Jul 2016</w:t>
            </w:r>
          </w:p>
        </w:tc>
        <w:tc>
          <w:tcPr>
            <w:tcW w:w="1815" w:type="dxa"/>
          </w:tcPr>
          <w:p w14:paraId="1BAC9154" w14:textId="77777777" w:rsidR="002219E6" w:rsidRPr="0097113B" w:rsidRDefault="00E70A6F" w:rsidP="00472C9D">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942" w:type="dxa"/>
          </w:tcPr>
          <w:p w14:paraId="46500FB8" w14:textId="77777777" w:rsidR="002219E6" w:rsidRPr="0097113B" w:rsidRDefault="00E70A6F" w:rsidP="00472C9D">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Exemption</w:t>
            </w:r>
          </w:p>
        </w:tc>
      </w:tr>
      <w:tr w:rsidR="002219E6" w:rsidRPr="003B5EE5" w14:paraId="109825F9" w14:textId="77777777" w:rsidTr="00E530F3">
        <w:trPr>
          <w:cnfStyle w:val="100000000000" w:firstRow="1" w:lastRow="0" w:firstColumn="0" w:lastColumn="0" w:oddVBand="0" w:evenVBand="0" w:oddHBand="0" w:evenHBand="0" w:firstRowFirstColumn="0" w:firstRowLastColumn="0" w:lastRowFirstColumn="0" w:lastRowLastColumn="0"/>
        </w:trPr>
        <w:tc>
          <w:tcPr>
            <w:tcW w:w="3064" w:type="dxa"/>
          </w:tcPr>
          <w:p w14:paraId="783D8038"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 xml:space="preserve">INJ723 </w:t>
            </w:r>
            <w:r w:rsidR="00423C70">
              <w:rPr>
                <w:rFonts w:asciiTheme="minorHAnsi" w:eastAsia="Times New Roman" w:hAnsiTheme="minorHAnsi"/>
                <w:b w:val="0"/>
                <w:iCs/>
                <w:szCs w:val="17"/>
                <w:lang w:eastAsia="en-US"/>
              </w:rPr>
              <w:t>Laos</w:t>
            </w:r>
            <w:r w:rsidRPr="0097113B">
              <w:rPr>
                <w:rFonts w:asciiTheme="minorHAnsi" w:eastAsia="Times New Roman" w:hAnsiTheme="minorHAnsi"/>
                <w:b w:val="0"/>
                <w:iCs/>
                <w:szCs w:val="17"/>
                <w:lang w:eastAsia="en-US"/>
              </w:rPr>
              <w:t xml:space="preserve"> National Integrated Water Resources Management Support Project </w:t>
            </w:r>
          </w:p>
        </w:tc>
        <w:tc>
          <w:tcPr>
            <w:tcW w:w="3665" w:type="dxa"/>
          </w:tcPr>
          <w:p w14:paraId="6A6CE179"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Final Independent Evaluation (Outcome Study Report)</w:t>
            </w:r>
          </w:p>
        </w:tc>
        <w:tc>
          <w:tcPr>
            <w:tcW w:w="1673" w:type="dxa"/>
          </w:tcPr>
          <w:p w14:paraId="6E12C5FB"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November 2015</w:t>
            </w:r>
          </w:p>
        </w:tc>
        <w:tc>
          <w:tcPr>
            <w:tcW w:w="1956" w:type="dxa"/>
          </w:tcPr>
          <w:p w14:paraId="61422505" w14:textId="77777777" w:rsidR="002219E6" w:rsidRPr="0097113B" w:rsidRDefault="006D29D9" w:rsidP="00472C9D">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February 2016</w:t>
            </w:r>
          </w:p>
        </w:tc>
        <w:tc>
          <w:tcPr>
            <w:tcW w:w="1815" w:type="dxa"/>
          </w:tcPr>
          <w:p w14:paraId="41930DF4" w14:textId="77777777" w:rsidR="002219E6" w:rsidRPr="0097113B" w:rsidRDefault="00E70A6F" w:rsidP="00472C9D">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942" w:type="dxa"/>
          </w:tcPr>
          <w:p w14:paraId="418B1B03"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June 2016</w:t>
            </w:r>
          </w:p>
        </w:tc>
      </w:tr>
      <w:tr w:rsidR="00E70A6F" w:rsidRPr="003B5EE5" w14:paraId="063D6DA1" w14:textId="77777777" w:rsidTr="00E530F3">
        <w:trPr>
          <w:cnfStyle w:val="100000000000" w:firstRow="1" w:lastRow="0" w:firstColumn="0" w:lastColumn="0" w:oddVBand="0" w:evenVBand="0" w:oddHBand="0" w:evenHBand="0" w:firstRowFirstColumn="0" w:firstRowLastColumn="0" w:lastRowFirstColumn="0" w:lastRowLastColumn="0"/>
        </w:trPr>
        <w:tc>
          <w:tcPr>
            <w:tcW w:w="3064" w:type="dxa"/>
          </w:tcPr>
          <w:p w14:paraId="37F579CE" w14:textId="77777777" w:rsidR="00E70A6F" w:rsidRPr="0097113B" w:rsidRDefault="00E70A6F" w:rsidP="00357035">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 xml:space="preserve">INJ332 </w:t>
            </w:r>
            <w:r w:rsidRPr="00E70A6F">
              <w:rPr>
                <w:rFonts w:asciiTheme="minorHAnsi" w:eastAsia="Times New Roman" w:hAnsiTheme="minorHAnsi"/>
                <w:b w:val="0"/>
                <w:iCs/>
                <w:szCs w:val="17"/>
                <w:lang w:eastAsia="en-US"/>
              </w:rPr>
              <w:t xml:space="preserve">ILO Tripartite Action to Protect Migrant Workers within and from the Greater Mekong Sub-region from Labour Exploitation (GMS TRIANGLE) </w:t>
            </w:r>
          </w:p>
        </w:tc>
        <w:tc>
          <w:tcPr>
            <w:tcW w:w="3665" w:type="dxa"/>
          </w:tcPr>
          <w:p w14:paraId="5F4E9E17" w14:textId="77777777" w:rsidR="00E70A6F" w:rsidRPr="00E70A6F" w:rsidRDefault="00E70A6F" w:rsidP="00357035">
            <w:pPr>
              <w:keepLines/>
              <w:spacing w:before="40" w:after="40" w:line="200" w:lineRule="atLeast"/>
              <w:rPr>
                <w:rFonts w:asciiTheme="minorHAnsi" w:eastAsia="Times New Roman" w:hAnsiTheme="minorHAnsi"/>
                <w:b w:val="0"/>
                <w:iCs/>
                <w:szCs w:val="17"/>
                <w:lang w:eastAsia="en-US"/>
              </w:rPr>
            </w:pPr>
            <w:r w:rsidRPr="00E70A6F">
              <w:rPr>
                <w:rFonts w:asciiTheme="minorHAnsi" w:eastAsia="Times New Roman" w:hAnsiTheme="minorHAnsi"/>
                <w:b w:val="0"/>
                <w:iCs/>
                <w:szCs w:val="17"/>
                <w:lang w:eastAsia="en-US"/>
              </w:rPr>
              <w:t>Independent Evaluation Report</w:t>
            </w:r>
          </w:p>
        </w:tc>
        <w:tc>
          <w:tcPr>
            <w:tcW w:w="1673" w:type="dxa"/>
          </w:tcPr>
          <w:p w14:paraId="6613B26B" w14:textId="77777777" w:rsidR="00E70A6F" w:rsidRPr="00E70A6F" w:rsidRDefault="00E70A6F" w:rsidP="00357035">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 2015</w:t>
            </w:r>
          </w:p>
        </w:tc>
        <w:tc>
          <w:tcPr>
            <w:tcW w:w="1956" w:type="dxa"/>
          </w:tcPr>
          <w:p w14:paraId="1CB09973" w14:textId="77777777" w:rsidR="00E70A6F" w:rsidRPr="0097113B" w:rsidRDefault="00E70A6F" w:rsidP="00357035">
            <w:pPr>
              <w:keepLines/>
              <w:spacing w:before="40" w:after="40" w:line="200" w:lineRule="atLeast"/>
              <w:rPr>
                <w:rFonts w:eastAsia="Times New Roman"/>
                <w:b w:val="0"/>
                <w:iCs/>
                <w:szCs w:val="17"/>
              </w:rPr>
            </w:pPr>
            <w:r w:rsidRPr="00E70A6F">
              <w:rPr>
                <w:rFonts w:asciiTheme="minorHAnsi" w:eastAsia="Times New Roman" w:hAnsiTheme="minorHAnsi"/>
                <w:b w:val="0"/>
                <w:iCs/>
                <w:szCs w:val="17"/>
                <w:lang w:eastAsia="en-US"/>
              </w:rPr>
              <w:t>January 2016</w:t>
            </w:r>
          </w:p>
        </w:tc>
        <w:tc>
          <w:tcPr>
            <w:tcW w:w="1815" w:type="dxa"/>
          </w:tcPr>
          <w:p w14:paraId="3DFB9DCE" w14:textId="77777777" w:rsidR="00E70A6F" w:rsidRPr="0097113B" w:rsidRDefault="00ED62DE" w:rsidP="00357035">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August 2016</w:t>
            </w:r>
          </w:p>
        </w:tc>
        <w:tc>
          <w:tcPr>
            <w:tcW w:w="1942" w:type="dxa"/>
          </w:tcPr>
          <w:p w14:paraId="78E1B72F" w14:textId="77777777" w:rsidR="00E70A6F" w:rsidRPr="0097113B" w:rsidRDefault="00E70A6F" w:rsidP="00357035">
            <w:pPr>
              <w:keepLines/>
              <w:spacing w:before="40" w:after="40" w:line="200" w:lineRule="atLeast"/>
              <w:rPr>
                <w:rFonts w:eastAsia="Times New Roman"/>
                <w:b w:val="0"/>
                <w:iCs/>
                <w:szCs w:val="17"/>
              </w:rPr>
            </w:pPr>
            <w:r w:rsidRPr="00E70A6F">
              <w:rPr>
                <w:rFonts w:asciiTheme="minorHAnsi" w:eastAsia="Times New Roman" w:hAnsiTheme="minorHAnsi"/>
                <w:b w:val="0"/>
                <w:iCs/>
                <w:szCs w:val="17"/>
                <w:lang w:eastAsia="en-US"/>
              </w:rPr>
              <w:t>December 2015</w:t>
            </w:r>
          </w:p>
        </w:tc>
      </w:tr>
      <w:tr w:rsidR="002219E6" w:rsidRPr="003B5EE5" w14:paraId="57C6B95E" w14:textId="77777777" w:rsidTr="00E530F3">
        <w:trPr>
          <w:cnfStyle w:val="100000000000" w:firstRow="1" w:lastRow="0" w:firstColumn="0" w:lastColumn="0" w:oddVBand="0" w:evenVBand="0" w:oddHBand="0" w:evenHBand="0" w:firstRowFirstColumn="0" w:firstRowLastColumn="0" w:lastRowFirstColumn="0" w:lastRowLastColumn="0"/>
        </w:trPr>
        <w:tc>
          <w:tcPr>
            <w:tcW w:w="3064" w:type="dxa"/>
          </w:tcPr>
          <w:p w14:paraId="7DA36E29"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INJ724 Cambodia Water Resources Sector Development Program</w:t>
            </w:r>
          </w:p>
        </w:tc>
        <w:tc>
          <w:tcPr>
            <w:tcW w:w="3665" w:type="dxa"/>
          </w:tcPr>
          <w:p w14:paraId="01C60F56"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Final Report</w:t>
            </w:r>
          </w:p>
          <w:p w14:paraId="26471436" w14:textId="77777777" w:rsidR="002219E6" w:rsidRPr="0097113B" w:rsidRDefault="002219E6" w:rsidP="00472C9D">
            <w:pPr>
              <w:pStyle w:val="TableTextEntries"/>
              <w:rPr>
                <w:rFonts w:asciiTheme="minorHAnsi" w:hAnsiTheme="minorHAnsi" w:cstheme="minorBidi"/>
                <w:b w:val="0"/>
                <w:color w:val="495965" w:themeColor="text2"/>
                <w:lang w:val="en-GB" w:eastAsia="en-US"/>
              </w:rPr>
            </w:pPr>
          </w:p>
        </w:tc>
        <w:tc>
          <w:tcPr>
            <w:tcW w:w="1673" w:type="dxa"/>
          </w:tcPr>
          <w:p w14:paraId="0FDF176A"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June 2015</w:t>
            </w:r>
          </w:p>
        </w:tc>
        <w:tc>
          <w:tcPr>
            <w:tcW w:w="1956" w:type="dxa"/>
          </w:tcPr>
          <w:p w14:paraId="7C920609" w14:textId="77777777" w:rsidR="002219E6" w:rsidRPr="0097113B" w:rsidRDefault="006D29D9" w:rsidP="00472C9D">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October 2015</w:t>
            </w:r>
          </w:p>
        </w:tc>
        <w:tc>
          <w:tcPr>
            <w:tcW w:w="1815" w:type="dxa"/>
          </w:tcPr>
          <w:p w14:paraId="08FE80E2" w14:textId="77777777" w:rsidR="002219E6" w:rsidRPr="0097113B" w:rsidRDefault="00E70A6F" w:rsidP="00472C9D">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942" w:type="dxa"/>
          </w:tcPr>
          <w:p w14:paraId="26A30A16" w14:textId="77777777" w:rsidR="002219E6" w:rsidRPr="0097113B" w:rsidRDefault="002219E6" w:rsidP="00472C9D">
            <w:pPr>
              <w:keepLines/>
              <w:spacing w:before="40" w:after="40" w:line="200" w:lineRule="atLeast"/>
              <w:rPr>
                <w:rFonts w:asciiTheme="minorHAnsi" w:eastAsia="Times New Roman" w:hAnsiTheme="minorHAnsi"/>
                <w:b w:val="0"/>
                <w:iCs/>
                <w:szCs w:val="17"/>
                <w:lang w:eastAsia="en-US"/>
              </w:rPr>
            </w:pPr>
            <w:r w:rsidRPr="0097113B">
              <w:rPr>
                <w:rFonts w:asciiTheme="minorHAnsi" w:eastAsia="Times New Roman" w:hAnsiTheme="minorHAnsi"/>
                <w:b w:val="0"/>
                <w:iCs/>
                <w:szCs w:val="17"/>
                <w:lang w:eastAsia="en-US"/>
              </w:rPr>
              <w:t>June 2016</w:t>
            </w:r>
          </w:p>
        </w:tc>
      </w:tr>
    </w:tbl>
    <w:p w14:paraId="7DC24102" w14:textId="77777777" w:rsidR="00AF1B85" w:rsidRPr="003B0793" w:rsidRDefault="00AF1B85" w:rsidP="003B0793">
      <w:pPr>
        <w:pStyle w:val="Caption"/>
        <w:rPr>
          <w:sz w:val="24"/>
        </w:rPr>
      </w:pPr>
      <w:r w:rsidRPr="003B0793">
        <w:rPr>
          <w:sz w:val="24"/>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612"/>
        <w:gridCol w:w="1701"/>
        <w:gridCol w:w="2377"/>
        <w:gridCol w:w="3151"/>
        <w:gridCol w:w="1984"/>
      </w:tblGrid>
      <w:tr w:rsidR="00AF1B85" w:rsidRPr="00C61187" w14:paraId="40ADEA67" w14:textId="77777777" w:rsidTr="00CF592F">
        <w:tc>
          <w:tcPr>
            <w:tcW w:w="2444" w:type="dxa"/>
          </w:tcPr>
          <w:p w14:paraId="2044DF37" w14:textId="77777777"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Evaluation title</w:t>
            </w:r>
          </w:p>
        </w:tc>
        <w:tc>
          <w:tcPr>
            <w:tcW w:w="2584" w:type="dxa"/>
          </w:tcPr>
          <w:p w14:paraId="0D3413A1" w14:textId="275AC99F" w:rsidR="00AF1B85" w:rsidRPr="003B0793" w:rsidRDefault="00E530F3" w:rsidP="00E530F3">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Investment number and name</w:t>
            </w:r>
          </w:p>
        </w:tc>
        <w:tc>
          <w:tcPr>
            <w:tcW w:w="1673" w:type="dxa"/>
          </w:tcPr>
          <w:p w14:paraId="21E1C861" w14:textId="77777777" w:rsidR="00AF1B85" w:rsidRPr="003B0793" w:rsidRDefault="00AF1B85" w:rsidP="00C43DED">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 xml:space="preserve">Date – planned commencement </w:t>
            </w:r>
          </w:p>
        </w:tc>
        <w:tc>
          <w:tcPr>
            <w:tcW w:w="2349" w:type="dxa"/>
          </w:tcPr>
          <w:p w14:paraId="6DD0F040" w14:textId="77777777" w:rsidR="00AF1B85" w:rsidRPr="003B0793" w:rsidRDefault="00C43DED" w:rsidP="00C43DED">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Date – planned completion</w:t>
            </w:r>
          </w:p>
        </w:tc>
        <w:tc>
          <w:tcPr>
            <w:tcW w:w="3123" w:type="dxa"/>
          </w:tcPr>
          <w:p w14:paraId="039DBE3D" w14:textId="77777777"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Purpose of evaluation</w:t>
            </w:r>
          </w:p>
        </w:tc>
        <w:tc>
          <w:tcPr>
            <w:tcW w:w="1942" w:type="dxa"/>
          </w:tcPr>
          <w:p w14:paraId="5597EEB8" w14:textId="77777777"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Evaluation type</w:t>
            </w:r>
          </w:p>
        </w:tc>
      </w:tr>
      <w:tr w:rsidR="002219E6" w:rsidRPr="00C61187" w14:paraId="62F659D7" w14:textId="77777777" w:rsidTr="00CF592F">
        <w:tc>
          <w:tcPr>
            <w:tcW w:w="2444" w:type="dxa"/>
          </w:tcPr>
          <w:p w14:paraId="6B0637EC" w14:textId="77777777" w:rsidR="002219E6" w:rsidRPr="007A5548" w:rsidRDefault="002219E6" w:rsidP="00472C9D">
            <w:pPr>
              <w:keepLines/>
              <w:spacing w:before="40" w:after="40" w:line="200" w:lineRule="atLeast"/>
              <w:rPr>
                <w:rFonts w:eastAsia="Times New Roman" w:cstheme="minorHAnsi"/>
                <w:iCs/>
                <w:szCs w:val="17"/>
              </w:rPr>
            </w:pPr>
            <w:r w:rsidRPr="0097113B">
              <w:rPr>
                <w:rFonts w:asciiTheme="minorHAnsi" w:eastAsia="Times New Roman" w:hAnsiTheme="minorHAnsi" w:cstheme="minorHAnsi"/>
                <w:iCs/>
                <w:szCs w:val="17"/>
                <w:lang w:eastAsia="en-US"/>
              </w:rPr>
              <w:t>Independent Mid-term Review</w:t>
            </w:r>
          </w:p>
        </w:tc>
        <w:tc>
          <w:tcPr>
            <w:tcW w:w="2584" w:type="dxa"/>
          </w:tcPr>
          <w:p w14:paraId="689C5603" w14:textId="77777777" w:rsidR="002219E6" w:rsidRPr="00C43DED" w:rsidRDefault="002219E6" w:rsidP="00472C9D">
            <w:pPr>
              <w:keepLines/>
              <w:spacing w:before="40" w:after="40" w:line="200" w:lineRule="atLeast"/>
              <w:rPr>
                <w:rFonts w:eastAsia="Times New Roman"/>
                <w:iCs/>
                <w:szCs w:val="17"/>
              </w:rPr>
            </w:pPr>
            <w:r w:rsidRPr="0097113B">
              <w:rPr>
                <w:rFonts w:asciiTheme="minorHAnsi" w:eastAsia="Times New Roman" w:hAnsiTheme="minorHAnsi" w:cstheme="minorHAnsi"/>
                <w:iCs/>
                <w:szCs w:val="17"/>
                <w:lang w:eastAsia="en-US"/>
              </w:rPr>
              <w:t>INK642 Australia-Asia Program to Combat Trafficking in Persons</w:t>
            </w:r>
          </w:p>
        </w:tc>
        <w:tc>
          <w:tcPr>
            <w:tcW w:w="1673" w:type="dxa"/>
          </w:tcPr>
          <w:p w14:paraId="509CA5E7" w14:textId="77777777" w:rsidR="002219E6" w:rsidRDefault="002219E6" w:rsidP="00D15A00">
            <w:pPr>
              <w:keepLines/>
              <w:spacing w:before="40" w:after="40" w:line="200" w:lineRule="atLeast"/>
              <w:rPr>
                <w:rFonts w:eastAsia="Times New Roman"/>
                <w:iCs/>
                <w:szCs w:val="17"/>
              </w:rPr>
            </w:pPr>
            <w:r w:rsidRPr="002219E6">
              <w:rPr>
                <w:rFonts w:asciiTheme="minorHAnsi" w:eastAsia="Times New Roman" w:hAnsiTheme="minorHAnsi"/>
                <w:iCs/>
                <w:szCs w:val="17"/>
                <w:lang w:eastAsia="en-US"/>
              </w:rPr>
              <w:t>January 2016</w:t>
            </w:r>
          </w:p>
        </w:tc>
        <w:tc>
          <w:tcPr>
            <w:tcW w:w="2349" w:type="dxa"/>
          </w:tcPr>
          <w:p w14:paraId="24956F94" w14:textId="14C3ABE9" w:rsidR="002219E6" w:rsidRDefault="008A46CF" w:rsidP="00D15A00">
            <w:pPr>
              <w:keepLines/>
              <w:spacing w:before="40" w:after="40" w:line="200" w:lineRule="atLeast"/>
              <w:rPr>
                <w:rFonts w:eastAsia="Times New Roman"/>
                <w:iCs/>
                <w:szCs w:val="17"/>
              </w:rPr>
            </w:pPr>
            <w:r>
              <w:rPr>
                <w:rFonts w:asciiTheme="minorHAnsi" w:eastAsia="Times New Roman" w:hAnsiTheme="minorHAnsi"/>
                <w:iCs/>
                <w:szCs w:val="17"/>
                <w:lang w:eastAsia="en-US"/>
              </w:rPr>
              <w:t>September</w:t>
            </w:r>
            <w:r w:rsidR="002219E6" w:rsidRPr="002219E6">
              <w:rPr>
                <w:rFonts w:asciiTheme="minorHAnsi" w:eastAsia="Times New Roman" w:hAnsiTheme="minorHAnsi"/>
                <w:iCs/>
                <w:szCs w:val="17"/>
                <w:lang w:eastAsia="en-US"/>
              </w:rPr>
              <w:t xml:space="preserve"> 2016</w:t>
            </w:r>
          </w:p>
        </w:tc>
        <w:tc>
          <w:tcPr>
            <w:tcW w:w="3123" w:type="dxa"/>
          </w:tcPr>
          <w:p w14:paraId="13E64062" w14:textId="0F677663" w:rsidR="002219E6" w:rsidRDefault="00E530F3" w:rsidP="00D15A00">
            <w:pPr>
              <w:keepLines/>
              <w:spacing w:before="40" w:after="40" w:line="200" w:lineRule="atLeast"/>
              <w:rPr>
                <w:rFonts w:eastAsia="Times New Roman" w:cstheme="minorHAnsi"/>
                <w:iCs/>
                <w:szCs w:val="17"/>
              </w:rPr>
            </w:pPr>
            <w:r>
              <w:rPr>
                <w:rFonts w:asciiTheme="minorHAnsi" w:eastAsia="Times New Roman" w:hAnsiTheme="minorHAnsi" w:cstheme="minorHAnsi"/>
                <w:iCs/>
                <w:szCs w:val="17"/>
                <w:lang w:eastAsia="en-US"/>
              </w:rPr>
              <w:t>A</w:t>
            </w:r>
            <w:r w:rsidR="002219E6" w:rsidRPr="007A5548">
              <w:rPr>
                <w:rFonts w:asciiTheme="minorHAnsi" w:eastAsia="Times New Roman" w:hAnsiTheme="minorHAnsi" w:cstheme="minorHAnsi"/>
                <w:iCs/>
                <w:szCs w:val="17"/>
                <w:lang w:eastAsia="en-US"/>
              </w:rPr>
              <w:t>ssessment of progress against objectives</w:t>
            </w:r>
          </w:p>
        </w:tc>
        <w:tc>
          <w:tcPr>
            <w:tcW w:w="1942" w:type="dxa"/>
          </w:tcPr>
          <w:p w14:paraId="0340AB40" w14:textId="275BA391" w:rsidR="002219E6" w:rsidRPr="003B0793" w:rsidRDefault="00E530F3" w:rsidP="00C43DED">
            <w:pPr>
              <w:keepLines/>
              <w:spacing w:before="40" w:after="40" w:line="200" w:lineRule="atLeast"/>
              <w:rPr>
                <w:rFonts w:eastAsia="Times New Roman"/>
                <w:iCs/>
                <w:szCs w:val="17"/>
              </w:rPr>
            </w:pPr>
            <w:r w:rsidRPr="003B0793">
              <w:rPr>
                <w:rFonts w:asciiTheme="minorHAnsi" w:eastAsia="Times New Roman" w:hAnsiTheme="minorHAnsi"/>
                <w:iCs/>
                <w:szCs w:val="17"/>
                <w:lang w:eastAsia="en-US"/>
              </w:rPr>
              <w:t>DFAT</w:t>
            </w:r>
            <w:r>
              <w:rPr>
                <w:rFonts w:asciiTheme="minorHAnsi" w:eastAsia="Times New Roman" w:hAnsiTheme="minorHAnsi"/>
                <w:iCs/>
                <w:szCs w:val="17"/>
                <w:lang w:eastAsia="en-US"/>
              </w:rPr>
              <w:t>-</w:t>
            </w:r>
            <w:r w:rsidRPr="003B0793">
              <w:rPr>
                <w:rFonts w:asciiTheme="minorHAnsi" w:eastAsia="Times New Roman" w:hAnsiTheme="minorHAnsi"/>
                <w:iCs/>
                <w:szCs w:val="17"/>
                <w:lang w:eastAsia="en-US"/>
              </w:rPr>
              <w:t>led</w:t>
            </w:r>
          </w:p>
        </w:tc>
      </w:tr>
      <w:tr w:rsidR="002219E6" w:rsidRPr="00C61187" w14:paraId="2FFB1C07" w14:textId="77777777" w:rsidTr="00CF592F">
        <w:tc>
          <w:tcPr>
            <w:tcW w:w="2444" w:type="dxa"/>
          </w:tcPr>
          <w:p w14:paraId="1FE171AA" w14:textId="77777777" w:rsidR="002219E6" w:rsidRPr="003B0793" w:rsidRDefault="002219E6" w:rsidP="00D15A00">
            <w:pPr>
              <w:keepLines/>
              <w:spacing w:before="40" w:after="40" w:line="200" w:lineRule="atLeast"/>
              <w:rPr>
                <w:rFonts w:asciiTheme="minorHAnsi" w:eastAsia="Times New Roman" w:hAnsiTheme="minorHAnsi"/>
                <w:iCs/>
                <w:szCs w:val="17"/>
                <w:lang w:eastAsia="en-US"/>
              </w:rPr>
            </w:pPr>
            <w:r w:rsidRPr="007A5548">
              <w:rPr>
                <w:rFonts w:asciiTheme="minorHAnsi" w:eastAsia="Times New Roman" w:hAnsiTheme="minorHAnsi" w:cstheme="minorHAnsi"/>
                <w:iCs/>
                <w:szCs w:val="17"/>
                <w:lang w:eastAsia="en-US"/>
              </w:rPr>
              <w:t>Independent Mid-term Progress Review</w:t>
            </w:r>
          </w:p>
        </w:tc>
        <w:tc>
          <w:tcPr>
            <w:tcW w:w="2584" w:type="dxa"/>
          </w:tcPr>
          <w:p w14:paraId="26D24819" w14:textId="77777777" w:rsidR="002219E6" w:rsidRPr="003B0793" w:rsidRDefault="002219E6" w:rsidP="00D15A00">
            <w:pPr>
              <w:keepLines/>
              <w:spacing w:before="40" w:after="40" w:line="200" w:lineRule="atLeast"/>
              <w:rPr>
                <w:rFonts w:asciiTheme="minorHAnsi" w:eastAsia="Times New Roman" w:hAnsiTheme="minorHAnsi"/>
                <w:iCs/>
                <w:szCs w:val="17"/>
                <w:lang w:eastAsia="en-US"/>
              </w:rPr>
            </w:pPr>
            <w:r w:rsidRPr="00C43DED">
              <w:rPr>
                <w:rFonts w:asciiTheme="minorHAnsi" w:eastAsia="Times New Roman" w:hAnsiTheme="minorHAnsi"/>
                <w:iCs/>
                <w:szCs w:val="17"/>
                <w:lang w:eastAsia="en-US"/>
              </w:rPr>
              <w:t xml:space="preserve">MW1 </w:t>
            </w:r>
            <w:hyperlink r:id="rId22" w:anchor="RANGE!_ftn1" w:history="1">
              <w:r w:rsidRPr="00C43DED">
                <w:rPr>
                  <w:rFonts w:asciiTheme="minorHAnsi" w:eastAsia="Times New Roman" w:hAnsiTheme="minorHAnsi"/>
                  <w:iCs/>
                  <w:szCs w:val="17"/>
                  <w:lang w:eastAsia="en-US"/>
                </w:rPr>
                <w:t>Mekong Water Resources Program</w:t>
              </w:r>
            </w:hyperlink>
          </w:p>
        </w:tc>
        <w:tc>
          <w:tcPr>
            <w:tcW w:w="1673" w:type="dxa"/>
          </w:tcPr>
          <w:p w14:paraId="6C24A98B" w14:textId="77777777" w:rsidR="002219E6" w:rsidRPr="003B0793" w:rsidRDefault="002219E6"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July 2016</w:t>
            </w:r>
          </w:p>
        </w:tc>
        <w:tc>
          <w:tcPr>
            <w:tcW w:w="2349" w:type="dxa"/>
          </w:tcPr>
          <w:p w14:paraId="558917C1" w14:textId="77777777" w:rsidR="002219E6" w:rsidRPr="003B0793" w:rsidRDefault="002219E6"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December 2016</w:t>
            </w:r>
          </w:p>
        </w:tc>
        <w:tc>
          <w:tcPr>
            <w:tcW w:w="3123" w:type="dxa"/>
          </w:tcPr>
          <w:p w14:paraId="07613470" w14:textId="16825BD8" w:rsidR="002219E6" w:rsidRPr="003B0793" w:rsidRDefault="00E530F3" w:rsidP="00E530F3">
            <w:pPr>
              <w:keepLines/>
              <w:spacing w:before="40" w:after="40" w:line="200" w:lineRule="atLeast"/>
              <w:rPr>
                <w:rFonts w:asciiTheme="minorHAnsi" w:eastAsia="Times New Roman" w:hAnsiTheme="minorHAnsi"/>
                <w:iCs/>
                <w:color w:val="000000" w:themeColor="text1" w:themeShade="BF"/>
                <w:szCs w:val="17"/>
                <w:lang w:eastAsia="en-US"/>
              </w:rPr>
            </w:pPr>
            <w:r>
              <w:rPr>
                <w:rFonts w:asciiTheme="minorHAnsi" w:eastAsia="Times New Roman" w:hAnsiTheme="minorHAnsi" w:cstheme="minorHAnsi"/>
                <w:iCs/>
                <w:szCs w:val="17"/>
                <w:lang w:eastAsia="en-US"/>
              </w:rPr>
              <w:t>A</w:t>
            </w:r>
            <w:r w:rsidRPr="007A5548">
              <w:rPr>
                <w:rFonts w:asciiTheme="minorHAnsi" w:eastAsia="Times New Roman" w:hAnsiTheme="minorHAnsi" w:cstheme="minorHAnsi"/>
                <w:iCs/>
                <w:szCs w:val="17"/>
                <w:lang w:eastAsia="en-US"/>
              </w:rPr>
              <w:t xml:space="preserve">ssessment of </w:t>
            </w:r>
            <w:r>
              <w:rPr>
                <w:rFonts w:asciiTheme="minorHAnsi" w:eastAsia="Times New Roman" w:hAnsiTheme="minorHAnsi" w:cstheme="minorHAnsi"/>
                <w:iCs/>
                <w:szCs w:val="17"/>
                <w:lang w:eastAsia="en-US"/>
              </w:rPr>
              <w:t>contribution to policy reform</w:t>
            </w:r>
          </w:p>
        </w:tc>
        <w:tc>
          <w:tcPr>
            <w:tcW w:w="1942" w:type="dxa"/>
          </w:tcPr>
          <w:p w14:paraId="372560B0" w14:textId="7B4DE22F" w:rsidR="002219E6" w:rsidRPr="003B0793" w:rsidRDefault="002219E6" w:rsidP="00E530F3">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DFAT</w:t>
            </w:r>
            <w:r w:rsidR="00E530F3">
              <w:rPr>
                <w:rFonts w:asciiTheme="minorHAnsi" w:eastAsia="Times New Roman" w:hAnsiTheme="minorHAnsi"/>
                <w:iCs/>
                <w:szCs w:val="17"/>
                <w:lang w:eastAsia="en-US"/>
              </w:rPr>
              <w:t>-</w:t>
            </w:r>
            <w:r w:rsidRPr="003B0793">
              <w:rPr>
                <w:rFonts w:asciiTheme="minorHAnsi" w:eastAsia="Times New Roman" w:hAnsiTheme="minorHAnsi"/>
                <w:iCs/>
                <w:szCs w:val="17"/>
                <w:lang w:eastAsia="en-US"/>
              </w:rPr>
              <w:t>led</w:t>
            </w:r>
          </w:p>
        </w:tc>
      </w:tr>
      <w:tr w:rsidR="00AD793A" w:rsidRPr="00C61187" w14:paraId="5B6C97D4" w14:textId="77777777" w:rsidTr="00CF592F">
        <w:tc>
          <w:tcPr>
            <w:tcW w:w="2444" w:type="dxa"/>
          </w:tcPr>
          <w:p w14:paraId="4F6EF516" w14:textId="77777777" w:rsidR="00AD793A" w:rsidRPr="007A5548" w:rsidRDefault="00AD793A" w:rsidP="00D15A00">
            <w:pPr>
              <w:keepLines/>
              <w:spacing w:before="40" w:after="40" w:line="200" w:lineRule="atLeast"/>
              <w:rPr>
                <w:rFonts w:eastAsia="Times New Roman" w:cstheme="minorHAnsi"/>
                <w:iCs/>
                <w:szCs w:val="17"/>
              </w:rPr>
            </w:pPr>
            <w:r w:rsidRPr="00C43DED">
              <w:rPr>
                <w:rFonts w:asciiTheme="minorHAnsi" w:eastAsia="Times New Roman" w:hAnsiTheme="minorHAnsi" w:cstheme="minorHAnsi"/>
                <w:iCs/>
                <w:szCs w:val="17"/>
                <w:lang w:eastAsia="en-US"/>
              </w:rPr>
              <w:t>Independent Progress Review</w:t>
            </w:r>
          </w:p>
        </w:tc>
        <w:tc>
          <w:tcPr>
            <w:tcW w:w="2584" w:type="dxa"/>
          </w:tcPr>
          <w:p w14:paraId="6EBD1DD6" w14:textId="77777777" w:rsidR="00AD793A" w:rsidRPr="00C43DED" w:rsidRDefault="00AD793A" w:rsidP="00D15A00">
            <w:pPr>
              <w:keepLines/>
              <w:spacing w:before="40" w:after="40" w:line="200" w:lineRule="atLeast"/>
              <w:rPr>
                <w:rFonts w:eastAsia="Times New Roman"/>
                <w:iCs/>
                <w:szCs w:val="17"/>
              </w:rPr>
            </w:pPr>
            <w:r w:rsidRPr="00C43DED">
              <w:rPr>
                <w:rFonts w:asciiTheme="minorHAnsi" w:eastAsia="Times New Roman" w:hAnsiTheme="minorHAnsi"/>
                <w:iCs/>
                <w:szCs w:val="17"/>
                <w:lang w:eastAsia="en-US"/>
              </w:rPr>
              <w:t>INL277 Mekong Business Initiative</w:t>
            </w:r>
          </w:p>
        </w:tc>
        <w:tc>
          <w:tcPr>
            <w:tcW w:w="1673" w:type="dxa"/>
          </w:tcPr>
          <w:p w14:paraId="682E9A91" w14:textId="6BEBB4BF" w:rsidR="00AD793A" w:rsidRPr="00C43DED" w:rsidRDefault="00AD793A" w:rsidP="00B959E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January</w:t>
            </w:r>
            <w:r w:rsidRPr="00C43DED">
              <w:rPr>
                <w:rFonts w:asciiTheme="minorHAnsi" w:eastAsia="Times New Roman" w:hAnsiTheme="minorHAnsi"/>
                <w:iCs/>
                <w:szCs w:val="17"/>
                <w:lang w:eastAsia="en-US"/>
              </w:rPr>
              <w:t xml:space="preserve"> 201</w:t>
            </w:r>
            <w:r>
              <w:rPr>
                <w:rFonts w:asciiTheme="minorHAnsi" w:eastAsia="Times New Roman" w:hAnsiTheme="minorHAnsi"/>
                <w:iCs/>
                <w:szCs w:val="17"/>
                <w:lang w:eastAsia="en-US"/>
              </w:rPr>
              <w:t>7</w:t>
            </w:r>
          </w:p>
        </w:tc>
        <w:tc>
          <w:tcPr>
            <w:tcW w:w="2349" w:type="dxa"/>
          </w:tcPr>
          <w:p w14:paraId="5EECA861" w14:textId="31EA93F3" w:rsidR="00AD793A" w:rsidRPr="00C43DED" w:rsidRDefault="00AD793A" w:rsidP="00B959E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July</w:t>
            </w:r>
            <w:r w:rsidRPr="00C43DED">
              <w:rPr>
                <w:rFonts w:asciiTheme="minorHAnsi" w:eastAsia="Times New Roman" w:hAnsiTheme="minorHAnsi"/>
                <w:iCs/>
                <w:szCs w:val="17"/>
                <w:lang w:eastAsia="en-US"/>
              </w:rPr>
              <w:t xml:space="preserve"> 201</w:t>
            </w:r>
            <w:r>
              <w:rPr>
                <w:rFonts w:asciiTheme="minorHAnsi" w:eastAsia="Times New Roman" w:hAnsiTheme="minorHAnsi"/>
                <w:iCs/>
                <w:szCs w:val="17"/>
                <w:lang w:eastAsia="en-US"/>
              </w:rPr>
              <w:t>7</w:t>
            </w:r>
            <w:r w:rsidRPr="00C43DED">
              <w:rPr>
                <w:rFonts w:asciiTheme="minorHAnsi" w:eastAsia="Times New Roman" w:hAnsiTheme="minorHAnsi"/>
                <w:iCs/>
                <w:szCs w:val="17"/>
                <w:lang w:eastAsia="en-US"/>
              </w:rPr>
              <w:t xml:space="preserve"> </w:t>
            </w:r>
          </w:p>
        </w:tc>
        <w:tc>
          <w:tcPr>
            <w:tcW w:w="3123" w:type="dxa"/>
          </w:tcPr>
          <w:p w14:paraId="38048D2C" w14:textId="57679F38" w:rsidR="00AD793A" w:rsidRDefault="00AD793A" w:rsidP="002219E6">
            <w:pPr>
              <w:keepLines/>
              <w:spacing w:before="40" w:after="40" w:line="200" w:lineRule="atLeast"/>
              <w:rPr>
                <w:rFonts w:eastAsia="Times New Roman" w:cstheme="minorHAnsi"/>
                <w:iCs/>
                <w:szCs w:val="17"/>
              </w:rPr>
            </w:pPr>
            <w:r>
              <w:rPr>
                <w:rFonts w:asciiTheme="minorHAnsi" w:eastAsia="Times New Roman" w:hAnsiTheme="minorHAnsi" w:cstheme="minorHAnsi"/>
                <w:iCs/>
                <w:szCs w:val="17"/>
                <w:lang w:eastAsia="en-US"/>
              </w:rPr>
              <w:t>A</w:t>
            </w:r>
            <w:r w:rsidRPr="007A5548">
              <w:rPr>
                <w:rFonts w:asciiTheme="minorHAnsi" w:eastAsia="Times New Roman" w:hAnsiTheme="minorHAnsi" w:cstheme="minorHAnsi"/>
                <w:iCs/>
                <w:szCs w:val="17"/>
                <w:lang w:eastAsia="en-US"/>
              </w:rPr>
              <w:t>ssessment of progress against objectives</w:t>
            </w:r>
          </w:p>
        </w:tc>
        <w:tc>
          <w:tcPr>
            <w:tcW w:w="1942" w:type="dxa"/>
          </w:tcPr>
          <w:p w14:paraId="21A89519" w14:textId="5AAA1AA6" w:rsidR="00AD793A" w:rsidRPr="003B0793" w:rsidRDefault="00AD793A" w:rsidP="00C43DED">
            <w:pPr>
              <w:keepLines/>
              <w:spacing w:before="40" w:after="40" w:line="200" w:lineRule="atLeast"/>
              <w:rPr>
                <w:rFonts w:eastAsia="Times New Roman"/>
                <w:iCs/>
                <w:szCs w:val="17"/>
              </w:rPr>
            </w:pPr>
            <w:r>
              <w:rPr>
                <w:rFonts w:asciiTheme="minorHAnsi" w:eastAsia="Times New Roman" w:hAnsiTheme="minorHAnsi"/>
                <w:iCs/>
                <w:szCs w:val="17"/>
                <w:lang w:eastAsia="en-US"/>
              </w:rPr>
              <w:t>Joint (Partner/DFAT)</w:t>
            </w:r>
          </w:p>
        </w:tc>
      </w:tr>
      <w:tr w:rsidR="00AD793A" w:rsidRPr="00C61187" w14:paraId="4F59D49A" w14:textId="77777777" w:rsidTr="00CF592F">
        <w:tc>
          <w:tcPr>
            <w:tcW w:w="2444" w:type="dxa"/>
          </w:tcPr>
          <w:p w14:paraId="70097F3F" w14:textId="77777777" w:rsidR="00AD793A" w:rsidRPr="007A5548" w:rsidRDefault="00AD793A" w:rsidP="00D15A00">
            <w:pPr>
              <w:keepLines/>
              <w:spacing w:before="40" w:after="40" w:line="200" w:lineRule="atLeast"/>
              <w:rPr>
                <w:rFonts w:eastAsia="Times New Roman" w:cstheme="minorHAnsi"/>
                <w:iCs/>
                <w:szCs w:val="17"/>
              </w:rPr>
            </w:pPr>
            <w:r w:rsidRPr="00C43DED">
              <w:rPr>
                <w:rFonts w:asciiTheme="minorHAnsi" w:eastAsia="Times New Roman" w:hAnsiTheme="minorHAnsi" w:cstheme="minorHAnsi"/>
                <w:iCs/>
                <w:szCs w:val="17"/>
                <w:lang w:eastAsia="en-US"/>
              </w:rPr>
              <w:t>Independent Progress Review</w:t>
            </w:r>
          </w:p>
        </w:tc>
        <w:tc>
          <w:tcPr>
            <w:tcW w:w="2584" w:type="dxa"/>
          </w:tcPr>
          <w:p w14:paraId="37638EEB" w14:textId="77777777" w:rsidR="00AD793A" w:rsidRPr="00C43DED" w:rsidRDefault="00AD793A" w:rsidP="00D15A00">
            <w:pPr>
              <w:keepLines/>
              <w:spacing w:before="40" w:after="40" w:line="200" w:lineRule="atLeast"/>
              <w:rPr>
                <w:rFonts w:eastAsia="Times New Roman"/>
                <w:iCs/>
                <w:szCs w:val="17"/>
              </w:rPr>
            </w:pPr>
            <w:r w:rsidRPr="00C43DED">
              <w:rPr>
                <w:rFonts w:asciiTheme="minorHAnsi" w:eastAsia="Times New Roman" w:hAnsiTheme="minorHAnsi"/>
                <w:iCs/>
                <w:szCs w:val="17"/>
                <w:lang w:eastAsia="en-US"/>
              </w:rPr>
              <w:t>INL413 Shaping Financial Inclusion Transformations in ASEAN</w:t>
            </w:r>
          </w:p>
        </w:tc>
        <w:tc>
          <w:tcPr>
            <w:tcW w:w="1673" w:type="dxa"/>
          </w:tcPr>
          <w:p w14:paraId="016EB11B" w14:textId="4064C819" w:rsidR="00AD793A" w:rsidRPr="00C43DED" w:rsidRDefault="00AD793A" w:rsidP="00B959E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January</w:t>
            </w:r>
            <w:r w:rsidRPr="00C43DED">
              <w:rPr>
                <w:rFonts w:asciiTheme="minorHAnsi" w:eastAsia="Times New Roman" w:hAnsiTheme="minorHAnsi"/>
                <w:iCs/>
                <w:szCs w:val="17"/>
                <w:lang w:eastAsia="en-US"/>
              </w:rPr>
              <w:t xml:space="preserve"> 201</w:t>
            </w:r>
            <w:r>
              <w:rPr>
                <w:rFonts w:asciiTheme="minorHAnsi" w:eastAsia="Times New Roman" w:hAnsiTheme="minorHAnsi"/>
                <w:iCs/>
                <w:szCs w:val="17"/>
                <w:lang w:eastAsia="en-US"/>
              </w:rPr>
              <w:t>7</w:t>
            </w:r>
          </w:p>
        </w:tc>
        <w:tc>
          <w:tcPr>
            <w:tcW w:w="2349" w:type="dxa"/>
          </w:tcPr>
          <w:p w14:paraId="0E8D0339" w14:textId="1725BD2D" w:rsidR="00AD793A" w:rsidRPr="00C43DED" w:rsidRDefault="00AD793A" w:rsidP="00B959E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July</w:t>
            </w:r>
            <w:r w:rsidRPr="00C43DED">
              <w:rPr>
                <w:rFonts w:asciiTheme="minorHAnsi" w:eastAsia="Times New Roman" w:hAnsiTheme="minorHAnsi"/>
                <w:iCs/>
                <w:szCs w:val="17"/>
                <w:lang w:eastAsia="en-US"/>
              </w:rPr>
              <w:t xml:space="preserve"> 201</w:t>
            </w:r>
            <w:r>
              <w:rPr>
                <w:rFonts w:asciiTheme="minorHAnsi" w:eastAsia="Times New Roman" w:hAnsiTheme="minorHAnsi"/>
                <w:iCs/>
                <w:szCs w:val="17"/>
                <w:lang w:eastAsia="en-US"/>
              </w:rPr>
              <w:t>7</w:t>
            </w:r>
            <w:r w:rsidRPr="00C43DED">
              <w:rPr>
                <w:rFonts w:asciiTheme="minorHAnsi" w:eastAsia="Times New Roman" w:hAnsiTheme="minorHAnsi"/>
                <w:iCs/>
                <w:szCs w:val="17"/>
                <w:lang w:eastAsia="en-US"/>
              </w:rPr>
              <w:t xml:space="preserve"> </w:t>
            </w:r>
          </w:p>
        </w:tc>
        <w:tc>
          <w:tcPr>
            <w:tcW w:w="3123" w:type="dxa"/>
          </w:tcPr>
          <w:p w14:paraId="52C14DD7" w14:textId="5F46ECAB" w:rsidR="00AD793A" w:rsidRDefault="00AD793A" w:rsidP="00D15A00">
            <w:pPr>
              <w:keepLines/>
              <w:spacing w:before="40" w:after="40" w:line="200" w:lineRule="atLeast"/>
              <w:rPr>
                <w:rFonts w:eastAsia="Times New Roman" w:cstheme="minorHAnsi"/>
                <w:iCs/>
                <w:szCs w:val="17"/>
              </w:rPr>
            </w:pPr>
            <w:r>
              <w:rPr>
                <w:rFonts w:asciiTheme="minorHAnsi" w:eastAsia="Times New Roman" w:hAnsiTheme="minorHAnsi" w:cstheme="minorHAnsi"/>
                <w:iCs/>
                <w:szCs w:val="17"/>
                <w:lang w:eastAsia="en-US"/>
              </w:rPr>
              <w:t>A</w:t>
            </w:r>
            <w:r w:rsidRPr="007A5548">
              <w:rPr>
                <w:rFonts w:asciiTheme="minorHAnsi" w:eastAsia="Times New Roman" w:hAnsiTheme="minorHAnsi" w:cstheme="minorHAnsi"/>
                <w:iCs/>
                <w:szCs w:val="17"/>
                <w:lang w:eastAsia="en-US"/>
              </w:rPr>
              <w:t>ssessment of progress against objectives</w:t>
            </w:r>
          </w:p>
        </w:tc>
        <w:tc>
          <w:tcPr>
            <w:tcW w:w="1942" w:type="dxa"/>
          </w:tcPr>
          <w:p w14:paraId="5CD415EC" w14:textId="7065897F" w:rsidR="00AD793A" w:rsidRPr="003B0793" w:rsidRDefault="00AD793A" w:rsidP="00C43DED">
            <w:pPr>
              <w:keepLines/>
              <w:spacing w:before="40" w:after="40" w:line="200" w:lineRule="atLeast"/>
              <w:rPr>
                <w:rFonts w:eastAsia="Times New Roman"/>
                <w:iCs/>
                <w:szCs w:val="17"/>
              </w:rPr>
            </w:pPr>
            <w:r>
              <w:rPr>
                <w:rFonts w:asciiTheme="minorHAnsi" w:eastAsia="Times New Roman" w:hAnsiTheme="minorHAnsi"/>
                <w:iCs/>
                <w:szCs w:val="17"/>
                <w:lang w:eastAsia="en-US"/>
              </w:rPr>
              <w:t>Joint (Partner/DFAT)</w:t>
            </w:r>
          </w:p>
        </w:tc>
      </w:tr>
    </w:tbl>
    <w:p w14:paraId="3A34EB67" w14:textId="77777777" w:rsidR="008514D0" w:rsidRDefault="008514D0" w:rsidP="005B5769">
      <w:pPr>
        <w:pStyle w:val="ListBullet"/>
        <w:tabs>
          <w:tab w:val="clear" w:pos="284"/>
        </w:tabs>
        <w:rPr>
          <w:lang w:val="en-GB"/>
        </w:rPr>
        <w:sectPr w:rsidR="008514D0" w:rsidSect="00C32928">
          <w:headerReference w:type="first" r:id="rId23"/>
          <w:pgSz w:w="16838" w:h="11906" w:orient="landscape" w:code="9"/>
          <w:pgMar w:top="1134" w:right="1952" w:bottom="1134" w:left="851" w:header="1107" w:footer="567" w:gutter="0"/>
          <w:cols w:space="397"/>
          <w:docGrid w:linePitch="360"/>
        </w:sectPr>
      </w:pPr>
    </w:p>
    <w:p w14:paraId="08FEAC6C" w14:textId="7D5DC7BF" w:rsidR="005E606B" w:rsidRPr="00A8197B" w:rsidRDefault="00C45BBC" w:rsidP="00A8197B">
      <w:pPr>
        <w:pStyle w:val="Subtitle"/>
      </w:pPr>
      <w:r>
        <w:lastRenderedPageBreak/>
        <w:t>Annex C</w:t>
      </w:r>
      <w:r w:rsidR="005E606B" w:rsidRPr="00A8197B">
        <w:t xml:space="preserve"> </w:t>
      </w:r>
      <w:r w:rsidR="000D605C">
        <w:t>–</w:t>
      </w:r>
      <w:r w:rsidR="005E606B" w:rsidRPr="00A8197B">
        <w:t xml:space="preserve"> Aid Quality Check ratings</w:t>
      </w:r>
    </w:p>
    <w:p w14:paraId="2D2959EB" w14:textId="77777777"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14:paraId="266B4611" w14:textId="31F47383" w:rsidR="005E606B" w:rsidRPr="00C61187" w:rsidRDefault="005E606B" w:rsidP="00A8197B">
      <w:r w:rsidRPr="00C61187">
        <w:t>AQC investment performa</w:t>
      </w:r>
      <w:r w:rsidR="009B3FE2">
        <w:t>nce over the previous 12 months</w:t>
      </w:r>
    </w:p>
    <w:tbl>
      <w:tblPr>
        <w:tblStyle w:val="APPR"/>
        <w:tblW w:w="5000" w:type="pct"/>
        <w:tblLook w:val="0000" w:firstRow="0" w:lastRow="0" w:firstColumn="0" w:lastColumn="0" w:noHBand="0" w:noVBand="0"/>
      </w:tblPr>
      <w:tblGrid>
        <w:gridCol w:w="1823"/>
        <w:gridCol w:w="1338"/>
        <w:gridCol w:w="842"/>
        <w:gridCol w:w="846"/>
        <w:gridCol w:w="840"/>
        <w:gridCol w:w="846"/>
        <w:gridCol w:w="840"/>
        <w:gridCol w:w="846"/>
        <w:gridCol w:w="840"/>
        <w:gridCol w:w="849"/>
      </w:tblGrid>
      <w:tr w:rsidR="00B12AC9" w:rsidRPr="00C61187" w14:paraId="457595EB" w14:textId="77777777" w:rsidTr="00B12AC9">
        <w:trPr>
          <w:cnfStyle w:val="000000010000" w:firstRow="0" w:lastRow="0" w:firstColumn="0" w:lastColumn="0" w:oddVBand="0" w:evenVBand="0" w:oddHBand="0" w:evenHBand="1" w:firstRowFirstColumn="0" w:firstRowLastColumn="0" w:lastRowFirstColumn="0" w:lastRowLastColumn="0"/>
          <w:trHeight w:val="1413"/>
        </w:trPr>
        <w:tc>
          <w:tcPr>
            <w:tcW w:w="899" w:type="pct"/>
          </w:tcPr>
          <w:p w14:paraId="7C6BCEC4"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68480" behindDoc="0" locked="0" layoutInCell="1" allowOverlap="1" wp14:anchorId="7EE57AB1" wp14:editId="44A0CCD0">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Investment name</w:t>
            </w:r>
          </w:p>
        </w:tc>
        <w:tc>
          <w:tcPr>
            <w:tcW w:w="661" w:type="pct"/>
            <w:textDirection w:val="btLr"/>
          </w:tcPr>
          <w:p w14:paraId="4EE8382D"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Approved budget and duration</w:t>
            </w:r>
          </w:p>
        </w:tc>
        <w:tc>
          <w:tcPr>
            <w:tcW w:w="411" w:type="pct"/>
            <w:textDirection w:val="btLr"/>
          </w:tcPr>
          <w:p w14:paraId="3DC003AB"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year on year</w:t>
            </w:r>
          </w:p>
        </w:tc>
        <w:tc>
          <w:tcPr>
            <w:tcW w:w="413" w:type="pct"/>
            <w:textDirection w:val="btLr"/>
          </w:tcPr>
          <w:p w14:paraId="0A59917D"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Relevance</w:t>
            </w:r>
          </w:p>
        </w:tc>
        <w:tc>
          <w:tcPr>
            <w:tcW w:w="410" w:type="pct"/>
            <w:textDirection w:val="btLr"/>
          </w:tcPr>
          <w:p w14:paraId="292F1E23"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Effectiveness</w:t>
            </w:r>
          </w:p>
        </w:tc>
        <w:tc>
          <w:tcPr>
            <w:tcW w:w="413" w:type="pct"/>
            <w:textDirection w:val="btLr"/>
          </w:tcPr>
          <w:p w14:paraId="0FA3E143"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Efficiency</w:t>
            </w:r>
          </w:p>
        </w:tc>
        <w:tc>
          <w:tcPr>
            <w:tcW w:w="410" w:type="pct"/>
            <w:textDirection w:val="btLr"/>
          </w:tcPr>
          <w:p w14:paraId="1D0571D4"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Monitoring and Evaluation</w:t>
            </w:r>
          </w:p>
        </w:tc>
        <w:tc>
          <w:tcPr>
            <w:tcW w:w="413" w:type="pct"/>
            <w:textDirection w:val="btLr"/>
          </w:tcPr>
          <w:p w14:paraId="74EC851D"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Sustainability</w:t>
            </w:r>
          </w:p>
        </w:tc>
        <w:tc>
          <w:tcPr>
            <w:tcW w:w="410" w:type="pct"/>
            <w:textDirection w:val="btLr"/>
          </w:tcPr>
          <w:p w14:paraId="30BBA518"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Gender equality</w:t>
            </w:r>
          </w:p>
        </w:tc>
        <w:tc>
          <w:tcPr>
            <w:tcW w:w="407" w:type="pct"/>
            <w:textDirection w:val="btLr"/>
          </w:tcPr>
          <w:p w14:paraId="29B9516D"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Risks  and Safeguards</w:t>
            </w:r>
          </w:p>
        </w:tc>
      </w:tr>
      <w:tr w:rsidR="00B12AC9" w:rsidRPr="00C61187" w14:paraId="40E35CF0" w14:textId="77777777" w:rsidTr="00B12AC9">
        <w:trPr>
          <w:cnfStyle w:val="000000010000" w:firstRow="0" w:lastRow="0" w:firstColumn="0" w:lastColumn="0" w:oddVBand="0" w:evenVBand="0" w:oddHBand="0" w:evenHBand="1" w:firstRowFirstColumn="0" w:firstRowLastColumn="0" w:lastRowFirstColumn="0" w:lastRowLastColumn="0"/>
          <w:trHeight w:val="284"/>
        </w:trPr>
        <w:tc>
          <w:tcPr>
            <w:tcW w:w="899" w:type="pct"/>
          </w:tcPr>
          <w:p w14:paraId="4B05319C" w14:textId="77777777" w:rsidR="00746D65" w:rsidRPr="00746D65" w:rsidRDefault="007C5516" w:rsidP="007C5516">
            <w:pPr>
              <w:spacing w:before="60"/>
              <w:rPr>
                <w:rFonts w:asciiTheme="minorHAnsi" w:hAnsiTheme="minorHAnsi" w:cstheme="minorHAnsi"/>
                <w:iCs/>
              </w:rPr>
            </w:pPr>
            <w:r w:rsidRPr="007C5516">
              <w:rPr>
                <w:rFonts w:asciiTheme="minorHAnsi" w:eastAsia="Times New Roman" w:hAnsiTheme="minorHAnsi" w:cstheme="minorHAnsi"/>
                <w:iCs/>
                <w:szCs w:val="17"/>
                <w:lang w:eastAsia="en-US"/>
              </w:rPr>
              <w:t>ASEAN-Australia Development Cooperation Program Phase II</w:t>
            </w:r>
          </w:p>
        </w:tc>
        <w:tc>
          <w:tcPr>
            <w:tcW w:w="661" w:type="pct"/>
          </w:tcPr>
          <w:p w14:paraId="214D1453" w14:textId="77777777" w:rsidR="00746D65" w:rsidRPr="00746D65" w:rsidRDefault="00746D65" w:rsidP="007C5516">
            <w:pPr>
              <w:spacing w:before="60"/>
              <w:rPr>
                <w:rFonts w:asciiTheme="minorHAnsi" w:eastAsia="Times New Roman" w:hAnsiTheme="minorHAnsi" w:cstheme="minorHAnsi"/>
                <w:iCs/>
                <w:szCs w:val="17"/>
                <w:lang w:eastAsia="en-US"/>
              </w:rPr>
            </w:pPr>
            <w:r w:rsidRPr="00746D65">
              <w:rPr>
                <w:rFonts w:asciiTheme="minorHAnsi" w:eastAsia="Times New Roman" w:hAnsiTheme="minorHAnsi" w:cstheme="minorHAnsi"/>
                <w:iCs/>
                <w:szCs w:val="17"/>
                <w:lang w:eastAsia="en-US"/>
              </w:rPr>
              <w:t>$</w:t>
            </w:r>
            <w:r w:rsidR="00B12AC9">
              <w:rPr>
                <w:rFonts w:asciiTheme="minorHAnsi" w:eastAsia="Times New Roman" w:hAnsiTheme="minorHAnsi" w:cstheme="minorHAnsi"/>
                <w:iCs/>
                <w:szCs w:val="17"/>
                <w:lang w:eastAsia="en-US"/>
              </w:rPr>
              <w:t>58,335,453</w:t>
            </w:r>
            <w:r w:rsidR="00B12AC9">
              <w:rPr>
                <w:rFonts w:asciiTheme="minorHAnsi" w:eastAsia="Times New Roman" w:hAnsiTheme="minorHAnsi" w:cstheme="minorHAnsi"/>
                <w:iCs/>
                <w:szCs w:val="17"/>
                <w:lang w:eastAsia="en-US"/>
              </w:rPr>
              <w:br/>
            </w:r>
            <w:r w:rsidRPr="00746D65">
              <w:rPr>
                <w:rFonts w:asciiTheme="minorHAnsi" w:eastAsia="Times New Roman" w:hAnsiTheme="minorHAnsi" w:cstheme="minorHAnsi"/>
                <w:iCs/>
                <w:szCs w:val="17"/>
                <w:lang w:eastAsia="en-US"/>
              </w:rPr>
              <w:t>2007-2019</w:t>
            </w:r>
          </w:p>
        </w:tc>
        <w:tc>
          <w:tcPr>
            <w:tcW w:w="411" w:type="pct"/>
          </w:tcPr>
          <w:p w14:paraId="25118826" w14:textId="77777777" w:rsidR="00746D65" w:rsidRPr="00746D65" w:rsidRDefault="00746D65" w:rsidP="007C5516">
            <w:pPr>
              <w:spacing w:before="60"/>
              <w:rPr>
                <w:rFonts w:asciiTheme="minorHAnsi" w:eastAsia="Times New Roman" w:hAnsiTheme="minorHAnsi" w:cstheme="minorHAnsi"/>
                <w:iCs/>
                <w:szCs w:val="17"/>
                <w:lang w:eastAsia="en-US"/>
              </w:rPr>
            </w:pPr>
            <w:r w:rsidRPr="00746D65">
              <w:rPr>
                <w:rFonts w:asciiTheme="minorHAnsi" w:eastAsia="Times New Roman" w:hAnsiTheme="minorHAnsi" w:cstheme="minorHAnsi"/>
                <w:iCs/>
                <w:szCs w:val="17"/>
                <w:lang w:eastAsia="en-US"/>
              </w:rPr>
              <w:t>2016 AQC</w:t>
            </w:r>
          </w:p>
        </w:tc>
        <w:tc>
          <w:tcPr>
            <w:tcW w:w="413" w:type="pct"/>
            <w:shd w:val="clear" w:color="auto" w:fill="92D050"/>
            <w:noWrap/>
          </w:tcPr>
          <w:p w14:paraId="2CA0E509"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6</w:t>
            </w:r>
          </w:p>
        </w:tc>
        <w:tc>
          <w:tcPr>
            <w:tcW w:w="410" w:type="pct"/>
            <w:shd w:val="clear" w:color="auto" w:fill="92D050"/>
            <w:noWrap/>
          </w:tcPr>
          <w:p w14:paraId="337F4BD5"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3" w:type="pct"/>
            <w:shd w:val="clear" w:color="auto" w:fill="92D050"/>
            <w:noWrap/>
          </w:tcPr>
          <w:p w14:paraId="358D01BF"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FFFF00"/>
            <w:noWrap/>
          </w:tcPr>
          <w:p w14:paraId="7D88CE48"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3" w:type="pct"/>
            <w:shd w:val="clear" w:color="auto" w:fill="92D050"/>
            <w:noWrap/>
          </w:tcPr>
          <w:p w14:paraId="045E8E74"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FFC000"/>
            <w:noWrap/>
          </w:tcPr>
          <w:p w14:paraId="3A8BBA01"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3</w:t>
            </w:r>
          </w:p>
        </w:tc>
        <w:tc>
          <w:tcPr>
            <w:tcW w:w="407" w:type="pct"/>
            <w:shd w:val="clear" w:color="auto" w:fill="92D050"/>
          </w:tcPr>
          <w:p w14:paraId="1D6B853E"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r>
      <w:tr w:rsidR="00B12AC9" w:rsidRPr="00C61187" w14:paraId="099D9909" w14:textId="77777777" w:rsidTr="00B12AC9">
        <w:trPr>
          <w:cnfStyle w:val="000000010000" w:firstRow="0" w:lastRow="0" w:firstColumn="0" w:lastColumn="0" w:oddVBand="0" w:evenVBand="0" w:oddHBand="0" w:evenHBand="1" w:firstRowFirstColumn="0" w:firstRowLastColumn="0" w:lastRowFirstColumn="0" w:lastRowLastColumn="0"/>
          <w:trHeight w:val="865"/>
        </w:trPr>
        <w:tc>
          <w:tcPr>
            <w:tcW w:w="899" w:type="pct"/>
          </w:tcPr>
          <w:p w14:paraId="6D712C9D" w14:textId="77777777" w:rsidR="00746D65" w:rsidRPr="007A5548" w:rsidRDefault="00746D65" w:rsidP="007C5516">
            <w:pPr>
              <w:spacing w:before="60"/>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AANZFTA Economic Cooperation Support Program</w:t>
            </w:r>
          </w:p>
        </w:tc>
        <w:tc>
          <w:tcPr>
            <w:tcW w:w="661" w:type="pct"/>
          </w:tcPr>
          <w:p w14:paraId="29C9838A" w14:textId="77777777" w:rsidR="00746D65" w:rsidRPr="00746D65" w:rsidRDefault="00746D65" w:rsidP="007C5516">
            <w:pPr>
              <w:spacing w:before="60"/>
              <w:rPr>
                <w:rFonts w:asciiTheme="minorHAnsi" w:eastAsia="Times New Roman" w:hAnsiTheme="minorHAnsi" w:cstheme="minorHAnsi"/>
                <w:iCs/>
                <w:szCs w:val="17"/>
                <w:lang w:eastAsia="en-US"/>
              </w:rPr>
            </w:pPr>
            <w:r w:rsidRPr="00746D65">
              <w:rPr>
                <w:rFonts w:asciiTheme="minorHAnsi" w:eastAsia="Times New Roman" w:hAnsiTheme="minorHAnsi" w:cstheme="minorHAnsi"/>
                <w:iCs/>
                <w:szCs w:val="17"/>
                <w:lang w:eastAsia="en-US"/>
              </w:rPr>
              <w:t>$</w:t>
            </w:r>
            <w:r w:rsidR="00B12AC9" w:rsidRPr="00B12AC9">
              <w:rPr>
                <w:rFonts w:asciiTheme="minorHAnsi" w:eastAsia="Times New Roman" w:hAnsiTheme="minorHAnsi" w:cstheme="minorHAnsi"/>
                <w:iCs/>
                <w:szCs w:val="17"/>
                <w:lang w:eastAsia="en-US"/>
              </w:rPr>
              <w:t>27</w:t>
            </w:r>
            <w:r w:rsidR="00B12AC9">
              <w:rPr>
                <w:rFonts w:asciiTheme="minorHAnsi" w:eastAsia="Times New Roman" w:hAnsiTheme="minorHAnsi" w:cstheme="minorHAnsi"/>
                <w:iCs/>
                <w:szCs w:val="17"/>
                <w:lang w:eastAsia="en-US"/>
              </w:rPr>
              <w:t>,</w:t>
            </w:r>
            <w:r w:rsidR="00B12AC9" w:rsidRPr="00B12AC9">
              <w:rPr>
                <w:rFonts w:asciiTheme="minorHAnsi" w:eastAsia="Times New Roman" w:hAnsiTheme="minorHAnsi" w:cstheme="minorHAnsi"/>
                <w:iCs/>
                <w:szCs w:val="17"/>
                <w:lang w:eastAsia="en-US"/>
              </w:rPr>
              <w:t>142</w:t>
            </w:r>
            <w:r w:rsidR="00B12AC9">
              <w:rPr>
                <w:rFonts w:asciiTheme="minorHAnsi" w:eastAsia="Times New Roman" w:hAnsiTheme="minorHAnsi" w:cstheme="minorHAnsi"/>
                <w:iCs/>
                <w:szCs w:val="17"/>
                <w:lang w:eastAsia="en-US"/>
              </w:rPr>
              <w:t>,</w:t>
            </w:r>
            <w:r w:rsidR="00B12AC9" w:rsidRPr="00B12AC9">
              <w:rPr>
                <w:rFonts w:asciiTheme="minorHAnsi" w:eastAsia="Times New Roman" w:hAnsiTheme="minorHAnsi" w:cstheme="minorHAnsi"/>
                <w:iCs/>
                <w:szCs w:val="17"/>
                <w:lang w:eastAsia="en-US"/>
              </w:rPr>
              <w:t>033</w:t>
            </w:r>
            <w:r>
              <w:rPr>
                <w:rFonts w:asciiTheme="minorHAnsi" w:eastAsia="Times New Roman" w:hAnsiTheme="minorHAnsi" w:cstheme="minorHAnsi"/>
                <w:iCs/>
                <w:szCs w:val="17"/>
                <w:lang w:eastAsia="en-US"/>
              </w:rPr>
              <w:br/>
            </w:r>
            <w:r w:rsidRPr="00746D65">
              <w:rPr>
                <w:rFonts w:asciiTheme="minorHAnsi" w:eastAsia="Times New Roman" w:hAnsiTheme="minorHAnsi" w:cstheme="minorHAnsi"/>
                <w:iCs/>
                <w:szCs w:val="17"/>
                <w:lang w:eastAsia="en-US"/>
              </w:rPr>
              <w:t>2008-201</w:t>
            </w:r>
            <w:r w:rsidR="00B12AC9">
              <w:rPr>
                <w:rFonts w:asciiTheme="minorHAnsi" w:eastAsia="Times New Roman" w:hAnsiTheme="minorHAnsi" w:cstheme="minorHAnsi"/>
                <w:iCs/>
                <w:szCs w:val="17"/>
                <w:lang w:eastAsia="en-US"/>
              </w:rPr>
              <w:t>8</w:t>
            </w:r>
          </w:p>
        </w:tc>
        <w:tc>
          <w:tcPr>
            <w:tcW w:w="411" w:type="pct"/>
          </w:tcPr>
          <w:p w14:paraId="32C80C64" w14:textId="77777777" w:rsidR="00746D65" w:rsidRPr="00746D65" w:rsidRDefault="00746D65" w:rsidP="007C5516">
            <w:pPr>
              <w:spacing w:before="60"/>
              <w:rPr>
                <w:rFonts w:asciiTheme="minorHAnsi" w:eastAsia="Times New Roman" w:hAnsiTheme="minorHAnsi" w:cstheme="minorHAnsi"/>
                <w:iCs/>
                <w:szCs w:val="17"/>
                <w:lang w:eastAsia="en-US"/>
              </w:rPr>
            </w:pPr>
            <w:r w:rsidRPr="00746D65">
              <w:rPr>
                <w:rFonts w:asciiTheme="minorHAnsi" w:eastAsia="Times New Roman" w:hAnsiTheme="minorHAnsi" w:cstheme="minorHAnsi"/>
                <w:iCs/>
                <w:szCs w:val="17"/>
                <w:lang w:eastAsia="en-US"/>
              </w:rPr>
              <w:t>2016 AQC</w:t>
            </w:r>
          </w:p>
        </w:tc>
        <w:tc>
          <w:tcPr>
            <w:tcW w:w="413" w:type="pct"/>
            <w:shd w:val="clear" w:color="auto" w:fill="92D050"/>
            <w:noWrap/>
          </w:tcPr>
          <w:p w14:paraId="3F902834" w14:textId="77777777" w:rsidR="00746D65" w:rsidRPr="003B0793" w:rsidRDefault="00B12AC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10" w:type="pct"/>
            <w:shd w:val="clear" w:color="auto" w:fill="92D050"/>
            <w:noWrap/>
          </w:tcPr>
          <w:p w14:paraId="18631E7F" w14:textId="77777777" w:rsidR="00746D65" w:rsidRPr="003B0793" w:rsidRDefault="00B12AC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3" w:type="pct"/>
            <w:shd w:val="clear" w:color="auto" w:fill="92D050"/>
            <w:noWrap/>
          </w:tcPr>
          <w:p w14:paraId="2D95AC2E" w14:textId="77777777" w:rsidR="00746D65" w:rsidRPr="003B0793" w:rsidRDefault="00B12AC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0" w:type="pct"/>
            <w:shd w:val="clear" w:color="auto" w:fill="FFFF00"/>
            <w:noWrap/>
          </w:tcPr>
          <w:p w14:paraId="61FB2378" w14:textId="77777777" w:rsidR="00746D65" w:rsidRPr="003B0793" w:rsidRDefault="00B12AC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3" w:type="pct"/>
            <w:shd w:val="clear" w:color="auto" w:fill="92D050"/>
            <w:noWrap/>
          </w:tcPr>
          <w:p w14:paraId="7A8CACB9" w14:textId="77777777" w:rsidR="00746D65" w:rsidRPr="003B0793" w:rsidRDefault="00B12AC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0" w:type="pct"/>
            <w:shd w:val="clear" w:color="auto" w:fill="FFC000"/>
            <w:noWrap/>
          </w:tcPr>
          <w:p w14:paraId="01CB3843" w14:textId="77777777" w:rsidR="00746D65" w:rsidRPr="003B0793" w:rsidRDefault="00B12AC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07" w:type="pct"/>
            <w:shd w:val="clear" w:color="auto" w:fill="92D050"/>
          </w:tcPr>
          <w:p w14:paraId="6C3A09F9" w14:textId="77777777" w:rsidR="00746D65" w:rsidRPr="003B0793" w:rsidRDefault="00B12AC9"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B12AC9" w:rsidRPr="00C61187" w14:paraId="2B84B053" w14:textId="77777777" w:rsidTr="00B12AC9">
        <w:trPr>
          <w:cnfStyle w:val="000000010000" w:firstRow="0" w:lastRow="0" w:firstColumn="0" w:lastColumn="0" w:oddVBand="0" w:evenVBand="0" w:oddHBand="0" w:evenHBand="1" w:firstRowFirstColumn="0" w:firstRowLastColumn="0" w:lastRowFirstColumn="0" w:lastRowLastColumn="0"/>
          <w:trHeight w:val="284"/>
        </w:trPr>
        <w:tc>
          <w:tcPr>
            <w:tcW w:w="899" w:type="pct"/>
          </w:tcPr>
          <w:p w14:paraId="7E04B752" w14:textId="77777777" w:rsidR="00746D65" w:rsidRPr="007A5548" w:rsidRDefault="00746D65" w:rsidP="007C5516">
            <w:pPr>
              <w:spacing w:before="60"/>
              <w:rPr>
                <w:rFonts w:eastAsia="Times New Roman" w:cstheme="minorHAnsi"/>
                <w:iCs/>
                <w:szCs w:val="17"/>
              </w:rPr>
            </w:pPr>
            <w:r w:rsidRPr="007A5548">
              <w:rPr>
                <w:rFonts w:asciiTheme="minorHAnsi" w:eastAsia="Times New Roman" w:hAnsiTheme="minorHAnsi" w:cstheme="minorHAnsi"/>
                <w:iCs/>
                <w:szCs w:val="17"/>
                <w:lang w:eastAsia="en-US"/>
              </w:rPr>
              <w:t>Mekong Trade and Transport Facilitation</w:t>
            </w:r>
          </w:p>
        </w:tc>
        <w:tc>
          <w:tcPr>
            <w:tcW w:w="661" w:type="pct"/>
          </w:tcPr>
          <w:p w14:paraId="15F9C8D1" w14:textId="77777777" w:rsidR="00746D65" w:rsidRPr="00B12AC9" w:rsidRDefault="00746D65" w:rsidP="007C5516">
            <w:pPr>
              <w:spacing w:before="60"/>
              <w:rPr>
                <w:rFonts w:asciiTheme="minorHAnsi" w:eastAsia="Times New Roman" w:hAnsiTheme="minorHAnsi" w:cstheme="minorHAnsi"/>
                <w:iCs/>
                <w:szCs w:val="17"/>
                <w:lang w:eastAsia="en-US"/>
              </w:rPr>
            </w:pPr>
            <w:r w:rsidRPr="00746D65">
              <w:rPr>
                <w:rFonts w:asciiTheme="minorHAnsi" w:eastAsia="Times New Roman" w:hAnsiTheme="minorHAnsi" w:cstheme="minorHAnsi"/>
                <w:iCs/>
                <w:szCs w:val="17"/>
                <w:lang w:eastAsia="en-US"/>
              </w:rPr>
              <w:t>$6,000,000</w:t>
            </w:r>
            <w:r>
              <w:rPr>
                <w:rFonts w:asciiTheme="minorHAnsi" w:eastAsia="Times New Roman" w:hAnsiTheme="minorHAnsi" w:cstheme="minorHAnsi"/>
                <w:iCs/>
                <w:szCs w:val="17"/>
                <w:lang w:eastAsia="en-US"/>
              </w:rPr>
              <w:br/>
            </w:r>
            <w:r w:rsidRPr="00746D65">
              <w:rPr>
                <w:rFonts w:asciiTheme="minorHAnsi" w:eastAsia="Times New Roman" w:hAnsiTheme="minorHAnsi" w:cstheme="minorHAnsi"/>
                <w:iCs/>
                <w:szCs w:val="17"/>
                <w:lang w:eastAsia="en-US"/>
              </w:rPr>
              <w:t>2010-</w:t>
            </w:r>
            <w:r w:rsidR="00B12AC9">
              <w:rPr>
                <w:rFonts w:asciiTheme="minorHAnsi" w:eastAsia="Times New Roman" w:hAnsiTheme="minorHAnsi" w:cstheme="minorHAnsi"/>
                <w:iCs/>
                <w:szCs w:val="17"/>
                <w:lang w:eastAsia="en-US"/>
              </w:rPr>
              <w:t>2017</w:t>
            </w:r>
          </w:p>
        </w:tc>
        <w:tc>
          <w:tcPr>
            <w:tcW w:w="411" w:type="pct"/>
          </w:tcPr>
          <w:p w14:paraId="2A99AF80" w14:textId="77777777" w:rsidR="00746D65" w:rsidRPr="00746D65" w:rsidRDefault="00746D65" w:rsidP="007C5516">
            <w:pPr>
              <w:spacing w:before="60"/>
              <w:rPr>
                <w:rFonts w:asciiTheme="minorHAnsi" w:eastAsia="Times New Roman" w:hAnsiTheme="minorHAnsi" w:cstheme="minorHAnsi"/>
                <w:iCs/>
                <w:szCs w:val="17"/>
                <w:lang w:eastAsia="en-US"/>
              </w:rPr>
            </w:pPr>
            <w:r w:rsidRPr="00746D65">
              <w:rPr>
                <w:rFonts w:asciiTheme="minorHAnsi" w:eastAsia="Times New Roman" w:hAnsiTheme="minorHAnsi" w:cstheme="minorHAnsi"/>
                <w:iCs/>
                <w:szCs w:val="17"/>
                <w:lang w:eastAsia="en-US"/>
              </w:rPr>
              <w:t>2016 AQC</w:t>
            </w:r>
          </w:p>
        </w:tc>
        <w:tc>
          <w:tcPr>
            <w:tcW w:w="413" w:type="pct"/>
            <w:shd w:val="clear" w:color="auto" w:fill="92D050"/>
            <w:noWrap/>
          </w:tcPr>
          <w:p w14:paraId="64EE9677"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FFFF00"/>
            <w:noWrap/>
          </w:tcPr>
          <w:p w14:paraId="300F52AF"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3" w:type="pct"/>
            <w:shd w:val="clear" w:color="auto" w:fill="FFFF00"/>
            <w:noWrap/>
          </w:tcPr>
          <w:p w14:paraId="56E3DC4A"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FFFF00"/>
            <w:noWrap/>
          </w:tcPr>
          <w:p w14:paraId="7E86DF1E"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3" w:type="pct"/>
            <w:shd w:val="clear" w:color="auto" w:fill="FFFF00"/>
            <w:noWrap/>
          </w:tcPr>
          <w:p w14:paraId="172A72BE"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FFFF00"/>
            <w:noWrap/>
          </w:tcPr>
          <w:p w14:paraId="5280ABC7"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7" w:type="pct"/>
            <w:shd w:val="clear" w:color="auto" w:fill="FFFF00"/>
          </w:tcPr>
          <w:p w14:paraId="2D4AD972" w14:textId="77777777" w:rsidR="00746D65"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r>
      <w:tr w:rsidR="00B12AC9" w:rsidRPr="00C61187" w14:paraId="23375F3F" w14:textId="77777777" w:rsidTr="00B12AC9">
        <w:trPr>
          <w:cnfStyle w:val="000000010000" w:firstRow="0" w:lastRow="0" w:firstColumn="0" w:lastColumn="0" w:oddVBand="0" w:evenVBand="0" w:oddHBand="0" w:evenHBand="1" w:firstRowFirstColumn="0" w:firstRowLastColumn="0" w:lastRowFirstColumn="0" w:lastRowLastColumn="0"/>
          <w:trHeight w:val="284"/>
        </w:trPr>
        <w:tc>
          <w:tcPr>
            <w:tcW w:w="899" w:type="pct"/>
          </w:tcPr>
          <w:p w14:paraId="1C6D25B0" w14:textId="77777777" w:rsidR="00B12AC9" w:rsidRPr="007A5548" w:rsidRDefault="00B12AC9" w:rsidP="007C5516">
            <w:pPr>
              <w:spacing w:before="60"/>
              <w:rPr>
                <w:rFonts w:eastAsia="Times New Roman" w:cstheme="minorHAnsi"/>
                <w:iCs/>
                <w:szCs w:val="17"/>
              </w:rPr>
            </w:pPr>
            <w:r w:rsidRPr="00B12AC9">
              <w:rPr>
                <w:rFonts w:asciiTheme="minorHAnsi" w:eastAsia="Times New Roman" w:hAnsiTheme="minorHAnsi" w:cstheme="minorHAnsi"/>
                <w:iCs/>
                <w:szCs w:val="17"/>
                <w:lang w:eastAsia="en-US"/>
              </w:rPr>
              <w:t>Regional Economic Development Program</w:t>
            </w:r>
          </w:p>
        </w:tc>
        <w:tc>
          <w:tcPr>
            <w:tcW w:w="661" w:type="pct"/>
          </w:tcPr>
          <w:p w14:paraId="224B99FF" w14:textId="77777777" w:rsidR="00B12AC9" w:rsidRPr="00B12AC9" w:rsidRDefault="00B12AC9" w:rsidP="007C5516">
            <w:pPr>
              <w:spacing w:before="60"/>
              <w:rPr>
                <w:rFonts w:asciiTheme="minorHAnsi" w:eastAsia="Times New Roman" w:hAnsiTheme="minorHAnsi" w:cstheme="minorHAnsi"/>
                <w:iCs/>
                <w:szCs w:val="17"/>
                <w:lang w:eastAsia="en-US"/>
              </w:rPr>
            </w:pPr>
            <w:r w:rsidRPr="00B12AC9">
              <w:rPr>
                <w:rFonts w:asciiTheme="minorHAnsi" w:eastAsia="Times New Roman" w:hAnsiTheme="minorHAnsi" w:cstheme="minorHAnsi"/>
                <w:iCs/>
                <w:szCs w:val="17"/>
                <w:lang w:eastAsia="en-US"/>
              </w:rPr>
              <w:t>$</w:t>
            </w:r>
            <w:r>
              <w:rPr>
                <w:rFonts w:asciiTheme="minorHAnsi" w:eastAsia="Times New Roman" w:hAnsiTheme="minorHAnsi" w:cstheme="minorHAnsi"/>
                <w:iCs/>
                <w:szCs w:val="17"/>
                <w:lang w:eastAsia="en-US"/>
              </w:rPr>
              <w:t>19,358,922</w:t>
            </w:r>
            <w:r w:rsidRPr="00B12AC9">
              <w:rPr>
                <w:rFonts w:asciiTheme="minorHAnsi" w:eastAsia="Times New Roman" w:hAnsiTheme="minorHAnsi" w:cstheme="minorHAnsi"/>
                <w:iCs/>
                <w:szCs w:val="17"/>
                <w:lang w:eastAsia="en-US"/>
              </w:rPr>
              <w:br/>
              <w:t>20</w:t>
            </w:r>
            <w:r>
              <w:rPr>
                <w:rFonts w:asciiTheme="minorHAnsi" w:eastAsia="Times New Roman" w:hAnsiTheme="minorHAnsi" w:cstheme="minorHAnsi"/>
                <w:iCs/>
                <w:szCs w:val="17"/>
                <w:lang w:eastAsia="en-US"/>
              </w:rPr>
              <w:t>14</w:t>
            </w:r>
            <w:r w:rsidRPr="00B12AC9">
              <w:rPr>
                <w:rFonts w:asciiTheme="minorHAnsi" w:eastAsia="Times New Roman" w:hAnsiTheme="minorHAnsi" w:cstheme="minorHAnsi"/>
                <w:iCs/>
                <w:szCs w:val="17"/>
                <w:lang w:eastAsia="en-US"/>
              </w:rPr>
              <w:t>-201</w:t>
            </w:r>
            <w:r>
              <w:rPr>
                <w:rFonts w:asciiTheme="minorHAnsi" w:eastAsia="Times New Roman" w:hAnsiTheme="minorHAnsi" w:cstheme="minorHAnsi"/>
                <w:iCs/>
                <w:szCs w:val="17"/>
                <w:lang w:eastAsia="en-US"/>
              </w:rPr>
              <w:t>8</w:t>
            </w:r>
          </w:p>
        </w:tc>
        <w:tc>
          <w:tcPr>
            <w:tcW w:w="411" w:type="pct"/>
          </w:tcPr>
          <w:p w14:paraId="495F82EF" w14:textId="77777777" w:rsidR="00B12AC9" w:rsidRPr="003B0793" w:rsidRDefault="00B12AC9" w:rsidP="007C5516">
            <w:pPr>
              <w:spacing w:before="60"/>
              <w:rPr>
                <w:rFonts w:eastAsia="Times New Roman"/>
                <w:iCs/>
                <w:szCs w:val="17"/>
              </w:rPr>
            </w:pPr>
            <w:r w:rsidRPr="00B12AC9">
              <w:rPr>
                <w:rFonts w:asciiTheme="minorHAnsi" w:eastAsia="Times New Roman" w:hAnsiTheme="minorHAnsi" w:cstheme="minorHAnsi"/>
                <w:iCs/>
                <w:szCs w:val="17"/>
                <w:lang w:eastAsia="en-US"/>
              </w:rPr>
              <w:t>2016 AQC</w:t>
            </w:r>
          </w:p>
        </w:tc>
        <w:tc>
          <w:tcPr>
            <w:tcW w:w="413" w:type="pct"/>
            <w:shd w:val="clear" w:color="auto" w:fill="92D050"/>
            <w:noWrap/>
          </w:tcPr>
          <w:p w14:paraId="702EE69C"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FFFF00"/>
            <w:noWrap/>
          </w:tcPr>
          <w:p w14:paraId="5251DC11"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3" w:type="pct"/>
            <w:shd w:val="clear" w:color="auto" w:fill="FFFF00"/>
            <w:noWrap/>
          </w:tcPr>
          <w:p w14:paraId="29745982"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FFFF00"/>
            <w:noWrap/>
          </w:tcPr>
          <w:p w14:paraId="6F9AA831"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3" w:type="pct"/>
            <w:shd w:val="clear" w:color="auto" w:fill="FFFF00"/>
            <w:noWrap/>
          </w:tcPr>
          <w:p w14:paraId="1B334315"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FFFF00"/>
            <w:noWrap/>
          </w:tcPr>
          <w:p w14:paraId="18A14A08"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7" w:type="pct"/>
            <w:shd w:val="clear" w:color="auto" w:fill="FFFF00"/>
          </w:tcPr>
          <w:p w14:paraId="7EA1E0BB"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r>
      <w:tr w:rsidR="00B12AC9" w:rsidRPr="00C61187" w14:paraId="07D9CDF8" w14:textId="77777777" w:rsidTr="00B12AC9">
        <w:trPr>
          <w:cnfStyle w:val="000000010000" w:firstRow="0" w:lastRow="0" w:firstColumn="0" w:lastColumn="0" w:oddVBand="0" w:evenVBand="0" w:oddHBand="0" w:evenHBand="1" w:firstRowFirstColumn="0" w:firstRowLastColumn="0" w:lastRowFirstColumn="0" w:lastRowLastColumn="0"/>
          <w:trHeight w:val="284"/>
        </w:trPr>
        <w:tc>
          <w:tcPr>
            <w:tcW w:w="899" w:type="pct"/>
          </w:tcPr>
          <w:p w14:paraId="1E4DAA5D" w14:textId="77777777" w:rsidR="00B12AC9" w:rsidRPr="007A5548" w:rsidRDefault="00B12AC9" w:rsidP="007C5516">
            <w:pPr>
              <w:spacing w:before="60"/>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Oxfam-Civil Society Engagement in Water Governance</w:t>
            </w:r>
          </w:p>
        </w:tc>
        <w:tc>
          <w:tcPr>
            <w:tcW w:w="661" w:type="pct"/>
          </w:tcPr>
          <w:p w14:paraId="248D6749" w14:textId="77777777" w:rsidR="00B12AC9" w:rsidRPr="00B12AC9" w:rsidRDefault="00B12AC9" w:rsidP="007C5516">
            <w:pPr>
              <w:spacing w:before="60"/>
              <w:rPr>
                <w:rFonts w:asciiTheme="minorHAnsi" w:hAnsiTheme="minorHAnsi" w:cstheme="minorHAnsi"/>
                <w:lang w:eastAsia="en-US"/>
              </w:rPr>
            </w:pPr>
            <w:r w:rsidRPr="00B12AC9">
              <w:rPr>
                <w:rFonts w:asciiTheme="minorHAnsi" w:eastAsia="Times New Roman" w:hAnsiTheme="minorHAnsi" w:cstheme="minorHAnsi"/>
                <w:iCs/>
                <w:szCs w:val="17"/>
                <w:lang w:eastAsia="en-US"/>
              </w:rPr>
              <w:t>$6,000,000</w:t>
            </w:r>
            <w:r>
              <w:rPr>
                <w:rFonts w:asciiTheme="minorHAnsi" w:eastAsia="Times New Roman" w:hAnsiTheme="minorHAnsi" w:cstheme="minorHAnsi"/>
                <w:iCs/>
                <w:szCs w:val="17"/>
                <w:lang w:eastAsia="en-US"/>
              </w:rPr>
              <w:br/>
            </w:r>
            <w:r w:rsidRPr="00B12AC9">
              <w:rPr>
                <w:rFonts w:asciiTheme="minorHAnsi" w:eastAsia="Times New Roman" w:hAnsiTheme="minorHAnsi" w:cstheme="minorHAnsi"/>
                <w:iCs/>
                <w:szCs w:val="17"/>
                <w:lang w:eastAsia="en-US"/>
              </w:rPr>
              <w:t>2013-2017</w:t>
            </w:r>
          </w:p>
        </w:tc>
        <w:tc>
          <w:tcPr>
            <w:tcW w:w="411" w:type="pct"/>
          </w:tcPr>
          <w:p w14:paraId="5FC02985" w14:textId="77777777" w:rsidR="00B12AC9" w:rsidRPr="00B12AC9" w:rsidRDefault="00B12AC9" w:rsidP="007C5516">
            <w:pPr>
              <w:spacing w:before="60"/>
              <w:rPr>
                <w:rFonts w:asciiTheme="minorHAnsi" w:eastAsia="Times New Roman" w:hAnsiTheme="minorHAnsi" w:cstheme="minorHAnsi"/>
                <w:iCs/>
                <w:szCs w:val="17"/>
                <w:lang w:eastAsia="en-US"/>
              </w:rPr>
            </w:pPr>
            <w:r w:rsidRPr="00B12AC9">
              <w:rPr>
                <w:rFonts w:asciiTheme="minorHAnsi" w:eastAsia="Times New Roman" w:hAnsiTheme="minorHAnsi" w:cstheme="minorHAnsi"/>
                <w:iCs/>
                <w:szCs w:val="17"/>
                <w:lang w:eastAsia="en-US"/>
              </w:rPr>
              <w:t>2016 AQC</w:t>
            </w:r>
          </w:p>
        </w:tc>
        <w:tc>
          <w:tcPr>
            <w:tcW w:w="413" w:type="pct"/>
            <w:shd w:val="clear" w:color="auto" w:fill="92D050"/>
            <w:noWrap/>
          </w:tcPr>
          <w:p w14:paraId="6A05B086"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92D050"/>
            <w:noWrap/>
          </w:tcPr>
          <w:p w14:paraId="77520361"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3" w:type="pct"/>
            <w:shd w:val="clear" w:color="auto" w:fill="92D050"/>
            <w:noWrap/>
          </w:tcPr>
          <w:p w14:paraId="2058A65D"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92D050"/>
            <w:noWrap/>
          </w:tcPr>
          <w:p w14:paraId="03F2F6A9"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3" w:type="pct"/>
            <w:shd w:val="clear" w:color="auto" w:fill="FFFF00"/>
            <w:noWrap/>
          </w:tcPr>
          <w:p w14:paraId="1AED5FB4"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92D050"/>
            <w:noWrap/>
          </w:tcPr>
          <w:p w14:paraId="1F7D399C"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6</w:t>
            </w:r>
          </w:p>
        </w:tc>
        <w:tc>
          <w:tcPr>
            <w:tcW w:w="407" w:type="pct"/>
            <w:shd w:val="clear" w:color="auto" w:fill="92D050"/>
          </w:tcPr>
          <w:p w14:paraId="2217D883"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r>
      <w:tr w:rsidR="00B12AC9" w:rsidRPr="00C61187" w14:paraId="53D7E381" w14:textId="77777777" w:rsidTr="00B12AC9">
        <w:trPr>
          <w:cnfStyle w:val="000000010000" w:firstRow="0" w:lastRow="0" w:firstColumn="0" w:lastColumn="0" w:oddVBand="0" w:evenVBand="0" w:oddHBand="0" w:evenHBand="1" w:firstRowFirstColumn="0" w:firstRowLastColumn="0" w:lastRowFirstColumn="0" w:lastRowLastColumn="0"/>
          <w:trHeight w:val="284"/>
        </w:trPr>
        <w:tc>
          <w:tcPr>
            <w:tcW w:w="899" w:type="pct"/>
          </w:tcPr>
          <w:p w14:paraId="49BF554C" w14:textId="77777777" w:rsidR="00B12AC9" w:rsidRPr="007A5548" w:rsidRDefault="00B12AC9" w:rsidP="007C5516">
            <w:pPr>
              <w:spacing w:before="60"/>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IFC Sustainable Hydropower in the Mekong Countries</w:t>
            </w:r>
          </w:p>
        </w:tc>
        <w:tc>
          <w:tcPr>
            <w:tcW w:w="661" w:type="pct"/>
          </w:tcPr>
          <w:p w14:paraId="4C3812E9" w14:textId="77777777" w:rsidR="00B12AC9" w:rsidRPr="00B12AC9" w:rsidRDefault="00B12AC9" w:rsidP="007C5516">
            <w:pPr>
              <w:spacing w:before="60"/>
              <w:rPr>
                <w:rFonts w:asciiTheme="minorHAnsi" w:hAnsiTheme="minorHAnsi" w:cstheme="minorHAnsi"/>
                <w:lang w:eastAsia="en-US"/>
              </w:rPr>
            </w:pPr>
            <w:r w:rsidRPr="00B12AC9">
              <w:rPr>
                <w:rFonts w:asciiTheme="minorHAnsi" w:eastAsia="Times New Roman" w:hAnsiTheme="minorHAnsi" w:cstheme="minorHAnsi"/>
                <w:iCs/>
                <w:szCs w:val="17"/>
                <w:lang w:eastAsia="en-US"/>
              </w:rPr>
              <w:t>$6,000,000</w:t>
            </w:r>
            <w:r>
              <w:rPr>
                <w:rFonts w:asciiTheme="minorHAnsi" w:eastAsia="Times New Roman" w:hAnsiTheme="minorHAnsi" w:cstheme="minorHAnsi"/>
                <w:iCs/>
                <w:szCs w:val="17"/>
                <w:lang w:eastAsia="en-US"/>
              </w:rPr>
              <w:br/>
            </w:r>
            <w:r w:rsidRPr="00B12AC9">
              <w:rPr>
                <w:rFonts w:asciiTheme="minorHAnsi" w:eastAsia="Times New Roman" w:hAnsiTheme="minorHAnsi" w:cstheme="minorHAnsi"/>
                <w:iCs/>
                <w:szCs w:val="17"/>
                <w:lang w:eastAsia="en-US"/>
              </w:rPr>
              <w:t>2013-2017</w:t>
            </w:r>
          </w:p>
        </w:tc>
        <w:tc>
          <w:tcPr>
            <w:tcW w:w="411" w:type="pct"/>
          </w:tcPr>
          <w:p w14:paraId="1E3A475E" w14:textId="77777777" w:rsidR="00B12AC9" w:rsidRPr="003B0793" w:rsidRDefault="00B12AC9" w:rsidP="007C5516">
            <w:pPr>
              <w:spacing w:before="60"/>
              <w:rPr>
                <w:rFonts w:eastAsia="Times New Roman"/>
                <w:iCs/>
                <w:szCs w:val="17"/>
              </w:rPr>
            </w:pPr>
            <w:r w:rsidRPr="00B12AC9">
              <w:rPr>
                <w:rFonts w:asciiTheme="minorHAnsi" w:eastAsia="Times New Roman" w:hAnsiTheme="minorHAnsi" w:cstheme="minorHAnsi"/>
                <w:iCs/>
                <w:szCs w:val="17"/>
                <w:lang w:eastAsia="en-US"/>
              </w:rPr>
              <w:t>2016 AQC</w:t>
            </w:r>
          </w:p>
        </w:tc>
        <w:tc>
          <w:tcPr>
            <w:tcW w:w="413" w:type="pct"/>
            <w:shd w:val="clear" w:color="auto" w:fill="92D050"/>
            <w:noWrap/>
          </w:tcPr>
          <w:p w14:paraId="3CD0A901"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92D050"/>
            <w:noWrap/>
          </w:tcPr>
          <w:p w14:paraId="2BF06C9F"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3" w:type="pct"/>
            <w:shd w:val="clear" w:color="auto" w:fill="92D050"/>
            <w:noWrap/>
          </w:tcPr>
          <w:p w14:paraId="4183E0C2"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FFFF00"/>
            <w:noWrap/>
          </w:tcPr>
          <w:p w14:paraId="7B5259E0"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3" w:type="pct"/>
            <w:shd w:val="clear" w:color="auto" w:fill="FFFF00"/>
            <w:noWrap/>
          </w:tcPr>
          <w:p w14:paraId="214ED9B1"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FFFF00"/>
            <w:noWrap/>
          </w:tcPr>
          <w:p w14:paraId="690223C1"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7" w:type="pct"/>
            <w:shd w:val="clear" w:color="auto" w:fill="92D050"/>
          </w:tcPr>
          <w:p w14:paraId="122295C2"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r>
      <w:tr w:rsidR="00B12AC9" w:rsidRPr="00C61187" w14:paraId="26699F2D" w14:textId="77777777" w:rsidTr="00B12AC9">
        <w:trPr>
          <w:cnfStyle w:val="000000010000" w:firstRow="0" w:lastRow="0" w:firstColumn="0" w:lastColumn="0" w:oddVBand="0" w:evenVBand="0" w:oddHBand="0" w:evenHBand="1" w:firstRowFirstColumn="0" w:firstRowLastColumn="0" w:lastRowFirstColumn="0" w:lastRowLastColumn="0"/>
          <w:trHeight w:val="284"/>
        </w:trPr>
        <w:tc>
          <w:tcPr>
            <w:tcW w:w="899" w:type="pct"/>
          </w:tcPr>
          <w:p w14:paraId="1C3FB644" w14:textId="77777777" w:rsidR="00B12AC9" w:rsidRPr="007A5548" w:rsidRDefault="00B12AC9" w:rsidP="007C5516">
            <w:pPr>
              <w:spacing w:before="60"/>
              <w:rPr>
                <w:rFonts w:eastAsia="Times New Roman" w:cstheme="minorHAnsi"/>
                <w:iCs/>
                <w:szCs w:val="17"/>
              </w:rPr>
            </w:pPr>
            <w:r w:rsidRPr="00B12AC9">
              <w:rPr>
                <w:rFonts w:asciiTheme="minorHAnsi" w:eastAsia="Times New Roman" w:hAnsiTheme="minorHAnsi" w:cstheme="minorHAnsi"/>
                <w:iCs/>
                <w:szCs w:val="17"/>
                <w:lang w:eastAsia="en-US"/>
              </w:rPr>
              <w:t>Supporting Mekong Water Resources Management</w:t>
            </w:r>
          </w:p>
        </w:tc>
        <w:tc>
          <w:tcPr>
            <w:tcW w:w="661" w:type="pct"/>
          </w:tcPr>
          <w:p w14:paraId="533FFF7B" w14:textId="77777777" w:rsidR="00B12AC9" w:rsidRPr="00B12AC9" w:rsidRDefault="00B12AC9" w:rsidP="007C5516">
            <w:pPr>
              <w:spacing w:before="60"/>
              <w:rPr>
                <w:rFonts w:eastAsia="Times New Roman" w:cstheme="minorHAnsi"/>
                <w:iCs/>
                <w:szCs w:val="17"/>
              </w:rPr>
            </w:pPr>
            <w:r>
              <w:rPr>
                <w:rFonts w:asciiTheme="minorHAnsi" w:eastAsia="Times New Roman" w:hAnsiTheme="minorHAnsi" w:cstheme="minorHAnsi"/>
                <w:iCs/>
                <w:szCs w:val="17"/>
                <w:lang w:eastAsia="en-US"/>
              </w:rPr>
              <w:t>$</w:t>
            </w:r>
            <w:r w:rsidRPr="00B12AC9">
              <w:rPr>
                <w:rFonts w:asciiTheme="minorHAnsi" w:eastAsia="Times New Roman" w:hAnsiTheme="minorHAnsi" w:cstheme="minorHAnsi"/>
                <w:iCs/>
                <w:szCs w:val="17"/>
                <w:lang w:eastAsia="en-US"/>
              </w:rPr>
              <w:t>6</w:t>
            </w:r>
            <w:r>
              <w:rPr>
                <w:rFonts w:asciiTheme="minorHAnsi" w:eastAsia="Times New Roman" w:hAnsiTheme="minorHAnsi" w:cstheme="minorHAnsi"/>
                <w:iCs/>
                <w:szCs w:val="17"/>
                <w:lang w:eastAsia="en-US"/>
              </w:rPr>
              <w:t>,</w:t>
            </w:r>
            <w:r w:rsidRPr="00B12AC9">
              <w:rPr>
                <w:rFonts w:asciiTheme="minorHAnsi" w:eastAsia="Times New Roman" w:hAnsiTheme="minorHAnsi" w:cstheme="minorHAnsi"/>
                <w:iCs/>
                <w:szCs w:val="17"/>
                <w:lang w:eastAsia="en-US"/>
              </w:rPr>
              <w:t>460</w:t>
            </w:r>
            <w:r>
              <w:rPr>
                <w:rFonts w:asciiTheme="minorHAnsi" w:eastAsia="Times New Roman" w:hAnsiTheme="minorHAnsi" w:cstheme="minorHAnsi"/>
                <w:iCs/>
                <w:szCs w:val="17"/>
                <w:lang w:eastAsia="en-US"/>
              </w:rPr>
              <w:t>,</w:t>
            </w:r>
            <w:r w:rsidRPr="00B12AC9">
              <w:rPr>
                <w:rFonts w:asciiTheme="minorHAnsi" w:eastAsia="Times New Roman" w:hAnsiTheme="minorHAnsi" w:cstheme="minorHAnsi"/>
                <w:iCs/>
                <w:szCs w:val="17"/>
                <w:lang w:eastAsia="en-US"/>
              </w:rPr>
              <w:t>835</w:t>
            </w:r>
            <w:r>
              <w:rPr>
                <w:rFonts w:asciiTheme="minorHAnsi" w:eastAsia="Times New Roman" w:hAnsiTheme="minorHAnsi" w:cstheme="minorHAnsi"/>
                <w:iCs/>
                <w:szCs w:val="17"/>
                <w:lang w:eastAsia="en-US"/>
              </w:rPr>
              <w:br/>
              <w:t>2014-2018</w:t>
            </w:r>
          </w:p>
        </w:tc>
        <w:tc>
          <w:tcPr>
            <w:tcW w:w="411" w:type="pct"/>
          </w:tcPr>
          <w:p w14:paraId="5938F50A" w14:textId="77777777" w:rsidR="00B12AC9" w:rsidRPr="003B0793" w:rsidRDefault="00B12AC9" w:rsidP="007C5516">
            <w:pPr>
              <w:spacing w:before="60"/>
              <w:rPr>
                <w:rFonts w:eastAsia="Times New Roman"/>
                <w:iCs/>
                <w:szCs w:val="17"/>
              </w:rPr>
            </w:pPr>
            <w:r w:rsidRPr="00B12AC9">
              <w:rPr>
                <w:rFonts w:asciiTheme="minorHAnsi" w:eastAsia="Times New Roman" w:hAnsiTheme="minorHAnsi" w:cstheme="minorHAnsi"/>
                <w:iCs/>
                <w:szCs w:val="17"/>
                <w:lang w:eastAsia="en-US"/>
              </w:rPr>
              <w:t>2016 AQC</w:t>
            </w:r>
          </w:p>
        </w:tc>
        <w:tc>
          <w:tcPr>
            <w:tcW w:w="413" w:type="pct"/>
            <w:shd w:val="clear" w:color="auto" w:fill="92D050"/>
            <w:noWrap/>
          </w:tcPr>
          <w:p w14:paraId="791D54ED"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FFFF00"/>
            <w:noWrap/>
          </w:tcPr>
          <w:p w14:paraId="754FEF32"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3" w:type="pct"/>
            <w:shd w:val="clear" w:color="auto" w:fill="FFFF00"/>
            <w:noWrap/>
          </w:tcPr>
          <w:p w14:paraId="16984EF9"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FFFF00"/>
            <w:noWrap/>
          </w:tcPr>
          <w:p w14:paraId="6C1A5908"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3" w:type="pct"/>
            <w:shd w:val="clear" w:color="auto" w:fill="92D050"/>
            <w:noWrap/>
          </w:tcPr>
          <w:p w14:paraId="49D6790C"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FFFF00"/>
            <w:noWrap/>
          </w:tcPr>
          <w:p w14:paraId="43EEA5FD"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7" w:type="pct"/>
            <w:shd w:val="clear" w:color="auto" w:fill="FFFF00"/>
          </w:tcPr>
          <w:p w14:paraId="3562B294"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r>
      <w:tr w:rsidR="00B12AC9" w:rsidRPr="00C61187" w14:paraId="4CB2ABB4" w14:textId="77777777" w:rsidTr="00B12AC9">
        <w:trPr>
          <w:cnfStyle w:val="000000010000" w:firstRow="0" w:lastRow="0" w:firstColumn="0" w:lastColumn="0" w:oddVBand="0" w:evenVBand="0" w:oddHBand="0" w:evenHBand="1" w:firstRowFirstColumn="0" w:firstRowLastColumn="0" w:lastRowFirstColumn="0" w:lastRowLastColumn="0"/>
          <w:trHeight w:val="284"/>
        </w:trPr>
        <w:tc>
          <w:tcPr>
            <w:tcW w:w="899" w:type="pct"/>
          </w:tcPr>
          <w:p w14:paraId="3D0C38CC" w14:textId="77777777" w:rsidR="00B12AC9" w:rsidRPr="007A5548" w:rsidRDefault="00B12AC9" w:rsidP="007C5516">
            <w:pPr>
              <w:spacing w:before="60"/>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Research for Development on Water Governance</w:t>
            </w:r>
          </w:p>
        </w:tc>
        <w:tc>
          <w:tcPr>
            <w:tcW w:w="661" w:type="pct"/>
          </w:tcPr>
          <w:p w14:paraId="18EBAD79" w14:textId="77777777" w:rsidR="00B12AC9" w:rsidRPr="00B12AC9" w:rsidRDefault="00B12AC9" w:rsidP="007C5516">
            <w:pPr>
              <w:spacing w:before="60"/>
              <w:rPr>
                <w:rFonts w:asciiTheme="minorHAnsi" w:hAnsiTheme="minorHAnsi" w:cstheme="minorHAnsi"/>
                <w:lang w:eastAsia="en-US"/>
              </w:rPr>
            </w:pPr>
            <w:r w:rsidRPr="00B12AC9">
              <w:rPr>
                <w:rFonts w:asciiTheme="minorHAnsi" w:eastAsia="Times New Roman" w:hAnsiTheme="minorHAnsi" w:cstheme="minorHAnsi"/>
                <w:iCs/>
                <w:szCs w:val="17"/>
                <w:lang w:eastAsia="en-US"/>
              </w:rPr>
              <w:t>$6,000,000</w:t>
            </w:r>
            <w:r>
              <w:rPr>
                <w:rFonts w:asciiTheme="minorHAnsi" w:eastAsia="Times New Roman" w:hAnsiTheme="minorHAnsi" w:cstheme="minorHAnsi"/>
                <w:iCs/>
                <w:szCs w:val="17"/>
                <w:lang w:eastAsia="en-US"/>
              </w:rPr>
              <w:br/>
            </w:r>
            <w:r w:rsidRPr="00B12AC9">
              <w:rPr>
                <w:rFonts w:asciiTheme="minorHAnsi" w:eastAsia="Times New Roman" w:hAnsiTheme="minorHAnsi" w:cstheme="minorHAnsi"/>
                <w:iCs/>
                <w:szCs w:val="17"/>
                <w:lang w:eastAsia="en-US"/>
              </w:rPr>
              <w:t>2014-2018</w:t>
            </w:r>
          </w:p>
        </w:tc>
        <w:tc>
          <w:tcPr>
            <w:tcW w:w="411" w:type="pct"/>
          </w:tcPr>
          <w:p w14:paraId="246AB9C0" w14:textId="77777777" w:rsidR="00B12AC9" w:rsidRPr="003B0793" w:rsidRDefault="00B12AC9" w:rsidP="007C5516">
            <w:pPr>
              <w:spacing w:before="60"/>
              <w:rPr>
                <w:rFonts w:eastAsia="Times New Roman"/>
                <w:iCs/>
                <w:szCs w:val="17"/>
              </w:rPr>
            </w:pPr>
            <w:r w:rsidRPr="00B12AC9">
              <w:rPr>
                <w:rFonts w:asciiTheme="minorHAnsi" w:eastAsia="Times New Roman" w:hAnsiTheme="minorHAnsi" w:cstheme="minorHAnsi"/>
                <w:iCs/>
                <w:szCs w:val="17"/>
                <w:lang w:eastAsia="en-US"/>
              </w:rPr>
              <w:t>2016 AQC</w:t>
            </w:r>
          </w:p>
        </w:tc>
        <w:tc>
          <w:tcPr>
            <w:tcW w:w="413" w:type="pct"/>
            <w:shd w:val="clear" w:color="auto" w:fill="92D050"/>
            <w:noWrap/>
          </w:tcPr>
          <w:p w14:paraId="2D64B678"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92D050"/>
            <w:noWrap/>
          </w:tcPr>
          <w:p w14:paraId="0BB8EA85"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3" w:type="pct"/>
            <w:shd w:val="clear" w:color="auto" w:fill="92D050"/>
            <w:noWrap/>
          </w:tcPr>
          <w:p w14:paraId="5009AA63"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92D050"/>
            <w:noWrap/>
          </w:tcPr>
          <w:p w14:paraId="1DDA690A"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6</w:t>
            </w:r>
          </w:p>
        </w:tc>
        <w:tc>
          <w:tcPr>
            <w:tcW w:w="413" w:type="pct"/>
            <w:shd w:val="clear" w:color="auto" w:fill="FFFF00"/>
            <w:noWrap/>
          </w:tcPr>
          <w:p w14:paraId="5EFC6CA3"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92D050"/>
            <w:noWrap/>
          </w:tcPr>
          <w:p w14:paraId="14E09869"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07" w:type="pct"/>
            <w:shd w:val="clear" w:color="auto" w:fill="92D050"/>
          </w:tcPr>
          <w:p w14:paraId="0743BCE7"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r>
      <w:tr w:rsidR="00B12AC9" w:rsidRPr="00C61187" w14:paraId="10FF94D2" w14:textId="77777777" w:rsidTr="00B12AC9">
        <w:trPr>
          <w:cnfStyle w:val="000000010000" w:firstRow="0" w:lastRow="0" w:firstColumn="0" w:lastColumn="0" w:oddVBand="0" w:evenVBand="0" w:oddHBand="0" w:evenHBand="1" w:firstRowFirstColumn="0" w:firstRowLastColumn="0" w:lastRowFirstColumn="0" w:lastRowLastColumn="0"/>
          <w:trHeight w:val="284"/>
        </w:trPr>
        <w:tc>
          <w:tcPr>
            <w:tcW w:w="899" w:type="pct"/>
          </w:tcPr>
          <w:p w14:paraId="7D7204A9" w14:textId="77777777" w:rsidR="00B12AC9" w:rsidRPr="007A5548" w:rsidRDefault="00B12AC9" w:rsidP="007C5516">
            <w:pPr>
              <w:spacing w:before="60"/>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 xml:space="preserve">Stop Transboundary Animal Disease &amp; Zoonoses </w:t>
            </w:r>
          </w:p>
        </w:tc>
        <w:tc>
          <w:tcPr>
            <w:tcW w:w="661" w:type="pct"/>
          </w:tcPr>
          <w:p w14:paraId="1A29B34B" w14:textId="77777777" w:rsidR="00B12AC9" w:rsidRPr="00B12AC9" w:rsidRDefault="00B12AC9" w:rsidP="007C5516">
            <w:pPr>
              <w:spacing w:before="60"/>
              <w:rPr>
                <w:rFonts w:asciiTheme="minorHAnsi" w:eastAsia="Times New Roman" w:hAnsiTheme="minorHAnsi" w:cstheme="minorHAnsi"/>
                <w:iCs/>
                <w:szCs w:val="17"/>
                <w:lang w:eastAsia="en-US"/>
              </w:rPr>
            </w:pPr>
            <w:r w:rsidRPr="00B12AC9">
              <w:rPr>
                <w:rFonts w:asciiTheme="minorHAnsi" w:eastAsia="Times New Roman" w:hAnsiTheme="minorHAnsi" w:cstheme="minorHAnsi"/>
                <w:iCs/>
                <w:szCs w:val="17"/>
                <w:lang w:eastAsia="en-US"/>
              </w:rPr>
              <w:t>$12</w:t>
            </w:r>
            <w:r>
              <w:rPr>
                <w:rFonts w:asciiTheme="minorHAnsi" w:eastAsia="Times New Roman" w:hAnsiTheme="minorHAnsi" w:cstheme="minorHAnsi"/>
                <w:iCs/>
                <w:szCs w:val="17"/>
                <w:lang w:eastAsia="en-US"/>
              </w:rPr>
              <w:t>,</w:t>
            </w:r>
            <w:r w:rsidRPr="00B12AC9">
              <w:rPr>
                <w:rFonts w:asciiTheme="minorHAnsi" w:eastAsia="Times New Roman" w:hAnsiTheme="minorHAnsi" w:cstheme="minorHAnsi"/>
                <w:iCs/>
                <w:szCs w:val="17"/>
                <w:lang w:eastAsia="en-US"/>
              </w:rPr>
              <w:t>795</w:t>
            </w:r>
            <w:r>
              <w:rPr>
                <w:rFonts w:asciiTheme="minorHAnsi" w:eastAsia="Times New Roman" w:hAnsiTheme="minorHAnsi" w:cstheme="minorHAnsi"/>
                <w:iCs/>
                <w:szCs w:val="17"/>
                <w:lang w:eastAsia="en-US"/>
              </w:rPr>
              <w:t>,</w:t>
            </w:r>
            <w:r w:rsidRPr="00B12AC9">
              <w:rPr>
                <w:rFonts w:asciiTheme="minorHAnsi" w:eastAsia="Times New Roman" w:hAnsiTheme="minorHAnsi" w:cstheme="minorHAnsi"/>
                <w:iCs/>
                <w:szCs w:val="17"/>
                <w:lang w:eastAsia="en-US"/>
              </w:rPr>
              <w:t>855</w:t>
            </w:r>
            <w:r w:rsidRPr="00B12AC9">
              <w:rPr>
                <w:rFonts w:asciiTheme="minorHAnsi" w:eastAsia="Times New Roman" w:hAnsiTheme="minorHAnsi" w:cstheme="minorHAnsi"/>
                <w:iCs/>
                <w:szCs w:val="17"/>
                <w:lang w:eastAsia="en-US"/>
              </w:rPr>
              <w:br/>
              <w:t>2011-</w:t>
            </w:r>
            <w:r>
              <w:rPr>
                <w:rFonts w:asciiTheme="minorHAnsi" w:eastAsia="Times New Roman" w:hAnsiTheme="minorHAnsi" w:cstheme="minorHAnsi"/>
                <w:iCs/>
                <w:szCs w:val="17"/>
                <w:lang w:eastAsia="en-US"/>
              </w:rPr>
              <w:t>2018</w:t>
            </w:r>
          </w:p>
          <w:p w14:paraId="4CD00D4D" w14:textId="77777777" w:rsidR="00B12AC9" w:rsidRPr="00B12AC9" w:rsidRDefault="00B12AC9" w:rsidP="007C5516">
            <w:pPr>
              <w:pStyle w:val="TableTextEntries"/>
              <w:keepLines w:val="0"/>
              <w:spacing w:before="60" w:after="60" w:line="230" w:lineRule="atLeast"/>
              <w:rPr>
                <w:rFonts w:asciiTheme="minorHAnsi" w:hAnsiTheme="minorHAnsi" w:cstheme="minorHAnsi"/>
                <w:color w:val="495965" w:themeColor="text2"/>
                <w:lang w:val="en-GB" w:eastAsia="en-US"/>
              </w:rPr>
            </w:pPr>
          </w:p>
        </w:tc>
        <w:tc>
          <w:tcPr>
            <w:tcW w:w="411" w:type="pct"/>
          </w:tcPr>
          <w:p w14:paraId="649B20A2" w14:textId="77777777" w:rsidR="00B12AC9" w:rsidRPr="003B0793" w:rsidRDefault="00B12AC9" w:rsidP="007C5516">
            <w:pPr>
              <w:spacing w:before="60"/>
              <w:rPr>
                <w:rFonts w:eastAsia="Times New Roman"/>
                <w:iCs/>
                <w:szCs w:val="17"/>
              </w:rPr>
            </w:pPr>
            <w:r w:rsidRPr="00B12AC9">
              <w:rPr>
                <w:rFonts w:asciiTheme="minorHAnsi" w:eastAsia="Times New Roman" w:hAnsiTheme="minorHAnsi" w:cstheme="minorHAnsi"/>
                <w:iCs/>
                <w:szCs w:val="17"/>
                <w:lang w:eastAsia="en-US"/>
              </w:rPr>
              <w:t>2016 AQC</w:t>
            </w:r>
          </w:p>
        </w:tc>
        <w:tc>
          <w:tcPr>
            <w:tcW w:w="413" w:type="pct"/>
            <w:shd w:val="clear" w:color="auto" w:fill="FFFF00"/>
            <w:noWrap/>
          </w:tcPr>
          <w:p w14:paraId="2E3FC2A4"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92D050"/>
            <w:noWrap/>
          </w:tcPr>
          <w:p w14:paraId="5F1AD49C"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3" w:type="pct"/>
            <w:shd w:val="clear" w:color="auto" w:fill="FFFF00"/>
            <w:noWrap/>
          </w:tcPr>
          <w:p w14:paraId="235B4601"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FFFF00"/>
            <w:noWrap/>
          </w:tcPr>
          <w:p w14:paraId="7F996C53"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3" w:type="pct"/>
            <w:shd w:val="clear" w:color="auto" w:fill="FFFF00"/>
            <w:noWrap/>
          </w:tcPr>
          <w:p w14:paraId="3BDDB5CC"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92D050"/>
            <w:noWrap/>
          </w:tcPr>
          <w:p w14:paraId="43942083"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07" w:type="pct"/>
            <w:shd w:val="clear" w:color="auto" w:fill="FFFF00"/>
          </w:tcPr>
          <w:p w14:paraId="24B00D6B"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r>
      <w:tr w:rsidR="00B12AC9" w:rsidRPr="00C61187" w14:paraId="5C2B3D77" w14:textId="77777777" w:rsidTr="00B12AC9">
        <w:trPr>
          <w:cnfStyle w:val="000000010000" w:firstRow="0" w:lastRow="0" w:firstColumn="0" w:lastColumn="0" w:oddVBand="0" w:evenVBand="0" w:oddHBand="0" w:evenHBand="1" w:firstRowFirstColumn="0" w:firstRowLastColumn="0" w:lastRowFirstColumn="0" w:lastRowLastColumn="0"/>
          <w:trHeight w:val="284"/>
        </w:trPr>
        <w:tc>
          <w:tcPr>
            <w:tcW w:w="899" w:type="pct"/>
          </w:tcPr>
          <w:p w14:paraId="37FCF2B0" w14:textId="77777777" w:rsidR="00B12AC9" w:rsidRPr="007A5548" w:rsidRDefault="00B12AC9" w:rsidP="007C5516">
            <w:pPr>
              <w:spacing w:before="60"/>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 xml:space="preserve">Emerging Disease Risk Reduction </w:t>
            </w:r>
            <w:r>
              <w:rPr>
                <w:rFonts w:asciiTheme="minorHAnsi" w:eastAsia="Times New Roman" w:hAnsiTheme="minorHAnsi" w:cstheme="minorHAnsi"/>
                <w:iCs/>
                <w:szCs w:val="17"/>
                <w:lang w:eastAsia="en-US"/>
              </w:rPr>
              <w:t>–</w:t>
            </w:r>
            <w:r w:rsidRPr="007A5548">
              <w:rPr>
                <w:rFonts w:asciiTheme="minorHAnsi" w:eastAsia="Times New Roman" w:hAnsiTheme="minorHAnsi" w:cstheme="minorHAnsi"/>
                <w:iCs/>
                <w:szCs w:val="17"/>
                <w:lang w:eastAsia="en-US"/>
              </w:rPr>
              <w:t xml:space="preserve"> Mekong</w:t>
            </w:r>
          </w:p>
        </w:tc>
        <w:tc>
          <w:tcPr>
            <w:tcW w:w="661" w:type="pct"/>
          </w:tcPr>
          <w:p w14:paraId="7DF71ED4" w14:textId="77777777" w:rsidR="00B12AC9" w:rsidRPr="00B12AC9" w:rsidRDefault="00B12AC9" w:rsidP="007C5516">
            <w:pPr>
              <w:pStyle w:val="TableTextEntries"/>
              <w:keepLines w:val="0"/>
              <w:spacing w:before="60" w:after="60" w:line="230" w:lineRule="atLeast"/>
              <w:rPr>
                <w:rFonts w:asciiTheme="minorHAnsi" w:hAnsiTheme="minorHAnsi" w:cstheme="minorHAnsi"/>
                <w:color w:val="495965" w:themeColor="text2"/>
                <w:lang w:val="en-GB" w:eastAsia="en-US"/>
              </w:rPr>
            </w:pPr>
            <w:r w:rsidRPr="00B12AC9">
              <w:rPr>
                <w:rFonts w:asciiTheme="minorHAnsi" w:hAnsiTheme="minorHAnsi" w:cstheme="minorHAnsi"/>
                <w:color w:val="495965" w:themeColor="text2"/>
                <w:lang w:val="en-GB" w:eastAsia="en-US"/>
              </w:rPr>
              <w:t>$5,892,442</w:t>
            </w:r>
            <w:r>
              <w:rPr>
                <w:rFonts w:asciiTheme="minorHAnsi" w:hAnsiTheme="minorHAnsi" w:cstheme="minorHAnsi"/>
                <w:color w:val="495965" w:themeColor="text2"/>
                <w:lang w:val="en-GB" w:eastAsia="en-US"/>
              </w:rPr>
              <w:br/>
            </w:r>
            <w:r w:rsidRPr="00B12AC9">
              <w:rPr>
                <w:rFonts w:asciiTheme="minorHAnsi" w:hAnsiTheme="minorHAnsi" w:cstheme="minorHAnsi"/>
                <w:color w:val="495965" w:themeColor="text2"/>
                <w:lang w:val="en-GB" w:eastAsia="en-US"/>
              </w:rPr>
              <w:t>2011-</w:t>
            </w:r>
            <w:r>
              <w:rPr>
                <w:rFonts w:asciiTheme="minorHAnsi" w:hAnsiTheme="minorHAnsi" w:cstheme="minorHAnsi"/>
                <w:color w:val="495965" w:themeColor="text2"/>
                <w:lang w:val="en-GB" w:eastAsia="en-US"/>
              </w:rPr>
              <w:t>2019</w:t>
            </w:r>
          </w:p>
        </w:tc>
        <w:tc>
          <w:tcPr>
            <w:tcW w:w="411" w:type="pct"/>
          </w:tcPr>
          <w:p w14:paraId="0C66A381" w14:textId="77777777" w:rsidR="00B12AC9" w:rsidRPr="003B0793" w:rsidRDefault="00B12AC9" w:rsidP="007C5516">
            <w:pPr>
              <w:spacing w:before="60"/>
              <w:rPr>
                <w:rFonts w:eastAsia="Times New Roman"/>
                <w:iCs/>
                <w:szCs w:val="17"/>
              </w:rPr>
            </w:pPr>
            <w:r w:rsidRPr="00B12AC9">
              <w:rPr>
                <w:rFonts w:asciiTheme="minorHAnsi" w:eastAsia="Times New Roman" w:hAnsiTheme="minorHAnsi" w:cstheme="minorHAnsi"/>
                <w:iCs/>
                <w:szCs w:val="17"/>
                <w:lang w:eastAsia="en-US"/>
              </w:rPr>
              <w:t>2016 AQC</w:t>
            </w:r>
          </w:p>
        </w:tc>
        <w:tc>
          <w:tcPr>
            <w:tcW w:w="413" w:type="pct"/>
            <w:shd w:val="clear" w:color="auto" w:fill="FFFF00"/>
            <w:noWrap/>
          </w:tcPr>
          <w:p w14:paraId="589B4256"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FFC000"/>
            <w:noWrap/>
          </w:tcPr>
          <w:p w14:paraId="574CB91A"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3</w:t>
            </w:r>
          </w:p>
        </w:tc>
        <w:tc>
          <w:tcPr>
            <w:tcW w:w="413" w:type="pct"/>
            <w:shd w:val="clear" w:color="auto" w:fill="FFFF00"/>
            <w:noWrap/>
          </w:tcPr>
          <w:p w14:paraId="35660ECF"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FFFF00"/>
            <w:noWrap/>
          </w:tcPr>
          <w:p w14:paraId="2752F869"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3" w:type="pct"/>
            <w:shd w:val="clear" w:color="auto" w:fill="FFC000"/>
            <w:noWrap/>
          </w:tcPr>
          <w:p w14:paraId="3510AC7C"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3</w:t>
            </w:r>
          </w:p>
        </w:tc>
        <w:tc>
          <w:tcPr>
            <w:tcW w:w="410" w:type="pct"/>
            <w:shd w:val="clear" w:color="auto" w:fill="FFFF00"/>
            <w:noWrap/>
          </w:tcPr>
          <w:p w14:paraId="5BB5F0CE"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7" w:type="pct"/>
            <w:shd w:val="clear" w:color="auto" w:fill="FFFF00"/>
          </w:tcPr>
          <w:p w14:paraId="6DE3EDEB"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r>
      <w:tr w:rsidR="00B12AC9" w:rsidRPr="00C61187" w14:paraId="35C53C6A" w14:textId="77777777" w:rsidTr="00B12AC9">
        <w:trPr>
          <w:cnfStyle w:val="000000010000" w:firstRow="0" w:lastRow="0" w:firstColumn="0" w:lastColumn="0" w:oddVBand="0" w:evenVBand="0" w:oddHBand="0" w:evenHBand="1" w:firstRowFirstColumn="0" w:firstRowLastColumn="0" w:lastRowFirstColumn="0" w:lastRowLastColumn="0"/>
          <w:trHeight w:val="284"/>
        </w:trPr>
        <w:tc>
          <w:tcPr>
            <w:tcW w:w="899" w:type="pct"/>
          </w:tcPr>
          <w:p w14:paraId="01E1EA0E" w14:textId="77777777" w:rsidR="00B12AC9" w:rsidRPr="007A5548" w:rsidRDefault="00B12AC9" w:rsidP="007C5516">
            <w:pPr>
              <w:spacing w:before="60"/>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AAPTIP Australia-Asia Program to Combat Trafficking In Persons</w:t>
            </w:r>
          </w:p>
        </w:tc>
        <w:tc>
          <w:tcPr>
            <w:tcW w:w="661" w:type="pct"/>
          </w:tcPr>
          <w:p w14:paraId="52DCDD2C" w14:textId="77777777" w:rsidR="00B12AC9" w:rsidRPr="00B12AC9" w:rsidRDefault="00B12AC9" w:rsidP="007C5516">
            <w:pPr>
              <w:pStyle w:val="TableTextEntries"/>
              <w:keepLines w:val="0"/>
              <w:spacing w:before="60" w:after="60" w:line="230" w:lineRule="atLeast"/>
              <w:rPr>
                <w:rFonts w:asciiTheme="minorHAnsi" w:hAnsiTheme="minorHAnsi" w:cstheme="minorHAnsi"/>
                <w:color w:val="495965" w:themeColor="text2"/>
                <w:lang w:val="en-GB" w:eastAsia="en-US"/>
              </w:rPr>
            </w:pPr>
            <w:r w:rsidRPr="00B12AC9">
              <w:rPr>
                <w:rFonts w:asciiTheme="minorHAnsi" w:hAnsiTheme="minorHAnsi" w:cstheme="minorHAnsi"/>
                <w:color w:val="495965" w:themeColor="text2"/>
                <w:lang w:val="en-GB" w:eastAsia="en-US"/>
              </w:rPr>
              <w:t>$50,000,000</w:t>
            </w:r>
            <w:r>
              <w:rPr>
                <w:rFonts w:asciiTheme="minorHAnsi" w:hAnsiTheme="minorHAnsi" w:cstheme="minorHAnsi"/>
                <w:color w:val="495965" w:themeColor="text2"/>
                <w:lang w:val="en-GB" w:eastAsia="en-US"/>
              </w:rPr>
              <w:br/>
            </w:r>
            <w:r w:rsidRPr="00B12AC9">
              <w:rPr>
                <w:rFonts w:asciiTheme="minorHAnsi" w:hAnsiTheme="minorHAnsi" w:cstheme="minorHAnsi"/>
                <w:color w:val="495965" w:themeColor="text2"/>
                <w:lang w:val="en-GB" w:eastAsia="en-US"/>
              </w:rPr>
              <w:t>2013-2018</w:t>
            </w:r>
          </w:p>
        </w:tc>
        <w:tc>
          <w:tcPr>
            <w:tcW w:w="411" w:type="pct"/>
          </w:tcPr>
          <w:p w14:paraId="7E1DC2C4" w14:textId="77777777" w:rsidR="00B12AC9" w:rsidRPr="00B12AC9" w:rsidRDefault="00B12AC9" w:rsidP="007C5516">
            <w:pPr>
              <w:spacing w:before="60"/>
              <w:rPr>
                <w:rFonts w:asciiTheme="minorHAnsi" w:eastAsia="Times New Roman" w:hAnsiTheme="minorHAnsi" w:cstheme="minorHAnsi"/>
                <w:iCs/>
                <w:szCs w:val="17"/>
                <w:lang w:eastAsia="en-US"/>
              </w:rPr>
            </w:pPr>
            <w:r w:rsidRPr="00B12AC9">
              <w:rPr>
                <w:rFonts w:asciiTheme="minorHAnsi" w:eastAsia="Times New Roman" w:hAnsiTheme="minorHAnsi" w:cstheme="minorHAnsi"/>
                <w:iCs/>
                <w:szCs w:val="17"/>
                <w:lang w:eastAsia="en-US"/>
              </w:rPr>
              <w:t>2016 AQC</w:t>
            </w:r>
          </w:p>
        </w:tc>
        <w:tc>
          <w:tcPr>
            <w:tcW w:w="413" w:type="pct"/>
            <w:shd w:val="clear" w:color="auto" w:fill="92D050"/>
            <w:noWrap/>
          </w:tcPr>
          <w:p w14:paraId="56C5CB9E"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10" w:type="pct"/>
            <w:shd w:val="clear" w:color="auto" w:fill="FFC000"/>
            <w:noWrap/>
          </w:tcPr>
          <w:p w14:paraId="7D215452"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3</w:t>
            </w:r>
          </w:p>
        </w:tc>
        <w:tc>
          <w:tcPr>
            <w:tcW w:w="413" w:type="pct"/>
            <w:shd w:val="clear" w:color="auto" w:fill="FFFF00"/>
            <w:noWrap/>
          </w:tcPr>
          <w:p w14:paraId="02ACCB86"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FFC000"/>
            <w:noWrap/>
          </w:tcPr>
          <w:p w14:paraId="3A087F5D"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3</w:t>
            </w:r>
          </w:p>
        </w:tc>
        <w:tc>
          <w:tcPr>
            <w:tcW w:w="413" w:type="pct"/>
            <w:shd w:val="clear" w:color="auto" w:fill="FFFF00"/>
            <w:noWrap/>
          </w:tcPr>
          <w:p w14:paraId="730AE8A7"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92D050"/>
            <w:noWrap/>
          </w:tcPr>
          <w:p w14:paraId="048C45A8"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07" w:type="pct"/>
            <w:shd w:val="clear" w:color="auto" w:fill="FFFF00"/>
          </w:tcPr>
          <w:p w14:paraId="14590298"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r>
      <w:tr w:rsidR="00B12AC9" w:rsidRPr="00C61187" w14:paraId="0182FEC3" w14:textId="77777777" w:rsidTr="00B12AC9">
        <w:trPr>
          <w:cnfStyle w:val="000000010000" w:firstRow="0" w:lastRow="0" w:firstColumn="0" w:lastColumn="0" w:oddVBand="0" w:evenVBand="0" w:oddHBand="0" w:evenHBand="1" w:firstRowFirstColumn="0" w:firstRowLastColumn="0" w:lastRowFirstColumn="0" w:lastRowLastColumn="0"/>
          <w:trHeight w:val="284"/>
        </w:trPr>
        <w:tc>
          <w:tcPr>
            <w:tcW w:w="899" w:type="pct"/>
          </w:tcPr>
          <w:p w14:paraId="6AAB7503" w14:textId="77777777" w:rsidR="00B12AC9" w:rsidRPr="007A5548" w:rsidRDefault="00B12AC9" w:rsidP="007C5516">
            <w:pPr>
              <w:spacing w:before="60"/>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WHO GMS Malaria Program</w:t>
            </w:r>
          </w:p>
        </w:tc>
        <w:tc>
          <w:tcPr>
            <w:tcW w:w="661" w:type="pct"/>
          </w:tcPr>
          <w:p w14:paraId="4EB4F15F" w14:textId="77777777" w:rsidR="00B12AC9" w:rsidRPr="00B12AC9" w:rsidRDefault="00B12AC9" w:rsidP="007C5516">
            <w:pPr>
              <w:pStyle w:val="TableTextEntries"/>
              <w:keepLines w:val="0"/>
              <w:spacing w:before="60" w:after="60" w:line="230" w:lineRule="atLeast"/>
              <w:rPr>
                <w:rFonts w:asciiTheme="minorHAnsi" w:hAnsiTheme="minorHAnsi" w:cstheme="minorHAnsi"/>
                <w:color w:val="495965" w:themeColor="text2"/>
                <w:lang w:val="en-GB" w:eastAsia="en-US"/>
              </w:rPr>
            </w:pPr>
            <w:r w:rsidRPr="00B12AC9">
              <w:rPr>
                <w:rFonts w:asciiTheme="minorHAnsi" w:hAnsiTheme="minorHAnsi" w:cstheme="minorHAnsi"/>
                <w:color w:val="495965" w:themeColor="text2"/>
                <w:lang w:val="en-GB" w:eastAsia="en-US"/>
              </w:rPr>
              <w:t>$4,58</w:t>
            </w:r>
            <w:r>
              <w:rPr>
                <w:rFonts w:asciiTheme="minorHAnsi" w:hAnsiTheme="minorHAnsi" w:cstheme="minorHAnsi"/>
                <w:color w:val="495965" w:themeColor="text2"/>
                <w:lang w:val="en-GB" w:eastAsia="en-US"/>
              </w:rPr>
              <w:t>6</w:t>
            </w:r>
            <w:r w:rsidRPr="00B12AC9">
              <w:rPr>
                <w:rFonts w:asciiTheme="minorHAnsi" w:hAnsiTheme="minorHAnsi" w:cstheme="minorHAnsi"/>
                <w:color w:val="495965" w:themeColor="text2"/>
                <w:lang w:val="en-GB" w:eastAsia="en-US"/>
              </w:rPr>
              <w:t>,</w:t>
            </w:r>
            <w:r>
              <w:rPr>
                <w:rFonts w:asciiTheme="minorHAnsi" w:hAnsiTheme="minorHAnsi" w:cstheme="minorHAnsi"/>
                <w:color w:val="495965" w:themeColor="text2"/>
                <w:lang w:val="en-GB" w:eastAsia="en-US"/>
              </w:rPr>
              <w:t>66</w:t>
            </w:r>
            <w:r w:rsidRPr="00B12AC9">
              <w:rPr>
                <w:rFonts w:asciiTheme="minorHAnsi" w:hAnsiTheme="minorHAnsi" w:cstheme="minorHAnsi"/>
                <w:color w:val="495965" w:themeColor="text2"/>
                <w:lang w:val="en-GB" w:eastAsia="en-US"/>
              </w:rPr>
              <w:t>6</w:t>
            </w:r>
            <w:r>
              <w:rPr>
                <w:rFonts w:asciiTheme="minorHAnsi" w:hAnsiTheme="minorHAnsi" w:cstheme="minorHAnsi"/>
                <w:color w:val="495965" w:themeColor="text2"/>
                <w:lang w:val="en-GB" w:eastAsia="en-US"/>
              </w:rPr>
              <w:br/>
            </w:r>
            <w:r w:rsidRPr="00B12AC9">
              <w:rPr>
                <w:rFonts w:asciiTheme="minorHAnsi" w:hAnsiTheme="minorHAnsi" w:cstheme="minorHAnsi"/>
                <w:color w:val="495965" w:themeColor="text2"/>
                <w:lang w:val="en-GB" w:eastAsia="en-US"/>
              </w:rPr>
              <w:t>2013-201</w:t>
            </w:r>
            <w:r>
              <w:rPr>
                <w:rFonts w:asciiTheme="minorHAnsi" w:hAnsiTheme="minorHAnsi" w:cstheme="minorHAnsi"/>
                <w:color w:val="495965" w:themeColor="text2"/>
                <w:lang w:val="en-GB" w:eastAsia="en-US"/>
              </w:rPr>
              <w:t>7</w:t>
            </w:r>
          </w:p>
        </w:tc>
        <w:tc>
          <w:tcPr>
            <w:tcW w:w="411" w:type="pct"/>
          </w:tcPr>
          <w:p w14:paraId="0E9C97F7" w14:textId="77777777" w:rsidR="00B12AC9" w:rsidRPr="00B12AC9" w:rsidRDefault="00B12AC9" w:rsidP="007C5516">
            <w:pPr>
              <w:spacing w:before="60"/>
              <w:rPr>
                <w:rFonts w:asciiTheme="minorHAnsi" w:eastAsia="Times New Roman" w:hAnsiTheme="minorHAnsi" w:cstheme="minorHAnsi"/>
                <w:iCs/>
                <w:szCs w:val="17"/>
                <w:lang w:eastAsia="en-US"/>
              </w:rPr>
            </w:pPr>
            <w:r w:rsidRPr="00B12AC9">
              <w:rPr>
                <w:rFonts w:asciiTheme="minorHAnsi" w:eastAsia="Times New Roman" w:hAnsiTheme="minorHAnsi" w:cstheme="minorHAnsi"/>
                <w:iCs/>
                <w:szCs w:val="17"/>
                <w:lang w:eastAsia="en-US"/>
              </w:rPr>
              <w:t>2016 AQC</w:t>
            </w:r>
          </w:p>
        </w:tc>
        <w:tc>
          <w:tcPr>
            <w:tcW w:w="413" w:type="pct"/>
            <w:shd w:val="clear" w:color="auto" w:fill="FFFF00"/>
            <w:noWrap/>
          </w:tcPr>
          <w:p w14:paraId="287E9907"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FFC000"/>
            <w:noWrap/>
          </w:tcPr>
          <w:p w14:paraId="1BC16129"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3</w:t>
            </w:r>
          </w:p>
        </w:tc>
        <w:tc>
          <w:tcPr>
            <w:tcW w:w="413" w:type="pct"/>
            <w:shd w:val="clear" w:color="auto" w:fill="FFFF00"/>
            <w:noWrap/>
          </w:tcPr>
          <w:p w14:paraId="64B91D89"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10" w:type="pct"/>
            <w:shd w:val="clear" w:color="auto" w:fill="FFC000"/>
            <w:noWrap/>
          </w:tcPr>
          <w:p w14:paraId="2CAF0117"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3</w:t>
            </w:r>
          </w:p>
        </w:tc>
        <w:tc>
          <w:tcPr>
            <w:tcW w:w="413" w:type="pct"/>
            <w:shd w:val="clear" w:color="auto" w:fill="FFC000"/>
            <w:noWrap/>
          </w:tcPr>
          <w:p w14:paraId="50C98D8C"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3</w:t>
            </w:r>
          </w:p>
        </w:tc>
        <w:tc>
          <w:tcPr>
            <w:tcW w:w="410" w:type="pct"/>
            <w:shd w:val="clear" w:color="auto" w:fill="FFFF00"/>
            <w:noWrap/>
          </w:tcPr>
          <w:p w14:paraId="5F48048E"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7" w:type="pct"/>
            <w:shd w:val="clear" w:color="auto" w:fill="FFFF00"/>
          </w:tcPr>
          <w:p w14:paraId="68E3AD7A" w14:textId="77777777" w:rsidR="00B12AC9" w:rsidRPr="00B12AC9" w:rsidRDefault="00B12AC9" w:rsidP="00D15A00">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r>
    </w:tbl>
    <w:p w14:paraId="3477A7B1" w14:textId="77777777" w:rsidR="000D605C" w:rsidRDefault="000D605C"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6F73318D" w14:textId="77777777" w:rsidR="000D605C" w:rsidRDefault="000D605C">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3F0E40A3" w14:textId="6D68FB07"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lastRenderedPageBreak/>
        <w:t xml:space="preserve">FAQC ratings </w:t>
      </w:r>
    </w:p>
    <w:p w14:paraId="20D27808" w14:textId="77777777" w:rsidR="00A8197B" w:rsidRPr="00C61187" w:rsidRDefault="00A8197B" w:rsidP="00A8197B">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1802"/>
        <w:gridCol w:w="1302"/>
        <w:gridCol w:w="1005"/>
        <w:gridCol w:w="827"/>
        <w:gridCol w:w="829"/>
        <w:gridCol w:w="827"/>
        <w:gridCol w:w="829"/>
        <w:gridCol w:w="827"/>
        <w:gridCol w:w="829"/>
        <w:gridCol w:w="833"/>
      </w:tblGrid>
      <w:tr w:rsidR="00A8197B" w:rsidRPr="003B0793" w14:paraId="3E29E910" w14:textId="77777777" w:rsidTr="0098518D">
        <w:trPr>
          <w:cnfStyle w:val="000000010000" w:firstRow="0" w:lastRow="0" w:firstColumn="0" w:lastColumn="0" w:oddVBand="0" w:evenVBand="0" w:oddHBand="0" w:evenHBand="1" w:firstRowFirstColumn="0" w:firstRowLastColumn="0" w:lastRowFirstColumn="0" w:lastRowLastColumn="0"/>
          <w:trHeight w:val="1505"/>
        </w:trPr>
        <w:tc>
          <w:tcPr>
            <w:tcW w:w="888" w:type="pct"/>
          </w:tcPr>
          <w:p w14:paraId="45539FBA"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72576" behindDoc="0" locked="0" layoutInCell="1" allowOverlap="1" wp14:anchorId="67DE32C8" wp14:editId="524F2016">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Investment name</w:t>
            </w:r>
          </w:p>
        </w:tc>
        <w:tc>
          <w:tcPr>
            <w:tcW w:w="643" w:type="pct"/>
            <w:textDirection w:val="btLr"/>
          </w:tcPr>
          <w:p w14:paraId="34236DB9"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Approved budget and duration</w:t>
            </w:r>
          </w:p>
        </w:tc>
        <w:tc>
          <w:tcPr>
            <w:tcW w:w="493" w:type="pct"/>
            <w:noWrap/>
            <w:textDirection w:val="btLr"/>
          </w:tcPr>
          <w:p w14:paraId="4E35332A"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Overall rating</w:t>
            </w:r>
          </w:p>
        </w:tc>
        <w:tc>
          <w:tcPr>
            <w:tcW w:w="403" w:type="pct"/>
            <w:noWrap/>
            <w:textDirection w:val="btLr"/>
          </w:tcPr>
          <w:p w14:paraId="69F8ADBE"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Relevance</w:t>
            </w:r>
          </w:p>
        </w:tc>
        <w:tc>
          <w:tcPr>
            <w:tcW w:w="404" w:type="pct"/>
            <w:noWrap/>
            <w:textDirection w:val="btLr"/>
          </w:tcPr>
          <w:p w14:paraId="042E49EA"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Effectiveness</w:t>
            </w:r>
          </w:p>
        </w:tc>
        <w:tc>
          <w:tcPr>
            <w:tcW w:w="403" w:type="pct"/>
            <w:noWrap/>
            <w:textDirection w:val="btLr"/>
          </w:tcPr>
          <w:p w14:paraId="7ED63B18"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Efficiency</w:t>
            </w:r>
          </w:p>
        </w:tc>
        <w:tc>
          <w:tcPr>
            <w:tcW w:w="404" w:type="pct"/>
            <w:noWrap/>
            <w:textDirection w:val="btLr"/>
          </w:tcPr>
          <w:p w14:paraId="7BA6048C"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Monitoring and Evaluation</w:t>
            </w:r>
          </w:p>
        </w:tc>
        <w:tc>
          <w:tcPr>
            <w:tcW w:w="403" w:type="pct"/>
            <w:noWrap/>
            <w:textDirection w:val="btLr"/>
          </w:tcPr>
          <w:p w14:paraId="2B096061"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Sustainability</w:t>
            </w:r>
          </w:p>
        </w:tc>
        <w:tc>
          <w:tcPr>
            <w:tcW w:w="404" w:type="pct"/>
            <w:textDirection w:val="btLr"/>
          </w:tcPr>
          <w:p w14:paraId="21C323E9"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Gender equality</w:t>
            </w:r>
          </w:p>
        </w:tc>
        <w:tc>
          <w:tcPr>
            <w:tcW w:w="399" w:type="pct"/>
            <w:textDirection w:val="btLr"/>
          </w:tcPr>
          <w:p w14:paraId="56455DBC"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Risks  and Safeguards</w:t>
            </w:r>
          </w:p>
        </w:tc>
      </w:tr>
      <w:tr w:rsidR="00663662" w:rsidRPr="003B0793" w14:paraId="6308DDF2" w14:textId="77777777" w:rsidTr="00D11A0D">
        <w:trPr>
          <w:cnfStyle w:val="000000010000" w:firstRow="0" w:lastRow="0" w:firstColumn="0" w:lastColumn="0" w:oddVBand="0" w:evenVBand="0" w:oddHBand="0" w:evenHBand="1" w:firstRowFirstColumn="0" w:firstRowLastColumn="0" w:lastRowFirstColumn="0" w:lastRowLastColumn="0"/>
          <w:trHeight w:val="284"/>
        </w:trPr>
        <w:tc>
          <w:tcPr>
            <w:tcW w:w="888" w:type="pct"/>
          </w:tcPr>
          <w:p w14:paraId="68DED6A3" w14:textId="77777777" w:rsidR="0098518D" w:rsidRPr="00746D65" w:rsidRDefault="0098518D" w:rsidP="007C5516">
            <w:pPr>
              <w:spacing w:before="60"/>
              <w:rPr>
                <w:rFonts w:asciiTheme="minorHAnsi" w:hAnsiTheme="minorHAnsi" w:cstheme="minorHAnsi"/>
                <w:iCs/>
              </w:rPr>
            </w:pPr>
            <w:r w:rsidRPr="007A5548">
              <w:rPr>
                <w:rFonts w:asciiTheme="minorHAnsi" w:eastAsia="Times New Roman" w:hAnsiTheme="minorHAnsi" w:cstheme="minorHAnsi"/>
                <w:iCs/>
                <w:szCs w:val="17"/>
                <w:lang w:eastAsia="en-US"/>
              </w:rPr>
              <w:t>Asia Partnerships - The Asia Foundation</w:t>
            </w:r>
          </w:p>
        </w:tc>
        <w:tc>
          <w:tcPr>
            <w:tcW w:w="643" w:type="pct"/>
          </w:tcPr>
          <w:p w14:paraId="47DD2486" w14:textId="77777777" w:rsidR="0098518D" w:rsidRPr="00746D65" w:rsidRDefault="0098518D" w:rsidP="007C5516">
            <w:pPr>
              <w:spacing w:before="60"/>
              <w:rPr>
                <w:rFonts w:asciiTheme="minorHAnsi" w:eastAsia="Times New Roman" w:hAnsiTheme="minorHAnsi" w:cstheme="minorHAnsi"/>
                <w:iCs/>
                <w:szCs w:val="17"/>
                <w:lang w:eastAsia="en-US"/>
              </w:rPr>
            </w:pPr>
            <w:r w:rsidRPr="00746D65">
              <w:rPr>
                <w:rFonts w:asciiTheme="minorHAnsi" w:eastAsia="Times New Roman" w:hAnsiTheme="minorHAnsi" w:cstheme="minorHAnsi"/>
                <w:iCs/>
                <w:szCs w:val="17"/>
                <w:lang w:eastAsia="en-US"/>
              </w:rPr>
              <w:t>$</w:t>
            </w:r>
            <w:r w:rsidRPr="00B12AC9">
              <w:rPr>
                <w:rFonts w:asciiTheme="minorHAnsi" w:eastAsia="Times New Roman" w:hAnsiTheme="minorHAnsi" w:cstheme="minorHAnsi"/>
                <w:iCs/>
                <w:szCs w:val="17"/>
                <w:lang w:eastAsia="en-US"/>
              </w:rPr>
              <w:t>19</w:t>
            </w:r>
            <w:r>
              <w:rPr>
                <w:rFonts w:asciiTheme="minorHAnsi" w:eastAsia="Times New Roman" w:hAnsiTheme="minorHAnsi" w:cstheme="minorHAnsi"/>
                <w:iCs/>
                <w:szCs w:val="17"/>
                <w:lang w:eastAsia="en-US"/>
              </w:rPr>
              <w:t>,</w:t>
            </w:r>
            <w:r w:rsidRPr="00B12AC9">
              <w:rPr>
                <w:rFonts w:asciiTheme="minorHAnsi" w:eastAsia="Times New Roman" w:hAnsiTheme="minorHAnsi" w:cstheme="minorHAnsi"/>
                <w:iCs/>
                <w:szCs w:val="17"/>
                <w:lang w:eastAsia="en-US"/>
              </w:rPr>
              <w:t>480</w:t>
            </w:r>
            <w:r>
              <w:rPr>
                <w:rFonts w:asciiTheme="minorHAnsi" w:eastAsia="Times New Roman" w:hAnsiTheme="minorHAnsi" w:cstheme="minorHAnsi"/>
                <w:iCs/>
                <w:szCs w:val="17"/>
                <w:lang w:eastAsia="en-US"/>
              </w:rPr>
              <w:t>,</w:t>
            </w:r>
            <w:r w:rsidRPr="00B12AC9">
              <w:rPr>
                <w:rFonts w:asciiTheme="minorHAnsi" w:eastAsia="Times New Roman" w:hAnsiTheme="minorHAnsi" w:cstheme="minorHAnsi"/>
                <w:iCs/>
                <w:szCs w:val="17"/>
                <w:lang w:eastAsia="en-US"/>
              </w:rPr>
              <w:t>247</w:t>
            </w:r>
            <w:r>
              <w:rPr>
                <w:rFonts w:asciiTheme="minorHAnsi" w:eastAsia="Times New Roman" w:hAnsiTheme="minorHAnsi" w:cstheme="minorHAnsi"/>
                <w:iCs/>
                <w:szCs w:val="17"/>
                <w:lang w:eastAsia="en-US"/>
              </w:rPr>
              <w:br/>
            </w:r>
            <w:r w:rsidRPr="00746D65">
              <w:rPr>
                <w:rFonts w:asciiTheme="minorHAnsi" w:eastAsia="Times New Roman" w:hAnsiTheme="minorHAnsi" w:cstheme="minorHAnsi"/>
                <w:iCs/>
                <w:szCs w:val="17"/>
                <w:lang w:eastAsia="en-US"/>
              </w:rPr>
              <w:t>2011-2016</w:t>
            </w:r>
          </w:p>
        </w:tc>
        <w:tc>
          <w:tcPr>
            <w:tcW w:w="493" w:type="pct"/>
            <w:shd w:val="clear" w:color="auto" w:fill="FFFF00"/>
            <w:noWrap/>
          </w:tcPr>
          <w:p w14:paraId="09CF0572" w14:textId="77777777" w:rsidR="0098518D" w:rsidRPr="00746D65" w:rsidRDefault="00D11A0D" w:rsidP="00D11A0D">
            <w:pPr>
              <w:keepLines/>
              <w:spacing w:before="40" w:after="40" w:line="200" w:lineRule="atLeast"/>
              <w:jc w:val="center"/>
              <w:rPr>
                <w:rFonts w:asciiTheme="minorHAnsi" w:eastAsia="Times New Roman" w:hAnsiTheme="minorHAnsi" w:cstheme="minorHAnsi"/>
                <w:iCs/>
                <w:szCs w:val="17"/>
                <w:lang w:eastAsia="en-US"/>
              </w:rPr>
            </w:pPr>
            <w:r w:rsidRPr="00D11A0D">
              <w:rPr>
                <w:rFonts w:asciiTheme="minorHAnsi" w:eastAsia="Times New Roman" w:hAnsiTheme="minorHAnsi"/>
                <w:iCs/>
                <w:szCs w:val="17"/>
                <w:lang w:eastAsia="en-US"/>
              </w:rPr>
              <w:t>4</w:t>
            </w:r>
          </w:p>
        </w:tc>
        <w:tc>
          <w:tcPr>
            <w:tcW w:w="403" w:type="pct"/>
            <w:shd w:val="clear" w:color="auto" w:fill="FFFF00"/>
            <w:noWrap/>
          </w:tcPr>
          <w:p w14:paraId="661094F1" w14:textId="77777777" w:rsidR="0098518D" w:rsidRPr="003B0793" w:rsidRDefault="0098518D" w:rsidP="00B959E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4" w:type="pct"/>
            <w:shd w:val="clear" w:color="auto" w:fill="FFFF00"/>
            <w:noWrap/>
          </w:tcPr>
          <w:p w14:paraId="252EDA0A" w14:textId="77777777" w:rsidR="0098518D" w:rsidRPr="003B0793" w:rsidRDefault="0098518D" w:rsidP="00B959E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3" w:type="pct"/>
            <w:shd w:val="clear" w:color="auto" w:fill="FFC000"/>
            <w:noWrap/>
          </w:tcPr>
          <w:p w14:paraId="116F681C" w14:textId="77777777" w:rsidR="0098518D" w:rsidRPr="003B0793" w:rsidRDefault="0098518D" w:rsidP="00B959E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04" w:type="pct"/>
            <w:shd w:val="clear" w:color="auto" w:fill="FFC000"/>
            <w:noWrap/>
          </w:tcPr>
          <w:p w14:paraId="79F9AFAB" w14:textId="77777777" w:rsidR="0098518D" w:rsidRPr="003B0793" w:rsidRDefault="0098518D" w:rsidP="00B959E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03" w:type="pct"/>
            <w:shd w:val="clear" w:color="auto" w:fill="FFFF00"/>
            <w:noWrap/>
          </w:tcPr>
          <w:p w14:paraId="7AD5277B" w14:textId="77777777" w:rsidR="0098518D" w:rsidRPr="003B0793" w:rsidRDefault="0098518D" w:rsidP="00B959E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4" w:type="pct"/>
            <w:shd w:val="clear" w:color="auto" w:fill="FFC000"/>
          </w:tcPr>
          <w:p w14:paraId="5E589D55" w14:textId="77777777" w:rsidR="0098518D" w:rsidRPr="003B0793" w:rsidRDefault="0098518D" w:rsidP="00B959E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99" w:type="pct"/>
            <w:shd w:val="clear" w:color="auto" w:fill="FFC000"/>
          </w:tcPr>
          <w:p w14:paraId="0898A544" w14:textId="77777777" w:rsidR="0098518D" w:rsidRPr="003B0793" w:rsidRDefault="0098518D" w:rsidP="00B959E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r w:rsidR="00663662" w:rsidRPr="003B0793" w14:paraId="22D6C4F0" w14:textId="77777777" w:rsidTr="00D11A0D">
        <w:trPr>
          <w:cnfStyle w:val="000000010000" w:firstRow="0" w:lastRow="0" w:firstColumn="0" w:lastColumn="0" w:oddVBand="0" w:evenVBand="0" w:oddHBand="0" w:evenHBand="1" w:firstRowFirstColumn="0" w:firstRowLastColumn="0" w:lastRowFirstColumn="0" w:lastRowLastColumn="0"/>
          <w:trHeight w:val="284"/>
        </w:trPr>
        <w:tc>
          <w:tcPr>
            <w:tcW w:w="888" w:type="pct"/>
          </w:tcPr>
          <w:p w14:paraId="66376840" w14:textId="77777777" w:rsidR="0098518D" w:rsidRPr="00B12AC9" w:rsidRDefault="0098518D" w:rsidP="007C5516">
            <w:pPr>
              <w:spacing w:before="60"/>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East Asia Avoidable Blindness Initiative</w:t>
            </w:r>
          </w:p>
        </w:tc>
        <w:tc>
          <w:tcPr>
            <w:tcW w:w="643" w:type="pct"/>
          </w:tcPr>
          <w:p w14:paraId="76A74932" w14:textId="77777777" w:rsidR="0098518D" w:rsidRPr="00B12AC9" w:rsidRDefault="0098518D" w:rsidP="007C5516">
            <w:pPr>
              <w:pStyle w:val="TableTextEntries"/>
              <w:keepLines w:val="0"/>
              <w:spacing w:before="60" w:after="60" w:line="230" w:lineRule="atLeast"/>
              <w:rPr>
                <w:rFonts w:asciiTheme="minorHAnsi" w:hAnsiTheme="minorHAnsi" w:cstheme="minorHAnsi"/>
                <w:color w:val="495965" w:themeColor="text2"/>
                <w:lang w:val="en-GB" w:eastAsia="en-US"/>
              </w:rPr>
            </w:pPr>
            <w:r w:rsidRPr="00B12AC9">
              <w:rPr>
                <w:rFonts w:asciiTheme="minorHAnsi" w:hAnsiTheme="minorHAnsi" w:cstheme="minorHAnsi"/>
                <w:color w:val="495965" w:themeColor="text2"/>
                <w:lang w:val="en-GB" w:eastAsia="en-US"/>
              </w:rPr>
              <w:t>$11</w:t>
            </w:r>
            <w:r>
              <w:rPr>
                <w:rFonts w:asciiTheme="minorHAnsi" w:hAnsiTheme="minorHAnsi" w:cstheme="minorHAnsi"/>
                <w:color w:val="495965" w:themeColor="text2"/>
                <w:lang w:val="en-GB" w:eastAsia="en-US"/>
              </w:rPr>
              <w:t>,</w:t>
            </w:r>
            <w:r w:rsidRPr="00B12AC9">
              <w:rPr>
                <w:rFonts w:asciiTheme="minorHAnsi" w:hAnsiTheme="minorHAnsi" w:cstheme="minorHAnsi"/>
                <w:color w:val="495965" w:themeColor="text2"/>
                <w:lang w:val="en-GB" w:eastAsia="en-US"/>
              </w:rPr>
              <w:t>210</w:t>
            </w:r>
            <w:r>
              <w:rPr>
                <w:rFonts w:asciiTheme="minorHAnsi" w:hAnsiTheme="minorHAnsi" w:cstheme="minorHAnsi"/>
                <w:color w:val="495965" w:themeColor="text2"/>
                <w:lang w:val="en-GB" w:eastAsia="en-US"/>
              </w:rPr>
              <w:t>,</w:t>
            </w:r>
            <w:r w:rsidRPr="00B12AC9">
              <w:rPr>
                <w:rFonts w:asciiTheme="minorHAnsi" w:hAnsiTheme="minorHAnsi" w:cstheme="minorHAnsi"/>
                <w:color w:val="495965" w:themeColor="text2"/>
                <w:lang w:val="en-GB" w:eastAsia="en-US"/>
              </w:rPr>
              <w:t>091</w:t>
            </w:r>
            <w:r>
              <w:rPr>
                <w:rFonts w:asciiTheme="minorHAnsi" w:hAnsiTheme="minorHAnsi" w:cstheme="minorHAnsi"/>
                <w:color w:val="495965" w:themeColor="text2"/>
                <w:lang w:val="en-GB" w:eastAsia="en-US"/>
              </w:rPr>
              <w:br/>
            </w:r>
            <w:r w:rsidRPr="00B12AC9">
              <w:rPr>
                <w:rFonts w:asciiTheme="minorHAnsi" w:hAnsiTheme="minorHAnsi" w:cstheme="minorHAnsi"/>
                <w:color w:val="495965" w:themeColor="text2"/>
                <w:lang w:val="en-GB" w:eastAsia="en-US"/>
              </w:rPr>
              <w:t>2012-2016</w:t>
            </w:r>
          </w:p>
        </w:tc>
        <w:tc>
          <w:tcPr>
            <w:tcW w:w="493" w:type="pct"/>
            <w:shd w:val="clear" w:color="auto" w:fill="FFFF00"/>
            <w:noWrap/>
          </w:tcPr>
          <w:p w14:paraId="0AAFFD3A" w14:textId="77777777" w:rsidR="0098518D" w:rsidRPr="003B0793" w:rsidRDefault="00D11A0D" w:rsidP="00D11A0D">
            <w:pPr>
              <w:keepLines/>
              <w:spacing w:before="40" w:after="40" w:line="200" w:lineRule="atLeast"/>
              <w:jc w:val="center"/>
              <w:rPr>
                <w:rFonts w:asciiTheme="minorHAnsi" w:eastAsia="Times New Roman" w:hAnsiTheme="minorHAnsi"/>
                <w:iCs/>
                <w:szCs w:val="17"/>
                <w:lang w:eastAsia="en-US"/>
              </w:rPr>
            </w:pPr>
            <w:r w:rsidRPr="00D11A0D">
              <w:rPr>
                <w:rFonts w:asciiTheme="minorHAnsi" w:eastAsia="Times New Roman" w:hAnsiTheme="minorHAnsi"/>
                <w:iCs/>
                <w:szCs w:val="17"/>
                <w:lang w:eastAsia="en-US"/>
              </w:rPr>
              <w:t>4</w:t>
            </w:r>
          </w:p>
        </w:tc>
        <w:tc>
          <w:tcPr>
            <w:tcW w:w="403" w:type="pct"/>
            <w:shd w:val="clear" w:color="auto" w:fill="FFFF00"/>
            <w:noWrap/>
          </w:tcPr>
          <w:p w14:paraId="1C924981" w14:textId="77777777" w:rsidR="0098518D" w:rsidRPr="00B12AC9" w:rsidRDefault="0098518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4" w:type="pct"/>
            <w:shd w:val="clear" w:color="auto" w:fill="FFFF00"/>
            <w:noWrap/>
          </w:tcPr>
          <w:p w14:paraId="331A8C84" w14:textId="77777777" w:rsidR="0098518D" w:rsidRPr="00B12AC9" w:rsidRDefault="0098518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3" w:type="pct"/>
            <w:shd w:val="clear" w:color="auto" w:fill="92D050"/>
            <w:noWrap/>
          </w:tcPr>
          <w:p w14:paraId="1C8D75B4" w14:textId="77777777" w:rsidR="0098518D" w:rsidRPr="00B12AC9" w:rsidRDefault="0098518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04" w:type="pct"/>
            <w:shd w:val="clear" w:color="auto" w:fill="FFFF00"/>
            <w:noWrap/>
          </w:tcPr>
          <w:p w14:paraId="79E93462" w14:textId="77777777" w:rsidR="0098518D" w:rsidRPr="00B12AC9" w:rsidRDefault="0098518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3" w:type="pct"/>
            <w:shd w:val="clear" w:color="auto" w:fill="FFFF00"/>
            <w:noWrap/>
          </w:tcPr>
          <w:p w14:paraId="028B8413" w14:textId="77777777" w:rsidR="0098518D" w:rsidRPr="00B12AC9" w:rsidRDefault="0098518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4" w:type="pct"/>
            <w:shd w:val="clear" w:color="auto" w:fill="FFC000"/>
          </w:tcPr>
          <w:p w14:paraId="3D5672BE" w14:textId="77777777" w:rsidR="0098518D" w:rsidRPr="00B12AC9" w:rsidRDefault="0098518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3</w:t>
            </w:r>
          </w:p>
        </w:tc>
        <w:tc>
          <w:tcPr>
            <w:tcW w:w="399" w:type="pct"/>
            <w:shd w:val="clear" w:color="auto" w:fill="92D050"/>
          </w:tcPr>
          <w:p w14:paraId="387CB273" w14:textId="77777777" w:rsidR="0098518D" w:rsidRPr="00B12AC9" w:rsidRDefault="0098518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r>
      <w:tr w:rsidR="00663662" w:rsidRPr="003B0793" w14:paraId="7E12ACB6" w14:textId="77777777" w:rsidTr="00D11A0D">
        <w:trPr>
          <w:cnfStyle w:val="000000010000" w:firstRow="0" w:lastRow="0" w:firstColumn="0" w:lastColumn="0" w:oddVBand="0" w:evenVBand="0" w:oddHBand="0" w:evenHBand="1" w:firstRowFirstColumn="0" w:firstRowLastColumn="0" w:lastRowFirstColumn="0" w:lastRowLastColumn="0"/>
          <w:trHeight w:val="284"/>
        </w:trPr>
        <w:tc>
          <w:tcPr>
            <w:tcW w:w="888" w:type="pct"/>
          </w:tcPr>
          <w:p w14:paraId="244DF8E4" w14:textId="77777777" w:rsidR="00D11A0D" w:rsidRPr="00B12AC9" w:rsidRDefault="007C5516" w:rsidP="007C5516">
            <w:pPr>
              <w:spacing w:before="60"/>
              <w:rPr>
                <w:rFonts w:asciiTheme="minorHAnsi" w:eastAsia="Times New Roman" w:hAnsiTheme="minorHAnsi" w:cstheme="minorHAnsi"/>
                <w:iCs/>
                <w:szCs w:val="17"/>
                <w:lang w:eastAsia="en-US"/>
              </w:rPr>
            </w:pPr>
            <w:r w:rsidRPr="007C5516">
              <w:rPr>
                <w:rFonts w:asciiTheme="minorHAnsi" w:eastAsia="Times New Roman" w:hAnsiTheme="minorHAnsi" w:cstheme="minorHAnsi"/>
                <w:iCs/>
                <w:szCs w:val="17"/>
                <w:lang w:eastAsia="en-US"/>
              </w:rPr>
              <w:t>Australia Mekong-NGO Engagement Platform</w:t>
            </w:r>
          </w:p>
        </w:tc>
        <w:tc>
          <w:tcPr>
            <w:tcW w:w="643" w:type="pct"/>
          </w:tcPr>
          <w:p w14:paraId="5E52042A" w14:textId="77777777" w:rsidR="00D11A0D" w:rsidRPr="00B12AC9" w:rsidRDefault="00D11A0D" w:rsidP="007C5516">
            <w:pPr>
              <w:spacing w:before="60"/>
              <w:rPr>
                <w:rFonts w:asciiTheme="minorHAnsi" w:eastAsia="Times New Roman" w:hAnsiTheme="minorHAnsi" w:cstheme="minorHAnsi"/>
                <w:iCs/>
                <w:szCs w:val="17"/>
                <w:lang w:eastAsia="en-US"/>
              </w:rPr>
            </w:pPr>
            <w:r w:rsidRPr="00B12AC9">
              <w:rPr>
                <w:rFonts w:asciiTheme="minorHAnsi" w:eastAsia="Times New Roman" w:hAnsiTheme="minorHAnsi" w:cstheme="minorHAnsi"/>
                <w:iCs/>
                <w:szCs w:val="17"/>
                <w:lang w:eastAsia="en-US"/>
              </w:rPr>
              <w:t>$4,134,843</w:t>
            </w:r>
            <w:r w:rsidRPr="00B12AC9">
              <w:rPr>
                <w:rFonts w:asciiTheme="minorHAnsi" w:eastAsia="Times New Roman" w:hAnsiTheme="minorHAnsi" w:cstheme="minorHAnsi"/>
                <w:iCs/>
                <w:szCs w:val="17"/>
                <w:lang w:eastAsia="en-US"/>
              </w:rPr>
              <w:br/>
              <w:t>2012-2016</w:t>
            </w:r>
          </w:p>
        </w:tc>
        <w:tc>
          <w:tcPr>
            <w:tcW w:w="493" w:type="pct"/>
            <w:shd w:val="clear" w:color="auto" w:fill="FFFF00"/>
            <w:noWrap/>
          </w:tcPr>
          <w:p w14:paraId="0B76A816" w14:textId="77777777" w:rsidR="00D11A0D" w:rsidRPr="003B0793" w:rsidRDefault="00D11A0D" w:rsidP="00B959E3">
            <w:pPr>
              <w:keepLines/>
              <w:spacing w:before="40" w:after="40" w:line="200" w:lineRule="atLeast"/>
              <w:jc w:val="center"/>
              <w:rPr>
                <w:rFonts w:asciiTheme="minorHAnsi" w:eastAsia="Times New Roman" w:hAnsiTheme="minorHAnsi"/>
                <w:iCs/>
                <w:szCs w:val="17"/>
                <w:lang w:eastAsia="en-US"/>
              </w:rPr>
            </w:pPr>
            <w:r w:rsidRPr="00D11A0D">
              <w:rPr>
                <w:rFonts w:asciiTheme="minorHAnsi" w:eastAsia="Times New Roman" w:hAnsiTheme="minorHAnsi"/>
                <w:iCs/>
                <w:szCs w:val="17"/>
                <w:lang w:eastAsia="en-US"/>
              </w:rPr>
              <w:t>4</w:t>
            </w:r>
          </w:p>
        </w:tc>
        <w:tc>
          <w:tcPr>
            <w:tcW w:w="403" w:type="pct"/>
            <w:shd w:val="clear" w:color="auto" w:fill="FFFF00"/>
            <w:noWrap/>
          </w:tcPr>
          <w:p w14:paraId="621B0BE3"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4" w:type="pct"/>
            <w:shd w:val="clear" w:color="auto" w:fill="FFFF00"/>
            <w:noWrap/>
          </w:tcPr>
          <w:p w14:paraId="42A3F0A3"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3" w:type="pct"/>
            <w:shd w:val="clear" w:color="auto" w:fill="FFC000"/>
            <w:noWrap/>
          </w:tcPr>
          <w:p w14:paraId="265369A5"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3</w:t>
            </w:r>
          </w:p>
        </w:tc>
        <w:tc>
          <w:tcPr>
            <w:tcW w:w="404" w:type="pct"/>
            <w:shd w:val="clear" w:color="auto" w:fill="FFFF00"/>
            <w:noWrap/>
          </w:tcPr>
          <w:p w14:paraId="69089CE8"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3" w:type="pct"/>
            <w:shd w:val="clear" w:color="auto" w:fill="FFC000"/>
            <w:noWrap/>
          </w:tcPr>
          <w:p w14:paraId="0A785271"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3</w:t>
            </w:r>
          </w:p>
        </w:tc>
        <w:tc>
          <w:tcPr>
            <w:tcW w:w="404" w:type="pct"/>
            <w:shd w:val="clear" w:color="auto" w:fill="FFFF00"/>
          </w:tcPr>
          <w:p w14:paraId="44FF6A94"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399" w:type="pct"/>
            <w:shd w:val="clear" w:color="auto" w:fill="92D050"/>
          </w:tcPr>
          <w:p w14:paraId="15A88C15"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r>
      <w:tr w:rsidR="00663662" w:rsidRPr="003B0793" w14:paraId="1BCAE327" w14:textId="77777777" w:rsidTr="00D11A0D">
        <w:trPr>
          <w:cnfStyle w:val="000000010000" w:firstRow="0" w:lastRow="0" w:firstColumn="0" w:lastColumn="0" w:oddVBand="0" w:evenVBand="0" w:oddHBand="0" w:evenHBand="1" w:firstRowFirstColumn="0" w:firstRowLastColumn="0" w:lastRowFirstColumn="0" w:lastRowLastColumn="0"/>
          <w:trHeight w:val="284"/>
        </w:trPr>
        <w:tc>
          <w:tcPr>
            <w:tcW w:w="888" w:type="pct"/>
          </w:tcPr>
          <w:p w14:paraId="2D78ACF7" w14:textId="77777777" w:rsidR="00D11A0D" w:rsidRPr="007A5548" w:rsidRDefault="00D11A0D" w:rsidP="007C5516">
            <w:pPr>
              <w:spacing w:before="60"/>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Improving Mekong Water Resource Management</w:t>
            </w:r>
          </w:p>
        </w:tc>
        <w:tc>
          <w:tcPr>
            <w:tcW w:w="643" w:type="pct"/>
          </w:tcPr>
          <w:p w14:paraId="09905A79" w14:textId="77777777" w:rsidR="00D11A0D" w:rsidRPr="00B12AC9" w:rsidRDefault="00D11A0D" w:rsidP="007C5516">
            <w:pPr>
              <w:spacing w:before="60"/>
              <w:rPr>
                <w:rFonts w:asciiTheme="minorHAnsi" w:eastAsia="Times New Roman" w:hAnsiTheme="minorHAnsi" w:cstheme="minorHAnsi"/>
                <w:iCs/>
                <w:szCs w:val="17"/>
                <w:lang w:eastAsia="en-US"/>
              </w:rPr>
            </w:pPr>
            <w:r w:rsidRPr="00B12AC9">
              <w:rPr>
                <w:rFonts w:asciiTheme="minorHAnsi" w:eastAsia="Times New Roman" w:hAnsiTheme="minorHAnsi" w:cstheme="minorHAnsi"/>
                <w:iCs/>
                <w:szCs w:val="17"/>
                <w:lang w:eastAsia="en-US"/>
              </w:rPr>
              <w:t>$14,267,497</w:t>
            </w:r>
            <w:r>
              <w:rPr>
                <w:rFonts w:asciiTheme="minorHAnsi" w:eastAsia="Times New Roman" w:hAnsiTheme="minorHAnsi" w:cstheme="minorHAnsi"/>
                <w:iCs/>
                <w:szCs w:val="17"/>
                <w:lang w:eastAsia="en-US"/>
              </w:rPr>
              <w:br/>
            </w:r>
            <w:r w:rsidRPr="00B12AC9">
              <w:rPr>
                <w:rFonts w:asciiTheme="minorHAnsi" w:eastAsia="Times New Roman" w:hAnsiTheme="minorHAnsi" w:cstheme="minorHAnsi"/>
                <w:iCs/>
                <w:szCs w:val="17"/>
                <w:lang w:eastAsia="en-US"/>
              </w:rPr>
              <w:t>2009-2015</w:t>
            </w:r>
          </w:p>
        </w:tc>
        <w:tc>
          <w:tcPr>
            <w:tcW w:w="493" w:type="pct"/>
            <w:shd w:val="clear" w:color="auto" w:fill="FFFF00"/>
            <w:noWrap/>
          </w:tcPr>
          <w:p w14:paraId="01EB862A" w14:textId="77777777" w:rsidR="00D11A0D" w:rsidRPr="003B0793" w:rsidRDefault="00D11A0D" w:rsidP="00B959E3">
            <w:pPr>
              <w:keepLines/>
              <w:spacing w:before="40" w:after="40" w:line="200" w:lineRule="atLeast"/>
              <w:jc w:val="center"/>
              <w:rPr>
                <w:rFonts w:asciiTheme="minorHAnsi" w:eastAsia="Times New Roman" w:hAnsiTheme="minorHAnsi"/>
                <w:iCs/>
                <w:szCs w:val="17"/>
                <w:lang w:eastAsia="en-US"/>
              </w:rPr>
            </w:pPr>
            <w:r w:rsidRPr="00D11A0D">
              <w:rPr>
                <w:rFonts w:asciiTheme="minorHAnsi" w:eastAsia="Times New Roman" w:hAnsiTheme="minorHAnsi"/>
                <w:iCs/>
                <w:szCs w:val="17"/>
                <w:lang w:eastAsia="en-US"/>
              </w:rPr>
              <w:t>4</w:t>
            </w:r>
          </w:p>
        </w:tc>
        <w:tc>
          <w:tcPr>
            <w:tcW w:w="403" w:type="pct"/>
            <w:shd w:val="clear" w:color="auto" w:fill="92D050"/>
            <w:noWrap/>
          </w:tcPr>
          <w:p w14:paraId="4386A132"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04" w:type="pct"/>
            <w:shd w:val="clear" w:color="auto" w:fill="FFFF00"/>
            <w:noWrap/>
          </w:tcPr>
          <w:p w14:paraId="1EE2CDE4"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3" w:type="pct"/>
            <w:shd w:val="clear" w:color="auto" w:fill="92D050"/>
            <w:noWrap/>
          </w:tcPr>
          <w:p w14:paraId="7E015C52"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04" w:type="pct"/>
            <w:shd w:val="clear" w:color="auto" w:fill="FFFF00"/>
            <w:noWrap/>
          </w:tcPr>
          <w:p w14:paraId="153FB459"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3" w:type="pct"/>
            <w:shd w:val="clear" w:color="auto" w:fill="92D050"/>
            <w:noWrap/>
          </w:tcPr>
          <w:p w14:paraId="47F665DD"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04" w:type="pct"/>
            <w:shd w:val="clear" w:color="auto" w:fill="92D050"/>
          </w:tcPr>
          <w:p w14:paraId="52AEBD94"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399" w:type="pct"/>
            <w:shd w:val="clear" w:color="auto" w:fill="FFFF00"/>
          </w:tcPr>
          <w:p w14:paraId="14ABBEFE"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r>
      <w:tr w:rsidR="00663662" w:rsidRPr="003B0793" w14:paraId="1E847B3E" w14:textId="77777777" w:rsidTr="00D11A0D">
        <w:trPr>
          <w:cnfStyle w:val="000000010000" w:firstRow="0" w:lastRow="0" w:firstColumn="0" w:lastColumn="0" w:oddVBand="0" w:evenVBand="0" w:oddHBand="0" w:evenHBand="1" w:firstRowFirstColumn="0" w:firstRowLastColumn="0" w:lastRowFirstColumn="0" w:lastRowLastColumn="0"/>
          <w:trHeight w:val="284"/>
        </w:trPr>
        <w:tc>
          <w:tcPr>
            <w:tcW w:w="888" w:type="pct"/>
          </w:tcPr>
          <w:p w14:paraId="51791094" w14:textId="77777777" w:rsidR="00D11A0D" w:rsidRPr="007A5548" w:rsidRDefault="00D11A0D" w:rsidP="007C5516">
            <w:pPr>
              <w:spacing w:before="60"/>
              <w:rPr>
                <w:rFonts w:eastAsia="Times New Roman" w:cstheme="minorHAnsi"/>
                <w:iCs/>
                <w:szCs w:val="17"/>
              </w:rPr>
            </w:pPr>
            <w:r w:rsidRPr="00B12AC9">
              <w:rPr>
                <w:rFonts w:asciiTheme="minorHAnsi" w:eastAsia="Times New Roman" w:hAnsiTheme="minorHAnsi" w:cstheme="minorHAnsi"/>
                <w:iCs/>
                <w:szCs w:val="17"/>
                <w:lang w:eastAsia="en-US"/>
              </w:rPr>
              <w:t>National Integrated Water Resources Management</w:t>
            </w:r>
          </w:p>
        </w:tc>
        <w:tc>
          <w:tcPr>
            <w:tcW w:w="643" w:type="pct"/>
          </w:tcPr>
          <w:p w14:paraId="2C7DED8F" w14:textId="77777777" w:rsidR="00D11A0D" w:rsidRPr="00B12AC9" w:rsidRDefault="00D11A0D" w:rsidP="007C5516">
            <w:pPr>
              <w:spacing w:before="60"/>
              <w:rPr>
                <w:rFonts w:asciiTheme="minorHAnsi" w:eastAsia="Times New Roman" w:hAnsiTheme="minorHAnsi" w:cstheme="minorHAnsi"/>
                <w:iCs/>
                <w:szCs w:val="17"/>
                <w:lang w:eastAsia="en-US"/>
              </w:rPr>
            </w:pPr>
            <w:r w:rsidRPr="00B12AC9">
              <w:rPr>
                <w:rFonts w:asciiTheme="minorHAnsi" w:eastAsia="Times New Roman" w:hAnsiTheme="minorHAnsi" w:cstheme="minorHAnsi"/>
                <w:iCs/>
                <w:szCs w:val="17"/>
                <w:lang w:eastAsia="en-US"/>
              </w:rPr>
              <w:t>$3,200,000</w:t>
            </w:r>
            <w:r w:rsidRPr="00B12AC9">
              <w:rPr>
                <w:rFonts w:asciiTheme="minorHAnsi" w:eastAsia="Times New Roman" w:hAnsiTheme="minorHAnsi" w:cstheme="minorHAnsi"/>
                <w:iCs/>
                <w:szCs w:val="17"/>
                <w:lang w:eastAsia="en-US"/>
              </w:rPr>
              <w:br/>
              <w:t>2011-2015</w:t>
            </w:r>
          </w:p>
        </w:tc>
        <w:tc>
          <w:tcPr>
            <w:tcW w:w="493" w:type="pct"/>
            <w:shd w:val="clear" w:color="auto" w:fill="FFFF00"/>
            <w:noWrap/>
          </w:tcPr>
          <w:p w14:paraId="760F6116" w14:textId="77777777" w:rsidR="00D11A0D" w:rsidRPr="003B0793" w:rsidRDefault="00D11A0D" w:rsidP="00B959E3">
            <w:pPr>
              <w:keepLines/>
              <w:spacing w:before="40" w:after="40" w:line="200" w:lineRule="atLeast"/>
              <w:jc w:val="center"/>
              <w:rPr>
                <w:rFonts w:asciiTheme="minorHAnsi" w:eastAsia="Times New Roman" w:hAnsiTheme="minorHAnsi"/>
                <w:iCs/>
                <w:szCs w:val="17"/>
                <w:lang w:eastAsia="en-US"/>
              </w:rPr>
            </w:pPr>
            <w:r w:rsidRPr="00D11A0D">
              <w:rPr>
                <w:rFonts w:asciiTheme="minorHAnsi" w:eastAsia="Times New Roman" w:hAnsiTheme="minorHAnsi"/>
                <w:iCs/>
                <w:szCs w:val="17"/>
                <w:lang w:eastAsia="en-US"/>
              </w:rPr>
              <w:t>4</w:t>
            </w:r>
          </w:p>
        </w:tc>
        <w:tc>
          <w:tcPr>
            <w:tcW w:w="403" w:type="pct"/>
            <w:shd w:val="clear" w:color="auto" w:fill="92D050"/>
            <w:noWrap/>
          </w:tcPr>
          <w:p w14:paraId="470C768A"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04" w:type="pct"/>
            <w:shd w:val="clear" w:color="auto" w:fill="FFC000"/>
            <w:noWrap/>
          </w:tcPr>
          <w:p w14:paraId="442C5530"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3</w:t>
            </w:r>
          </w:p>
        </w:tc>
        <w:tc>
          <w:tcPr>
            <w:tcW w:w="403" w:type="pct"/>
            <w:shd w:val="clear" w:color="auto" w:fill="FFFF00"/>
            <w:noWrap/>
          </w:tcPr>
          <w:p w14:paraId="73CCF018"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4" w:type="pct"/>
            <w:shd w:val="clear" w:color="auto" w:fill="FFFF00"/>
            <w:noWrap/>
          </w:tcPr>
          <w:p w14:paraId="1823CADF"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3" w:type="pct"/>
            <w:shd w:val="clear" w:color="auto" w:fill="FFFF00"/>
            <w:noWrap/>
          </w:tcPr>
          <w:p w14:paraId="302A941F"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4" w:type="pct"/>
            <w:shd w:val="clear" w:color="auto" w:fill="FFFF00"/>
          </w:tcPr>
          <w:p w14:paraId="6C812B32"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399" w:type="pct"/>
            <w:shd w:val="clear" w:color="auto" w:fill="FFFF00"/>
          </w:tcPr>
          <w:p w14:paraId="32631760"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r>
      <w:tr w:rsidR="00663662" w:rsidRPr="003B0793" w14:paraId="04C6313E" w14:textId="77777777" w:rsidTr="00D11A0D">
        <w:trPr>
          <w:cnfStyle w:val="000000010000" w:firstRow="0" w:lastRow="0" w:firstColumn="0" w:lastColumn="0" w:oddVBand="0" w:evenVBand="0" w:oddHBand="0" w:evenHBand="1" w:firstRowFirstColumn="0" w:firstRowLastColumn="0" w:lastRowFirstColumn="0" w:lastRowLastColumn="0"/>
          <w:trHeight w:val="284"/>
        </w:trPr>
        <w:tc>
          <w:tcPr>
            <w:tcW w:w="888" w:type="pct"/>
            <w:vAlign w:val="center"/>
          </w:tcPr>
          <w:p w14:paraId="5B78CA4B" w14:textId="77777777" w:rsidR="00D11A0D" w:rsidRPr="007A5548" w:rsidRDefault="00D11A0D" w:rsidP="007C5516">
            <w:pPr>
              <w:spacing w:before="60"/>
              <w:rPr>
                <w:rFonts w:asciiTheme="minorHAnsi" w:eastAsia="Times New Roman" w:hAnsiTheme="minorHAnsi" w:cstheme="minorHAnsi"/>
                <w:iCs/>
                <w:szCs w:val="17"/>
                <w:lang w:eastAsia="en-US"/>
              </w:rPr>
            </w:pPr>
            <w:r w:rsidRPr="007A5548">
              <w:rPr>
                <w:rFonts w:asciiTheme="minorHAnsi" w:eastAsia="Times New Roman" w:hAnsiTheme="minorHAnsi" w:cstheme="minorHAnsi"/>
                <w:iCs/>
                <w:szCs w:val="17"/>
                <w:lang w:eastAsia="en-US"/>
              </w:rPr>
              <w:t>Cambodia WRMSD Program</w:t>
            </w:r>
          </w:p>
        </w:tc>
        <w:tc>
          <w:tcPr>
            <w:tcW w:w="643" w:type="pct"/>
            <w:vAlign w:val="center"/>
          </w:tcPr>
          <w:p w14:paraId="43F5981B" w14:textId="77777777" w:rsidR="00D11A0D" w:rsidRPr="00B12AC9" w:rsidRDefault="00D11A0D" w:rsidP="007C5516">
            <w:pPr>
              <w:pStyle w:val="TableTextEntries"/>
              <w:spacing w:before="60" w:after="60" w:line="230" w:lineRule="atLeast"/>
              <w:rPr>
                <w:rFonts w:asciiTheme="minorHAnsi" w:hAnsiTheme="minorHAnsi" w:cstheme="minorHAnsi"/>
                <w:color w:val="495965" w:themeColor="text2"/>
                <w:highlight w:val="yellow"/>
                <w:lang w:val="en-GB" w:eastAsia="en-US"/>
              </w:rPr>
            </w:pPr>
            <w:r w:rsidRPr="007C5516">
              <w:rPr>
                <w:rFonts w:asciiTheme="minorHAnsi" w:hAnsiTheme="minorHAnsi" w:cstheme="minorHAnsi"/>
                <w:color w:val="495965" w:themeColor="text2"/>
                <w:lang w:val="en-GB" w:eastAsia="en-US"/>
              </w:rPr>
              <w:t>$5,000,000</w:t>
            </w:r>
            <w:r w:rsidR="007C5516" w:rsidRPr="007C5516">
              <w:rPr>
                <w:rFonts w:asciiTheme="minorHAnsi" w:hAnsiTheme="minorHAnsi" w:cstheme="minorHAnsi"/>
                <w:color w:val="495965" w:themeColor="text2"/>
                <w:lang w:val="en-GB" w:eastAsia="en-US"/>
              </w:rPr>
              <w:br/>
            </w:r>
            <w:r w:rsidRPr="007C5516">
              <w:rPr>
                <w:rFonts w:asciiTheme="minorHAnsi" w:hAnsiTheme="minorHAnsi" w:cstheme="minorHAnsi"/>
                <w:color w:val="495965" w:themeColor="text2"/>
                <w:lang w:val="en-GB" w:eastAsia="en-US"/>
              </w:rPr>
              <w:t>2011-2018</w:t>
            </w:r>
          </w:p>
        </w:tc>
        <w:tc>
          <w:tcPr>
            <w:tcW w:w="493" w:type="pct"/>
            <w:shd w:val="clear" w:color="auto" w:fill="FFFF00"/>
            <w:noWrap/>
          </w:tcPr>
          <w:p w14:paraId="3FD91D20" w14:textId="77777777" w:rsidR="00D11A0D" w:rsidRPr="003B0793" w:rsidRDefault="00D11A0D" w:rsidP="00B959E3">
            <w:pPr>
              <w:keepLines/>
              <w:spacing w:before="40" w:after="40" w:line="200" w:lineRule="atLeast"/>
              <w:jc w:val="center"/>
              <w:rPr>
                <w:rFonts w:asciiTheme="minorHAnsi" w:eastAsia="Times New Roman" w:hAnsiTheme="minorHAnsi"/>
                <w:iCs/>
                <w:szCs w:val="17"/>
                <w:lang w:eastAsia="en-US"/>
              </w:rPr>
            </w:pPr>
            <w:r w:rsidRPr="00D11A0D">
              <w:rPr>
                <w:rFonts w:asciiTheme="minorHAnsi" w:eastAsia="Times New Roman" w:hAnsiTheme="minorHAnsi"/>
                <w:iCs/>
                <w:szCs w:val="17"/>
                <w:lang w:eastAsia="en-US"/>
              </w:rPr>
              <w:t>4</w:t>
            </w:r>
          </w:p>
        </w:tc>
        <w:tc>
          <w:tcPr>
            <w:tcW w:w="403" w:type="pct"/>
            <w:shd w:val="clear" w:color="auto" w:fill="92D050"/>
            <w:noWrap/>
          </w:tcPr>
          <w:p w14:paraId="073F1BE3"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04" w:type="pct"/>
            <w:shd w:val="clear" w:color="auto" w:fill="92D050"/>
            <w:noWrap/>
          </w:tcPr>
          <w:p w14:paraId="1B1D7CFA"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03" w:type="pct"/>
            <w:shd w:val="clear" w:color="auto" w:fill="FFFF00"/>
            <w:noWrap/>
          </w:tcPr>
          <w:p w14:paraId="55504E6C"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4" w:type="pct"/>
            <w:shd w:val="clear" w:color="auto" w:fill="92D050"/>
            <w:noWrap/>
          </w:tcPr>
          <w:p w14:paraId="04DD69A4"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403" w:type="pct"/>
            <w:shd w:val="clear" w:color="auto" w:fill="FFFF00"/>
            <w:noWrap/>
          </w:tcPr>
          <w:p w14:paraId="3D2A7B57"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c>
          <w:tcPr>
            <w:tcW w:w="404" w:type="pct"/>
            <w:shd w:val="clear" w:color="auto" w:fill="92D050"/>
          </w:tcPr>
          <w:p w14:paraId="21CA8C61"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5</w:t>
            </w:r>
          </w:p>
        </w:tc>
        <w:tc>
          <w:tcPr>
            <w:tcW w:w="399" w:type="pct"/>
            <w:shd w:val="clear" w:color="auto" w:fill="FFFF00"/>
          </w:tcPr>
          <w:p w14:paraId="72781B8F" w14:textId="77777777" w:rsidR="00D11A0D" w:rsidRPr="00B12AC9" w:rsidRDefault="00D11A0D" w:rsidP="00B959E3">
            <w:pPr>
              <w:keepLines/>
              <w:spacing w:before="40" w:after="40" w:line="200" w:lineRule="atLeast"/>
              <w:jc w:val="center"/>
              <w:rPr>
                <w:rFonts w:asciiTheme="minorHAnsi" w:eastAsia="Times New Roman" w:hAnsiTheme="minorHAnsi"/>
                <w:iCs/>
                <w:szCs w:val="17"/>
                <w:lang w:eastAsia="en-US"/>
              </w:rPr>
            </w:pPr>
            <w:r w:rsidRPr="00B12AC9">
              <w:rPr>
                <w:rFonts w:asciiTheme="minorHAnsi" w:eastAsia="Times New Roman" w:hAnsiTheme="minorHAnsi"/>
                <w:iCs/>
                <w:szCs w:val="17"/>
                <w:lang w:eastAsia="en-US"/>
              </w:rPr>
              <w:t>4</w:t>
            </w:r>
          </w:p>
        </w:tc>
      </w:tr>
      <w:tr w:rsidR="0098518D" w:rsidRPr="003B0793" w14:paraId="6459DD8A" w14:textId="77777777" w:rsidTr="0098518D">
        <w:trPr>
          <w:cnfStyle w:val="000000010000" w:firstRow="0" w:lastRow="0" w:firstColumn="0" w:lastColumn="0" w:oddVBand="0" w:evenVBand="0" w:oddHBand="0" w:evenHBand="1" w:firstRowFirstColumn="0" w:firstRowLastColumn="0" w:lastRowFirstColumn="0" w:lastRowLastColumn="0"/>
          <w:trHeight w:val="284"/>
        </w:trPr>
        <w:tc>
          <w:tcPr>
            <w:tcW w:w="888" w:type="pct"/>
          </w:tcPr>
          <w:p w14:paraId="425BC767" w14:textId="77777777" w:rsidR="0098518D" w:rsidRPr="007A5548" w:rsidRDefault="0098518D" w:rsidP="00B959E3">
            <w:pPr>
              <w:rPr>
                <w:rFonts w:eastAsia="Times New Roman" w:cstheme="minorHAnsi"/>
                <w:iCs/>
                <w:szCs w:val="17"/>
              </w:rPr>
            </w:pPr>
          </w:p>
        </w:tc>
        <w:tc>
          <w:tcPr>
            <w:tcW w:w="643" w:type="pct"/>
          </w:tcPr>
          <w:p w14:paraId="55FD96E1" w14:textId="77777777" w:rsidR="0098518D" w:rsidRPr="00B12AC9" w:rsidRDefault="0098518D" w:rsidP="00B959E3">
            <w:pPr>
              <w:pStyle w:val="TableTextEntries"/>
              <w:keepLines w:val="0"/>
              <w:spacing w:before="120" w:after="60" w:line="230" w:lineRule="atLeast"/>
              <w:rPr>
                <w:rFonts w:asciiTheme="minorHAnsi" w:hAnsiTheme="minorHAnsi" w:cstheme="minorHAnsi"/>
                <w:color w:val="495965" w:themeColor="text2"/>
                <w:lang w:val="en-GB"/>
              </w:rPr>
            </w:pPr>
          </w:p>
        </w:tc>
        <w:tc>
          <w:tcPr>
            <w:tcW w:w="493" w:type="pct"/>
            <w:shd w:val="clear" w:color="auto" w:fill="auto"/>
            <w:noWrap/>
          </w:tcPr>
          <w:p w14:paraId="7C92151E" w14:textId="77777777" w:rsidR="0098518D" w:rsidRPr="003B0793" w:rsidRDefault="0098518D" w:rsidP="00B959E3">
            <w:pPr>
              <w:rPr>
                <w:rFonts w:eastAsia="Times New Roman"/>
                <w:iCs/>
                <w:szCs w:val="17"/>
              </w:rPr>
            </w:pPr>
          </w:p>
        </w:tc>
        <w:tc>
          <w:tcPr>
            <w:tcW w:w="403" w:type="pct"/>
            <w:shd w:val="clear" w:color="auto" w:fill="auto"/>
            <w:noWrap/>
          </w:tcPr>
          <w:p w14:paraId="0B4128DF" w14:textId="77777777" w:rsidR="0098518D" w:rsidRPr="00B12AC9" w:rsidRDefault="0098518D" w:rsidP="00B959E3">
            <w:pPr>
              <w:keepLines/>
              <w:spacing w:before="40" w:after="40" w:line="200" w:lineRule="atLeast"/>
              <w:jc w:val="center"/>
              <w:rPr>
                <w:rFonts w:eastAsia="Times New Roman"/>
                <w:iCs/>
                <w:szCs w:val="17"/>
              </w:rPr>
            </w:pPr>
          </w:p>
        </w:tc>
        <w:tc>
          <w:tcPr>
            <w:tcW w:w="404" w:type="pct"/>
            <w:shd w:val="clear" w:color="auto" w:fill="auto"/>
            <w:noWrap/>
          </w:tcPr>
          <w:p w14:paraId="5DC9A7FC" w14:textId="77777777" w:rsidR="0098518D" w:rsidRPr="00B12AC9" w:rsidRDefault="0098518D" w:rsidP="00B959E3">
            <w:pPr>
              <w:keepLines/>
              <w:spacing w:before="40" w:after="40" w:line="200" w:lineRule="atLeast"/>
              <w:jc w:val="center"/>
              <w:rPr>
                <w:rFonts w:eastAsia="Times New Roman"/>
                <w:iCs/>
                <w:szCs w:val="17"/>
              </w:rPr>
            </w:pPr>
          </w:p>
        </w:tc>
        <w:tc>
          <w:tcPr>
            <w:tcW w:w="403" w:type="pct"/>
            <w:shd w:val="clear" w:color="auto" w:fill="auto"/>
            <w:noWrap/>
          </w:tcPr>
          <w:p w14:paraId="1C3E587F" w14:textId="77777777" w:rsidR="0098518D" w:rsidRPr="00B12AC9" w:rsidRDefault="0098518D" w:rsidP="00B959E3">
            <w:pPr>
              <w:keepLines/>
              <w:spacing w:before="40" w:after="40" w:line="200" w:lineRule="atLeast"/>
              <w:jc w:val="center"/>
              <w:rPr>
                <w:rFonts w:eastAsia="Times New Roman"/>
                <w:iCs/>
                <w:szCs w:val="17"/>
              </w:rPr>
            </w:pPr>
          </w:p>
        </w:tc>
        <w:tc>
          <w:tcPr>
            <w:tcW w:w="404" w:type="pct"/>
            <w:shd w:val="clear" w:color="auto" w:fill="auto"/>
            <w:noWrap/>
          </w:tcPr>
          <w:p w14:paraId="1ED5D3D5" w14:textId="77777777" w:rsidR="0098518D" w:rsidRPr="00B12AC9" w:rsidRDefault="0098518D" w:rsidP="00B959E3">
            <w:pPr>
              <w:keepLines/>
              <w:spacing w:before="40" w:after="40" w:line="200" w:lineRule="atLeast"/>
              <w:jc w:val="center"/>
              <w:rPr>
                <w:rFonts w:eastAsia="Times New Roman"/>
                <w:iCs/>
                <w:szCs w:val="17"/>
              </w:rPr>
            </w:pPr>
          </w:p>
        </w:tc>
        <w:tc>
          <w:tcPr>
            <w:tcW w:w="403" w:type="pct"/>
            <w:shd w:val="clear" w:color="auto" w:fill="auto"/>
            <w:noWrap/>
          </w:tcPr>
          <w:p w14:paraId="0C2C681A" w14:textId="77777777" w:rsidR="0098518D" w:rsidRPr="00B12AC9" w:rsidRDefault="0098518D" w:rsidP="00B959E3">
            <w:pPr>
              <w:keepLines/>
              <w:spacing w:before="40" w:after="40" w:line="200" w:lineRule="atLeast"/>
              <w:jc w:val="center"/>
              <w:rPr>
                <w:rFonts w:eastAsia="Times New Roman"/>
                <w:iCs/>
                <w:szCs w:val="17"/>
              </w:rPr>
            </w:pPr>
          </w:p>
        </w:tc>
        <w:tc>
          <w:tcPr>
            <w:tcW w:w="404" w:type="pct"/>
            <w:shd w:val="clear" w:color="auto" w:fill="auto"/>
          </w:tcPr>
          <w:p w14:paraId="1EA25922" w14:textId="77777777" w:rsidR="0098518D" w:rsidRPr="00B12AC9" w:rsidRDefault="0098518D" w:rsidP="00B959E3">
            <w:pPr>
              <w:keepLines/>
              <w:spacing w:before="40" w:after="40" w:line="200" w:lineRule="atLeast"/>
              <w:jc w:val="center"/>
              <w:rPr>
                <w:rFonts w:eastAsia="Times New Roman"/>
                <w:iCs/>
                <w:szCs w:val="17"/>
              </w:rPr>
            </w:pPr>
          </w:p>
        </w:tc>
        <w:tc>
          <w:tcPr>
            <w:tcW w:w="399" w:type="pct"/>
            <w:shd w:val="clear" w:color="auto" w:fill="auto"/>
          </w:tcPr>
          <w:p w14:paraId="55421CDB" w14:textId="77777777" w:rsidR="0098518D" w:rsidRPr="00B12AC9" w:rsidRDefault="0098518D" w:rsidP="00B959E3">
            <w:pPr>
              <w:keepLines/>
              <w:spacing w:before="40" w:after="40" w:line="200" w:lineRule="atLeast"/>
              <w:jc w:val="center"/>
              <w:rPr>
                <w:rFonts w:eastAsia="Times New Roman"/>
                <w:iCs/>
                <w:szCs w:val="17"/>
              </w:rPr>
            </w:pPr>
          </w:p>
        </w:tc>
      </w:tr>
    </w:tbl>
    <w:p w14:paraId="6694EB1F" w14:textId="77777777" w:rsidR="00A8197B" w:rsidRPr="003B0793" w:rsidRDefault="00A8197B" w:rsidP="00A8197B">
      <w:pPr>
        <w:spacing w:before="20" w:after="20" w:line="180" w:lineRule="atLeast"/>
        <w:jc w:val="both"/>
        <w:rPr>
          <w:rFonts w:eastAsia="Times New Roman"/>
          <w:b/>
          <w:sz w:val="16"/>
          <w:szCs w:val="14"/>
        </w:rPr>
      </w:pPr>
    </w:p>
    <w:p w14:paraId="7A0CE4FE" w14:textId="77777777" w:rsidR="00A8197B" w:rsidRPr="003B0793" w:rsidRDefault="00A8197B" w:rsidP="00A8197B">
      <w:pPr>
        <w:spacing w:before="20" w:after="20" w:line="180" w:lineRule="atLeast"/>
        <w:jc w:val="both"/>
        <w:rPr>
          <w:rFonts w:eastAsia="Times New Roman"/>
          <w:b/>
          <w:sz w:val="16"/>
          <w:szCs w:val="14"/>
        </w:rPr>
      </w:pPr>
      <w:r w:rsidRPr="003B0793">
        <w:rPr>
          <w:rFonts w:eastAsia="Times New Roman"/>
          <w:b/>
          <w:sz w:val="16"/>
          <w:szCs w:val="14"/>
        </w:rPr>
        <w:t>Definitions of rating scale:</w:t>
      </w:r>
      <w:r w:rsidRPr="003B0793">
        <w:rPr>
          <w:rFonts w:eastAsia="Times New Roman"/>
          <w:b/>
          <w:sz w:val="16"/>
          <w:szCs w:val="14"/>
        </w:rPr>
        <w:tab/>
      </w:r>
    </w:p>
    <w:p w14:paraId="5BB9D138" w14:textId="77777777" w:rsidR="00A8197B" w:rsidRPr="003B0793" w:rsidRDefault="00A8197B" w:rsidP="00A8197B">
      <w:pPr>
        <w:spacing w:before="20" w:after="20" w:line="180" w:lineRule="atLeast"/>
        <w:jc w:val="both"/>
        <w:rPr>
          <w:rFonts w:eastAsia="Times New Roman"/>
          <w:b/>
          <w:sz w:val="16"/>
          <w:szCs w:val="14"/>
        </w:rPr>
      </w:pPr>
      <w:r w:rsidRPr="003B0793">
        <w:rPr>
          <w:rFonts w:eastAsia="Times New Roman"/>
          <w:b/>
          <w:sz w:val="16"/>
          <w:szCs w:val="14"/>
        </w:rPr>
        <w:t>Satisfactory (4, 5 and 6)</w:t>
      </w:r>
    </w:p>
    <w:p w14:paraId="029C2F62" w14:textId="77777777" w:rsidR="00A8197B" w:rsidRPr="003B0793" w:rsidRDefault="00A8197B" w:rsidP="00A8197B">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xml:space="preserve"> 6 = Very good; satisfies criteria in all areas.  </w:t>
      </w:r>
      <w:r w:rsidRPr="003B0793">
        <w:rPr>
          <w:rFonts w:eastAsia="Times New Roman"/>
          <w:b/>
          <w:color w:val="72AF2F"/>
          <w:sz w:val="16"/>
          <w:szCs w:val="14"/>
        </w:rPr>
        <w:sym w:font="Webdings" w:char="F067"/>
      </w:r>
      <w:r w:rsidRPr="003B0793">
        <w:rPr>
          <w:rFonts w:eastAsia="Times New Roman"/>
          <w:b/>
          <w:sz w:val="16"/>
          <w:szCs w:val="14"/>
        </w:rPr>
        <w:t xml:space="preserve"> 5 = Good; satisfies criteria in almost all areas.</w:t>
      </w:r>
    </w:p>
    <w:p w14:paraId="3CD27481" w14:textId="77777777" w:rsidR="00A8197B" w:rsidRPr="003B0793" w:rsidRDefault="00A8197B" w:rsidP="00A8197B">
      <w:pPr>
        <w:spacing w:before="20" w:after="20" w:line="180" w:lineRule="atLeast"/>
        <w:jc w:val="both"/>
        <w:rPr>
          <w:rFonts w:eastAsia="Times New Roman"/>
          <w:b/>
          <w:sz w:val="16"/>
          <w:szCs w:val="14"/>
        </w:rPr>
      </w:pPr>
      <w:r w:rsidRPr="003B0793">
        <w:rPr>
          <w:rFonts w:eastAsia="Times New Roman"/>
          <w:b/>
          <w:color w:val="FFFF00"/>
          <w:sz w:val="16"/>
          <w:szCs w:val="14"/>
        </w:rPr>
        <w:sym w:font="Webdings" w:char="F067"/>
      </w:r>
      <w:r w:rsidRPr="003B0793">
        <w:rPr>
          <w:rFonts w:eastAsia="Times New Roman"/>
          <w:b/>
          <w:sz w:val="16"/>
          <w:szCs w:val="14"/>
        </w:rPr>
        <w:t xml:space="preserve"> 4 = Adequate; on balance, satisfies criteria; does not fail in any major area.</w:t>
      </w:r>
    </w:p>
    <w:p w14:paraId="70CC51A7" w14:textId="77777777" w:rsidR="00A8197B" w:rsidRPr="003B0793" w:rsidRDefault="00A8197B" w:rsidP="00A8197B">
      <w:pPr>
        <w:spacing w:before="20" w:after="20" w:line="180" w:lineRule="atLeast"/>
        <w:jc w:val="both"/>
        <w:rPr>
          <w:rFonts w:eastAsia="Times New Roman"/>
          <w:b/>
          <w:sz w:val="16"/>
          <w:szCs w:val="14"/>
        </w:rPr>
      </w:pPr>
      <w:r w:rsidRPr="003B0793">
        <w:rPr>
          <w:rFonts w:eastAsia="Times New Roman"/>
          <w:b/>
          <w:sz w:val="16"/>
          <w:szCs w:val="14"/>
        </w:rPr>
        <w:t>Less than satisfactory (1, 2 and 3)</w:t>
      </w:r>
    </w:p>
    <w:p w14:paraId="69656DE0" w14:textId="77777777" w:rsidR="00A8197B" w:rsidRPr="003B0793" w:rsidRDefault="00A8197B" w:rsidP="00A8197B">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color w:val="E36C0A"/>
          <w:sz w:val="16"/>
          <w:szCs w:val="14"/>
        </w:rPr>
        <w:t xml:space="preserve"> </w:t>
      </w:r>
      <w:r w:rsidRPr="003B0793">
        <w:rPr>
          <w:rFonts w:eastAsia="Times New Roman"/>
          <w:b/>
          <w:sz w:val="16"/>
          <w:szCs w:val="14"/>
        </w:rPr>
        <w:t>3 = Less than adequate; on balance does not satisfy criteria and/or fails in at least one major area.</w:t>
      </w:r>
    </w:p>
    <w:p w14:paraId="2CD3BC06" w14:textId="60704BC6" w:rsidR="00117556" w:rsidRPr="00710D9D" w:rsidRDefault="00A8197B" w:rsidP="00710D9D">
      <w:pPr>
        <w:spacing w:before="20" w:after="20" w:line="180" w:lineRule="atLeast"/>
      </w:pPr>
      <w:r w:rsidRPr="003B0793">
        <w:rPr>
          <w:rFonts w:eastAsia="Times New Roman"/>
          <w:b/>
          <w:color w:val="FF0000"/>
          <w:sz w:val="16"/>
          <w:szCs w:val="14"/>
        </w:rPr>
        <w:sym w:font="Webdings" w:char="F067"/>
      </w:r>
      <w:r w:rsidRPr="003B0793">
        <w:rPr>
          <w:rFonts w:eastAsia="Times New Roman"/>
          <w:b/>
          <w:sz w:val="16"/>
          <w:szCs w:val="14"/>
        </w:rPr>
        <w:t xml:space="preserve"> 2 = Poor; does not satisfy criteria in major areas.  </w:t>
      </w:r>
      <w:r w:rsidRPr="003B0793">
        <w:rPr>
          <w:rFonts w:eastAsia="Times New Roman"/>
          <w:b/>
          <w:color w:val="FF0000"/>
          <w:sz w:val="16"/>
          <w:szCs w:val="14"/>
        </w:rPr>
        <w:sym w:font="Webdings" w:char="F067"/>
      </w:r>
      <w:r w:rsidRPr="003B0793">
        <w:rPr>
          <w:rFonts w:eastAsia="Times New Roman"/>
          <w:b/>
          <w:sz w:val="16"/>
          <w:szCs w:val="14"/>
        </w:rPr>
        <w:t xml:space="preserve"> 1 = Very poor; does not sati</w:t>
      </w:r>
      <w:r w:rsidR="00710D9D">
        <w:rPr>
          <w:rFonts w:eastAsia="Times New Roman"/>
          <w:b/>
          <w:sz w:val="16"/>
          <w:szCs w:val="14"/>
        </w:rPr>
        <w:t>sfy criteria in many major area.</w:t>
      </w:r>
    </w:p>
    <w:sectPr w:rsidR="00117556" w:rsidRPr="00710D9D" w:rsidSect="00710D9D">
      <w:headerReference w:type="default" r:id="rId24"/>
      <w:footerReference w:type="default" r:id="rId25"/>
      <w:headerReference w:type="first" r:id="rId26"/>
      <w:pgSz w:w="11906" w:h="16838" w:code="9"/>
      <w:pgMar w:top="1529" w:right="1134" w:bottom="851" w:left="1134" w:header="1560" w:footer="567" w:gutter="0"/>
      <w:cols w:space="397"/>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AA09A7" w15:done="0"/>
  <w15:commentEx w15:paraId="56413265" w15:done="0"/>
  <w15:commentEx w15:paraId="1E3727A8" w15:done="0"/>
  <w15:commentEx w15:paraId="44F91F23" w15:done="0"/>
  <w15:commentEx w15:paraId="19D07A0A" w15:done="0"/>
  <w15:commentEx w15:paraId="242C6A04" w15:done="0"/>
  <w15:commentEx w15:paraId="56EBEF4C" w15:done="0"/>
  <w15:commentEx w15:paraId="2A45B6BE" w15:done="0"/>
  <w15:commentEx w15:paraId="6941503C" w15:done="0"/>
  <w15:commentEx w15:paraId="2D73E507" w15:done="0"/>
  <w15:commentEx w15:paraId="34481A44" w15:done="0"/>
  <w15:commentEx w15:paraId="6E86AF6C" w15:done="0"/>
  <w15:commentEx w15:paraId="4D246C82" w15:done="0"/>
  <w15:commentEx w15:paraId="09638DD9" w15:done="0"/>
  <w15:commentEx w15:paraId="4B457069" w15:done="0"/>
  <w15:commentEx w15:paraId="41F636EC" w15:done="0"/>
  <w15:commentEx w15:paraId="1DA5E037" w15:done="0"/>
  <w15:commentEx w15:paraId="7F9767B5" w15:done="0"/>
  <w15:commentEx w15:paraId="6E7280C3" w15:done="0"/>
  <w15:commentEx w15:paraId="7697E1DB" w15:done="0"/>
  <w15:commentEx w15:paraId="3BC083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7C9C3" w14:textId="77777777" w:rsidR="00B143AC" w:rsidRDefault="00B143AC" w:rsidP="00EF4574">
      <w:pPr>
        <w:spacing w:before="0" w:after="0" w:line="240" w:lineRule="auto"/>
      </w:pPr>
      <w:r>
        <w:separator/>
      </w:r>
    </w:p>
  </w:endnote>
  <w:endnote w:type="continuationSeparator" w:id="0">
    <w:p w14:paraId="1018B938" w14:textId="77777777" w:rsidR="00B143AC" w:rsidRDefault="00B143AC" w:rsidP="00EF4574">
      <w:pPr>
        <w:spacing w:before="0" w:after="0" w:line="240" w:lineRule="auto"/>
      </w:pPr>
      <w:r>
        <w:continuationSeparator/>
      </w:r>
    </w:p>
  </w:endnote>
  <w:endnote w:type="continuationNotice" w:id="1">
    <w:p w14:paraId="186B0B5C" w14:textId="77777777" w:rsidR="00B143AC" w:rsidRDefault="00B143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6CEDD" w14:textId="77777777" w:rsidR="0047417C" w:rsidRDefault="00474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5C89" w14:textId="77777777" w:rsidR="0047417C" w:rsidRDefault="00474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365EA" w14:textId="77777777" w:rsidR="0047417C" w:rsidRDefault="004741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349911"/>
      <w:docPartObj>
        <w:docPartGallery w:val="Page Numbers (Bottom of Page)"/>
        <w:docPartUnique/>
      </w:docPartObj>
    </w:sdtPr>
    <w:sdtEndPr>
      <w:rPr>
        <w:noProof/>
      </w:rPr>
    </w:sdtEndPr>
    <w:sdtContent>
      <w:p w14:paraId="7D9D98F0" w14:textId="77777777" w:rsidR="00B143AC" w:rsidRDefault="00B143AC">
        <w:pPr>
          <w:pStyle w:val="Footer"/>
        </w:pPr>
        <w:r>
          <w:fldChar w:fldCharType="begin"/>
        </w:r>
        <w:r>
          <w:instrText xml:space="preserve"> PAGE   \* MERGEFORMAT </w:instrText>
        </w:r>
        <w:r>
          <w:fldChar w:fldCharType="separate"/>
        </w:r>
        <w:r w:rsidR="0047417C">
          <w:rPr>
            <w:noProof/>
          </w:rPr>
          <w:t>2</w:t>
        </w:r>
        <w:r>
          <w:rPr>
            <w:noProof/>
          </w:rPr>
          <w:fldChar w:fldCharType="end"/>
        </w:r>
      </w:p>
    </w:sdtContent>
  </w:sdt>
  <w:p w14:paraId="22012A26" w14:textId="77777777" w:rsidR="00B143AC" w:rsidRDefault="00B143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689952"/>
      <w:docPartObj>
        <w:docPartGallery w:val="Page Numbers (Bottom of Page)"/>
        <w:docPartUnique/>
      </w:docPartObj>
    </w:sdtPr>
    <w:sdtEndPr>
      <w:rPr>
        <w:noProof/>
      </w:rPr>
    </w:sdtEndPr>
    <w:sdtContent>
      <w:p w14:paraId="5E957F2A" w14:textId="77777777" w:rsidR="00B143AC" w:rsidRDefault="00B143AC">
        <w:pPr>
          <w:pStyle w:val="Footer"/>
        </w:pPr>
        <w:r>
          <w:fldChar w:fldCharType="begin"/>
        </w:r>
        <w:r>
          <w:instrText xml:space="preserve"> PAGE   \* MERGEFORMAT </w:instrText>
        </w:r>
        <w:r>
          <w:fldChar w:fldCharType="separate"/>
        </w:r>
        <w:r w:rsidR="0047417C">
          <w:rPr>
            <w:noProof/>
          </w:rPr>
          <w:t>13</w:t>
        </w:r>
        <w:r>
          <w:rPr>
            <w:noProof/>
          </w:rPr>
          <w:fldChar w:fldCharType="end"/>
        </w:r>
      </w:p>
    </w:sdtContent>
  </w:sdt>
  <w:p w14:paraId="283C658C" w14:textId="77777777" w:rsidR="00B143AC" w:rsidRDefault="00B14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FC0D1" w14:textId="77777777" w:rsidR="00B143AC" w:rsidRPr="008C5A0E" w:rsidRDefault="00B143AC" w:rsidP="001D663E">
      <w:pPr>
        <w:pStyle w:val="Footer"/>
        <w:pBdr>
          <w:top w:val="single" w:sz="4" w:space="1" w:color="495965" w:themeColor="text2"/>
        </w:pBdr>
      </w:pPr>
    </w:p>
  </w:footnote>
  <w:footnote w:type="continuationSeparator" w:id="0">
    <w:p w14:paraId="5113EAFA" w14:textId="77777777" w:rsidR="00B143AC" w:rsidRDefault="00B143AC" w:rsidP="00EF4574">
      <w:pPr>
        <w:spacing w:before="0" w:after="0" w:line="240" w:lineRule="auto"/>
      </w:pPr>
      <w:r>
        <w:continuationSeparator/>
      </w:r>
    </w:p>
  </w:footnote>
  <w:footnote w:type="continuationNotice" w:id="1">
    <w:p w14:paraId="0777C1A2" w14:textId="77777777" w:rsidR="00B143AC" w:rsidRDefault="00B143AC">
      <w:pPr>
        <w:spacing w:before="0" w:after="0" w:line="240" w:lineRule="auto"/>
      </w:pPr>
    </w:p>
  </w:footnote>
  <w:footnote w:id="2">
    <w:p w14:paraId="36457A30" w14:textId="77777777" w:rsidR="00B143AC" w:rsidRPr="005D6D36" w:rsidRDefault="00B143AC" w:rsidP="00245A37">
      <w:pPr>
        <w:pStyle w:val="FootnoteText"/>
        <w:rPr>
          <w:lang w:val="en-AU"/>
        </w:rPr>
      </w:pPr>
      <w:r>
        <w:rPr>
          <w:rStyle w:val="FootnoteReference"/>
        </w:rPr>
        <w:footnoteRef/>
      </w:r>
      <w:r>
        <w:t xml:space="preserve"> </w:t>
      </w:r>
      <w:r>
        <w:rPr>
          <w:lang w:val="en-AU"/>
        </w:rPr>
        <w:t xml:space="preserve">This is an advancement on the </w:t>
      </w:r>
      <w:r w:rsidRPr="005D6D36">
        <w:rPr>
          <w:i/>
          <w:lang w:val="en-AU"/>
        </w:rPr>
        <w:t>ASEAN Declaration Against Trafficking in Persons Particularly Women and Children (1998)</w:t>
      </w:r>
      <w:r>
        <w:rPr>
          <w:lang w:val="en-AU"/>
        </w:rPr>
        <w:t>, which the AIP states that we will report 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05476" w14:textId="77777777" w:rsidR="0047417C" w:rsidRDefault="00474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13358" w14:textId="77777777" w:rsidR="00B143AC" w:rsidRPr="00333501" w:rsidRDefault="00B143AC" w:rsidP="008F56A8">
    <w:pPr>
      <w:pStyle w:val="Header"/>
      <w:jc w:val="left"/>
    </w:pPr>
    <w:r>
      <w:rPr>
        <w:noProof/>
        <w:lang w:val="en-AU" w:eastAsia="en-AU"/>
      </w:rPr>
      <w:drawing>
        <wp:anchor distT="0" distB="0" distL="114300" distR="114300" simplePos="0" relativeHeight="251689984" behindDoc="1" locked="1" layoutInCell="1" allowOverlap="1" wp14:anchorId="55038CDF" wp14:editId="044030D0">
          <wp:simplePos x="0" y="0"/>
          <wp:positionH relativeFrom="page">
            <wp:posOffset>-29845</wp:posOffset>
          </wp:positionH>
          <wp:positionV relativeFrom="page">
            <wp:posOffset>1270</wp:posOffset>
          </wp:positionV>
          <wp:extent cx="7734935" cy="108292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C76C3" w14:textId="77777777" w:rsidR="00B143AC" w:rsidRPr="003D352D" w:rsidRDefault="00B143AC" w:rsidP="003D352D">
    <w:pPr>
      <w:pStyle w:val="Header"/>
      <w:jc w:val="left"/>
    </w:pPr>
    <w:r>
      <w:rPr>
        <w:noProof/>
        <w:lang w:val="en-AU" w:eastAsia="en-AU"/>
      </w:rPr>
      <w:drawing>
        <wp:anchor distT="0" distB="0" distL="114300" distR="114300" simplePos="0" relativeHeight="251669504" behindDoc="1" locked="1" layoutInCell="1" allowOverlap="1" wp14:anchorId="2D9D6152" wp14:editId="09AB64C1">
          <wp:simplePos x="0" y="0"/>
          <wp:positionH relativeFrom="page">
            <wp:posOffset>-22860</wp:posOffset>
          </wp:positionH>
          <wp:positionV relativeFrom="page">
            <wp:posOffset>15240</wp:posOffset>
          </wp:positionV>
          <wp:extent cx="7734935" cy="10829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E584B" w14:textId="373D0F29" w:rsidR="00B143AC" w:rsidRPr="00333501" w:rsidRDefault="00B143AC" w:rsidP="008F56A8">
    <w:pPr>
      <w:pStyle w:val="Header"/>
      <w:jc w:val="left"/>
    </w:pPr>
    <w:r>
      <w:rPr>
        <w:noProof/>
        <w:lang w:val="en-AU" w:eastAsia="en-AU"/>
      </w:rPr>
      <w:drawing>
        <wp:anchor distT="0" distB="0" distL="114300" distR="114300" simplePos="0" relativeHeight="251667454" behindDoc="1" locked="1" layoutInCell="1" allowOverlap="1" wp14:anchorId="3C7B5722" wp14:editId="27238844">
          <wp:simplePos x="0" y="0"/>
          <wp:positionH relativeFrom="page">
            <wp:posOffset>-15240</wp:posOffset>
          </wp:positionH>
          <wp:positionV relativeFrom="page">
            <wp:posOffset>0</wp:posOffset>
          </wp:positionV>
          <wp:extent cx="7734935" cy="108292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D81EB" w14:textId="77777777" w:rsidR="00B143AC" w:rsidRPr="003D352D" w:rsidRDefault="00B143AC" w:rsidP="003D352D">
    <w:pPr>
      <w:pStyle w:val="Header"/>
      <w:jc w:val="left"/>
    </w:pPr>
    <w:r>
      <w:rPr>
        <w:noProof/>
        <w:lang w:val="en-AU" w:eastAsia="en-AU"/>
      </w:rPr>
      <w:drawing>
        <wp:anchor distT="0" distB="0" distL="114300" distR="114300" simplePos="0" relativeHeight="251673600" behindDoc="1" locked="1" layoutInCell="1" allowOverlap="1" wp14:anchorId="486105E9" wp14:editId="4D2C9076">
          <wp:simplePos x="0" y="0"/>
          <wp:positionH relativeFrom="page">
            <wp:posOffset>0</wp:posOffset>
          </wp:positionH>
          <wp:positionV relativeFrom="page">
            <wp:posOffset>0</wp:posOffset>
          </wp:positionV>
          <wp:extent cx="10694035" cy="7465695"/>
          <wp:effectExtent l="0" t="0" r="0" b="190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D4753" w14:textId="77777777" w:rsidR="00B143AC" w:rsidRPr="00333501" w:rsidRDefault="00B143AC" w:rsidP="008F56A8">
    <w:pPr>
      <w:pStyle w:val="Header"/>
      <w:jc w:val="left"/>
    </w:pPr>
    <w:r>
      <w:rPr>
        <w:noProof/>
        <w:lang w:val="en-AU" w:eastAsia="en-AU"/>
      </w:rPr>
      <w:drawing>
        <wp:anchor distT="0" distB="0" distL="114300" distR="114300" simplePos="0" relativeHeight="251696128" behindDoc="1" locked="1" layoutInCell="1" allowOverlap="1" wp14:anchorId="2815EE2E" wp14:editId="2F8E0405">
          <wp:simplePos x="0" y="0"/>
          <wp:positionH relativeFrom="page">
            <wp:posOffset>-80645</wp:posOffset>
          </wp:positionH>
          <wp:positionV relativeFrom="page">
            <wp:posOffset>-92710</wp:posOffset>
          </wp:positionV>
          <wp:extent cx="10799445" cy="7559675"/>
          <wp:effectExtent l="0" t="0" r="1905" b="317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99445" cy="7559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EA7B7" w14:textId="77777777" w:rsidR="00B143AC" w:rsidRPr="003D352D" w:rsidRDefault="00B143AC" w:rsidP="003D352D">
    <w:pPr>
      <w:pStyle w:val="Header"/>
      <w:jc w:val="left"/>
    </w:pPr>
    <w:r>
      <w:rPr>
        <w:noProof/>
        <w:lang w:val="en-AU" w:eastAsia="en-AU"/>
      </w:rPr>
      <w:drawing>
        <wp:anchor distT="0" distB="0" distL="114300" distR="114300" simplePos="0" relativeHeight="251675648" behindDoc="1" locked="1" layoutInCell="1" allowOverlap="1" wp14:anchorId="41AEF062" wp14:editId="6F48C08E">
          <wp:simplePos x="0" y="0"/>
          <wp:positionH relativeFrom="page">
            <wp:posOffset>-15875</wp:posOffset>
          </wp:positionH>
          <wp:positionV relativeFrom="page">
            <wp:posOffset>0</wp:posOffset>
          </wp:positionV>
          <wp:extent cx="10702290" cy="7458075"/>
          <wp:effectExtent l="0" t="0" r="381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9FBD8" w14:textId="25AF8467" w:rsidR="00B143AC" w:rsidRPr="00333501" w:rsidRDefault="00B143AC" w:rsidP="008F56A8">
    <w:pPr>
      <w:pStyle w:val="Header"/>
      <w:jc w:val="left"/>
    </w:pPr>
    <w:r>
      <w:rPr>
        <w:noProof/>
        <w:lang w:val="en-AU" w:eastAsia="en-AU"/>
      </w:rPr>
      <w:drawing>
        <wp:anchor distT="0" distB="0" distL="114300" distR="114300" simplePos="0" relativeHeight="251668479" behindDoc="1" locked="1" layoutInCell="1" allowOverlap="1" wp14:anchorId="59773816" wp14:editId="5FF6829D">
          <wp:simplePos x="0" y="0"/>
          <wp:positionH relativeFrom="page">
            <wp:posOffset>3810</wp:posOffset>
          </wp:positionH>
          <wp:positionV relativeFrom="page">
            <wp:posOffset>12700</wp:posOffset>
          </wp:positionV>
          <wp:extent cx="7734935" cy="10829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E6AE3" w14:textId="77777777" w:rsidR="00B143AC" w:rsidRPr="003D352D" w:rsidRDefault="00B143AC" w:rsidP="003D352D">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5D8"/>
    <w:multiLevelType w:val="hybridMultilevel"/>
    <w:tmpl w:val="E168F1AE"/>
    <w:lvl w:ilvl="0" w:tplc="476098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0D400E"/>
    <w:multiLevelType w:val="hybridMultilevel"/>
    <w:tmpl w:val="23142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FA6FAB"/>
    <w:multiLevelType w:val="hybridMultilevel"/>
    <w:tmpl w:val="6A3632F6"/>
    <w:lvl w:ilvl="0" w:tplc="B6F69890">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nsid w:val="0D1520CE"/>
    <w:multiLevelType w:val="hybridMultilevel"/>
    <w:tmpl w:val="B2501470"/>
    <w:lvl w:ilvl="0" w:tplc="D73EDE10">
      <w:start w:val="1"/>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7">
    <w:nsid w:val="21462649"/>
    <w:multiLevelType w:val="multilevel"/>
    <w:tmpl w:val="EFE6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2C5E42AB"/>
    <w:multiLevelType w:val="hybridMultilevel"/>
    <w:tmpl w:val="6AB4F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9224D3"/>
    <w:multiLevelType w:val="multilevel"/>
    <w:tmpl w:val="BACE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DF2E4A"/>
    <w:multiLevelType w:val="hybridMultilevel"/>
    <w:tmpl w:val="FEAA7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72B73AB"/>
    <w:multiLevelType w:val="hybridMultilevel"/>
    <w:tmpl w:val="67825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B32EE8"/>
    <w:multiLevelType w:val="hybridMultilevel"/>
    <w:tmpl w:val="88A47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313C8C"/>
    <w:multiLevelType w:val="hybridMultilevel"/>
    <w:tmpl w:val="0734C7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nsid w:val="5B9B25D0"/>
    <w:multiLevelType w:val="hybridMultilevel"/>
    <w:tmpl w:val="0734C7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D3C1EA7"/>
    <w:multiLevelType w:val="multilevel"/>
    <w:tmpl w:val="43428892"/>
    <w:numStyleLink w:val="BulletsList"/>
  </w:abstractNum>
  <w:abstractNum w:abstractNumId="19">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nsid w:val="698F672F"/>
    <w:multiLevelType w:val="hybridMultilevel"/>
    <w:tmpl w:val="11FEB8C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D0B10B5"/>
    <w:multiLevelType w:val="hybridMultilevel"/>
    <w:tmpl w:val="D12C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nsid w:val="73891F40"/>
    <w:multiLevelType w:val="hybridMultilevel"/>
    <w:tmpl w:val="0C9886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6F03285"/>
    <w:multiLevelType w:val="multilevel"/>
    <w:tmpl w:val="51C20118"/>
    <w:lvl w:ilvl="0">
      <w:start w:val="1"/>
      <w:numFmt w:val="bullet"/>
      <w:lvlText w:val=""/>
      <w:lvlJc w:val="left"/>
      <w:pPr>
        <w:ind w:left="720" w:hanging="360"/>
      </w:pPr>
      <w:rPr>
        <w:rFonts w:ascii="Symbol" w:hAnsi="Symbol" w:hint="default"/>
        <w:color w:val="auto"/>
        <w:sz w:val="22"/>
        <w:szCs w:val="22"/>
      </w:rPr>
    </w:lvl>
    <w:lvl w:ilvl="1">
      <w:start w:val="1"/>
      <w:numFmt w:val="decimal"/>
      <w:isLgl/>
      <w:lvlText w:val="%1.%2"/>
      <w:lvlJc w:val="left"/>
      <w:pPr>
        <w:ind w:left="773" w:hanging="360"/>
      </w:pPr>
      <w:rPr>
        <w:rFonts w:ascii="Franklin Gothic Book" w:hAnsi="Franklin Gothic Book" w:cs="Times New Roman" w:hint="default"/>
        <w:sz w:val="21"/>
      </w:rPr>
    </w:lvl>
    <w:lvl w:ilvl="2">
      <w:start w:val="1"/>
      <w:numFmt w:val="decimal"/>
      <w:isLgl/>
      <w:lvlText w:val="%1.%2.%3"/>
      <w:lvlJc w:val="left"/>
      <w:pPr>
        <w:ind w:left="1186" w:hanging="720"/>
      </w:pPr>
      <w:rPr>
        <w:rFonts w:ascii="Franklin Gothic Book" w:hAnsi="Franklin Gothic Book" w:cs="Times New Roman" w:hint="default"/>
        <w:sz w:val="21"/>
      </w:rPr>
    </w:lvl>
    <w:lvl w:ilvl="3">
      <w:start w:val="1"/>
      <w:numFmt w:val="decimal"/>
      <w:isLgl/>
      <w:lvlText w:val="%1.%2.%3.%4"/>
      <w:lvlJc w:val="left"/>
      <w:pPr>
        <w:ind w:left="1239" w:hanging="720"/>
      </w:pPr>
      <w:rPr>
        <w:rFonts w:ascii="Franklin Gothic Book" w:hAnsi="Franklin Gothic Book" w:cs="Times New Roman" w:hint="default"/>
        <w:sz w:val="21"/>
      </w:rPr>
    </w:lvl>
    <w:lvl w:ilvl="4">
      <w:start w:val="1"/>
      <w:numFmt w:val="decimal"/>
      <w:isLgl/>
      <w:lvlText w:val="%1.%2.%3.%4.%5"/>
      <w:lvlJc w:val="left"/>
      <w:pPr>
        <w:ind w:left="1652" w:hanging="1080"/>
      </w:pPr>
      <w:rPr>
        <w:rFonts w:ascii="Franklin Gothic Book" w:hAnsi="Franklin Gothic Book" w:cs="Times New Roman" w:hint="default"/>
        <w:sz w:val="21"/>
      </w:rPr>
    </w:lvl>
    <w:lvl w:ilvl="5">
      <w:start w:val="1"/>
      <w:numFmt w:val="decimal"/>
      <w:isLgl/>
      <w:lvlText w:val="%1.%2.%3.%4.%5.%6"/>
      <w:lvlJc w:val="left"/>
      <w:pPr>
        <w:ind w:left="1705" w:hanging="1080"/>
      </w:pPr>
      <w:rPr>
        <w:rFonts w:ascii="Franklin Gothic Book" w:hAnsi="Franklin Gothic Book" w:cs="Times New Roman" w:hint="default"/>
        <w:sz w:val="21"/>
      </w:rPr>
    </w:lvl>
    <w:lvl w:ilvl="6">
      <w:start w:val="1"/>
      <w:numFmt w:val="decimal"/>
      <w:isLgl/>
      <w:lvlText w:val="%1.%2.%3.%4.%5.%6.%7"/>
      <w:lvlJc w:val="left"/>
      <w:pPr>
        <w:ind w:left="2118" w:hanging="1440"/>
      </w:pPr>
      <w:rPr>
        <w:rFonts w:ascii="Franklin Gothic Book" w:hAnsi="Franklin Gothic Book" w:cs="Times New Roman" w:hint="default"/>
        <w:sz w:val="21"/>
      </w:rPr>
    </w:lvl>
    <w:lvl w:ilvl="7">
      <w:start w:val="1"/>
      <w:numFmt w:val="decimal"/>
      <w:isLgl/>
      <w:lvlText w:val="%1.%2.%3.%4.%5.%6.%7.%8"/>
      <w:lvlJc w:val="left"/>
      <w:pPr>
        <w:ind w:left="2171" w:hanging="1440"/>
      </w:pPr>
      <w:rPr>
        <w:rFonts w:ascii="Franklin Gothic Book" w:hAnsi="Franklin Gothic Book" w:cs="Times New Roman" w:hint="default"/>
        <w:sz w:val="21"/>
      </w:rPr>
    </w:lvl>
    <w:lvl w:ilvl="8">
      <w:start w:val="1"/>
      <w:numFmt w:val="decimal"/>
      <w:isLgl/>
      <w:lvlText w:val="%1.%2.%3.%4.%5.%6.%7.%8.%9"/>
      <w:lvlJc w:val="left"/>
      <w:pPr>
        <w:ind w:left="2224" w:hanging="1440"/>
      </w:pPr>
      <w:rPr>
        <w:rFonts w:ascii="Franklin Gothic Book" w:hAnsi="Franklin Gothic Book" w:cs="Times New Roman" w:hint="default"/>
        <w:sz w:val="21"/>
      </w:rPr>
    </w:lvl>
  </w:abstractNum>
  <w:abstractNum w:abstractNumId="25">
    <w:nsid w:val="7FCD41A0"/>
    <w:multiLevelType w:val="hybridMultilevel"/>
    <w:tmpl w:val="A692D7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
  </w:num>
  <w:num w:numId="3">
    <w:abstractNumId w:val="8"/>
  </w:num>
  <w:num w:numId="4">
    <w:abstractNumId w:val="16"/>
  </w:num>
  <w:num w:numId="5">
    <w:abstractNumId w:val="19"/>
  </w:num>
  <w:num w:numId="6">
    <w:abstractNumId w:val="8"/>
  </w:num>
  <w:num w:numId="7">
    <w:abstractNumId w:val="18"/>
  </w:num>
  <w:num w:numId="8">
    <w:abstractNumId w:val="3"/>
  </w:num>
  <w:num w:numId="9">
    <w:abstractNumId w:val="12"/>
  </w:num>
  <w:num w:numId="10">
    <w:abstractNumId w:val="5"/>
  </w:num>
  <w:num w:numId="11">
    <w:abstractNumId w:val="6"/>
  </w:num>
  <w:num w:numId="12">
    <w:abstractNumId w:val="15"/>
  </w:num>
  <w:num w:numId="13">
    <w:abstractNumId w:val="17"/>
  </w:num>
  <w:num w:numId="14">
    <w:abstractNumId w:val="25"/>
  </w:num>
  <w:num w:numId="15">
    <w:abstractNumId w:val="23"/>
  </w:num>
  <w:num w:numId="16">
    <w:abstractNumId w:val="4"/>
  </w:num>
  <w:num w:numId="17">
    <w:abstractNumId w:val="21"/>
  </w:num>
  <w:num w:numId="18">
    <w:abstractNumId w:val="9"/>
  </w:num>
  <w:num w:numId="19">
    <w:abstractNumId w:val="14"/>
  </w:num>
  <w:num w:numId="20">
    <w:abstractNumId w:val="10"/>
  </w:num>
  <w:num w:numId="21">
    <w:abstractNumId w:val="7"/>
  </w:num>
  <w:num w:numId="22">
    <w:abstractNumId w:val="2"/>
  </w:num>
  <w:num w:numId="23">
    <w:abstractNumId w:val="1"/>
  </w:num>
  <w:num w:numId="24">
    <w:abstractNumId w:val="24"/>
  </w:num>
  <w:num w:numId="25">
    <w:abstractNumId w:val="13"/>
  </w:num>
  <w:num w:numId="26">
    <w:abstractNumId w:val="11"/>
  </w:num>
  <w:num w:numId="27">
    <w:abstractNumId w:val="20"/>
  </w:num>
  <w:num w:numId="28">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Lee">
    <w15:presenceInfo w15:providerId="Windows Live" w15:userId="e30e3db5edce1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1BE"/>
    <w:rsid w:val="00001DA8"/>
    <w:rsid w:val="00010FB8"/>
    <w:rsid w:val="00015316"/>
    <w:rsid w:val="00017262"/>
    <w:rsid w:val="0002080A"/>
    <w:rsid w:val="00020BF9"/>
    <w:rsid w:val="00023374"/>
    <w:rsid w:val="00025926"/>
    <w:rsid w:val="00025A36"/>
    <w:rsid w:val="0002782F"/>
    <w:rsid w:val="00030735"/>
    <w:rsid w:val="00031512"/>
    <w:rsid w:val="00037AAC"/>
    <w:rsid w:val="00045248"/>
    <w:rsid w:val="00054E4D"/>
    <w:rsid w:val="00057E60"/>
    <w:rsid w:val="00060073"/>
    <w:rsid w:val="00060268"/>
    <w:rsid w:val="00073E12"/>
    <w:rsid w:val="00077A25"/>
    <w:rsid w:val="00084483"/>
    <w:rsid w:val="000922E8"/>
    <w:rsid w:val="0009758D"/>
    <w:rsid w:val="000C0B9C"/>
    <w:rsid w:val="000C1554"/>
    <w:rsid w:val="000D2235"/>
    <w:rsid w:val="000D5976"/>
    <w:rsid w:val="000D605C"/>
    <w:rsid w:val="000D66D6"/>
    <w:rsid w:val="000E314A"/>
    <w:rsid w:val="000F3C8A"/>
    <w:rsid w:val="000F4B6B"/>
    <w:rsid w:val="00103683"/>
    <w:rsid w:val="00105772"/>
    <w:rsid w:val="00110829"/>
    <w:rsid w:val="001127A9"/>
    <w:rsid w:val="001141FE"/>
    <w:rsid w:val="00117556"/>
    <w:rsid w:val="0012023D"/>
    <w:rsid w:val="001207F8"/>
    <w:rsid w:val="00122BF4"/>
    <w:rsid w:val="001253ED"/>
    <w:rsid w:val="00126BAB"/>
    <w:rsid w:val="00134FF5"/>
    <w:rsid w:val="001463AB"/>
    <w:rsid w:val="00146660"/>
    <w:rsid w:val="00147A47"/>
    <w:rsid w:val="00153C0A"/>
    <w:rsid w:val="00153F09"/>
    <w:rsid w:val="001541EA"/>
    <w:rsid w:val="00162162"/>
    <w:rsid w:val="00163AEE"/>
    <w:rsid w:val="00164DFC"/>
    <w:rsid w:val="00166F3B"/>
    <w:rsid w:val="00170B42"/>
    <w:rsid w:val="00172B76"/>
    <w:rsid w:val="00172D91"/>
    <w:rsid w:val="00181FC9"/>
    <w:rsid w:val="00182C20"/>
    <w:rsid w:val="001878B9"/>
    <w:rsid w:val="00190A57"/>
    <w:rsid w:val="001A0AAB"/>
    <w:rsid w:val="001A5588"/>
    <w:rsid w:val="001B3FA0"/>
    <w:rsid w:val="001B4818"/>
    <w:rsid w:val="001B7EC3"/>
    <w:rsid w:val="001C4221"/>
    <w:rsid w:val="001D033D"/>
    <w:rsid w:val="001D1DA9"/>
    <w:rsid w:val="001D3CC0"/>
    <w:rsid w:val="001D663E"/>
    <w:rsid w:val="001D7FF6"/>
    <w:rsid w:val="001E1DC0"/>
    <w:rsid w:val="001E4BB1"/>
    <w:rsid w:val="001E4EA4"/>
    <w:rsid w:val="001E7DE6"/>
    <w:rsid w:val="001F19C0"/>
    <w:rsid w:val="001F341D"/>
    <w:rsid w:val="001F3F8F"/>
    <w:rsid w:val="001F625C"/>
    <w:rsid w:val="00201EE3"/>
    <w:rsid w:val="00202736"/>
    <w:rsid w:val="00206063"/>
    <w:rsid w:val="002068C6"/>
    <w:rsid w:val="00216973"/>
    <w:rsid w:val="002219E6"/>
    <w:rsid w:val="00224762"/>
    <w:rsid w:val="00234423"/>
    <w:rsid w:val="002351DC"/>
    <w:rsid w:val="00236A53"/>
    <w:rsid w:val="00236ABD"/>
    <w:rsid w:val="0024013F"/>
    <w:rsid w:val="00245A37"/>
    <w:rsid w:val="002460E8"/>
    <w:rsid w:val="002502FC"/>
    <w:rsid w:val="0025092B"/>
    <w:rsid w:val="00254DA3"/>
    <w:rsid w:val="00262137"/>
    <w:rsid w:val="00262519"/>
    <w:rsid w:val="00265068"/>
    <w:rsid w:val="00265E41"/>
    <w:rsid w:val="0027337E"/>
    <w:rsid w:val="00273EDA"/>
    <w:rsid w:val="00274E42"/>
    <w:rsid w:val="00275DB7"/>
    <w:rsid w:val="002768FE"/>
    <w:rsid w:val="002825F1"/>
    <w:rsid w:val="00284957"/>
    <w:rsid w:val="0028602A"/>
    <w:rsid w:val="00287874"/>
    <w:rsid w:val="002A2138"/>
    <w:rsid w:val="002A3CD0"/>
    <w:rsid w:val="002A51CA"/>
    <w:rsid w:val="002A5CB7"/>
    <w:rsid w:val="002A6149"/>
    <w:rsid w:val="002A6FF3"/>
    <w:rsid w:val="002A7DF1"/>
    <w:rsid w:val="002B3E95"/>
    <w:rsid w:val="002B45B7"/>
    <w:rsid w:val="002B5E10"/>
    <w:rsid w:val="002C0A87"/>
    <w:rsid w:val="002D1198"/>
    <w:rsid w:val="002E0B0C"/>
    <w:rsid w:val="002F0F32"/>
    <w:rsid w:val="002F14EB"/>
    <w:rsid w:val="002F22EE"/>
    <w:rsid w:val="002F27A9"/>
    <w:rsid w:val="002F390B"/>
    <w:rsid w:val="002F71E9"/>
    <w:rsid w:val="003002C0"/>
    <w:rsid w:val="00301144"/>
    <w:rsid w:val="00306331"/>
    <w:rsid w:val="00310B3E"/>
    <w:rsid w:val="0031421D"/>
    <w:rsid w:val="003148B7"/>
    <w:rsid w:val="003158C3"/>
    <w:rsid w:val="00321CF4"/>
    <w:rsid w:val="003274CD"/>
    <w:rsid w:val="00330E4B"/>
    <w:rsid w:val="003319E8"/>
    <w:rsid w:val="00331E2B"/>
    <w:rsid w:val="00333501"/>
    <w:rsid w:val="00334D9A"/>
    <w:rsid w:val="003352FB"/>
    <w:rsid w:val="00337E44"/>
    <w:rsid w:val="00343E9E"/>
    <w:rsid w:val="00344ADC"/>
    <w:rsid w:val="003457C4"/>
    <w:rsid w:val="0035119D"/>
    <w:rsid w:val="00357035"/>
    <w:rsid w:val="00363592"/>
    <w:rsid w:val="00364561"/>
    <w:rsid w:val="00377D4A"/>
    <w:rsid w:val="003803EC"/>
    <w:rsid w:val="00385D3A"/>
    <w:rsid w:val="00391FBE"/>
    <w:rsid w:val="003B0793"/>
    <w:rsid w:val="003B4F12"/>
    <w:rsid w:val="003B66EC"/>
    <w:rsid w:val="003C09F3"/>
    <w:rsid w:val="003D161B"/>
    <w:rsid w:val="003D352D"/>
    <w:rsid w:val="003D7CAE"/>
    <w:rsid w:val="003D7CEB"/>
    <w:rsid w:val="003E29AE"/>
    <w:rsid w:val="003E6F16"/>
    <w:rsid w:val="003F63E3"/>
    <w:rsid w:val="00400B0F"/>
    <w:rsid w:val="00402ACC"/>
    <w:rsid w:val="004120EC"/>
    <w:rsid w:val="004156FB"/>
    <w:rsid w:val="00421BF3"/>
    <w:rsid w:val="004238DA"/>
    <w:rsid w:val="00423C70"/>
    <w:rsid w:val="00423F31"/>
    <w:rsid w:val="00424097"/>
    <w:rsid w:val="00431899"/>
    <w:rsid w:val="00441031"/>
    <w:rsid w:val="00446D5C"/>
    <w:rsid w:val="00447233"/>
    <w:rsid w:val="00455AA7"/>
    <w:rsid w:val="004564E1"/>
    <w:rsid w:val="00463888"/>
    <w:rsid w:val="0046522B"/>
    <w:rsid w:val="00472C08"/>
    <w:rsid w:val="00472C9D"/>
    <w:rsid w:val="0047417C"/>
    <w:rsid w:val="0047482A"/>
    <w:rsid w:val="00480993"/>
    <w:rsid w:val="00486804"/>
    <w:rsid w:val="004959F2"/>
    <w:rsid w:val="004975CB"/>
    <w:rsid w:val="004977A1"/>
    <w:rsid w:val="004A4348"/>
    <w:rsid w:val="004B0259"/>
    <w:rsid w:val="004B3775"/>
    <w:rsid w:val="004B553C"/>
    <w:rsid w:val="004C68E1"/>
    <w:rsid w:val="004D0BA0"/>
    <w:rsid w:val="004D320A"/>
    <w:rsid w:val="004D59FB"/>
    <w:rsid w:val="004E0264"/>
    <w:rsid w:val="004E058F"/>
    <w:rsid w:val="004E3B87"/>
    <w:rsid w:val="004E3DC7"/>
    <w:rsid w:val="004E5326"/>
    <w:rsid w:val="004E6F3B"/>
    <w:rsid w:val="004F2F13"/>
    <w:rsid w:val="004F7BD6"/>
    <w:rsid w:val="00502B25"/>
    <w:rsid w:val="00510921"/>
    <w:rsid w:val="00510AD3"/>
    <w:rsid w:val="00513348"/>
    <w:rsid w:val="0051466D"/>
    <w:rsid w:val="00520BC8"/>
    <w:rsid w:val="00520C05"/>
    <w:rsid w:val="0052530B"/>
    <w:rsid w:val="00533B5D"/>
    <w:rsid w:val="00537D20"/>
    <w:rsid w:val="005463C8"/>
    <w:rsid w:val="00550DFF"/>
    <w:rsid w:val="005511BF"/>
    <w:rsid w:val="005535D0"/>
    <w:rsid w:val="0055689B"/>
    <w:rsid w:val="00562863"/>
    <w:rsid w:val="00566269"/>
    <w:rsid w:val="00572C0C"/>
    <w:rsid w:val="005856CC"/>
    <w:rsid w:val="0059146A"/>
    <w:rsid w:val="005A35D8"/>
    <w:rsid w:val="005B0064"/>
    <w:rsid w:val="005B0F8F"/>
    <w:rsid w:val="005B2815"/>
    <w:rsid w:val="005B2AE6"/>
    <w:rsid w:val="005B4726"/>
    <w:rsid w:val="005B5769"/>
    <w:rsid w:val="005C0412"/>
    <w:rsid w:val="005D3655"/>
    <w:rsid w:val="005D452E"/>
    <w:rsid w:val="005D6D36"/>
    <w:rsid w:val="005E1A6F"/>
    <w:rsid w:val="005E39E5"/>
    <w:rsid w:val="005E606B"/>
    <w:rsid w:val="005F4E6E"/>
    <w:rsid w:val="00613613"/>
    <w:rsid w:val="0062272A"/>
    <w:rsid w:val="00623BA1"/>
    <w:rsid w:val="00625E57"/>
    <w:rsid w:val="00631ED5"/>
    <w:rsid w:val="00631FBA"/>
    <w:rsid w:val="00633A2D"/>
    <w:rsid w:val="006346BC"/>
    <w:rsid w:val="006431C9"/>
    <w:rsid w:val="0065769F"/>
    <w:rsid w:val="00663662"/>
    <w:rsid w:val="0066652A"/>
    <w:rsid w:val="006700F0"/>
    <w:rsid w:val="0067193F"/>
    <w:rsid w:val="00676FB1"/>
    <w:rsid w:val="00677BB5"/>
    <w:rsid w:val="00680522"/>
    <w:rsid w:val="00680EFF"/>
    <w:rsid w:val="00681F08"/>
    <w:rsid w:val="00682167"/>
    <w:rsid w:val="0068687F"/>
    <w:rsid w:val="006878B2"/>
    <w:rsid w:val="006A028D"/>
    <w:rsid w:val="006A1F84"/>
    <w:rsid w:val="006B12A0"/>
    <w:rsid w:val="006B2D1F"/>
    <w:rsid w:val="006C42AF"/>
    <w:rsid w:val="006D143B"/>
    <w:rsid w:val="006D21CF"/>
    <w:rsid w:val="006D29D9"/>
    <w:rsid w:val="006D45D4"/>
    <w:rsid w:val="006D50D0"/>
    <w:rsid w:val="006D5A23"/>
    <w:rsid w:val="006D629E"/>
    <w:rsid w:val="006E39DF"/>
    <w:rsid w:val="006F0EB1"/>
    <w:rsid w:val="006F27B1"/>
    <w:rsid w:val="006F3B8D"/>
    <w:rsid w:val="006F4D26"/>
    <w:rsid w:val="00704AC1"/>
    <w:rsid w:val="00710D9D"/>
    <w:rsid w:val="00711D8E"/>
    <w:rsid w:val="00712672"/>
    <w:rsid w:val="0071361F"/>
    <w:rsid w:val="00716236"/>
    <w:rsid w:val="00716869"/>
    <w:rsid w:val="00722760"/>
    <w:rsid w:val="00730C20"/>
    <w:rsid w:val="00734E3F"/>
    <w:rsid w:val="00736985"/>
    <w:rsid w:val="00745DF5"/>
    <w:rsid w:val="0074613C"/>
    <w:rsid w:val="00746D65"/>
    <w:rsid w:val="00755136"/>
    <w:rsid w:val="007615ED"/>
    <w:rsid w:val="0076250F"/>
    <w:rsid w:val="00762A64"/>
    <w:rsid w:val="00771B53"/>
    <w:rsid w:val="00775C62"/>
    <w:rsid w:val="00777196"/>
    <w:rsid w:val="00777515"/>
    <w:rsid w:val="00783160"/>
    <w:rsid w:val="00784031"/>
    <w:rsid w:val="0079125B"/>
    <w:rsid w:val="007925FC"/>
    <w:rsid w:val="00794C59"/>
    <w:rsid w:val="007A1D16"/>
    <w:rsid w:val="007A2C34"/>
    <w:rsid w:val="007A5991"/>
    <w:rsid w:val="007A5B8B"/>
    <w:rsid w:val="007A6ECB"/>
    <w:rsid w:val="007B40DE"/>
    <w:rsid w:val="007B5C34"/>
    <w:rsid w:val="007B6200"/>
    <w:rsid w:val="007C4A35"/>
    <w:rsid w:val="007C5516"/>
    <w:rsid w:val="007C7102"/>
    <w:rsid w:val="007D3800"/>
    <w:rsid w:val="007D3929"/>
    <w:rsid w:val="007D3FB7"/>
    <w:rsid w:val="007D62EC"/>
    <w:rsid w:val="007E337D"/>
    <w:rsid w:val="007E3D99"/>
    <w:rsid w:val="007E79C6"/>
    <w:rsid w:val="007F3395"/>
    <w:rsid w:val="007F3412"/>
    <w:rsid w:val="008018F9"/>
    <w:rsid w:val="00801B9F"/>
    <w:rsid w:val="0080461A"/>
    <w:rsid w:val="008046DB"/>
    <w:rsid w:val="008057FD"/>
    <w:rsid w:val="008130DA"/>
    <w:rsid w:val="00817130"/>
    <w:rsid w:val="0081723E"/>
    <w:rsid w:val="00817C31"/>
    <w:rsid w:val="0082097A"/>
    <w:rsid w:val="00825A3A"/>
    <w:rsid w:val="00844408"/>
    <w:rsid w:val="008475F0"/>
    <w:rsid w:val="008508D3"/>
    <w:rsid w:val="008514D0"/>
    <w:rsid w:val="00854352"/>
    <w:rsid w:val="008608BA"/>
    <w:rsid w:val="00864210"/>
    <w:rsid w:val="0087238A"/>
    <w:rsid w:val="0087510E"/>
    <w:rsid w:val="008A46CF"/>
    <w:rsid w:val="008A5AFE"/>
    <w:rsid w:val="008B68D7"/>
    <w:rsid w:val="008B724B"/>
    <w:rsid w:val="008C2F58"/>
    <w:rsid w:val="008C5A0E"/>
    <w:rsid w:val="008C5E9E"/>
    <w:rsid w:val="008C6E2F"/>
    <w:rsid w:val="008C713B"/>
    <w:rsid w:val="008D05AB"/>
    <w:rsid w:val="008D2D08"/>
    <w:rsid w:val="008D4FD9"/>
    <w:rsid w:val="008E13BD"/>
    <w:rsid w:val="008E7A0D"/>
    <w:rsid w:val="008F3397"/>
    <w:rsid w:val="008F3A3B"/>
    <w:rsid w:val="008F56A8"/>
    <w:rsid w:val="008F75CA"/>
    <w:rsid w:val="00904162"/>
    <w:rsid w:val="00906B91"/>
    <w:rsid w:val="00911C98"/>
    <w:rsid w:val="00914F90"/>
    <w:rsid w:val="00916B7D"/>
    <w:rsid w:val="00920F91"/>
    <w:rsid w:val="00921F4B"/>
    <w:rsid w:val="00923098"/>
    <w:rsid w:val="00923E59"/>
    <w:rsid w:val="00926025"/>
    <w:rsid w:val="009275D5"/>
    <w:rsid w:val="009279EA"/>
    <w:rsid w:val="00936968"/>
    <w:rsid w:val="00941DE2"/>
    <w:rsid w:val="00942AD5"/>
    <w:rsid w:val="00944C6E"/>
    <w:rsid w:val="00945281"/>
    <w:rsid w:val="00946A4E"/>
    <w:rsid w:val="00956A21"/>
    <w:rsid w:val="00966C56"/>
    <w:rsid w:val="0097113B"/>
    <w:rsid w:val="00976FA5"/>
    <w:rsid w:val="0097795D"/>
    <w:rsid w:val="0098518D"/>
    <w:rsid w:val="009870C9"/>
    <w:rsid w:val="009903F3"/>
    <w:rsid w:val="009919BC"/>
    <w:rsid w:val="00992C76"/>
    <w:rsid w:val="009B27E5"/>
    <w:rsid w:val="009B3124"/>
    <w:rsid w:val="009B3FE2"/>
    <w:rsid w:val="009B4D3B"/>
    <w:rsid w:val="009B6947"/>
    <w:rsid w:val="009C297C"/>
    <w:rsid w:val="009C5E02"/>
    <w:rsid w:val="009C6911"/>
    <w:rsid w:val="009D4D87"/>
    <w:rsid w:val="009D7407"/>
    <w:rsid w:val="009D75C2"/>
    <w:rsid w:val="009E0866"/>
    <w:rsid w:val="009E14A1"/>
    <w:rsid w:val="009E2A02"/>
    <w:rsid w:val="009E6FBA"/>
    <w:rsid w:val="009F1F52"/>
    <w:rsid w:val="009F5488"/>
    <w:rsid w:val="009F6423"/>
    <w:rsid w:val="009F64C6"/>
    <w:rsid w:val="00A04222"/>
    <w:rsid w:val="00A055E6"/>
    <w:rsid w:val="00A061B0"/>
    <w:rsid w:val="00A07830"/>
    <w:rsid w:val="00A1142A"/>
    <w:rsid w:val="00A12085"/>
    <w:rsid w:val="00A129A5"/>
    <w:rsid w:val="00A15B75"/>
    <w:rsid w:val="00A209C3"/>
    <w:rsid w:val="00A24919"/>
    <w:rsid w:val="00A24A24"/>
    <w:rsid w:val="00A24A62"/>
    <w:rsid w:val="00A2575D"/>
    <w:rsid w:val="00A26FD7"/>
    <w:rsid w:val="00A31C9F"/>
    <w:rsid w:val="00A4144F"/>
    <w:rsid w:val="00A427C6"/>
    <w:rsid w:val="00A47AA2"/>
    <w:rsid w:val="00A5636E"/>
    <w:rsid w:val="00A56F14"/>
    <w:rsid w:val="00A570AC"/>
    <w:rsid w:val="00A80F95"/>
    <w:rsid w:val="00A8197B"/>
    <w:rsid w:val="00A83C9B"/>
    <w:rsid w:val="00A92B04"/>
    <w:rsid w:val="00A93575"/>
    <w:rsid w:val="00AA114E"/>
    <w:rsid w:val="00AA7BE3"/>
    <w:rsid w:val="00AB000F"/>
    <w:rsid w:val="00AB6FC1"/>
    <w:rsid w:val="00AC034F"/>
    <w:rsid w:val="00AC08E2"/>
    <w:rsid w:val="00AC164A"/>
    <w:rsid w:val="00AC222D"/>
    <w:rsid w:val="00AC3FC4"/>
    <w:rsid w:val="00AC50B0"/>
    <w:rsid w:val="00AC6F8B"/>
    <w:rsid w:val="00AD1311"/>
    <w:rsid w:val="00AD793A"/>
    <w:rsid w:val="00AE2169"/>
    <w:rsid w:val="00AE5144"/>
    <w:rsid w:val="00AE627E"/>
    <w:rsid w:val="00AF1B85"/>
    <w:rsid w:val="00AF2050"/>
    <w:rsid w:val="00AF4A7B"/>
    <w:rsid w:val="00AF4C23"/>
    <w:rsid w:val="00B03CA8"/>
    <w:rsid w:val="00B0740C"/>
    <w:rsid w:val="00B12AC9"/>
    <w:rsid w:val="00B143AC"/>
    <w:rsid w:val="00B23A2E"/>
    <w:rsid w:val="00B331DC"/>
    <w:rsid w:val="00B4294E"/>
    <w:rsid w:val="00B438D3"/>
    <w:rsid w:val="00B51065"/>
    <w:rsid w:val="00B52BBC"/>
    <w:rsid w:val="00B55E19"/>
    <w:rsid w:val="00B56E35"/>
    <w:rsid w:val="00B92EF1"/>
    <w:rsid w:val="00B93F72"/>
    <w:rsid w:val="00B959E3"/>
    <w:rsid w:val="00BA4B6D"/>
    <w:rsid w:val="00BB26C5"/>
    <w:rsid w:val="00BB4E36"/>
    <w:rsid w:val="00BB7812"/>
    <w:rsid w:val="00BC72FB"/>
    <w:rsid w:val="00BD2D93"/>
    <w:rsid w:val="00BD3FB6"/>
    <w:rsid w:val="00BD4F8E"/>
    <w:rsid w:val="00BD6B47"/>
    <w:rsid w:val="00BD797B"/>
    <w:rsid w:val="00BE0BA5"/>
    <w:rsid w:val="00BF0486"/>
    <w:rsid w:val="00BF224D"/>
    <w:rsid w:val="00BF3158"/>
    <w:rsid w:val="00BF4DE6"/>
    <w:rsid w:val="00C02DA8"/>
    <w:rsid w:val="00C04FC8"/>
    <w:rsid w:val="00C1263A"/>
    <w:rsid w:val="00C15FF8"/>
    <w:rsid w:val="00C24EC1"/>
    <w:rsid w:val="00C32928"/>
    <w:rsid w:val="00C360B9"/>
    <w:rsid w:val="00C42CDE"/>
    <w:rsid w:val="00C43DED"/>
    <w:rsid w:val="00C44A17"/>
    <w:rsid w:val="00C45BBC"/>
    <w:rsid w:val="00C5182A"/>
    <w:rsid w:val="00C53D1B"/>
    <w:rsid w:val="00C53EBE"/>
    <w:rsid w:val="00C544B0"/>
    <w:rsid w:val="00C54679"/>
    <w:rsid w:val="00C57FE3"/>
    <w:rsid w:val="00C6335E"/>
    <w:rsid w:val="00C63EE9"/>
    <w:rsid w:val="00C64C6C"/>
    <w:rsid w:val="00C6626C"/>
    <w:rsid w:val="00C67A5A"/>
    <w:rsid w:val="00C7345E"/>
    <w:rsid w:val="00C75E9D"/>
    <w:rsid w:val="00C76FEF"/>
    <w:rsid w:val="00C8011B"/>
    <w:rsid w:val="00C805DB"/>
    <w:rsid w:val="00C854C0"/>
    <w:rsid w:val="00C942C8"/>
    <w:rsid w:val="00C9533A"/>
    <w:rsid w:val="00C97281"/>
    <w:rsid w:val="00CA2A8F"/>
    <w:rsid w:val="00CA32BB"/>
    <w:rsid w:val="00CA37B1"/>
    <w:rsid w:val="00CA4FC0"/>
    <w:rsid w:val="00CA5C0F"/>
    <w:rsid w:val="00CA7650"/>
    <w:rsid w:val="00CB1959"/>
    <w:rsid w:val="00CB74E8"/>
    <w:rsid w:val="00CD0E4B"/>
    <w:rsid w:val="00CD625C"/>
    <w:rsid w:val="00CD70DC"/>
    <w:rsid w:val="00CE0155"/>
    <w:rsid w:val="00CE6D1D"/>
    <w:rsid w:val="00CE7E12"/>
    <w:rsid w:val="00CF100C"/>
    <w:rsid w:val="00CF592F"/>
    <w:rsid w:val="00CF7C22"/>
    <w:rsid w:val="00D00802"/>
    <w:rsid w:val="00D00D4E"/>
    <w:rsid w:val="00D0296C"/>
    <w:rsid w:val="00D05922"/>
    <w:rsid w:val="00D069A0"/>
    <w:rsid w:val="00D11A0D"/>
    <w:rsid w:val="00D1224F"/>
    <w:rsid w:val="00D146A2"/>
    <w:rsid w:val="00D15A00"/>
    <w:rsid w:val="00D201FD"/>
    <w:rsid w:val="00D2307D"/>
    <w:rsid w:val="00D36F5F"/>
    <w:rsid w:val="00D44FC2"/>
    <w:rsid w:val="00D64BD1"/>
    <w:rsid w:val="00D66276"/>
    <w:rsid w:val="00D72760"/>
    <w:rsid w:val="00D900C8"/>
    <w:rsid w:val="00DA0426"/>
    <w:rsid w:val="00DA0792"/>
    <w:rsid w:val="00DA101D"/>
    <w:rsid w:val="00DA5050"/>
    <w:rsid w:val="00DB0401"/>
    <w:rsid w:val="00DB4DCB"/>
    <w:rsid w:val="00DC367B"/>
    <w:rsid w:val="00DD00CA"/>
    <w:rsid w:val="00DD1986"/>
    <w:rsid w:val="00DD7452"/>
    <w:rsid w:val="00DE084C"/>
    <w:rsid w:val="00DE32AC"/>
    <w:rsid w:val="00E00FE1"/>
    <w:rsid w:val="00E0609F"/>
    <w:rsid w:val="00E1116D"/>
    <w:rsid w:val="00E3494D"/>
    <w:rsid w:val="00E357B7"/>
    <w:rsid w:val="00E45E57"/>
    <w:rsid w:val="00E530F3"/>
    <w:rsid w:val="00E53800"/>
    <w:rsid w:val="00E6081F"/>
    <w:rsid w:val="00E61D2F"/>
    <w:rsid w:val="00E62B0B"/>
    <w:rsid w:val="00E64767"/>
    <w:rsid w:val="00E70A6F"/>
    <w:rsid w:val="00E775A9"/>
    <w:rsid w:val="00E86697"/>
    <w:rsid w:val="00E90124"/>
    <w:rsid w:val="00EA04B2"/>
    <w:rsid w:val="00EA20F3"/>
    <w:rsid w:val="00EA58BA"/>
    <w:rsid w:val="00EA6912"/>
    <w:rsid w:val="00EB2B12"/>
    <w:rsid w:val="00EC740E"/>
    <w:rsid w:val="00ED2831"/>
    <w:rsid w:val="00ED43D1"/>
    <w:rsid w:val="00ED53D3"/>
    <w:rsid w:val="00ED62DE"/>
    <w:rsid w:val="00EE0625"/>
    <w:rsid w:val="00EE1BBE"/>
    <w:rsid w:val="00EE33CE"/>
    <w:rsid w:val="00EE4EE1"/>
    <w:rsid w:val="00EF2929"/>
    <w:rsid w:val="00EF4574"/>
    <w:rsid w:val="00F07E29"/>
    <w:rsid w:val="00F167AA"/>
    <w:rsid w:val="00F26723"/>
    <w:rsid w:val="00F2684E"/>
    <w:rsid w:val="00F269ED"/>
    <w:rsid w:val="00F45E20"/>
    <w:rsid w:val="00F4633B"/>
    <w:rsid w:val="00F52F5E"/>
    <w:rsid w:val="00F53F9C"/>
    <w:rsid w:val="00F5404C"/>
    <w:rsid w:val="00F5639B"/>
    <w:rsid w:val="00F62FD7"/>
    <w:rsid w:val="00F64F12"/>
    <w:rsid w:val="00F67115"/>
    <w:rsid w:val="00F72851"/>
    <w:rsid w:val="00F729EF"/>
    <w:rsid w:val="00F75A5C"/>
    <w:rsid w:val="00F77CAE"/>
    <w:rsid w:val="00F8128B"/>
    <w:rsid w:val="00F82271"/>
    <w:rsid w:val="00F83428"/>
    <w:rsid w:val="00F9311B"/>
    <w:rsid w:val="00F938A0"/>
    <w:rsid w:val="00F946C9"/>
    <w:rsid w:val="00F96BB9"/>
    <w:rsid w:val="00FA1259"/>
    <w:rsid w:val="00FA42A2"/>
    <w:rsid w:val="00FB0ADD"/>
    <w:rsid w:val="00FB14BC"/>
    <w:rsid w:val="00FB60C7"/>
    <w:rsid w:val="00FC2A40"/>
    <w:rsid w:val="00FC2BB7"/>
    <w:rsid w:val="00FD02C1"/>
    <w:rsid w:val="00FD1575"/>
    <w:rsid w:val="00FD4114"/>
    <w:rsid w:val="00FD5EC4"/>
    <w:rsid w:val="00FE2E3D"/>
    <w:rsid w:val="00FE5994"/>
    <w:rsid w:val="00FE6D51"/>
    <w:rsid w:val="00FF07B8"/>
    <w:rsid w:val="00FF09F3"/>
    <w:rsid w:val="00FF102F"/>
    <w:rsid w:val="00FF11E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435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ETS,Footnote Text Char Char Char Char Char,Footnote Text Char Char Char Char Char Char Ch,Footnote Text Char Char Char Char Char Char Ch Char,Car Car Car Car,Car Car Car,Car,Car Car,single space,footnote text,fn,fn Char Char Char,Car Ca,f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ETS Char,Footnote Text Char Char Char Char Char Char,Footnote Text Char Char Char Char Char Char Ch Char1,Footnote Text Char Char Char Char Char Char Ch Char Char,Car Car Car Car Char,Car Car Car Char,Car Char,Car Car Char,fn Char"/>
    <w:basedOn w:val="DefaultParagraphFont"/>
    <w:link w:val="FootnoteText"/>
    <w:rsid w:val="008C5A0E"/>
    <w:rPr>
      <w:color w:val="495965" w:themeColor="text2"/>
      <w:sz w:val="12"/>
      <w:szCs w:val="20"/>
    </w:rPr>
  </w:style>
  <w:style w:type="character" w:styleId="FootnoteReference">
    <w:name w:val="footnote reference"/>
    <w:aliases w:val="Footnote symbol,BVI fnr Char Char Char Char Char Char Char Char Char Char Char Char1,BVI fnr Car Car Char Char Char Char Char Char Char Char Char Char Char Char Char Char1,16 Point,Superscript 6 Point,ftref,FOOTNOTE,stylish,Ref"/>
    <w:basedOn w:val="DefaultParagraphFont"/>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styleId="CommentText">
    <w:name w:val="annotation text"/>
    <w:basedOn w:val="Normal"/>
    <w:link w:val="CommentTextChar"/>
    <w:uiPriority w:val="99"/>
    <w:rsid w:val="00A055E6"/>
    <w:pPr>
      <w:suppressAutoHyphens w:val="0"/>
      <w:spacing w:before="0" w:after="0" w:line="240" w:lineRule="auto"/>
    </w:pPr>
    <w:rPr>
      <w:rFonts w:ascii="Times New Roman" w:eastAsia="Times New Roman" w:hAnsi="Times New Roman" w:cs="Times New Roman"/>
      <w:color w:val="auto"/>
      <w:sz w:val="20"/>
      <w:szCs w:val="20"/>
      <w:lang w:val="en-AU" w:eastAsia="en-AU"/>
    </w:rPr>
  </w:style>
  <w:style w:type="character" w:customStyle="1" w:styleId="CommentTextChar">
    <w:name w:val="Comment Text Char"/>
    <w:basedOn w:val="DefaultParagraphFont"/>
    <w:link w:val="CommentText"/>
    <w:uiPriority w:val="99"/>
    <w:rsid w:val="00A055E6"/>
    <w:rPr>
      <w:rFonts w:ascii="Times New Roman" w:eastAsia="Times New Roman" w:hAnsi="Times New Roman" w:cs="Times New Roman"/>
      <w:sz w:val="20"/>
      <w:szCs w:val="20"/>
      <w:lang w:eastAsia="en-AU"/>
    </w:rPr>
  </w:style>
  <w:style w:type="paragraph" w:styleId="ListParagraph">
    <w:name w:val="List Paragraph"/>
    <w:basedOn w:val="BodyText"/>
    <w:uiPriority w:val="34"/>
    <w:qFormat/>
    <w:rsid w:val="004156FB"/>
    <w:pPr>
      <w:numPr>
        <w:numId w:val="11"/>
      </w:numPr>
      <w:spacing w:after="120" w:line="240" w:lineRule="auto"/>
    </w:pPr>
    <w:rPr>
      <w:rFonts w:ascii="Times New Roman" w:hAnsi="Times New Roman"/>
      <w:sz w:val="22"/>
    </w:rPr>
  </w:style>
  <w:style w:type="character" w:styleId="CommentReference">
    <w:name w:val="annotation reference"/>
    <w:basedOn w:val="DefaultParagraphFont"/>
    <w:rsid w:val="0097113B"/>
    <w:rPr>
      <w:sz w:val="16"/>
      <w:szCs w:val="16"/>
    </w:rPr>
  </w:style>
  <w:style w:type="paragraph" w:styleId="PlainText">
    <w:name w:val="Plain Text"/>
    <w:basedOn w:val="Normal"/>
    <w:link w:val="PlainTextChar"/>
    <w:uiPriority w:val="99"/>
    <w:unhideWhenUsed/>
    <w:rsid w:val="008F75CA"/>
    <w:pPr>
      <w:suppressAutoHyphens w:val="0"/>
      <w:spacing w:before="0" w:after="0" w:line="240" w:lineRule="auto"/>
    </w:pPr>
    <w:rPr>
      <w:rFonts w:ascii="Calibri" w:eastAsia="Times New Roman" w:hAnsi="Calibri" w:cs="Consolas"/>
      <w:color w:val="auto"/>
      <w:szCs w:val="21"/>
      <w:lang w:val="en-AU"/>
    </w:rPr>
  </w:style>
  <w:style w:type="character" w:customStyle="1" w:styleId="PlainTextChar">
    <w:name w:val="Plain Text Char"/>
    <w:basedOn w:val="DefaultParagraphFont"/>
    <w:link w:val="PlainText"/>
    <w:uiPriority w:val="99"/>
    <w:rsid w:val="008F75CA"/>
    <w:rPr>
      <w:rFonts w:ascii="Calibri" w:eastAsia="Times New Roman" w:hAnsi="Calibri" w:cs="Consolas"/>
      <w:szCs w:val="21"/>
    </w:rPr>
  </w:style>
  <w:style w:type="paragraph" w:styleId="CommentSubject">
    <w:name w:val="annotation subject"/>
    <w:basedOn w:val="CommentText"/>
    <w:next w:val="CommentText"/>
    <w:link w:val="CommentSubjectChar"/>
    <w:uiPriority w:val="99"/>
    <w:semiHidden/>
    <w:unhideWhenUsed/>
    <w:rsid w:val="00472C9D"/>
    <w:pPr>
      <w:suppressAutoHyphens/>
      <w:spacing w:before="120" w:after="60"/>
    </w:pPr>
    <w:rPr>
      <w:rFonts w:asciiTheme="minorHAnsi" w:eastAsiaTheme="minorHAnsi" w:hAnsiTheme="minorHAnsi" w:cstheme="minorBidi"/>
      <w:b/>
      <w:bCs/>
      <w:color w:val="495965" w:themeColor="text2"/>
      <w:lang w:val="en-GB" w:eastAsia="en-US"/>
    </w:rPr>
  </w:style>
  <w:style w:type="character" w:customStyle="1" w:styleId="CommentSubjectChar">
    <w:name w:val="Comment Subject Char"/>
    <w:basedOn w:val="CommentTextChar"/>
    <w:link w:val="CommentSubject"/>
    <w:uiPriority w:val="99"/>
    <w:semiHidden/>
    <w:rsid w:val="00472C9D"/>
    <w:rPr>
      <w:rFonts w:ascii="Times New Roman" w:eastAsia="Times New Roman" w:hAnsi="Times New Roman" w:cs="Times New Roman"/>
      <w:b/>
      <w:bCs/>
      <w:color w:val="495965" w:themeColor="text2"/>
      <w:sz w:val="20"/>
      <w:szCs w:val="20"/>
      <w:lang w:val="en-GB" w:eastAsia="en-AU"/>
    </w:rPr>
  </w:style>
  <w:style w:type="table" w:customStyle="1" w:styleId="PlainTable2">
    <w:name w:val="Plain Table 2"/>
    <w:basedOn w:val="TableNormal"/>
    <w:uiPriority w:val="42"/>
    <w:rsid w:val="006636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663662"/>
    <w:pPr>
      <w:spacing w:after="0" w:line="240" w:lineRule="auto"/>
    </w:pPr>
    <w:rPr>
      <w:color w:val="495965" w:themeColor="text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ETS,Footnote Text Char Char Char Char Char,Footnote Text Char Char Char Char Char Char Ch,Footnote Text Char Char Char Char Char Char Ch Char,Car Car Car Car,Car Car Car,Car,Car Car,single space,footnote text,fn,fn Char Char Char,Car Ca,f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ETS Char,Footnote Text Char Char Char Char Char Char,Footnote Text Char Char Char Char Char Char Ch Char1,Footnote Text Char Char Char Char Char Char Ch Char Char,Car Car Car Car Char,Car Car Car Char,Car Char,Car Car Char,fn Char"/>
    <w:basedOn w:val="DefaultParagraphFont"/>
    <w:link w:val="FootnoteText"/>
    <w:rsid w:val="008C5A0E"/>
    <w:rPr>
      <w:color w:val="495965" w:themeColor="text2"/>
      <w:sz w:val="12"/>
      <w:szCs w:val="20"/>
    </w:rPr>
  </w:style>
  <w:style w:type="character" w:styleId="FootnoteReference">
    <w:name w:val="footnote reference"/>
    <w:aliases w:val="Footnote symbol,BVI fnr Char Char Char Char Char Char Char Char Char Char Char Char1,BVI fnr Car Car Char Char Char Char Char Char Char Char Char Char Char Char Char Char1,16 Point,Superscript 6 Point,ftref,FOOTNOTE,stylish,Ref"/>
    <w:basedOn w:val="DefaultParagraphFont"/>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styleId="CommentText">
    <w:name w:val="annotation text"/>
    <w:basedOn w:val="Normal"/>
    <w:link w:val="CommentTextChar"/>
    <w:uiPriority w:val="99"/>
    <w:rsid w:val="00A055E6"/>
    <w:pPr>
      <w:suppressAutoHyphens w:val="0"/>
      <w:spacing w:before="0" w:after="0" w:line="240" w:lineRule="auto"/>
    </w:pPr>
    <w:rPr>
      <w:rFonts w:ascii="Times New Roman" w:eastAsia="Times New Roman" w:hAnsi="Times New Roman" w:cs="Times New Roman"/>
      <w:color w:val="auto"/>
      <w:sz w:val="20"/>
      <w:szCs w:val="20"/>
      <w:lang w:val="en-AU" w:eastAsia="en-AU"/>
    </w:rPr>
  </w:style>
  <w:style w:type="character" w:customStyle="1" w:styleId="CommentTextChar">
    <w:name w:val="Comment Text Char"/>
    <w:basedOn w:val="DefaultParagraphFont"/>
    <w:link w:val="CommentText"/>
    <w:uiPriority w:val="99"/>
    <w:rsid w:val="00A055E6"/>
    <w:rPr>
      <w:rFonts w:ascii="Times New Roman" w:eastAsia="Times New Roman" w:hAnsi="Times New Roman" w:cs="Times New Roman"/>
      <w:sz w:val="20"/>
      <w:szCs w:val="20"/>
      <w:lang w:eastAsia="en-AU"/>
    </w:rPr>
  </w:style>
  <w:style w:type="paragraph" w:styleId="ListParagraph">
    <w:name w:val="List Paragraph"/>
    <w:basedOn w:val="BodyText"/>
    <w:uiPriority w:val="34"/>
    <w:qFormat/>
    <w:rsid w:val="004156FB"/>
    <w:pPr>
      <w:numPr>
        <w:numId w:val="11"/>
      </w:numPr>
      <w:spacing w:after="120" w:line="240" w:lineRule="auto"/>
    </w:pPr>
    <w:rPr>
      <w:rFonts w:ascii="Times New Roman" w:hAnsi="Times New Roman"/>
      <w:sz w:val="22"/>
    </w:rPr>
  </w:style>
  <w:style w:type="character" w:styleId="CommentReference">
    <w:name w:val="annotation reference"/>
    <w:basedOn w:val="DefaultParagraphFont"/>
    <w:rsid w:val="0097113B"/>
    <w:rPr>
      <w:sz w:val="16"/>
      <w:szCs w:val="16"/>
    </w:rPr>
  </w:style>
  <w:style w:type="paragraph" w:styleId="PlainText">
    <w:name w:val="Plain Text"/>
    <w:basedOn w:val="Normal"/>
    <w:link w:val="PlainTextChar"/>
    <w:uiPriority w:val="99"/>
    <w:unhideWhenUsed/>
    <w:rsid w:val="008F75CA"/>
    <w:pPr>
      <w:suppressAutoHyphens w:val="0"/>
      <w:spacing w:before="0" w:after="0" w:line="240" w:lineRule="auto"/>
    </w:pPr>
    <w:rPr>
      <w:rFonts w:ascii="Calibri" w:eastAsia="Times New Roman" w:hAnsi="Calibri" w:cs="Consolas"/>
      <w:color w:val="auto"/>
      <w:szCs w:val="21"/>
      <w:lang w:val="en-AU"/>
    </w:rPr>
  </w:style>
  <w:style w:type="character" w:customStyle="1" w:styleId="PlainTextChar">
    <w:name w:val="Plain Text Char"/>
    <w:basedOn w:val="DefaultParagraphFont"/>
    <w:link w:val="PlainText"/>
    <w:uiPriority w:val="99"/>
    <w:rsid w:val="008F75CA"/>
    <w:rPr>
      <w:rFonts w:ascii="Calibri" w:eastAsia="Times New Roman" w:hAnsi="Calibri" w:cs="Consolas"/>
      <w:szCs w:val="21"/>
    </w:rPr>
  </w:style>
  <w:style w:type="paragraph" w:styleId="CommentSubject">
    <w:name w:val="annotation subject"/>
    <w:basedOn w:val="CommentText"/>
    <w:next w:val="CommentText"/>
    <w:link w:val="CommentSubjectChar"/>
    <w:uiPriority w:val="99"/>
    <w:semiHidden/>
    <w:unhideWhenUsed/>
    <w:rsid w:val="00472C9D"/>
    <w:pPr>
      <w:suppressAutoHyphens/>
      <w:spacing w:before="120" w:after="60"/>
    </w:pPr>
    <w:rPr>
      <w:rFonts w:asciiTheme="minorHAnsi" w:eastAsiaTheme="minorHAnsi" w:hAnsiTheme="minorHAnsi" w:cstheme="minorBidi"/>
      <w:b/>
      <w:bCs/>
      <w:color w:val="495965" w:themeColor="text2"/>
      <w:lang w:val="en-GB" w:eastAsia="en-US"/>
    </w:rPr>
  </w:style>
  <w:style w:type="character" w:customStyle="1" w:styleId="CommentSubjectChar">
    <w:name w:val="Comment Subject Char"/>
    <w:basedOn w:val="CommentTextChar"/>
    <w:link w:val="CommentSubject"/>
    <w:uiPriority w:val="99"/>
    <w:semiHidden/>
    <w:rsid w:val="00472C9D"/>
    <w:rPr>
      <w:rFonts w:ascii="Times New Roman" w:eastAsia="Times New Roman" w:hAnsi="Times New Roman" w:cs="Times New Roman"/>
      <w:b/>
      <w:bCs/>
      <w:color w:val="495965" w:themeColor="text2"/>
      <w:sz w:val="20"/>
      <w:szCs w:val="20"/>
      <w:lang w:val="en-GB" w:eastAsia="en-AU"/>
    </w:rPr>
  </w:style>
  <w:style w:type="table" w:customStyle="1" w:styleId="PlainTable2">
    <w:name w:val="Plain Table 2"/>
    <w:basedOn w:val="TableNormal"/>
    <w:uiPriority w:val="42"/>
    <w:rsid w:val="006636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663662"/>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40880">
      <w:bodyDiv w:val="1"/>
      <w:marLeft w:val="0"/>
      <w:marRight w:val="0"/>
      <w:marTop w:val="0"/>
      <w:marBottom w:val="0"/>
      <w:divBdr>
        <w:top w:val="none" w:sz="0" w:space="0" w:color="auto"/>
        <w:left w:val="none" w:sz="0" w:space="0" w:color="auto"/>
        <w:bottom w:val="none" w:sz="0" w:space="0" w:color="auto"/>
        <w:right w:val="none" w:sz="0" w:space="0" w:color="auto"/>
      </w:divBdr>
    </w:div>
    <w:div w:id="498615247">
      <w:bodyDiv w:val="1"/>
      <w:marLeft w:val="0"/>
      <w:marRight w:val="0"/>
      <w:marTop w:val="0"/>
      <w:marBottom w:val="0"/>
      <w:divBdr>
        <w:top w:val="none" w:sz="0" w:space="0" w:color="auto"/>
        <w:left w:val="none" w:sz="0" w:space="0" w:color="auto"/>
        <w:bottom w:val="none" w:sz="0" w:space="0" w:color="auto"/>
        <w:right w:val="none" w:sz="0" w:space="0" w:color="auto"/>
      </w:divBdr>
    </w:div>
    <w:div w:id="780421823">
      <w:bodyDiv w:val="1"/>
      <w:marLeft w:val="0"/>
      <w:marRight w:val="0"/>
      <w:marTop w:val="0"/>
      <w:marBottom w:val="0"/>
      <w:divBdr>
        <w:top w:val="none" w:sz="0" w:space="0" w:color="auto"/>
        <w:left w:val="none" w:sz="0" w:space="0" w:color="auto"/>
        <w:bottom w:val="none" w:sz="0" w:space="0" w:color="auto"/>
        <w:right w:val="none" w:sz="0" w:space="0" w:color="auto"/>
      </w:divBdr>
    </w:div>
    <w:div w:id="1000932777">
      <w:bodyDiv w:val="1"/>
      <w:marLeft w:val="0"/>
      <w:marRight w:val="0"/>
      <w:marTop w:val="0"/>
      <w:marBottom w:val="0"/>
      <w:divBdr>
        <w:top w:val="none" w:sz="0" w:space="0" w:color="auto"/>
        <w:left w:val="none" w:sz="0" w:space="0" w:color="auto"/>
        <w:bottom w:val="none" w:sz="0" w:space="0" w:color="auto"/>
        <w:right w:val="none" w:sz="0" w:space="0" w:color="auto"/>
      </w:divBdr>
    </w:div>
    <w:div w:id="1133790282">
      <w:bodyDiv w:val="1"/>
      <w:marLeft w:val="0"/>
      <w:marRight w:val="0"/>
      <w:marTop w:val="0"/>
      <w:marBottom w:val="0"/>
      <w:divBdr>
        <w:top w:val="none" w:sz="0" w:space="0" w:color="auto"/>
        <w:left w:val="none" w:sz="0" w:space="0" w:color="auto"/>
        <w:bottom w:val="none" w:sz="0" w:space="0" w:color="auto"/>
        <w:right w:val="none" w:sz="0" w:space="0" w:color="auto"/>
      </w:divBdr>
    </w:div>
    <w:div w:id="1259489158">
      <w:bodyDiv w:val="1"/>
      <w:marLeft w:val="0"/>
      <w:marRight w:val="0"/>
      <w:marTop w:val="0"/>
      <w:marBottom w:val="0"/>
      <w:divBdr>
        <w:top w:val="none" w:sz="0" w:space="0" w:color="auto"/>
        <w:left w:val="none" w:sz="0" w:space="0" w:color="auto"/>
        <w:bottom w:val="none" w:sz="0" w:space="0" w:color="auto"/>
        <w:right w:val="none" w:sz="0" w:space="0" w:color="auto"/>
      </w:divBdr>
    </w:div>
    <w:div w:id="1628509047">
      <w:bodyDiv w:val="1"/>
      <w:marLeft w:val="0"/>
      <w:marRight w:val="0"/>
      <w:marTop w:val="0"/>
      <w:marBottom w:val="0"/>
      <w:divBdr>
        <w:top w:val="none" w:sz="0" w:space="0" w:color="auto"/>
        <w:left w:val="none" w:sz="0" w:space="0" w:color="auto"/>
        <w:bottom w:val="none" w:sz="0" w:space="0" w:color="auto"/>
        <w:right w:val="none" w:sz="0" w:space="0" w:color="auto"/>
      </w:divBdr>
    </w:div>
    <w:div w:id="1660571399">
      <w:bodyDiv w:val="1"/>
      <w:marLeft w:val="0"/>
      <w:marRight w:val="0"/>
      <w:marTop w:val="0"/>
      <w:marBottom w:val="0"/>
      <w:divBdr>
        <w:top w:val="none" w:sz="0" w:space="0" w:color="auto"/>
        <w:left w:val="none" w:sz="0" w:space="0" w:color="auto"/>
        <w:bottom w:val="none" w:sz="0" w:space="0" w:color="auto"/>
        <w:right w:val="none" w:sz="0" w:space="0" w:color="auto"/>
      </w:divBdr>
    </w:div>
    <w:div w:id="1848788582">
      <w:bodyDiv w:val="1"/>
      <w:marLeft w:val="0"/>
      <w:marRight w:val="0"/>
      <w:marTop w:val="0"/>
      <w:marBottom w:val="0"/>
      <w:divBdr>
        <w:top w:val="none" w:sz="0" w:space="0" w:color="auto"/>
        <w:left w:val="none" w:sz="0" w:space="0" w:color="auto"/>
        <w:bottom w:val="none" w:sz="0" w:space="0" w:color="auto"/>
        <w:right w:val="none" w:sz="0" w:space="0" w:color="auto"/>
      </w:divBdr>
    </w:div>
    <w:div w:id="1868981831">
      <w:bodyDiv w:val="1"/>
      <w:marLeft w:val="0"/>
      <w:marRight w:val="0"/>
      <w:marTop w:val="0"/>
      <w:marBottom w:val="0"/>
      <w:divBdr>
        <w:top w:val="none" w:sz="0" w:space="0" w:color="auto"/>
        <w:left w:val="none" w:sz="0" w:space="0" w:color="auto"/>
        <w:bottom w:val="none" w:sz="0" w:space="0" w:color="auto"/>
        <w:right w:val="none" w:sz="0" w:space="0" w:color="auto"/>
      </w:divBdr>
    </w:div>
    <w:div w:id="1880896555">
      <w:bodyDiv w:val="1"/>
      <w:marLeft w:val="0"/>
      <w:marRight w:val="0"/>
      <w:marTop w:val="0"/>
      <w:marBottom w:val="0"/>
      <w:divBdr>
        <w:top w:val="none" w:sz="0" w:space="0" w:color="auto"/>
        <w:left w:val="none" w:sz="0" w:space="0" w:color="auto"/>
        <w:bottom w:val="none" w:sz="0" w:space="0" w:color="auto"/>
        <w:right w:val="none" w:sz="0" w:space="0" w:color="auto"/>
      </w:divBdr>
    </w:div>
    <w:div w:id="2023894718">
      <w:bodyDiv w:val="1"/>
      <w:marLeft w:val="0"/>
      <w:marRight w:val="0"/>
      <w:marTop w:val="0"/>
      <w:marBottom w:val="0"/>
      <w:divBdr>
        <w:top w:val="none" w:sz="0" w:space="0" w:color="auto"/>
        <w:left w:val="none" w:sz="0" w:space="0" w:color="auto"/>
        <w:bottom w:val="none" w:sz="0" w:space="0" w:color="auto"/>
        <w:right w:val="none" w:sz="0" w:space="0" w:color="auto"/>
      </w:divBdr>
      <w:divsChild>
        <w:div w:id="1200627147">
          <w:marLeft w:val="0"/>
          <w:marRight w:val="0"/>
          <w:marTop w:val="0"/>
          <w:marBottom w:val="0"/>
          <w:divBdr>
            <w:top w:val="none" w:sz="0" w:space="0" w:color="auto"/>
            <w:left w:val="none" w:sz="0" w:space="0" w:color="auto"/>
            <w:bottom w:val="none" w:sz="0" w:space="0" w:color="auto"/>
            <w:right w:val="none" w:sz="0" w:space="0" w:color="auto"/>
          </w:divBdr>
          <w:divsChild>
            <w:div w:id="644314676">
              <w:marLeft w:val="0"/>
              <w:marRight w:val="0"/>
              <w:marTop w:val="0"/>
              <w:marBottom w:val="0"/>
              <w:divBdr>
                <w:top w:val="none" w:sz="0" w:space="0" w:color="auto"/>
                <w:left w:val="none" w:sz="0" w:space="0" w:color="auto"/>
                <w:bottom w:val="none" w:sz="0" w:space="0" w:color="auto"/>
                <w:right w:val="none" w:sz="0" w:space="0" w:color="auto"/>
              </w:divBdr>
              <w:divsChild>
                <w:div w:id="1526942076">
                  <w:marLeft w:val="0"/>
                  <w:marRight w:val="0"/>
                  <w:marTop w:val="0"/>
                  <w:marBottom w:val="0"/>
                  <w:divBdr>
                    <w:top w:val="none" w:sz="0" w:space="0" w:color="auto"/>
                    <w:left w:val="none" w:sz="0" w:space="0" w:color="auto"/>
                    <w:bottom w:val="none" w:sz="0" w:space="0" w:color="auto"/>
                    <w:right w:val="none" w:sz="0" w:space="0" w:color="auto"/>
                  </w:divBdr>
                  <w:divsChild>
                    <w:div w:id="830681217">
                      <w:marLeft w:val="0"/>
                      <w:marRight w:val="0"/>
                      <w:marTop w:val="0"/>
                      <w:marBottom w:val="0"/>
                      <w:divBdr>
                        <w:top w:val="none" w:sz="0" w:space="0" w:color="auto"/>
                        <w:left w:val="none" w:sz="0" w:space="0" w:color="auto"/>
                        <w:bottom w:val="none" w:sz="0" w:space="0" w:color="auto"/>
                        <w:right w:val="none" w:sz="0" w:space="0" w:color="auto"/>
                      </w:divBdr>
                      <w:divsChild>
                        <w:div w:id="1740249067">
                          <w:marLeft w:val="0"/>
                          <w:marRight w:val="0"/>
                          <w:marTop w:val="0"/>
                          <w:marBottom w:val="0"/>
                          <w:divBdr>
                            <w:top w:val="none" w:sz="0" w:space="0" w:color="auto"/>
                            <w:left w:val="none" w:sz="0" w:space="0" w:color="auto"/>
                            <w:bottom w:val="none" w:sz="0" w:space="0" w:color="auto"/>
                            <w:right w:val="none" w:sz="0" w:space="0" w:color="auto"/>
                          </w:divBdr>
                          <w:divsChild>
                            <w:div w:id="526065806">
                              <w:marLeft w:val="0"/>
                              <w:marRight w:val="0"/>
                              <w:marTop w:val="0"/>
                              <w:marBottom w:val="0"/>
                              <w:divBdr>
                                <w:top w:val="none" w:sz="0" w:space="0" w:color="auto"/>
                                <w:left w:val="none" w:sz="0" w:space="0" w:color="auto"/>
                                <w:bottom w:val="none" w:sz="0" w:space="0" w:color="auto"/>
                                <w:right w:val="none" w:sz="0" w:space="0" w:color="auto"/>
                              </w:divBdr>
                              <w:divsChild>
                                <w:div w:id="12845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footer" Target="footer5.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file:///C:/Users/kstuart/AppData/Local/Microsoft/Windows/Temporary%20Internet%20Files/Content.MSO/93EFAA63.xlsx" TargetMode="External"/><Relationship Id="rId27"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21FD9-0B2E-4922-8E7A-A54B85E018FB}"/>
</file>

<file path=customXml/itemProps2.xml><?xml version="1.0" encoding="utf-8"?>
<ds:datastoreItem xmlns:ds="http://schemas.openxmlformats.org/officeDocument/2006/customXml" ds:itemID="{FC434971-881D-4B3A-9AB0-8C0931CF2240}"/>
</file>

<file path=customXml/itemProps3.xml><?xml version="1.0" encoding="utf-8"?>
<ds:datastoreItem xmlns:ds="http://schemas.openxmlformats.org/officeDocument/2006/customXml" ds:itemID="{0B090DBB-95A5-4FD6-9703-80BC97B8341B}"/>
</file>

<file path=customXml/itemProps4.xml><?xml version="1.0" encoding="utf-8"?>
<ds:datastoreItem xmlns:ds="http://schemas.openxmlformats.org/officeDocument/2006/customXml" ds:itemID="{BEB6451D-7817-4761-AF5C-417BD1CB350E}"/>
</file>

<file path=docProps/app.xml><?xml version="1.0" encoding="utf-8"?>
<Properties xmlns="http://schemas.openxmlformats.org/officeDocument/2006/extended-properties" xmlns:vt="http://schemas.openxmlformats.org/officeDocument/2006/docPropsVTypes">
  <Template>1070D96E</Template>
  <TotalTime>0</TotalTime>
  <Pages>13</Pages>
  <Words>6008</Words>
  <Characters>34967</Characters>
  <Application>Microsoft Office Word</Application>
  <DocSecurity>0</DocSecurity>
  <Lines>874</Lines>
  <Paragraphs>397</Paragraphs>
  <ScaleCrop>false</ScaleCrop>
  <Company/>
  <LinksUpToDate>false</LinksUpToDate>
  <CharactersWithSpaces>40578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2016-08-31T04:20:00Z</dcterms:created>
  <dcterms:modified xsi:type="dcterms:W3CDTF">2016-08-31T04:20:00Z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a3170dbf-faf5-4828-a416-e468c3c7f3e6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1053000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