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028FA42E" wp14:editId="5B9A3B8C">
            <wp:simplePos x="0" y="0"/>
            <wp:positionH relativeFrom="page">
              <wp:posOffset>-219075</wp:posOffset>
            </wp:positionH>
            <wp:positionV relativeFrom="page">
              <wp:posOffset>-200025</wp:posOffset>
            </wp:positionV>
            <wp:extent cx="7962900" cy="11263630"/>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62900" cy="112636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Default="00984D1E"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 xml:space="preserve">Sri Lanka </w:t>
      </w:r>
      <w:r w:rsidR="000D733F" w:rsidRPr="001227C3">
        <w:rPr>
          <w:noProof/>
          <w:color w:val="FFFFFF"/>
          <w:spacing w:val="0"/>
          <w:sz w:val="32"/>
          <w:szCs w:val="32"/>
          <w:lang w:val="en-US" w:eastAsia="en-US"/>
        </w:rPr>
        <w:t xml:space="preserve"> </w:t>
      </w:r>
    </w:p>
    <w:p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0D733F" w:rsidRPr="00B43B60" w:rsidRDefault="000D733F" w:rsidP="002660AA">
      <w:pPr>
        <w:pStyle w:val="Heading2"/>
        <w:rPr>
          <w:rStyle w:val="BodyTextChar"/>
          <w:color w:val="auto"/>
        </w:rPr>
      </w:pPr>
      <w:bookmarkStart w:id="1" w:name="_Toc373853205"/>
      <w:r w:rsidRPr="002660AA">
        <w:rPr>
          <w:sz w:val="28"/>
        </w:rPr>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9775F8" w:rsidRDefault="009775F8">
      <w:pPr>
        <w:spacing w:after="200" w:line="276" w:lineRule="auto"/>
        <w:rPr>
          <w:rFonts w:ascii="Franklin Gothic Book" w:eastAsia="Times New Roman" w:hAnsi="Franklin Gothic Book"/>
          <w:sz w:val="21"/>
        </w:rPr>
      </w:pPr>
      <w:r>
        <w:br w:type="page"/>
      </w:r>
    </w:p>
    <w:p w:rsidR="00790A01" w:rsidRPr="00B43B60" w:rsidRDefault="00790A01" w:rsidP="00790A01">
      <w:pPr>
        <w:pStyle w:val="Heading2"/>
        <w:rPr>
          <w:rStyle w:val="BodyTextChar"/>
          <w:color w:val="auto"/>
        </w:rPr>
      </w:pPr>
      <w:r>
        <w:rPr>
          <w:sz w:val="28"/>
        </w:rPr>
        <w:lastRenderedPageBreak/>
        <w:t>Key Messages</w:t>
      </w:r>
      <w:r w:rsidRPr="009E38C1">
        <w:rPr>
          <w:sz w:val="28"/>
        </w:rPr>
        <w:t xml:space="preserve">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0D733F" w:rsidRPr="00610DC4" w:rsidRDefault="0077434F" w:rsidP="0041721F">
      <w:pPr>
        <w:pStyle w:val="ListBullet"/>
        <w:numPr>
          <w:ilvl w:val="0"/>
          <w:numId w:val="0"/>
        </w:numPr>
        <w:tabs>
          <w:tab w:val="clear" w:pos="284"/>
        </w:tabs>
      </w:pPr>
      <w:r>
        <w:t>T</w:t>
      </w:r>
      <w:r w:rsidR="00614446">
        <w:t xml:space="preserve">his </w:t>
      </w:r>
      <w:r w:rsidR="00790A01">
        <w:t xml:space="preserve">performance </w:t>
      </w:r>
      <w:r w:rsidR="00614446">
        <w:t>report on</w:t>
      </w:r>
      <w:r w:rsidR="0041721F">
        <w:t xml:space="preserve"> Australia’s aid program to Sri Lanka</w:t>
      </w:r>
      <w:r w:rsidR="007951DA">
        <w:t xml:space="preserve"> for</w:t>
      </w:r>
      <w:r w:rsidR="0041721F">
        <w:t xml:space="preserve"> 2014-15</w:t>
      </w:r>
      <w:r>
        <w:t xml:space="preserve"> finds</w:t>
      </w:r>
      <w:r w:rsidR="00614446">
        <w:t>:</w:t>
      </w:r>
    </w:p>
    <w:p w:rsidR="00C43E4B" w:rsidRDefault="0077434F" w:rsidP="000D733F">
      <w:pPr>
        <w:pStyle w:val="ListBullet"/>
        <w:tabs>
          <w:tab w:val="clear" w:pos="284"/>
        </w:tabs>
      </w:pPr>
      <w:r>
        <w:t>H</w:t>
      </w:r>
      <w:r w:rsidR="00EA6EDD">
        <w:t>igh</w:t>
      </w:r>
      <w:r w:rsidR="00614446">
        <w:t>-</w:t>
      </w:r>
      <w:r w:rsidR="00EA6EDD">
        <w:t xml:space="preserve">level outcomes and most </w:t>
      </w:r>
      <w:r w:rsidR="00A7428D">
        <w:t>indicative</w:t>
      </w:r>
      <w:r w:rsidR="00676A9A">
        <w:t xml:space="preserve"> targets </w:t>
      </w:r>
      <w:r w:rsidR="00614446">
        <w:t>for the 2012-16 s</w:t>
      </w:r>
      <w:r w:rsidR="00676A9A">
        <w:t xml:space="preserve">trategy </w:t>
      </w:r>
      <w:r w:rsidR="00614446">
        <w:t>were</w:t>
      </w:r>
      <w:r w:rsidR="00676A9A">
        <w:t xml:space="preserve"> </w:t>
      </w:r>
      <w:r w:rsidR="00A7428D">
        <w:t>achieved</w:t>
      </w:r>
      <w:r w:rsidR="00614446">
        <w:t>, facilitating the</w:t>
      </w:r>
      <w:r w:rsidR="00676A9A">
        <w:t xml:space="preserve"> transition toward the new </w:t>
      </w:r>
      <w:r w:rsidR="00676A9A" w:rsidRPr="00676A9A">
        <w:t>Aid Investment Plan</w:t>
      </w:r>
      <w:r w:rsidR="007951DA">
        <w:t xml:space="preserve"> (AIP)</w:t>
      </w:r>
      <w:r w:rsidR="00676A9A">
        <w:t xml:space="preserve"> 2015</w:t>
      </w:r>
      <w:r w:rsidR="00614446">
        <w:noBreakHyphen/>
      </w:r>
      <w:r w:rsidR="00676A9A">
        <w:t>19</w:t>
      </w:r>
      <w:r>
        <w:t>;</w:t>
      </w:r>
    </w:p>
    <w:p w:rsidR="00C537F7" w:rsidRDefault="00D054D8" w:rsidP="000D733F">
      <w:pPr>
        <w:pStyle w:val="ListBullet"/>
        <w:tabs>
          <w:tab w:val="clear" w:pos="284"/>
        </w:tabs>
      </w:pPr>
      <w:r>
        <w:t xml:space="preserve">The </w:t>
      </w:r>
      <w:r w:rsidR="00C43E4B">
        <w:t xml:space="preserve">new </w:t>
      </w:r>
      <w:r>
        <w:t>AIP</w:t>
      </w:r>
      <w:r w:rsidR="00906FC8">
        <w:t xml:space="preserve"> will</w:t>
      </w:r>
      <w:r>
        <w:t xml:space="preserve"> </w:t>
      </w:r>
      <w:r w:rsidR="00676A9A">
        <w:t xml:space="preserve">build on </w:t>
      </w:r>
      <w:r w:rsidR="003D60FF">
        <w:t>the foundation</w:t>
      </w:r>
      <w:r w:rsidR="00676A9A">
        <w:t xml:space="preserve"> of the </w:t>
      </w:r>
      <w:r w:rsidR="003D60FF">
        <w:t>2012-16</w:t>
      </w:r>
      <w:r w:rsidR="00676A9A">
        <w:t xml:space="preserve"> strategy</w:t>
      </w:r>
      <w:r w:rsidR="004A6E47">
        <w:t xml:space="preserve"> and </w:t>
      </w:r>
      <w:r w:rsidR="0077434F">
        <w:t>accelerates</w:t>
      </w:r>
      <w:r w:rsidR="004A6E47">
        <w:t xml:space="preserve"> the transition</w:t>
      </w:r>
      <w:r w:rsidR="00C43E4B">
        <w:t xml:space="preserve"> toward</w:t>
      </w:r>
      <w:r w:rsidR="00676A9A" w:rsidRPr="00676A9A">
        <w:t xml:space="preserve"> </w:t>
      </w:r>
      <w:r w:rsidR="00676A9A">
        <w:t>an</w:t>
      </w:r>
      <w:r w:rsidR="00676A9A" w:rsidRPr="00676A9A">
        <w:t xml:space="preserve"> economic </w:t>
      </w:r>
      <w:r w:rsidR="00614446">
        <w:t>partnership approach</w:t>
      </w:r>
      <w:r w:rsidR="0077434F">
        <w:t>;</w:t>
      </w:r>
    </w:p>
    <w:p w:rsidR="00676A9A" w:rsidRDefault="0077434F" w:rsidP="000D733F">
      <w:pPr>
        <w:pStyle w:val="ListBullet"/>
        <w:tabs>
          <w:tab w:val="clear" w:pos="284"/>
        </w:tabs>
      </w:pPr>
      <w:r>
        <w:t>Strong</w:t>
      </w:r>
      <w:r w:rsidR="00676A9A">
        <w:t xml:space="preserve"> </w:t>
      </w:r>
      <w:r>
        <w:t>responses</w:t>
      </w:r>
      <w:r w:rsidR="00676A9A">
        <w:t xml:space="preserve"> to performance information and the </w:t>
      </w:r>
      <w:r>
        <w:t>evolving</w:t>
      </w:r>
      <w:r w:rsidR="00676A9A">
        <w:t xml:space="preserve"> country context ensur</w:t>
      </w:r>
      <w:r w:rsidR="003D60FF">
        <w:t>ed</w:t>
      </w:r>
      <w:r w:rsidR="00676A9A">
        <w:t xml:space="preserve"> the</w:t>
      </w:r>
      <w:r w:rsidR="00525C30">
        <w:t xml:space="preserve"> Sri Lanka</w:t>
      </w:r>
      <w:r w:rsidR="00676A9A">
        <w:t xml:space="preserve"> </w:t>
      </w:r>
      <w:r w:rsidR="003D60FF">
        <w:t>development p</w:t>
      </w:r>
      <w:r w:rsidR="00676A9A">
        <w:t>rogram remain</w:t>
      </w:r>
      <w:r>
        <w:t>ed</w:t>
      </w:r>
      <w:r w:rsidR="00676A9A">
        <w:t xml:space="preserve"> relevant and effective</w:t>
      </w:r>
      <w:r>
        <w:t>;</w:t>
      </w:r>
    </w:p>
    <w:p w:rsidR="000D733F" w:rsidRPr="00610DC4" w:rsidRDefault="00C43E4B" w:rsidP="000D733F">
      <w:pPr>
        <w:pStyle w:val="ListBullet"/>
        <w:tabs>
          <w:tab w:val="clear" w:pos="284"/>
        </w:tabs>
      </w:pPr>
      <w:r>
        <w:t>A new</w:t>
      </w:r>
      <w:r w:rsidR="00676A9A">
        <w:t xml:space="preserve"> political </w:t>
      </w:r>
      <w:r>
        <w:t>environment</w:t>
      </w:r>
      <w:r w:rsidR="00676A9A">
        <w:t xml:space="preserve"> in Sri Lanka offers considerable promise for the aid program to leverage greater impact from its investment over the next four to five years</w:t>
      </w:r>
      <w:r w:rsidR="00525C30">
        <w:t>.</w:t>
      </w:r>
    </w:p>
    <w:p w:rsidR="00531580" w:rsidRPr="00B43B60" w:rsidRDefault="00531580" w:rsidP="00531580">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134906" w:rsidRDefault="00677BB3" w:rsidP="00531580">
      <w:pPr>
        <w:pStyle w:val="ListBullet"/>
        <w:numPr>
          <w:ilvl w:val="0"/>
          <w:numId w:val="0"/>
        </w:numPr>
        <w:tabs>
          <w:tab w:val="clear" w:pos="284"/>
        </w:tabs>
      </w:pPr>
      <w:r>
        <w:t>On the back of strong economic growth since the mid-2000s, Sri La</w:t>
      </w:r>
      <w:r w:rsidR="001B473E">
        <w:t>n</w:t>
      </w:r>
      <w:r>
        <w:t>k</w:t>
      </w:r>
      <w:r w:rsidR="001B473E">
        <w:t>a</w:t>
      </w:r>
      <w:r>
        <w:t xml:space="preserve"> is on the cusp of becoming an upper middle income country</w:t>
      </w:r>
      <w:r w:rsidR="001B473E">
        <w:t xml:space="preserve">, with GDP per capita </w:t>
      </w:r>
      <w:r w:rsidR="007951DA">
        <w:t>of</w:t>
      </w:r>
      <w:r w:rsidR="001B473E">
        <w:t xml:space="preserve"> US$3,558 (2014)</w:t>
      </w:r>
      <w:r>
        <w:t xml:space="preserve">. </w:t>
      </w:r>
      <w:r w:rsidR="001B473E">
        <w:t xml:space="preserve">Sri Lanka’s average annual GDP growth from </w:t>
      </w:r>
      <w:r w:rsidR="00134906">
        <w:t xml:space="preserve">2005 to 2014 was 6.11 per cent. </w:t>
      </w:r>
      <w:r w:rsidR="001B473E">
        <w:t>Nationally, Sri Lanka has experienced a significant decline in poverty since the early 2000s. In 2012-13, j</w:t>
      </w:r>
      <w:r w:rsidR="0077434F">
        <w:t xml:space="preserve">ust </w:t>
      </w:r>
      <w:r w:rsidR="00531580" w:rsidRPr="001C4693">
        <w:t>6.7</w:t>
      </w:r>
      <w:r w:rsidR="0077434F">
        <w:t xml:space="preserve"> per cent </w:t>
      </w:r>
      <w:r w:rsidR="00531580" w:rsidRPr="001C4693">
        <w:t>of the population fell below the national poverty line</w:t>
      </w:r>
      <w:r w:rsidR="000D4B96">
        <w:t>.</w:t>
      </w:r>
      <w:r w:rsidR="00531580" w:rsidRPr="001C4693">
        <w:t xml:space="preserve"> </w:t>
      </w:r>
      <w:r w:rsidR="000D4B96">
        <w:t xml:space="preserve">This </w:t>
      </w:r>
      <w:r w:rsidR="00531580" w:rsidRPr="001C4693">
        <w:t>represent</w:t>
      </w:r>
      <w:r w:rsidR="000D4B96">
        <w:t>s</w:t>
      </w:r>
      <w:r w:rsidR="00531580" w:rsidRPr="001C4693">
        <w:t xml:space="preserve"> a d</w:t>
      </w:r>
      <w:r w:rsidR="000D4B96">
        <w:t xml:space="preserve">ecline </w:t>
      </w:r>
      <w:r w:rsidR="00531580" w:rsidRPr="001C4693">
        <w:t>of more than 22 percent</w:t>
      </w:r>
      <w:r w:rsidR="00906FC8">
        <w:t>age points</w:t>
      </w:r>
      <w:r w:rsidR="00531580" w:rsidRPr="001C4693">
        <w:t xml:space="preserve"> in </w:t>
      </w:r>
      <w:r w:rsidR="009C0679">
        <w:t>fewer</w:t>
      </w:r>
      <w:r w:rsidR="00531580" w:rsidRPr="001C4693">
        <w:t xml:space="preserve"> than 20 years.</w:t>
      </w:r>
      <w:r w:rsidR="00531580" w:rsidRPr="002C63D4">
        <w:rPr>
          <w:vertAlign w:val="superscript"/>
        </w:rPr>
        <w:footnoteReference w:id="2"/>
      </w:r>
      <w:r w:rsidR="00903C56">
        <w:t xml:space="preserve"> </w:t>
      </w:r>
      <w:r w:rsidR="00531580" w:rsidRPr="001C4693">
        <w:t xml:space="preserve">Sri Lanka </w:t>
      </w:r>
      <w:r w:rsidR="001B473E">
        <w:t>is set</w:t>
      </w:r>
      <w:r w:rsidR="00531580" w:rsidRPr="001C4693">
        <w:t xml:space="preserve"> </w:t>
      </w:r>
      <w:r w:rsidR="001B473E">
        <w:t xml:space="preserve">to </w:t>
      </w:r>
      <w:r w:rsidR="00531580" w:rsidRPr="001C4693">
        <w:t xml:space="preserve">meet </w:t>
      </w:r>
      <w:r w:rsidR="004A6E47">
        <w:t xml:space="preserve">nearly </w:t>
      </w:r>
      <w:r w:rsidR="00531580" w:rsidRPr="001C4693">
        <w:t xml:space="preserve">all MDG </w:t>
      </w:r>
      <w:r w:rsidR="00261539">
        <w:t xml:space="preserve">indicators, </w:t>
      </w:r>
      <w:r w:rsidR="00531580" w:rsidRPr="001C4693">
        <w:t>exc</w:t>
      </w:r>
      <w:r w:rsidR="00261539">
        <w:t>ept</w:t>
      </w:r>
      <w:r w:rsidR="000D4B96">
        <w:t xml:space="preserve"> </w:t>
      </w:r>
      <w:r w:rsidR="00531580" w:rsidRPr="001C4693">
        <w:t xml:space="preserve">nutrition </w:t>
      </w:r>
      <w:r w:rsidR="001B473E">
        <w:t>and ensuring those with advanced HIV infection have access to antiretroviral drugs.</w:t>
      </w:r>
      <w:r w:rsidR="00531580" w:rsidRPr="002C63D4">
        <w:rPr>
          <w:vertAlign w:val="superscript"/>
        </w:rPr>
        <w:footnoteReference w:id="3"/>
      </w:r>
      <w:r w:rsidR="00531580" w:rsidRPr="001C4693">
        <w:rPr>
          <w:b/>
        </w:rPr>
        <w:t xml:space="preserve"> </w:t>
      </w:r>
      <w:r w:rsidR="00531580" w:rsidRPr="001C4693">
        <w:t>Sri Lanka is the only South Asian nation ranked ‘high’ (at 73 out of 187 countries) on the UNDP</w:t>
      </w:r>
      <w:r w:rsidR="00531580">
        <w:t>’s Human Development Index</w:t>
      </w:r>
      <w:r w:rsidR="00531580" w:rsidRPr="001C4693">
        <w:t>.</w:t>
      </w:r>
      <w:r w:rsidR="00531580" w:rsidRPr="002C63D4">
        <w:rPr>
          <w:vertAlign w:val="superscript"/>
        </w:rPr>
        <w:footnoteReference w:id="4"/>
      </w:r>
      <w:r w:rsidR="00134906">
        <w:t xml:space="preserve"> </w:t>
      </w:r>
    </w:p>
    <w:p w:rsidR="00045C8A" w:rsidRDefault="003D60FF" w:rsidP="00531580">
      <w:pPr>
        <w:pStyle w:val="ListBullet"/>
        <w:numPr>
          <w:ilvl w:val="0"/>
          <w:numId w:val="0"/>
        </w:numPr>
        <w:tabs>
          <w:tab w:val="clear" w:pos="284"/>
        </w:tabs>
      </w:pPr>
      <w:r>
        <w:t>D</w:t>
      </w:r>
      <w:r w:rsidR="007A2ED7">
        <w:t xml:space="preserve">espite </w:t>
      </w:r>
      <w:r w:rsidR="000D4B96">
        <w:t xml:space="preserve">promising national-level indicators, </w:t>
      </w:r>
      <w:r w:rsidR="004A6E47">
        <w:t>s</w:t>
      </w:r>
      <w:r w:rsidR="00531580" w:rsidRPr="001C4693">
        <w:t>ignificant inequality</w:t>
      </w:r>
      <w:r w:rsidR="00D054D8">
        <w:t xml:space="preserve"> and</w:t>
      </w:r>
      <w:r w:rsidR="00531580" w:rsidRPr="001C4693">
        <w:t xml:space="preserve"> marginalisation</w:t>
      </w:r>
      <w:r w:rsidR="00531580">
        <w:t xml:space="preserve"> remain at the sub-national level</w:t>
      </w:r>
      <w:r w:rsidR="00531580" w:rsidRPr="001C4693">
        <w:t xml:space="preserve">. </w:t>
      </w:r>
      <w:r w:rsidR="00531580">
        <w:t xml:space="preserve">Poverty </w:t>
      </w:r>
      <w:r w:rsidR="00261539">
        <w:t>persists</w:t>
      </w:r>
      <w:r w:rsidR="00A7428D">
        <w:t xml:space="preserve"> across the country, but is more widespread across the</w:t>
      </w:r>
      <w:r w:rsidR="00531580" w:rsidRPr="001C4693">
        <w:t xml:space="preserve"> Northern and Eastern Provinces</w:t>
      </w:r>
      <w:r w:rsidR="00D054D8">
        <w:t>, which were most</w:t>
      </w:r>
      <w:r w:rsidR="00531580" w:rsidRPr="001C4693">
        <w:t xml:space="preserve"> affected by the civil conflict, </w:t>
      </w:r>
      <w:r w:rsidR="00531580">
        <w:t>as well as in</w:t>
      </w:r>
      <w:r w:rsidR="00A7428D">
        <w:t xml:space="preserve"> the more remote</w:t>
      </w:r>
      <w:r w:rsidR="00531580" w:rsidRPr="001C4693">
        <w:t xml:space="preserve"> districts in Uva and Central </w:t>
      </w:r>
      <w:r w:rsidR="00531580">
        <w:t>P</w:t>
      </w:r>
      <w:r w:rsidR="00531580" w:rsidRPr="001C4693">
        <w:t>rovinces.</w:t>
      </w:r>
      <w:r w:rsidR="00531580" w:rsidRPr="002C63D4">
        <w:rPr>
          <w:vertAlign w:val="superscript"/>
        </w:rPr>
        <w:footnoteReference w:id="5"/>
      </w:r>
      <w:r w:rsidR="00903C56">
        <w:t xml:space="preserve"> </w:t>
      </w:r>
      <w:r w:rsidR="00531580">
        <w:t>Sri Lanka</w:t>
      </w:r>
      <w:r w:rsidR="007A2ED7">
        <w:t xml:space="preserve">’s goal of </w:t>
      </w:r>
      <w:r w:rsidR="00531580">
        <w:t>upper-middle income status with high human development</w:t>
      </w:r>
      <w:r w:rsidR="009C0679">
        <w:t xml:space="preserve"> also</w:t>
      </w:r>
      <w:r w:rsidR="007A2ED7">
        <w:t xml:space="preserve"> faces several structural challenges</w:t>
      </w:r>
      <w:r w:rsidR="00045C8A">
        <w:t xml:space="preserve"> and i</w:t>
      </w:r>
      <w:r w:rsidR="007A2ED7">
        <w:t>ts</w:t>
      </w:r>
      <w:r w:rsidR="00C75B02">
        <w:t xml:space="preserve"> complex political </w:t>
      </w:r>
      <w:r w:rsidR="008F44C2">
        <w:t>system</w:t>
      </w:r>
      <w:r w:rsidR="00C75B02">
        <w:t xml:space="preserve"> </w:t>
      </w:r>
      <w:r w:rsidR="008F44C2">
        <w:t xml:space="preserve">poses </w:t>
      </w:r>
      <w:r>
        <w:t xml:space="preserve">some </w:t>
      </w:r>
      <w:r w:rsidR="008F44C2">
        <w:t>risks to</w:t>
      </w:r>
      <w:r w:rsidR="00C75B02">
        <w:t xml:space="preserve"> </w:t>
      </w:r>
      <w:r w:rsidR="00261539">
        <w:t>economic and fiscal reform</w:t>
      </w:r>
      <w:r w:rsidR="008F44C2">
        <w:t>, despite the political will of the Government</w:t>
      </w:r>
      <w:r w:rsidR="00261539">
        <w:t>.</w:t>
      </w:r>
    </w:p>
    <w:p w:rsidR="009662F7" w:rsidRDefault="00045C8A" w:rsidP="00CB2486">
      <w:pPr>
        <w:pStyle w:val="ListBullet"/>
        <w:numPr>
          <w:ilvl w:val="0"/>
          <w:numId w:val="0"/>
        </w:numPr>
        <w:tabs>
          <w:tab w:val="clear" w:pos="284"/>
        </w:tabs>
      </w:pPr>
      <w:r>
        <w:t>A</w:t>
      </w:r>
      <w:r w:rsidR="009662F7">
        <w:t xml:space="preserve"> decreasing </w:t>
      </w:r>
      <w:r w:rsidR="005514DB">
        <w:t>t</w:t>
      </w:r>
      <w:r w:rsidR="00531580" w:rsidRPr="002C63D4">
        <w:t>ax-to-GDP ratio</w:t>
      </w:r>
      <w:r w:rsidR="009662F7">
        <w:t xml:space="preserve"> </w:t>
      </w:r>
      <w:r w:rsidR="003D60FF">
        <w:t xml:space="preserve">– </w:t>
      </w:r>
      <w:r w:rsidR="009662F7">
        <w:t>which now sits at</w:t>
      </w:r>
      <w:r>
        <w:t xml:space="preserve"> 11.8 per cent</w:t>
      </w:r>
      <w:r w:rsidR="003D60FF">
        <w:t xml:space="preserve">, </w:t>
      </w:r>
      <w:r w:rsidR="00531580" w:rsidRPr="002C63D4">
        <w:t>w</w:t>
      </w:r>
      <w:r>
        <w:t>e</w:t>
      </w:r>
      <w:r w:rsidR="00531580" w:rsidRPr="002C63D4">
        <w:t>ll below the 20</w:t>
      </w:r>
      <w:r>
        <w:t xml:space="preserve"> per cent</w:t>
      </w:r>
      <w:r w:rsidR="00531580" w:rsidRPr="002C63D4">
        <w:t xml:space="preserve"> aver</w:t>
      </w:r>
      <w:r w:rsidR="00531580">
        <w:t xml:space="preserve">age for </w:t>
      </w:r>
      <w:r>
        <w:t>Middle Income Countries</w:t>
      </w:r>
      <w:r w:rsidR="005514DB">
        <w:rPr>
          <w:rStyle w:val="FootnoteReference"/>
        </w:rPr>
        <w:footnoteReference w:id="6"/>
      </w:r>
      <w:r>
        <w:t xml:space="preserve"> – l</w:t>
      </w:r>
      <w:r w:rsidR="00531580">
        <w:t>imit</w:t>
      </w:r>
      <w:r>
        <w:t>s</w:t>
      </w:r>
      <w:r w:rsidR="00531580">
        <w:t xml:space="preserve"> the </w:t>
      </w:r>
      <w:r>
        <w:t>G</w:t>
      </w:r>
      <w:r w:rsidR="00531580">
        <w:t xml:space="preserve">overnment’s capacity to meet </w:t>
      </w:r>
      <w:r w:rsidR="003D60FF">
        <w:t xml:space="preserve">important </w:t>
      </w:r>
      <w:r>
        <w:t>commitments</w:t>
      </w:r>
      <w:r w:rsidR="003D60FF">
        <w:t>,</w:t>
      </w:r>
      <w:r>
        <w:t xml:space="preserve"> </w:t>
      </w:r>
      <w:r w:rsidR="00531580">
        <w:t>such as increasing</w:t>
      </w:r>
      <w:r w:rsidR="00531580" w:rsidRPr="00A34449">
        <w:t xml:space="preserve"> educational spending </w:t>
      </w:r>
      <w:r w:rsidR="00531580">
        <w:t xml:space="preserve">to </w:t>
      </w:r>
      <w:r w:rsidR="00531580" w:rsidRPr="00A34449">
        <w:t>6</w:t>
      </w:r>
      <w:r>
        <w:t xml:space="preserve"> per cent</w:t>
      </w:r>
      <w:r w:rsidR="00D054D8">
        <w:t xml:space="preserve"> of GDP</w:t>
      </w:r>
      <w:r>
        <w:t>.</w:t>
      </w:r>
      <w:r w:rsidR="00903C56">
        <w:t xml:space="preserve"> </w:t>
      </w:r>
      <w:r>
        <w:t>S</w:t>
      </w:r>
      <w:r w:rsidR="00531580">
        <w:t>low productivity growth in agricultural and modern services sectors (such as ICT)</w:t>
      </w:r>
      <w:r>
        <w:t xml:space="preserve"> drags on </w:t>
      </w:r>
      <w:r w:rsidR="00531580">
        <w:t xml:space="preserve">Sri Lanka’s export performance. </w:t>
      </w:r>
      <w:r w:rsidR="00CB2486">
        <w:t>S</w:t>
      </w:r>
      <w:r w:rsidR="00531580">
        <w:t xml:space="preserve">ocial and economic exclusion </w:t>
      </w:r>
      <w:r w:rsidR="003D60FF">
        <w:t xml:space="preserve">and youth under-employment </w:t>
      </w:r>
      <w:r w:rsidR="00CB2486">
        <w:t>persist strongly in post-conflict regions</w:t>
      </w:r>
      <w:r w:rsidR="00531580">
        <w:t>.</w:t>
      </w:r>
      <w:r w:rsidR="00306013">
        <w:rPr>
          <w:rStyle w:val="FootnoteReference"/>
        </w:rPr>
        <w:footnoteReference w:id="7"/>
      </w:r>
      <w:r w:rsidR="00903C56">
        <w:t xml:space="preserve"> </w:t>
      </w:r>
      <w:r w:rsidR="003D60FF">
        <w:t>W</w:t>
      </w:r>
      <w:r w:rsidR="00325CC0">
        <w:t xml:space="preserve">hile </w:t>
      </w:r>
      <w:r w:rsidR="00261539">
        <w:t xml:space="preserve">Sri Lanka performs well on many gender indicators – </w:t>
      </w:r>
      <w:r w:rsidR="00325CC0">
        <w:t>more women than men are enrolled in tertiary and secondary education and female literacy is almost 100 per cent</w:t>
      </w:r>
      <w:r w:rsidR="00261539">
        <w:t xml:space="preserve"> –</w:t>
      </w:r>
      <w:r w:rsidR="00325CC0">
        <w:t xml:space="preserve"> </w:t>
      </w:r>
      <w:r w:rsidR="00CB2486" w:rsidRPr="009662F7">
        <w:t xml:space="preserve">female participation in the formal labour force </w:t>
      </w:r>
      <w:r w:rsidR="00CB2486">
        <w:t xml:space="preserve">lags at </w:t>
      </w:r>
      <w:r w:rsidR="00CB2486" w:rsidRPr="009662F7">
        <w:t>30-35</w:t>
      </w:r>
      <w:r w:rsidR="00CB2486">
        <w:t xml:space="preserve"> per cent. </w:t>
      </w:r>
      <w:r w:rsidR="00325CC0">
        <w:t>F</w:t>
      </w:r>
      <w:r w:rsidR="00325CC0" w:rsidRPr="009662F7">
        <w:t xml:space="preserve">emale representation </w:t>
      </w:r>
      <w:r w:rsidR="00325CC0">
        <w:t xml:space="preserve">in legislatures is </w:t>
      </w:r>
      <w:r w:rsidR="00325CC0" w:rsidRPr="009662F7">
        <w:t>less than 5</w:t>
      </w:r>
      <w:r w:rsidR="00325CC0">
        <w:t xml:space="preserve"> per cent</w:t>
      </w:r>
      <w:r w:rsidR="00325CC0" w:rsidRPr="009662F7">
        <w:t>.</w:t>
      </w:r>
      <w:r w:rsidR="00325CC0" w:rsidRPr="009662F7">
        <w:rPr>
          <w:vertAlign w:val="superscript"/>
        </w:rPr>
        <w:footnoteReference w:id="8"/>
      </w:r>
    </w:p>
    <w:p w:rsidR="00C33D9E" w:rsidRDefault="00D00813" w:rsidP="00D00813">
      <w:pPr>
        <w:pStyle w:val="ListBullet"/>
        <w:numPr>
          <w:ilvl w:val="0"/>
          <w:numId w:val="0"/>
        </w:numPr>
        <w:tabs>
          <w:tab w:val="clear" w:pos="284"/>
        </w:tabs>
      </w:pPr>
      <w:r>
        <w:t xml:space="preserve">The political context of the aid program is evolving rapidly. Since January 2015, the new </w:t>
      </w:r>
      <w:r w:rsidR="00325CC0">
        <w:t xml:space="preserve">Government </w:t>
      </w:r>
      <w:r>
        <w:t>has taken early positive steps on governance, human rights and reconciliation. It has: passed constitutional reforms limiting the power of the presidency</w:t>
      </w:r>
      <w:r w:rsidRPr="00D00813">
        <w:t xml:space="preserve"> </w:t>
      </w:r>
      <w:r>
        <w:t>and strengthening independent institutions</w:t>
      </w:r>
      <w:r w:rsidR="00132211">
        <w:t>;</w:t>
      </w:r>
      <w:r w:rsidR="00531580" w:rsidRPr="00696A52">
        <w:t xml:space="preserve"> </w:t>
      </w:r>
      <w:r>
        <w:t xml:space="preserve">replaced military governors in the north and east with civilians; provided assurances on </w:t>
      </w:r>
      <w:r>
        <w:lastRenderedPageBreak/>
        <w:t xml:space="preserve">media freedoms; </w:t>
      </w:r>
      <w:r w:rsidR="00531580">
        <w:t>establish</w:t>
      </w:r>
      <w:r>
        <w:t>ed</w:t>
      </w:r>
      <w:r w:rsidR="00531580">
        <w:t xml:space="preserve"> </w:t>
      </w:r>
      <w:r w:rsidR="00531580" w:rsidRPr="00E04AE5">
        <w:t>an independent Commi</w:t>
      </w:r>
      <w:r w:rsidR="00451948">
        <w:t>ssion on Bribery and Corruption;</w:t>
      </w:r>
      <w:r w:rsidR="00531580" w:rsidRPr="00E04AE5">
        <w:t xml:space="preserve"> </w:t>
      </w:r>
      <w:r w:rsidR="00A222B7">
        <w:t>released</w:t>
      </w:r>
      <w:r w:rsidR="00531580">
        <w:t xml:space="preserve"> land </w:t>
      </w:r>
      <w:r w:rsidR="008F6E4C">
        <w:t>to</w:t>
      </w:r>
      <w:r w:rsidR="00531580">
        <w:t xml:space="preserve"> resettle </w:t>
      </w:r>
      <w:r w:rsidR="00451948">
        <w:t>those</w:t>
      </w:r>
      <w:r w:rsidR="00531580">
        <w:t xml:space="preserve"> displaced </w:t>
      </w:r>
      <w:r w:rsidR="00451948">
        <w:t>by</w:t>
      </w:r>
      <w:r w:rsidR="00531580">
        <w:t xml:space="preserve"> civil conflict</w:t>
      </w:r>
      <w:r w:rsidR="008F6E4C">
        <w:t>;</w:t>
      </w:r>
      <w:r w:rsidR="00531580" w:rsidRPr="00E04AE5">
        <w:t xml:space="preserve"> and </w:t>
      </w:r>
      <w:r>
        <w:t>passed</w:t>
      </w:r>
      <w:r w:rsidR="00531580" w:rsidRPr="00E04AE5">
        <w:t xml:space="preserve"> a </w:t>
      </w:r>
      <w:r w:rsidR="00531580">
        <w:t>Witness and Victim Protection</w:t>
      </w:r>
      <w:r w:rsidR="00531580" w:rsidRPr="00E04AE5">
        <w:t xml:space="preserve"> bill</w:t>
      </w:r>
      <w:r>
        <w:t>.</w:t>
      </w:r>
    </w:p>
    <w:p w:rsidR="00531580" w:rsidRDefault="00531580" w:rsidP="00531580">
      <w:pPr>
        <w:pStyle w:val="ListBullet"/>
        <w:numPr>
          <w:ilvl w:val="0"/>
          <w:numId w:val="0"/>
        </w:numPr>
      </w:pPr>
      <w:r>
        <w:t xml:space="preserve">Australia </w:t>
      </w:r>
      <w:r w:rsidR="00D00813">
        <w:t xml:space="preserve">retained its </w:t>
      </w:r>
      <w:r>
        <w:t xml:space="preserve">strong aid relationship with Sri Lanka </w:t>
      </w:r>
      <w:r w:rsidR="00D00813">
        <w:t xml:space="preserve">during a period when </w:t>
      </w:r>
      <w:r>
        <w:t xml:space="preserve">many OECD DAC donors scaled back their </w:t>
      </w:r>
      <w:r w:rsidR="00D00813">
        <w:t>development assistance</w:t>
      </w:r>
      <w:r>
        <w:t xml:space="preserve">. This </w:t>
      </w:r>
      <w:r w:rsidR="00D00813">
        <w:t>meant</w:t>
      </w:r>
      <w:r>
        <w:t xml:space="preserve"> Australia </w:t>
      </w:r>
      <w:r w:rsidR="00C20350">
        <w:t xml:space="preserve">remained </w:t>
      </w:r>
      <w:r>
        <w:t>as one of the largest DAC donors</w:t>
      </w:r>
      <w:r w:rsidR="00C20350">
        <w:t xml:space="preserve"> in Sri Lanka</w:t>
      </w:r>
      <w:r>
        <w:t xml:space="preserve">. </w:t>
      </w:r>
      <w:r w:rsidR="00C20350">
        <w:t xml:space="preserve">However, </w:t>
      </w:r>
      <w:r w:rsidR="00395906">
        <w:t xml:space="preserve">since </w:t>
      </w:r>
      <w:r w:rsidRPr="00696A52">
        <w:t>Janua</w:t>
      </w:r>
      <w:r>
        <w:t>ry 2015</w:t>
      </w:r>
      <w:r w:rsidR="00C20350">
        <w:t>, some</w:t>
      </w:r>
      <w:r>
        <w:t xml:space="preserve"> DAC members </w:t>
      </w:r>
      <w:r w:rsidR="00395906">
        <w:t>have been</w:t>
      </w:r>
      <w:r w:rsidR="00C20350">
        <w:t xml:space="preserve"> looking to increase </w:t>
      </w:r>
      <w:r w:rsidR="003D60FF">
        <w:t xml:space="preserve">their aid </w:t>
      </w:r>
      <w:r w:rsidR="00C20350">
        <w:t xml:space="preserve">engagement </w:t>
      </w:r>
      <w:r w:rsidR="003D60FF">
        <w:t>with the new Government</w:t>
      </w:r>
      <w:r w:rsidR="00C20350">
        <w:t>.</w:t>
      </w:r>
      <w:r w:rsidR="007951DA">
        <w:t xml:space="preserve"> W</w:t>
      </w:r>
      <w:r w:rsidR="003D60FF">
        <w:t xml:space="preserve">hile </w:t>
      </w:r>
      <w:r w:rsidR="00395906">
        <w:t>our</w:t>
      </w:r>
      <w:r>
        <w:t xml:space="preserve"> aid relationship </w:t>
      </w:r>
      <w:r w:rsidR="00395906">
        <w:t>i</w:t>
      </w:r>
      <w:r w:rsidR="00903C56">
        <w:t>s strong</w:t>
      </w:r>
      <w:r w:rsidR="003D60FF">
        <w:t xml:space="preserve">, </w:t>
      </w:r>
      <w:r w:rsidR="00395906">
        <w:t xml:space="preserve">the reality is </w:t>
      </w:r>
      <w:r w:rsidR="002E5070">
        <w:t>Australian</w:t>
      </w:r>
      <w:r>
        <w:t xml:space="preserve"> ODA in 2014</w:t>
      </w:r>
      <w:r w:rsidR="008F44C2">
        <w:noBreakHyphen/>
      </w:r>
      <w:r>
        <w:t xml:space="preserve">15 only </w:t>
      </w:r>
      <w:r w:rsidR="00395906">
        <w:t xml:space="preserve">amounted </w:t>
      </w:r>
      <w:r>
        <w:t>to 0.28</w:t>
      </w:r>
      <w:r w:rsidR="00C20350">
        <w:t xml:space="preserve"> per cent</w:t>
      </w:r>
      <w:r w:rsidR="007951DA">
        <w:t xml:space="preserve"> of Sri Lankan G</w:t>
      </w:r>
      <w:r>
        <w:t>overnment expenditure, 0.04</w:t>
      </w:r>
      <w:r w:rsidR="00C20350">
        <w:t xml:space="preserve"> per cent</w:t>
      </w:r>
      <w:r>
        <w:t xml:space="preserve"> of GDP and 3.2</w:t>
      </w:r>
      <w:r w:rsidR="00C20350">
        <w:t xml:space="preserve"> per cent</w:t>
      </w:r>
      <w:r>
        <w:t xml:space="preserve"> of total ODA. </w:t>
      </w:r>
      <w:r w:rsidR="00395906">
        <w:t>So o</w:t>
      </w:r>
      <w:r w:rsidR="00903C56">
        <w:t xml:space="preserve">ur </w:t>
      </w:r>
      <w:r>
        <w:t xml:space="preserve">aid </w:t>
      </w:r>
      <w:r w:rsidR="00C20350">
        <w:t>must</w:t>
      </w:r>
      <w:r>
        <w:t xml:space="preserve"> be well-targeted, build </w:t>
      </w:r>
      <w:r w:rsidR="00395906">
        <w:t>on successes</w:t>
      </w:r>
      <w:r>
        <w:t xml:space="preserve"> and </w:t>
      </w:r>
      <w:r w:rsidR="00C20350">
        <w:t>leverage</w:t>
      </w:r>
      <w:r>
        <w:t xml:space="preserve"> Sri Lanka</w:t>
      </w:r>
      <w:r w:rsidR="00C20350">
        <w:t>’s own</w:t>
      </w:r>
      <w:r>
        <w:t xml:space="preserve"> resources </w:t>
      </w:r>
      <w:r w:rsidR="00C20350">
        <w:t>to deliver development outcomes</w:t>
      </w:r>
      <w:r>
        <w:t>.</w:t>
      </w:r>
    </w:p>
    <w:p w:rsidR="00531580" w:rsidRDefault="00531580" w:rsidP="00531580">
      <w:pPr>
        <w:pStyle w:val="ListBullet"/>
        <w:numPr>
          <w:ilvl w:val="0"/>
          <w:numId w:val="0"/>
        </w:numPr>
      </w:pPr>
      <w:r w:rsidRPr="00696A52">
        <w:t xml:space="preserve">This APPR is the last to report on the 2012-16 Sri Lanka </w:t>
      </w:r>
      <w:r>
        <w:t>aid program strategy</w:t>
      </w:r>
      <w:r w:rsidR="00C20350">
        <w:t>. T</w:t>
      </w:r>
      <w:r>
        <w:t xml:space="preserve">he new Sri Lanka AIP 2015-19 </w:t>
      </w:r>
      <w:r w:rsidR="00395906">
        <w:t>took</w:t>
      </w:r>
      <w:r>
        <w:t xml:space="preserve"> effect in October 2015. The 2012-16 strategy set two program objectives: help improve social and economic indicators in lagging regions</w:t>
      </w:r>
      <w:r w:rsidR="002E5070">
        <w:t>,</w:t>
      </w:r>
      <w:r>
        <w:t xml:space="preserve"> and support the implementation of policies and program</w:t>
      </w:r>
      <w:r w:rsidR="00A222B7">
        <w:t>s</w:t>
      </w:r>
      <w:r>
        <w:t xml:space="preserve"> for inclusive growth and improved service delivery. These objectives responded to the policy priorities of the Australian aid program at the time, and also the needs identified in the </w:t>
      </w:r>
      <w:r w:rsidRPr="00715307">
        <w:rPr>
          <w:i/>
        </w:rPr>
        <w:t>Mahinda Chintana: Vision for the Future</w:t>
      </w:r>
      <w:r>
        <w:t xml:space="preserve"> development policy of the former Sri Lankan </w:t>
      </w:r>
      <w:r w:rsidR="007951DA">
        <w:t>G</w:t>
      </w:r>
      <w:r>
        <w:t>overnment.</w:t>
      </w:r>
    </w:p>
    <w:p w:rsidR="00531580" w:rsidRPr="00715307" w:rsidRDefault="00531580" w:rsidP="00531580">
      <w:pPr>
        <w:pStyle w:val="ListBullet"/>
        <w:numPr>
          <w:ilvl w:val="0"/>
          <w:numId w:val="0"/>
        </w:numPr>
      </w:pPr>
      <w:r>
        <w:t xml:space="preserve">While much of the 2012-16 strategy remains relevant, the development context in Sri Lanka and the aid policy context in Australia </w:t>
      </w:r>
      <w:r w:rsidR="00395906">
        <w:t>continue to evolve</w:t>
      </w:r>
      <w:r>
        <w:t xml:space="preserve">. </w:t>
      </w:r>
      <w:r w:rsidR="003D60FF">
        <w:t>Our</w:t>
      </w:r>
      <w:r>
        <w:t xml:space="preserve"> new AIP </w:t>
      </w:r>
      <w:r w:rsidR="00903C56">
        <w:t xml:space="preserve">responds by </w:t>
      </w:r>
      <w:r w:rsidR="00395906">
        <w:t>accelerating</w:t>
      </w:r>
      <w:r>
        <w:t xml:space="preserve"> </w:t>
      </w:r>
      <w:r w:rsidR="00903C56">
        <w:t xml:space="preserve">the aid relationship </w:t>
      </w:r>
      <w:r w:rsidR="00C20350">
        <w:t>toward an</w:t>
      </w:r>
      <w:r>
        <w:t xml:space="preserve"> economic partnership approach. It seeks to support reconciliation and</w:t>
      </w:r>
      <w:r w:rsidR="00C20350">
        <w:t xml:space="preserve"> </w:t>
      </w:r>
      <w:r>
        <w:t xml:space="preserve">respond to policy signals from the new Sri Lankan </w:t>
      </w:r>
      <w:r w:rsidR="00C20350">
        <w:t>G</w:t>
      </w:r>
      <w:r>
        <w:t xml:space="preserve">overnment on economic and social development. </w:t>
      </w:r>
      <w:r w:rsidR="00C20350">
        <w:t xml:space="preserve">With presidential and parliamentary </w:t>
      </w:r>
      <w:r>
        <w:t>election</w:t>
      </w:r>
      <w:r w:rsidR="00C20350">
        <w:t>s not due again until</w:t>
      </w:r>
      <w:r>
        <w:t xml:space="preserve"> 2020, </w:t>
      </w:r>
      <w:r w:rsidR="00C20350">
        <w:t xml:space="preserve">the prospects for </w:t>
      </w:r>
      <w:r>
        <w:t xml:space="preserve">policy stability over the life of the </w:t>
      </w:r>
      <w:r w:rsidR="00C20350">
        <w:t xml:space="preserve">new </w:t>
      </w:r>
      <w:r>
        <w:t>AIP</w:t>
      </w:r>
      <w:r w:rsidR="00C20350">
        <w:t xml:space="preserve"> are promising</w:t>
      </w:r>
      <w:r>
        <w:t>.</w:t>
      </w:r>
    </w:p>
    <w:p w:rsidR="000D733F" w:rsidRPr="009E38C1" w:rsidRDefault="000D733F" w:rsidP="000D733F">
      <w:pPr>
        <w:pStyle w:val="Heading2"/>
        <w:rPr>
          <w:sz w:val="28"/>
        </w:rPr>
      </w:pPr>
      <w:r w:rsidRPr="009E38C1">
        <w:rPr>
          <w:sz w:val="28"/>
        </w:rPr>
        <w:t>Expenditure</w:t>
      </w:r>
    </w:p>
    <w:p w:rsidR="00687B2F" w:rsidRDefault="00277DB8" w:rsidP="000A79CA">
      <w:pPr>
        <w:pStyle w:val="ListBullet"/>
        <w:numPr>
          <w:ilvl w:val="0"/>
          <w:numId w:val="0"/>
        </w:numPr>
        <w:tabs>
          <w:tab w:val="clear" w:pos="284"/>
        </w:tabs>
      </w:pPr>
      <w:r w:rsidRPr="00277DB8">
        <w:t>In 201</w:t>
      </w:r>
      <w:r>
        <w:t>4-15</w:t>
      </w:r>
      <w:r w:rsidRPr="00277DB8">
        <w:t xml:space="preserve">, Australia's bilateral aid expenditure to Sri Lanka </w:t>
      </w:r>
      <w:r>
        <w:t xml:space="preserve">decreased </w:t>
      </w:r>
      <w:r w:rsidR="00134906">
        <w:t xml:space="preserve">slightly </w:t>
      </w:r>
      <w:r>
        <w:t>to $32.8 million (from $33.2</w:t>
      </w:r>
      <w:r w:rsidRPr="00277DB8">
        <w:t xml:space="preserve"> million). </w:t>
      </w:r>
      <w:r w:rsidR="000A79CA">
        <w:t xml:space="preserve">This allocation was fully expensed within the 2014-15 financial year. </w:t>
      </w:r>
      <w:r w:rsidR="00906FC8">
        <w:t>DFAT</w:t>
      </w:r>
      <w:r w:rsidR="000A79CA" w:rsidRPr="000A79CA">
        <w:t>'s regional and global programs</w:t>
      </w:r>
      <w:r w:rsidR="00906FC8">
        <w:t>, and those of</w:t>
      </w:r>
      <w:r w:rsidR="000A79CA" w:rsidRPr="000A79CA">
        <w:t xml:space="preserve"> other</w:t>
      </w:r>
      <w:r w:rsidR="00906FC8">
        <w:t xml:space="preserve"> Australian</w:t>
      </w:r>
      <w:r w:rsidR="000A79CA" w:rsidRPr="000A79CA">
        <w:t xml:space="preserve"> government agencies</w:t>
      </w:r>
      <w:r w:rsidR="00906FC8">
        <w:t>,</w:t>
      </w:r>
      <w:r w:rsidR="000A79CA" w:rsidRPr="000A79CA">
        <w:t xml:space="preserve"> brought Australia's total official development a</w:t>
      </w:r>
      <w:r w:rsidR="000A79CA">
        <w:t xml:space="preserve">ssistance (ODA) to $43.5 million (up from </w:t>
      </w:r>
      <w:r w:rsidR="000A79CA" w:rsidRPr="000A79CA">
        <w:t>$40.8 million</w:t>
      </w:r>
      <w:r w:rsidR="000A79CA">
        <w:t xml:space="preserve"> the year before)</w:t>
      </w:r>
      <w:r w:rsidR="000A79CA" w:rsidRPr="000A79CA">
        <w:t>.</w:t>
      </w:r>
      <w:bookmarkStart w:id="2" w:name="_Toc373853206"/>
    </w:p>
    <w:p w:rsidR="000D733F" w:rsidRDefault="000D733F" w:rsidP="00687B2F">
      <w:pPr>
        <w:pStyle w:val="Caption"/>
        <w:keepLines/>
      </w:pPr>
      <w:r w:rsidRPr="005901D2">
        <w:t xml:space="preserve">Table </w:t>
      </w:r>
      <w:r w:rsidR="00373BD6">
        <w:fldChar w:fldCharType="begin"/>
      </w:r>
      <w:r w:rsidR="00373BD6">
        <w:instrText xml:space="preserve"> SEQ Table \* ARABIC </w:instrText>
      </w:r>
      <w:r w:rsidR="00373BD6">
        <w:fldChar w:fldCharType="separate"/>
      </w:r>
      <w:r w:rsidR="004935E9">
        <w:rPr>
          <w:noProof/>
        </w:rPr>
        <w:t>1</w:t>
      </w:r>
      <w:r w:rsidR="00373BD6">
        <w:rPr>
          <w:noProof/>
        </w:rPr>
        <w:fldChar w:fldCharType="end"/>
      </w:r>
      <w:r w:rsidRPr="005901D2">
        <w:t xml:space="preserve"> </w:t>
      </w:r>
      <w:r w:rsidR="00687B2F">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992"/>
        <w:gridCol w:w="1843"/>
      </w:tblGrid>
      <w:tr w:rsidR="00687B2F" w:rsidRPr="00687B2F" w:rsidTr="008F6E4C">
        <w:tc>
          <w:tcPr>
            <w:tcW w:w="5920" w:type="dxa"/>
          </w:tcPr>
          <w:p w:rsidR="00687B2F" w:rsidRPr="00687B2F" w:rsidRDefault="00687B2F" w:rsidP="00BA3F2C">
            <w:pPr>
              <w:pStyle w:val="BodyText"/>
              <w:keepNext/>
              <w:spacing w:after="120" w:line="240" w:lineRule="auto"/>
              <w:rPr>
                <w:b/>
                <w:sz w:val="17"/>
                <w:szCs w:val="17"/>
              </w:rPr>
            </w:pPr>
            <w:r w:rsidRPr="00687B2F">
              <w:rPr>
                <w:b/>
                <w:sz w:val="17"/>
                <w:szCs w:val="17"/>
              </w:rPr>
              <w:t>Objective</w:t>
            </w:r>
          </w:p>
        </w:tc>
        <w:tc>
          <w:tcPr>
            <w:tcW w:w="992" w:type="dxa"/>
          </w:tcPr>
          <w:p w:rsidR="00687B2F" w:rsidRPr="00687B2F" w:rsidRDefault="00687B2F" w:rsidP="00BA3F2C">
            <w:pPr>
              <w:pStyle w:val="BodyText"/>
              <w:keepNext/>
              <w:spacing w:after="120" w:line="240" w:lineRule="auto"/>
              <w:rPr>
                <w:sz w:val="17"/>
                <w:szCs w:val="17"/>
              </w:rPr>
            </w:pPr>
            <w:r w:rsidRPr="00687B2F">
              <w:rPr>
                <w:b/>
                <w:sz w:val="17"/>
                <w:szCs w:val="17"/>
              </w:rPr>
              <w:t>A$ million</w:t>
            </w:r>
          </w:p>
        </w:tc>
        <w:tc>
          <w:tcPr>
            <w:tcW w:w="1843" w:type="dxa"/>
          </w:tcPr>
          <w:p w:rsidR="00687B2F" w:rsidRPr="00687B2F" w:rsidRDefault="008F6E4C" w:rsidP="00BA3F2C">
            <w:pPr>
              <w:pStyle w:val="BodyText"/>
              <w:keepNext/>
              <w:spacing w:after="120" w:line="240" w:lineRule="auto"/>
              <w:rPr>
                <w:sz w:val="17"/>
                <w:szCs w:val="17"/>
              </w:rPr>
            </w:pPr>
            <w:r>
              <w:rPr>
                <w:b/>
                <w:sz w:val="17"/>
                <w:szCs w:val="17"/>
              </w:rPr>
              <w:t>P</w:t>
            </w:r>
            <w:r w:rsidR="00E4542F">
              <w:rPr>
                <w:b/>
                <w:sz w:val="17"/>
                <w:szCs w:val="17"/>
              </w:rPr>
              <w:t>er cent</w:t>
            </w:r>
            <w:r w:rsidR="00687B2F" w:rsidRPr="00687B2F">
              <w:rPr>
                <w:b/>
                <w:sz w:val="17"/>
                <w:szCs w:val="17"/>
              </w:rPr>
              <w:t xml:space="preserve"> of total ODA</w:t>
            </w:r>
          </w:p>
        </w:tc>
      </w:tr>
      <w:tr w:rsidR="00687B2F" w:rsidRPr="00687B2F" w:rsidTr="008F6E4C">
        <w:tc>
          <w:tcPr>
            <w:tcW w:w="5920" w:type="dxa"/>
          </w:tcPr>
          <w:p w:rsidR="00687B2F" w:rsidRPr="00687B2F" w:rsidRDefault="00687B2F" w:rsidP="00BA3F2C">
            <w:pPr>
              <w:pStyle w:val="BodyText"/>
              <w:keepNext/>
              <w:spacing w:after="120" w:line="240" w:lineRule="auto"/>
              <w:rPr>
                <w:b/>
                <w:i/>
                <w:sz w:val="17"/>
                <w:szCs w:val="17"/>
              </w:rPr>
            </w:pPr>
            <w:r w:rsidRPr="00687B2F">
              <w:rPr>
                <w:b/>
                <w:i/>
                <w:sz w:val="17"/>
                <w:szCs w:val="17"/>
              </w:rPr>
              <w:t xml:space="preserve">Bilateral </w:t>
            </w:r>
          </w:p>
        </w:tc>
        <w:tc>
          <w:tcPr>
            <w:tcW w:w="992" w:type="dxa"/>
          </w:tcPr>
          <w:p w:rsidR="00687B2F" w:rsidRPr="00687B2F" w:rsidRDefault="00687B2F" w:rsidP="00BA3F2C">
            <w:pPr>
              <w:pStyle w:val="BodyText"/>
              <w:keepNext/>
              <w:spacing w:after="120" w:line="240" w:lineRule="auto"/>
              <w:rPr>
                <w:b/>
                <w:sz w:val="17"/>
                <w:szCs w:val="17"/>
              </w:rPr>
            </w:pPr>
          </w:p>
        </w:tc>
        <w:tc>
          <w:tcPr>
            <w:tcW w:w="1843" w:type="dxa"/>
          </w:tcPr>
          <w:p w:rsidR="00687B2F" w:rsidRPr="00687B2F" w:rsidRDefault="00687B2F" w:rsidP="00BA3F2C">
            <w:pPr>
              <w:pStyle w:val="BodyText"/>
              <w:keepNext/>
              <w:spacing w:after="120" w:line="240" w:lineRule="auto"/>
              <w:rPr>
                <w:b/>
                <w:sz w:val="17"/>
                <w:szCs w:val="17"/>
              </w:rPr>
            </w:pPr>
          </w:p>
        </w:tc>
      </w:tr>
      <w:tr w:rsidR="00687B2F" w:rsidRPr="00687B2F" w:rsidTr="008F6E4C">
        <w:tc>
          <w:tcPr>
            <w:tcW w:w="5920" w:type="dxa"/>
          </w:tcPr>
          <w:p w:rsidR="00687B2F" w:rsidRPr="00687B2F" w:rsidRDefault="00687B2F" w:rsidP="00FB1E99">
            <w:pPr>
              <w:pStyle w:val="BodyText"/>
              <w:keepNext/>
              <w:spacing w:before="40" w:after="40" w:line="240" w:lineRule="auto"/>
              <w:rPr>
                <w:sz w:val="17"/>
                <w:szCs w:val="17"/>
              </w:rPr>
            </w:pPr>
            <w:r w:rsidRPr="00687B2F">
              <w:rPr>
                <w:sz w:val="17"/>
                <w:szCs w:val="17"/>
              </w:rPr>
              <w:t>Objective 1</w:t>
            </w:r>
            <w:r w:rsidR="00277DB8">
              <w:rPr>
                <w:sz w:val="17"/>
                <w:szCs w:val="17"/>
              </w:rPr>
              <w:t xml:space="preserve"> – Improved social and economic indicators in lagging regions</w:t>
            </w:r>
          </w:p>
        </w:tc>
        <w:tc>
          <w:tcPr>
            <w:tcW w:w="992" w:type="dxa"/>
          </w:tcPr>
          <w:p w:rsidR="00687B2F" w:rsidRPr="00687B2F" w:rsidRDefault="00277DB8" w:rsidP="00FB1E99">
            <w:pPr>
              <w:pStyle w:val="BodyText"/>
              <w:keepNext/>
              <w:spacing w:before="40" w:after="40" w:line="240" w:lineRule="auto"/>
              <w:rPr>
                <w:sz w:val="17"/>
                <w:szCs w:val="17"/>
              </w:rPr>
            </w:pPr>
            <w:r>
              <w:rPr>
                <w:sz w:val="17"/>
                <w:szCs w:val="17"/>
              </w:rPr>
              <w:t>21.3</w:t>
            </w:r>
          </w:p>
        </w:tc>
        <w:tc>
          <w:tcPr>
            <w:tcW w:w="1843" w:type="dxa"/>
          </w:tcPr>
          <w:p w:rsidR="00687B2F" w:rsidRPr="00687B2F" w:rsidRDefault="002E5070" w:rsidP="00FB1E99">
            <w:pPr>
              <w:pStyle w:val="BodyText"/>
              <w:keepNext/>
              <w:spacing w:before="40" w:after="40" w:line="240" w:lineRule="auto"/>
              <w:rPr>
                <w:sz w:val="17"/>
                <w:szCs w:val="17"/>
              </w:rPr>
            </w:pPr>
            <w:r>
              <w:rPr>
                <w:sz w:val="17"/>
                <w:szCs w:val="17"/>
              </w:rPr>
              <w:t>49</w:t>
            </w:r>
          </w:p>
        </w:tc>
      </w:tr>
      <w:tr w:rsidR="00687B2F" w:rsidRPr="00687B2F" w:rsidTr="008F6E4C">
        <w:tc>
          <w:tcPr>
            <w:tcW w:w="5920" w:type="dxa"/>
          </w:tcPr>
          <w:p w:rsidR="00687B2F" w:rsidRPr="00687B2F" w:rsidRDefault="00687B2F" w:rsidP="00FB1E99">
            <w:pPr>
              <w:pStyle w:val="BodyText"/>
              <w:keepNext/>
              <w:spacing w:before="40" w:after="40" w:line="240" w:lineRule="auto"/>
              <w:rPr>
                <w:sz w:val="17"/>
                <w:szCs w:val="17"/>
              </w:rPr>
            </w:pPr>
            <w:r w:rsidRPr="00687B2F">
              <w:rPr>
                <w:sz w:val="17"/>
                <w:szCs w:val="17"/>
              </w:rPr>
              <w:t>Objective 2</w:t>
            </w:r>
            <w:r w:rsidR="00277DB8">
              <w:rPr>
                <w:sz w:val="17"/>
                <w:szCs w:val="17"/>
              </w:rPr>
              <w:t xml:space="preserve"> – Policies and programs implemented at national and sub-national levels that aim for inclusive growth and improved service delivery</w:t>
            </w:r>
          </w:p>
        </w:tc>
        <w:tc>
          <w:tcPr>
            <w:tcW w:w="992" w:type="dxa"/>
          </w:tcPr>
          <w:p w:rsidR="00687B2F" w:rsidRPr="00687B2F" w:rsidRDefault="00277DB8" w:rsidP="00FB1E99">
            <w:pPr>
              <w:pStyle w:val="BodyText"/>
              <w:keepNext/>
              <w:spacing w:before="40" w:after="40" w:line="240" w:lineRule="auto"/>
              <w:rPr>
                <w:sz w:val="17"/>
                <w:szCs w:val="17"/>
              </w:rPr>
            </w:pPr>
            <w:r>
              <w:rPr>
                <w:sz w:val="17"/>
                <w:szCs w:val="17"/>
              </w:rPr>
              <w:t>11.5</w:t>
            </w:r>
          </w:p>
        </w:tc>
        <w:tc>
          <w:tcPr>
            <w:tcW w:w="1843" w:type="dxa"/>
          </w:tcPr>
          <w:p w:rsidR="00687B2F" w:rsidRPr="00687B2F" w:rsidRDefault="002E5070" w:rsidP="00FB1E99">
            <w:pPr>
              <w:pStyle w:val="BodyText"/>
              <w:keepNext/>
              <w:spacing w:before="40" w:after="40" w:line="240" w:lineRule="auto"/>
              <w:rPr>
                <w:sz w:val="17"/>
                <w:szCs w:val="17"/>
              </w:rPr>
            </w:pPr>
            <w:r>
              <w:rPr>
                <w:sz w:val="17"/>
                <w:szCs w:val="17"/>
              </w:rPr>
              <w:t>26</w:t>
            </w:r>
          </w:p>
        </w:tc>
      </w:tr>
      <w:tr w:rsidR="00687B2F" w:rsidRPr="00687B2F" w:rsidTr="008F6E4C">
        <w:tc>
          <w:tcPr>
            <w:tcW w:w="5920" w:type="dxa"/>
          </w:tcPr>
          <w:p w:rsidR="00687B2F" w:rsidRPr="00687B2F" w:rsidRDefault="00687B2F" w:rsidP="00BA3F2C">
            <w:pPr>
              <w:pStyle w:val="BodyText"/>
              <w:keepNext/>
              <w:spacing w:before="80" w:line="240" w:lineRule="auto"/>
              <w:rPr>
                <w:b/>
                <w:sz w:val="17"/>
                <w:szCs w:val="17"/>
              </w:rPr>
            </w:pPr>
            <w:r w:rsidRPr="00687B2F">
              <w:rPr>
                <w:b/>
                <w:sz w:val="17"/>
                <w:szCs w:val="17"/>
              </w:rPr>
              <w:t>Sub-Total Bilateral</w:t>
            </w:r>
          </w:p>
        </w:tc>
        <w:tc>
          <w:tcPr>
            <w:tcW w:w="992" w:type="dxa"/>
          </w:tcPr>
          <w:p w:rsidR="00687B2F" w:rsidRPr="00687B2F" w:rsidRDefault="00277DB8" w:rsidP="00BA3F2C">
            <w:pPr>
              <w:pStyle w:val="BodyText"/>
              <w:keepNext/>
              <w:spacing w:before="80" w:line="240" w:lineRule="auto"/>
              <w:rPr>
                <w:sz w:val="17"/>
                <w:szCs w:val="17"/>
              </w:rPr>
            </w:pPr>
            <w:r>
              <w:rPr>
                <w:sz w:val="17"/>
                <w:szCs w:val="17"/>
              </w:rPr>
              <w:t>32.8</w:t>
            </w:r>
          </w:p>
        </w:tc>
        <w:tc>
          <w:tcPr>
            <w:tcW w:w="1843" w:type="dxa"/>
          </w:tcPr>
          <w:p w:rsidR="00687B2F" w:rsidRPr="00687B2F" w:rsidRDefault="00687B2F" w:rsidP="00BA3F2C">
            <w:pPr>
              <w:pStyle w:val="BodyText"/>
              <w:keepNext/>
              <w:spacing w:before="80" w:line="240" w:lineRule="auto"/>
              <w:rPr>
                <w:sz w:val="17"/>
                <w:szCs w:val="17"/>
              </w:rPr>
            </w:pPr>
          </w:p>
        </w:tc>
      </w:tr>
      <w:tr w:rsidR="00687B2F" w:rsidRPr="00687B2F" w:rsidTr="008F6E4C">
        <w:tc>
          <w:tcPr>
            <w:tcW w:w="5920" w:type="dxa"/>
          </w:tcPr>
          <w:p w:rsidR="00687B2F" w:rsidRPr="00687B2F" w:rsidRDefault="00687B2F" w:rsidP="00FB1E99">
            <w:pPr>
              <w:pStyle w:val="BodyText"/>
              <w:keepNext/>
              <w:spacing w:before="40" w:after="40" w:line="240" w:lineRule="auto"/>
              <w:rPr>
                <w:sz w:val="17"/>
                <w:szCs w:val="17"/>
              </w:rPr>
            </w:pPr>
            <w:r w:rsidRPr="00687B2F">
              <w:rPr>
                <w:sz w:val="17"/>
                <w:szCs w:val="17"/>
              </w:rPr>
              <w:t>Regional and Global</w:t>
            </w:r>
          </w:p>
        </w:tc>
        <w:tc>
          <w:tcPr>
            <w:tcW w:w="992" w:type="dxa"/>
          </w:tcPr>
          <w:p w:rsidR="00687B2F" w:rsidRPr="00687B2F" w:rsidRDefault="00277DB8" w:rsidP="00FB1E99">
            <w:pPr>
              <w:pStyle w:val="BodyText"/>
              <w:keepNext/>
              <w:spacing w:before="40" w:after="40" w:line="240" w:lineRule="auto"/>
              <w:rPr>
                <w:sz w:val="17"/>
                <w:szCs w:val="17"/>
              </w:rPr>
            </w:pPr>
            <w:r>
              <w:rPr>
                <w:sz w:val="17"/>
                <w:szCs w:val="17"/>
              </w:rPr>
              <w:t>7.8</w:t>
            </w:r>
          </w:p>
        </w:tc>
        <w:tc>
          <w:tcPr>
            <w:tcW w:w="1843" w:type="dxa"/>
          </w:tcPr>
          <w:p w:rsidR="00687B2F" w:rsidRPr="00687B2F" w:rsidRDefault="002E5070" w:rsidP="00FB1E99">
            <w:pPr>
              <w:pStyle w:val="BodyText"/>
              <w:keepNext/>
              <w:spacing w:before="40" w:after="40" w:line="240" w:lineRule="auto"/>
              <w:rPr>
                <w:sz w:val="17"/>
                <w:szCs w:val="17"/>
              </w:rPr>
            </w:pPr>
            <w:r>
              <w:rPr>
                <w:sz w:val="17"/>
                <w:szCs w:val="17"/>
              </w:rPr>
              <w:t>18</w:t>
            </w:r>
          </w:p>
        </w:tc>
      </w:tr>
      <w:tr w:rsidR="00687B2F" w:rsidRPr="00687B2F" w:rsidTr="008F6E4C">
        <w:tc>
          <w:tcPr>
            <w:tcW w:w="5920" w:type="dxa"/>
          </w:tcPr>
          <w:p w:rsidR="00687B2F" w:rsidRPr="00687B2F" w:rsidRDefault="00687B2F" w:rsidP="00FB1E99">
            <w:pPr>
              <w:pStyle w:val="BodyText"/>
              <w:keepNext/>
              <w:spacing w:before="40" w:after="40" w:line="240" w:lineRule="auto"/>
              <w:rPr>
                <w:sz w:val="17"/>
                <w:szCs w:val="17"/>
              </w:rPr>
            </w:pPr>
            <w:r w:rsidRPr="00687B2F">
              <w:rPr>
                <w:sz w:val="17"/>
                <w:szCs w:val="17"/>
              </w:rPr>
              <w:t>Other Government Departments</w:t>
            </w:r>
          </w:p>
        </w:tc>
        <w:tc>
          <w:tcPr>
            <w:tcW w:w="992" w:type="dxa"/>
          </w:tcPr>
          <w:p w:rsidR="00687B2F" w:rsidRPr="00687B2F" w:rsidRDefault="00277DB8" w:rsidP="00FB1E99">
            <w:pPr>
              <w:pStyle w:val="BodyText"/>
              <w:keepNext/>
              <w:spacing w:before="40" w:after="40" w:line="240" w:lineRule="auto"/>
              <w:rPr>
                <w:sz w:val="17"/>
                <w:szCs w:val="17"/>
              </w:rPr>
            </w:pPr>
            <w:r>
              <w:rPr>
                <w:sz w:val="17"/>
                <w:szCs w:val="17"/>
              </w:rPr>
              <w:t>2.9</w:t>
            </w:r>
          </w:p>
        </w:tc>
        <w:tc>
          <w:tcPr>
            <w:tcW w:w="1843" w:type="dxa"/>
          </w:tcPr>
          <w:p w:rsidR="00687B2F" w:rsidRPr="00687B2F" w:rsidRDefault="002E5070" w:rsidP="00FB1E99">
            <w:pPr>
              <w:pStyle w:val="BodyText"/>
              <w:keepNext/>
              <w:spacing w:before="40" w:after="40" w:line="240" w:lineRule="auto"/>
              <w:rPr>
                <w:sz w:val="17"/>
                <w:szCs w:val="17"/>
              </w:rPr>
            </w:pPr>
            <w:r>
              <w:rPr>
                <w:sz w:val="17"/>
                <w:szCs w:val="17"/>
              </w:rPr>
              <w:t xml:space="preserve">  7</w:t>
            </w:r>
          </w:p>
        </w:tc>
      </w:tr>
      <w:tr w:rsidR="00687B2F" w:rsidRPr="00687B2F" w:rsidTr="008F6E4C">
        <w:tc>
          <w:tcPr>
            <w:tcW w:w="5920" w:type="dxa"/>
          </w:tcPr>
          <w:p w:rsidR="00687B2F" w:rsidRPr="00687B2F" w:rsidRDefault="00687B2F" w:rsidP="00687B2F">
            <w:pPr>
              <w:pStyle w:val="BodyText"/>
              <w:keepNext/>
              <w:rPr>
                <w:b/>
                <w:sz w:val="17"/>
                <w:szCs w:val="17"/>
              </w:rPr>
            </w:pPr>
            <w:r w:rsidRPr="00687B2F">
              <w:rPr>
                <w:b/>
                <w:sz w:val="17"/>
                <w:szCs w:val="17"/>
              </w:rPr>
              <w:t>Total</w:t>
            </w:r>
            <w:r w:rsidR="002C5722">
              <w:rPr>
                <w:b/>
                <w:sz w:val="17"/>
                <w:szCs w:val="17"/>
              </w:rPr>
              <w:t xml:space="preserve"> ODA Expenditure</w:t>
            </w:r>
          </w:p>
        </w:tc>
        <w:tc>
          <w:tcPr>
            <w:tcW w:w="992" w:type="dxa"/>
          </w:tcPr>
          <w:p w:rsidR="00687B2F" w:rsidRPr="00687B2F" w:rsidRDefault="00277DB8" w:rsidP="00687B2F">
            <w:pPr>
              <w:pStyle w:val="BodyText"/>
              <w:keepNext/>
              <w:rPr>
                <w:sz w:val="17"/>
                <w:szCs w:val="17"/>
              </w:rPr>
            </w:pPr>
            <w:r>
              <w:rPr>
                <w:sz w:val="17"/>
                <w:szCs w:val="17"/>
              </w:rPr>
              <w:t>43.5</w:t>
            </w:r>
          </w:p>
        </w:tc>
        <w:tc>
          <w:tcPr>
            <w:tcW w:w="1843" w:type="dxa"/>
          </w:tcPr>
          <w:p w:rsidR="00687B2F" w:rsidRPr="00687B2F" w:rsidRDefault="00687B2F" w:rsidP="00687B2F">
            <w:pPr>
              <w:pStyle w:val="BodyText"/>
              <w:keepNext/>
              <w:rPr>
                <w:sz w:val="17"/>
                <w:szCs w:val="17"/>
              </w:rPr>
            </w:pPr>
          </w:p>
        </w:tc>
      </w:tr>
    </w:tbl>
    <w:p w:rsidR="000D733F" w:rsidRPr="00511A0F" w:rsidRDefault="00511A0F" w:rsidP="00511A0F">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134906" w:rsidRDefault="000A79CA" w:rsidP="000A79CA">
      <w:pPr>
        <w:pStyle w:val="ListBullet"/>
        <w:numPr>
          <w:ilvl w:val="0"/>
          <w:numId w:val="0"/>
        </w:numPr>
        <w:tabs>
          <w:tab w:val="clear" w:pos="284"/>
        </w:tabs>
      </w:pPr>
      <w:r>
        <w:t>P</w:t>
      </w:r>
      <w:r w:rsidR="00277DB8" w:rsidRPr="00277DB8">
        <w:t xml:space="preserve">rogress </w:t>
      </w:r>
      <w:r>
        <w:t>toward</w:t>
      </w:r>
      <w:r w:rsidR="00277DB8" w:rsidRPr="00277DB8">
        <w:t xml:space="preserve"> </w:t>
      </w:r>
      <w:r>
        <w:t xml:space="preserve">the Sri Lanka </w:t>
      </w:r>
      <w:r w:rsidR="00277DB8" w:rsidRPr="00277DB8">
        <w:t>program</w:t>
      </w:r>
      <w:r>
        <w:t>’s</w:t>
      </w:r>
      <w:r w:rsidR="00277DB8" w:rsidRPr="00277DB8">
        <w:t xml:space="preserve"> objectives </w:t>
      </w:r>
      <w:r>
        <w:t>was strong</w:t>
      </w:r>
      <w:r w:rsidR="00134906">
        <w:t>. B</w:t>
      </w:r>
      <w:r w:rsidR="00A7428D">
        <w:t>oth objectives</w:t>
      </w:r>
      <w:r w:rsidR="00134906" w:rsidRPr="00134906">
        <w:t xml:space="preserve"> </w:t>
      </w:r>
      <w:r w:rsidR="00134906">
        <w:t xml:space="preserve">were met, as were </w:t>
      </w:r>
      <w:r w:rsidR="00A7428D">
        <w:t xml:space="preserve">the </w:t>
      </w:r>
      <w:r w:rsidR="00134906">
        <w:t>majority</w:t>
      </w:r>
      <w:r w:rsidR="00B83ED5">
        <w:t xml:space="preserve"> of </w:t>
      </w:r>
      <w:r w:rsidR="00A7428D">
        <w:t xml:space="preserve">indicative </w:t>
      </w:r>
      <w:r w:rsidR="00B83ED5">
        <w:t>targets related to the 2012-16 strategy</w:t>
      </w:r>
      <w:r w:rsidR="00277DB8" w:rsidRPr="00277DB8">
        <w:t>.</w:t>
      </w:r>
      <w:r w:rsidR="00A86DDB">
        <w:t xml:space="preserve"> </w:t>
      </w:r>
      <w:r w:rsidR="00DA76C8">
        <w:t>Evidence for this assessment is drawn from investment-level Aid Quality Checks, monitoring and evaluation material and external sources. Recent progress</w:t>
      </w:r>
      <w:r>
        <w:t xml:space="preserve"> reflects the maturity of many of the program’s investments, wit</w:t>
      </w:r>
      <w:r w:rsidR="00EF0488">
        <w:t>h a significant number either finishing in 2014-15</w:t>
      </w:r>
      <w:r w:rsidR="00134906">
        <w:t>,</w:t>
      </w:r>
      <w:r w:rsidR="00EF0488">
        <w:t xml:space="preserve"> or entering their final phase</w:t>
      </w:r>
      <w:r>
        <w:t xml:space="preserve">. </w:t>
      </w:r>
    </w:p>
    <w:p w:rsidR="000D733F" w:rsidRPr="00D13CEF" w:rsidRDefault="00D054D8" w:rsidP="000A79CA">
      <w:pPr>
        <w:pStyle w:val="ListBullet"/>
        <w:numPr>
          <w:ilvl w:val="0"/>
          <w:numId w:val="0"/>
        </w:numPr>
        <w:tabs>
          <w:tab w:val="clear" w:pos="284"/>
        </w:tabs>
      </w:pPr>
      <w:r>
        <w:t>This progress</w:t>
      </w:r>
      <w:r w:rsidR="000A79CA">
        <w:t xml:space="preserve"> is a testament</w:t>
      </w:r>
      <w:r w:rsidR="006B3198">
        <w:t xml:space="preserve"> to the work of the program’s managers to adapt and refine </w:t>
      </w:r>
      <w:r w:rsidR="00B83ED5">
        <w:t>activitie</w:t>
      </w:r>
      <w:r w:rsidR="00134906">
        <w:t xml:space="preserve">s in response to </w:t>
      </w:r>
      <w:r w:rsidR="006B3198">
        <w:t>performance evidence</w:t>
      </w:r>
      <w:r w:rsidR="00B83ED5">
        <w:t xml:space="preserve"> </w:t>
      </w:r>
      <w:r w:rsidR="00DA76C8">
        <w:t xml:space="preserve">and a </w:t>
      </w:r>
      <w:r w:rsidR="00134906">
        <w:t>rapidly evolving</w:t>
      </w:r>
      <w:r w:rsidR="00B83ED5">
        <w:t xml:space="preserve"> </w:t>
      </w:r>
      <w:r w:rsidR="00C75B02">
        <w:t>country</w:t>
      </w:r>
      <w:r w:rsidR="00B83ED5">
        <w:t xml:space="preserve"> context</w:t>
      </w:r>
      <w:r w:rsidR="006B3198">
        <w:t>.</w:t>
      </w:r>
      <w:r w:rsidR="003F53D6">
        <w:t xml:space="preserve"> </w:t>
      </w:r>
      <w:r w:rsidR="00674F92">
        <w:t xml:space="preserve">In a </w:t>
      </w:r>
      <w:r w:rsidR="00C75B02">
        <w:t xml:space="preserve">changing political </w:t>
      </w:r>
      <w:r w:rsidR="00C75B02">
        <w:lastRenderedPageBreak/>
        <w:t>environment</w:t>
      </w:r>
      <w:r w:rsidR="00A7428D">
        <w:t xml:space="preserve">, Australia was able to </w:t>
      </w:r>
      <w:r w:rsidR="00C75B02">
        <w:t xml:space="preserve">continue to </w:t>
      </w:r>
      <w:r w:rsidR="00A7428D">
        <w:t xml:space="preserve">influence policy reform and support more responsive public institutions in </w:t>
      </w:r>
      <w:r w:rsidR="00E4542F">
        <w:t>several</w:t>
      </w:r>
      <w:r w:rsidR="00A7428D">
        <w:t xml:space="preserve"> instances, especially at the sub-national level.</w:t>
      </w:r>
      <w:r w:rsidR="00992C57">
        <w:t xml:space="preserve"> </w:t>
      </w:r>
    </w:p>
    <w:p w:rsidR="000D733F" w:rsidRDefault="000D733F" w:rsidP="005901D2">
      <w:pPr>
        <w:pStyle w:val="Caption"/>
      </w:pPr>
      <w:r>
        <w:t xml:space="preserve">Table </w:t>
      </w:r>
      <w:r w:rsidR="00373BD6">
        <w:fldChar w:fldCharType="begin"/>
      </w:r>
      <w:r w:rsidR="00373BD6">
        <w:instrText xml:space="preserve"> SEQ Table \* ARABIC </w:instrText>
      </w:r>
      <w:r w:rsidR="00373BD6">
        <w:fldChar w:fldCharType="separate"/>
      </w:r>
      <w:r w:rsidR="004935E9">
        <w:rPr>
          <w:noProof/>
        </w:rPr>
        <w:t>2</w:t>
      </w:r>
      <w:r w:rsidR="00373BD6">
        <w:rPr>
          <w:noProof/>
        </w:rPr>
        <w:fldChar w:fldCharType="end"/>
      </w:r>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640"/>
        <w:gridCol w:w="1092"/>
        <w:gridCol w:w="452"/>
        <w:gridCol w:w="1160"/>
      </w:tblGrid>
      <w:tr w:rsidR="000D733F" w:rsidRPr="0019341B" w:rsidTr="00277DB8">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43A332AA" wp14:editId="66DB7B4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0D733F">
            <w:pPr>
              <w:pStyle w:val="TableTextColumnHeading"/>
            </w:pPr>
            <w:r>
              <w:t>Previous Rating</w:t>
            </w:r>
          </w:p>
        </w:tc>
        <w:tc>
          <w:tcPr>
            <w:tcW w:w="398" w:type="dxa"/>
          </w:tcPr>
          <w:p w:rsidR="000D733F" w:rsidRDefault="000D733F" w:rsidP="000D733F">
            <w:pPr>
              <w:pStyle w:val="TableTextColumnHeading"/>
            </w:pPr>
          </w:p>
        </w:tc>
        <w:tc>
          <w:tcPr>
            <w:tcW w:w="1049" w:type="dxa"/>
          </w:tcPr>
          <w:p w:rsidR="000D733F" w:rsidRPr="0019341B" w:rsidRDefault="004F4630" w:rsidP="000D733F">
            <w:pPr>
              <w:pStyle w:val="TableTextColumnHeading"/>
            </w:pPr>
            <w:r>
              <w:t>Current Rating</w:t>
            </w:r>
          </w:p>
        </w:tc>
      </w:tr>
      <w:tr w:rsidR="00277DB8" w:rsidRPr="009D53C4" w:rsidTr="00277DB8">
        <w:trPr>
          <w:cnfStyle w:val="000000010000" w:firstRow="0" w:lastRow="0" w:firstColumn="0" w:lastColumn="0" w:oddVBand="0" w:evenVBand="0" w:oddHBand="0" w:evenHBand="1" w:firstRowFirstColumn="0" w:firstRowLastColumn="0" w:lastRowFirstColumn="0" w:lastRowLastColumn="0"/>
        </w:trPr>
        <w:tc>
          <w:tcPr>
            <w:tcW w:w="6192" w:type="dxa"/>
          </w:tcPr>
          <w:p w:rsidR="00277DB8" w:rsidRPr="0019341B" w:rsidRDefault="00277DB8" w:rsidP="000D733F">
            <w:pPr>
              <w:pStyle w:val="TableTextEntries"/>
            </w:pPr>
            <w:r>
              <w:t xml:space="preserve">Objective 1 - </w:t>
            </w:r>
            <w:r w:rsidRPr="00277DB8">
              <w:t>Improved social and economic indicators in lagging regions</w:t>
            </w:r>
          </w:p>
        </w:tc>
        <w:tc>
          <w:tcPr>
            <w:tcW w:w="998" w:type="dxa"/>
            <w:shd w:val="clear" w:color="auto" w:fill="E36C0A"/>
            <w:noWrap/>
          </w:tcPr>
          <w:p w:rsidR="00277DB8" w:rsidRPr="00443639" w:rsidRDefault="00277DB8" w:rsidP="00277DB8">
            <w:pPr>
              <w:pStyle w:val="TableTextEntries"/>
              <w:jc w:val="center"/>
              <w:rPr>
                <w:color w:val="FFFFFF" w:themeColor="background1"/>
              </w:rPr>
            </w:pPr>
            <w:r w:rsidRPr="00443639">
              <w:rPr>
                <w:color w:val="FFFFFF" w:themeColor="background1"/>
              </w:rPr>
              <w:t>Amber</w:t>
            </w:r>
          </w:p>
        </w:tc>
        <w:tc>
          <w:tcPr>
            <w:tcW w:w="398" w:type="dxa"/>
          </w:tcPr>
          <w:p w:rsidR="00277DB8" w:rsidRPr="00443639" w:rsidRDefault="00277DB8" w:rsidP="000D733F">
            <w:pPr>
              <w:pStyle w:val="TableTextEntries"/>
              <w:jc w:val="center"/>
              <w:rPr>
                <w:color w:val="FFFFFF" w:themeColor="background1"/>
              </w:rPr>
            </w:pPr>
          </w:p>
        </w:tc>
        <w:tc>
          <w:tcPr>
            <w:tcW w:w="1049" w:type="dxa"/>
            <w:shd w:val="clear" w:color="auto" w:fill="72AF2F"/>
            <w:noWrap/>
          </w:tcPr>
          <w:p w:rsidR="00277DB8" w:rsidRPr="00443639" w:rsidRDefault="00277DB8" w:rsidP="000D733F">
            <w:pPr>
              <w:pStyle w:val="TableTextEntries"/>
              <w:jc w:val="center"/>
              <w:rPr>
                <w:color w:val="FFFFFF" w:themeColor="background1"/>
              </w:rPr>
            </w:pPr>
            <w:r>
              <w:rPr>
                <w:color w:val="FFFFFF" w:themeColor="background1"/>
              </w:rPr>
              <w:t>Green</w:t>
            </w:r>
          </w:p>
        </w:tc>
      </w:tr>
      <w:tr w:rsidR="000D733F" w:rsidRPr="009D53C4" w:rsidTr="00277DB8">
        <w:trPr>
          <w:cnfStyle w:val="000000010000" w:firstRow="0" w:lastRow="0" w:firstColumn="0" w:lastColumn="0" w:oddVBand="0" w:evenVBand="0" w:oddHBand="0" w:evenHBand="1" w:firstRowFirstColumn="0" w:firstRowLastColumn="0" w:lastRowFirstColumn="0" w:lastRowLastColumn="0"/>
        </w:trPr>
        <w:tc>
          <w:tcPr>
            <w:tcW w:w="6192" w:type="dxa"/>
          </w:tcPr>
          <w:p w:rsidR="000D733F" w:rsidRPr="0019341B" w:rsidRDefault="000D733F" w:rsidP="000D733F">
            <w:pPr>
              <w:pStyle w:val="TableTextEntries"/>
            </w:pPr>
            <w:r>
              <w:t>Objective 2</w:t>
            </w:r>
            <w:r w:rsidR="00277DB8">
              <w:t xml:space="preserve"> - </w:t>
            </w:r>
            <w:r w:rsidR="00277DB8" w:rsidRPr="00277DB8">
              <w:t>Policies and programs implemented at national and sub-national levels that aim for inclusive growth and improved service delivery</w:t>
            </w:r>
          </w:p>
        </w:tc>
        <w:tc>
          <w:tcPr>
            <w:tcW w:w="998" w:type="dxa"/>
            <w:shd w:val="clear" w:color="auto" w:fill="72AF2F"/>
            <w:noWrap/>
          </w:tcPr>
          <w:p w:rsidR="000D733F" w:rsidRPr="00443639" w:rsidRDefault="00277DB8" w:rsidP="000D733F">
            <w:pPr>
              <w:pStyle w:val="TableTextEntries"/>
              <w:jc w:val="center"/>
              <w:rPr>
                <w:color w:val="FFFFFF" w:themeColor="background1"/>
              </w:rPr>
            </w:pPr>
            <w:r>
              <w:rPr>
                <w:color w:val="FFFFFF" w:themeColor="background1"/>
              </w:rPr>
              <w:t>Green</w:t>
            </w:r>
          </w:p>
        </w:tc>
        <w:tc>
          <w:tcPr>
            <w:tcW w:w="398" w:type="dxa"/>
          </w:tcPr>
          <w:p w:rsidR="000D733F" w:rsidRPr="00443639" w:rsidRDefault="000D733F" w:rsidP="000D733F">
            <w:pPr>
              <w:pStyle w:val="TableTextEntries"/>
              <w:jc w:val="center"/>
              <w:rPr>
                <w:color w:val="FFFFFF" w:themeColor="background1"/>
              </w:rPr>
            </w:pPr>
          </w:p>
        </w:tc>
        <w:tc>
          <w:tcPr>
            <w:tcW w:w="1049" w:type="dxa"/>
            <w:shd w:val="clear" w:color="auto" w:fill="72AF2F"/>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Default="000D733F" w:rsidP="002E5070">
      <w:pPr>
        <w:pStyle w:val="Note"/>
        <w:spacing w:after="120"/>
      </w:pPr>
      <w:r>
        <w:t xml:space="preserve">Reporting period: </w:t>
      </w:r>
      <w:r w:rsidRPr="00180B19">
        <w:t xml:space="preserve"> </w:t>
      </w:r>
      <w:r w:rsidR="002E5070">
        <w:t>2014-15</w:t>
      </w:r>
    </w:p>
    <w:p w:rsidR="000D733F" w:rsidRDefault="000D733F" w:rsidP="002E5070">
      <w:pPr>
        <w:pStyle w:val="Heading3"/>
      </w:pPr>
      <w:r w:rsidRPr="00C57923">
        <w:t xml:space="preserve">Objective </w:t>
      </w:r>
      <w:r w:rsidR="00CF046A">
        <w:t>1</w:t>
      </w:r>
      <w:r w:rsidR="00277DB8">
        <w:t xml:space="preserve">: </w:t>
      </w:r>
      <w:r w:rsidR="00277DB8" w:rsidRPr="00277DB8">
        <w:t>Improved social and economic indicators in lagging regions</w:t>
      </w:r>
    </w:p>
    <w:p w:rsidR="00D610F1" w:rsidRDefault="00E861AC" w:rsidP="00E861AC">
      <w:pPr>
        <w:pStyle w:val="ListBullet"/>
        <w:numPr>
          <w:ilvl w:val="0"/>
          <w:numId w:val="0"/>
        </w:numPr>
        <w:tabs>
          <w:tab w:val="clear" w:pos="284"/>
        </w:tabs>
      </w:pPr>
      <w:r>
        <w:rPr>
          <w:i/>
        </w:rPr>
        <w:t>This</w:t>
      </w:r>
      <w:r w:rsidR="00BA3F2C">
        <w:rPr>
          <w:i/>
        </w:rPr>
        <w:t xml:space="preserve"> objective improved </w:t>
      </w:r>
      <w:r w:rsidR="00674F92">
        <w:rPr>
          <w:i/>
        </w:rPr>
        <w:t xml:space="preserve">from amber </w:t>
      </w:r>
      <w:r w:rsidR="00BA3F2C">
        <w:rPr>
          <w:i/>
        </w:rPr>
        <w:t>to</w:t>
      </w:r>
      <w:r w:rsidR="00E93762" w:rsidRPr="00625A52">
        <w:rPr>
          <w:i/>
        </w:rPr>
        <w:t xml:space="preserve"> </w:t>
      </w:r>
      <w:r>
        <w:rPr>
          <w:i/>
        </w:rPr>
        <w:t>green</w:t>
      </w:r>
      <w:r w:rsidR="00674F92">
        <w:rPr>
          <w:i/>
        </w:rPr>
        <w:t xml:space="preserve"> as</w:t>
      </w:r>
      <w:r w:rsidR="00E93762" w:rsidRPr="00625A52">
        <w:rPr>
          <w:i/>
        </w:rPr>
        <w:t xml:space="preserve"> </w:t>
      </w:r>
      <w:r w:rsidR="00674F92">
        <w:rPr>
          <w:i/>
        </w:rPr>
        <w:t>p</w:t>
      </w:r>
      <w:r w:rsidR="00E93762" w:rsidRPr="00625A52">
        <w:rPr>
          <w:i/>
        </w:rPr>
        <w:t xml:space="preserve">rogress </w:t>
      </w:r>
      <w:r w:rsidR="00A7428D">
        <w:rPr>
          <w:i/>
        </w:rPr>
        <w:t>met expectations</w:t>
      </w:r>
      <w:r w:rsidR="00BA3F2C">
        <w:rPr>
          <w:i/>
        </w:rPr>
        <w:t xml:space="preserve"> following the release</w:t>
      </w:r>
      <w:r w:rsidR="00674F92">
        <w:rPr>
          <w:i/>
        </w:rPr>
        <w:t xml:space="preserve"> –</w:t>
      </w:r>
      <w:r w:rsidR="00BA3F2C">
        <w:rPr>
          <w:i/>
        </w:rPr>
        <w:t xml:space="preserve"> after two years of delays</w:t>
      </w:r>
      <w:r w:rsidR="00674F92">
        <w:rPr>
          <w:i/>
        </w:rPr>
        <w:t xml:space="preserve"> –</w:t>
      </w:r>
      <w:r w:rsidR="00BA3F2C">
        <w:rPr>
          <w:i/>
        </w:rPr>
        <w:t xml:space="preserve"> of t</w:t>
      </w:r>
      <w:r w:rsidR="0048176C">
        <w:rPr>
          <w:i/>
        </w:rPr>
        <w:t>h</w:t>
      </w:r>
      <w:r w:rsidR="00A7428D">
        <w:rPr>
          <w:i/>
        </w:rPr>
        <w:t xml:space="preserve">e </w:t>
      </w:r>
      <w:r w:rsidR="0048176C">
        <w:rPr>
          <w:i/>
        </w:rPr>
        <w:t>final tranche of funds to the World Bank-led infrastructure program (NELSIP)</w:t>
      </w:r>
      <w:r w:rsidR="00BA3F2C">
        <w:rPr>
          <w:i/>
        </w:rPr>
        <w:t xml:space="preserve">. </w:t>
      </w:r>
      <w:r w:rsidR="00674F92">
        <w:rPr>
          <w:i/>
        </w:rPr>
        <w:t>S</w:t>
      </w:r>
      <w:r w:rsidR="00A7428D">
        <w:rPr>
          <w:i/>
        </w:rPr>
        <w:t>trong infrastructure and governance outcomes were observed.</w:t>
      </w:r>
      <w:r w:rsidR="00EF0488">
        <w:rPr>
          <w:i/>
        </w:rPr>
        <w:t xml:space="preserve"> Several</w:t>
      </w:r>
      <w:r w:rsidR="00906FC8">
        <w:rPr>
          <w:i/>
        </w:rPr>
        <w:t xml:space="preserve"> other</w:t>
      </w:r>
      <w:r w:rsidR="00EF0488">
        <w:rPr>
          <w:i/>
        </w:rPr>
        <w:t xml:space="preserve"> investments contribut</w:t>
      </w:r>
      <w:r w:rsidR="00674F92">
        <w:rPr>
          <w:i/>
        </w:rPr>
        <w:t>ing</w:t>
      </w:r>
      <w:r w:rsidR="00EF0488">
        <w:rPr>
          <w:i/>
        </w:rPr>
        <w:t xml:space="preserve"> to this objective finished in 2014-15 having met their project-level targets.</w:t>
      </w:r>
      <w:r w:rsidR="0048176C">
        <w:rPr>
          <w:i/>
        </w:rPr>
        <w:t xml:space="preserve"> </w:t>
      </w:r>
    </w:p>
    <w:p w:rsidR="00D7476A" w:rsidRDefault="00D7476A" w:rsidP="00E861AC">
      <w:pPr>
        <w:pStyle w:val="ListBullet"/>
        <w:numPr>
          <w:ilvl w:val="0"/>
          <w:numId w:val="0"/>
        </w:numPr>
        <w:tabs>
          <w:tab w:val="clear" w:pos="284"/>
        </w:tabs>
        <w:rPr>
          <w:lang w:eastAsia="zh-CN"/>
        </w:rPr>
      </w:pPr>
      <w:r>
        <w:rPr>
          <w:lang w:eastAsia="zh-CN"/>
        </w:rPr>
        <w:t>The p</w:t>
      </w:r>
      <w:r w:rsidR="00EE019C">
        <w:rPr>
          <w:lang w:eastAsia="zh-CN"/>
        </w:rPr>
        <w:t xml:space="preserve">rogram logic guiding this objective was </w:t>
      </w:r>
      <w:r w:rsidR="00AD5EC8">
        <w:rPr>
          <w:lang w:eastAsia="zh-CN"/>
        </w:rPr>
        <w:t>that</w:t>
      </w:r>
      <w:r w:rsidR="004A0684">
        <w:rPr>
          <w:lang w:eastAsia="zh-CN"/>
        </w:rPr>
        <w:t xml:space="preserve"> </w:t>
      </w:r>
      <w:r>
        <w:rPr>
          <w:lang w:eastAsia="zh-CN"/>
        </w:rPr>
        <w:t>for</w:t>
      </w:r>
      <w:r w:rsidR="00AD5EC8">
        <w:rPr>
          <w:lang w:eastAsia="zh-CN"/>
        </w:rPr>
        <w:t xml:space="preserve"> </w:t>
      </w:r>
      <w:r w:rsidR="00455651">
        <w:rPr>
          <w:lang w:eastAsia="zh-CN"/>
        </w:rPr>
        <w:t xml:space="preserve">Sri Lanka’s poorest </w:t>
      </w:r>
      <w:r w:rsidR="00030683">
        <w:rPr>
          <w:lang w:eastAsia="zh-CN"/>
        </w:rPr>
        <w:t>districts</w:t>
      </w:r>
      <w:r w:rsidR="008F6E4C">
        <w:rPr>
          <w:lang w:eastAsia="zh-CN"/>
        </w:rPr>
        <w:t xml:space="preserve"> –</w:t>
      </w:r>
      <w:r w:rsidR="00455651">
        <w:rPr>
          <w:lang w:eastAsia="zh-CN"/>
        </w:rPr>
        <w:t xml:space="preserve"> especially those</w:t>
      </w:r>
      <w:r w:rsidR="00030683">
        <w:rPr>
          <w:lang w:eastAsia="zh-CN"/>
        </w:rPr>
        <w:t xml:space="preserve"> affected by the civil conflict</w:t>
      </w:r>
      <w:r w:rsidR="008F6E4C">
        <w:rPr>
          <w:lang w:eastAsia="zh-CN"/>
        </w:rPr>
        <w:t xml:space="preserve"> –</w:t>
      </w:r>
      <w:r w:rsidR="00030683">
        <w:rPr>
          <w:lang w:eastAsia="zh-CN"/>
        </w:rPr>
        <w:t xml:space="preserve"> </w:t>
      </w:r>
      <w:r>
        <w:rPr>
          <w:lang w:eastAsia="zh-CN"/>
        </w:rPr>
        <w:t>to improve</w:t>
      </w:r>
      <w:r w:rsidR="004A0684">
        <w:rPr>
          <w:lang w:eastAsia="zh-CN"/>
        </w:rPr>
        <w:t xml:space="preserve"> important social and economic indicators,</w:t>
      </w:r>
      <w:r w:rsidR="00B911B6">
        <w:rPr>
          <w:lang w:eastAsia="zh-CN"/>
        </w:rPr>
        <w:t xml:space="preserve"> </w:t>
      </w:r>
      <w:r w:rsidR="00175553">
        <w:rPr>
          <w:lang w:eastAsia="zh-CN"/>
        </w:rPr>
        <w:t xml:space="preserve">Australia’s aid </w:t>
      </w:r>
      <w:r w:rsidR="004A0684">
        <w:rPr>
          <w:lang w:eastAsia="zh-CN"/>
        </w:rPr>
        <w:t xml:space="preserve">investments </w:t>
      </w:r>
      <w:r w:rsidR="002E5070">
        <w:rPr>
          <w:lang w:eastAsia="zh-CN"/>
        </w:rPr>
        <w:t>needed to</w:t>
      </w:r>
      <w:r w:rsidR="00030683">
        <w:rPr>
          <w:lang w:eastAsia="zh-CN"/>
        </w:rPr>
        <w:t xml:space="preserve"> </w:t>
      </w:r>
      <w:r w:rsidR="002B6BE4">
        <w:rPr>
          <w:lang w:eastAsia="zh-CN"/>
        </w:rPr>
        <w:t>focus</w:t>
      </w:r>
      <w:r w:rsidR="00922535">
        <w:rPr>
          <w:lang w:eastAsia="zh-CN"/>
        </w:rPr>
        <w:t xml:space="preserve"> on</w:t>
      </w:r>
      <w:r w:rsidR="00030683">
        <w:rPr>
          <w:lang w:eastAsia="zh-CN"/>
        </w:rPr>
        <w:t xml:space="preserve"> </w:t>
      </w:r>
      <w:r w:rsidR="00AD5EC8">
        <w:rPr>
          <w:lang w:eastAsia="zh-CN"/>
        </w:rPr>
        <w:t>health and education access and quality</w:t>
      </w:r>
      <w:r>
        <w:rPr>
          <w:lang w:eastAsia="zh-CN"/>
        </w:rPr>
        <w:t>,</w:t>
      </w:r>
      <w:r w:rsidR="00B911B6">
        <w:rPr>
          <w:lang w:eastAsia="zh-CN"/>
        </w:rPr>
        <w:t xml:space="preserve"> and </w:t>
      </w:r>
      <w:r w:rsidR="00147E2C">
        <w:rPr>
          <w:lang w:eastAsia="zh-CN"/>
        </w:rPr>
        <w:t>facilitate</w:t>
      </w:r>
      <w:r w:rsidR="002B6BE4">
        <w:rPr>
          <w:lang w:eastAsia="zh-CN"/>
        </w:rPr>
        <w:t xml:space="preserve"> </w:t>
      </w:r>
      <w:r w:rsidR="00030683">
        <w:rPr>
          <w:lang w:eastAsia="zh-CN"/>
        </w:rPr>
        <w:t>sustainable economic development</w:t>
      </w:r>
      <w:r w:rsidR="00E628AA">
        <w:rPr>
          <w:lang w:eastAsia="zh-CN"/>
        </w:rPr>
        <w:t xml:space="preserve"> in key sectors</w:t>
      </w:r>
      <w:r w:rsidR="00922535" w:rsidRPr="00922535">
        <w:rPr>
          <w:lang w:eastAsia="zh-CN"/>
        </w:rPr>
        <w:t>.</w:t>
      </w:r>
      <w:r w:rsidR="00ED70A7">
        <w:rPr>
          <w:lang w:eastAsia="zh-CN"/>
        </w:rPr>
        <w:t xml:space="preserve"> </w:t>
      </w:r>
      <w:r w:rsidR="00EF0488">
        <w:rPr>
          <w:lang w:eastAsia="zh-CN"/>
        </w:rPr>
        <w:t xml:space="preserve">The performance assessment </w:t>
      </w:r>
      <w:r w:rsidR="00ED70A7">
        <w:rPr>
          <w:lang w:eastAsia="zh-CN"/>
        </w:rPr>
        <w:t>i</w:t>
      </w:r>
      <w:r w:rsidR="00EF0488">
        <w:rPr>
          <w:lang w:eastAsia="zh-CN"/>
        </w:rPr>
        <w:t>s base</w:t>
      </w:r>
      <w:r w:rsidR="00175553">
        <w:rPr>
          <w:lang w:eastAsia="zh-CN"/>
        </w:rPr>
        <w:t xml:space="preserve">d on progress toward the </w:t>
      </w:r>
      <w:r w:rsidR="00D054D8">
        <w:rPr>
          <w:lang w:eastAsia="zh-CN"/>
        </w:rPr>
        <w:t xml:space="preserve">indicative </w:t>
      </w:r>
      <w:r w:rsidR="00D610F1">
        <w:rPr>
          <w:lang w:eastAsia="zh-CN"/>
        </w:rPr>
        <w:t xml:space="preserve">targets </w:t>
      </w:r>
      <w:r w:rsidR="00175553">
        <w:rPr>
          <w:lang w:eastAsia="zh-CN"/>
        </w:rPr>
        <w:t>(</w:t>
      </w:r>
      <w:r w:rsidR="00175553" w:rsidRPr="00175553">
        <w:rPr>
          <w:lang w:eastAsia="zh-CN"/>
        </w:rPr>
        <w:t>health, education and economic development</w:t>
      </w:r>
      <w:r w:rsidR="00175553">
        <w:rPr>
          <w:lang w:eastAsia="zh-CN"/>
        </w:rPr>
        <w:t>)</w:t>
      </w:r>
      <w:r w:rsidR="00175553" w:rsidRPr="00175553">
        <w:rPr>
          <w:lang w:eastAsia="zh-CN"/>
        </w:rPr>
        <w:t xml:space="preserve"> </w:t>
      </w:r>
      <w:r w:rsidR="00EC7B4C">
        <w:rPr>
          <w:lang w:eastAsia="zh-CN"/>
        </w:rPr>
        <w:t>defined by the</w:t>
      </w:r>
      <w:r w:rsidR="00EF0488">
        <w:rPr>
          <w:lang w:eastAsia="zh-CN"/>
        </w:rPr>
        <w:t xml:space="preserve"> program’s</w:t>
      </w:r>
      <w:r w:rsidR="00EC7B4C">
        <w:rPr>
          <w:lang w:eastAsia="zh-CN"/>
        </w:rPr>
        <w:t xml:space="preserve"> </w:t>
      </w:r>
      <w:r w:rsidR="002B6BE4">
        <w:rPr>
          <w:lang w:eastAsia="zh-CN"/>
        </w:rPr>
        <w:t>performance assessment framework</w:t>
      </w:r>
      <w:r w:rsidR="00B911B6">
        <w:rPr>
          <w:lang w:eastAsia="zh-CN"/>
        </w:rPr>
        <w:t xml:space="preserve"> for 2012-16</w:t>
      </w:r>
      <w:r w:rsidR="00EC7B4C">
        <w:rPr>
          <w:lang w:eastAsia="zh-CN"/>
        </w:rPr>
        <w:t>.</w:t>
      </w:r>
      <w:r>
        <w:rPr>
          <w:lang w:eastAsia="zh-CN"/>
        </w:rPr>
        <w:t xml:space="preserve"> </w:t>
      </w:r>
    </w:p>
    <w:p w:rsidR="003F53D6" w:rsidRDefault="004A0684" w:rsidP="00E861AC">
      <w:pPr>
        <w:pStyle w:val="ListBullet"/>
        <w:numPr>
          <w:ilvl w:val="0"/>
          <w:numId w:val="0"/>
        </w:numPr>
        <w:tabs>
          <w:tab w:val="clear" w:pos="284"/>
        </w:tabs>
        <w:rPr>
          <w:lang w:eastAsia="zh-CN"/>
        </w:rPr>
      </w:pPr>
      <w:r>
        <w:rPr>
          <w:lang w:eastAsia="zh-CN"/>
        </w:rPr>
        <w:t>T</w:t>
      </w:r>
      <w:r w:rsidR="003F53D6">
        <w:rPr>
          <w:lang w:eastAsia="zh-CN"/>
        </w:rPr>
        <w:t>he first</w:t>
      </w:r>
      <w:r w:rsidR="00EC7B4C">
        <w:rPr>
          <w:lang w:eastAsia="zh-CN"/>
        </w:rPr>
        <w:t xml:space="preserve"> health</w:t>
      </w:r>
      <w:r w:rsidR="003F53D6">
        <w:rPr>
          <w:lang w:eastAsia="zh-CN"/>
        </w:rPr>
        <w:t xml:space="preserve"> target </w:t>
      </w:r>
      <w:r w:rsidR="00EC7B4C">
        <w:rPr>
          <w:lang w:eastAsia="zh-CN"/>
        </w:rPr>
        <w:t>was</w:t>
      </w:r>
      <w:r w:rsidR="003F53D6">
        <w:rPr>
          <w:lang w:eastAsia="zh-CN"/>
        </w:rPr>
        <w:t xml:space="preserve"> to </w:t>
      </w:r>
      <w:r w:rsidR="003F53D6" w:rsidRPr="00EF0488">
        <w:rPr>
          <w:b/>
          <w:lang w:eastAsia="zh-CN"/>
        </w:rPr>
        <w:t>increase access to safe water and improved sanitation</w:t>
      </w:r>
      <w:r w:rsidR="003F53D6">
        <w:rPr>
          <w:lang w:eastAsia="zh-CN"/>
        </w:rPr>
        <w:t>. This</w:t>
      </w:r>
      <w:r w:rsidR="009066AA">
        <w:rPr>
          <w:lang w:eastAsia="zh-CN"/>
        </w:rPr>
        <w:t xml:space="preserve"> </w:t>
      </w:r>
      <w:r w:rsidR="00604E5D">
        <w:rPr>
          <w:lang w:eastAsia="zh-CN"/>
        </w:rPr>
        <w:t xml:space="preserve">target </w:t>
      </w:r>
      <w:r w:rsidR="00ED70A7">
        <w:rPr>
          <w:lang w:eastAsia="zh-CN"/>
        </w:rPr>
        <w:t>was</w:t>
      </w:r>
      <w:r w:rsidR="00604E5D">
        <w:rPr>
          <w:lang w:eastAsia="zh-CN"/>
        </w:rPr>
        <w:t xml:space="preserve"> met through </w:t>
      </w:r>
      <w:r w:rsidR="009066AA">
        <w:rPr>
          <w:lang w:eastAsia="zh-CN"/>
        </w:rPr>
        <w:t>a combination of investments and activities over several years.</w:t>
      </w:r>
      <w:r w:rsidR="00CE5008">
        <w:rPr>
          <w:lang w:eastAsia="zh-CN"/>
        </w:rPr>
        <w:t xml:space="preserve"> </w:t>
      </w:r>
      <w:r w:rsidR="008F6E4C">
        <w:rPr>
          <w:lang w:eastAsia="zh-CN"/>
        </w:rPr>
        <w:t>O</w:t>
      </w:r>
      <w:r w:rsidR="00E628AA">
        <w:rPr>
          <w:lang w:eastAsia="zh-CN"/>
        </w:rPr>
        <w:t>ur partnership with World Vision In</w:t>
      </w:r>
      <w:r w:rsidR="00604E5D">
        <w:rPr>
          <w:lang w:eastAsia="zh-CN"/>
        </w:rPr>
        <w:t xml:space="preserve">ternational (WVI) in Central Province </w:t>
      </w:r>
      <w:r w:rsidR="00395906">
        <w:rPr>
          <w:lang w:eastAsia="zh-CN"/>
        </w:rPr>
        <w:t xml:space="preserve">has </w:t>
      </w:r>
      <w:r w:rsidR="00604E5D">
        <w:rPr>
          <w:lang w:eastAsia="zh-CN"/>
        </w:rPr>
        <w:t>provided</w:t>
      </w:r>
      <w:r w:rsidR="00E628AA">
        <w:rPr>
          <w:lang w:eastAsia="zh-CN"/>
        </w:rPr>
        <w:t xml:space="preserve"> safe water</w:t>
      </w:r>
      <w:r w:rsidR="00A343E9">
        <w:rPr>
          <w:lang w:eastAsia="zh-CN"/>
        </w:rPr>
        <w:t xml:space="preserve"> and sanitation</w:t>
      </w:r>
      <w:r w:rsidR="00E628AA">
        <w:rPr>
          <w:lang w:eastAsia="zh-CN"/>
        </w:rPr>
        <w:t xml:space="preserve"> </w:t>
      </w:r>
      <w:r w:rsidR="00604E5D">
        <w:rPr>
          <w:lang w:eastAsia="zh-CN"/>
        </w:rPr>
        <w:t>to</w:t>
      </w:r>
      <w:r w:rsidR="00E628AA">
        <w:rPr>
          <w:lang w:eastAsia="zh-CN"/>
        </w:rPr>
        <w:t xml:space="preserve"> more than 87,000 people</w:t>
      </w:r>
      <w:r w:rsidR="00604E5D">
        <w:rPr>
          <w:lang w:eastAsia="zh-CN"/>
        </w:rPr>
        <w:t>. Th</w:t>
      </w:r>
      <w:r w:rsidR="008F6E4C">
        <w:rPr>
          <w:lang w:eastAsia="zh-CN"/>
        </w:rPr>
        <w:t>is</w:t>
      </w:r>
      <w:r w:rsidR="00604E5D">
        <w:rPr>
          <w:lang w:eastAsia="zh-CN"/>
        </w:rPr>
        <w:t xml:space="preserve"> investment </w:t>
      </w:r>
      <w:r w:rsidR="00ED70A7">
        <w:rPr>
          <w:lang w:eastAsia="zh-CN"/>
        </w:rPr>
        <w:t>employs</w:t>
      </w:r>
      <w:r w:rsidR="00E628AA">
        <w:rPr>
          <w:lang w:eastAsia="zh-CN"/>
        </w:rPr>
        <w:t xml:space="preserve"> </w:t>
      </w:r>
      <w:r w:rsidR="00ED70A7">
        <w:rPr>
          <w:lang w:eastAsia="zh-CN"/>
        </w:rPr>
        <w:t xml:space="preserve">a </w:t>
      </w:r>
      <w:r w:rsidR="00E628AA">
        <w:rPr>
          <w:lang w:eastAsia="zh-CN"/>
        </w:rPr>
        <w:t>collaborative management model involving local government communities and tea expo</w:t>
      </w:r>
      <w:r w:rsidR="008F6E4C">
        <w:rPr>
          <w:lang w:eastAsia="zh-CN"/>
        </w:rPr>
        <w:t>rt companies on 21 tea estates</w:t>
      </w:r>
      <w:r w:rsidR="00E628AA">
        <w:rPr>
          <w:lang w:eastAsia="zh-CN"/>
        </w:rPr>
        <w:t xml:space="preserve">. Other investments, including the World Bank </w:t>
      </w:r>
      <w:r w:rsidR="00CE5008">
        <w:rPr>
          <w:lang w:eastAsia="zh-CN"/>
        </w:rPr>
        <w:t xml:space="preserve">North East Pilot </w:t>
      </w:r>
      <w:r w:rsidR="00CE5008" w:rsidRPr="00403834">
        <w:rPr>
          <w:lang w:eastAsia="zh-CN"/>
        </w:rPr>
        <w:t>Water, Sanitation and Hygiene Project</w:t>
      </w:r>
      <w:r w:rsidR="00E628AA">
        <w:rPr>
          <w:lang w:eastAsia="zh-CN"/>
        </w:rPr>
        <w:t xml:space="preserve"> (now successfully completed</w:t>
      </w:r>
      <w:r w:rsidR="00CE5008">
        <w:rPr>
          <w:lang w:eastAsia="zh-CN"/>
        </w:rPr>
        <w:t>)</w:t>
      </w:r>
      <w:r w:rsidR="00E628AA">
        <w:rPr>
          <w:lang w:eastAsia="zh-CN"/>
        </w:rPr>
        <w:t xml:space="preserve"> and W</w:t>
      </w:r>
      <w:r w:rsidR="00604E5D">
        <w:rPr>
          <w:lang w:eastAsia="zh-CN"/>
        </w:rPr>
        <w:t>VI</w:t>
      </w:r>
      <w:r w:rsidR="00E628AA">
        <w:rPr>
          <w:lang w:eastAsia="zh-CN"/>
        </w:rPr>
        <w:t xml:space="preserve"> </w:t>
      </w:r>
      <w:r w:rsidR="009B34E3">
        <w:rPr>
          <w:lang w:eastAsia="zh-CN"/>
        </w:rPr>
        <w:t>Civil Society WASH Fund</w:t>
      </w:r>
      <w:r w:rsidR="00E628AA">
        <w:rPr>
          <w:lang w:eastAsia="zh-CN"/>
        </w:rPr>
        <w:t xml:space="preserve">, </w:t>
      </w:r>
      <w:r w:rsidR="00A343E9">
        <w:rPr>
          <w:lang w:eastAsia="zh-CN"/>
        </w:rPr>
        <w:t>successfully integrated</w:t>
      </w:r>
      <w:r w:rsidR="00E628AA">
        <w:rPr>
          <w:lang w:eastAsia="zh-CN"/>
        </w:rPr>
        <w:t xml:space="preserve"> </w:t>
      </w:r>
      <w:r w:rsidR="00604E5D">
        <w:rPr>
          <w:lang w:eastAsia="zh-CN"/>
        </w:rPr>
        <w:t xml:space="preserve">a broad spectrum of </w:t>
      </w:r>
      <w:r w:rsidR="00E628AA">
        <w:rPr>
          <w:lang w:eastAsia="zh-CN"/>
        </w:rPr>
        <w:t>civil society into management of WASH activities</w:t>
      </w:r>
      <w:r w:rsidR="00403834" w:rsidRPr="00403834">
        <w:rPr>
          <w:lang w:eastAsia="zh-CN"/>
        </w:rPr>
        <w:t>.</w:t>
      </w:r>
      <w:r w:rsidR="005D779E">
        <w:rPr>
          <w:lang w:val="en-US" w:eastAsia="zh-CN"/>
        </w:rPr>
        <w:t xml:space="preserve"> </w:t>
      </w:r>
      <w:r w:rsidR="00ED70A7">
        <w:rPr>
          <w:lang w:val="en-US" w:eastAsia="zh-CN"/>
        </w:rPr>
        <w:t>P</w:t>
      </w:r>
      <w:r w:rsidR="005D779E">
        <w:rPr>
          <w:lang w:val="en-US" w:eastAsia="zh-CN"/>
        </w:rPr>
        <w:t>roject partners, including government</w:t>
      </w:r>
      <w:r w:rsidR="00ED70A7">
        <w:rPr>
          <w:lang w:val="en-US" w:eastAsia="zh-CN"/>
        </w:rPr>
        <w:t>s</w:t>
      </w:r>
      <w:r w:rsidR="005D779E">
        <w:rPr>
          <w:lang w:val="en-US" w:eastAsia="zh-CN"/>
        </w:rPr>
        <w:t xml:space="preserve">, </w:t>
      </w:r>
      <w:r w:rsidR="00EF0488" w:rsidRPr="00EF0488">
        <w:rPr>
          <w:lang w:eastAsia="zh-CN"/>
        </w:rPr>
        <w:t>responded to gend</w:t>
      </w:r>
      <w:r w:rsidR="005D779E">
        <w:rPr>
          <w:lang w:eastAsia="zh-CN"/>
        </w:rPr>
        <w:t>er and disability issues</w:t>
      </w:r>
      <w:r w:rsidR="00975CF4">
        <w:rPr>
          <w:lang w:eastAsia="zh-CN"/>
        </w:rPr>
        <w:t xml:space="preserve">, </w:t>
      </w:r>
      <w:r w:rsidR="00A343E9">
        <w:rPr>
          <w:lang w:eastAsia="zh-CN"/>
        </w:rPr>
        <w:t xml:space="preserve">such as in broadening </w:t>
      </w:r>
      <w:r w:rsidR="00975CF4">
        <w:rPr>
          <w:lang w:eastAsia="zh-CN"/>
        </w:rPr>
        <w:t>representation on Water User Associations</w:t>
      </w:r>
      <w:r w:rsidR="005D779E">
        <w:rPr>
          <w:lang w:eastAsia="zh-CN"/>
        </w:rPr>
        <w:t>.</w:t>
      </w:r>
      <w:r w:rsidR="002E5070">
        <w:rPr>
          <w:rStyle w:val="FootnoteReference"/>
          <w:lang w:eastAsia="zh-CN"/>
        </w:rPr>
        <w:footnoteReference w:id="9"/>
      </w:r>
      <w:r w:rsidR="00EF0488" w:rsidRPr="00EF0488">
        <w:rPr>
          <w:lang w:eastAsia="zh-CN"/>
        </w:rPr>
        <w:t xml:space="preserve"> </w:t>
      </w:r>
    </w:p>
    <w:p w:rsidR="003F53D6" w:rsidRDefault="003F53D6" w:rsidP="002B6BE4">
      <w:pPr>
        <w:pStyle w:val="ListBullet"/>
        <w:numPr>
          <w:ilvl w:val="0"/>
          <w:numId w:val="0"/>
        </w:numPr>
        <w:rPr>
          <w:lang w:eastAsia="zh-CN"/>
        </w:rPr>
      </w:pPr>
      <w:r>
        <w:rPr>
          <w:lang w:eastAsia="zh-CN"/>
        </w:rPr>
        <w:t xml:space="preserve">The second health target was to </w:t>
      </w:r>
      <w:r w:rsidRPr="005D779E">
        <w:rPr>
          <w:b/>
          <w:lang w:eastAsia="zh-CN"/>
        </w:rPr>
        <w:t>reduce the risk of death and injury from landmines and other unexploded remnants of war</w:t>
      </w:r>
      <w:r>
        <w:rPr>
          <w:lang w:eastAsia="zh-CN"/>
        </w:rPr>
        <w:t xml:space="preserve">. </w:t>
      </w:r>
      <w:r w:rsidR="004B75CE">
        <w:rPr>
          <w:lang w:eastAsia="zh-CN"/>
        </w:rPr>
        <w:t>Our i</w:t>
      </w:r>
      <w:r w:rsidR="00EF756E">
        <w:rPr>
          <w:lang w:eastAsia="zh-CN"/>
        </w:rPr>
        <w:t>nvestments culminat</w:t>
      </w:r>
      <w:r w:rsidR="004B75CE">
        <w:rPr>
          <w:lang w:eastAsia="zh-CN"/>
        </w:rPr>
        <w:t>ed</w:t>
      </w:r>
      <w:r w:rsidR="00EF756E">
        <w:rPr>
          <w:lang w:eastAsia="zh-CN"/>
        </w:rPr>
        <w:t xml:space="preserve"> in the Humanitarian Mine Action project</w:t>
      </w:r>
      <w:r w:rsidR="004B75CE">
        <w:rPr>
          <w:lang w:eastAsia="zh-CN"/>
        </w:rPr>
        <w:t xml:space="preserve">, which </w:t>
      </w:r>
      <w:r w:rsidR="00ED70A7">
        <w:rPr>
          <w:lang w:eastAsia="zh-CN"/>
        </w:rPr>
        <w:t>concluded</w:t>
      </w:r>
      <w:r w:rsidR="00EF756E">
        <w:rPr>
          <w:lang w:eastAsia="zh-CN"/>
        </w:rPr>
        <w:t xml:space="preserve"> in </w:t>
      </w:r>
      <w:r w:rsidR="000F31B9">
        <w:rPr>
          <w:lang w:eastAsia="zh-CN"/>
        </w:rPr>
        <w:t>2014-15</w:t>
      </w:r>
      <w:r w:rsidR="00A343E9">
        <w:rPr>
          <w:lang w:eastAsia="zh-CN"/>
        </w:rPr>
        <w:t xml:space="preserve">. </w:t>
      </w:r>
      <w:r w:rsidR="00ED70A7">
        <w:rPr>
          <w:lang w:eastAsia="zh-CN"/>
        </w:rPr>
        <w:t xml:space="preserve">During the years we invested in de-mining, </w:t>
      </w:r>
      <w:r w:rsidR="00A343E9" w:rsidRPr="000F31B9">
        <w:rPr>
          <w:lang w:eastAsia="zh-CN"/>
        </w:rPr>
        <w:t>the Confirmed Hazard Area in Sri Lanka reduced from 2,064km</w:t>
      </w:r>
      <w:r w:rsidR="00A343E9" w:rsidRPr="005E5B64">
        <w:rPr>
          <w:vertAlign w:val="superscript"/>
          <w:lang w:eastAsia="zh-CN"/>
        </w:rPr>
        <w:t>2</w:t>
      </w:r>
      <w:r w:rsidR="00A343E9" w:rsidRPr="000F31B9">
        <w:rPr>
          <w:lang w:eastAsia="zh-CN"/>
        </w:rPr>
        <w:t xml:space="preserve"> to 78km</w:t>
      </w:r>
      <w:r w:rsidR="00A343E9" w:rsidRPr="005E5B64">
        <w:rPr>
          <w:vertAlign w:val="superscript"/>
          <w:lang w:eastAsia="zh-CN"/>
        </w:rPr>
        <w:t>2</w:t>
      </w:r>
      <w:r w:rsidR="00ED70A7">
        <w:rPr>
          <w:lang w:eastAsia="zh-CN"/>
        </w:rPr>
        <w:t xml:space="preserve"> and</w:t>
      </w:r>
      <w:r w:rsidR="00A343E9">
        <w:rPr>
          <w:lang w:eastAsia="zh-CN"/>
        </w:rPr>
        <w:t xml:space="preserve"> </w:t>
      </w:r>
      <w:r w:rsidR="002B6BE4">
        <w:rPr>
          <w:lang w:eastAsia="zh-CN"/>
        </w:rPr>
        <w:t xml:space="preserve">mine incidents </w:t>
      </w:r>
      <w:r w:rsidR="00ED70A7">
        <w:rPr>
          <w:lang w:eastAsia="zh-CN"/>
        </w:rPr>
        <w:t xml:space="preserve">declined </w:t>
      </w:r>
      <w:r w:rsidR="002B6BE4">
        <w:rPr>
          <w:lang w:eastAsia="zh-CN"/>
        </w:rPr>
        <w:t>from</w:t>
      </w:r>
      <w:r w:rsidR="000F31B9">
        <w:rPr>
          <w:lang w:eastAsia="zh-CN"/>
        </w:rPr>
        <w:t xml:space="preserve"> 110 in 2002 to 22 in 2013.</w:t>
      </w:r>
      <w:r w:rsidR="000F31B9">
        <w:rPr>
          <w:rStyle w:val="FootnoteReference"/>
          <w:lang w:eastAsia="zh-CN"/>
        </w:rPr>
        <w:footnoteReference w:id="10"/>
      </w:r>
      <w:r w:rsidR="000F31B9">
        <w:rPr>
          <w:lang w:eastAsia="zh-CN"/>
        </w:rPr>
        <w:t xml:space="preserve"> Aust</w:t>
      </w:r>
      <w:r w:rsidR="00C45E48">
        <w:rPr>
          <w:lang w:eastAsia="zh-CN"/>
        </w:rPr>
        <w:t>ralian aid directly contributed</w:t>
      </w:r>
      <w:r w:rsidR="000F31B9">
        <w:rPr>
          <w:lang w:eastAsia="zh-CN"/>
        </w:rPr>
        <w:t xml:space="preserve"> to </w:t>
      </w:r>
      <w:r w:rsidR="008F6E4C">
        <w:rPr>
          <w:lang w:eastAsia="zh-CN"/>
        </w:rPr>
        <w:t>de-mining</w:t>
      </w:r>
      <w:r w:rsidR="000F31B9">
        <w:rPr>
          <w:lang w:eastAsia="zh-CN"/>
        </w:rPr>
        <w:t xml:space="preserve"> </w:t>
      </w:r>
      <w:r w:rsidR="00ED70A7">
        <w:rPr>
          <w:lang w:eastAsia="zh-CN"/>
        </w:rPr>
        <w:t>75.7 square kilometres</w:t>
      </w:r>
      <w:r w:rsidR="008F6E4C">
        <w:rPr>
          <w:lang w:eastAsia="zh-CN"/>
        </w:rPr>
        <w:t xml:space="preserve"> of land</w:t>
      </w:r>
      <w:r w:rsidR="000F31B9" w:rsidRPr="000F31B9">
        <w:rPr>
          <w:lang w:eastAsia="zh-CN"/>
        </w:rPr>
        <w:t>.</w:t>
      </w:r>
      <w:r w:rsidR="006538DF">
        <w:rPr>
          <w:lang w:eastAsia="zh-CN"/>
        </w:rPr>
        <w:t xml:space="preserve"> </w:t>
      </w:r>
      <w:r w:rsidR="009D3FE2">
        <w:rPr>
          <w:lang w:eastAsia="zh-CN"/>
        </w:rPr>
        <w:t>Recent i</w:t>
      </w:r>
      <w:r w:rsidR="00A51EEE">
        <w:rPr>
          <w:lang w:eastAsia="zh-CN"/>
        </w:rPr>
        <w:t>nvestment in</w:t>
      </w:r>
      <w:r w:rsidR="009D3FE2">
        <w:rPr>
          <w:lang w:eastAsia="zh-CN"/>
        </w:rPr>
        <w:t xml:space="preserve"> the Sri Lanka National Mine A</w:t>
      </w:r>
      <w:r w:rsidR="000F31B9">
        <w:rPr>
          <w:lang w:eastAsia="zh-CN"/>
        </w:rPr>
        <w:t>ctio</w:t>
      </w:r>
      <w:r w:rsidR="009D3FE2">
        <w:rPr>
          <w:lang w:eastAsia="zh-CN"/>
        </w:rPr>
        <w:t>n</w:t>
      </w:r>
      <w:r w:rsidR="002B6BE4">
        <w:rPr>
          <w:lang w:eastAsia="zh-CN"/>
        </w:rPr>
        <w:t xml:space="preserve"> </w:t>
      </w:r>
      <w:r w:rsidR="009D3FE2">
        <w:rPr>
          <w:lang w:eastAsia="zh-CN"/>
        </w:rPr>
        <w:t xml:space="preserve">Centre </w:t>
      </w:r>
      <w:r w:rsidR="002B6BE4">
        <w:rPr>
          <w:lang w:eastAsia="zh-CN"/>
        </w:rPr>
        <w:t>support</w:t>
      </w:r>
      <w:r w:rsidR="009D3FE2">
        <w:rPr>
          <w:lang w:eastAsia="zh-CN"/>
        </w:rPr>
        <w:t>ed the training of</w:t>
      </w:r>
      <w:r w:rsidR="006538DF">
        <w:rPr>
          <w:lang w:eastAsia="zh-CN"/>
        </w:rPr>
        <w:t xml:space="preserve"> 53 staff</w:t>
      </w:r>
      <w:r w:rsidR="00ED70A7">
        <w:rPr>
          <w:lang w:eastAsia="zh-CN"/>
        </w:rPr>
        <w:t xml:space="preserve"> and </w:t>
      </w:r>
      <w:r w:rsidR="009D3FE2">
        <w:rPr>
          <w:lang w:eastAsia="zh-CN"/>
        </w:rPr>
        <w:t xml:space="preserve">the </w:t>
      </w:r>
      <w:r w:rsidR="00ED70A7">
        <w:rPr>
          <w:lang w:eastAsia="zh-CN"/>
        </w:rPr>
        <w:t>purchase</w:t>
      </w:r>
      <w:r w:rsidR="009D3FE2">
        <w:rPr>
          <w:lang w:eastAsia="zh-CN"/>
        </w:rPr>
        <w:t xml:space="preserve"> of</w:t>
      </w:r>
      <w:r w:rsidR="002B6BE4">
        <w:rPr>
          <w:lang w:eastAsia="zh-CN"/>
        </w:rPr>
        <w:t xml:space="preserve"> 220 mine detectors and 250 protective outfits</w:t>
      </w:r>
      <w:r w:rsidR="006538DF">
        <w:rPr>
          <w:lang w:eastAsia="zh-CN"/>
        </w:rPr>
        <w:t>. This has</w:t>
      </w:r>
      <w:r w:rsidR="009D3FE2">
        <w:rPr>
          <w:lang w:eastAsia="zh-CN"/>
        </w:rPr>
        <w:t xml:space="preserve"> assisted the </w:t>
      </w:r>
      <w:r w:rsidR="002B6BE4">
        <w:rPr>
          <w:lang w:eastAsia="zh-CN"/>
        </w:rPr>
        <w:t>clearing and releasing</w:t>
      </w:r>
      <w:r w:rsidR="009D3FE2">
        <w:rPr>
          <w:lang w:eastAsia="zh-CN"/>
        </w:rPr>
        <w:t xml:space="preserve"> </w:t>
      </w:r>
      <w:r w:rsidR="002B6BE4">
        <w:rPr>
          <w:lang w:eastAsia="zh-CN"/>
        </w:rPr>
        <w:t>of high-priority residential and agricultural land</w:t>
      </w:r>
      <w:r w:rsidR="008F6E4C">
        <w:rPr>
          <w:lang w:eastAsia="zh-CN"/>
        </w:rPr>
        <w:t>,</w:t>
      </w:r>
      <w:r w:rsidR="002B6BE4">
        <w:rPr>
          <w:lang w:eastAsia="zh-CN"/>
        </w:rPr>
        <w:t xml:space="preserve"> </w:t>
      </w:r>
      <w:r w:rsidR="009D3FE2">
        <w:rPr>
          <w:lang w:eastAsia="zh-CN"/>
        </w:rPr>
        <w:t>benefitting</w:t>
      </w:r>
      <w:r w:rsidR="002B6BE4">
        <w:rPr>
          <w:lang w:eastAsia="zh-CN"/>
        </w:rPr>
        <w:t xml:space="preserve"> 34,900 returnees in the Northern </w:t>
      </w:r>
      <w:r w:rsidR="002B6BE4">
        <w:rPr>
          <w:lang w:eastAsia="zh-CN"/>
        </w:rPr>
        <w:lastRenderedPageBreak/>
        <w:t xml:space="preserve">Province. </w:t>
      </w:r>
      <w:r w:rsidR="009D3FE2">
        <w:rPr>
          <w:lang w:eastAsia="zh-CN"/>
        </w:rPr>
        <w:t>Australian-</w:t>
      </w:r>
      <w:r w:rsidR="002B6BE4">
        <w:rPr>
          <w:lang w:eastAsia="zh-CN"/>
        </w:rPr>
        <w:t>support</w:t>
      </w:r>
      <w:r w:rsidR="009D3FE2">
        <w:rPr>
          <w:lang w:eastAsia="zh-CN"/>
        </w:rPr>
        <w:t>ed</w:t>
      </w:r>
      <w:r w:rsidR="002B6BE4">
        <w:rPr>
          <w:lang w:eastAsia="zh-CN"/>
        </w:rPr>
        <w:t xml:space="preserve"> mine risk educati</w:t>
      </w:r>
      <w:r w:rsidR="006538DF">
        <w:rPr>
          <w:lang w:eastAsia="zh-CN"/>
        </w:rPr>
        <w:t xml:space="preserve">on </w:t>
      </w:r>
      <w:r w:rsidR="00D528FD">
        <w:rPr>
          <w:lang w:eastAsia="zh-CN"/>
        </w:rPr>
        <w:t xml:space="preserve">also </w:t>
      </w:r>
      <w:r w:rsidR="006538DF">
        <w:rPr>
          <w:lang w:eastAsia="zh-CN"/>
        </w:rPr>
        <w:t>reached over 390,000 people (men and women equal</w:t>
      </w:r>
      <w:r w:rsidR="008F6E4C">
        <w:rPr>
          <w:lang w:eastAsia="zh-CN"/>
        </w:rPr>
        <w:t>ly)</w:t>
      </w:r>
      <w:r w:rsidR="00D528FD">
        <w:rPr>
          <w:lang w:eastAsia="zh-CN"/>
        </w:rPr>
        <w:t>.</w:t>
      </w:r>
      <w:r w:rsidR="00B9445E">
        <w:rPr>
          <w:rStyle w:val="FootnoteReference"/>
          <w:lang w:eastAsia="zh-CN"/>
        </w:rPr>
        <w:footnoteReference w:id="11"/>
      </w:r>
      <w:r w:rsidR="006538DF">
        <w:rPr>
          <w:lang w:eastAsia="zh-CN"/>
        </w:rPr>
        <w:t xml:space="preserve"> </w:t>
      </w:r>
    </w:p>
    <w:p w:rsidR="00992C57" w:rsidRDefault="00992C57" w:rsidP="00E861AC">
      <w:pPr>
        <w:pStyle w:val="ListBullet"/>
        <w:numPr>
          <w:ilvl w:val="0"/>
          <w:numId w:val="0"/>
        </w:numPr>
        <w:tabs>
          <w:tab w:val="clear" w:pos="284"/>
        </w:tabs>
        <w:rPr>
          <w:lang w:eastAsia="zh-CN"/>
        </w:rPr>
      </w:pPr>
      <w:r>
        <w:rPr>
          <w:lang w:eastAsia="zh-CN"/>
        </w:rPr>
        <w:t xml:space="preserve">The education target </w:t>
      </w:r>
      <w:r w:rsidR="00D528FD">
        <w:rPr>
          <w:lang w:eastAsia="zh-CN"/>
        </w:rPr>
        <w:t>under this objective</w:t>
      </w:r>
      <w:r>
        <w:rPr>
          <w:lang w:eastAsia="zh-CN"/>
        </w:rPr>
        <w:t xml:space="preserve"> was to </w:t>
      </w:r>
      <w:r w:rsidRPr="005D779E">
        <w:rPr>
          <w:b/>
          <w:lang w:eastAsia="zh-CN"/>
        </w:rPr>
        <w:t>increase primary school attendance and secondary school completion rates</w:t>
      </w:r>
      <w:r w:rsidR="006538DF">
        <w:rPr>
          <w:lang w:eastAsia="zh-CN"/>
        </w:rPr>
        <w:t xml:space="preserve">. This </w:t>
      </w:r>
      <w:r w:rsidR="00B9445E">
        <w:rPr>
          <w:lang w:eastAsia="zh-CN"/>
        </w:rPr>
        <w:t xml:space="preserve">was met </w:t>
      </w:r>
      <w:r w:rsidR="006538DF">
        <w:rPr>
          <w:lang w:eastAsia="zh-CN"/>
        </w:rPr>
        <w:t xml:space="preserve">through </w:t>
      </w:r>
      <w:r w:rsidR="00ED70A7">
        <w:rPr>
          <w:lang w:eastAsia="zh-CN"/>
        </w:rPr>
        <w:t>our</w:t>
      </w:r>
      <w:r w:rsidR="006538DF">
        <w:rPr>
          <w:lang w:eastAsia="zh-CN"/>
        </w:rPr>
        <w:t xml:space="preserve"> </w:t>
      </w:r>
      <w:r w:rsidR="005D779E">
        <w:rPr>
          <w:lang w:eastAsia="zh-CN"/>
        </w:rPr>
        <w:t>contribution to</w:t>
      </w:r>
      <w:r w:rsidR="00697BED">
        <w:rPr>
          <w:lang w:eastAsia="zh-CN"/>
        </w:rPr>
        <w:t xml:space="preserve"> the World B</w:t>
      </w:r>
      <w:r w:rsidR="006538DF">
        <w:rPr>
          <w:lang w:eastAsia="zh-CN"/>
        </w:rPr>
        <w:t>ank-managed Transforming Schools Education Project (TSEP</w:t>
      </w:r>
      <w:r w:rsidR="006538DF" w:rsidRPr="006538DF">
        <w:rPr>
          <w:szCs w:val="21"/>
          <w:lang w:eastAsia="zh-CN"/>
        </w:rPr>
        <w:t>)</w:t>
      </w:r>
      <w:r w:rsidR="005D779E">
        <w:rPr>
          <w:szCs w:val="21"/>
          <w:lang w:eastAsia="zh-CN"/>
        </w:rPr>
        <w:t>. TSEP is</w:t>
      </w:r>
      <w:r w:rsidR="00D528FD">
        <w:rPr>
          <w:szCs w:val="21"/>
          <w:lang w:eastAsia="zh-CN"/>
        </w:rPr>
        <w:t xml:space="preserve"> </w:t>
      </w:r>
      <w:r w:rsidR="006538DF">
        <w:rPr>
          <w:rFonts w:eastAsia="SimSun"/>
          <w:szCs w:val="21"/>
          <w:lang w:eastAsia="zh-CN"/>
        </w:rPr>
        <w:t xml:space="preserve">a </w:t>
      </w:r>
      <w:r w:rsidR="00D528FD">
        <w:rPr>
          <w:rFonts w:eastAsia="SimSun"/>
          <w:szCs w:val="21"/>
          <w:lang w:eastAsia="zh-CN"/>
        </w:rPr>
        <w:t>national</w:t>
      </w:r>
      <w:r w:rsidR="006538DF" w:rsidRPr="006538DF">
        <w:rPr>
          <w:rFonts w:eastAsia="SimSun"/>
          <w:szCs w:val="21"/>
          <w:lang w:eastAsia="zh-CN"/>
        </w:rPr>
        <w:t xml:space="preserve"> program that supports Sri Lanka’s Education Sector Development Framework to enhance access to, and the quality of, primary and secondary education.</w:t>
      </w:r>
      <w:r w:rsidR="00D528FD">
        <w:rPr>
          <w:rFonts w:eastAsia="SimSun"/>
          <w:szCs w:val="21"/>
          <w:lang w:eastAsia="zh-CN"/>
        </w:rPr>
        <w:t xml:space="preserve"> </w:t>
      </w:r>
      <w:r w:rsidR="00F0150B">
        <w:rPr>
          <w:rFonts w:eastAsia="SimSun"/>
          <w:szCs w:val="21"/>
          <w:lang w:eastAsia="zh-CN"/>
        </w:rPr>
        <w:t>A</w:t>
      </w:r>
      <w:r w:rsidR="00D528FD">
        <w:rPr>
          <w:rFonts w:eastAsia="SimSun"/>
          <w:szCs w:val="21"/>
          <w:lang w:eastAsia="zh-CN"/>
        </w:rPr>
        <w:t xml:space="preserve"> mid-term review (March-April 2015) found </w:t>
      </w:r>
      <w:r w:rsidR="00600CE0">
        <w:rPr>
          <w:rFonts w:eastAsia="SimSun"/>
          <w:szCs w:val="21"/>
          <w:lang w:eastAsia="zh-CN"/>
        </w:rPr>
        <w:t xml:space="preserve">national </w:t>
      </w:r>
      <w:r w:rsidR="00A222B7">
        <w:rPr>
          <w:rFonts w:eastAsia="SimSun"/>
          <w:szCs w:val="21"/>
          <w:lang w:eastAsia="zh-CN"/>
        </w:rPr>
        <w:t>retention</w:t>
      </w:r>
      <w:r w:rsidR="00D528FD">
        <w:rPr>
          <w:rFonts w:eastAsia="SimSun"/>
          <w:szCs w:val="21"/>
          <w:lang w:eastAsia="zh-CN"/>
        </w:rPr>
        <w:t xml:space="preserve"> rates in the Grade 1-11 education cycle met the 2014 target of 85</w:t>
      </w:r>
      <w:r w:rsidR="00674F92">
        <w:rPr>
          <w:rFonts w:eastAsia="SimSun"/>
          <w:szCs w:val="21"/>
          <w:lang w:eastAsia="zh-CN"/>
        </w:rPr>
        <w:t xml:space="preserve"> per cent</w:t>
      </w:r>
      <w:r w:rsidR="00F0150B">
        <w:rPr>
          <w:rFonts w:eastAsia="SimSun"/>
          <w:szCs w:val="21"/>
          <w:lang w:eastAsia="zh-CN"/>
        </w:rPr>
        <w:t xml:space="preserve">, up from the baseline </w:t>
      </w:r>
      <w:r w:rsidR="00600CE0">
        <w:rPr>
          <w:rFonts w:eastAsia="SimSun"/>
          <w:szCs w:val="21"/>
          <w:lang w:eastAsia="zh-CN"/>
        </w:rPr>
        <w:t>of 82</w:t>
      </w:r>
      <w:r w:rsidR="00674F92">
        <w:rPr>
          <w:rFonts w:eastAsia="SimSun"/>
          <w:szCs w:val="21"/>
          <w:lang w:eastAsia="zh-CN"/>
        </w:rPr>
        <w:t xml:space="preserve"> per cent</w:t>
      </w:r>
      <w:r w:rsidR="00600CE0">
        <w:rPr>
          <w:rFonts w:eastAsia="SimSun"/>
          <w:szCs w:val="21"/>
          <w:lang w:eastAsia="zh-CN"/>
        </w:rPr>
        <w:t xml:space="preserve">. </w:t>
      </w:r>
      <w:r w:rsidR="00F0150B">
        <w:rPr>
          <w:rFonts w:eastAsia="SimSun"/>
          <w:szCs w:val="21"/>
          <w:lang w:eastAsia="zh-CN"/>
        </w:rPr>
        <w:t>Northern and Eastern provinces saw an i</w:t>
      </w:r>
      <w:r w:rsidR="00600CE0">
        <w:rPr>
          <w:rFonts w:eastAsia="SimSun"/>
          <w:szCs w:val="21"/>
          <w:lang w:eastAsia="zh-CN"/>
        </w:rPr>
        <w:t>ncrease of 4 percent</w:t>
      </w:r>
      <w:r w:rsidR="00906FC8">
        <w:rPr>
          <w:rFonts w:eastAsia="SimSun"/>
          <w:szCs w:val="21"/>
          <w:lang w:eastAsia="zh-CN"/>
        </w:rPr>
        <w:t>age points</w:t>
      </w:r>
      <w:r w:rsidR="00A37C1E">
        <w:rPr>
          <w:rFonts w:eastAsia="SimSun"/>
          <w:szCs w:val="21"/>
          <w:lang w:eastAsia="zh-CN"/>
        </w:rPr>
        <w:t xml:space="preserve">, although both displayed </w:t>
      </w:r>
      <w:r w:rsidR="00B9445E">
        <w:rPr>
          <w:rFonts w:eastAsia="SimSun"/>
          <w:szCs w:val="21"/>
          <w:lang w:eastAsia="zh-CN"/>
        </w:rPr>
        <w:t>below-</w:t>
      </w:r>
      <w:r w:rsidR="00F0150B">
        <w:rPr>
          <w:rFonts w:eastAsia="SimSun"/>
          <w:szCs w:val="21"/>
          <w:lang w:eastAsia="zh-CN"/>
        </w:rPr>
        <w:t>national</w:t>
      </w:r>
      <w:r w:rsidR="00B9445E">
        <w:rPr>
          <w:rFonts w:eastAsia="SimSun"/>
          <w:szCs w:val="21"/>
          <w:lang w:eastAsia="zh-CN"/>
        </w:rPr>
        <w:t>-</w:t>
      </w:r>
      <w:r w:rsidR="00F0150B">
        <w:rPr>
          <w:rFonts w:eastAsia="SimSun"/>
          <w:szCs w:val="21"/>
          <w:lang w:eastAsia="zh-CN"/>
        </w:rPr>
        <w:t xml:space="preserve">average </w:t>
      </w:r>
      <w:r w:rsidR="00A37C1E">
        <w:rPr>
          <w:rFonts w:eastAsia="SimSun"/>
          <w:szCs w:val="21"/>
          <w:lang w:eastAsia="zh-CN"/>
        </w:rPr>
        <w:t>survival rates</w:t>
      </w:r>
      <w:r w:rsidR="00F0150B">
        <w:rPr>
          <w:rFonts w:eastAsia="SimSun"/>
          <w:szCs w:val="21"/>
          <w:lang w:eastAsia="zh-CN"/>
        </w:rPr>
        <w:t xml:space="preserve"> of</w:t>
      </w:r>
      <w:r w:rsidR="00E84217">
        <w:rPr>
          <w:rFonts w:eastAsia="SimSun"/>
          <w:szCs w:val="21"/>
          <w:lang w:eastAsia="zh-CN"/>
        </w:rPr>
        <w:t xml:space="preserve"> 79</w:t>
      </w:r>
      <w:r w:rsidR="00674F92">
        <w:rPr>
          <w:rFonts w:eastAsia="SimSun"/>
          <w:szCs w:val="21"/>
          <w:lang w:eastAsia="zh-CN"/>
        </w:rPr>
        <w:t xml:space="preserve"> per cent</w:t>
      </w:r>
      <w:r w:rsidR="00E84217">
        <w:rPr>
          <w:rFonts w:eastAsia="SimSun"/>
          <w:szCs w:val="21"/>
          <w:lang w:eastAsia="zh-CN"/>
        </w:rPr>
        <w:t xml:space="preserve"> and 74</w:t>
      </w:r>
      <w:r w:rsidR="00674F92">
        <w:rPr>
          <w:rFonts w:eastAsia="SimSun"/>
          <w:szCs w:val="21"/>
          <w:lang w:eastAsia="zh-CN"/>
        </w:rPr>
        <w:t xml:space="preserve"> per cent</w:t>
      </w:r>
      <w:r w:rsidR="00B9445E">
        <w:rPr>
          <w:rFonts w:eastAsia="SimSun"/>
          <w:szCs w:val="21"/>
          <w:lang w:eastAsia="zh-CN"/>
        </w:rPr>
        <w:t>,</w:t>
      </w:r>
      <w:r w:rsidR="00F0150B">
        <w:rPr>
          <w:rFonts w:eastAsia="SimSun"/>
          <w:szCs w:val="21"/>
          <w:lang w:eastAsia="zh-CN"/>
        </w:rPr>
        <w:t xml:space="preserve"> respectively</w:t>
      </w:r>
      <w:r w:rsidR="00A37C1E">
        <w:rPr>
          <w:rFonts w:eastAsia="SimSun"/>
          <w:szCs w:val="21"/>
          <w:lang w:eastAsia="zh-CN"/>
        </w:rPr>
        <w:t>.</w:t>
      </w:r>
      <w:r w:rsidR="00B83AF2">
        <w:rPr>
          <w:rStyle w:val="FootnoteReference"/>
          <w:rFonts w:eastAsia="SimSun"/>
          <w:lang w:eastAsia="zh-CN"/>
        </w:rPr>
        <w:footnoteReference w:id="12"/>
      </w:r>
      <w:r w:rsidR="00455651">
        <w:rPr>
          <w:rFonts w:eastAsia="SimSun"/>
          <w:szCs w:val="21"/>
          <w:lang w:eastAsia="zh-CN"/>
        </w:rPr>
        <w:t xml:space="preserve"> </w:t>
      </w:r>
      <w:r w:rsidR="00E84217">
        <w:rPr>
          <w:rFonts w:eastAsia="SimSun"/>
          <w:szCs w:val="21"/>
          <w:lang w:eastAsia="zh-CN"/>
        </w:rPr>
        <w:t>Australia’s support of TSEP finishes</w:t>
      </w:r>
      <w:r w:rsidR="005D779E">
        <w:rPr>
          <w:rFonts w:eastAsia="SimSun"/>
          <w:szCs w:val="21"/>
          <w:lang w:eastAsia="zh-CN"/>
        </w:rPr>
        <w:t xml:space="preserve"> in 2017</w:t>
      </w:r>
      <w:r w:rsidR="00674F92">
        <w:rPr>
          <w:rFonts w:eastAsia="SimSun"/>
          <w:szCs w:val="21"/>
          <w:lang w:eastAsia="zh-CN"/>
        </w:rPr>
        <w:t>. T</w:t>
      </w:r>
      <w:r w:rsidR="005D779E">
        <w:rPr>
          <w:rFonts w:eastAsia="SimSun"/>
          <w:szCs w:val="21"/>
          <w:lang w:eastAsia="zh-CN"/>
        </w:rPr>
        <w:t xml:space="preserve">he emphasis </w:t>
      </w:r>
      <w:r w:rsidR="004F4451">
        <w:rPr>
          <w:rFonts w:eastAsia="SimSun"/>
          <w:szCs w:val="21"/>
          <w:lang w:eastAsia="zh-CN"/>
        </w:rPr>
        <w:t>over the next eig</w:t>
      </w:r>
      <w:r w:rsidR="00E84217">
        <w:rPr>
          <w:rFonts w:eastAsia="SimSun"/>
          <w:szCs w:val="21"/>
          <w:lang w:eastAsia="zh-CN"/>
        </w:rPr>
        <w:t>hteen months will be on supporting</w:t>
      </w:r>
      <w:r w:rsidR="004F4451">
        <w:rPr>
          <w:rFonts w:eastAsia="SimSun"/>
          <w:szCs w:val="21"/>
          <w:lang w:eastAsia="zh-CN"/>
        </w:rPr>
        <w:t xml:space="preserve"> governance in the education sector to ensure sustainability of results.</w:t>
      </w:r>
    </w:p>
    <w:p w:rsidR="00F0150B" w:rsidRDefault="00715307" w:rsidP="00F0150B">
      <w:pPr>
        <w:pStyle w:val="ListBullet"/>
        <w:numPr>
          <w:ilvl w:val="0"/>
          <w:numId w:val="0"/>
        </w:numPr>
        <w:tabs>
          <w:tab w:val="clear" w:pos="284"/>
        </w:tabs>
        <w:rPr>
          <w:lang w:eastAsia="zh-CN"/>
        </w:rPr>
      </w:pPr>
      <w:r>
        <w:rPr>
          <w:lang w:eastAsia="zh-CN"/>
        </w:rPr>
        <w:t xml:space="preserve">Three end targets were set for economic development. The first was to </w:t>
      </w:r>
      <w:r w:rsidRPr="00455651">
        <w:rPr>
          <w:b/>
          <w:lang w:eastAsia="zh-CN"/>
        </w:rPr>
        <w:t>increase access to improved economic infrastructure for about 600,000 families (around 1.</w:t>
      </w:r>
      <w:r w:rsidR="00A37C1E" w:rsidRPr="00455651">
        <w:rPr>
          <w:b/>
          <w:lang w:eastAsia="zh-CN"/>
        </w:rPr>
        <w:t>7 million people)</w:t>
      </w:r>
      <w:r w:rsidR="00A37C1E">
        <w:rPr>
          <w:lang w:eastAsia="zh-CN"/>
        </w:rPr>
        <w:t xml:space="preserve">. This </w:t>
      </w:r>
      <w:r w:rsidR="00F0150B">
        <w:rPr>
          <w:lang w:eastAsia="zh-CN"/>
        </w:rPr>
        <w:t>was</w:t>
      </w:r>
      <w:r w:rsidR="00A37C1E">
        <w:rPr>
          <w:lang w:eastAsia="zh-CN"/>
        </w:rPr>
        <w:t xml:space="preserve"> addressed</w:t>
      </w:r>
      <w:r w:rsidR="005E5B64">
        <w:rPr>
          <w:lang w:eastAsia="zh-CN"/>
        </w:rPr>
        <w:t xml:space="preserve"> through </w:t>
      </w:r>
      <w:r w:rsidR="00175553">
        <w:rPr>
          <w:lang w:eastAsia="zh-CN"/>
        </w:rPr>
        <w:t>Australia’s</w:t>
      </w:r>
      <w:r w:rsidR="00455651">
        <w:rPr>
          <w:lang w:eastAsia="zh-CN"/>
        </w:rPr>
        <w:t xml:space="preserve"> support for the World Bank-managed </w:t>
      </w:r>
      <w:r w:rsidR="00455651" w:rsidRPr="00455651">
        <w:rPr>
          <w:lang w:eastAsia="zh-CN"/>
        </w:rPr>
        <w:t xml:space="preserve">North East Local Services Improvement Project </w:t>
      </w:r>
      <w:r w:rsidR="00455651">
        <w:rPr>
          <w:lang w:eastAsia="zh-CN"/>
        </w:rPr>
        <w:t>(</w:t>
      </w:r>
      <w:r w:rsidR="00A37C1E">
        <w:rPr>
          <w:lang w:eastAsia="zh-CN"/>
        </w:rPr>
        <w:t>NELSIP</w:t>
      </w:r>
      <w:r w:rsidR="00455651">
        <w:rPr>
          <w:lang w:eastAsia="zh-CN"/>
        </w:rPr>
        <w:t>)</w:t>
      </w:r>
      <w:r w:rsidR="006B12FB">
        <w:rPr>
          <w:lang w:eastAsia="zh-CN"/>
        </w:rPr>
        <w:t>, which benefits over 1.3 million people across 101 Local Authorities (LAs)</w:t>
      </w:r>
      <w:r w:rsidR="00455651">
        <w:rPr>
          <w:lang w:eastAsia="zh-CN"/>
        </w:rPr>
        <w:t>.</w:t>
      </w:r>
      <w:r w:rsidR="00175553">
        <w:rPr>
          <w:lang w:eastAsia="zh-CN"/>
        </w:rPr>
        <w:t xml:space="preserve"> </w:t>
      </w:r>
      <w:r w:rsidR="008B26F5" w:rsidRPr="008B26F5">
        <w:rPr>
          <w:lang w:eastAsia="zh-CN"/>
        </w:rPr>
        <w:t>At the end of 2014</w:t>
      </w:r>
      <w:r w:rsidR="00674F92">
        <w:rPr>
          <w:lang w:eastAsia="zh-CN"/>
        </w:rPr>
        <w:t>,</w:t>
      </w:r>
      <w:r w:rsidR="00654E9B">
        <w:rPr>
          <w:lang w:eastAsia="zh-CN"/>
        </w:rPr>
        <w:t xml:space="preserve"> expectations</w:t>
      </w:r>
      <w:r w:rsidR="00F0150B">
        <w:rPr>
          <w:lang w:eastAsia="zh-CN"/>
        </w:rPr>
        <w:t xml:space="preserve"> were largely met</w:t>
      </w:r>
      <w:r w:rsidR="00654E9B">
        <w:rPr>
          <w:lang w:eastAsia="zh-CN"/>
        </w:rPr>
        <w:t>, with</w:t>
      </w:r>
      <w:r w:rsidR="008B26F5" w:rsidRPr="008B26F5">
        <w:rPr>
          <w:lang w:eastAsia="zh-CN"/>
        </w:rPr>
        <w:t xml:space="preserve"> </w:t>
      </w:r>
      <w:r w:rsidR="00B83AF2">
        <w:rPr>
          <w:lang w:eastAsia="zh-CN"/>
        </w:rPr>
        <w:t>local authorities</w:t>
      </w:r>
      <w:r w:rsidR="008B26F5" w:rsidRPr="008B26F5">
        <w:rPr>
          <w:lang w:eastAsia="zh-CN"/>
        </w:rPr>
        <w:t xml:space="preserve"> </w:t>
      </w:r>
      <w:r w:rsidR="00F0150B">
        <w:rPr>
          <w:lang w:eastAsia="zh-CN"/>
        </w:rPr>
        <w:t>completing</w:t>
      </w:r>
      <w:r w:rsidR="008B26F5" w:rsidRPr="008B26F5">
        <w:rPr>
          <w:lang w:eastAsia="zh-CN"/>
        </w:rPr>
        <w:t xml:space="preserve"> 772 sub projects from a targeted 817. </w:t>
      </w:r>
      <w:r w:rsidR="00F0150B">
        <w:rPr>
          <w:lang w:eastAsia="zh-CN"/>
        </w:rPr>
        <w:t>C</w:t>
      </w:r>
      <w:r w:rsidR="008B26F5" w:rsidRPr="008B26F5">
        <w:rPr>
          <w:lang w:eastAsia="zh-CN"/>
        </w:rPr>
        <w:t>ompleted works include</w:t>
      </w:r>
      <w:r w:rsidR="00F0150B">
        <w:rPr>
          <w:lang w:eastAsia="zh-CN"/>
        </w:rPr>
        <w:t>d</w:t>
      </w:r>
      <w:r w:rsidR="008B26F5" w:rsidRPr="008B26F5">
        <w:rPr>
          <w:lang w:eastAsia="zh-CN"/>
        </w:rPr>
        <w:t xml:space="preserve"> 622.72km of access roads, 81 market places, 37 recreati</w:t>
      </w:r>
      <w:r w:rsidR="00395906">
        <w:rPr>
          <w:lang w:eastAsia="zh-CN"/>
        </w:rPr>
        <w:t>on parks, 52 drainage systems, seven</w:t>
      </w:r>
      <w:r w:rsidR="008B26F5" w:rsidRPr="008B26F5">
        <w:rPr>
          <w:lang w:eastAsia="zh-CN"/>
        </w:rPr>
        <w:t xml:space="preserve"> community water supply projects and 1</w:t>
      </w:r>
      <w:r w:rsidR="004F4451">
        <w:rPr>
          <w:lang w:eastAsia="zh-CN"/>
        </w:rPr>
        <w:t>0 rural electrification schemes.</w:t>
      </w:r>
      <w:r w:rsidR="00B9445E">
        <w:rPr>
          <w:rStyle w:val="FootnoteReference"/>
          <w:lang w:eastAsia="zh-CN"/>
        </w:rPr>
        <w:footnoteReference w:id="13"/>
      </w:r>
      <w:r w:rsidR="004F4451">
        <w:rPr>
          <w:lang w:eastAsia="zh-CN"/>
        </w:rPr>
        <w:t xml:space="preserve"> </w:t>
      </w:r>
      <w:r w:rsidR="00F0150B">
        <w:rPr>
          <w:lang w:eastAsia="zh-CN"/>
        </w:rPr>
        <w:t>O</w:t>
      </w:r>
      <w:r w:rsidR="006B12FB">
        <w:rPr>
          <w:lang w:eastAsia="zh-CN"/>
        </w:rPr>
        <w:t>ther activities contributing to this target</w:t>
      </w:r>
      <w:r w:rsidR="0069721D">
        <w:rPr>
          <w:lang w:eastAsia="zh-CN"/>
        </w:rPr>
        <w:t xml:space="preserve">, especially </w:t>
      </w:r>
      <w:r w:rsidR="00F0150B">
        <w:rPr>
          <w:lang w:eastAsia="zh-CN"/>
        </w:rPr>
        <w:t>in</w:t>
      </w:r>
      <w:r w:rsidR="0069721D">
        <w:rPr>
          <w:lang w:eastAsia="zh-CN"/>
        </w:rPr>
        <w:t xml:space="preserve"> North</w:t>
      </w:r>
      <w:r w:rsidR="002A4B53">
        <w:rPr>
          <w:lang w:eastAsia="zh-CN"/>
        </w:rPr>
        <w:t>ern</w:t>
      </w:r>
      <w:r w:rsidR="0069721D">
        <w:rPr>
          <w:lang w:eastAsia="zh-CN"/>
        </w:rPr>
        <w:t xml:space="preserve"> and </w:t>
      </w:r>
      <w:r w:rsidR="002A4B53">
        <w:rPr>
          <w:lang w:eastAsia="zh-CN"/>
        </w:rPr>
        <w:t>Eastern</w:t>
      </w:r>
      <w:r w:rsidR="0069721D">
        <w:rPr>
          <w:lang w:eastAsia="zh-CN"/>
        </w:rPr>
        <w:t xml:space="preserve"> Provinces</w:t>
      </w:r>
      <w:r w:rsidR="002A4B53">
        <w:rPr>
          <w:lang w:eastAsia="zh-CN"/>
        </w:rPr>
        <w:t>,</w:t>
      </w:r>
      <w:r w:rsidR="006B12FB">
        <w:rPr>
          <w:lang w:eastAsia="zh-CN"/>
        </w:rPr>
        <w:t xml:space="preserve"> </w:t>
      </w:r>
      <w:r w:rsidR="00FB1E99">
        <w:rPr>
          <w:lang w:eastAsia="zh-CN"/>
        </w:rPr>
        <w:t>are</w:t>
      </w:r>
      <w:r w:rsidR="006B12FB">
        <w:rPr>
          <w:lang w:eastAsia="zh-CN"/>
        </w:rPr>
        <w:t xml:space="preserve"> funded under the Australian Community Rehabilitation Program Phase 3 (ACRP3). </w:t>
      </w:r>
      <w:r w:rsidR="00F0150B">
        <w:rPr>
          <w:lang w:eastAsia="zh-CN"/>
        </w:rPr>
        <w:t>This project has increased access to improved economic infrastructure for communities by i</w:t>
      </w:r>
      <w:r w:rsidR="00654E9B">
        <w:rPr>
          <w:lang w:eastAsia="zh-CN"/>
        </w:rPr>
        <w:t xml:space="preserve">nvesting in </w:t>
      </w:r>
      <w:r w:rsidR="00D054D8">
        <w:rPr>
          <w:lang w:eastAsia="zh-CN"/>
        </w:rPr>
        <w:t xml:space="preserve">infrastructure </w:t>
      </w:r>
      <w:r w:rsidR="006B12FB">
        <w:rPr>
          <w:lang w:eastAsia="zh-CN"/>
        </w:rPr>
        <w:t>such as irrigation channels, rice milling machines, fish auction centres, cold storage and packing facilities</w:t>
      </w:r>
      <w:r w:rsidR="00F0150B">
        <w:rPr>
          <w:lang w:eastAsia="zh-CN"/>
        </w:rPr>
        <w:t>.</w:t>
      </w:r>
      <w:r w:rsidR="00D054D8">
        <w:rPr>
          <w:rStyle w:val="FootnoteReference"/>
          <w:lang w:eastAsia="zh-CN"/>
        </w:rPr>
        <w:footnoteReference w:id="14"/>
      </w:r>
    </w:p>
    <w:p w:rsidR="00715307" w:rsidRDefault="00F0150B" w:rsidP="00E861AC">
      <w:pPr>
        <w:pStyle w:val="ListBullet"/>
        <w:numPr>
          <w:ilvl w:val="0"/>
          <w:numId w:val="0"/>
        </w:numPr>
        <w:tabs>
          <w:tab w:val="clear" w:pos="284"/>
        </w:tabs>
        <w:rPr>
          <w:lang w:eastAsia="zh-CN"/>
        </w:rPr>
      </w:pPr>
      <w:r>
        <w:rPr>
          <w:lang w:eastAsia="zh-CN"/>
        </w:rPr>
        <w:t xml:space="preserve">The second economic development target </w:t>
      </w:r>
      <w:r w:rsidRPr="00455651">
        <w:rPr>
          <w:b/>
          <w:lang w:eastAsia="zh-CN"/>
        </w:rPr>
        <w:t>was a strengthened capacity to manage and maintain economic infrastructure for 77 local government authorities</w:t>
      </w:r>
      <w:r>
        <w:rPr>
          <w:lang w:eastAsia="zh-CN"/>
        </w:rPr>
        <w:t>. NELSIP and ACRP3</w:t>
      </w:r>
      <w:r w:rsidRPr="005E5B64">
        <w:rPr>
          <w:lang w:eastAsia="zh-CN"/>
        </w:rPr>
        <w:t xml:space="preserve"> </w:t>
      </w:r>
      <w:r>
        <w:rPr>
          <w:lang w:eastAsia="zh-CN"/>
        </w:rPr>
        <w:t xml:space="preserve">have both contributed to meeting this target by funding activities that build the capacity of LAs to manage and maintain infrastructure.  </w:t>
      </w:r>
      <w:r w:rsidRPr="00B911B6">
        <w:rPr>
          <w:lang w:eastAsia="zh-CN"/>
        </w:rPr>
        <w:t xml:space="preserve">NELSIP </w:t>
      </w:r>
      <w:r>
        <w:rPr>
          <w:lang w:eastAsia="zh-CN"/>
        </w:rPr>
        <w:t xml:space="preserve">has </w:t>
      </w:r>
      <w:r w:rsidRPr="00B911B6">
        <w:rPr>
          <w:lang w:eastAsia="zh-CN"/>
        </w:rPr>
        <w:t>enabled 7</w:t>
      </w:r>
      <w:r>
        <w:rPr>
          <w:lang w:eastAsia="zh-CN"/>
        </w:rPr>
        <w:t>9</w:t>
      </w:r>
      <w:r w:rsidRPr="00B911B6">
        <w:rPr>
          <w:lang w:eastAsia="zh-CN"/>
        </w:rPr>
        <w:t xml:space="preserve"> LAs to institutionalise key </w:t>
      </w:r>
      <w:r>
        <w:rPr>
          <w:lang w:eastAsia="zh-CN"/>
        </w:rPr>
        <w:t>management functions, including preparation of participatory development plans, preparation of</w:t>
      </w:r>
      <w:r w:rsidRPr="00B911B6">
        <w:rPr>
          <w:lang w:eastAsia="zh-CN"/>
        </w:rPr>
        <w:t xml:space="preserve"> annual financial statements </w:t>
      </w:r>
      <w:r>
        <w:rPr>
          <w:lang w:eastAsia="zh-CN"/>
        </w:rPr>
        <w:t>which are independently audited and competitive tendering mechanisms.</w:t>
      </w:r>
      <w:r>
        <w:rPr>
          <w:rStyle w:val="FootnoteReference"/>
          <w:lang w:eastAsia="zh-CN"/>
        </w:rPr>
        <w:footnoteReference w:id="15"/>
      </w:r>
      <w:r>
        <w:rPr>
          <w:lang w:eastAsia="zh-CN"/>
        </w:rPr>
        <w:t xml:space="preserve"> The Asia Foundation (</w:t>
      </w:r>
      <w:r w:rsidRPr="00C8722E">
        <w:rPr>
          <w:lang w:eastAsia="zh-CN"/>
        </w:rPr>
        <w:t>TAF</w:t>
      </w:r>
      <w:r>
        <w:rPr>
          <w:lang w:eastAsia="zh-CN"/>
        </w:rPr>
        <w:t>), under ACRP3,</w:t>
      </w:r>
      <w:r w:rsidRPr="00C8722E">
        <w:rPr>
          <w:lang w:eastAsia="zh-CN"/>
        </w:rPr>
        <w:t xml:space="preserve"> ha</w:t>
      </w:r>
      <w:r>
        <w:rPr>
          <w:lang w:eastAsia="zh-CN"/>
        </w:rPr>
        <w:t xml:space="preserve">s </w:t>
      </w:r>
      <w:r w:rsidRPr="00C8722E">
        <w:rPr>
          <w:lang w:eastAsia="zh-CN"/>
        </w:rPr>
        <w:t>successfully helped implement a</w:t>
      </w:r>
      <w:r w:rsidR="00395906">
        <w:rPr>
          <w:lang w:eastAsia="zh-CN"/>
        </w:rPr>
        <w:t>utomated revenue assessment in nine</w:t>
      </w:r>
      <w:r w:rsidRPr="00C8722E">
        <w:rPr>
          <w:lang w:eastAsia="zh-CN"/>
        </w:rPr>
        <w:t xml:space="preserve"> LAs</w:t>
      </w:r>
      <w:r>
        <w:rPr>
          <w:lang w:eastAsia="zh-CN"/>
        </w:rPr>
        <w:t xml:space="preserve"> and build capacity to implement enabling legislation.</w:t>
      </w:r>
      <w:r w:rsidR="003B6C6E">
        <w:rPr>
          <w:rStyle w:val="FootnoteReference"/>
          <w:lang w:eastAsia="zh-CN"/>
        </w:rPr>
        <w:footnoteReference w:id="16"/>
      </w:r>
      <w:r w:rsidR="008B26F5" w:rsidRPr="008B26F5">
        <w:rPr>
          <w:lang w:eastAsia="zh-CN"/>
        </w:rPr>
        <w:t xml:space="preserve"> </w:t>
      </w:r>
    </w:p>
    <w:p w:rsidR="00715307" w:rsidRDefault="00715307" w:rsidP="00E4542F">
      <w:pPr>
        <w:pStyle w:val="ListBullet"/>
        <w:numPr>
          <w:ilvl w:val="0"/>
          <w:numId w:val="0"/>
        </w:numPr>
        <w:tabs>
          <w:tab w:val="clear" w:pos="284"/>
        </w:tabs>
        <w:spacing w:before="120" w:after="240"/>
        <w:rPr>
          <w:lang w:eastAsia="zh-CN"/>
        </w:rPr>
      </w:pPr>
      <w:r>
        <w:rPr>
          <w:lang w:eastAsia="zh-CN"/>
        </w:rPr>
        <w:t xml:space="preserve">The final economic development target was an </w:t>
      </w:r>
      <w:r w:rsidRPr="00C8722E">
        <w:rPr>
          <w:b/>
          <w:lang w:eastAsia="zh-CN"/>
        </w:rPr>
        <w:t>increased ability of communities to hold local government accountable for the delivery of essential economic infrastructure</w:t>
      </w:r>
      <w:r>
        <w:rPr>
          <w:lang w:eastAsia="zh-CN"/>
        </w:rPr>
        <w:t xml:space="preserve">. </w:t>
      </w:r>
      <w:r w:rsidR="00C8722E" w:rsidRPr="00C8722E">
        <w:rPr>
          <w:lang w:eastAsia="zh-CN"/>
        </w:rPr>
        <w:t xml:space="preserve">NELSIP </w:t>
      </w:r>
      <w:r w:rsidR="00730D7B">
        <w:rPr>
          <w:lang w:eastAsia="zh-CN"/>
        </w:rPr>
        <w:t xml:space="preserve">has </w:t>
      </w:r>
      <w:r w:rsidR="00C8722E" w:rsidRPr="00C8722E">
        <w:rPr>
          <w:lang w:eastAsia="zh-CN"/>
        </w:rPr>
        <w:t xml:space="preserve">supported 70 LAs to prepare </w:t>
      </w:r>
      <w:r w:rsidR="00F5167D">
        <w:rPr>
          <w:lang w:eastAsia="zh-CN"/>
        </w:rPr>
        <w:t xml:space="preserve">participatory </w:t>
      </w:r>
      <w:r w:rsidR="00C8722E" w:rsidRPr="00C8722E">
        <w:rPr>
          <w:lang w:eastAsia="zh-CN"/>
        </w:rPr>
        <w:t>budgets</w:t>
      </w:r>
      <w:r w:rsidR="00E4542F">
        <w:rPr>
          <w:lang w:eastAsia="zh-CN"/>
        </w:rPr>
        <w:t>. It</w:t>
      </w:r>
      <w:r w:rsidR="00730D7B">
        <w:rPr>
          <w:lang w:eastAsia="zh-CN"/>
        </w:rPr>
        <w:t xml:space="preserve"> has ensur</w:t>
      </w:r>
      <w:r w:rsidR="00E4542F">
        <w:rPr>
          <w:lang w:eastAsia="zh-CN"/>
        </w:rPr>
        <w:t>ed</w:t>
      </w:r>
      <w:r w:rsidR="00730D7B">
        <w:rPr>
          <w:lang w:eastAsia="zh-CN"/>
        </w:rPr>
        <w:t xml:space="preserve"> 100</w:t>
      </w:r>
      <w:r w:rsidR="00F5167D">
        <w:rPr>
          <w:lang w:eastAsia="zh-CN"/>
        </w:rPr>
        <w:t xml:space="preserve"> per cent</w:t>
      </w:r>
      <w:r w:rsidR="00730D7B">
        <w:rPr>
          <w:lang w:eastAsia="zh-CN"/>
        </w:rPr>
        <w:t xml:space="preserve"> of supported subprojects </w:t>
      </w:r>
      <w:r w:rsidR="00E4542F">
        <w:rPr>
          <w:lang w:eastAsia="zh-CN"/>
        </w:rPr>
        <w:t>include</w:t>
      </w:r>
      <w:r w:rsidR="00730D7B">
        <w:rPr>
          <w:lang w:eastAsia="zh-CN"/>
        </w:rPr>
        <w:t xml:space="preserve"> community contribution and 80</w:t>
      </w:r>
      <w:r w:rsidR="00F5167D">
        <w:rPr>
          <w:lang w:eastAsia="zh-CN"/>
        </w:rPr>
        <w:t xml:space="preserve"> per cent</w:t>
      </w:r>
      <w:r w:rsidR="00730D7B">
        <w:rPr>
          <w:lang w:eastAsia="zh-CN"/>
        </w:rPr>
        <w:t xml:space="preserve"> </w:t>
      </w:r>
      <w:r w:rsidR="00E4542F">
        <w:rPr>
          <w:lang w:eastAsia="zh-CN"/>
        </w:rPr>
        <w:t xml:space="preserve">include </w:t>
      </w:r>
      <w:r w:rsidR="00730D7B">
        <w:rPr>
          <w:lang w:eastAsia="zh-CN"/>
        </w:rPr>
        <w:t>community engagement in post</w:t>
      </w:r>
      <w:r w:rsidR="00E4542F">
        <w:rPr>
          <w:lang w:eastAsia="zh-CN"/>
        </w:rPr>
        <w:t>-</w:t>
      </w:r>
      <w:r w:rsidR="00730D7B">
        <w:rPr>
          <w:lang w:eastAsia="zh-CN"/>
        </w:rPr>
        <w:t>project sustainability</w:t>
      </w:r>
      <w:r w:rsidR="00C8722E" w:rsidRPr="00C8722E">
        <w:rPr>
          <w:lang w:eastAsia="zh-CN"/>
        </w:rPr>
        <w:t>.</w:t>
      </w:r>
      <w:r w:rsidR="00C8722E" w:rsidRPr="00A222B7">
        <w:rPr>
          <w:rFonts w:ascii="Times New Roman" w:hAnsi="Times New Roman"/>
          <w:szCs w:val="21"/>
          <w:vertAlign w:val="superscript"/>
          <w:lang w:eastAsia="zh-CN"/>
        </w:rPr>
        <w:footnoteReference w:id="17"/>
      </w:r>
      <w:r w:rsidR="00C8722E" w:rsidRPr="00C8722E">
        <w:rPr>
          <w:lang w:eastAsia="zh-CN"/>
        </w:rPr>
        <w:t xml:space="preserve"> </w:t>
      </w:r>
      <w:r w:rsidR="00E4542F">
        <w:rPr>
          <w:lang w:eastAsia="zh-CN"/>
        </w:rPr>
        <w:t>Our</w:t>
      </w:r>
      <w:r w:rsidR="00730D7B" w:rsidRPr="00B911B6">
        <w:rPr>
          <w:lang w:eastAsia="zh-CN"/>
        </w:rPr>
        <w:t xml:space="preserve"> advocacy helped </w:t>
      </w:r>
      <w:r w:rsidR="00F5167D">
        <w:rPr>
          <w:lang w:val="en-US" w:eastAsia="zh-CN"/>
        </w:rPr>
        <w:t>en</w:t>
      </w:r>
      <w:r w:rsidR="00730D7B" w:rsidRPr="00B911B6">
        <w:rPr>
          <w:lang w:val="en-US" w:eastAsia="zh-CN"/>
        </w:rPr>
        <w:t xml:space="preserve">sure </w:t>
      </w:r>
      <w:r w:rsidR="00730D7B" w:rsidRPr="00F5167D">
        <w:rPr>
          <w:lang w:val="en-US" w:eastAsia="zh-CN"/>
        </w:rPr>
        <w:t xml:space="preserve">women </w:t>
      </w:r>
      <w:r w:rsidR="00E4542F">
        <w:rPr>
          <w:lang w:val="en-US" w:eastAsia="zh-CN"/>
        </w:rPr>
        <w:t>were</w:t>
      </w:r>
      <w:r w:rsidR="00730D7B" w:rsidRPr="00F5167D">
        <w:rPr>
          <w:lang w:val="en-US" w:eastAsia="zh-CN"/>
        </w:rPr>
        <w:t xml:space="preserve"> equally represented on </w:t>
      </w:r>
      <w:r w:rsidR="003B6C6E">
        <w:rPr>
          <w:lang w:val="en-US" w:eastAsia="zh-CN"/>
        </w:rPr>
        <w:t xml:space="preserve">all </w:t>
      </w:r>
      <w:r w:rsidR="00730D7B" w:rsidRPr="00F5167D">
        <w:rPr>
          <w:lang w:val="en-US" w:eastAsia="zh-CN"/>
        </w:rPr>
        <w:t>1,036 local management committees supported by NELSIP.</w:t>
      </w:r>
      <w:r w:rsidR="00C8722E" w:rsidRPr="00C8722E">
        <w:rPr>
          <w:lang w:eastAsia="zh-CN"/>
        </w:rPr>
        <w:t xml:space="preserve"> The </w:t>
      </w:r>
      <w:r w:rsidR="00E4542F">
        <w:rPr>
          <w:lang w:eastAsia="zh-CN"/>
        </w:rPr>
        <w:t>March 2015</w:t>
      </w:r>
      <w:r w:rsidR="00C8722E" w:rsidRPr="00C8722E">
        <w:rPr>
          <w:lang w:eastAsia="zh-CN"/>
        </w:rPr>
        <w:t xml:space="preserve"> Technical Support Team monitoring mission for ACRP3 found TAF had helped implement electronic citizen reports in </w:t>
      </w:r>
      <w:r w:rsidR="00890714">
        <w:rPr>
          <w:lang w:eastAsia="zh-CN"/>
        </w:rPr>
        <w:t>four</w:t>
      </w:r>
      <w:r w:rsidR="00C8722E" w:rsidRPr="00C8722E">
        <w:rPr>
          <w:lang w:eastAsia="zh-CN"/>
        </w:rPr>
        <w:t xml:space="preserve"> </w:t>
      </w:r>
      <w:r w:rsidR="00890714">
        <w:rPr>
          <w:lang w:eastAsia="zh-CN"/>
        </w:rPr>
        <w:t xml:space="preserve">LAs </w:t>
      </w:r>
      <w:r w:rsidR="00C8722E" w:rsidRPr="00C8722E">
        <w:rPr>
          <w:lang w:eastAsia="zh-CN"/>
        </w:rPr>
        <w:t>a</w:t>
      </w:r>
      <w:r w:rsidR="002A4B53">
        <w:rPr>
          <w:lang w:eastAsia="zh-CN"/>
        </w:rPr>
        <w:t xml:space="preserve">nd participatory budgeting in </w:t>
      </w:r>
      <w:r w:rsidR="00890714">
        <w:rPr>
          <w:lang w:eastAsia="zh-CN"/>
        </w:rPr>
        <w:t>three</w:t>
      </w:r>
      <w:r w:rsidR="002A4B53">
        <w:rPr>
          <w:lang w:eastAsia="zh-CN"/>
        </w:rPr>
        <w:t xml:space="preserve">. </w:t>
      </w:r>
      <w:r w:rsidR="00F20F6A">
        <w:rPr>
          <w:lang w:eastAsia="zh-CN"/>
        </w:rPr>
        <w:t>O</w:t>
      </w:r>
      <w:r w:rsidR="002A4B53">
        <w:rPr>
          <w:lang w:eastAsia="zh-CN"/>
        </w:rPr>
        <w:t>ther activities under ACRP3</w:t>
      </w:r>
      <w:r w:rsidR="00890714">
        <w:rPr>
          <w:lang w:eastAsia="zh-CN"/>
        </w:rPr>
        <w:t xml:space="preserve"> </w:t>
      </w:r>
      <w:r w:rsidR="00F20F6A">
        <w:rPr>
          <w:lang w:eastAsia="zh-CN"/>
        </w:rPr>
        <w:t>enable</w:t>
      </w:r>
      <w:r w:rsidR="00E4542F">
        <w:rPr>
          <w:lang w:eastAsia="zh-CN"/>
        </w:rPr>
        <w:t>d</w:t>
      </w:r>
      <w:r w:rsidR="00890714">
        <w:rPr>
          <w:lang w:eastAsia="zh-CN"/>
        </w:rPr>
        <w:t xml:space="preserve"> communities to hold </w:t>
      </w:r>
      <w:r w:rsidR="00890714">
        <w:rPr>
          <w:lang w:eastAsia="zh-CN"/>
        </w:rPr>
        <w:lastRenderedPageBreak/>
        <w:t xml:space="preserve">government to account for the delivery of services. </w:t>
      </w:r>
      <w:r w:rsidR="00E4542F">
        <w:rPr>
          <w:lang w:eastAsia="zh-CN"/>
        </w:rPr>
        <w:t>A</w:t>
      </w:r>
      <w:r w:rsidR="00890714">
        <w:rPr>
          <w:lang w:eastAsia="zh-CN"/>
        </w:rPr>
        <w:t xml:space="preserve"> network of women’s self-help groups in Mannar district, Northern Province, </w:t>
      </w:r>
      <w:r w:rsidR="00E4542F">
        <w:rPr>
          <w:lang w:eastAsia="zh-CN"/>
        </w:rPr>
        <w:t xml:space="preserve">initially </w:t>
      </w:r>
      <w:r w:rsidR="00890714">
        <w:rPr>
          <w:lang w:eastAsia="zh-CN"/>
        </w:rPr>
        <w:t>assist</w:t>
      </w:r>
      <w:r w:rsidR="00E4542F">
        <w:rPr>
          <w:lang w:eastAsia="zh-CN"/>
        </w:rPr>
        <w:t>ing</w:t>
      </w:r>
      <w:r w:rsidR="00890714">
        <w:rPr>
          <w:lang w:eastAsia="zh-CN"/>
        </w:rPr>
        <w:t xml:space="preserve"> with savings and economic management</w:t>
      </w:r>
      <w:r w:rsidR="007951DA">
        <w:rPr>
          <w:lang w:eastAsia="zh-CN"/>
        </w:rPr>
        <w:t>,</w:t>
      </w:r>
      <w:r w:rsidR="00E4542F">
        <w:rPr>
          <w:lang w:eastAsia="zh-CN"/>
        </w:rPr>
        <w:t xml:space="preserve"> </w:t>
      </w:r>
      <w:r w:rsidR="00890714">
        <w:rPr>
          <w:lang w:eastAsia="zh-CN"/>
        </w:rPr>
        <w:t>expanded to take joint action on issues such as public safety, access to services and gender based violence.</w:t>
      </w:r>
      <w:r w:rsidR="00890714">
        <w:rPr>
          <w:rStyle w:val="FootnoteReference"/>
          <w:lang w:eastAsia="zh-CN"/>
        </w:rPr>
        <w:footnoteReference w:id="18"/>
      </w:r>
    </w:p>
    <w:p w:rsidR="00C8743A" w:rsidRDefault="00C8743A" w:rsidP="00C8743A">
      <w:pPr>
        <w:pStyle w:val="ListBullet"/>
        <w:numPr>
          <w:ilvl w:val="0"/>
          <w:numId w:val="0"/>
        </w:numPr>
        <w:spacing w:before="120" w:after="240"/>
        <w:rPr>
          <w:lang w:eastAsia="zh-CN"/>
        </w:rPr>
      </w:pPr>
      <w:r w:rsidRPr="00C8743A">
        <w:rPr>
          <w:lang w:eastAsia="zh-CN"/>
        </w:rPr>
        <w:t xml:space="preserve">These targets help provide a clear picture of progress toward this strategic objective, but, </w:t>
      </w:r>
      <w:r>
        <w:rPr>
          <w:lang w:eastAsia="zh-CN"/>
        </w:rPr>
        <w:t>inevitably</w:t>
      </w:r>
      <w:r w:rsidRPr="00C8743A">
        <w:rPr>
          <w:lang w:eastAsia="zh-CN"/>
        </w:rPr>
        <w:t>, do not explain all facets of the program. A key</w:t>
      </w:r>
      <w:r>
        <w:rPr>
          <w:lang w:eastAsia="zh-CN"/>
        </w:rPr>
        <w:t xml:space="preserve"> </w:t>
      </w:r>
      <w:r w:rsidRPr="00C8743A">
        <w:rPr>
          <w:lang w:eastAsia="zh-CN"/>
        </w:rPr>
        <w:t xml:space="preserve">2014-15 activity </w:t>
      </w:r>
      <w:r>
        <w:rPr>
          <w:lang w:eastAsia="zh-CN"/>
        </w:rPr>
        <w:t>they do not pick</w:t>
      </w:r>
      <w:r w:rsidRPr="00C8743A">
        <w:rPr>
          <w:lang w:eastAsia="zh-CN"/>
        </w:rPr>
        <w:t xml:space="preserve"> up is Australia’s humanitarian response to the Sri Lankan floods of </w:t>
      </w:r>
      <w:r>
        <w:rPr>
          <w:lang w:eastAsia="zh-CN"/>
        </w:rPr>
        <w:t>December</w:t>
      </w:r>
      <w:r w:rsidRPr="00C8743A">
        <w:rPr>
          <w:lang w:eastAsia="zh-CN"/>
        </w:rPr>
        <w:t xml:space="preserve"> 2014</w:t>
      </w:r>
      <w:r w:rsidR="003B6C6E">
        <w:rPr>
          <w:lang w:eastAsia="zh-CN"/>
        </w:rPr>
        <w:t>,</w:t>
      </w:r>
      <w:r w:rsidRPr="00C8743A">
        <w:rPr>
          <w:lang w:eastAsia="zh-CN"/>
        </w:rPr>
        <w:t xml:space="preserve"> </w:t>
      </w:r>
      <w:r w:rsidR="003B6C6E">
        <w:rPr>
          <w:lang w:eastAsia="zh-CN"/>
        </w:rPr>
        <w:t xml:space="preserve">which affected </w:t>
      </w:r>
      <w:r w:rsidRPr="00C8743A">
        <w:rPr>
          <w:lang w:eastAsia="zh-CN"/>
        </w:rPr>
        <w:t xml:space="preserve">more than one million people. Working through established international and NGO partners, Australia quickly dispersed </w:t>
      </w:r>
      <w:r>
        <w:rPr>
          <w:lang w:eastAsia="zh-CN"/>
        </w:rPr>
        <w:t>over A$3 million to affected areas to assist with recovery and rehabilitation of livelihoods.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21"/>
      </w:tblGrid>
      <w:tr w:rsidR="00115D73" w:rsidTr="007951DA">
        <w:tc>
          <w:tcPr>
            <w:tcW w:w="8721" w:type="dxa"/>
          </w:tcPr>
          <w:p w:rsidR="00115D73" w:rsidRPr="00903C56" w:rsidRDefault="00115D73" w:rsidP="007951DA">
            <w:pPr>
              <w:pStyle w:val="ListBullet"/>
              <w:numPr>
                <w:ilvl w:val="0"/>
                <w:numId w:val="0"/>
              </w:numPr>
              <w:tabs>
                <w:tab w:val="clear" w:pos="284"/>
              </w:tabs>
              <w:spacing w:after="160"/>
              <w:jc w:val="center"/>
              <w:rPr>
                <w:rFonts w:eastAsia="SimSun"/>
                <w:szCs w:val="21"/>
                <w:lang w:eastAsia="zh-CN"/>
              </w:rPr>
            </w:pPr>
            <w:r>
              <w:rPr>
                <w:rFonts w:eastAsia="SimSun"/>
                <w:b/>
                <w:szCs w:val="21"/>
                <w:lang w:eastAsia="zh-CN"/>
              </w:rPr>
              <w:t xml:space="preserve">Box 1: Engaging </w:t>
            </w:r>
            <w:r w:rsidRPr="00903C56">
              <w:rPr>
                <w:rFonts w:eastAsia="SimSun"/>
                <w:b/>
                <w:szCs w:val="21"/>
                <w:lang w:eastAsia="zh-CN"/>
              </w:rPr>
              <w:t>the private sector</w:t>
            </w:r>
          </w:p>
          <w:p w:rsidR="00115D73" w:rsidRPr="00604E5D" w:rsidRDefault="00115D73" w:rsidP="003B6C6E">
            <w:pPr>
              <w:pStyle w:val="BodyText"/>
              <w:rPr>
                <w:lang w:eastAsia="zh-CN"/>
              </w:rPr>
            </w:pPr>
            <w:r>
              <w:t xml:space="preserve">In Sri Lanka, </w:t>
            </w:r>
            <w:r w:rsidRPr="00903C56">
              <w:t xml:space="preserve">Australia has </w:t>
            </w:r>
            <w:r>
              <w:t xml:space="preserve">long </w:t>
            </w:r>
            <w:r w:rsidRPr="00903C56">
              <w:t>funded partnerships between private companies and community organisations that involve shared ownership and joint equity in new enterprises as well as</w:t>
            </w:r>
            <w:r>
              <w:t xml:space="preserve"> in economic and social assets.</w:t>
            </w:r>
            <w:r w:rsidR="00147E2C">
              <w:t xml:space="preserve"> </w:t>
            </w:r>
            <w:r w:rsidR="00395906">
              <w:t xml:space="preserve">For example, </w:t>
            </w:r>
            <w:r w:rsidRPr="00903C56">
              <w:t>Australia is supporting a crab processing factory</w:t>
            </w:r>
            <w:r>
              <w:t xml:space="preserve"> in Poonakary</w:t>
            </w:r>
            <w:r w:rsidRPr="00903C56">
              <w:t xml:space="preserve"> to meet international processing and environmental standards</w:t>
            </w:r>
            <w:r>
              <w:t xml:space="preserve"> </w:t>
            </w:r>
            <w:r w:rsidRPr="00903C56">
              <w:t xml:space="preserve">via a partnership between a fishing cooperative, a seafood export company, and two government authorities. Over 1,000 families </w:t>
            </w:r>
            <w:r>
              <w:t xml:space="preserve">benefit from selling their catch at </w:t>
            </w:r>
            <w:r w:rsidRPr="00903C56">
              <w:t>market rates</w:t>
            </w:r>
            <w:r>
              <w:t xml:space="preserve"> to </w:t>
            </w:r>
            <w:r w:rsidR="003B6C6E">
              <w:t>the</w:t>
            </w:r>
            <w:r w:rsidRPr="00903C56">
              <w:t xml:space="preserve"> factory</w:t>
            </w:r>
            <w:r w:rsidR="003B6C6E">
              <w:t>, which then exports</w:t>
            </w:r>
            <w:r w:rsidRPr="00903C56">
              <w:t xml:space="preserve"> </w:t>
            </w:r>
            <w:r>
              <w:t>crab meat</w:t>
            </w:r>
            <w:r w:rsidRPr="00903C56">
              <w:t xml:space="preserve"> to the US market</w:t>
            </w:r>
            <w:r>
              <w:t xml:space="preserve"> </w:t>
            </w:r>
            <w:r w:rsidR="00395906">
              <w:t>and</w:t>
            </w:r>
            <w:r>
              <w:t xml:space="preserve"> </w:t>
            </w:r>
            <w:r w:rsidRPr="00903C56">
              <w:t>employ</w:t>
            </w:r>
            <w:r>
              <w:t>s</w:t>
            </w:r>
            <w:r w:rsidRPr="00903C56">
              <w:t xml:space="preserve"> 75 </w:t>
            </w:r>
            <w:r>
              <w:t xml:space="preserve">previously unemployed </w:t>
            </w:r>
            <w:r w:rsidRPr="00903C56">
              <w:t xml:space="preserve">local women. </w:t>
            </w:r>
            <w:r>
              <w:t>Australian m</w:t>
            </w:r>
            <w:r w:rsidRPr="00903C56">
              <w:t xml:space="preserve">arine experts </w:t>
            </w:r>
            <w:r>
              <w:t>have</w:t>
            </w:r>
            <w:r w:rsidR="003B6C6E">
              <w:t xml:space="preserve"> also</w:t>
            </w:r>
            <w:r>
              <w:t xml:space="preserve"> assisted</w:t>
            </w:r>
            <w:r w:rsidRPr="00903C56">
              <w:t xml:space="preserve"> local experts from the National Aquaculture Development Authority to improve the marine plan and build the capacity of local fishing families. In one year, this </w:t>
            </w:r>
            <w:r>
              <w:t>project</w:t>
            </w:r>
            <w:r w:rsidRPr="00903C56">
              <w:t xml:space="preserve"> process</w:t>
            </w:r>
            <w:r>
              <w:t>ed</w:t>
            </w:r>
            <w:r w:rsidRPr="00903C56">
              <w:t xml:space="preserve"> 180,000 k</w:t>
            </w:r>
            <w:r>
              <w:t>ilograms</w:t>
            </w:r>
            <w:r w:rsidRPr="00903C56">
              <w:t xml:space="preserve"> of crab</w:t>
            </w:r>
            <w:r>
              <w:t xml:space="preserve"> and</w:t>
            </w:r>
            <w:r w:rsidRPr="00903C56">
              <w:t xml:space="preserve"> creat</w:t>
            </w:r>
            <w:r>
              <w:t>ed</w:t>
            </w:r>
            <w:r w:rsidRPr="00903C56">
              <w:t xml:space="preserve"> 15,0</w:t>
            </w:r>
            <w:r>
              <w:t xml:space="preserve">00 working days of employment. Under the new </w:t>
            </w:r>
            <w:r w:rsidR="007951DA">
              <w:t>AIP</w:t>
            </w:r>
            <w:r>
              <w:t>, A</w:t>
            </w:r>
            <w:r w:rsidRPr="00903C56">
              <w:t xml:space="preserve">ustralia </w:t>
            </w:r>
            <w:r>
              <w:t>will</w:t>
            </w:r>
            <w:r w:rsidRPr="00903C56">
              <w:t xml:space="preserve"> </w:t>
            </w:r>
            <w:r w:rsidR="00147E2C">
              <w:t>develop</w:t>
            </w:r>
            <w:r w:rsidRPr="00903C56">
              <w:t xml:space="preserve"> </w:t>
            </w:r>
            <w:r w:rsidR="00147E2C">
              <w:t>similar</w:t>
            </w:r>
            <w:r w:rsidR="007951DA">
              <w:t>, scalable</w:t>
            </w:r>
            <w:r w:rsidR="00147E2C">
              <w:t xml:space="preserve"> </w:t>
            </w:r>
            <w:r w:rsidRPr="00903C56">
              <w:t xml:space="preserve">investments through </w:t>
            </w:r>
            <w:r>
              <w:t>the</w:t>
            </w:r>
            <w:r w:rsidRPr="00903C56">
              <w:t xml:space="preserve"> Economic Opportunities for the Poor program</w:t>
            </w:r>
            <w:r>
              <w:t>.</w:t>
            </w:r>
          </w:p>
        </w:tc>
      </w:tr>
    </w:tbl>
    <w:p w:rsidR="00EC7B4C" w:rsidRDefault="00EC7B4C" w:rsidP="002E5070">
      <w:pPr>
        <w:pStyle w:val="Heading3"/>
      </w:pPr>
      <w:r w:rsidRPr="00C57923">
        <w:t xml:space="preserve">Objective </w:t>
      </w:r>
      <w:r>
        <w:t xml:space="preserve">2: </w:t>
      </w:r>
      <w:r w:rsidRPr="00EC7B4C">
        <w:t>Policies and programs implemented at national and sub-national levels that aim for inclusive growth and improved service delivery</w:t>
      </w:r>
    </w:p>
    <w:p w:rsidR="00EC7B4C" w:rsidRDefault="00EC7B4C" w:rsidP="00EC7B4C">
      <w:pPr>
        <w:pStyle w:val="ListBullet"/>
        <w:numPr>
          <w:ilvl w:val="0"/>
          <w:numId w:val="0"/>
        </w:numPr>
        <w:tabs>
          <w:tab w:val="clear" w:pos="284"/>
        </w:tabs>
        <w:rPr>
          <w:lang w:eastAsia="zh-CN"/>
        </w:rPr>
      </w:pPr>
      <w:r>
        <w:rPr>
          <w:i/>
        </w:rPr>
        <w:t>This</w:t>
      </w:r>
      <w:r w:rsidRPr="00625A52">
        <w:rPr>
          <w:i/>
        </w:rPr>
        <w:t xml:space="preserve"> objective </w:t>
      </w:r>
      <w:r w:rsidR="00F20F6A">
        <w:rPr>
          <w:i/>
        </w:rPr>
        <w:t>maintained its green rating</w:t>
      </w:r>
      <w:r w:rsidR="00F5167D">
        <w:rPr>
          <w:i/>
        </w:rPr>
        <w:t>. O</w:t>
      </w:r>
      <w:r w:rsidR="00FF3B05">
        <w:rPr>
          <w:i/>
        </w:rPr>
        <w:t>n balance,</w:t>
      </w:r>
      <w:r w:rsidRPr="00625A52">
        <w:rPr>
          <w:i/>
        </w:rPr>
        <w:t xml:space="preserve"> program progress was </w:t>
      </w:r>
      <w:r>
        <w:rPr>
          <w:i/>
        </w:rPr>
        <w:t xml:space="preserve">as expected </w:t>
      </w:r>
      <w:r w:rsidR="00455651">
        <w:rPr>
          <w:i/>
        </w:rPr>
        <w:t>for</w:t>
      </w:r>
      <w:r>
        <w:rPr>
          <w:i/>
        </w:rPr>
        <w:t xml:space="preserve"> this stage of implementation</w:t>
      </w:r>
      <w:r w:rsidR="00FF3B05">
        <w:rPr>
          <w:i/>
        </w:rPr>
        <w:t xml:space="preserve"> </w:t>
      </w:r>
      <w:r w:rsidR="00F5167D">
        <w:rPr>
          <w:i/>
        </w:rPr>
        <w:t xml:space="preserve">and </w:t>
      </w:r>
      <w:r w:rsidR="00FF3B05">
        <w:rPr>
          <w:i/>
        </w:rPr>
        <w:t xml:space="preserve">the </w:t>
      </w:r>
      <w:r w:rsidR="00F5167D">
        <w:rPr>
          <w:i/>
        </w:rPr>
        <w:t>majority</w:t>
      </w:r>
      <w:r w:rsidR="00FF3B05">
        <w:rPr>
          <w:i/>
        </w:rPr>
        <w:t xml:space="preserve"> of targets </w:t>
      </w:r>
      <w:r w:rsidR="00906FC8">
        <w:rPr>
          <w:i/>
        </w:rPr>
        <w:t xml:space="preserve">were </w:t>
      </w:r>
      <w:r w:rsidR="00FF3B05">
        <w:rPr>
          <w:i/>
        </w:rPr>
        <w:t>achieved</w:t>
      </w:r>
      <w:r>
        <w:rPr>
          <w:i/>
        </w:rPr>
        <w:t>.</w:t>
      </w:r>
      <w:r w:rsidR="00730D7B">
        <w:rPr>
          <w:i/>
        </w:rPr>
        <w:t xml:space="preserve"> </w:t>
      </w:r>
      <w:r w:rsidR="00F5167D">
        <w:rPr>
          <w:i/>
        </w:rPr>
        <w:t>An</w:t>
      </w:r>
      <w:r w:rsidR="00730D7B">
        <w:rPr>
          <w:i/>
        </w:rPr>
        <w:t xml:space="preserve"> area of concern is the delay in implementing a key investment in improving nutrition outcomes, </w:t>
      </w:r>
      <w:r w:rsidR="00F5167D">
        <w:rPr>
          <w:i/>
        </w:rPr>
        <w:t>particularly</w:t>
      </w:r>
      <w:r w:rsidR="00730D7B">
        <w:rPr>
          <w:i/>
        </w:rPr>
        <w:t xml:space="preserve"> given </w:t>
      </w:r>
      <w:r w:rsidR="00FF3B05">
        <w:rPr>
          <w:i/>
        </w:rPr>
        <w:t>Sri Lanka has failed to meet the MDG on under-</w:t>
      </w:r>
      <w:r w:rsidR="00730D7B">
        <w:rPr>
          <w:i/>
        </w:rPr>
        <w:t>nutrition</w:t>
      </w:r>
      <w:r w:rsidR="00FF3B05">
        <w:rPr>
          <w:i/>
        </w:rPr>
        <w:t>.</w:t>
      </w:r>
    </w:p>
    <w:p w:rsidR="003D0F93" w:rsidRDefault="003D0F93" w:rsidP="00DD58DF">
      <w:pPr>
        <w:pStyle w:val="ListBullet"/>
        <w:numPr>
          <w:ilvl w:val="0"/>
          <w:numId w:val="0"/>
        </w:numPr>
        <w:rPr>
          <w:lang w:eastAsia="zh-CN"/>
        </w:rPr>
      </w:pPr>
      <w:r w:rsidRPr="003D0F93">
        <w:rPr>
          <w:lang w:eastAsia="zh-CN"/>
        </w:rPr>
        <w:t xml:space="preserve">The program </w:t>
      </w:r>
      <w:r w:rsidR="000D2EA0">
        <w:rPr>
          <w:lang w:eastAsia="zh-CN"/>
        </w:rPr>
        <w:t>logic g</w:t>
      </w:r>
      <w:r w:rsidR="00BE39A0">
        <w:rPr>
          <w:lang w:eastAsia="zh-CN"/>
        </w:rPr>
        <w:t>uiding this objective is that long</w:t>
      </w:r>
      <w:r w:rsidR="006D05CF">
        <w:rPr>
          <w:lang w:eastAsia="zh-CN"/>
        </w:rPr>
        <w:t xml:space="preserve">-term </w:t>
      </w:r>
      <w:r w:rsidR="003D0D13">
        <w:rPr>
          <w:lang w:eastAsia="zh-CN"/>
        </w:rPr>
        <w:t>improvement</w:t>
      </w:r>
      <w:r w:rsidR="00FF3B05">
        <w:rPr>
          <w:lang w:eastAsia="zh-CN"/>
        </w:rPr>
        <w:t xml:space="preserve"> </w:t>
      </w:r>
      <w:r w:rsidR="00926EB6">
        <w:rPr>
          <w:lang w:eastAsia="zh-CN"/>
        </w:rPr>
        <w:t xml:space="preserve">in </w:t>
      </w:r>
      <w:r w:rsidR="00BE39A0" w:rsidRPr="00BE39A0">
        <w:rPr>
          <w:lang w:eastAsia="zh-CN"/>
        </w:rPr>
        <w:t xml:space="preserve">economic and social indicators </w:t>
      </w:r>
      <w:r w:rsidR="00FF3B05">
        <w:rPr>
          <w:lang w:eastAsia="zh-CN"/>
        </w:rPr>
        <w:t>require</w:t>
      </w:r>
      <w:r w:rsidR="003D0D13">
        <w:rPr>
          <w:lang w:eastAsia="zh-CN"/>
        </w:rPr>
        <w:t>s</w:t>
      </w:r>
      <w:r w:rsidR="00FF3B05">
        <w:rPr>
          <w:lang w:eastAsia="zh-CN"/>
        </w:rPr>
        <w:t xml:space="preserve"> Sri Lankan governments at the national and sub-national levels to implement policies and programs that foster inclusion and better service delivery for all citizens.</w:t>
      </w:r>
      <w:r w:rsidR="003D0D13">
        <w:rPr>
          <w:lang w:eastAsia="zh-CN"/>
        </w:rPr>
        <w:t xml:space="preserve"> The aid program engage</w:t>
      </w:r>
      <w:r w:rsidR="00926EB6">
        <w:rPr>
          <w:lang w:eastAsia="zh-CN"/>
        </w:rPr>
        <w:t>s</w:t>
      </w:r>
      <w:r w:rsidR="003D0D13">
        <w:rPr>
          <w:lang w:eastAsia="zh-CN"/>
        </w:rPr>
        <w:t xml:space="preserve"> in senior-level policy discussion with Sri Lankan governments, </w:t>
      </w:r>
      <w:r w:rsidR="00DD58DF">
        <w:rPr>
          <w:lang w:eastAsia="zh-CN"/>
        </w:rPr>
        <w:t>work</w:t>
      </w:r>
      <w:r w:rsidR="00F20F6A">
        <w:rPr>
          <w:lang w:eastAsia="zh-CN"/>
        </w:rPr>
        <w:t>s</w:t>
      </w:r>
      <w:r w:rsidR="00DD58DF">
        <w:rPr>
          <w:lang w:eastAsia="zh-CN"/>
        </w:rPr>
        <w:t xml:space="preserve"> with government systems, and support</w:t>
      </w:r>
      <w:r w:rsidR="00926EB6">
        <w:rPr>
          <w:lang w:eastAsia="zh-CN"/>
        </w:rPr>
        <w:t>s</w:t>
      </w:r>
      <w:r w:rsidR="00DD58DF">
        <w:rPr>
          <w:lang w:eastAsia="zh-CN"/>
        </w:rPr>
        <w:t xml:space="preserve"> civil society organisations.</w:t>
      </w:r>
      <w:r w:rsidR="009541B5">
        <w:rPr>
          <w:lang w:eastAsia="zh-CN"/>
        </w:rPr>
        <w:t xml:space="preserve"> In addition to supporting good quality policy, the aid program look</w:t>
      </w:r>
      <w:r w:rsidR="00926EB6">
        <w:rPr>
          <w:lang w:eastAsia="zh-CN"/>
        </w:rPr>
        <w:t>s</w:t>
      </w:r>
      <w:r w:rsidR="009541B5">
        <w:rPr>
          <w:lang w:eastAsia="zh-CN"/>
        </w:rPr>
        <w:t xml:space="preserve"> to improve accountability and responsiveness in policy </w:t>
      </w:r>
      <w:r w:rsidR="003B6C6E">
        <w:rPr>
          <w:lang w:eastAsia="zh-CN"/>
        </w:rPr>
        <w:t>formation and implemention</w:t>
      </w:r>
      <w:r w:rsidR="009541B5">
        <w:rPr>
          <w:lang w:eastAsia="zh-CN"/>
        </w:rPr>
        <w:t>.</w:t>
      </w:r>
    </w:p>
    <w:p w:rsidR="001758AD" w:rsidRDefault="00EC7B4C" w:rsidP="00E861AC">
      <w:pPr>
        <w:pStyle w:val="ListBullet"/>
        <w:numPr>
          <w:ilvl w:val="0"/>
          <w:numId w:val="0"/>
        </w:numPr>
        <w:tabs>
          <w:tab w:val="clear" w:pos="284"/>
        </w:tabs>
        <w:rPr>
          <w:lang w:eastAsia="zh-CN"/>
        </w:rPr>
      </w:pPr>
      <w:r>
        <w:rPr>
          <w:lang w:eastAsia="zh-CN"/>
        </w:rPr>
        <w:t xml:space="preserve">The health target under this objective was to </w:t>
      </w:r>
      <w:r w:rsidRPr="006B0854">
        <w:rPr>
          <w:b/>
          <w:lang w:eastAsia="zh-CN"/>
        </w:rPr>
        <w:t>improve nutritional outcomes for poor and vulnerable people, with a focus on children and women</w:t>
      </w:r>
      <w:r>
        <w:rPr>
          <w:lang w:eastAsia="zh-CN"/>
        </w:rPr>
        <w:t>.</w:t>
      </w:r>
      <w:r w:rsidR="00EE019C">
        <w:rPr>
          <w:lang w:eastAsia="zh-CN"/>
        </w:rPr>
        <w:t xml:space="preserve"> </w:t>
      </w:r>
      <w:r w:rsidR="00EE00E1">
        <w:rPr>
          <w:lang w:eastAsia="zh-CN"/>
        </w:rPr>
        <w:t xml:space="preserve">Investment in achieving this target has been slow compared </w:t>
      </w:r>
      <w:r w:rsidR="00F20F6A">
        <w:rPr>
          <w:lang w:eastAsia="zh-CN"/>
        </w:rPr>
        <w:t>with</w:t>
      </w:r>
      <w:r w:rsidR="00EE00E1">
        <w:rPr>
          <w:lang w:eastAsia="zh-CN"/>
        </w:rPr>
        <w:t xml:space="preserve"> the other pillars of the Sri Lanka aid program. </w:t>
      </w:r>
      <w:r w:rsidR="0013032B">
        <w:rPr>
          <w:lang w:eastAsia="zh-CN"/>
        </w:rPr>
        <w:t>Following extensive scoping and consideration of options, an agreement was signed in mid-2014 with UNICEF to deliver t</w:t>
      </w:r>
      <w:r w:rsidR="00364F08">
        <w:rPr>
          <w:lang w:eastAsia="zh-CN"/>
        </w:rPr>
        <w:t>he Nutrition Support Project</w:t>
      </w:r>
      <w:r w:rsidR="0013032B">
        <w:rPr>
          <w:lang w:eastAsia="zh-CN"/>
        </w:rPr>
        <w:t>. This supports UNICEF to work</w:t>
      </w:r>
      <w:r w:rsidR="00926EB6" w:rsidRPr="00926EB6">
        <w:rPr>
          <w:lang w:eastAsia="zh-CN"/>
        </w:rPr>
        <w:t xml:space="preserve">, under the government’s Multi-sector Action Plan for Nutrition, </w:t>
      </w:r>
      <w:r w:rsidR="0013032B">
        <w:rPr>
          <w:lang w:eastAsia="zh-CN"/>
        </w:rPr>
        <w:t>with the National Nutrition Secretariat (NNS) in improving their systems for delivering</w:t>
      </w:r>
      <w:r w:rsidR="0013032B" w:rsidRPr="0013032B">
        <w:rPr>
          <w:lang w:eastAsia="zh-CN"/>
        </w:rPr>
        <w:t xml:space="preserve"> </w:t>
      </w:r>
      <w:r w:rsidR="0013032B" w:rsidRPr="00364F08">
        <w:rPr>
          <w:lang w:eastAsia="zh-CN"/>
        </w:rPr>
        <w:t>evidence-based equitable nutrition interventions</w:t>
      </w:r>
      <w:r w:rsidR="00926EB6">
        <w:rPr>
          <w:lang w:eastAsia="zh-CN"/>
        </w:rPr>
        <w:t xml:space="preserve"> </w:t>
      </w:r>
      <w:r w:rsidR="0013032B" w:rsidRPr="00364F08">
        <w:rPr>
          <w:lang w:eastAsia="zh-CN"/>
        </w:rPr>
        <w:t>to mothers and children</w:t>
      </w:r>
      <w:r w:rsidR="00F20F6A">
        <w:rPr>
          <w:lang w:eastAsia="zh-CN"/>
        </w:rPr>
        <w:t>. Some d</w:t>
      </w:r>
      <w:r w:rsidR="0013032B">
        <w:rPr>
          <w:lang w:eastAsia="zh-CN"/>
        </w:rPr>
        <w:t>elays in the</w:t>
      </w:r>
      <w:r w:rsidR="00F20F6A" w:rsidRPr="00F20F6A">
        <w:rPr>
          <w:rFonts w:ascii="Times New Roman" w:eastAsia="SimSun" w:hAnsi="Times New Roman"/>
          <w:sz w:val="20"/>
          <w:lang w:eastAsia="zh-CN"/>
        </w:rPr>
        <w:t xml:space="preserve"> </w:t>
      </w:r>
      <w:r w:rsidR="00F20F6A" w:rsidRPr="00F20F6A">
        <w:rPr>
          <w:lang w:eastAsia="zh-CN"/>
        </w:rPr>
        <w:t>work of the NNS</w:t>
      </w:r>
      <w:r w:rsidR="0013032B">
        <w:rPr>
          <w:lang w:eastAsia="zh-CN"/>
        </w:rPr>
        <w:t xml:space="preserve"> following the </w:t>
      </w:r>
      <w:r w:rsidR="00F5167D">
        <w:rPr>
          <w:lang w:eastAsia="zh-CN"/>
        </w:rPr>
        <w:t>recent</w:t>
      </w:r>
      <w:r w:rsidR="0013032B">
        <w:rPr>
          <w:lang w:eastAsia="zh-CN"/>
        </w:rPr>
        <w:t xml:space="preserve"> election</w:t>
      </w:r>
      <w:r w:rsidR="00F5167D">
        <w:rPr>
          <w:lang w:eastAsia="zh-CN"/>
        </w:rPr>
        <w:t>s</w:t>
      </w:r>
      <w:r w:rsidR="0013032B">
        <w:rPr>
          <w:lang w:eastAsia="zh-CN"/>
        </w:rPr>
        <w:t xml:space="preserve"> </w:t>
      </w:r>
      <w:r w:rsidR="00F20F6A">
        <w:rPr>
          <w:lang w:eastAsia="zh-CN"/>
        </w:rPr>
        <w:t>have been overcome and the project</w:t>
      </w:r>
      <w:r w:rsidR="009D1ADC">
        <w:rPr>
          <w:lang w:eastAsia="zh-CN"/>
        </w:rPr>
        <w:t xml:space="preserve"> is now progressing in line with expectations</w:t>
      </w:r>
      <w:r w:rsidR="00EE00E1">
        <w:rPr>
          <w:lang w:eastAsia="zh-CN"/>
        </w:rPr>
        <w:t xml:space="preserve"> and </w:t>
      </w:r>
      <w:r w:rsidR="00D00B15">
        <w:rPr>
          <w:lang w:eastAsia="zh-CN"/>
        </w:rPr>
        <w:t xml:space="preserve">is </w:t>
      </w:r>
      <w:r w:rsidR="00F20F6A">
        <w:rPr>
          <w:lang w:eastAsia="zh-CN"/>
        </w:rPr>
        <w:t xml:space="preserve">set to be completed in </w:t>
      </w:r>
      <w:r w:rsidR="002D01EA">
        <w:rPr>
          <w:lang w:eastAsia="zh-CN"/>
        </w:rPr>
        <w:t xml:space="preserve">2016. </w:t>
      </w:r>
    </w:p>
    <w:p w:rsidR="00EC7B4C" w:rsidRDefault="00EC7B4C" w:rsidP="00E861AC">
      <w:pPr>
        <w:pStyle w:val="ListBullet"/>
        <w:numPr>
          <w:ilvl w:val="0"/>
          <w:numId w:val="0"/>
        </w:numPr>
        <w:tabs>
          <w:tab w:val="clear" w:pos="284"/>
        </w:tabs>
        <w:rPr>
          <w:lang w:eastAsia="zh-CN"/>
        </w:rPr>
      </w:pPr>
      <w:r>
        <w:rPr>
          <w:lang w:eastAsia="zh-CN"/>
        </w:rPr>
        <w:t xml:space="preserve">Four education </w:t>
      </w:r>
      <w:r w:rsidR="00EE019C">
        <w:rPr>
          <w:lang w:eastAsia="zh-CN"/>
        </w:rPr>
        <w:t>targets were proposed under this objective</w:t>
      </w:r>
      <w:r w:rsidR="0013032B">
        <w:rPr>
          <w:lang w:eastAsia="zh-CN"/>
        </w:rPr>
        <w:t>, the bulk of which are addressed through Australia’s support of the World Bank-managed TSEP</w:t>
      </w:r>
      <w:r w:rsidR="00EE019C">
        <w:rPr>
          <w:lang w:eastAsia="zh-CN"/>
        </w:rPr>
        <w:t xml:space="preserve">. The first was </w:t>
      </w:r>
      <w:r w:rsidR="00EE019C" w:rsidRPr="000B2101">
        <w:rPr>
          <w:b/>
          <w:lang w:eastAsia="zh-CN"/>
        </w:rPr>
        <w:t xml:space="preserve">to adopt ‘child-friendly’ education </w:t>
      </w:r>
      <w:r w:rsidR="00EE019C" w:rsidRPr="000B2101">
        <w:rPr>
          <w:b/>
          <w:lang w:eastAsia="zh-CN"/>
        </w:rPr>
        <w:lastRenderedPageBreak/>
        <w:t>practices across primary and secondary schools, covering 4 million students</w:t>
      </w:r>
      <w:r w:rsidR="00EE019C">
        <w:rPr>
          <w:lang w:eastAsia="zh-CN"/>
        </w:rPr>
        <w:t xml:space="preserve">. </w:t>
      </w:r>
      <w:r w:rsidR="00A34449">
        <w:rPr>
          <w:lang w:eastAsia="zh-CN"/>
        </w:rPr>
        <w:t>Australia successfully pushed for</w:t>
      </w:r>
      <w:r w:rsidR="000E7AB4">
        <w:rPr>
          <w:lang w:eastAsia="zh-CN"/>
        </w:rPr>
        <w:t xml:space="preserve"> a “Child Friendly Approach” (CFA) to be incorporated into </w:t>
      </w:r>
      <w:r w:rsidR="00A34449">
        <w:rPr>
          <w:lang w:eastAsia="zh-CN"/>
        </w:rPr>
        <w:t>TSEP</w:t>
      </w:r>
      <w:r w:rsidR="000E7AB4">
        <w:rPr>
          <w:lang w:eastAsia="zh-CN"/>
        </w:rPr>
        <w:t xml:space="preserve">, </w:t>
      </w:r>
      <w:r w:rsidR="00926EB6">
        <w:rPr>
          <w:lang w:eastAsia="zh-CN"/>
        </w:rPr>
        <w:t>and</w:t>
      </w:r>
      <w:r w:rsidR="000E7AB4">
        <w:rPr>
          <w:lang w:eastAsia="zh-CN"/>
        </w:rPr>
        <w:t xml:space="preserve"> many of the objectives of that approach have been incorporated into the Sri Lankan Ministry of Education’s planning and quality assurance processes.</w:t>
      </w:r>
      <w:r w:rsidR="003B6C6E">
        <w:rPr>
          <w:rStyle w:val="FootnoteReference"/>
          <w:lang w:eastAsia="zh-CN"/>
        </w:rPr>
        <w:footnoteReference w:id="19"/>
      </w:r>
      <w:r w:rsidR="000E7AB4">
        <w:rPr>
          <w:lang w:eastAsia="zh-CN"/>
        </w:rPr>
        <w:t xml:space="preserve"> All principals have now been trained in CFA approaches. DFAT has </w:t>
      </w:r>
      <w:r w:rsidR="00EE00E1">
        <w:rPr>
          <w:lang w:eastAsia="zh-CN"/>
        </w:rPr>
        <w:t>also entered into an agreement with UNICEF to undertake the Child Friendly Education Programme (CFEP)</w:t>
      </w:r>
      <w:r w:rsidR="0056210F">
        <w:rPr>
          <w:lang w:eastAsia="zh-CN"/>
        </w:rPr>
        <w:t xml:space="preserve"> (2013-2016)</w:t>
      </w:r>
      <w:r w:rsidR="009D1ADC">
        <w:rPr>
          <w:lang w:eastAsia="zh-CN"/>
        </w:rPr>
        <w:t>.</w:t>
      </w:r>
    </w:p>
    <w:p w:rsidR="00EE019C" w:rsidRDefault="00EE019C" w:rsidP="00E861AC">
      <w:pPr>
        <w:pStyle w:val="ListBullet"/>
        <w:numPr>
          <w:ilvl w:val="0"/>
          <w:numId w:val="0"/>
        </w:numPr>
        <w:tabs>
          <w:tab w:val="clear" w:pos="284"/>
        </w:tabs>
        <w:rPr>
          <w:lang w:eastAsia="zh-CN"/>
        </w:rPr>
      </w:pPr>
      <w:r>
        <w:rPr>
          <w:lang w:eastAsia="zh-CN"/>
        </w:rPr>
        <w:t xml:space="preserve">The second education target was to </w:t>
      </w:r>
      <w:r w:rsidRPr="000B2101">
        <w:rPr>
          <w:b/>
          <w:lang w:eastAsia="zh-CN"/>
        </w:rPr>
        <w:t>improv</w:t>
      </w:r>
      <w:r w:rsidR="00E4542F">
        <w:rPr>
          <w:b/>
          <w:lang w:eastAsia="zh-CN"/>
        </w:rPr>
        <w:t>e infrastructure in 40 per cent</w:t>
      </w:r>
      <w:r w:rsidR="008D6AAA">
        <w:rPr>
          <w:b/>
          <w:lang w:eastAsia="zh-CN"/>
        </w:rPr>
        <w:t xml:space="preserve"> </w:t>
      </w:r>
      <w:r w:rsidRPr="000B2101">
        <w:rPr>
          <w:b/>
          <w:lang w:eastAsia="zh-CN"/>
        </w:rPr>
        <w:t>of schools to comply with national standards for safe learning environments</w:t>
      </w:r>
      <w:r>
        <w:rPr>
          <w:lang w:eastAsia="zh-CN"/>
        </w:rPr>
        <w:t>.</w:t>
      </w:r>
      <w:r w:rsidR="000D2EA0" w:rsidRPr="000D2EA0">
        <w:rPr>
          <w:rFonts w:ascii="Times New Roman" w:eastAsia="SimSun" w:hAnsi="Times New Roman"/>
          <w:sz w:val="20"/>
          <w:lang w:eastAsia="zh-CN"/>
        </w:rPr>
        <w:t xml:space="preserve"> </w:t>
      </w:r>
      <w:r w:rsidR="008D6AAA">
        <w:rPr>
          <w:lang w:eastAsia="zh-CN"/>
        </w:rPr>
        <w:t xml:space="preserve">The 2015 mid-term review of </w:t>
      </w:r>
      <w:r w:rsidR="00176429">
        <w:rPr>
          <w:lang w:eastAsia="zh-CN"/>
        </w:rPr>
        <w:t xml:space="preserve">TSEP </w:t>
      </w:r>
      <w:r w:rsidR="008D6AAA">
        <w:rPr>
          <w:lang w:eastAsia="zh-CN"/>
        </w:rPr>
        <w:t>found that the goal of</w:t>
      </w:r>
      <w:r w:rsidR="00B83AF2">
        <w:rPr>
          <w:lang w:eastAsia="zh-CN"/>
        </w:rPr>
        <w:t xml:space="preserve"> </w:t>
      </w:r>
      <w:r w:rsidR="008D6AAA">
        <w:rPr>
          <w:lang w:eastAsia="zh-CN"/>
        </w:rPr>
        <w:t>improving the learning environments in 40</w:t>
      </w:r>
      <w:r w:rsidR="00F5167D">
        <w:rPr>
          <w:lang w:eastAsia="zh-CN"/>
        </w:rPr>
        <w:t xml:space="preserve"> per cent</w:t>
      </w:r>
      <w:r w:rsidR="008D6AAA">
        <w:rPr>
          <w:lang w:eastAsia="zh-CN"/>
        </w:rPr>
        <w:t xml:space="preserve"> of the approximately 10,000 public schools in Sri Lanka was being achieved</w:t>
      </w:r>
      <w:r w:rsidR="008D6AAA" w:rsidRPr="008D6AAA">
        <w:rPr>
          <w:lang w:val="en-US" w:eastAsia="zh-CN"/>
        </w:rPr>
        <w:t xml:space="preserve">. </w:t>
      </w:r>
      <w:r w:rsidR="00714C0F">
        <w:rPr>
          <w:lang w:val="en-US" w:eastAsia="zh-CN"/>
        </w:rPr>
        <w:t>B</w:t>
      </w:r>
      <w:r w:rsidR="008D6AAA" w:rsidRPr="008D6AAA">
        <w:rPr>
          <w:lang w:val="en-US" w:eastAsia="zh-CN"/>
        </w:rPr>
        <w:t>y 2014</w:t>
      </w:r>
      <w:r w:rsidR="00714C0F">
        <w:rPr>
          <w:lang w:val="en-US" w:eastAsia="zh-CN"/>
        </w:rPr>
        <w:t>,</w:t>
      </w:r>
      <w:r w:rsidR="008D6AAA" w:rsidRPr="008D6AAA">
        <w:rPr>
          <w:lang w:val="en-US" w:eastAsia="zh-CN"/>
        </w:rPr>
        <w:t xml:space="preserve"> 4,854 primary schools had received grants f</w:t>
      </w:r>
      <w:r w:rsidR="00714C0F">
        <w:rPr>
          <w:lang w:val="en-US" w:eastAsia="zh-CN"/>
        </w:rPr>
        <w:t xml:space="preserve">or physical quality improvement, had principals who </w:t>
      </w:r>
      <w:r w:rsidR="008D6AAA" w:rsidRPr="008D6AAA">
        <w:rPr>
          <w:lang w:val="en-US" w:eastAsia="zh-CN"/>
        </w:rPr>
        <w:t>were trained on the primary education curriculum</w:t>
      </w:r>
      <w:r w:rsidR="00714C0F">
        <w:rPr>
          <w:lang w:val="en-US" w:eastAsia="zh-CN"/>
        </w:rPr>
        <w:t xml:space="preserve"> and received related</w:t>
      </w:r>
      <w:r w:rsidR="008D6AAA" w:rsidRPr="008D6AAA">
        <w:rPr>
          <w:lang w:val="en-US" w:eastAsia="zh-CN"/>
        </w:rPr>
        <w:t xml:space="preserve"> guidance and manuals.</w:t>
      </w:r>
      <w:r w:rsidR="00176429">
        <w:rPr>
          <w:lang w:eastAsia="zh-CN"/>
        </w:rPr>
        <w:t xml:space="preserve"> </w:t>
      </w:r>
      <w:r w:rsidR="00F5167D">
        <w:rPr>
          <w:lang w:eastAsia="zh-CN"/>
        </w:rPr>
        <w:t xml:space="preserve">Some </w:t>
      </w:r>
      <w:r w:rsidR="008D6AAA" w:rsidRPr="008D6AAA">
        <w:rPr>
          <w:lang w:val="en-US" w:eastAsia="zh-CN"/>
        </w:rPr>
        <w:t>1,005 flagship secondary schools wer</w:t>
      </w:r>
      <w:r w:rsidR="00E175F9">
        <w:rPr>
          <w:lang w:val="en-US" w:eastAsia="zh-CN"/>
        </w:rPr>
        <w:t>e selected to be equipped with technological l</w:t>
      </w:r>
      <w:r w:rsidR="008D6AAA" w:rsidRPr="008D6AAA">
        <w:rPr>
          <w:lang w:val="en-US" w:eastAsia="zh-CN"/>
        </w:rPr>
        <w:t>aboratories to improve learning in English, Mathematics and Science. By the end of 2014, 948 schools (94 per</w:t>
      </w:r>
      <w:r w:rsidR="00F5167D">
        <w:rPr>
          <w:lang w:val="en-US" w:eastAsia="zh-CN"/>
        </w:rPr>
        <w:t xml:space="preserve"> </w:t>
      </w:r>
      <w:r w:rsidR="008D6AAA" w:rsidRPr="008D6AAA">
        <w:rPr>
          <w:lang w:val="en-US" w:eastAsia="zh-CN"/>
        </w:rPr>
        <w:t xml:space="preserve">cent) had completed the construction of </w:t>
      </w:r>
      <w:r w:rsidR="007951DA">
        <w:rPr>
          <w:lang w:val="en-US" w:eastAsia="zh-CN"/>
        </w:rPr>
        <w:t>technological l</w:t>
      </w:r>
      <w:r w:rsidR="008D6AAA" w:rsidRPr="008D6AAA">
        <w:rPr>
          <w:lang w:val="en-US" w:eastAsia="zh-CN"/>
        </w:rPr>
        <w:t>aboratories containing language laboratories, ICT centers and science laboratories. About 772 of these schools (77 percent) have been provided with IT and science equipment. About 206 laboratories are in operation</w:t>
      </w:r>
      <w:r w:rsidR="00906FC8">
        <w:rPr>
          <w:lang w:val="en-US" w:eastAsia="zh-CN"/>
        </w:rPr>
        <w:t xml:space="preserve">, with the remaining laboratories </w:t>
      </w:r>
      <w:r w:rsidR="008D6AAA" w:rsidRPr="008D6AAA">
        <w:rPr>
          <w:lang w:val="en-US" w:eastAsia="zh-CN"/>
        </w:rPr>
        <w:t xml:space="preserve">expected to be in operation </w:t>
      </w:r>
      <w:r w:rsidR="00B83AF2">
        <w:rPr>
          <w:lang w:val="en-US" w:eastAsia="zh-CN"/>
        </w:rPr>
        <w:t>by the end of 2015.</w:t>
      </w:r>
      <w:r w:rsidR="00B83AF2">
        <w:rPr>
          <w:rStyle w:val="FootnoteReference"/>
          <w:lang w:val="en-US" w:eastAsia="zh-CN"/>
        </w:rPr>
        <w:footnoteReference w:id="20"/>
      </w:r>
    </w:p>
    <w:p w:rsidR="00EE019C" w:rsidRDefault="00EE019C" w:rsidP="00E861AC">
      <w:pPr>
        <w:pStyle w:val="ListBullet"/>
        <w:numPr>
          <w:ilvl w:val="0"/>
          <w:numId w:val="0"/>
        </w:numPr>
        <w:tabs>
          <w:tab w:val="clear" w:pos="284"/>
        </w:tabs>
        <w:rPr>
          <w:lang w:eastAsia="zh-CN"/>
        </w:rPr>
      </w:pPr>
      <w:r>
        <w:rPr>
          <w:lang w:eastAsia="zh-CN"/>
        </w:rPr>
        <w:t xml:space="preserve">The third target was to </w:t>
      </w:r>
      <w:r w:rsidRPr="00A2451A">
        <w:rPr>
          <w:b/>
          <w:lang w:eastAsia="zh-CN"/>
        </w:rPr>
        <w:t>increase the quality of teaching and learning so children attain core competencies in reading, writing and maths</w:t>
      </w:r>
      <w:r>
        <w:rPr>
          <w:lang w:eastAsia="zh-CN"/>
        </w:rPr>
        <w:t>.</w:t>
      </w:r>
      <w:r w:rsidR="000D2EA0">
        <w:rPr>
          <w:lang w:eastAsia="zh-CN"/>
        </w:rPr>
        <w:t xml:space="preserve"> </w:t>
      </w:r>
      <w:r w:rsidR="00C44F31">
        <w:rPr>
          <w:lang w:eastAsia="zh-CN"/>
        </w:rPr>
        <w:t>Under TSEP</w:t>
      </w:r>
      <w:r w:rsidR="003705D7">
        <w:rPr>
          <w:lang w:eastAsia="zh-CN"/>
        </w:rPr>
        <w:t>,</w:t>
      </w:r>
      <w:r w:rsidR="009D1ADC">
        <w:rPr>
          <w:lang w:eastAsia="zh-CN"/>
        </w:rPr>
        <w:t xml:space="preserve"> the following core project targets for the end of 2014 were met: </w:t>
      </w:r>
      <w:r w:rsidR="00C44F31">
        <w:rPr>
          <w:lang w:eastAsia="zh-CN"/>
        </w:rPr>
        <w:t xml:space="preserve">32,322 </w:t>
      </w:r>
      <w:r w:rsidR="000D2EA0">
        <w:rPr>
          <w:lang w:eastAsia="zh-CN"/>
        </w:rPr>
        <w:t xml:space="preserve">teachers </w:t>
      </w:r>
      <w:r w:rsidR="00C44F31">
        <w:rPr>
          <w:lang w:eastAsia="zh-CN"/>
        </w:rPr>
        <w:t>ha</w:t>
      </w:r>
      <w:r w:rsidR="003A38CC">
        <w:rPr>
          <w:lang w:eastAsia="zh-CN"/>
        </w:rPr>
        <w:t>d</w:t>
      </w:r>
      <w:r w:rsidR="00C44F31">
        <w:rPr>
          <w:lang w:eastAsia="zh-CN"/>
        </w:rPr>
        <w:t xml:space="preserve"> been </w:t>
      </w:r>
      <w:r w:rsidR="000D2EA0">
        <w:rPr>
          <w:lang w:eastAsia="zh-CN"/>
        </w:rPr>
        <w:t>trained (22,918 women, 9,404 men</w:t>
      </w:r>
      <w:r w:rsidR="009D1ADC">
        <w:rPr>
          <w:lang w:eastAsia="zh-CN"/>
        </w:rPr>
        <w:t>);</w:t>
      </w:r>
      <w:r w:rsidR="00C44F31">
        <w:rPr>
          <w:lang w:eastAsia="zh-CN"/>
        </w:rPr>
        <w:t xml:space="preserve"> </w:t>
      </w:r>
      <w:r w:rsidR="000D2EA0" w:rsidRPr="000D2EA0">
        <w:rPr>
          <w:lang w:eastAsia="zh-CN"/>
        </w:rPr>
        <w:t>4509 schools</w:t>
      </w:r>
      <w:r w:rsidR="009D1ADC">
        <w:rPr>
          <w:lang w:eastAsia="zh-CN"/>
        </w:rPr>
        <w:t xml:space="preserve"> ha</w:t>
      </w:r>
      <w:r w:rsidR="003A38CC">
        <w:rPr>
          <w:lang w:eastAsia="zh-CN"/>
        </w:rPr>
        <w:t>d</w:t>
      </w:r>
      <w:r w:rsidR="000D2EA0" w:rsidRPr="000D2EA0">
        <w:rPr>
          <w:lang w:eastAsia="zh-CN"/>
        </w:rPr>
        <w:t xml:space="preserve"> implemented a School Based Teacher Develop</w:t>
      </w:r>
      <w:r w:rsidR="00C44F31">
        <w:rPr>
          <w:lang w:eastAsia="zh-CN"/>
        </w:rPr>
        <w:t>ment program</w:t>
      </w:r>
      <w:r w:rsidR="009D1ADC">
        <w:rPr>
          <w:lang w:eastAsia="zh-CN"/>
        </w:rPr>
        <w:t>;</w:t>
      </w:r>
      <w:r w:rsidR="00C44F31">
        <w:rPr>
          <w:lang w:eastAsia="zh-CN"/>
        </w:rPr>
        <w:t xml:space="preserve"> </w:t>
      </w:r>
      <w:r w:rsidR="009D1ADC">
        <w:rPr>
          <w:lang w:eastAsia="zh-CN"/>
        </w:rPr>
        <w:t xml:space="preserve">the </w:t>
      </w:r>
      <w:r w:rsidR="000D2EA0" w:rsidRPr="000D2EA0">
        <w:rPr>
          <w:lang w:eastAsia="zh-CN"/>
        </w:rPr>
        <w:t>Grade 1 curriculum</w:t>
      </w:r>
      <w:r w:rsidR="009D1ADC">
        <w:rPr>
          <w:lang w:eastAsia="zh-CN"/>
        </w:rPr>
        <w:t xml:space="preserve"> has been</w:t>
      </w:r>
      <w:r w:rsidR="000D2EA0" w:rsidRPr="000D2EA0">
        <w:rPr>
          <w:lang w:eastAsia="zh-CN"/>
        </w:rPr>
        <w:t xml:space="preserve"> revised and piloted</w:t>
      </w:r>
      <w:r w:rsidR="003A38CC">
        <w:rPr>
          <w:lang w:eastAsia="zh-CN"/>
        </w:rPr>
        <w:t>;</w:t>
      </w:r>
      <w:r w:rsidR="009D1ADC">
        <w:rPr>
          <w:lang w:eastAsia="zh-CN"/>
        </w:rPr>
        <w:t xml:space="preserve"> the</w:t>
      </w:r>
      <w:r w:rsidR="000D2EA0" w:rsidRPr="000D2EA0">
        <w:rPr>
          <w:lang w:eastAsia="zh-CN"/>
        </w:rPr>
        <w:t xml:space="preserve"> Grade 2</w:t>
      </w:r>
      <w:r w:rsidR="009D1ADC">
        <w:rPr>
          <w:lang w:eastAsia="zh-CN"/>
        </w:rPr>
        <w:t xml:space="preserve"> curriculum</w:t>
      </w:r>
      <w:r w:rsidR="000D2EA0" w:rsidRPr="000D2EA0">
        <w:rPr>
          <w:lang w:eastAsia="zh-CN"/>
        </w:rPr>
        <w:t xml:space="preserve"> re</w:t>
      </w:r>
      <w:r w:rsidR="00C44F31">
        <w:rPr>
          <w:lang w:eastAsia="zh-CN"/>
        </w:rPr>
        <w:t>vision</w:t>
      </w:r>
      <w:r w:rsidR="009D1ADC">
        <w:rPr>
          <w:lang w:eastAsia="zh-CN"/>
        </w:rPr>
        <w:t xml:space="preserve"> has</w:t>
      </w:r>
      <w:r w:rsidR="00C44F31">
        <w:rPr>
          <w:lang w:eastAsia="zh-CN"/>
        </w:rPr>
        <w:t xml:space="preserve"> commenced</w:t>
      </w:r>
      <w:r w:rsidR="009D1ADC">
        <w:rPr>
          <w:lang w:eastAsia="zh-CN"/>
        </w:rPr>
        <w:t xml:space="preserve">; </w:t>
      </w:r>
      <w:r w:rsidR="00245B9F">
        <w:rPr>
          <w:lang w:eastAsia="zh-CN"/>
        </w:rPr>
        <w:t xml:space="preserve">Grades 6 and 10 mathematics and science </w:t>
      </w:r>
      <w:r w:rsidR="000D2EA0" w:rsidRPr="000D2EA0">
        <w:rPr>
          <w:lang w:eastAsia="zh-CN"/>
        </w:rPr>
        <w:t>teachers</w:t>
      </w:r>
      <w:r w:rsidR="00245B9F">
        <w:rPr>
          <w:lang w:eastAsia="zh-CN"/>
        </w:rPr>
        <w:t xml:space="preserve"> ha</w:t>
      </w:r>
      <w:r w:rsidR="003A38CC">
        <w:rPr>
          <w:lang w:eastAsia="zh-CN"/>
        </w:rPr>
        <w:t>d</w:t>
      </w:r>
      <w:r w:rsidR="00245B9F">
        <w:rPr>
          <w:lang w:eastAsia="zh-CN"/>
        </w:rPr>
        <w:t xml:space="preserve"> been</w:t>
      </w:r>
      <w:r w:rsidR="000D2EA0" w:rsidRPr="000D2EA0">
        <w:rPr>
          <w:lang w:eastAsia="zh-CN"/>
        </w:rPr>
        <w:t xml:space="preserve"> trained and </w:t>
      </w:r>
      <w:r w:rsidR="00245B9F">
        <w:rPr>
          <w:lang w:eastAsia="zh-CN"/>
        </w:rPr>
        <w:t xml:space="preserve">related </w:t>
      </w:r>
      <w:r w:rsidR="000D2EA0" w:rsidRPr="000D2EA0">
        <w:rPr>
          <w:lang w:eastAsia="zh-CN"/>
        </w:rPr>
        <w:t>textbooks</w:t>
      </w:r>
      <w:r w:rsidR="00245B9F">
        <w:rPr>
          <w:lang w:eastAsia="zh-CN"/>
        </w:rPr>
        <w:t xml:space="preserve"> ha</w:t>
      </w:r>
      <w:r w:rsidR="003A38CC">
        <w:rPr>
          <w:lang w:eastAsia="zh-CN"/>
        </w:rPr>
        <w:t>d</w:t>
      </w:r>
      <w:r w:rsidR="00245B9F">
        <w:rPr>
          <w:lang w:eastAsia="zh-CN"/>
        </w:rPr>
        <w:t xml:space="preserve"> been</w:t>
      </w:r>
      <w:r w:rsidR="000D2EA0" w:rsidRPr="000D2EA0">
        <w:rPr>
          <w:lang w:eastAsia="zh-CN"/>
        </w:rPr>
        <w:t xml:space="preserve"> </w:t>
      </w:r>
      <w:r w:rsidR="00245B9F">
        <w:rPr>
          <w:lang w:eastAsia="zh-CN"/>
        </w:rPr>
        <w:t xml:space="preserve">revised or </w:t>
      </w:r>
      <w:r w:rsidR="000D2EA0" w:rsidRPr="000D2EA0">
        <w:rPr>
          <w:lang w:eastAsia="zh-CN"/>
        </w:rPr>
        <w:t>completed</w:t>
      </w:r>
      <w:r w:rsidR="003A38CC">
        <w:rPr>
          <w:lang w:eastAsia="zh-CN"/>
        </w:rPr>
        <w:t xml:space="preserve"> and </w:t>
      </w:r>
      <w:r w:rsidR="003A38CC" w:rsidRPr="000D2EA0">
        <w:rPr>
          <w:lang w:eastAsia="zh-CN"/>
        </w:rPr>
        <w:t xml:space="preserve">school committees </w:t>
      </w:r>
      <w:r w:rsidR="003A38CC">
        <w:rPr>
          <w:lang w:eastAsia="zh-CN"/>
        </w:rPr>
        <w:t xml:space="preserve">have been </w:t>
      </w:r>
      <w:r w:rsidR="003A38CC" w:rsidRPr="000D2EA0">
        <w:rPr>
          <w:lang w:eastAsia="zh-CN"/>
        </w:rPr>
        <w:t>organized and trained</w:t>
      </w:r>
      <w:r w:rsidR="003A38CC">
        <w:rPr>
          <w:lang w:eastAsia="zh-CN"/>
        </w:rPr>
        <w:t xml:space="preserve"> in 6610 schools</w:t>
      </w:r>
      <w:r w:rsidR="00245B9F">
        <w:rPr>
          <w:lang w:eastAsia="zh-CN"/>
        </w:rPr>
        <w:t>.</w:t>
      </w:r>
      <w:r w:rsidR="000D2EA0" w:rsidRPr="000D2EA0">
        <w:rPr>
          <w:lang w:eastAsia="zh-CN"/>
        </w:rPr>
        <w:t xml:space="preserve"> </w:t>
      </w:r>
      <w:r w:rsidR="003A38CC">
        <w:rPr>
          <w:lang w:eastAsia="zh-CN"/>
        </w:rPr>
        <w:t>M</w:t>
      </w:r>
      <w:r w:rsidR="000D2EA0" w:rsidRPr="000D2EA0">
        <w:rPr>
          <w:lang w:eastAsia="zh-CN"/>
        </w:rPr>
        <w:t>ulti-ethnic interactions took place in 5</w:t>
      </w:r>
      <w:r w:rsidR="00E12A8C">
        <w:rPr>
          <w:lang w:eastAsia="zh-CN"/>
        </w:rPr>
        <w:t>534 schools (84</w:t>
      </w:r>
      <w:r w:rsidR="003705D7">
        <w:rPr>
          <w:lang w:eastAsia="zh-CN"/>
        </w:rPr>
        <w:t xml:space="preserve"> per cent</w:t>
      </w:r>
      <w:r w:rsidR="00E12A8C">
        <w:rPr>
          <w:lang w:eastAsia="zh-CN"/>
        </w:rPr>
        <w:t xml:space="preserve"> of the target)</w:t>
      </w:r>
      <w:r w:rsidR="003A38CC">
        <w:rPr>
          <w:lang w:eastAsia="zh-CN"/>
        </w:rPr>
        <w:t xml:space="preserve">. </w:t>
      </w:r>
      <w:r w:rsidR="000D2EA0" w:rsidRPr="000D2EA0">
        <w:rPr>
          <w:lang w:eastAsia="zh-CN"/>
        </w:rPr>
        <w:t>In 2014, the National Assessment of Learning Outcomes for Grade 4 in first language, maths and English found that performance in all subjects is satisfactory</w:t>
      </w:r>
      <w:r w:rsidR="00F20F6A">
        <w:rPr>
          <w:lang w:eastAsia="zh-CN"/>
        </w:rPr>
        <w:t>.</w:t>
      </w:r>
      <w:r w:rsidR="000D2EA0" w:rsidRPr="000D2EA0">
        <w:rPr>
          <w:lang w:eastAsia="zh-CN"/>
        </w:rPr>
        <w:t xml:space="preserve"> </w:t>
      </w:r>
      <w:r w:rsidR="00F20F6A">
        <w:rPr>
          <w:lang w:eastAsia="zh-CN"/>
        </w:rPr>
        <w:t>H</w:t>
      </w:r>
      <w:r w:rsidR="000D2EA0" w:rsidRPr="000D2EA0">
        <w:rPr>
          <w:lang w:eastAsia="zh-CN"/>
        </w:rPr>
        <w:t>owever</w:t>
      </w:r>
      <w:r w:rsidR="00F20F6A">
        <w:rPr>
          <w:lang w:eastAsia="zh-CN"/>
        </w:rPr>
        <w:t>,</w:t>
      </w:r>
      <w:r w:rsidR="000D2EA0" w:rsidRPr="000D2EA0">
        <w:rPr>
          <w:lang w:eastAsia="zh-CN"/>
        </w:rPr>
        <w:t xml:space="preserve"> conflict-affected and</w:t>
      </w:r>
      <w:r w:rsidR="007951DA">
        <w:rPr>
          <w:lang w:eastAsia="zh-CN"/>
        </w:rPr>
        <w:t xml:space="preserve"> tea</w:t>
      </w:r>
      <w:r w:rsidR="000D2EA0" w:rsidRPr="000D2EA0">
        <w:rPr>
          <w:lang w:eastAsia="zh-CN"/>
        </w:rPr>
        <w:t xml:space="preserve"> estate areas</w:t>
      </w:r>
      <w:r w:rsidR="003705D7">
        <w:rPr>
          <w:lang w:eastAsia="zh-CN"/>
        </w:rPr>
        <w:t xml:space="preserve"> continued</w:t>
      </w:r>
      <w:r w:rsidR="003A38CC">
        <w:rPr>
          <w:lang w:eastAsia="zh-CN"/>
        </w:rPr>
        <w:t xml:space="preserve"> to perform less well against national standards</w:t>
      </w:r>
      <w:r w:rsidR="00F20F6A" w:rsidRPr="00F20F6A">
        <w:rPr>
          <w:rFonts w:ascii="Times New Roman" w:eastAsia="SimSun" w:hAnsi="Times New Roman"/>
          <w:sz w:val="20"/>
          <w:lang w:eastAsia="zh-CN"/>
        </w:rPr>
        <w:t xml:space="preserve"> </w:t>
      </w:r>
      <w:r w:rsidR="00F20F6A" w:rsidRPr="00F20F6A">
        <w:rPr>
          <w:lang w:eastAsia="zh-CN"/>
        </w:rPr>
        <w:t>in all three subjects</w:t>
      </w:r>
      <w:r w:rsidR="000D2EA0" w:rsidRPr="000D2EA0">
        <w:rPr>
          <w:lang w:eastAsia="zh-CN"/>
        </w:rPr>
        <w:t xml:space="preserve">. </w:t>
      </w:r>
      <w:r w:rsidR="00103924">
        <w:rPr>
          <w:lang w:eastAsia="zh-CN"/>
        </w:rPr>
        <w:t xml:space="preserve">The Grade 8 assessment, </w:t>
      </w:r>
      <w:r w:rsidR="00531580" w:rsidRPr="00531580">
        <w:rPr>
          <w:lang w:eastAsia="zh-CN"/>
        </w:rPr>
        <w:t>conducted in Dec</w:t>
      </w:r>
      <w:r w:rsidR="003A38CC">
        <w:rPr>
          <w:lang w:eastAsia="zh-CN"/>
        </w:rPr>
        <w:t>ember</w:t>
      </w:r>
      <w:r w:rsidR="00531580" w:rsidRPr="00531580">
        <w:rPr>
          <w:lang w:eastAsia="zh-CN"/>
        </w:rPr>
        <w:t xml:space="preserve"> 2014, </w:t>
      </w:r>
      <w:r w:rsidR="00103924">
        <w:rPr>
          <w:lang w:eastAsia="zh-CN"/>
        </w:rPr>
        <w:t>arrived at similar findings and has been</w:t>
      </w:r>
      <w:r w:rsidR="000D2EA0" w:rsidRPr="000D2EA0">
        <w:rPr>
          <w:lang w:eastAsia="zh-CN"/>
        </w:rPr>
        <w:t xml:space="preserve"> used to inform education planning for 2015.</w:t>
      </w:r>
      <w:r w:rsidR="00906FC8">
        <w:rPr>
          <w:rStyle w:val="FootnoteReference"/>
          <w:lang w:eastAsia="zh-CN"/>
        </w:rPr>
        <w:footnoteReference w:id="21"/>
      </w:r>
      <w:r w:rsidR="000D2EA0" w:rsidRPr="000D2EA0">
        <w:rPr>
          <w:lang w:eastAsia="zh-CN"/>
        </w:rPr>
        <w:t xml:space="preserve"> </w:t>
      </w:r>
      <w:r w:rsidR="00E175F9">
        <w:rPr>
          <w:lang w:eastAsia="zh-CN"/>
        </w:rPr>
        <w:t>T</w:t>
      </w:r>
      <w:r w:rsidR="003A38CC">
        <w:rPr>
          <w:lang w:eastAsia="zh-CN"/>
        </w:rPr>
        <w:t>h</w:t>
      </w:r>
      <w:r w:rsidR="00103924">
        <w:rPr>
          <w:lang w:eastAsia="zh-CN"/>
        </w:rPr>
        <w:t xml:space="preserve">e Sri Lankan </w:t>
      </w:r>
      <w:r w:rsidR="003705D7">
        <w:rPr>
          <w:lang w:eastAsia="zh-CN"/>
        </w:rPr>
        <w:t>G</w:t>
      </w:r>
      <w:r w:rsidR="00103924">
        <w:rPr>
          <w:lang w:eastAsia="zh-CN"/>
        </w:rPr>
        <w:t>overnment</w:t>
      </w:r>
      <w:r w:rsidR="000D2EA0" w:rsidRPr="000D2EA0">
        <w:rPr>
          <w:lang w:eastAsia="zh-CN"/>
        </w:rPr>
        <w:t xml:space="preserve"> </w:t>
      </w:r>
      <w:r w:rsidR="003A38CC">
        <w:rPr>
          <w:lang w:eastAsia="zh-CN"/>
        </w:rPr>
        <w:t xml:space="preserve">continues to have a </w:t>
      </w:r>
      <w:r w:rsidR="00103924">
        <w:rPr>
          <w:lang w:eastAsia="zh-CN"/>
        </w:rPr>
        <w:t>strong commitment to TSEP and</w:t>
      </w:r>
      <w:r w:rsidR="003A38CC">
        <w:rPr>
          <w:lang w:eastAsia="zh-CN"/>
        </w:rPr>
        <w:t xml:space="preserve"> it is important the project now assist</w:t>
      </w:r>
      <w:r w:rsidR="00103924">
        <w:rPr>
          <w:lang w:eastAsia="zh-CN"/>
        </w:rPr>
        <w:t>s government</w:t>
      </w:r>
      <w:r w:rsidR="000D2EA0" w:rsidRPr="000D2EA0">
        <w:rPr>
          <w:lang w:eastAsia="zh-CN"/>
        </w:rPr>
        <w:t xml:space="preserve"> </w:t>
      </w:r>
      <w:r w:rsidR="003A38CC">
        <w:rPr>
          <w:lang w:eastAsia="zh-CN"/>
        </w:rPr>
        <w:t>by improving performance</w:t>
      </w:r>
      <w:r w:rsidR="000D2EA0" w:rsidRPr="000D2EA0">
        <w:rPr>
          <w:lang w:eastAsia="zh-CN"/>
        </w:rPr>
        <w:t xml:space="preserve"> data</w:t>
      </w:r>
      <w:r w:rsidR="00103924">
        <w:rPr>
          <w:lang w:eastAsia="zh-CN"/>
        </w:rPr>
        <w:t xml:space="preserve"> analysis for decision making</w:t>
      </w:r>
      <w:r w:rsidR="000D2EA0" w:rsidRPr="000D2EA0">
        <w:rPr>
          <w:lang w:eastAsia="zh-CN"/>
        </w:rPr>
        <w:t>.</w:t>
      </w:r>
    </w:p>
    <w:p w:rsidR="00EE019C" w:rsidRDefault="00EE019C" w:rsidP="00E861AC">
      <w:pPr>
        <w:pStyle w:val="ListBullet"/>
        <w:numPr>
          <w:ilvl w:val="0"/>
          <w:numId w:val="0"/>
        </w:numPr>
        <w:tabs>
          <w:tab w:val="clear" w:pos="284"/>
        </w:tabs>
        <w:rPr>
          <w:lang w:eastAsia="zh-CN"/>
        </w:rPr>
      </w:pPr>
      <w:r>
        <w:rPr>
          <w:lang w:eastAsia="zh-CN"/>
        </w:rPr>
        <w:t xml:space="preserve">The final education target was to </w:t>
      </w:r>
      <w:r w:rsidRPr="00A2451A">
        <w:rPr>
          <w:b/>
          <w:lang w:eastAsia="zh-CN"/>
        </w:rPr>
        <w:t>improve the retention of disadvantaged children (including those with disability) and reduced regional imbalances in access to education</w:t>
      </w:r>
      <w:r>
        <w:rPr>
          <w:lang w:eastAsia="zh-CN"/>
        </w:rPr>
        <w:t>.</w:t>
      </w:r>
      <w:r w:rsidR="00730D7B" w:rsidRPr="00730D7B">
        <w:rPr>
          <w:rFonts w:ascii="Times New Roman" w:eastAsia="SimSun" w:hAnsi="Times New Roman"/>
          <w:sz w:val="20"/>
          <w:lang w:eastAsia="zh-CN"/>
        </w:rPr>
        <w:t xml:space="preserve"> </w:t>
      </w:r>
      <w:r w:rsidR="00730D7B" w:rsidRPr="00730D7B">
        <w:rPr>
          <w:lang w:eastAsia="zh-CN"/>
        </w:rPr>
        <w:t>In 2014, Australia funded a study on Special Educational Needs to identify and support barriers to inclusion including differently abled children. TSEP was rated satisfactory (the second highest rating) in both supervision missions in 2014.</w:t>
      </w:r>
    </w:p>
    <w:p w:rsidR="00EE019C" w:rsidRDefault="00EE019C" w:rsidP="003705D7">
      <w:pPr>
        <w:pStyle w:val="ListBullet"/>
        <w:numPr>
          <w:ilvl w:val="0"/>
          <w:numId w:val="0"/>
        </w:numPr>
        <w:tabs>
          <w:tab w:val="clear" w:pos="284"/>
        </w:tabs>
        <w:spacing w:before="120"/>
        <w:rPr>
          <w:lang w:eastAsia="zh-CN"/>
        </w:rPr>
      </w:pPr>
      <w:r>
        <w:rPr>
          <w:lang w:eastAsia="zh-CN"/>
        </w:rPr>
        <w:t xml:space="preserve">The economic development target </w:t>
      </w:r>
      <w:r w:rsidR="00A2451A">
        <w:rPr>
          <w:lang w:eastAsia="zh-CN"/>
        </w:rPr>
        <w:t xml:space="preserve">was to </w:t>
      </w:r>
      <w:r w:rsidR="00A2451A" w:rsidRPr="00A2451A">
        <w:rPr>
          <w:b/>
          <w:lang w:eastAsia="zh-CN"/>
        </w:rPr>
        <w:t>improve</w:t>
      </w:r>
      <w:r w:rsidRPr="00A2451A">
        <w:rPr>
          <w:b/>
          <w:lang w:eastAsia="zh-CN"/>
        </w:rPr>
        <w:t xml:space="preserve"> employment opportunities for 90,000 people in 167 community forest groups through the sustainable management of forestry resources covering 23,000 hectares</w:t>
      </w:r>
      <w:r>
        <w:rPr>
          <w:lang w:eastAsia="zh-CN"/>
        </w:rPr>
        <w:t>.</w:t>
      </w:r>
      <w:r w:rsidR="0086584C">
        <w:rPr>
          <w:lang w:eastAsia="zh-CN"/>
        </w:rPr>
        <w:t xml:space="preserve"> The primary mechanism for achieving this has been the Sri Lanka Community Forestry Programme</w:t>
      </w:r>
      <w:r w:rsidR="007951DA">
        <w:rPr>
          <w:lang w:eastAsia="zh-CN"/>
        </w:rPr>
        <w:t xml:space="preserve"> (CFP)</w:t>
      </w:r>
      <w:r w:rsidR="0086584C">
        <w:rPr>
          <w:lang w:eastAsia="zh-CN"/>
        </w:rPr>
        <w:t>.</w:t>
      </w:r>
      <w:r w:rsidR="00D51E82">
        <w:rPr>
          <w:lang w:eastAsia="zh-CN"/>
        </w:rPr>
        <w:t xml:space="preserve"> </w:t>
      </w:r>
      <w:r w:rsidR="00C97DF0">
        <w:rPr>
          <w:lang w:eastAsia="zh-CN"/>
        </w:rPr>
        <w:t>T</w:t>
      </w:r>
      <w:r w:rsidR="005A56BA">
        <w:rPr>
          <w:lang w:eastAsia="zh-CN"/>
        </w:rPr>
        <w:t xml:space="preserve">he programme </w:t>
      </w:r>
      <w:r w:rsidR="00D51E82" w:rsidRPr="00D51E82">
        <w:rPr>
          <w:lang w:val="en-US" w:eastAsia="zh-CN"/>
        </w:rPr>
        <w:t>reduce</w:t>
      </w:r>
      <w:r w:rsidR="00103924">
        <w:rPr>
          <w:lang w:val="en-US" w:eastAsia="zh-CN"/>
        </w:rPr>
        <w:t>s</w:t>
      </w:r>
      <w:r w:rsidR="00D51E82" w:rsidRPr="00D51E82">
        <w:rPr>
          <w:lang w:val="en-US" w:eastAsia="zh-CN"/>
        </w:rPr>
        <w:t xml:space="preserve"> deforestation and forest degradation by involving c</w:t>
      </w:r>
      <w:r w:rsidR="005A56BA">
        <w:rPr>
          <w:lang w:val="en-US" w:eastAsia="zh-CN"/>
        </w:rPr>
        <w:t xml:space="preserve">ommunities in forest management, and </w:t>
      </w:r>
      <w:r w:rsidR="00D51E82" w:rsidRPr="00D51E82">
        <w:rPr>
          <w:lang w:val="en-US" w:eastAsia="zh-CN"/>
        </w:rPr>
        <w:t>build</w:t>
      </w:r>
      <w:r w:rsidR="00103924">
        <w:rPr>
          <w:lang w:val="en-US" w:eastAsia="zh-CN"/>
        </w:rPr>
        <w:t xml:space="preserve">s </w:t>
      </w:r>
      <w:r w:rsidR="00C97DF0">
        <w:rPr>
          <w:lang w:eastAsia="zh-CN"/>
        </w:rPr>
        <w:t>Sri Lankan Forestry Department (</w:t>
      </w:r>
      <w:r w:rsidR="00103924">
        <w:rPr>
          <w:lang w:val="en-US" w:eastAsia="zh-CN"/>
        </w:rPr>
        <w:t>FD</w:t>
      </w:r>
      <w:r w:rsidR="00C97DF0">
        <w:rPr>
          <w:lang w:val="en-US" w:eastAsia="zh-CN"/>
        </w:rPr>
        <w:t>)</w:t>
      </w:r>
      <w:r w:rsidR="00103924">
        <w:rPr>
          <w:lang w:val="en-US" w:eastAsia="zh-CN"/>
        </w:rPr>
        <w:t xml:space="preserve"> capacity</w:t>
      </w:r>
      <w:r w:rsidR="00D51E82" w:rsidRPr="00D51E82">
        <w:rPr>
          <w:lang w:val="en-US" w:eastAsia="zh-CN"/>
        </w:rPr>
        <w:t xml:space="preserve"> </w:t>
      </w:r>
      <w:r w:rsidR="006364ED">
        <w:rPr>
          <w:lang w:val="en-US" w:eastAsia="zh-CN"/>
        </w:rPr>
        <w:t>to implement</w:t>
      </w:r>
      <w:r w:rsidR="00D51E82" w:rsidRPr="00D51E82">
        <w:rPr>
          <w:lang w:val="en-US" w:eastAsia="zh-CN"/>
        </w:rPr>
        <w:t xml:space="preserve"> community forestry approaches nationally.</w:t>
      </w:r>
      <w:r w:rsidR="005A56BA">
        <w:rPr>
          <w:lang w:val="en-US" w:eastAsia="zh-CN"/>
        </w:rPr>
        <w:t xml:space="preserve"> </w:t>
      </w:r>
      <w:r w:rsidR="003705D7">
        <w:rPr>
          <w:lang w:val="en-US" w:eastAsia="zh-CN"/>
        </w:rPr>
        <w:t xml:space="preserve">Some </w:t>
      </w:r>
      <w:r w:rsidR="0086584C">
        <w:rPr>
          <w:lang w:eastAsia="zh-CN"/>
        </w:rPr>
        <w:t>167 community forestry sites</w:t>
      </w:r>
      <w:r w:rsidR="005A56BA">
        <w:rPr>
          <w:lang w:eastAsia="zh-CN"/>
        </w:rPr>
        <w:t xml:space="preserve"> have been established</w:t>
      </w:r>
      <w:r w:rsidR="0086584C">
        <w:rPr>
          <w:lang w:eastAsia="zh-CN"/>
        </w:rPr>
        <w:t xml:space="preserve"> in 18 administrative districts</w:t>
      </w:r>
      <w:r w:rsidR="000E7AB4">
        <w:rPr>
          <w:lang w:eastAsia="zh-CN"/>
        </w:rPr>
        <w:t>, reaching approximately 90,000 people</w:t>
      </w:r>
      <w:r w:rsidR="0086584C">
        <w:rPr>
          <w:lang w:eastAsia="zh-CN"/>
        </w:rPr>
        <w:t>.</w:t>
      </w:r>
      <w:r w:rsidR="005A56BA">
        <w:rPr>
          <w:lang w:eastAsia="zh-CN"/>
        </w:rPr>
        <w:t xml:space="preserve"> </w:t>
      </w:r>
      <w:r w:rsidR="006364ED">
        <w:rPr>
          <w:lang w:eastAsia="zh-CN"/>
        </w:rPr>
        <w:t xml:space="preserve">Supported </w:t>
      </w:r>
      <w:r w:rsidR="005A56BA">
        <w:rPr>
          <w:lang w:eastAsia="zh-CN"/>
        </w:rPr>
        <w:t xml:space="preserve">activities include farmers’ woodlots, enrichment and buffer zone planting, and a home garden development program. </w:t>
      </w:r>
      <w:r w:rsidR="006364ED">
        <w:rPr>
          <w:lang w:eastAsia="zh-CN"/>
        </w:rPr>
        <w:t>M</w:t>
      </w:r>
      <w:r w:rsidR="005A56BA">
        <w:rPr>
          <w:lang w:eastAsia="zh-CN"/>
        </w:rPr>
        <w:t xml:space="preserve">onitoring indicates the project is meeting its targets in terms of coverage and improved </w:t>
      </w:r>
      <w:r w:rsidR="005A56BA">
        <w:rPr>
          <w:lang w:eastAsia="zh-CN"/>
        </w:rPr>
        <w:lastRenderedPageBreak/>
        <w:t xml:space="preserve">long-term economic opportunities. </w:t>
      </w:r>
      <w:r w:rsidR="006364ED">
        <w:rPr>
          <w:lang w:eastAsia="zh-CN"/>
        </w:rPr>
        <w:t>T</w:t>
      </w:r>
      <w:r w:rsidR="005A56BA">
        <w:rPr>
          <w:lang w:eastAsia="zh-CN"/>
        </w:rPr>
        <w:t>rainin</w:t>
      </w:r>
      <w:r w:rsidR="006364ED">
        <w:rPr>
          <w:lang w:eastAsia="zh-CN"/>
        </w:rPr>
        <w:t>g was undertaken in</w:t>
      </w:r>
      <w:r w:rsidR="005A56BA">
        <w:rPr>
          <w:lang w:eastAsia="zh-CN"/>
        </w:rPr>
        <w:t xml:space="preserve"> 2014 to </w:t>
      </w:r>
      <w:r w:rsidR="006364ED">
        <w:rPr>
          <w:lang w:eastAsia="zh-CN"/>
        </w:rPr>
        <w:t>enhance</w:t>
      </w:r>
      <w:r w:rsidR="005A56BA">
        <w:rPr>
          <w:lang w:eastAsia="zh-CN"/>
        </w:rPr>
        <w:t xml:space="preserve"> </w:t>
      </w:r>
      <w:r w:rsidR="006364ED">
        <w:rPr>
          <w:lang w:eastAsia="zh-CN"/>
        </w:rPr>
        <w:t>FD officials’ gender awareness. N</w:t>
      </w:r>
      <w:r w:rsidR="00521F29">
        <w:rPr>
          <w:lang w:eastAsia="zh-CN"/>
        </w:rPr>
        <w:t xml:space="preserve">ow </w:t>
      </w:r>
      <w:r w:rsidR="00521F29" w:rsidRPr="00521F29">
        <w:rPr>
          <w:lang w:eastAsia="zh-CN"/>
        </w:rPr>
        <w:t>261 women have titles in their own names for forest plots</w:t>
      </w:r>
      <w:r w:rsidR="00521F29">
        <w:rPr>
          <w:lang w:eastAsia="zh-CN"/>
        </w:rPr>
        <w:t>.</w:t>
      </w:r>
      <w:r w:rsidR="00D51E82">
        <w:rPr>
          <w:lang w:eastAsia="zh-CN"/>
        </w:rPr>
        <w:t xml:space="preserve"> </w:t>
      </w:r>
      <w:r w:rsidR="006364ED">
        <w:rPr>
          <w:lang w:eastAsia="zh-CN"/>
        </w:rPr>
        <w:t>G</w:t>
      </w:r>
      <w:r w:rsidR="005A56BA">
        <w:rPr>
          <w:lang w:eastAsia="zh-CN"/>
        </w:rPr>
        <w:t>iven the high number of Tamil-speaking districts in which the programme operates, the programme employed additional Tamil-speaking e</w:t>
      </w:r>
      <w:r w:rsidR="00EE00E1">
        <w:rPr>
          <w:lang w:eastAsia="zh-CN"/>
        </w:rPr>
        <w:t>xtension officers in 2014.</w:t>
      </w:r>
      <w:r w:rsidR="00EE00E1">
        <w:rPr>
          <w:rStyle w:val="FootnoteReference"/>
          <w:lang w:eastAsia="zh-CN"/>
        </w:rPr>
        <w:footnoteReference w:id="22"/>
      </w:r>
      <w:r w:rsidR="005A56BA">
        <w:rPr>
          <w:lang w:eastAsia="zh-CN"/>
        </w:rPr>
        <w:t xml:space="preserve"> </w:t>
      </w:r>
    </w:p>
    <w:p w:rsidR="00890714" w:rsidRDefault="006364ED" w:rsidP="00622BFF">
      <w:pPr>
        <w:pStyle w:val="ListBullet"/>
        <w:numPr>
          <w:ilvl w:val="0"/>
          <w:numId w:val="0"/>
        </w:numPr>
        <w:tabs>
          <w:tab w:val="clear" w:pos="284"/>
        </w:tabs>
        <w:rPr>
          <w:iCs/>
          <w:lang w:eastAsia="zh-CN"/>
        </w:rPr>
      </w:pPr>
      <w:r>
        <w:rPr>
          <w:lang w:eastAsia="zh-CN"/>
        </w:rPr>
        <w:t>Other agencies undertook ODA</w:t>
      </w:r>
      <w:r w:rsidRPr="006364ED">
        <w:rPr>
          <w:lang w:eastAsia="zh-CN"/>
        </w:rPr>
        <w:t xml:space="preserve"> </w:t>
      </w:r>
      <w:r>
        <w:rPr>
          <w:lang w:eastAsia="zh-CN"/>
        </w:rPr>
        <w:t>relevant to this objective, including</w:t>
      </w:r>
      <w:r w:rsidR="00EE019C">
        <w:rPr>
          <w:lang w:eastAsia="zh-CN"/>
        </w:rPr>
        <w:t xml:space="preserve"> </w:t>
      </w:r>
      <w:r w:rsidR="003705D7">
        <w:rPr>
          <w:lang w:eastAsia="zh-CN"/>
        </w:rPr>
        <w:t>the</w:t>
      </w:r>
      <w:r w:rsidR="00890714">
        <w:rPr>
          <w:lang w:eastAsia="zh-CN"/>
        </w:rPr>
        <w:t xml:space="preserve"> Attorney-General’s Department (AGD)</w:t>
      </w:r>
      <w:r>
        <w:rPr>
          <w:lang w:eastAsia="zh-CN"/>
        </w:rPr>
        <w:t xml:space="preserve"> t</w:t>
      </w:r>
      <w:r w:rsidR="00890714" w:rsidRPr="00890714">
        <w:rPr>
          <w:iCs/>
          <w:lang w:eastAsia="zh-CN"/>
        </w:rPr>
        <w:t>hrough the Bali Process and the Asset Recovery Interagency Network – Asia Pacific (ARIN-AP)</w:t>
      </w:r>
      <w:r w:rsidR="003705D7">
        <w:rPr>
          <w:iCs/>
          <w:lang w:eastAsia="zh-CN"/>
        </w:rPr>
        <w:t>. ARIN-AP</w:t>
      </w:r>
      <w:r w:rsidR="00890714" w:rsidRPr="00890714">
        <w:rPr>
          <w:iCs/>
          <w:lang w:eastAsia="zh-CN"/>
        </w:rPr>
        <w:t xml:space="preserve"> strengthen</w:t>
      </w:r>
      <w:r w:rsidR="003705D7">
        <w:rPr>
          <w:iCs/>
          <w:lang w:eastAsia="zh-CN"/>
        </w:rPr>
        <w:t>s</w:t>
      </w:r>
      <w:r w:rsidR="00890714" w:rsidRPr="00890714">
        <w:rPr>
          <w:iCs/>
          <w:lang w:eastAsia="zh-CN"/>
        </w:rPr>
        <w:t xml:space="preserve"> laws, build</w:t>
      </w:r>
      <w:r w:rsidR="003705D7">
        <w:rPr>
          <w:iCs/>
          <w:lang w:eastAsia="zh-CN"/>
        </w:rPr>
        <w:t>s</w:t>
      </w:r>
      <w:r w:rsidR="00890714" w:rsidRPr="00890714">
        <w:rPr>
          <w:iCs/>
          <w:lang w:eastAsia="zh-CN"/>
        </w:rPr>
        <w:t xml:space="preserve"> capacity of law and justice officials and improve</w:t>
      </w:r>
      <w:r w:rsidR="003705D7">
        <w:rPr>
          <w:iCs/>
          <w:lang w:eastAsia="zh-CN"/>
        </w:rPr>
        <w:t>s</w:t>
      </w:r>
      <w:r w:rsidR="00890714" w:rsidRPr="00890714">
        <w:rPr>
          <w:iCs/>
          <w:lang w:eastAsia="zh-CN"/>
        </w:rPr>
        <w:t xml:space="preserve"> international crime cooperation to respond to people smuggling and human trafficking</w:t>
      </w:r>
      <w:r w:rsidR="003705D7">
        <w:rPr>
          <w:iCs/>
          <w:lang w:eastAsia="zh-CN"/>
        </w:rPr>
        <w:t xml:space="preserve">. </w:t>
      </w:r>
      <w:r w:rsidR="00890714" w:rsidRPr="00890714">
        <w:rPr>
          <w:iCs/>
          <w:lang w:eastAsia="zh-CN"/>
        </w:rPr>
        <w:t>In 2014-15</w:t>
      </w:r>
      <w:r w:rsidR="003705D7">
        <w:rPr>
          <w:iCs/>
          <w:lang w:eastAsia="zh-CN"/>
        </w:rPr>
        <w:t>,</w:t>
      </w:r>
      <w:r w:rsidR="00890714" w:rsidRPr="00890714">
        <w:rPr>
          <w:iCs/>
          <w:lang w:eastAsia="zh-CN"/>
        </w:rPr>
        <w:t xml:space="preserve"> AGD trained 41 </w:t>
      </w:r>
      <w:r w:rsidR="00395906">
        <w:rPr>
          <w:iCs/>
          <w:lang w:eastAsia="zh-CN"/>
        </w:rPr>
        <w:t xml:space="preserve">Sri Lankan </w:t>
      </w:r>
      <w:r w:rsidR="00890714" w:rsidRPr="00890714">
        <w:rPr>
          <w:iCs/>
          <w:lang w:eastAsia="zh-CN"/>
        </w:rPr>
        <w:t>prosecutors, judges and law and justice officials through legislation workshops; prosecutor pairing programs and training sessions on people smuggling, recovering proceeds of crime and protection of witnesses and victims of trafficking.</w:t>
      </w:r>
      <w:r w:rsidR="00622BFF">
        <w:rPr>
          <w:iCs/>
          <w:lang w:eastAsia="zh-CN"/>
        </w:rPr>
        <w:t xml:space="preserve"> </w:t>
      </w:r>
      <w:r w:rsidR="003705D7">
        <w:rPr>
          <w:iCs/>
          <w:lang w:eastAsia="zh-CN"/>
        </w:rPr>
        <w:t>S</w:t>
      </w:r>
      <w:r w:rsidR="00890714">
        <w:rPr>
          <w:iCs/>
          <w:lang w:eastAsia="zh-CN"/>
        </w:rPr>
        <w:t>imil</w:t>
      </w:r>
      <w:r w:rsidR="003705D7">
        <w:rPr>
          <w:iCs/>
          <w:lang w:eastAsia="zh-CN"/>
        </w:rPr>
        <w:t xml:space="preserve">arly, </w:t>
      </w:r>
      <w:r w:rsidR="00890714">
        <w:rPr>
          <w:iCs/>
          <w:lang w:eastAsia="zh-CN"/>
        </w:rPr>
        <w:t>t</w:t>
      </w:r>
      <w:r w:rsidR="00890714" w:rsidRPr="001E49A4">
        <w:rPr>
          <w:iCs/>
          <w:lang w:eastAsia="zh-CN"/>
        </w:rPr>
        <w:t>he Department of Immigration and Border Protection</w:t>
      </w:r>
      <w:r w:rsidR="003705D7">
        <w:rPr>
          <w:iCs/>
          <w:lang w:eastAsia="zh-CN"/>
        </w:rPr>
        <w:t xml:space="preserve"> (DIBP)</w:t>
      </w:r>
      <w:r w:rsidR="00890714" w:rsidRPr="001E49A4">
        <w:rPr>
          <w:iCs/>
          <w:lang w:eastAsia="zh-CN"/>
        </w:rPr>
        <w:t xml:space="preserve"> has funded projects totalling over AUD $6 million in 2013-14 and 2014-15 to assist the reintegration of returned Sri Lankan nationals, focussing on employment opportunities, training and community stabilisation.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21"/>
      </w:tblGrid>
      <w:tr w:rsidR="00881A86" w:rsidTr="007951DA">
        <w:tc>
          <w:tcPr>
            <w:tcW w:w="8721" w:type="dxa"/>
          </w:tcPr>
          <w:p w:rsidR="00881A86" w:rsidRPr="00EF756E" w:rsidRDefault="00881A86" w:rsidP="007951DA">
            <w:pPr>
              <w:pStyle w:val="ListBullet"/>
              <w:numPr>
                <w:ilvl w:val="0"/>
                <w:numId w:val="0"/>
              </w:numPr>
              <w:spacing w:before="120"/>
              <w:jc w:val="center"/>
              <w:rPr>
                <w:b/>
                <w:iCs/>
                <w:lang w:eastAsia="zh-CN"/>
              </w:rPr>
            </w:pPr>
            <w:r>
              <w:rPr>
                <w:b/>
                <w:iCs/>
                <w:lang w:eastAsia="zh-CN"/>
              </w:rPr>
              <w:t>Box 2: Responding to gender inequality</w:t>
            </w:r>
          </w:p>
          <w:p w:rsidR="00881A86" w:rsidRDefault="00881A86" w:rsidP="00906FC8">
            <w:pPr>
              <w:pStyle w:val="BodyText"/>
              <w:rPr>
                <w:lang w:eastAsia="zh-CN"/>
              </w:rPr>
            </w:pPr>
            <w:r>
              <w:rPr>
                <w:lang w:eastAsia="zh-CN"/>
              </w:rPr>
              <w:t>Throughout the implementation of the 2012-16 country strategy</w:t>
            </w:r>
            <w:r w:rsidR="00C83A0B">
              <w:rPr>
                <w:lang w:eastAsia="zh-CN"/>
              </w:rPr>
              <w:t xml:space="preserve">, Australia </w:t>
            </w:r>
            <w:r>
              <w:rPr>
                <w:lang w:eastAsia="zh-CN"/>
              </w:rPr>
              <w:t>worked to improve the sensitivity of implementing partners to gender issues. In addition to the advocacy and support for training undertaken in the CFP and NELSIP (discussed in Annex A), we increased demands on the seven implementing partners in ACRP3 to improve the quality of their gender analysis</w:t>
            </w:r>
            <w:r w:rsidR="00A222B7">
              <w:rPr>
                <w:lang w:eastAsia="zh-CN"/>
              </w:rPr>
              <w:t xml:space="preserve"> and design</w:t>
            </w:r>
            <w:r>
              <w:rPr>
                <w:lang w:eastAsia="zh-CN"/>
              </w:rPr>
              <w:t>. In TSEP, considerable efforts were made to ensure gender and disability access were facilitated through improvements to learning environments and a landmark study assessing the gender dimensions of secondary school drop-out rates in Eastern</w:t>
            </w:r>
            <w:r w:rsidR="00C83A0B">
              <w:rPr>
                <w:lang w:eastAsia="zh-CN"/>
              </w:rPr>
              <w:t xml:space="preserve"> Province. T</w:t>
            </w:r>
            <w:r>
              <w:rPr>
                <w:lang w:eastAsia="zh-CN"/>
              </w:rPr>
              <w:t>he program</w:t>
            </w:r>
            <w:r w:rsidR="00C83A0B">
              <w:rPr>
                <w:lang w:eastAsia="zh-CN"/>
              </w:rPr>
              <w:t xml:space="preserve"> now needs to</w:t>
            </w:r>
            <w:r>
              <w:rPr>
                <w:lang w:eastAsia="zh-CN"/>
              </w:rPr>
              <w:t xml:space="preserve"> entrench its work on gender equality, especially in relation to women’s economic empowerment and gender-based violence, but also in women’s leadership. Increasing gender equality </w:t>
            </w:r>
            <w:r w:rsidR="00147E2C">
              <w:rPr>
                <w:lang w:eastAsia="zh-CN"/>
              </w:rPr>
              <w:t>is a</w:t>
            </w:r>
            <w:r>
              <w:rPr>
                <w:lang w:eastAsia="zh-CN"/>
              </w:rPr>
              <w:t xml:space="preserve"> </w:t>
            </w:r>
            <w:r w:rsidR="00906FC8">
              <w:rPr>
                <w:lang w:eastAsia="zh-CN"/>
              </w:rPr>
              <w:t>key</w:t>
            </w:r>
            <w:r>
              <w:rPr>
                <w:lang w:eastAsia="zh-CN"/>
              </w:rPr>
              <w:t xml:space="preserve"> objective in </w:t>
            </w:r>
            <w:r w:rsidR="00A222B7">
              <w:rPr>
                <w:lang w:eastAsia="zh-CN"/>
              </w:rPr>
              <w:t>the</w:t>
            </w:r>
            <w:r w:rsidR="007951DA">
              <w:rPr>
                <w:lang w:eastAsia="zh-CN"/>
              </w:rPr>
              <w:t xml:space="preserve"> new</w:t>
            </w:r>
            <w:r w:rsidR="00A222B7">
              <w:rPr>
                <w:lang w:eastAsia="zh-CN"/>
              </w:rPr>
              <w:t xml:space="preserve"> </w:t>
            </w:r>
            <w:r w:rsidR="007951DA">
              <w:rPr>
                <w:lang w:eastAsia="zh-CN"/>
              </w:rPr>
              <w:t>AIP</w:t>
            </w:r>
            <w:r>
              <w:rPr>
                <w:lang w:eastAsia="zh-CN"/>
              </w:rPr>
              <w:t xml:space="preserve"> 2015-19 and will be accompanied by a gender action plan and </w:t>
            </w:r>
            <w:r w:rsidRPr="0029676A">
              <w:rPr>
                <w:lang w:eastAsia="zh-CN"/>
              </w:rPr>
              <w:t>investment specifically focused on advancing gender equality</w:t>
            </w:r>
            <w:r>
              <w:rPr>
                <w:lang w:eastAsia="zh-CN"/>
              </w:rPr>
              <w:t>.</w:t>
            </w:r>
          </w:p>
        </w:tc>
      </w:tr>
    </w:tbl>
    <w:p w:rsidR="00823FCA" w:rsidRDefault="00823FCA" w:rsidP="002E5070">
      <w:pPr>
        <w:pStyle w:val="Heading3"/>
        <w:rPr>
          <w:sz w:val="32"/>
          <w:szCs w:val="32"/>
        </w:rPr>
      </w:pPr>
      <w:r w:rsidRPr="004D740B">
        <w:t>Perf</w:t>
      </w:r>
      <w:r>
        <w:t>o</w:t>
      </w:r>
      <w:r w:rsidRPr="004D740B">
        <w:t>rmance Benchmarks</w:t>
      </w:r>
      <w:r w:rsidRPr="009E38C1">
        <w:rPr>
          <w:sz w:val="32"/>
          <w:szCs w:val="32"/>
        </w:rPr>
        <w:tab/>
      </w:r>
    </w:p>
    <w:p w:rsidR="00A2451A" w:rsidRDefault="00147E2C" w:rsidP="00C64C5B">
      <w:pPr>
        <w:pStyle w:val="ListBullet"/>
        <w:numPr>
          <w:ilvl w:val="0"/>
          <w:numId w:val="0"/>
        </w:numPr>
        <w:tabs>
          <w:tab w:val="clear" w:pos="284"/>
        </w:tabs>
      </w:pPr>
      <w:r>
        <w:t>A</w:t>
      </w:r>
      <w:r w:rsidR="00C64C5B">
        <w:t xml:space="preserve">ll </w:t>
      </w:r>
      <w:r>
        <w:t xml:space="preserve">2014-15 performance </w:t>
      </w:r>
      <w:r w:rsidR="009D1ADC">
        <w:t xml:space="preserve">benchmarks </w:t>
      </w:r>
      <w:r>
        <w:t>were</w:t>
      </w:r>
      <w:r w:rsidR="009D1ADC">
        <w:t xml:space="preserve"> either achieved or partly achieved</w:t>
      </w:r>
      <w:r>
        <w:t xml:space="preserve"> (see</w:t>
      </w:r>
      <w:r w:rsidR="00A2451A">
        <w:t xml:space="preserve"> Appendix B</w:t>
      </w:r>
      <w:r>
        <w:t>)</w:t>
      </w:r>
      <w:r w:rsidR="00A2451A">
        <w:t>.</w:t>
      </w:r>
      <w:r w:rsidR="006364ED">
        <w:t xml:space="preserve"> In particular, t</w:t>
      </w:r>
      <w:r w:rsidR="009D1ADC">
        <w:t>he effective dispersal of Australia’s financial contribution to the World Bank-managed TSEP</w:t>
      </w:r>
      <w:r w:rsidR="006364ED">
        <w:t xml:space="preserve"> </w:t>
      </w:r>
      <w:r w:rsidR="009D1ADC">
        <w:t>enabl</w:t>
      </w:r>
      <w:r w:rsidR="006364ED">
        <w:t>ed</w:t>
      </w:r>
      <w:r w:rsidR="009D1ADC">
        <w:t xml:space="preserve"> strong performance against the education benchmarks. </w:t>
      </w:r>
      <w:r w:rsidR="00A2451A">
        <w:t xml:space="preserve">Performance benchmarks for 2015-6 are set out in the Sri Lanka </w:t>
      </w:r>
      <w:r w:rsidR="007951DA">
        <w:t>AIP</w:t>
      </w:r>
      <w:r w:rsidR="00A2451A">
        <w:t xml:space="preserve"> 2015-19.</w:t>
      </w:r>
    </w:p>
    <w:p w:rsidR="000D733F" w:rsidRPr="001375E3" w:rsidRDefault="000D733F" w:rsidP="002E5070">
      <w:pPr>
        <w:pStyle w:val="Heading3"/>
        <w:rPr>
          <w:rStyle w:val="BodyTextChar"/>
          <w:b w:val="0"/>
          <w:color w:val="auto"/>
        </w:rPr>
      </w:pPr>
      <w:r w:rsidRPr="009E38C1">
        <w:t>Mutual Obligations</w:t>
      </w:r>
      <w:r w:rsidRPr="009E38C1">
        <w:rPr>
          <w:sz w:val="32"/>
          <w:szCs w:val="32"/>
        </w:rPr>
        <w:tab/>
      </w:r>
      <w:r>
        <w:tab/>
      </w:r>
      <w:r>
        <w:tab/>
      </w:r>
      <w:r>
        <w:tab/>
      </w:r>
    </w:p>
    <w:p w:rsidR="00C64C5B" w:rsidRDefault="006364ED" w:rsidP="006364ED">
      <w:pPr>
        <w:pStyle w:val="ListBullet"/>
        <w:numPr>
          <w:ilvl w:val="0"/>
          <w:numId w:val="0"/>
        </w:numPr>
        <w:tabs>
          <w:tab w:val="clear" w:pos="284"/>
        </w:tabs>
      </w:pPr>
      <w:r>
        <w:t>T</w:t>
      </w:r>
      <w:r w:rsidR="00926EB6">
        <w:t xml:space="preserve">he new </w:t>
      </w:r>
      <w:r w:rsidR="00622BFF">
        <w:t>Government</w:t>
      </w:r>
      <w:r w:rsidR="00906FC8">
        <w:t xml:space="preserve"> of Sri Lanka</w:t>
      </w:r>
      <w:r w:rsidR="00622BFF">
        <w:t xml:space="preserve"> is</w:t>
      </w:r>
      <w:r w:rsidR="00926EB6">
        <w:t xml:space="preserve"> yet to release a comprehensive development policy</w:t>
      </w:r>
      <w:r w:rsidR="00622BFF">
        <w:t xml:space="preserve"> to </w:t>
      </w:r>
      <w:r w:rsidR="00A222B7">
        <w:t>replace</w:t>
      </w:r>
      <w:r w:rsidR="00622BFF">
        <w:t xml:space="preserve"> the previous Government’s </w:t>
      </w:r>
      <w:r w:rsidR="00622BFF" w:rsidRPr="00C64C5B">
        <w:rPr>
          <w:i/>
        </w:rPr>
        <w:t>Mahinda Chintana: Vision for the Future</w:t>
      </w:r>
      <w:r>
        <w:t>.</w:t>
      </w:r>
      <w:r w:rsidR="00926EB6">
        <w:t xml:space="preserve"> </w:t>
      </w:r>
      <w:r>
        <w:t xml:space="preserve">But our close relationship means </w:t>
      </w:r>
      <w:r w:rsidR="0015343C">
        <w:t xml:space="preserve">clarity </w:t>
      </w:r>
      <w:r>
        <w:t xml:space="preserve">is </w:t>
      </w:r>
      <w:r w:rsidR="00147E2C">
        <w:t>emerging</w:t>
      </w:r>
      <w:r w:rsidR="0015343C">
        <w:t xml:space="preserve"> between Au</w:t>
      </w:r>
      <w:r w:rsidR="00906FC8">
        <w:t>stralia and the new G</w:t>
      </w:r>
      <w:r w:rsidR="0015343C">
        <w:t>overnment on many elements of economi</w:t>
      </w:r>
      <w:r w:rsidR="00622BFF">
        <w:t>c, political and social reform.</w:t>
      </w:r>
      <w:r>
        <w:t xml:space="preserve"> M</w:t>
      </w:r>
      <w:r w:rsidR="003A38CC">
        <w:t xml:space="preserve">ajor </w:t>
      </w:r>
      <w:r w:rsidR="00975BE8">
        <w:t xml:space="preserve">Australian-funded </w:t>
      </w:r>
      <w:r w:rsidR="003A38CC">
        <w:t xml:space="preserve">programs, such as NELSIP, </w:t>
      </w:r>
      <w:r w:rsidR="00C64C5B" w:rsidRPr="00C64C5B">
        <w:t>TSEP and CFP</w:t>
      </w:r>
      <w:r w:rsidR="00BD0CED">
        <w:t xml:space="preserve"> </w:t>
      </w:r>
      <w:r w:rsidR="00C64C5B" w:rsidRPr="00C64C5B">
        <w:t>a</w:t>
      </w:r>
      <w:r w:rsidR="00BD0CED">
        <w:t>re government-</w:t>
      </w:r>
      <w:r w:rsidR="00622BFF">
        <w:t xml:space="preserve">implemented </w:t>
      </w:r>
      <w:r w:rsidR="00926EB6">
        <w:t xml:space="preserve">and </w:t>
      </w:r>
      <w:r w:rsidR="00147E2C">
        <w:t xml:space="preserve">therefore </w:t>
      </w:r>
      <w:r w:rsidR="00926EB6">
        <w:t xml:space="preserve">reflect </w:t>
      </w:r>
      <w:r w:rsidR="00622BFF">
        <w:t>G</w:t>
      </w:r>
      <w:r w:rsidR="00926EB6">
        <w:t>overnment</w:t>
      </w:r>
      <w:r w:rsidR="00975BE8">
        <w:t xml:space="preserve"> p</w:t>
      </w:r>
      <w:r w:rsidR="00147E2C">
        <w:t>riorities</w:t>
      </w:r>
      <w:r w:rsidR="00BD0CED">
        <w:t xml:space="preserve">. </w:t>
      </w:r>
      <w:r w:rsidR="0015343C" w:rsidRPr="0015343C">
        <w:t>In</w:t>
      </w:r>
      <w:r w:rsidR="0015343C">
        <w:t xml:space="preserve"> the cases of NELSIP and TSEP, </w:t>
      </w:r>
      <w:r w:rsidR="0015343C" w:rsidRPr="0015343C">
        <w:t xml:space="preserve">clear links </w:t>
      </w:r>
      <w:r w:rsidR="00975BE8">
        <w:t xml:space="preserve">exist </w:t>
      </w:r>
      <w:r w:rsidR="0015343C" w:rsidRPr="0015343C">
        <w:t xml:space="preserve">between agreed </w:t>
      </w:r>
      <w:r w:rsidR="00622BFF">
        <w:t>g</w:t>
      </w:r>
      <w:r w:rsidR="0015343C">
        <w:t xml:space="preserve">overnment </w:t>
      </w:r>
      <w:r w:rsidR="0015343C" w:rsidRPr="0015343C">
        <w:t xml:space="preserve">performance and disbursement of funds. </w:t>
      </w:r>
      <w:r w:rsidR="0015343C">
        <w:t xml:space="preserve">The Sri Lankan </w:t>
      </w:r>
      <w:r w:rsidR="00622BFF">
        <w:t>G</w:t>
      </w:r>
      <w:r w:rsidR="0015343C">
        <w:t xml:space="preserve">overnment is required to achieve </w:t>
      </w:r>
      <w:r w:rsidR="0015343C" w:rsidRPr="0015343C">
        <w:t>Disbu</w:t>
      </w:r>
      <w:r w:rsidR="007951DA">
        <w:t>rsement Linked Indicators</w:t>
      </w:r>
      <w:r w:rsidR="0015343C">
        <w:t xml:space="preserve"> </w:t>
      </w:r>
      <w:r w:rsidR="0015343C" w:rsidRPr="0015343C">
        <w:t xml:space="preserve">each year in order </w:t>
      </w:r>
      <w:r w:rsidR="0015343C">
        <w:t>to receive</w:t>
      </w:r>
      <w:r w:rsidR="0015343C" w:rsidRPr="0015343C">
        <w:t xml:space="preserve"> tranche funding (from Australia and the World Bank).</w:t>
      </w:r>
      <w:r w:rsidR="0015343C">
        <w:t xml:space="preserve"> In addition to joint monitoring by Australia, the World Bank and the </w:t>
      </w:r>
      <w:r w:rsidR="00975BE8">
        <w:t>G</w:t>
      </w:r>
      <w:r w:rsidR="0015343C">
        <w:t>overnment of Sri Lanka,</w:t>
      </w:r>
      <w:r w:rsidR="0015343C" w:rsidRPr="0015343C">
        <w:t xml:space="preserve"> </w:t>
      </w:r>
      <w:r w:rsidR="0015343C">
        <w:t>p</w:t>
      </w:r>
      <w:r w:rsidR="0015343C" w:rsidRPr="0015343C">
        <w:t xml:space="preserve">rogress against TSEP </w:t>
      </w:r>
      <w:r w:rsidR="0015343C">
        <w:t xml:space="preserve">indicators </w:t>
      </w:r>
      <w:r w:rsidR="0015343C" w:rsidRPr="0015343C">
        <w:t xml:space="preserve">is independently verified by the Sri Lanka Association for the Advancement of Education. </w:t>
      </w:r>
      <w:r w:rsidR="0015343C">
        <w:t xml:space="preserve">Under NELSIP, </w:t>
      </w:r>
      <w:r w:rsidR="0015343C" w:rsidRPr="0015343C">
        <w:t xml:space="preserve">local authorities </w:t>
      </w:r>
      <w:r w:rsidR="00622BFF">
        <w:t>must</w:t>
      </w:r>
      <w:r w:rsidR="0015343C" w:rsidRPr="0015343C">
        <w:t xml:space="preserve"> meet </w:t>
      </w:r>
      <w:r w:rsidR="00975BE8">
        <w:t xml:space="preserve">agreed </w:t>
      </w:r>
      <w:r w:rsidR="0015343C" w:rsidRPr="0015343C">
        <w:t>performance benchmarks</w:t>
      </w:r>
      <w:r w:rsidR="00975BE8">
        <w:t>,</w:t>
      </w:r>
      <w:r w:rsidR="0015343C" w:rsidRPr="0015343C">
        <w:t xml:space="preserve"> such as completion of audited financial statements and development of participatory budgets.</w:t>
      </w:r>
    </w:p>
    <w:p w:rsidR="00906A81" w:rsidRPr="0007149C" w:rsidRDefault="00511A0F" w:rsidP="0007149C">
      <w:pPr>
        <w:pStyle w:val="Heading2"/>
        <w:rPr>
          <w:sz w:val="28"/>
        </w:rPr>
      </w:pPr>
      <w:r w:rsidRPr="0007149C">
        <w:rPr>
          <w:sz w:val="28"/>
        </w:rPr>
        <w:lastRenderedPageBreak/>
        <w:t>Program Quality</w:t>
      </w:r>
      <w:r w:rsidR="000D733F" w:rsidRPr="0007149C">
        <w:rPr>
          <w:sz w:val="28"/>
        </w:rPr>
        <w:t xml:space="preserve"> and </w:t>
      </w:r>
      <w:r w:rsidR="00581979">
        <w:rPr>
          <w:sz w:val="28"/>
        </w:rPr>
        <w:t>Partner Performance</w:t>
      </w:r>
      <w:r w:rsidR="000D733F" w:rsidRPr="0007149C">
        <w:rPr>
          <w:sz w:val="28"/>
        </w:rPr>
        <w:t xml:space="preserve"> </w:t>
      </w:r>
    </w:p>
    <w:p w:rsidR="000D733F" w:rsidRPr="006A5742" w:rsidRDefault="00906A81" w:rsidP="002E5070">
      <w:pPr>
        <w:pStyle w:val="Heading3"/>
      </w:pPr>
      <w:r w:rsidRPr="006A5742">
        <w:t>Overview</w:t>
      </w:r>
      <w:r w:rsidR="000D733F" w:rsidRPr="006A5742">
        <w:tab/>
      </w:r>
      <w:r w:rsidR="000D733F">
        <w:tab/>
      </w:r>
    </w:p>
    <w:p w:rsidR="00AD5EC8" w:rsidRDefault="00AD5EC8" w:rsidP="00AD5EC8">
      <w:pPr>
        <w:pStyle w:val="ListBullet"/>
        <w:numPr>
          <w:ilvl w:val="0"/>
          <w:numId w:val="0"/>
        </w:numPr>
      </w:pPr>
      <w:r w:rsidRPr="00AD5EC8">
        <w:t>The Sri Lanka program has invested significantly in program monitoring</w:t>
      </w:r>
      <w:r w:rsidR="00F5695C">
        <w:t>, with s</w:t>
      </w:r>
      <w:r w:rsidRPr="00AD5EC8">
        <w:t xml:space="preserve">taff </w:t>
      </w:r>
      <w:r w:rsidR="00BD0CED">
        <w:t>under</w:t>
      </w:r>
      <w:r w:rsidR="00F5695C">
        <w:t>taking</w:t>
      </w:r>
      <w:r w:rsidRPr="00AD5EC8">
        <w:t xml:space="preserve"> regula</w:t>
      </w:r>
      <w:r w:rsidR="00F5695C">
        <w:t>r field monitoring of investments in conjunction with partners and technical experts.</w:t>
      </w:r>
      <w:r w:rsidRPr="00AD5EC8">
        <w:t xml:space="preserve"> The Sri Lanka program continue</w:t>
      </w:r>
      <w:r w:rsidR="00BD0CED">
        <w:t>d</w:t>
      </w:r>
      <w:r w:rsidRPr="00AD5EC8">
        <w:t xml:space="preserve"> to consolidate in 2014-15 </w:t>
      </w:r>
      <w:r w:rsidR="00BD0CED">
        <w:t xml:space="preserve">with </w:t>
      </w:r>
      <w:r w:rsidR="00E4542F">
        <w:t>several</w:t>
      </w:r>
      <w:r w:rsidR="00BD0CED">
        <w:t xml:space="preserve"> projects co</w:t>
      </w:r>
      <w:r w:rsidR="00395906">
        <w:t>ncluding</w:t>
      </w:r>
      <w:r w:rsidR="00BD0CED">
        <w:t xml:space="preserve">, including NEP </w:t>
      </w:r>
      <w:r w:rsidRPr="00AD5EC8">
        <w:t xml:space="preserve">WASH, WASH in Child Friendly Schools, </w:t>
      </w:r>
      <w:r w:rsidR="00BD0CED">
        <w:t xml:space="preserve">the </w:t>
      </w:r>
      <w:r w:rsidRPr="00AD5EC8">
        <w:t>UNICEF Child F</w:t>
      </w:r>
      <w:r w:rsidR="00BD0CED">
        <w:t xml:space="preserve">riendly Education Program </w:t>
      </w:r>
      <w:r w:rsidRPr="00AD5EC8">
        <w:t>and UNHABITAT Housing initiative</w:t>
      </w:r>
      <w:r w:rsidR="00C83E73">
        <w:t>.</w:t>
      </w:r>
      <w:r w:rsidRPr="00AD5EC8">
        <w:t xml:space="preserve"> </w:t>
      </w:r>
      <w:r w:rsidR="00531580">
        <w:t xml:space="preserve">The 2015-19 AIP envisages three investment pillars (and potentially only </w:t>
      </w:r>
      <w:r w:rsidR="00BD0CED">
        <w:t>three</w:t>
      </w:r>
      <w:r w:rsidR="00531580">
        <w:t xml:space="preserve"> investments, excluding Australia Awards and TSEP</w:t>
      </w:r>
      <w:r w:rsidR="00BD0CED">
        <w:t>, which finishes in 2017</w:t>
      </w:r>
      <w:r w:rsidR="00531580">
        <w:t xml:space="preserve">) clustered around the </w:t>
      </w:r>
      <w:r w:rsidR="00BD0CED">
        <w:t xml:space="preserve">three </w:t>
      </w:r>
      <w:r w:rsidR="00531580">
        <w:t>program objectives.</w:t>
      </w:r>
      <w:r w:rsidR="00E752B9">
        <w:t xml:space="preserve"> The program will also continue to liaise closely with the World Bank and the Sri Lankan Government over the dispersal of Australian funds through </w:t>
      </w:r>
      <w:r w:rsidR="00C83A0B">
        <w:t xml:space="preserve">to the completion of </w:t>
      </w:r>
      <w:r w:rsidR="00E752B9">
        <w:t>TSEP.</w:t>
      </w:r>
    </w:p>
    <w:p w:rsidR="00A362EB" w:rsidRPr="00AD5EC8" w:rsidRDefault="00A362EB" w:rsidP="00E752B9">
      <w:pPr>
        <w:pStyle w:val="ListBullet"/>
        <w:numPr>
          <w:ilvl w:val="0"/>
          <w:numId w:val="0"/>
        </w:numPr>
      </w:pPr>
      <w:r>
        <w:t xml:space="preserve">Two evaluations were </w:t>
      </w:r>
      <w:r w:rsidR="00A45675">
        <w:t xml:space="preserve">published in the reporting period. </w:t>
      </w:r>
      <w:r w:rsidR="00975BE8">
        <w:t>A</w:t>
      </w:r>
      <w:r w:rsidR="00A45675">
        <w:t xml:space="preserve"> review of the Sri Lanka Community Forestry Project </w:t>
      </w:r>
      <w:r w:rsidR="00A45675" w:rsidRPr="00A45675">
        <w:rPr>
          <w:lang w:val="en-US"/>
        </w:rPr>
        <w:t xml:space="preserve">found </w:t>
      </w:r>
      <w:r w:rsidR="00622BFF">
        <w:rPr>
          <w:lang w:val="en-US"/>
        </w:rPr>
        <w:t>it</w:t>
      </w:r>
      <w:r w:rsidR="00A45675" w:rsidRPr="00A45675">
        <w:rPr>
          <w:lang w:val="en-US"/>
        </w:rPr>
        <w:t xml:space="preserve"> was contributing to ongoing change within the </w:t>
      </w:r>
      <w:r w:rsidR="00A45675">
        <w:rPr>
          <w:lang w:val="en-US"/>
        </w:rPr>
        <w:t>Forestry Department</w:t>
      </w:r>
      <w:r w:rsidR="00975BE8">
        <w:rPr>
          <w:lang w:val="en-US"/>
        </w:rPr>
        <w:t>;</w:t>
      </w:r>
      <w:r w:rsidR="00A45675" w:rsidRPr="00A45675">
        <w:rPr>
          <w:lang w:val="en-US"/>
        </w:rPr>
        <w:t xml:space="preserve"> the capacity to service the participatory needs of commu</w:t>
      </w:r>
      <w:r w:rsidR="00A45675">
        <w:rPr>
          <w:lang w:val="en-US"/>
        </w:rPr>
        <w:t>nity forestry had increased</w:t>
      </w:r>
      <w:r w:rsidR="00975BE8">
        <w:rPr>
          <w:lang w:val="en-US"/>
        </w:rPr>
        <w:t>;</w:t>
      </w:r>
      <w:r w:rsidR="00A45675">
        <w:rPr>
          <w:lang w:val="en-US"/>
        </w:rPr>
        <w:t xml:space="preserve"> and</w:t>
      </w:r>
      <w:r w:rsidR="00A45675" w:rsidRPr="00A45675">
        <w:rPr>
          <w:lang w:val="en-US"/>
        </w:rPr>
        <w:t xml:space="preserve"> attitudes within the Dep</w:t>
      </w:r>
      <w:r w:rsidR="00A45675">
        <w:rPr>
          <w:lang w:val="en-US"/>
        </w:rPr>
        <w:t>artment towards communities had</w:t>
      </w:r>
      <w:r w:rsidR="00A45675" w:rsidRPr="00A45675">
        <w:rPr>
          <w:lang w:val="en-US"/>
        </w:rPr>
        <w:t xml:space="preserve"> changed positive</w:t>
      </w:r>
      <w:r w:rsidR="00622BFF">
        <w:rPr>
          <w:lang w:val="en-US"/>
        </w:rPr>
        <w:t>ly</w:t>
      </w:r>
      <w:r w:rsidR="00A45675" w:rsidRPr="00A45675">
        <w:rPr>
          <w:lang w:val="en-US"/>
        </w:rPr>
        <w:t xml:space="preserve">. </w:t>
      </w:r>
      <w:r w:rsidR="00975BE8">
        <w:rPr>
          <w:lang w:val="en-US"/>
        </w:rPr>
        <w:t>However, t</w:t>
      </w:r>
      <w:r w:rsidR="00A45675" w:rsidRPr="00A45675">
        <w:rPr>
          <w:lang w:val="en-US"/>
        </w:rPr>
        <w:t xml:space="preserve">he </w:t>
      </w:r>
      <w:r w:rsidR="00975BE8">
        <w:rPr>
          <w:lang w:val="en-US"/>
        </w:rPr>
        <w:t>project’s</w:t>
      </w:r>
      <w:r w:rsidR="00A45675" w:rsidRPr="00A45675">
        <w:rPr>
          <w:lang w:val="en-US"/>
        </w:rPr>
        <w:t xml:space="preserve"> monitoring and evaluation system </w:t>
      </w:r>
      <w:r w:rsidR="00A45675">
        <w:rPr>
          <w:lang w:val="en-US"/>
        </w:rPr>
        <w:t>could do better</w:t>
      </w:r>
      <w:r w:rsidR="00975BE8">
        <w:rPr>
          <w:lang w:val="en-US"/>
        </w:rPr>
        <w:t xml:space="preserve"> </w:t>
      </w:r>
      <w:r w:rsidR="00A45675">
        <w:rPr>
          <w:lang w:val="en-US"/>
        </w:rPr>
        <w:t>in</w:t>
      </w:r>
      <w:r w:rsidR="00A45675" w:rsidRPr="00A45675">
        <w:rPr>
          <w:lang w:val="en-US"/>
        </w:rPr>
        <w:t xml:space="preserve"> reporting on achievements and reform</w:t>
      </w:r>
      <w:r w:rsidR="00A45675">
        <w:rPr>
          <w:lang w:val="en-US"/>
        </w:rPr>
        <w:t>s</w:t>
      </w:r>
      <w:r w:rsidR="00A45675" w:rsidRPr="00A45675">
        <w:rPr>
          <w:lang w:val="en-US"/>
        </w:rPr>
        <w:t>.</w:t>
      </w:r>
      <w:r w:rsidR="00A45675">
        <w:rPr>
          <w:lang w:val="en-US"/>
        </w:rPr>
        <w:t xml:space="preserve"> </w:t>
      </w:r>
      <w:r w:rsidR="00975BE8">
        <w:rPr>
          <w:lang w:val="en-US"/>
        </w:rPr>
        <w:t>A</w:t>
      </w:r>
      <w:r w:rsidR="00A45675">
        <w:rPr>
          <w:lang w:val="en-US"/>
        </w:rPr>
        <w:t>n independent completion report of the UNICEF/Ministry of Education Support to the Education Sector in Conflict Affected Areas in Northern Sri Lanka</w:t>
      </w:r>
      <w:r w:rsidR="00975BE8">
        <w:rPr>
          <w:lang w:val="en-US"/>
        </w:rPr>
        <w:t xml:space="preserve"> </w:t>
      </w:r>
      <w:r w:rsidR="00A45675" w:rsidRPr="00A45675">
        <w:rPr>
          <w:lang w:val="en-US"/>
        </w:rPr>
        <w:t xml:space="preserve">was positive, </w:t>
      </w:r>
      <w:r w:rsidR="00975BE8">
        <w:rPr>
          <w:lang w:val="en-US"/>
        </w:rPr>
        <w:t>noting</w:t>
      </w:r>
      <w:r w:rsidR="00F5695C">
        <w:rPr>
          <w:lang w:val="en-US"/>
        </w:rPr>
        <w:t xml:space="preserve"> increased</w:t>
      </w:r>
      <w:r w:rsidR="00A45675" w:rsidRPr="00A45675">
        <w:rPr>
          <w:lang w:val="en-US"/>
        </w:rPr>
        <w:t xml:space="preserve"> school attendance and </w:t>
      </w:r>
      <w:r w:rsidR="00F5695C">
        <w:rPr>
          <w:lang w:val="en-US"/>
        </w:rPr>
        <w:t>community support for</w:t>
      </w:r>
      <w:r w:rsidR="00A45675" w:rsidRPr="00A45675">
        <w:rPr>
          <w:lang w:val="en-US"/>
        </w:rPr>
        <w:t xml:space="preserve"> rehabilit</w:t>
      </w:r>
      <w:r w:rsidR="00F5695C">
        <w:rPr>
          <w:lang w:val="en-US"/>
        </w:rPr>
        <w:t>ated and reconstructed schools</w:t>
      </w:r>
      <w:r w:rsidR="00A45675" w:rsidRPr="00A45675">
        <w:rPr>
          <w:lang w:val="en-US"/>
        </w:rPr>
        <w:t>.</w:t>
      </w:r>
    </w:p>
    <w:p w:rsidR="000D733F" w:rsidRPr="00180B19" w:rsidRDefault="000D733F" w:rsidP="002E5070">
      <w:pPr>
        <w:pStyle w:val="Heading3"/>
      </w:pPr>
      <w:r>
        <w:t xml:space="preserve">Analysis of </w:t>
      </w:r>
      <w:r w:rsidR="000D2CDD">
        <w:t xml:space="preserve">Aid </w:t>
      </w:r>
      <w:r w:rsidRPr="00180B19">
        <w:t xml:space="preserve">Quality </w:t>
      </w:r>
      <w:r w:rsidR="000D2CDD">
        <w:t xml:space="preserve">Checks </w:t>
      </w:r>
      <w:r w:rsidR="0007149C">
        <w:t>(AQCs)</w:t>
      </w:r>
    </w:p>
    <w:p w:rsidR="00A45675" w:rsidRDefault="00531580" w:rsidP="00AD5EC8">
      <w:pPr>
        <w:pStyle w:val="ListBullet"/>
        <w:numPr>
          <w:ilvl w:val="0"/>
          <w:numId w:val="0"/>
        </w:numPr>
        <w:tabs>
          <w:tab w:val="clear" w:pos="284"/>
        </w:tabs>
      </w:pPr>
      <w:r>
        <w:t>Aid Quality Checks (AQCs)</w:t>
      </w:r>
      <w:r w:rsidR="00975BE8">
        <w:t xml:space="preserve"> </w:t>
      </w:r>
      <w:r>
        <w:t>showed</w:t>
      </w:r>
      <w:r w:rsidR="00C83A0B">
        <w:t xml:space="preserve"> improved investment</w:t>
      </w:r>
      <w:r>
        <w:t xml:space="preserve"> </w:t>
      </w:r>
      <w:r w:rsidR="00975BE8">
        <w:t xml:space="preserve">performance </w:t>
      </w:r>
      <w:r>
        <w:t xml:space="preserve">in 2014-15, with several investments addressing issues that had led to </w:t>
      </w:r>
      <w:r w:rsidR="00395906">
        <w:t xml:space="preserve">previous </w:t>
      </w:r>
      <w:r>
        <w:t>unsatisfactory assessments</w:t>
      </w:r>
      <w:r w:rsidRPr="00531580">
        <w:t xml:space="preserve"> </w:t>
      </w:r>
      <w:r>
        <w:t>(</w:t>
      </w:r>
      <w:r w:rsidR="00975BE8">
        <w:t>s</w:t>
      </w:r>
      <w:r>
        <w:t>ee Annex D)</w:t>
      </w:r>
      <w:r w:rsidR="00975BE8">
        <w:t>.</w:t>
      </w:r>
      <w:r>
        <w:t xml:space="preserve"> </w:t>
      </w:r>
      <w:r w:rsidR="00A45675">
        <w:t xml:space="preserve">There were no </w:t>
      </w:r>
      <w:r w:rsidR="00A222B7">
        <w:t>underperforming investments</w:t>
      </w:r>
      <w:r w:rsidR="004A7196">
        <w:t>.</w:t>
      </w:r>
      <w:r w:rsidR="00975BE8">
        <w:t xml:space="preserve"> </w:t>
      </w:r>
      <w:r w:rsidR="00A222B7">
        <w:t xml:space="preserve">However, </w:t>
      </w:r>
      <w:r w:rsidR="004A7196">
        <w:t>NELSIP</w:t>
      </w:r>
      <w:r w:rsidR="00FB1E99">
        <w:t xml:space="preserve">, despite having an overall positive impact on redressing gender inequality </w:t>
      </w:r>
      <w:r w:rsidR="00906FC8">
        <w:t>in</w:t>
      </w:r>
      <w:r w:rsidR="00FB1E99">
        <w:t xml:space="preserve"> service delivery,</w:t>
      </w:r>
      <w:r w:rsidR="004A7196">
        <w:t xml:space="preserve"> </w:t>
      </w:r>
      <w:r w:rsidR="000F4228">
        <w:t xml:space="preserve">has </w:t>
      </w:r>
      <w:r w:rsidR="004A7196">
        <w:t>received un</w:t>
      </w:r>
      <w:r w:rsidR="00906FC8">
        <w:t>satisfactory scores against the gender equality</w:t>
      </w:r>
      <w:r w:rsidR="004A7196">
        <w:t xml:space="preserve"> c</w:t>
      </w:r>
      <w:r w:rsidR="00FB1E99">
        <w:t xml:space="preserve">riterion for </w:t>
      </w:r>
      <w:r w:rsidR="000F4228">
        <w:t xml:space="preserve">the past </w:t>
      </w:r>
      <w:r w:rsidR="00FB1E99">
        <w:t>two years</w:t>
      </w:r>
      <w:r w:rsidR="00906FC8">
        <w:t>. This result has occurred</w:t>
      </w:r>
      <w:r w:rsidR="007951DA">
        <w:t xml:space="preserve"> in large part because the manner in which women are being brought into local-level decision-making, as opposed to their numbers, has yet to </w:t>
      </w:r>
      <w:r w:rsidR="00C83A0B">
        <w:t>improve</w:t>
      </w:r>
      <w:r w:rsidR="007951DA">
        <w:t xml:space="preserve"> </w:t>
      </w:r>
      <w:r w:rsidR="000F1D82">
        <w:t>to the degree originally hoped</w:t>
      </w:r>
      <w:r w:rsidR="00FB1E99">
        <w:t>. DFAT will include a gender specialist in the next join</w:t>
      </w:r>
      <w:r w:rsidR="00395906">
        <w:t>t supervision mission to help ad</w:t>
      </w:r>
      <w:r w:rsidR="00FB1E99">
        <w:t>dress issues with</w:t>
      </w:r>
      <w:r w:rsidR="000F4228">
        <w:t xml:space="preserve"> </w:t>
      </w:r>
      <w:r w:rsidR="00FB1E99">
        <w:t xml:space="preserve">management systems </w:t>
      </w:r>
      <w:r w:rsidR="000F4228">
        <w:t>in</w:t>
      </w:r>
      <w:r w:rsidR="00FB1E99">
        <w:t xml:space="preserve"> </w:t>
      </w:r>
      <w:r w:rsidR="000F4228">
        <w:t>several</w:t>
      </w:r>
      <w:r w:rsidR="00FB1E99">
        <w:t xml:space="preserve"> government agencies supported by the project. </w:t>
      </w:r>
      <w:r w:rsidR="000F4228">
        <w:t xml:space="preserve">The </w:t>
      </w:r>
      <w:r w:rsidR="000F4228" w:rsidRPr="00FB1E99">
        <w:t>Sri Lanka Humanitarian Mine Action</w:t>
      </w:r>
      <w:r w:rsidR="000F4228">
        <w:t xml:space="preserve"> investment, completed in 2014-15</w:t>
      </w:r>
      <w:r w:rsidR="00975BE8">
        <w:t>,</w:t>
      </w:r>
      <w:r w:rsidR="000F4228">
        <w:t xml:space="preserve"> also received</w:t>
      </w:r>
      <w:r w:rsidR="00FB1E99">
        <w:t xml:space="preserve"> </w:t>
      </w:r>
      <w:r w:rsidR="000F4228">
        <w:t>an</w:t>
      </w:r>
      <w:r w:rsidR="00FB1E99">
        <w:t xml:space="preserve"> unsatisfactory gende</w:t>
      </w:r>
      <w:r w:rsidR="000F4228">
        <w:t>r equality score</w:t>
      </w:r>
      <w:r w:rsidR="00FB1E99">
        <w:t>.</w:t>
      </w:r>
    </w:p>
    <w:p w:rsidR="000D733F" w:rsidRDefault="000D733F" w:rsidP="002E5070">
      <w:pPr>
        <w:pStyle w:val="Heading3"/>
      </w:pPr>
      <w:r>
        <w:t xml:space="preserve">Performance </w:t>
      </w:r>
      <w:r w:rsidR="004F4630">
        <w:t>of key delivery partners</w:t>
      </w:r>
    </w:p>
    <w:p w:rsidR="000D733F" w:rsidRDefault="00CC47AF" w:rsidP="00CC47AF">
      <w:pPr>
        <w:pStyle w:val="ListBullet"/>
        <w:numPr>
          <w:ilvl w:val="0"/>
          <w:numId w:val="0"/>
        </w:numPr>
        <w:tabs>
          <w:tab w:val="clear" w:pos="284"/>
        </w:tabs>
      </w:pPr>
      <w:r>
        <w:t>Nine Partnership Performance Assessments (PPAs) covering the World Bank and a range of international organisa</w:t>
      </w:r>
      <w:r w:rsidR="00C25AF6">
        <w:t>tions and NGOs</w:t>
      </w:r>
      <w:r w:rsidR="00C83A0B">
        <w:t>,</w:t>
      </w:r>
      <w:r w:rsidR="00C25AF6">
        <w:t xml:space="preserve"> were undertaken</w:t>
      </w:r>
      <w:r>
        <w:t xml:space="preserve"> in March-April 2015. All PPAs found partners </w:t>
      </w:r>
      <w:r w:rsidR="000F4228">
        <w:t xml:space="preserve">had </w:t>
      </w:r>
      <w:r>
        <w:t xml:space="preserve">achieved at least satisfactory scores </w:t>
      </w:r>
      <w:r w:rsidR="001E04C9">
        <w:t>on</w:t>
      </w:r>
      <w:r w:rsidR="000F4228">
        <w:t>:</w:t>
      </w:r>
      <w:r>
        <w:t xml:space="preserve"> value for money</w:t>
      </w:r>
      <w:r w:rsidR="000F4228">
        <w:t>;</w:t>
      </w:r>
      <w:r w:rsidR="001E04C9">
        <w:t xml:space="preserve"> whether they worked in a collaborative, comm</w:t>
      </w:r>
      <w:r w:rsidR="000F4228">
        <w:t>unicative and responsive manner;</w:t>
      </w:r>
      <w:r w:rsidR="001E04C9">
        <w:t xml:space="preserve"> </w:t>
      </w:r>
      <w:r w:rsidR="00C25AF6">
        <w:t>whether they operated in a manner consistent with DFAT’s polici</w:t>
      </w:r>
      <w:r w:rsidR="00926EB6">
        <w:t>es and priorities</w:t>
      </w:r>
      <w:r w:rsidR="00C83A0B">
        <w:t>,</w:t>
      </w:r>
      <w:r w:rsidR="00C25AF6">
        <w:t xml:space="preserve"> and the effectiveness of their personnel.</w:t>
      </w:r>
      <w:r>
        <w:t xml:space="preserve"> </w:t>
      </w:r>
      <w:r w:rsidR="000F4228">
        <w:t>O</w:t>
      </w:r>
      <w:r>
        <w:t>ne</w:t>
      </w:r>
      <w:r w:rsidR="001E04C9">
        <w:t xml:space="preserve"> NGO</w:t>
      </w:r>
      <w:r>
        <w:t xml:space="preserve"> partner was found n</w:t>
      </w:r>
      <w:r w:rsidR="001E04C9">
        <w:t>ot to assist satisfactorily in delivering lasting results</w:t>
      </w:r>
      <w:r>
        <w:t xml:space="preserve"> </w:t>
      </w:r>
      <w:r w:rsidR="001E04C9">
        <w:t>or impact, due to in</w:t>
      </w:r>
      <w:r w:rsidR="00C25AF6">
        <w:t>sufficient planning</w:t>
      </w:r>
      <w:r w:rsidR="00906FC8" w:rsidRPr="00906FC8">
        <w:rPr>
          <w:rFonts w:ascii="Times New Roman" w:eastAsia="SimSun" w:hAnsi="Times New Roman"/>
          <w:sz w:val="20"/>
        </w:rPr>
        <w:t xml:space="preserve"> </w:t>
      </w:r>
      <w:r w:rsidR="00906FC8" w:rsidRPr="00906FC8">
        <w:t>on their part</w:t>
      </w:r>
      <w:r w:rsidR="00C25AF6">
        <w:t xml:space="preserve"> for long-term sustainability</w:t>
      </w:r>
      <w:r w:rsidR="000F4228">
        <w:t>. This</w:t>
      </w:r>
      <w:r w:rsidR="00C25AF6">
        <w:t xml:space="preserve"> is being rectified. Issues in managing t</w:t>
      </w:r>
      <w:r w:rsidR="00926EB6">
        <w:t xml:space="preserve">he World Bank relationship </w:t>
      </w:r>
      <w:r w:rsidR="00C25AF6">
        <w:t xml:space="preserve">raised in previous APPRs were resolved </w:t>
      </w:r>
      <w:r w:rsidR="000F4228">
        <w:t>by</w:t>
      </w:r>
      <w:r w:rsidR="00C25AF6">
        <w:t xml:space="preserve"> </w:t>
      </w:r>
      <w:r w:rsidR="00926EB6">
        <w:t>DFAT investment managers</w:t>
      </w:r>
      <w:r w:rsidR="00C25AF6">
        <w:t xml:space="preserve"> in establishing and communicating core relationship principles.</w:t>
      </w:r>
    </w:p>
    <w:p w:rsidR="00906FC8" w:rsidRDefault="00906FC8" w:rsidP="002E5070">
      <w:pPr>
        <w:pStyle w:val="Heading3"/>
      </w:pPr>
    </w:p>
    <w:p w:rsidR="00906FC8" w:rsidRDefault="00906FC8" w:rsidP="002E5070">
      <w:pPr>
        <w:pStyle w:val="Heading3"/>
      </w:pPr>
    </w:p>
    <w:p w:rsidR="000D733F" w:rsidRDefault="000D733F" w:rsidP="002E5070">
      <w:pPr>
        <w:pStyle w:val="Heading3"/>
      </w:pPr>
      <w:r>
        <w:t>Risks</w:t>
      </w:r>
    </w:p>
    <w:p w:rsidR="000D733F" w:rsidRDefault="00D763C0" w:rsidP="005901D2">
      <w:pPr>
        <w:pStyle w:val="Caption"/>
      </w:pPr>
      <w:r>
        <w:t>Table 3 Management of Key Risks to Achieving O</w:t>
      </w:r>
      <w:r w:rsidR="000D733F">
        <w:t>bjectives</w:t>
      </w:r>
    </w:p>
    <w:tbl>
      <w:tblPr>
        <w:tblStyle w:val="APPR"/>
        <w:tblW w:w="5000" w:type="pct"/>
        <w:tblLook w:val="0600" w:firstRow="0" w:lastRow="0" w:firstColumn="0" w:lastColumn="0" w:noHBand="1" w:noVBand="1"/>
      </w:tblPr>
      <w:tblGrid>
        <w:gridCol w:w="2181"/>
        <w:gridCol w:w="2425"/>
        <w:gridCol w:w="2481"/>
        <w:gridCol w:w="2257"/>
      </w:tblGrid>
      <w:tr w:rsidR="005C310A" w:rsidRPr="00180B19" w:rsidTr="005C310A">
        <w:tc>
          <w:tcPr>
            <w:tcW w:w="2007" w:type="dxa"/>
            <w:hideMark/>
          </w:tcPr>
          <w:p w:rsidR="005C310A" w:rsidRPr="005023D9" w:rsidRDefault="005C310A" w:rsidP="000D733F">
            <w:pPr>
              <w:pStyle w:val="TableTextColumnHeading"/>
            </w:pPr>
            <w:r w:rsidRPr="005023D9">
              <w:t>Key risks</w:t>
            </w:r>
          </w:p>
        </w:tc>
        <w:tc>
          <w:tcPr>
            <w:tcW w:w="2249" w:type="dxa"/>
          </w:tcPr>
          <w:p w:rsidR="005C310A" w:rsidRPr="005023D9" w:rsidRDefault="005C310A" w:rsidP="000D733F">
            <w:pPr>
              <w:pStyle w:val="TableTextColumnHeading"/>
            </w:pPr>
            <w:r w:rsidRPr="005023D9">
              <w:t>What actions were taken to manage the risks over the past year</w:t>
            </w:r>
            <w:r>
              <w:t>?</w:t>
            </w:r>
          </w:p>
        </w:tc>
        <w:tc>
          <w:tcPr>
            <w:tcW w:w="2302" w:type="dxa"/>
          </w:tcPr>
          <w:p w:rsidR="005C310A" w:rsidRPr="005023D9" w:rsidRDefault="005C310A" w:rsidP="000D733F">
            <w:pPr>
              <w:pStyle w:val="TableTextColumnHeading"/>
            </w:pPr>
            <w:r w:rsidRPr="005023D9">
              <w:t>What further actions will be taken to manage the risks in the coming year</w:t>
            </w:r>
            <w:r>
              <w:t>?</w:t>
            </w:r>
          </w:p>
        </w:tc>
        <w:tc>
          <w:tcPr>
            <w:tcW w:w="2079" w:type="dxa"/>
          </w:tcPr>
          <w:p w:rsidR="005C310A" w:rsidRPr="005023D9" w:rsidRDefault="005C310A" w:rsidP="000D733F">
            <w:pPr>
              <w:pStyle w:val="TableTextColumnHeading"/>
            </w:pPr>
            <w:r>
              <w:t>For emerging/ongoing risks provide a Risk Rating (low, medium, high, very high)</w:t>
            </w:r>
          </w:p>
        </w:tc>
      </w:tr>
      <w:tr w:rsidR="005C310A" w:rsidRPr="00180B19" w:rsidTr="005C310A">
        <w:tc>
          <w:tcPr>
            <w:tcW w:w="2007" w:type="dxa"/>
            <w:hideMark/>
          </w:tcPr>
          <w:p w:rsidR="005C310A" w:rsidRPr="00F040C4" w:rsidRDefault="00C25AF6" w:rsidP="002E4EEF">
            <w:pPr>
              <w:pStyle w:val="ListBullet"/>
              <w:numPr>
                <w:ilvl w:val="0"/>
                <w:numId w:val="0"/>
              </w:numPr>
              <w:tabs>
                <w:tab w:val="left" w:pos="0"/>
              </w:tabs>
              <w:spacing w:after="0" w:line="240" w:lineRule="auto"/>
              <w:rPr>
                <w:sz w:val="17"/>
                <w:szCs w:val="17"/>
              </w:rPr>
            </w:pPr>
            <w:r w:rsidRPr="00F040C4">
              <w:rPr>
                <w:sz w:val="17"/>
                <w:szCs w:val="17"/>
              </w:rPr>
              <w:t xml:space="preserve">Necessary economic, political and social </w:t>
            </w:r>
            <w:r w:rsidR="00F040C4" w:rsidRPr="00F040C4">
              <w:rPr>
                <w:sz w:val="17"/>
                <w:szCs w:val="17"/>
              </w:rPr>
              <w:t xml:space="preserve">reform proceeds slowly or </w:t>
            </w:r>
            <w:r w:rsidRPr="00F040C4">
              <w:rPr>
                <w:sz w:val="17"/>
                <w:szCs w:val="17"/>
              </w:rPr>
              <w:t>stalls</w:t>
            </w:r>
          </w:p>
        </w:tc>
        <w:tc>
          <w:tcPr>
            <w:tcW w:w="2249" w:type="dxa"/>
          </w:tcPr>
          <w:p w:rsidR="005C310A" w:rsidRPr="004C4A3E" w:rsidRDefault="00AB09C1" w:rsidP="000F4228">
            <w:pPr>
              <w:pStyle w:val="TableTextEntries"/>
            </w:pPr>
            <w:r>
              <w:t xml:space="preserve">Post maintained </w:t>
            </w:r>
            <w:r w:rsidR="000F4228">
              <w:t>its</w:t>
            </w:r>
            <w:r>
              <w:t xml:space="preserve"> </w:t>
            </w:r>
            <w:r w:rsidR="000F4228">
              <w:t>close</w:t>
            </w:r>
            <w:r>
              <w:t xml:space="preserve"> relationship with </w:t>
            </w:r>
            <w:r w:rsidR="000F1D82">
              <w:t>the Sri Lankan Government</w:t>
            </w:r>
            <w:r>
              <w:t xml:space="preserve"> during the change of </w:t>
            </w:r>
            <w:r w:rsidR="000F4228">
              <w:t>leadership and was attentive to political and economic developments</w:t>
            </w:r>
            <w:r>
              <w:t>.</w:t>
            </w:r>
          </w:p>
        </w:tc>
        <w:tc>
          <w:tcPr>
            <w:tcW w:w="2302" w:type="dxa"/>
          </w:tcPr>
          <w:p w:rsidR="005C310A" w:rsidRPr="004C4A3E" w:rsidRDefault="000F4228" w:rsidP="00F13DA2">
            <w:pPr>
              <w:pStyle w:val="TableTextEntries"/>
            </w:pPr>
            <w:r>
              <w:t>Post will develop</w:t>
            </w:r>
            <w:r w:rsidR="00AB09C1">
              <w:t xml:space="preserve"> </w:t>
            </w:r>
            <w:r>
              <w:t xml:space="preserve">and maintain strong relationships </w:t>
            </w:r>
            <w:r w:rsidR="00AB09C1">
              <w:t xml:space="preserve">with </w:t>
            </w:r>
            <w:r>
              <w:t>new</w:t>
            </w:r>
            <w:r w:rsidR="00AB09C1">
              <w:t xml:space="preserve"> ministers and ministries</w:t>
            </w:r>
            <w:r>
              <w:t xml:space="preserve"> and </w:t>
            </w:r>
            <w:r w:rsidR="00F13DA2">
              <w:t xml:space="preserve">closely monitor </w:t>
            </w:r>
            <w:r w:rsidR="00AB09C1">
              <w:t>aid investment</w:t>
            </w:r>
            <w:r w:rsidR="00F13DA2">
              <w:t xml:space="preserve"> performance</w:t>
            </w:r>
            <w:r w:rsidR="00AB09C1">
              <w:t>.</w:t>
            </w:r>
          </w:p>
        </w:tc>
        <w:tc>
          <w:tcPr>
            <w:tcW w:w="2079" w:type="dxa"/>
          </w:tcPr>
          <w:p w:rsidR="005C310A" w:rsidRPr="004C4A3E" w:rsidRDefault="00F040C4" w:rsidP="000D733F">
            <w:pPr>
              <w:pStyle w:val="TableTextEntries"/>
            </w:pPr>
            <w:r>
              <w:t>Medium</w:t>
            </w:r>
          </w:p>
        </w:tc>
      </w:tr>
      <w:tr w:rsidR="005C310A" w:rsidRPr="00180B19" w:rsidTr="005C310A">
        <w:tc>
          <w:tcPr>
            <w:tcW w:w="2007" w:type="dxa"/>
            <w:hideMark/>
          </w:tcPr>
          <w:p w:rsidR="005C310A" w:rsidRPr="004C4A3E" w:rsidRDefault="00F040C4" w:rsidP="00F13DA2">
            <w:pPr>
              <w:pStyle w:val="TableTextEntries"/>
            </w:pPr>
            <w:r>
              <w:t xml:space="preserve">Political </w:t>
            </w:r>
            <w:r w:rsidR="00F13DA2">
              <w:t xml:space="preserve">contests derail the </w:t>
            </w:r>
            <w:r>
              <w:t>development of accountability and reconciliation mechanisms</w:t>
            </w:r>
          </w:p>
        </w:tc>
        <w:tc>
          <w:tcPr>
            <w:tcW w:w="2249" w:type="dxa"/>
          </w:tcPr>
          <w:p w:rsidR="005C310A" w:rsidRPr="004C4A3E" w:rsidRDefault="00F13DA2" w:rsidP="00F13DA2">
            <w:pPr>
              <w:pStyle w:val="TableTextEntries"/>
            </w:pPr>
            <w:r>
              <w:t xml:space="preserve">Australia </w:t>
            </w:r>
            <w:r w:rsidR="00AB09C1">
              <w:t xml:space="preserve">has </w:t>
            </w:r>
            <w:r>
              <w:t xml:space="preserve">maintained </w:t>
            </w:r>
            <w:r w:rsidR="00AB09C1">
              <w:t xml:space="preserve">a strong </w:t>
            </w:r>
            <w:r>
              <w:t xml:space="preserve">and supportive </w:t>
            </w:r>
            <w:r w:rsidR="00AB09C1">
              <w:t xml:space="preserve">relationship with Sri Lanka </w:t>
            </w:r>
            <w:r>
              <w:t xml:space="preserve">throughout </w:t>
            </w:r>
            <w:r w:rsidR="00AB09C1">
              <w:t xml:space="preserve">the UNHRC resolution </w:t>
            </w:r>
            <w:r>
              <w:t>process</w:t>
            </w:r>
            <w:r w:rsidR="00AB09C1">
              <w:t>.</w:t>
            </w:r>
          </w:p>
        </w:tc>
        <w:tc>
          <w:tcPr>
            <w:tcW w:w="2302" w:type="dxa"/>
          </w:tcPr>
          <w:p w:rsidR="005C310A" w:rsidRPr="004C4A3E" w:rsidRDefault="00F13DA2" w:rsidP="000F1D82">
            <w:pPr>
              <w:pStyle w:val="TableTextEntries"/>
            </w:pPr>
            <w:r>
              <w:t xml:space="preserve">Australia will stand ready to deploy its aid program to assist </w:t>
            </w:r>
            <w:r w:rsidR="000F1D82">
              <w:t>Sri Lanka</w:t>
            </w:r>
            <w:r>
              <w:t xml:space="preserve"> develop its domestic accountability mechanisms.</w:t>
            </w:r>
          </w:p>
        </w:tc>
        <w:tc>
          <w:tcPr>
            <w:tcW w:w="2079" w:type="dxa"/>
          </w:tcPr>
          <w:p w:rsidR="005C310A" w:rsidRPr="004C4A3E" w:rsidRDefault="00F040C4" w:rsidP="000D733F">
            <w:pPr>
              <w:pStyle w:val="TableTextEntries"/>
            </w:pPr>
            <w:r>
              <w:t>Medium</w:t>
            </w:r>
          </w:p>
        </w:tc>
      </w:tr>
      <w:tr w:rsidR="005C310A" w:rsidRPr="00180B19" w:rsidTr="005C310A">
        <w:tc>
          <w:tcPr>
            <w:tcW w:w="2007" w:type="dxa"/>
          </w:tcPr>
          <w:p w:rsidR="005C310A" w:rsidRPr="004C4A3E" w:rsidRDefault="00F040C4" w:rsidP="000D733F">
            <w:pPr>
              <w:pStyle w:val="TableTextEntries"/>
            </w:pPr>
            <w:r w:rsidRPr="00F040C4">
              <w:t>Design and implementation of new investments under</w:t>
            </w:r>
            <w:r w:rsidR="00C83A0B">
              <w:t xml:space="preserve"> the</w:t>
            </w:r>
            <w:r w:rsidRPr="00F040C4">
              <w:t xml:space="preserve"> AIP is delayed, causing disbursement delay</w:t>
            </w:r>
          </w:p>
        </w:tc>
        <w:tc>
          <w:tcPr>
            <w:tcW w:w="2249" w:type="dxa"/>
          </w:tcPr>
          <w:p w:rsidR="005C310A" w:rsidRPr="004C4A3E" w:rsidRDefault="00F040C4" w:rsidP="000D733F">
            <w:pPr>
              <w:pStyle w:val="TableTextEntries"/>
            </w:pPr>
            <w:r>
              <w:t>Scoping and design missions have been fast-tracked as much as possible</w:t>
            </w:r>
            <w:r w:rsidR="000F1D82">
              <w:t>.</w:t>
            </w:r>
          </w:p>
        </w:tc>
        <w:tc>
          <w:tcPr>
            <w:tcW w:w="2302" w:type="dxa"/>
          </w:tcPr>
          <w:p w:rsidR="005C310A" w:rsidRPr="004C4A3E" w:rsidRDefault="00F13DA2" w:rsidP="00F13DA2">
            <w:pPr>
              <w:pStyle w:val="TableTextEntries"/>
            </w:pPr>
            <w:r>
              <w:t>DFAT will maintain a</w:t>
            </w:r>
            <w:r w:rsidR="00AB09C1">
              <w:t xml:space="preserve"> balance between quality assurance and timely approval of invest</w:t>
            </w:r>
            <w:r w:rsidR="004F05C7">
              <w:t>ments</w:t>
            </w:r>
            <w:r w:rsidR="00AB09C1">
              <w:t>.</w:t>
            </w:r>
            <w:r w:rsidR="00F040C4">
              <w:t xml:space="preserve"> </w:t>
            </w:r>
          </w:p>
        </w:tc>
        <w:tc>
          <w:tcPr>
            <w:tcW w:w="2079" w:type="dxa"/>
          </w:tcPr>
          <w:p w:rsidR="005C310A" w:rsidRPr="004C4A3E" w:rsidRDefault="00F040C4" w:rsidP="000D733F">
            <w:pPr>
              <w:pStyle w:val="TableTextEntries"/>
            </w:pPr>
            <w:r>
              <w:t>Low</w:t>
            </w:r>
          </w:p>
        </w:tc>
      </w:tr>
      <w:tr w:rsidR="00F040C4" w:rsidRPr="00180B19" w:rsidTr="005C310A">
        <w:tc>
          <w:tcPr>
            <w:tcW w:w="2007" w:type="dxa"/>
          </w:tcPr>
          <w:p w:rsidR="00F040C4" w:rsidRPr="004C4A3E" w:rsidRDefault="00F5695C" w:rsidP="00F040C4">
            <w:pPr>
              <w:pStyle w:val="TableTextEntries"/>
            </w:pPr>
            <w:r>
              <w:t>Managing</w:t>
            </w:r>
            <w:r w:rsidR="00F040C4" w:rsidRPr="00C25AF6">
              <w:t xml:space="preserve"> human resources to achieve all work requirements, particularly to achieve policy influence.</w:t>
            </w:r>
          </w:p>
        </w:tc>
        <w:tc>
          <w:tcPr>
            <w:tcW w:w="2249" w:type="dxa"/>
          </w:tcPr>
          <w:p w:rsidR="00F040C4" w:rsidRPr="004C4A3E" w:rsidRDefault="004F05C7" w:rsidP="004F05C7">
            <w:pPr>
              <w:pStyle w:val="TableTextEntries"/>
            </w:pPr>
            <w:r>
              <w:t>Continuous</w:t>
            </w:r>
            <w:r w:rsidR="00F040C4">
              <w:t xml:space="preserve"> analysis </w:t>
            </w:r>
            <w:r>
              <w:t>of the allocation</w:t>
            </w:r>
            <w:r w:rsidR="00AB09C1">
              <w:t xml:space="preserve"> </w:t>
            </w:r>
            <w:r>
              <w:t xml:space="preserve">of resources at </w:t>
            </w:r>
            <w:r w:rsidR="00AB09C1">
              <w:t>Post</w:t>
            </w:r>
            <w:r w:rsidR="00F040C4">
              <w:t>.</w:t>
            </w:r>
            <w:r>
              <w:t xml:space="preserve"> Support from Canberra for program design and monitoring missions.</w:t>
            </w:r>
          </w:p>
        </w:tc>
        <w:tc>
          <w:tcPr>
            <w:tcW w:w="2302" w:type="dxa"/>
          </w:tcPr>
          <w:p w:rsidR="00F040C4" w:rsidRPr="004C4A3E" w:rsidRDefault="004F05C7" w:rsidP="00A222B7">
            <w:pPr>
              <w:pStyle w:val="TableTextEntries"/>
            </w:pPr>
            <w:r>
              <w:t>DFAT will e</w:t>
            </w:r>
            <w:r w:rsidR="00F040C4">
              <w:t>nsur</w:t>
            </w:r>
            <w:r>
              <w:t>e</w:t>
            </w:r>
            <w:r w:rsidR="00F040C4">
              <w:t xml:space="preserve"> </w:t>
            </w:r>
            <w:r w:rsidR="00AB09C1">
              <w:t xml:space="preserve">Desk </w:t>
            </w:r>
            <w:r>
              <w:t xml:space="preserve">adequately </w:t>
            </w:r>
            <w:r w:rsidR="00AB09C1">
              <w:t>supports Post</w:t>
            </w:r>
            <w:r>
              <w:t xml:space="preserve"> and responds with additional resources flexibly when </w:t>
            </w:r>
            <w:r w:rsidR="00AB09C1">
              <w:t xml:space="preserve">Post’s resources are </w:t>
            </w:r>
            <w:r>
              <w:t>fully deployed</w:t>
            </w:r>
            <w:r w:rsidR="00AB09C1">
              <w:t>.</w:t>
            </w:r>
          </w:p>
        </w:tc>
        <w:tc>
          <w:tcPr>
            <w:tcW w:w="2079" w:type="dxa"/>
          </w:tcPr>
          <w:p w:rsidR="00F040C4" w:rsidRPr="004C4A3E" w:rsidRDefault="00F040C4" w:rsidP="000D733F">
            <w:pPr>
              <w:pStyle w:val="TableTextEntries"/>
            </w:pPr>
            <w:r>
              <w:t>Low</w:t>
            </w:r>
          </w:p>
        </w:tc>
      </w:tr>
    </w:tbl>
    <w:p w:rsidR="000D733F" w:rsidRPr="0007149C" w:rsidRDefault="000D733F" w:rsidP="0007149C">
      <w:pPr>
        <w:pStyle w:val="Heading2"/>
        <w:rPr>
          <w:sz w:val="28"/>
        </w:rPr>
      </w:pPr>
      <w:r w:rsidRPr="0007149C">
        <w:rPr>
          <w:sz w:val="28"/>
        </w:rPr>
        <w:t xml:space="preserve">Management </w:t>
      </w:r>
      <w:r w:rsidR="00805ADD" w:rsidRPr="0007149C">
        <w:rPr>
          <w:sz w:val="28"/>
        </w:rPr>
        <w:t>Responses</w:t>
      </w:r>
      <w:r w:rsidRPr="0007149C">
        <w:rPr>
          <w:sz w:val="28"/>
        </w:rPr>
        <w:tab/>
      </w:r>
      <w:r w:rsidRPr="0007149C">
        <w:rPr>
          <w:sz w:val="28"/>
        </w:rPr>
        <w:tab/>
      </w:r>
    </w:p>
    <w:p w:rsidR="00C95D46" w:rsidRDefault="00C95D46" w:rsidP="00C95D46">
      <w:pPr>
        <w:pStyle w:val="ListBullet"/>
        <w:numPr>
          <w:ilvl w:val="0"/>
          <w:numId w:val="0"/>
        </w:numPr>
        <w:tabs>
          <w:tab w:val="clear" w:pos="284"/>
        </w:tabs>
      </w:pPr>
      <w:r>
        <w:t>All</w:t>
      </w:r>
      <w:r w:rsidR="00F040C4">
        <w:t xml:space="preserve"> management responses </w:t>
      </w:r>
      <w:r>
        <w:t>identified in the 2013-14 APPR were</w:t>
      </w:r>
      <w:r w:rsidR="00F040C4">
        <w:t xml:space="preserve"> achieved, except strengthening policy dialogue and influence</w:t>
      </w:r>
      <w:r>
        <w:t>, which was only partly achieved due to difficulties in influencing education reform (See Annex A).</w:t>
      </w:r>
      <w:r w:rsidR="00975BE8">
        <w:t xml:space="preserve"> </w:t>
      </w:r>
      <w:r>
        <w:t xml:space="preserve">Key management responses </w:t>
      </w:r>
      <w:r w:rsidR="00D9618D">
        <w:t>to the</w:t>
      </w:r>
      <w:r>
        <w:t xml:space="preserve"> performance and risk analysis in this year’</w:t>
      </w:r>
      <w:r w:rsidR="00D9618D">
        <w:t>s APPR are</w:t>
      </w:r>
      <w:r>
        <w:t>:</w:t>
      </w:r>
    </w:p>
    <w:p w:rsidR="00D9618D" w:rsidRDefault="004F05C7" w:rsidP="00C95D46">
      <w:pPr>
        <w:pStyle w:val="ListBullet"/>
        <w:numPr>
          <w:ilvl w:val="0"/>
          <w:numId w:val="32"/>
        </w:numPr>
        <w:tabs>
          <w:tab w:val="clear" w:pos="284"/>
        </w:tabs>
      </w:pPr>
      <w:r>
        <w:t xml:space="preserve">Accelerate </w:t>
      </w:r>
      <w:r w:rsidR="00A222B7">
        <w:t xml:space="preserve">progress </w:t>
      </w:r>
      <w:r>
        <w:t xml:space="preserve">toward </w:t>
      </w:r>
      <w:r w:rsidR="00926EB6">
        <w:t xml:space="preserve">an economic partnership approach </w:t>
      </w:r>
      <w:r w:rsidR="00D9618D">
        <w:t>that share</w:t>
      </w:r>
      <w:r w:rsidR="00926EB6">
        <w:t>s</w:t>
      </w:r>
      <w:r w:rsidR="00D9618D">
        <w:t xml:space="preserve"> risk and value between government, markets and civil society</w:t>
      </w:r>
      <w:r>
        <w:t>;</w:t>
      </w:r>
    </w:p>
    <w:p w:rsidR="00D9618D" w:rsidRDefault="00D9618D" w:rsidP="00C95D46">
      <w:pPr>
        <w:pStyle w:val="ListBullet"/>
        <w:numPr>
          <w:ilvl w:val="0"/>
          <w:numId w:val="32"/>
        </w:numPr>
        <w:tabs>
          <w:tab w:val="clear" w:pos="284"/>
        </w:tabs>
      </w:pPr>
      <w:r>
        <w:t xml:space="preserve">Ensure new program investments are embedded in government or </w:t>
      </w:r>
      <w:r w:rsidR="004F05C7">
        <w:t>private sector</w:t>
      </w:r>
      <w:r>
        <w:t xml:space="preserve"> structures to increase the </w:t>
      </w:r>
      <w:r w:rsidR="004F05C7">
        <w:t>sustainability of their impact;</w:t>
      </w:r>
    </w:p>
    <w:p w:rsidR="00D9618D" w:rsidRDefault="00D9618D" w:rsidP="00C95D46">
      <w:pPr>
        <w:pStyle w:val="ListBullet"/>
        <w:numPr>
          <w:ilvl w:val="0"/>
          <w:numId w:val="32"/>
        </w:numPr>
        <w:tabs>
          <w:tab w:val="clear" w:pos="284"/>
        </w:tabs>
      </w:pPr>
      <w:r>
        <w:t>Increase the focus on gender equality across all programming, in line with the new gender equality objective in the AIP</w:t>
      </w:r>
      <w:r w:rsidR="00C83A0B">
        <w:t>,</w:t>
      </w:r>
      <w:r w:rsidR="004F05C7">
        <w:t xml:space="preserve"> and</w:t>
      </w:r>
    </w:p>
    <w:p w:rsidR="00E457BF" w:rsidRPr="00416B02" w:rsidRDefault="00F5695C" w:rsidP="00975BE8">
      <w:pPr>
        <w:pStyle w:val="ListBullet"/>
        <w:numPr>
          <w:ilvl w:val="0"/>
          <w:numId w:val="32"/>
        </w:numPr>
        <w:tabs>
          <w:tab w:val="clear" w:pos="284"/>
        </w:tabs>
        <w:sectPr w:rsidR="00E457BF" w:rsidRPr="00416B02" w:rsidSect="00395906">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276" w:right="1417" w:bottom="851" w:left="1418" w:header="850" w:footer="567" w:gutter="0"/>
          <w:pgNumType w:start="1"/>
          <w:cols w:space="720"/>
          <w:docGrid w:linePitch="326"/>
        </w:sectPr>
      </w:pPr>
      <w:r w:rsidRPr="004F05C7">
        <w:t xml:space="preserve">Ensure the focus of TSEP in its </w:t>
      </w:r>
      <w:r w:rsidR="004F05C7">
        <w:t>final</w:t>
      </w:r>
      <w:r w:rsidRPr="004F05C7">
        <w:t xml:space="preserve"> two years </w:t>
      </w:r>
      <w:r w:rsidR="00DD4E04" w:rsidRPr="004F05C7">
        <w:t>is on</w:t>
      </w:r>
      <w:r w:rsidRPr="004F05C7">
        <w:t xml:space="preserve"> improving the quality of data analysis and usage</w:t>
      </w:r>
      <w:r w:rsidR="004F05C7">
        <w:t xml:space="preserve"> </w:t>
      </w:r>
      <w:r w:rsidR="00464504" w:rsidRPr="004F05C7">
        <w:t xml:space="preserve">by all stakeholders and </w:t>
      </w:r>
      <w:r w:rsidR="00C83A0B">
        <w:t xml:space="preserve">ensuring </w:t>
      </w:r>
      <w:r w:rsidR="00464504" w:rsidRPr="004F05C7">
        <w:t>the sustainability of gains to date</w:t>
      </w:r>
      <w:r w:rsidR="004F05C7">
        <w:t>.</w:t>
      </w:r>
    </w:p>
    <w:p w:rsidR="005C310A" w:rsidRDefault="005C310A" w:rsidP="005C310A">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p w:rsidR="004A7196" w:rsidRPr="00416B02" w:rsidRDefault="004A7196" w:rsidP="004A7196">
      <w:pPr>
        <w:pStyle w:val="ListBullet"/>
        <w:numPr>
          <w:ilvl w:val="0"/>
          <w:numId w:val="0"/>
        </w:numPr>
        <w:tabs>
          <w:tab w:val="clear" w:pos="284"/>
        </w:tabs>
      </w:pP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4A7196" w:rsidRPr="00180B19" w:rsidTr="004A7196">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80B19" w:rsidRDefault="004A7196" w:rsidP="004A7196">
            <w:pPr>
              <w:pStyle w:val="TableTextColumnHeading"/>
              <w:tabs>
                <w:tab w:val="left" w:pos="1185"/>
              </w:tabs>
            </w:pPr>
            <w:r w:rsidRPr="00FE4491">
              <w:t xml:space="preserve">Management </w:t>
            </w:r>
            <w:r>
              <w:t>response</w:t>
            </w:r>
            <w:r w:rsidRPr="00FE4491">
              <w:t>s identified in 20</w:t>
            </w:r>
            <w:r>
              <w:t>13-</w:t>
            </w:r>
            <w:r w:rsidRPr="00FE4491">
              <w:t>1</w:t>
            </w:r>
            <w:r>
              <w:t>4</w:t>
            </w:r>
            <w:r w:rsidRPr="00FE4491">
              <w:t xml:space="preserve"> </w:t>
            </w:r>
            <w:r>
              <w:t>APPR</w:t>
            </w:r>
            <w:r>
              <w:tab/>
            </w:r>
          </w:p>
        </w:tc>
        <w:tc>
          <w:tcPr>
            <w:tcW w:w="964" w:type="dxa"/>
          </w:tcPr>
          <w:p w:rsidR="004A7196" w:rsidRPr="00180B19" w:rsidRDefault="004A7196" w:rsidP="004A7196">
            <w:pPr>
              <w:pStyle w:val="TableTextColumnHeading"/>
            </w:pPr>
            <w:r w:rsidRPr="00FE4491">
              <w:t>Rating</w:t>
            </w:r>
          </w:p>
        </w:tc>
        <w:tc>
          <w:tcPr>
            <w:tcW w:w="6896" w:type="dxa"/>
          </w:tcPr>
          <w:p w:rsidR="004A7196" w:rsidRPr="00180B19" w:rsidRDefault="004A7196" w:rsidP="004A7196">
            <w:pPr>
              <w:pStyle w:val="TableTextColumnHeading"/>
            </w:pPr>
            <w:r w:rsidRPr="00FE4491">
              <w:t xml:space="preserve">Progress made in </w:t>
            </w:r>
            <w:r>
              <w:t>2014-15</w:t>
            </w:r>
          </w:p>
        </w:tc>
      </w:tr>
      <w:tr w:rsidR="004A7196" w:rsidRPr="00180B19" w:rsidTr="004A7196">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00AA2" w:rsidRDefault="004A7196" w:rsidP="004A7196">
            <w:pPr>
              <w:pStyle w:val="TableTextEntries"/>
            </w:pPr>
            <w:r>
              <w:t>D</w:t>
            </w:r>
            <w:r w:rsidRPr="008111B9">
              <w:t>evelop an Aid Investment Plan (AIP) in 2014-15</w:t>
            </w:r>
          </w:p>
        </w:tc>
        <w:tc>
          <w:tcPr>
            <w:tcW w:w="964" w:type="dxa"/>
            <w:shd w:val="clear" w:color="auto" w:fill="72AF2F"/>
          </w:tcPr>
          <w:p w:rsidR="004A7196" w:rsidRPr="00443639" w:rsidRDefault="004A7196" w:rsidP="004A7196">
            <w:pPr>
              <w:pStyle w:val="TableTextEntries"/>
              <w:jc w:val="center"/>
              <w:rPr>
                <w:color w:val="FFFFFF" w:themeColor="background1"/>
              </w:rPr>
            </w:pPr>
            <w:r>
              <w:rPr>
                <w:color w:val="FFFFFF" w:themeColor="background1"/>
              </w:rPr>
              <w:t>Achieved</w:t>
            </w:r>
          </w:p>
        </w:tc>
        <w:tc>
          <w:tcPr>
            <w:tcW w:w="6896" w:type="dxa"/>
          </w:tcPr>
          <w:p w:rsidR="004A7196" w:rsidRPr="004835C7" w:rsidRDefault="004A7196" w:rsidP="004A7196">
            <w:pPr>
              <w:pStyle w:val="TableTextEntries"/>
            </w:pPr>
            <w:r w:rsidRPr="004835C7">
              <w:t xml:space="preserve">The Aid Investment Plan for Sri </w:t>
            </w:r>
            <w:r>
              <w:t xml:space="preserve">Lanka was finalised </w:t>
            </w:r>
            <w:r w:rsidRPr="004835C7">
              <w:t>in 2015-16 but</w:t>
            </w:r>
            <w:r>
              <w:t xml:space="preserve"> the analytical underpinnings were completed in 2014-15.  The Plan is available on the DFAT website.</w:t>
            </w:r>
          </w:p>
        </w:tc>
      </w:tr>
      <w:tr w:rsidR="004A7196" w:rsidRPr="00180B19" w:rsidTr="004A7196">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00AA2" w:rsidRDefault="004A7196" w:rsidP="004A7196">
            <w:pPr>
              <w:pStyle w:val="TableTextEntries"/>
            </w:pPr>
            <w:r>
              <w:t>C</w:t>
            </w:r>
            <w:r w:rsidRPr="008111B9">
              <w:t>ommence design of new programs to fill the pipeline, including a planned flagship program that will focus on economic opportunities for the poor</w:t>
            </w:r>
          </w:p>
        </w:tc>
        <w:tc>
          <w:tcPr>
            <w:tcW w:w="964" w:type="dxa"/>
            <w:shd w:val="clear" w:color="auto" w:fill="72AF2F"/>
          </w:tcPr>
          <w:p w:rsidR="004A7196" w:rsidRPr="00443639" w:rsidRDefault="004A7196" w:rsidP="004A7196">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4A7196" w:rsidRPr="004835C7" w:rsidRDefault="004A7196" w:rsidP="004A7196">
            <w:pPr>
              <w:pStyle w:val="TableTextEntries"/>
            </w:pPr>
            <w:r>
              <w:t>Three design processes for new investments commenced in 2014-15 and one new investment started.  This includes the flagship program focused on economic opportunities for the poor.</w:t>
            </w:r>
          </w:p>
        </w:tc>
      </w:tr>
      <w:tr w:rsidR="004A7196" w:rsidRPr="00180B19" w:rsidTr="004A7196">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00AA2" w:rsidRDefault="004A7196" w:rsidP="004A7196">
            <w:pPr>
              <w:pStyle w:val="TableTextEntries"/>
            </w:pPr>
            <w:r w:rsidRPr="008111B9">
              <w:t>We will appraise our framework for engaging with the</w:t>
            </w:r>
            <w:r w:rsidR="00A222B7">
              <w:t xml:space="preserve"> World</w:t>
            </w:r>
            <w:r w:rsidRPr="008111B9">
              <w:t xml:space="preserve"> Bank on performance and strategic issues</w:t>
            </w:r>
          </w:p>
        </w:tc>
        <w:tc>
          <w:tcPr>
            <w:tcW w:w="964" w:type="dxa"/>
            <w:shd w:val="clear" w:color="auto" w:fill="72AF2F"/>
          </w:tcPr>
          <w:p w:rsidR="004A7196" w:rsidRPr="00443639" w:rsidRDefault="004A7196" w:rsidP="004A7196">
            <w:pPr>
              <w:pStyle w:val="TableTextEntries"/>
              <w:jc w:val="center"/>
              <w:rPr>
                <w:color w:val="FFFFFF" w:themeColor="background1"/>
              </w:rPr>
            </w:pPr>
            <w:r>
              <w:rPr>
                <w:color w:val="FFFFFF" w:themeColor="background1"/>
              </w:rPr>
              <w:t>Achieved</w:t>
            </w:r>
          </w:p>
        </w:tc>
        <w:tc>
          <w:tcPr>
            <w:tcW w:w="6896" w:type="dxa"/>
          </w:tcPr>
          <w:p w:rsidR="004A7196" w:rsidRPr="004835C7" w:rsidRDefault="004A7196" w:rsidP="004A7196">
            <w:pPr>
              <w:pStyle w:val="TableTextEntries"/>
            </w:pPr>
            <w:r>
              <w:t xml:space="preserve">Our partnership with the World Bank has advanced.  We have put in place a new partnership agreement for TSEP and mobilised a senior education expert with both DFAT and World Bank experience to support Post in engaging with the Bank on strategic issues.  </w:t>
            </w:r>
          </w:p>
        </w:tc>
      </w:tr>
      <w:tr w:rsidR="004A7196" w:rsidRPr="00180B19" w:rsidTr="004A7196">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00AA2" w:rsidRDefault="004A7196" w:rsidP="004A7196">
            <w:pPr>
              <w:pStyle w:val="TableTextEntries"/>
            </w:pPr>
            <w:r>
              <w:t>T</w:t>
            </w:r>
            <w:r w:rsidRPr="008111B9">
              <w:t>he aid program will strengthen its emphasis on policy dialogue and influence. We will increase the focus on sustainability of outcomes and reforms across all programs under implementation and design, including through particular emphasis during Aid Quality Checks.</w:t>
            </w:r>
          </w:p>
        </w:tc>
        <w:tc>
          <w:tcPr>
            <w:tcW w:w="964" w:type="dxa"/>
            <w:shd w:val="clear" w:color="auto" w:fill="E36C0A"/>
          </w:tcPr>
          <w:p w:rsidR="004A7196" w:rsidRPr="00443639" w:rsidRDefault="004A7196" w:rsidP="004A7196">
            <w:pPr>
              <w:pStyle w:val="TableTextEntries"/>
              <w:jc w:val="center"/>
              <w:rPr>
                <w:color w:val="FFFFFF" w:themeColor="background1"/>
              </w:rPr>
            </w:pPr>
            <w:r>
              <w:rPr>
                <w:color w:val="FFFFFF" w:themeColor="background1"/>
              </w:rPr>
              <w:t>Partly achieved</w:t>
            </w:r>
          </w:p>
        </w:tc>
        <w:tc>
          <w:tcPr>
            <w:tcW w:w="6896" w:type="dxa"/>
          </w:tcPr>
          <w:p w:rsidR="004A7196" w:rsidRPr="004835C7" w:rsidRDefault="004A7196" w:rsidP="004A7196">
            <w:pPr>
              <w:pStyle w:val="TableTextEntries"/>
            </w:pPr>
            <w:r>
              <w:t xml:space="preserve">All new investments are being embedded either in the market or in government systems to ensure sustainability.  A number of our new investments will demonstrate reforms that can then be replicated on a larger scale.  There is evidence that Australia’s work on sub-national governance reform has been influential on the policy and practice of both the national government of Sri Lanka and major development partners such as the World Bank.  However, Australia has had limited influence through policy dialogue on education reform. </w:t>
            </w:r>
          </w:p>
        </w:tc>
      </w:tr>
      <w:tr w:rsidR="004A7196" w:rsidRPr="00180B19" w:rsidTr="00A343E9">
        <w:trPr>
          <w:cnfStyle w:val="000000010000" w:firstRow="0" w:lastRow="0" w:firstColumn="0" w:lastColumn="0" w:oddVBand="0" w:evenVBand="0" w:oddHBand="0" w:evenHBand="1" w:firstRowFirstColumn="0" w:firstRowLastColumn="0" w:lastRowFirstColumn="0" w:lastRowLastColumn="0"/>
        </w:trPr>
        <w:tc>
          <w:tcPr>
            <w:tcW w:w="6473" w:type="dxa"/>
          </w:tcPr>
          <w:p w:rsidR="004A7196" w:rsidRPr="00100AA2" w:rsidRDefault="004A7196" w:rsidP="004A7196">
            <w:pPr>
              <w:pStyle w:val="TableTextEntries"/>
            </w:pPr>
            <w:r w:rsidRPr="008111B9">
              <w:t>We will work more closely with implementing partners to encourage the use of gender analysis and employ advisers when appropriate to ensure women and girls benefit from Australia’s aid, with a particular focus on NELSIP and CFP</w:t>
            </w:r>
          </w:p>
        </w:tc>
        <w:tc>
          <w:tcPr>
            <w:tcW w:w="964" w:type="dxa"/>
            <w:tcBorders>
              <w:bottom w:val="single" w:sz="12" w:space="0" w:color="000000" w:themeColor="text1"/>
            </w:tcBorders>
            <w:shd w:val="clear" w:color="auto" w:fill="E36C0A"/>
          </w:tcPr>
          <w:p w:rsidR="004A7196" w:rsidRPr="00443639" w:rsidRDefault="00A343E9" w:rsidP="004A7196">
            <w:pPr>
              <w:pStyle w:val="TableTextEntries"/>
              <w:jc w:val="center"/>
              <w:rPr>
                <w:color w:val="FFFFFF" w:themeColor="background1"/>
              </w:rPr>
            </w:pPr>
            <w:r w:rsidRPr="00A343E9">
              <w:rPr>
                <w:color w:val="FFFFFF" w:themeColor="background1"/>
              </w:rPr>
              <w:t>Partly achieved</w:t>
            </w:r>
          </w:p>
        </w:tc>
        <w:tc>
          <w:tcPr>
            <w:tcW w:w="6896" w:type="dxa"/>
          </w:tcPr>
          <w:p w:rsidR="004A7196" w:rsidRPr="004835C7" w:rsidRDefault="004A7196" w:rsidP="0029676A">
            <w:pPr>
              <w:pStyle w:val="TableTextEntries"/>
            </w:pPr>
            <w:r>
              <w:t xml:space="preserve">Australia </w:t>
            </w:r>
            <w:r w:rsidR="00521F29">
              <w:t>attempts to ensure</w:t>
            </w:r>
            <w:r>
              <w:t xml:space="preserve"> all implementing partners take actions to improve the use of gender analysis in implementation. </w:t>
            </w:r>
            <w:r w:rsidR="00521F29">
              <w:t xml:space="preserve"> In the case of</w:t>
            </w:r>
            <w:r>
              <w:t xml:space="preserve"> the </w:t>
            </w:r>
            <w:r w:rsidR="00521F29">
              <w:t>Community Forestry Programme (</w:t>
            </w:r>
            <w:r>
              <w:t>CFP</w:t>
            </w:r>
            <w:r w:rsidR="00521F29">
              <w:t>)</w:t>
            </w:r>
            <w:r>
              <w:t xml:space="preserve">, which had previously received a low AQC rating for gender equality, </w:t>
            </w:r>
            <w:r w:rsidR="00521F29">
              <w:t>the employment of a gender expert and increased training of Forestry Department officials has enabled considerable progress to be made</w:t>
            </w:r>
            <w:r w:rsidR="0029676A">
              <w:t>. However, d</w:t>
            </w:r>
            <w:r>
              <w:t>espite</w:t>
            </w:r>
            <w:r w:rsidR="00521F29">
              <w:t xml:space="preserve"> intensive work on the part of investment managers</w:t>
            </w:r>
            <w:r w:rsidR="0029676A">
              <w:t xml:space="preserve"> with the World Bank and the Sri Lankan government</w:t>
            </w:r>
            <w:r w:rsidR="00521F29">
              <w:t xml:space="preserve">, </w:t>
            </w:r>
            <w:r w:rsidR="0029676A">
              <w:t>NELSIP has witnessed less improvement in the use of gender analysis than was hoped for</w:t>
            </w:r>
            <w:r>
              <w:t>.</w:t>
            </w:r>
          </w:p>
        </w:tc>
      </w:tr>
    </w:tbl>
    <w:p w:rsidR="004A7196" w:rsidRPr="00FE4491" w:rsidRDefault="004A7196" w:rsidP="004A7196">
      <w:pPr>
        <w:pStyle w:val="Note"/>
      </w:pPr>
      <w:r w:rsidRPr="00FE4491">
        <w:t xml:space="preserve">Note: </w:t>
      </w:r>
    </w:p>
    <w:p w:rsidR="004A7196" w:rsidRPr="00671434" w:rsidRDefault="004A7196" w:rsidP="004A719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4A7196" w:rsidRPr="00EA3BAD" w:rsidRDefault="004A7196" w:rsidP="004A719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4A7196" w:rsidRDefault="004A7196" w:rsidP="004A7196">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Pr="00416B02" w:rsidRDefault="005C310A" w:rsidP="005C310A">
      <w:pPr>
        <w:spacing w:after="200" w:line="276" w:lineRule="auto"/>
        <w:rPr>
          <w:rFonts w:ascii="Franklin Gothic Book" w:hAnsi="Franklin Gothic Book"/>
          <w:sz w:val="21"/>
        </w:rPr>
      </w:pPr>
    </w:p>
    <w:p w:rsidR="005C310A" w:rsidRDefault="005C310A">
      <w:pPr>
        <w:spacing w:after="200" w:line="276" w:lineRule="auto"/>
        <w:rPr>
          <w:rFonts w:ascii="Helvetica" w:eastAsia="Times New Roman" w:hAnsi="Helvetica" w:cs="Arial"/>
          <w:color w:val="007FAD"/>
          <w:kern w:val="28"/>
          <w:sz w:val="28"/>
          <w:szCs w:val="28"/>
        </w:rPr>
      </w:pPr>
      <w:r>
        <w:rPr>
          <w:sz w:val="28"/>
        </w:rPr>
        <w:br w:type="page"/>
      </w:r>
    </w:p>
    <w:p w:rsidR="00416B02" w:rsidRPr="009E38C1" w:rsidRDefault="00416B02" w:rsidP="00416B02">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p w:rsidR="004A7196" w:rsidRPr="004A7196" w:rsidRDefault="004A7196" w:rsidP="002E5070">
      <w:pPr>
        <w:pStyle w:val="Heading3"/>
      </w:pPr>
    </w:p>
    <w:tbl>
      <w:tblPr>
        <w:tblStyle w:val="DFATTable"/>
        <w:tblW w:w="5000" w:type="pct"/>
        <w:tblLook w:val="04A0" w:firstRow="1" w:lastRow="0" w:firstColumn="1" w:lastColumn="0" w:noHBand="0" w:noVBand="1"/>
      </w:tblPr>
      <w:tblGrid>
        <w:gridCol w:w="2244"/>
        <w:gridCol w:w="2245"/>
        <w:gridCol w:w="1353"/>
        <w:gridCol w:w="8547"/>
      </w:tblGrid>
      <w:tr w:rsidR="004A7196" w:rsidRPr="004F7D80" w:rsidTr="004A7196">
        <w:trPr>
          <w:tblHeader/>
        </w:trPr>
        <w:tc>
          <w:tcPr>
            <w:tcW w:w="780" w:type="pct"/>
            <w:tcMar>
              <w:top w:w="57" w:type="dxa"/>
              <w:bottom w:w="57" w:type="dxa"/>
            </w:tcMar>
          </w:tcPr>
          <w:p w:rsidR="004A7196" w:rsidRPr="002749B6" w:rsidRDefault="004A7196" w:rsidP="004A7196">
            <w:pPr>
              <w:pStyle w:val="TableHeading1"/>
            </w:pPr>
            <w:r>
              <w:t>Aid</w:t>
            </w:r>
            <w:r w:rsidRPr="002749B6">
              <w:t xml:space="preserve"> objective</w:t>
            </w:r>
          </w:p>
        </w:tc>
        <w:tc>
          <w:tcPr>
            <w:tcW w:w="780" w:type="pct"/>
          </w:tcPr>
          <w:p w:rsidR="004A7196" w:rsidRPr="002749B6" w:rsidRDefault="004A7196" w:rsidP="004A7196">
            <w:pPr>
              <w:pStyle w:val="TableHeading1"/>
            </w:pPr>
            <w:r w:rsidRPr="002749B6">
              <w:t xml:space="preserve">2014-15 benchmark </w:t>
            </w:r>
          </w:p>
        </w:tc>
        <w:tc>
          <w:tcPr>
            <w:tcW w:w="470" w:type="pct"/>
          </w:tcPr>
          <w:p w:rsidR="004A7196" w:rsidRDefault="004A7196" w:rsidP="004A7196">
            <w:pPr>
              <w:pStyle w:val="TableHeading1"/>
            </w:pPr>
            <w:r>
              <w:t>Rating</w:t>
            </w:r>
          </w:p>
        </w:tc>
        <w:tc>
          <w:tcPr>
            <w:tcW w:w="2970" w:type="pct"/>
          </w:tcPr>
          <w:p w:rsidR="004A7196" w:rsidRPr="002749B6" w:rsidRDefault="004A7196" w:rsidP="004A7196">
            <w:pPr>
              <w:pStyle w:val="TableHeading1"/>
            </w:pPr>
            <w:r>
              <w:t>Progress in 2014-15</w:t>
            </w:r>
          </w:p>
        </w:tc>
      </w:tr>
      <w:tr w:rsidR="004A7196" w:rsidRPr="004F7D80" w:rsidTr="000F1D82">
        <w:tc>
          <w:tcPr>
            <w:tcW w:w="780" w:type="pct"/>
            <w:tcMar>
              <w:top w:w="57" w:type="dxa"/>
              <w:bottom w:w="57" w:type="dxa"/>
            </w:tcMar>
          </w:tcPr>
          <w:p w:rsidR="004A7196" w:rsidRDefault="004A7196" w:rsidP="004A7196">
            <w:pPr>
              <w:pStyle w:val="TableTextEntries"/>
            </w:pPr>
            <w:r>
              <w:t>Improved social and economic indicators in lagging regions</w:t>
            </w:r>
          </w:p>
          <w:p w:rsidR="004A7196" w:rsidRDefault="004A7196" w:rsidP="004A7196">
            <w:pPr>
              <w:pStyle w:val="TableTextEntries"/>
            </w:pPr>
          </w:p>
        </w:tc>
        <w:tc>
          <w:tcPr>
            <w:tcW w:w="780" w:type="pct"/>
          </w:tcPr>
          <w:p w:rsidR="004A7196" w:rsidRDefault="004A7196" w:rsidP="004A7196">
            <w:pPr>
              <w:pStyle w:val="TableTextEntries"/>
            </w:pPr>
            <w:r w:rsidRPr="00817F7E">
              <w:t xml:space="preserve">Evidence of Australian grant funds for NELSIP being effectively utilised for social and economic outcomes by local government authorities </w:t>
            </w:r>
          </w:p>
        </w:tc>
        <w:tc>
          <w:tcPr>
            <w:tcW w:w="470" w:type="pct"/>
            <w:shd w:val="clear" w:color="auto" w:fill="72AF2F"/>
          </w:tcPr>
          <w:p w:rsidR="004A7196" w:rsidRPr="00443639" w:rsidRDefault="004A7196" w:rsidP="004A7196">
            <w:pPr>
              <w:pStyle w:val="TableTextEntries"/>
              <w:jc w:val="center"/>
              <w:rPr>
                <w:color w:val="FFFFFF" w:themeColor="background1"/>
              </w:rPr>
            </w:pPr>
            <w:r w:rsidRPr="00B92B2F">
              <w:rPr>
                <w:color w:val="FFFFFF" w:themeColor="background1"/>
              </w:rPr>
              <w:t>Achieved</w:t>
            </w:r>
          </w:p>
        </w:tc>
        <w:tc>
          <w:tcPr>
            <w:tcW w:w="2970" w:type="pct"/>
          </w:tcPr>
          <w:p w:rsidR="004A7196" w:rsidRDefault="004A7196" w:rsidP="004A7196">
            <w:pPr>
              <w:pStyle w:val="TableTextEntries"/>
            </w:pPr>
            <w:r>
              <w:t xml:space="preserve">After a two year delay, </w:t>
            </w:r>
            <w:r w:rsidRPr="00817F7E">
              <w:t xml:space="preserve">Australian funds </w:t>
            </w:r>
            <w:r>
              <w:t xml:space="preserve">to this project have </w:t>
            </w:r>
            <w:r w:rsidRPr="00817F7E">
              <w:t xml:space="preserve">been disbursed </w:t>
            </w:r>
            <w:r>
              <w:t>and World Bank reporting and joint monitoring missions indicate that funds have been received by designated local government authorities, with 80</w:t>
            </w:r>
            <w:r w:rsidR="00E4542F">
              <w:t xml:space="preserve"> per cent</w:t>
            </w:r>
            <w:r>
              <w:t xml:space="preserve"> of capital grants having been released against allocation, and 98.5</w:t>
            </w:r>
            <w:r w:rsidR="00E4542F">
              <w:t xml:space="preserve"> per cent</w:t>
            </w:r>
            <w:r>
              <w:t xml:space="preserve"> of block grants released to project districts having been expended. The most recent NELSIP review and support mission found that these grants were being effectively utilised, with surveys showing that 80</w:t>
            </w:r>
            <w:r w:rsidR="00E4542F">
              <w:t xml:space="preserve"> per cent</w:t>
            </w:r>
            <w:r>
              <w:t xml:space="preserve"> of local people expressed satisfaction with local government service delivery.</w:t>
            </w:r>
          </w:p>
        </w:tc>
      </w:tr>
      <w:tr w:rsidR="004A7196" w:rsidRPr="004F7D80" w:rsidTr="000F1D82">
        <w:tc>
          <w:tcPr>
            <w:tcW w:w="780" w:type="pct"/>
            <w:tcMar>
              <w:top w:w="57" w:type="dxa"/>
              <w:bottom w:w="57" w:type="dxa"/>
            </w:tcMar>
          </w:tcPr>
          <w:p w:rsidR="004A7196" w:rsidRDefault="004A7196" w:rsidP="004A7196">
            <w:pPr>
              <w:pStyle w:val="TableTextEntries"/>
            </w:pPr>
          </w:p>
        </w:tc>
        <w:tc>
          <w:tcPr>
            <w:tcW w:w="780" w:type="pct"/>
          </w:tcPr>
          <w:p w:rsidR="004A7196" w:rsidRDefault="004A7196" w:rsidP="004A7196">
            <w:pPr>
              <w:pStyle w:val="TableTextEntries"/>
            </w:pPr>
            <w:r w:rsidRPr="00817F7E">
              <w:t xml:space="preserve">Evidence of Australian grant funds for NELSIP contributing to improved gender outcomes at the local level </w:t>
            </w:r>
          </w:p>
        </w:tc>
        <w:tc>
          <w:tcPr>
            <w:tcW w:w="470" w:type="pct"/>
            <w:shd w:val="clear" w:color="auto" w:fill="E36C0A"/>
          </w:tcPr>
          <w:p w:rsidR="004A7196" w:rsidRPr="002749B6" w:rsidRDefault="004A7196" w:rsidP="004A7196">
            <w:pPr>
              <w:pStyle w:val="TableTextEntries"/>
              <w:jc w:val="center"/>
            </w:pPr>
            <w:r>
              <w:rPr>
                <w:color w:val="FFFFFF" w:themeColor="background1"/>
              </w:rPr>
              <w:t>Partly achieved</w:t>
            </w:r>
          </w:p>
        </w:tc>
        <w:tc>
          <w:tcPr>
            <w:tcW w:w="2970" w:type="pct"/>
          </w:tcPr>
          <w:p w:rsidR="004A7196" w:rsidRDefault="000F1D82" w:rsidP="006E3905">
            <w:pPr>
              <w:pStyle w:val="TableTextEntries"/>
            </w:pPr>
            <w:r w:rsidRPr="000F1D82">
              <w:t>NELSIP</w:t>
            </w:r>
            <w:r>
              <w:t>’s</w:t>
            </w:r>
            <w:r w:rsidRPr="000F1D82">
              <w:t xml:space="preserve"> policy that all local oversight committees have 50% participation by women has </w:t>
            </w:r>
            <w:r>
              <w:t>been</w:t>
            </w:r>
            <w:r w:rsidRPr="000F1D82">
              <w:t xml:space="preserve"> met.  However, supporting equal voice for women related to decision making around local government services goes beyond just the numbers</w:t>
            </w:r>
            <w:r w:rsidR="006E3905">
              <w:t xml:space="preserve">, it </w:t>
            </w:r>
            <w:r w:rsidRPr="000F1D82">
              <w:t xml:space="preserve"> </w:t>
            </w:r>
            <w:r w:rsidR="006E3905">
              <w:t>needs also to address</w:t>
            </w:r>
            <w:r w:rsidRPr="000F1D82">
              <w:t xml:space="preserve"> cultural and political barriers that prevent women from having an equal say in how local resources are allocated and managed in their communities.</w:t>
            </w:r>
            <w:r w:rsidR="006E3905">
              <w:t xml:space="preserve"> Shifting local authorities’ actions and attitudes on this has only been partly effective</w:t>
            </w:r>
            <w:r w:rsidR="004A7196">
              <w:t>.</w:t>
            </w:r>
          </w:p>
        </w:tc>
      </w:tr>
      <w:tr w:rsidR="004A7196" w:rsidRPr="004F7D80" w:rsidTr="000F1D82">
        <w:tc>
          <w:tcPr>
            <w:tcW w:w="780" w:type="pct"/>
            <w:tcMar>
              <w:top w:w="57" w:type="dxa"/>
              <w:bottom w:w="57" w:type="dxa"/>
            </w:tcMar>
          </w:tcPr>
          <w:p w:rsidR="004A7196" w:rsidRPr="002749B6" w:rsidRDefault="004A7196" w:rsidP="004A7196">
            <w:pPr>
              <w:pStyle w:val="TableTextEntries"/>
            </w:pPr>
            <w:r>
              <w:t>P</w:t>
            </w:r>
            <w:r w:rsidRPr="000B0D76">
              <w:t>olicies and programs for inclusive growth and improved service delivery implemented at national and sub-national levels</w:t>
            </w:r>
            <w:r w:rsidRPr="00154A34">
              <w:t xml:space="preserve">. </w:t>
            </w:r>
          </w:p>
        </w:tc>
        <w:tc>
          <w:tcPr>
            <w:tcW w:w="780" w:type="pct"/>
          </w:tcPr>
          <w:p w:rsidR="004A7196" w:rsidRPr="002749B6" w:rsidRDefault="004A7196" w:rsidP="004A7196">
            <w:pPr>
              <w:pStyle w:val="TableTextEntries"/>
            </w:pPr>
            <w:r>
              <w:t>35 scholarships (including 18 scholarships for females) provided to commence study in Australia in 2015.</w:t>
            </w:r>
            <w:r w:rsidRPr="002749B6">
              <w:t xml:space="preserve">  </w:t>
            </w:r>
          </w:p>
        </w:tc>
        <w:tc>
          <w:tcPr>
            <w:tcW w:w="470" w:type="pct"/>
            <w:shd w:val="clear" w:color="auto" w:fill="72AF2F"/>
          </w:tcPr>
          <w:p w:rsidR="004A7196" w:rsidRPr="00443639" w:rsidRDefault="004A7196" w:rsidP="004A7196">
            <w:pPr>
              <w:pStyle w:val="TableTextEntries"/>
              <w:jc w:val="center"/>
              <w:rPr>
                <w:color w:val="FFFFFF" w:themeColor="background1"/>
              </w:rPr>
            </w:pPr>
            <w:r w:rsidRPr="00B92B2F">
              <w:rPr>
                <w:color w:val="FFFFFF" w:themeColor="background1"/>
              </w:rPr>
              <w:t>Achieved</w:t>
            </w:r>
          </w:p>
        </w:tc>
        <w:tc>
          <w:tcPr>
            <w:tcW w:w="2970" w:type="pct"/>
          </w:tcPr>
          <w:p w:rsidR="004A7196" w:rsidRPr="002749B6" w:rsidRDefault="004A7196" w:rsidP="004A7196">
            <w:pPr>
              <w:pStyle w:val="TableTextEntries"/>
            </w:pPr>
            <w:r>
              <w:t>35 Australia Awards were provided for study commencing in 2015.  Of these, 18 awards were given to Sri Lankan women. The awardees are undertaking Masters programs at a range of Australian universities in target fields of study.</w:t>
            </w:r>
          </w:p>
        </w:tc>
      </w:tr>
      <w:tr w:rsidR="004A7196" w:rsidRPr="004F7D80" w:rsidTr="000F1D82">
        <w:tc>
          <w:tcPr>
            <w:tcW w:w="780" w:type="pct"/>
            <w:tcMar>
              <w:top w:w="57" w:type="dxa"/>
              <w:bottom w:w="57" w:type="dxa"/>
            </w:tcMar>
          </w:tcPr>
          <w:p w:rsidR="004A7196" w:rsidRPr="002749B6" w:rsidRDefault="004A7196" w:rsidP="004A7196">
            <w:pPr>
              <w:pStyle w:val="TableTextEntries"/>
            </w:pPr>
          </w:p>
        </w:tc>
        <w:tc>
          <w:tcPr>
            <w:tcW w:w="780" w:type="pct"/>
          </w:tcPr>
          <w:p w:rsidR="004A7196" w:rsidRPr="002749B6" w:rsidRDefault="004A7196" w:rsidP="004A7196">
            <w:pPr>
              <w:pStyle w:val="TableTextEntries"/>
            </w:pPr>
            <w:r>
              <w:t>Schools in at least 40 per cent of zones complete School-Based Teacher Development programs in 2014.</w:t>
            </w:r>
          </w:p>
        </w:tc>
        <w:tc>
          <w:tcPr>
            <w:tcW w:w="470" w:type="pct"/>
            <w:shd w:val="clear" w:color="auto" w:fill="72AF2F"/>
          </w:tcPr>
          <w:p w:rsidR="004A7196" w:rsidRPr="00443639" w:rsidRDefault="004A7196" w:rsidP="004A7196">
            <w:pPr>
              <w:pStyle w:val="TableTextEntries"/>
              <w:jc w:val="center"/>
              <w:rPr>
                <w:color w:val="FFFFFF" w:themeColor="background1"/>
              </w:rPr>
            </w:pPr>
            <w:r w:rsidRPr="00B92B2F">
              <w:rPr>
                <w:color w:val="FFFFFF" w:themeColor="background1"/>
              </w:rPr>
              <w:t>Achieved</w:t>
            </w:r>
          </w:p>
        </w:tc>
        <w:tc>
          <w:tcPr>
            <w:tcW w:w="2970" w:type="pct"/>
          </w:tcPr>
          <w:p w:rsidR="004A7196" w:rsidRPr="002749B6" w:rsidRDefault="004A7196" w:rsidP="004A7196">
            <w:pPr>
              <w:pStyle w:val="TableTextEntries"/>
            </w:pPr>
            <w:r>
              <w:rPr>
                <w:lang w:val="en-US"/>
              </w:rPr>
              <w:t xml:space="preserve">The TSEP March-April 2015 mid-term review confirmed that the </w:t>
            </w:r>
            <w:r w:rsidRPr="00775BF5">
              <w:rPr>
                <w:lang w:val="en-US"/>
              </w:rPr>
              <w:t>School-Based Teacher Development (SBTD)</w:t>
            </w:r>
            <w:r>
              <w:rPr>
                <w:lang w:val="en-US"/>
              </w:rPr>
              <w:t xml:space="preserve"> component of the project had</w:t>
            </w:r>
            <w:r w:rsidRPr="00775BF5">
              <w:rPr>
                <w:lang w:val="en-US"/>
              </w:rPr>
              <w:t xml:space="preserve"> made satisfactory progress. Schools in 43 zones (44 percent of all zones) had completed SBTD program by December 31, 2014, exceeding the TSEP target of 40 percent of zones at the end of 2014. There are 4,509 schools in the 43 zones which had completed the SBTD programs by December 2014. Schools in the target zones app</w:t>
            </w:r>
            <w:r>
              <w:rPr>
                <w:lang w:val="en-US"/>
              </w:rPr>
              <w:t xml:space="preserve">ear to understand the concept </w:t>
            </w:r>
            <w:r w:rsidRPr="00775BF5">
              <w:rPr>
                <w:lang w:val="en-US"/>
              </w:rPr>
              <w:t xml:space="preserve">of SBTD </w:t>
            </w:r>
            <w:r>
              <w:rPr>
                <w:lang w:val="en-US"/>
              </w:rPr>
              <w:t>but</w:t>
            </w:r>
            <w:r w:rsidRPr="00775BF5">
              <w:rPr>
                <w:lang w:val="en-US"/>
              </w:rPr>
              <w:t xml:space="preserve"> implementation</w:t>
            </w:r>
            <w:r>
              <w:rPr>
                <w:lang w:val="en-US"/>
              </w:rPr>
              <w:t xml:space="preserve"> is not uniform in all schools</w:t>
            </w:r>
            <w:r w:rsidRPr="00775BF5">
              <w:rPr>
                <w:lang w:val="en-US"/>
              </w:rPr>
              <w:t xml:space="preserve">. </w:t>
            </w:r>
          </w:p>
        </w:tc>
      </w:tr>
      <w:tr w:rsidR="004A7196" w:rsidRPr="004F7D80" w:rsidTr="000F1D82">
        <w:tc>
          <w:tcPr>
            <w:tcW w:w="780" w:type="pct"/>
            <w:tcMar>
              <w:top w:w="57" w:type="dxa"/>
              <w:bottom w:w="57" w:type="dxa"/>
            </w:tcMar>
          </w:tcPr>
          <w:p w:rsidR="004A7196" w:rsidRPr="002749B6" w:rsidRDefault="004A7196" w:rsidP="004A7196">
            <w:pPr>
              <w:pStyle w:val="TableTextEntries"/>
            </w:pPr>
          </w:p>
        </w:tc>
        <w:tc>
          <w:tcPr>
            <w:tcW w:w="780" w:type="pct"/>
          </w:tcPr>
          <w:p w:rsidR="004A7196" w:rsidRPr="00870290" w:rsidRDefault="004A7196" w:rsidP="004A7196">
            <w:pPr>
              <w:pStyle w:val="TableTextEntries"/>
              <w:rPr>
                <w:lang w:val="en-US"/>
              </w:rPr>
            </w:pPr>
            <w:r>
              <w:rPr>
                <w:lang w:val="en-US"/>
              </w:rPr>
              <w:t>School Development Councils</w:t>
            </w:r>
            <w:r w:rsidRPr="00742D3D">
              <w:rPr>
                <w:lang w:val="en-US"/>
              </w:rPr>
              <w:t>, School Development Committees and School Management Committees</w:t>
            </w:r>
            <w:r w:rsidRPr="00147E2C">
              <w:t xml:space="preserve"> organised</w:t>
            </w:r>
            <w:r w:rsidRPr="00742D3D">
              <w:rPr>
                <w:lang w:val="en-US"/>
              </w:rPr>
              <w:t xml:space="preserve"> and trained for the P</w:t>
            </w:r>
            <w:r>
              <w:rPr>
                <w:lang w:val="en-US"/>
              </w:rPr>
              <w:t xml:space="preserve">rogram for </w:t>
            </w:r>
            <w:r w:rsidRPr="00742D3D">
              <w:rPr>
                <w:lang w:val="en-US"/>
              </w:rPr>
              <w:t>S</w:t>
            </w:r>
            <w:r>
              <w:rPr>
                <w:lang w:val="en-US"/>
              </w:rPr>
              <w:t xml:space="preserve">chool </w:t>
            </w:r>
            <w:r w:rsidRPr="00742D3D">
              <w:rPr>
                <w:lang w:val="en-US"/>
              </w:rPr>
              <w:t>I</w:t>
            </w:r>
            <w:r>
              <w:rPr>
                <w:lang w:val="en-US"/>
              </w:rPr>
              <w:t xml:space="preserve">mprovement </w:t>
            </w:r>
            <w:r w:rsidRPr="00742D3D">
              <w:rPr>
                <w:lang w:val="en-US"/>
              </w:rPr>
              <w:t>in at least 60 percent of zones</w:t>
            </w:r>
            <w:r>
              <w:rPr>
                <w:lang w:val="en-US"/>
              </w:rPr>
              <w:t xml:space="preserve"> in 2014</w:t>
            </w:r>
            <w:r w:rsidRPr="00742D3D">
              <w:rPr>
                <w:lang w:val="en-US"/>
              </w:rPr>
              <w:t>.</w:t>
            </w:r>
          </w:p>
        </w:tc>
        <w:tc>
          <w:tcPr>
            <w:tcW w:w="470" w:type="pct"/>
            <w:shd w:val="clear" w:color="auto" w:fill="72AF2F"/>
          </w:tcPr>
          <w:p w:rsidR="004A7196" w:rsidRPr="002749B6" w:rsidRDefault="004A7196" w:rsidP="004A7196">
            <w:pPr>
              <w:pStyle w:val="TableTextEntries"/>
              <w:jc w:val="center"/>
            </w:pPr>
            <w:r w:rsidRPr="00B92B2F">
              <w:rPr>
                <w:color w:val="FFFFFF" w:themeColor="background1"/>
              </w:rPr>
              <w:t>Achieved</w:t>
            </w:r>
          </w:p>
        </w:tc>
        <w:tc>
          <w:tcPr>
            <w:tcW w:w="2970" w:type="pct"/>
          </w:tcPr>
          <w:p w:rsidR="004A7196" w:rsidRPr="002749B6" w:rsidRDefault="004A7196" w:rsidP="004A7196">
            <w:pPr>
              <w:pStyle w:val="TableTextEntries"/>
            </w:pPr>
            <w:r w:rsidRPr="00870290">
              <w:rPr>
                <w:lang w:val="en-US"/>
              </w:rPr>
              <w:t>The Program for School Improvement (PSI) empower</w:t>
            </w:r>
            <w:r>
              <w:rPr>
                <w:lang w:val="en-US"/>
              </w:rPr>
              <w:t>s</w:t>
            </w:r>
            <w:r w:rsidRPr="00870290">
              <w:rPr>
                <w:lang w:val="en-US"/>
              </w:rPr>
              <w:t xml:space="preserve"> schools to make and implement relevant management decisions to strengthen school performance and improve student learning. The PSI has a cycle of school planning, plan implementation, monitoring and progress reporting, and annual updating of the school plan. This component </w:t>
            </w:r>
            <w:r>
              <w:rPr>
                <w:lang w:val="en-US"/>
              </w:rPr>
              <w:t xml:space="preserve">of TSEP </w:t>
            </w:r>
            <w:r w:rsidRPr="00870290">
              <w:rPr>
                <w:lang w:val="en-US"/>
              </w:rPr>
              <w:t>has made satisfactory progress. Schools in 43 zones (44</w:t>
            </w:r>
            <w:r w:rsidR="00E4542F">
              <w:rPr>
                <w:lang w:val="en-US"/>
              </w:rPr>
              <w:t xml:space="preserve"> per cent</w:t>
            </w:r>
            <w:r w:rsidRPr="00870290">
              <w:rPr>
                <w:lang w:val="en-US"/>
              </w:rPr>
              <w:t xml:space="preserve"> of zones) had completed the PSI cycle by December 31, 2014, exceedi</w:t>
            </w:r>
            <w:r>
              <w:rPr>
                <w:lang w:val="en-US"/>
              </w:rPr>
              <w:t>ng the TSEP target of 40</w:t>
            </w:r>
            <w:r w:rsidR="00E4542F">
              <w:rPr>
                <w:lang w:val="en-US"/>
              </w:rPr>
              <w:t xml:space="preserve"> per cent</w:t>
            </w:r>
            <w:r w:rsidRPr="00870290">
              <w:rPr>
                <w:lang w:val="en-US"/>
              </w:rPr>
              <w:t xml:space="preserve"> of zones at the end of 2014. Another 34 zones (35</w:t>
            </w:r>
            <w:r w:rsidR="00E4542F">
              <w:rPr>
                <w:lang w:val="en-US"/>
              </w:rPr>
              <w:t xml:space="preserve"> per cent</w:t>
            </w:r>
            <w:r w:rsidRPr="00870290">
              <w:rPr>
                <w:lang w:val="en-US"/>
              </w:rPr>
              <w:t xml:space="preserve"> of zones) commenced the PSI cycle in 2014, exceeding the target of 30 percent of zones in 2014.</w:t>
            </w:r>
            <w:r>
              <w:rPr>
                <w:lang w:val="en-US"/>
              </w:rPr>
              <w:t xml:space="preserve"> In total, therefore, PSI had been implemented in 79</w:t>
            </w:r>
            <w:r w:rsidR="00E4542F">
              <w:rPr>
                <w:lang w:val="en-US"/>
              </w:rPr>
              <w:t xml:space="preserve"> per cent</w:t>
            </w:r>
            <w:r>
              <w:rPr>
                <w:lang w:val="en-US"/>
              </w:rPr>
              <w:t xml:space="preserve"> of school zones.</w:t>
            </w:r>
          </w:p>
        </w:tc>
      </w:tr>
    </w:tbl>
    <w:p w:rsidR="004A7196" w:rsidRPr="00FE4491" w:rsidRDefault="004A7196" w:rsidP="004A7196">
      <w:pPr>
        <w:pStyle w:val="Note"/>
      </w:pPr>
      <w:r w:rsidRPr="00FE4491">
        <w:t xml:space="preserve">Note: </w:t>
      </w:r>
    </w:p>
    <w:p w:rsidR="004A7196" w:rsidRPr="00671434" w:rsidRDefault="004A7196" w:rsidP="004A719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A7196" w:rsidRPr="00EA3BAD" w:rsidRDefault="004A7196" w:rsidP="004A719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A7196" w:rsidP="004A7196">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r w:rsidR="00416B02">
        <w:br w:type="page"/>
      </w:r>
    </w:p>
    <w:p w:rsidR="00416B02" w:rsidRPr="00416B02" w:rsidRDefault="00416B02" w:rsidP="00416B02">
      <w:pPr>
        <w:pStyle w:val="BodyText"/>
        <w:sectPr w:rsidR="00416B02" w:rsidRPr="00416B02" w:rsidSect="006E5215">
          <w:headerReference w:type="even" r:id="rId17"/>
          <w:footerReference w:type="first" r:id="rId18"/>
          <w:footnotePr>
            <w:numRestart w:val="eachPage"/>
          </w:footnotePr>
          <w:type w:val="continuous"/>
          <w:pgSz w:w="16838" w:h="11906" w:orient="landscape" w:code="9"/>
          <w:pgMar w:top="1560"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rsidR="00416B02" w:rsidRPr="00500954" w:rsidRDefault="00416B02" w:rsidP="006E3905">
      <w:pPr>
        <w:pStyle w:val="ListBullet"/>
        <w:numPr>
          <w:ilvl w:val="0"/>
          <w:numId w:val="0"/>
        </w:numPr>
        <w:tabs>
          <w:tab w:val="clear" w:pos="284"/>
        </w:tabs>
      </w:pPr>
    </w:p>
    <w:p w:rsidR="00416B02" w:rsidRPr="00071B95" w:rsidRDefault="00416B02" w:rsidP="002E5070">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ColumnHeading"/>
              <w:rPr>
                <w:b/>
              </w:rPr>
            </w:pPr>
            <w:r w:rsidRPr="00071B95">
              <w:rPr>
                <w:b/>
              </w:rPr>
              <w:t xml:space="preserve">Name of </w:t>
            </w:r>
            <w:r>
              <w:rPr>
                <w:b/>
              </w:rPr>
              <w:t>Investment</w:t>
            </w:r>
          </w:p>
        </w:tc>
        <w:tc>
          <w:tcPr>
            <w:tcW w:w="1933" w:type="dxa"/>
          </w:tcPr>
          <w:p w:rsidR="00416B02" w:rsidRPr="00071B95" w:rsidRDefault="00136CC1" w:rsidP="00E15678">
            <w:pPr>
              <w:pStyle w:val="TableTextColumnHeading"/>
              <w:rPr>
                <w:b/>
              </w:rPr>
            </w:pPr>
            <w:r>
              <w:rPr>
                <w:b/>
              </w:rPr>
              <w:t>AidW</w:t>
            </w:r>
            <w:r w:rsidRPr="00071B95">
              <w:rPr>
                <w:b/>
              </w:rPr>
              <w:t>orks</w:t>
            </w:r>
            <w:r w:rsidR="00416B02" w:rsidRPr="00071B95">
              <w:rPr>
                <w:b/>
              </w:rPr>
              <w:t xml:space="preserve"> number</w:t>
            </w:r>
          </w:p>
        </w:tc>
        <w:tc>
          <w:tcPr>
            <w:tcW w:w="2031" w:type="dxa"/>
          </w:tcPr>
          <w:p w:rsidR="00416B02" w:rsidRPr="00071B95" w:rsidRDefault="00416B02" w:rsidP="00E15678">
            <w:pPr>
              <w:pStyle w:val="TableTextColumnHeading"/>
              <w:rPr>
                <w:b/>
              </w:rPr>
            </w:pPr>
            <w:r>
              <w:rPr>
                <w:b/>
              </w:rPr>
              <w:t>Name of evaluation</w:t>
            </w:r>
          </w:p>
        </w:tc>
        <w:tc>
          <w:tcPr>
            <w:tcW w:w="1939" w:type="dxa"/>
          </w:tcPr>
          <w:p w:rsidR="00416B02" w:rsidRPr="00071B95" w:rsidRDefault="00416B02" w:rsidP="00E15678">
            <w:pPr>
              <w:pStyle w:val="TableTextColumnHeading"/>
              <w:rPr>
                <w:b/>
              </w:rPr>
            </w:pPr>
            <w:r w:rsidRPr="00071B95">
              <w:rPr>
                <w:b/>
              </w:rPr>
              <w:t xml:space="preserve">Date </w:t>
            </w:r>
            <w:r>
              <w:rPr>
                <w:b/>
              </w:rPr>
              <w:t>finalised</w:t>
            </w:r>
          </w:p>
        </w:tc>
        <w:tc>
          <w:tcPr>
            <w:tcW w:w="1921" w:type="dxa"/>
          </w:tcPr>
          <w:p w:rsidR="00416B02" w:rsidRPr="00071B95" w:rsidRDefault="00416B02" w:rsidP="00E15678">
            <w:pPr>
              <w:pStyle w:val="TableTextColumnHeading"/>
              <w:rPr>
                <w:b/>
              </w:rPr>
            </w:pPr>
            <w:r w:rsidRPr="00071B95">
              <w:rPr>
                <w:b/>
              </w:rPr>
              <w:t xml:space="preserve">Date Evaluation report Uploaded into </w:t>
            </w:r>
            <w:r w:rsidR="00136CC1">
              <w:rPr>
                <w:b/>
              </w:rPr>
              <w:t>AidW</w:t>
            </w:r>
            <w:r w:rsidR="00136CC1" w:rsidRPr="00071B95">
              <w:rPr>
                <w:b/>
              </w:rPr>
              <w:t>orks</w:t>
            </w:r>
          </w:p>
        </w:tc>
        <w:tc>
          <w:tcPr>
            <w:tcW w:w="1743" w:type="dxa"/>
          </w:tcPr>
          <w:p w:rsidR="00416B02" w:rsidRPr="00071B95" w:rsidRDefault="00416B02" w:rsidP="00E15678">
            <w:pPr>
              <w:pStyle w:val="TableTextColumnHeading"/>
              <w:rPr>
                <w:b/>
              </w:rPr>
            </w:pPr>
            <w:r w:rsidRPr="00071B95">
              <w:rPr>
                <w:b/>
              </w:rPr>
              <w:t xml:space="preserve">Date Management response uploaded into </w:t>
            </w:r>
            <w:r w:rsidR="00136CC1">
              <w:rPr>
                <w:b/>
              </w:rPr>
              <w:t>AidW</w:t>
            </w:r>
            <w:r w:rsidR="00136CC1" w:rsidRPr="00071B95">
              <w:rPr>
                <w:b/>
              </w:rPr>
              <w:t>orks</w:t>
            </w:r>
          </w:p>
        </w:tc>
        <w:tc>
          <w:tcPr>
            <w:tcW w:w="1503" w:type="dxa"/>
          </w:tcPr>
          <w:p w:rsidR="00416B02" w:rsidRPr="00071B95" w:rsidRDefault="00416B02" w:rsidP="00E15678">
            <w:pPr>
              <w:pStyle w:val="TableTextColumnHeading"/>
              <w:rPr>
                <w:b/>
              </w:rPr>
            </w:pPr>
            <w:r w:rsidRPr="00071B95">
              <w:rPr>
                <w:b/>
              </w:rPr>
              <w:t>Published on website</w:t>
            </w:r>
          </w:p>
        </w:tc>
      </w:tr>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2B4777" w:rsidRDefault="00B44604" w:rsidP="00E15678">
            <w:pPr>
              <w:pStyle w:val="TableTextEntries"/>
              <w:rPr>
                <w:b w:val="0"/>
              </w:rPr>
            </w:pPr>
            <w:r w:rsidRPr="002B4777">
              <w:rPr>
                <w:b w:val="0"/>
              </w:rPr>
              <w:t>Sri Lanka Community Forestry Program</w:t>
            </w:r>
          </w:p>
        </w:tc>
        <w:tc>
          <w:tcPr>
            <w:tcW w:w="1933" w:type="dxa"/>
          </w:tcPr>
          <w:p w:rsidR="00416B02" w:rsidRPr="002B4777" w:rsidRDefault="00B44604" w:rsidP="00E15678">
            <w:pPr>
              <w:pStyle w:val="TableTextEntries"/>
              <w:rPr>
                <w:b w:val="0"/>
              </w:rPr>
            </w:pPr>
            <w:r w:rsidRPr="002B4777">
              <w:rPr>
                <w:b w:val="0"/>
              </w:rPr>
              <w:t>INK103</w:t>
            </w:r>
          </w:p>
        </w:tc>
        <w:tc>
          <w:tcPr>
            <w:tcW w:w="2031" w:type="dxa"/>
          </w:tcPr>
          <w:p w:rsidR="00416B02" w:rsidRPr="002B4777" w:rsidRDefault="002B4777" w:rsidP="00E15678">
            <w:pPr>
              <w:pStyle w:val="TableTextEntries"/>
              <w:rPr>
                <w:b w:val="0"/>
              </w:rPr>
            </w:pPr>
            <w:r w:rsidRPr="002B4777">
              <w:rPr>
                <w:b w:val="0"/>
              </w:rPr>
              <w:t>Mid-Term Review Evaluation Report</w:t>
            </w:r>
          </w:p>
        </w:tc>
        <w:tc>
          <w:tcPr>
            <w:tcW w:w="1939" w:type="dxa"/>
          </w:tcPr>
          <w:p w:rsidR="00416B02" w:rsidRPr="002B4777" w:rsidRDefault="002B4777" w:rsidP="00E15678">
            <w:pPr>
              <w:pStyle w:val="TableTextEntries"/>
              <w:rPr>
                <w:b w:val="0"/>
              </w:rPr>
            </w:pPr>
            <w:r w:rsidRPr="002B4777">
              <w:rPr>
                <w:b w:val="0"/>
              </w:rPr>
              <w:t>22 October 2014</w:t>
            </w:r>
          </w:p>
        </w:tc>
        <w:tc>
          <w:tcPr>
            <w:tcW w:w="1921" w:type="dxa"/>
          </w:tcPr>
          <w:p w:rsidR="00416B02" w:rsidRPr="002B4777" w:rsidRDefault="002B4777" w:rsidP="00E15678">
            <w:pPr>
              <w:pStyle w:val="TableTextEntries"/>
              <w:rPr>
                <w:b w:val="0"/>
              </w:rPr>
            </w:pPr>
            <w:r w:rsidRPr="002B4777">
              <w:rPr>
                <w:b w:val="0"/>
              </w:rPr>
              <w:t>18 March 2015</w:t>
            </w:r>
          </w:p>
        </w:tc>
        <w:tc>
          <w:tcPr>
            <w:tcW w:w="1743" w:type="dxa"/>
          </w:tcPr>
          <w:p w:rsidR="00416B02" w:rsidRPr="002B4777" w:rsidRDefault="002B4777" w:rsidP="00E15678">
            <w:pPr>
              <w:pStyle w:val="TableTextEntries"/>
              <w:rPr>
                <w:b w:val="0"/>
              </w:rPr>
            </w:pPr>
            <w:r w:rsidRPr="002B4777">
              <w:rPr>
                <w:b w:val="0"/>
              </w:rPr>
              <w:t>18 March 2015</w:t>
            </w:r>
          </w:p>
        </w:tc>
        <w:tc>
          <w:tcPr>
            <w:tcW w:w="1503" w:type="dxa"/>
          </w:tcPr>
          <w:p w:rsidR="00416B02" w:rsidRPr="00071B95" w:rsidRDefault="002B4777" w:rsidP="00E15678">
            <w:pPr>
              <w:pStyle w:val="TableTextEntries"/>
              <w:rPr>
                <w:b w:val="0"/>
              </w:rPr>
            </w:pPr>
            <w:r>
              <w:rPr>
                <w:b w:val="0"/>
              </w:rPr>
              <w:t>25 June 2015</w:t>
            </w:r>
            <w:r w:rsidR="00416B02">
              <w:rPr>
                <w:b w:val="0"/>
              </w:rPr>
              <w:t xml:space="preserve"> </w:t>
            </w:r>
          </w:p>
        </w:tc>
      </w:tr>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2B4777" w:rsidRDefault="002B4777" w:rsidP="00E15678">
            <w:pPr>
              <w:pStyle w:val="TableTextEntries"/>
              <w:rPr>
                <w:b w:val="0"/>
              </w:rPr>
            </w:pPr>
            <w:r w:rsidRPr="002B4777">
              <w:rPr>
                <w:b w:val="0"/>
              </w:rPr>
              <w:t>Support to the Education Sector in Conflict Affected Areas in Northern Sri Lanka</w:t>
            </w:r>
          </w:p>
        </w:tc>
        <w:tc>
          <w:tcPr>
            <w:tcW w:w="1933" w:type="dxa"/>
          </w:tcPr>
          <w:p w:rsidR="00416B02" w:rsidRPr="002B4777" w:rsidRDefault="002B4777" w:rsidP="00E15678">
            <w:pPr>
              <w:pStyle w:val="TableTextEntries"/>
              <w:rPr>
                <w:b w:val="0"/>
              </w:rPr>
            </w:pPr>
            <w:r w:rsidRPr="002B4777">
              <w:rPr>
                <w:b w:val="0"/>
              </w:rPr>
              <w:t>INJ 411 &amp; INJ872</w:t>
            </w:r>
          </w:p>
        </w:tc>
        <w:tc>
          <w:tcPr>
            <w:tcW w:w="2031" w:type="dxa"/>
          </w:tcPr>
          <w:p w:rsidR="00416B02" w:rsidRPr="002B4777" w:rsidRDefault="002B4777" w:rsidP="00E15678">
            <w:pPr>
              <w:pStyle w:val="TableTextEntries"/>
              <w:rPr>
                <w:b w:val="0"/>
              </w:rPr>
            </w:pPr>
            <w:r w:rsidRPr="002B4777">
              <w:rPr>
                <w:b w:val="0"/>
              </w:rPr>
              <w:t>Joint Summative Evaluation/Independent Completion Report</w:t>
            </w:r>
          </w:p>
        </w:tc>
        <w:tc>
          <w:tcPr>
            <w:tcW w:w="1939" w:type="dxa"/>
          </w:tcPr>
          <w:p w:rsidR="00416B02" w:rsidRPr="002B4777" w:rsidRDefault="002B4777" w:rsidP="00E15678">
            <w:pPr>
              <w:pStyle w:val="TableTextEntries"/>
              <w:rPr>
                <w:b w:val="0"/>
              </w:rPr>
            </w:pPr>
            <w:r w:rsidRPr="002B4777">
              <w:rPr>
                <w:b w:val="0"/>
              </w:rPr>
              <w:t>18 December 2013</w:t>
            </w:r>
          </w:p>
        </w:tc>
        <w:tc>
          <w:tcPr>
            <w:tcW w:w="1921" w:type="dxa"/>
          </w:tcPr>
          <w:p w:rsidR="00416B02" w:rsidRPr="002B4777" w:rsidRDefault="002B4777" w:rsidP="00E15678">
            <w:pPr>
              <w:pStyle w:val="TableTextEntries"/>
              <w:rPr>
                <w:b w:val="0"/>
              </w:rPr>
            </w:pPr>
            <w:r w:rsidRPr="002B4777">
              <w:rPr>
                <w:b w:val="0"/>
              </w:rPr>
              <w:t>12 August 2014</w:t>
            </w:r>
          </w:p>
        </w:tc>
        <w:tc>
          <w:tcPr>
            <w:tcW w:w="1743" w:type="dxa"/>
          </w:tcPr>
          <w:p w:rsidR="00416B02" w:rsidRPr="002B4777" w:rsidRDefault="002B4777" w:rsidP="00E15678">
            <w:pPr>
              <w:pStyle w:val="TableTextEntries"/>
              <w:rPr>
                <w:b w:val="0"/>
              </w:rPr>
            </w:pPr>
            <w:r w:rsidRPr="002B4777">
              <w:rPr>
                <w:b w:val="0"/>
              </w:rPr>
              <w:t>14 January 2015</w:t>
            </w:r>
          </w:p>
        </w:tc>
        <w:tc>
          <w:tcPr>
            <w:tcW w:w="1503" w:type="dxa"/>
          </w:tcPr>
          <w:p w:rsidR="00416B02" w:rsidRPr="002B4777" w:rsidRDefault="002B4777" w:rsidP="00E15678">
            <w:pPr>
              <w:pStyle w:val="TableTextEntries"/>
              <w:rPr>
                <w:b w:val="0"/>
              </w:rPr>
            </w:pPr>
            <w:r w:rsidRPr="002B4777">
              <w:rPr>
                <w:b w:val="0"/>
              </w:rPr>
              <w:t>25 June 2015</w:t>
            </w:r>
          </w:p>
        </w:tc>
      </w:tr>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Entries"/>
            </w:pPr>
          </w:p>
        </w:tc>
        <w:tc>
          <w:tcPr>
            <w:tcW w:w="1933" w:type="dxa"/>
          </w:tcPr>
          <w:p w:rsidR="00416B02" w:rsidRPr="00071B95" w:rsidRDefault="00416B02" w:rsidP="00E15678">
            <w:pPr>
              <w:pStyle w:val="TableTextEntries"/>
            </w:pPr>
          </w:p>
        </w:tc>
        <w:tc>
          <w:tcPr>
            <w:tcW w:w="2031" w:type="dxa"/>
          </w:tcPr>
          <w:p w:rsidR="00416B02" w:rsidRPr="00071B95" w:rsidRDefault="00416B02" w:rsidP="00E15678">
            <w:pPr>
              <w:pStyle w:val="TableTextEntries"/>
            </w:pPr>
          </w:p>
        </w:tc>
        <w:tc>
          <w:tcPr>
            <w:tcW w:w="1939" w:type="dxa"/>
          </w:tcPr>
          <w:p w:rsidR="00416B02" w:rsidRPr="00071B95" w:rsidRDefault="00416B02" w:rsidP="00E15678">
            <w:pPr>
              <w:pStyle w:val="TableTextEntries"/>
            </w:pPr>
          </w:p>
        </w:tc>
        <w:tc>
          <w:tcPr>
            <w:tcW w:w="1921" w:type="dxa"/>
          </w:tcPr>
          <w:p w:rsidR="00416B02" w:rsidRPr="00071B95" w:rsidRDefault="00416B02" w:rsidP="00E15678">
            <w:pPr>
              <w:pStyle w:val="TableTextEntries"/>
            </w:pPr>
          </w:p>
        </w:tc>
        <w:tc>
          <w:tcPr>
            <w:tcW w:w="1743" w:type="dxa"/>
          </w:tcPr>
          <w:p w:rsidR="00416B02" w:rsidRPr="00071B95" w:rsidRDefault="00416B02" w:rsidP="00E15678">
            <w:pPr>
              <w:pStyle w:val="TableTextEntries"/>
            </w:pPr>
          </w:p>
        </w:tc>
        <w:tc>
          <w:tcPr>
            <w:tcW w:w="1503" w:type="dxa"/>
          </w:tcPr>
          <w:p w:rsidR="00416B02" w:rsidRPr="00071B95" w:rsidRDefault="00416B02" w:rsidP="00E15678">
            <w:pPr>
              <w:pStyle w:val="TableTextEntries"/>
            </w:pPr>
          </w:p>
        </w:tc>
      </w:tr>
    </w:tbl>
    <w:p w:rsidR="00416B02" w:rsidRPr="00071B95" w:rsidRDefault="00416B02" w:rsidP="00416B02">
      <w:pPr>
        <w:rPr>
          <w:b/>
        </w:rPr>
      </w:pPr>
    </w:p>
    <w:p w:rsidR="00416B02" w:rsidRPr="00071B95" w:rsidRDefault="00416B02" w:rsidP="002E5070">
      <w:pPr>
        <w:pStyle w:val="Heading3"/>
      </w:pPr>
      <w:r w:rsidRPr="00071B95">
        <w:t xml:space="preserve">List of evaluations planned in the next 12 months </w:t>
      </w:r>
    </w:p>
    <w:p w:rsidR="00416B02" w:rsidRDefault="00416B02" w:rsidP="00416B02">
      <w:pPr>
        <w:pStyle w:val="TableTextColumnHeading"/>
        <w:sectPr w:rsidR="00416B02" w:rsidSect="00CD061B">
          <w:headerReference w:type="even" r:id="rId19"/>
          <w:footerReference w:type="first" r:id="rId20"/>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071B95" w:rsidTr="00E15678">
        <w:tc>
          <w:tcPr>
            <w:tcW w:w="2601" w:type="dxa"/>
          </w:tcPr>
          <w:p w:rsidR="00416B02" w:rsidRPr="00071B95" w:rsidRDefault="00416B02" w:rsidP="00E15678">
            <w:pPr>
              <w:pStyle w:val="TableTextColumnHeading"/>
            </w:pPr>
            <w:r w:rsidRPr="00071B95">
              <w:lastRenderedPageBreak/>
              <w:t xml:space="preserve">Name of </w:t>
            </w:r>
            <w:r>
              <w:t>Investment</w:t>
            </w:r>
          </w:p>
        </w:tc>
        <w:tc>
          <w:tcPr>
            <w:tcW w:w="2530" w:type="dxa"/>
          </w:tcPr>
          <w:p w:rsidR="00416B02" w:rsidRPr="00071B95" w:rsidRDefault="00136CC1" w:rsidP="00E15678">
            <w:pPr>
              <w:pStyle w:val="TableTextColumnHeading"/>
            </w:pPr>
            <w:r>
              <w:t>AidW</w:t>
            </w:r>
            <w:r w:rsidRPr="00071B95">
              <w:t>orks</w:t>
            </w:r>
            <w:r w:rsidR="00416B02" w:rsidRPr="00071B95">
              <w:t xml:space="preserve"> number</w:t>
            </w:r>
          </w:p>
        </w:tc>
        <w:tc>
          <w:tcPr>
            <w:tcW w:w="2612" w:type="dxa"/>
          </w:tcPr>
          <w:p w:rsidR="00416B02" w:rsidRPr="00071B95" w:rsidRDefault="00416B02" w:rsidP="00E15678">
            <w:pPr>
              <w:pStyle w:val="TableTextColumnHeading"/>
            </w:pPr>
            <w:r w:rsidRPr="00071B95">
              <w:t>Type of evaluation</w:t>
            </w:r>
          </w:p>
        </w:tc>
        <w:tc>
          <w:tcPr>
            <w:tcW w:w="2612" w:type="dxa"/>
          </w:tcPr>
          <w:p w:rsidR="00416B02" w:rsidRPr="00071B95" w:rsidRDefault="00416B02" w:rsidP="00E15678">
            <w:pPr>
              <w:pStyle w:val="TableTextColumnHeading"/>
            </w:pPr>
            <w:r w:rsidRPr="00071B95">
              <w:t>Purpose of evaluation</w:t>
            </w:r>
          </w:p>
        </w:tc>
        <w:tc>
          <w:tcPr>
            <w:tcW w:w="2617" w:type="dxa"/>
          </w:tcPr>
          <w:p w:rsidR="00416B02" w:rsidRPr="00071B95" w:rsidRDefault="00416B02" w:rsidP="00E15678">
            <w:pPr>
              <w:pStyle w:val="TableTextColumnHeading"/>
            </w:pPr>
            <w:r w:rsidRPr="00071B95">
              <w:t>Expected completion date</w:t>
            </w:r>
          </w:p>
        </w:tc>
      </w:tr>
      <w:tr w:rsidR="00416B02" w:rsidRPr="002E4EEF" w:rsidTr="00E15678">
        <w:tc>
          <w:tcPr>
            <w:tcW w:w="2601" w:type="dxa"/>
          </w:tcPr>
          <w:p w:rsidR="00416B02" w:rsidRPr="002E4EEF" w:rsidRDefault="00416B02" w:rsidP="00E15678">
            <w:pPr>
              <w:pStyle w:val="TableTextEntries"/>
            </w:pPr>
          </w:p>
        </w:tc>
        <w:tc>
          <w:tcPr>
            <w:tcW w:w="2530" w:type="dxa"/>
          </w:tcPr>
          <w:p w:rsidR="00416B02" w:rsidRPr="002E4EEF" w:rsidRDefault="00416B02" w:rsidP="00E15678">
            <w:pPr>
              <w:pStyle w:val="TableTextEntries"/>
            </w:pPr>
          </w:p>
        </w:tc>
        <w:tc>
          <w:tcPr>
            <w:tcW w:w="2612" w:type="dxa"/>
          </w:tcPr>
          <w:p w:rsidR="00416B02" w:rsidRPr="002E4EEF" w:rsidRDefault="00416B02" w:rsidP="00E15678">
            <w:pPr>
              <w:pStyle w:val="TableTextEntries"/>
            </w:pPr>
          </w:p>
        </w:tc>
        <w:tc>
          <w:tcPr>
            <w:tcW w:w="2612" w:type="dxa"/>
          </w:tcPr>
          <w:p w:rsidR="00416B02" w:rsidRPr="002E4EEF" w:rsidRDefault="00416B02" w:rsidP="00E15678">
            <w:pPr>
              <w:pStyle w:val="TableTextEntries"/>
              <w:rPr>
                <w:color w:val="000000" w:themeColor="text1" w:themeShade="BF"/>
              </w:rPr>
            </w:pPr>
          </w:p>
        </w:tc>
        <w:tc>
          <w:tcPr>
            <w:tcW w:w="2617" w:type="dxa"/>
          </w:tcPr>
          <w:p w:rsidR="00416B02" w:rsidRPr="002E4EEF" w:rsidRDefault="00416B02" w:rsidP="00E15678">
            <w:pPr>
              <w:pStyle w:val="TableTextEntries"/>
            </w:pPr>
          </w:p>
        </w:tc>
      </w:tr>
      <w:tr w:rsidR="00416B02" w:rsidRPr="00071B95" w:rsidTr="00E15678">
        <w:tc>
          <w:tcPr>
            <w:tcW w:w="2601" w:type="dxa"/>
          </w:tcPr>
          <w:p w:rsidR="00416B02" w:rsidRPr="002E4EEF" w:rsidRDefault="00416B02" w:rsidP="00E15678">
            <w:pPr>
              <w:pStyle w:val="TableTextEntries"/>
            </w:pPr>
          </w:p>
        </w:tc>
        <w:tc>
          <w:tcPr>
            <w:tcW w:w="2530" w:type="dxa"/>
          </w:tcPr>
          <w:p w:rsidR="00416B02" w:rsidRPr="002E4EEF" w:rsidRDefault="00416B02" w:rsidP="00E15678">
            <w:pPr>
              <w:pStyle w:val="TableTextEntries"/>
            </w:pPr>
          </w:p>
        </w:tc>
        <w:tc>
          <w:tcPr>
            <w:tcW w:w="2612" w:type="dxa"/>
          </w:tcPr>
          <w:p w:rsidR="00416B02" w:rsidRPr="002E4EEF" w:rsidRDefault="00416B02" w:rsidP="00E15678">
            <w:pPr>
              <w:pStyle w:val="TableTextEntries"/>
            </w:pPr>
          </w:p>
        </w:tc>
        <w:tc>
          <w:tcPr>
            <w:tcW w:w="2612" w:type="dxa"/>
          </w:tcPr>
          <w:p w:rsidR="00416B02" w:rsidRPr="002E4EEF" w:rsidRDefault="00416B02" w:rsidP="00E15678">
            <w:pPr>
              <w:pStyle w:val="TableTextEntries"/>
            </w:pPr>
          </w:p>
        </w:tc>
        <w:tc>
          <w:tcPr>
            <w:tcW w:w="2617" w:type="dxa"/>
          </w:tcPr>
          <w:p w:rsidR="00416B02" w:rsidRPr="002E4EEF" w:rsidRDefault="00416B02" w:rsidP="00E15678">
            <w:pPr>
              <w:pStyle w:val="TableTextEntries"/>
            </w:pPr>
          </w:p>
        </w:tc>
      </w:tr>
    </w:tbl>
    <w:p w:rsidR="00416B02" w:rsidRDefault="00416B02" w:rsidP="00416B02">
      <w:pPr>
        <w:rPr>
          <w:b/>
        </w:rPr>
        <w:sectPr w:rsidR="00416B02"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416B02" w:rsidRPr="000D2CDD" w:rsidRDefault="00416B02" w:rsidP="002E5070">
      <w:pPr>
        <w:pStyle w:val="Heading3"/>
      </w:pPr>
      <w:r>
        <w:t>AQC ratings</w:t>
      </w:r>
    </w:p>
    <w:tbl>
      <w:tblPr>
        <w:tblStyle w:val="APPR"/>
        <w:tblW w:w="5000" w:type="pct"/>
        <w:tblLook w:val="0000" w:firstRow="0" w:lastRow="0" w:firstColumn="0" w:lastColumn="0" w:noHBand="0" w:noVBand="0"/>
      </w:tblPr>
      <w:tblGrid>
        <w:gridCol w:w="2567"/>
        <w:gridCol w:w="1863"/>
        <w:gridCol w:w="1187"/>
        <w:gridCol w:w="1193"/>
        <w:gridCol w:w="1185"/>
        <w:gridCol w:w="1192"/>
        <w:gridCol w:w="1184"/>
        <w:gridCol w:w="1192"/>
        <w:gridCol w:w="1184"/>
        <w:gridCol w:w="1190"/>
      </w:tblGrid>
      <w:tr w:rsidR="00416B02" w:rsidRPr="009D53C4" w:rsidTr="00B0128D">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416B02" w:rsidRPr="00FE4491" w:rsidRDefault="00416B02" w:rsidP="00E15678">
            <w:pPr>
              <w:pStyle w:val="TableTextColumnHeading"/>
            </w:pPr>
            <w:r w:rsidRPr="00FE4491">
              <w:rPr>
                <w:noProof/>
                <w:lang w:eastAsia="en-AU"/>
              </w:rPr>
              <w:drawing>
                <wp:anchor distT="0" distB="0" distL="114300" distR="114300" simplePos="0" relativeHeight="251666432" behindDoc="0" locked="0" layoutInCell="1" allowOverlap="1" wp14:anchorId="0F8089A7" wp14:editId="512D7879">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16B02" w:rsidRPr="00FE4491" w:rsidRDefault="00416B02" w:rsidP="00E15678">
            <w:pPr>
              <w:pStyle w:val="TableTextColumnHeading"/>
            </w:pPr>
            <w:r w:rsidRPr="00FE4491">
              <w:t>Approved budget and duration</w:t>
            </w:r>
          </w:p>
        </w:tc>
        <w:tc>
          <w:tcPr>
            <w:tcW w:w="416" w:type="pct"/>
            <w:textDirection w:val="btLr"/>
          </w:tcPr>
          <w:p w:rsidR="00416B02" w:rsidRPr="00FE4491" w:rsidRDefault="00416B02" w:rsidP="00E15678">
            <w:pPr>
              <w:pStyle w:val="TableTextColumnHeading"/>
            </w:pPr>
            <w:r>
              <w:t>AQC/</w:t>
            </w:r>
            <w:r w:rsidRPr="00FE4491">
              <w:t>Q</w:t>
            </w:r>
            <w:r>
              <w:t>AI</w:t>
            </w:r>
            <w:r w:rsidRPr="00FE4491">
              <w:t xml:space="preserve"> year</w:t>
            </w:r>
          </w:p>
        </w:tc>
        <w:tc>
          <w:tcPr>
            <w:tcW w:w="418" w:type="pct"/>
            <w:textDirection w:val="btLr"/>
          </w:tcPr>
          <w:p w:rsidR="00416B02" w:rsidRPr="00FE4491" w:rsidRDefault="00416B02" w:rsidP="00E15678">
            <w:pPr>
              <w:pStyle w:val="TableTextColumnHeading"/>
            </w:pPr>
            <w:r w:rsidRPr="00FE4491">
              <w:t>Relevance</w:t>
            </w:r>
          </w:p>
        </w:tc>
        <w:tc>
          <w:tcPr>
            <w:tcW w:w="415" w:type="pct"/>
            <w:textDirection w:val="btLr"/>
          </w:tcPr>
          <w:p w:rsidR="00416B02" w:rsidRPr="00FE4491" w:rsidRDefault="00416B02" w:rsidP="00E15678">
            <w:pPr>
              <w:pStyle w:val="TableTextColumnHeading"/>
            </w:pPr>
            <w:r w:rsidRPr="00FE4491">
              <w:t>Effectiveness</w:t>
            </w:r>
          </w:p>
        </w:tc>
        <w:tc>
          <w:tcPr>
            <w:tcW w:w="418" w:type="pct"/>
            <w:textDirection w:val="btLr"/>
          </w:tcPr>
          <w:p w:rsidR="00416B02" w:rsidRPr="00FE4491" w:rsidRDefault="00416B02" w:rsidP="00E15678">
            <w:pPr>
              <w:pStyle w:val="TableTextColumnHeading"/>
            </w:pPr>
            <w:r w:rsidRPr="00FE4491">
              <w:t>Efficiency</w:t>
            </w:r>
          </w:p>
        </w:tc>
        <w:tc>
          <w:tcPr>
            <w:tcW w:w="415" w:type="pct"/>
            <w:textDirection w:val="btLr"/>
          </w:tcPr>
          <w:p w:rsidR="00416B02" w:rsidRPr="00FE4491" w:rsidRDefault="00416B02" w:rsidP="00E15678">
            <w:pPr>
              <w:pStyle w:val="TableTextColumnHeading"/>
            </w:pPr>
            <w:r w:rsidRPr="00FE4491">
              <w:t>Monitoring and Evaluation</w:t>
            </w:r>
          </w:p>
        </w:tc>
        <w:tc>
          <w:tcPr>
            <w:tcW w:w="418" w:type="pct"/>
            <w:textDirection w:val="btLr"/>
          </w:tcPr>
          <w:p w:rsidR="00416B02" w:rsidRPr="00FE4491" w:rsidRDefault="00416B02" w:rsidP="00E15678">
            <w:pPr>
              <w:pStyle w:val="TableTextColumnHeading"/>
            </w:pPr>
            <w:r w:rsidRPr="00FE4491">
              <w:t>Sustainability</w:t>
            </w:r>
          </w:p>
        </w:tc>
        <w:tc>
          <w:tcPr>
            <w:tcW w:w="415" w:type="pct"/>
            <w:textDirection w:val="btLr"/>
          </w:tcPr>
          <w:p w:rsidR="00416B02" w:rsidRPr="00FE4491" w:rsidRDefault="00416B02" w:rsidP="00E15678">
            <w:pPr>
              <w:pStyle w:val="TableTextColumnHeading"/>
            </w:pPr>
            <w:r w:rsidRPr="00FE4491">
              <w:t>Gender equality</w:t>
            </w:r>
          </w:p>
        </w:tc>
        <w:tc>
          <w:tcPr>
            <w:tcW w:w="412" w:type="pct"/>
            <w:textDirection w:val="btLr"/>
          </w:tcPr>
          <w:p w:rsidR="00416B02" w:rsidRPr="00FE4491" w:rsidRDefault="00416B02" w:rsidP="00E15678">
            <w:pPr>
              <w:pStyle w:val="TableTextColumnHeading"/>
            </w:pPr>
            <w:r>
              <w:t>Risks  and Safeguards</w:t>
            </w:r>
          </w:p>
        </w:tc>
      </w:tr>
      <w:tr w:rsidR="00697BED" w:rsidRPr="009D53C4" w:rsidTr="006E390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697BED" w:rsidRPr="00FE4491" w:rsidRDefault="00697BED" w:rsidP="00E15678">
            <w:pPr>
              <w:pStyle w:val="TableTextEntries"/>
            </w:pPr>
            <w:r w:rsidRPr="00515979">
              <w:t>North East Local Services Improvement Project (NELSIP)</w:t>
            </w:r>
          </w:p>
        </w:tc>
        <w:tc>
          <w:tcPr>
            <w:tcW w:w="658" w:type="pct"/>
            <w:vMerge w:val="restart"/>
          </w:tcPr>
          <w:p w:rsidR="00697BED" w:rsidRPr="00515979" w:rsidRDefault="00697BED" w:rsidP="00697BED">
            <w:pPr>
              <w:pStyle w:val="TableTextEntries"/>
              <w:rPr>
                <w:b/>
              </w:rPr>
            </w:pPr>
            <w:r w:rsidRPr="00515979">
              <w:t>$25.37 million</w:t>
            </w:r>
          </w:p>
          <w:p w:rsidR="00697BED" w:rsidRPr="00515979" w:rsidRDefault="00697BED" w:rsidP="00697BED">
            <w:pPr>
              <w:pStyle w:val="TableTextEntries"/>
              <w:rPr>
                <w:b/>
              </w:rPr>
            </w:pPr>
            <w:r w:rsidRPr="00515979">
              <w:t>(2010/11 – 2015/16)</w:t>
            </w:r>
          </w:p>
        </w:tc>
        <w:tc>
          <w:tcPr>
            <w:tcW w:w="416" w:type="pct"/>
          </w:tcPr>
          <w:p w:rsidR="00697BED" w:rsidRPr="00FE4491" w:rsidRDefault="00697BED" w:rsidP="00E15678">
            <w:pPr>
              <w:pStyle w:val="TableTextEntries"/>
            </w:pPr>
            <w:r w:rsidRPr="00FE4491">
              <w:t>201</w:t>
            </w:r>
            <w:r>
              <w:t>4 AQC</w:t>
            </w:r>
          </w:p>
        </w:tc>
        <w:tc>
          <w:tcPr>
            <w:tcW w:w="418" w:type="pct"/>
            <w:shd w:val="clear" w:color="auto" w:fill="72AF2F"/>
            <w:noWrap/>
          </w:tcPr>
          <w:p w:rsidR="00697BED" w:rsidRPr="00FE4491" w:rsidRDefault="00697BED" w:rsidP="00E15678">
            <w:pPr>
              <w:pStyle w:val="TableTextEntries"/>
              <w:jc w:val="center"/>
            </w:pPr>
            <w:r w:rsidRPr="00FE4491">
              <w:t>5</w:t>
            </w:r>
          </w:p>
        </w:tc>
        <w:tc>
          <w:tcPr>
            <w:tcW w:w="415" w:type="pct"/>
            <w:shd w:val="clear" w:color="auto" w:fill="FFFF00"/>
            <w:noWrap/>
          </w:tcPr>
          <w:p w:rsidR="00697BED" w:rsidRPr="00FE4491" w:rsidRDefault="007B2396" w:rsidP="007B2396">
            <w:pPr>
              <w:pStyle w:val="TableTextEntries"/>
              <w:tabs>
                <w:tab w:val="left" w:pos="389"/>
                <w:tab w:val="center" w:pos="470"/>
              </w:tabs>
            </w:pPr>
            <w:r>
              <w:tab/>
            </w:r>
            <w:r>
              <w:tab/>
              <w:t>4</w:t>
            </w:r>
          </w:p>
        </w:tc>
        <w:tc>
          <w:tcPr>
            <w:tcW w:w="418" w:type="pct"/>
            <w:shd w:val="clear" w:color="auto" w:fill="FFFF00"/>
            <w:noWrap/>
          </w:tcPr>
          <w:p w:rsidR="00697BED" w:rsidRPr="00FE4491" w:rsidRDefault="00697BED" w:rsidP="00E15678">
            <w:pPr>
              <w:pStyle w:val="TableTextEntries"/>
              <w:jc w:val="center"/>
            </w:pPr>
            <w:r w:rsidRPr="00FE4491">
              <w:t>4</w:t>
            </w:r>
          </w:p>
        </w:tc>
        <w:tc>
          <w:tcPr>
            <w:tcW w:w="415" w:type="pct"/>
            <w:shd w:val="clear" w:color="auto" w:fill="FFFF00"/>
            <w:noWrap/>
          </w:tcPr>
          <w:p w:rsidR="00697BED" w:rsidRPr="00FE4491" w:rsidRDefault="007B2396" w:rsidP="00E15678">
            <w:pPr>
              <w:pStyle w:val="TableTextEntries"/>
              <w:jc w:val="center"/>
            </w:pPr>
            <w:r>
              <w:t>4</w:t>
            </w:r>
          </w:p>
        </w:tc>
        <w:tc>
          <w:tcPr>
            <w:tcW w:w="418" w:type="pct"/>
            <w:shd w:val="clear" w:color="auto" w:fill="72AF2F"/>
            <w:noWrap/>
          </w:tcPr>
          <w:p w:rsidR="00697BED" w:rsidRPr="00FE4491" w:rsidRDefault="003C0750" w:rsidP="00E15678">
            <w:pPr>
              <w:pStyle w:val="TableTextEntries"/>
              <w:jc w:val="center"/>
            </w:pPr>
            <w:r>
              <w:t>5</w:t>
            </w:r>
          </w:p>
        </w:tc>
        <w:tc>
          <w:tcPr>
            <w:tcW w:w="415" w:type="pct"/>
            <w:shd w:val="clear" w:color="auto" w:fill="F79646"/>
            <w:noWrap/>
          </w:tcPr>
          <w:p w:rsidR="00697BED" w:rsidRPr="00FE4491" w:rsidRDefault="003C0750" w:rsidP="00E15678">
            <w:pPr>
              <w:pStyle w:val="TableTextEntries"/>
              <w:jc w:val="center"/>
            </w:pPr>
            <w:r>
              <w:t>3</w:t>
            </w:r>
          </w:p>
        </w:tc>
        <w:tc>
          <w:tcPr>
            <w:tcW w:w="412" w:type="pct"/>
            <w:shd w:val="clear" w:color="auto" w:fill="FFFF00"/>
          </w:tcPr>
          <w:p w:rsidR="00697BED" w:rsidRDefault="00697BED" w:rsidP="00E15678">
            <w:pPr>
              <w:pStyle w:val="TableTextEntries"/>
              <w:jc w:val="center"/>
            </w:pPr>
            <w:r>
              <w:t>4</w:t>
            </w:r>
          </w:p>
        </w:tc>
      </w:tr>
      <w:tr w:rsidR="00697BED" w:rsidRPr="009D53C4" w:rsidTr="006E390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697BED" w:rsidRPr="00FE4491" w:rsidRDefault="00697BED" w:rsidP="00E15678">
            <w:pPr>
              <w:pStyle w:val="TableTextEntries"/>
            </w:pPr>
          </w:p>
        </w:tc>
        <w:tc>
          <w:tcPr>
            <w:tcW w:w="658" w:type="pct"/>
            <w:vMerge/>
          </w:tcPr>
          <w:p w:rsidR="00697BED" w:rsidRPr="00FE4491" w:rsidRDefault="00697BED" w:rsidP="00E15678">
            <w:pPr>
              <w:pStyle w:val="TableTextEntries"/>
            </w:pPr>
          </w:p>
        </w:tc>
        <w:tc>
          <w:tcPr>
            <w:tcW w:w="416" w:type="pct"/>
          </w:tcPr>
          <w:p w:rsidR="00697BED" w:rsidRPr="00FE4491" w:rsidRDefault="00697BED" w:rsidP="00E15678">
            <w:pPr>
              <w:pStyle w:val="TableTextEntries"/>
            </w:pPr>
            <w:r w:rsidRPr="00FE4491">
              <w:t>201</w:t>
            </w:r>
            <w:r>
              <w:t>3 QAI</w:t>
            </w:r>
          </w:p>
        </w:tc>
        <w:tc>
          <w:tcPr>
            <w:tcW w:w="418" w:type="pct"/>
            <w:shd w:val="clear" w:color="auto" w:fill="74B32F"/>
            <w:noWrap/>
          </w:tcPr>
          <w:p w:rsidR="00697BED" w:rsidRPr="00FE4491" w:rsidRDefault="00697BED" w:rsidP="00E15678">
            <w:pPr>
              <w:pStyle w:val="TableTextEntries"/>
              <w:jc w:val="center"/>
            </w:pPr>
            <w:r>
              <w:t>5</w:t>
            </w:r>
          </w:p>
        </w:tc>
        <w:tc>
          <w:tcPr>
            <w:tcW w:w="415" w:type="pct"/>
            <w:shd w:val="clear" w:color="auto" w:fill="F79646"/>
            <w:noWrap/>
          </w:tcPr>
          <w:p w:rsidR="00697BED" w:rsidRPr="00FE4491" w:rsidRDefault="00697BED" w:rsidP="00E15678">
            <w:pPr>
              <w:pStyle w:val="TableTextEntries"/>
              <w:jc w:val="center"/>
            </w:pPr>
            <w:r>
              <w:t>3</w:t>
            </w:r>
          </w:p>
        </w:tc>
        <w:tc>
          <w:tcPr>
            <w:tcW w:w="418" w:type="pct"/>
            <w:shd w:val="clear" w:color="auto" w:fill="FF0000"/>
            <w:noWrap/>
          </w:tcPr>
          <w:p w:rsidR="00697BED" w:rsidRPr="00FE4491" w:rsidRDefault="00697BED" w:rsidP="00E15678">
            <w:pPr>
              <w:pStyle w:val="TableTextEntries"/>
              <w:jc w:val="center"/>
            </w:pPr>
            <w:r>
              <w:t>2</w:t>
            </w:r>
          </w:p>
        </w:tc>
        <w:tc>
          <w:tcPr>
            <w:tcW w:w="415" w:type="pct"/>
            <w:shd w:val="clear" w:color="auto" w:fill="FFFF00"/>
            <w:noWrap/>
          </w:tcPr>
          <w:p w:rsidR="00697BED" w:rsidRPr="00FE4491" w:rsidRDefault="00697BED" w:rsidP="00E15678">
            <w:pPr>
              <w:pStyle w:val="TableTextEntries"/>
              <w:jc w:val="center"/>
            </w:pPr>
            <w:r>
              <w:t>4</w:t>
            </w:r>
          </w:p>
        </w:tc>
        <w:tc>
          <w:tcPr>
            <w:tcW w:w="418" w:type="pct"/>
            <w:shd w:val="clear" w:color="auto" w:fill="FFFF00"/>
            <w:noWrap/>
          </w:tcPr>
          <w:p w:rsidR="00697BED" w:rsidRPr="00FE4491" w:rsidRDefault="00697BED" w:rsidP="00E15678">
            <w:pPr>
              <w:pStyle w:val="TableTextEntries"/>
              <w:jc w:val="center"/>
            </w:pPr>
            <w:r>
              <w:t>4</w:t>
            </w:r>
          </w:p>
        </w:tc>
        <w:tc>
          <w:tcPr>
            <w:tcW w:w="415" w:type="pct"/>
            <w:shd w:val="clear" w:color="auto" w:fill="F79646"/>
            <w:noWrap/>
          </w:tcPr>
          <w:p w:rsidR="00697BED" w:rsidRPr="00FE4491" w:rsidRDefault="00697BED" w:rsidP="00E15678">
            <w:pPr>
              <w:pStyle w:val="TableTextEntries"/>
              <w:jc w:val="center"/>
            </w:pPr>
            <w:r>
              <w:t>3</w:t>
            </w:r>
          </w:p>
        </w:tc>
        <w:tc>
          <w:tcPr>
            <w:tcW w:w="412" w:type="pct"/>
          </w:tcPr>
          <w:p w:rsidR="00697BED" w:rsidRPr="00FE4491" w:rsidRDefault="00697BED" w:rsidP="00E15678">
            <w:pPr>
              <w:pStyle w:val="TableTextEntries"/>
              <w:jc w:val="center"/>
            </w:pPr>
            <w:r>
              <w:t>n/a</w:t>
            </w:r>
          </w:p>
        </w:tc>
      </w:tr>
      <w:tr w:rsidR="00B0128D"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0128D" w:rsidRPr="00515979" w:rsidRDefault="00B0128D" w:rsidP="00B0128D">
            <w:pPr>
              <w:pStyle w:val="TableTextEntries"/>
              <w:rPr>
                <w:b/>
              </w:rPr>
            </w:pPr>
            <w:r w:rsidRPr="00515979">
              <w:t>Transforming Schools Education Project (TSEP)</w:t>
            </w:r>
          </w:p>
        </w:tc>
        <w:tc>
          <w:tcPr>
            <w:tcW w:w="658" w:type="pct"/>
            <w:vMerge w:val="restart"/>
          </w:tcPr>
          <w:p w:rsidR="00B0128D" w:rsidRPr="00515979" w:rsidRDefault="00B0128D" w:rsidP="00B0128D">
            <w:pPr>
              <w:pStyle w:val="TableTextEntries"/>
              <w:rPr>
                <w:b/>
              </w:rPr>
            </w:pPr>
            <w:r w:rsidRPr="00515979">
              <w:t>$37 million</w:t>
            </w:r>
          </w:p>
          <w:p w:rsidR="00B0128D" w:rsidRPr="00515979" w:rsidRDefault="00B0128D" w:rsidP="00B0128D">
            <w:pPr>
              <w:pStyle w:val="TableTextEntries"/>
              <w:rPr>
                <w:b/>
              </w:rPr>
            </w:pPr>
            <w:r w:rsidRPr="00515979">
              <w:t>(2011/12 – 2015/16)</w:t>
            </w:r>
          </w:p>
        </w:tc>
        <w:tc>
          <w:tcPr>
            <w:tcW w:w="416" w:type="pct"/>
          </w:tcPr>
          <w:p w:rsidR="00B0128D" w:rsidRPr="00FE4491" w:rsidRDefault="00B0128D" w:rsidP="00E15678">
            <w:pPr>
              <w:pStyle w:val="TableTextEntries"/>
            </w:pPr>
            <w:r w:rsidRPr="00FE4491">
              <w:t>201</w:t>
            </w:r>
            <w:r>
              <w:t>4 AQC</w:t>
            </w:r>
          </w:p>
        </w:tc>
        <w:tc>
          <w:tcPr>
            <w:tcW w:w="418" w:type="pct"/>
            <w:shd w:val="clear" w:color="auto" w:fill="74B32F"/>
            <w:noWrap/>
          </w:tcPr>
          <w:p w:rsidR="00B0128D" w:rsidRPr="00FE4491" w:rsidRDefault="003C0750" w:rsidP="00E15678">
            <w:pPr>
              <w:pStyle w:val="TableTextEntries"/>
              <w:jc w:val="center"/>
            </w:pPr>
            <w:r>
              <w:t>5</w:t>
            </w:r>
          </w:p>
        </w:tc>
        <w:tc>
          <w:tcPr>
            <w:tcW w:w="415" w:type="pct"/>
            <w:shd w:val="clear" w:color="auto" w:fill="74B32F"/>
            <w:noWrap/>
          </w:tcPr>
          <w:p w:rsidR="00B0128D" w:rsidRPr="00FE4491" w:rsidRDefault="003C0750" w:rsidP="00E15678">
            <w:pPr>
              <w:pStyle w:val="TableTextEntries"/>
              <w:jc w:val="center"/>
            </w:pPr>
            <w:r>
              <w:t>5</w:t>
            </w:r>
          </w:p>
        </w:tc>
        <w:tc>
          <w:tcPr>
            <w:tcW w:w="418" w:type="pct"/>
            <w:shd w:val="clear" w:color="auto" w:fill="FFFF00"/>
            <w:noWrap/>
          </w:tcPr>
          <w:p w:rsidR="00B0128D" w:rsidRPr="00FE4491" w:rsidRDefault="003C0750" w:rsidP="00E15678">
            <w:pPr>
              <w:pStyle w:val="TableTextEntries"/>
              <w:jc w:val="center"/>
            </w:pPr>
            <w:r>
              <w:t>4</w:t>
            </w:r>
          </w:p>
        </w:tc>
        <w:tc>
          <w:tcPr>
            <w:tcW w:w="415" w:type="pct"/>
            <w:shd w:val="clear" w:color="auto" w:fill="74B32F"/>
            <w:noWrap/>
          </w:tcPr>
          <w:p w:rsidR="00B0128D" w:rsidRPr="00FE4491" w:rsidRDefault="003C0750" w:rsidP="00E15678">
            <w:pPr>
              <w:pStyle w:val="TableTextEntries"/>
              <w:jc w:val="center"/>
            </w:pPr>
            <w:r>
              <w:t>5</w:t>
            </w:r>
          </w:p>
        </w:tc>
        <w:tc>
          <w:tcPr>
            <w:tcW w:w="418" w:type="pct"/>
            <w:shd w:val="clear" w:color="auto" w:fill="74B32F"/>
            <w:noWrap/>
          </w:tcPr>
          <w:p w:rsidR="00B0128D" w:rsidRPr="00FE4491" w:rsidRDefault="003C0750" w:rsidP="00E15678">
            <w:pPr>
              <w:pStyle w:val="TableTextEntries"/>
              <w:jc w:val="center"/>
            </w:pPr>
            <w:r>
              <w:t>5</w:t>
            </w:r>
          </w:p>
        </w:tc>
        <w:tc>
          <w:tcPr>
            <w:tcW w:w="415" w:type="pct"/>
            <w:shd w:val="clear" w:color="auto" w:fill="FFFF00"/>
            <w:noWrap/>
          </w:tcPr>
          <w:p w:rsidR="00B0128D" w:rsidRPr="00FE4491" w:rsidRDefault="003C0750" w:rsidP="00E15678">
            <w:pPr>
              <w:pStyle w:val="TableTextEntries"/>
              <w:jc w:val="center"/>
            </w:pPr>
            <w:r>
              <w:t>4</w:t>
            </w:r>
          </w:p>
        </w:tc>
        <w:tc>
          <w:tcPr>
            <w:tcW w:w="412" w:type="pct"/>
            <w:shd w:val="clear" w:color="auto" w:fill="74B32F"/>
          </w:tcPr>
          <w:p w:rsidR="00B0128D" w:rsidRPr="00FE4491" w:rsidRDefault="003C0750" w:rsidP="00E15678">
            <w:pPr>
              <w:pStyle w:val="TableTextEntries"/>
              <w:jc w:val="center"/>
            </w:pPr>
            <w:r>
              <w:t>5</w:t>
            </w:r>
          </w:p>
        </w:tc>
      </w:tr>
      <w:tr w:rsidR="00B0128D"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0128D" w:rsidRPr="00FE4491" w:rsidRDefault="00B0128D" w:rsidP="00E15678">
            <w:pPr>
              <w:pStyle w:val="TableTextEntries"/>
            </w:pPr>
          </w:p>
        </w:tc>
        <w:tc>
          <w:tcPr>
            <w:tcW w:w="658" w:type="pct"/>
            <w:vMerge/>
          </w:tcPr>
          <w:p w:rsidR="00B0128D" w:rsidRPr="00FE4491" w:rsidRDefault="00B0128D" w:rsidP="00E15678">
            <w:pPr>
              <w:pStyle w:val="TableTextEntries"/>
            </w:pPr>
          </w:p>
        </w:tc>
        <w:tc>
          <w:tcPr>
            <w:tcW w:w="416" w:type="pct"/>
          </w:tcPr>
          <w:p w:rsidR="00B0128D" w:rsidRPr="00FE4491" w:rsidRDefault="00B0128D" w:rsidP="00E15678">
            <w:pPr>
              <w:pStyle w:val="TableTextEntries"/>
            </w:pPr>
            <w:r w:rsidRPr="00FE4491">
              <w:t>201</w:t>
            </w:r>
            <w:r>
              <w:t>3 QAI</w:t>
            </w:r>
          </w:p>
        </w:tc>
        <w:tc>
          <w:tcPr>
            <w:tcW w:w="418" w:type="pct"/>
            <w:shd w:val="clear" w:color="auto" w:fill="74B32F"/>
            <w:noWrap/>
          </w:tcPr>
          <w:p w:rsidR="00B0128D" w:rsidRPr="00FE4491" w:rsidRDefault="00B0128D" w:rsidP="00E15678">
            <w:pPr>
              <w:pStyle w:val="TableTextEntries"/>
              <w:jc w:val="center"/>
            </w:pPr>
            <w:r>
              <w:t>5</w:t>
            </w:r>
          </w:p>
        </w:tc>
        <w:tc>
          <w:tcPr>
            <w:tcW w:w="415" w:type="pct"/>
            <w:shd w:val="clear" w:color="auto" w:fill="FFFF00"/>
            <w:noWrap/>
          </w:tcPr>
          <w:p w:rsidR="00B0128D" w:rsidRPr="00FE4491" w:rsidRDefault="00B0128D" w:rsidP="00E15678">
            <w:pPr>
              <w:pStyle w:val="TableTextEntries"/>
              <w:jc w:val="center"/>
            </w:pPr>
            <w:r>
              <w:t>4</w:t>
            </w:r>
          </w:p>
        </w:tc>
        <w:tc>
          <w:tcPr>
            <w:tcW w:w="418" w:type="pct"/>
            <w:shd w:val="clear" w:color="auto" w:fill="FFFF00"/>
            <w:noWrap/>
          </w:tcPr>
          <w:p w:rsidR="00B0128D" w:rsidRPr="00FE4491" w:rsidRDefault="00B0128D" w:rsidP="00E15678">
            <w:pPr>
              <w:pStyle w:val="TableTextEntries"/>
              <w:jc w:val="center"/>
            </w:pPr>
            <w:r>
              <w:t>4</w:t>
            </w:r>
          </w:p>
        </w:tc>
        <w:tc>
          <w:tcPr>
            <w:tcW w:w="415" w:type="pct"/>
            <w:shd w:val="clear" w:color="auto" w:fill="74B32F"/>
            <w:noWrap/>
          </w:tcPr>
          <w:p w:rsidR="00B0128D" w:rsidRPr="00FE4491" w:rsidRDefault="00B0128D" w:rsidP="00E15678">
            <w:pPr>
              <w:pStyle w:val="TableTextEntries"/>
              <w:jc w:val="center"/>
            </w:pPr>
            <w:r>
              <w:t>5</w:t>
            </w:r>
          </w:p>
        </w:tc>
        <w:tc>
          <w:tcPr>
            <w:tcW w:w="418" w:type="pct"/>
            <w:shd w:val="clear" w:color="auto" w:fill="74B32F"/>
            <w:noWrap/>
          </w:tcPr>
          <w:p w:rsidR="00B0128D" w:rsidRPr="00FE4491" w:rsidRDefault="00B0128D" w:rsidP="00E15678">
            <w:pPr>
              <w:pStyle w:val="TableTextEntries"/>
              <w:jc w:val="center"/>
            </w:pPr>
            <w:r>
              <w:t>5</w:t>
            </w:r>
          </w:p>
        </w:tc>
        <w:tc>
          <w:tcPr>
            <w:tcW w:w="415" w:type="pct"/>
            <w:shd w:val="clear" w:color="auto" w:fill="FFFF00"/>
            <w:noWrap/>
          </w:tcPr>
          <w:p w:rsidR="00B0128D" w:rsidRPr="00FE4491" w:rsidRDefault="00B0128D" w:rsidP="00E15678">
            <w:pPr>
              <w:pStyle w:val="TableTextEntries"/>
              <w:jc w:val="center"/>
            </w:pPr>
            <w:r>
              <w:t>4</w:t>
            </w:r>
          </w:p>
        </w:tc>
        <w:tc>
          <w:tcPr>
            <w:tcW w:w="412" w:type="pct"/>
          </w:tcPr>
          <w:p w:rsidR="00B0128D" w:rsidRPr="00FE4491" w:rsidRDefault="00B0128D" w:rsidP="00E15678">
            <w:pPr>
              <w:pStyle w:val="TableTextEntries"/>
              <w:jc w:val="center"/>
            </w:pPr>
            <w:r>
              <w:t>n/a</w:t>
            </w:r>
          </w:p>
        </w:tc>
      </w:tr>
      <w:tr w:rsidR="00B0128D"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0128D" w:rsidRPr="00515979" w:rsidRDefault="00B0128D" w:rsidP="00B0128D">
            <w:pPr>
              <w:pStyle w:val="TableTextEntries"/>
              <w:rPr>
                <w:b/>
              </w:rPr>
            </w:pPr>
            <w:r w:rsidRPr="00515979">
              <w:t>Australian Community Rehabilitation Program (ACRP) Phase 3</w:t>
            </w:r>
          </w:p>
        </w:tc>
        <w:tc>
          <w:tcPr>
            <w:tcW w:w="658" w:type="pct"/>
            <w:vMerge w:val="restart"/>
          </w:tcPr>
          <w:p w:rsidR="00B0128D" w:rsidRPr="00515979" w:rsidRDefault="00B0128D" w:rsidP="00B0128D">
            <w:pPr>
              <w:pStyle w:val="TableTextEntries"/>
              <w:rPr>
                <w:b/>
              </w:rPr>
            </w:pPr>
            <w:r w:rsidRPr="00515979">
              <w:t xml:space="preserve">$45 million </w:t>
            </w:r>
          </w:p>
          <w:p w:rsidR="00B0128D" w:rsidRPr="00515979" w:rsidRDefault="00B0128D" w:rsidP="00B0128D">
            <w:pPr>
              <w:pStyle w:val="TableTextEntries"/>
              <w:rPr>
                <w:b/>
              </w:rPr>
            </w:pPr>
            <w:r w:rsidRPr="00515979">
              <w:t>(2009/10 – 2014/15)</w:t>
            </w:r>
          </w:p>
        </w:tc>
        <w:tc>
          <w:tcPr>
            <w:tcW w:w="416" w:type="pct"/>
          </w:tcPr>
          <w:p w:rsidR="00B0128D" w:rsidRPr="00FE4491" w:rsidRDefault="00B0128D" w:rsidP="00B0128D">
            <w:pPr>
              <w:pStyle w:val="TableTextEntries"/>
            </w:pPr>
            <w:r w:rsidRPr="00FE4491">
              <w:t>201</w:t>
            </w:r>
            <w:r>
              <w:t>4 AQC</w:t>
            </w:r>
          </w:p>
        </w:tc>
        <w:tc>
          <w:tcPr>
            <w:tcW w:w="418" w:type="pct"/>
            <w:shd w:val="clear" w:color="auto" w:fill="74B32F"/>
            <w:noWrap/>
          </w:tcPr>
          <w:p w:rsidR="00B0128D" w:rsidRDefault="003C0750" w:rsidP="00E15678">
            <w:pPr>
              <w:pStyle w:val="TableTextEntries"/>
              <w:jc w:val="center"/>
            </w:pPr>
            <w:r>
              <w:t>6</w:t>
            </w:r>
          </w:p>
        </w:tc>
        <w:tc>
          <w:tcPr>
            <w:tcW w:w="415" w:type="pct"/>
            <w:shd w:val="clear" w:color="auto" w:fill="74B32F"/>
            <w:noWrap/>
          </w:tcPr>
          <w:p w:rsidR="00B0128D" w:rsidRDefault="003C0750" w:rsidP="00E15678">
            <w:pPr>
              <w:pStyle w:val="TableTextEntries"/>
              <w:jc w:val="center"/>
            </w:pPr>
            <w:r>
              <w:t>5</w:t>
            </w:r>
          </w:p>
        </w:tc>
        <w:tc>
          <w:tcPr>
            <w:tcW w:w="418" w:type="pct"/>
            <w:shd w:val="clear" w:color="auto" w:fill="74B32F"/>
            <w:noWrap/>
          </w:tcPr>
          <w:p w:rsidR="00B0128D" w:rsidRDefault="003C0750" w:rsidP="00E15678">
            <w:pPr>
              <w:pStyle w:val="TableTextEntries"/>
              <w:jc w:val="center"/>
            </w:pPr>
            <w:r>
              <w:t>5</w:t>
            </w:r>
          </w:p>
        </w:tc>
        <w:tc>
          <w:tcPr>
            <w:tcW w:w="415" w:type="pct"/>
            <w:shd w:val="clear" w:color="auto" w:fill="74B32F"/>
            <w:noWrap/>
          </w:tcPr>
          <w:p w:rsidR="00B0128D" w:rsidRDefault="003C0750" w:rsidP="00E15678">
            <w:pPr>
              <w:pStyle w:val="TableTextEntries"/>
              <w:jc w:val="center"/>
            </w:pPr>
            <w:r>
              <w:t>5</w:t>
            </w:r>
          </w:p>
        </w:tc>
        <w:tc>
          <w:tcPr>
            <w:tcW w:w="418" w:type="pct"/>
            <w:shd w:val="clear" w:color="auto" w:fill="74B32F"/>
            <w:noWrap/>
          </w:tcPr>
          <w:p w:rsidR="00B0128D" w:rsidRDefault="003C0750" w:rsidP="00E15678">
            <w:pPr>
              <w:pStyle w:val="TableTextEntries"/>
              <w:jc w:val="center"/>
            </w:pPr>
            <w:r>
              <w:t>5</w:t>
            </w:r>
          </w:p>
        </w:tc>
        <w:tc>
          <w:tcPr>
            <w:tcW w:w="415" w:type="pct"/>
            <w:shd w:val="clear" w:color="auto" w:fill="74B32F"/>
            <w:noWrap/>
          </w:tcPr>
          <w:p w:rsidR="00B0128D" w:rsidRDefault="003C0750" w:rsidP="00E15678">
            <w:pPr>
              <w:pStyle w:val="TableTextEntries"/>
              <w:jc w:val="center"/>
            </w:pPr>
            <w:r>
              <w:t>5</w:t>
            </w:r>
          </w:p>
        </w:tc>
        <w:tc>
          <w:tcPr>
            <w:tcW w:w="412" w:type="pct"/>
            <w:shd w:val="clear" w:color="auto" w:fill="74B32F"/>
          </w:tcPr>
          <w:p w:rsidR="00B0128D" w:rsidRDefault="003C0750" w:rsidP="00E15678">
            <w:pPr>
              <w:pStyle w:val="TableTextEntries"/>
              <w:jc w:val="center"/>
            </w:pPr>
            <w:r>
              <w:t>5</w:t>
            </w:r>
          </w:p>
        </w:tc>
      </w:tr>
      <w:tr w:rsidR="00B0128D"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0128D" w:rsidRPr="00FE4491" w:rsidRDefault="00B0128D" w:rsidP="00E15678">
            <w:pPr>
              <w:pStyle w:val="TableTextEntries"/>
            </w:pPr>
          </w:p>
        </w:tc>
        <w:tc>
          <w:tcPr>
            <w:tcW w:w="658" w:type="pct"/>
            <w:vMerge/>
          </w:tcPr>
          <w:p w:rsidR="00B0128D" w:rsidRPr="00FE4491" w:rsidRDefault="00B0128D" w:rsidP="00E15678">
            <w:pPr>
              <w:pStyle w:val="TableTextEntries"/>
            </w:pPr>
          </w:p>
        </w:tc>
        <w:tc>
          <w:tcPr>
            <w:tcW w:w="416" w:type="pct"/>
          </w:tcPr>
          <w:p w:rsidR="00B0128D" w:rsidRPr="00FE4491" w:rsidRDefault="00B0128D" w:rsidP="00B0128D">
            <w:pPr>
              <w:pStyle w:val="TableTextEntries"/>
            </w:pPr>
            <w:r w:rsidRPr="00FE4491">
              <w:t>201</w:t>
            </w:r>
            <w:r>
              <w:t>3 QAI</w:t>
            </w:r>
          </w:p>
        </w:tc>
        <w:tc>
          <w:tcPr>
            <w:tcW w:w="418" w:type="pct"/>
            <w:shd w:val="clear" w:color="auto" w:fill="74B32F"/>
            <w:noWrap/>
          </w:tcPr>
          <w:p w:rsidR="00B0128D" w:rsidRDefault="00B0128D" w:rsidP="00E15678">
            <w:pPr>
              <w:pStyle w:val="TableTextEntries"/>
              <w:jc w:val="center"/>
            </w:pPr>
            <w:r>
              <w:t>6</w:t>
            </w:r>
          </w:p>
        </w:tc>
        <w:tc>
          <w:tcPr>
            <w:tcW w:w="415" w:type="pct"/>
            <w:shd w:val="clear" w:color="auto" w:fill="74B32F"/>
            <w:noWrap/>
          </w:tcPr>
          <w:p w:rsidR="00B0128D" w:rsidRDefault="00B0128D" w:rsidP="00E15678">
            <w:pPr>
              <w:pStyle w:val="TableTextEntries"/>
              <w:jc w:val="center"/>
            </w:pPr>
            <w:r>
              <w:t>5</w:t>
            </w:r>
          </w:p>
        </w:tc>
        <w:tc>
          <w:tcPr>
            <w:tcW w:w="418" w:type="pct"/>
            <w:shd w:val="clear" w:color="auto" w:fill="74B32F"/>
            <w:noWrap/>
          </w:tcPr>
          <w:p w:rsidR="00B0128D" w:rsidRDefault="00B0128D" w:rsidP="00E15678">
            <w:pPr>
              <w:pStyle w:val="TableTextEntries"/>
              <w:jc w:val="center"/>
            </w:pPr>
            <w:r>
              <w:t>5</w:t>
            </w:r>
          </w:p>
        </w:tc>
        <w:tc>
          <w:tcPr>
            <w:tcW w:w="415" w:type="pct"/>
            <w:shd w:val="clear" w:color="auto" w:fill="74B32F"/>
            <w:noWrap/>
          </w:tcPr>
          <w:p w:rsidR="00B0128D" w:rsidRDefault="00B0128D" w:rsidP="00E15678">
            <w:pPr>
              <w:pStyle w:val="TableTextEntries"/>
              <w:jc w:val="center"/>
            </w:pPr>
            <w:r>
              <w:t>5</w:t>
            </w:r>
          </w:p>
        </w:tc>
        <w:tc>
          <w:tcPr>
            <w:tcW w:w="418" w:type="pct"/>
            <w:shd w:val="clear" w:color="auto" w:fill="FFFF00"/>
            <w:noWrap/>
          </w:tcPr>
          <w:p w:rsidR="00B0128D" w:rsidRDefault="00B0128D" w:rsidP="00E15678">
            <w:pPr>
              <w:pStyle w:val="TableTextEntries"/>
              <w:jc w:val="center"/>
            </w:pPr>
            <w:r>
              <w:t>4</w:t>
            </w:r>
          </w:p>
        </w:tc>
        <w:tc>
          <w:tcPr>
            <w:tcW w:w="415" w:type="pct"/>
            <w:shd w:val="clear" w:color="auto" w:fill="FFFF00"/>
            <w:noWrap/>
          </w:tcPr>
          <w:p w:rsidR="00B0128D" w:rsidRDefault="00B0128D" w:rsidP="00E15678">
            <w:pPr>
              <w:pStyle w:val="TableTextEntries"/>
              <w:jc w:val="center"/>
            </w:pPr>
            <w:r>
              <w:t>4</w:t>
            </w:r>
          </w:p>
        </w:tc>
        <w:tc>
          <w:tcPr>
            <w:tcW w:w="412" w:type="pct"/>
          </w:tcPr>
          <w:p w:rsidR="00B0128D" w:rsidRPr="00FE4491" w:rsidRDefault="00B0128D" w:rsidP="00B0128D">
            <w:pPr>
              <w:pStyle w:val="TableTextEntries"/>
              <w:jc w:val="center"/>
            </w:pPr>
            <w:r>
              <w:t>n/a</w:t>
            </w:r>
          </w:p>
        </w:tc>
      </w:tr>
      <w:tr w:rsidR="00B0128D"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0128D" w:rsidRPr="00FE4491" w:rsidRDefault="00B0128D" w:rsidP="00E15678">
            <w:pPr>
              <w:pStyle w:val="TableTextEntries"/>
            </w:pPr>
            <w:r w:rsidRPr="00515979">
              <w:t>Sri Lanka Community Forestry Project</w:t>
            </w:r>
          </w:p>
        </w:tc>
        <w:tc>
          <w:tcPr>
            <w:tcW w:w="658" w:type="pct"/>
            <w:vMerge w:val="restart"/>
          </w:tcPr>
          <w:p w:rsidR="00B0128D" w:rsidRPr="00515979" w:rsidRDefault="00B0128D" w:rsidP="00B0128D">
            <w:pPr>
              <w:pStyle w:val="TableTextEntries"/>
              <w:rPr>
                <w:b/>
              </w:rPr>
            </w:pPr>
            <w:r w:rsidRPr="00515979">
              <w:t>$4.97 million</w:t>
            </w:r>
          </w:p>
          <w:p w:rsidR="00B0128D" w:rsidRPr="00515979" w:rsidRDefault="00B0128D" w:rsidP="00B0128D">
            <w:pPr>
              <w:pStyle w:val="TableTextEntries"/>
              <w:rPr>
                <w:b/>
              </w:rPr>
            </w:pPr>
            <w:r w:rsidRPr="00515979">
              <w:t>(2011/12 – 2015/16)</w:t>
            </w:r>
          </w:p>
        </w:tc>
        <w:tc>
          <w:tcPr>
            <w:tcW w:w="416" w:type="pct"/>
          </w:tcPr>
          <w:p w:rsidR="00B0128D" w:rsidRPr="00FE4491" w:rsidRDefault="00B0128D" w:rsidP="00B0128D">
            <w:pPr>
              <w:pStyle w:val="TableTextEntries"/>
            </w:pPr>
            <w:r w:rsidRPr="00FE4491">
              <w:t>201</w:t>
            </w:r>
            <w:r>
              <w:t>4 AQC</w:t>
            </w:r>
          </w:p>
        </w:tc>
        <w:tc>
          <w:tcPr>
            <w:tcW w:w="418" w:type="pct"/>
            <w:shd w:val="clear" w:color="auto" w:fill="FFFF00"/>
            <w:noWrap/>
          </w:tcPr>
          <w:p w:rsidR="00B0128D" w:rsidRDefault="003C0750" w:rsidP="00E15678">
            <w:pPr>
              <w:pStyle w:val="TableTextEntries"/>
              <w:jc w:val="center"/>
            </w:pPr>
            <w:r>
              <w:t>4</w:t>
            </w:r>
          </w:p>
        </w:tc>
        <w:tc>
          <w:tcPr>
            <w:tcW w:w="415" w:type="pct"/>
            <w:shd w:val="clear" w:color="auto" w:fill="FFFF00"/>
            <w:noWrap/>
          </w:tcPr>
          <w:p w:rsidR="00B0128D" w:rsidRDefault="003C0750" w:rsidP="00E15678">
            <w:pPr>
              <w:pStyle w:val="TableTextEntries"/>
              <w:jc w:val="center"/>
            </w:pPr>
            <w:r>
              <w:t>4</w:t>
            </w:r>
          </w:p>
        </w:tc>
        <w:tc>
          <w:tcPr>
            <w:tcW w:w="418" w:type="pct"/>
            <w:shd w:val="clear" w:color="auto" w:fill="FFFF00"/>
            <w:noWrap/>
          </w:tcPr>
          <w:p w:rsidR="00B0128D" w:rsidRDefault="003C0750" w:rsidP="00E15678">
            <w:pPr>
              <w:pStyle w:val="TableTextEntries"/>
              <w:jc w:val="center"/>
            </w:pPr>
            <w:r>
              <w:t>4</w:t>
            </w:r>
          </w:p>
        </w:tc>
        <w:tc>
          <w:tcPr>
            <w:tcW w:w="415" w:type="pct"/>
            <w:shd w:val="clear" w:color="auto" w:fill="FFFF00"/>
            <w:noWrap/>
          </w:tcPr>
          <w:p w:rsidR="00B0128D" w:rsidRDefault="003C0750" w:rsidP="00E15678">
            <w:pPr>
              <w:pStyle w:val="TableTextEntries"/>
              <w:jc w:val="center"/>
            </w:pPr>
            <w:r>
              <w:t>4</w:t>
            </w:r>
          </w:p>
        </w:tc>
        <w:tc>
          <w:tcPr>
            <w:tcW w:w="418" w:type="pct"/>
            <w:shd w:val="clear" w:color="auto" w:fill="FFFF00"/>
            <w:noWrap/>
          </w:tcPr>
          <w:p w:rsidR="00B0128D" w:rsidRDefault="003C0750" w:rsidP="00E15678">
            <w:pPr>
              <w:pStyle w:val="TableTextEntries"/>
              <w:jc w:val="center"/>
            </w:pPr>
            <w:r>
              <w:t>4</w:t>
            </w:r>
          </w:p>
        </w:tc>
        <w:tc>
          <w:tcPr>
            <w:tcW w:w="415" w:type="pct"/>
            <w:shd w:val="clear" w:color="auto" w:fill="FFFF00"/>
            <w:noWrap/>
          </w:tcPr>
          <w:p w:rsidR="00B0128D" w:rsidRDefault="003C0750" w:rsidP="00E15678">
            <w:pPr>
              <w:pStyle w:val="TableTextEntries"/>
              <w:jc w:val="center"/>
            </w:pPr>
            <w:r>
              <w:t>4</w:t>
            </w:r>
          </w:p>
        </w:tc>
        <w:tc>
          <w:tcPr>
            <w:tcW w:w="412" w:type="pct"/>
            <w:shd w:val="clear" w:color="auto" w:fill="FFFF00"/>
          </w:tcPr>
          <w:p w:rsidR="00B0128D" w:rsidRDefault="003C0750" w:rsidP="00E15678">
            <w:pPr>
              <w:pStyle w:val="TableTextEntries"/>
              <w:jc w:val="center"/>
            </w:pPr>
            <w:r>
              <w:t>4</w:t>
            </w:r>
          </w:p>
        </w:tc>
      </w:tr>
      <w:tr w:rsidR="00B0128D" w:rsidRPr="009D53C4" w:rsidTr="006E390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0128D" w:rsidRPr="00FE4491" w:rsidRDefault="00B0128D" w:rsidP="00E15678">
            <w:pPr>
              <w:pStyle w:val="TableTextEntries"/>
            </w:pPr>
          </w:p>
        </w:tc>
        <w:tc>
          <w:tcPr>
            <w:tcW w:w="658" w:type="pct"/>
            <w:vMerge/>
          </w:tcPr>
          <w:p w:rsidR="00B0128D" w:rsidRPr="00FE4491" w:rsidRDefault="00B0128D" w:rsidP="00E15678">
            <w:pPr>
              <w:pStyle w:val="TableTextEntries"/>
            </w:pPr>
          </w:p>
        </w:tc>
        <w:tc>
          <w:tcPr>
            <w:tcW w:w="416" w:type="pct"/>
          </w:tcPr>
          <w:p w:rsidR="00B0128D" w:rsidRPr="00FE4491" w:rsidRDefault="00B0128D" w:rsidP="00B0128D">
            <w:pPr>
              <w:pStyle w:val="TableTextEntries"/>
            </w:pPr>
            <w:r w:rsidRPr="00FE4491">
              <w:t>201</w:t>
            </w:r>
            <w:r>
              <w:t>3 QAI</w:t>
            </w:r>
          </w:p>
        </w:tc>
        <w:tc>
          <w:tcPr>
            <w:tcW w:w="418" w:type="pct"/>
            <w:shd w:val="clear" w:color="auto" w:fill="FFFF00"/>
            <w:noWrap/>
          </w:tcPr>
          <w:p w:rsidR="00B0128D" w:rsidRDefault="00B0128D" w:rsidP="00E15678">
            <w:pPr>
              <w:pStyle w:val="TableTextEntries"/>
              <w:jc w:val="center"/>
            </w:pPr>
            <w:r>
              <w:t>4</w:t>
            </w:r>
          </w:p>
        </w:tc>
        <w:tc>
          <w:tcPr>
            <w:tcW w:w="415" w:type="pct"/>
            <w:shd w:val="clear" w:color="auto" w:fill="F79646"/>
            <w:noWrap/>
          </w:tcPr>
          <w:p w:rsidR="00B0128D" w:rsidRDefault="00B0128D" w:rsidP="00E15678">
            <w:pPr>
              <w:pStyle w:val="TableTextEntries"/>
              <w:jc w:val="center"/>
            </w:pPr>
            <w:r>
              <w:t>3</w:t>
            </w:r>
          </w:p>
        </w:tc>
        <w:tc>
          <w:tcPr>
            <w:tcW w:w="418" w:type="pct"/>
            <w:shd w:val="clear" w:color="auto" w:fill="F79646"/>
            <w:noWrap/>
          </w:tcPr>
          <w:p w:rsidR="00B0128D" w:rsidRDefault="00B0128D" w:rsidP="00E15678">
            <w:pPr>
              <w:pStyle w:val="TableTextEntries"/>
              <w:jc w:val="center"/>
            </w:pPr>
            <w:r>
              <w:t>3</w:t>
            </w:r>
          </w:p>
        </w:tc>
        <w:tc>
          <w:tcPr>
            <w:tcW w:w="415" w:type="pct"/>
            <w:shd w:val="clear" w:color="auto" w:fill="F79646"/>
            <w:noWrap/>
          </w:tcPr>
          <w:p w:rsidR="00B0128D" w:rsidRDefault="00B0128D" w:rsidP="00E15678">
            <w:pPr>
              <w:pStyle w:val="TableTextEntries"/>
              <w:jc w:val="center"/>
            </w:pPr>
            <w:r>
              <w:t>3</w:t>
            </w:r>
          </w:p>
        </w:tc>
        <w:tc>
          <w:tcPr>
            <w:tcW w:w="418" w:type="pct"/>
            <w:shd w:val="clear" w:color="auto" w:fill="FFFF00"/>
            <w:noWrap/>
          </w:tcPr>
          <w:p w:rsidR="00B0128D" w:rsidRDefault="00B0128D" w:rsidP="00E15678">
            <w:pPr>
              <w:pStyle w:val="TableTextEntries"/>
              <w:jc w:val="center"/>
            </w:pPr>
            <w:r>
              <w:t>4</w:t>
            </w:r>
          </w:p>
        </w:tc>
        <w:tc>
          <w:tcPr>
            <w:tcW w:w="415" w:type="pct"/>
            <w:shd w:val="clear" w:color="auto" w:fill="FF0000"/>
            <w:noWrap/>
          </w:tcPr>
          <w:p w:rsidR="00B0128D" w:rsidRDefault="00B0128D" w:rsidP="00E15678">
            <w:pPr>
              <w:pStyle w:val="TableTextEntries"/>
              <w:jc w:val="center"/>
            </w:pPr>
            <w:r>
              <w:t>2</w:t>
            </w:r>
          </w:p>
        </w:tc>
        <w:tc>
          <w:tcPr>
            <w:tcW w:w="412" w:type="pct"/>
          </w:tcPr>
          <w:p w:rsidR="00B0128D" w:rsidRPr="00FE4491" w:rsidRDefault="00B0128D" w:rsidP="00B0128D">
            <w:pPr>
              <w:pStyle w:val="TableTextEntries"/>
              <w:jc w:val="center"/>
            </w:pPr>
            <w:r>
              <w:t>n/a</w:t>
            </w:r>
          </w:p>
        </w:tc>
      </w:tr>
      <w:tr w:rsidR="00CF1674"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CF1674" w:rsidRPr="00FE4491" w:rsidRDefault="00CF1674" w:rsidP="00E15678">
            <w:pPr>
              <w:pStyle w:val="TableTextEntries"/>
            </w:pPr>
            <w:r w:rsidRPr="00CF1674">
              <w:t>Sri Lanka Australia Awards</w:t>
            </w:r>
          </w:p>
        </w:tc>
        <w:tc>
          <w:tcPr>
            <w:tcW w:w="658" w:type="pct"/>
            <w:vMerge w:val="restart"/>
          </w:tcPr>
          <w:p w:rsidR="00CF1674" w:rsidRPr="00515979" w:rsidRDefault="00CF1674" w:rsidP="00CF1674">
            <w:pPr>
              <w:pStyle w:val="TableTextEntries"/>
              <w:rPr>
                <w:b/>
              </w:rPr>
            </w:pPr>
            <w:r w:rsidRPr="008C37CB">
              <w:t>$6.9 million</w:t>
            </w:r>
          </w:p>
          <w:p w:rsidR="00CF1674" w:rsidRPr="00515979" w:rsidRDefault="00CF1674" w:rsidP="00CF1674">
            <w:pPr>
              <w:pStyle w:val="TableTextEntries"/>
              <w:rPr>
                <w:b/>
              </w:rPr>
            </w:pPr>
            <w:r w:rsidRPr="00515979">
              <w:t>(2010/11 – 2014/15)</w:t>
            </w:r>
          </w:p>
        </w:tc>
        <w:tc>
          <w:tcPr>
            <w:tcW w:w="416" w:type="pct"/>
          </w:tcPr>
          <w:p w:rsidR="00CF1674" w:rsidRPr="00FE4491" w:rsidRDefault="00CF1674" w:rsidP="00CF1674">
            <w:pPr>
              <w:pStyle w:val="TableTextEntries"/>
            </w:pPr>
            <w:r w:rsidRPr="00FE4491">
              <w:t>201</w:t>
            </w:r>
            <w:r>
              <w:t>4 AQC</w:t>
            </w:r>
          </w:p>
        </w:tc>
        <w:tc>
          <w:tcPr>
            <w:tcW w:w="418" w:type="pct"/>
            <w:shd w:val="clear" w:color="auto" w:fill="74B32F"/>
            <w:noWrap/>
          </w:tcPr>
          <w:p w:rsidR="00CF1674" w:rsidRDefault="007B2396" w:rsidP="00E15678">
            <w:pPr>
              <w:pStyle w:val="TableTextEntries"/>
              <w:jc w:val="center"/>
            </w:pPr>
            <w:r>
              <w:t>5</w:t>
            </w:r>
          </w:p>
        </w:tc>
        <w:tc>
          <w:tcPr>
            <w:tcW w:w="415" w:type="pct"/>
            <w:shd w:val="clear" w:color="auto" w:fill="74B32F"/>
            <w:noWrap/>
          </w:tcPr>
          <w:p w:rsidR="00CF1674" w:rsidRDefault="007B2396" w:rsidP="00E15678">
            <w:pPr>
              <w:pStyle w:val="TableTextEntries"/>
              <w:jc w:val="center"/>
            </w:pPr>
            <w:r>
              <w:t>5</w:t>
            </w:r>
          </w:p>
        </w:tc>
        <w:tc>
          <w:tcPr>
            <w:tcW w:w="418" w:type="pct"/>
            <w:shd w:val="clear" w:color="auto" w:fill="74B32F"/>
            <w:noWrap/>
          </w:tcPr>
          <w:p w:rsidR="00CF1674" w:rsidRDefault="007B2396" w:rsidP="00E15678">
            <w:pPr>
              <w:pStyle w:val="TableTextEntries"/>
              <w:jc w:val="center"/>
            </w:pPr>
            <w:r>
              <w:t>5</w:t>
            </w:r>
          </w:p>
        </w:tc>
        <w:tc>
          <w:tcPr>
            <w:tcW w:w="415" w:type="pct"/>
            <w:shd w:val="clear" w:color="auto" w:fill="FFFF00"/>
            <w:noWrap/>
          </w:tcPr>
          <w:p w:rsidR="00CF1674" w:rsidRDefault="007B2396" w:rsidP="00E15678">
            <w:pPr>
              <w:pStyle w:val="TableTextEntries"/>
              <w:jc w:val="center"/>
            </w:pPr>
            <w:r>
              <w:t>4</w:t>
            </w:r>
          </w:p>
        </w:tc>
        <w:tc>
          <w:tcPr>
            <w:tcW w:w="418" w:type="pct"/>
            <w:shd w:val="clear" w:color="auto" w:fill="74B32F"/>
            <w:noWrap/>
          </w:tcPr>
          <w:p w:rsidR="00CF1674" w:rsidRDefault="007B2396" w:rsidP="00E15678">
            <w:pPr>
              <w:pStyle w:val="TableTextEntries"/>
              <w:jc w:val="center"/>
            </w:pPr>
            <w:r>
              <w:t>5</w:t>
            </w:r>
          </w:p>
        </w:tc>
        <w:tc>
          <w:tcPr>
            <w:tcW w:w="415" w:type="pct"/>
            <w:shd w:val="clear" w:color="auto" w:fill="74B32F"/>
            <w:noWrap/>
          </w:tcPr>
          <w:p w:rsidR="00CF1674" w:rsidRDefault="007B2396" w:rsidP="00E15678">
            <w:pPr>
              <w:pStyle w:val="TableTextEntries"/>
              <w:jc w:val="center"/>
            </w:pPr>
            <w:r>
              <w:t>5</w:t>
            </w:r>
          </w:p>
        </w:tc>
        <w:tc>
          <w:tcPr>
            <w:tcW w:w="412" w:type="pct"/>
            <w:shd w:val="clear" w:color="auto" w:fill="74B32F"/>
          </w:tcPr>
          <w:p w:rsidR="00CF1674" w:rsidRDefault="007B2396" w:rsidP="00B0128D">
            <w:pPr>
              <w:pStyle w:val="TableTextEntries"/>
              <w:jc w:val="center"/>
            </w:pPr>
            <w:r>
              <w:t>5</w:t>
            </w:r>
          </w:p>
        </w:tc>
      </w:tr>
      <w:tr w:rsidR="00CF1674" w:rsidRPr="009D53C4" w:rsidTr="003C075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CF1674" w:rsidRPr="00FE4491" w:rsidRDefault="00CF1674" w:rsidP="00E15678">
            <w:pPr>
              <w:pStyle w:val="TableTextEntries"/>
            </w:pPr>
          </w:p>
        </w:tc>
        <w:tc>
          <w:tcPr>
            <w:tcW w:w="658" w:type="pct"/>
            <w:vMerge/>
          </w:tcPr>
          <w:p w:rsidR="00CF1674" w:rsidRPr="00FE4491" w:rsidRDefault="00CF1674" w:rsidP="00E15678">
            <w:pPr>
              <w:pStyle w:val="TableTextEntries"/>
            </w:pPr>
          </w:p>
        </w:tc>
        <w:tc>
          <w:tcPr>
            <w:tcW w:w="416" w:type="pct"/>
          </w:tcPr>
          <w:p w:rsidR="00CF1674" w:rsidRPr="00FE4491" w:rsidRDefault="00CF1674" w:rsidP="00CF1674">
            <w:pPr>
              <w:pStyle w:val="TableTextEntries"/>
            </w:pPr>
            <w:r w:rsidRPr="00FE4491">
              <w:t>201</w:t>
            </w:r>
            <w:r>
              <w:t>3 QAI</w:t>
            </w:r>
          </w:p>
        </w:tc>
        <w:tc>
          <w:tcPr>
            <w:tcW w:w="418" w:type="pct"/>
            <w:shd w:val="clear" w:color="auto" w:fill="74B32F"/>
            <w:noWrap/>
          </w:tcPr>
          <w:p w:rsidR="00CF1674" w:rsidRDefault="00CF1674" w:rsidP="00E15678">
            <w:pPr>
              <w:pStyle w:val="TableTextEntries"/>
              <w:jc w:val="center"/>
            </w:pPr>
            <w:r>
              <w:t>5</w:t>
            </w:r>
          </w:p>
        </w:tc>
        <w:tc>
          <w:tcPr>
            <w:tcW w:w="415" w:type="pct"/>
            <w:shd w:val="clear" w:color="auto" w:fill="74B32F"/>
            <w:noWrap/>
          </w:tcPr>
          <w:p w:rsidR="00CF1674" w:rsidRDefault="00CF1674" w:rsidP="00E15678">
            <w:pPr>
              <w:pStyle w:val="TableTextEntries"/>
              <w:jc w:val="center"/>
            </w:pPr>
            <w:r>
              <w:t>5</w:t>
            </w:r>
          </w:p>
        </w:tc>
        <w:tc>
          <w:tcPr>
            <w:tcW w:w="418" w:type="pct"/>
            <w:shd w:val="clear" w:color="auto" w:fill="74B32F"/>
            <w:noWrap/>
          </w:tcPr>
          <w:p w:rsidR="00CF1674" w:rsidRDefault="00CF1674" w:rsidP="00E15678">
            <w:pPr>
              <w:pStyle w:val="TableTextEntries"/>
              <w:jc w:val="center"/>
            </w:pPr>
            <w:r>
              <w:t>5</w:t>
            </w:r>
          </w:p>
        </w:tc>
        <w:tc>
          <w:tcPr>
            <w:tcW w:w="415" w:type="pct"/>
            <w:shd w:val="clear" w:color="auto" w:fill="FFFF00"/>
            <w:noWrap/>
          </w:tcPr>
          <w:p w:rsidR="00CF1674" w:rsidRDefault="00CF1674" w:rsidP="00E15678">
            <w:pPr>
              <w:pStyle w:val="TableTextEntries"/>
              <w:jc w:val="center"/>
            </w:pPr>
            <w:r>
              <w:t>4</w:t>
            </w:r>
          </w:p>
        </w:tc>
        <w:tc>
          <w:tcPr>
            <w:tcW w:w="418" w:type="pct"/>
            <w:shd w:val="clear" w:color="auto" w:fill="74B32F"/>
            <w:noWrap/>
          </w:tcPr>
          <w:p w:rsidR="00CF1674" w:rsidRDefault="00CF1674" w:rsidP="00E15678">
            <w:pPr>
              <w:pStyle w:val="TableTextEntries"/>
              <w:jc w:val="center"/>
            </w:pPr>
            <w:r>
              <w:t>5</w:t>
            </w:r>
          </w:p>
        </w:tc>
        <w:tc>
          <w:tcPr>
            <w:tcW w:w="415" w:type="pct"/>
            <w:shd w:val="clear" w:color="auto" w:fill="74B32F"/>
            <w:noWrap/>
          </w:tcPr>
          <w:p w:rsidR="00CF1674" w:rsidRDefault="00CF1674" w:rsidP="00E15678">
            <w:pPr>
              <w:pStyle w:val="TableTextEntries"/>
              <w:jc w:val="center"/>
            </w:pPr>
            <w:r>
              <w:t>5</w:t>
            </w:r>
          </w:p>
        </w:tc>
        <w:tc>
          <w:tcPr>
            <w:tcW w:w="412" w:type="pct"/>
          </w:tcPr>
          <w:p w:rsidR="00CF1674" w:rsidRPr="00FE4491" w:rsidRDefault="00CF1674" w:rsidP="00CF1674">
            <w:pPr>
              <w:pStyle w:val="TableTextEntries"/>
              <w:jc w:val="center"/>
            </w:pPr>
            <w:r>
              <w:t>n/a</w:t>
            </w:r>
          </w:p>
        </w:tc>
      </w:tr>
    </w:tbl>
    <w:p w:rsidR="00416B02" w:rsidRDefault="00416B02" w:rsidP="00416B02">
      <w:pPr>
        <w:rPr>
          <w:iCs/>
        </w:rPr>
      </w:pPr>
    </w:p>
    <w:p w:rsidR="00416B02" w:rsidRDefault="00416B02" w:rsidP="002E5070">
      <w:pPr>
        <w:pStyle w:val="Heading3"/>
      </w:pPr>
      <w:r>
        <w:lastRenderedPageBreak/>
        <w:t>FAQC ratings</w:t>
      </w:r>
      <w:r w:rsidRPr="00B300DD">
        <w:t xml:space="preserve"> </w:t>
      </w:r>
      <w:r w:rsidR="0057490F" w:rsidRPr="0057490F">
        <w:t>(</w:t>
      </w:r>
      <w:r w:rsidR="0057490F">
        <w:t xml:space="preserve">include </w:t>
      </w:r>
      <w:r w:rsidR="0057490F" w:rsidRPr="0057490F">
        <w:t>if relevant)</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Pr>
      <w:tblGrid>
        <w:gridCol w:w="2564"/>
        <w:gridCol w:w="1863"/>
        <w:gridCol w:w="1190"/>
        <w:gridCol w:w="1187"/>
        <w:gridCol w:w="1190"/>
        <w:gridCol w:w="1187"/>
        <w:gridCol w:w="1190"/>
        <w:gridCol w:w="1187"/>
        <w:gridCol w:w="1189"/>
        <w:gridCol w:w="1190"/>
      </w:tblGrid>
      <w:tr w:rsidR="004A7988" w:rsidRPr="009D53C4" w:rsidTr="007B2396">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A7988" w:rsidRPr="00FE4491" w:rsidRDefault="004A7988" w:rsidP="00E15678">
            <w:pPr>
              <w:pStyle w:val="TableTextColumnHeading"/>
            </w:pPr>
            <w:r w:rsidRPr="00FE4491">
              <w:rPr>
                <w:noProof/>
                <w:lang w:eastAsia="en-AU"/>
              </w:rPr>
              <w:drawing>
                <wp:anchor distT="0" distB="0" distL="114300" distR="114300" simplePos="0" relativeHeight="251673600" behindDoc="0" locked="0" layoutInCell="1" allowOverlap="1" wp14:anchorId="050532B9" wp14:editId="33778F91">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A7988" w:rsidRPr="00FE4491" w:rsidRDefault="004A7988" w:rsidP="00E15678">
            <w:pPr>
              <w:pStyle w:val="TableTextColumnHeading"/>
            </w:pPr>
            <w:r w:rsidRPr="00FE4491">
              <w:t>Approved budget and duration</w:t>
            </w:r>
          </w:p>
        </w:tc>
        <w:tc>
          <w:tcPr>
            <w:tcW w:w="417" w:type="pct"/>
            <w:noWrap/>
            <w:textDirection w:val="btLr"/>
          </w:tcPr>
          <w:p w:rsidR="004A7988" w:rsidRPr="00FE4491" w:rsidRDefault="004A7988" w:rsidP="00E15678">
            <w:pPr>
              <w:pStyle w:val="TableTextColumnHeading"/>
            </w:pPr>
            <w:r>
              <w:t>Overall rating</w:t>
            </w:r>
          </w:p>
        </w:tc>
        <w:tc>
          <w:tcPr>
            <w:tcW w:w="416" w:type="pct"/>
            <w:noWrap/>
            <w:textDirection w:val="btLr"/>
          </w:tcPr>
          <w:p w:rsidR="004A7988" w:rsidRPr="00FE4491" w:rsidRDefault="004A7988" w:rsidP="00E15678">
            <w:pPr>
              <w:pStyle w:val="TableTextColumnHeading"/>
            </w:pPr>
            <w:r w:rsidRPr="00FE4491">
              <w:t>Relevance</w:t>
            </w:r>
          </w:p>
        </w:tc>
        <w:tc>
          <w:tcPr>
            <w:tcW w:w="417" w:type="pct"/>
            <w:noWrap/>
            <w:textDirection w:val="btLr"/>
          </w:tcPr>
          <w:p w:rsidR="004A7988" w:rsidRPr="00FE4491" w:rsidRDefault="004A7988" w:rsidP="00E15678">
            <w:pPr>
              <w:pStyle w:val="TableTextColumnHeading"/>
            </w:pPr>
            <w:r w:rsidRPr="00FE4491">
              <w:t>Effectiveness</w:t>
            </w:r>
          </w:p>
        </w:tc>
        <w:tc>
          <w:tcPr>
            <w:tcW w:w="416" w:type="pct"/>
            <w:noWrap/>
            <w:textDirection w:val="btLr"/>
          </w:tcPr>
          <w:p w:rsidR="004A7988" w:rsidRPr="00FE4491" w:rsidRDefault="004A7988" w:rsidP="00E15678">
            <w:pPr>
              <w:pStyle w:val="TableTextColumnHeading"/>
            </w:pPr>
            <w:r w:rsidRPr="00FE4491">
              <w:t>Efficiency</w:t>
            </w:r>
          </w:p>
        </w:tc>
        <w:tc>
          <w:tcPr>
            <w:tcW w:w="417" w:type="pct"/>
            <w:noWrap/>
            <w:textDirection w:val="btLr"/>
          </w:tcPr>
          <w:p w:rsidR="004A7988" w:rsidRPr="00FE4491" w:rsidRDefault="004A7988" w:rsidP="00E15678">
            <w:pPr>
              <w:pStyle w:val="TableTextColumnHeading"/>
            </w:pPr>
            <w:r w:rsidRPr="00FE4491">
              <w:t>Monitoring and Evaluation</w:t>
            </w:r>
          </w:p>
        </w:tc>
        <w:tc>
          <w:tcPr>
            <w:tcW w:w="416" w:type="pct"/>
            <w:noWrap/>
            <w:textDirection w:val="btLr"/>
          </w:tcPr>
          <w:p w:rsidR="004A7988" w:rsidRPr="00FE4491" w:rsidRDefault="004A7988" w:rsidP="00E15678">
            <w:pPr>
              <w:pStyle w:val="TableTextColumnHeading"/>
            </w:pPr>
            <w:r w:rsidRPr="00FE4491">
              <w:t>Sustainability</w:t>
            </w:r>
          </w:p>
        </w:tc>
        <w:tc>
          <w:tcPr>
            <w:tcW w:w="417" w:type="pct"/>
            <w:textDirection w:val="btLr"/>
          </w:tcPr>
          <w:p w:rsidR="004A7988" w:rsidRPr="00FE4491" w:rsidRDefault="004A7988" w:rsidP="00E15678">
            <w:pPr>
              <w:pStyle w:val="TableTextColumnHeading"/>
            </w:pPr>
            <w:r w:rsidRPr="00FE4491">
              <w:t>Gender equality</w:t>
            </w:r>
          </w:p>
        </w:tc>
        <w:tc>
          <w:tcPr>
            <w:tcW w:w="412" w:type="pct"/>
            <w:textDirection w:val="btLr"/>
          </w:tcPr>
          <w:p w:rsidR="004A7988" w:rsidRPr="00FE4491" w:rsidRDefault="004A7988" w:rsidP="00E15678">
            <w:pPr>
              <w:pStyle w:val="TableTextColumnHeading"/>
            </w:pPr>
            <w:r>
              <w:t>Risks  and Safeguards</w:t>
            </w:r>
          </w:p>
        </w:tc>
      </w:tr>
      <w:tr w:rsidR="007B2396" w:rsidRPr="009D53C4" w:rsidTr="006E3905">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B2396" w:rsidRPr="00515979" w:rsidRDefault="007B2396" w:rsidP="007B2396">
            <w:pPr>
              <w:pStyle w:val="TableTextEntries"/>
              <w:rPr>
                <w:b/>
              </w:rPr>
            </w:pPr>
            <w:r w:rsidRPr="00515979">
              <w:t>Sri Lanka Humanitarian Mine Action</w:t>
            </w:r>
          </w:p>
        </w:tc>
        <w:tc>
          <w:tcPr>
            <w:tcW w:w="658" w:type="pct"/>
          </w:tcPr>
          <w:p w:rsidR="007B2396" w:rsidRPr="00515979" w:rsidRDefault="007B2396" w:rsidP="007B2396">
            <w:pPr>
              <w:pStyle w:val="TableTextEntries"/>
              <w:rPr>
                <w:b/>
              </w:rPr>
            </w:pPr>
            <w:r w:rsidRPr="00515979">
              <w:t>$20 million</w:t>
            </w:r>
          </w:p>
          <w:p w:rsidR="007B2396" w:rsidRPr="00515979" w:rsidRDefault="007B2396" w:rsidP="007B2396">
            <w:pPr>
              <w:pStyle w:val="TableTextEntries"/>
              <w:rPr>
                <w:b/>
              </w:rPr>
            </w:pPr>
            <w:r w:rsidRPr="00515979">
              <w:t>(2009/10 – 2014/15)</w:t>
            </w:r>
          </w:p>
        </w:tc>
        <w:tc>
          <w:tcPr>
            <w:tcW w:w="417" w:type="pct"/>
            <w:shd w:val="clear" w:color="auto" w:fill="74B32F"/>
            <w:noWrap/>
          </w:tcPr>
          <w:p w:rsidR="007B2396" w:rsidRPr="00FE4491" w:rsidRDefault="007B2396" w:rsidP="007B2396">
            <w:pPr>
              <w:pStyle w:val="TableTextEntries"/>
              <w:ind w:left="123"/>
            </w:pPr>
            <w:r>
              <w:t>5</w:t>
            </w:r>
          </w:p>
        </w:tc>
        <w:tc>
          <w:tcPr>
            <w:tcW w:w="416" w:type="pct"/>
            <w:shd w:val="clear" w:color="auto" w:fill="74B32F"/>
            <w:noWrap/>
          </w:tcPr>
          <w:p w:rsidR="007B2396" w:rsidRPr="00FE4491" w:rsidRDefault="007B2396" w:rsidP="007B2396">
            <w:pPr>
              <w:pStyle w:val="TableTextEntries"/>
              <w:ind w:left="123"/>
            </w:pPr>
            <w:r>
              <w:t>5</w:t>
            </w:r>
          </w:p>
        </w:tc>
        <w:tc>
          <w:tcPr>
            <w:tcW w:w="417" w:type="pct"/>
            <w:shd w:val="clear" w:color="auto" w:fill="74B32F"/>
            <w:noWrap/>
          </w:tcPr>
          <w:p w:rsidR="007B2396" w:rsidRPr="00FE4491" w:rsidRDefault="007B2396" w:rsidP="007B2396">
            <w:pPr>
              <w:pStyle w:val="TableTextEntries"/>
              <w:ind w:left="123"/>
            </w:pPr>
            <w:r>
              <w:t>5</w:t>
            </w:r>
          </w:p>
        </w:tc>
        <w:tc>
          <w:tcPr>
            <w:tcW w:w="416" w:type="pct"/>
            <w:shd w:val="clear" w:color="auto" w:fill="74B32F"/>
            <w:noWrap/>
          </w:tcPr>
          <w:p w:rsidR="007B2396" w:rsidRPr="00FE4491" w:rsidRDefault="007B2396" w:rsidP="007B2396">
            <w:pPr>
              <w:pStyle w:val="TableTextEntries"/>
              <w:ind w:left="123"/>
            </w:pPr>
            <w:r>
              <w:t>5</w:t>
            </w:r>
          </w:p>
        </w:tc>
        <w:tc>
          <w:tcPr>
            <w:tcW w:w="417" w:type="pct"/>
            <w:shd w:val="clear" w:color="auto" w:fill="FFFF00"/>
            <w:noWrap/>
          </w:tcPr>
          <w:p w:rsidR="007B2396" w:rsidRPr="00FE4491" w:rsidRDefault="007B2396" w:rsidP="007B2396">
            <w:pPr>
              <w:pStyle w:val="TableTextEntries"/>
              <w:ind w:left="123"/>
            </w:pPr>
            <w:r>
              <w:t>4</w:t>
            </w:r>
          </w:p>
        </w:tc>
        <w:tc>
          <w:tcPr>
            <w:tcW w:w="416" w:type="pct"/>
            <w:shd w:val="clear" w:color="auto" w:fill="72AF2F"/>
            <w:noWrap/>
          </w:tcPr>
          <w:p w:rsidR="007B2396" w:rsidRPr="00FE4491" w:rsidRDefault="007B2396" w:rsidP="007B2396">
            <w:pPr>
              <w:pStyle w:val="TableTextEntries"/>
              <w:ind w:left="123"/>
            </w:pPr>
            <w:r>
              <w:t>5</w:t>
            </w:r>
          </w:p>
        </w:tc>
        <w:tc>
          <w:tcPr>
            <w:tcW w:w="417" w:type="pct"/>
            <w:shd w:val="clear" w:color="auto" w:fill="F79646"/>
          </w:tcPr>
          <w:p w:rsidR="007B2396" w:rsidRPr="00FE4491" w:rsidRDefault="007B2396" w:rsidP="007B2396">
            <w:pPr>
              <w:pStyle w:val="TableTextEntries"/>
              <w:ind w:left="123"/>
            </w:pPr>
            <w:r>
              <w:t>3</w:t>
            </w:r>
          </w:p>
        </w:tc>
        <w:tc>
          <w:tcPr>
            <w:tcW w:w="412" w:type="pct"/>
            <w:shd w:val="clear" w:color="auto" w:fill="FFFF00"/>
          </w:tcPr>
          <w:p w:rsidR="007B2396" w:rsidRPr="00FE4491" w:rsidRDefault="007B2396" w:rsidP="007B2396">
            <w:pPr>
              <w:pStyle w:val="TableTextEntries"/>
              <w:ind w:left="123"/>
            </w:pPr>
            <w:r>
              <w:t>4</w:t>
            </w:r>
          </w:p>
        </w:tc>
      </w:tr>
      <w:tr w:rsidR="007B2396" w:rsidRPr="009D53C4" w:rsidTr="007B2396">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B2396" w:rsidRPr="00FE4491" w:rsidRDefault="007B2396" w:rsidP="00E15678">
            <w:pPr>
              <w:pStyle w:val="TableTextEntries"/>
            </w:pPr>
            <w:r>
              <w:t>Investment 2</w:t>
            </w:r>
          </w:p>
        </w:tc>
        <w:tc>
          <w:tcPr>
            <w:tcW w:w="658" w:type="pct"/>
          </w:tcPr>
          <w:p w:rsidR="007B2396" w:rsidRPr="00FE4491" w:rsidRDefault="007B2396" w:rsidP="00E15678">
            <w:pPr>
              <w:pStyle w:val="TableTextEntries"/>
            </w:pPr>
          </w:p>
        </w:tc>
        <w:tc>
          <w:tcPr>
            <w:tcW w:w="417" w:type="pct"/>
            <w:noWrap/>
          </w:tcPr>
          <w:p w:rsidR="007B2396" w:rsidRPr="00FE4491" w:rsidRDefault="007B2396" w:rsidP="00E15678">
            <w:pPr>
              <w:pStyle w:val="TableTextEntries"/>
              <w:jc w:val="center"/>
            </w:pPr>
          </w:p>
        </w:tc>
        <w:tc>
          <w:tcPr>
            <w:tcW w:w="416" w:type="pct"/>
            <w:noWrap/>
          </w:tcPr>
          <w:p w:rsidR="007B2396" w:rsidRPr="00FE4491" w:rsidRDefault="007B2396" w:rsidP="00E15678">
            <w:pPr>
              <w:pStyle w:val="TableTextEntries"/>
              <w:jc w:val="center"/>
            </w:pPr>
          </w:p>
        </w:tc>
        <w:tc>
          <w:tcPr>
            <w:tcW w:w="417" w:type="pct"/>
            <w:noWrap/>
          </w:tcPr>
          <w:p w:rsidR="007B2396" w:rsidRPr="00FE4491" w:rsidRDefault="007B2396" w:rsidP="00E15678">
            <w:pPr>
              <w:pStyle w:val="TableTextEntries"/>
              <w:jc w:val="center"/>
            </w:pPr>
          </w:p>
        </w:tc>
        <w:tc>
          <w:tcPr>
            <w:tcW w:w="416" w:type="pct"/>
            <w:noWrap/>
          </w:tcPr>
          <w:p w:rsidR="007B2396" w:rsidRPr="00FE4491" w:rsidRDefault="007B2396" w:rsidP="00E15678">
            <w:pPr>
              <w:pStyle w:val="TableTextEntries"/>
              <w:jc w:val="center"/>
            </w:pPr>
          </w:p>
        </w:tc>
        <w:tc>
          <w:tcPr>
            <w:tcW w:w="417" w:type="pct"/>
            <w:noWrap/>
          </w:tcPr>
          <w:p w:rsidR="007B2396" w:rsidRPr="00FE4491" w:rsidRDefault="007B2396" w:rsidP="00E15678">
            <w:pPr>
              <w:pStyle w:val="TableTextEntries"/>
              <w:jc w:val="center"/>
            </w:pPr>
          </w:p>
        </w:tc>
        <w:tc>
          <w:tcPr>
            <w:tcW w:w="416" w:type="pct"/>
            <w:noWrap/>
          </w:tcPr>
          <w:p w:rsidR="007B2396" w:rsidRPr="00FE4491" w:rsidRDefault="007B2396" w:rsidP="00E15678">
            <w:pPr>
              <w:pStyle w:val="TableTextEntries"/>
              <w:jc w:val="center"/>
            </w:pPr>
          </w:p>
        </w:tc>
        <w:tc>
          <w:tcPr>
            <w:tcW w:w="417" w:type="pct"/>
          </w:tcPr>
          <w:p w:rsidR="007B2396" w:rsidRPr="00FE4491" w:rsidRDefault="007B2396" w:rsidP="00E15678">
            <w:pPr>
              <w:pStyle w:val="TableTextEntries"/>
              <w:jc w:val="center"/>
            </w:pPr>
          </w:p>
        </w:tc>
        <w:tc>
          <w:tcPr>
            <w:tcW w:w="412" w:type="pct"/>
          </w:tcPr>
          <w:p w:rsidR="007B2396" w:rsidRPr="00FE4491" w:rsidRDefault="007B2396" w:rsidP="00E15678">
            <w:pPr>
              <w:pStyle w:val="TableTextEntries"/>
              <w:jc w:val="center"/>
            </w:pPr>
          </w:p>
        </w:tc>
      </w:tr>
    </w:tbl>
    <w:p w:rsidR="0057490F" w:rsidRDefault="0057490F" w:rsidP="00582C22">
      <w:pPr>
        <w:pStyle w:val="Note"/>
      </w:pPr>
    </w:p>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416B02" w:rsidRDefault="00416B02" w:rsidP="00582C22">
      <w:pPr>
        <w:pStyle w:val="Note"/>
      </w:pPr>
      <w:r w:rsidRPr="000774FD">
        <w:rPr>
          <w:color w:val="FF0000"/>
        </w:rPr>
        <w:sym w:font="Webdings" w:char="F067"/>
      </w:r>
      <w:r>
        <w:t xml:space="preserve"> = 1 = Very poor; does not satisfy criteria in many major areas</w:t>
      </w:r>
    </w:p>
    <w:p w:rsidR="00416B02" w:rsidRDefault="00416B02" w:rsidP="00582C22">
      <w:pPr>
        <w:pStyle w:val="Note"/>
      </w:pPr>
    </w:p>
    <w:p w:rsidR="00416B02" w:rsidRDefault="00416B02" w:rsidP="00416B02">
      <w:pPr>
        <w:spacing w:after="200" w:line="276" w:lineRule="auto"/>
        <w:rPr>
          <w:rFonts w:ascii="Franklin Gothic Demi" w:hAnsi="Franklin Gothic Demi" w:cs="Arial"/>
          <w:color w:val="AD495D"/>
          <w:kern w:val="28"/>
          <w:sz w:val="28"/>
          <w:szCs w:val="28"/>
        </w:rPr>
      </w:pPr>
    </w:p>
    <w:p w:rsidR="00516D93" w:rsidRDefault="00516D93">
      <w:pPr>
        <w:spacing w:after="200" w:line="276" w:lineRule="auto"/>
        <w:rPr>
          <w:rFonts w:ascii="Franklin Gothic Demi" w:hAnsi="Franklin Gothic Demi" w:cs="Arial"/>
          <w:color w:val="AD495D"/>
          <w:kern w:val="28"/>
          <w:sz w:val="28"/>
          <w:szCs w:val="28"/>
        </w:rPr>
      </w:pPr>
    </w:p>
    <w:sectPr w:rsidR="00516D93" w:rsidSect="001C745A">
      <w:headerReference w:type="even" r:id="rId21"/>
      <w:footerReference w:type="first" r:id="rId22"/>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F9" w:rsidRDefault="00E175F9" w:rsidP="0050529F">
      <w:r>
        <w:separator/>
      </w:r>
    </w:p>
    <w:p w:rsidR="00E175F9" w:rsidRDefault="00E175F9"/>
    <w:p w:rsidR="00E175F9" w:rsidRDefault="00E175F9"/>
    <w:p w:rsidR="00E175F9" w:rsidRDefault="00E175F9"/>
    <w:p w:rsidR="00E175F9" w:rsidRDefault="00E175F9"/>
    <w:p w:rsidR="00E175F9" w:rsidRDefault="00E175F9"/>
    <w:p w:rsidR="00E175F9" w:rsidRDefault="00E175F9"/>
  </w:endnote>
  <w:endnote w:type="continuationSeparator" w:id="0">
    <w:p w:rsidR="00E175F9" w:rsidRDefault="00E175F9" w:rsidP="0050529F">
      <w:r>
        <w:continuationSeparator/>
      </w:r>
    </w:p>
    <w:p w:rsidR="00E175F9" w:rsidRDefault="00E175F9"/>
    <w:p w:rsidR="00E175F9" w:rsidRDefault="00E175F9"/>
    <w:p w:rsidR="00E175F9" w:rsidRDefault="00E175F9"/>
    <w:p w:rsidR="00E175F9" w:rsidRDefault="00E175F9"/>
    <w:p w:rsidR="00E175F9" w:rsidRDefault="00E175F9"/>
    <w:p w:rsidR="00E175F9" w:rsidRDefault="00E1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6" w:rsidRDefault="00373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39871"/>
      <w:docPartObj>
        <w:docPartGallery w:val="Page Numbers (Bottom of Page)"/>
        <w:docPartUnique/>
      </w:docPartObj>
    </w:sdtPr>
    <w:sdtEndPr>
      <w:rPr>
        <w:noProof/>
        <w:color w:val="auto"/>
      </w:rPr>
    </w:sdtEndPr>
    <w:sdtContent>
      <w:p w:rsidR="00E175F9" w:rsidRPr="008F6E4C" w:rsidRDefault="00E175F9">
        <w:pPr>
          <w:pStyle w:val="Footer"/>
          <w:jc w:val="right"/>
          <w:rPr>
            <w:color w:val="auto"/>
          </w:rPr>
        </w:pPr>
        <w:r w:rsidRPr="008F6E4C">
          <w:rPr>
            <w:color w:val="auto"/>
          </w:rPr>
          <w:fldChar w:fldCharType="begin"/>
        </w:r>
        <w:r w:rsidRPr="008F6E4C">
          <w:rPr>
            <w:color w:val="auto"/>
          </w:rPr>
          <w:instrText xml:space="preserve"> PAGE   \* MERGEFORMAT </w:instrText>
        </w:r>
        <w:r w:rsidRPr="008F6E4C">
          <w:rPr>
            <w:color w:val="auto"/>
          </w:rPr>
          <w:fldChar w:fldCharType="separate"/>
        </w:r>
        <w:r w:rsidR="00373BD6">
          <w:rPr>
            <w:noProof/>
            <w:color w:val="auto"/>
          </w:rPr>
          <w:t>2</w:t>
        </w:r>
        <w:r w:rsidRPr="008F6E4C">
          <w:rPr>
            <w:noProof/>
            <w:color w:val="auto"/>
          </w:rPr>
          <w:fldChar w:fldCharType="end"/>
        </w:r>
      </w:p>
    </w:sdtContent>
  </w:sdt>
  <w:p w:rsidR="00E175F9" w:rsidRDefault="00E17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6" w:rsidRDefault="00373B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Pr="004C4A3E" w:rsidRDefault="00E175F9"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C6508A4" wp14:editId="1B0936B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757165">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757165">
      <w:rPr>
        <w:rFonts w:ascii="Franklin Gothic Medium" w:hAnsi="Franklin Gothic Medium"/>
        <w:noProof/>
        <w:color w:val="54534A"/>
        <w:sz w:val="14"/>
        <w:szCs w:val="14"/>
      </w:rPr>
      <w:t>11</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4B843091" wp14:editId="294805B7">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4B100B8E" wp14:editId="41982AC4">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Pr="004C4A3E" w:rsidRDefault="00E175F9"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19D59A1D" wp14:editId="32861B02">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5DC6F8B6" wp14:editId="354047EB">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7E13C820" wp14:editId="57F177F2">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Pr="004C4A3E" w:rsidRDefault="00E175F9"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3F8EAD65" wp14:editId="5F9ECEC9">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60E6627E" wp14:editId="015D7503">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795EA384" wp14:editId="3EB3FE55">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F9" w:rsidRDefault="00E175F9" w:rsidP="0050529F">
      <w:r>
        <w:separator/>
      </w:r>
    </w:p>
  </w:footnote>
  <w:footnote w:type="continuationSeparator" w:id="0">
    <w:p w:rsidR="00E175F9" w:rsidRDefault="00E175F9" w:rsidP="0050529F">
      <w:r>
        <w:continuationSeparator/>
      </w:r>
    </w:p>
    <w:p w:rsidR="00E175F9" w:rsidRDefault="00E175F9"/>
    <w:p w:rsidR="00E175F9" w:rsidRDefault="00E175F9"/>
  </w:footnote>
  <w:footnote w:type="continuationNotice" w:id="1">
    <w:p w:rsidR="00E175F9" w:rsidRDefault="00E175F9"/>
  </w:footnote>
  <w:footnote w:id="2">
    <w:p w:rsidR="00E175F9" w:rsidRDefault="00E175F9" w:rsidP="003A38CC">
      <w:pPr>
        <w:pStyle w:val="FootnoteText"/>
        <w:spacing w:line="240" w:lineRule="auto"/>
      </w:pPr>
      <w:r>
        <w:rPr>
          <w:rStyle w:val="FootnoteReference"/>
        </w:rPr>
        <w:footnoteRef/>
      </w:r>
      <w:r>
        <w:t xml:space="preserve"> Sri Lanka Department of Census and Statistics. 2015. </w:t>
      </w:r>
      <w:r w:rsidRPr="00DC3403">
        <w:rPr>
          <w:i/>
        </w:rPr>
        <w:t>Poverty Indicators. Household Income and Expenditure Survey – 2012/13</w:t>
      </w:r>
      <w:r>
        <w:t>. The Sri Lanka national poverty line is LKR3890 (approx. AUD39) per month, based on a basket of food and non-food items.</w:t>
      </w:r>
    </w:p>
  </w:footnote>
  <w:footnote w:id="3">
    <w:p w:rsidR="00E175F9" w:rsidRPr="00DC3403" w:rsidRDefault="00E175F9" w:rsidP="003A38CC">
      <w:pPr>
        <w:pStyle w:val="FootnoteText"/>
        <w:spacing w:line="240" w:lineRule="auto"/>
        <w:rPr>
          <w:i/>
        </w:rPr>
      </w:pPr>
      <w:r>
        <w:rPr>
          <w:rStyle w:val="FootnoteReference"/>
        </w:rPr>
        <w:footnoteRef/>
      </w:r>
      <w:r>
        <w:t xml:space="preserve"> </w:t>
      </w:r>
      <w:r w:rsidRPr="00801D1F">
        <w:t>United Nations Sri Lanka. 2015.</w:t>
      </w:r>
      <w:r>
        <w:t xml:space="preserve"> </w:t>
      </w:r>
      <w:r>
        <w:rPr>
          <w:i/>
        </w:rPr>
        <w:t>Millennium Development Goals Country Report. 2014.</w:t>
      </w:r>
    </w:p>
  </w:footnote>
  <w:footnote w:id="4">
    <w:p w:rsidR="00E175F9" w:rsidRDefault="00E175F9" w:rsidP="003A38CC">
      <w:pPr>
        <w:pStyle w:val="FootnoteText"/>
        <w:spacing w:line="240" w:lineRule="auto"/>
      </w:pPr>
      <w:r>
        <w:rPr>
          <w:rStyle w:val="FootnoteReference"/>
        </w:rPr>
        <w:footnoteRef/>
      </w:r>
      <w:r>
        <w:t xml:space="preserve"> </w:t>
      </w:r>
      <w:r w:rsidRPr="00DC3403">
        <w:t xml:space="preserve">UNDP. 2014 </w:t>
      </w:r>
      <w:r w:rsidRPr="00306013">
        <w:rPr>
          <w:i/>
        </w:rPr>
        <w:t>Human Development Report</w:t>
      </w:r>
      <w:r>
        <w:rPr>
          <w:i/>
        </w:rPr>
        <w:t xml:space="preserve"> 2014</w:t>
      </w:r>
      <w:r w:rsidRPr="00DC3403">
        <w:t>.</w:t>
      </w:r>
    </w:p>
  </w:footnote>
  <w:footnote w:id="5">
    <w:p w:rsidR="00E175F9" w:rsidRPr="00306013" w:rsidRDefault="00E175F9" w:rsidP="003A38CC">
      <w:pPr>
        <w:pStyle w:val="FootnoteText"/>
        <w:spacing w:line="240" w:lineRule="auto"/>
      </w:pPr>
      <w:r>
        <w:rPr>
          <w:rStyle w:val="FootnoteReference"/>
        </w:rPr>
        <w:footnoteRef/>
      </w:r>
      <w:r>
        <w:t xml:space="preserve"> </w:t>
      </w:r>
      <w:r w:rsidRPr="00A832AA">
        <w:t xml:space="preserve">Sri Lanka Department of Census and Statistics. 2014. </w:t>
      </w:r>
      <w:r w:rsidRPr="00A832AA">
        <w:rPr>
          <w:i/>
        </w:rPr>
        <w:t>Poverty Headcount Ratio Brief</w:t>
      </w:r>
      <w:r>
        <w:t>.</w:t>
      </w:r>
    </w:p>
  </w:footnote>
  <w:footnote w:id="6">
    <w:p w:rsidR="00E175F9" w:rsidRDefault="00E175F9">
      <w:pPr>
        <w:pStyle w:val="FootnoteText"/>
      </w:pPr>
      <w:r>
        <w:rPr>
          <w:rStyle w:val="FootnoteReference"/>
        </w:rPr>
        <w:footnoteRef/>
      </w:r>
      <w:r>
        <w:t xml:space="preserve"> World Bank. 2015. ‘Tax revenue (per cent of GDP).’ Available at  </w:t>
      </w:r>
      <w:r w:rsidRPr="009662F7">
        <w:t>http://data.worldbank.org/indicator/GC.TAX.TOTL.GD.ZS</w:t>
      </w:r>
    </w:p>
  </w:footnote>
  <w:footnote w:id="7">
    <w:p w:rsidR="00E175F9" w:rsidRDefault="00E175F9">
      <w:pPr>
        <w:pStyle w:val="FootnoteText"/>
      </w:pPr>
      <w:r>
        <w:rPr>
          <w:rStyle w:val="FootnoteReference"/>
        </w:rPr>
        <w:footnoteRef/>
      </w:r>
      <w:r>
        <w:t xml:space="preserve"> </w:t>
      </w:r>
      <w:r w:rsidRPr="002E5070">
        <w:t xml:space="preserve">Dundar et al. 2014. </w:t>
      </w:r>
      <w:r w:rsidRPr="002E5070">
        <w:rPr>
          <w:i/>
        </w:rPr>
        <w:t>Building the Skills for Economic Growth and Competitiveness in  Sri Lanka</w:t>
      </w:r>
      <w:r w:rsidRPr="002E5070">
        <w:t>. The World Bank</w:t>
      </w:r>
    </w:p>
  </w:footnote>
  <w:footnote w:id="8">
    <w:p w:rsidR="00E175F9" w:rsidRDefault="00E175F9" w:rsidP="00325CC0">
      <w:pPr>
        <w:pStyle w:val="FootnoteText"/>
        <w:spacing w:line="240" w:lineRule="auto"/>
      </w:pPr>
      <w:r>
        <w:rPr>
          <w:rStyle w:val="FootnoteReference"/>
        </w:rPr>
        <w:footnoteRef/>
      </w:r>
      <w:r>
        <w:t xml:space="preserve"> World Bank. 2014. Sri Lanka country data.</w:t>
      </w:r>
    </w:p>
  </w:footnote>
  <w:footnote w:id="9">
    <w:p w:rsidR="00E175F9" w:rsidRDefault="00E175F9" w:rsidP="002E5070">
      <w:pPr>
        <w:pStyle w:val="FootnoteText"/>
        <w:spacing w:line="240" w:lineRule="auto"/>
      </w:pPr>
      <w:r>
        <w:rPr>
          <w:rStyle w:val="FootnoteReference"/>
        </w:rPr>
        <w:footnoteRef/>
      </w:r>
      <w:r>
        <w:t xml:space="preserve"> Sri Lanka North East – Water, Sanitation and Hygiene (WASH) Project Completion Mission: August 11-15, 2014. Aide Memoire; WASH Monitoring Visit Report, 13-16 July 2015. </w:t>
      </w:r>
    </w:p>
  </w:footnote>
  <w:footnote w:id="10">
    <w:p w:rsidR="00E175F9" w:rsidRPr="000F31B9" w:rsidRDefault="00E175F9" w:rsidP="003A38CC">
      <w:pPr>
        <w:pStyle w:val="FootnoteText"/>
        <w:spacing w:line="240" w:lineRule="auto"/>
        <w:rPr>
          <w:i/>
        </w:rPr>
      </w:pPr>
      <w:r>
        <w:rPr>
          <w:rStyle w:val="FootnoteReference"/>
        </w:rPr>
        <w:footnoteRef/>
      </w:r>
      <w:r>
        <w:t xml:space="preserve"> International Campaign to Ban Landmines. 2014. </w:t>
      </w:r>
      <w:r>
        <w:rPr>
          <w:i/>
        </w:rPr>
        <w:t>Landmine Monitor 2014.</w:t>
      </w:r>
    </w:p>
  </w:footnote>
  <w:footnote w:id="11">
    <w:p w:rsidR="00E175F9" w:rsidRDefault="00E175F9">
      <w:pPr>
        <w:pStyle w:val="FootnoteText"/>
      </w:pPr>
      <w:r>
        <w:rPr>
          <w:rStyle w:val="FootnoteReference"/>
        </w:rPr>
        <w:footnoteRef/>
      </w:r>
      <w:r>
        <w:t xml:space="preserve"> Final Report of Australia-Funded DASH Project ‘Demining in Mullaitive and Kilinochchi Districts; 2013/14.</w:t>
      </w:r>
    </w:p>
  </w:footnote>
  <w:footnote w:id="12">
    <w:p w:rsidR="00E175F9" w:rsidRDefault="00E175F9" w:rsidP="003A38CC">
      <w:pPr>
        <w:pStyle w:val="FootnoteText"/>
        <w:spacing w:line="240" w:lineRule="auto"/>
      </w:pPr>
      <w:r>
        <w:rPr>
          <w:rStyle w:val="FootnoteReference"/>
        </w:rPr>
        <w:footnoteRef/>
      </w:r>
      <w:r>
        <w:t xml:space="preserve"> The World Bank. Sri Lanka. Transforming the School Education System as the Foundation of a Knowledge Hub (TSEP) Project and related Australian Trust Fund. Mid-Term Review and Supervision and Implementation Support Mission. March 23-April 2, 2015. Aid Memoire.</w:t>
      </w:r>
    </w:p>
  </w:footnote>
  <w:footnote w:id="13">
    <w:p w:rsidR="00E175F9" w:rsidRDefault="00E175F9" w:rsidP="00B9445E">
      <w:pPr>
        <w:pStyle w:val="FootnoteText"/>
        <w:spacing w:line="240" w:lineRule="auto"/>
      </w:pPr>
      <w:r>
        <w:rPr>
          <w:rStyle w:val="FootnoteReference"/>
        </w:rPr>
        <w:footnoteRef/>
      </w:r>
      <w:r>
        <w:t xml:space="preserve"> North East Local Services Improvement Project (Pura Neguma Project) 8</w:t>
      </w:r>
      <w:r w:rsidRPr="002916C3">
        <w:rPr>
          <w:vertAlign w:val="superscript"/>
        </w:rPr>
        <w:t>th</w:t>
      </w:r>
      <w:r>
        <w:t xml:space="preserve"> Implementation Review and Support Mission (September 08-22, 2014). Aide Memoire.</w:t>
      </w:r>
    </w:p>
  </w:footnote>
  <w:footnote w:id="14">
    <w:p w:rsidR="00E175F9" w:rsidRDefault="00E175F9" w:rsidP="00D054D8">
      <w:pPr>
        <w:pStyle w:val="FootnoteText"/>
        <w:spacing w:line="240" w:lineRule="auto"/>
      </w:pPr>
      <w:r>
        <w:rPr>
          <w:rStyle w:val="FootnoteReference"/>
        </w:rPr>
        <w:footnoteRef/>
      </w:r>
      <w:r>
        <w:t xml:space="preserve"> </w:t>
      </w:r>
      <w:r w:rsidRPr="00D054D8">
        <w:t>Australia Community Rehabilitation Program Phase 3 (ACRP3), Technical Support Team Field Monitoring Mission Report, February-March, 2015.</w:t>
      </w:r>
    </w:p>
  </w:footnote>
  <w:footnote w:id="15">
    <w:p w:rsidR="00E175F9" w:rsidRDefault="00E175F9" w:rsidP="00F0150B">
      <w:pPr>
        <w:pStyle w:val="FootnoteText"/>
        <w:spacing w:line="240" w:lineRule="auto"/>
      </w:pPr>
      <w:r>
        <w:rPr>
          <w:rStyle w:val="FootnoteReference"/>
        </w:rPr>
        <w:footnoteRef/>
      </w:r>
      <w:r>
        <w:t xml:space="preserve"> NELSIP 8</w:t>
      </w:r>
      <w:r w:rsidRPr="002916C3">
        <w:rPr>
          <w:vertAlign w:val="superscript"/>
        </w:rPr>
        <w:t>th</w:t>
      </w:r>
      <w:r>
        <w:t xml:space="preserve"> Implementation Review and Support Mission (September 08-22, 2014). Aide Memoire.</w:t>
      </w:r>
    </w:p>
  </w:footnote>
  <w:footnote w:id="16">
    <w:p w:rsidR="00E175F9" w:rsidRDefault="00E175F9" w:rsidP="003B6C6E">
      <w:pPr>
        <w:pStyle w:val="FootnoteText"/>
        <w:spacing w:line="240" w:lineRule="auto"/>
      </w:pPr>
      <w:r>
        <w:rPr>
          <w:rStyle w:val="FootnoteReference"/>
        </w:rPr>
        <w:footnoteRef/>
      </w:r>
      <w:r>
        <w:t xml:space="preserve"> ACRP3</w:t>
      </w:r>
      <w:r w:rsidRPr="00D054D8">
        <w:t>, Technical Support Team Field Monitoring Mission Report, February-March, 2015.</w:t>
      </w:r>
    </w:p>
  </w:footnote>
  <w:footnote w:id="17">
    <w:p w:rsidR="00E175F9" w:rsidRDefault="00E175F9" w:rsidP="00890714">
      <w:pPr>
        <w:pStyle w:val="FootnoteText"/>
        <w:spacing w:line="240" w:lineRule="auto"/>
      </w:pPr>
      <w:r>
        <w:rPr>
          <w:rStyle w:val="FootnoteReference"/>
        </w:rPr>
        <w:footnoteRef/>
      </w:r>
      <w:r>
        <w:t xml:space="preserve"> NELSIP 8</w:t>
      </w:r>
      <w:r w:rsidRPr="002916C3">
        <w:rPr>
          <w:vertAlign w:val="superscript"/>
        </w:rPr>
        <w:t>th</w:t>
      </w:r>
      <w:r>
        <w:t xml:space="preserve"> Implementation Review and Support Mission (September 08-22, 2014). Aide Memoire.</w:t>
      </w:r>
    </w:p>
  </w:footnote>
  <w:footnote w:id="18">
    <w:p w:rsidR="00E175F9" w:rsidRDefault="00E175F9" w:rsidP="00890714">
      <w:pPr>
        <w:pStyle w:val="FootnoteText"/>
        <w:spacing w:line="240" w:lineRule="auto"/>
      </w:pPr>
      <w:r>
        <w:rPr>
          <w:rStyle w:val="FootnoteReference"/>
        </w:rPr>
        <w:footnoteRef/>
      </w:r>
      <w:r>
        <w:t xml:space="preserve"> ACRP3, Technical Support Team Field Monitoring Mission Report, February-March, 2015.</w:t>
      </w:r>
    </w:p>
  </w:footnote>
  <w:footnote w:id="19">
    <w:p w:rsidR="00E175F9" w:rsidRDefault="00E175F9" w:rsidP="00E175F9">
      <w:pPr>
        <w:pStyle w:val="FootnoteText"/>
        <w:spacing w:line="240" w:lineRule="auto"/>
      </w:pPr>
      <w:r>
        <w:rPr>
          <w:rStyle w:val="FootnoteReference"/>
        </w:rPr>
        <w:footnoteRef/>
      </w:r>
      <w:r>
        <w:t xml:space="preserve"> See the World Bank’s  Sri Lanka – Transforming the School Education System as the Foundation of a Knowledge Hub web page at </w:t>
      </w:r>
      <w:hyperlink r:id="rId1" w:history="1">
        <w:r w:rsidRPr="00710EF2">
          <w:rPr>
            <w:rStyle w:val="Hyperlink"/>
            <w:sz w:val="16"/>
          </w:rPr>
          <w:t>http://www.worldbank.org/projects/P113488/transforming-school-education-foundation-knowledge-hub?lang=en</w:t>
        </w:r>
      </w:hyperlink>
      <w:r>
        <w:t xml:space="preserve"> </w:t>
      </w:r>
    </w:p>
  </w:footnote>
  <w:footnote w:id="20">
    <w:p w:rsidR="00E175F9" w:rsidRDefault="00E175F9" w:rsidP="003A38CC">
      <w:pPr>
        <w:pStyle w:val="FootnoteText"/>
        <w:spacing w:line="240" w:lineRule="auto"/>
      </w:pPr>
      <w:r>
        <w:rPr>
          <w:rStyle w:val="FootnoteReference"/>
        </w:rPr>
        <w:footnoteRef/>
      </w:r>
      <w:r>
        <w:t xml:space="preserve"> </w:t>
      </w:r>
      <w:r w:rsidRPr="00B83AF2">
        <w:t xml:space="preserve">The World Bank. Sri Lanka. </w:t>
      </w:r>
      <w:r>
        <w:t>TSEP</w:t>
      </w:r>
      <w:r w:rsidRPr="00B83AF2">
        <w:t xml:space="preserve"> Mid-Term Review. March 23-April 2, 2015. Aid Memoire.</w:t>
      </w:r>
    </w:p>
  </w:footnote>
  <w:footnote w:id="21">
    <w:p w:rsidR="00906FC8" w:rsidRDefault="00906FC8">
      <w:pPr>
        <w:pStyle w:val="FootnoteText"/>
      </w:pPr>
      <w:r>
        <w:rPr>
          <w:rStyle w:val="FootnoteReference"/>
        </w:rPr>
        <w:footnoteRef/>
      </w:r>
      <w:r>
        <w:t xml:space="preserve"> </w:t>
      </w:r>
      <w:r w:rsidRPr="00B83AF2">
        <w:t xml:space="preserve">The World Bank. Sri Lanka. </w:t>
      </w:r>
      <w:r>
        <w:t>TSEP</w:t>
      </w:r>
      <w:r w:rsidRPr="00B83AF2">
        <w:t xml:space="preserve"> Mid-Term Review. March 23-April 2, 2015. Aid Memoire</w:t>
      </w:r>
      <w:r>
        <w:t>.</w:t>
      </w:r>
    </w:p>
  </w:footnote>
  <w:footnote w:id="22">
    <w:p w:rsidR="00E175F9" w:rsidRDefault="00E175F9">
      <w:pPr>
        <w:pStyle w:val="FootnoteText"/>
      </w:pPr>
      <w:r>
        <w:rPr>
          <w:rStyle w:val="FootnoteReference"/>
        </w:rPr>
        <w:footnoteRef/>
      </w:r>
      <w:r>
        <w:t xml:space="preserve"> Sri Lanka Community Forestry Program. Fifth Program Supervisory Mission,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6" w:rsidRDefault="00373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Default="00E175F9" w:rsidP="00D73C28">
    <w:pPr>
      <w:pStyle w:val="Header"/>
      <w:tabs>
        <w:tab w:val="clear" w:pos="4513"/>
        <w:tab w:val="clear" w:pos="9026"/>
        <w:tab w:val="left" w:pos="553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6" w:rsidRDefault="00373B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Default="00E175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Default="00E175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F9" w:rsidRDefault="00E17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A24246"/>
    <w:multiLevelType w:val="hybridMultilevel"/>
    <w:tmpl w:val="94D2E0AA"/>
    <w:lvl w:ilvl="0" w:tplc="65A006A4">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CD217A"/>
    <w:multiLevelType w:val="hybridMultilevel"/>
    <w:tmpl w:val="12246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2B838A1"/>
    <w:multiLevelType w:val="hybridMultilevel"/>
    <w:tmpl w:val="27CC43C6"/>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0D4166"/>
    <w:multiLevelType w:val="hybridMultilevel"/>
    <w:tmpl w:val="7234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CA534F"/>
    <w:multiLevelType w:val="hybridMultilevel"/>
    <w:tmpl w:val="ADDEAA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90D3E83"/>
    <w:multiLevelType w:val="hybridMultilevel"/>
    <w:tmpl w:val="F47832F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7"/>
  </w:num>
  <w:num w:numId="4">
    <w:abstractNumId w:val="17"/>
  </w:num>
  <w:num w:numId="5">
    <w:abstractNumId w:val="16"/>
  </w:num>
  <w:num w:numId="6">
    <w:abstractNumId w:val="14"/>
  </w:num>
  <w:num w:numId="7">
    <w:abstractNumId w:val="22"/>
  </w:num>
  <w:num w:numId="8">
    <w:abstractNumId w:val="5"/>
  </w:num>
  <w:num w:numId="9">
    <w:abstractNumId w:val="9"/>
  </w:num>
  <w:num w:numId="10">
    <w:abstractNumId w:val="25"/>
  </w:num>
  <w:num w:numId="11">
    <w:abstractNumId w:val="26"/>
  </w:num>
  <w:num w:numId="12">
    <w:abstractNumId w:val="0"/>
  </w:num>
  <w:num w:numId="13">
    <w:abstractNumId w:val="3"/>
  </w:num>
  <w:num w:numId="14">
    <w:abstractNumId w:val="20"/>
  </w:num>
  <w:num w:numId="15">
    <w:abstractNumId w:val="1"/>
  </w:num>
  <w:num w:numId="16">
    <w:abstractNumId w:val="13"/>
  </w:num>
  <w:num w:numId="17">
    <w:abstractNumId w:val="11"/>
  </w:num>
  <w:num w:numId="18">
    <w:abstractNumId w:val="8"/>
  </w:num>
  <w:num w:numId="19">
    <w:abstractNumId w:val="26"/>
  </w:num>
  <w:num w:numId="20">
    <w:abstractNumId w:val="15"/>
  </w:num>
  <w:num w:numId="21">
    <w:abstractNumId w:val="21"/>
  </w:num>
  <w:num w:numId="22">
    <w:abstractNumId w:val="26"/>
  </w:num>
  <w:num w:numId="23">
    <w:abstractNumId w:val="26"/>
  </w:num>
  <w:num w:numId="24">
    <w:abstractNumId w:val="26"/>
  </w:num>
  <w:num w:numId="25">
    <w:abstractNumId w:val="4"/>
  </w:num>
  <w:num w:numId="26">
    <w:abstractNumId w:val="23"/>
  </w:num>
  <w:num w:numId="27">
    <w:abstractNumId w:val="2"/>
  </w:num>
  <w:num w:numId="28">
    <w:abstractNumId w:val="10"/>
  </w:num>
  <w:num w:numId="29">
    <w:abstractNumId w:val="24"/>
  </w:num>
  <w:num w:numId="30">
    <w:abstractNumId w:val="26"/>
  </w:num>
  <w:num w:numId="31">
    <w:abstractNumId w:val="26"/>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42A2"/>
    <w:rsid w:val="000143D9"/>
    <w:rsid w:val="00020121"/>
    <w:rsid w:val="00021A9E"/>
    <w:rsid w:val="00027629"/>
    <w:rsid w:val="00030111"/>
    <w:rsid w:val="00030683"/>
    <w:rsid w:val="00031100"/>
    <w:rsid w:val="00031EB5"/>
    <w:rsid w:val="0003231A"/>
    <w:rsid w:val="00040AF6"/>
    <w:rsid w:val="000426DF"/>
    <w:rsid w:val="00045C8A"/>
    <w:rsid w:val="000529AD"/>
    <w:rsid w:val="0005506B"/>
    <w:rsid w:val="000550B0"/>
    <w:rsid w:val="00055E78"/>
    <w:rsid w:val="0005637C"/>
    <w:rsid w:val="00057589"/>
    <w:rsid w:val="00057D09"/>
    <w:rsid w:val="0007149C"/>
    <w:rsid w:val="00071B95"/>
    <w:rsid w:val="0007395B"/>
    <w:rsid w:val="000745E2"/>
    <w:rsid w:val="0007703B"/>
    <w:rsid w:val="000774FD"/>
    <w:rsid w:val="000818C0"/>
    <w:rsid w:val="00081F4E"/>
    <w:rsid w:val="000905A8"/>
    <w:rsid w:val="00091878"/>
    <w:rsid w:val="000957FC"/>
    <w:rsid w:val="00095CF5"/>
    <w:rsid w:val="000979A0"/>
    <w:rsid w:val="00097B02"/>
    <w:rsid w:val="000A1618"/>
    <w:rsid w:val="000A4247"/>
    <w:rsid w:val="000A714B"/>
    <w:rsid w:val="000A79CA"/>
    <w:rsid w:val="000B0391"/>
    <w:rsid w:val="000B2101"/>
    <w:rsid w:val="000B2C8F"/>
    <w:rsid w:val="000B3121"/>
    <w:rsid w:val="000B68F6"/>
    <w:rsid w:val="000B6BE5"/>
    <w:rsid w:val="000B6FEA"/>
    <w:rsid w:val="000B75E8"/>
    <w:rsid w:val="000C258A"/>
    <w:rsid w:val="000C29BF"/>
    <w:rsid w:val="000C4A7A"/>
    <w:rsid w:val="000C6080"/>
    <w:rsid w:val="000C60A8"/>
    <w:rsid w:val="000D151B"/>
    <w:rsid w:val="000D1993"/>
    <w:rsid w:val="000D2CDD"/>
    <w:rsid w:val="000D2EA0"/>
    <w:rsid w:val="000D4B96"/>
    <w:rsid w:val="000D733F"/>
    <w:rsid w:val="000D7952"/>
    <w:rsid w:val="000E4573"/>
    <w:rsid w:val="000E7297"/>
    <w:rsid w:val="000E7A8D"/>
    <w:rsid w:val="000E7AB4"/>
    <w:rsid w:val="000F1D82"/>
    <w:rsid w:val="000F25CD"/>
    <w:rsid w:val="000F2D94"/>
    <w:rsid w:val="000F31B9"/>
    <w:rsid w:val="000F4228"/>
    <w:rsid w:val="00100485"/>
    <w:rsid w:val="00100AA2"/>
    <w:rsid w:val="00103739"/>
    <w:rsid w:val="00103924"/>
    <w:rsid w:val="00106185"/>
    <w:rsid w:val="00106BDC"/>
    <w:rsid w:val="0010729C"/>
    <w:rsid w:val="00112E97"/>
    <w:rsid w:val="001139DE"/>
    <w:rsid w:val="00114751"/>
    <w:rsid w:val="001154CA"/>
    <w:rsid w:val="00115D73"/>
    <w:rsid w:val="001171DE"/>
    <w:rsid w:val="00117BEE"/>
    <w:rsid w:val="00120FC7"/>
    <w:rsid w:val="00122038"/>
    <w:rsid w:val="00122299"/>
    <w:rsid w:val="001227C3"/>
    <w:rsid w:val="0012429A"/>
    <w:rsid w:val="00125002"/>
    <w:rsid w:val="001258C6"/>
    <w:rsid w:val="0012793C"/>
    <w:rsid w:val="0013032B"/>
    <w:rsid w:val="00131FF0"/>
    <w:rsid w:val="00132003"/>
    <w:rsid w:val="00132211"/>
    <w:rsid w:val="00132643"/>
    <w:rsid w:val="00133AAD"/>
    <w:rsid w:val="00134906"/>
    <w:rsid w:val="00135806"/>
    <w:rsid w:val="001366B4"/>
    <w:rsid w:val="00136CC1"/>
    <w:rsid w:val="001375E3"/>
    <w:rsid w:val="0014044B"/>
    <w:rsid w:val="00141A30"/>
    <w:rsid w:val="00143053"/>
    <w:rsid w:val="00143F68"/>
    <w:rsid w:val="0014411B"/>
    <w:rsid w:val="001448E7"/>
    <w:rsid w:val="00147846"/>
    <w:rsid w:val="00147E2C"/>
    <w:rsid w:val="0015043E"/>
    <w:rsid w:val="00152DFD"/>
    <w:rsid w:val="0015343C"/>
    <w:rsid w:val="00154EF9"/>
    <w:rsid w:val="00157858"/>
    <w:rsid w:val="001612CE"/>
    <w:rsid w:val="001624FB"/>
    <w:rsid w:val="0016544D"/>
    <w:rsid w:val="001657F1"/>
    <w:rsid w:val="00167331"/>
    <w:rsid w:val="0016740F"/>
    <w:rsid w:val="00171BB2"/>
    <w:rsid w:val="00173C6E"/>
    <w:rsid w:val="00175553"/>
    <w:rsid w:val="001758AD"/>
    <w:rsid w:val="00175E4C"/>
    <w:rsid w:val="00176429"/>
    <w:rsid w:val="001772FD"/>
    <w:rsid w:val="00177FF9"/>
    <w:rsid w:val="00180B19"/>
    <w:rsid w:val="00180F3A"/>
    <w:rsid w:val="0018196F"/>
    <w:rsid w:val="001829BB"/>
    <w:rsid w:val="0018305E"/>
    <w:rsid w:val="0018353A"/>
    <w:rsid w:val="00192498"/>
    <w:rsid w:val="001943B6"/>
    <w:rsid w:val="00194806"/>
    <w:rsid w:val="001A374B"/>
    <w:rsid w:val="001B1A0C"/>
    <w:rsid w:val="001B2948"/>
    <w:rsid w:val="001B3086"/>
    <w:rsid w:val="001B41CD"/>
    <w:rsid w:val="001B473E"/>
    <w:rsid w:val="001B714C"/>
    <w:rsid w:val="001C1EA0"/>
    <w:rsid w:val="001C31B9"/>
    <w:rsid w:val="001C4693"/>
    <w:rsid w:val="001C507E"/>
    <w:rsid w:val="001C700E"/>
    <w:rsid w:val="001C7117"/>
    <w:rsid w:val="001C745A"/>
    <w:rsid w:val="001C7DDD"/>
    <w:rsid w:val="001D20FC"/>
    <w:rsid w:val="001D210A"/>
    <w:rsid w:val="001D6059"/>
    <w:rsid w:val="001D6515"/>
    <w:rsid w:val="001D7E98"/>
    <w:rsid w:val="001E04C9"/>
    <w:rsid w:val="001E49A4"/>
    <w:rsid w:val="001E4BDE"/>
    <w:rsid w:val="001E6635"/>
    <w:rsid w:val="001E6C02"/>
    <w:rsid w:val="001F12A2"/>
    <w:rsid w:val="001F5CB1"/>
    <w:rsid w:val="001F61A8"/>
    <w:rsid w:val="001F7480"/>
    <w:rsid w:val="00201174"/>
    <w:rsid w:val="00202880"/>
    <w:rsid w:val="00202E4E"/>
    <w:rsid w:val="00203BCC"/>
    <w:rsid w:val="00205E0B"/>
    <w:rsid w:val="00205F2B"/>
    <w:rsid w:val="002115BD"/>
    <w:rsid w:val="002126BA"/>
    <w:rsid w:val="00212B27"/>
    <w:rsid w:val="0021515C"/>
    <w:rsid w:val="002227A9"/>
    <w:rsid w:val="00223901"/>
    <w:rsid w:val="00226DEE"/>
    <w:rsid w:val="00231D45"/>
    <w:rsid w:val="002335A9"/>
    <w:rsid w:val="002343CF"/>
    <w:rsid w:val="00235D29"/>
    <w:rsid w:val="002363D9"/>
    <w:rsid w:val="00236B8C"/>
    <w:rsid w:val="002373C6"/>
    <w:rsid w:val="00237C4B"/>
    <w:rsid w:val="0024009A"/>
    <w:rsid w:val="00240D59"/>
    <w:rsid w:val="00242C0A"/>
    <w:rsid w:val="002441D5"/>
    <w:rsid w:val="00245B9F"/>
    <w:rsid w:val="00246E5F"/>
    <w:rsid w:val="00254374"/>
    <w:rsid w:val="00255C91"/>
    <w:rsid w:val="00261539"/>
    <w:rsid w:val="00261E78"/>
    <w:rsid w:val="00263F5F"/>
    <w:rsid w:val="002660AA"/>
    <w:rsid w:val="00270898"/>
    <w:rsid w:val="00272AF0"/>
    <w:rsid w:val="00273C6F"/>
    <w:rsid w:val="00275C42"/>
    <w:rsid w:val="00277DB8"/>
    <w:rsid w:val="00280876"/>
    <w:rsid w:val="00282FEF"/>
    <w:rsid w:val="002849B4"/>
    <w:rsid w:val="00286B97"/>
    <w:rsid w:val="002911A4"/>
    <w:rsid w:val="002916C3"/>
    <w:rsid w:val="00291F1C"/>
    <w:rsid w:val="0029676A"/>
    <w:rsid w:val="00297FA7"/>
    <w:rsid w:val="002A15F4"/>
    <w:rsid w:val="002A1935"/>
    <w:rsid w:val="002A1A79"/>
    <w:rsid w:val="002A21D1"/>
    <w:rsid w:val="002A22F7"/>
    <w:rsid w:val="002A2EE3"/>
    <w:rsid w:val="002A449A"/>
    <w:rsid w:val="002A4B53"/>
    <w:rsid w:val="002A4D70"/>
    <w:rsid w:val="002B1CB1"/>
    <w:rsid w:val="002B1F66"/>
    <w:rsid w:val="002B31B3"/>
    <w:rsid w:val="002B433A"/>
    <w:rsid w:val="002B4777"/>
    <w:rsid w:val="002B61A8"/>
    <w:rsid w:val="002B6BE4"/>
    <w:rsid w:val="002B6EBE"/>
    <w:rsid w:val="002B79D4"/>
    <w:rsid w:val="002C1E00"/>
    <w:rsid w:val="002C5722"/>
    <w:rsid w:val="002C639B"/>
    <w:rsid w:val="002C63D4"/>
    <w:rsid w:val="002D01EA"/>
    <w:rsid w:val="002D1328"/>
    <w:rsid w:val="002D5D7B"/>
    <w:rsid w:val="002D6914"/>
    <w:rsid w:val="002D6DF0"/>
    <w:rsid w:val="002D7FFA"/>
    <w:rsid w:val="002E3B38"/>
    <w:rsid w:val="002E4EEF"/>
    <w:rsid w:val="002E5070"/>
    <w:rsid w:val="002E55EA"/>
    <w:rsid w:val="002E5604"/>
    <w:rsid w:val="002F2E20"/>
    <w:rsid w:val="002F479A"/>
    <w:rsid w:val="002F54F3"/>
    <w:rsid w:val="002F5A14"/>
    <w:rsid w:val="00303038"/>
    <w:rsid w:val="0030318A"/>
    <w:rsid w:val="00306013"/>
    <w:rsid w:val="00306734"/>
    <w:rsid w:val="00310426"/>
    <w:rsid w:val="00310974"/>
    <w:rsid w:val="00313E45"/>
    <w:rsid w:val="00315135"/>
    <w:rsid w:val="00315D13"/>
    <w:rsid w:val="003167E5"/>
    <w:rsid w:val="00320FCE"/>
    <w:rsid w:val="003223F8"/>
    <w:rsid w:val="0032292A"/>
    <w:rsid w:val="00322D92"/>
    <w:rsid w:val="0032486D"/>
    <w:rsid w:val="00325CC0"/>
    <w:rsid w:val="003260C0"/>
    <w:rsid w:val="003266E1"/>
    <w:rsid w:val="00326B5A"/>
    <w:rsid w:val="003275D0"/>
    <w:rsid w:val="003279FD"/>
    <w:rsid w:val="003305E3"/>
    <w:rsid w:val="003326BE"/>
    <w:rsid w:val="003327F8"/>
    <w:rsid w:val="00335F19"/>
    <w:rsid w:val="003363C7"/>
    <w:rsid w:val="00341177"/>
    <w:rsid w:val="00341311"/>
    <w:rsid w:val="00342BF7"/>
    <w:rsid w:val="00343B25"/>
    <w:rsid w:val="00345B8E"/>
    <w:rsid w:val="003479D4"/>
    <w:rsid w:val="00351ACA"/>
    <w:rsid w:val="00352AE5"/>
    <w:rsid w:val="00357562"/>
    <w:rsid w:val="00357648"/>
    <w:rsid w:val="00357AF7"/>
    <w:rsid w:val="00360662"/>
    <w:rsid w:val="00364F08"/>
    <w:rsid w:val="003705D7"/>
    <w:rsid w:val="00371F53"/>
    <w:rsid w:val="00372D2E"/>
    <w:rsid w:val="00372E1B"/>
    <w:rsid w:val="00372F60"/>
    <w:rsid w:val="00373BD6"/>
    <w:rsid w:val="003743C8"/>
    <w:rsid w:val="00383294"/>
    <w:rsid w:val="00383F3F"/>
    <w:rsid w:val="00384342"/>
    <w:rsid w:val="003849ED"/>
    <w:rsid w:val="00385A4C"/>
    <w:rsid w:val="0038704B"/>
    <w:rsid w:val="003879D9"/>
    <w:rsid w:val="00392981"/>
    <w:rsid w:val="00395906"/>
    <w:rsid w:val="00395CFA"/>
    <w:rsid w:val="003A2059"/>
    <w:rsid w:val="003A27D2"/>
    <w:rsid w:val="003A2D7B"/>
    <w:rsid w:val="003A344F"/>
    <w:rsid w:val="003A38CC"/>
    <w:rsid w:val="003A74BF"/>
    <w:rsid w:val="003B122C"/>
    <w:rsid w:val="003B2756"/>
    <w:rsid w:val="003B5F7E"/>
    <w:rsid w:val="003B6C6E"/>
    <w:rsid w:val="003C0750"/>
    <w:rsid w:val="003C1FF5"/>
    <w:rsid w:val="003C288C"/>
    <w:rsid w:val="003C31EE"/>
    <w:rsid w:val="003C7721"/>
    <w:rsid w:val="003D081D"/>
    <w:rsid w:val="003D0D13"/>
    <w:rsid w:val="003D0F93"/>
    <w:rsid w:val="003D2790"/>
    <w:rsid w:val="003D2E2F"/>
    <w:rsid w:val="003D44F4"/>
    <w:rsid w:val="003D60FF"/>
    <w:rsid w:val="003E0E66"/>
    <w:rsid w:val="003E4982"/>
    <w:rsid w:val="003E63B3"/>
    <w:rsid w:val="003E6E05"/>
    <w:rsid w:val="003E7AA9"/>
    <w:rsid w:val="003F53D6"/>
    <w:rsid w:val="00403152"/>
    <w:rsid w:val="00403834"/>
    <w:rsid w:val="00403AAA"/>
    <w:rsid w:val="00405831"/>
    <w:rsid w:val="00406000"/>
    <w:rsid w:val="00412707"/>
    <w:rsid w:val="00413539"/>
    <w:rsid w:val="0041396D"/>
    <w:rsid w:val="00415A92"/>
    <w:rsid w:val="00416B02"/>
    <w:rsid w:val="0041721F"/>
    <w:rsid w:val="0041730D"/>
    <w:rsid w:val="00420E02"/>
    <w:rsid w:val="004228CD"/>
    <w:rsid w:val="0042527A"/>
    <w:rsid w:val="00426354"/>
    <w:rsid w:val="004309E9"/>
    <w:rsid w:val="00432A2B"/>
    <w:rsid w:val="00436BA1"/>
    <w:rsid w:val="00437C95"/>
    <w:rsid w:val="00441E77"/>
    <w:rsid w:val="00443639"/>
    <w:rsid w:val="004450BD"/>
    <w:rsid w:val="004453CE"/>
    <w:rsid w:val="00445A3B"/>
    <w:rsid w:val="00445C4E"/>
    <w:rsid w:val="00445FE0"/>
    <w:rsid w:val="00446742"/>
    <w:rsid w:val="00451948"/>
    <w:rsid w:val="00451A9F"/>
    <w:rsid w:val="0045475F"/>
    <w:rsid w:val="00455651"/>
    <w:rsid w:val="0045669C"/>
    <w:rsid w:val="00462000"/>
    <w:rsid w:val="00464504"/>
    <w:rsid w:val="00466C98"/>
    <w:rsid w:val="00467C3F"/>
    <w:rsid w:val="00467CE4"/>
    <w:rsid w:val="004746C9"/>
    <w:rsid w:val="004758B3"/>
    <w:rsid w:val="0047710F"/>
    <w:rsid w:val="0048176C"/>
    <w:rsid w:val="00481777"/>
    <w:rsid w:val="00490BDE"/>
    <w:rsid w:val="004935E9"/>
    <w:rsid w:val="00494504"/>
    <w:rsid w:val="004957EC"/>
    <w:rsid w:val="00496F8D"/>
    <w:rsid w:val="004A0684"/>
    <w:rsid w:val="004A2EC3"/>
    <w:rsid w:val="004A568F"/>
    <w:rsid w:val="004A6E47"/>
    <w:rsid w:val="004A7196"/>
    <w:rsid w:val="004A7400"/>
    <w:rsid w:val="004A7988"/>
    <w:rsid w:val="004B201A"/>
    <w:rsid w:val="004B41B9"/>
    <w:rsid w:val="004B4A44"/>
    <w:rsid w:val="004B64F3"/>
    <w:rsid w:val="004B75CE"/>
    <w:rsid w:val="004C33EA"/>
    <w:rsid w:val="004C36CF"/>
    <w:rsid w:val="004C4A3E"/>
    <w:rsid w:val="004C59EA"/>
    <w:rsid w:val="004C65C6"/>
    <w:rsid w:val="004C660D"/>
    <w:rsid w:val="004C7E92"/>
    <w:rsid w:val="004D0699"/>
    <w:rsid w:val="004D1529"/>
    <w:rsid w:val="004D19CE"/>
    <w:rsid w:val="004D23F6"/>
    <w:rsid w:val="004D2ED0"/>
    <w:rsid w:val="004D4522"/>
    <w:rsid w:val="004D740B"/>
    <w:rsid w:val="004E01E9"/>
    <w:rsid w:val="004E3E40"/>
    <w:rsid w:val="004E570D"/>
    <w:rsid w:val="004E6400"/>
    <w:rsid w:val="004E642E"/>
    <w:rsid w:val="004E6924"/>
    <w:rsid w:val="004E6A61"/>
    <w:rsid w:val="004E6E33"/>
    <w:rsid w:val="004E702A"/>
    <w:rsid w:val="004F05C7"/>
    <w:rsid w:val="004F0C2D"/>
    <w:rsid w:val="004F3D7E"/>
    <w:rsid w:val="004F4451"/>
    <w:rsid w:val="004F4630"/>
    <w:rsid w:val="004F521E"/>
    <w:rsid w:val="004F6FEE"/>
    <w:rsid w:val="00500EB4"/>
    <w:rsid w:val="00501CD2"/>
    <w:rsid w:val="00503974"/>
    <w:rsid w:val="0050439B"/>
    <w:rsid w:val="0050529F"/>
    <w:rsid w:val="00506A51"/>
    <w:rsid w:val="005110C3"/>
    <w:rsid w:val="00511A0F"/>
    <w:rsid w:val="0051253D"/>
    <w:rsid w:val="00514B5E"/>
    <w:rsid w:val="005157C1"/>
    <w:rsid w:val="00515954"/>
    <w:rsid w:val="00515B83"/>
    <w:rsid w:val="00515E3D"/>
    <w:rsid w:val="00516D93"/>
    <w:rsid w:val="005208AC"/>
    <w:rsid w:val="00521F29"/>
    <w:rsid w:val="0052286C"/>
    <w:rsid w:val="00522AB9"/>
    <w:rsid w:val="00525C30"/>
    <w:rsid w:val="005265B9"/>
    <w:rsid w:val="005307E8"/>
    <w:rsid w:val="00531580"/>
    <w:rsid w:val="0053175E"/>
    <w:rsid w:val="00533533"/>
    <w:rsid w:val="00534CCB"/>
    <w:rsid w:val="00535C99"/>
    <w:rsid w:val="00535E24"/>
    <w:rsid w:val="00537E02"/>
    <w:rsid w:val="00542718"/>
    <w:rsid w:val="00543224"/>
    <w:rsid w:val="005440F6"/>
    <w:rsid w:val="00544CCD"/>
    <w:rsid w:val="0054557A"/>
    <w:rsid w:val="00546DD6"/>
    <w:rsid w:val="00547869"/>
    <w:rsid w:val="005514DB"/>
    <w:rsid w:val="0055172C"/>
    <w:rsid w:val="0055569F"/>
    <w:rsid w:val="0055771D"/>
    <w:rsid w:val="005609B0"/>
    <w:rsid w:val="00560D15"/>
    <w:rsid w:val="0056210F"/>
    <w:rsid w:val="00565055"/>
    <w:rsid w:val="00565635"/>
    <w:rsid w:val="00567FCF"/>
    <w:rsid w:val="00570765"/>
    <w:rsid w:val="00570A53"/>
    <w:rsid w:val="00571521"/>
    <w:rsid w:val="005732BD"/>
    <w:rsid w:val="005733F9"/>
    <w:rsid w:val="00573E59"/>
    <w:rsid w:val="0057490F"/>
    <w:rsid w:val="00575295"/>
    <w:rsid w:val="00581979"/>
    <w:rsid w:val="00581C01"/>
    <w:rsid w:val="0058242D"/>
    <w:rsid w:val="00582C22"/>
    <w:rsid w:val="005845CB"/>
    <w:rsid w:val="0058498A"/>
    <w:rsid w:val="00586350"/>
    <w:rsid w:val="00586CDB"/>
    <w:rsid w:val="005901D2"/>
    <w:rsid w:val="005935F4"/>
    <w:rsid w:val="0059461A"/>
    <w:rsid w:val="00597520"/>
    <w:rsid w:val="005A18C5"/>
    <w:rsid w:val="005A3ED5"/>
    <w:rsid w:val="005A511C"/>
    <w:rsid w:val="005A56BA"/>
    <w:rsid w:val="005A7CF6"/>
    <w:rsid w:val="005B42EE"/>
    <w:rsid w:val="005B4F7A"/>
    <w:rsid w:val="005B537E"/>
    <w:rsid w:val="005B7C71"/>
    <w:rsid w:val="005C310A"/>
    <w:rsid w:val="005C4A6B"/>
    <w:rsid w:val="005C661F"/>
    <w:rsid w:val="005C7624"/>
    <w:rsid w:val="005D2720"/>
    <w:rsid w:val="005D2A59"/>
    <w:rsid w:val="005D779E"/>
    <w:rsid w:val="005E5B64"/>
    <w:rsid w:val="005F0C00"/>
    <w:rsid w:val="005F15ED"/>
    <w:rsid w:val="005F33F2"/>
    <w:rsid w:val="005F460C"/>
    <w:rsid w:val="005F51F6"/>
    <w:rsid w:val="005F74D0"/>
    <w:rsid w:val="00600404"/>
    <w:rsid w:val="00600CE0"/>
    <w:rsid w:val="0060117A"/>
    <w:rsid w:val="006039A2"/>
    <w:rsid w:val="00604E5D"/>
    <w:rsid w:val="00612E14"/>
    <w:rsid w:val="00614446"/>
    <w:rsid w:val="00617F30"/>
    <w:rsid w:val="00622BFF"/>
    <w:rsid w:val="006231CF"/>
    <w:rsid w:val="0062598A"/>
    <w:rsid w:val="00625A52"/>
    <w:rsid w:val="0062686B"/>
    <w:rsid w:val="00633A74"/>
    <w:rsid w:val="00634B57"/>
    <w:rsid w:val="006364ED"/>
    <w:rsid w:val="00637549"/>
    <w:rsid w:val="00640375"/>
    <w:rsid w:val="00642A6F"/>
    <w:rsid w:val="00642E50"/>
    <w:rsid w:val="00646049"/>
    <w:rsid w:val="00647FBA"/>
    <w:rsid w:val="00651392"/>
    <w:rsid w:val="0065268F"/>
    <w:rsid w:val="006538DF"/>
    <w:rsid w:val="0065391A"/>
    <w:rsid w:val="00654E9B"/>
    <w:rsid w:val="0065679C"/>
    <w:rsid w:val="00657108"/>
    <w:rsid w:val="00663306"/>
    <w:rsid w:val="00663909"/>
    <w:rsid w:val="00663E95"/>
    <w:rsid w:val="006659FF"/>
    <w:rsid w:val="00665CF5"/>
    <w:rsid w:val="006671BC"/>
    <w:rsid w:val="0067299B"/>
    <w:rsid w:val="00673287"/>
    <w:rsid w:val="00674A45"/>
    <w:rsid w:val="00674F92"/>
    <w:rsid w:val="00676A9A"/>
    <w:rsid w:val="00677BB3"/>
    <w:rsid w:val="00680679"/>
    <w:rsid w:val="0068146D"/>
    <w:rsid w:val="00682DB1"/>
    <w:rsid w:val="00683FFB"/>
    <w:rsid w:val="0068768A"/>
    <w:rsid w:val="00687B2F"/>
    <w:rsid w:val="00690BEA"/>
    <w:rsid w:val="00695279"/>
    <w:rsid w:val="00696A52"/>
    <w:rsid w:val="0069721D"/>
    <w:rsid w:val="00697BED"/>
    <w:rsid w:val="00697C69"/>
    <w:rsid w:val="006A0A59"/>
    <w:rsid w:val="006A2D2D"/>
    <w:rsid w:val="006A5742"/>
    <w:rsid w:val="006B0854"/>
    <w:rsid w:val="006B0F12"/>
    <w:rsid w:val="006B12FB"/>
    <w:rsid w:val="006B3198"/>
    <w:rsid w:val="006B33A7"/>
    <w:rsid w:val="006C1260"/>
    <w:rsid w:val="006C2232"/>
    <w:rsid w:val="006C6800"/>
    <w:rsid w:val="006D05CF"/>
    <w:rsid w:val="006D0BC5"/>
    <w:rsid w:val="006D2239"/>
    <w:rsid w:val="006D2CF2"/>
    <w:rsid w:val="006D2E37"/>
    <w:rsid w:val="006D34C3"/>
    <w:rsid w:val="006E0699"/>
    <w:rsid w:val="006E327C"/>
    <w:rsid w:val="006E3905"/>
    <w:rsid w:val="006E5215"/>
    <w:rsid w:val="006E7795"/>
    <w:rsid w:val="006E7E9F"/>
    <w:rsid w:val="006E7FA8"/>
    <w:rsid w:val="006F00DB"/>
    <w:rsid w:val="006F4623"/>
    <w:rsid w:val="006F4B40"/>
    <w:rsid w:val="00701FEA"/>
    <w:rsid w:val="007040D1"/>
    <w:rsid w:val="00705A00"/>
    <w:rsid w:val="007069F7"/>
    <w:rsid w:val="00706DE1"/>
    <w:rsid w:val="00707D6C"/>
    <w:rsid w:val="00710059"/>
    <w:rsid w:val="00710337"/>
    <w:rsid w:val="007110C9"/>
    <w:rsid w:val="00712349"/>
    <w:rsid w:val="00712FCE"/>
    <w:rsid w:val="007131CA"/>
    <w:rsid w:val="00714BA3"/>
    <w:rsid w:val="00714C0F"/>
    <w:rsid w:val="00715180"/>
    <w:rsid w:val="00715307"/>
    <w:rsid w:val="0071537B"/>
    <w:rsid w:val="00716144"/>
    <w:rsid w:val="007167AE"/>
    <w:rsid w:val="00720485"/>
    <w:rsid w:val="00721098"/>
    <w:rsid w:val="0072495B"/>
    <w:rsid w:val="00730D7B"/>
    <w:rsid w:val="007311E0"/>
    <w:rsid w:val="007360D3"/>
    <w:rsid w:val="0073644C"/>
    <w:rsid w:val="00736D2D"/>
    <w:rsid w:val="00737641"/>
    <w:rsid w:val="00737C72"/>
    <w:rsid w:val="007452F9"/>
    <w:rsid w:val="0074660C"/>
    <w:rsid w:val="00747B69"/>
    <w:rsid w:val="00750E77"/>
    <w:rsid w:val="00751449"/>
    <w:rsid w:val="00755D95"/>
    <w:rsid w:val="00756B0E"/>
    <w:rsid w:val="00757165"/>
    <w:rsid w:val="00757BAA"/>
    <w:rsid w:val="00762B9C"/>
    <w:rsid w:val="00763999"/>
    <w:rsid w:val="00766491"/>
    <w:rsid w:val="00766BCF"/>
    <w:rsid w:val="00767F39"/>
    <w:rsid w:val="007705BC"/>
    <w:rsid w:val="007726E1"/>
    <w:rsid w:val="0077434F"/>
    <w:rsid w:val="00774F4B"/>
    <w:rsid w:val="00775BF5"/>
    <w:rsid w:val="00790A01"/>
    <w:rsid w:val="0079256F"/>
    <w:rsid w:val="00792FC9"/>
    <w:rsid w:val="0079307B"/>
    <w:rsid w:val="007941CF"/>
    <w:rsid w:val="007951DA"/>
    <w:rsid w:val="00796F48"/>
    <w:rsid w:val="007A2A5E"/>
    <w:rsid w:val="007A2ED7"/>
    <w:rsid w:val="007A3C6A"/>
    <w:rsid w:val="007A5821"/>
    <w:rsid w:val="007A6B87"/>
    <w:rsid w:val="007B0EBF"/>
    <w:rsid w:val="007B12EF"/>
    <w:rsid w:val="007B2396"/>
    <w:rsid w:val="007B51E2"/>
    <w:rsid w:val="007B6F81"/>
    <w:rsid w:val="007C08B4"/>
    <w:rsid w:val="007D0A64"/>
    <w:rsid w:val="007D5D8D"/>
    <w:rsid w:val="007D608D"/>
    <w:rsid w:val="007D7EE0"/>
    <w:rsid w:val="007E10A5"/>
    <w:rsid w:val="007E2A95"/>
    <w:rsid w:val="007E3D71"/>
    <w:rsid w:val="007F0036"/>
    <w:rsid w:val="007F2841"/>
    <w:rsid w:val="007F3E30"/>
    <w:rsid w:val="0080096B"/>
    <w:rsid w:val="00800B90"/>
    <w:rsid w:val="00802A66"/>
    <w:rsid w:val="00805ADD"/>
    <w:rsid w:val="008103A0"/>
    <w:rsid w:val="00810DE3"/>
    <w:rsid w:val="008111B9"/>
    <w:rsid w:val="008130CB"/>
    <w:rsid w:val="0081679F"/>
    <w:rsid w:val="00817F7E"/>
    <w:rsid w:val="00821541"/>
    <w:rsid w:val="00821A06"/>
    <w:rsid w:val="008220F3"/>
    <w:rsid w:val="00822273"/>
    <w:rsid w:val="008235DB"/>
    <w:rsid w:val="00823FCA"/>
    <w:rsid w:val="00826FE4"/>
    <w:rsid w:val="00827103"/>
    <w:rsid w:val="00830647"/>
    <w:rsid w:val="00830E80"/>
    <w:rsid w:val="00832911"/>
    <w:rsid w:val="00833071"/>
    <w:rsid w:val="00833EB7"/>
    <w:rsid w:val="0084092F"/>
    <w:rsid w:val="00843333"/>
    <w:rsid w:val="00844C87"/>
    <w:rsid w:val="00845E3F"/>
    <w:rsid w:val="00850A87"/>
    <w:rsid w:val="008532FB"/>
    <w:rsid w:val="008540F0"/>
    <w:rsid w:val="008568C0"/>
    <w:rsid w:val="00864874"/>
    <w:rsid w:val="0086584C"/>
    <w:rsid w:val="00870290"/>
    <w:rsid w:val="00871CA1"/>
    <w:rsid w:val="008730F5"/>
    <w:rsid w:val="00874F47"/>
    <w:rsid w:val="00877D87"/>
    <w:rsid w:val="00880255"/>
    <w:rsid w:val="008810FA"/>
    <w:rsid w:val="00881A86"/>
    <w:rsid w:val="00883C4E"/>
    <w:rsid w:val="00884878"/>
    <w:rsid w:val="00885B9C"/>
    <w:rsid w:val="00886997"/>
    <w:rsid w:val="00886D18"/>
    <w:rsid w:val="00887B22"/>
    <w:rsid w:val="00890714"/>
    <w:rsid w:val="00892303"/>
    <w:rsid w:val="00896927"/>
    <w:rsid w:val="00897E16"/>
    <w:rsid w:val="008A144E"/>
    <w:rsid w:val="008A310A"/>
    <w:rsid w:val="008A6603"/>
    <w:rsid w:val="008B26F5"/>
    <w:rsid w:val="008B5F65"/>
    <w:rsid w:val="008B7228"/>
    <w:rsid w:val="008C0FBD"/>
    <w:rsid w:val="008C4903"/>
    <w:rsid w:val="008C5617"/>
    <w:rsid w:val="008C6687"/>
    <w:rsid w:val="008C70BD"/>
    <w:rsid w:val="008C79C7"/>
    <w:rsid w:val="008C7AC8"/>
    <w:rsid w:val="008D0242"/>
    <w:rsid w:val="008D23EE"/>
    <w:rsid w:val="008D27EF"/>
    <w:rsid w:val="008D280D"/>
    <w:rsid w:val="008D28DF"/>
    <w:rsid w:val="008D2DC8"/>
    <w:rsid w:val="008D34F9"/>
    <w:rsid w:val="008D3D46"/>
    <w:rsid w:val="008D6AAA"/>
    <w:rsid w:val="008D745E"/>
    <w:rsid w:val="008E29AB"/>
    <w:rsid w:val="008E44A5"/>
    <w:rsid w:val="008E4EF2"/>
    <w:rsid w:val="008E57C5"/>
    <w:rsid w:val="008F06F2"/>
    <w:rsid w:val="008F1E28"/>
    <w:rsid w:val="008F1E3A"/>
    <w:rsid w:val="008F44C2"/>
    <w:rsid w:val="008F4C4B"/>
    <w:rsid w:val="008F5D80"/>
    <w:rsid w:val="008F6E4C"/>
    <w:rsid w:val="008F7B8C"/>
    <w:rsid w:val="009006D2"/>
    <w:rsid w:val="00903C56"/>
    <w:rsid w:val="009066AA"/>
    <w:rsid w:val="00906A81"/>
    <w:rsid w:val="00906FC8"/>
    <w:rsid w:val="009103F3"/>
    <w:rsid w:val="009126A4"/>
    <w:rsid w:val="00914976"/>
    <w:rsid w:val="009163AF"/>
    <w:rsid w:val="00916D52"/>
    <w:rsid w:val="00922535"/>
    <w:rsid w:val="00923D3D"/>
    <w:rsid w:val="00924CCB"/>
    <w:rsid w:val="0092520A"/>
    <w:rsid w:val="00926EB6"/>
    <w:rsid w:val="00927978"/>
    <w:rsid w:val="00932FAD"/>
    <w:rsid w:val="00936ECF"/>
    <w:rsid w:val="00937307"/>
    <w:rsid w:val="009445BA"/>
    <w:rsid w:val="00945130"/>
    <w:rsid w:val="00945B0A"/>
    <w:rsid w:val="00946F68"/>
    <w:rsid w:val="009475F3"/>
    <w:rsid w:val="00951562"/>
    <w:rsid w:val="00951651"/>
    <w:rsid w:val="00953CAB"/>
    <w:rsid w:val="009541B5"/>
    <w:rsid w:val="00954EF3"/>
    <w:rsid w:val="0095603B"/>
    <w:rsid w:val="00957948"/>
    <w:rsid w:val="009662F7"/>
    <w:rsid w:val="00966871"/>
    <w:rsid w:val="009668EF"/>
    <w:rsid w:val="009713CF"/>
    <w:rsid w:val="009729A9"/>
    <w:rsid w:val="00975BE8"/>
    <w:rsid w:val="00975CF4"/>
    <w:rsid w:val="009761F8"/>
    <w:rsid w:val="00976967"/>
    <w:rsid w:val="00976AF1"/>
    <w:rsid w:val="00976FB3"/>
    <w:rsid w:val="009775F8"/>
    <w:rsid w:val="0098030D"/>
    <w:rsid w:val="009808C9"/>
    <w:rsid w:val="00981B13"/>
    <w:rsid w:val="00981E62"/>
    <w:rsid w:val="00984D1E"/>
    <w:rsid w:val="009928E1"/>
    <w:rsid w:val="00992C57"/>
    <w:rsid w:val="0099488A"/>
    <w:rsid w:val="00994D57"/>
    <w:rsid w:val="00996460"/>
    <w:rsid w:val="0099677B"/>
    <w:rsid w:val="009A1E07"/>
    <w:rsid w:val="009A25EB"/>
    <w:rsid w:val="009A290D"/>
    <w:rsid w:val="009B34E3"/>
    <w:rsid w:val="009B5190"/>
    <w:rsid w:val="009B5381"/>
    <w:rsid w:val="009B654F"/>
    <w:rsid w:val="009B69CD"/>
    <w:rsid w:val="009C0679"/>
    <w:rsid w:val="009C16DF"/>
    <w:rsid w:val="009C1871"/>
    <w:rsid w:val="009C1FDC"/>
    <w:rsid w:val="009C2407"/>
    <w:rsid w:val="009C4804"/>
    <w:rsid w:val="009D104E"/>
    <w:rsid w:val="009D1ADC"/>
    <w:rsid w:val="009D1FDF"/>
    <w:rsid w:val="009D3524"/>
    <w:rsid w:val="009D3FE2"/>
    <w:rsid w:val="009D5236"/>
    <w:rsid w:val="009D741F"/>
    <w:rsid w:val="009E1667"/>
    <w:rsid w:val="009E1CA8"/>
    <w:rsid w:val="009E28E1"/>
    <w:rsid w:val="009E38C1"/>
    <w:rsid w:val="009E6780"/>
    <w:rsid w:val="009E79EC"/>
    <w:rsid w:val="009F196B"/>
    <w:rsid w:val="009F3569"/>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2B7"/>
    <w:rsid w:val="00A22538"/>
    <w:rsid w:val="00A232AC"/>
    <w:rsid w:val="00A2451A"/>
    <w:rsid w:val="00A27E2B"/>
    <w:rsid w:val="00A33B7B"/>
    <w:rsid w:val="00A34039"/>
    <w:rsid w:val="00A343E9"/>
    <w:rsid w:val="00A34449"/>
    <w:rsid w:val="00A3552E"/>
    <w:rsid w:val="00A35E94"/>
    <w:rsid w:val="00A362EB"/>
    <w:rsid w:val="00A36449"/>
    <w:rsid w:val="00A37C1E"/>
    <w:rsid w:val="00A41453"/>
    <w:rsid w:val="00A414EE"/>
    <w:rsid w:val="00A417FA"/>
    <w:rsid w:val="00A42760"/>
    <w:rsid w:val="00A443C7"/>
    <w:rsid w:val="00A44A3D"/>
    <w:rsid w:val="00A45675"/>
    <w:rsid w:val="00A458B3"/>
    <w:rsid w:val="00A45B60"/>
    <w:rsid w:val="00A45E73"/>
    <w:rsid w:val="00A51EEE"/>
    <w:rsid w:val="00A5551F"/>
    <w:rsid w:val="00A61B0C"/>
    <w:rsid w:val="00A62E17"/>
    <w:rsid w:val="00A65CAA"/>
    <w:rsid w:val="00A662CF"/>
    <w:rsid w:val="00A7428D"/>
    <w:rsid w:val="00A766FD"/>
    <w:rsid w:val="00A80353"/>
    <w:rsid w:val="00A820E7"/>
    <w:rsid w:val="00A82DF8"/>
    <w:rsid w:val="00A86DDB"/>
    <w:rsid w:val="00A9333E"/>
    <w:rsid w:val="00A94EC5"/>
    <w:rsid w:val="00A9554E"/>
    <w:rsid w:val="00AA31F2"/>
    <w:rsid w:val="00AA406C"/>
    <w:rsid w:val="00AA4F9F"/>
    <w:rsid w:val="00AA5E1B"/>
    <w:rsid w:val="00AA6DFB"/>
    <w:rsid w:val="00AA7256"/>
    <w:rsid w:val="00AB0987"/>
    <w:rsid w:val="00AB09C1"/>
    <w:rsid w:val="00AB0FD3"/>
    <w:rsid w:val="00AB3900"/>
    <w:rsid w:val="00AB7215"/>
    <w:rsid w:val="00AC005D"/>
    <w:rsid w:val="00AC14DE"/>
    <w:rsid w:val="00AC56C2"/>
    <w:rsid w:val="00AC5E19"/>
    <w:rsid w:val="00AC6F49"/>
    <w:rsid w:val="00AD2723"/>
    <w:rsid w:val="00AD445D"/>
    <w:rsid w:val="00AD5EC8"/>
    <w:rsid w:val="00AD6F47"/>
    <w:rsid w:val="00AE2781"/>
    <w:rsid w:val="00AE5C52"/>
    <w:rsid w:val="00AE6D76"/>
    <w:rsid w:val="00AE6E0A"/>
    <w:rsid w:val="00AE7A7F"/>
    <w:rsid w:val="00AF045F"/>
    <w:rsid w:val="00AF0FA2"/>
    <w:rsid w:val="00AF0FDD"/>
    <w:rsid w:val="00AF3873"/>
    <w:rsid w:val="00AF5A70"/>
    <w:rsid w:val="00AF5C5C"/>
    <w:rsid w:val="00B0128D"/>
    <w:rsid w:val="00B03FB1"/>
    <w:rsid w:val="00B15829"/>
    <w:rsid w:val="00B16BCA"/>
    <w:rsid w:val="00B17A9D"/>
    <w:rsid w:val="00B206FA"/>
    <w:rsid w:val="00B21C2F"/>
    <w:rsid w:val="00B249B7"/>
    <w:rsid w:val="00B2764E"/>
    <w:rsid w:val="00B300DD"/>
    <w:rsid w:val="00B30E77"/>
    <w:rsid w:val="00B33F27"/>
    <w:rsid w:val="00B34B88"/>
    <w:rsid w:val="00B37A25"/>
    <w:rsid w:val="00B44032"/>
    <w:rsid w:val="00B44604"/>
    <w:rsid w:val="00B44D8F"/>
    <w:rsid w:val="00B456CC"/>
    <w:rsid w:val="00B478EF"/>
    <w:rsid w:val="00B47CB9"/>
    <w:rsid w:val="00B51BAD"/>
    <w:rsid w:val="00B53E4E"/>
    <w:rsid w:val="00B55BE4"/>
    <w:rsid w:val="00B564A3"/>
    <w:rsid w:val="00B56514"/>
    <w:rsid w:val="00B56551"/>
    <w:rsid w:val="00B57AE9"/>
    <w:rsid w:val="00B57CA2"/>
    <w:rsid w:val="00B638BD"/>
    <w:rsid w:val="00B65EB5"/>
    <w:rsid w:val="00B66555"/>
    <w:rsid w:val="00B71672"/>
    <w:rsid w:val="00B72CEC"/>
    <w:rsid w:val="00B73156"/>
    <w:rsid w:val="00B73650"/>
    <w:rsid w:val="00B74929"/>
    <w:rsid w:val="00B7716B"/>
    <w:rsid w:val="00B777E6"/>
    <w:rsid w:val="00B80134"/>
    <w:rsid w:val="00B80707"/>
    <w:rsid w:val="00B812BC"/>
    <w:rsid w:val="00B83AF2"/>
    <w:rsid w:val="00B83ED5"/>
    <w:rsid w:val="00B861D4"/>
    <w:rsid w:val="00B8737A"/>
    <w:rsid w:val="00B87675"/>
    <w:rsid w:val="00B910DF"/>
    <w:rsid w:val="00B911B6"/>
    <w:rsid w:val="00B922B9"/>
    <w:rsid w:val="00B92B2F"/>
    <w:rsid w:val="00B9445E"/>
    <w:rsid w:val="00B95043"/>
    <w:rsid w:val="00B9749F"/>
    <w:rsid w:val="00BA3026"/>
    <w:rsid w:val="00BA3EFF"/>
    <w:rsid w:val="00BA3F2C"/>
    <w:rsid w:val="00BA4972"/>
    <w:rsid w:val="00BA5FE7"/>
    <w:rsid w:val="00BB1C24"/>
    <w:rsid w:val="00BB2580"/>
    <w:rsid w:val="00BB27EC"/>
    <w:rsid w:val="00BB36D7"/>
    <w:rsid w:val="00BB37EE"/>
    <w:rsid w:val="00BB530B"/>
    <w:rsid w:val="00BB58D3"/>
    <w:rsid w:val="00BC06F5"/>
    <w:rsid w:val="00BC179B"/>
    <w:rsid w:val="00BC432E"/>
    <w:rsid w:val="00BC6774"/>
    <w:rsid w:val="00BC6C8B"/>
    <w:rsid w:val="00BC6EEF"/>
    <w:rsid w:val="00BC7980"/>
    <w:rsid w:val="00BD0CED"/>
    <w:rsid w:val="00BD28C5"/>
    <w:rsid w:val="00BD2FEE"/>
    <w:rsid w:val="00BD4D43"/>
    <w:rsid w:val="00BD63CA"/>
    <w:rsid w:val="00BD7695"/>
    <w:rsid w:val="00BE0D5C"/>
    <w:rsid w:val="00BE0EE1"/>
    <w:rsid w:val="00BE39A0"/>
    <w:rsid w:val="00BE4BDF"/>
    <w:rsid w:val="00BE5FED"/>
    <w:rsid w:val="00BE65E4"/>
    <w:rsid w:val="00BE7D81"/>
    <w:rsid w:val="00BF0AA7"/>
    <w:rsid w:val="00BF2F97"/>
    <w:rsid w:val="00C00765"/>
    <w:rsid w:val="00C00E26"/>
    <w:rsid w:val="00C03A2E"/>
    <w:rsid w:val="00C06287"/>
    <w:rsid w:val="00C12309"/>
    <w:rsid w:val="00C13CF2"/>
    <w:rsid w:val="00C17C58"/>
    <w:rsid w:val="00C20350"/>
    <w:rsid w:val="00C20D5E"/>
    <w:rsid w:val="00C23583"/>
    <w:rsid w:val="00C25AF6"/>
    <w:rsid w:val="00C312CC"/>
    <w:rsid w:val="00C33D9E"/>
    <w:rsid w:val="00C36C67"/>
    <w:rsid w:val="00C4066A"/>
    <w:rsid w:val="00C40D0E"/>
    <w:rsid w:val="00C43E4B"/>
    <w:rsid w:val="00C44F31"/>
    <w:rsid w:val="00C45DD3"/>
    <w:rsid w:val="00C45E48"/>
    <w:rsid w:val="00C469FC"/>
    <w:rsid w:val="00C46B7B"/>
    <w:rsid w:val="00C51DF7"/>
    <w:rsid w:val="00C5255D"/>
    <w:rsid w:val="00C537F7"/>
    <w:rsid w:val="00C56BAB"/>
    <w:rsid w:val="00C57E14"/>
    <w:rsid w:val="00C602B7"/>
    <w:rsid w:val="00C60D92"/>
    <w:rsid w:val="00C64C5B"/>
    <w:rsid w:val="00C65930"/>
    <w:rsid w:val="00C754CC"/>
    <w:rsid w:val="00C75AB0"/>
    <w:rsid w:val="00C75B02"/>
    <w:rsid w:val="00C82AA4"/>
    <w:rsid w:val="00C8305C"/>
    <w:rsid w:val="00C83A0B"/>
    <w:rsid w:val="00C83E73"/>
    <w:rsid w:val="00C844D6"/>
    <w:rsid w:val="00C855FB"/>
    <w:rsid w:val="00C85FF6"/>
    <w:rsid w:val="00C8722E"/>
    <w:rsid w:val="00C8743A"/>
    <w:rsid w:val="00C9326B"/>
    <w:rsid w:val="00C94419"/>
    <w:rsid w:val="00C95691"/>
    <w:rsid w:val="00C95D46"/>
    <w:rsid w:val="00C96A47"/>
    <w:rsid w:val="00C970CE"/>
    <w:rsid w:val="00C97DF0"/>
    <w:rsid w:val="00CA113C"/>
    <w:rsid w:val="00CA15DE"/>
    <w:rsid w:val="00CA1ECD"/>
    <w:rsid w:val="00CA4C7F"/>
    <w:rsid w:val="00CA73B3"/>
    <w:rsid w:val="00CB1255"/>
    <w:rsid w:val="00CB13B7"/>
    <w:rsid w:val="00CB2486"/>
    <w:rsid w:val="00CB7087"/>
    <w:rsid w:val="00CB723D"/>
    <w:rsid w:val="00CC41EE"/>
    <w:rsid w:val="00CC47AF"/>
    <w:rsid w:val="00CD01CD"/>
    <w:rsid w:val="00CD061B"/>
    <w:rsid w:val="00CD0BF5"/>
    <w:rsid w:val="00CD0FA4"/>
    <w:rsid w:val="00CD1089"/>
    <w:rsid w:val="00CD1BCD"/>
    <w:rsid w:val="00CD41F8"/>
    <w:rsid w:val="00CD6D61"/>
    <w:rsid w:val="00CD7D66"/>
    <w:rsid w:val="00CD7FFC"/>
    <w:rsid w:val="00CE1DFB"/>
    <w:rsid w:val="00CE2C6E"/>
    <w:rsid w:val="00CE2D75"/>
    <w:rsid w:val="00CE5008"/>
    <w:rsid w:val="00CE6C66"/>
    <w:rsid w:val="00CE799B"/>
    <w:rsid w:val="00CF046A"/>
    <w:rsid w:val="00CF1674"/>
    <w:rsid w:val="00CF321C"/>
    <w:rsid w:val="00CF4FE6"/>
    <w:rsid w:val="00CF556F"/>
    <w:rsid w:val="00CF5974"/>
    <w:rsid w:val="00D0030F"/>
    <w:rsid w:val="00D00813"/>
    <w:rsid w:val="00D00B15"/>
    <w:rsid w:val="00D0445F"/>
    <w:rsid w:val="00D054D8"/>
    <w:rsid w:val="00D0608D"/>
    <w:rsid w:val="00D061D5"/>
    <w:rsid w:val="00D06E87"/>
    <w:rsid w:val="00D06EFC"/>
    <w:rsid w:val="00D074BF"/>
    <w:rsid w:val="00D1197E"/>
    <w:rsid w:val="00D122E5"/>
    <w:rsid w:val="00D1619E"/>
    <w:rsid w:val="00D206B3"/>
    <w:rsid w:val="00D219C1"/>
    <w:rsid w:val="00D22C33"/>
    <w:rsid w:val="00D27373"/>
    <w:rsid w:val="00D32833"/>
    <w:rsid w:val="00D33DA7"/>
    <w:rsid w:val="00D3507E"/>
    <w:rsid w:val="00D354D0"/>
    <w:rsid w:val="00D41D9A"/>
    <w:rsid w:val="00D461E5"/>
    <w:rsid w:val="00D472D8"/>
    <w:rsid w:val="00D51E82"/>
    <w:rsid w:val="00D51FAA"/>
    <w:rsid w:val="00D5255B"/>
    <w:rsid w:val="00D528FD"/>
    <w:rsid w:val="00D538F6"/>
    <w:rsid w:val="00D5457D"/>
    <w:rsid w:val="00D54EF5"/>
    <w:rsid w:val="00D551E2"/>
    <w:rsid w:val="00D555EC"/>
    <w:rsid w:val="00D564B3"/>
    <w:rsid w:val="00D56FF4"/>
    <w:rsid w:val="00D578DB"/>
    <w:rsid w:val="00D610F1"/>
    <w:rsid w:val="00D61E55"/>
    <w:rsid w:val="00D6213A"/>
    <w:rsid w:val="00D70223"/>
    <w:rsid w:val="00D73760"/>
    <w:rsid w:val="00D73C28"/>
    <w:rsid w:val="00D74036"/>
    <w:rsid w:val="00D7476A"/>
    <w:rsid w:val="00D753D8"/>
    <w:rsid w:val="00D763C0"/>
    <w:rsid w:val="00D802BD"/>
    <w:rsid w:val="00D808EE"/>
    <w:rsid w:val="00D845FE"/>
    <w:rsid w:val="00D872D9"/>
    <w:rsid w:val="00D87A84"/>
    <w:rsid w:val="00D87FE7"/>
    <w:rsid w:val="00D91885"/>
    <w:rsid w:val="00D93663"/>
    <w:rsid w:val="00D94097"/>
    <w:rsid w:val="00D95DDC"/>
    <w:rsid w:val="00D9618D"/>
    <w:rsid w:val="00D96B60"/>
    <w:rsid w:val="00DA0634"/>
    <w:rsid w:val="00DA157D"/>
    <w:rsid w:val="00DA3E6F"/>
    <w:rsid w:val="00DA62C5"/>
    <w:rsid w:val="00DA76C8"/>
    <w:rsid w:val="00DA7CB8"/>
    <w:rsid w:val="00DA7DA7"/>
    <w:rsid w:val="00DB01B8"/>
    <w:rsid w:val="00DB0410"/>
    <w:rsid w:val="00DB0871"/>
    <w:rsid w:val="00DB0CB2"/>
    <w:rsid w:val="00DB2F1B"/>
    <w:rsid w:val="00DB4242"/>
    <w:rsid w:val="00DC08BC"/>
    <w:rsid w:val="00DC1F63"/>
    <w:rsid w:val="00DC231E"/>
    <w:rsid w:val="00DC2C34"/>
    <w:rsid w:val="00DD1011"/>
    <w:rsid w:val="00DD49CA"/>
    <w:rsid w:val="00DD4E04"/>
    <w:rsid w:val="00DD58DF"/>
    <w:rsid w:val="00DE221F"/>
    <w:rsid w:val="00DE3A2A"/>
    <w:rsid w:val="00DE55E6"/>
    <w:rsid w:val="00DE5DBB"/>
    <w:rsid w:val="00DF169D"/>
    <w:rsid w:val="00DF7AE1"/>
    <w:rsid w:val="00E0241F"/>
    <w:rsid w:val="00E04482"/>
    <w:rsid w:val="00E04AE5"/>
    <w:rsid w:val="00E04D37"/>
    <w:rsid w:val="00E0536C"/>
    <w:rsid w:val="00E05840"/>
    <w:rsid w:val="00E07968"/>
    <w:rsid w:val="00E10154"/>
    <w:rsid w:val="00E10BA8"/>
    <w:rsid w:val="00E120BD"/>
    <w:rsid w:val="00E12448"/>
    <w:rsid w:val="00E12A8C"/>
    <w:rsid w:val="00E14683"/>
    <w:rsid w:val="00E15678"/>
    <w:rsid w:val="00E175F9"/>
    <w:rsid w:val="00E207DB"/>
    <w:rsid w:val="00E21EFB"/>
    <w:rsid w:val="00E2267F"/>
    <w:rsid w:val="00E235D4"/>
    <w:rsid w:val="00E25FBA"/>
    <w:rsid w:val="00E270B7"/>
    <w:rsid w:val="00E27C9F"/>
    <w:rsid w:val="00E36A50"/>
    <w:rsid w:val="00E41B22"/>
    <w:rsid w:val="00E43C87"/>
    <w:rsid w:val="00E44BDB"/>
    <w:rsid w:val="00E4542F"/>
    <w:rsid w:val="00E457BF"/>
    <w:rsid w:val="00E519A5"/>
    <w:rsid w:val="00E528EB"/>
    <w:rsid w:val="00E5370B"/>
    <w:rsid w:val="00E56811"/>
    <w:rsid w:val="00E56A3E"/>
    <w:rsid w:val="00E6139F"/>
    <w:rsid w:val="00E61E1E"/>
    <w:rsid w:val="00E62387"/>
    <w:rsid w:val="00E628AA"/>
    <w:rsid w:val="00E64B3B"/>
    <w:rsid w:val="00E67D97"/>
    <w:rsid w:val="00E71A05"/>
    <w:rsid w:val="00E742BC"/>
    <w:rsid w:val="00E752B9"/>
    <w:rsid w:val="00E80AB0"/>
    <w:rsid w:val="00E84217"/>
    <w:rsid w:val="00E8435E"/>
    <w:rsid w:val="00E861AC"/>
    <w:rsid w:val="00E90B9D"/>
    <w:rsid w:val="00E923F1"/>
    <w:rsid w:val="00E93762"/>
    <w:rsid w:val="00E95C6E"/>
    <w:rsid w:val="00E96A6F"/>
    <w:rsid w:val="00EA1B79"/>
    <w:rsid w:val="00EA42B1"/>
    <w:rsid w:val="00EA4BDE"/>
    <w:rsid w:val="00EA6D03"/>
    <w:rsid w:val="00EA6EDD"/>
    <w:rsid w:val="00EB0D89"/>
    <w:rsid w:val="00EB1D3D"/>
    <w:rsid w:val="00EB3C24"/>
    <w:rsid w:val="00EB3D8A"/>
    <w:rsid w:val="00EB4AF9"/>
    <w:rsid w:val="00EB6139"/>
    <w:rsid w:val="00EB711D"/>
    <w:rsid w:val="00EC0476"/>
    <w:rsid w:val="00EC71ED"/>
    <w:rsid w:val="00EC7486"/>
    <w:rsid w:val="00EC7B4C"/>
    <w:rsid w:val="00ED04F4"/>
    <w:rsid w:val="00ED2536"/>
    <w:rsid w:val="00ED27A5"/>
    <w:rsid w:val="00ED6790"/>
    <w:rsid w:val="00ED70A7"/>
    <w:rsid w:val="00ED7B38"/>
    <w:rsid w:val="00EE0057"/>
    <w:rsid w:val="00EE00E1"/>
    <w:rsid w:val="00EE019C"/>
    <w:rsid w:val="00EE0E84"/>
    <w:rsid w:val="00EE120A"/>
    <w:rsid w:val="00EE208F"/>
    <w:rsid w:val="00EE308D"/>
    <w:rsid w:val="00EE44C9"/>
    <w:rsid w:val="00EE6997"/>
    <w:rsid w:val="00EF0488"/>
    <w:rsid w:val="00EF087C"/>
    <w:rsid w:val="00EF2769"/>
    <w:rsid w:val="00EF366A"/>
    <w:rsid w:val="00EF4DF3"/>
    <w:rsid w:val="00EF756E"/>
    <w:rsid w:val="00F0150B"/>
    <w:rsid w:val="00F02F28"/>
    <w:rsid w:val="00F040C4"/>
    <w:rsid w:val="00F0799D"/>
    <w:rsid w:val="00F07CF5"/>
    <w:rsid w:val="00F12744"/>
    <w:rsid w:val="00F13DA2"/>
    <w:rsid w:val="00F13F24"/>
    <w:rsid w:val="00F1419E"/>
    <w:rsid w:val="00F1472A"/>
    <w:rsid w:val="00F16EEB"/>
    <w:rsid w:val="00F209D8"/>
    <w:rsid w:val="00F20F6A"/>
    <w:rsid w:val="00F27ED1"/>
    <w:rsid w:val="00F30CF8"/>
    <w:rsid w:val="00F31315"/>
    <w:rsid w:val="00F36BFC"/>
    <w:rsid w:val="00F40408"/>
    <w:rsid w:val="00F42301"/>
    <w:rsid w:val="00F42F5E"/>
    <w:rsid w:val="00F43B6E"/>
    <w:rsid w:val="00F43BA3"/>
    <w:rsid w:val="00F46297"/>
    <w:rsid w:val="00F46A02"/>
    <w:rsid w:val="00F46ABC"/>
    <w:rsid w:val="00F5167D"/>
    <w:rsid w:val="00F5172B"/>
    <w:rsid w:val="00F527BE"/>
    <w:rsid w:val="00F53655"/>
    <w:rsid w:val="00F53C1E"/>
    <w:rsid w:val="00F55290"/>
    <w:rsid w:val="00F55956"/>
    <w:rsid w:val="00F5695C"/>
    <w:rsid w:val="00F56CA9"/>
    <w:rsid w:val="00F6071E"/>
    <w:rsid w:val="00F614AD"/>
    <w:rsid w:val="00F616C5"/>
    <w:rsid w:val="00F62CFC"/>
    <w:rsid w:val="00F639E2"/>
    <w:rsid w:val="00F65284"/>
    <w:rsid w:val="00F706AA"/>
    <w:rsid w:val="00F711FF"/>
    <w:rsid w:val="00F71512"/>
    <w:rsid w:val="00F74363"/>
    <w:rsid w:val="00F74FA5"/>
    <w:rsid w:val="00F7658C"/>
    <w:rsid w:val="00F769FF"/>
    <w:rsid w:val="00F77E6A"/>
    <w:rsid w:val="00F81D93"/>
    <w:rsid w:val="00F831FB"/>
    <w:rsid w:val="00F86C62"/>
    <w:rsid w:val="00F87B17"/>
    <w:rsid w:val="00F907B5"/>
    <w:rsid w:val="00F93164"/>
    <w:rsid w:val="00F93332"/>
    <w:rsid w:val="00F940A3"/>
    <w:rsid w:val="00F9413F"/>
    <w:rsid w:val="00F94A2D"/>
    <w:rsid w:val="00F94D21"/>
    <w:rsid w:val="00F94F18"/>
    <w:rsid w:val="00FA0150"/>
    <w:rsid w:val="00FA11D0"/>
    <w:rsid w:val="00FA14EB"/>
    <w:rsid w:val="00FA344A"/>
    <w:rsid w:val="00FA39DE"/>
    <w:rsid w:val="00FA406D"/>
    <w:rsid w:val="00FA44DE"/>
    <w:rsid w:val="00FA4570"/>
    <w:rsid w:val="00FA690F"/>
    <w:rsid w:val="00FA7EA6"/>
    <w:rsid w:val="00FB1E99"/>
    <w:rsid w:val="00FB3748"/>
    <w:rsid w:val="00FB5056"/>
    <w:rsid w:val="00FB70A9"/>
    <w:rsid w:val="00FC015B"/>
    <w:rsid w:val="00FC019D"/>
    <w:rsid w:val="00FC19A6"/>
    <w:rsid w:val="00FC3C87"/>
    <w:rsid w:val="00FD0CB0"/>
    <w:rsid w:val="00FD1315"/>
    <w:rsid w:val="00FD19F3"/>
    <w:rsid w:val="00FD7BD8"/>
    <w:rsid w:val="00FE1536"/>
    <w:rsid w:val="00FE25EE"/>
    <w:rsid w:val="00FE4491"/>
    <w:rsid w:val="00FE5718"/>
    <w:rsid w:val="00FE68CD"/>
    <w:rsid w:val="00FF061A"/>
    <w:rsid w:val="00FF2137"/>
    <w:rsid w:val="00FF2D07"/>
    <w:rsid w:val="00FF3B05"/>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2E5070"/>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2E5070"/>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2E5070"/>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2E5070"/>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65136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71882671">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4.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projects/P113488/transforming-school-education-foundation-knowledge-hub?lang=e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22FFD-B67D-437A-B51A-D4B4006DF483}"/>
</file>

<file path=customXml/itemProps2.xml><?xml version="1.0" encoding="utf-8"?>
<ds:datastoreItem xmlns:ds="http://schemas.openxmlformats.org/officeDocument/2006/customXml" ds:itemID="{2D2EC245-A915-4F1D-88A2-B581A02B1A55}"/>
</file>

<file path=customXml/itemProps3.xml><?xml version="1.0" encoding="utf-8"?>
<ds:datastoreItem xmlns:ds="http://schemas.openxmlformats.org/officeDocument/2006/customXml" ds:itemID="{3C5CE36A-63B4-4CE1-97C4-8AB6D7654D40}"/>
</file>

<file path=customXml/itemProps4.xml><?xml version="1.0" encoding="utf-8"?>
<ds:datastoreItem xmlns:ds="http://schemas.openxmlformats.org/officeDocument/2006/customXml" ds:itemID="{78D58B0F-133C-4EB1-98A2-0BAEA27934D7}"/>
</file>

<file path=docProps/app.xml><?xml version="1.0" encoding="utf-8"?>
<Properties xmlns="http://schemas.openxmlformats.org/officeDocument/2006/extended-properties" xmlns:vt="http://schemas.openxmlformats.org/officeDocument/2006/docPropsVTypes">
  <Template>DC3E75EE</Template>
  <TotalTime>0</TotalTime>
  <Pages>15</Pages>
  <Words>6328</Words>
  <Characters>36071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2015-10-27T03:29:00Z</dcterms:created>
  <dcterms:modified xsi:type="dcterms:W3CDTF">2015-10-27T03:29:00Z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