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6823" w14:textId="12AC0148" w:rsidR="008F0D80" w:rsidRPr="00E40438" w:rsidRDefault="008F0D80" w:rsidP="00E40438">
      <w:pPr>
        <w:pStyle w:val="Heading1"/>
      </w:pPr>
      <w:bookmarkStart w:id="0" w:name="_Hlk152053363"/>
      <w:r w:rsidRPr="00E40438">
        <w:t>Local Empowerment through Economic Development and Reconciliation Project (LEED+)</w:t>
      </w:r>
    </w:p>
    <w:bookmarkEnd w:id="0"/>
    <w:p w14:paraId="406DCC15" w14:textId="3A999A85" w:rsidR="008F0D80" w:rsidRPr="00E40438" w:rsidRDefault="008F0D80" w:rsidP="00E40438">
      <w:pPr>
        <w:pStyle w:val="Heading2"/>
      </w:pPr>
      <w:r w:rsidRPr="00E40438">
        <w:t>DFAT Management Response to Partner-led Independent Evaluation</w:t>
      </w:r>
      <w:r w:rsidR="00417175" w:rsidRPr="00E40438">
        <w:t xml:space="preserve"> – December 2023</w:t>
      </w:r>
    </w:p>
    <w:p w14:paraId="7F37BFC1" w14:textId="3A8C73C3" w:rsidR="00346226" w:rsidRDefault="00346226" w:rsidP="008F0D80">
      <w:pPr>
        <w:rPr>
          <w:rFonts w:cstheme="minorHAnsi"/>
        </w:rPr>
      </w:pPr>
      <w:r>
        <w:rPr>
          <w:rFonts w:cstheme="minorHAnsi"/>
        </w:rPr>
        <w:t>The</w:t>
      </w:r>
      <w:r w:rsidR="001B42AE" w:rsidRPr="001B42AE">
        <w:t xml:space="preserve"> </w:t>
      </w:r>
      <w:r w:rsidR="001B42AE" w:rsidRPr="001B42AE">
        <w:rPr>
          <w:rFonts w:cstheme="minorHAnsi"/>
        </w:rPr>
        <w:t>International Labour Organisation</w:t>
      </w:r>
      <w:r>
        <w:rPr>
          <w:rFonts w:cstheme="minorHAnsi"/>
        </w:rPr>
        <w:t xml:space="preserve"> </w:t>
      </w:r>
      <w:r w:rsidR="001B42AE">
        <w:rPr>
          <w:rFonts w:cstheme="minorHAnsi"/>
        </w:rPr>
        <w:t>(</w:t>
      </w:r>
      <w:r w:rsidR="007919AB" w:rsidRPr="007919AB">
        <w:rPr>
          <w:rFonts w:cstheme="minorHAnsi"/>
        </w:rPr>
        <w:t>ILO</w:t>
      </w:r>
      <w:r w:rsidR="001B42AE">
        <w:rPr>
          <w:rFonts w:cstheme="minorHAnsi"/>
        </w:rPr>
        <w:t>)</w:t>
      </w:r>
      <w:r w:rsidR="007919AB" w:rsidRPr="007919AB">
        <w:rPr>
          <w:rFonts w:cstheme="minorHAnsi"/>
        </w:rPr>
        <w:t xml:space="preserve"> has been engaged in LEED work </w:t>
      </w:r>
      <w:r>
        <w:rPr>
          <w:rFonts w:cstheme="minorHAnsi"/>
        </w:rPr>
        <w:t xml:space="preserve">in Sri Lanka </w:t>
      </w:r>
      <w:r w:rsidR="007919AB" w:rsidRPr="007919AB">
        <w:rPr>
          <w:rFonts w:cstheme="minorHAnsi"/>
        </w:rPr>
        <w:t>since 2010</w:t>
      </w:r>
      <w:r>
        <w:rPr>
          <w:rFonts w:cstheme="minorHAnsi"/>
        </w:rPr>
        <w:t>, with</w:t>
      </w:r>
      <w:r w:rsidR="007919AB" w:rsidRPr="007919AB">
        <w:rPr>
          <w:rFonts w:cstheme="minorHAnsi"/>
        </w:rPr>
        <w:t xml:space="preserve"> several initiatives preceding th</w:t>
      </w:r>
      <w:r>
        <w:rPr>
          <w:rFonts w:cstheme="minorHAnsi"/>
        </w:rPr>
        <w:t>e LEED+</w:t>
      </w:r>
      <w:r w:rsidR="007919AB" w:rsidRPr="007919AB">
        <w:rPr>
          <w:rFonts w:cstheme="minorHAnsi"/>
        </w:rPr>
        <w:t xml:space="preserve"> Project. LEED+ aim</w:t>
      </w:r>
      <w:r>
        <w:rPr>
          <w:rFonts w:cstheme="minorHAnsi"/>
        </w:rPr>
        <w:t>ed</w:t>
      </w:r>
      <w:r w:rsidR="007919AB" w:rsidRPr="007919AB">
        <w:rPr>
          <w:rFonts w:cstheme="minorHAnsi"/>
        </w:rPr>
        <w:t xml:space="preserve"> to continue scaling up </w:t>
      </w:r>
      <w:r>
        <w:rPr>
          <w:rFonts w:cstheme="minorHAnsi"/>
        </w:rPr>
        <w:t xml:space="preserve">previous phase </w:t>
      </w:r>
      <w:r w:rsidR="007919AB" w:rsidRPr="007919AB">
        <w:rPr>
          <w:rFonts w:cstheme="minorHAnsi"/>
        </w:rPr>
        <w:t xml:space="preserve">activities in the fruits, vegetables, and fishery sectors targeting vulnerable communities, with a special focus on women, and scaling and policy development. </w:t>
      </w:r>
    </w:p>
    <w:p w14:paraId="2AC76EB0" w14:textId="5E93679A" w:rsidR="008F0D80" w:rsidRPr="004819AB" w:rsidRDefault="007919AB" w:rsidP="008F0D80">
      <w:pPr>
        <w:rPr>
          <w:rFonts w:cstheme="minorHAnsi"/>
        </w:rPr>
      </w:pPr>
      <w:r w:rsidRPr="007919AB">
        <w:rPr>
          <w:rFonts w:cstheme="minorHAnsi"/>
        </w:rPr>
        <w:t xml:space="preserve">The </w:t>
      </w:r>
      <w:r w:rsidR="00346226">
        <w:rPr>
          <w:rFonts w:cstheme="minorHAnsi"/>
        </w:rPr>
        <w:t>o</w:t>
      </w:r>
      <w:r w:rsidRPr="007919AB">
        <w:rPr>
          <w:rFonts w:cstheme="minorHAnsi"/>
        </w:rPr>
        <w:t xml:space="preserve">verall objective of the Project </w:t>
      </w:r>
      <w:r w:rsidR="00346226">
        <w:rPr>
          <w:rFonts w:cstheme="minorHAnsi"/>
        </w:rPr>
        <w:t>wa</w:t>
      </w:r>
      <w:r w:rsidRPr="007919AB">
        <w:rPr>
          <w:rFonts w:cstheme="minorHAnsi"/>
        </w:rPr>
        <w:t>s</w:t>
      </w:r>
      <w:r w:rsidR="00346226">
        <w:rPr>
          <w:rFonts w:cstheme="minorHAnsi"/>
        </w:rPr>
        <w:t xml:space="preserve"> to</w:t>
      </w:r>
      <w:r w:rsidRPr="007919AB">
        <w:rPr>
          <w:rFonts w:cstheme="minorHAnsi"/>
        </w:rPr>
        <w:t xml:space="preserve"> “</w:t>
      </w:r>
      <w:r w:rsidR="00346226">
        <w:rPr>
          <w:rFonts w:cstheme="minorHAnsi"/>
        </w:rPr>
        <w:t>e</w:t>
      </w:r>
      <w:r w:rsidRPr="007919AB">
        <w:rPr>
          <w:rFonts w:cstheme="minorHAnsi"/>
        </w:rPr>
        <w:t>nhanced resilience, inclusive and sustainable growth of targeted communities in selected areas of the Northern Province</w:t>
      </w:r>
      <w:r w:rsidR="00346226">
        <w:rPr>
          <w:rFonts w:cstheme="minorHAnsi"/>
        </w:rPr>
        <w:t>.</w:t>
      </w:r>
      <w:r w:rsidRPr="007919AB">
        <w:rPr>
          <w:rFonts w:cstheme="minorHAnsi"/>
        </w:rPr>
        <w:t xml:space="preserve">” </w:t>
      </w:r>
      <w:r w:rsidR="00250092">
        <w:rPr>
          <w:rFonts w:cstheme="minorHAnsi"/>
        </w:rPr>
        <w:t>The project had</w:t>
      </w:r>
      <w:r w:rsidRPr="007919AB">
        <w:rPr>
          <w:rFonts w:cstheme="minorHAnsi"/>
        </w:rPr>
        <w:t xml:space="preserve"> four outcome areas</w:t>
      </w:r>
      <w:r w:rsidR="00346226">
        <w:rPr>
          <w:rFonts w:cstheme="minorHAnsi"/>
        </w:rPr>
        <w:t>:</w:t>
      </w:r>
      <w:r w:rsidR="008F0D80" w:rsidRPr="004819AB">
        <w:rPr>
          <w:rFonts w:cstheme="minorHAnsi"/>
        </w:rPr>
        <w:t xml:space="preserve"> </w:t>
      </w:r>
    </w:p>
    <w:p w14:paraId="3FEE249D" w14:textId="3B5D9AFC" w:rsidR="008F0D80" w:rsidRPr="00346226" w:rsidRDefault="008F0D80" w:rsidP="00D4735E">
      <w:pPr>
        <w:pStyle w:val="ListParagraph"/>
        <w:numPr>
          <w:ilvl w:val="0"/>
          <w:numId w:val="4"/>
        </w:numPr>
        <w:spacing w:after="0"/>
        <w:rPr>
          <w:rFonts w:cstheme="minorHAnsi"/>
        </w:rPr>
      </w:pPr>
      <w:r w:rsidRPr="00346226">
        <w:rPr>
          <w:rFonts w:cstheme="minorHAnsi"/>
        </w:rPr>
        <w:t>Improved productivity, efficiency, quality of products produced by the Coops, MSME and processed food sectors</w:t>
      </w:r>
      <w:r w:rsidR="00346226">
        <w:rPr>
          <w:rFonts w:cstheme="minorHAnsi"/>
        </w:rPr>
        <w:t>;</w:t>
      </w:r>
      <w:r w:rsidRPr="00346226">
        <w:rPr>
          <w:rFonts w:cstheme="minorHAnsi"/>
        </w:rPr>
        <w:t xml:space="preserve"> </w:t>
      </w:r>
    </w:p>
    <w:p w14:paraId="2DFF6A3C" w14:textId="1AB23506" w:rsidR="008F0D80" w:rsidRPr="00346226" w:rsidRDefault="008F0D80" w:rsidP="00D4735E">
      <w:pPr>
        <w:pStyle w:val="ListParagraph"/>
        <w:numPr>
          <w:ilvl w:val="0"/>
          <w:numId w:val="4"/>
        </w:numPr>
        <w:spacing w:after="0"/>
        <w:rPr>
          <w:rFonts w:cstheme="minorHAnsi"/>
        </w:rPr>
      </w:pPr>
      <w:r w:rsidRPr="00346226">
        <w:rPr>
          <w:rFonts w:cstheme="minorHAnsi"/>
        </w:rPr>
        <w:t xml:space="preserve">Improved decent work opportunities for targeted communities including women and People </w:t>
      </w:r>
      <w:r w:rsidR="00A56F46" w:rsidRPr="00346226">
        <w:rPr>
          <w:rFonts w:cstheme="minorHAnsi"/>
        </w:rPr>
        <w:t>with</w:t>
      </w:r>
      <w:r w:rsidRPr="00346226">
        <w:rPr>
          <w:rFonts w:cstheme="minorHAnsi"/>
        </w:rPr>
        <w:t xml:space="preserve"> </w:t>
      </w:r>
      <w:r w:rsidR="00062F25" w:rsidRPr="00346226">
        <w:rPr>
          <w:rFonts w:cstheme="minorHAnsi"/>
        </w:rPr>
        <w:t>Disabilities</w:t>
      </w:r>
      <w:r w:rsidR="00346226">
        <w:rPr>
          <w:rFonts w:cstheme="minorHAnsi"/>
        </w:rPr>
        <w:t>;</w:t>
      </w:r>
      <w:r w:rsidRPr="00346226">
        <w:rPr>
          <w:rFonts w:cstheme="minorHAnsi"/>
        </w:rPr>
        <w:t xml:space="preserve"> </w:t>
      </w:r>
    </w:p>
    <w:p w14:paraId="3A9B5969" w14:textId="0549772C" w:rsidR="008F0D80" w:rsidRPr="00346226" w:rsidRDefault="008F0D80" w:rsidP="00D4735E">
      <w:pPr>
        <w:pStyle w:val="ListParagraph"/>
        <w:numPr>
          <w:ilvl w:val="0"/>
          <w:numId w:val="4"/>
        </w:numPr>
        <w:spacing w:after="0"/>
        <w:rPr>
          <w:rFonts w:cstheme="minorHAnsi"/>
        </w:rPr>
      </w:pPr>
      <w:r w:rsidRPr="00346226">
        <w:rPr>
          <w:rFonts w:cstheme="minorHAnsi"/>
        </w:rPr>
        <w:t>Enhanced participation in decision-making by women and people with disabilities within the MSMEs, Coops in fruit, vegetable, fishery and processed food sectors and community</w:t>
      </w:r>
      <w:r w:rsidR="00346226">
        <w:rPr>
          <w:rFonts w:cstheme="minorHAnsi"/>
        </w:rPr>
        <w:t>;</w:t>
      </w:r>
      <w:r w:rsidRPr="00346226">
        <w:rPr>
          <w:rFonts w:cstheme="minorHAnsi"/>
        </w:rPr>
        <w:t xml:space="preserve"> and </w:t>
      </w:r>
    </w:p>
    <w:p w14:paraId="003D8D51" w14:textId="6E6D943F" w:rsidR="00062F25" w:rsidRPr="00346226" w:rsidRDefault="008F0D80" w:rsidP="00D4735E">
      <w:pPr>
        <w:pStyle w:val="ListParagraph"/>
        <w:numPr>
          <w:ilvl w:val="0"/>
          <w:numId w:val="4"/>
        </w:numPr>
        <w:spacing w:after="0" w:line="240" w:lineRule="auto"/>
        <w:rPr>
          <w:rFonts w:cstheme="minorHAnsi"/>
        </w:rPr>
      </w:pPr>
      <w:r w:rsidRPr="00346226">
        <w:rPr>
          <w:rFonts w:cstheme="minorHAnsi"/>
        </w:rPr>
        <w:t>Local Economic Development approach or its elements adapted into development programmes by relevant government agencies and private sector organizations.</w:t>
      </w:r>
    </w:p>
    <w:p w14:paraId="6221C1CD" w14:textId="77777777" w:rsidR="00062F25" w:rsidRPr="004819AB" w:rsidRDefault="00062F25" w:rsidP="00062F25">
      <w:pPr>
        <w:spacing w:after="0" w:line="240" w:lineRule="auto"/>
        <w:rPr>
          <w:rFonts w:cstheme="minorHAnsi"/>
        </w:rPr>
      </w:pPr>
    </w:p>
    <w:p w14:paraId="31EA7CBF" w14:textId="5E301DC5" w:rsidR="008F0D80" w:rsidRPr="004819AB" w:rsidRDefault="008F0D80" w:rsidP="00062F25">
      <w:pPr>
        <w:spacing w:line="240" w:lineRule="auto"/>
        <w:rPr>
          <w:rFonts w:cstheme="minorHAnsi"/>
        </w:rPr>
      </w:pPr>
      <w:r w:rsidRPr="004819AB">
        <w:rPr>
          <w:rFonts w:cstheme="minorHAnsi"/>
        </w:rPr>
        <w:t xml:space="preserve">The areas of implementation </w:t>
      </w:r>
      <w:r w:rsidR="00346226">
        <w:rPr>
          <w:rFonts w:cstheme="minorHAnsi"/>
        </w:rPr>
        <w:t>were</w:t>
      </w:r>
      <w:r w:rsidR="00346226" w:rsidRPr="004819AB">
        <w:rPr>
          <w:rFonts w:cstheme="minorHAnsi"/>
        </w:rPr>
        <w:t xml:space="preserve"> </w:t>
      </w:r>
      <w:r w:rsidRPr="004819AB">
        <w:rPr>
          <w:rFonts w:cstheme="minorHAnsi"/>
        </w:rPr>
        <w:t xml:space="preserve">the five districts of </w:t>
      </w:r>
      <w:r w:rsidR="00346226">
        <w:rPr>
          <w:rFonts w:cstheme="minorHAnsi"/>
        </w:rPr>
        <w:t>Sri Lanka’s</w:t>
      </w:r>
      <w:r w:rsidR="00346226" w:rsidRPr="004819AB">
        <w:rPr>
          <w:rFonts w:cstheme="minorHAnsi"/>
        </w:rPr>
        <w:t xml:space="preserve"> </w:t>
      </w:r>
      <w:r w:rsidRPr="004819AB">
        <w:rPr>
          <w:rFonts w:cstheme="minorHAnsi"/>
        </w:rPr>
        <w:t xml:space="preserve">Northern Province, namely, Vavuniya, Kilinochchi, Mullaitivu, Jaffna, and Mannar. The Project </w:t>
      </w:r>
      <w:r w:rsidR="00346226">
        <w:rPr>
          <w:rFonts w:cstheme="minorHAnsi"/>
        </w:rPr>
        <w:t>was</w:t>
      </w:r>
      <w:r w:rsidRPr="004819AB">
        <w:rPr>
          <w:rFonts w:cstheme="minorHAnsi"/>
        </w:rPr>
        <w:t xml:space="preserve"> implemented from 1 July 2018 to 30 June 2023</w:t>
      </w:r>
      <w:r w:rsidR="00346226">
        <w:rPr>
          <w:rFonts w:cstheme="minorHAnsi"/>
        </w:rPr>
        <w:t>, with</w:t>
      </w:r>
      <w:r w:rsidRPr="004819AB">
        <w:rPr>
          <w:rFonts w:cstheme="minorHAnsi"/>
        </w:rPr>
        <w:t xml:space="preserve"> </w:t>
      </w:r>
      <w:r w:rsidR="00346226">
        <w:rPr>
          <w:rFonts w:cstheme="minorHAnsi"/>
        </w:rPr>
        <w:t>a</w:t>
      </w:r>
      <w:r w:rsidRPr="004819AB">
        <w:rPr>
          <w:rFonts w:cstheme="minorHAnsi"/>
        </w:rPr>
        <w:t xml:space="preserve"> </w:t>
      </w:r>
      <w:proofErr w:type="gramStart"/>
      <w:r w:rsidRPr="004819AB">
        <w:rPr>
          <w:rFonts w:cstheme="minorHAnsi"/>
        </w:rPr>
        <w:t>six month</w:t>
      </w:r>
      <w:proofErr w:type="gramEnd"/>
      <w:r w:rsidR="00346226">
        <w:rPr>
          <w:rFonts w:cstheme="minorHAnsi"/>
        </w:rPr>
        <w:t xml:space="preserve"> extension to 31 December 2023</w:t>
      </w:r>
      <w:r w:rsidRPr="004819AB">
        <w:rPr>
          <w:rFonts w:cstheme="minorHAnsi"/>
        </w:rPr>
        <w:t xml:space="preserve"> for Outcome # 4. The total budget of the project </w:t>
      </w:r>
      <w:r w:rsidR="00346226">
        <w:rPr>
          <w:rFonts w:cstheme="minorHAnsi"/>
        </w:rPr>
        <w:t>wa</w:t>
      </w:r>
      <w:r w:rsidRPr="004819AB">
        <w:rPr>
          <w:rFonts w:cstheme="minorHAnsi"/>
        </w:rPr>
        <w:t>s US</w:t>
      </w:r>
      <w:r w:rsidR="00BB11DC" w:rsidRPr="004819AB">
        <w:rPr>
          <w:rFonts w:cstheme="minorHAnsi"/>
        </w:rPr>
        <w:t>D</w:t>
      </w:r>
      <w:r w:rsidRPr="004819AB">
        <w:rPr>
          <w:rFonts w:cstheme="minorHAnsi"/>
        </w:rPr>
        <w:t xml:space="preserve">6,588,969, </w:t>
      </w:r>
      <w:r w:rsidR="00346226">
        <w:rPr>
          <w:rFonts w:cstheme="minorHAnsi"/>
        </w:rPr>
        <w:t xml:space="preserve">jointly </w:t>
      </w:r>
      <w:r w:rsidRPr="004819AB">
        <w:rPr>
          <w:rFonts w:cstheme="minorHAnsi"/>
        </w:rPr>
        <w:t xml:space="preserve">funded by </w:t>
      </w:r>
      <w:r w:rsidR="00346226">
        <w:rPr>
          <w:rFonts w:cstheme="minorHAnsi"/>
        </w:rPr>
        <w:t>the Australian Government</w:t>
      </w:r>
      <w:r w:rsidRPr="004819AB">
        <w:rPr>
          <w:rFonts w:cstheme="minorHAnsi"/>
        </w:rPr>
        <w:t xml:space="preserve"> (AUD4,220,000) and </w:t>
      </w:r>
      <w:r w:rsidR="00346226">
        <w:rPr>
          <w:rFonts w:cstheme="minorHAnsi"/>
        </w:rPr>
        <w:t>the Norwegian Government</w:t>
      </w:r>
      <w:r w:rsidR="00346226" w:rsidRPr="004819AB">
        <w:rPr>
          <w:rFonts w:cstheme="minorHAnsi"/>
        </w:rPr>
        <w:t xml:space="preserve"> </w:t>
      </w:r>
      <w:r w:rsidR="00BB11DC" w:rsidRPr="004819AB">
        <w:rPr>
          <w:rFonts w:cstheme="minorHAnsi"/>
        </w:rPr>
        <w:t xml:space="preserve">(30 </w:t>
      </w:r>
      <w:r w:rsidR="00062F25" w:rsidRPr="004819AB">
        <w:rPr>
          <w:rFonts w:cstheme="minorHAnsi"/>
        </w:rPr>
        <w:t>million</w:t>
      </w:r>
      <w:r w:rsidR="00BB11DC" w:rsidRPr="004819AB">
        <w:rPr>
          <w:rFonts w:cstheme="minorHAnsi"/>
        </w:rPr>
        <w:t xml:space="preserve"> Norwegian Kroner)</w:t>
      </w:r>
      <w:r w:rsidRPr="004819AB">
        <w:rPr>
          <w:rFonts w:cstheme="minorHAnsi"/>
        </w:rPr>
        <w:t>.</w:t>
      </w:r>
    </w:p>
    <w:p w14:paraId="2E6BC6F7" w14:textId="132B1C14" w:rsidR="00BB11DC" w:rsidRPr="004819AB" w:rsidRDefault="007919AB" w:rsidP="008F0D80">
      <w:pPr>
        <w:rPr>
          <w:rFonts w:cstheme="minorHAnsi"/>
        </w:rPr>
      </w:pPr>
      <w:r w:rsidRPr="007919AB">
        <w:rPr>
          <w:rFonts w:cstheme="minorHAnsi"/>
        </w:rPr>
        <w:t xml:space="preserve">The evaluation found that the LEED+ </w:t>
      </w:r>
      <w:r w:rsidR="00717500" w:rsidRPr="00717500">
        <w:rPr>
          <w:rFonts w:cstheme="minorHAnsi"/>
        </w:rPr>
        <w:t>delivered significant benefits for its participants</w:t>
      </w:r>
      <w:r w:rsidR="00717500">
        <w:rPr>
          <w:rFonts w:cstheme="minorHAnsi"/>
        </w:rPr>
        <w:t>,</w:t>
      </w:r>
      <w:r w:rsidR="00717500" w:rsidRPr="00717500" w:rsidDel="00717500">
        <w:rPr>
          <w:rFonts w:cstheme="minorHAnsi"/>
        </w:rPr>
        <w:t xml:space="preserve"> </w:t>
      </w:r>
      <w:r w:rsidRPr="007919AB">
        <w:rPr>
          <w:rFonts w:cstheme="minorHAnsi"/>
        </w:rPr>
        <w:t>and its o</w:t>
      </w:r>
      <w:r w:rsidR="00346226">
        <w:rPr>
          <w:rFonts w:cstheme="minorHAnsi"/>
        </w:rPr>
        <w:t>utcomes</w:t>
      </w:r>
      <w:r w:rsidRPr="007919AB">
        <w:rPr>
          <w:rFonts w:cstheme="minorHAnsi"/>
        </w:rPr>
        <w:t xml:space="preserve"> </w:t>
      </w:r>
      <w:r w:rsidR="00346226">
        <w:rPr>
          <w:rFonts w:cstheme="minorHAnsi"/>
        </w:rPr>
        <w:t>were</w:t>
      </w:r>
      <w:r w:rsidR="00346226" w:rsidRPr="007919AB">
        <w:rPr>
          <w:rFonts w:cstheme="minorHAnsi"/>
        </w:rPr>
        <w:t xml:space="preserve"> </w:t>
      </w:r>
      <w:r w:rsidRPr="007919AB">
        <w:rPr>
          <w:rFonts w:cstheme="minorHAnsi"/>
        </w:rPr>
        <w:t xml:space="preserve">closely aligned with </w:t>
      </w:r>
      <w:r w:rsidR="00346226">
        <w:rPr>
          <w:rFonts w:cstheme="minorHAnsi"/>
        </w:rPr>
        <w:t>Australia’s Aid investment Plan for Sri Lanka</w:t>
      </w:r>
      <w:r w:rsidRPr="007919AB">
        <w:rPr>
          <w:rFonts w:cstheme="minorHAnsi"/>
        </w:rPr>
        <w:t xml:space="preserve"> </w:t>
      </w:r>
      <w:r w:rsidR="00346226">
        <w:rPr>
          <w:rFonts w:cstheme="minorHAnsi"/>
        </w:rPr>
        <w:t>(</w:t>
      </w:r>
      <w:r w:rsidRPr="007919AB">
        <w:rPr>
          <w:rFonts w:cstheme="minorHAnsi"/>
        </w:rPr>
        <w:t>2015-2019</w:t>
      </w:r>
      <w:r w:rsidR="00346226">
        <w:rPr>
          <w:rFonts w:cstheme="minorHAnsi"/>
        </w:rPr>
        <w:t xml:space="preserve">) and </w:t>
      </w:r>
      <w:r w:rsidRPr="007919AB">
        <w:rPr>
          <w:rFonts w:cstheme="minorHAnsi"/>
        </w:rPr>
        <w:t>COVID Response Development Plan (CRDP</w:t>
      </w:r>
      <w:r w:rsidR="00346226">
        <w:rPr>
          <w:rFonts w:cstheme="minorHAnsi"/>
        </w:rPr>
        <w:t>; 2020-23</w:t>
      </w:r>
      <w:r w:rsidRPr="007919AB">
        <w:rPr>
          <w:rFonts w:cstheme="minorHAnsi"/>
        </w:rPr>
        <w:t>), the United Nations Sustainable Development Cooperation Framework (UNSDCF), and ILO's Decent Work Country Programme (DWCP 2018-2024).</w:t>
      </w:r>
      <w:r w:rsidR="00062F25" w:rsidRPr="004819AB">
        <w:rPr>
          <w:rFonts w:cstheme="minorHAnsi"/>
        </w:rPr>
        <w:t xml:space="preserve"> </w:t>
      </w:r>
    </w:p>
    <w:p w14:paraId="4B66A6A1" w14:textId="2B99F9B4" w:rsidR="00A56F46" w:rsidRDefault="00062F25" w:rsidP="00346226">
      <w:pPr>
        <w:rPr>
          <w:rFonts w:cstheme="minorHAnsi"/>
        </w:rPr>
      </w:pPr>
      <w:r w:rsidRPr="004819AB">
        <w:rPr>
          <w:rFonts w:cstheme="minorHAnsi"/>
          <w:b/>
          <w:bCs/>
        </w:rPr>
        <w:t>DFAT’s response to the Independent Evaluation:</w:t>
      </w:r>
      <w:r w:rsidRPr="004819AB">
        <w:rPr>
          <w:rFonts w:cstheme="minorHAnsi"/>
        </w:rPr>
        <w:t xml:space="preserve"> DFAT agrees with each of </w:t>
      </w:r>
      <w:r w:rsidR="00F43FBB">
        <w:rPr>
          <w:rFonts w:cstheme="minorHAnsi"/>
        </w:rPr>
        <w:t>the</w:t>
      </w:r>
      <w:r w:rsidR="00F43FBB" w:rsidRPr="004819AB">
        <w:rPr>
          <w:rFonts w:cstheme="minorHAnsi"/>
        </w:rPr>
        <w:t xml:space="preserve"> </w:t>
      </w:r>
      <w:r w:rsidRPr="004819AB">
        <w:rPr>
          <w:rFonts w:cstheme="minorHAnsi"/>
        </w:rPr>
        <w:t xml:space="preserve">nine </w:t>
      </w:r>
      <w:r w:rsidR="00F43FBB">
        <w:rPr>
          <w:rFonts w:cstheme="minorHAnsi"/>
        </w:rPr>
        <w:t xml:space="preserve">evaluation </w:t>
      </w:r>
      <w:r w:rsidRPr="004819AB">
        <w:rPr>
          <w:rFonts w:cstheme="minorHAnsi"/>
        </w:rPr>
        <w:t>recommendations</w:t>
      </w:r>
      <w:r w:rsidR="00F43FBB">
        <w:rPr>
          <w:rFonts w:cstheme="minorHAnsi"/>
        </w:rPr>
        <w:t xml:space="preserve"> </w:t>
      </w:r>
      <w:r w:rsidR="00E80623">
        <w:rPr>
          <w:rFonts w:cstheme="minorHAnsi"/>
        </w:rPr>
        <w:t xml:space="preserve">noting </w:t>
      </w:r>
      <w:r w:rsidR="003940B7">
        <w:rPr>
          <w:rFonts w:cstheme="minorHAnsi"/>
        </w:rPr>
        <w:t>that the project</w:t>
      </w:r>
      <w:r w:rsidR="003940B7" w:rsidRPr="00346226">
        <w:rPr>
          <w:rFonts w:cstheme="minorHAnsi"/>
        </w:rPr>
        <w:t xml:space="preserve"> itself and DFAT’s funding have concluded</w:t>
      </w:r>
      <w:r w:rsidR="003940B7">
        <w:rPr>
          <w:rFonts w:cstheme="minorHAnsi"/>
        </w:rPr>
        <w:t>,</w:t>
      </w:r>
      <w:r w:rsidR="0051658B">
        <w:rPr>
          <w:rFonts w:cstheme="minorHAnsi"/>
        </w:rPr>
        <w:t xml:space="preserve"> and</w:t>
      </w:r>
      <w:r w:rsidR="003940B7">
        <w:rPr>
          <w:rFonts w:cstheme="minorHAnsi"/>
        </w:rPr>
        <w:t xml:space="preserve"> </w:t>
      </w:r>
      <w:r w:rsidR="00346226" w:rsidRPr="00346226">
        <w:rPr>
          <w:rFonts w:cstheme="minorHAnsi"/>
        </w:rPr>
        <w:t>implementation will be carried</w:t>
      </w:r>
      <w:r w:rsidR="003940B7">
        <w:rPr>
          <w:rFonts w:cstheme="minorHAnsi"/>
        </w:rPr>
        <w:t xml:space="preserve"> forward by ILO in accordance with its own management response, and by DFAT in other projects where relevant</w:t>
      </w:r>
      <w:r w:rsidR="00346226" w:rsidRPr="00346226">
        <w:rPr>
          <w:rFonts w:cstheme="minorHAnsi"/>
        </w:rPr>
        <w:t xml:space="preserve">. </w:t>
      </w:r>
    </w:p>
    <w:tbl>
      <w:tblPr>
        <w:tblStyle w:val="TableGrid"/>
        <w:tblW w:w="9782" w:type="dxa"/>
        <w:tblInd w:w="-289" w:type="dxa"/>
        <w:tblLook w:val="04A0" w:firstRow="1" w:lastRow="0" w:firstColumn="1" w:lastColumn="0" w:noHBand="0" w:noVBand="1"/>
      </w:tblPr>
      <w:tblGrid>
        <w:gridCol w:w="4395"/>
        <w:gridCol w:w="1134"/>
        <w:gridCol w:w="2977"/>
        <w:gridCol w:w="1276"/>
      </w:tblGrid>
      <w:tr w:rsidR="00E8119D" w:rsidRPr="009A579C" w14:paraId="274862EB" w14:textId="77777777" w:rsidTr="00D4735E">
        <w:trPr>
          <w:tblHeader/>
        </w:trPr>
        <w:tc>
          <w:tcPr>
            <w:tcW w:w="4395" w:type="dxa"/>
            <w:shd w:val="clear" w:color="auto" w:fill="BFBFBF" w:themeFill="background1" w:themeFillShade="BF"/>
          </w:tcPr>
          <w:p w14:paraId="304D64F3"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Recommendation</w:t>
            </w:r>
          </w:p>
        </w:tc>
        <w:tc>
          <w:tcPr>
            <w:tcW w:w="1134" w:type="dxa"/>
            <w:shd w:val="clear" w:color="auto" w:fill="BFBFBF" w:themeFill="background1" w:themeFillShade="BF"/>
          </w:tcPr>
          <w:p w14:paraId="24267893"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Response</w:t>
            </w:r>
          </w:p>
        </w:tc>
        <w:tc>
          <w:tcPr>
            <w:tcW w:w="2977" w:type="dxa"/>
            <w:shd w:val="clear" w:color="auto" w:fill="BFBFBF" w:themeFill="background1" w:themeFillShade="BF"/>
          </w:tcPr>
          <w:p w14:paraId="7105FE75"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Action Plan</w:t>
            </w:r>
          </w:p>
        </w:tc>
        <w:tc>
          <w:tcPr>
            <w:tcW w:w="1276" w:type="dxa"/>
            <w:shd w:val="clear" w:color="auto" w:fill="BFBFBF" w:themeFill="background1" w:themeFillShade="BF"/>
          </w:tcPr>
          <w:p w14:paraId="0DFFBED3"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Timeframe</w:t>
            </w:r>
          </w:p>
        </w:tc>
      </w:tr>
      <w:tr w:rsidR="00E8119D" w:rsidRPr="009A579C" w14:paraId="5A51718F" w14:textId="77777777" w:rsidTr="00D4735E">
        <w:tc>
          <w:tcPr>
            <w:tcW w:w="4395" w:type="dxa"/>
            <w:shd w:val="clear" w:color="auto" w:fill="auto"/>
          </w:tcPr>
          <w:p w14:paraId="10B42E97" w14:textId="77777777" w:rsidR="00E8119D" w:rsidRPr="00A56F46" w:rsidRDefault="00E8119D" w:rsidP="00A56F46">
            <w:pPr>
              <w:pStyle w:val="ListParagraph"/>
              <w:autoSpaceDE w:val="0"/>
              <w:autoSpaceDN w:val="0"/>
              <w:adjustRightInd w:val="0"/>
              <w:ind w:left="360"/>
              <w:rPr>
                <w:rFonts w:cstheme="minorHAnsi"/>
              </w:rPr>
            </w:pPr>
            <w:r w:rsidRPr="00847E50">
              <w:rPr>
                <w:rFonts w:cstheme="minorHAnsi"/>
                <w:b/>
                <w:bCs/>
                <w:color w:val="000000"/>
              </w:rPr>
              <w:t xml:space="preserve">1. </w:t>
            </w:r>
            <w:r w:rsidRPr="00A56F46">
              <w:rPr>
                <w:b/>
                <w:bCs/>
              </w:rPr>
              <w:t>Results Framework</w:t>
            </w:r>
            <w:r>
              <w:t xml:space="preserve">: </w:t>
            </w:r>
          </w:p>
          <w:p w14:paraId="7862DC09" w14:textId="7FEF0C34" w:rsidR="00E8119D" w:rsidRPr="009A579C" w:rsidRDefault="00E8119D" w:rsidP="00A56F46">
            <w:pPr>
              <w:pStyle w:val="ListParagraph"/>
              <w:autoSpaceDE w:val="0"/>
              <w:autoSpaceDN w:val="0"/>
              <w:adjustRightInd w:val="0"/>
              <w:ind w:left="360"/>
              <w:rPr>
                <w:rFonts w:cstheme="minorHAnsi"/>
              </w:rPr>
            </w:pPr>
            <w:r>
              <w:t>In developing the Results Framework, attention should be paid to develop SMART indicators where the requisite data and information could be readily collected, and that the indicators demonstrate changes attributed by the Project.</w:t>
            </w:r>
          </w:p>
        </w:tc>
        <w:tc>
          <w:tcPr>
            <w:tcW w:w="1134" w:type="dxa"/>
            <w:shd w:val="clear" w:color="auto" w:fill="FFFFFF" w:themeFill="background1"/>
          </w:tcPr>
          <w:p w14:paraId="03A04C12" w14:textId="3D8F60EE" w:rsidR="00E8119D" w:rsidRPr="00E93356" w:rsidRDefault="00E8119D" w:rsidP="00296571">
            <w:pPr>
              <w:pStyle w:val="Default"/>
              <w:rPr>
                <w:rFonts w:asciiTheme="minorHAnsi" w:hAnsiTheme="minorHAnsi" w:cstheme="minorHAnsi"/>
                <w:b/>
                <w:bCs/>
                <w:sz w:val="22"/>
                <w:szCs w:val="22"/>
              </w:rPr>
            </w:pPr>
            <w:r>
              <w:rPr>
                <w:rFonts w:asciiTheme="minorHAnsi" w:hAnsiTheme="minorHAnsi" w:cstheme="minorHAnsi"/>
                <w:b/>
                <w:bCs/>
                <w:sz w:val="22"/>
                <w:szCs w:val="22"/>
              </w:rPr>
              <w:t>A</w:t>
            </w:r>
            <w:r w:rsidRPr="00E93356">
              <w:rPr>
                <w:rFonts w:asciiTheme="minorHAnsi" w:hAnsiTheme="minorHAnsi" w:cstheme="minorHAnsi"/>
                <w:b/>
                <w:bCs/>
                <w:sz w:val="22"/>
                <w:szCs w:val="22"/>
              </w:rPr>
              <w:t xml:space="preserve">gree </w:t>
            </w:r>
          </w:p>
        </w:tc>
        <w:tc>
          <w:tcPr>
            <w:tcW w:w="2977" w:type="dxa"/>
            <w:shd w:val="clear" w:color="auto" w:fill="auto"/>
          </w:tcPr>
          <w:p w14:paraId="09F03ED8" w14:textId="13F4F84C" w:rsidR="00E8119D" w:rsidRDefault="006F0DBD" w:rsidP="006F0DBD">
            <w:pPr>
              <w:pStyle w:val="Default"/>
              <w:rPr>
                <w:rFonts w:asciiTheme="minorHAnsi" w:hAnsiTheme="minorHAnsi" w:cstheme="minorHAnsi"/>
                <w:sz w:val="22"/>
                <w:szCs w:val="22"/>
              </w:rPr>
            </w:pPr>
            <w:r w:rsidRPr="006F0DBD">
              <w:rPr>
                <w:rFonts w:asciiTheme="minorHAnsi" w:hAnsiTheme="minorHAnsi" w:cstheme="minorHAnsi"/>
                <w:sz w:val="22"/>
                <w:szCs w:val="22"/>
              </w:rPr>
              <w:t xml:space="preserve">DFAT </w:t>
            </w:r>
            <w:r w:rsidR="00BB1F7A">
              <w:rPr>
                <w:rFonts w:asciiTheme="minorHAnsi" w:hAnsiTheme="minorHAnsi" w:cstheme="minorHAnsi"/>
                <w:sz w:val="22"/>
                <w:szCs w:val="22"/>
              </w:rPr>
              <w:t xml:space="preserve">will ensure that </w:t>
            </w:r>
            <w:r w:rsidRPr="006F0DBD">
              <w:rPr>
                <w:rFonts w:asciiTheme="minorHAnsi" w:hAnsiTheme="minorHAnsi" w:cstheme="minorHAnsi"/>
                <w:sz w:val="22"/>
                <w:szCs w:val="22"/>
              </w:rPr>
              <w:t>implementing partners</w:t>
            </w:r>
            <w:r w:rsidR="00BB1F7A">
              <w:rPr>
                <w:rFonts w:asciiTheme="minorHAnsi" w:hAnsiTheme="minorHAnsi" w:cstheme="minorHAnsi"/>
                <w:sz w:val="22"/>
                <w:szCs w:val="22"/>
              </w:rPr>
              <w:t xml:space="preserve"> of all our investments/programs</w:t>
            </w:r>
            <w:r w:rsidRPr="006F0DBD">
              <w:rPr>
                <w:rFonts w:asciiTheme="minorHAnsi" w:hAnsiTheme="minorHAnsi" w:cstheme="minorHAnsi"/>
                <w:sz w:val="22"/>
                <w:szCs w:val="22"/>
              </w:rPr>
              <w:t xml:space="preserve"> use </w:t>
            </w:r>
            <w:r>
              <w:rPr>
                <w:rFonts w:asciiTheme="minorHAnsi" w:hAnsiTheme="minorHAnsi" w:cstheme="minorHAnsi"/>
                <w:sz w:val="22"/>
                <w:szCs w:val="22"/>
              </w:rPr>
              <w:t>DFAT’s Monitoring and Evaluation Standards</w:t>
            </w:r>
            <w:r w:rsidRPr="006F0DBD">
              <w:rPr>
                <w:rFonts w:asciiTheme="minorHAnsi" w:hAnsiTheme="minorHAnsi" w:cstheme="minorHAnsi"/>
                <w:sz w:val="22"/>
                <w:szCs w:val="22"/>
              </w:rPr>
              <w:t xml:space="preserve"> to guide the content and quality of their </w:t>
            </w:r>
            <w:r>
              <w:rPr>
                <w:rFonts w:asciiTheme="minorHAnsi" w:hAnsiTheme="minorHAnsi" w:cstheme="minorHAnsi"/>
                <w:sz w:val="22"/>
                <w:szCs w:val="22"/>
              </w:rPr>
              <w:t>Results Framework</w:t>
            </w:r>
            <w:r w:rsidRPr="006F0DBD">
              <w:rPr>
                <w:rFonts w:asciiTheme="minorHAnsi" w:hAnsiTheme="minorHAnsi" w:cstheme="minorHAnsi"/>
                <w:sz w:val="22"/>
                <w:szCs w:val="22"/>
              </w:rPr>
              <w:t>.</w:t>
            </w:r>
          </w:p>
          <w:p w14:paraId="2339628D" w14:textId="77777777" w:rsidR="006F0DBD" w:rsidRDefault="006F0DBD" w:rsidP="006F0DBD">
            <w:pPr>
              <w:pStyle w:val="Default"/>
              <w:rPr>
                <w:rFonts w:asciiTheme="minorHAnsi" w:hAnsiTheme="minorHAnsi" w:cstheme="minorHAnsi"/>
                <w:sz w:val="22"/>
                <w:szCs w:val="22"/>
              </w:rPr>
            </w:pPr>
          </w:p>
          <w:p w14:paraId="20570E29" w14:textId="0D7B4D60"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46C6F929" w14:textId="3DE3F665" w:rsidR="00E8119D" w:rsidRPr="009A579C" w:rsidRDefault="00E8119D" w:rsidP="002A03E5">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r w:rsidR="00E8119D" w:rsidRPr="009A579C" w14:paraId="1897E19E" w14:textId="77777777" w:rsidTr="00D4735E">
        <w:tc>
          <w:tcPr>
            <w:tcW w:w="4395" w:type="dxa"/>
            <w:shd w:val="clear" w:color="auto" w:fill="auto"/>
          </w:tcPr>
          <w:p w14:paraId="14BA2AA2" w14:textId="45024A6A" w:rsidR="00E8119D" w:rsidRPr="00A56F46" w:rsidRDefault="00E8119D" w:rsidP="00A56F46">
            <w:pPr>
              <w:pStyle w:val="ListParagraph"/>
              <w:autoSpaceDE w:val="0"/>
              <w:autoSpaceDN w:val="0"/>
              <w:adjustRightInd w:val="0"/>
              <w:ind w:left="360"/>
              <w:rPr>
                <w:rFonts w:cstheme="minorHAnsi"/>
              </w:rPr>
            </w:pPr>
            <w:r w:rsidRPr="00847E50">
              <w:rPr>
                <w:rFonts w:cstheme="minorHAnsi"/>
                <w:b/>
                <w:bCs/>
                <w:color w:val="000000"/>
              </w:rPr>
              <w:t>2.</w:t>
            </w:r>
            <w:r>
              <w:rPr>
                <w:rFonts w:cstheme="minorHAnsi"/>
                <w:color w:val="000000"/>
              </w:rPr>
              <w:t xml:space="preserve"> </w:t>
            </w:r>
            <w:r w:rsidRPr="00A56F46">
              <w:rPr>
                <w:b/>
                <w:bCs/>
              </w:rPr>
              <w:t>Value Chains</w:t>
            </w:r>
            <w:r>
              <w:t xml:space="preserve"> </w:t>
            </w:r>
          </w:p>
          <w:p w14:paraId="6A2DB442" w14:textId="5CCF3892" w:rsidR="00E8119D" w:rsidRDefault="00E8119D" w:rsidP="00A56F46">
            <w:pPr>
              <w:pStyle w:val="ListParagraph"/>
              <w:autoSpaceDE w:val="0"/>
              <w:autoSpaceDN w:val="0"/>
              <w:adjustRightInd w:val="0"/>
              <w:ind w:left="360"/>
              <w:rPr>
                <w:rFonts w:cstheme="minorHAnsi"/>
              </w:rPr>
            </w:pPr>
            <w:r>
              <w:t xml:space="preserve">Future work on value chains should ensure comprehensive analysis of all </w:t>
            </w:r>
            <w:r>
              <w:lastRenderedPageBreak/>
              <w:t xml:space="preserve">segments of the value chain to identify deficiencies that hinder improvements to the </w:t>
            </w:r>
            <w:proofErr w:type="gramStart"/>
            <w:r>
              <w:t>end product</w:t>
            </w:r>
            <w:proofErr w:type="gramEnd"/>
            <w:r>
              <w:t>; concomitantly, business development services should be made available to overcome deficiencies in the vale chains.</w:t>
            </w:r>
            <w:r>
              <w:rPr>
                <w:rFonts w:cstheme="minorHAnsi"/>
              </w:rPr>
              <w:t xml:space="preserve"> </w:t>
            </w:r>
          </w:p>
          <w:p w14:paraId="76694999" w14:textId="77777777" w:rsidR="00E8119D" w:rsidRPr="009A579C" w:rsidRDefault="00E8119D" w:rsidP="00296571">
            <w:pPr>
              <w:pStyle w:val="Default"/>
              <w:rPr>
                <w:rFonts w:asciiTheme="minorHAnsi" w:hAnsiTheme="minorHAnsi" w:cstheme="minorHAnsi"/>
                <w:sz w:val="22"/>
                <w:szCs w:val="22"/>
              </w:rPr>
            </w:pPr>
          </w:p>
        </w:tc>
        <w:tc>
          <w:tcPr>
            <w:tcW w:w="1134" w:type="dxa"/>
            <w:shd w:val="clear" w:color="auto" w:fill="FFFFFF" w:themeFill="background1"/>
          </w:tcPr>
          <w:p w14:paraId="40397BED" w14:textId="77777777" w:rsidR="00E8119D" w:rsidRPr="00E93356" w:rsidRDefault="00E8119D" w:rsidP="00296571">
            <w:pPr>
              <w:pStyle w:val="Default"/>
              <w:rPr>
                <w:rFonts w:asciiTheme="minorHAnsi" w:hAnsiTheme="minorHAnsi" w:cstheme="minorHAnsi"/>
                <w:b/>
                <w:bCs/>
                <w:sz w:val="22"/>
                <w:szCs w:val="22"/>
              </w:rPr>
            </w:pPr>
            <w:r w:rsidRPr="00E93356">
              <w:rPr>
                <w:rFonts w:asciiTheme="minorHAnsi" w:hAnsiTheme="minorHAnsi" w:cstheme="minorHAnsi"/>
                <w:b/>
                <w:bCs/>
                <w:sz w:val="22"/>
                <w:szCs w:val="22"/>
              </w:rPr>
              <w:lastRenderedPageBreak/>
              <w:t>Agree</w:t>
            </w:r>
          </w:p>
        </w:tc>
        <w:tc>
          <w:tcPr>
            <w:tcW w:w="2977" w:type="dxa"/>
            <w:shd w:val="clear" w:color="auto" w:fill="auto"/>
          </w:tcPr>
          <w:p w14:paraId="0F7F5EE0" w14:textId="712BAFA4" w:rsidR="00E8119D" w:rsidRDefault="006F0DBD" w:rsidP="00296571">
            <w:pPr>
              <w:pStyle w:val="Default"/>
              <w:rPr>
                <w:rFonts w:asciiTheme="minorHAnsi" w:hAnsiTheme="minorHAnsi" w:cstheme="minorHAnsi"/>
                <w:sz w:val="22"/>
                <w:szCs w:val="22"/>
              </w:rPr>
            </w:pPr>
            <w:r>
              <w:rPr>
                <w:rFonts w:asciiTheme="minorHAnsi" w:hAnsiTheme="minorHAnsi" w:cstheme="minorHAnsi"/>
                <w:sz w:val="22"/>
                <w:szCs w:val="22"/>
              </w:rPr>
              <w:t>DFAT will consider this recommendation in the design of any f</w:t>
            </w:r>
            <w:r w:rsidR="00FD5E24" w:rsidRPr="00FD5E24">
              <w:rPr>
                <w:rFonts w:asciiTheme="minorHAnsi" w:hAnsiTheme="minorHAnsi" w:cstheme="minorHAnsi"/>
                <w:sz w:val="22"/>
                <w:szCs w:val="22"/>
              </w:rPr>
              <w:t xml:space="preserve">uture interventions </w:t>
            </w:r>
            <w:r>
              <w:rPr>
                <w:rFonts w:asciiTheme="minorHAnsi" w:hAnsiTheme="minorHAnsi" w:cstheme="minorHAnsi"/>
                <w:sz w:val="22"/>
                <w:szCs w:val="22"/>
              </w:rPr>
              <w:t xml:space="preserve">of </w:t>
            </w:r>
            <w:r>
              <w:rPr>
                <w:rFonts w:asciiTheme="minorHAnsi" w:hAnsiTheme="minorHAnsi" w:cstheme="minorHAnsi"/>
                <w:sz w:val="22"/>
                <w:szCs w:val="22"/>
              </w:rPr>
              <w:lastRenderedPageBreak/>
              <w:t>a similar nature</w:t>
            </w:r>
            <w:r w:rsidR="00FD5E24" w:rsidRPr="00FD5E24">
              <w:rPr>
                <w:rFonts w:asciiTheme="minorHAnsi" w:hAnsiTheme="minorHAnsi" w:cstheme="minorHAnsi"/>
                <w:sz w:val="22"/>
                <w:szCs w:val="22"/>
              </w:rPr>
              <w:t>.</w:t>
            </w:r>
            <w:r w:rsidR="00BB1F7A">
              <w:rPr>
                <w:rFonts w:asciiTheme="minorHAnsi" w:hAnsiTheme="minorHAnsi" w:cstheme="minorHAnsi"/>
                <w:sz w:val="22"/>
                <w:szCs w:val="22"/>
              </w:rPr>
              <w:t xml:space="preserve"> We will advise the partners of the new proposed gender investment (in design) and ensure that they follow this recommendation. </w:t>
            </w:r>
          </w:p>
          <w:p w14:paraId="42ADCC8A" w14:textId="77777777" w:rsidR="006F0DBD" w:rsidRDefault="006F0DBD" w:rsidP="00296571">
            <w:pPr>
              <w:pStyle w:val="Default"/>
              <w:rPr>
                <w:rFonts w:asciiTheme="minorHAnsi" w:hAnsiTheme="minorHAnsi" w:cstheme="minorHAnsi"/>
                <w:sz w:val="22"/>
                <w:szCs w:val="22"/>
              </w:rPr>
            </w:pPr>
          </w:p>
          <w:p w14:paraId="1B06A00D" w14:textId="1DC2DB9B" w:rsidR="006F0DBD" w:rsidRPr="009A579C" w:rsidRDefault="006F0DBD" w:rsidP="00296571">
            <w:pPr>
              <w:pStyle w:val="Default"/>
              <w:rPr>
                <w:rFonts w:asciiTheme="minorHAnsi" w:hAnsiTheme="minorHAnsi" w:cstheme="minorHAnsi"/>
                <w:sz w:val="22"/>
                <w:szCs w:val="22"/>
              </w:rPr>
            </w:pPr>
          </w:p>
        </w:tc>
        <w:tc>
          <w:tcPr>
            <w:tcW w:w="1276" w:type="dxa"/>
            <w:shd w:val="clear" w:color="auto" w:fill="auto"/>
          </w:tcPr>
          <w:p w14:paraId="6836C7B2" w14:textId="6B97E2D4" w:rsidR="00E8119D" w:rsidRPr="009A579C" w:rsidRDefault="002A03E5" w:rsidP="002A03E5">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N/A</w:t>
            </w:r>
          </w:p>
        </w:tc>
      </w:tr>
      <w:tr w:rsidR="006F0DBD" w:rsidRPr="009A579C" w14:paraId="263B06FB" w14:textId="77777777" w:rsidTr="00D4735E">
        <w:tc>
          <w:tcPr>
            <w:tcW w:w="4395" w:type="dxa"/>
            <w:shd w:val="clear" w:color="auto" w:fill="auto"/>
          </w:tcPr>
          <w:p w14:paraId="091FE9DD" w14:textId="285B71AB" w:rsidR="006F0DBD" w:rsidRPr="00A56F46" w:rsidRDefault="006F0DBD" w:rsidP="006F0DBD">
            <w:pPr>
              <w:pStyle w:val="ListParagraph"/>
              <w:autoSpaceDE w:val="0"/>
              <w:autoSpaceDN w:val="0"/>
              <w:adjustRightInd w:val="0"/>
              <w:ind w:left="360"/>
              <w:rPr>
                <w:rFonts w:cstheme="minorHAnsi"/>
              </w:rPr>
            </w:pPr>
            <w:r w:rsidRPr="000A50B3">
              <w:rPr>
                <w:rFonts w:cstheme="minorHAnsi"/>
                <w:b/>
                <w:bCs/>
                <w:color w:val="000000"/>
              </w:rPr>
              <w:t xml:space="preserve">3. </w:t>
            </w:r>
            <w:r w:rsidRPr="00A56F46">
              <w:rPr>
                <w:b/>
                <w:bCs/>
              </w:rPr>
              <w:t>Cost of Production of commodities</w:t>
            </w:r>
          </w:p>
          <w:p w14:paraId="6F576ECA" w14:textId="7F054B1F" w:rsidR="006F0DBD" w:rsidRPr="00850F51" w:rsidRDefault="006F0DBD" w:rsidP="006F0DBD">
            <w:pPr>
              <w:pStyle w:val="ListParagraph"/>
              <w:autoSpaceDE w:val="0"/>
              <w:autoSpaceDN w:val="0"/>
              <w:adjustRightInd w:val="0"/>
              <w:ind w:left="360"/>
              <w:rPr>
                <w:rFonts w:cstheme="minorHAnsi"/>
              </w:rPr>
            </w:pPr>
            <w:r>
              <w:t xml:space="preserve"> As the market linkage models are highly influenced by the commodity prices and imports, it is recommended that in future interventions, particularly in agriculture and aquaculture, a programme be launched to develop cost of production models for commodities.</w:t>
            </w:r>
            <w:r w:rsidRPr="00850F51">
              <w:rPr>
                <w:rFonts w:cstheme="minorHAnsi"/>
              </w:rPr>
              <w:t xml:space="preserve"> </w:t>
            </w:r>
          </w:p>
          <w:p w14:paraId="08423A3D" w14:textId="77777777" w:rsidR="006F0DBD" w:rsidRDefault="006F0DBD" w:rsidP="006F0DBD">
            <w:pPr>
              <w:autoSpaceDE w:val="0"/>
              <w:autoSpaceDN w:val="0"/>
              <w:adjustRightInd w:val="0"/>
              <w:jc w:val="both"/>
              <w:rPr>
                <w:rFonts w:cstheme="minorHAnsi"/>
                <w:color w:val="000000"/>
              </w:rPr>
            </w:pPr>
          </w:p>
          <w:p w14:paraId="6FC0FD90" w14:textId="77777777" w:rsidR="006F0DBD" w:rsidRPr="009A579C" w:rsidRDefault="006F0DBD" w:rsidP="006F0DBD">
            <w:pPr>
              <w:autoSpaceDE w:val="0"/>
              <w:autoSpaceDN w:val="0"/>
              <w:adjustRightInd w:val="0"/>
              <w:jc w:val="both"/>
              <w:rPr>
                <w:rFonts w:cstheme="minorHAnsi"/>
                <w:color w:val="000000"/>
              </w:rPr>
            </w:pPr>
          </w:p>
          <w:p w14:paraId="59CC817C" w14:textId="77777777" w:rsidR="006F0DBD" w:rsidRPr="009A579C" w:rsidRDefault="006F0DBD" w:rsidP="006F0DBD">
            <w:pPr>
              <w:pStyle w:val="Default"/>
              <w:jc w:val="both"/>
              <w:rPr>
                <w:rFonts w:asciiTheme="minorHAnsi" w:hAnsiTheme="minorHAnsi" w:cstheme="minorHAnsi"/>
                <w:sz w:val="22"/>
                <w:szCs w:val="22"/>
              </w:rPr>
            </w:pPr>
          </w:p>
        </w:tc>
        <w:tc>
          <w:tcPr>
            <w:tcW w:w="1134" w:type="dxa"/>
            <w:shd w:val="clear" w:color="auto" w:fill="FFFFFF" w:themeFill="background1"/>
          </w:tcPr>
          <w:p w14:paraId="15905BC6" w14:textId="14319E2A" w:rsidR="006F0DBD" w:rsidRPr="00E93356" w:rsidRDefault="006F0DBD" w:rsidP="006F0DBD">
            <w:pPr>
              <w:pStyle w:val="Default"/>
            </w:pPr>
            <w:r w:rsidRPr="00E93356">
              <w:rPr>
                <w:rFonts w:asciiTheme="minorHAnsi" w:hAnsiTheme="minorHAnsi" w:cstheme="minorHAnsi"/>
                <w:b/>
                <w:bCs/>
                <w:sz w:val="22"/>
                <w:szCs w:val="22"/>
              </w:rPr>
              <w:t>Agree</w:t>
            </w:r>
          </w:p>
        </w:tc>
        <w:tc>
          <w:tcPr>
            <w:tcW w:w="2977" w:type="dxa"/>
            <w:shd w:val="clear" w:color="auto" w:fill="auto"/>
          </w:tcPr>
          <w:p w14:paraId="3A047399" w14:textId="576F8314" w:rsidR="006F0DBD" w:rsidRDefault="006F0DBD" w:rsidP="006F0DBD">
            <w:pPr>
              <w:pStyle w:val="Default"/>
              <w:rPr>
                <w:rFonts w:asciiTheme="minorHAnsi" w:hAnsiTheme="minorHAnsi" w:cstheme="minorHAnsi"/>
                <w:sz w:val="22"/>
                <w:szCs w:val="22"/>
              </w:rPr>
            </w:pPr>
            <w:r>
              <w:rPr>
                <w:rFonts w:asciiTheme="minorHAnsi" w:hAnsiTheme="minorHAnsi" w:cstheme="minorHAnsi"/>
                <w:sz w:val="22"/>
                <w:szCs w:val="22"/>
              </w:rPr>
              <w:t>DFAT will consider this recommendation in the design of any f</w:t>
            </w:r>
            <w:r w:rsidRPr="00FD5E24">
              <w:rPr>
                <w:rFonts w:asciiTheme="minorHAnsi" w:hAnsiTheme="minorHAnsi" w:cstheme="minorHAnsi"/>
                <w:sz w:val="22"/>
                <w:szCs w:val="22"/>
              </w:rPr>
              <w:t>uture interventions</w:t>
            </w:r>
            <w:r w:rsidR="005647C6">
              <w:rPr>
                <w:rFonts w:asciiTheme="minorHAnsi" w:hAnsiTheme="minorHAnsi" w:cstheme="minorHAnsi"/>
                <w:sz w:val="22"/>
                <w:szCs w:val="22"/>
              </w:rPr>
              <w:t xml:space="preserve"> and ongoing programs</w:t>
            </w:r>
            <w:r w:rsidRPr="00FD5E24">
              <w:rPr>
                <w:rFonts w:asciiTheme="minorHAnsi" w:hAnsiTheme="minorHAnsi" w:cstheme="minorHAnsi"/>
                <w:sz w:val="22"/>
                <w:szCs w:val="22"/>
              </w:rPr>
              <w:t xml:space="preserve"> </w:t>
            </w:r>
            <w:r>
              <w:rPr>
                <w:rFonts w:asciiTheme="minorHAnsi" w:hAnsiTheme="minorHAnsi" w:cstheme="minorHAnsi"/>
                <w:sz w:val="22"/>
                <w:szCs w:val="22"/>
              </w:rPr>
              <w:t>of a similar nature</w:t>
            </w:r>
            <w:r w:rsidRPr="00FD5E24">
              <w:rPr>
                <w:rFonts w:asciiTheme="minorHAnsi" w:hAnsiTheme="minorHAnsi" w:cstheme="minorHAnsi"/>
                <w:sz w:val="22"/>
                <w:szCs w:val="22"/>
              </w:rPr>
              <w:t>.</w:t>
            </w:r>
            <w:r w:rsidR="005647C6">
              <w:rPr>
                <w:rFonts w:asciiTheme="minorHAnsi" w:hAnsiTheme="minorHAnsi" w:cstheme="minorHAnsi"/>
                <w:sz w:val="22"/>
                <w:szCs w:val="22"/>
              </w:rPr>
              <w:t xml:space="preserve"> We will work with the Market Development facility (MDF) program and ensure that they follow this recommendation in their interventions. </w:t>
            </w:r>
          </w:p>
          <w:p w14:paraId="57D3922B" w14:textId="77777777" w:rsidR="006F0DBD" w:rsidRDefault="006F0DBD" w:rsidP="006F0DBD">
            <w:pPr>
              <w:pStyle w:val="Default"/>
              <w:rPr>
                <w:rFonts w:asciiTheme="minorHAnsi" w:hAnsiTheme="minorHAnsi" w:cstheme="minorHAnsi"/>
                <w:sz w:val="22"/>
                <w:szCs w:val="22"/>
              </w:rPr>
            </w:pPr>
          </w:p>
          <w:p w14:paraId="42B1024F" w14:textId="5FF798A9"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1BB2678B" w14:textId="3CE5CF42" w:rsidR="006F0DBD" w:rsidRPr="009A579C" w:rsidRDefault="006F0DBD" w:rsidP="006F0DBD">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r w:rsidR="006F0DBD" w:rsidRPr="009A579C" w14:paraId="3CC47997" w14:textId="77777777" w:rsidTr="00D4735E">
        <w:tc>
          <w:tcPr>
            <w:tcW w:w="4395" w:type="dxa"/>
            <w:shd w:val="clear" w:color="auto" w:fill="auto"/>
          </w:tcPr>
          <w:p w14:paraId="506B70C3" w14:textId="77777777" w:rsidR="006F0DBD" w:rsidRDefault="006F0DBD" w:rsidP="006F0DBD">
            <w:pPr>
              <w:pStyle w:val="ListParagraph"/>
              <w:autoSpaceDE w:val="0"/>
              <w:autoSpaceDN w:val="0"/>
              <w:adjustRightInd w:val="0"/>
              <w:ind w:left="360"/>
            </w:pPr>
            <w:r w:rsidRPr="00A3673A">
              <w:rPr>
                <w:rFonts w:cstheme="minorHAnsi"/>
                <w:b/>
                <w:bCs/>
                <w:color w:val="000000"/>
              </w:rPr>
              <w:t xml:space="preserve">4. </w:t>
            </w:r>
            <w:r w:rsidRPr="00A56F46">
              <w:rPr>
                <w:b/>
                <w:bCs/>
              </w:rPr>
              <w:t>Data collection</w:t>
            </w:r>
            <w:r>
              <w:t xml:space="preserve"> </w:t>
            </w:r>
          </w:p>
          <w:p w14:paraId="7D083358" w14:textId="139E6DB8" w:rsidR="006F0DBD" w:rsidRPr="00A3673A" w:rsidRDefault="006F0DBD" w:rsidP="006F0DBD">
            <w:pPr>
              <w:pStyle w:val="ListParagraph"/>
              <w:autoSpaceDE w:val="0"/>
              <w:autoSpaceDN w:val="0"/>
              <w:adjustRightInd w:val="0"/>
              <w:ind w:left="360"/>
              <w:rPr>
                <w:rFonts w:ascii="Calibri" w:hAnsi="Calibri" w:cs="Calibri"/>
                <w:color w:val="000000"/>
              </w:rPr>
            </w:pPr>
            <w:r>
              <w:t xml:space="preserve">The Project has developed market linkage models which are replicable. There is potential to develop these models further to be incorporated into development strategies and policies. In agriculture, there is a vast untapped body of data from the farmer fields on yields and expenses. It is recommended that the Project invests to collect these data from as many farmers as possible and analyse the data to provide evidence, including </w:t>
            </w:r>
            <w:r w:rsidR="003A7617">
              <w:t>cost benefit</w:t>
            </w:r>
            <w:r>
              <w:t xml:space="preserve"> analysis, of robustness of the market linkage models. The Development Officers in the Divisional Secretariats could be mobilised, with the concurrence of the Divisional Secretaries, for collection of these data, which have a planning value for Divisional Secretaries as well. It is also recommended that qualitative outcome information of human wellbeing and social development are also collected. Similarly, the irrigation tank rehabilitation through cash-for work will provide very useful information on returns on investment, as a potential replicable model.</w:t>
            </w:r>
            <w:r w:rsidRPr="00A3673A">
              <w:rPr>
                <w:rFonts w:ascii="Calibri" w:hAnsi="Calibri" w:cs="Calibri"/>
                <w:color w:val="000000"/>
              </w:rPr>
              <w:t xml:space="preserve"> </w:t>
            </w:r>
          </w:p>
          <w:p w14:paraId="3EA6AB55" w14:textId="77777777" w:rsidR="006F0DBD" w:rsidRPr="009A579C" w:rsidRDefault="006F0DBD" w:rsidP="006F0DBD">
            <w:pPr>
              <w:pStyle w:val="Default"/>
              <w:rPr>
                <w:rFonts w:asciiTheme="minorHAnsi" w:hAnsiTheme="minorHAnsi" w:cstheme="minorHAnsi"/>
                <w:sz w:val="22"/>
                <w:szCs w:val="22"/>
              </w:rPr>
            </w:pPr>
          </w:p>
        </w:tc>
        <w:tc>
          <w:tcPr>
            <w:tcW w:w="1134" w:type="dxa"/>
            <w:shd w:val="clear" w:color="auto" w:fill="FFFFFF" w:themeFill="background1"/>
          </w:tcPr>
          <w:p w14:paraId="1B07B92B"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t>Agree</w:t>
            </w:r>
          </w:p>
        </w:tc>
        <w:tc>
          <w:tcPr>
            <w:tcW w:w="2977" w:type="dxa"/>
            <w:shd w:val="clear" w:color="auto" w:fill="auto"/>
          </w:tcPr>
          <w:p w14:paraId="64A3BE68" w14:textId="01FE01BD" w:rsidR="006F0DBD" w:rsidRDefault="006F0DBD" w:rsidP="006F0DBD">
            <w:pPr>
              <w:pStyle w:val="Default"/>
              <w:rPr>
                <w:rFonts w:asciiTheme="minorHAnsi" w:hAnsiTheme="minorHAnsi" w:cstheme="minorHAnsi"/>
                <w:sz w:val="22"/>
                <w:szCs w:val="22"/>
              </w:rPr>
            </w:pPr>
            <w:r>
              <w:rPr>
                <w:rFonts w:asciiTheme="minorHAnsi" w:hAnsiTheme="minorHAnsi" w:cstheme="minorHAnsi"/>
                <w:sz w:val="22"/>
                <w:szCs w:val="22"/>
              </w:rPr>
              <w:t>DFAT will consider this recommendation in the design of any f</w:t>
            </w:r>
            <w:r w:rsidRPr="00FD5E24">
              <w:rPr>
                <w:rFonts w:asciiTheme="minorHAnsi" w:hAnsiTheme="minorHAnsi" w:cstheme="minorHAnsi"/>
                <w:sz w:val="22"/>
                <w:szCs w:val="22"/>
              </w:rPr>
              <w:t>uture interventions</w:t>
            </w:r>
            <w:r w:rsidR="005647C6">
              <w:rPr>
                <w:rFonts w:asciiTheme="minorHAnsi" w:hAnsiTheme="minorHAnsi" w:cstheme="minorHAnsi"/>
                <w:sz w:val="22"/>
                <w:szCs w:val="22"/>
              </w:rPr>
              <w:t xml:space="preserve"> and ongoing programs</w:t>
            </w:r>
            <w:r w:rsidRPr="00FD5E24">
              <w:rPr>
                <w:rFonts w:asciiTheme="minorHAnsi" w:hAnsiTheme="minorHAnsi" w:cstheme="minorHAnsi"/>
                <w:sz w:val="22"/>
                <w:szCs w:val="22"/>
              </w:rPr>
              <w:t xml:space="preserve"> </w:t>
            </w:r>
            <w:r>
              <w:rPr>
                <w:rFonts w:asciiTheme="minorHAnsi" w:hAnsiTheme="minorHAnsi" w:cstheme="minorHAnsi"/>
                <w:sz w:val="22"/>
                <w:szCs w:val="22"/>
              </w:rPr>
              <w:t>of a similar nature</w:t>
            </w:r>
            <w:r w:rsidRPr="00FD5E24">
              <w:rPr>
                <w:rFonts w:asciiTheme="minorHAnsi" w:hAnsiTheme="minorHAnsi" w:cstheme="minorHAnsi"/>
                <w:sz w:val="22"/>
                <w:szCs w:val="22"/>
              </w:rPr>
              <w:t>.</w:t>
            </w:r>
            <w:r w:rsidR="005647C6">
              <w:rPr>
                <w:rFonts w:asciiTheme="minorHAnsi" w:hAnsiTheme="minorHAnsi" w:cstheme="minorHAnsi"/>
                <w:sz w:val="22"/>
                <w:szCs w:val="22"/>
              </w:rPr>
              <w:t xml:space="preserve"> We will ask partners, especially the MDF program to collect and analyse the indicated data and use it for their planning and interventions. Also, request them to share those data with relevant stakeholders</w:t>
            </w:r>
            <w:r w:rsidR="00304CC9">
              <w:rPr>
                <w:rFonts w:asciiTheme="minorHAnsi" w:hAnsiTheme="minorHAnsi" w:cstheme="minorHAnsi"/>
                <w:sz w:val="22"/>
                <w:szCs w:val="22"/>
              </w:rPr>
              <w:t xml:space="preserve">. </w:t>
            </w:r>
          </w:p>
          <w:p w14:paraId="78CC98D5" w14:textId="77777777" w:rsidR="006F0DBD" w:rsidRDefault="006F0DBD" w:rsidP="006F0DBD">
            <w:pPr>
              <w:pStyle w:val="Default"/>
              <w:rPr>
                <w:rFonts w:asciiTheme="minorHAnsi" w:hAnsiTheme="minorHAnsi" w:cstheme="minorHAnsi"/>
                <w:sz w:val="22"/>
                <w:szCs w:val="22"/>
              </w:rPr>
            </w:pPr>
          </w:p>
          <w:p w14:paraId="398BCE52" w14:textId="72B044E0"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772E0D63" w14:textId="574CF4B6" w:rsidR="006F0DBD" w:rsidRPr="009A579C" w:rsidRDefault="006F0DBD" w:rsidP="006F0DBD">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r w:rsidR="006F0DBD" w:rsidRPr="009A579C" w14:paraId="3FECD3A6" w14:textId="77777777" w:rsidTr="00D4735E">
        <w:tc>
          <w:tcPr>
            <w:tcW w:w="4395" w:type="dxa"/>
            <w:shd w:val="clear" w:color="auto" w:fill="auto"/>
          </w:tcPr>
          <w:p w14:paraId="6437E23C" w14:textId="77777777" w:rsidR="006F0DBD" w:rsidRDefault="006F0DBD" w:rsidP="006F0DBD">
            <w:pPr>
              <w:pStyle w:val="ListParagraph"/>
              <w:autoSpaceDE w:val="0"/>
              <w:autoSpaceDN w:val="0"/>
              <w:adjustRightInd w:val="0"/>
              <w:ind w:left="360"/>
            </w:pPr>
            <w:r w:rsidRPr="003F5C7B">
              <w:rPr>
                <w:rFonts w:cstheme="minorHAnsi"/>
                <w:b/>
                <w:bCs/>
                <w:color w:val="000000"/>
              </w:rPr>
              <w:t xml:space="preserve">5. </w:t>
            </w:r>
            <w:r w:rsidRPr="00913B20">
              <w:rPr>
                <w:b/>
                <w:bCs/>
              </w:rPr>
              <w:t>Assessment of MSME and SME beneficiaries</w:t>
            </w:r>
            <w:r>
              <w:t xml:space="preserve"> </w:t>
            </w:r>
          </w:p>
          <w:p w14:paraId="0030673D" w14:textId="6229448E" w:rsidR="006F0DBD" w:rsidRPr="00850F51" w:rsidRDefault="006F0DBD" w:rsidP="006F0DBD">
            <w:pPr>
              <w:pStyle w:val="ListParagraph"/>
              <w:autoSpaceDE w:val="0"/>
              <w:autoSpaceDN w:val="0"/>
              <w:adjustRightInd w:val="0"/>
              <w:ind w:left="360"/>
              <w:rPr>
                <w:rFonts w:cstheme="minorHAnsi"/>
              </w:rPr>
            </w:pPr>
            <w:r>
              <w:lastRenderedPageBreak/>
              <w:t>The Project has supported 631 beneficiaries in MSME, SME and self-employment; a detailed assessment of a representative 47 sample of these beneficiaries would be useful for incorporating these models into development strategies as well as to provide any improvements that are necessary for the models.</w:t>
            </w:r>
            <w:r w:rsidRPr="003F5C7B">
              <w:rPr>
                <w:rFonts w:cstheme="minorHAnsi"/>
              </w:rPr>
              <w:t xml:space="preserve"> </w:t>
            </w:r>
          </w:p>
          <w:p w14:paraId="5BF53D9D" w14:textId="77777777" w:rsidR="006F0DBD" w:rsidRPr="009A579C" w:rsidRDefault="006F0DBD" w:rsidP="006F0DBD">
            <w:pPr>
              <w:pStyle w:val="Default"/>
              <w:rPr>
                <w:rFonts w:asciiTheme="minorHAnsi" w:hAnsiTheme="minorHAnsi" w:cstheme="minorHAnsi"/>
                <w:sz w:val="22"/>
                <w:szCs w:val="22"/>
              </w:rPr>
            </w:pPr>
          </w:p>
        </w:tc>
        <w:tc>
          <w:tcPr>
            <w:tcW w:w="1134" w:type="dxa"/>
            <w:shd w:val="clear" w:color="auto" w:fill="FFFFFF" w:themeFill="background1"/>
          </w:tcPr>
          <w:p w14:paraId="6A49A18D"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Agree</w:t>
            </w:r>
          </w:p>
        </w:tc>
        <w:tc>
          <w:tcPr>
            <w:tcW w:w="2977" w:type="dxa"/>
            <w:shd w:val="clear" w:color="auto" w:fill="auto"/>
          </w:tcPr>
          <w:p w14:paraId="21664D52" w14:textId="4DFC0CA2" w:rsidR="006F0DBD" w:rsidRDefault="006F0DBD" w:rsidP="006F0DBD">
            <w:pPr>
              <w:pStyle w:val="Default"/>
              <w:rPr>
                <w:rFonts w:asciiTheme="minorHAnsi" w:hAnsiTheme="minorHAnsi" w:cstheme="minorHAnsi"/>
                <w:sz w:val="22"/>
                <w:szCs w:val="22"/>
              </w:rPr>
            </w:pPr>
            <w:r>
              <w:rPr>
                <w:rFonts w:asciiTheme="minorHAnsi" w:hAnsiTheme="minorHAnsi" w:cstheme="minorHAnsi"/>
                <w:sz w:val="22"/>
                <w:szCs w:val="22"/>
              </w:rPr>
              <w:t xml:space="preserve">DFAT will consider this recommendation in the design </w:t>
            </w:r>
            <w:r>
              <w:rPr>
                <w:rFonts w:asciiTheme="minorHAnsi" w:hAnsiTheme="minorHAnsi" w:cstheme="minorHAnsi"/>
                <w:sz w:val="22"/>
                <w:szCs w:val="22"/>
              </w:rPr>
              <w:lastRenderedPageBreak/>
              <w:t>of any f</w:t>
            </w:r>
            <w:r w:rsidRPr="00FD5E24">
              <w:rPr>
                <w:rFonts w:asciiTheme="minorHAnsi" w:hAnsiTheme="minorHAnsi" w:cstheme="minorHAnsi"/>
                <w:sz w:val="22"/>
                <w:szCs w:val="22"/>
              </w:rPr>
              <w:t>uture interventions</w:t>
            </w:r>
            <w:r w:rsidR="00304CC9">
              <w:rPr>
                <w:rFonts w:asciiTheme="minorHAnsi" w:hAnsiTheme="minorHAnsi" w:cstheme="minorHAnsi"/>
                <w:sz w:val="22"/>
                <w:szCs w:val="22"/>
              </w:rPr>
              <w:t xml:space="preserve"> or ongoing programs</w:t>
            </w:r>
            <w:r w:rsidRPr="00FD5E24">
              <w:rPr>
                <w:rFonts w:asciiTheme="minorHAnsi" w:hAnsiTheme="minorHAnsi" w:cstheme="minorHAnsi"/>
                <w:sz w:val="22"/>
                <w:szCs w:val="22"/>
              </w:rPr>
              <w:t xml:space="preserve"> </w:t>
            </w:r>
            <w:r>
              <w:rPr>
                <w:rFonts w:asciiTheme="minorHAnsi" w:hAnsiTheme="minorHAnsi" w:cstheme="minorHAnsi"/>
                <w:sz w:val="22"/>
                <w:szCs w:val="22"/>
              </w:rPr>
              <w:t>of a similar nature</w:t>
            </w:r>
            <w:r w:rsidR="00304CC9">
              <w:rPr>
                <w:rFonts w:asciiTheme="minorHAnsi" w:hAnsiTheme="minorHAnsi" w:cstheme="minorHAnsi"/>
                <w:sz w:val="22"/>
                <w:szCs w:val="22"/>
              </w:rPr>
              <w:t xml:space="preserve">, especially the new design of the gender investment and the ongoing MDF </w:t>
            </w:r>
            <w:r w:rsidR="00A07A3A">
              <w:rPr>
                <w:rFonts w:asciiTheme="minorHAnsi" w:hAnsiTheme="minorHAnsi" w:cstheme="minorHAnsi"/>
                <w:sz w:val="22"/>
                <w:szCs w:val="22"/>
              </w:rPr>
              <w:t>program.</w:t>
            </w:r>
          </w:p>
          <w:p w14:paraId="6CB107A5" w14:textId="77777777" w:rsidR="006F0DBD" w:rsidRDefault="006F0DBD" w:rsidP="006F0DBD">
            <w:pPr>
              <w:pStyle w:val="Default"/>
              <w:rPr>
                <w:rFonts w:asciiTheme="minorHAnsi" w:hAnsiTheme="minorHAnsi" w:cstheme="minorHAnsi"/>
                <w:sz w:val="22"/>
                <w:szCs w:val="22"/>
              </w:rPr>
            </w:pPr>
          </w:p>
          <w:p w14:paraId="28B6DDF8" w14:textId="5ACC58D7"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0A6E2E24" w14:textId="3E54CCE0" w:rsidR="006F0DBD" w:rsidRPr="009A579C" w:rsidRDefault="006F0DBD" w:rsidP="006F0DBD">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N/A</w:t>
            </w:r>
          </w:p>
        </w:tc>
      </w:tr>
      <w:tr w:rsidR="006F0DBD" w:rsidRPr="009A579C" w14:paraId="3035B1AF" w14:textId="77777777" w:rsidTr="00D4735E">
        <w:tc>
          <w:tcPr>
            <w:tcW w:w="4395" w:type="dxa"/>
            <w:shd w:val="clear" w:color="auto" w:fill="auto"/>
          </w:tcPr>
          <w:p w14:paraId="1CD4DBBB" w14:textId="77777777" w:rsidR="006F0DBD" w:rsidRDefault="006F0DBD" w:rsidP="006F0DBD">
            <w:pPr>
              <w:pStyle w:val="ListParagraph"/>
              <w:autoSpaceDE w:val="0"/>
              <w:autoSpaceDN w:val="0"/>
              <w:adjustRightInd w:val="0"/>
              <w:ind w:left="360"/>
            </w:pPr>
            <w:r w:rsidRPr="001E689F">
              <w:rPr>
                <w:rFonts w:cstheme="minorHAnsi"/>
                <w:b/>
                <w:bCs/>
              </w:rPr>
              <w:t xml:space="preserve">6. </w:t>
            </w:r>
            <w:r w:rsidRPr="00913B20">
              <w:rPr>
                <w:b/>
                <w:bCs/>
              </w:rPr>
              <w:t>Focus of Gender and Inclusion</w:t>
            </w:r>
            <w:r>
              <w:t xml:space="preserve"> </w:t>
            </w:r>
          </w:p>
          <w:p w14:paraId="36378743" w14:textId="77777777" w:rsidR="006F0DBD" w:rsidRDefault="006F0DBD" w:rsidP="006F0DBD">
            <w:pPr>
              <w:pStyle w:val="ListParagraph"/>
              <w:autoSpaceDE w:val="0"/>
              <w:autoSpaceDN w:val="0"/>
              <w:adjustRightInd w:val="0"/>
              <w:ind w:left="360"/>
            </w:pPr>
            <w:r>
              <w:t xml:space="preserve">In future, Project’s with focus on gender and inclusion should consider the following: </w:t>
            </w:r>
          </w:p>
          <w:p w14:paraId="1D9276A6" w14:textId="3EFA1A67" w:rsidR="006F0DBD" w:rsidRDefault="006F0DBD" w:rsidP="006F0DBD">
            <w:pPr>
              <w:pStyle w:val="ListParagraph"/>
              <w:autoSpaceDE w:val="0"/>
              <w:autoSpaceDN w:val="0"/>
              <w:adjustRightInd w:val="0"/>
              <w:ind w:left="360"/>
            </w:pPr>
            <w:r>
              <w:t xml:space="preserve">(a) As an inception activity, prepare the gender and inclusion strategy setting out the principles and clear criteria for selection of </w:t>
            </w:r>
            <w:r w:rsidR="00A07A3A">
              <w:t>beneficiaries.</w:t>
            </w:r>
            <w:r>
              <w:t xml:space="preserve"> </w:t>
            </w:r>
          </w:p>
          <w:p w14:paraId="721E3087" w14:textId="77777777" w:rsidR="006F0DBD" w:rsidRDefault="006F0DBD" w:rsidP="006F0DBD">
            <w:pPr>
              <w:pStyle w:val="ListParagraph"/>
              <w:autoSpaceDE w:val="0"/>
              <w:autoSpaceDN w:val="0"/>
              <w:adjustRightInd w:val="0"/>
              <w:ind w:left="360"/>
            </w:pPr>
            <w:r>
              <w:t xml:space="preserve">(b) Activities on gender and inclusion should not be conducted as standalone activities; rather inclusion of social mobilisation (self-help approach or equivalent models), psycho-social interventions, and savings and lending at community level should be integrated into gender and inclusion agenda to ensure sustainability of the interventions. (c) Activities on gender and inclusion needs regular technical </w:t>
            </w:r>
            <w:proofErr w:type="gramStart"/>
            <w:r>
              <w:t>back-stopping</w:t>
            </w:r>
            <w:proofErr w:type="gramEnd"/>
            <w:r>
              <w:t xml:space="preserve"> by trained staff; it is important that appropriate trained staff are available for mentoring and monitoring of interventions involving gender and inclusion so that the actions can be sustained by the community once the project is over. </w:t>
            </w:r>
          </w:p>
          <w:p w14:paraId="27E5B732" w14:textId="0A030B5B" w:rsidR="006F0DBD" w:rsidRDefault="006F0DBD" w:rsidP="006F0DBD">
            <w:pPr>
              <w:pStyle w:val="ListParagraph"/>
              <w:autoSpaceDE w:val="0"/>
              <w:autoSpaceDN w:val="0"/>
              <w:adjustRightInd w:val="0"/>
              <w:ind w:left="360"/>
              <w:rPr>
                <w:rFonts w:cstheme="minorHAnsi"/>
              </w:rPr>
            </w:pPr>
            <w:r>
              <w:t>(d) The work of the Department of Manpower &amp; Employment has shown difficulties of PwDs maintaining their jobs; detailed analysis of the background to this situation and the reasons for the situation will be useful to map out any future interventions involving job placements for PwDs.</w:t>
            </w:r>
            <w:r w:rsidRPr="00EE0617">
              <w:rPr>
                <w:rFonts w:cstheme="minorHAnsi"/>
              </w:rPr>
              <w:t xml:space="preserve"> </w:t>
            </w:r>
          </w:p>
          <w:p w14:paraId="32B1C8F7" w14:textId="77777777" w:rsidR="006F0DBD" w:rsidRPr="009A579C" w:rsidRDefault="006F0DBD" w:rsidP="006F0DBD">
            <w:pPr>
              <w:pStyle w:val="ListParagraph"/>
              <w:autoSpaceDE w:val="0"/>
              <w:autoSpaceDN w:val="0"/>
              <w:adjustRightInd w:val="0"/>
              <w:ind w:left="360"/>
              <w:rPr>
                <w:rFonts w:cstheme="minorHAnsi"/>
              </w:rPr>
            </w:pPr>
          </w:p>
        </w:tc>
        <w:tc>
          <w:tcPr>
            <w:tcW w:w="1134" w:type="dxa"/>
            <w:shd w:val="clear" w:color="auto" w:fill="FFFFFF" w:themeFill="background1"/>
          </w:tcPr>
          <w:p w14:paraId="6977705D"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t>Agree</w:t>
            </w:r>
          </w:p>
        </w:tc>
        <w:tc>
          <w:tcPr>
            <w:tcW w:w="2977" w:type="dxa"/>
            <w:shd w:val="clear" w:color="auto" w:fill="auto"/>
          </w:tcPr>
          <w:p w14:paraId="2C34380B" w14:textId="6D512511" w:rsidR="005F4E28" w:rsidRDefault="006F0DBD" w:rsidP="00304CC9">
            <w:pPr>
              <w:pStyle w:val="Default"/>
              <w:rPr>
                <w:rFonts w:asciiTheme="minorHAnsi" w:hAnsiTheme="minorHAnsi" w:cstheme="minorHAnsi"/>
                <w:sz w:val="22"/>
                <w:szCs w:val="22"/>
              </w:rPr>
            </w:pPr>
            <w:r>
              <w:rPr>
                <w:rFonts w:asciiTheme="minorHAnsi" w:hAnsiTheme="minorHAnsi" w:cstheme="minorHAnsi"/>
                <w:sz w:val="22"/>
                <w:szCs w:val="22"/>
              </w:rPr>
              <w:t xml:space="preserve">DFAT will consider </w:t>
            </w:r>
            <w:r w:rsidR="006E0012">
              <w:rPr>
                <w:rFonts w:asciiTheme="minorHAnsi" w:hAnsiTheme="minorHAnsi" w:cstheme="minorHAnsi"/>
                <w:sz w:val="22"/>
                <w:szCs w:val="22"/>
              </w:rPr>
              <w:t xml:space="preserve">how </w:t>
            </w:r>
            <w:r>
              <w:rPr>
                <w:rFonts w:asciiTheme="minorHAnsi" w:hAnsiTheme="minorHAnsi" w:cstheme="minorHAnsi"/>
                <w:sz w:val="22"/>
                <w:szCs w:val="22"/>
              </w:rPr>
              <w:t>this recommendation</w:t>
            </w:r>
            <w:r w:rsidR="00304CC9">
              <w:rPr>
                <w:rFonts w:asciiTheme="minorHAnsi" w:hAnsiTheme="minorHAnsi" w:cstheme="minorHAnsi"/>
                <w:sz w:val="22"/>
                <w:szCs w:val="22"/>
              </w:rPr>
              <w:t xml:space="preserve"> will be incorporated</w:t>
            </w:r>
            <w:r>
              <w:rPr>
                <w:rFonts w:asciiTheme="minorHAnsi" w:hAnsiTheme="minorHAnsi" w:cstheme="minorHAnsi"/>
                <w:sz w:val="22"/>
                <w:szCs w:val="22"/>
              </w:rPr>
              <w:t xml:space="preserve"> in the design of </w:t>
            </w:r>
            <w:r w:rsidR="00304CC9">
              <w:rPr>
                <w:rFonts w:asciiTheme="minorHAnsi" w:hAnsiTheme="minorHAnsi" w:cstheme="minorHAnsi"/>
                <w:sz w:val="22"/>
                <w:szCs w:val="22"/>
              </w:rPr>
              <w:t>gender investment</w:t>
            </w:r>
            <w:r w:rsidR="006E0012">
              <w:rPr>
                <w:rFonts w:asciiTheme="minorHAnsi" w:hAnsiTheme="minorHAnsi" w:cstheme="minorHAnsi"/>
                <w:sz w:val="22"/>
                <w:szCs w:val="22"/>
              </w:rPr>
              <w:t xml:space="preserve"> and </w:t>
            </w:r>
            <w:r>
              <w:rPr>
                <w:rFonts w:asciiTheme="minorHAnsi" w:hAnsiTheme="minorHAnsi" w:cstheme="minorHAnsi"/>
                <w:sz w:val="22"/>
                <w:szCs w:val="22"/>
              </w:rPr>
              <w:t>any</w:t>
            </w:r>
            <w:r w:rsidR="00304CC9">
              <w:rPr>
                <w:rFonts w:asciiTheme="minorHAnsi" w:hAnsiTheme="minorHAnsi" w:cstheme="minorHAnsi"/>
                <w:sz w:val="22"/>
                <w:szCs w:val="22"/>
              </w:rPr>
              <w:t xml:space="preserve"> similar</w:t>
            </w:r>
            <w:r>
              <w:rPr>
                <w:rFonts w:asciiTheme="minorHAnsi" w:hAnsiTheme="minorHAnsi" w:cstheme="minorHAnsi"/>
                <w:sz w:val="22"/>
                <w:szCs w:val="22"/>
              </w:rPr>
              <w:t xml:space="preserve"> f</w:t>
            </w:r>
            <w:r w:rsidRPr="00FD5E24">
              <w:rPr>
                <w:rFonts w:asciiTheme="minorHAnsi" w:hAnsiTheme="minorHAnsi" w:cstheme="minorHAnsi"/>
                <w:sz w:val="22"/>
                <w:szCs w:val="22"/>
              </w:rPr>
              <w:t>uture interventions</w:t>
            </w:r>
            <w:r w:rsidR="00304CC9">
              <w:rPr>
                <w:rFonts w:asciiTheme="minorHAnsi" w:hAnsiTheme="minorHAnsi" w:cstheme="minorHAnsi"/>
                <w:sz w:val="22"/>
                <w:szCs w:val="22"/>
              </w:rPr>
              <w:t xml:space="preserve">. </w:t>
            </w:r>
            <w:r w:rsidRPr="00FD5E24">
              <w:rPr>
                <w:rFonts w:asciiTheme="minorHAnsi" w:hAnsiTheme="minorHAnsi" w:cstheme="minorHAnsi"/>
                <w:sz w:val="22"/>
                <w:szCs w:val="22"/>
              </w:rPr>
              <w:t xml:space="preserve"> </w:t>
            </w:r>
            <w:r w:rsidR="005F4E28">
              <w:rPr>
                <w:rFonts w:asciiTheme="minorHAnsi" w:hAnsiTheme="minorHAnsi" w:cstheme="minorHAnsi"/>
                <w:sz w:val="22"/>
                <w:szCs w:val="22"/>
              </w:rPr>
              <w:t xml:space="preserve">We will also request partners to consider conducting research on </w:t>
            </w:r>
            <w:r w:rsidR="003B6C06">
              <w:rPr>
                <w:rFonts w:asciiTheme="minorHAnsi" w:hAnsiTheme="minorHAnsi" w:cstheme="minorHAnsi"/>
                <w:sz w:val="22"/>
                <w:szCs w:val="22"/>
              </w:rPr>
              <w:t xml:space="preserve">challenges and opportunities facing </w:t>
            </w:r>
            <w:r w:rsidR="005F4E28">
              <w:rPr>
                <w:rFonts w:asciiTheme="minorHAnsi" w:hAnsiTheme="minorHAnsi" w:cstheme="minorHAnsi"/>
                <w:sz w:val="22"/>
                <w:szCs w:val="22"/>
              </w:rPr>
              <w:t xml:space="preserve">PWDs. </w:t>
            </w:r>
          </w:p>
          <w:p w14:paraId="2918038B" w14:textId="15873E5C" w:rsidR="006F0DBD" w:rsidRPr="009A579C" w:rsidRDefault="006F0DBD" w:rsidP="00304CC9">
            <w:pPr>
              <w:pStyle w:val="Default"/>
              <w:rPr>
                <w:rFonts w:asciiTheme="minorHAnsi" w:hAnsiTheme="minorHAnsi" w:cstheme="minorHAnsi"/>
                <w:sz w:val="22"/>
                <w:szCs w:val="22"/>
              </w:rPr>
            </w:pPr>
          </w:p>
        </w:tc>
        <w:tc>
          <w:tcPr>
            <w:tcW w:w="1276" w:type="dxa"/>
            <w:shd w:val="clear" w:color="auto" w:fill="auto"/>
          </w:tcPr>
          <w:p w14:paraId="194CBE85" w14:textId="56447049" w:rsidR="006F0DBD" w:rsidRPr="009A579C" w:rsidRDefault="006F0DBD" w:rsidP="006F0DBD">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r w:rsidR="006F0DBD" w:rsidRPr="009A579C" w14:paraId="6998EF15" w14:textId="77777777" w:rsidTr="00D4735E">
        <w:tc>
          <w:tcPr>
            <w:tcW w:w="4395" w:type="dxa"/>
            <w:shd w:val="clear" w:color="auto" w:fill="auto"/>
          </w:tcPr>
          <w:p w14:paraId="250BC8D7" w14:textId="77777777" w:rsidR="006F0DBD" w:rsidRDefault="006F0DBD" w:rsidP="006F0DBD">
            <w:pPr>
              <w:pStyle w:val="ListParagraph"/>
              <w:autoSpaceDE w:val="0"/>
              <w:autoSpaceDN w:val="0"/>
              <w:adjustRightInd w:val="0"/>
              <w:ind w:left="360"/>
            </w:pPr>
            <w:r w:rsidRPr="0045500F">
              <w:rPr>
                <w:rFonts w:cstheme="minorHAnsi"/>
                <w:b/>
                <w:bCs/>
                <w:color w:val="000000"/>
              </w:rPr>
              <w:t xml:space="preserve">7.  </w:t>
            </w:r>
            <w:r w:rsidRPr="00913B20">
              <w:rPr>
                <w:b/>
                <w:bCs/>
              </w:rPr>
              <w:t>Support to the Department of Cooperatives</w:t>
            </w:r>
            <w:r>
              <w:t xml:space="preserve"> </w:t>
            </w:r>
          </w:p>
          <w:p w14:paraId="79B3BFE8" w14:textId="3CCD24DB" w:rsidR="006F0DBD" w:rsidRPr="00EE0617" w:rsidRDefault="006F0DBD" w:rsidP="006F0DBD">
            <w:pPr>
              <w:pStyle w:val="ListParagraph"/>
              <w:autoSpaceDE w:val="0"/>
              <w:autoSpaceDN w:val="0"/>
              <w:adjustRightInd w:val="0"/>
              <w:ind w:left="360"/>
              <w:rPr>
                <w:rFonts w:cstheme="minorHAnsi"/>
              </w:rPr>
            </w:pPr>
            <w:r>
              <w:t xml:space="preserve">In regard to activities with the Cooperatives, it is recommended that (a) the Project facilitates a dialogue between higher level Cooperatives and the </w:t>
            </w:r>
            <w:r>
              <w:lastRenderedPageBreak/>
              <w:t xml:space="preserve">Provincial Department of Cooperative (PDoC) in order to agree on the way ahead with some of the Project interventions; and (b) the Project, in consultation with the PDoC should explore focussing Project’s assistance towards improving business strategic planning, value chains and related areas, and the overall vision of the cooperatives. </w:t>
            </w:r>
            <w:r w:rsidRPr="00EE0617">
              <w:rPr>
                <w:rFonts w:cstheme="minorHAnsi"/>
              </w:rPr>
              <w:t xml:space="preserve"> </w:t>
            </w:r>
          </w:p>
          <w:p w14:paraId="7FD61067" w14:textId="77777777" w:rsidR="006F0DBD" w:rsidRPr="009A579C" w:rsidRDefault="006F0DBD" w:rsidP="006F0DBD">
            <w:pPr>
              <w:pStyle w:val="Default"/>
              <w:rPr>
                <w:rFonts w:asciiTheme="minorHAnsi" w:hAnsiTheme="minorHAnsi" w:cstheme="minorHAnsi"/>
                <w:sz w:val="22"/>
                <w:szCs w:val="22"/>
              </w:rPr>
            </w:pPr>
          </w:p>
        </w:tc>
        <w:tc>
          <w:tcPr>
            <w:tcW w:w="1134" w:type="dxa"/>
            <w:shd w:val="clear" w:color="auto" w:fill="FFFFFF" w:themeFill="background1"/>
          </w:tcPr>
          <w:p w14:paraId="524039A0"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 xml:space="preserve">Agree </w:t>
            </w:r>
          </w:p>
        </w:tc>
        <w:tc>
          <w:tcPr>
            <w:tcW w:w="2977" w:type="dxa"/>
            <w:shd w:val="clear" w:color="auto" w:fill="auto"/>
          </w:tcPr>
          <w:p w14:paraId="0320BEE5" w14:textId="5CBA7596" w:rsidR="006F0DBD" w:rsidRDefault="006F0DBD" w:rsidP="006F0DBD">
            <w:pPr>
              <w:pStyle w:val="Default"/>
              <w:rPr>
                <w:rFonts w:asciiTheme="minorHAnsi" w:hAnsiTheme="minorHAnsi" w:cstheme="minorHAnsi"/>
                <w:sz w:val="22"/>
                <w:szCs w:val="22"/>
              </w:rPr>
            </w:pPr>
            <w:r>
              <w:rPr>
                <w:rFonts w:asciiTheme="minorHAnsi" w:hAnsiTheme="minorHAnsi" w:cstheme="minorHAnsi"/>
                <w:sz w:val="22"/>
                <w:szCs w:val="22"/>
              </w:rPr>
              <w:t>DFAT will consider this recommendation in the design of any f</w:t>
            </w:r>
            <w:r w:rsidRPr="00FD5E24">
              <w:rPr>
                <w:rFonts w:asciiTheme="minorHAnsi" w:hAnsiTheme="minorHAnsi" w:cstheme="minorHAnsi"/>
                <w:sz w:val="22"/>
                <w:szCs w:val="22"/>
              </w:rPr>
              <w:t>uture interventions</w:t>
            </w:r>
            <w:r w:rsidR="005F4E28">
              <w:rPr>
                <w:rFonts w:asciiTheme="minorHAnsi" w:hAnsiTheme="minorHAnsi" w:cstheme="minorHAnsi"/>
                <w:sz w:val="22"/>
                <w:szCs w:val="22"/>
              </w:rPr>
              <w:t xml:space="preserve"> such as</w:t>
            </w:r>
            <w:r w:rsidR="003B6C06">
              <w:rPr>
                <w:rFonts w:asciiTheme="minorHAnsi" w:hAnsiTheme="minorHAnsi" w:cstheme="minorHAnsi"/>
                <w:sz w:val="22"/>
                <w:szCs w:val="22"/>
              </w:rPr>
              <w:t xml:space="preserve"> the new design of the</w:t>
            </w:r>
            <w:r w:rsidR="005F4E28">
              <w:rPr>
                <w:rFonts w:asciiTheme="minorHAnsi" w:hAnsiTheme="minorHAnsi" w:cstheme="minorHAnsi"/>
                <w:sz w:val="22"/>
                <w:szCs w:val="22"/>
              </w:rPr>
              <w:t xml:space="preserve"> gender </w:t>
            </w:r>
            <w:r w:rsidR="003B6C06">
              <w:rPr>
                <w:rFonts w:asciiTheme="minorHAnsi" w:hAnsiTheme="minorHAnsi" w:cstheme="minorHAnsi"/>
                <w:sz w:val="22"/>
                <w:szCs w:val="22"/>
              </w:rPr>
              <w:t>investment</w:t>
            </w:r>
            <w:r w:rsidR="005F4E28">
              <w:rPr>
                <w:rFonts w:asciiTheme="minorHAnsi" w:hAnsiTheme="minorHAnsi" w:cstheme="minorHAnsi"/>
                <w:sz w:val="22"/>
                <w:szCs w:val="22"/>
              </w:rPr>
              <w:t xml:space="preserve">, </w:t>
            </w:r>
            <w:r w:rsidR="003B6C06">
              <w:rPr>
                <w:rFonts w:asciiTheme="minorHAnsi" w:hAnsiTheme="minorHAnsi" w:cstheme="minorHAnsi"/>
                <w:sz w:val="22"/>
                <w:szCs w:val="22"/>
              </w:rPr>
              <w:t>including possible options</w:t>
            </w:r>
            <w:r w:rsidR="005F4E28">
              <w:rPr>
                <w:rFonts w:asciiTheme="minorHAnsi" w:hAnsiTheme="minorHAnsi" w:cstheme="minorHAnsi"/>
                <w:sz w:val="22"/>
                <w:szCs w:val="22"/>
              </w:rPr>
              <w:t xml:space="preserve"> </w:t>
            </w:r>
            <w:r w:rsidR="003B6C06">
              <w:rPr>
                <w:rFonts w:asciiTheme="minorHAnsi" w:hAnsiTheme="minorHAnsi" w:cstheme="minorHAnsi"/>
                <w:sz w:val="22"/>
                <w:szCs w:val="22"/>
              </w:rPr>
              <w:t xml:space="preserve">for working </w:t>
            </w:r>
            <w:r w:rsidR="005F4E28">
              <w:rPr>
                <w:rFonts w:asciiTheme="minorHAnsi" w:hAnsiTheme="minorHAnsi" w:cstheme="minorHAnsi"/>
                <w:sz w:val="22"/>
                <w:szCs w:val="22"/>
              </w:rPr>
              <w:lastRenderedPageBreak/>
              <w:t xml:space="preserve">with the cooperatives and provincial governments. </w:t>
            </w:r>
            <w:r w:rsidRPr="00FD5E24">
              <w:rPr>
                <w:rFonts w:asciiTheme="minorHAnsi" w:hAnsiTheme="minorHAnsi" w:cstheme="minorHAnsi"/>
                <w:sz w:val="22"/>
                <w:szCs w:val="22"/>
              </w:rPr>
              <w:t xml:space="preserve"> </w:t>
            </w:r>
          </w:p>
          <w:p w14:paraId="1A48116A" w14:textId="77777777" w:rsidR="006F0DBD" w:rsidRDefault="006F0DBD" w:rsidP="006F0DBD">
            <w:pPr>
              <w:pStyle w:val="Default"/>
              <w:rPr>
                <w:rFonts w:asciiTheme="minorHAnsi" w:hAnsiTheme="minorHAnsi" w:cstheme="minorHAnsi"/>
                <w:sz w:val="22"/>
                <w:szCs w:val="22"/>
              </w:rPr>
            </w:pPr>
          </w:p>
          <w:p w14:paraId="3CCA3B44" w14:textId="282B23AF"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35506E01" w14:textId="1A94823B" w:rsidR="006F0DBD" w:rsidRPr="009A579C" w:rsidRDefault="006F0DBD" w:rsidP="006F0DBD">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N/A</w:t>
            </w:r>
          </w:p>
        </w:tc>
      </w:tr>
      <w:tr w:rsidR="006F0DBD" w:rsidRPr="009A579C" w14:paraId="77CE1A4A" w14:textId="77777777" w:rsidTr="00D4735E">
        <w:tc>
          <w:tcPr>
            <w:tcW w:w="4395" w:type="dxa"/>
            <w:shd w:val="clear" w:color="auto" w:fill="auto"/>
          </w:tcPr>
          <w:p w14:paraId="34994BA1" w14:textId="77777777" w:rsidR="006F0DBD" w:rsidRDefault="006F0DBD" w:rsidP="006F0DBD">
            <w:pPr>
              <w:pStyle w:val="ListParagraph"/>
              <w:autoSpaceDE w:val="0"/>
              <w:autoSpaceDN w:val="0"/>
              <w:adjustRightInd w:val="0"/>
              <w:ind w:left="360"/>
            </w:pPr>
            <w:r w:rsidRPr="00EE0617">
              <w:rPr>
                <w:rFonts w:cstheme="minorHAnsi"/>
                <w:b/>
                <w:bCs/>
                <w:color w:val="000000"/>
              </w:rPr>
              <w:t xml:space="preserve">8.  </w:t>
            </w:r>
            <w:r w:rsidRPr="00913B20">
              <w:rPr>
                <w:b/>
                <w:bCs/>
              </w:rPr>
              <w:t>Field-level monitoring</w:t>
            </w:r>
            <w:r>
              <w:t xml:space="preserve"> </w:t>
            </w:r>
          </w:p>
          <w:p w14:paraId="590ECDCF" w14:textId="545AA5D9" w:rsidR="006F0DBD" w:rsidRPr="00915953" w:rsidRDefault="006F0DBD" w:rsidP="006F0DBD">
            <w:pPr>
              <w:pStyle w:val="ListParagraph"/>
              <w:autoSpaceDE w:val="0"/>
              <w:autoSpaceDN w:val="0"/>
              <w:adjustRightInd w:val="0"/>
              <w:ind w:left="360"/>
              <w:rPr>
                <w:rFonts w:cstheme="minorHAnsi"/>
              </w:rPr>
            </w:pPr>
            <w:r>
              <w:t>Field-level monitoring needs to be strengthened as the evaluation noted shortcoming in the monitoring of MSMEs; in addition, monitoring of agricultural activities is left with the private sector who have done a commendable service in providing inputs and extension services. The main interest of the private sector is to buy raw material for their business; the Project should complement this by undertaking outcome monitoring to capture changes in human wellbeing and social wellbeing. Connected to this is the need to support the private sector to ensure that the farmers maintain their loyalty in the linkages that have been established by the Project.</w:t>
            </w:r>
            <w:r w:rsidRPr="00915953">
              <w:rPr>
                <w:rFonts w:cstheme="minorHAnsi"/>
              </w:rPr>
              <w:t xml:space="preserve"> </w:t>
            </w:r>
          </w:p>
          <w:p w14:paraId="27FA5ABD" w14:textId="77777777" w:rsidR="006F0DBD" w:rsidRPr="009A579C" w:rsidRDefault="006F0DBD" w:rsidP="006F0DBD">
            <w:pPr>
              <w:pStyle w:val="Default"/>
              <w:rPr>
                <w:rFonts w:asciiTheme="minorHAnsi" w:hAnsiTheme="minorHAnsi" w:cstheme="minorHAnsi"/>
                <w:sz w:val="22"/>
                <w:szCs w:val="22"/>
              </w:rPr>
            </w:pPr>
          </w:p>
        </w:tc>
        <w:tc>
          <w:tcPr>
            <w:tcW w:w="1134" w:type="dxa"/>
            <w:shd w:val="clear" w:color="auto" w:fill="FFFFFF" w:themeFill="background1"/>
          </w:tcPr>
          <w:p w14:paraId="4A77C4A6"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t>Agree</w:t>
            </w:r>
          </w:p>
        </w:tc>
        <w:tc>
          <w:tcPr>
            <w:tcW w:w="2977" w:type="dxa"/>
            <w:shd w:val="clear" w:color="auto" w:fill="auto"/>
          </w:tcPr>
          <w:p w14:paraId="6C7802AC" w14:textId="53B919F4" w:rsidR="006F0DBD" w:rsidRPr="009A579C" w:rsidRDefault="006F0DBD" w:rsidP="00746B53">
            <w:pPr>
              <w:pStyle w:val="Default"/>
              <w:rPr>
                <w:rFonts w:asciiTheme="minorHAnsi" w:hAnsiTheme="minorHAnsi" w:cstheme="minorHAnsi"/>
                <w:sz w:val="22"/>
                <w:szCs w:val="22"/>
              </w:rPr>
            </w:pPr>
            <w:r>
              <w:rPr>
                <w:rFonts w:asciiTheme="minorHAnsi" w:hAnsiTheme="minorHAnsi" w:cstheme="minorHAnsi"/>
                <w:sz w:val="22"/>
                <w:szCs w:val="22"/>
              </w:rPr>
              <w:t>DFAT will consider this recommendation</w:t>
            </w:r>
            <w:r w:rsidR="005F4E28">
              <w:rPr>
                <w:rFonts w:asciiTheme="minorHAnsi" w:hAnsiTheme="minorHAnsi" w:cstheme="minorHAnsi"/>
                <w:sz w:val="22"/>
                <w:szCs w:val="22"/>
              </w:rPr>
              <w:t xml:space="preserve"> and ensure that partners are conducting close monitoring of their activities </w:t>
            </w:r>
            <w:r>
              <w:rPr>
                <w:rFonts w:asciiTheme="minorHAnsi" w:hAnsiTheme="minorHAnsi" w:cstheme="minorHAnsi"/>
                <w:sz w:val="22"/>
                <w:szCs w:val="22"/>
              </w:rPr>
              <w:t xml:space="preserve">in </w:t>
            </w:r>
            <w:r w:rsidR="00746B53">
              <w:rPr>
                <w:rFonts w:asciiTheme="minorHAnsi" w:hAnsiTheme="minorHAnsi" w:cstheme="minorHAnsi"/>
                <w:sz w:val="22"/>
                <w:szCs w:val="22"/>
              </w:rPr>
              <w:t xml:space="preserve">ongoing DFAT programs and </w:t>
            </w:r>
            <w:r>
              <w:rPr>
                <w:rFonts w:asciiTheme="minorHAnsi" w:hAnsiTheme="minorHAnsi" w:cstheme="minorHAnsi"/>
                <w:sz w:val="22"/>
                <w:szCs w:val="22"/>
              </w:rPr>
              <w:t>any f</w:t>
            </w:r>
            <w:r w:rsidRPr="00FD5E24">
              <w:rPr>
                <w:rFonts w:asciiTheme="minorHAnsi" w:hAnsiTheme="minorHAnsi" w:cstheme="minorHAnsi"/>
                <w:sz w:val="22"/>
                <w:szCs w:val="22"/>
              </w:rPr>
              <w:t xml:space="preserve">uture </w:t>
            </w:r>
            <w:r w:rsidR="003B6C06">
              <w:rPr>
                <w:rFonts w:asciiTheme="minorHAnsi" w:hAnsiTheme="minorHAnsi" w:cstheme="minorHAnsi"/>
                <w:sz w:val="22"/>
                <w:szCs w:val="22"/>
              </w:rPr>
              <w:t xml:space="preserve">relevant </w:t>
            </w:r>
            <w:r w:rsidRPr="00FD5E24">
              <w:rPr>
                <w:rFonts w:asciiTheme="minorHAnsi" w:hAnsiTheme="minorHAnsi" w:cstheme="minorHAnsi"/>
                <w:sz w:val="22"/>
                <w:szCs w:val="22"/>
              </w:rPr>
              <w:t>interventions</w:t>
            </w:r>
            <w:r w:rsidR="00746B53">
              <w:rPr>
                <w:rFonts w:asciiTheme="minorHAnsi" w:hAnsiTheme="minorHAnsi" w:cstheme="minorHAnsi"/>
                <w:sz w:val="22"/>
                <w:szCs w:val="22"/>
              </w:rPr>
              <w:t xml:space="preserve">. </w:t>
            </w:r>
            <w:r w:rsidRPr="00FD5E24">
              <w:rPr>
                <w:rFonts w:asciiTheme="minorHAnsi" w:hAnsiTheme="minorHAnsi" w:cstheme="minorHAnsi"/>
                <w:sz w:val="22"/>
                <w:szCs w:val="22"/>
              </w:rPr>
              <w:t xml:space="preserve"> </w:t>
            </w:r>
          </w:p>
        </w:tc>
        <w:tc>
          <w:tcPr>
            <w:tcW w:w="1276" w:type="dxa"/>
            <w:shd w:val="clear" w:color="auto" w:fill="auto"/>
          </w:tcPr>
          <w:p w14:paraId="530B6929" w14:textId="4E54BF84" w:rsidR="006F0DBD" w:rsidRPr="009A579C" w:rsidRDefault="006F0DBD" w:rsidP="006F0DBD">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r w:rsidR="00E8119D" w:rsidRPr="009A579C" w14:paraId="643F6AE2" w14:textId="77777777" w:rsidTr="00D4735E">
        <w:tc>
          <w:tcPr>
            <w:tcW w:w="4395" w:type="dxa"/>
            <w:shd w:val="clear" w:color="auto" w:fill="auto"/>
          </w:tcPr>
          <w:p w14:paraId="6082CD73" w14:textId="3A4FB1A3" w:rsidR="00E8119D" w:rsidRPr="00913B20" w:rsidRDefault="00E8119D" w:rsidP="00913B20">
            <w:pPr>
              <w:pStyle w:val="ListParagraph"/>
              <w:autoSpaceDE w:val="0"/>
              <w:autoSpaceDN w:val="0"/>
              <w:adjustRightInd w:val="0"/>
              <w:ind w:left="360"/>
              <w:rPr>
                <w:b/>
                <w:bCs/>
              </w:rPr>
            </w:pPr>
            <w:r w:rsidRPr="00913B20">
              <w:rPr>
                <w:b/>
                <w:bCs/>
              </w:rPr>
              <w:t xml:space="preserve">9. </w:t>
            </w:r>
            <w:r>
              <w:rPr>
                <w:b/>
                <w:bCs/>
              </w:rPr>
              <w:t xml:space="preserve"> </w:t>
            </w:r>
            <w:r w:rsidRPr="00913B20">
              <w:rPr>
                <w:b/>
                <w:bCs/>
              </w:rPr>
              <w:t>Reporting</w:t>
            </w:r>
          </w:p>
          <w:p w14:paraId="36BDE463" w14:textId="190B45D5" w:rsidR="00E8119D" w:rsidRPr="00EE0617" w:rsidRDefault="00E8119D" w:rsidP="00913B20">
            <w:pPr>
              <w:pStyle w:val="ListParagraph"/>
              <w:autoSpaceDE w:val="0"/>
              <w:autoSpaceDN w:val="0"/>
              <w:adjustRightInd w:val="0"/>
              <w:ind w:left="360"/>
              <w:rPr>
                <w:rFonts w:cstheme="minorHAnsi"/>
                <w:b/>
                <w:bCs/>
                <w:color w:val="000000"/>
              </w:rPr>
            </w:pPr>
            <w:r>
              <w:t>Reporting is lengthy and complex; it is difficult to extract key information from the Annual Reports. A clear and concise statement on the status of indicators would be very useful in addition to any narratives that are provided. Furthermore, reporting on the actions to support the relevant SDG Goals is scanty, and it is recommended that the Annual Report has a separate section on SDG contributions.</w:t>
            </w:r>
          </w:p>
        </w:tc>
        <w:tc>
          <w:tcPr>
            <w:tcW w:w="1134" w:type="dxa"/>
            <w:shd w:val="clear" w:color="auto" w:fill="FFFFFF" w:themeFill="background1"/>
          </w:tcPr>
          <w:p w14:paraId="2DEF6ED4" w14:textId="0B309B28" w:rsidR="00E8119D" w:rsidRPr="009A579C" w:rsidRDefault="006F0DBD" w:rsidP="00296571">
            <w:pPr>
              <w:pStyle w:val="Default"/>
              <w:rPr>
                <w:rFonts w:asciiTheme="minorHAnsi" w:hAnsiTheme="minorHAnsi" w:cstheme="minorHAnsi"/>
                <w:sz w:val="22"/>
                <w:szCs w:val="22"/>
              </w:rPr>
            </w:pPr>
            <w:r>
              <w:rPr>
                <w:rFonts w:asciiTheme="minorHAnsi" w:hAnsiTheme="minorHAnsi" w:cstheme="minorHAnsi"/>
                <w:sz w:val="22"/>
                <w:szCs w:val="22"/>
              </w:rPr>
              <w:t>Agree</w:t>
            </w:r>
          </w:p>
        </w:tc>
        <w:tc>
          <w:tcPr>
            <w:tcW w:w="2977" w:type="dxa"/>
            <w:shd w:val="clear" w:color="auto" w:fill="auto"/>
          </w:tcPr>
          <w:p w14:paraId="6E2DD74C" w14:textId="1E109383" w:rsidR="006F0DBD" w:rsidRDefault="006F0DBD" w:rsidP="006F0DBD">
            <w:pPr>
              <w:pStyle w:val="Default"/>
              <w:rPr>
                <w:rFonts w:asciiTheme="minorHAnsi" w:hAnsiTheme="minorHAnsi" w:cstheme="minorHAnsi"/>
                <w:sz w:val="22"/>
                <w:szCs w:val="22"/>
              </w:rPr>
            </w:pPr>
            <w:r>
              <w:rPr>
                <w:rFonts w:asciiTheme="minorHAnsi" w:hAnsiTheme="minorHAnsi" w:cstheme="minorHAnsi"/>
                <w:sz w:val="22"/>
                <w:szCs w:val="22"/>
              </w:rPr>
              <w:t xml:space="preserve">DFAT will consider this recommendation </w:t>
            </w:r>
            <w:r w:rsidR="008B2AA1">
              <w:rPr>
                <w:rFonts w:asciiTheme="minorHAnsi" w:hAnsiTheme="minorHAnsi" w:cstheme="minorHAnsi"/>
                <w:sz w:val="22"/>
                <w:szCs w:val="22"/>
              </w:rPr>
              <w:t xml:space="preserve">and inform all partners of ongoing and future programs </w:t>
            </w:r>
            <w:r w:rsidR="00D53B8B">
              <w:rPr>
                <w:rFonts w:asciiTheme="minorHAnsi" w:hAnsiTheme="minorHAnsi" w:cstheme="minorHAnsi"/>
                <w:sz w:val="22"/>
                <w:szCs w:val="22"/>
              </w:rPr>
              <w:t xml:space="preserve">to </w:t>
            </w:r>
            <w:r w:rsidR="008B2AA1">
              <w:rPr>
                <w:rFonts w:asciiTheme="minorHAnsi" w:hAnsiTheme="minorHAnsi" w:cstheme="minorHAnsi"/>
                <w:sz w:val="22"/>
                <w:szCs w:val="22"/>
              </w:rPr>
              <w:t>provid</w:t>
            </w:r>
            <w:r w:rsidR="00D53B8B">
              <w:rPr>
                <w:rFonts w:asciiTheme="minorHAnsi" w:hAnsiTheme="minorHAnsi" w:cstheme="minorHAnsi"/>
                <w:sz w:val="22"/>
                <w:szCs w:val="22"/>
              </w:rPr>
              <w:t>e</w:t>
            </w:r>
            <w:r w:rsidR="00374A4E">
              <w:rPr>
                <w:rFonts w:asciiTheme="minorHAnsi" w:hAnsiTheme="minorHAnsi" w:cstheme="minorHAnsi"/>
                <w:sz w:val="22"/>
                <w:szCs w:val="22"/>
              </w:rPr>
              <w:t xml:space="preserve"> clear and concise reports with all relevant data to inform the status of the interventions as per the identified </w:t>
            </w:r>
            <w:r w:rsidR="00E31ECA">
              <w:rPr>
                <w:rFonts w:asciiTheme="minorHAnsi" w:hAnsiTheme="minorHAnsi" w:cstheme="minorHAnsi"/>
                <w:sz w:val="22"/>
                <w:szCs w:val="22"/>
              </w:rPr>
              <w:t>indicators</w:t>
            </w:r>
            <w:r w:rsidR="007966D3">
              <w:rPr>
                <w:rFonts w:asciiTheme="minorHAnsi" w:hAnsiTheme="minorHAnsi" w:cstheme="minorHAnsi"/>
                <w:sz w:val="22"/>
                <w:szCs w:val="22"/>
              </w:rPr>
              <w:t xml:space="preserve"> of the </w:t>
            </w:r>
            <w:r w:rsidR="00A07A3A">
              <w:rPr>
                <w:rFonts w:asciiTheme="minorHAnsi" w:hAnsiTheme="minorHAnsi" w:cstheme="minorHAnsi"/>
                <w:sz w:val="22"/>
                <w:szCs w:val="22"/>
              </w:rPr>
              <w:t>program.</w:t>
            </w:r>
          </w:p>
          <w:p w14:paraId="6FA9809B" w14:textId="77777777" w:rsidR="006F0DBD" w:rsidRDefault="006F0DBD" w:rsidP="006F0DBD">
            <w:pPr>
              <w:pStyle w:val="Default"/>
              <w:rPr>
                <w:rFonts w:asciiTheme="minorHAnsi" w:hAnsiTheme="minorHAnsi" w:cstheme="minorHAnsi"/>
                <w:sz w:val="22"/>
                <w:szCs w:val="22"/>
              </w:rPr>
            </w:pPr>
          </w:p>
          <w:p w14:paraId="7E52C686" w14:textId="49D8269E" w:rsidR="00E8119D" w:rsidRDefault="00E8119D" w:rsidP="006F0DBD">
            <w:pPr>
              <w:pStyle w:val="Default"/>
              <w:rPr>
                <w:rFonts w:asciiTheme="minorHAnsi" w:hAnsiTheme="minorHAnsi" w:cstheme="minorHAnsi"/>
                <w:sz w:val="22"/>
                <w:szCs w:val="22"/>
              </w:rPr>
            </w:pPr>
          </w:p>
        </w:tc>
        <w:tc>
          <w:tcPr>
            <w:tcW w:w="1276" w:type="dxa"/>
            <w:shd w:val="clear" w:color="auto" w:fill="auto"/>
          </w:tcPr>
          <w:p w14:paraId="48970248" w14:textId="2443F9A1" w:rsidR="00E8119D" w:rsidRDefault="002A03E5" w:rsidP="002A03E5">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bl>
    <w:p w14:paraId="4BECE320" w14:textId="77777777" w:rsidR="00A56F46" w:rsidRDefault="00A56F46" w:rsidP="008F0D80"/>
    <w:sectPr w:rsidR="00A56F46" w:rsidSect="004E18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2687" w14:textId="77777777" w:rsidR="0038187F" w:rsidRDefault="0038187F" w:rsidP="00A7013F">
      <w:pPr>
        <w:spacing w:after="0" w:line="240" w:lineRule="auto"/>
      </w:pPr>
      <w:r>
        <w:separator/>
      </w:r>
    </w:p>
  </w:endnote>
  <w:endnote w:type="continuationSeparator" w:id="0">
    <w:p w14:paraId="751B05E4" w14:textId="77777777" w:rsidR="0038187F" w:rsidRDefault="0038187F" w:rsidP="00A7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C683" w14:textId="77777777" w:rsidR="0038187F" w:rsidRDefault="0038187F" w:rsidP="00A7013F">
      <w:pPr>
        <w:spacing w:after="0" w:line="240" w:lineRule="auto"/>
      </w:pPr>
      <w:r>
        <w:separator/>
      </w:r>
    </w:p>
  </w:footnote>
  <w:footnote w:type="continuationSeparator" w:id="0">
    <w:p w14:paraId="65D340EA" w14:textId="77777777" w:rsidR="0038187F" w:rsidRDefault="0038187F" w:rsidP="00A7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BB4610"/>
    <w:multiLevelType w:val="hybridMultilevel"/>
    <w:tmpl w:val="01E288B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0E6D90"/>
    <w:multiLevelType w:val="hybridMultilevel"/>
    <w:tmpl w:val="EF20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1679E7"/>
    <w:multiLevelType w:val="hybridMultilevel"/>
    <w:tmpl w:val="E4A8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3361835">
    <w:abstractNumId w:val="0"/>
  </w:num>
  <w:num w:numId="2" w16cid:durableId="1593901872">
    <w:abstractNumId w:val="3"/>
  </w:num>
  <w:num w:numId="3" w16cid:durableId="1325628048">
    <w:abstractNumId w:val="2"/>
  </w:num>
  <w:num w:numId="4" w16cid:durableId="138283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80"/>
    <w:rsid w:val="00062F25"/>
    <w:rsid w:val="000B2C66"/>
    <w:rsid w:val="00185CE4"/>
    <w:rsid w:val="001B42AE"/>
    <w:rsid w:val="00250092"/>
    <w:rsid w:val="00273745"/>
    <w:rsid w:val="002A03E5"/>
    <w:rsid w:val="00304CC9"/>
    <w:rsid w:val="00346226"/>
    <w:rsid w:val="00374A4E"/>
    <w:rsid w:val="0038187F"/>
    <w:rsid w:val="003940B7"/>
    <w:rsid w:val="003A7617"/>
    <w:rsid w:val="003B6C06"/>
    <w:rsid w:val="00417175"/>
    <w:rsid w:val="004819AB"/>
    <w:rsid w:val="004E18BF"/>
    <w:rsid w:val="004E4BE6"/>
    <w:rsid w:val="0051658B"/>
    <w:rsid w:val="005647C6"/>
    <w:rsid w:val="0058025C"/>
    <w:rsid w:val="005B2F88"/>
    <w:rsid w:val="005F4E28"/>
    <w:rsid w:val="00613FD3"/>
    <w:rsid w:val="00643C3A"/>
    <w:rsid w:val="00695FDB"/>
    <w:rsid w:val="006E0012"/>
    <w:rsid w:val="006F0DBD"/>
    <w:rsid w:val="00717500"/>
    <w:rsid w:val="00746B53"/>
    <w:rsid w:val="007919AB"/>
    <w:rsid w:val="007966D3"/>
    <w:rsid w:val="00840942"/>
    <w:rsid w:val="008935A2"/>
    <w:rsid w:val="008B2AA1"/>
    <w:rsid w:val="008F0D80"/>
    <w:rsid w:val="00913B20"/>
    <w:rsid w:val="00944517"/>
    <w:rsid w:val="00A07A3A"/>
    <w:rsid w:val="00A56F46"/>
    <w:rsid w:val="00A64D10"/>
    <w:rsid w:val="00A7013F"/>
    <w:rsid w:val="00AC294F"/>
    <w:rsid w:val="00BB11DC"/>
    <w:rsid w:val="00BB1F7A"/>
    <w:rsid w:val="00C47AA0"/>
    <w:rsid w:val="00D4735E"/>
    <w:rsid w:val="00D53B8B"/>
    <w:rsid w:val="00E31ECA"/>
    <w:rsid w:val="00E40438"/>
    <w:rsid w:val="00E80623"/>
    <w:rsid w:val="00E8119D"/>
    <w:rsid w:val="00F43FBB"/>
    <w:rsid w:val="00FD5E24"/>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7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438"/>
    <w:pPr>
      <w:outlineLvl w:val="0"/>
    </w:pPr>
    <w:rPr>
      <w:rFonts w:cstheme="minorHAnsi"/>
      <w:b/>
      <w:bCs/>
      <w:sz w:val="28"/>
      <w:szCs w:val="28"/>
    </w:rPr>
  </w:style>
  <w:style w:type="paragraph" w:styleId="Heading2">
    <w:name w:val="heading 2"/>
    <w:basedOn w:val="Normal"/>
    <w:link w:val="Heading2Char"/>
    <w:uiPriority w:val="9"/>
    <w:qFormat/>
    <w:rsid w:val="00E40438"/>
    <w:pPr>
      <w:outlineLvl w:val="1"/>
    </w:pPr>
    <w:rPr>
      <w:rFonts w:cstheme="minorHAns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F46"/>
    <w:pPr>
      <w:ind w:left="720"/>
      <w:contextualSpacing/>
    </w:pPr>
  </w:style>
  <w:style w:type="paragraph" w:customStyle="1" w:styleId="Default">
    <w:name w:val="Default"/>
    <w:rsid w:val="00A56F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5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175"/>
    <w:pPr>
      <w:spacing w:after="0" w:line="240" w:lineRule="auto"/>
    </w:pPr>
  </w:style>
  <w:style w:type="character" w:customStyle="1" w:styleId="Heading1Char">
    <w:name w:val="Heading 1 Char"/>
    <w:basedOn w:val="DefaultParagraphFont"/>
    <w:link w:val="Heading1"/>
    <w:uiPriority w:val="9"/>
    <w:rsid w:val="00E40438"/>
    <w:rPr>
      <w:rFonts w:cstheme="minorHAnsi"/>
      <w:b/>
      <w:bCs/>
      <w:sz w:val="28"/>
      <w:szCs w:val="28"/>
    </w:rPr>
  </w:style>
  <w:style w:type="character" w:customStyle="1" w:styleId="Heading2Char">
    <w:name w:val="Heading 2 Char"/>
    <w:basedOn w:val="DefaultParagraphFont"/>
    <w:link w:val="Heading2"/>
    <w:uiPriority w:val="9"/>
    <w:rsid w:val="00E40438"/>
    <w:rPr>
      <w:rFonts w:cstheme="minorHAnsi"/>
      <w:color w:val="4472C4" w:themeColor="accent1"/>
      <w:sz w:val="24"/>
      <w:szCs w:val="24"/>
    </w:rPr>
  </w:style>
  <w:style w:type="paragraph" w:styleId="NormalWeb">
    <w:name w:val="Normal (Web)"/>
    <w:basedOn w:val="Normal"/>
    <w:uiPriority w:val="99"/>
    <w:semiHidden/>
    <w:unhideWhenUsed/>
    <w:rsid w:val="004171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17175"/>
    <w:rPr>
      <w:color w:val="0000FF"/>
      <w:u w:val="single"/>
    </w:rPr>
  </w:style>
  <w:style w:type="paragraph" w:styleId="Header">
    <w:name w:val="header"/>
    <w:basedOn w:val="Normal"/>
    <w:link w:val="HeaderChar"/>
    <w:uiPriority w:val="99"/>
    <w:unhideWhenUsed/>
    <w:rsid w:val="00AC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4F"/>
  </w:style>
  <w:style w:type="paragraph" w:styleId="Footer">
    <w:name w:val="footer"/>
    <w:basedOn w:val="Normal"/>
    <w:link w:val="FooterChar"/>
    <w:uiPriority w:val="99"/>
    <w:unhideWhenUsed/>
    <w:rsid w:val="00AC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3004">
      <w:bodyDiv w:val="1"/>
      <w:marLeft w:val="0"/>
      <w:marRight w:val="0"/>
      <w:marTop w:val="0"/>
      <w:marBottom w:val="0"/>
      <w:divBdr>
        <w:top w:val="none" w:sz="0" w:space="0" w:color="auto"/>
        <w:left w:val="none" w:sz="0" w:space="0" w:color="auto"/>
        <w:bottom w:val="none" w:sz="0" w:space="0" w:color="auto"/>
        <w:right w:val="none" w:sz="0" w:space="0" w:color="auto"/>
      </w:divBdr>
      <w:divsChild>
        <w:div w:id="504511922">
          <w:marLeft w:val="0"/>
          <w:marRight w:val="0"/>
          <w:marTop w:val="0"/>
          <w:marBottom w:val="0"/>
          <w:divBdr>
            <w:top w:val="none" w:sz="0" w:space="0" w:color="auto"/>
            <w:left w:val="none" w:sz="0" w:space="0" w:color="auto"/>
            <w:bottom w:val="none" w:sz="0" w:space="0" w:color="auto"/>
            <w:right w:val="none" w:sz="0" w:space="0" w:color="auto"/>
          </w:divBdr>
        </w:div>
        <w:div w:id="960499934">
          <w:marLeft w:val="0"/>
          <w:marRight w:val="0"/>
          <w:marTop w:val="0"/>
          <w:marBottom w:val="0"/>
          <w:divBdr>
            <w:top w:val="none" w:sz="0" w:space="0" w:color="auto"/>
            <w:left w:val="none" w:sz="0" w:space="0" w:color="auto"/>
            <w:bottom w:val="none" w:sz="0" w:space="0" w:color="auto"/>
            <w:right w:val="none" w:sz="0" w:space="0" w:color="auto"/>
          </w:divBdr>
          <w:divsChild>
            <w:div w:id="1600792163">
              <w:marLeft w:val="0"/>
              <w:marRight w:val="0"/>
              <w:marTop w:val="0"/>
              <w:marBottom w:val="0"/>
              <w:divBdr>
                <w:top w:val="none" w:sz="0" w:space="0" w:color="auto"/>
                <w:left w:val="none" w:sz="0" w:space="0" w:color="auto"/>
                <w:bottom w:val="none" w:sz="0" w:space="0" w:color="auto"/>
                <w:right w:val="none" w:sz="0" w:space="0" w:color="auto"/>
              </w:divBdr>
              <w:divsChild>
                <w:div w:id="920480384">
                  <w:marLeft w:val="0"/>
                  <w:marRight w:val="0"/>
                  <w:marTop w:val="0"/>
                  <w:marBottom w:val="0"/>
                  <w:divBdr>
                    <w:top w:val="none" w:sz="0" w:space="0" w:color="auto"/>
                    <w:left w:val="none" w:sz="0" w:space="0" w:color="auto"/>
                    <w:bottom w:val="none" w:sz="0" w:space="0" w:color="auto"/>
                    <w:right w:val="none" w:sz="0" w:space="0" w:color="auto"/>
                  </w:divBdr>
                  <w:divsChild>
                    <w:div w:id="492792868">
                      <w:marLeft w:val="0"/>
                      <w:marRight w:val="0"/>
                      <w:marTop w:val="0"/>
                      <w:marBottom w:val="0"/>
                      <w:divBdr>
                        <w:top w:val="none" w:sz="0" w:space="0" w:color="auto"/>
                        <w:left w:val="none" w:sz="0" w:space="0" w:color="auto"/>
                        <w:bottom w:val="none" w:sz="0" w:space="0" w:color="auto"/>
                        <w:right w:val="none" w:sz="0" w:space="0" w:color="auto"/>
                      </w:divBdr>
                      <w:divsChild>
                        <w:div w:id="464930988">
                          <w:marLeft w:val="0"/>
                          <w:marRight w:val="0"/>
                          <w:marTop w:val="0"/>
                          <w:marBottom w:val="0"/>
                          <w:divBdr>
                            <w:top w:val="none" w:sz="0" w:space="0" w:color="auto"/>
                            <w:left w:val="none" w:sz="0" w:space="0" w:color="auto"/>
                            <w:bottom w:val="none" w:sz="0" w:space="0" w:color="auto"/>
                            <w:right w:val="none" w:sz="0" w:space="0" w:color="auto"/>
                          </w:divBdr>
                          <w:divsChild>
                            <w:div w:id="18897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8278</Characters>
  <Application>Microsoft Office Word</Application>
  <DocSecurity>0</DocSecurity>
  <Lines>297</Lines>
  <Paragraphs>63</Paragraphs>
  <ScaleCrop>false</ScaleCrop>
  <HeadingPairs>
    <vt:vector size="2" baseType="variant">
      <vt:variant>
        <vt:lpstr>Title</vt:lpstr>
      </vt:variant>
      <vt:variant>
        <vt:i4>1</vt:i4>
      </vt:variant>
    </vt:vector>
  </HeadingPairs>
  <TitlesOfParts>
    <vt:vector size="1" baseType="lpstr">
      <vt:lpstr>Local Empowerment through Economic Development and Reconciliation Project - DFAT Management Response to Partner-led Independent Evaluation</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Empowerment through Economic Development and Reconciliation Project - DFAT Management Response to Partner-led Independent Evaluation</dc:title>
  <dc:subject/>
  <dc:creator/>
  <cp:keywords>[SEC=OFFICIAL]</cp:keywords>
  <dc:description/>
  <cp:lastModifiedBy/>
  <cp:revision>1</cp:revision>
  <dcterms:created xsi:type="dcterms:W3CDTF">2024-02-05T22:58:00Z</dcterms:created>
  <dcterms:modified xsi:type="dcterms:W3CDTF">2024-02-05T23:00:00Z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v=2022.1;a=SHA256;h=52D1C9249AF4AE1245FC521CCB01F129A1F7BB99363555AEAEDDB3D616A581B1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2023-11-17T06:24:30Z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DFE824248B5A404F8CCF47D76669DFB3</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D9B6A840C36CA61358D42BCD12329F56</vt:lpwstr>
  </property>
  <property fmtid="{D5CDD505-2E9C-101B-9397-08002B2CF9AE}" pid="24" name="PM_Hash_Salt">
    <vt:lpwstr>9568C594F941BB8CC678719D3132CA71</vt:lpwstr>
  </property>
  <property fmtid="{D5CDD505-2E9C-101B-9397-08002B2CF9AE}" pid="25" name="PM_Hash_SHA1">
    <vt:lpwstr>F24CB68E855DB79DF10BFE5B55FABC918151D903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