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0784" w14:textId="77777777" w:rsidR="00692F17" w:rsidRDefault="00692F17" w:rsidP="00692F17">
      <w:pPr>
        <w:rPr>
          <w:rFonts w:cstheme="minorHAnsi"/>
          <w:b/>
          <w:bCs/>
        </w:rPr>
      </w:pPr>
      <w:r w:rsidRPr="00692F17">
        <w:rPr>
          <w:rFonts w:cstheme="minorHAnsi"/>
          <w:b/>
          <w:bCs/>
        </w:rPr>
        <w:t>2023 SEP independent evaluation – key recommendations and responses</w:t>
      </w:r>
    </w:p>
    <w:p w14:paraId="094B7AE5" w14:textId="77777777" w:rsidR="00AB788E" w:rsidRDefault="00AB788E" w:rsidP="00692F17">
      <w:pPr>
        <w:rPr>
          <w:rFonts w:cstheme="minorHAnsi"/>
        </w:rPr>
      </w:pPr>
    </w:p>
    <w:p w14:paraId="574322A7" w14:textId="486224D5" w:rsidR="00AB788E" w:rsidRPr="006A5D7D" w:rsidRDefault="00D30824" w:rsidP="00692F17">
      <w:pPr>
        <w:rPr>
          <w:rFonts w:cstheme="minorHAnsi"/>
          <w:i/>
          <w:iCs/>
        </w:rPr>
      </w:pPr>
      <w:r w:rsidRPr="006A5D7D">
        <w:rPr>
          <w:rFonts w:cstheme="minorHAnsi"/>
          <w:i/>
          <w:iCs/>
        </w:rPr>
        <w:t>The evaluation into the Supporting Elections in PNG program</w:t>
      </w:r>
      <w:r w:rsidR="005D5B14" w:rsidRPr="006A5D7D">
        <w:rPr>
          <w:rFonts w:cstheme="minorHAnsi"/>
          <w:i/>
          <w:iCs/>
        </w:rPr>
        <w:t xml:space="preserve"> was conducted by Tetra Tech</w:t>
      </w:r>
      <w:r w:rsidR="00772880" w:rsidRPr="006A5D7D">
        <w:rPr>
          <w:rFonts w:cstheme="minorHAnsi"/>
          <w:i/>
          <w:iCs/>
        </w:rPr>
        <w:t xml:space="preserve"> </w:t>
      </w:r>
      <w:r w:rsidR="00433712" w:rsidRPr="006A5D7D">
        <w:rPr>
          <w:rFonts w:cstheme="minorHAnsi"/>
          <w:i/>
          <w:iCs/>
        </w:rPr>
        <w:t xml:space="preserve">over the period </w:t>
      </w:r>
      <w:r w:rsidR="00772880" w:rsidRPr="006A5D7D">
        <w:rPr>
          <w:rFonts w:cstheme="minorHAnsi"/>
          <w:i/>
          <w:iCs/>
        </w:rPr>
        <w:t>July</w:t>
      </w:r>
      <w:r w:rsidR="00433712" w:rsidRPr="006A5D7D">
        <w:rPr>
          <w:rFonts w:cstheme="minorHAnsi"/>
          <w:i/>
          <w:iCs/>
        </w:rPr>
        <w:t>-</w:t>
      </w:r>
      <w:r w:rsidR="00141C67">
        <w:rPr>
          <w:rFonts w:cstheme="minorHAnsi"/>
          <w:i/>
          <w:iCs/>
        </w:rPr>
        <w:t>September</w:t>
      </w:r>
      <w:r w:rsidR="00772880" w:rsidRPr="006A5D7D">
        <w:rPr>
          <w:rFonts w:cstheme="minorHAnsi"/>
          <w:i/>
          <w:iCs/>
        </w:rPr>
        <w:t xml:space="preserve"> 2023. The evaluation </w:t>
      </w:r>
      <w:r w:rsidR="00F411BC" w:rsidRPr="006A5D7D">
        <w:rPr>
          <w:rFonts w:cstheme="minorHAnsi"/>
          <w:i/>
          <w:iCs/>
        </w:rPr>
        <w:t>was conducted independently</w:t>
      </w:r>
      <w:r w:rsidR="00D4130C" w:rsidRPr="006A5D7D">
        <w:rPr>
          <w:rFonts w:cstheme="minorHAnsi"/>
          <w:i/>
          <w:iCs/>
        </w:rPr>
        <w:t xml:space="preserve">, drawing on literature </w:t>
      </w:r>
      <w:r w:rsidR="007C7812" w:rsidRPr="006A5D7D">
        <w:rPr>
          <w:rFonts w:cstheme="minorHAnsi"/>
          <w:i/>
          <w:iCs/>
        </w:rPr>
        <w:t>review</w:t>
      </w:r>
      <w:r w:rsidR="00D4130C" w:rsidRPr="006A5D7D">
        <w:rPr>
          <w:rFonts w:cstheme="minorHAnsi"/>
          <w:i/>
          <w:iCs/>
        </w:rPr>
        <w:t xml:space="preserve">, field research in Port Moresby including </w:t>
      </w:r>
      <w:r w:rsidR="007C7812" w:rsidRPr="006A5D7D">
        <w:rPr>
          <w:rFonts w:cstheme="minorHAnsi"/>
          <w:i/>
          <w:iCs/>
        </w:rPr>
        <w:t>extensive interviews with a range of Australian and PNG stakeholders, and desktop analysis</w:t>
      </w:r>
      <w:r w:rsidR="00AB788E" w:rsidRPr="006A5D7D">
        <w:rPr>
          <w:rFonts w:cstheme="minorHAnsi"/>
          <w:i/>
          <w:iCs/>
        </w:rPr>
        <w:t>.</w:t>
      </w:r>
      <w:r w:rsidR="00F411BC" w:rsidRPr="006A5D7D">
        <w:rPr>
          <w:rFonts w:cstheme="minorHAnsi"/>
          <w:i/>
          <w:iCs/>
        </w:rPr>
        <w:t xml:space="preserve"> </w:t>
      </w:r>
      <w:r w:rsidR="004B37F0" w:rsidRPr="006A5D7D">
        <w:rPr>
          <w:rFonts w:cstheme="minorHAnsi"/>
          <w:i/>
          <w:iCs/>
        </w:rPr>
        <w:t>The</w:t>
      </w:r>
      <w:r w:rsidR="00D508DC" w:rsidRPr="006A5D7D">
        <w:rPr>
          <w:rFonts w:cstheme="minorHAnsi"/>
          <w:i/>
          <w:iCs/>
        </w:rPr>
        <w:t xml:space="preserve"> observations </w:t>
      </w:r>
      <w:r w:rsidR="00F411BC" w:rsidRPr="006A5D7D">
        <w:rPr>
          <w:rFonts w:cstheme="minorHAnsi"/>
          <w:i/>
          <w:iCs/>
        </w:rPr>
        <w:t>and o</w:t>
      </w:r>
      <w:r w:rsidR="00D508DC" w:rsidRPr="006A5D7D">
        <w:rPr>
          <w:rFonts w:cstheme="minorHAnsi"/>
          <w:i/>
          <w:iCs/>
        </w:rPr>
        <w:t>pin</w:t>
      </w:r>
      <w:r w:rsidR="00F411BC" w:rsidRPr="006A5D7D">
        <w:rPr>
          <w:rFonts w:cstheme="minorHAnsi"/>
          <w:i/>
          <w:iCs/>
        </w:rPr>
        <w:t>ions</w:t>
      </w:r>
      <w:r w:rsidR="004B37F0" w:rsidRPr="006A5D7D">
        <w:rPr>
          <w:rFonts w:cstheme="minorHAnsi"/>
          <w:i/>
          <w:iCs/>
        </w:rPr>
        <w:t xml:space="preserve"> contained within the report</w:t>
      </w:r>
      <w:r w:rsidR="00F411BC" w:rsidRPr="006A5D7D">
        <w:rPr>
          <w:rFonts w:cstheme="minorHAnsi"/>
          <w:i/>
          <w:iCs/>
        </w:rPr>
        <w:t xml:space="preserve"> do not necessarily reflect the views of the commissioning agency (the Department of Foreign Affairs and Trade).</w:t>
      </w:r>
      <w:r w:rsidR="004B37F0" w:rsidRPr="006A5D7D">
        <w:rPr>
          <w:rFonts w:cstheme="minorHAnsi"/>
          <w:i/>
          <w:iCs/>
        </w:rPr>
        <w:t xml:space="preserve"> The below management responses relate to the </w:t>
      </w:r>
      <w:r w:rsidR="00D4130C" w:rsidRPr="006A5D7D">
        <w:rPr>
          <w:rFonts w:cstheme="minorHAnsi"/>
          <w:i/>
          <w:iCs/>
        </w:rPr>
        <w:t xml:space="preserve">evaluation’s </w:t>
      </w:r>
      <w:r w:rsidR="004B37F0" w:rsidRPr="006A5D7D">
        <w:rPr>
          <w:rFonts w:cstheme="minorHAnsi"/>
          <w:i/>
          <w:iCs/>
        </w:rPr>
        <w:t>policy recommendations</w:t>
      </w:r>
      <w:r w:rsidR="00D4130C" w:rsidRPr="006A5D7D">
        <w:rPr>
          <w:rFonts w:cstheme="minorHAnsi"/>
          <w:i/>
          <w:iCs/>
        </w:rPr>
        <w:t>.</w:t>
      </w:r>
    </w:p>
    <w:p w14:paraId="47A65ECF" w14:textId="77777777" w:rsidR="006A5D7D" w:rsidRPr="00D30824" w:rsidRDefault="006A5D7D" w:rsidP="00692F17">
      <w:pPr>
        <w:rPr>
          <w:rFonts w:cstheme="minorHAnsi"/>
        </w:rPr>
      </w:pPr>
    </w:p>
    <w:tbl>
      <w:tblPr>
        <w:tblStyle w:val="TableGrid"/>
        <w:tblW w:w="0" w:type="auto"/>
        <w:tblLook w:val="04A0" w:firstRow="1" w:lastRow="0" w:firstColumn="1" w:lastColumn="0" w:noHBand="0" w:noVBand="1"/>
      </w:tblPr>
      <w:tblGrid>
        <w:gridCol w:w="3532"/>
        <w:gridCol w:w="1092"/>
        <w:gridCol w:w="1371"/>
        <w:gridCol w:w="3021"/>
      </w:tblGrid>
      <w:tr w:rsidR="00692F17" w:rsidRPr="002A20AC" w14:paraId="12960A14" w14:textId="77777777" w:rsidTr="00C51C94">
        <w:trPr>
          <w:cantSplit/>
          <w:tblHeader/>
        </w:trPr>
        <w:tc>
          <w:tcPr>
            <w:tcW w:w="3558" w:type="dxa"/>
          </w:tcPr>
          <w:p w14:paraId="0383138C" w14:textId="77777777" w:rsidR="00692F17" w:rsidRPr="002A20AC" w:rsidRDefault="00692F17" w:rsidP="00AE2E5B">
            <w:pPr>
              <w:rPr>
                <w:rFonts w:cstheme="minorHAnsi"/>
                <w:b/>
                <w:bCs/>
              </w:rPr>
            </w:pPr>
            <w:r w:rsidRPr="002A20AC">
              <w:rPr>
                <w:rFonts w:cstheme="minorHAnsi"/>
                <w:b/>
                <w:bCs/>
              </w:rPr>
              <w:t>Recommendation</w:t>
            </w:r>
          </w:p>
        </w:tc>
        <w:tc>
          <w:tcPr>
            <w:tcW w:w="973" w:type="dxa"/>
          </w:tcPr>
          <w:p w14:paraId="56918500" w14:textId="77777777" w:rsidR="00692F17" w:rsidRPr="002A20AC" w:rsidRDefault="00692F17" w:rsidP="00AE2E5B">
            <w:pPr>
              <w:rPr>
                <w:rFonts w:cstheme="minorHAnsi"/>
                <w:b/>
                <w:bCs/>
              </w:rPr>
            </w:pPr>
            <w:r w:rsidRPr="002A20AC">
              <w:rPr>
                <w:rFonts w:cstheme="minorHAnsi"/>
                <w:b/>
                <w:bCs/>
              </w:rPr>
              <w:t>Response</w:t>
            </w:r>
          </w:p>
        </w:tc>
        <w:tc>
          <w:tcPr>
            <w:tcW w:w="1381" w:type="dxa"/>
          </w:tcPr>
          <w:p w14:paraId="27A8321C" w14:textId="77777777" w:rsidR="00692F17" w:rsidRPr="002A20AC" w:rsidRDefault="00692F17" w:rsidP="00AE2E5B">
            <w:pPr>
              <w:rPr>
                <w:rFonts w:cstheme="minorHAnsi"/>
                <w:b/>
                <w:bCs/>
              </w:rPr>
            </w:pPr>
            <w:r w:rsidRPr="002A20AC">
              <w:rPr>
                <w:rFonts w:cstheme="minorHAnsi"/>
                <w:b/>
                <w:bCs/>
              </w:rPr>
              <w:t>Timeframe</w:t>
            </w:r>
          </w:p>
        </w:tc>
        <w:tc>
          <w:tcPr>
            <w:tcW w:w="3104" w:type="dxa"/>
          </w:tcPr>
          <w:p w14:paraId="7A971F3B" w14:textId="77777777" w:rsidR="00692F17" w:rsidRPr="002A20AC" w:rsidRDefault="00692F17" w:rsidP="00AE2E5B">
            <w:pPr>
              <w:rPr>
                <w:rFonts w:cstheme="minorHAnsi"/>
                <w:b/>
                <w:bCs/>
              </w:rPr>
            </w:pPr>
            <w:r w:rsidRPr="002A20AC">
              <w:rPr>
                <w:rFonts w:cstheme="minorHAnsi"/>
                <w:b/>
                <w:bCs/>
              </w:rPr>
              <w:t>Next steps / Comments</w:t>
            </w:r>
          </w:p>
        </w:tc>
      </w:tr>
      <w:tr w:rsidR="00692F17" w:rsidRPr="002A20AC" w14:paraId="7CB1B5EA" w14:textId="77777777" w:rsidTr="00C51C94">
        <w:trPr>
          <w:cantSplit/>
        </w:trPr>
        <w:tc>
          <w:tcPr>
            <w:tcW w:w="3558" w:type="dxa"/>
          </w:tcPr>
          <w:p w14:paraId="210D6D9F" w14:textId="77777777" w:rsidR="00692F17" w:rsidRPr="002A20AC" w:rsidRDefault="00692F17" w:rsidP="00692F17">
            <w:pPr>
              <w:pStyle w:val="ListParagraph"/>
              <w:numPr>
                <w:ilvl w:val="0"/>
                <w:numId w:val="3"/>
              </w:numPr>
              <w:spacing w:before="120"/>
              <w:rPr>
                <w:rFonts w:cstheme="minorHAnsi"/>
              </w:rPr>
            </w:pPr>
            <w:r w:rsidRPr="002A20AC">
              <w:rPr>
                <w:rFonts w:cstheme="minorHAnsi"/>
              </w:rPr>
              <w:t>Greater emphasis should be placed on strengthening linkages between HQ and the provinces, noting that election delivery is increasingly decentralised.</w:t>
            </w:r>
          </w:p>
          <w:p w14:paraId="1B3323C3" w14:textId="77777777" w:rsidR="00692F17" w:rsidRPr="002A20AC" w:rsidRDefault="00692F17" w:rsidP="00AE2E5B">
            <w:pPr>
              <w:rPr>
                <w:rFonts w:cstheme="minorHAnsi"/>
              </w:rPr>
            </w:pPr>
          </w:p>
        </w:tc>
        <w:tc>
          <w:tcPr>
            <w:tcW w:w="973" w:type="dxa"/>
          </w:tcPr>
          <w:p w14:paraId="13EFAFC2" w14:textId="77777777" w:rsidR="00692F17" w:rsidRPr="002A20AC" w:rsidRDefault="00692F17" w:rsidP="00AE2E5B">
            <w:pPr>
              <w:rPr>
                <w:rFonts w:cstheme="minorHAnsi"/>
              </w:rPr>
            </w:pPr>
            <w:r w:rsidRPr="002A20AC">
              <w:rPr>
                <w:rFonts w:cstheme="minorHAnsi"/>
              </w:rPr>
              <w:t>Agree</w:t>
            </w:r>
          </w:p>
        </w:tc>
        <w:tc>
          <w:tcPr>
            <w:tcW w:w="1381" w:type="dxa"/>
          </w:tcPr>
          <w:p w14:paraId="6D3656A1" w14:textId="77777777" w:rsidR="00692F17" w:rsidRPr="002A20AC" w:rsidRDefault="00692F17" w:rsidP="00AE2E5B">
            <w:pPr>
              <w:rPr>
                <w:rFonts w:cstheme="minorHAnsi"/>
              </w:rPr>
            </w:pPr>
            <w:r w:rsidRPr="002A20AC">
              <w:rPr>
                <w:rFonts w:cstheme="minorHAnsi"/>
              </w:rPr>
              <w:t>Q1 2024</w:t>
            </w:r>
          </w:p>
        </w:tc>
        <w:tc>
          <w:tcPr>
            <w:tcW w:w="3104" w:type="dxa"/>
          </w:tcPr>
          <w:p w14:paraId="58A63E52" w14:textId="605EC78E" w:rsidR="00692F17" w:rsidRPr="002A20AC" w:rsidRDefault="009B468C" w:rsidP="00AE2E5B">
            <w:pPr>
              <w:rPr>
                <w:rFonts w:cstheme="minorHAnsi"/>
              </w:rPr>
            </w:pPr>
            <w:r>
              <w:rPr>
                <w:rFonts w:cstheme="minorHAnsi"/>
              </w:rPr>
              <w:t xml:space="preserve">This will be included in the </w:t>
            </w:r>
            <w:r w:rsidR="00651434">
              <w:rPr>
                <w:rFonts w:cstheme="minorHAnsi"/>
              </w:rPr>
              <w:t>refreshed</w:t>
            </w:r>
            <w:r>
              <w:rPr>
                <w:rFonts w:cstheme="minorHAnsi"/>
              </w:rPr>
              <w:t xml:space="preserve"> design.</w:t>
            </w:r>
          </w:p>
        </w:tc>
      </w:tr>
      <w:tr w:rsidR="00692F17" w:rsidRPr="002A20AC" w14:paraId="0631310B" w14:textId="77777777" w:rsidTr="00C51C94">
        <w:trPr>
          <w:cantSplit/>
        </w:trPr>
        <w:tc>
          <w:tcPr>
            <w:tcW w:w="3558" w:type="dxa"/>
          </w:tcPr>
          <w:p w14:paraId="489CC1F3" w14:textId="77777777" w:rsidR="00692F17" w:rsidRPr="002A20AC" w:rsidRDefault="00692F17" w:rsidP="00692F17">
            <w:pPr>
              <w:pStyle w:val="ListParagraph"/>
              <w:numPr>
                <w:ilvl w:val="0"/>
                <w:numId w:val="3"/>
              </w:numPr>
              <w:spacing w:before="120"/>
              <w:rPr>
                <w:rFonts w:cstheme="minorHAnsi"/>
              </w:rPr>
            </w:pPr>
            <w:r w:rsidRPr="002A20AC">
              <w:rPr>
                <w:rFonts w:cstheme="minorHAnsi"/>
              </w:rPr>
              <w:t>A future SEP Design should provide greater clarity on the relationship between program EOPOs and additional components to ensure that the major focus of the program is on technical support to administration of electoral events.</w:t>
            </w:r>
          </w:p>
          <w:p w14:paraId="40C96F81" w14:textId="77777777" w:rsidR="00692F17" w:rsidRPr="002A20AC" w:rsidRDefault="00692F17" w:rsidP="00AE2E5B">
            <w:pPr>
              <w:rPr>
                <w:rFonts w:cstheme="minorHAnsi"/>
              </w:rPr>
            </w:pPr>
          </w:p>
        </w:tc>
        <w:tc>
          <w:tcPr>
            <w:tcW w:w="973" w:type="dxa"/>
          </w:tcPr>
          <w:p w14:paraId="0AC774BE" w14:textId="77777777" w:rsidR="00692F17" w:rsidRPr="002A20AC" w:rsidRDefault="00692F17" w:rsidP="00AE2E5B">
            <w:pPr>
              <w:rPr>
                <w:rFonts w:cstheme="minorHAnsi"/>
              </w:rPr>
            </w:pPr>
            <w:r w:rsidRPr="002A20AC">
              <w:rPr>
                <w:rFonts w:cstheme="minorHAnsi"/>
              </w:rPr>
              <w:t>Agree</w:t>
            </w:r>
          </w:p>
        </w:tc>
        <w:tc>
          <w:tcPr>
            <w:tcW w:w="1381" w:type="dxa"/>
          </w:tcPr>
          <w:p w14:paraId="20D65E70" w14:textId="77777777" w:rsidR="00692F17" w:rsidRPr="002A20AC" w:rsidRDefault="00692F17" w:rsidP="00AE2E5B">
            <w:pPr>
              <w:rPr>
                <w:rFonts w:cstheme="minorHAnsi"/>
              </w:rPr>
            </w:pPr>
            <w:r w:rsidRPr="002A20AC">
              <w:rPr>
                <w:rFonts w:cstheme="minorHAnsi"/>
              </w:rPr>
              <w:t>Q2 2024</w:t>
            </w:r>
          </w:p>
        </w:tc>
        <w:tc>
          <w:tcPr>
            <w:tcW w:w="3104" w:type="dxa"/>
          </w:tcPr>
          <w:p w14:paraId="5AF1B81E" w14:textId="20BA62CA" w:rsidR="009B468C" w:rsidRPr="002A20AC" w:rsidRDefault="009B468C" w:rsidP="0067276A">
            <w:pPr>
              <w:rPr>
                <w:rFonts w:cstheme="minorHAnsi"/>
              </w:rPr>
            </w:pPr>
            <w:r>
              <w:rPr>
                <w:rFonts w:cstheme="minorHAnsi"/>
              </w:rPr>
              <w:t>E</w:t>
            </w:r>
            <w:r w:rsidR="00692F17" w:rsidRPr="002A20AC">
              <w:rPr>
                <w:rFonts w:cstheme="minorHAnsi"/>
              </w:rPr>
              <w:t>nsure any additional components are designed and planned with EOPOs in mind, and program design is shared with all partners.</w:t>
            </w:r>
            <w:r w:rsidR="0067276A">
              <w:rPr>
                <w:rFonts w:cstheme="minorHAnsi"/>
              </w:rPr>
              <w:t xml:space="preserve"> </w:t>
            </w:r>
            <w:r>
              <w:rPr>
                <w:rFonts w:cstheme="minorHAnsi"/>
              </w:rPr>
              <w:t xml:space="preserve">This will be included in the </w:t>
            </w:r>
            <w:r w:rsidR="00651434">
              <w:rPr>
                <w:rFonts w:cstheme="minorHAnsi"/>
              </w:rPr>
              <w:t xml:space="preserve">refreshed </w:t>
            </w:r>
            <w:r>
              <w:rPr>
                <w:rFonts w:cstheme="minorHAnsi"/>
              </w:rPr>
              <w:t>design.</w:t>
            </w:r>
          </w:p>
        </w:tc>
      </w:tr>
      <w:tr w:rsidR="00692F17" w:rsidRPr="002A20AC" w14:paraId="255FC9D5" w14:textId="77777777" w:rsidTr="00C51C94">
        <w:trPr>
          <w:cantSplit/>
        </w:trPr>
        <w:tc>
          <w:tcPr>
            <w:tcW w:w="3558" w:type="dxa"/>
          </w:tcPr>
          <w:p w14:paraId="283313D1" w14:textId="77777777" w:rsidR="00692F17" w:rsidRPr="002A20AC" w:rsidRDefault="00692F17" w:rsidP="00692F17">
            <w:pPr>
              <w:pStyle w:val="ListParagraph"/>
              <w:numPr>
                <w:ilvl w:val="0"/>
                <w:numId w:val="3"/>
              </w:numPr>
              <w:spacing w:before="120"/>
              <w:rPr>
                <w:rFonts w:cstheme="minorHAnsi"/>
              </w:rPr>
            </w:pPr>
            <w:r w:rsidRPr="002A20AC">
              <w:rPr>
                <w:rFonts w:cstheme="minorHAnsi"/>
              </w:rPr>
              <w:t xml:space="preserve">The next iteration of SEP should include an EOPO focussed explicitly on whole-of-government </w:t>
            </w:r>
            <w:proofErr w:type="gramStart"/>
            <w:r w:rsidRPr="002A20AC">
              <w:rPr>
                <w:rFonts w:cstheme="minorHAnsi"/>
              </w:rPr>
              <w:t>coordination</w:t>
            </w:r>
            <w:proofErr w:type="gramEnd"/>
          </w:p>
          <w:p w14:paraId="4A8C01D5" w14:textId="77777777" w:rsidR="00692F17" w:rsidRPr="002A20AC" w:rsidRDefault="00692F17" w:rsidP="00AE2E5B">
            <w:pPr>
              <w:rPr>
                <w:rFonts w:cstheme="minorHAnsi"/>
              </w:rPr>
            </w:pPr>
          </w:p>
        </w:tc>
        <w:tc>
          <w:tcPr>
            <w:tcW w:w="973" w:type="dxa"/>
          </w:tcPr>
          <w:p w14:paraId="782F1819" w14:textId="77777777" w:rsidR="00692F17" w:rsidRPr="002A20AC" w:rsidRDefault="00692F17" w:rsidP="00AE2E5B">
            <w:pPr>
              <w:rPr>
                <w:rFonts w:cstheme="minorHAnsi"/>
              </w:rPr>
            </w:pPr>
            <w:r w:rsidRPr="002A20AC">
              <w:rPr>
                <w:rFonts w:cstheme="minorHAnsi"/>
              </w:rPr>
              <w:t>Agree</w:t>
            </w:r>
          </w:p>
        </w:tc>
        <w:tc>
          <w:tcPr>
            <w:tcW w:w="1381" w:type="dxa"/>
          </w:tcPr>
          <w:p w14:paraId="41BC817A" w14:textId="77777777" w:rsidR="00692F17" w:rsidRPr="002A20AC" w:rsidRDefault="00692F17" w:rsidP="00AE2E5B">
            <w:pPr>
              <w:rPr>
                <w:rFonts w:cstheme="minorHAnsi"/>
              </w:rPr>
            </w:pPr>
            <w:r w:rsidRPr="002A20AC">
              <w:rPr>
                <w:rFonts w:cstheme="minorHAnsi"/>
              </w:rPr>
              <w:t>Q2 2024</w:t>
            </w:r>
          </w:p>
        </w:tc>
        <w:tc>
          <w:tcPr>
            <w:tcW w:w="3104" w:type="dxa"/>
          </w:tcPr>
          <w:p w14:paraId="0F17F6B2" w14:textId="46FA0032" w:rsidR="00692F17" w:rsidRPr="002A20AC" w:rsidRDefault="00692F17" w:rsidP="0067276A">
            <w:pPr>
              <w:rPr>
                <w:rFonts w:cstheme="minorHAnsi"/>
              </w:rPr>
            </w:pPr>
            <w:r w:rsidRPr="002A20AC">
              <w:rPr>
                <w:rFonts w:cstheme="minorHAnsi"/>
              </w:rPr>
              <w:t xml:space="preserve">Refers to whole-of-PNG-government coordination. </w:t>
            </w:r>
            <w:r w:rsidR="0067276A">
              <w:rPr>
                <w:rFonts w:cstheme="minorHAnsi"/>
              </w:rPr>
              <w:t xml:space="preserve">This will be included in the </w:t>
            </w:r>
            <w:r w:rsidR="00651434">
              <w:rPr>
                <w:rFonts w:cstheme="minorHAnsi"/>
              </w:rPr>
              <w:t xml:space="preserve">refreshed </w:t>
            </w:r>
            <w:r w:rsidR="0067276A">
              <w:rPr>
                <w:rFonts w:cstheme="minorHAnsi"/>
              </w:rPr>
              <w:t>design.</w:t>
            </w:r>
          </w:p>
        </w:tc>
      </w:tr>
      <w:tr w:rsidR="00692F17" w:rsidRPr="002A20AC" w14:paraId="6B40266A" w14:textId="77777777" w:rsidTr="00C51C94">
        <w:trPr>
          <w:cantSplit/>
        </w:trPr>
        <w:tc>
          <w:tcPr>
            <w:tcW w:w="3558" w:type="dxa"/>
          </w:tcPr>
          <w:p w14:paraId="66CEA893" w14:textId="77777777" w:rsidR="00692F17" w:rsidRPr="002A20AC" w:rsidRDefault="00692F17" w:rsidP="00692F17">
            <w:pPr>
              <w:pStyle w:val="ListParagraph"/>
              <w:numPr>
                <w:ilvl w:val="0"/>
                <w:numId w:val="3"/>
              </w:numPr>
              <w:spacing w:before="120"/>
              <w:rPr>
                <w:rFonts w:cstheme="minorHAnsi"/>
              </w:rPr>
            </w:pPr>
            <w:r w:rsidRPr="002A20AC">
              <w:rPr>
                <w:rFonts w:cstheme="minorHAnsi"/>
              </w:rPr>
              <w:t xml:space="preserve">EOPO 2 should be reworded to emphasise strengthened linkages between headquarters and the </w:t>
            </w:r>
            <w:proofErr w:type="gramStart"/>
            <w:r w:rsidRPr="002A20AC">
              <w:rPr>
                <w:rFonts w:cstheme="minorHAnsi"/>
              </w:rPr>
              <w:t>provinces</w:t>
            </w:r>
            <w:proofErr w:type="gramEnd"/>
          </w:p>
          <w:p w14:paraId="2125F216" w14:textId="77777777" w:rsidR="00692F17" w:rsidRPr="002A20AC" w:rsidRDefault="00692F17" w:rsidP="00AE2E5B">
            <w:pPr>
              <w:rPr>
                <w:rFonts w:cstheme="minorHAnsi"/>
              </w:rPr>
            </w:pPr>
          </w:p>
        </w:tc>
        <w:tc>
          <w:tcPr>
            <w:tcW w:w="973" w:type="dxa"/>
          </w:tcPr>
          <w:p w14:paraId="47C4F1EF" w14:textId="77777777" w:rsidR="00692F17" w:rsidRPr="002A20AC" w:rsidRDefault="00692F17" w:rsidP="00AE2E5B">
            <w:pPr>
              <w:rPr>
                <w:rFonts w:cstheme="minorHAnsi"/>
              </w:rPr>
            </w:pPr>
            <w:r w:rsidRPr="002A20AC">
              <w:rPr>
                <w:rFonts w:cstheme="minorHAnsi"/>
              </w:rPr>
              <w:t>Agree</w:t>
            </w:r>
          </w:p>
        </w:tc>
        <w:tc>
          <w:tcPr>
            <w:tcW w:w="1381" w:type="dxa"/>
          </w:tcPr>
          <w:p w14:paraId="698243A6" w14:textId="77777777" w:rsidR="00692F17" w:rsidRPr="002A20AC" w:rsidRDefault="00692F17" w:rsidP="00AE2E5B">
            <w:pPr>
              <w:rPr>
                <w:rFonts w:cstheme="minorHAnsi"/>
              </w:rPr>
            </w:pPr>
            <w:r w:rsidRPr="002A20AC">
              <w:rPr>
                <w:rFonts w:cstheme="minorHAnsi"/>
              </w:rPr>
              <w:t>Q2 2024</w:t>
            </w:r>
          </w:p>
        </w:tc>
        <w:tc>
          <w:tcPr>
            <w:tcW w:w="3104" w:type="dxa"/>
          </w:tcPr>
          <w:p w14:paraId="06CFC188" w14:textId="4212F850" w:rsidR="00692F17" w:rsidRPr="002A20AC" w:rsidRDefault="0067276A" w:rsidP="00AE2E5B">
            <w:pPr>
              <w:rPr>
                <w:rFonts w:cstheme="minorHAnsi"/>
              </w:rPr>
            </w:pPr>
            <w:r>
              <w:rPr>
                <w:rFonts w:cstheme="minorHAnsi"/>
              </w:rPr>
              <w:t xml:space="preserve">This will be revised in the </w:t>
            </w:r>
            <w:r w:rsidR="00651434">
              <w:rPr>
                <w:rFonts w:cstheme="minorHAnsi"/>
              </w:rPr>
              <w:t xml:space="preserve">refreshed </w:t>
            </w:r>
            <w:r>
              <w:rPr>
                <w:rFonts w:cstheme="minorHAnsi"/>
              </w:rPr>
              <w:t>design.</w:t>
            </w:r>
          </w:p>
        </w:tc>
      </w:tr>
      <w:tr w:rsidR="00692F17" w:rsidRPr="002A20AC" w14:paraId="66FD5836" w14:textId="77777777" w:rsidTr="00C51C94">
        <w:trPr>
          <w:cantSplit/>
        </w:trPr>
        <w:tc>
          <w:tcPr>
            <w:tcW w:w="3558" w:type="dxa"/>
          </w:tcPr>
          <w:p w14:paraId="170EB090" w14:textId="77777777" w:rsidR="00692F17" w:rsidRPr="002A20AC" w:rsidRDefault="00692F17" w:rsidP="00692F17">
            <w:pPr>
              <w:pStyle w:val="ListParagraph"/>
              <w:numPr>
                <w:ilvl w:val="0"/>
                <w:numId w:val="3"/>
              </w:numPr>
              <w:spacing w:before="120"/>
              <w:rPr>
                <w:rFonts w:cstheme="minorHAnsi"/>
              </w:rPr>
            </w:pPr>
            <w:r w:rsidRPr="002A20AC">
              <w:rPr>
                <w:rFonts w:cstheme="minorHAnsi"/>
              </w:rPr>
              <w:t xml:space="preserve">The inclusion of an EOPO explicitly focussed on strengthened institutional capacity within the PNGEC should be considered in the next iteration of </w:t>
            </w:r>
            <w:proofErr w:type="gramStart"/>
            <w:r w:rsidRPr="002A20AC">
              <w:rPr>
                <w:rFonts w:cstheme="minorHAnsi"/>
              </w:rPr>
              <w:t>SEP</w:t>
            </w:r>
            <w:proofErr w:type="gramEnd"/>
          </w:p>
          <w:p w14:paraId="29984820" w14:textId="77777777" w:rsidR="00692F17" w:rsidRPr="002A20AC" w:rsidRDefault="00692F17" w:rsidP="00AE2E5B">
            <w:pPr>
              <w:rPr>
                <w:rFonts w:cstheme="minorHAnsi"/>
              </w:rPr>
            </w:pPr>
          </w:p>
        </w:tc>
        <w:tc>
          <w:tcPr>
            <w:tcW w:w="973" w:type="dxa"/>
          </w:tcPr>
          <w:p w14:paraId="5213B5DC" w14:textId="77777777" w:rsidR="00692F17" w:rsidRPr="002A20AC" w:rsidRDefault="00692F17" w:rsidP="00AE2E5B">
            <w:pPr>
              <w:rPr>
                <w:rFonts w:cstheme="minorHAnsi"/>
              </w:rPr>
            </w:pPr>
            <w:r w:rsidRPr="002A20AC">
              <w:rPr>
                <w:rFonts w:cstheme="minorHAnsi"/>
              </w:rPr>
              <w:t>Agree</w:t>
            </w:r>
          </w:p>
        </w:tc>
        <w:tc>
          <w:tcPr>
            <w:tcW w:w="1381" w:type="dxa"/>
          </w:tcPr>
          <w:p w14:paraId="5934A8A4" w14:textId="77777777" w:rsidR="00692F17" w:rsidRPr="002A20AC" w:rsidRDefault="00692F17" w:rsidP="00AE2E5B">
            <w:pPr>
              <w:rPr>
                <w:rFonts w:cstheme="minorHAnsi"/>
              </w:rPr>
            </w:pPr>
            <w:r w:rsidRPr="002A20AC">
              <w:rPr>
                <w:rFonts w:cstheme="minorHAnsi"/>
              </w:rPr>
              <w:t>Q2 2024</w:t>
            </w:r>
          </w:p>
        </w:tc>
        <w:tc>
          <w:tcPr>
            <w:tcW w:w="3104" w:type="dxa"/>
          </w:tcPr>
          <w:p w14:paraId="2CA23CA5" w14:textId="0C326E63" w:rsidR="00692F17" w:rsidRPr="00471DC7" w:rsidRDefault="00471DC7" w:rsidP="00471DC7">
            <w:pPr>
              <w:rPr>
                <w:rFonts w:cstheme="minorHAnsi"/>
              </w:rPr>
            </w:pPr>
            <w:r>
              <w:rPr>
                <w:rFonts w:cstheme="minorHAnsi"/>
              </w:rPr>
              <w:t>N</w:t>
            </w:r>
            <w:r w:rsidR="00692F17" w:rsidRPr="002A20AC">
              <w:rPr>
                <w:rFonts w:cstheme="minorHAnsi"/>
              </w:rPr>
              <w:t>ew EOPO</w:t>
            </w:r>
            <w:r>
              <w:rPr>
                <w:rFonts w:cstheme="minorHAnsi"/>
              </w:rPr>
              <w:t xml:space="preserve"> to be provided in the </w:t>
            </w:r>
            <w:r w:rsidR="00651434">
              <w:rPr>
                <w:rFonts w:cstheme="minorHAnsi"/>
              </w:rPr>
              <w:t xml:space="preserve">refreshed </w:t>
            </w:r>
            <w:r>
              <w:rPr>
                <w:rFonts w:cstheme="minorHAnsi"/>
              </w:rPr>
              <w:t>design.</w:t>
            </w:r>
          </w:p>
        </w:tc>
      </w:tr>
      <w:tr w:rsidR="00692F17" w:rsidRPr="002A20AC" w14:paraId="7FDEAE36" w14:textId="77777777" w:rsidTr="00C51C94">
        <w:trPr>
          <w:cantSplit/>
        </w:trPr>
        <w:tc>
          <w:tcPr>
            <w:tcW w:w="3558" w:type="dxa"/>
          </w:tcPr>
          <w:p w14:paraId="202DFA64" w14:textId="77777777" w:rsidR="00692F17" w:rsidRPr="002A20AC" w:rsidRDefault="00692F17" w:rsidP="00692F17">
            <w:pPr>
              <w:pStyle w:val="ListParagraph"/>
              <w:numPr>
                <w:ilvl w:val="0"/>
                <w:numId w:val="3"/>
              </w:numPr>
              <w:spacing w:before="120"/>
              <w:rPr>
                <w:rFonts w:cstheme="minorHAnsi"/>
              </w:rPr>
            </w:pPr>
            <w:r w:rsidRPr="002A20AC">
              <w:rPr>
                <w:rFonts w:cstheme="minorHAnsi"/>
              </w:rPr>
              <w:lastRenderedPageBreak/>
              <w:t xml:space="preserve">Future investments should ensure ownership of overall SEP EOPOs, which in the current iteration were lost when a Strategic Program Manager was unable to be recruited. The circumstances leading to this may be mitigated </w:t>
            </w:r>
            <w:proofErr w:type="gramStart"/>
            <w:r w:rsidRPr="002A20AC">
              <w:rPr>
                <w:rFonts w:cstheme="minorHAnsi"/>
              </w:rPr>
              <w:t>through the use of</w:t>
            </w:r>
            <w:proofErr w:type="gramEnd"/>
            <w:r w:rsidRPr="002A20AC">
              <w:rPr>
                <w:rFonts w:cstheme="minorHAnsi"/>
              </w:rPr>
              <w:t xml:space="preserve"> a managing contractor.</w:t>
            </w:r>
          </w:p>
          <w:p w14:paraId="1EEBA1F3" w14:textId="77777777" w:rsidR="00692F17" w:rsidRPr="002A20AC" w:rsidRDefault="00692F17" w:rsidP="00AE2E5B">
            <w:pPr>
              <w:rPr>
                <w:rFonts w:cstheme="minorHAnsi"/>
              </w:rPr>
            </w:pPr>
          </w:p>
        </w:tc>
        <w:tc>
          <w:tcPr>
            <w:tcW w:w="973" w:type="dxa"/>
          </w:tcPr>
          <w:p w14:paraId="50B0B607" w14:textId="77777777" w:rsidR="00692F17" w:rsidRPr="002A20AC" w:rsidRDefault="00692F17" w:rsidP="00AE2E5B">
            <w:pPr>
              <w:rPr>
                <w:rFonts w:cstheme="minorHAnsi"/>
              </w:rPr>
            </w:pPr>
            <w:r w:rsidRPr="002A20AC">
              <w:rPr>
                <w:rFonts w:cstheme="minorHAnsi"/>
              </w:rPr>
              <w:t>Partially agree</w:t>
            </w:r>
          </w:p>
        </w:tc>
        <w:tc>
          <w:tcPr>
            <w:tcW w:w="1381" w:type="dxa"/>
          </w:tcPr>
          <w:p w14:paraId="264400B6" w14:textId="77777777" w:rsidR="00692F17" w:rsidRPr="002A20AC" w:rsidRDefault="00692F17" w:rsidP="00AE2E5B">
            <w:pPr>
              <w:rPr>
                <w:rFonts w:cstheme="minorHAnsi"/>
              </w:rPr>
            </w:pPr>
            <w:r w:rsidRPr="002A20AC">
              <w:rPr>
                <w:rFonts w:cstheme="minorHAnsi"/>
              </w:rPr>
              <w:t>Ongoing</w:t>
            </w:r>
          </w:p>
        </w:tc>
        <w:tc>
          <w:tcPr>
            <w:tcW w:w="3104" w:type="dxa"/>
          </w:tcPr>
          <w:p w14:paraId="7BF84E3F" w14:textId="2A3F468C" w:rsidR="00692F17" w:rsidRPr="002A20AC" w:rsidRDefault="00692F17" w:rsidP="00FC0BFC">
            <w:pPr>
              <w:rPr>
                <w:rFonts w:cstheme="minorHAnsi"/>
              </w:rPr>
            </w:pPr>
            <w:r w:rsidRPr="002A20AC">
              <w:rPr>
                <w:rFonts w:cstheme="minorHAnsi"/>
              </w:rPr>
              <w:t>DFAT will recruit a program coordinator to lead implementation of the new investment.</w:t>
            </w:r>
            <w:r w:rsidR="00FC0BFC">
              <w:rPr>
                <w:rFonts w:cstheme="minorHAnsi"/>
              </w:rPr>
              <w:t xml:space="preserve"> </w:t>
            </w:r>
            <w:r w:rsidRPr="002A20AC">
              <w:rPr>
                <w:rFonts w:cstheme="minorHAnsi"/>
              </w:rPr>
              <w:t>DFAT will not be prescriptive on how a program coordinator will be procured</w:t>
            </w:r>
            <w:r w:rsidR="00471DC7">
              <w:rPr>
                <w:rFonts w:cstheme="minorHAnsi"/>
              </w:rPr>
              <w:t>.</w:t>
            </w:r>
          </w:p>
        </w:tc>
      </w:tr>
      <w:tr w:rsidR="00692F17" w:rsidRPr="002A20AC" w14:paraId="7ECACA16" w14:textId="77777777" w:rsidTr="00C51C94">
        <w:trPr>
          <w:cantSplit/>
        </w:trPr>
        <w:tc>
          <w:tcPr>
            <w:tcW w:w="3558" w:type="dxa"/>
          </w:tcPr>
          <w:p w14:paraId="1CCE3A0A" w14:textId="77777777" w:rsidR="00692F17" w:rsidRPr="002A20AC" w:rsidRDefault="00692F17" w:rsidP="00692F17">
            <w:pPr>
              <w:pStyle w:val="ListParagraph"/>
              <w:numPr>
                <w:ilvl w:val="0"/>
                <w:numId w:val="3"/>
              </w:numPr>
              <w:spacing w:before="120"/>
              <w:rPr>
                <w:rFonts w:cstheme="minorHAnsi"/>
              </w:rPr>
            </w:pPr>
            <w:r w:rsidRPr="002A20AC">
              <w:rPr>
                <w:rFonts w:cstheme="minorHAnsi"/>
              </w:rPr>
              <w:t>While it is understood that AEC is not well positioned to continue to commit to deploying longer-term staff, and that IFES’ strength lies in deployment of short-term independent international expertise, a clear need exists for capacity building at the leadership/management level.</w:t>
            </w:r>
          </w:p>
          <w:p w14:paraId="2E95652E" w14:textId="77777777" w:rsidR="00692F17" w:rsidRPr="002A20AC" w:rsidRDefault="00692F17" w:rsidP="00AE2E5B">
            <w:pPr>
              <w:rPr>
                <w:rFonts w:cstheme="minorHAnsi"/>
              </w:rPr>
            </w:pPr>
          </w:p>
        </w:tc>
        <w:tc>
          <w:tcPr>
            <w:tcW w:w="973" w:type="dxa"/>
          </w:tcPr>
          <w:p w14:paraId="34575D7E" w14:textId="23306DC5" w:rsidR="00692F17" w:rsidRPr="002A20AC" w:rsidRDefault="00692F17" w:rsidP="00AE2E5B">
            <w:pPr>
              <w:rPr>
                <w:rFonts w:cstheme="minorHAnsi"/>
              </w:rPr>
            </w:pPr>
            <w:r w:rsidRPr="002A20AC">
              <w:rPr>
                <w:rFonts w:cstheme="minorHAnsi"/>
              </w:rPr>
              <w:t>Consult AEC</w:t>
            </w:r>
            <w:r w:rsidR="00001776">
              <w:rPr>
                <w:rFonts w:cstheme="minorHAnsi"/>
              </w:rPr>
              <w:t xml:space="preserve"> / IFES</w:t>
            </w:r>
          </w:p>
        </w:tc>
        <w:tc>
          <w:tcPr>
            <w:tcW w:w="1381" w:type="dxa"/>
          </w:tcPr>
          <w:p w14:paraId="16AA8511" w14:textId="77777777" w:rsidR="00692F17" w:rsidRPr="002A20AC" w:rsidRDefault="00692F17" w:rsidP="00AE2E5B">
            <w:pPr>
              <w:rPr>
                <w:rFonts w:cstheme="minorHAnsi"/>
              </w:rPr>
            </w:pPr>
            <w:r w:rsidRPr="002A20AC">
              <w:rPr>
                <w:rFonts w:cstheme="minorHAnsi"/>
              </w:rPr>
              <w:t>Ongoing</w:t>
            </w:r>
          </w:p>
        </w:tc>
        <w:tc>
          <w:tcPr>
            <w:tcW w:w="3104" w:type="dxa"/>
          </w:tcPr>
          <w:p w14:paraId="3C4D5BE2" w14:textId="1D7EA524" w:rsidR="00692F17" w:rsidRPr="002A20AC" w:rsidRDefault="00BE7EF8" w:rsidP="00AE2E5B">
            <w:pPr>
              <w:rPr>
                <w:rFonts w:cstheme="minorHAnsi"/>
              </w:rPr>
            </w:pPr>
            <w:r>
              <w:rPr>
                <w:rFonts w:cstheme="minorHAnsi"/>
              </w:rPr>
              <w:t>DFAT to continue liai</w:t>
            </w:r>
            <w:r w:rsidR="00A97D0C">
              <w:rPr>
                <w:rFonts w:cstheme="minorHAnsi"/>
              </w:rPr>
              <w:t>sing with implementation partners on suitable staffing profiles for next phase of the program.</w:t>
            </w:r>
          </w:p>
        </w:tc>
      </w:tr>
      <w:tr w:rsidR="00692F17" w:rsidRPr="002A20AC" w14:paraId="67E0CC44" w14:textId="77777777" w:rsidTr="00C51C94">
        <w:trPr>
          <w:cantSplit/>
        </w:trPr>
        <w:tc>
          <w:tcPr>
            <w:tcW w:w="3558" w:type="dxa"/>
          </w:tcPr>
          <w:p w14:paraId="44B797CA" w14:textId="77777777" w:rsidR="00692F17" w:rsidRPr="002A20AC" w:rsidRDefault="00692F17" w:rsidP="00692F17">
            <w:pPr>
              <w:pStyle w:val="ListParagraph"/>
              <w:numPr>
                <w:ilvl w:val="0"/>
                <w:numId w:val="3"/>
              </w:numPr>
              <w:spacing w:before="120"/>
              <w:rPr>
                <w:rFonts w:cstheme="minorHAnsi"/>
              </w:rPr>
            </w:pPr>
            <w:r w:rsidRPr="002A20AC">
              <w:rPr>
                <w:rFonts w:cstheme="minorHAnsi"/>
              </w:rPr>
              <w:t>Future investments should ensure either a program coordinator or managing contractor role is in place so that coordination of grants and overall reporting is not unduly placed on the Political Team at the High Commission.</w:t>
            </w:r>
          </w:p>
          <w:p w14:paraId="52470C81" w14:textId="77777777" w:rsidR="00692F17" w:rsidRPr="002A20AC" w:rsidRDefault="00692F17" w:rsidP="00AE2E5B">
            <w:pPr>
              <w:rPr>
                <w:rFonts w:cstheme="minorHAnsi"/>
              </w:rPr>
            </w:pPr>
          </w:p>
        </w:tc>
        <w:tc>
          <w:tcPr>
            <w:tcW w:w="973" w:type="dxa"/>
          </w:tcPr>
          <w:p w14:paraId="0AB78ED4" w14:textId="77777777" w:rsidR="00692F17" w:rsidRPr="002A20AC" w:rsidRDefault="00692F17" w:rsidP="00AE2E5B">
            <w:pPr>
              <w:rPr>
                <w:rFonts w:cstheme="minorHAnsi"/>
              </w:rPr>
            </w:pPr>
            <w:r w:rsidRPr="002A20AC">
              <w:rPr>
                <w:rFonts w:cstheme="minorHAnsi"/>
              </w:rPr>
              <w:t>Agree</w:t>
            </w:r>
          </w:p>
        </w:tc>
        <w:tc>
          <w:tcPr>
            <w:tcW w:w="1381" w:type="dxa"/>
          </w:tcPr>
          <w:p w14:paraId="3EEF05F3" w14:textId="77777777" w:rsidR="00692F17" w:rsidRPr="002A20AC" w:rsidRDefault="00692F17" w:rsidP="00AE2E5B">
            <w:pPr>
              <w:rPr>
                <w:rFonts w:cstheme="minorHAnsi"/>
              </w:rPr>
            </w:pPr>
            <w:r w:rsidRPr="002A20AC">
              <w:rPr>
                <w:rFonts w:cstheme="minorHAnsi"/>
              </w:rPr>
              <w:t>From 1 July 2024</w:t>
            </w:r>
          </w:p>
        </w:tc>
        <w:tc>
          <w:tcPr>
            <w:tcW w:w="3104" w:type="dxa"/>
          </w:tcPr>
          <w:p w14:paraId="72C41830" w14:textId="77777777" w:rsidR="00692F17" w:rsidRPr="002A20AC" w:rsidRDefault="00692F17" w:rsidP="00AE2E5B">
            <w:pPr>
              <w:rPr>
                <w:rFonts w:cstheme="minorHAnsi"/>
              </w:rPr>
            </w:pPr>
            <w:r w:rsidRPr="002A20AC">
              <w:rPr>
                <w:rFonts w:cstheme="minorHAnsi"/>
              </w:rPr>
              <w:t>Agreed – see recommendation 6.</w:t>
            </w:r>
          </w:p>
        </w:tc>
      </w:tr>
      <w:tr w:rsidR="00692F17" w:rsidRPr="002A20AC" w14:paraId="732E2923" w14:textId="77777777" w:rsidTr="00C51C94">
        <w:trPr>
          <w:cantSplit/>
        </w:trPr>
        <w:tc>
          <w:tcPr>
            <w:tcW w:w="3558" w:type="dxa"/>
          </w:tcPr>
          <w:p w14:paraId="36093D06" w14:textId="77777777" w:rsidR="00692F17" w:rsidRPr="002A20AC" w:rsidRDefault="00692F17" w:rsidP="00692F17">
            <w:pPr>
              <w:pStyle w:val="List"/>
              <w:numPr>
                <w:ilvl w:val="0"/>
                <w:numId w:val="3"/>
              </w:numPr>
              <w:spacing w:before="80" w:after="80"/>
              <w:rPr>
                <w:rFonts w:asciiTheme="minorHAnsi" w:hAnsiTheme="minorHAnsi" w:cstheme="minorHAnsi"/>
                <w:sz w:val="22"/>
                <w:szCs w:val="22"/>
                <w:lang w:val="en-AU"/>
              </w:rPr>
            </w:pPr>
            <w:r w:rsidRPr="002A20AC">
              <w:rPr>
                <w:rFonts w:asciiTheme="minorHAnsi" w:hAnsiTheme="minorHAnsi" w:cstheme="minorHAnsi"/>
                <w:bCs/>
                <w:sz w:val="22"/>
                <w:szCs w:val="22"/>
                <w:lang w:val="en-AU"/>
              </w:rPr>
              <w:lastRenderedPageBreak/>
              <w:t xml:space="preserve">Engage a Strategic Operations Adviser as originally envisaged in the SEP Design. </w:t>
            </w:r>
            <w:r w:rsidRPr="002A20AC">
              <w:rPr>
                <w:rFonts w:asciiTheme="minorHAnsi" w:hAnsiTheme="minorHAnsi" w:cstheme="minorHAnsi"/>
                <w:sz w:val="22"/>
                <w:szCs w:val="22"/>
                <w:lang w:val="en-AU"/>
              </w:rPr>
              <w:t>This role could provide several key benefits including:</w:t>
            </w:r>
          </w:p>
          <w:p w14:paraId="1B76CD5F" w14:textId="77777777" w:rsidR="00692F17" w:rsidRPr="002A20AC" w:rsidRDefault="00692F17" w:rsidP="00692F17">
            <w:pPr>
              <w:pStyle w:val="List2"/>
              <w:numPr>
                <w:ilvl w:val="0"/>
                <w:numId w:val="2"/>
              </w:numPr>
              <w:spacing w:before="80" w:after="80"/>
              <w:ind w:left="1080"/>
              <w:rPr>
                <w:rFonts w:asciiTheme="minorHAnsi" w:hAnsiTheme="minorHAnsi" w:cstheme="minorHAnsi"/>
                <w:sz w:val="22"/>
                <w:szCs w:val="22"/>
                <w:lang w:val="en-AU"/>
              </w:rPr>
            </w:pPr>
            <w:r w:rsidRPr="002A20AC">
              <w:rPr>
                <w:rFonts w:asciiTheme="minorHAnsi" w:hAnsiTheme="minorHAnsi" w:cstheme="minorHAnsi"/>
                <w:sz w:val="22"/>
                <w:szCs w:val="22"/>
                <w:lang w:val="en-AU"/>
              </w:rPr>
              <w:t>Coordination and organisation of the Strategic Management Committee function (since morphed into the donor coordination committee</w:t>
            </w:r>
            <w:proofErr w:type="gramStart"/>
            <w:r w:rsidRPr="002A20AC">
              <w:rPr>
                <w:rFonts w:asciiTheme="minorHAnsi" w:hAnsiTheme="minorHAnsi" w:cstheme="minorHAnsi"/>
                <w:sz w:val="22"/>
                <w:szCs w:val="22"/>
                <w:lang w:val="en-AU"/>
              </w:rPr>
              <w:t>);</w:t>
            </w:r>
            <w:proofErr w:type="gramEnd"/>
          </w:p>
          <w:p w14:paraId="37B18636" w14:textId="77777777" w:rsidR="00692F17" w:rsidRPr="002A20AC" w:rsidRDefault="00692F17" w:rsidP="00692F17">
            <w:pPr>
              <w:pStyle w:val="List2"/>
              <w:numPr>
                <w:ilvl w:val="0"/>
                <w:numId w:val="2"/>
              </w:numPr>
              <w:spacing w:before="80" w:after="80"/>
              <w:ind w:left="1080"/>
              <w:rPr>
                <w:rFonts w:asciiTheme="minorHAnsi" w:hAnsiTheme="minorHAnsi" w:cstheme="minorHAnsi"/>
                <w:sz w:val="22"/>
                <w:szCs w:val="22"/>
                <w:lang w:val="en-AU"/>
              </w:rPr>
            </w:pPr>
            <w:r w:rsidRPr="002A20AC">
              <w:rPr>
                <w:rFonts w:asciiTheme="minorHAnsi" w:hAnsiTheme="minorHAnsi" w:cstheme="minorHAnsi"/>
                <w:sz w:val="22"/>
                <w:szCs w:val="22"/>
                <w:lang w:val="en-AU"/>
              </w:rPr>
              <w:t xml:space="preserve">enhanced coordination between key political reform bodies such as IDEC and the SPC, and the </w:t>
            </w:r>
            <w:proofErr w:type="gramStart"/>
            <w:r w:rsidRPr="002A20AC">
              <w:rPr>
                <w:rFonts w:asciiTheme="minorHAnsi" w:hAnsiTheme="minorHAnsi" w:cstheme="minorHAnsi"/>
                <w:sz w:val="22"/>
                <w:szCs w:val="22"/>
                <w:lang w:val="en-AU"/>
              </w:rPr>
              <w:t>PNGEC;</w:t>
            </w:r>
            <w:proofErr w:type="gramEnd"/>
          </w:p>
          <w:p w14:paraId="30769125" w14:textId="77777777" w:rsidR="00692F17" w:rsidRPr="002A20AC" w:rsidRDefault="00692F17" w:rsidP="00692F17">
            <w:pPr>
              <w:pStyle w:val="List2"/>
              <w:numPr>
                <w:ilvl w:val="0"/>
                <w:numId w:val="2"/>
              </w:numPr>
              <w:spacing w:before="80" w:after="80"/>
              <w:ind w:left="1080"/>
              <w:rPr>
                <w:rFonts w:asciiTheme="minorHAnsi" w:hAnsiTheme="minorHAnsi" w:cstheme="minorHAnsi"/>
                <w:sz w:val="22"/>
                <w:szCs w:val="22"/>
                <w:lang w:val="en-AU"/>
              </w:rPr>
            </w:pPr>
            <w:r w:rsidRPr="002A20AC">
              <w:rPr>
                <w:rFonts w:asciiTheme="minorHAnsi" w:hAnsiTheme="minorHAnsi" w:cstheme="minorHAnsi"/>
                <w:sz w:val="22"/>
                <w:szCs w:val="22"/>
                <w:lang w:val="en-AU"/>
              </w:rPr>
              <w:t xml:space="preserve">regular political economy reporting on the </w:t>
            </w:r>
            <w:proofErr w:type="gramStart"/>
            <w:r w:rsidRPr="002A20AC">
              <w:rPr>
                <w:rFonts w:asciiTheme="minorHAnsi" w:hAnsiTheme="minorHAnsi" w:cstheme="minorHAnsi"/>
                <w:sz w:val="22"/>
                <w:szCs w:val="22"/>
                <w:lang w:val="en-AU"/>
              </w:rPr>
              <w:t>rapidly-evolving</w:t>
            </w:r>
            <w:proofErr w:type="gramEnd"/>
            <w:r w:rsidRPr="002A20AC">
              <w:rPr>
                <w:rFonts w:asciiTheme="minorHAnsi" w:hAnsiTheme="minorHAnsi" w:cstheme="minorHAnsi"/>
                <w:sz w:val="22"/>
                <w:szCs w:val="22"/>
                <w:lang w:val="en-AU"/>
              </w:rPr>
              <w:t xml:space="preserve"> context of the reform recommendations currently underway between IDEC, SPC and NRI; and</w:t>
            </w:r>
          </w:p>
          <w:p w14:paraId="4FAB15E0" w14:textId="77777777" w:rsidR="00692F17" w:rsidRPr="002A20AC" w:rsidRDefault="00692F17" w:rsidP="00692F17">
            <w:pPr>
              <w:pStyle w:val="List2"/>
              <w:numPr>
                <w:ilvl w:val="0"/>
                <w:numId w:val="2"/>
              </w:numPr>
              <w:spacing w:before="80" w:after="80"/>
              <w:ind w:left="1080"/>
              <w:rPr>
                <w:rFonts w:asciiTheme="minorHAnsi" w:hAnsiTheme="minorHAnsi" w:cstheme="minorHAnsi"/>
                <w:sz w:val="22"/>
                <w:szCs w:val="22"/>
                <w:lang w:val="en-AU"/>
              </w:rPr>
            </w:pPr>
            <w:r w:rsidRPr="002A20AC">
              <w:rPr>
                <w:rFonts w:asciiTheme="minorHAnsi" w:hAnsiTheme="minorHAnsi" w:cstheme="minorHAnsi"/>
                <w:sz w:val="22"/>
                <w:szCs w:val="22"/>
              </w:rPr>
              <w:t>support to major program partners to conduct more rigorous program planning and evaluation against the original SEP theory of change and Results Framework.</w:t>
            </w:r>
          </w:p>
          <w:p w14:paraId="71731F9E" w14:textId="77777777" w:rsidR="00692F17" w:rsidRPr="002A20AC" w:rsidRDefault="00692F17" w:rsidP="00AE2E5B">
            <w:pPr>
              <w:pStyle w:val="List2"/>
              <w:numPr>
                <w:ilvl w:val="0"/>
                <w:numId w:val="0"/>
              </w:numPr>
              <w:spacing w:before="80" w:after="80"/>
              <w:ind w:left="360"/>
              <w:rPr>
                <w:rFonts w:asciiTheme="minorHAnsi" w:hAnsiTheme="minorHAnsi" w:cstheme="minorHAnsi"/>
                <w:sz w:val="22"/>
                <w:szCs w:val="22"/>
                <w:lang w:val="en-AU"/>
              </w:rPr>
            </w:pPr>
          </w:p>
        </w:tc>
        <w:tc>
          <w:tcPr>
            <w:tcW w:w="973" w:type="dxa"/>
          </w:tcPr>
          <w:p w14:paraId="6890EA28" w14:textId="77777777" w:rsidR="00692F17" w:rsidRPr="002A20AC" w:rsidRDefault="00692F17" w:rsidP="00AE2E5B">
            <w:pPr>
              <w:pStyle w:val="List"/>
              <w:spacing w:before="80" w:after="80"/>
              <w:rPr>
                <w:rFonts w:asciiTheme="minorHAnsi" w:hAnsiTheme="minorHAnsi" w:cstheme="minorHAnsi"/>
                <w:bCs/>
                <w:sz w:val="22"/>
                <w:szCs w:val="22"/>
                <w:lang w:val="en-AU"/>
              </w:rPr>
            </w:pPr>
            <w:r w:rsidRPr="002A20AC">
              <w:rPr>
                <w:rFonts w:asciiTheme="minorHAnsi" w:hAnsiTheme="minorHAnsi" w:cstheme="minorHAnsi"/>
                <w:bCs/>
                <w:sz w:val="22"/>
                <w:szCs w:val="22"/>
                <w:lang w:val="en-AU"/>
              </w:rPr>
              <w:t>Agree</w:t>
            </w:r>
          </w:p>
        </w:tc>
        <w:tc>
          <w:tcPr>
            <w:tcW w:w="1381" w:type="dxa"/>
          </w:tcPr>
          <w:p w14:paraId="1A73E0D1" w14:textId="77777777" w:rsidR="00692F17" w:rsidRPr="002A20AC" w:rsidRDefault="00692F17" w:rsidP="00AE2E5B">
            <w:pPr>
              <w:pStyle w:val="List"/>
              <w:spacing w:before="80" w:after="80"/>
              <w:rPr>
                <w:rFonts w:asciiTheme="minorHAnsi" w:hAnsiTheme="minorHAnsi" w:cstheme="minorHAnsi"/>
                <w:bCs/>
                <w:sz w:val="22"/>
                <w:szCs w:val="22"/>
                <w:lang w:val="en-AU"/>
              </w:rPr>
            </w:pPr>
            <w:r w:rsidRPr="002A20AC">
              <w:rPr>
                <w:rFonts w:asciiTheme="minorHAnsi" w:hAnsiTheme="minorHAnsi" w:cstheme="minorHAnsi"/>
                <w:bCs/>
                <w:sz w:val="22"/>
                <w:szCs w:val="22"/>
                <w:lang w:val="en-AU"/>
              </w:rPr>
              <w:t>Q1 2024</w:t>
            </w:r>
          </w:p>
        </w:tc>
        <w:tc>
          <w:tcPr>
            <w:tcW w:w="3104" w:type="dxa"/>
          </w:tcPr>
          <w:p w14:paraId="68FAA8E4" w14:textId="7F20832D" w:rsidR="00692F17" w:rsidRPr="002A20AC" w:rsidRDefault="00692F17" w:rsidP="00001776">
            <w:pPr>
              <w:pStyle w:val="List"/>
              <w:spacing w:before="80" w:after="80"/>
              <w:rPr>
                <w:rFonts w:asciiTheme="minorHAnsi" w:hAnsiTheme="minorHAnsi" w:cstheme="minorHAnsi"/>
                <w:bCs/>
                <w:sz w:val="22"/>
                <w:szCs w:val="22"/>
                <w:lang w:val="en-AU"/>
              </w:rPr>
            </w:pPr>
            <w:r w:rsidRPr="002A20AC">
              <w:rPr>
                <w:rFonts w:asciiTheme="minorHAnsi" w:hAnsiTheme="minorHAnsi" w:cstheme="minorHAnsi"/>
                <w:bCs/>
                <w:sz w:val="22"/>
                <w:szCs w:val="22"/>
                <w:lang w:val="en-AU"/>
              </w:rPr>
              <w:t>Terms of reference</w:t>
            </w:r>
            <w:r w:rsidR="00001776">
              <w:rPr>
                <w:rFonts w:asciiTheme="minorHAnsi" w:hAnsiTheme="minorHAnsi" w:cstheme="minorHAnsi"/>
                <w:bCs/>
                <w:sz w:val="22"/>
                <w:szCs w:val="22"/>
                <w:lang w:val="en-AU"/>
              </w:rPr>
              <w:t xml:space="preserve"> have been</w:t>
            </w:r>
            <w:r w:rsidRPr="002A20AC">
              <w:rPr>
                <w:rFonts w:asciiTheme="minorHAnsi" w:hAnsiTheme="minorHAnsi" w:cstheme="minorHAnsi"/>
                <w:bCs/>
                <w:sz w:val="22"/>
                <w:szCs w:val="22"/>
                <w:lang w:val="en-AU"/>
              </w:rPr>
              <w:t xml:space="preserve"> prepared</w:t>
            </w:r>
            <w:r w:rsidR="00001776">
              <w:rPr>
                <w:rFonts w:asciiTheme="minorHAnsi" w:hAnsiTheme="minorHAnsi" w:cstheme="minorHAnsi"/>
                <w:bCs/>
                <w:sz w:val="22"/>
                <w:szCs w:val="22"/>
                <w:lang w:val="en-AU"/>
              </w:rPr>
              <w:t>.</w:t>
            </w:r>
          </w:p>
        </w:tc>
      </w:tr>
      <w:tr w:rsidR="00692F17" w:rsidRPr="002A20AC" w14:paraId="6E831E60" w14:textId="77777777" w:rsidTr="00C51C94">
        <w:trPr>
          <w:cantSplit/>
        </w:trPr>
        <w:tc>
          <w:tcPr>
            <w:tcW w:w="3558" w:type="dxa"/>
          </w:tcPr>
          <w:p w14:paraId="4CED1CA6" w14:textId="77777777" w:rsidR="00692F17" w:rsidRPr="002A20AC" w:rsidRDefault="00692F17" w:rsidP="00692F17">
            <w:pPr>
              <w:pStyle w:val="ListParagraph"/>
              <w:numPr>
                <w:ilvl w:val="0"/>
                <w:numId w:val="3"/>
              </w:numPr>
              <w:spacing w:before="120"/>
              <w:rPr>
                <w:rFonts w:cstheme="minorHAnsi"/>
              </w:rPr>
            </w:pPr>
            <w:r w:rsidRPr="002A20AC">
              <w:rPr>
                <w:rFonts w:cstheme="minorHAnsi"/>
              </w:rPr>
              <w:lastRenderedPageBreak/>
              <w:t>Conduct retrospective work on the SEP Results Framework. There is still a strong possibility for the SAGE objectives to be tied back into SEP Outcomes using an ‘outcome harvesting’ approach. Such an effort would be useful to help develop a more comprehensive stocktake of the program than the evaluation team was able to achieve.</w:t>
            </w:r>
          </w:p>
          <w:p w14:paraId="3F70ECBD" w14:textId="77777777" w:rsidR="00692F17" w:rsidRPr="002A20AC" w:rsidRDefault="00692F17" w:rsidP="00AE2E5B">
            <w:pPr>
              <w:rPr>
                <w:rFonts w:cstheme="minorHAnsi"/>
              </w:rPr>
            </w:pPr>
          </w:p>
        </w:tc>
        <w:tc>
          <w:tcPr>
            <w:tcW w:w="973" w:type="dxa"/>
          </w:tcPr>
          <w:p w14:paraId="6A36DFBB" w14:textId="77777777" w:rsidR="00692F17" w:rsidRPr="002A20AC" w:rsidRDefault="00692F17" w:rsidP="00AE2E5B">
            <w:pPr>
              <w:rPr>
                <w:rFonts w:cstheme="minorHAnsi"/>
              </w:rPr>
            </w:pPr>
            <w:r w:rsidRPr="002A20AC">
              <w:rPr>
                <w:rFonts w:cstheme="minorHAnsi"/>
              </w:rPr>
              <w:t>Done</w:t>
            </w:r>
          </w:p>
        </w:tc>
        <w:tc>
          <w:tcPr>
            <w:tcW w:w="1381" w:type="dxa"/>
          </w:tcPr>
          <w:p w14:paraId="5631F74D" w14:textId="77777777" w:rsidR="00692F17" w:rsidRPr="002A20AC" w:rsidRDefault="00692F17" w:rsidP="00AE2E5B">
            <w:pPr>
              <w:rPr>
                <w:rFonts w:cstheme="minorHAnsi"/>
              </w:rPr>
            </w:pPr>
            <w:r w:rsidRPr="002A20AC">
              <w:rPr>
                <w:rFonts w:cstheme="minorHAnsi"/>
              </w:rPr>
              <w:t>Completed</w:t>
            </w:r>
          </w:p>
        </w:tc>
        <w:tc>
          <w:tcPr>
            <w:tcW w:w="3104" w:type="dxa"/>
          </w:tcPr>
          <w:p w14:paraId="55E9342A" w14:textId="77777777" w:rsidR="00692F17" w:rsidRPr="002A20AC" w:rsidRDefault="00692F17" w:rsidP="00AE2E5B">
            <w:pPr>
              <w:rPr>
                <w:rFonts w:cstheme="minorHAnsi"/>
              </w:rPr>
            </w:pPr>
            <w:r w:rsidRPr="002A20AC">
              <w:rPr>
                <w:rFonts w:cstheme="minorHAnsi"/>
              </w:rPr>
              <w:t>IFES to prepare interim and final reports for SAGE in accordance with new results framework (January &amp; June 2024), using ‘outcome harvesting’ approach.</w:t>
            </w:r>
          </w:p>
        </w:tc>
      </w:tr>
      <w:tr w:rsidR="00692F17" w:rsidRPr="002A20AC" w14:paraId="08D3EA13" w14:textId="77777777" w:rsidTr="00C51C94">
        <w:trPr>
          <w:cantSplit/>
        </w:trPr>
        <w:tc>
          <w:tcPr>
            <w:tcW w:w="3558" w:type="dxa"/>
          </w:tcPr>
          <w:p w14:paraId="37313107" w14:textId="77777777" w:rsidR="00692F17" w:rsidRPr="002A20AC" w:rsidRDefault="00692F17" w:rsidP="00692F17">
            <w:pPr>
              <w:pStyle w:val="ListParagraph"/>
              <w:numPr>
                <w:ilvl w:val="0"/>
                <w:numId w:val="3"/>
              </w:numPr>
              <w:spacing w:before="120"/>
              <w:rPr>
                <w:rFonts w:cstheme="minorHAnsi"/>
              </w:rPr>
            </w:pPr>
            <w:r w:rsidRPr="002A20AC">
              <w:rPr>
                <w:rFonts w:cstheme="minorHAnsi"/>
              </w:rPr>
              <w:t>Ongoing SAGE programming should utilise a more rigorous M&amp;E framework, including collecting data on beneficiaries, impact and linking outputs to outcomes.</w:t>
            </w:r>
          </w:p>
          <w:p w14:paraId="75329F99" w14:textId="77777777" w:rsidR="00692F17" w:rsidRPr="002A20AC" w:rsidRDefault="00692F17" w:rsidP="00AE2E5B">
            <w:pPr>
              <w:rPr>
                <w:rFonts w:cstheme="minorHAnsi"/>
              </w:rPr>
            </w:pPr>
          </w:p>
        </w:tc>
        <w:tc>
          <w:tcPr>
            <w:tcW w:w="973" w:type="dxa"/>
          </w:tcPr>
          <w:p w14:paraId="3221AA6B" w14:textId="77777777" w:rsidR="00692F17" w:rsidRPr="002A20AC" w:rsidRDefault="00692F17" w:rsidP="00AE2E5B">
            <w:pPr>
              <w:rPr>
                <w:rFonts w:cstheme="minorHAnsi"/>
              </w:rPr>
            </w:pPr>
            <w:r w:rsidRPr="002A20AC">
              <w:rPr>
                <w:rFonts w:cstheme="minorHAnsi"/>
              </w:rPr>
              <w:t>Done</w:t>
            </w:r>
          </w:p>
        </w:tc>
        <w:tc>
          <w:tcPr>
            <w:tcW w:w="1381" w:type="dxa"/>
          </w:tcPr>
          <w:p w14:paraId="50938BD5" w14:textId="77777777" w:rsidR="00692F17" w:rsidRPr="002A20AC" w:rsidRDefault="00692F17" w:rsidP="00AE2E5B">
            <w:pPr>
              <w:rPr>
                <w:rFonts w:cstheme="minorHAnsi"/>
              </w:rPr>
            </w:pPr>
            <w:r w:rsidRPr="002A20AC">
              <w:rPr>
                <w:rFonts w:cstheme="minorHAnsi"/>
              </w:rPr>
              <w:t>Ongoing</w:t>
            </w:r>
          </w:p>
        </w:tc>
        <w:tc>
          <w:tcPr>
            <w:tcW w:w="3104" w:type="dxa"/>
          </w:tcPr>
          <w:p w14:paraId="476856BA" w14:textId="77777777" w:rsidR="00692F17" w:rsidRPr="002A20AC" w:rsidRDefault="00692F17" w:rsidP="00AE2E5B">
            <w:pPr>
              <w:rPr>
                <w:rFonts w:cstheme="minorHAnsi"/>
              </w:rPr>
            </w:pPr>
            <w:r w:rsidRPr="002A20AC">
              <w:rPr>
                <w:rFonts w:cstheme="minorHAnsi"/>
              </w:rPr>
              <w:t>As above</w:t>
            </w:r>
          </w:p>
        </w:tc>
      </w:tr>
      <w:tr w:rsidR="00692F17" w:rsidRPr="002A20AC" w14:paraId="62AAE601" w14:textId="77777777" w:rsidTr="00C51C94">
        <w:trPr>
          <w:cantSplit/>
        </w:trPr>
        <w:tc>
          <w:tcPr>
            <w:tcW w:w="3558" w:type="dxa"/>
          </w:tcPr>
          <w:p w14:paraId="44C79FD6" w14:textId="77777777" w:rsidR="00692F17" w:rsidRPr="002A20AC" w:rsidRDefault="00692F17" w:rsidP="00692F17">
            <w:pPr>
              <w:pStyle w:val="ListParagraph"/>
              <w:numPr>
                <w:ilvl w:val="0"/>
                <w:numId w:val="3"/>
              </w:numPr>
              <w:spacing w:before="80" w:after="80"/>
              <w:jc w:val="both"/>
              <w:rPr>
                <w:rFonts w:cstheme="minorHAnsi"/>
              </w:rPr>
            </w:pPr>
            <w:r w:rsidRPr="002A20AC">
              <w:rPr>
                <w:rFonts w:cstheme="minorHAnsi"/>
              </w:rPr>
              <w:t>Future SEP programming should reinforce the need for either a managing contractor or a strengthened program coordinator role to ensure that program reporting provides a clearer breakdown of expenditure against individual program Components.</w:t>
            </w:r>
          </w:p>
          <w:p w14:paraId="394BB2C7" w14:textId="77777777" w:rsidR="00692F17" w:rsidRPr="002A20AC" w:rsidRDefault="00692F17" w:rsidP="00AE2E5B">
            <w:pPr>
              <w:rPr>
                <w:rFonts w:cstheme="minorHAnsi"/>
              </w:rPr>
            </w:pPr>
          </w:p>
        </w:tc>
        <w:tc>
          <w:tcPr>
            <w:tcW w:w="973" w:type="dxa"/>
          </w:tcPr>
          <w:p w14:paraId="2816548F" w14:textId="77777777" w:rsidR="00692F17" w:rsidRPr="002A20AC" w:rsidRDefault="00692F17" w:rsidP="00AE2E5B">
            <w:pPr>
              <w:spacing w:before="80" w:after="80"/>
              <w:jc w:val="both"/>
              <w:rPr>
                <w:rFonts w:cstheme="minorHAnsi"/>
              </w:rPr>
            </w:pPr>
            <w:r w:rsidRPr="002A20AC">
              <w:rPr>
                <w:rFonts w:cstheme="minorHAnsi"/>
              </w:rPr>
              <w:t>Agree</w:t>
            </w:r>
          </w:p>
        </w:tc>
        <w:tc>
          <w:tcPr>
            <w:tcW w:w="1381" w:type="dxa"/>
          </w:tcPr>
          <w:p w14:paraId="7BB6CABC" w14:textId="77777777" w:rsidR="00692F17" w:rsidRPr="002A20AC" w:rsidRDefault="00692F17" w:rsidP="00AE2E5B">
            <w:pPr>
              <w:spacing w:before="80" w:after="80"/>
              <w:jc w:val="both"/>
              <w:rPr>
                <w:rFonts w:cstheme="minorHAnsi"/>
              </w:rPr>
            </w:pPr>
            <w:r w:rsidRPr="002A20AC">
              <w:rPr>
                <w:rFonts w:cstheme="minorHAnsi"/>
              </w:rPr>
              <w:t>Q2 2024</w:t>
            </w:r>
          </w:p>
        </w:tc>
        <w:tc>
          <w:tcPr>
            <w:tcW w:w="3104" w:type="dxa"/>
          </w:tcPr>
          <w:p w14:paraId="2E8C97DE" w14:textId="77777777" w:rsidR="00692F17" w:rsidRPr="002A20AC" w:rsidRDefault="00692F17" w:rsidP="00AE2E5B">
            <w:pPr>
              <w:spacing w:before="80" w:after="80"/>
              <w:jc w:val="both"/>
              <w:rPr>
                <w:rFonts w:cstheme="minorHAnsi"/>
              </w:rPr>
            </w:pPr>
            <w:r w:rsidRPr="002A20AC">
              <w:rPr>
                <w:rFonts w:cstheme="minorHAnsi"/>
              </w:rPr>
              <w:t>Agreed – see recommendation 6.</w:t>
            </w:r>
          </w:p>
        </w:tc>
      </w:tr>
      <w:tr w:rsidR="00692F17" w:rsidRPr="002A20AC" w14:paraId="03538D4F" w14:textId="77777777" w:rsidTr="00C51C94">
        <w:trPr>
          <w:cantSplit/>
        </w:trPr>
        <w:tc>
          <w:tcPr>
            <w:tcW w:w="3558" w:type="dxa"/>
          </w:tcPr>
          <w:p w14:paraId="5146A3B5" w14:textId="77777777" w:rsidR="00692F17" w:rsidRPr="002A20AC" w:rsidRDefault="00692F17" w:rsidP="00692F17">
            <w:pPr>
              <w:pStyle w:val="ListParagraph"/>
              <w:numPr>
                <w:ilvl w:val="0"/>
                <w:numId w:val="3"/>
              </w:numPr>
              <w:spacing w:before="120"/>
              <w:rPr>
                <w:rFonts w:cstheme="minorHAnsi"/>
              </w:rPr>
            </w:pPr>
            <w:r w:rsidRPr="002A20AC">
              <w:rPr>
                <w:rFonts w:cstheme="minorHAnsi"/>
              </w:rPr>
              <w:t xml:space="preserve">The PFM adviser function planned in the IDD but not ultimately contracted should be considered again for future investments </w:t>
            </w:r>
            <w:proofErr w:type="gramStart"/>
            <w:r w:rsidRPr="002A20AC">
              <w:rPr>
                <w:rFonts w:cstheme="minorHAnsi"/>
              </w:rPr>
              <w:t>as a means to</w:t>
            </w:r>
            <w:proofErr w:type="gramEnd"/>
            <w:r w:rsidRPr="002A20AC">
              <w:rPr>
                <w:rFonts w:cstheme="minorHAnsi"/>
              </w:rPr>
              <w:t xml:space="preserve"> support corporate functions at PNGEC.</w:t>
            </w:r>
          </w:p>
          <w:p w14:paraId="1E032D73" w14:textId="77777777" w:rsidR="00692F17" w:rsidRPr="002A20AC" w:rsidRDefault="00692F17" w:rsidP="00AE2E5B">
            <w:pPr>
              <w:rPr>
                <w:rFonts w:cstheme="minorHAnsi"/>
              </w:rPr>
            </w:pPr>
          </w:p>
        </w:tc>
        <w:tc>
          <w:tcPr>
            <w:tcW w:w="973" w:type="dxa"/>
          </w:tcPr>
          <w:p w14:paraId="7AF34E52" w14:textId="77777777" w:rsidR="00692F17" w:rsidRPr="002A20AC" w:rsidRDefault="00692F17" w:rsidP="00AE2E5B">
            <w:pPr>
              <w:rPr>
                <w:rFonts w:cstheme="minorHAnsi"/>
              </w:rPr>
            </w:pPr>
            <w:r w:rsidRPr="002A20AC">
              <w:rPr>
                <w:rFonts w:cstheme="minorHAnsi"/>
              </w:rPr>
              <w:t>Agree</w:t>
            </w:r>
          </w:p>
        </w:tc>
        <w:tc>
          <w:tcPr>
            <w:tcW w:w="1381" w:type="dxa"/>
          </w:tcPr>
          <w:p w14:paraId="63108CCF" w14:textId="77777777" w:rsidR="00692F17" w:rsidRPr="002A20AC" w:rsidRDefault="00692F17" w:rsidP="00AE2E5B">
            <w:pPr>
              <w:rPr>
                <w:rFonts w:cstheme="minorHAnsi"/>
              </w:rPr>
            </w:pPr>
            <w:r w:rsidRPr="002A20AC">
              <w:rPr>
                <w:rFonts w:cstheme="minorHAnsi"/>
              </w:rPr>
              <w:t>Q2 2024</w:t>
            </w:r>
          </w:p>
        </w:tc>
        <w:tc>
          <w:tcPr>
            <w:tcW w:w="3104" w:type="dxa"/>
          </w:tcPr>
          <w:p w14:paraId="26436A59" w14:textId="2B53B6C3" w:rsidR="00692F17" w:rsidRPr="002A20AC" w:rsidRDefault="00C51C94" w:rsidP="00C06B24">
            <w:pPr>
              <w:rPr>
                <w:rFonts w:cstheme="minorHAnsi"/>
              </w:rPr>
            </w:pPr>
            <w:r>
              <w:rPr>
                <w:rFonts w:cstheme="minorHAnsi"/>
              </w:rPr>
              <w:t>Agreed – see recommendation 6.</w:t>
            </w:r>
          </w:p>
        </w:tc>
      </w:tr>
    </w:tbl>
    <w:p w14:paraId="3760D349" w14:textId="77777777" w:rsidR="00692F17" w:rsidRPr="002A20AC" w:rsidRDefault="00692F17" w:rsidP="00692F17">
      <w:pPr>
        <w:rPr>
          <w:rFonts w:cstheme="minorHAnsi"/>
        </w:rPr>
      </w:pPr>
    </w:p>
    <w:p w14:paraId="5AFFF614" w14:textId="77777777" w:rsidR="00DE1ECF" w:rsidRDefault="00DE1ECF"/>
    <w:sectPr w:rsidR="00DE1E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7DE1" w14:textId="77777777" w:rsidR="00F2503C" w:rsidRDefault="00F2503C" w:rsidP="00692F17">
      <w:pPr>
        <w:spacing w:after="0" w:line="240" w:lineRule="auto"/>
      </w:pPr>
      <w:r>
        <w:separator/>
      </w:r>
    </w:p>
  </w:endnote>
  <w:endnote w:type="continuationSeparator" w:id="0">
    <w:p w14:paraId="281E50CF" w14:textId="77777777" w:rsidR="00F2503C" w:rsidRDefault="00F2503C" w:rsidP="0069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1BF0" w14:textId="77777777" w:rsidR="00F2503C" w:rsidRDefault="00F2503C" w:rsidP="00692F17">
      <w:pPr>
        <w:spacing w:after="0" w:line="240" w:lineRule="auto"/>
      </w:pPr>
      <w:r>
        <w:separator/>
      </w:r>
    </w:p>
  </w:footnote>
  <w:footnote w:type="continuationSeparator" w:id="0">
    <w:p w14:paraId="1325B7C0" w14:textId="77777777" w:rsidR="00F2503C" w:rsidRDefault="00F2503C" w:rsidP="0069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0AF"/>
    <w:multiLevelType w:val="hybridMultilevel"/>
    <w:tmpl w:val="B94AD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DD77D1"/>
    <w:multiLevelType w:val="multilevel"/>
    <w:tmpl w:val="3B5E0F8A"/>
    <w:lvl w:ilvl="0">
      <w:start w:val="1"/>
      <w:numFmt w:val="bullet"/>
      <w:lvlText w:val=""/>
      <w:lvlJc w:val="left"/>
      <w:pPr>
        <w:ind w:left="357" w:hanging="357"/>
      </w:pPr>
      <w:rPr>
        <w:rFonts w:ascii="Symbol" w:hAnsi="Symbol" w:hint="default"/>
        <w:color w:val="auto"/>
        <w:sz w:val="20"/>
      </w:rPr>
    </w:lvl>
    <w:lvl w:ilvl="1">
      <w:start w:val="1"/>
      <w:numFmt w:val="lowerLetter"/>
      <w:pStyle w:val="List2"/>
      <w:lvlText w:val="(%2)"/>
      <w:lvlJc w:val="left"/>
      <w:pPr>
        <w:ind w:left="714" w:hanging="357"/>
      </w:pPr>
      <w:rPr>
        <w:rFonts w:hint="default"/>
        <w:color w:val="70AD47" w:themeColor="accent6"/>
        <w:sz w:val="20"/>
      </w:rPr>
    </w:lvl>
    <w:lvl w:ilvl="2">
      <w:start w:val="1"/>
      <w:numFmt w:val="lowerRoman"/>
      <w:pStyle w:val="List3"/>
      <w:lvlText w:val="(%3)"/>
      <w:lvlJc w:val="left"/>
      <w:pPr>
        <w:ind w:left="1072" w:hanging="358"/>
      </w:pPr>
      <w:rPr>
        <w:rFonts w:hint="default"/>
        <w:color w:val="auto"/>
        <w:sz w:val="20"/>
      </w:rPr>
    </w:lvl>
    <w:lvl w:ilvl="3">
      <w:start w:val="1"/>
      <w:numFmt w:val="upperLetter"/>
      <w:pStyle w:val="List4"/>
      <w:lvlText w:val="%4."/>
      <w:lvlJc w:val="left"/>
      <w:pPr>
        <w:ind w:left="1429" w:hanging="357"/>
      </w:pPr>
      <w:rPr>
        <w:rFonts w:hint="default"/>
        <w:color w:val="auto"/>
        <w:sz w:val="20"/>
      </w:rPr>
    </w:lvl>
    <w:lvl w:ilvl="4">
      <w:start w:val="1"/>
      <w:numFmt w:val="lowerLetter"/>
      <w:lvlText w:val="%5."/>
      <w:lvlJc w:val="left"/>
      <w:pPr>
        <w:tabs>
          <w:tab w:val="num" w:pos="3687"/>
        </w:tabs>
        <w:ind w:left="3545" w:hanging="709"/>
      </w:pPr>
      <w:rPr>
        <w:rFonts w:hint="default"/>
      </w:rPr>
    </w:lvl>
    <w:lvl w:ilvl="5">
      <w:start w:val="1"/>
      <w:numFmt w:val="lowerRoman"/>
      <w:lvlText w:val="%6."/>
      <w:lvlJc w:val="left"/>
      <w:pPr>
        <w:tabs>
          <w:tab w:val="num" w:pos="4396"/>
        </w:tabs>
        <w:ind w:left="4254" w:hanging="709"/>
      </w:pPr>
      <w:rPr>
        <w:rFonts w:hint="default"/>
      </w:rPr>
    </w:lvl>
    <w:lvl w:ilvl="6">
      <w:start w:val="1"/>
      <w:numFmt w:val="decimal"/>
      <w:lvlText w:val="%7."/>
      <w:lvlJc w:val="left"/>
      <w:pPr>
        <w:tabs>
          <w:tab w:val="num" w:pos="5105"/>
        </w:tabs>
        <w:ind w:left="4963" w:hanging="709"/>
      </w:pPr>
      <w:rPr>
        <w:rFonts w:hint="default"/>
      </w:rPr>
    </w:lvl>
    <w:lvl w:ilvl="7">
      <w:start w:val="1"/>
      <w:numFmt w:val="lowerLetter"/>
      <w:lvlText w:val="%8."/>
      <w:lvlJc w:val="left"/>
      <w:pPr>
        <w:tabs>
          <w:tab w:val="num" w:pos="5814"/>
        </w:tabs>
        <w:ind w:left="5672" w:hanging="709"/>
      </w:pPr>
      <w:rPr>
        <w:rFonts w:hint="default"/>
      </w:rPr>
    </w:lvl>
    <w:lvl w:ilvl="8">
      <w:start w:val="1"/>
      <w:numFmt w:val="lowerRoman"/>
      <w:lvlText w:val="%9."/>
      <w:lvlJc w:val="left"/>
      <w:pPr>
        <w:tabs>
          <w:tab w:val="num" w:pos="6523"/>
        </w:tabs>
        <w:ind w:left="6381" w:hanging="709"/>
      </w:pPr>
      <w:rPr>
        <w:rFonts w:hint="default"/>
      </w:rPr>
    </w:lvl>
  </w:abstractNum>
  <w:abstractNum w:abstractNumId="2" w15:restartNumberingAfterBreak="0">
    <w:nsid w:val="3CAC5196"/>
    <w:multiLevelType w:val="hybridMultilevel"/>
    <w:tmpl w:val="842C23BE"/>
    <w:lvl w:ilvl="0" w:tplc="FFFFFFFF">
      <w:start w:val="1"/>
      <w:numFmt w:val="bullet"/>
      <w:lvlText w:val=""/>
      <w:lvlJc w:val="left"/>
      <w:pPr>
        <w:ind w:left="360" w:hanging="360"/>
      </w:pPr>
      <w:rPr>
        <w:rFonts w:ascii="Symbol" w:hAnsi="Symbol" w:hint="default"/>
      </w:rPr>
    </w:lvl>
    <w:lvl w:ilvl="1" w:tplc="688E806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12507547">
    <w:abstractNumId w:val="1"/>
  </w:num>
  <w:num w:numId="2" w16cid:durableId="1177307264">
    <w:abstractNumId w:val="2"/>
  </w:num>
  <w:num w:numId="3" w16cid:durableId="15527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17"/>
    <w:rsid w:val="00001776"/>
    <w:rsid w:val="00141C67"/>
    <w:rsid w:val="00433712"/>
    <w:rsid w:val="00471DC7"/>
    <w:rsid w:val="004B37F0"/>
    <w:rsid w:val="004D552F"/>
    <w:rsid w:val="005D5B14"/>
    <w:rsid w:val="00651434"/>
    <w:rsid w:val="0067276A"/>
    <w:rsid w:val="00692F17"/>
    <w:rsid w:val="006A5D7D"/>
    <w:rsid w:val="00772880"/>
    <w:rsid w:val="007C6F2B"/>
    <w:rsid w:val="007C7812"/>
    <w:rsid w:val="009B468C"/>
    <w:rsid w:val="00A97D0C"/>
    <w:rsid w:val="00AB788E"/>
    <w:rsid w:val="00BE7EF8"/>
    <w:rsid w:val="00C06B24"/>
    <w:rsid w:val="00C51C94"/>
    <w:rsid w:val="00D30824"/>
    <w:rsid w:val="00D4130C"/>
    <w:rsid w:val="00D508DC"/>
    <w:rsid w:val="00DE1ECF"/>
    <w:rsid w:val="00F2503C"/>
    <w:rsid w:val="00F411BC"/>
    <w:rsid w:val="00FC0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3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6" w:unhideWhenUsed="1" w:qFormat="1"/>
    <w:lsdException w:name="List Bullet" w:semiHidden="1" w:unhideWhenUsed="1"/>
    <w:lsdException w:name="List Number" w:semiHidden="1" w:unhideWhenUsed="1"/>
    <w:lsdException w:name="List 2" w:semiHidden="1" w:uiPriority="6" w:unhideWhenUsed="1" w:qFormat="1"/>
    <w:lsdException w:name="List 3" w:semiHidden="1" w:uiPriority="6" w:unhideWhenUsed="1" w:qFormat="1"/>
    <w:lsdException w:name="List 4" w:semiHidden="1" w:uiPriority="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 + List Paragraph,NFP GP Bulleted List,sub-section,MCHIP_list paragraph,List Paragraph1,Recommendation,Bullet List,FooterText,F5 List Paragraph,Dot pt,No Spacing1,List Paragraph Char Char Char,Indicator Text,Numbered Para 1,L"/>
    <w:basedOn w:val="Normal"/>
    <w:link w:val="ListParagraphChar"/>
    <w:uiPriority w:val="34"/>
    <w:qFormat/>
    <w:rsid w:val="00692F17"/>
    <w:pPr>
      <w:ind w:left="720"/>
      <w:contextualSpacing/>
    </w:pPr>
  </w:style>
  <w:style w:type="table" w:styleId="TableGrid">
    <w:name w:val="Table Grid"/>
    <w:basedOn w:val="TableNormal"/>
    <w:uiPriority w:val="39"/>
    <w:rsid w:val="0069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6"/>
    <w:qFormat/>
    <w:rsid w:val="00692F17"/>
    <w:pPr>
      <w:suppressAutoHyphens/>
      <w:spacing w:before="120" w:after="120" w:line="240" w:lineRule="auto"/>
    </w:pPr>
    <w:rPr>
      <w:rFonts w:ascii="Arial" w:eastAsia="Times New Roman" w:hAnsi="Arial" w:cs="Times New Roman"/>
      <w:sz w:val="20"/>
      <w:szCs w:val="24"/>
      <w:lang w:val="en-NZ" w:eastAsia="en-AU"/>
    </w:rPr>
  </w:style>
  <w:style w:type="paragraph" w:styleId="List2">
    <w:name w:val="List 2"/>
    <w:basedOn w:val="Normal"/>
    <w:uiPriority w:val="6"/>
    <w:qFormat/>
    <w:rsid w:val="00692F17"/>
    <w:pPr>
      <w:numPr>
        <w:ilvl w:val="1"/>
        <w:numId w:val="1"/>
      </w:numPr>
      <w:suppressAutoHyphens/>
      <w:spacing w:before="120" w:after="120" w:line="240" w:lineRule="auto"/>
    </w:pPr>
    <w:rPr>
      <w:rFonts w:ascii="Arial" w:eastAsia="Times New Roman" w:hAnsi="Arial" w:cs="Times New Roman"/>
      <w:sz w:val="20"/>
      <w:szCs w:val="24"/>
      <w:lang w:val="en-NZ" w:eastAsia="en-AU"/>
    </w:rPr>
  </w:style>
  <w:style w:type="paragraph" w:styleId="List3">
    <w:name w:val="List 3"/>
    <w:basedOn w:val="Normal"/>
    <w:uiPriority w:val="6"/>
    <w:qFormat/>
    <w:rsid w:val="00692F17"/>
    <w:pPr>
      <w:numPr>
        <w:ilvl w:val="2"/>
        <w:numId w:val="1"/>
      </w:numPr>
      <w:suppressAutoHyphens/>
      <w:spacing w:before="120" w:after="120" w:line="240" w:lineRule="auto"/>
    </w:pPr>
    <w:rPr>
      <w:rFonts w:ascii="Arial" w:eastAsia="Times New Roman" w:hAnsi="Arial" w:cs="Times New Roman"/>
      <w:sz w:val="20"/>
      <w:szCs w:val="24"/>
      <w:lang w:val="en-NZ" w:eastAsia="en-AU"/>
    </w:rPr>
  </w:style>
  <w:style w:type="paragraph" w:styleId="List4">
    <w:name w:val="List 4"/>
    <w:basedOn w:val="Normal"/>
    <w:uiPriority w:val="6"/>
    <w:qFormat/>
    <w:rsid w:val="00692F17"/>
    <w:pPr>
      <w:numPr>
        <w:ilvl w:val="3"/>
        <w:numId w:val="1"/>
      </w:numPr>
      <w:suppressAutoHyphens/>
      <w:spacing w:before="120" w:after="120" w:line="240" w:lineRule="auto"/>
    </w:pPr>
    <w:rPr>
      <w:rFonts w:ascii="Arial" w:eastAsia="Times New Roman" w:hAnsi="Arial" w:cs="Times New Roman"/>
      <w:sz w:val="20"/>
      <w:szCs w:val="24"/>
      <w:lang w:val="en-NZ" w:eastAsia="en-AU"/>
    </w:rPr>
  </w:style>
  <w:style w:type="character" w:customStyle="1" w:styleId="ListParagraphChar">
    <w:name w:val="List Paragraph Char"/>
    <w:aliases w:val="Heading 2 + List Paragraph Char,NFP GP Bulleted List Char,sub-section Char,MCHIP_list paragraph Char,List Paragraph1 Char,Recommendation Char,Bullet List Char,FooterText Char,F5 List Paragraph Char,Dot pt Char,No Spacing1 Char,L Char"/>
    <w:basedOn w:val="DefaultParagraphFont"/>
    <w:link w:val="ListParagraph"/>
    <w:uiPriority w:val="34"/>
    <w:qFormat/>
    <w:rsid w:val="00692F17"/>
  </w:style>
  <w:style w:type="paragraph" w:styleId="Header">
    <w:name w:val="header"/>
    <w:basedOn w:val="Normal"/>
    <w:link w:val="HeaderChar"/>
    <w:uiPriority w:val="99"/>
    <w:unhideWhenUsed/>
    <w:rsid w:val="0069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17"/>
  </w:style>
  <w:style w:type="paragraph" w:styleId="Footer">
    <w:name w:val="footer"/>
    <w:basedOn w:val="Normal"/>
    <w:link w:val="FooterChar"/>
    <w:uiPriority w:val="99"/>
    <w:unhideWhenUsed/>
    <w:rsid w:val="0069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4263</Characters>
  <Application>Microsoft Office Word</Application>
  <DocSecurity>4</DocSecurity>
  <Lines>231</Lines>
  <Paragraphs>62</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2024-03-06T03:22:00Z</dcterms:created>
  <dcterms:modified xsi:type="dcterms:W3CDTF">2024-03-06T03:22:00Z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v=2022.1;a=SHA256;h=F658A6D415EA2730280BA08064CE860E261D18F067EC7792EFD3179EC07A3FD2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2024-03-06T03:22:45Z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6A8F45EA213C480EB2964AC006B43BFF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36032DDA4E3E57EC659C3D905F9DED4A</vt:lpwstr>
  </property>
  <property fmtid="{D5CDD505-2E9C-101B-9397-08002B2CF9AE}" pid="25" name="PM_Hash_Salt">
    <vt:lpwstr>36032DDA4E3E57EC659C3D905F9DED4A</vt:lpwstr>
  </property>
  <property fmtid="{D5CDD505-2E9C-101B-9397-08002B2CF9AE}" pid="26" name="PM_Hash_SHA1">
    <vt:lpwstr>1CD20B586EF24DC8E4ED2F4EDE0EE4972A131026</vt:lpwstr>
  </property>
</Properties>
</file>