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A93FA" w14:textId="24CDAC3E" w:rsidR="006965F5" w:rsidRPr="00BD6457" w:rsidRDefault="006965F5" w:rsidP="00186C9B">
      <w:pPr>
        <w:pStyle w:val="Title"/>
        <w:spacing w:before="10000"/>
      </w:pPr>
      <w:r w:rsidRPr="00BD6457">
        <w:t>SURGE Closure Plan</w:t>
      </w:r>
      <w:r w:rsidR="009D3577" w:rsidRPr="00BD6457">
        <w:t xml:space="preserve"> 2025</w:t>
      </w:r>
    </w:p>
    <w:p w14:paraId="7C0AA255" w14:textId="77777777" w:rsidR="00A3221B" w:rsidRDefault="00A3221B">
      <w:pPr>
        <w:rPr>
          <w:b/>
          <w:kern w:val="0"/>
          <w:sz w:val="20"/>
          <w:szCs w:val="22"/>
          <w14:ligatures w14:val="none"/>
        </w:rPr>
      </w:pPr>
      <w:r>
        <w:rPr>
          <w:b/>
        </w:rPr>
        <w:br w:type="page"/>
      </w:r>
    </w:p>
    <w:p w14:paraId="23125413" w14:textId="4FB00738" w:rsidR="006965F5" w:rsidRPr="00106936" w:rsidRDefault="006965F5" w:rsidP="006965F5">
      <w:pPr>
        <w:pStyle w:val="BodyText"/>
      </w:pPr>
      <w:r w:rsidRPr="00106936">
        <w:rPr>
          <w:b/>
        </w:rPr>
        <w:lastRenderedPageBreak/>
        <w:t>Preferred citation</w:t>
      </w:r>
      <w:r w:rsidRPr="00106936">
        <w:t xml:space="preserve">: SURGE </w:t>
      </w:r>
      <w:r>
        <w:t>Closure Plan</w:t>
      </w:r>
    </w:p>
    <w:p w14:paraId="78E141FD" w14:textId="77777777" w:rsidR="006965F5" w:rsidRPr="00106936" w:rsidRDefault="006965F5" w:rsidP="00586E1B">
      <w:pPr>
        <w:pStyle w:val="BodyText"/>
        <w:spacing w:before="480"/>
      </w:pPr>
      <w:r w:rsidRPr="00106936">
        <w:t>This document is produced by DT Global solely for the benefit and use by the client in accordance with the terms of the engagement. DT Global does not and shall not assume any responsibility or liability whatsoever to any third party arising out of any use or reliance by any third party on the content of this document.</w:t>
      </w:r>
    </w:p>
    <w:p w14:paraId="74AD7A26" w14:textId="77777777" w:rsidR="006965F5" w:rsidRPr="00106936" w:rsidRDefault="006965F5" w:rsidP="006965F5">
      <w:pPr>
        <w:pStyle w:val="BodyText"/>
      </w:pPr>
      <w:r w:rsidRPr="00106936">
        <w:t>This publication has been funded by the Australian Government through the Department of Foreign Affairs and Trade. The views expressed in this publication are the author’s alone and are not necessarily the views of the Australian Government.</w:t>
      </w:r>
    </w:p>
    <w:p w14:paraId="3E33EBBB" w14:textId="77777777" w:rsidR="006965F5" w:rsidRPr="00106936" w:rsidRDefault="006965F5" w:rsidP="006965F5">
      <w:pPr>
        <w:pStyle w:val="BodyText"/>
      </w:pPr>
      <w:r w:rsidRPr="00106936">
        <w:t>SURGE is supported by the Australian Government and implemented by DT Global.</w:t>
      </w:r>
    </w:p>
    <w:p w14:paraId="68E73C5F" w14:textId="77777777" w:rsidR="006965F5" w:rsidRPr="00106936" w:rsidRDefault="006965F5" w:rsidP="006965F5">
      <w:pPr>
        <w:spacing w:line="259" w:lineRule="auto"/>
      </w:pPr>
      <w:r w:rsidRPr="00106936">
        <w:br w:type="page"/>
      </w:r>
    </w:p>
    <w:p w14:paraId="6768FC2B" w14:textId="24FFEC12" w:rsidR="006965F5" w:rsidRPr="00F97472" w:rsidRDefault="00BD6457" w:rsidP="00F97472">
      <w:pPr>
        <w:pStyle w:val="TOCHeading"/>
      </w:pPr>
      <w:r w:rsidRPr="00F97472">
        <w:lastRenderedPageBreak/>
        <w:t>Contents</w:t>
      </w:r>
    </w:p>
    <w:p w14:paraId="74B86DEF" w14:textId="159DF264" w:rsidR="00186C9B" w:rsidRDefault="00F97472">
      <w:pPr>
        <w:pStyle w:val="TOC1"/>
        <w:rPr>
          <w:rFonts w:eastAsiaTheme="minorEastAsia"/>
          <w:b w:val="0"/>
          <w:sz w:val="24"/>
          <w:lang w:eastAsia="en-AU"/>
        </w:rPr>
      </w:pPr>
      <w:r>
        <w:fldChar w:fldCharType="begin"/>
      </w:r>
      <w:r>
        <w:instrText xml:space="preserve"> TOC \o "1-2" \h \z \u </w:instrText>
      </w:r>
      <w:r>
        <w:fldChar w:fldCharType="separate"/>
      </w:r>
      <w:hyperlink w:anchor="_Toc188628653" w:history="1">
        <w:r w:rsidR="00186C9B" w:rsidRPr="00676DBB">
          <w:rPr>
            <w:rStyle w:val="Hyperlink"/>
          </w:rPr>
          <w:t>1</w:t>
        </w:r>
        <w:r w:rsidR="00186C9B">
          <w:rPr>
            <w:rFonts w:eastAsiaTheme="minorEastAsia"/>
            <w:b w:val="0"/>
            <w:sz w:val="24"/>
            <w:lang w:eastAsia="en-AU"/>
          </w:rPr>
          <w:tab/>
        </w:r>
        <w:r w:rsidR="00186C9B" w:rsidRPr="00676DBB">
          <w:rPr>
            <w:rStyle w:val="Hyperlink"/>
          </w:rPr>
          <w:t>Introduction</w:t>
        </w:r>
        <w:r w:rsidR="00186C9B">
          <w:rPr>
            <w:webHidden/>
          </w:rPr>
          <w:tab/>
        </w:r>
        <w:r w:rsidR="00186C9B">
          <w:rPr>
            <w:webHidden/>
          </w:rPr>
          <w:fldChar w:fldCharType="begin"/>
        </w:r>
        <w:r w:rsidR="00186C9B">
          <w:rPr>
            <w:webHidden/>
          </w:rPr>
          <w:instrText xml:space="preserve"> PAGEREF _Toc188628653 \h </w:instrText>
        </w:r>
        <w:r w:rsidR="00186C9B">
          <w:rPr>
            <w:webHidden/>
          </w:rPr>
        </w:r>
        <w:r w:rsidR="00186C9B">
          <w:rPr>
            <w:webHidden/>
          </w:rPr>
          <w:fldChar w:fldCharType="separate"/>
        </w:r>
        <w:r w:rsidR="005C3545">
          <w:rPr>
            <w:webHidden/>
          </w:rPr>
          <w:t>1</w:t>
        </w:r>
        <w:r w:rsidR="00186C9B">
          <w:rPr>
            <w:webHidden/>
          </w:rPr>
          <w:fldChar w:fldCharType="end"/>
        </w:r>
      </w:hyperlink>
    </w:p>
    <w:p w14:paraId="625E5891" w14:textId="1EB161A6" w:rsidR="00186C9B" w:rsidRDefault="00E04BE9">
      <w:pPr>
        <w:pStyle w:val="TOC1"/>
        <w:rPr>
          <w:rFonts w:eastAsiaTheme="minorEastAsia"/>
          <w:b w:val="0"/>
          <w:sz w:val="24"/>
          <w:lang w:eastAsia="en-AU"/>
        </w:rPr>
      </w:pPr>
      <w:hyperlink w:anchor="_Toc188628654" w:history="1">
        <w:r w:rsidR="00186C9B" w:rsidRPr="00676DBB">
          <w:rPr>
            <w:rStyle w:val="Hyperlink"/>
          </w:rPr>
          <w:t>2</w:t>
        </w:r>
        <w:r w:rsidR="00186C9B">
          <w:rPr>
            <w:rFonts w:eastAsiaTheme="minorEastAsia"/>
            <w:b w:val="0"/>
            <w:sz w:val="24"/>
            <w:lang w:eastAsia="en-AU"/>
          </w:rPr>
          <w:tab/>
        </w:r>
        <w:r w:rsidR="00186C9B" w:rsidRPr="00676DBB">
          <w:rPr>
            <w:rStyle w:val="Hyperlink"/>
          </w:rPr>
          <w:t>Program Background</w:t>
        </w:r>
        <w:r w:rsidR="00186C9B">
          <w:rPr>
            <w:webHidden/>
          </w:rPr>
          <w:tab/>
        </w:r>
        <w:r w:rsidR="00186C9B">
          <w:rPr>
            <w:webHidden/>
          </w:rPr>
          <w:fldChar w:fldCharType="begin"/>
        </w:r>
        <w:r w:rsidR="00186C9B">
          <w:rPr>
            <w:webHidden/>
          </w:rPr>
          <w:instrText xml:space="preserve"> PAGEREF _Toc188628654 \h </w:instrText>
        </w:r>
        <w:r w:rsidR="00186C9B">
          <w:rPr>
            <w:webHidden/>
          </w:rPr>
        </w:r>
        <w:r w:rsidR="00186C9B">
          <w:rPr>
            <w:webHidden/>
          </w:rPr>
          <w:fldChar w:fldCharType="separate"/>
        </w:r>
        <w:r w:rsidR="005C3545">
          <w:rPr>
            <w:webHidden/>
          </w:rPr>
          <w:t>1</w:t>
        </w:r>
        <w:r w:rsidR="00186C9B">
          <w:rPr>
            <w:webHidden/>
          </w:rPr>
          <w:fldChar w:fldCharType="end"/>
        </w:r>
      </w:hyperlink>
    </w:p>
    <w:p w14:paraId="58789E7F" w14:textId="7AC72055" w:rsidR="00186C9B" w:rsidRDefault="00E04BE9">
      <w:pPr>
        <w:pStyle w:val="TOC1"/>
        <w:rPr>
          <w:rFonts w:eastAsiaTheme="minorEastAsia"/>
          <w:b w:val="0"/>
          <w:sz w:val="24"/>
          <w:lang w:eastAsia="en-AU"/>
        </w:rPr>
      </w:pPr>
      <w:hyperlink w:anchor="_Toc188628655" w:history="1">
        <w:r w:rsidR="00186C9B" w:rsidRPr="00676DBB">
          <w:rPr>
            <w:rStyle w:val="Hyperlink"/>
          </w:rPr>
          <w:t>3</w:t>
        </w:r>
        <w:r w:rsidR="00186C9B">
          <w:rPr>
            <w:rFonts w:eastAsiaTheme="minorEastAsia"/>
            <w:b w:val="0"/>
            <w:sz w:val="24"/>
            <w:lang w:eastAsia="en-AU"/>
          </w:rPr>
          <w:tab/>
        </w:r>
        <w:r w:rsidR="00186C9B" w:rsidRPr="00676DBB">
          <w:rPr>
            <w:rStyle w:val="Hyperlink"/>
          </w:rPr>
          <w:t>Closure Schedule</w:t>
        </w:r>
        <w:r w:rsidR="00186C9B">
          <w:rPr>
            <w:webHidden/>
          </w:rPr>
          <w:tab/>
        </w:r>
        <w:r w:rsidR="00186C9B">
          <w:rPr>
            <w:webHidden/>
          </w:rPr>
          <w:fldChar w:fldCharType="begin"/>
        </w:r>
        <w:r w:rsidR="00186C9B">
          <w:rPr>
            <w:webHidden/>
          </w:rPr>
          <w:instrText xml:space="preserve"> PAGEREF _Toc188628655 \h </w:instrText>
        </w:r>
        <w:r w:rsidR="00186C9B">
          <w:rPr>
            <w:webHidden/>
          </w:rPr>
        </w:r>
        <w:r w:rsidR="00186C9B">
          <w:rPr>
            <w:webHidden/>
          </w:rPr>
          <w:fldChar w:fldCharType="separate"/>
        </w:r>
        <w:r w:rsidR="005C3545">
          <w:rPr>
            <w:webHidden/>
          </w:rPr>
          <w:t>1</w:t>
        </w:r>
        <w:r w:rsidR="00186C9B">
          <w:rPr>
            <w:webHidden/>
          </w:rPr>
          <w:fldChar w:fldCharType="end"/>
        </w:r>
      </w:hyperlink>
    </w:p>
    <w:p w14:paraId="26655697" w14:textId="0AF7886A" w:rsidR="00186C9B" w:rsidRDefault="00E04BE9">
      <w:pPr>
        <w:pStyle w:val="TOC2"/>
        <w:rPr>
          <w:rFonts w:eastAsiaTheme="minorEastAsia"/>
          <w:sz w:val="24"/>
          <w:lang w:eastAsia="en-AU"/>
        </w:rPr>
      </w:pPr>
      <w:hyperlink w:anchor="_Toc188628656" w:history="1">
        <w:r w:rsidR="00186C9B" w:rsidRPr="00676DBB">
          <w:rPr>
            <w:rStyle w:val="Hyperlink"/>
          </w:rPr>
          <w:t>3.1</w:t>
        </w:r>
        <w:r w:rsidR="00186C9B">
          <w:rPr>
            <w:rFonts w:eastAsiaTheme="minorEastAsia"/>
            <w:sz w:val="24"/>
            <w:lang w:eastAsia="en-AU"/>
          </w:rPr>
          <w:tab/>
        </w:r>
        <w:r w:rsidR="00186C9B" w:rsidRPr="00676DBB">
          <w:rPr>
            <w:rStyle w:val="Hyperlink"/>
          </w:rPr>
          <w:t>Reporting, technical advice, and tasking</w:t>
        </w:r>
        <w:r w:rsidR="00186C9B">
          <w:rPr>
            <w:webHidden/>
          </w:rPr>
          <w:tab/>
        </w:r>
        <w:r w:rsidR="00186C9B">
          <w:rPr>
            <w:webHidden/>
          </w:rPr>
          <w:fldChar w:fldCharType="begin"/>
        </w:r>
        <w:r w:rsidR="00186C9B">
          <w:rPr>
            <w:webHidden/>
          </w:rPr>
          <w:instrText xml:space="preserve"> PAGEREF _Toc188628656 \h </w:instrText>
        </w:r>
        <w:r w:rsidR="00186C9B">
          <w:rPr>
            <w:webHidden/>
          </w:rPr>
        </w:r>
        <w:r w:rsidR="00186C9B">
          <w:rPr>
            <w:webHidden/>
          </w:rPr>
          <w:fldChar w:fldCharType="separate"/>
        </w:r>
        <w:r w:rsidR="005C3545">
          <w:rPr>
            <w:webHidden/>
          </w:rPr>
          <w:t>2</w:t>
        </w:r>
        <w:r w:rsidR="00186C9B">
          <w:rPr>
            <w:webHidden/>
          </w:rPr>
          <w:fldChar w:fldCharType="end"/>
        </w:r>
      </w:hyperlink>
    </w:p>
    <w:p w14:paraId="18B79A47" w14:textId="09967A24" w:rsidR="00186C9B" w:rsidRDefault="00E04BE9">
      <w:pPr>
        <w:pStyle w:val="TOC1"/>
        <w:rPr>
          <w:rFonts w:eastAsiaTheme="minorEastAsia"/>
          <w:b w:val="0"/>
          <w:sz w:val="24"/>
          <w:lang w:eastAsia="en-AU"/>
        </w:rPr>
      </w:pPr>
      <w:hyperlink w:anchor="_Toc188628657" w:history="1">
        <w:r w:rsidR="00186C9B" w:rsidRPr="00676DBB">
          <w:rPr>
            <w:rStyle w:val="Hyperlink"/>
          </w:rPr>
          <w:t>4</w:t>
        </w:r>
        <w:r w:rsidR="00186C9B">
          <w:rPr>
            <w:rFonts w:eastAsiaTheme="minorEastAsia"/>
            <w:b w:val="0"/>
            <w:sz w:val="24"/>
            <w:lang w:eastAsia="en-AU"/>
          </w:rPr>
          <w:tab/>
        </w:r>
        <w:r w:rsidR="00186C9B" w:rsidRPr="00676DBB">
          <w:rPr>
            <w:rStyle w:val="Hyperlink"/>
          </w:rPr>
          <w:t>Contractors and Partners</w:t>
        </w:r>
        <w:r w:rsidR="00186C9B">
          <w:rPr>
            <w:webHidden/>
          </w:rPr>
          <w:tab/>
        </w:r>
        <w:r w:rsidR="00186C9B">
          <w:rPr>
            <w:webHidden/>
          </w:rPr>
          <w:fldChar w:fldCharType="begin"/>
        </w:r>
        <w:r w:rsidR="00186C9B">
          <w:rPr>
            <w:webHidden/>
          </w:rPr>
          <w:instrText xml:space="preserve"> PAGEREF _Toc188628657 \h </w:instrText>
        </w:r>
        <w:r w:rsidR="00186C9B">
          <w:rPr>
            <w:webHidden/>
          </w:rPr>
        </w:r>
        <w:r w:rsidR="00186C9B">
          <w:rPr>
            <w:webHidden/>
          </w:rPr>
          <w:fldChar w:fldCharType="separate"/>
        </w:r>
        <w:r w:rsidR="005C3545">
          <w:rPr>
            <w:webHidden/>
          </w:rPr>
          <w:t>2</w:t>
        </w:r>
        <w:r w:rsidR="00186C9B">
          <w:rPr>
            <w:webHidden/>
          </w:rPr>
          <w:fldChar w:fldCharType="end"/>
        </w:r>
      </w:hyperlink>
    </w:p>
    <w:p w14:paraId="56A64AD7" w14:textId="45967A18" w:rsidR="00186C9B" w:rsidRDefault="00E04BE9">
      <w:pPr>
        <w:pStyle w:val="TOC1"/>
        <w:rPr>
          <w:rFonts w:eastAsiaTheme="minorEastAsia"/>
          <w:b w:val="0"/>
          <w:sz w:val="24"/>
          <w:lang w:eastAsia="en-AU"/>
        </w:rPr>
      </w:pPr>
      <w:hyperlink w:anchor="_Toc188628658" w:history="1">
        <w:r w:rsidR="00186C9B" w:rsidRPr="00676DBB">
          <w:rPr>
            <w:rStyle w:val="Hyperlink"/>
          </w:rPr>
          <w:t>5</w:t>
        </w:r>
        <w:r w:rsidR="00186C9B">
          <w:rPr>
            <w:rFonts w:eastAsiaTheme="minorEastAsia"/>
            <w:b w:val="0"/>
            <w:sz w:val="24"/>
            <w:lang w:eastAsia="en-AU"/>
          </w:rPr>
          <w:tab/>
        </w:r>
        <w:r w:rsidR="00186C9B" w:rsidRPr="00676DBB">
          <w:rPr>
            <w:rStyle w:val="Hyperlink"/>
          </w:rPr>
          <w:t>Communications and Online Presence</w:t>
        </w:r>
        <w:r w:rsidR="00186C9B">
          <w:rPr>
            <w:webHidden/>
          </w:rPr>
          <w:tab/>
        </w:r>
        <w:r w:rsidR="00186C9B">
          <w:rPr>
            <w:webHidden/>
          </w:rPr>
          <w:fldChar w:fldCharType="begin"/>
        </w:r>
        <w:r w:rsidR="00186C9B">
          <w:rPr>
            <w:webHidden/>
          </w:rPr>
          <w:instrText xml:space="preserve"> PAGEREF _Toc188628658 \h </w:instrText>
        </w:r>
        <w:r w:rsidR="00186C9B">
          <w:rPr>
            <w:webHidden/>
          </w:rPr>
        </w:r>
        <w:r w:rsidR="00186C9B">
          <w:rPr>
            <w:webHidden/>
          </w:rPr>
          <w:fldChar w:fldCharType="separate"/>
        </w:r>
        <w:r w:rsidR="005C3545">
          <w:rPr>
            <w:webHidden/>
          </w:rPr>
          <w:t>2</w:t>
        </w:r>
        <w:r w:rsidR="00186C9B">
          <w:rPr>
            <w:webHidden/>
          </w:rPr>
          <w:fldChar w:fldCharType="end"/>
        </w:r>
      </w:hyperlink>
    </w:p>
    <w:p w14:paraId="44920B06" w14:textId="2261F212" w:rsidR="00186C9B" w:rsidRDefault="00E04BE9">
      <w:pPr>
        <w:pStyle w:val="TOC2"/>
        <w:rPr>
          <w:rFonts w:eastAsiaTheme="minorEastAsia"/>
          <w:sz w:val="24"/>
          <w:lang w:eastAsia="en-AU"/>
        </w:rPr>
      </w:pPr>
      <w:hyperlink w:anchor="_Toc188628659" w:history="1">
        <w:r w:rsidR="00186C9B" w:rsidRPr="00676DBB">
          <w:rPr>
            <w:rStyle w:val="Hyperlink"/>
          </w:rPr>
          <w:t>5.1</w:t>
        </w:r>
        <w:r w:rsidR="00186C9B">
          <w:rPr>
            <w:rFonts w:eastAsiaTheme="minorEastAsia"/>
            <w:sz w:val="24"/>
            <w:lang w:eastAsia="en-AU"/>
          </w:rPr>
          <w:tab/>
        </w:r>
        <w:r w:rsidR="00186C9B" w:rsidRPr="00676DBB">
          <w:rPr>
            <w:rStyle w:val="Hyperlink"/>
          </w:rPr>
          <w:t>LinkedIn profile</w:t>
        </w:r>
        <w:r w:rsidR="00186C9B">
          <w:rPr>
            <w:webHidden/>
          </w:rPr>
          <w:tab/>
        </w:r>
        <w:r w:rsidR="00186C9B">
          <w:rPr>
            <w:webHidden/>
          </w:rPr>
          <w:fldChar w:fldCharType="begin"/>
        </w:r>
        <w:r w:rsidR="00186C9B">
          <w:rPr>
            <w:webHidden/>
          </w:rPr>
          <w:instrText xml:space="preserve"> PAGEREF _Toc188628659 \h </w:instrText>
        </w:r>
        <w:r w:rsidR="00186C9B">
          <w:rPr>
            <w:webHidden/>
          </w:rPr>
        </w:r>
        <w:r w:rsidR="00186C9B">
          <w:rPr>
            <w:webHidden/>
          </w:rPr>
          <w:fldChar w:fldCharType="separate"/>
        </w:r>
        <w:r w:rsidR="005C3545">
          <w:rPr>
            <w:webHidden/>
          </w:rPr>
          <w:t>2</w:t>
        </w:r>
        <w:r w:rsidR="00186C9B">
          <w:rPr>
            <w:webHidden/>
          </w:rPr>
          <w:fldChar w:fldCharType="end"/>
        </w:r>
      </w:hyperlink>
    </w:p>
    <w:p w14:paraId="31BDB4C1" w14:textId="195F8CD4" w:rsidR="00186C9B" w:rsidRDefault="00E04BE9">
      <w:pPr>
        <w:pStyle w:val="TOC2"/>
        <w:rPr>
          <w:rFonts w:eastAsiaTheme="minorEastAsia"/>
          <w:sz w:val="24"/>
          <w:lang w:eastAsia="en-AU"/>
        </w:rPr>
      </w:pPr>
      <w:hyperlink w:anchor="_Toc188628660" w:history="1">
        <w:r w:rsidR="00186C9B" w:rsidRPr="00676DBB">
          <w:rPr>
            <w:rStyle w:val="Hyperlink"/>
          </w:rPr>
          <w:t>5.2</w:t>
        </w:r>
        <w:r w:rsidR="00186C9B">
          <w:rPr>
            <w:rFonts w:eastAsiaTheme="minorEastAsia"/>
            <w:sz w:val="24"/>
            <w:lang w:eastAsia="en-AU"/>
          </w:rPr>
          <w:tab/>
        </w:r>
        <w:r w:rsidR="00186C9B" w:rsidRPr="00676DBB">
          <w:rPr>
            <w:rStyle w:val="Hyperlink"/>
          </w:rPr>
          <w:t>SURGE website</w:t>
        </w:r>
        <w:r w:rsidR="00186C9B">
          <w:rPr>
            <w:webHidden/>
          </w:rPr>
          <w:tab/>
        </w:r>
        <w:r w:rsidR="00186C9B">
          <w:rPr>
            <w:webHidden/>
          </w:rPr>
          <w:fldChar w:fldCharType="begin"/>
        </w:r>
        <w:r w:rsidR="00186C9B">
          <w:rPr>
            <w:webHidden/>
          </w:rPr>
          <w:instrText xml:space="preserve"> PAGEREF _Toc188628660 \h </w:instrText>
        </w:r>
        <w:r w:rsidR="00186C9B">
          <w:rPr>
            <w:webHidden/>
          </w:rPr>
        </w:r>
        <w:r w:rsidR="00186C9B">
          <w:rPr>
            <w:webHidden/>
          </w:rPr>
          <w:fldChar w:fldCharType="separate"/>
        </w:r>
        <w:r w:rsidR="005C3545">
          <w:rPr>
            <w:webHidden/>
          </w:rPr>
          <w:t>2</w:t>
        </w:r>
        <w:r w:rsidR="00186C9B">
          <w:rPr>
            <w:webHidden/>
          </w:rPr>
          <w:fldChar w:fldCharType="end"/>
        </w:r>
      </w:hyperlink>
    </w:p>
    <w:p w14:paraId="55CC2634" w14:textId="01861446" w:rsidR="00186C9B" w:rsidRDefault="00E04BE9">
      <w:pPr>
        <w:pStyle w:val="TOC2"/>
        <w:rPr>
          <w:rFonts w:eastAsiaTheme="minorEastAsia"/>
          <w:sz w:val="24"/>
          <w:lang w:eastAsia="en-AU"/>
        </w:rPr>
      </w:pPr>
      <w:hyperlink w:anchor="_Toc188628661" w:history="1">
        <w:r w:rsidR="00186C9B" w:rsidRPr="00676DBB">
          <w:rPr>
            <w:rStyle w:val="Hyperlink"/>
          </w:rPr>
          <w:t>5.3</w:t>
        </w:r>
        <w:r w:rsidR="00186C9B">
          <w:rPr>
            <w:rFonts w:eastAsiaTheme="minorEastAsia"/>
            <w:sz w:val="24"/>
            <w:lang w:eastAsia="en-AU"/>
          </w:rPr>
          <w:tab/>
        </w:r>
        <w:r w:rsidR="00186C9B" w:rsidRPr="00676DBB">
          <w:rPr>
            <w:rStyle w:val="Hyperlink"/>
          </w:rPr>
          <w:t>Communications</w:t>
        </w:r>
        <w:r w:rsidR="00186C9B">
          <w:rPr>
            <w:webHidden/>
          </w:rPr>
          <w:tab/>
        </w:r>
        <w:r w:rsidR="00186C9B">
          <w:rPr>
            <w:webHidden/>
          </w:rPr>
          <w:fldChar w:fldCharType="begin"/>
        </w:r>
        <w:r w:rsidR="00186C9B">
          <w:rPr>
            <w:webHidden/>
          </w:rPr>
          <w:instrText xml:space="preserve"> PAGEREF _Toc188628661 \h </w:instrText>
        </w:r>
        <w:r w:rsidR="00186C9B">
          <w:rPr>
            <w:webHidden/>
          </w:rPr>
        </w:r>
        <w:r w:rsidR="00186C9B">
          <w:rPr>
            <w:webHidden/>
          </w:rPr>
          <w:fldChar w:fldCharType="separate"/>
        </w:r>
        <w:r w:rsidR="005C3545">
          <w:rPr>
            <w:webHidden/>
          </w:rPr>
          <w:t>2</w:t>
        </w:r>
        <w:r w:rsidR="00186C9B">
          <w:rPr>
            <w:webHidden/>
          </w:rPr>
          <w:fldChar w:fldCharType="end"/>
        </w:r>
      </w:hyperlink>
    </w:p>
    <w:p w14:paraId="13E28DC8" w14:textId="7D72A035" w:rsidR="00186C9B" w:rsidRDefault="00E04BE9">
      <w:pPr>
        <w:pStyle w:val="TOC1"/>
        <w:rPr>
          <w:rFonts w:eastAsiaTheme="minorEastAsia"/>
          <w:b w:val="0"/>
          <w:sz w:val="24"/>
          <w:lang w:eastAsia="en-AU"/>
        </w:rPr>
      </w:pPr>
      <w:hyperlink w:anchor="_Toc188628662" w:history="1">
        <w:r w:rsidR="00186C9B" w:rsidRPr="00676DBB">
          <w:rPr>
            <w:rStyle w:val="Hyperlink"/>
          </w:rPr>
          <w:t>6</w:t>
        </w:r>
        <w:r w:rsidR="00186C9B">
          <w:rPr>
            <w:rFonts w:eastAsiaTheme="minorEastAsia"/>
            <w:b w:val="0"/>
            <w:sz w:val="24"/>
            <w:lang w:eastAsia="en-AU"/>
          </w:rPr>
          <w:tab/>
        </w:r>
        <w:r w:rsidR="00186C9B" w:rsidRPr="00676DBB">
          <w:rPr>
            <w:rStyle w:val="Hyperlink"/>
          </w:rPr>
          <w:t>Monitoring, Evaluation and Learning</w:t>
        </w:r>
        <w:r w:rsidR="00186C9B">
          <w:rPr>
            <w:webHidden/>
          </w:rPr>
          <w:tab/>
        </w:r>
        <w:r w:rsidR="00186C9B">
          <w:rPr>
            <w:webHidden/>
          </w:rPr>
          <w:fldChar w:fldCharType="begin"/>
        </w:r>
        <w:r w:rsidR="00186C9B">
          <w:rPr>
            <w:webHidden/>
          </w:rPr>
          <w:instrText xml:space="preserve"> PAGEREF _Toc188628662 \h </w:instrText>
        </w:r>
        <w:r w:rsidR="00186C9B">
          <w:rPr>
            <w:webHidden/>
          </w:rPr>
        </w:r>
        <w:r w:rsidR="00186C9B">
          <w:rPr>
            <w:webHidden/>
          </w:rPr>
          <w:fldChar w:fldCharType="separate"/>
        </w:r>
        <w:r w:rsidR="005C3545">
          <w:rPr>
            <w:webHidden/>
          </w:rPr>
          <w:t>3</w:t>
        </w:r>
        <w:r w:rsidR="00186C9B">
          <w:rPr>
            <w:webHidden/>
          </w:rPr>
          <w:fldChar w:fldCharType="end"/>
        </w:r>
      </w:hyperlink>
    </w:p>
    <w:p w14:paraId="7565F2EA" w14:textId="0C3753E3" w:rsidR="00186C9B" w:rsidRDefault="00E04BE9">
      <w:pPr>
        <w:pStyle w:val="TOC1"/>
        <w:rPr>
          <w:rFonts w:eastAsiaTheme="minorEastAsia"/>
          <w:b w:val="0"/>
          <w:sz w:val="24"/>
          <w:lang w:eastAsia="en-AU"/>
        </w:rPr>
      </w:pPr>
      <w:hyperlink w:anchor="_Toc188628663" w:history="1">
        <w:r w:rsidR="00186C9B" w:rsidRPr="00676DBB">
          <w:rPr>
            <w:rStyle w:val="Hyperlink"/>
          </w:rPr>
          <w:t>7</w:t>
        </w:r>
        <w:r w:rsidR="00186C9B">
          <w:rPr>
            <w:rFonts w:eastAsiaTheme="minorEastAsia"/>
            <w:b w:val="0"/>
            <w:sz w:val="24"/>
            <w:lang w:eastAsia="en-AU"/>
          </w:rPr>
          <w:tab/>
        </w:r>
        <w:r w:rsidR="00186C9B" w:rsidRPr="00676DBB">
          <w:rPr>
            <w:rStyle w:val="Hyperlink"/>
          </w:rPr>
          <w:t>Risk Management</w:t>
        </w:r>
        <w:r w:rsidR="00186C9B">
          <w:rPr>
            <w:webHidden/>
          </w:rPr>
          <w:tab/>
        </w:r>
        <w:r w:rsidR="00186C9B">
          <w:rPr>
            <w:webHidden/>
          </w:rPr>
          <w:fldChar w:fldCharType="begin"/>
        </w:r>
        <w:r w:rsidR="00186C9B">
          <w:rPr>
            <w:webHidden/>
          </w:rPr>
          <w:instrText xml:space="preserve"> PAGEREF _Toc188628663 \h </w:instrText>
        </w:r>
        <w:r w:rsidR="00186C9B">
          <w:rPr>
            <w:webHidden/>
          </w:rPr>
        </w:r>
        <w:r w:rsidR="00186C9B">
          <w:rPr>
            <w:webHidden/>
          </w:rPr>
          <w:fldChar w:fldCharType="separate"/>
        </w:r>
        <w:r w:rsidR="005C3545">
          <w:rPr>
            <w:webHidden/>
          </w:rPr>
          <w:t>3</w:t>
        </w:r>
        <w:r w:rsidR="00186C9B">
          <w:rPr>
            <w:webHidden/>
          </w:rPr>
          <w:fldChar w:fldCharType="end"/>
        </w:r>
      </w:hyperlink>
    </w:p>
    <w:p w14:paraId="6FD63696" w14:textId="6325033A" w:rsidR="00F97472" w:rsidRPr="00F97472" w:rsidRDefault="00F97472" w:rsidP="00F97472">
      <w:r>
        <w:fldChar w:fldCharType="end"/>
      </w:r>
    </w:p>
    <w:p w14:paraId="435B6C88" w14:textId="72F227B7" w:rsidR="00740960" w:rsidRDefault="00740960" w:rsidP="00740960">
      <w:pPr>
        <w:pStyle w:val="TOCHeading"/>
      </w:pPr>
      <w:r>
        <w:t xml:space="preserve">Tables </w:t>
      </w:r>
    </w:p>
    <w:p w14:paraId="598EA5F6" w14:textId="110727CD" w:rsidR="00186C9B" w:rsidRDefault="00740960">
      <w:pPr>
        <w:pStyle w:val="TableofFigures"/>
        <w:tabs>
          <w:tab w:val="left" w:pos="1200"/>
          <w:tab w:val="right" w:leader="dot" w:pos="9628"/>
        </w:tabs>
        <w:rPr>
          <w:rFonts w:eastAsiaTheme="minorEastAsia"/>
          <w:noProof/>
          <w:lang w:eastAsia="en-AU"/>
        </w:rPr>
      </w:pPr>
      <w:r>
        <w:fldChar w:fldCharType="begin"/>
      </w:r>
      <w:r>
        <w:instrText xml:space="preserve"> TOC \h \z \c "Table" </w:instrText>
      </w:r>
      <w:r>
        <w:fldChar w:fldCharType="separate"/>
      </w:r>
      <w:hyperlink w:anchor="_Toc188628664" w:history="1">
        <w:r w:rsidR="00186C9B" w:rsidRPr="001F1F47">
          <w:rPr>
            <w:rStyle w:val="Hyperlink"/>
            <w:noProof/>
          </w:rPr>
          <w:t>Table 1</w:t>
        </w:r>
        <w:r w:rsidR="00186C9B">
          <w:rPr>
            <w:rFonts w:eastAsiaTheme="minorEastAsia"/>
            <w:noProof/>
            <w:lang w:eastAsia="en-AU"/>
          </w:rPr>
          <w:tab/>
        </w:r>
        <w:r w:rsidR="00186C9B" w:rsidRPr="001F1F47">
          <w:rPr>
            <w:rStyle w:val="Hyperlink"/>
            <w:noProof/>
          </w:rPr>
          <w:t>Schedule for closure phase</w:t>
        </w:r>
        <w:r w:rsidR="00186C9B">
          <w:rPr>
            <w:noProof/>
            <w:webHidden/>
          </w:rPr>
          <w:tab/>
        </w:r>
        <w:r w:rsidR="00186C9B">
          <w:rPr>
            <w:noProof/>
            <w:webHidden/>
          </w:rPr>
          <w:fldChar w:fldCharType="begin"/>
        </w:r>
        <w:r w:rsidR="00186C9B">
          <w:rPr>
            <w:noProof/>
            <w:webHidden/>
          </w:rPr>
          <w:instrText xml:space="preserve"> PAGEREF _Toc188628664 \h </w:instrText>
        </w:r>
        <w:r w:rsidR="00186C9B">
          <w:rPr>
            <w:noProof/>
            <w:webHidden/>
          </w:rPr>
        </w:r>
        <w:r w:rsidR="00186C9B">
          <w:rPr>
            <w:noProof/>
            <w:webHidden/>
          </w:rPr>
          <w:fldChar w:fldCharType="separate"/>
        </w:r>
        <w:r w:rsidR="005C3545">
          <w:rPr>
            <w:noProof/>
            <w:webHidden/>
          </w:rPr>
          <w:t>1</w:t>
        </w:r>
        <w:r w:rsidR="00186C9B">
          <w:rPr>
            <w:noProof/>
            <w:webHidden/>
          </w:rPr>
          <w:fldChar w:fldCharType="end"/>
        </w:r>
      </w:hyperlink>
    </w:p>
    <w:p w14:paraId="5081AC2D" w14:textId="2E32D811" w:rsidR="00186C9B" w:rsidRDefault="00E04BE9">
      <w:pPr>
        <w:pStyle w:val="TableofFigures"/>
        <w:tabs>
          <w:tab w:val="left" w:pos="1200"/>
          <w:tab w:val="right" w:leader="dot" w:pos="9628"/>
        </w:tabs>
        <w:rPr>
          <w:rFonts w:eastAsiaTheme="minorEastAsia"/>
          <w:noProof/>
          <w:lang w:eastAsia="en-AU"/>
        </w:rPr>
      </w:pPr>
      <w:hyperlink w:anchor="_Toc188628665" w:history="1">
        <w:r w:rsidR="00186C9B" w:rsidRPr="001F1F47">
          <w:rPr>
            <w:rStyle w:val="Hyperlink"/>
            <w:noProof/>
          </w:rPr>
          <w:t>Table 2</w:t>
        </w:r>
        <w:r w:rsidR="00186C9B">
          <w:rPr>
            <w:rFonts w:eastAsiaTheme="minorEastAsia"/>
            <w:noProof/>
            <w:lang w:eastAsia="en-AU"/>
          </w:rPr>
          <w:tab/>
        </w:r>
        <w:r w:rsidR="00186C9B" w:rsidRPr="001F1F47">
          <w:rPr>
            <w:rStyle w:val="Hyperlink"/>
            <w:noProof/>
          </w:rPr>
          <w:t>SURGE communications</w:t>
        </w:r>
        <w:r w:rsidR="00186C9B">
          <w:rPr>
            <w:noProof/>
            <w:webHidden/>
          </w:rPr>
          <w:tab/>
        </w:r>
        <w:r w:rsidR="00186C9B">
          <w:rPr>
            <w:noProof/>
            <w:webHidden/>
          </w:rPr>
          <w:fldChar w:fldCharType="begin"/>
        </w:r>
        <w:r w:rsidR="00186C9B">
          <w:rPr>
            <w:noProof/>
            <w:webHidden/>
          </w:rPr>
          <w:instrText xml:space="preserve"> PAGEREF _Toc188628665 \h </w:instrText>
        </w:r>
        <w:r w:rsidR="00186C9B">
          <w:rPr>
            <w:noProof/>
            <w:webHidden/>
          </w:rPr>
        </w:r>
        <w:r w:rsidR="00186C9B">
          <w:rPr>
            <w:noProof/>
            <w:webHidden/>
          </w:rPr>
          <w:fldChar w:fldCharType="separate"/>
        </w:r>
        <w:r w:rsidR="005C3545">
          <w:rPr>
            <w:noProof/>
            <w:webHidden/>
          </w:rPr>
          <w:t>3</w:t>
        </w:r>
        <w:r w:rsidR="00186C9B">
          <w:rPr>
            <w:noProof/>
            <w:webHidden/>
          </w:rPr>
          <w:fldChar w:fldCharType="end"/>
        </w:r>
      </w:hyperlink>
    </w:p>
    <w:p w14:paraId="19B72413" w14:textId="2F471B79" w:rsidR="00186C9B" w:rsidRDefault="00E04BE9">
      <w:pPr>
        <w:pStyle w:val="TableofFigures"/>
        <w:tabs>
          <w:tab w:val="left" w:pos="1200"/>
          <w:tab w:val="right" w:leader="dot" w:pos="9628"/>
        </w:tabs>
        <w:rPr>
          <w:rFonts w:eastAsiaTheme="minorEastAsia"/>
          <w:noProof/>
          <w:lang w:eastAsia="en-AU"/>
        </w:rPr>
      </w:pPr>
      <w:hyperlink w:anchor="_Toc188628666" w:history="1">
        <w:r w:rsidR="00186C9B" w:rsidRPr="001F1F47">
          <w:rPr>
            <w:rStyle w:val="Hyperlink"/>
            <w:noProof/>
          </w:rPr>
          <w:t>Table 3</w:t>
        </w:r>
        <w:r w:rsidR="00186C9B">
          <w:rPr>
            <w:rFonts w:eastAsiaTheme="minorEastAsia"/>
            <w:noProof/>
            <w:lang w:eastAsia="en-AU"/>
          </w:rPr>
          <w:tab/>
        </w:r>
        <w:r w:rsidR="00186C9B" w:rsidRPr="001F1F47">
          <w:rPr>
            <w:rStyle w:val="Hyperlink"/>
            <w:noProof/>
          </w:rPr>
          <w:t>GEB communications</w:t>
        </w:r>
        <w:r w:rsidR="00186C9B">
          <w:rPr>
            <w:noProof/>
            <w:webHidden/>
          </w:rPr>
          <w:tab/>
        </w:r>
        <w:r w:rsidR="00186C9B">
          <w:rPr>
            <w:noProof/>
            <w:webHidden/>
          </w:rPr>
          <w:fldChar w:fldCharType="begin"/>
        </w:r>
        <w:r w:rsidR="00186C9B">
          <w:rPr>
            <w:noProof/>
            <w:webHidden/>
          </w:rPr>
          <w:instrText xml:space="preserve"> PAGEREF _Toc188628666 \h </w:instrText>
        </w:r>
        <w:r w:rsidR="00186C9B">
          <w:rPr>
            <w:noProof/>
            <w:webHidden/>
          </w:rPr>
        </w:r>
        <w:r w:rsidR="00186C9B">
          <w:rPr>
            <w:noProof/>
            <w:webHidden/>
          </w:rPr>
          <w:fldChar w:fldCharType="separate"/>
        </w:r>
        <w:r w:rsidR="005C3545">
          <w:rPr>
            <w:noProof/>
            <w:webHidden/>
          </w:rPr>
          <w:t>3</w:t>
        </w:r>
        <w:r w:rsidR="00186C9B">
          <w:rPr>
            <w:noProof/>
            <w:webHidden/>
          </w:rPr>
          <w:fldChar w:fldCharType="end"/>
        </w:r>
      </w:hyperlink>
    </w:p>
    <w:p w14:paraId="1FD75042" w14:textId="21EFABB2" w:rsidR="00BD6457" w:rsidRDefault="00740960">
      <w:pPr>
        <w:rPr>
          <w:rFonts w:asciiTheme="majorHAnsi" w:eastAsiaTheme="majorEastAsia" w:hAnsiTheme="majorHAnsi" w:cstheme="majorBidi"/>
          <w:color w:val="E97132" w:themeColor="accent2"/>
          <w:kern w:val="0"/>
          <w:sz w:val="32"/>
          <w:szCs w:val="32"/>
          <w14:ligatures w14:val="none"/>
        </w:rPr>
      </w:pPr>
      <w:r>
        <w:fldChar w:fldCharType="end"/>
      </w:r>
      <w:r w:rsidR="00BD6457">
        <w:br w:type="page"/>
      </w:r>
    </w:p>
    <w:p w14:paraId="09F70F4A" w14:textId="0CCC975C" w:rsidR="006965F5" w:rsidRPr="00BD6457" w:rsidRDefault="006965F5" w:rsidP="00BD6457">
      <w:pPr>
        <w:pStyle w:val="TOCHeading"/>
      </w:pPr>
      <w:r w:rsidRPr="00BD6457">
        <w:lastRenderedPageBreak/>
        <w:t>Acronyms and Abbreviations</w:t>
      </w:r>
    </w:p>
    <w:p w14:paraId="576756ED" w14:textId="77777777" w:rsidR="006965F5" w:rsidRPr="00BD6457" w:rsidRDefault="006965F5" w:rsidP="00BD6457">
      <w:pPr>
        <w:pStyle w:val="BodyText"/>
        <w:tabs>
          <w:tab w:val="left" w:pos="1134"/>
        </w:tabs>
      </w:pPr>
      <w:r w:rsidRPr="00BD6457">
        <w:t>DFAT</w:t>
      </w:r>
      <w:r w:rsidRPr="00BD6457">
        <w:tab/>
        <w:t>Department of Foreign Affairs and Trade</w:t>
      </w:r>
    </w:p>
    <w:p w14:paraId="327EB962" w14:textId="77777777" w:rsidR="006965F5" w:rsidRPr="00BD6457" w:rsidRDefault="006965F5" w:rsidP="00BD6457">
      <w:pPr>
        <w:pStyle w:val="BodyText"/>
        <w:tabs>
          <w:tab w:val="left" w:pos="1134"/>
        </w:tabs>
      </w:pPr>
      <w:r w:rsidRPr="00BD6457">
        <w:t>FIMR</w:t>
      </w:r>
      <w:r w:rsidRPr="00BD6457">
        <w:tab/>
        <w:t>Final Investment Monitoring Report</w:t>
      </w:r>
    </w:p>
    <w:p w14:paraId="429AC509" w14:textId="77777777" w:rsidR="006965F5" w:rsidRPr="00BD6457" w:rsidRDefault="006965F5" w:rsidP="00BD6457">
      <w:pPr>
        <w:pStyle w:val="BodyText"/>
        <w:tabs>
          <w:tab w:val="left" w:pos="1134"/>
        </w:tabs>
      </w:pPr>
      <w:r w:rsidRPr="00BD6457">
        <w:t>GEB</w:t>
      </w:r>
      <w:r w:rsidRPr="00BD6457">
        <w:tab/>
        <w:t>Gender Equality, Disability and Social Inclusion Branch</w:t>
      </w:r>
    </w:p>
    <w:p w14:paraId="4685BB58" w14:textId="77777777" w:rsidR="006965F5" w:rsidRPr="00BD6457" w:rsidRDefault="006965F5" w:rsidP="00BD6457">
      <w:pPr>
        <w:pStyle w:val="BodyText"/>
        <w:tabs>
          <w:tab w:val="left" w:pos="1134"/>
        </w:tabs>
      </w:pPr>
      <w:r w:rsidRPr="00BD6457">
        <w:t>GEDSI</w:t>
      </w:r>
      <w:r w:rsidRPr="00BD6457">
        <w:tab/>
        <w:t>Gender Equality, Disability and Social Inclusion</w:t>
      </w:r>
    </w:p>
    <w:p w14:paraId="1370E6FA" w14:textId="77777777" w:rsidR="006965F5" w:rsidRPr="00BD6457" w:rsidRDefault="006965F5" w:rsidP="00BD6457">
      <w:pPr>
        <w:pStyle w:val="BodyText"/>
        <w:tabs>
          <w:tab w:val="left" w:pos="1134"/>
        </w:tabs>
      </w:pPr>
      <w:r w:rsidRPr="00BD6457">
        <w:t>IMR</w:t>
      </w:r>
      <w:r w:rsidRPr="00BD6457">
        <w:tab/>
        <w:t>Investment Monitoring Report</w:t>
      </w:r>
    </w:p>
    <w:p w14:paraId="6D59CDA6" w14:textId="77777777" w:rsidR="006965F5" w:rsidRPr="00BD6457" w:rsidRDefault="006965F5" w:rsidP="00BD6457">
      <w:pPr>
        <w:pStyle w:val="BodyText"/>
        <w:tabs>
          <w:tab w:val="left" w:pos="1134"/>
        </w:tabs>
      </w:pPr>
      <w:r w:rsidRPr="00BD6457">
        <w:t>MEL</w:t>
      </w:r>
      <w:r w:rsidRPr="00BD6457">
        <w:tab/>
        <w:t xml:space="preserve">Monitoring, Evaluation, and Learning </w:t>
      </w:r>
    </w:p>
    <w:p w14:paraId="7C57814F" w14:textId="7B763495" w:rsidR="002D40A3" w:rsidRDefault="002D40A3" w:rsidP="00BD6457">
      <w:pPr>
        <w:pStyle w:val="BodyText"/>
        <w:tabs>
          <w:tab w:val="left" w:pos="1134"/>
        </w:tabs>
      </w:pPr>
      <w:r>
        <w:t>PBR</w:t>
      </w:r>
      <w:r>
        <w:tab/>
        <w:t>Payment By Results</w:t>
      </w:r>
    </w:p>
    <w:p w14:paraId="1E9086CD" w14:textId="75ACAC36" w:rsidR="006965F5" w:rsidRPr="00BD6457" w:rsidRDefault="006965F5" w:rsidP="00BD6457">
      <w:pPr>
        <w:pStyle w:val="BodyText"/>
        <w:tabs>
          <w:tab w:val="left" w:pos="1134"/>
        </w:tabs>
      </w:pPr>
      <w:r w:rsidRPr="00BD6457">
        <w:t>SURGE</w:t>
      </w:r>
      <w:r w:rsidRPr="00BD6457">
        <w:tab/>
        <w:t>Support Unit for Gender Equality</w:t>
      </w:r>
    </w:p>
    <w:p w14:paraId="29902FE7" w14:textId="77777777" w:rsidR="006965F5" w:rsidRPr="00BD6457" w:rsidRDefault="006965F5" w:rsidP="00BD6457">
      <w:pPr>
        <w:pStyle w:val="BodyText"/>
        <w:tabs>
          <w:tab w:val="left" w:pos="1134"/>
        </w:tabs>
      </w:pPr>
      <w:r w:rsidRPr="00BD6457">
        <w:t>TA</w:t>
      </w:r>
      <w:r w:rsidRPr="00BD6457">
        <w:tab/>
        <w:t>Technical Advice</w:t>
      </w:r>
    </w:p>
    <w:p w14:paraId="687951E8" w14:textId="77777777" w:rsidR="00740960" w:rsidRDefault="007D55F7">
      <w:pPr>
        <w:sectPr w:rsidR="00740960" w:rsidSect="00740960">
          <w:footerReference w:type="default" r:id="rId8"/>
          <w:headerReference w:type="first" r:id="rId9"/>
          <w:pgSz w:w="11906" w:h="16838" w:code="9"/>
          <w:pgMar w:top="1134" w:right="1134" w:bottom="1134" w:left="1134" w:header="567" w:footer="567" w:gutter="0"/>
          <w:pgNumType w:fmt="lowerRoman" w:start="1"/>
          <w:cols w:space="708"/>
          <w:titlePg/>
          <w:docGrid w:linePitch="360"/>
        </w:sectPr>
      </w:pPr>
      <w:r>
        <w:br w:type="page"/>
      </w:r>
    </w:p>
    <w:p w14:paraId="050C65E3" w14:textId="26395A76" w:rsidR="007053D9" w:rsidRPr="00BD6457" w:rsidRDefault="002F2537" w:rsidP="00BD6457">
      <w:pPr>
        <w:pStyle w:val="Heading1"/>
      </w:pPr>
      <w:bookmarkStart w:id="0" w:name="_Toc188628653"/>
      <w:r w:rsidRPr="00BD6457">
        <w:lastRenderedPageBreak/>
        <w:t>Introduction</w:t>
      </w:r>
      <w:bookmarkEnd w:id="0"/>
    </w:p>
    <w:p w14:paraId="49C00AD6" w14:textId="4710292E" w:rsidR="00ED730C" w:rsidRDefault="005825B6" w:rsidP="00BD6457">
      <w:pPr>
        <w:pStyle w:val="BodyText"/>
      </w:pPr>
      <w:r>
        <w:t xml:space="preserve">The </w:t>
      </w:r>
      <w:r w:rsidRPr="00D95316">
        <w:t xml:space="preserve">Support Unit for Gender Equality </w:t>
      </w:r>
      <w:r>
        <w:t>(</w:t>
      </w:r>
      <w:r w:rsidR="00807123">
        <w:t>SURGE</w:t>
      </w:r>
      <w:r>
        <w:t>)</w:t>
      </w:r>
      <w:r w:rsidR="00807123">
        <w:t xml:space="preserve">, which has been in operation since July 2022, is scheduled to </w:t>
      </w:r>
      <w:r w:rsidR="008C5792">
        <w:t>end</w:t>
      </w:r>
      <w:r w:rsidR="00ED730C">
        <w:t xml:space="preserve"> </w:t>
      </w:r>
      <w:r w:rsidR="000358E1">
        <w:t>17</w:t>
      </w:r>
      <w:r w:rsidR="008C5792">
        <w:t xml:space="preserve"> </w:t>
      </w:r>
      <w:r w:rsidR="00ED730C">
        <w:t>July 2025</w:t>
      </w:r>
      <w:r w:rsidR="008857EC">
        <w:t>.</w:t>
      </w:r>
    </w:p>
    <w:p w14:paraId="2CCC8523" w14:textId="3257A37C" w:rsidR="00D95316" w:rsidRDefault="00D95316" w:rsidP="00BD6457">
      <w:pPr>
        <w:pStyle w:val="BodyText"/>
      </w:pPr>
      <w:r>
        <w:t xml:space="preserve">This </w:t>
      </w:r>
      <w:r w:rsidR="00CA0271">
        <w:t xml:space="preserve">Closure </w:t>
      </w:r>
      <w:r>
        <w:t xml:space="preserve">Plan outlines the steps SURGE </w:t>
      </w:r>
      <w:r w:rsidR="006C4375">
        <w:t>will take to effectively shut down the current program and transition services to</w:t>
      </w:r>
      <w:r w:rsidR="00514F91" w:rsidRPr="00514F91">
        <w:rPr>
          <w:rFonts w:ascii="Segoe UI" w:hAnsi="Segoe UI" w:cs="Segoe UI"/>
          <w:sz w:val="18"/>
          <w:szCs w:val="18"/>
        </w:rPr>
        <w:t xml:space="preserve"> </w:t>
      </w:r>
      <w:r w:rsidR="00E33E92">
        <w:t>t</w:t>
      </w:r>
      <w:r w:rsidR="00514F91" w:rsidRPr="00514F91">
        <w:t xml:space="preserve">he new GEDSI </w:t>
      </w:r>
      <w:r w:rsidR="00DB15AC">
        <w:t>Support Unit</w:t>
      </w:r>
      <w:r w:rsidR="00514F91" w:rsidRPr="00514F91">
        <w:t xml:space="preserve"> </w:t>
      </w:r>
      <w:r w:rsidR="006C4375">
        <w:t xml:space="preserve">during the final phase of the program. This includes </w:t>
      </w:r>
      <w:r w:rsidR="00DB15AC">
        <w:t>completing</w:t>
      </w:r>
      <w:r w:rsidR="006C4375">
        <w:t xml:space="preserve"> contractual requirements, final reporting, effective </w:t>
      </w:r>
      <w:r w:rsidR="007608B1">
        <w:t xml:space="preserve">management of </w:t>
      </w:r>
      <w:r w:rsidR="006C4375">
        <w:t xml:space="preserve">the </w:t>
      </w:r>
      <w:r w:rsidR="005721F7">
        <w:t xml:space="preserve">closure of the </w:t>
      </w:r>
      <w:r w:rsidR="006C4375">
        <w:t xml:space="preserve">SURGE panel, </w:t>
      </w:r>
      <w:r w:rsidR="001C7CCB">
        <w:t>and reconcil</w:t>
      </w:r>
      <w:r w:rsidR="00733416">
        <w:t>iation of</w:t>
      </w:r>
      <w:r w:rsidR="001C7CCB">
        <w:t xml:space="preserve"> SURGE finances</w:t>
      </w:r>
      <w:r w:rsidR="006C4375">
        <w:t>.</w:t>
      </w:r>
      <w:r w:rsidR="0000087F">
        <w:t xml:space="preserve"> </w:t>
      </w:r>
      <w:r w:rsidR="00222994">
        <w:t>This Closure Plan is a working document and will be amended as required based on changes in the operating environment. This Plan is accurate a</w:t>
      </w:r>
      <w:r w:rsidR="00421F20">
        <w:t>s of</w:t>
      </w:r>
      <w:r w:rsidR="00222994">
        <w:t xml:space="preserve"> January 2025.</w:t>
      </w:r>
    </w:p>
    <w:p w14:paraId="367E3F1E" w14:textId="770E62AA" w:rsidR="00E15287" w:rsidRPr="00FE4724" w:rsidRDefault="00E15287" w:rsidP="00BD6457">
      <w:pPr>
        <w:pStyle w:val="Heading1"/>
      </w:pPr>
      <w:bookmarkStart w:id="1" w:name="_Toc188628654"/>
      <w:r w:rsidRPr="00FE4724">
        <w:t>Program Background</w:t>
      </w:r>
      <w:bookmarkEnd w:id="1"/>
      <w:r w:rsidRPr="00FE4724">
        <w:t xml:space="preserve"> </w:t>
      </w:r>
    </w:p>
    <w:p w14:paraId="1F3A8E00" w14:textId="26CB73D2" w:rsidR="00440AEA" w:rsidRDefault="00E15287" w:rsidP="00B05178">
      <w:pPr>
        <w:pStyle w:val="BodyText"/>
      </w:pPr>
      <w:r w:rsidRPr="00D95316">
        <w:t>SURGE commenced on 18 July 2022, with the remit of providing gender technical advisory</w:t>
      </w:r>
      <w:r w:rsidR="00D2320F">
        <w:t xml:space="preserve"> (TA)</w:t>
      </w:r>
      <w:r w:rsidRPr="00D95316">
        <w:t xml:space="preserve"> services and knowledge management to DFAT in partnership with the Gender Equality, Disability, and Social Inclusion Branch (GEB). </w:t>
      </w:r>
      <w:r w:rsidR="00FE4724">
        <w:t xml:space="preserve">The investment </w:t>
      </w:r>
      <w:r w:rsidR="00FE4724" w:rsidRPr="00FE4724">
        <w:t>is a three-year, $3.6</w:t>
      </w:r>
      <w:r w:rsidR="00F97472">
        <w:t> </w:t>
      </w:r>
      <w:r w:rsidR="00FE4724" w:rsidRPr="00FE4724">
        <w:t xml:space="preserve">million program with the overall goal of improving the outcomes of Australia’s international development program on gender equality and women’s empowerment through the provision of high-quality multi-sectoral technical expertise. </w:t>
      </w:r>
      <w:r w:rsidR="00D81440" w:rsidRPr="00FE4724">
        <w:t>SURGE is managed by DT Global on behalf of DFAT.</w:t>
      </w:r>
      <w:r w:rsidR="00D81440">
        <w:t xml:space="preserve"> </w:t>
      </w:r>
      <w:bookmarkStart w:id="2" w:name="_Toc183015167"/>
      <w:bookmarkStart w:id="3" w:name="_Toc183015212"/>
      <w:bookmarkStart w:id="4" w:name="_Toc183015528"/>
      <w:bookmarkStart w:id="5" w:name="_Toc183017009"/>
      <w:bookmarkEnd w:id="2"/>
      <w:bookmarkEnd w:id="3"/>
      <w:bookmarkEnd w:id="4"/>
      <w:bookmarkEnd w:id="5"/>
      <w:r w:rsidR="007053D9" w:rsidRPr="00D95316">
        <w:t>Contextual Issues</w:t>
      </w:r>
    </w:p>
    <w:p w14:paraId="1714706C" w14:textId="4BE2C01C" w:rsidR="00440AEA" w:rsidRDefault="00A56346" w:rsidP="00BD6457">
      <w:pPr>
        <w:pStyle w:val="BodyText"/>
      </w:pPr>
      <w:r>
        <w:t>To date</w:t>
      </w:r>
      <w:r w:rsidR="00F97472">
        <w:t>,</w:t>
      </w:r>
      <w:r>
        <w:t xml:space="preserve"> </w:t>
      </w:r>
      <w:r w:rsidR="00887E4F">
        <w:t>DFAT has had separate mechanisms for accessing TA for gender equality and disability</w:t>
      </w:r>
      <w:r>
        <w:t xml:space="preserve"> equity</w:t>
      </w:r>
      <w:r w:rsidR="00887E4F">
        <w:t xml:space="preserve">. </w:t>
      </w:r>
      <w:r w:rsidR="00C1526D">
        <w:t>Both</w:t>
      </w:r>
      <w:r>
        <w:t xml:space="preserve"> mechanisms </w:t>
      </w:r>
      <w:r w:rsidR="005416D3">
        <w:t xml:space="preserve">are due to close in </w:t>
      </w:r>
      <w:r w:rsidR="00A97D9A">
        <w:t>mid-</w:t>
      </w:r>
      <w:r w:rsidR="005416D3">
        <w:t xml:space="preserve">2025, making way for a new GEDSI Support Unit that will provide DFAT access to TA on </w:t>
      </w:r>
      <w:r w:rsidR="009C46A6">
        <w:t>gender equality, disability equity and social inclusion</w:t>
      </w:r>
      <w:r w:rsidR="00B617E8">
        <w:t>, through a single mechanism</w:t>
      </w:r>
      <w:r w:rsidR="009C46A6">
        <w:t>.</w:t>
      </w:r>
    </w:p>
    <w:p w14:paraId="74DBA247" w14:textId="41C8BE00" w:rsidR="009C46A6" w:rsidRPr="00440AEA" w:rsidRDefault="00981641" w:rsidP="00BD6457">
      <w:pPr>
        <w:pStyle w:val="BodyText"/>
      </w:pPr>
      <w:r>
        <w:t>This</w:t>
      </w:r>
      <w:r w:rsidR="00D2320F">
        <w:t xml:space="preserve"> closure</w:t>
      </w:r>
      <w:r>
        <w:t xml:space="preserve"> plan </w:t>
      </w:r>
      <w:r w:rsidR="00A97D9A">
        <w:t>assumes that</w:t>
      </w:r>
      <w:r w:rsidR="00C12AB7">
        <w:t xml:space="preserve"> </w:t>
      </w:r>
      <w:r w:rsidR="004A2925">
        <w:t>the GEDSI Support Unit will be contracted by March 2025, allowing for a three</w:t>
      </w:r>
      <w:r w:rsidR="00B617E8">
        <w:t>-</w:t>
      </w:r>
      <w:r w:rsidR="004A2925">
        <w:t xml:space="preserve">month </w:t>
      </w:r>
      <w:r w:rsidR="00B617E8">
        <w:t>inception</w:t>
      </w:r>
      <w:r w:rsidR="004A2925">
        <w:t xml:space="preserve"> phase that overlaps with the </w:t>
      </w:r>
      <w:r>
        <w:t xml:space="preserve">SURGE </w:t>
      </w:r>
      <w:r w:rsidR="004A2925">
        <w:t xml:space="preserve">closure </w:t>
      </w:r>
      <w:r w:rsidR="00B617E8">
        <w:t>phase</w:t>
      </w:r>
      <w:r w:rsidR="004A2925">
        <w:t xml:space="preserve">. </w:t>
      </w:r>
      <w:r w:rsidR="00B20F2B">
        <w:t>During this overlap period</w:t>
      </w:r>
      <w:r>
        <w:t xml:space="preserve"> SURGE will </w:t>
      </w:r>
      <w:r w:rsidR="003E54C6">
        <w:t xml:space="preserve">work with </w:t>
      </w:r>
      <w:r w:rsidR="00C21098">
        <w:t xml:space="preserve">DFAT and </w:t>
      </w:r>
      <w:r w:rsidR="003E54C6">
        <w:t xml:space="preserve">the incoming </w:t>
      </w:r>
      <w:r w:rsidR="00550602">
        <w:t>support unit to transition delivery of services</w:t>
      </w:r>
      <w:r w:rsidR="001C02B3">
        <w:t xml:space="preserve"> as required</w:t>
      </w:r>
      <w:r w:rsidR="0043776F">
        <w:t>.</w:t>
      </w:r>
    </w:p>
    <w:p w14:paraId="2CA234FF" w14:textId="451A05CA" w:rsidR="004441EC" w:rsidRDefault="00FE5047" w:rsidP="00166210">
      <w:pPr>
        <w:pStyle w:val="Heading1"/>
      </w:pPr>
      <w:bookmarkStart w:id="6" w:name="_Toc188628655"/>
      <w:bookmarkStart w:id="7" w:name="_Hlk178000846"/>
      <w:r>
        <w:t xml:space="preserve">Closure </w:t>
      </w:r>
      <w:r w:rsidR="00F80EE2">
        <w:t>S</w:t>
      </w:r>
      <w:r w:rsidR="00AF3E3A">
        <w:t>chedule</w:t>
      </w:r>
      <w:bookmarkEnd w:id="6"/>
    </w:p>
    <w:p w14:paraId="3E6D6D01" w14:textId="14851A43" w:rsidR="00F2174F" w:rsidRPr="00A309A2" w:rsidRDefault="00DB614B" w:rsidP="00BD6457">
      <w:pPr>
        <w:pStyle w:val="BodyText"/>
      </w:pPr>
      <w:r>
        <w:t xml:space="preserve">The </w:t>
      </w:r>
      <w:r w:rsidR="00FE5047">
        <w:t>closure</w:t>
      </w:r>
      <w:r>
        <w:t xml:space="preserve"> </w:t>
      </w:r>
      <w:r w:rsidR="00750C22">
        <w:t>phase</w:t>
      </w:r>
      <w:r w:rsidR="008E7301">
        <w:t xml:space="preserve"> will be from April–July 2025. The </w:t>
      </w:r>
      <w:r>
        <w:t xml:space="preserve">schedule below </w:t>
      </w:r>
      <w:r w:rsidR="002A407A">
        <w:t>articulates key action</w:t>
      </w:r>
      <w:r w:rsidR="00750C22">
        <w:t xml:space="preserve"> point</w:t>
      </w:r>
      <w:r w:rsidR="002A407A">
        <w:t xml:space="preserve">s </w:t>
      </w:r>
      <w:r w:rsidR="00B76F68">
        <w:t>for</w:t>
      </w:r>
      <w:r>
        <w:t xml:space="preserve"> the</w:t>
      </w:r>
      <w:r w:rsidR="00B76F68">
        <w:t xml:space="preserve"> closure </w:t>
      </w:r>
      <w:r w:rsidR="00750C22">
        <w:t>phase</w:t>
      </w:r>
      <w:r w:rsidR="00B76F68">
        <w:t xml:space="preserve"> and</w:t>
      </w:r>
      <w:r>
        <w:t xml:space="preserve"> </w:t>
      </w:r>
      <w:r w:rsidR="003852A6">
        <w:t>a</w:t>
      </w:r>
      <w:r w:rsidR="00EC2211">
        <w:t xml:space="preserve">ctions for </w:t>
      </w:r>
      <w:r w:rsidR="003852A6">
        <w:t>transition</w:t>
      </w:r>
      <w:r w:rsidR="00EC2211">
        <w:t xml:space="preserve">ing </w:t>
      </w:r>
      <w:r w:rsidR="000D5318">
        <w:t xml:space="preserve">services to the new </w:t>
      </w:r>
      <w:r w:rsidR="008E7301">
        <w:t>Support Unit</w:t>
      </w:r>
      <w:r w:rsidR="000D5318">
        <w:t xml:space="preserve">. </w:t>
      </w:r>
      <w:r w:rsidR="003852A6">
        <w:t xml:space="preserve">This includes </w:t>
      </w:r>
      <w:r w:rsidR="000D5318">
        <w:t>closure dates for TA</w:t>
      </w:r>
      <w:r w:rsidR="00011DBB">
        <w:t xml:space="preserve"> and</w:t>
      </w:r>
      <w:r w:rsidR="00401E1F">
        <w:t xml:space="preserve"> timing for</w:t>
      </w:r>
      <w:r w:rsidR="000D5318">
        <w:t xml:space="preserve"> key communication </w:t>
      </w:r>
      <w:r w:rsidR="00401E1F">
        <w:t>actions</w:t>
      </w:r>
      <w:r w:rsidR="000D5318">
        <w:t>, governance</w:t>
      </w:r>
      <w:r w:rsidR="00401E1F">
        <w:t xml:space="preserve">, reporting </w:t>
      </w:r>
      <w:r w:rsidR="000D5318">
        <w:t xml:space="preserve">and final MEL activities.  </w:t>
      </w:r>
      <w:r w:rsidR="008E7301">
        <w:t xml:space="preserve">A range of operational issues are </w:t>
      </w:r>
      <w:r w:rsidR="003852A6">
        <w:t xml:space="preserve">also </w:t>
      </w:r>
      <w:r w:rsidR="008E7301">
        <w:t xml:space="preserve">scheduled between May </w:t>
      </w:r>
      <w:r w:rsidR="00F97472">
        <w:t>and</w:t>
      </w:r>
      <w:r w:rsidR="008E7301">
        <w:t xml:space="preserve"> July 2025. </w:t>
      </w:r>
    </w:p>
    <w:p w14:paraId="2E183BDB" w14:textId="14E49905" w:rsidR="00DB614B" w:rsidRDefault="00740960" w:rsidP="00740960">
      <w:pPr>
        <w:pStyle w:val="Caption"/>
      </w:pPr>
      <w:bookmarkStart w:id="8" w:name="_Toc188628664"/>
      <w:r>
        <w:t xml:space="preserve">Table </w:t>
      </w:r>
      <w:r w:rsidR="00C6270E">
        <w:fldChar w:fldCharType="begin"/>
      </w:r>
      <w:r w:rsidR="00C6270E">
        <w:instrText xml:space="preserve"> SEQ Table \* ARABIC </w:instrText>
      </w:r>
      <w:r w:rsidR="00C6270E">
        <w:fldChar w:fldCharType="separate"/>
      </w:r>
      <w:r w:rsidR="005C3545">
        <w:rPr>
          <w:noProof/>
        </w:rPr>
        <w:t>1</w:t>
      </w:r>
      <w:r w:rsidR="00C6270E">
        <w:rPr>
          <w:noProof/>
        </w:rPr>
        <w:fldChar w:fldCharType="end"/>
      </w:r>
      <w:r>
        <w:tab/>
        <w:t>Schedule for closure phase</w:t>
      </w:r>
      <w:bookmarkEnd w:id="8"/>
    </w:p>
    <w:p w14:paraId="4AE6C918" w14:textId="5355E7D1" w:rsidR="006A60DC" w:rsidRPr="006A60DC" w:rsidRDefault="006A60DC" w:rsidP="006A60DC">
      <w:r w:rsidRPr="004C7073">
        <w:rPr>
          <w:noProof/>
        </w:rPr>
        <w:drawing>
          <wp:inline distT="0" distB="0" distL="0" distR="0" wp14:anchorId="21AB25D4" wp14:editId="41F3D9F5">
            <wp:extent cx="6120130" cy="2898140"/>
            <wp:effectExtent l="0" t="0" r="0" b="0"/>
            <wp:docPr id="623131669" name="Picture 2" descr="Final Closure Plan: November 2024&#10;SURGE Steering Committee Meeting: February 2025&#10;GEB Comms to DFAT on SURGE closure: February 2025&#10;GEB Comms on TA draw down: February 2025&#10;AidWorks Budget Reallocation: April 2025&#10;Last date STNs accepted 1 Apri 2025&#10;Last date regular tasking is accepted 29 May 2025&#10;Operational shut down: May to July 2025&#10;All regular tasking completed by 13 June 2025&#10;All Special Taskings completed by 30 June 2025&#10;Draft Completion Report: June 2025&#10;Final Completion report: July 2025&#10;Final Invoices paid: July to August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31669" name="Picture 2" descr="Final Closure Plan: November 2024&#10;SURGE Steering Committee Meeting: February 2025&#10;GEB Comms to DFAT on SURGE closure: February 2025&#10;GEB Comms on TA draw down: February 2025&#10;AidWorks Budget Reallocation: April 2025&#10;Last date STNs accepted 1 Apri 2025&#10;Last date regular tasking is accepted 29 May 2025&#10;Operational shut down: May to July 2025&#10;All regular tasking completed by 13 June 2025&#10;All Special Taskings completed by 30 June 2025&#10;Draft Completion Report: June 2025&#10;Final Completion report: July 2025&#10;Final Invoices paid: July to August 2025"/>
                    <pic:cNvPicPr>
                      <a:picLocks noChangeAspect="1" noChangeArrowheads="1"/>
                    </pic:cNvPicPr>
                  </pic:nvPicPr>
                  <pic:blipFill rotWithShape="1">
                    <a:blip r:embed="rId10">
                      <a:extLst>
                        <a:ext uri="{28A0092B-C50C-407E-A947-70E740481C1C}">
                          <a14:useLocalDpi xmlns:a14="http://schemas.microsoft.com/office/drawing/2010/main" val="0"/>
                        </a:ext>
                      </a:extLst>
                    </a:blip>
                    <a:srcRect b="9254"/>
                    <a:stretch/>
                  </pic:blipFill>
                  <pic:spPr bwMode="auto">
                    <a:xfrm>
                      <a:off x="0" y="0"/>
                      <a:ext cx="6120130" cy="2898140"/>
                    </a:xfrm>
                    <a:prstGeom prst="rect">
                      <a:avLst/>
                    </a:prstGeom>
                    <a:noFill/>
                    <a:ln>
                      <a:noFill/>
                    </a:ln>
                    <a:extLst>
                      <a:ext uri="{53640926-AAD7-44D8-BBD7-CCE9431645EC}">
                        <a14:shadowObscured xmlns:a14="http://schemas.microsoft.com/office/drawing/2010/main"/>
                      </a:ext>
                    </a:extLst>
                  </pic:spPr>
                </pic:pic>
              </a:graphicData>
            </a:graphic>
          </wp:inline>
        </w:drawing>
      </w:r>
    </w:p>
    <w:p w14:paraId="434AF5F6" w14:textId="76462406" w:rsidR="00746A44" w:rsidRDefault="00746A44" w:rsidP="00BD6457">
      <w:pPr>
        <w:pStyle w:val="Heading2"/>
      </w:pPr>
      <w:bookmarkStart w:id="9" w:name="_Toc183017015"/>
      <w:bookmarkStart w:id="10" w:name="_Toc183017019"/>
      <w:bookmarkStart w:id="11" w:name="_Toc188628656"/>
      <w:bookmarkEnd w:id="9"/>
      <w:bookmarkEnd w:id="10"/>
      <w:r w:rsidRPr="00E33E92">
        <w:lastRenderedPageBreak/>
        <w:t>Reporting,</w:t>
      </w:r>
      <w:r w:rsidR="00AC18ED" w:rsidRPr="00E33E92">
        <w:t xml:space="preserve"> technical advice,</w:t>
      </w:r>
      <w:r w:rsidR="00AC18ED">
        <w:t xml:space="preserve"> and</w:t>
      </w:r>
      <w:r w:rsidR="00AC18ED" w:rsidRPr="00E33E92">
        <w:t xml:space="preserve"> tasking</w:t>
      </w:r>
      <w:bookmarkEnd w:id="11"/>
    </w:p>
    <w:p w14:paraId="2E62913A" w14:textId="4E3CC52E" w:rsidR="00547E1B" w:rsidRPr="00B05178" w:rsidRDefault="000F3150" w:rsidP="00BD6457">
      <w:pPr>
        <w:pStyle w:val="BodyText"/>
      </w:pPr>
      <w:r>
        <w:t>T</w:t>
      </w:r>
      <w:r w:rsidR="001204C7">
        <w:t xml:space="preserve">o enable financial and administrative closure of SURGE within the contract period (i.e. before 17 July 2025), </w:t>
      </w:r>
      <w:r w:rsidR="00337D40">
        <w:t>and to</w:t>
      </w:r>
      <w:r w:rsidR="004E0990">
        <w:t xml:space="preserve"> accommodate the different modes of TA (</w:t>
      </w:r>
      <w:r w:rsidR="00B619E9">
        <w:t>i.e.</w:t>
      </w:r>
      <w:r w:rsidR="004E0990">
        <w:t xml:space="preserve"> special tasking, regular tasking, embedded TA) </w:t>
      </w:r>
      <w:r w:rsidR="00737373">
        <w:t>a staged approach is needed to the closing of taskings</w:t>
      </w:r>
      <w:r w:rsidR="00DB614B" w:rsidRPr="009D26F2">
        <w:t xml:space="preserve"> </w:t>
      </w:r>
      <w:r w:rsidR="00737373">
        <w:t xml:space="preserve">as </w:t>
      </w:r>
      <w:r w:rsidR="00DB614B" w:rsidRPr="009D26F2">
        <w:t xml:space="preserve">outlined </w:t>
      </w:r>
      <w:r w:rsidR="00B54845">
        <w:t>in the table above</w:t>
      </w:r>
      <w:r w:rsidR="00DB614B" w:rsidRPr="009D26F2">
        <w:t>.</w:t>
      </w:r>
    </w:p>
    <w:p w14:paraId="1390055C" w14:textId="69E0487E" w:rsidR="00F43892" w:rsidRPr="00FE4724" w:rsidRDefault="00F43892" w:rsidP="00BD6457">
      <w:pPr>
        <w:pStyle w:val="Heading1"/>
      </w:pPr>
      <w:bookmarkStart w:id="12" w:name="_Toc183015176"/>
      <w:bookmarkStart w:id="13" w:name="_Toc183015221"/>
      <w:bookmarkStart w:id="14" w:name="_Toc183015538"/>
      <w:bookmarkStart w:id="15" w:name="_Toc183017023"/>
      <w:bookmarkStart w:id="16" w:name="_Toc183017024"/>
      <w:bookmarkStart w:id="17" w:name="_Toc183017025"/>
      <w:bookmarkStart w:id="18" w:name="_Toc188628657"/>
      <w:bookmarkEnd w:id="7"/>
      <w:bookmarkEnd w:id="12"/>
      <w:bookmarkEnd w:id="13"/>
      <w:bookmarkEnd w:id="14"/>
      <w:bookmarkEnd w:id="15"/>
      <w:bookmarkEnd w:id="16"/>
      <w:bookmarkEnd w:id="17"/>
      <w:r w:rsidRPr="00FE4724">
        <w:t>Contractors and Partners</w:t>
      </w:r>
      <w:bookmarkEnd w:id="18"/>
    </w:p>
    <w:p w14:paraId="4B7A138E" w14:textId="2AAF1045" w:rsidR="00F43892" w:rsidRDefault="00A62C89" w:rsidP="00BD6457">
      <w:pPr>
        <w:pStyle w:val="BodyText"/>
      </w:pPr>
      <w:r>
        <w:t xml:space="preserve">All SURGE advisers’ and partners’ </w:t>
      </w:r>
      <w:r w:rsidR="00B54845">
        <w:t xml:space="preserve">will continue to be </w:t>
      </w:r>
      <w:r w:rsidR="003119DE">
        <w:t xml:space="preserve">contracted </w:t>
      </w:r>
      <w:r w:rsidR="00B54845">
        <w:t>until</w:t>
      </w:r>
      <w:r>
        <w:t xml:space="preserve"> </w:t>
      </w:r>
      <w:r w:rsidR="00F43892">
        <w:t>30 June 2025.</w:t>
      </w:r>
      <w:r>
        <w:t xml:space="preserve">  </w:t>
      </w:r>
      <w:r w:rsidR="00F43892">
        <w:t>SURGE advisers under long term service orders providing TA to Post</w:t>
      </w:r>
      <w:r w:rsidR="0063184C">
        <w:t xml:space="preserve"> will need to be recontracted under the new GEDSI Support Unit. </w:t>
      </w:r>
    </w:p>
    <w:p w14:paraId="576D89D7" w14:textId="761A4C0E" w:rsidR="00FE4724" w:rsidRDefault="00FE4724" w:rsidP="00BD6457">
      <w:pPr>
        <w:pStyle w:val="Heading1"/>
      </w:pPr>
      <w:bookmarkStart w:id="19" w:name="_Toc188628658"/>
      <w:r>
        <w:t>Communications and Online Presence</w:t>
      </w:r>
      <w:bookmarkEnd w:id="19"/>
    </w:p>
    <w:p w14:paraId="4F77426F" w14:textId="4B2EA0F2" w:rsidR="00FE4724" w:rsidRDefault="00FE4724" w:rsidP="00BD6457">
      <w:pPr>
        <w:pStyle w:val="BodyText"/>
      </w:pPr>
      <w:r w:rsidRPr="00FE4724">
        <w:t>SURGE has maintained</w:t>
      </w:r>
      <w:r>
        <w:t xml:space="preserve"> </w:t>
      </w:r>
      <w:r w:rsidR="0063184C">
        <w:t xml:space="preserve">communication </w:t>
      </w:r>
      <w:r>
        <w:t xml:space="preserve">systems to support and promote the work of the investment that will be either shut down, archived, </w:t>
      </w:r>
      <w:r w:rsidR="00417384">
        <w:t xml:space="preserve">or </w:t>
      </w:r>
      <w:r>
        <w:t xml:space="preserve">handed </w:t>
      </w:r>
      <w:r w:rsidR="00A62DE8">
        <w:t xml:space="preserve">over and </w:t>
      </w:r>
      <w:r>
        <w:t>rebranded as part of the program</w:t>
      </w:r>
      <w:r w:rsidR="006419AA">
        <w:t>’</w:t>
      </w:r>
      <w:r>
        <w:t xml:space="preserve">s closure. </w:t>
      </w:r>
    </w:p>
    <w:p w14:paraId="048D9297" w14:textId="59B9887B" w:rsidR="00FE4724" w:rsidRPr="00FE4724" w:rsidRDefault="00FE4724" w:rsidP="00BD6457">
      <w:pPr>
        <w:pStyle w:val="Heading2"/>
      </w:pPr>
      <w:bookmarkStart w:id="20" w:name="_Toc188628659"/>
      <w:r w:rsidRPr="00FE4724">
        <w:t xml:space="preserve">LinkedIn </w:t>
      </w:r>
      <w:r w:rsidR="00AC18ED" w:rsidRPr="00FE4724">
        <w:t>profile</w:t>
      </w:r>
      <w:bookmarkEnd w:id="20"/>
    </w:p>
    <w:p w14:paraId="4AC7D065" w14:textId="77777777" w:rsidR="00B05178" w:rsidRPr="00B05178" w:rsidRDefault="00FE4724" w:rsidP="00B05178">
      <w:pPr>
        <w:pStyle w:val="BodyText"/>
      </w:pPr>
      <w:r w:rsidRPr="00B05178">
        <w:t xml:space="preserve">SURGE’s LinkedIn profile has </w:t>
      </w:r>
      <w:r w:rsidR="00A309A2" w:rsidRPr="00B05178">
        <w:t xml:space="preserve">approximately </w:t>
      </w:r>
      <w:r w:rsidRPr="00B05178">
        <w:t>1,</w:t>
      </w:r>
      <w:r w:rsidR="00A309A2" w:rsidRPr="00B05178">
        <w:t>4</w:t>
      </w:r>
      <w:r w:rsidRPr="00B05178">
        <w:t xml:space="preserve">00 followers and has a primary remit of promoting DFAT supported gender equality investments. The page also highlights resources on the Knowledge Hub, resources SURGE has developed, and occasional employment opportunities. </w:t>
      </w:r>
      <w:r w:rsidR="002F723A" w:rsidRPr="00B05178">
        <w:t xml:space="preserve">As the </w:t>
      </w:r>
      <w:r w:rsidRPr="00B05178">
        <w:t>LinkedIn profile presents an opportunity for broad promotion of the new GEDSI support unit</w:t>
      </w:r>
      <w:r w:rsidR="00A32AE6" w:rsidRPr="00B05178">
        <w:t>, SURGE will transition the LinkedIn page to the new GEDSI Support Unit as part of the closure process, as confirmed by GEB.</w:t>
      </w:r>
      <w:r w:rsidR="002F723A" w:rsidRPr="00B05178">
        <w:t xml:space="preserve"> </w:t>
      </w:r>
      <w:bookmarkStart w:id="21" w:name="_Toc183015543"/>
      <w:bookmarkStart w:id="22" w:name="_Toc183017029"/>
      <w:bookmarkStart w:id="23" w:name="_Toc183015182"/>
      <w:bookmarkStart w:id="24" w:name="_Toc183015227"/>
      <w:bookmarkStart w:id="25" w:name="_Toc183015544"/>
      <w:bookmarkStart w:id="26" w:name="_Toc183017030"/>
      <w:bookmarkEnd w:id="21"/>
      <w:bookmarkEnd w:id="22"/>
      <w:bookmarkEnd w:id="23"/>
      <w:bookmarkEnd w:id="24"/>
      <w:bookmarkEnd w:id="25"/>
      <w:bookmarkEnd w:id="26"/>
    </w:p>
    <w:p w14:paraId="661E26D5" w14:textId="4F26046C" w:rsidR="00242D96" w:rsidRPr="00FE4724" w:rsidRDefault="00FE4724" w:rsidP="009519D9">
      <w:pPr>
        <w:pStyle w:val="Heading2"/>
      </w:pPr>
      <w:bookmarkStart w:id="27" w:name="_Toc188628660"/>
      <w:r w:rsidRPr="009519D9">
        <w:t>SURGE</w:t>
      </w:r>
      <w:r w:rsidRPr="00FE4724">
        <w:t xml:space="preserve"> </w:t>
      </w:r>
      <w:r w:rsidR="00AC18ED" w:rsidRPr="00FE4724">
        <w:t>website</w:t>
      </w:r>
      <w:bookmarkEnd w:id="27"/>
    </w:p>
    <w:p w14:paraId="253AACAF" w14:textId="0A819BE8" w:rsidR="00873B46" w:rsidRPr="00F729DD" w:rsidRDefault="00FE4724" w:rsidP="00F729DD">
      <w:pPr>
        <w:pStyle w:val="BodyText"/>
      </w:pPr>
      <w:r w:rsidRPr="00F729DD">
        <w:t>The SURGE website functions as a portal to submit tasking requests, allow</w:t>
      </w:r>
      <w:r w:rsidR="004950C7" w:rsidRPr="00F729DD">
        <w:t>s</w:t>
      </w:r>
      <w:r w:rsidRPr="00F729DD">
        <w:t xml:space="preserve"> DFAT officer</w:t>
      </w:r>
      <w:r w:rsidR="00755489" w:rsidRPr="00F729DD">
        <w:t>s</w:t>
      </w:r>
      <w:r w:rsidRPr="00F729DD">
        <w:t xml:space="preserve"> to review panel members for tasks, provide</w:t>
      </w:r>
      <w:r w:rsidR="004950C7" w:rsidRPr="00F729DD">
        <w:t>s</w:t>
      </w:r>
      <w:r w:rsidRPr="00F729DD">
        <w:t xml:space="preserve"> a repository of gender equality tools and resources, and provide</w:t>
      </w:r>
      <w:r w:rsidR="001C51FB" w:rsidRPr="00F729DD">
        <w:t>s</w:t>
      </w:r>
      <w:r w:rsidRPr="00F729DD">
        <w:t xml:space="preserve"> a direct channel for enquiries. </w:t>
      </w:r>
      <w:r w:rsidR="00873B46" w:rsidRPr="00F729DD">
        <w:t xml:space="preserve">All gender equality resources housed on the SURGE </w:t>
      </w:r>
      <w:r w:rsidR="00AC041A" w:rsidRPr="00F729DD">
        <w:t xml:space="preserve">Knowledge Hub </w:t>
      </w:r>
      <w:r w:rsidR="00873B46" w:rsidRPr="00F729DD">
        <w:t xml:space="preserve">are publicly available resource materials. It is expected that the new support unit will curate its own knowledge library content.  </w:t>
      </w:r>
    </w:p>
    <w:p w14:paraId="32F8DB9E" w14:textId="29ABC992" w:rsidR="002E34BC" w:rsidRPr="00FE4724" w:rsidRDefault="00CC4073" w:rsidP="00B54845">
      <w:pPr>
        <w:pStyle w:val="BodyText"/>
      </w:pPr>
      <w:r w:rsidRPr="00F729DD">
        <w:t>DFAT</w:t>
      </w:r>
      <w:r w:rsidR="00222994" w:rsidRPr="00F729DD">
        <w:t xml:space="preserve"> have agreed to </w:t>
      </w:r>
      <w:r w:rsidRPr="00F729DD">
        <w:t xml:space="preserve">extend </w:t>
      </w:r>
      <w:r w:rsidR="00A32AE6" w:rsidRPr="00F729DD">
        <w:t>website hosting</w:t>
      </w:r>
      <w:r w:rsidR="0063056D" w:rsidRPr="00F729DD">
        <w:t xml:space="preserve"> for three months, to August 2025</w:t>
      </w:r>
      <w:r w:rsidR="00C53A93">
        <w:t xml:space="preserve">. </w:t>
      </w:r>
      <w:r w:rsidR="0063056D" w:rsidRPr="00F729DD">
        <w:t>K</w:t>
      </w:r>
      <w:r w:rsidRPr="00F729DD">
        <w:t>eeping the website operational</w:t>
      </w:r>
      <w:r w:rsidR="0063056D" w:rsidRPr="00F729DD">
        <w:t>,</w:t>
      </w:r>
      <w:r w:rsidRPr="00F729DD">
        <w:t xml:space="preserve"> with a landing page message providing information and contact details for the new support unit</w:t>
      </w:r>
      <w:r w:rsidR="0063056D" w:rsidRPr="00F729DD">
        <w:t>,</w:t>
      </w:r>
      <w:r w:rsidR="005F7093" w:rsidRPr="00F729DD">
        <w:t xml:space="preserve"> </w:t>
      </w:r>
      <w:r w:rsidR="0063056D" w:rsidRPr="00F729DD">
        <w:t xml:space="preserve">will support continued provision of TA </w:t>
      </w:r>
      <w:r w:rsidR="005F7093" w:rsidRPr="00F729DD">
        <w:t xml:space="preserve">whilst the new </w:t>
      </w:r>
      <w:r w:rsidR="0063056D" w:rsidRPr="00F729DD">
        <w:t xml:space="preserve">GEDSI Support Unit </w:t>
      </w:r>
      <w:r w:rsidR="005F7093" w:rsidRPr="00F729DD">
        <w:t>website is established</w:t>
      </w:r>
      <w:r w:rsidR="00A32AE6" w:rsidRPr="00F729DD">
        <w:t xml:space="preserve">. </w:t>
      </w:r>
      <w:bookmarkStart w:id="28" w:name="_Toc183017032"/>
      <w:bookmarkEnd w:id="28"/>
      <w:r w:rsidR="002E34BC">
        <w:t>Management Information System</w:t>
      </w:r>
    </w:p>
    <w:p w14:paraId="56F9BCEE" w14:textId="36C851A0" w:rsidR="00FE4724" w:rsidRDefault="00FE4724" w:rsidP="00BD6457">
      <w:pPr>
        <w:pStyle w:val="BodyText"/>
      </w:pPr>
      <w:r>
        <w:t xml:space="preserve">SURGE will undertake standard shut down procedures to close and </w:t>
      </w:r>
      <w:r w:rsidR="00930F50">
        <w:t xml:space="preserve">securely </w:t>
      </w:r>
      <w:r>
        <w:t xml:space="preserve">archive all SURGE program information and cancel </w:t>
      </w:r>
      <w:r w:rsidR="00B54845">
        <w:t>user licences for programs</w:t>
      </w:r>
      <w:r>
        <w:t>.</w:t>
      </w:r>
      <w:r w:rsidR="00D60F1F">
        <w:t xml:space="preserve"> All records will be maintained, securely and confidentially for </w:t>
      </w:r>
      <w:r w:rsidR="00C759C9">
        <w:t>seven</w:t>
      </w:r>
      <w:r w:rsidR="00D60F1F">
        <w:t xml:space="preserve"> years in accordance with DT Global policies and DFAT requirements so that they can be accessed if required. </w:t>
      </w:r>
    </w:p>
    <w:p w14:paraId="6072536C" w14:textId="3E622EEF" w:rsidR="003646DE" w:rsidRPr="00FE4724" w:rsidRDefault="003646DE" w:rsidP="009519D9">
      <w:pPr>
        <w:pStyle w:val="Heading2"/>
      </w:pPr>
      <w:bookmarkStart w:id="29" w:name="_Toc188628661"/>
      <w:r w:rsidRPr="00FE4724">
        <w:t>Communications</w:t>
      </w:r>
      <w:bookmarkEnd w:id="29"/>
    </w:p>
    <w:p w14:paraId="32BDA34D" w14:textId="1C601B7D" w:rsidR="002E34BC" w:rsidRDefault="00C84B9F" w:rsidP="00BD6457">
      <w:pPr>
        <w:pStyle w:val="BodyText"/>
      </w:pPr>
      <w:r>
        <w:t xml:space="preserve">Since inception, GEB </w:t>
      </w:r>
      <w:r w:rsidR="000C55E7">
        <w:t>has invested significant effort in</w:t>
      </w:r>
      <w:r>
        <w:t xml:space="preserve"> rais</w:t>
      </w:r>
      <w:r w:rsidR="000C55E7">
        <w:t>ing</w:t>
      </w:r>
      <w:r>
        <w:t xml:space="preserve"> awa</w:t>
      </w:r>
      <w:r w:rsidR="000C55E7">
        <w:t xml:space="preserve">reness across DFAT of SURGE and the website as a portal for accessing gender equality TA. </w:t>
      </w:r>
      <w:r w:rsidR="00916EE4">
        <w:t xml:space="preserve">To ensure DFAT officers </w:t>
      </w:r>
      <w:r w:rsidR="00B54845">
        <w:t>are kept informed on the</w:t>
      </w:r>
      <w:r w:rsidR="00916EE4">
        <w:t xml:space="preserve"> SURGE closure, and how they can continue to access gender equality TA during the transition to the new support unit, proactive communication with DFAT staff will be required</w:t>
      </w:r>
      <w:r w:rsidR="0071669C">
        <w:t xml:space="preserve">. </w:t>
      </w:r>
      <w:r w:rsidR="00A10935">
        <w:t>SURGE will work closely with GEB through existing weekly meetings to ensure messaging is clear and consistent.</w:t>
      </w:r>
    </w:p>
    <w:p w14:paraId="1EA881D8" w14:textId="4AD4D45A" w:rsidR="005B5152" w:rsidRDefault="005B5152" w:rsidP="00BD6457">
      <w:pPr>
        <w:pStyle w:val="BodyText"/>
      </w:pPr>
      <w:r w:rsidRPr="00186C9B">
        <w:rPr>
          <w:rStyle w:val="Strong"/>
        </w:rPr>
        <w:t>SURGE</w:t>
      </w:r>
      <w:r w:rsidR="00186C9B" w:rsidRPr="00186C9B">
        <w:rPr>
          <w:rStyle w:val="Strong"/>
        </w:rPr>
        <w:t xml:space="preserve"> roles and resp</w:t>
      </w:r>
      <w:r w:rsidRPr="00186C9B">
        <w:rPr>
          <w:rStyle w:val="Strong"/>
        </w:rPr>
        <w:t>onsibilities:</w:t>
      </w:r>
      <w:r>
        <w:t xml:space="preserve"> SURGE will be responsible for drafting all key messages for all channel</w:t>
      </w:r>
      <w:r w:rsidR="00993B42">
        <w:t>s</w:t>
      </w:r>
      <w:r>
        <w:t xml:space="preserve"> listed below, including providing support to GEB for internal DFAT communications. SURGE will be responsible for ensuring communications messages are consistent and cleared with GEB prior to distribution. </w:t>
      </w:r>
      <w:r>
        <w:lastRenderedPageBreak/>
        <w:t>SURGE will be available to answer questions on its closure and distribute clarifying materials, such as FAQs, in coordination with GEB if required.</w:t>
      </w:r>
    </w:p>
    <w:p w14:paraId="42C2FF6B" w14:textId="654376C1" w:rsidR="005B5152" w:rsidRPr="00431721" w:rsidRDefault="005B5152" w:rsidP="00BD6457">
      <w:pPr>
        <w:pStyle w:val="BodyText"/>
      </w:pPr>
      <w:r w:rsidRPr="00186C9B">
        <w:rPr>
          <w:rStyle w:val="Strong"/>
        </w:rPr>
        <w:t xml:space="preserve">GEB </w:t>
      </w:r>
      <w:r w:rsidR="00186C9B" w:rsidRPr="00186C9B">
        <w:rPr>
          <w:rStyle w:val="Strong"/>
        </w:rPr>
        <w:t>roles and responsibilities:</w:t>
      </w:r>
      <w:r w:rsidRPr="00186C9B">
        <w:rPr>
          <w:rStyle w:val="Strong"/>
        </w:rPr>
        <w:t xml:space="preserve"> </w:t>
      </w:r>
      <w:r>
        <w:t>GEB will be responsible for the review and approval of communications, ensuring messaging is informed by any internal developments at DFAT. GEB will be responsible for</w:t>
      </w:r>
      <w:r w:rsidR="008745C0">
        <w:t xml:space="preserve"> DFAT </w:t>
      </w:r>
      <w:r>
        <w:t>internal communication of messaging including to Posts, desks and thematic areas.</w:t>
      </w:r>
    </w:p>
    <w:p w14:paraId="3EA2DCED" w14:textId="07D6F3A5" w:rsidR="003646DE" w:rsidRPr="00AC18ED" w:rsidRDefault="00BD6457" w:rsidP="00AC18ED">
      <w:pPr>
        <w:pStyle w:val="Caption"/>
      </w:pPr>
      <w:bookmarkStart w:id="30" w:name="_Toc188628665"/>
      <w:r w:rsidRPr="00AC18ED">
        <w:t xml:space="preserve">Table </w:t>
      </w:r>
      <w:r w:rsidR="00C6270E">
        <w:fldChar w:fldCharType="begin"/>
      </w:r>
      <w:r w:rsidR="00C6270E">
        <w:instrText xml:space="preserve"> SEQ Table \* ARABIC </w:instrText>
      </w:r>
      <w:r w:rsidR="00C6270E">
        <w:fldChar w:fldCharType="separate"/>
      </w:r>
      <w:r w:rsidR="005C3545">
        <w:rPr>
          <w:noProof/>
        </w:rPr>
        <w:t>2</w:t>
      </w:r>
      <w:r w:rsidR="00C6270E">
        <w:rPr>
          <w:noProof/>
        </w:rPr>
        <w:fldChar w:fldCharType="end"/>
      </w:r>
      <w:r w:rsidRPr="00AC18ED">
        <w:tab/>
      </w:r>
      <w:r w:rsidR="003646DE" w:rsidRPr="00AC18ED">
        <w:t>SURGE</w:t>
      </w:r>
      <w:r w:rsidR="006863AA" w:rsidRPr="00AC18ED">
        <w:t xml:space="preserve"> </w:t>
      </w:r>
      <w:r w:rsidR="00740960" w:rsidRPr="00AC18ED">
        <w:t>communications</w:t>
      </w:r>
      <w:bookmarkEnd w:id="30"/>
    </w:p>
    <w:tbl>
      <w:tblPr>
        <w:tblStyle w:val="PlainTable2"/>
        <w:tblW w:w="5000" w:type="pct"/>
        <w:tblLook w:val="04A0" w:firstRow="1" w:lastRow="0" w:firstColumn="1" w:lastColumn="0" w:noHBand="0" w:noVBand="1"/>
      </w:tblPr>
      <w:tblGrid>
        <w:gridCol w:w="2880"/>
        <w:gridCol w:w="2575"/>
        <w:gridCol w:w="1970"/>
        <w:gridCol w:w="2213"/>
      </w:tblGrid>
      <w:tr w:rsidR="007E506F" w14:paraId="3376CD8D" w14:textId="77777777" w:rsidTr="00186C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94" w:type="pct"/>
          </w:tcPr>
          <w:p w14:paraId="76C62648" w14:textId="731A2AFD" w:rsidR="007E506F" w:rsidRDefault="007E506F" w:rsidP="000740EB">
            <w:r>
              <w:t>Messaging</w:t>
            </w:r>
          </w:p>
        </w:tc>
        <w:tc>
          <w:tcPr>
            <w:tcW w:w="1336" w:type="pct"/>
          </w:tcPr>
          <w:p w14:paraId="2AB780C2" w14:textId="0BCA2810" w:rsidR="007E506F" w:rsidRDefault="007E506F" w:rsidP="000740EB">
            <w:pPr>
              <w:cnfStyle w:val="100000000000" w:firstRow="1" w:lastRow="0" w:firstColumn="0" w:lastColumn="0" w:oddVBand="0" w:evenVBand="0" w:oddHBand="0" w:evenHBand="0" w:firstRowFirstColumn="0" w:firstRowLastColumn="0" w:lastRowFirstColumn="0" w:lastRowLastColumn="0"/>
            </w:pPr>
            <w:r>
              <w:t>Recipients</w:t>
            </w:r>
          </w:p>
        </w:tc>
        <w:tc>
          <w:tcPr>
            <w:tcW w:w="1022" w:type="pct"/>
          </w:tcPr>
          <w:p w14:paraId="7740372B" w14:textId="5BAB60A1" w:rsidR="007E506F" w:rsidRDefault="007E506F" w:rsidP="000740EB">
            <w:pPr>
              <w:cnfStyle w:val="100000000000" w:firstRow="1" w:lastRow="0" w:firstColumn="0" w:lastColumn="0" w:oddVBand="0" w:evenVBand="0" w:oddHBand="0" w:evenHBand="0" w:firstRowFirstColumn="0" w:firstRowLastColumn="0" w:lastRowFirstColumn="0" w:lastRowLastColumn="0"/>
            </w:pPr>
            <w:r>
              <w:t>Channels</w:t>
            </w:r>
          </w:p>
        </w:tc>
        <w:tc>
          <w:tcPr>
            <w:tcW w:w="1148" w:type="pct"/>
          </w:tcPr>
          <w:p w14:paraId="5CD35BD4" w14:textId="515BA5F2" w:rsidR="007E506F" w:rsidRDefault="007E506F" w:rsidP="000740EB">
            <w:pPr>
              <w:cnfStyle w:val="100000000000" w:firstRow="1" w:lastRow="0" w:firstColumn="0" w:lastColumn="0" w:oddVBand="0" w:evenVBand="0" w:oddHBand="0" w:evenHBand="0" w:firstRowFirstColumn="0" w:firstRowLastColumn="0" w:lastRowFirstColumn="0" w:lastRowLastColumn="0"/>
            </w:pPr>
            <w:r>
              <w:t>Timing</w:t>
            </w:r>
            <w:r w:rsidR="00756A28">
              <w:rPr>
                <w:rStyle w:val="FootnoteReference"/>
              </w:rPr>
              <w:footnoteReference w:id="1"/>
            </w:r>
          </w:p>
        </w:tc>
      </w:tr>
      <w:tr w:rsidR="007E506F" w14:paraId="08CF3894" w14:textId="77777777" w:rsidTr="00186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pct"/>
          </w:tcPr>
          <w:p w14:paraId="6FB86586" w14:textId="2836D726" w:rsidR="007E506F" w:rsidRDefault="001A0E86" w:rsidP="000740EB">
            <w:r>
              <w:t>Online notification</w:t>
            </w:r>
            <w:r w:rsidR="00D8267D">
              <w:t xml:space="preserve"> about SURGE </w:t>
            </w:r>
            <w:r w:rsidR="000C7B70">
              <w:t>closure</w:t>
            </w:r>
            <w:r w:rsidR="00B54845">
              <w:t xml:space="preserve"> and</w:t>
            </w:r>
            <w:r w:rsidR="000C7B70">
              <w:t xml:space="preserve"> </w:t>
            </w:r>
            <w:r w:rsidR="00D8267D">
              <w:t>transition</w:t>
            </w:r>
            <w:r w:rsidR="007E506F">
              <w:t xml:space="preserve"> to new GEDSI support unit.</w:t>
            </w:r>
          </w:p>
        </w:tc>
        <w:tc>
          <w:tcPr>
            <w:tcW w:w="1336" w:type="pct"/>
          </w:tcPr>
          <w:p w14:paraId="101BB494" w14:textId="5AE88BE5" w:rsidR="007E506F" w:rsidRDefault="007E506F" w:rsidP="000740EB">
            <w:pPr>
              <w:cnfStyle w:val="000000100000" w:firstRow="0" w:lastRow="0" w:firstColumn="0" w:lastColumn="0" w:oddVBand="0" w:evenVBand="0" w:oddHBand="1" w:evenHBand="0" w:firstRowFirstColumn="0" w:firstRowLastColumn="0" w:lastRowFirstColumn="0" w:lastRowLastColumn="0"/>
            </w:pPr>
            <w:r>
              <w:t xml:space="preserve">DFAT officers, </w:t>
            </w:r>
            <w:r w:rsidR="00D8267D">
              <w:t xml:space="preserve">LinkedIn followers, </w:t>
            </w:r>
            <w:r>
              <w:t>all site visitors.</w:t>
            </w:r>
          </w:p>
        </w:tc>
        <w:tc>
          <w:tcPr>
            <w:tcW w:w="1022" w:type="pct"/>
          </w:tcPr>
          <w:p w14:paraId="6667B3A4" w14:textId="3F708A75" w:rsidR="007E506F" w:rsidRDefault="007E506F" w:rsidP="000740EB">
            <w:pPr>
              <w:cnfStyle w:val="000000100000" w:firstRow="0" w:lastRow="0" w:firstColumn="0" w:lastColumn="0" w:oddVBand="0" w:evenVBand="0" w:oddHBand="1" w:evenHBand="0" w:firstRowFirstColumn="0" w:firstRowLastColumn="0" w:lastRowFirstColumn="0" w:lastRowLastColumn="0"/>
            </w:pPr>
            <w:r>
              <w:t>SURGE website, possibly LinkedIn</w:t>
            </w:r>
            <w:r w:rsidR="005B5152">
              <w:t xml:space="preserve"> for closure/transition, </w:t>
            </w:r>
          </w:p>
        </w:tc>
        <w:tc>
          <w:tcPr>
            <w:tcW w:w="1148" w:type="pct"/>
          </w:tcPr>
          <w:p w14:paraId="059D8A37" w14:textId="0F9F9301" w:rsidR="007E506F" w:rsidRDefault="007E506F" w:rsidP="000740EB">
            <w:pPr>
              <w:cnfStyle w:val="000000100000" w:firstRow="0" w:lastRow="0" w:firstColumn="0" w:lastColumn="0" w:oddVBand="0" w:evenVBand="0" w:oddHBand="1" w:evenHBand="0" w:firstRowFirstColumn="0" w:firstRowLastColumn="0" w:lastRowFirstColumn="0" w:lastRowLastColumn="0"/>
            </w:pPr>
            <w:r>
              <w:t>January/February 2025</w:t>
            </w:r>
            <w:r w:rsidR="00DA3ACD">
              <w:t xml:space="preserve"> (website)</w:t>
            </w:r>
          </w:p>
          <w:p w14:paraId="11EB3EA7" w14:textId="0F6E70EE" w:rsidR="00DA3ACD" w:rsidRDefault="00DA3ACD" w:rsidP="00186C9B">
            <w:pPr>
              <w:cnfStyle w:val="000000100000" w:firstRow="0" w:lastRow="0" w:firstColumn="0" w:lastColumn="0" w:oddVBand="0" w:evenVBand="0" w:oddHBand="1" w:evenHBand="0" w:firstRowFirstColumn="0" w:firstRowLastColumn="0" w:lastRowFirstColumn="0" w:lastRowLastColumn="0"/>
            </w:pPr>
            <w:r>
              <w:t>May/June 2025 (LinkedIn)</w:t>
            </w:r>
          </w:p>
        </w:tc>
      </w:tr>
    </w:tbl>
    <w:p w14:paraId="664A9445" w14:textId="673D0205" w:rsidR="003646DE" w:rsidRPr="00AC18ED" w:rsidRDefault="00BD6457" w:rsidP="00AC18ED">
      <w:pPr>
        <w:pStyle w:val="Caption"/>
      </w:pPr>
      <w:bookmarkStart w:id="31" w:name="_Toc188628666"/>
      <w:r w:rsidRPr="00AC18ED">
        <w:t xml:space="preserve">Table </w:t>
      </w:r>
      <w:r w:rsidR="00C6270E">
        <w:fldChar w:fldCharType="begin"/>
      </w:r>
      <w:r w:rsidR="00C6270E">
        <w:instrText xml:space="preserve"> SEQ Table \* ARABIC </w:instrText>
      </w:r>
      <w:r w:rsidR="00C6270E">
        <w:fldChar w:fldCharType="separate"/>
      </w:r>
      <w:r w:rsidR="005C3545">
        <w:rPr>
          <w:noProof/>
        </w:rPr>
        <w:t>3</w:t>
      </w:r>
      <w:r w:rsidR="00C6270E">
        <w:rPr>
          <w:noProof/>
        </w:rPr>
        <w:fldChar w:fldCharType="end"/>
      </w:r>
      <w:r w:rsidRPr="00AC18ED">
        <w:tab/>
      </w:r>
      <w:r w:rsidR="003646DE" w:rsidRPr="00AC18ED">
        <w:t xml:space="preserve">GEB </w:t>
      </w:r>
      <w:r w:rsidR="00740960" w:rsidRPr="00AC18ED">
        <w:t>communications</w:t>
      </w:r>
      <w:bookmarkEnd w:id="31"/>
    </w:p>
    <w:tbl>
      <w:tblPr>
        <w:tblStyle w:val="PlainTable2"/>
        <w:tblW w:w="5000" w:type="pct"/>
        <w:tblLook w:val="04A0" w:firstRow="1" w:lastRow="0" w:firstColumn="1" w:lastColumn="0" w:noHBand="0" w:noVBand="1"/>
      </w:tblPr>
      <w:tblGrid>
        <w:gridCol w:w="2880"/>
        <w:gridCol w:w="2575"/>
        <w:gridCol w:w="1970"/>
        <w:gridCol w:w="2213"/>
      </w:tblGrid>
      <w:tr w:rsidR="007E506F" w14:paraId="4C4B3382" w14:textId="77777777" w:rsidTr="00186C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94" w:type="pct"/>
          </w:tcPr>
          <w:p w14:paraId="37E2CBB3" w14:textId="5D71281B" w:rsidR="007E506F" w:rsidRDefault="007E506F" w:rsidP="007E506F">
            <w:pPr>
              <w:rPr>
                <w:b w:val="0"/>
                <w:bCs w:val="0"/>
              </w:rPr>
            </w:pPr>
            <w:r>
              <w:t>Messaging</w:t>
            </w:r>
          </w:p>
        </w:tc>
        <w:tc>
          <w:tcPr>
            <w:tcW w:w="1336" w:type="pct"/>
          </w:tcPr>
          <w:p w14:paraId="12AD7084" w14:textId="591C8B2B" w:rsidR="007E506F" w:rsidRDefault="007E506F" w:rsidP="007E506F">
            <w:pPr>
              <w:cnfStyle w:val="100000000000" w:firstRow="1" w:lastRow="0" w:firstColumn="0" w:lastColumn="0" w:oddVBand="0" w:evenVBand="0" w:oddHBand="0" w:evenHBand="0" w:firstRowFirstColumn="0" w:firstRowLastColumn="0" w:lastRowFirstColumn="0" w:lastRowLastColumn="0"/>
              <w:rPr>
                <w:b w:val="0"/>
                <w:bCs w:val="0"/>
              </w:rPr>
            </w:pPr>
            <w:r>
              <w:t>Recipients</w:t>
            </w:r>
          </w:p>
        </w:tc>
        <w:tc>
          <w:tcPr>
            <w:tcW w:w="1022" w:type="pct"/>
          </w:tcPr>
          <w:p w14:paraId="22C22D4E" w14:textId="3713D806" w:rsidR="007E506F" w:rsidRDefault="007E506F" w:rsidP="007E506F">
            <w:pPr>
              <w:cnfStyle w:val="100000000000" w:firstRow="1" w:lastRow="0" w:firstColumn="0" w:lastColumn="0" w:oddVBand="0" w:evenVBand="0" w:oddHBand="0" w:evenHBand="0" w:firstRowFirstColumn="0" w:firstRowLastColumn="0" w:lastRowFirstColumn="0" w:lastRowLastColumn="0"/>
              <w:rPr>
                <w:b w:val="0"/>
                <w:bCs w:val="0"/>
              </w:rPr>
            </w:pPr>
            <w:r>
              <w:t>Channels</w:t>
            </w:r>
          </w:p>
        </w:tc>
        <w:tc>
          <w:tcPr>
            <w:tcW w:w="1148" w:type="pct"/>
          </w:tcPr>
          <w:p w14:paraId="0E50C967" w14:textId="75A0B640" w:rsidR="007E506F" w:rsidRDefault="007E506F" w:rsidP="007E506F">
            <w:pPr>
              <w:cnfStyle w:val="100000000000" w:firstRow="1" w:lastRow="0" w:firstColumn="0" w:lastColumn="0" w:oddVBand="0" w:evenVBand="0" w:oddHBand="0" w:evenHBand="0" w:firstRowFirstColumn="0" w:firstRowLastColumn="0" w:lastRowFirstColumn="0" w:lastRowLastColumn="0"/>
              <w:rPr>
                <w:b w:val="0"/>
                <w:bCs w:val="0"/>
              </w:rPr>
            </w:pPr>
            <w:r>
              <w:t>Timing</w:t>
            </w:r>
            <w:r w:rsidR="00756A28">
              <w:rPr>
                <w:rStyle w:val="FootnoteReference"/>
              </w:rPr>
              <w:footnoteReference w:id="2"/>
            </w:r>
          </w:p>
        </w:tc>
      </w:tr>
      <w:tr w:rsidR="00D8267D" w14:paraId="507116B9" w14:textId="77777777" w:rsidTr="00186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pct"/>
          </w:tcPr>
          <w:p w14:paraId="2480E8D3" w14:textId="6189AB97" w:rsidR="00D8267D" w:rsidRPr="007E506F" w:rsidRDefault="00D8267D" w:rsidP="007E506F">
            <w:r>
              <w:t xml:space="preserve">General statement on SURGE closure, key dates, </w:t>
            </w:r>
            <w:r w:rsidR="00303903">
              <w:t>encouraging recipients to utilise SURGE.</w:t>
            </w:r>
          </w:p>
        </w:tc>
        <w:tc>
          <w:tcPr>
            <w:tcW w:w="1336" w:type="pct"/>
          </w:tcPr>
          <w:p w14:paraId="0070BF72" w14:textId="7A9FB647" w:rsidR="00D8267D" w:rsidRPr="007E506F" w:rsidRDefault="00D8267D" w:rsidP="007E506F">
            <w:pPr>
              <w:cnfStyle w:val="000000100000" w:firstRow="0" w:lastRow="0" w:firstColumn="0" w:lastColumn="0" w:oddVBand="0" w:evenVBand="0" w:oddHBand="1" w:evenHBand="0" w:firstRowFirstColumn="0" w:firstRowLastColumn="0" w:lastRowFirstColumn="0" w:lastRowLastColumn="0"/>
            </w:pPr>
            <w:r>
              <w:t>Selected desks, thematic areas and posts</w:t>
            </w:r>
          </w:p>
        </w:tc>
        <w:tc>
          <w:tcPr>
            <w:tcW w:w="1022" w:type="pct"/>
          </w:tcPr>
          <w:p w14:paraId="006D3543" w14:textId="42B469A0" w:rsidR="00D8267D" w:rsidRPr="007E506F" w:rsidRDefault="00D8267D" w:rsidP="007E506F">
            <w:pPr>
              <w:cnfStyle w:val="000000100000" w:firstRow="0" w:lastRow="0" w:firstColumn="0" w:lastColumn="0" w:oddVBand="0" w:evenVBand="0" w:oddHBand="1" w:evenHBand="0" w:firstRowFirstColumn="0" w:firstRowLastColumn="0" w:lastRowFirstColumn="0" w:lastRowLastColumn="0"/>
            </w:pPr>
            <w:r>
              <w:t>Email, cables</w:t>
            </w:r>
          </w:p>
        </w:tc>
        <w:tc>
          <w:tcPr>
            <w:tcW w:w="1148" w:type="pct"/>
          </w:tcPr>
          <w:p w14:paraId="78682C40" w14:textId="3C022EC0" w:rsidR="00D8267D" w:rsidRDefault="00D8267D" w:rsidP="007E506F">
            <w:pPr>
              <w:cnfStyle w:val="000000100000" w:firstRow="0" w:lastRow="0" w:firstColumn="0" w:lastColumn="0" w:oddVBand="0" w:evenVBand="0" w:oddHBand="1" w:evenHBand="0" w:firstRowFirstColumn="0" w:firstRowLastColumn="0" w:lastRowFirstColumn="0" w:lastRowLastColumn="0"/>
            </w:pPr>
            <w:r>
              <w:t>February 2025</w:t>
            </w:r>
          </w:p>
          <w:p w14:paraId="78A0EB55" w14:textId="2523BC26" w:rsidR="00270BA9" w:rsidRPr="007E506F" w:rsidRDefault="00270BA9" w:rsidP="007E506F">
            <w:pPr>
              <w:cnfStyle w:val="000000100000" w:firstRow="0" w:lastRow="0" w:firstColumn="0" w:lastColumn="0" w:oddVBand="0" w:evenVBand="0" w:oddHBand="1" w:evenHBand="0" w:firstRowFirstColumn="0" w:firstRowLastColumn="0" w:lastRowFirstColumn="0" w:lastRowLastColumn="0"/>
            </w:pPr>
            <w:r>
              <w:t xml:space="preserve">Update in </w:t>
            </w:r>
            <w:r w:rsidR="00100391">
              <w:t>May 2025</w:t>
            </w:r>
          </w:p>
        </w:tc>
      </w:tr>
      <w:tr w:rsidR="00341EAD" w14:paraId="6692B1F9" w14:textId="77777777" w:rsidTr="00186C9B">
        <w:tc>
          <w:tcPr>
            <w:cnfStyle w:val="001000000000" w:firstRow="0" w:lastRow="0" w:firstColumn="1" w:lastColumn="0" w:oddVBand="0" w:evenVBand="0" w:oddHBand="0" w:evenHBand="0" w:firstRowFirstColumn="0" w:firstRowLastColumn="0" w:lastRowFirstColumn="0" w:lastRowLastColumn="0"/>
            <w:tcW w:w="1494" w:type="pct"/>
            <w:tcBorders>
              <w:top w:val="single" w:sz="4" w:space="0" w:color="7F7F7F" w:themeColor="text1" w:themeTint="80"/>
              <w:bottom w:val="single" w:sz="4" w:space="0" w:color="7F7F7F" w:themeColor="text1" w:themeTint="80"/>
            </w:tcBorders>
          </w:tcPr>
          <w:p w14:paraId="30F4DAD1" w14:textId="030BC92C" w:rsidR="00341EAD" w:rsidRPr="007E506F" w:rsidRDefault="001B5949" w:rsidP="007E506F">
            <w:r>
              <w:t xml:space="preserve">Communication to Post to confirm remaining STN days to be used during the FY </w:t>
            </w:r>
            <w:r w:rsidR="00763535">
              <w:t>by 30 April</w:t>
            </w:r>
            <w:r w:rsidR="00270BA9">
              <w:t>.</w:t>
            </w:r>
          </w:p>
        </w:tc>
        <w:tc>
          <w:tcPr>
            <w:tcW w:w="1336" w:type="pct"/>
            <w:tcBorders>
              <w:top w:val="single" w:sz="4" w:space="0" w:color="7F7F7F" w:themeColor="text1" w:themeTint="80"/>
              <w:bottom w:val="single" w:sz="4" w:space="0" w:color="7F7F7F" w:themeColor="text1" w:themeTint="80"/>
            </w:tcBorders>
          </w:tcPr>
          <w:p w14:paraId="3C7B46B0" w14:textId="05060B91" w:rsidR="00341EAD" w:rsidRPr="007E506F" w:rsidRDefault="001B5949" w:rsidP="007E506F">
            <w:pPr>
              <w:cnfStyle w:val="000000000000" w:firstRow="0" w:lastRow="0" w:firstColumn="0" w:lastColumn="0" w:oddVBand="0" w:evenVBand="0" w:oddHBand="0" w:evenHBand="0" w:firstRowFirstColumn="0" w:firstRowLastColumn="0" w:lastRowFirstColumn="0" w:lastRowLastColumn="0"/>
            </w:pPr>
            <w:r>
              <w:t>Posts with on-going draw down advisers or STNs</w:t>
            </w:r>
            <w:r>
              <w:rPr>
                <w:rStyle w:val="FootnoteReference"/>
              </w:rPr>
              <w:footnoteReference w:id="3"/>
            </w:r>
          </w:p>
        </w:tc>
        <w:tc>
          <w:tcPr>
            <w:tcW w:w="1022" w:type="pct"/>
            <w:tcBorders>
              <w:top w:val="single" w:sz="4" w:space="0" w:color="7F7F7F" w:themeColor="text1" w:themeTint="80"/>
              <w:bottom w:val="single" w:sz="4" w:space="0" w:color="7F7F7F" w:themeColor="text1" w:themeTint="80"/>
            </w:tcBorders>
          </w:tcPr>
          <w:p w14:paraId="6053A1B5" w14:textId="4B438DEA" w:rsidR="00341EAD" w:rsidRPr="007E506F" w:rsidRDefault="001B5949" w:rsidP="007E506F">
            <w:pPr>
              <w:cnfStyle w:val="000000000000" w:firstRow="0" w:lastRow="0" w:firstColumn="0" w:lastColumn="0" w:oddVBand="0" w:evenVBand="0" w:oddHBand="0" w:evenHBand="0" w:firstRowFirstColumn="0" w:firstRowLastColumn="0" w:lastRowFirstColumn="0" w:lastRowLastColumn="0"/>
            </w:pPr>
            <w:r>
              <w:t>Email</w:t>
            </w:r>
          </w:p>
        </w:tc>
        <w:tc>
          <w:tcPr>
            <w:tcW w:w="1148" w:type="pct"/>
            <w:tcBorders>
              <w:top w:val="single" w:sz="4" w:space="0" w:color="7F7F7F" w:themeColor="text1" w:themeTint="80"/>
              <w:bottom w:val="single" w:sz="4" w:space="0" w:color="7F7F7F" w:themeColor="text1" w:themeTint="80"/>
            </w:tcBorders>
          </w:tcPr>
          <w:p w14:paraId="036F7972" w14:textId="417E21D7" w:rsidR="00341EAD" w:rsidRDefault="001B5949" w:rsidP="007E506F">
            <w:pPr>
              <w:cnfStyle w:val="000000000000" w:firstRow="0" w:lastRow="0" w:firstColumn="0" w:lastColumn="0" w:oddVBand="0" w:evenVBand="0" w:oddHBand="0" w:evenHBand="0" w:firstRowFirstColumn="0" w:firstRowLastColumn="0" w:lastRowFirstColumn="0" w:lastRowLastColumn="0"/>
            </w:pPr>
            <w:r>
              <w:t>Early April 2025</w:t>
            </w:r>
          </w:p>
        </w:tc>
      </w:tr>
    </w:tbl>
    <w:p w14:paraId="7C6FFBE6" w14:textId="4FDAD369" w:rsidR="00533440" w:rsidRDefault="00533440" w:rsidP="00BD6457">
      <w:pPr>
        <w:pStyle w:val="Heading1"/>
      </w:pPr>
      <w:bookmarkStart w:id="32" w:name="_Toc188628662"/>
      <w:r>
        <w:t>M</w:t>
      </w:r>
      <w:r w:rsidR="00F97472">
        <w:t>onitoring, Evaluation and Learning</w:t>
      </w:r>
      <w:bookmarkEnd w:id="32"/>
    </w:p>
    <w:p w14:paraId="5DEFC313" w14:textId="6F7986C7" w:rsidR="00A0456E" w:rsidRPr="00654D50" w:rsidRDefault="00D25B2C" w:rsidP="00BD6457">
      <w:pPr>
        <w:pStyle w:val="BodyText"/>
        <w:rPr>
          <w:color w:val="FF0000"/>
        </w:rPr>
      </w:pPr>
      <w:r>
        <w:t>Monitoring, evaluation and learning results will be reported in the</w:t>
      </w:r>
      <w:r w:rsidR="002D40A3" w:rsidRPr="00A0456E">
        <w:t xml:space="preserve"> program Completion Report. </w:t>
      </w:r>
    </w:p>
    <w:p w14:paraId="0AE5E5BC" w14:textId="5A740078" w:rsidR="00B619E9" w:rsidRPr="00B619E9" w:rsidRDefault="00B619E9" w:rsidP="00BD6457">
      <w:pPr>
        <w:pStyle w:val="Heading1"/>
      </w:pPr>
      <w:bookmarkStart w:id="33" w:name="_Toc188628663"/>
      <w:r>
        <w:t>Risk Management</w:t>
      </w:r>
      <w:bookmarkEnd w:id="33"/>
    </w:p>
    <w:p w14:paraId="6BFFB44F" w14:textId="33C08BCF" w:rsidR="006A60DC" w:rsidRPr="00F9203A" w:rsidRDefault="00B619E9" w:rsidP="00186C9B">
      <w:pPr>
        <w:pStyle w:val="BodyText"/>
      </w:pPr>
      <w:r>
        <w:t xml:space="preserve">SURGE monitors program risks through the program’s Risk Assessment and Mitigation Framework which is updated quarterly. </w:t>
      </w:r>
      <w:r w:rsidR="00D25B2C">
        <w:t>Closure related</w:t>
      </w:r>
      <w:r w:rsidR="00A0456E">
        <w:t xml:space="preserve"> risks </w:t>
      </w:r>
      <w:r w:rsidR="00D25B2C">
        <w:t xml:space="preserve">will be </w:t>
      </w:r>
      <w:r w:rsidR="00A0456E">
        <w:t>addressed primarily through this Closure Plan.</w:t>
      </w:r>
      <w:bookmarkStart w:id="34" w:name="_Toc183015188"/>
      <w:bookmarkStart w:id="35" w:name="_Toc183015233"/>
      <w:bookmarkStart w:id="36" w:name="_Toc183015551"/>
      <w:bookmarkStart w:id="37" w:name="_Toc183017038"/>
      <w:bookmarkStart w:id="38" w:name="_Toc183015189"/>
      <w:bookmarkStart w:id="39" w:name="_Toc183015234"/>
      <w:bookmarkStart w:id="40" w:name="_Toc183015552"/>
      <w:bookmarkStart w:id="41" w:name="_Toc183017039"/>
      <w:bookmarkStart w:id="42" w:name="_Toc183015190"/>
      <w:bookmarkStart w:id="43" w:name="_Toc183015235"/>
      <w:bookmarkStart w:id="44" w:name="_Toc183015553"/>
      <w:bookmarkStart w:id="45" w:name="_Toc183017040"/>
      <w:bookmarkStart w:id="46" w:name="_Toc183015191"/>
      <w:bookmarkStart w:id="47" w:name="_Toc183015236"/>
      <w:bookmarkStart w:id="48" w:name="_Toc183015554"/>
      <w:bookmarkStart w:id="49" w:name="_Toc183017041"/>
      <w:bookmarkStart w:id="50" w:name="_Toc183015192"/>
      <w:bookmarkStart w:id="51" w:name="_Toc183015237"/>
      <w:bookmarkStart w:id="52" w:name="_Toc183015555"/>
      <w:bookmarkStart w:id="53" w:name="_Toc183017042"/>
      <w:bookmarkStart w:id="54" w:name="_Toc183015193"/>
      <w:bookmarkStart w:id="55" w:name="_Toc183015238"/>
      <w:bookmarkStart w:id="56" w:name="_Toc183015556"/>
      <w:bookmarkStart w:id="57" w:name="_Toc183017043"/>
      <w:bookmarkStart w:id="58" w:name="_Toc183015194"/>
      <w:bookmarkStart w:id="59" w:name="_Toc183015239"/>
      <w:bookmarkStart w:id="60" w:name="_Toc183015557"/>
      <w:bookmarkStart w:id="61" w:name="_Toc183017044"/>
      <w:bookmarkStart w:id="62" w:name="_Toc183015195"/>
      <w:bookmarkStart w:id="63" w:name="_Toc183015240"/>
      <w:bookmarkStart w:id="64" w:name="_Toc183015558"/>
      <w:bookmarkStart w:id="65" w:name="_Toc183017045"/>
      <w:bookmarkStart w:id="66" w:name="_Toc183015196"/>
      <w:bookmarkStart w:id="67" w:name="_Toc183015241"/>
      <w:bookmarkStart w:id="68" w:name="_Toc183015559"/>
      <w:bookmarkStart w:id="69" w:name="_Toc183017046"/>
      <w:bookmarkStart w:id="70" w:name="_Toc183015197"/>
      <w:bookmarkStart w:id="71" w:name="_Toc183015242"/>
      <w:bookmarkStart w:id="72" w:name="_Toc183015560"/>
      <w:bookmarkStart w:id="73" w:name="_Toc183017047"/>
      <w:bookmarkStart w:id="74" w:name="_Toc183015198"/>
      <w:bookmarkStart w:id="75" w:name="_Toc183015243"/>
      <w:bookmarkStart w:id="76" w:name="_Toc183015561"/>
      <w:bookmarkStart w:id="77" w:name="_Toc183017048"/>
      <w:bookmarkStart w:id="78" w:name="_Toc183015199"/>
      <w:bookmarkStart w:id="79" w:name="_Toc183015244"/>
      <w:bookmarkStart w:id="80" w:name="_Toc183015562"/>
      <w:bookmarkStart w:id="81" w:name="_Toc183017049"/>
      <w:bookmarkStart w:id="82" w:name="_Toc183015200"/>
      <w:bookmarkStart w:id="83" w:name="_Toc183015245"/>
      <w:bookmarkStart w:id="84" w:name="_Toc183015563"/>
      <w:bookmarkStart w:id="85" w:name="_Toc183017050"/>
      <w:bookmarkStart w:id="86" w:name="_Toc183015201"/>
      <w:bookmarkStart w:id="87" w:name="_Toc183015246"/>
      <w:bookmarkStart w:id="88" w:name="_Toc183015564"/>
      <w:bookmarkStart w:id="89" w:name="_Toc183017051"/>
      <w:bookmarkStart w:id="90" w:name="_Toc183015202"/>
      <w:bookmarkStart w:id="91" w:name="_Toc183015247"/>
      <w:bookmarkStart w:id="92" w:name="_Toc183015565"/>
      <w:bookmarkStart w:id="93" w:name="_Toc183017052"/>
      <w:bookmarkStart w:id="94" w:name="_Toc183015203"/>
      <w:bookmarkStart w:id="95" w:name="_Toc183015248"/>
      <w:bookmarkStart w:id="96" w:name="_Toc183015566"/>
      <w:bookmarkStart w:id="97" w:name="_Toc183017053"/>
      <w:bookmarkStart w:id="98" w:name="_Toc183015204"/>
      <w:bookmarkStart w:id="99" w:name="_Toc183015249"/>
      <w:bookmarkStart w:id="100" w:name="_Toc183015567"/>
      <w:bookmarkStart w:id="101" w:name="_Toc183017054"/>
      <w:bookmarkStart w:id="102" w:name="_Toc183015205"/>
      <w:bookmarkStart w:id="103" w:name="_Toc183015250"/>
      <w:bookmarkStart w:id="104" w:name="_Toc183015568"/>
      <w:bookmarkStart w:id="105" w:name="_Toc183017055"/>
      <w:bookmarkStart w:id="106" w:name="_Toc183015206"/>
      <w:bookmarkStart w:id="107" w:name="_Toc183015251"/>
      <w:bookmarkStart w:id="108" w:name="_Toc183015569"/>
      <w:bookmarkStart w:id="109" w:name="_Toc183017056"/>
      <w:bookmarkStart w:id="110" w:name="_Toc183015207"/>
      <w:bookmarkStart w:id="111" w:name="_Toc183015252"/>
      <w:bookmarkStart w:id="112" w:name="_Toc183015570"/>
      <w:bookmarkStart w:id="113" w:name="_Toc183017057"/>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sectPr w:rsidR="006A60DC" w:rsidRPr="00F9203A" w:rsidSect="00740960">
      <w:pgSz w:w="11906" w:h="16838" w:code="9"/>
      <w:pgMar w:top="1134"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D4662" w14:textId="77777777" w:rsidR="008E0AB8" w:rsidRDefault="008E0AB8" w:rsidP="00D92020">
      <w:pPr>
        <w:spacing w:after="0" w:line="240" w:lineRule="auto"/>
      </w:pPr>
      <w:r>
        <w:separator/>
      </w:r>
    </w:p>
  </w:endnote>
  <w:endnote w:type="continuationSeparator" w:id="0">
    <w:p w14:paraId="7AAC6D6C" w14:textId="77777777" w:rsidR="008E0AB8" w:rsidRDefault="008E0AB8" w:rsidP="00D92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E0BD2" w14:textId="3AE8B037" w:rsidR="006965F5" w:rsidRPr="00740960" w:rsidRDefault="00740960" w:rsidP="00740960">
    <w:pPr>
      <w:pStyle w:val="Footer"/>
      <w:rPr>
        <w:sz w:val="18"/>
        <w:szCs w:val="18"/>
      </w:rPr>
    </w:pPr>
    <w:r w:rsidRPr="00740960">
      <w:rPr>
        <w:sz w:val="18"/>
        <w:szCs w:val="18"/>
      </w:rPr>
      <w:t xml:space="preserve">SURGE | </w:t>
    </w:r>
    <w:r w:rsidRPr="00740960">
      <w:rPr>
        <w:sz w:val="18"/>
        <w:szCs w:val="18"/>
      </w:rPr>
      <w:fldChar w:fldCharType="begin"/>
    </w:r>
    <w:r w:rsidRPr="00740960">
      <w:rPr>
        <w:sz w:val="18"/>
        <w:szCs w:val="18"/>
      </w:rPr>
      <w:instrText xml:space="preserve"> STYLEREF  Title  \* MERGEFORMAT </w:instrText>
    </w:r>
    <w:r w:rsidRPr="00740960">
      <w:rPr>
        <w:sz w:val="18"/>
        <w:szCs w:val="18"/>
      </w:rPr>
      <w:fldChar w:fldCharType="separate"/>
    </w:r>
    <w:r w:rsidR="00E04BE9">
      <w:rPr>
        <w:noProof/>
        <w:sz w:val="18"/>
        <w:szCs w:val="18"/>
      </w:rPr>
      <w:t>SURGE Closure Plan 2025</w:t>
    </w:r>
    <w:r w:rsidRPr="00740960">
      <w:rPr>
        <w:sz w:val="18"/>
        <w:szCs w:val="18"/>
      </w:rPr>
      <w:fldChar w:fldCharType="end"/>
    </w:r>
    <w:r w:rsidRPr="00740960">
      <w:rPr>
        <w:sz w:val="18"/>
        <w:szCs w:val="18"/>
      </w:rPr>
      <w:ptab w:relativeTo="margin" w:alignment="right" w:leader="none"/>
    </w:r>
    <w:r w:rsidRPr="00740960">
      <w:rPr>
        <w:sz w:val="18"/>
        <w:szCs w:val="18"/>
      </w:rPr>
      <w:fldChar w:fldCharType="begin"/>
    </w:r>
    <w:r w:rsidRPr="00740960">
      <w:rPr>
        <w:sz w:val="18"/>
        <w:szCs w:val="18"/>
      </w:rPr>
      <w:instrText xml:space="preserve"> PAGE   \* MERGEFORMAT </w:instrText>
    </w:r>
    <w:r w:rsidRPr="00740960">
      <w:rPr>
        <w:sz w:val="18"/>
        <w:szCs w:val="18"/>
      </w:rPr>
      <w:fldChar w:fldCharType="separate"/>
    </w:r>
    <w:r w:rsidRPr="00740960">
      <w:rPr>
        <w:noProof/>
        <w:sz w:val="18"/>
        <w:szCs w:val="18"/>
      </w:rPr>
      <w:t>1</w:t>
    </w:r>
    <w:r w:rsidRPr="00740960">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806FD" w14:textId="77777777" w:rsidR="008E0AB8" w:rsidRDefault="008E0AB8" w:rsidP="00D92020">
      <w:pPr>
        <w:spacing w:after="0" w:line="240" w:lineRule="auto"/>
      </w:pPr>
      <w:r>
        <w:separator/>
      </w:r>
    </w:p>
  </w:footnote>
  <w:footnote w:type="continuationSeparator" w:id="0">
    <w:p w14:paraId="30FB1C56" w14:textId="77777777" w:rsidR="008E0AB8" w:rsidRDefault="008E0AB8" w:rsidP="00D92020">
      <w:pPr>
        <w:spacing w:after="0" w:line="240" w:lineRule="auto"/>
      </w:pPr>
      <w:r>
        <w:continuationSeparator/>
      </w:r>
    </w:p>
  </w:footnote>
  <w:footnote w:id="1">
    <w:p w14:paraId="43FA2861" w14:textId="503F5441" w:rsidR="00756A28" w:rsidRPr="00AF3E3A" w:rsidRDefault="00756A28" w:rsidP="00BD6457">
      <w:pPr>
        <w:pStyle w:val="FootnoteText"/>
        <w:ind w:left="284" w:hanging="284"/>
        <w:rPr>
          <w:sz w:val="16"/>
          <w:szCs w:val="16"/>
        </w:rPr>
      </w:pPr>
      <w:r w:rsidRPr="00AF3E3A">
        <w:rPr>
          <w:rStyle w:val="FootnoteReference"/>
          <w:sz w:val="16"/>
          <w:szCs w:val="16"/>
          <w:vertAlign w:val="baseline"/>
        </w:rPr>
        <w:footnoteRef/>
      </w:r>
      <w:r w:rsidRPr="00AF3E3A">
        <w:rPr>
          <w:sz w:val="16"/>
          <w:szCs w:val="16"/>
        </w:rPr>
        <w:t xml:space="preserve"> </w:t>
      </w:r>
      <w:r w:rsidR="00F97472">
        <w:rPr>
          <w:sz w:val="16"/>
          <w:szCs w:val="16"/>
        </w:rPr>
        <w:tab/>
      </w:r>
      <w:r w:rsidRPr="00AF3E3A">
        <w:rPr>
          <w:sz w:val="16"/>
          <w:szCs w:val="16"/>
        </w:rPr>
        <w:t xml:space="preserve">These timings are subject to changes in the </w:t>
      </w:r>
      <w:r w:rsidR="00120068" w:rsidRPr="00AF3E3A">
        <w:rPr>
          <w:sz w:val="16"/>
          <w:szCs w:val="16"/>
        </w:rPr>
        <w:t xml:space="preserve">closure </w:t>
      </w:r>
      <w:r w:rsidRPr="00AF3E3A">
        <w:rPr>
          <w:sz w:val="16"/>
          <w:szCs w:val="16"/>
        </w:rPr>
        <w:t>process.</w:t>
      </w:r>
    </w:p>
  </w:footnote>
  <w:footnote w:id="2">
    <w:p w14:paraId="317C9F33" w14:textId="153084CF" w:rsidR="00756A28" w:rsidRPr="00AF3E3A" w:rsidRDefault="00756A28" w:rsidP="00BD6457">
      <w:pPr>
        <w:pStyle w:val="FootnoteText"/>
        <w:ind w:left="284" w:hanging="284"/>
        <w:rPr>
          <w:sz w:val="16"/>
          <w:szCs w:val="16"/>
        </w:rPr>
      </w:pPr>
      <w:r w:rsidRPr="00AF3E3A">
        <w:rPr>
          <w:rStyle w:val="FootnoteReference"/>
          <w:sz w:val="16"/>
          <w:szCs w:val="16"/>
          <w:vertAlign w:val="baseline"/>
        </w:rPr>
        <w:footnoteRef/>
      </w:r>
      <w:r w:rsidRPr="00AF3E3A">
        <w:rPr>
          <w:sz w:val="16"/>
          <w:szCs w:val="16"/>
        </w:rPr>
        <w:t xml:space="preserve"> </w:t>
      </w:r>
      <w:r w:rsidR="00F97472">
        <w:rPr>
          <w:sz w:val="16"/>
          <w:szCs w:val="16"/>
        </w:rPr>
        <w:tab/>
        <w:t>T</w:t>
      </w:r>
      <w:r w:rsidRPr="00AF3E3A">
        <w:rPr>
          <w:sz w:val="16"/>
          <w:szCs w:val="16"/>
        </w:rPr>
        <w:t xml:space="preserve">imings are subject to changes in the </w:t>
      </w:r>
      <w:r w:rsidR="00120068" w:rsidRPr="00AF3E3A">
        <w:rPr>
          <w:sz w:val="16"/>
          <w:szCs w:val="16"/>
        </w:rPr>
        <w:t xml:space="preserve">closure </w:t>
      </w:r>
      <w:r w:rsidRPr="00AF3E3A">
        <w:rPr>
          <w:sz w:val="16"/>
          <w:szCs w:val="16"/>
        </w:rPr>
        <w:t>process.</w:t>
      </w:r>
    </w:p>
  </w:footnote>
  <w:footnote w:id="3">
    <w:p w14:paraId="53F65D57" w14:textId="3B2F462D" w:rsidR="001B5949" w:rsidRPr="00AF3E3A" w:rsidRDefault="001B5949" w:rsidP="00BD6457">
      <w:pPr>
        <w:pStyle w:val="FootnoteText"/>
        <w:ind w:left="284" w:hanging="284"/>
        <w:rPr>
          <w:sz w:val="16"/>
          <w:szCs w:val="16"/>
        </w:rPr>
      </w:pPr>
      <w:r w:rsidRPr="00AF3E3A">
        <w:rPr>
          <w:rStyle w:val="FootnoteReference"/>
          <w:sz w:val="16"/>
          <w:szCs w:val="16"/>
          <w:vertAlign w:val="baseline"/>
        </w:rPr>
        <w:footnoteRef/>
      </w:r>
      <w:r w:rsidRPr="00AF3E3A">
        <w:rPr>
          <w:sz w:val="16"/>
          <w:szCs w:val="16"/>
        </w:rPr>
        <w:t xml:space="preserve"> </w:t>
      </w:r>
      <w:r w:rsidR="00F97472">
        <w:rPr>
          <w:sz w:val="16"/>
          <w:szCs w:val="16"/>
        </w:rPr>
        <w:tab/>
      </w:r>
      <w:r w:rsidRPr="00AF3E3A">
        <w:rPr>
          <w:sz w:val="16"/>
          <w:szCs w:val="16"/>
        </w:rPr>
        <w:t>SURGE can support in identifying the applicable STNs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31AC0" w14:textId="77777777" w:rsidR="006965F5" w:rsidRPr="00106936" w:rsidRDefault="006965F5" w:rsidP="006965F5">
    <w:pPr>
      <w:pStyle w:val="Header"/>
      <w:spacing w:line="192" w:lineRule="auto"/>
      <w:jc w:val="center"/>
      <w:rPr>
        <w:rFonts w:ascii="Arial Black" w:hAnsi="Arial Black" w:cstheme="majorHAnsi"/>
        <w:color w:val="0F9ED5" w:themeColor="accent4"/>
        <w:sz w:val="72"/>
        <w:szCs w:val="72"/>
      </w:rPr>
    </w:pPr>
    <w:r w:rsidRPr="0062249E">
      <w:rPr>
        <w:rFonts w:ascii="Arial Black" w:hAnsi="Arial Black" w:cstheme="majorHAnsi"/>
        <w:noProof/>
        <w:color w:val="F26839"/>
        <w:sz w:val="72"/>
        <w:szCs w:val="72"/>
        <w:lang w:eastAsia="en-AU"/>
      </w:rPr>
      <w:drawing>
        <wp:anchor distT="0" distB="0" distL="114300" distR="114300" simplePos="0" relativeHeight="251667456" behindDoc="1" locked="0" layoutInCell="1" allowOverlap="1" wp14:anchorId="7A7B9778" wp14:editId="726EDA17">
          <wp:simplePos x="0" y="0"/>
          <wp:positionH relativeFrom="page">
            <wp:posOffset>0</wp:posOffset>
          </wp:positionH>
          <wp:positionV relativeFrom="page">
            <wp:posOffset>1774417</wp:posOffset>
          </wp:positionV>
          <wp:extent cx="7555980" cy="5828032"/>
          <wp:effectExtent l="0" t="0" r="6985" b="1270"/>
          <wp:wrapNone/>
          <wp:docPr id="903927906" name="Picture 903927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8414" name="Picture 1647884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980" cy="58280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6936">
      <w:rPr>
        <w:rFonts w:ascii="Arial Black" w:hAnsi="Arial Black" w:cstheme="majorHAnsi"/>
        <w:color w:val="F26839"/>
        <w:sz w:val="72"/>
        <w:szCs w:val="72"/>
      </w:rPr>
      <w:t>SUPPORT UNIT FOR GENDER EQUALITY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6A6F060"/>
    <w:lvl w:ilvl="0">
      <w:start w:val="1"/>
      <w:numFmt w:val="bullet"/>
      <w:pStyle w:val="ListBullet"/>
      <w:lvlText w:val=""/>
      <w:lvlJc w:val="left"/>
      <w:pPr>
        <w:tabs>
          <w:tab w:val="num" w:pos="360"/>
        </w:tabs>
        <w:ind w:left="360" w:hanging="360"/>
      </w:pPr>
      <w:rPr>
        <w:rFonts w:ascii="Symbol" w:hAnsi="Symbol" w:hint="default"/>
        <w:color w:val="156082" w:themeColor="accent1"/>
      </w:rPr>
    </w:lvl>
  </w:abstractNum>
  <w:abstractNum w:abstractNumId="1" w15:restartNumberingAfterBreak="0">
    <w:nsid w:val="04E91201"/>
    <w:multiLevelType w:val="multilevel"/>
    <w:tmpl w:val="B0983D0E"/>
    <w:lvl w:ilvl="0">
      <w:start w:val="6"/>
      <w:numFmt w:val="decimal"/>
      <w:lvlText w:val="%1"/>
      <w:lvlJc w:val="left"/>
      <w:pPr>
        <w:ind w:left="380" w:hanging="38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2" w15:restartNumberingAfterBreak="0">
    <w:nsid w:val="095371FB"/>
    <w:multiLevelType w:val="hybridMultilevel"/>
    <w:tmpl w:val="2C229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BD27D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B935B6F"/>
    <w:multiLevelType w:val="hybridMultilevel"/>
    <w:tmpl w:val="91A4C090"/>
    <w:lvl w:ilvl="0" w:tplc="08E69ABC">
      <w:start w:val="448"/>
      <w:numFmt w:val="bullet"/>
      <w:lvlText w:val=""/>
      <w:lvlJc w:val="left"/>
      <w:pPr>
        <w:ind w:left="-633" w:hanging="360"/>
      </w:pPr>
      <w:rPr>
        <w:rFonts w:ascii="Symbol" w:eastAsiaTheme="minorHAnsi" w:hAnsi="Symbol" w:cstheme="minorBidi" w:hint="default"/>
      </w:rPr>
    </w:lvl>
    <w:lvl w:ilvl="1" w:tplc="0C090003" w:tentative="1">
      <w:start w:val="1"/>
      <w:numFmt w:val="bullet"/>
      <w:lvlText w:val="o"/>
      <w:lvlJc w:val="left"/>
      <w:pPr>
        <w:ind w:left="87" w:hanging="360"/>
      </w:pPr>
      <w:rPr>
        <w:rFonts w:ascii="Courier New" w:hAnsi="Courier New" w:cs="Courier New" w:hint="default"/>
      </w:rPr>
    </w:lvl>
    <w:lvl w:ilvl="2" w:tplc="0C090005" w:tentative="1">
      <w:start w:val="1"/>
      <w:numFmt w:val="bullet"/>
      <w:lvlText w:val=""/>
      <w:lvlJc w:val="left"/>
      <w:pPr>
        <w:ind w:left="807" w:hanging="360"/>
      </w:pPr>
      <w:rPr>
        <w:rFonts w:ascii="Wingdings" w:hAnsi="Wingdings" w:hint="default"/>
      </w:rPr>
    </w:lvl>
    <w:lvl w:ilvl="3" w:tplc="0C090001" w:tentative="1">
      <w:start w:val="1"/>
      <w:numFmt w:val="bullet"/>
      <w:lvlText w:val=""/>
      <w:lvlJc w:val="left"/>
      <w:pPr>
        <w:ind w:left="1527" w:hanging="360"/>
      </w:pPr>
      <w:rPr>
        <w:rFonts w:ascii="Symbol" w:hAnsi="Symbol" w:hint="default"/>
      </w:rPr>
    </w:lvl>
    <w:lvl w:ilvl="4" w:tplc="0C090003" w:tentative="1">
      <w:start w:val="1"/>
      <w:numFmt w:val="bullet"/>
      <w:lvlText w:val="o"/>
      <w:lvlJc w:val="left"/>
      <w:pPr>
        <w:ind w:left="2247" w:hanging="360"/>
      </w:pPr>
      <w:rPr>
        <w:rFonts w:ascii="Courier New" w:hAnsi="Courier New" w:cs="Courier New" w:hint="default"/>
      </w:rPr>
    </w:lvl>
    <w:lvl w:ilvl="5" w:tplc="0C090005" w:tentative="1">
      <w:start w:val="1"/>
      <w:numFmt w:val="bullet"/>
      <w:lvlText w:val=""/>
      <w:lvlJc w:val="left"/>
      <w:pPr>
        <w:ind w:left="2967" w:hanging="360"/>
      </w:pPr>
      <w:rPr>
        <w:rFonts w:ascii="Wingdings" w:hAnsi="Wingdings" w:hint="default"/>
      </w:rPr>
    </w:lvl>
    <w:lvl w:ilvl="6" w:tplc="0C090001" w:tentative="1">
      <w:start w:val="1"/>
      <w:numFmt w:val="bullet"/>
      <w:lvlText w:val=""/>
      <w:lvlJc w:val="left"/>
      <w:pPr>
        <w:ind w:left="3687" w:hanging="360"/>
      </w:pPr>
      <w:rPr>
        <w:rFonts w:ascii="Symbol" w:hAnsi="Symbol" w:hint="default"/>
      </w:rPr>
    </w:lvl>
    <w:lvl w:ilvl="7" w:tplc="0C090003" w:tentative="1">
      <w:start w:val="1"/>
      <w:numFmt w:val="bullet"/>
      <w:lvlText w:val="o"/>
      <w:lvlJc w:val="left"/>
      <w:pPr>
        <w:ind w:left="4407" w:hanging="360"/>
      </w:pPr>
      <w:rPr>
        <w:rFonts w:ascii="Courier New" w:hAnsi="Courier New" w:cs="Courier New" w:hint="default"/>
      </w:rPr>
    </w:lvl>
    <w:lvl w:ilvl="8" w:tplc="0C090005" w:tentative="1">
      <w:start w:val="1"/>
      <w:numFmt w:val="bullet"/>
      <w:lvlText w:val=""/>
      <w:lvlJc w:val="left"/>
      <w:pPr>
        <w:ind w:left="5127" w:hanging="360"/>
      </w:pPr>
      <w:rPr>
        <w:rFonts w:ascii="Wingdings" w:hAnsi="Wingdings" w:hint="default"/>
      </w:rPr>
    </w:lvl>
  </w:abstractNum>
  <w:abstractNum w:abstractNumId="5" w15:restartNumberingAfterBreak="0">
    <w:nsid w:val="32F759F1"/>
    <w:multiLevelType w:val="hybridMultilevel"/>
    <w:tmpl w:val="98A0B47A"/>
    <w:lvl w:ilvl="0" w:tplc="26FCF626">
      <w:start w:val="1"/>
      <w:numFmt w:val="decimal"/>
      <w:lvlText w:val="%1."/>
      <w:lvlJc w:val="left"/>
      <w:pPr>
        <w:ind w:left="1020" w:hanging="360"/>
      </w:pPr>
    </w:lvl>
    <w:lvl w:ilvl="1" w:tplc="9AD0CCC4">
      <w:start w:val="1"/>
      <w:numFmt w:val="decimal"/>
      <w:lvlText w:val="%2."/>
      <w:lvlJc w:val="left"/>
      <w:pPr>
        <w:ind w:left="1020" w:hanging="360"/>
      </w:pPr>
    </w:lvl>
    <w:lvl w:ilvl="2" w:tplc="1C7AFADA">
      <w:start w:val="1"/>
      <w:numFmt w:val="decimal"/>
      <w:lvlText w:val="%3."/>
      <w:lvlJc w:val="left"/>
      <w:pPr>
        <w:ind w:left="1020" w:hanging="360"/>
      </w:pPr>
    </w:lvl>
    <w:lvl w:ilvl="3" w:tplc="379CCC6C">
      <w:start w:val="1"/>
      <w:numFmt w:val="decimal"/>
      <w:lvlText w:val="%4."/>
      <w:lvlJc w:val="left"/>
      <w:pPr>
        <w:ind w:left="1020" w:hanging="360"/>
      </w:pPr>
    </w:lvl>
    <w:lvl w:ilvl="4" w:tplc="04A80612">
      <w:start w:val="1"/>
      <w:numFmt w:val="decimal"/>
      <w:lvlText w:val="%5."/>
      <w:lvlJc w:val="left"/>
      <w:pPr>
        <w:ind w:left="1020" w:hanging="360"/>
      </w:pPr>
    </w:lvl>
    <w:lvl w:ilvl="5" w:tplc="5DBA2A26">
      <w:start w:val="1"/>
      <w:numFmt w:val="decimal"/>
      <w:lvlText w:val="%6."/>
      <w:lvlJc w:val="left"/>
      <w:pPr>
        <w:ind w:left="1020" w:hanging="360"/>
      </w:pPr>
    </w:lvl>
    <w:lvl w:ilvl="6" w:tplc="53FA0F10">
      <w:start w:val="1"/>
      <w:numFmt w:val="decimal"/>
      <w:lvlText w:val="%7."/>
      <w:lvlJc w:val="left"/>
      <w:pPr>
        <w:ind w:left="1020" w:hanging="360"/>
      </w:pPr>
    </w:lvl>
    <w:lvl w:ilvl="7" w:tplc="4C1A0A28">
      <w:start w:val="1"/>
      <w:numFmt w:val="decimal"/>
      <w:lvlText w:val="%8."/>
      <w:lvlJc w:val="left"/>
      <w:pPr>
        <w:ind w:left="1020" w:hanging="360"/>
      </w:pPr>
    </w:lvl>
    <w:lvl w:ilvl="8" w:tplc="FDB0ED1A">
      <w:start w:val="1"/>
      <w:numFmt w:val="decimal"/>
      <w:lvlText w:val="%9."/>
      <w:lvlJc w:val="left"/>
      <w:pPr>
        <w:ind w:left="1020" w:hanging="360"/>
      </w:pPr>
    </w:lvl>
  </w:abstractNum>
  <w:abstractNum w:abstractNumId="6" w15:restartNumberingAfterBreak="0">
    <w:nsid w:val="34876964"/>
    <w:multiLevelType w:val="hybridMultilevel"/>
    <w:tmpl w:val="11069A28"/>
    <w:lvl w:ilvl="0" w:tplc="8D20A9EE">
      <w:start w:val="1"/>
      <w:numFmt w:val="upperLetter"/>
      <w:lvlText w:val="%1."/>
      <w:lvlJc w:val="left"/>
      <w:pPr>
        <w:ind w:left="720" w:hanging="360"/>
      </w:pPr>
      <w:rPr>
        <w:b/>
        <w:color w:val="0E2841" w:themeColor="text2"/>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AC4380A"/>
    <w:multiLevelType w:val="hybridMultilevel"/>
    <w:tmpl w:val="146CB2C0"/>
    <w:lvl w:ilvl="0" w:tplc="211233A0">
      <w:start w:val="1"/>
      <w:numFmt w:val="bullet"/>
      <w:lvlText w:val=""/>
      <w:lvlJc w:val="left"/>
      <w:pPr>
        <w:tabs>
          <w:tab w:val="num" w:pos="720"/>
        </w:tabs>
        <w:ind w:left="720" w:hanging="360"/>
      </w:pPr>
      <w:rPr>
        <w:rFonts w:ascii="Wingdings 3" w:hAnsi="Wingdings 3" w:hint="default"/>
      </w:rPr>
    </w:lvl>
    <w:lvl w:ilvl="1" w:tplc="0A7EE83E" w:tentative="1">
      <w:start w:val="1"/>
      <w:numFmt w:val="bullet"/>
      <w:lvlText w:val=""/>
      <w:lvlJc w:val="left"/>
      <w:pPr>
        <w:tabs>
          <w:tab w:val="num" w:pos="1440"/>
        </w:tabs>
        <w:ind w:left="1440" w:hanging="360"/>
      </w:pPr>
      <w:rPr>
        <w:rFonts w:ascii="Wingdings 3" w:hAnsi="Wingdings 3" w:hint="default"/>
      </w:rPr>
    </w:lvl>
    <w:lvl w:ilvl="2" w:tplc="2B54C0C8">
      <w:start w:val="1"/>
      <w:numFmt w:val="bullet"/>
      <w:lvlText w:val=""/>
      <w:lvlJc w:val="left"/>
      <w:pPr>
        <w:tabs>
          <w:tab w:val="num" w:pos="2160"/>
        </w:tabs>
        <w:ind w:left="2160" w:hanging="360"/>
      </w:pPr>
      <w:rPr>
        <w:rFonts w:ascii="Wingdings 3" w:hAnsi="Wingdings 3" w:hint="default"/>
      </w:rPr>
    </w:lvl>
    <w:lvl w:ilvl="3" w:tplc="69542D80" w:tentative="1">
      <w:start w:val="1"/>
      <w:numFmt w:val="bullet"/>
      <w:lvlText w:val=""/>
      <w:lvlJc w:val="left"/>
      <w:pPr>
        <w:tabs>
          <w:tab w:val="num" w:pos="2880"/>
        </w:tabs>
        <w:ind w:left="2880" w:hanging="360"/>
      </w:pPr>
      <w:rPr>
        <w:rFonts w:ascii="Wingdings 3" w:hAnsi="Wingdings 3" w:hint="default"/>
      </w:rPr>
    </w:lvl>
    <w:lvl w:ilvl="4" w:tplc="F72607BA" w:tentative="1">
      <w:start w:val="1"/>
      <w:numFmt w:val="bullet"/>
      <w:lvlText w:val=""/>
      <w:lvlJc w:val="left"/>
      <w:pPr>
        <w:tabs>
          <w:tab w:val="num" w:pos="3600"/>
        </w:tabs>
        <w:ind w:left="3600" w:hanging="360"/>
      </w:pPr>
      <w:rPr>
        <w:rFonts w:ascii="Wingdings 3" w:hAnsi="Wingdings 3" w:hint="default"/>
      </w:rPr>
    </w:lvl>
    <w:lvl w:ilvl="5" w:tplc="A39C206E" w:tentative="1">
      <w:start w:val="1"/>
      <w:numFmt w:val="bullet"/>
      <w:lvlText w:val=""/>
      <w:lvlJc w:val="left"/>
      <w:pPr>
        <w:tabs>
          <w:tab w:val="num" w:pos="4320"/>
        </w:tabs>
        <w:ind w:left="4320" w:hanging="360"/>
      </w:pPr>
      <w:rPr>
        <w:rFonts w:ascii="Wingdings 3" w:hAnsi="Wingdings 3" w:hint="default"/>
      </w:rPr>
    </w:lvl>
    <w:lvl w:ilvl="6" w:tplc="8DD6C306" w:tentative="1">
      <w:start w:val="1"/>
      <w:numFmt w:val="bullet"/>
      <w:lvlText w:val=""/>
      <w:lvlJc w:val="left"/>
      <w:pPr>
        <w:tabs>
          <w:tab w:val="num" w:pos="5040"/>
        </w:tabs>
        <w:ind w:left="5040" w:hanging="360"/>
      </w:pPr>
      <w:rPr>
        <w:rFonts w:ascii="Wingdings 3" w:hAnsi="Wingdings 3" w:hint="default"/>
      </w:rPr>
    </w:lvl>
    <w:lvl w:ilvl="7" w:tplc="55C60574" w:tentative="1">
      <w:start w:val="1"/>
      <w:numFmt w:val="bullet"/>
      <w:lvlText w:val=""/>
      <w:lvlJc w:val="left"/>
      <w:pPr>
        <w:tabs>
          <w:tab w:val="num" w:pos="5760"/>
        </w:tabs>
        <w:ind w:left="5760" w:hanging="360"/>
      </w:pPr>
      <w:rPr>
        <w:rFonts w:ascii="Wingdings 3" w:hAnsi="Wingdings 3" w:hint="default"/>
      </w:rPr>
    </w:lvl>
    <w:lvl w:ilvl="8" w:tplc="B59E1FD2"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3D48259D"/>
    <w:multiLevelType w:val="hybridMultilevel"/>
    <w:tmpl w:val="69E27078"/>
    <w:lvl w:ilvl="0" w:tplc="4E7E88B0">
      <w:start w:val="1"/>
      <w:numFmt w:val="decimal"/>
      <w:lvlText w:val="%1."/>
      <w:lvlJc w:val="left"/>
      <w:pPr>
        <w:ind w:left="1020" w:hanging="360"/>
      </w:pPr>
    </w:lvl>
    <w:lvl w:ilvl="1" w:tplc="3B544E46">
      <w:start w:val="1"/>
      <w:numFmt w:val="decimal"/>
      <w:lvlText w:val="%2."/>
      <w:lvlJc w:val="left"/>
      <w:pPr>
        <w:ind w:left="1020" w:hanging="360"/>
      </w:pPr>
    </w:lvl>
    <w:lvl w:ilvl="2" w:tplc="30A6A778">
      <w:start w:val="1"/>
      <w:numFmt w:val="decimal"/>
      <w:lvlText w:val="%3."/>
      <w:lvlJc w:val="left"/>
      <w:pPr>
        <w:ind w:left="1020" w:hanging="360"/>
      </w:pPr>
    </w:lvl>
    <w:lvl w:ilvl="3" w:tplc="413AD5CE">
      <w:start w:val="1"/>
      <w:numFmt w:val="decimal"/>
      <w:lvlText w:val="%4."/>
      <w:lvlJc w:val="left"/>
      <w:pPr>
        <w:ind w:left="1020" w:hanging="360"/>
      </w:pPr>
    </w:lvl>
    <w:lvl w:ilvl="4" w:tplc="BC6AAF96">
      <w:start w:val="1"/>
      <w:numFmt w:val="decimal"/>
      <w:lvlText w:val="%5."/>
      <w:lvlJc w:val="left"/>
      <w:pPr>
        <w:ind w:left="1020" w:hanging="360"/>
      </w:pPr>
    </w:lvl>
    <w:lvl w:ilvl="5" w:tplc="7B0A8A34">
      <w:start w:val="1"/>
      <w:numFmt w:val="decimal"/>
      <w:lvlText w:val="%6."/>
      <w:lvlJc w:val="left"/>
      <w:pPr>
        <w:ind w:left="1020" w:hanging="360"/>
      </w:pPr>
    </w:lvl>
    <w:lvl w:ilvl="6" w:tplc="96888026">
      <w:start w:val="1"/>
      <w:numFmt w:val="decimal"/>
      <w:lvlText w:val="%7."/>
      <w:lvlJc w:val="left"/>
      <w:pPr>
        <w:ind w:left="1020" w:hanging="360"/>
      </w:pPr>
    </w:lvl>
    <w:lvl w:ilvl="7" w:tplc="CF047258">
      <w:start w:val="1"/>
      <w:numFmt w:val="decimal"/>
      <w:lvlText w:val="%8."/>
      <w:lvlJc w:val="left"/>
      <w:pPr>
        <w:ind w:left="1020" w:hanging="360"/>
      </w:pPr>
    </w:lvl>
    <w:lvl w:ilvl="8" w:tplc="1F9E3E02">
      <w:start w:val="1"/>
      <w:numFmt w:val="decimal"/>
      <w:lvlText w:val="%9."/>
      <w:lvlJc w:val="left"/>
      <w:pPr>
        <w:ind w:left="1020" w:hanging="360"/>
      </w:pPr>
    </w:lvl>
  </w:abstractNum>
  <w:abstractNum w:abstractNumId="9" w15:restartNumberingAfterBreak="0">
    <w:nsid w:val="4D8122C7"/>
    <w:multiLevelType w:val="hybridMultilevel"/>
    <w:tmpl w:val="DE367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923294"/>
    <w:multiLevelType w:val="multilevel"/>
    <w:tmpl w:val="273EC518"/>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11" w15:restartNumberingAfterBreak="0">
    <w:nsid w:val="5B452C59"/>
    <w:multiLevelType w:val="hybridMultilevel"/>
    <w:tmpl w:val="2A9C06EC"/>
    <w:lvl w:ilvl="0" w:tplc="E0B6561C">
      <w:start w:val="1"/>
      <w:numFmt w:val="bullet"/>
      <w:lvlText w:val=""/>
      <w:lvlJc w:val="left"/>
      <w:pPr>
        <w:tabs>
          <w:tab w:val="num" w:pos="720"/>
        </w:tabs>
        <w:ind w:left="720" w:hanging="360"/>
      </w:pPr>
      <w:rPr>
        <w:rFonts w:ascii="Wingdings 3" w:hAnsi="Wingdings 3" w:hint="default"/>
      </w:rPr>
    </w:lvl>
    <w:lvl w:ilvl="1" w:tplc="F202F74E" w:tentative="1">
      <w:start w:val="1"/>
      <w:numFmt w:val="bullet"/>
      <w:lvlText w:val=""/>
      <w:lvlJc w:val="left"/>
      <w:pPr>
        <w:tabs>
          <w:tab w:val="num" w:pos="1440"/>
        </w:tabs>
        <w:ind w:left="1440" w:hanging="360"/>
      </w:pPr>
      <w:rPr>
        <w:rFonts w:ascii="Wingdings 3" w:hAnsi="Wingdings 3" w:hint="default"/>
      </w:rPr>
    </w:lvl>
    <w:lvl w:ilvl="2" w:tplc="23C8357C">
      <w:start w:val="1"/>
      <w:numFmt w:val="bullet"/>
      <w:lvlText w:val=""/>
      <w:lvlJc w:val="left"/>
      <w:pPr>
        <w:tabs>
          <w:tab w:val="num" w:pos="2160"/>
        </w:tabs>
        <w:ind w:left="2160" w:hanging="360"/>
      </w:pPr>
      <w:rPr>
        <w:rFonts w:ascii="Wingdings 3" w:hAnsi="Wingdings 3" w:hint="default"/>
      </w:rPr>
    </w:lvl>
    <w:lvl w:ilvl="3" w:tplc="4A946690" w:tentative="1">
      <w:start w:val="1"/>
      <w:numFmt w:val="bullet"/>
      <w:lvlText w:val=""/>
      <w:lvlJc w:val="left"/>
      <w:pPr>
        <w:tabs>
          <w:tab w:val="num" w:pos="2880"/>
        </w:tabs>
        <w:ind w:left="2880" w:hanging="360"/>
      </w:pPr>
      <w:rPr>
        <w:rFonts w:ascii="Wingdings 3" w:hAnsi="Wingdings 3" w:hint="default"/>
      </w:rPr>
    </w:lvl>
    <w:lvl w:ilvl="4" w:tplc="2ACACE4E" w:tentative="1">
      <w:start w:val="1"/>
      <w:numFmt w:val="bullet"/>
      <w:lvlText w:val=""/>
      <w:lvlJc w:val="left"/>
      <w:pPr>
        <w:tabs>
          <w:tab w:val="num" w:pos="3600"/>
        </w:tabs>
        <w:ind w:left="3600" w:hanging="360"/>
      </w:pPr>
      <w:rPr>
        <w:rFonts w:ascii="Wingdings 3" w:hAnsi="Wingdings 3" w:hint="default"/>
      </w:rPr>
    </w:lvl>
    <w:lvl w:ilvl="5" w:tplc="3FFC2FF0" w:tentative="1">
      <w:start w:val="1"/>
      <w:numFmt w:val="bullet"/>
      <w:lvlText w:val=""/>
      <w:lvlJc w:val="left"/>
      <w:pPr>
        <w:tabs>
          <w:tab w:val="num" w:pos="4320"/>
        </w:tabs>
        <w:ind w:left="4320" w:hanging="360"/>
      </w:pPr>
      <w:rPr>
        <w:rFonts w:ascii="Wingdings 3" w:hAnsi="Wingdings 3" w:hint="default"/>
      </w:rPr>
    </w:lvl>
    <w:lvl w:ilvl="6" w:tplc="6ADE4EC0" w:tentative="1">
      <w:start w:val="1"/>
      <w:numFmt w:val="bullet"/>
      <w:lvlText w:val=""/>
      <w:lvlJc w:val="left"/>
      <w:pPr>
        <w:tabs>
          <w:tab w:val="num" w:pos="5040"/>
        </w:tabs>
        <w:ind w:left="5040" w:hanging="360"/>
      </w:pPr>
      <w:rPr>
        <w:rFonts w:ascii="Wingdings 3" w:hAnsi="Wingdings 3" w:hint="default"/>
      </w:rPr>
    </w:lvl>
    <w:lvl w:ilvl="7" w:tplc="9C2A71F6" w:tentative="1">
      <w:start w:val="1"/>
      <w:numFmt w:val="bullet"/>
      <w:lvlText w:val=""/>
      <w:lvlJc w:val="left"/>
      <w:pPr>
        <w:tabs>
          <w:tab w:val="num" w:pos="5760"/>
        </w:tabs>
        <w:ind w:left="5760" w:hanging="360"/>
      </w:pPr>
      <w:rPr>
        <w:rFonts w:ascii="Wingdings 3" w:hAnsi="Wingdings 3" w:hint="default"/>
      </w:rPr>
    </w:lvl>
    <w:lvl w:ilvl="8" w:tplc="6F44E9C6"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6F6673E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218404D"/>
    <w:multiLevelType w:val="multilevel"/>
    <w:tmpl w:val="7EEE0EE8"/>
    <w:lvl w:ilvl="0">
      <w:start w:val="1"/>
      <w:numFmt w:val="decimal"/>
      <w:pStyle w:val="ANNEXHEADING"/>
      <w:lvlText w:val="Annex %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14" w15:restartNumberingAfterBreak="0">
    <w:nsid w:val="7F9B3E3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17208860">
    <w:abstractNumId w:val="6"/>
  </w:num>
  <w:num w:numId="2" w16cid:durableId="380908730">
    <w:abstractNumId w:val="2"/>
  </w:num>
  <w:num w:numId="3" w16cid:durableId="2110814124">
    <w:abstractNumId w:val="11"/>
  </w:num>
  <w:num w:numId="4" w16cid:durableId="365564424">
    <w:abstractNumId w:val="7"/>
  </w:num>
  <w:num w:numId="5" w16cid:durableId="177889407">
    <w:abstractNumId w:val="3"/>
  </w:num>
  <w:num w:numId="6" w16cid:durableId="641928267">
    <w:abstractNumId w:val="9"/>
  </w:num>
  <w:num w:numId="7" w16cid:durableId="2089881561">
    <w:abstractNumId w:val="14"/>
  </w:num>
  <w:num w:numId="8" w16cid:durableId="1646353594">
    <w:abstractNumId w:val="4"/>
  </w:num>
  <w:num w:numId="9" w16cid:durableId="315189342">
    <w:abstractNumId w:val="8"/>
  </w:num>
  <w:num w:numId="10" w16cid:durableId="1332878829">
    <w:abstractNumId w:val="5"/>
  </w:num>
  <w:num w:numId="11" w16cid:durableId="2068216149">
    <w:abstractNumId w:val="12"/>
  </w:num>
  <w:num w:numId="12" w16cid:durableId="1321346473">
    <w:abstractNumId w:val="1"/>
  </w:num>
  <w:num w:numId="13" w16cid:durableId="1622229431">
    <w:abstractNumId w:val="10"/>
  </w:num>
  <w:num w:numId="14" w16cid:durableId="465125552">
    <w:abstractNumId w:val="0"/>
  </w:num>
  <w:num w:numId="15" w16cid:durableId="165754309">
    <w:abstractNumId w:val="13"/>
  </w:num>
  <w:num w:numId="16" w16cid:durableId="1753238064">
    <w:abstractNumId w:val="10"/>
  </w:num>
  <w:num w:numId="17" w16cid:durableId="697700815">
    <w:abstractNumId w:val="10"/>
  </w:num>
  <w:num w:numId="18" w16cid:durableId="172884484">
    <w:abstractNumId w:val="10"/>
  </w:num>
  <w:num w:numId="19" w16cid:durableId="1700425851">
    <w:abstractNumId w:val="10"/>
  </w:num>
  <w:num w:numId="20" w16cid:durableId="11580374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3D9"/>
    <w:rsid w:val="0000087F"/>
    <w:rsid w:val="00011DBB"/>
    <w:rsid w:val="000176FA"/>
    <w:rsid w:val="000235F0"/>
    <w:rsid w:val="00026367"/>
    <w:rsid w:val="000270C3"/>
    <w:rsid w:val="000358CE"/>
    <w:rsid w:val="000358E1"/>
    <w:rsid w:val="000468B6"/>
    <w:rsid w:val="00047F66"/>
    <w:rsid w:val="0006007F"/>
    <w:rsid w:val="00070973"/>
    <w:rsid w:val="000740EB"/>
    <w:rsid w:val="00076CE9"/>
    <w:rsid w:val="0008163E"/>
    <w:rsid w:val="0008250C"/>
    <w:rsid w:val="00093609"/>
    <w:rsid w:val="000A00B9"/>
    <w:rsid w:val="000A0DD6"/>
    <w:rsid w:val="000A3DF8"/>
    <w:rsid w:val="000B03EF"/>
    <w:rsid w:val="000B1986"/>
    <w:rsid w:val="000B22E4"/>
    <w:rsid w:val="000B5189"/>
    <w:rsid w:val="000B7668"/>
    <w:rsid w:val="000B7C23"/>
    <w:rsid w:val="000C08EF"/>
    <w:rsid w:val="000C5372"/>
    <w:rsid w:val="000C55E7"/>
    <w:rsid w:val="000C5917"/>
    <w:rsid w:val="000C7B70"/>
    <w:rsid w:val="000C7FC9"/>
    <w:rsid w:val="000D0C9A"/>
    <w:rsid w:val="000D2F91"/>
    <w:rsid w:val="000D5318"/>
    <w:rsid w:val="000E5F37"/>
    <w:rsid w:val="000F03C3"/>
    <w:rsid w:val="000F3150"/>
    <w:rsid w:val="000F7F71"/>
    <w:rsid w:val="00100391"/>
    <w:rsid w:val="00102BA7"/>
    <w:rsid w:val="00105919"/>
    <w:rsid w:val="001067EF"/>
    <w:rsid w:val="001102BE"/>
    <w:rsid w:val="00111176"/>
    <w:rsid w:val="0011566F"/>
    <w:rsid w:val="0011582F"/>
    <w:rsid w:val="00120068"/>
    <w:rsid w:val="001204C7"/>
    <w:rsid w:val="00126C57"/>
    <w:rsid w:val="00135BE7"/>
    <w:rsid w:val="001407DE"/>
    <w:rsid w:val="00142E14"/>
    <w:rsid w:val="001474CF"/>
    <w:rsid w:val="001476C5"/>
    <w:rsid w:val="00150394"/>
    <w:rsid w:val="00151155"/>
    <w:rsid w:val="00162283"/>
    <w:rsid w:val="001625FD"/>
    <w:rsid w:val="0016582B"/>
    <w:rsid w:val="00166210"/>
    <w:rsid w:val="0017242D"/>
    <w:rsid w:val="00175AB8"/>
    <w:rsid w:val="00177CC4"/>
    <w:rsid w:val="001801EC"/>
    <w:rsid w:val="001843C7"/>
    <w:rsid w:val="00184511"/>
    <w:rsid w:val="00186C9B"/>
    <w:rsid w:val="001958CA"/>
    <w:rsid w:val="001A0E86"/>
    <w:rsid w:val="001A1F0C"/>
    <w:rsid w:val="001A2785"/>
    <w:rsid w:val="001A3243"/>
    <w:rsid w:val="001A7DCF"/>
    <w:rsid w:val="001B177A"/>
    <w:rsid w:val="001B3592"/>
    <w:rsid w:val="001B560F"/>
    <w:rsid w:val="001B5949"/>
    <w:rsid w:val="001C02B3"/>
    <w:rsid w:val="001C3994"/>
    <w:rsid w:val="001C48A3"/>
    <w:rsid w:val="001C51FB"/>
    <w:rsid w:val="001C7CCB"/>
    <w:rsid w:val="001D1C28"/>
    <w:rsid w:val="001D4EF8"/>
    <w:rsid w:val="001D6AE7"/>
    <w:rsid w:val="001E2A0D"/>
    <w:rsid w:val="0020312E"/>
    <w:rsid w:val="00207076"/>
    <w:rsid w:val="00220F84"/>
    <w:rsid w:val="0022151B"/>
    <w:rsid w:val="00222994"/>
    <w:rsid w:val="0022796D"/>
    <w:rsid w:val="0023100B"/>
    <w:rsid w:val="00231709"/>
    <w:rsid w:val="00231E2F"/>
    <w:rsid w:val="00242D96"/>
    <w:rsid w:val="00242ECF"/>
    <w:rsid w:val="00257E68"/>
    <w:rsid w:val="00260293"/>
    <w:rsid w:val="0026329E"/>
    <w:rsid w:val="00263496"/>
    <w:rsid w:val="00266810"/>
    <w:rsid w:val="00270BA9"/>
    <w:rsid w:val="00273550"/>
    <w:rsid w:val="00274E61"/>
    <w:rsid w:val="0028044F"/>
    <w:rsid w:val="00282018"/>
    <w:rsid w:val="002836F2"/>
    <w:rsid w:val="0028530A"/>
    <w:rsid w:val="00285E6B"/>
    <w:rsid w:val="0029229F"/>
    <w:rsid w:val="00294868"/>
    <w:rsid w:val="00296F62"/>
    <w:rsid w:val="002A407A"/>
    <w:rsid w:val="002A52CE"/>
    <w:rsid w:val="002B77CA"/>
    <w:rsid w:val="002C2332"/>
    <w:rsid w:val="002C3DDF"/>
    <w:rsid w:val="002C4939"/>
    <w:rsid w:val="002D0D98"/>
    <w:rsid w:val="002D2DAF"/>
    <w:rsid w:val="002D40A3"/>
    <w:rsid w:val="002D4117"/>
    <w:rsid w:val="002D5C4B"/>
    <w:rsid w:val="002D6BF5"/>
    <w:rsid w:val="002D7104"/>
    <w:rsid w:val="002E0455"/>
    <w:rsid w:val="002E34BC"/>
    <w:rsid w:val="002F2537"/>
    <w:rsid w:val="002F31A5"/>
    <w:rsid w:val="002F488D"/>
    <w:rsid w:val="002F723A"/>
    <w:rsid w:val="003002A7"/>
    <w:rsid w:val="00303903"/>
    <w:rsid w:val="003059B1"/>
    <w:rsid w:val="00307264"/>
    <w:rsid w:val="00311203"/>
    <w:rsid w:val="003119DE"/>
    <w:rsid w:val="003147D7"/>
    <w:rsid w:val="003150D3"/>
    <w:rsid w:val="003248FB"/>
    <w:rsid w:val="003251BA"/>
    <w:rsid w:val="00337D40"/>
    <w:rsid w:val="00340ADF"/>
    <w:rsid w:val="00341EAD"/>
    <w:rsid w:val="00346E45"/>
    <w:rsid w:val="003558CD"/>
    <w:rsid w:val="003646DE"/>
    <w:rsid w:val="0037084E"/>
    <w:rsid w:val="003712E4"/>
    <w:rsid w:val="00373C41"/>
    <w:rsid w:val="00374232"/>
    <w:rsid w:val="003760D2"/>
    <w:rsid w:val="00381C2B"/>
    <w:rsid w:val="003847EC"/>
    <w:rsid w:val="003852A6"/>
    <w:rsid w:val="003869D8"/>
    <w:rsid w:val="0038773A"/>
    <w:rsid w:val="003979D8"/>
    <w:rsid w:val="003A0AF3"/>
    <w:rsid w:val="003A3592"/>
    <w:rsid w:val="003C03EF"/>
    <w:rsid w:val="003C07B9"/>
    <w:rsid w:val="003C4736"/>
    <w:rsid w:val="003D0CAF"/>
    <w:rsid w:val="003D2CF5"/>
    <w:rsid w:val="003D3610"/>
    <w:rsid w:val="003E08A8"/>
    <w:rsid w:val="003E21F1"/>
    <w:rsid w:val="003E2792"/>
    <w:rsid w:val="003E2CDB"/>
    <w:rsid w:val="003E54C6"/>
    <w:rsid w:val="003E6917"/>
    <w:rsid w:val="003E7281"/>
    <w:rsid w:val="003F6F3D"/>
    <w:rsid w:val="00401E1F"/>
    <w:rsid w:val="00407E02"/>
    <w:rsid w:val="00412318"/>
    <w:rsid w:val="00412DD5"/>
    <w:rsid w:val="00413E12"/>
    <w:rsid w:val="00415A5A"/>
    <w:rsid w:val="00417384"/>
    <w:rsid w:val="00421F20"/>
    <w:rsid w:val="004232AE"/>
    <w:rsid w:val="0042558A"/>
    <w:rsid w:val="00430751"/>
    <w:rsid w:val="00431721"/>
    <w:rsid w:val="004339BD"/>
    <w:rsid w:val="0043776F"/>
    <w:rsid w:val="00440AEA"/>
    <w:rsid w:val="00443761"/>
    <w:rsid w:val="00443800"/>
    <w:rsid w:val="004441EC"/>
    <w:rsid w:val="004468B6"/>
    <w:rsid w:val="00447B78"/>
    <w:rsid w:val="004530B1"/>
    <w:rsid w:val="0045383A"/>
    <w:rsid w:val="00456D72"/>
    <w:rsid w:val="0046125F"/>
    <w:rsid w:val="004674F9"/>
    <w:rsid w:val="0047018F"/>
    <w:rsid w:val="00470918"/>
    <w:rsid w:val="004729CD"/>
    <w:rsid w:val="00472CF8"/>
    <w:rsid w:val="00474162"/>
    <w:rsid w:val="00483444"/>
    <w:rsid w:val="004844B3"/>
    <w:rsid w:val="00484A9B"/>
    <w:rsid w:val="00487CCE"/>
    <w:rsid w:val="004950C7"/>
    <w:rsid w:val="004968C2"/>
    <w:rsid w:val="004A2925"/>
    <w:rsid w:val="004A32EC"/>
    <w:rsid w:val="004A5F11"/>
    <w:rsid w:val="004B03E6"/>
    <w:rsid w:val="004B1DF9"/>
    <w:rsid w:val="004B3BF3"/>
    <w:rsid w:val="004B4ED0"/>
    <w:rsid w:val="004B7F6F"/>
    <w:rsid w:val="004C099E"/>
    <w:rsid w:val="004C24F6"/>
    <w:rsid w:val="004C4D46"/>
    <w:rsid w:val="004C4ECB"/>
    <w:rsid w:val="004C5192"/>
    <w:rsid w:val="004C7073"/>
    <w:rsid w:val="004D23A4"/>
    <w:rsid w:val="004D5007"/>
    <w:rsid w:val="004E0990"/>
    <w:rsid w:val="004E0F86"/>
    <w:rsid w:val="004E1A98"/>
    <w:rsid w:val="004E4472"/>
    <w:rsid w:val="004E6C37"/>
    <w:rsid w:val="004F31E3"/>
    <w:rsid w:val="00500015"/>
    <w:rsid w:val="00507E2E"/>
    <w:rsid w:val="00510E25"/>
    <w:rsid w:val="005114B5"/>
    <w:rsid w:val="00514895"/>
    <w:rsid w:val="00514F91"/>
    <w:rsid w:val="00515E6E"/>
    <w:rsid w:val="00516C7D"/>
    <w:rsid w:val="00520683"/>
    <w:rsid w:val="00521AC9"/>
    <w:rsid w:val="00526505"/>
    <w:rsid w:val="0053008F"/>
    <w:rsid w:val="00533440"/>
    <w:rsid w:val="005416D3"/>
    <w:rsid w:val="00547E1B"/>
    <w:rsid w:val="00550602"/>
    <w:rsid w:val="0055097C"/>
    <w:rsid w:val="005721F7"/>
    <w:rsid w:val="005825B6"/>
    <w:rsid w:val="00586E1B"/>
    <w:rsid w:val="00587E1F"/>
    <w:rsid w:val="00594099"/>
    <w:rsid w:val="005A01F4"/>
    <w:rsid w:val="005A3E4C"/>
    <w:rsid w:val="005A40AF"/>
    <w:rsid w:val="005A52FE"/>
    <w:rsid w:val="005A61D8"/>
    <w:rsid w:val="005A7394"/>
    <w:rsid w:val="005B0B40"/>
    <w:rsid w:val="005B5152"/>
    <w:rsid w:val="005C3545"/>
    <w:rsid w:val="005D14F1"/>
    <w:rsid w:val="005D45C1"/>
    <w:rsid w:val="005E3D36"/>
    <w:rsid w:val="005F1275"/>
    <w:rsid w:val="005F7093"/>
    <w:rsid w:val="006009FC"/>
    <w:rsid w:val="006020F6"/>
    <w:rsid w:val="0061315D"/>
    <w:rsid w:val="00614085"/>
    <w:rsid w:val="00616A98"/>
    <w:rsid w:val="006208F7"/>
    <w:rsid w:val="0063056D"/>
    <w:rsid w:val="0063184C"/>
    <w:rsid w:val="006323B4"/>
    <w:rsid w:val="006357C6"/>
    <w:rsid w:val="00637409"/>
    <w:rsid w:val="006419AA"/>
    <w:rsid w:val="006529B3"/>
    <w:rsid w:val="00653C64"/>
    <w:rsid w:val="00654D50"/>
    <w:rsid w:val="00657E95"/>
    <w:rsid w:val="006834E0"/>
    <w:rsid w:val="006863AA"/>
    <w:rsid w:val="00695DC4"/>
    <w:rsid w:val="006965F5"/>
    <w:rsid w:val="006A60DC"/>
    <w:rsid w:val="006C403B"/>
    <w:rsid w:val="006C4375"/>
    <w:rsid w:val="006D707A"/>
    <w:rsid w:val="006E4313"/>
    <w:rsid w:val="006E6B96"/>
    <w:rsid w:val="006F2E18"/>
    <w:rsid w:val="006F615C"/>
    <w:rsid w:val="00700C0E"/>
    <w:rsid w:val="007053D9"/>
    <w:rsid w:val="00705D4C"/>
    <w:rsid w:val="0071244D"/>
    <w:rsid w:val="00713EE6"/>
    <w:rsid w:val="0071669C"/>
    <w:rsid w:val="00721FE7"/>
    <w:rsid w:val="007314C0"/>
    <w:rsid w:val="00733416"/>
    <w:rsid w:val="0073571E"/>
    <w:rsid w:val="00737373"/>
    <w:rsid w:val="00740960"/>
    <w:rsid w:val="00746A44"/>
    <w:rsid w:val="00750C22"/>
    <w:rsid w:val="00755136"/>
    <w:rsid w:val="00755489"/>
    <w:rsid w:val="00755584"/>
    <w:rsid w:val="00756A28"/>
    <w:rsid w:val="007608B1"/>
    <w:rsid w:val="00763535"/>
    <w:rsid w:val="00763A48"/>
    <w:rsid w:val="007661C7"/>
    <w:rsid w:val="00773E0C"/>
    <w:rsid w:val="0077530F"/>
    <w:rsid w:val="007863F3"/>
    <w:rsid w:val="00786A84"/>
    <w:rsid w:val="00792F9B"/>
    <w:rsid w:val="00795E03"/>
    <w:rsid w:val="007A2B4B"/>
    <w:rsid w:val="007A3F41"/>
    <w:rsid w:val="007A7042"/>
    <w:rsid w:val="007B5E30"/>
    <w:rsid w:val="007D0012"/>
    <w:rsid w:val="007D192D"/>
    <w:rsid w:val="007D55F7"/>
    <w:rsid w:val="007E01DF"/>
    <w:rsid w:val="007E0733"/>
    <w:rsid w:val="007E0A60"/>
    <w:rsid w:val="007E506F"/>
    <w:rsid w:val="007E5E77"/>
    <w:rsid w:val="007E7632"/>
    <w:rsid w:val="007F1BBD"/>
    <w:rsid w:val="00800AF6"/>
    <w:rsid w:val="008020E4"/>
    <w:rsid w:val="00807123"/>
    <w:rsid w:val="00822A2E"/>
    <w:rsid w:val="00824F77"/>
    <w:rsid w:val="00830263"/>
    <w:rsid w:val="00834065"/>
    <w:rsid w:val="008341C9"/>
    <w:rsid w:val="008356B5"/>
    <w:rsid w:val="00837D69"/>
    <w:rsid w:val="00840246"/>
    <w:rsid w:val="008425FC"/>
    <w:rsid w:val="00842F78"/>
    <w:rsid w:val="008451CB"/>
    <w:rsid w:val="008452A6"/>
    <w:rsid w:val="00855F16"/>
    <w:rsid w:val="00861291"/>
    <w:rsid w:val="00861E3F"/>
    <w:rsid w:val="008701A8"/>
    <w:rsid w:val="008735F9"/>
    <w:rsid w:val="00873B46"/>
    <w:rsid w:val="008745C0"/>
    <w:rsid w:val="008765C2"/>
    <w:rsid w:val="00885562"/>
    <w:rsid w:val="008857EC"/>
    <w:rsid w:val="00887E4F"/>
    <w:rsid w:val="00894311"/>
    <w:rsid w:val="008A1662"/>
    <w:rsid w:val="008A178F"/>
    <w:rsid w:val="008A6C1F"/>
    <w:rsid w:val="008B4101"/>
    <w:rsid w:val="008C1B1D"/>
    <w:rsid w:val="008C31FF"/>
    <w:rsid w:val="008C396B"/>
    <w:rsid w:val="008C5792"/>
    <w:rsid w:val="008C6DF2"/>
    <w:rsid w:val="008D1655"/>
    <w:rsid w:val="008D4D03"/>
    <w:rsid w:val="008D6566"/>
    <w:rsid w:val="008D6C45"/>
    <w:rsid w:val="008D75D1"/>
    <w:rsid w:val="008E0AB8"/>
    <w:rsid w:val="008E7301"/>
    <w:rsid w:val="008F78E4"/>
    <w:rsid w:val="00913BD9"/>
    <w:rsid w:val="009166C6"/>
    <w:rsid w:val="009166DB"/>
    <w:rsid w:val="00916EE4"/>
    <w:rsid w:val="0092452F"/>
    <w:rsid w:val="00930888"/>
    <w:rsid w:val="00930F50"/>
    <w:rsid w:val="00935C99"/>
    <w:rsid w:val="0093602C"/>
    <w:rsid w:val="00941562"/>
    <w:rsid w:val="009519D9"/>
    <w:rsid w:val="00953810"/>
    <w:rsid w:val="009577DF"/>
    <w:rsid w:val="00963A46"/>
    <w:rsid w:val="009640C0"/>
    <w:rsid w:val="00974306"/>
    <w:rsid w:val="00981641"/>
    <w:rsid w:val="00983868"/>
    <w:rsid w:val="00986281"/>
    <w:rsid w:val="00990303"/>
    <w:rsid w:val="00993B42"/>
    <w:rsid w:val="00995CE6"/>
    <w:rsid w:val="009A2681"/>
    <w:rsid w:val="009A56E8"/>
    <w:rsid w:val="009A6F7A"/>
    <w:rsid w:val="009B44F0"/>
    <w:rsid w:val="009B4A6B"/>
    <w:rsid w:val="009B6B14"/>
    <w:rsid w:val="009B7782"/>
    <w:rsid w:val="009C0250"/>
    <w:rsid w:val="009C06ED"/>
    <w:rsid w:val="009C1E10"/>
    <w:rsid w:val="009C46A6"/>
    <w:rsid w:val="009C72FF"/>
    <w:rsid w:val="009D26F2"/>
    <w:rsid w:val="009D3577"/>
    <w:rsid w:val="009D368F"/>
    <w:rsid w:val="009D7D04"/>
    <w:rsid w:val="009E35D4"/>
    <w:rsid w:val="009E6CB6"/>
    <w:rsid w:val="009F23B3"/>
    <w:rsid w:val="009F3F3E"/>
    <w:rsid w:val="009F4381"/>
    <w:rsid w:val="009F4FCE"/>
    <w:rsid w:val="009F7570"/>
    <w:rsid w:val="00A02CB8"/>
    <w:rsid w:val="00A0456E"/>
    <w:rsid w:val="00A10935"/>
    <w:rsid w:val="00A12903"/>
    <w:rsid w:val="00A202DB"/>
    <w:rsid w:val="00A2230F"/>
    <w:rsid w:val="00A22B5C"/>
    <w:rsid w:val="00A2537E"/>
    <w:rsid w:val="00A26949"/>
    <w:rsid w:val="00A309A2"/>
    <w:rsid w:val="00A31CE8"/>
    <w:rsid w:val="00A3221B"/>
    <w:rsid w:val="00A32AE6"/>
    <w:rsid w:val="00A36E43"/>
    <w:rsid w:val="00A402B8"/>
    <w:rsid w:val="00A56346"/>
    <w:rsid w:val="00A62C89"/>
    <w:rsid w:val="00A62DE8"/>
    <w:rsid w:val="00A7066D"/>
    <w:rsid w:val="00A70ADC"/>
    <w:rsid w:val="00A73C93"/>
    <w:rsid w:val="00A769DE"/>
    <w:rsid w:val="00A76AB3"/>
    <w:rsid w:val="00A8506E"/>
    <w:rsid w:val="00A91EDE"/>
    <w:rsid w:val="00A93B10"/>
    <w:rsid w:val="00A97D9A"/>
    <w:rsid w:val="00AB03AE"/>
    <w:rsid w:val="00AB0F94"/>
    <w:rsid w:val="00AB10EE"/>
    <w:rsid w:val="00AC041A"/>
    <w:rsid w:val="00AC18ED"/>
    <w:rsid w:val="00AC2F2D"/>
    <w:rsid w:val="00AC5AD8"/>
    <w:rsid w:val="00AC7D25"/>
    <w:rsid w:val="00AD3981"/>
    <w:rsid w:val="00AD6286"/>
    <w:rsid w:val="00AD7B99"/>
    <w:rsid w:val="00AE236C"/>
    <w:rsid w:val="00AF3E3A"/>
    <w:rsid w:val="00B00446"/>
    <w:rsid w:val="00B01C2C"/>
    <w:rsid w:val="00B05178"/>
    <w:rsid w:val="00B16503"/>
    <w:rsid w:val="00B17628"/>
    <w:rsid w:val="00B20328"/>
    <w:rsid w:val="00B20F2B"/>
    <w:rsid w:val="00B23E74"/>
    <w:rsid w:val="00B25FAC"/>
    <w:rsid w:val="00B27945"/>
    <w:rsid w:val="00B304FD"/>
    <w:rsid w:val="00B30A80"/>
    <w:rsid w:val="00B31509"/>
    <w:rsid w:val="00B35308"/>
    <w:rsid w:val="00B468B4"/>
    <w:rsid w:val="00B54845"/>
    <w:rsid w:val="00B5537C"/>
    <w:rsid w:val="00B617E8"/>
    <w:rsid w:val="00B61912"/>
    <w:rsid w:val="00B619E9"/>
    <w:rsid w:val="00B65532"/>
    <w:rsid w:val="00B701B7"/>
    <w:rsid w:val="00B76132"/>
    <w:rsid w:val="00B76F68"/>
    <w:rsid w:val="00B802B6"/>
    <w:rsid w:val="00B83387"/>
    <w:rsid w:val="00B8574F"/>
    <w:rsid w:val="00B91210"/>
    <w:rsid w:val="00B96D2B"/>
    <w:rsid w:val="00B9779B"/>
    <w:rsid w:val="00BA1EA3"/>
    <w:rsid w:val="00BA3105"/>
    <w:rsid w:val="00BA3C26"/>
    <w:rsid w:val="00BA44AC"/>
    <w:rsid w:val="00BB352A"/>
    <w:rsid w:val="00BB6A3E"/>
    <w:rsid w:val="00BC0F31"/>
    <w:rsid w:val="00BC4626"/>
    <w:rsid w:val="00BD15ED"/>
    <w:rsid w:val="00BD3DDE"/>
    <w:rsid w:val="00BD4587"/>
    <w:rsid w:val="00BD563F"/>
    <w:rsid w:val="00BD5F39"/>
    <w:rsid w:val="00BD6457"/>
    <w:rsid w:val="00BE3B1F"/>
    <w:rsid w:val="00BE426A"/>
    <w:rsid w:val="00BF2488"/>
    <w:rsid w:val="00BF492E"/>
    <w:rsid w:val="00C02B2F"/>
    <w:rsid w:val="00C02DA5"/>
    <w:rsid w:val="00C07702"/>
    <w:rsid w:val="00C11B98"/>
    <w:rsid w:val="00C12AB7"/>
    <w:rsid w:val="00C1526D"/>
    <w:rsid w:val="00C15FE8"/>
    <w:rsid w:val="00C21098"/>
    <w:rsid w:val="00C26300"/>
    <w:rsid w:val="00C26BDE"/>
    <w:rsid w:val="00C347B8"/>
    <w:rsid w:val="00C355AF"/>
    <w:rsid w:val="00C366DD"/>
    <w:rsid w:val="00C41515"/>
    <w:rsid w:val="00C53A93"/>
    <w:rsid w:val="00C6270E"/>
    <w:rsid w:val="00C64D07"/>
    <w:rsid w:val="00C74A33"/>
    <w:rsid w:val="00C759C9"/>
    <w:rsid w:val="00C81FD7"/>
    <w:rsid w:val="00C84B9F"/>
    <w:rsid w:val="00C84C45"/>
    <w:rsid w:val="00C85050"/>
    <w:rsid w:val="00CA0271"/>
    <w:rsid w:val="00CA1919"/>
    <w:rsid w:val="00CB02E6"/>
    <w:rsid w:val="00CB2300"/>
    <w:rsid w:val="00CB6BB4"/>
    <w:rsid w:val="00CC4073"/>
    <w:rsid w:val="00CC573E"/>
    <w:rsid w:val="00CC5E06"/>
    <w:rsid w:val="00CC7277"/>
    <w:rsid w:val="00CD04AB"/>
    <w:rsid w:val="00CD276E"/>
    <w:rsid w:val="00CE5AA7"/>
    <w:rsid w:val="00CE6898"/>
    <w:rsid w:val="00CF6E5A"/>
    <w:rsid w:val="00CF6EE5"/>
    <w:rsid w:val="00CF7CDF"/>
    <w:rsid w:val="00D054F6"/>
    <w:rsid w:val="00D06E4D"/>
    <w:rsid w:val="00D10749"/>
    <w:rsid w:val="00D2320F"/>
    <w:rsid w:val="00D25B2C"/>
    <w:rsid w:val="00D30C28"/>
    <w:rsid w:val="00D36F88"/>
    <w:rsid w:val="00D4621B"/>
    <w:rsid w:val="00D52EF5"/>
    <w:rsid w:val="00D60F1F"/>
    <w:rsid w:val="00D64502"/>
    <w:rsid w:val="00D65089"/>
    <w:rsid w:val="00D672E6"/>
    <w:rsid w:val="00D70F76"/>
    <w:rsid w:val="00D73A12"/>
    <w:rsid w:val="00D81440"/>
    <w:rsid w:val="00D82596"/>
    <w:rsid w:val="00D8267D"/>
    <w:rsid w:val="00D86CD9"/>
    <w:rsid w:val="00D8775C"/>
    <w:rsid w:val="00D92020"/>
    <w:rsid w:val="00D95316"/>
    <w:rsid w:val="00D95F59"/>
    <w:rsid w:val="00DA0B3A"/>
    <w:rsid w:val="00DA0C28"/>
    <w:rsid w:val="00DA3ACD"/>
    <w:rsid w:val="00DA5A68"/>
    <w:rsid w:val="00DA6F1A"/>
    <w:rsid w:val="00DB15AC"/>
    <w:rsid w:val="00DB1EBD"/>
    <w:rsid w:val="00DB446B"/>
    <w:rsid w:val="00DB45BA"/>
    <w:rsid w:val="00DB614B"/>
    <w:rsid w:val="00DC12DA"/>
    <w:rsid w:val="00DC1F0F"/>
    <w:rsid w:val="00DD561B"/>
    <w:rsid w:val="00DE76E0"/>
    <w:rsid w:val="00DF4B43"/>
    <w:rsid w:val="00DF770A"/>
    <w:rsid w:val="00E04BE9"/>
    <w:rsid w:val="00E052EA"/>
    <w:rsid w:val="00E11163"/>
    <w:rsid w:val="00E121EE"/>
    <w:rsid w:val="00E15287"/>
    <w:rsid w:val="00E16E65"/>
    <w:rsid w:val="00E172F8"/>
    <w:rsid w:val="00E23F1B"/>
    <w:rsid w:val="00E2545B"/>
    <w:rsid w:val="00E25955"/>
    <w:rsid w:val="00E32CB6"/>
    <w:rsid w:val="00E33DBA"/>
    <w:rsid w:val="00E33E92"/>
    <w:rsid w:val="00E411AF"/>
    <w:rsid w:val="00E43C7B"/>
    <w:rsid w:val="00E46009"/>
    <w:rsid w:val="00E56359"/>
    <w:rsid w:val="00E65CB8"/>
    <w:rsid w:val="00E8008F"/>
    <w:rsid w:val="00E83A91"/>
    <w:rsid w:val="00E83BF0"/>
    <w:rsid w:val="00E85AFD"/>
    <w:rsid w:val="00E87BD4"/>
    <w:rsid w:val="00E87EBA"/>
    <w:rsid w:val="00E924E9"/>
    <w:rsid w:val="00E93977"/>
    <w:rsid w:val="00E951BC"/>
    <w:rsid w:val="00E9736C"/>
    <w:rsid w:val="00EA7A14"/>
    <w:rsid w:val="00EB4809"/>
    <w:rsid w:val="00EC2211"/>
    <w:rsid w:val="00EC7CBB"/>
    <w:rsid w:val="00ED37EB"/>
    <w:rsid w:val="00ED4403"/>
    <w:rsid w:val="00ED599D"/>
    <w:rsid w:val="00ED730C"/>
    <w:rsid w:val="00EE79F3"/>
    <w:rsid w:val="00EF0824"/>
    <w:rsid w:val="00EF4988"/>
    <w:rsid w:val="00EF6B28"/>
    <w:rsid w:val="00F11087"/>
    <w:rsid w:val="00F2086A"/>
    <w:rsid w:val="00F20976"/>
    <w:rsid w:val="00F2174F"/>
    <w:rsid w:val="00F23C00"/>
    <w:rsid w:val="00F30761"/>
    <w:rsid w:val="00F31127"/>
    <w:rsid w:val="00F340E5"/>
    <w:rsid w:val="00F37906"/>
    <w:rsid w:val="00F414C0"/>
    <w:rsid w:val="00F4292F"/>
    <w:rsid w:val="00F42E3A"/>
    <w:rsid w:val="00F43892"/>
    <w:rsid w:val="00F45689"/>
    <w:rsid w:val="00F53C78"/>
    <w:rsid w:val="00F54F22"/>
    <w:rsid w:val="00F5739A"/>
    <w:rsid w:val="00F629BA"/>
    <w:rsid w:val="00F64411"/>
    <w:rsid w:val="00F729DD"/>
    <w:rsid w:val="00F76D5E"/>
    <w:rsid w:val="00F80EE2"/>
    <w:rsid w:val="00F8206F"/>
    <w:rsid w:val="00F84CB3"/>
    <w:rsid w:val="00F91C28"/>
    <w:rsid w:val="00F9203A"/>
    <w:rsid w:val="00F9253E"/>
    <w:rsid w:val="00F93FAB"/>
    <w:rsid w:val="00F97472"/>
    <w:rsid w:val="00FA1FDD"/>
    <w:rsid w:val="00FB59CC"/>
    <w:rsid w:val="00FB75A3"/>
    <w:rsid w:val="00FC24AD"/>
    <w:rsid w:val="00FC3FDD"/>
    <w:rsid w:val="00FC7A2C"/>
    <w:rsid w:val="00FD0A90"/>
    <w:rsid w:val="00FD27BB"/>
    <w:rsid w:val="00FD3739"/>
    <w:rsid w:val="00FD515E"/>
    <w:rsid w:val="00FD72D7"/>
    <w:rsid w:val="00FE44B9"/>
    <w:rsid w:val="00FE4724"/>
    <w:rsid w:val="00FE5047"/>
    <w:rsid w:val="00FF34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ACD9E"/>
  <w15:chartTrackingRefBased/>
  <w15:docId w15:val="{4B1BCEC4-50DE-47FD-875B-6E38E30F7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457"/>
  </w:style>
  <w:style w:type="paragraph" w:styleId="Heading1">
    <w:name w:val="heading 1"/>
    <w:basedOn w:val="Normal"/>
    <w:next w:val="Normal"/>
    <w:link w:val="Heading1Char"/>
    <w:uiPriority w:val="9"/>
    <w:qFormat/>
    <w:rsid w:val="00BD6457"/>
    <w:pPr>
      <w:keepNext/>
      <w:keepLines/>
      <w:numPr>
        <w:numId w:val="13"/>
      </w:numPr>
      <w:spacing w:before="360" w:after="12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BD6457"/>
    <w:pPr>
      <w:keepNext/>
      <w:keepLines/>
      <w:numPr>
        <w:ilvl w:val="1"/>
        <w:numId w:val="13"/>
      </w:numPr>
      <w:spacing w:before="360" w:after="120"/>
      <w:outlineLvl w:val="1"/>
    </w:pPr>
    <w:rPr>
      <w:rFonts w:asciiTheme="majorHAnsi" w:eastAsiaTheme="majorEastAsia" w:hAnsiTheme="majorHAnsi" w:cstheme="majorBidi"/>
      <w:color w:val="0F4761" w:themeColor="accent1" w:themeShade="BF"/>
    </w:rPr>
  </w:style>
  <w:style w:type="paragraph" w:styleId="Heading3">
    <w:name w:val="heading 3"/>
    <w:basedOn w:val="Normal"/>
    <w:next w:val="Normal"/>
    <w:link w:val="Heading3Char"/>
    <w:uiPriority w:val="9"/>
    <w:unhideWhenUsed/>
    <w:qFormat/>
    <w:rsid w:val="007053D9"/>
    <w:pPr>
      <w:keepNext/>
      <w:keepLines/>
      <w:numPr>
        <w:ilvl w:val="2"/>
        <w:numId w:val="13"/>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53D9"/>
    <w:pPr>
      <w:keepNext/>
      <w:keepLines/>
      <w:numPr>
        <w:ilvl w:val="3"/>
        <w:numId w:val="13"/>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53D9"/>
    <w:pPr>
      <w:keepNext/>
      <w:keepLines/>
      <w:numPr>
        <w:ilvl w:val="4"/>
        <w:numId w:val="13"/>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53D9"/>
    <w:pPr>
      <w:keepNext/>
      <w:keepLines/>
      <w:numPr>
        <w:ilvl w:val="5"/>
        <w:numId w:val="13"/>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53D9"/>
    <w:pPr>
      <w:keepNext/>
      <w:keepLines/>
      <w:numPr>
        <w:ilvl w:val="6"/>
        <w:numId w:val="13"/>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53D9"/>
    <w:pPr>
      <w:keepNext/>
      <w:keepLines/>
      <w:numPr>
        <w:ilvl w:val="7"/>
        <w:numId w:val="13"/>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53D9"/>
    <w:pPr>
      <w:keepNext/>
      <w:keepLines/>
      <w:numPr>
        <w:ilvl w:val="8"/>
        <w:numId w:val="13"/>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6457"/>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rsid w:val="00BD6457"/>
    <w:rPr>
      <w:rFonts w:asciiTheme="majorHAnsi" w:eastAsiaTheme="majorEastAsia" w:hAnsiTheme="majorHAnsi" w:cstheme="majorBidi"/>
      <w:color w:val="0F4761" w:themeColor="accent1" w:themeShade="BF"/>
    </w:rPr>
  </w:style>
  <w:style w:type="character" w:customStyle="1" w:styleId="Heading3Char">
    <w:name w:val="Heading 3 Char"/>
    <w:basedOn w:val="DefaultParagraphFont"/>
    <w:link w:val="Heading3"/>
    <w:uiPriority w:val="9"/>
    <w:rsid w:val="007053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53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53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53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53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53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53D9"/>
    <w:rPr>
      <w:rFonts w:eastAsiaTheme="majorEastAsia" w:cstheme="majorBidi"/>
      <w:color w:val="272727" w:themeColor="text1" w:themeTint="D8"/>
    </w:rPr>
  </w:style>
  <w:style w:type="paragraph" w:styleId="Title">
    <w:name w:val="Title"/>
    <w:basedOn w:val="Normal"/>
    <w:next w:val="Normal"/>
    <w:link w:val="TitleChar"/>
    <w:qFormat/>
    <w:rsid w:val="007053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053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53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53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53D9"/>
    <w:pPr>
      <w:spacing w:before="160"/>
      <w:jc w:val="center"/>
    </w:pPr>
    <w:rPr>
      <w:i/>
      <w:iCs/>
      <w:color w:val="404040" w:themeColor="text1" w:themeTint="BF"/>
    </w:rPr>
  </w:style>
  <w:style w:type="character" w:customStyle="1" w:styleId="QuoteChar">
    <w:name w:val="Quote Char"/>
    <w:basedOn w:val="DefaultParagraphFont"/>
    <w:link w:val="Quote"/>
    <w:uiPriority w:val="29"/>
    <w:rsid w:val="007053D9"/>
    <w:rPr>
      <w:i/>
      <w:iCs/>
      <w:color w:val="404040" w:themeColor="text1" w:themeTint="BF"/>
    </w:rPr>
  </w:style>
  <w:style w:type="paragraph" w:styleId="ListParagraph">
    <w:name w:val="List Paragraph"/>
    <w:basedOn w:val="Normal"/>
    <w:uiPriority w:val="34"/>
    <w:qFormat/>
    <w:rsid w:val="007053D9"/>
    <w:pPr>
      <w:ind w:left="720"/>
      <w:contextualSpacing/>
    </w:pPr>
  </w:style>
  <w:style w:type="character" w:styleId="IntenseEmphasis">
    <w:name w:val="Intense Emphasis"/>
    <w:basedOn w:val="DefaultParagraphFont"/>
    <w:uiPriority w:val="21"/>
    <w:qFormat/>
    <w:rsid w:val="007053D9"/>
    <w:rPr>
      <w:i/>
      <w:iCs/>
      <w:color w:val="0F4761" w:themeColor="accent1" w:themeShade="BF"/>
    </w:rPr>
  </w:style>
  <w:style w:type="paragraph" w:styleId="IntenseQuote">
    <w:name w:val="Intense Quote"/>
    <w:basedOn w:val="Normal"/>
    <w:next w:val="Normal"/>
    <w:link w:val="IntenseQuoteChar"/>
    <w:uiPriority w:val="30"/>
    <w:qFormat/>
    <w:rsid w:val="007053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53D9"/>
    <w:rPr>
      <w:i/>
      <w:iCs/>
      <w:color w:val="0F4761" w:themeColor="accent1" w:themeShade="BF"/>
    </w:rPr>
  </w:style>
  <w:style w:type="character" w:styleId="IntenseReference">
    <w:name w:val="Intense Reference"/>
    <w:basedOn w:val="DefaultParagraphFont"/>
    <w:uiPriority w:val="32"/>
    <w:qFormat/>
    <w:rsid w:val="007053D9"/>
    <w:rPr>
      <w:b/>
      <w:bCs/>
      <w:smallCaps/>
      <w:color w:val="0F4761" w:themeColor="accent1" w:themeShade="BF"/>
      <w:spacing w:val="5"/>
    </w:rPr>
  </w:style>
  <w:style w:type="paragraph" w:styleId="Header">
    <w:name w:val="header"/>
    <w:basedOn w:val="Normal"/>
    <w:link w:val="HeaderChar"/>
    <w:uiPriority w:val="99"/>
    <w:unhideWhenUsed/>
    <w:rsid w:val="00D92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2020"/>
  </w:style>
  <w:style w:type="paragraph" w:styleId="Footer">
    <w:name w:val="footer"/>
    <w:basedOn w:val="Normal"/>
    <w:link w:val="FooterChar"/>
    <w:uiPriority w:val="99"/>
    <w:unhideWhenUsed/>
    <w:rsid w:val="00D92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2020"/>
  </w:style>
  <w:style w:type="table" w:styleId="TableGrid">
    <w:name w:val="Table Grid"/>
    <w:basedOn w:val="TableNormal"/>
    <w:uiPriority w:val="39"/>
    <w:rsid w:val="007E5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97472"/>
    <w:pPr>
      <w:numPr>
        <w:numId w:val="0"/>
      </w:numPr>
      <w:spacing w:before="480" w:line="240" w:lineRule="auto"/>
      <w:jc w:val="both"/>
      <w:outlineLvl w:val="9"/>
    </w:pPr>
    <w:rPr>
      <w:color w:val="156082" w:themeColor="accent1"/>
      <w:kern w:val="0"/>
      <w14:ligatures w14:val="none"/>
    </w:rPr>
  </w:style>
  <w:style w:type="paragraph" w:styleId="BodyText">
    <w:name w:val="Body Text"/>
    <w:basedOn w:val="Normal"/>
    <w:link w:val="BodyTextChar"/>
    <w:uiPriority w:val="99"/>
    <w:unhideWhenUsed/>
    <w:qFormat/>
    <w:rsid w:val="00DD561B"/>
    <w:pPr>
      <w:spacing w:before="120" w:after="0" w:line="240" w:lineRule="auto"/>
    </w:pPr>
    <w:rPr>
      <w:kern w:val="0"/>
      <w:sz w:val="22"/>
      <w:szCs w:val="22"/>
      <w14:ligatures w14:val="none"/>
    </w:rPr>
  </w:style>
  <w:style w:type="character" w:customStyle="1" w:styleId="BodyTextChar">
    <w:name w:val="Body Text Char"/>
    <w:basedOn w:val="DefaultParagraphFont"/>
    <w:link w:val="BodyText"/>
    <w:uiPriority w:val="99"/>
    <w:rsid w:val="00DD561B"/>
    <w:rPr>
      <w:kern w:val="0"/>
      <w:sz w:val="22"/>
      <w:szCs w:val="22"/>
      <w14:ligatures w14:val="none"/>
    </w:rPr>
  </w:style>
  <w:style w:type="paragraph" w:customStyle="1" w:styleId="TableText">
    <w:name w:val="Table Text"/>
    <w:basedOn w:val="Normal"/>
    <w:link w:val="TableTextChar"/>
    <w:uiPriority w:val="7"/>
    <w:qFormat/>
    <w:rsid w:val="006965F5"/>
    <w:pPr>
      <w:spacing w:after="0" w:line="240" w:lineRule="auto"/>
    </w:pPr>
    <w:rPr>
      <w:rFonts w:cs="Helvetica"/>
      <w:kern w:val="0"/>
      <w:sz w:val="18"/>
      <w:szCs w:val="20"/>
      <w14:ligatures w14:val="none"/>
    </w:rPr>
  </w:style>
  <w:style w:type="character" w:styleId="Hyperlink">
    <w:name w:val="Hyperlink"/>
    <w:uiPriority w:val="99"/>
    <w:unhideWhenUsed/>
    <w:rsid w:val="006965F5"/>
    <w:rPr>
      <w:rFonts w:asciiTheme="minorHAnsi" w:hAnsiTheme="minorHAnsi"/>
      <w:b w:val="0"/>
      <w:color w:val="595959" w:themeColor="text1" w:themeTint="A6"/>
      <w:sz w:val="22"/>
      <w:u w:val="single"/>
    </w:rPr>
  </w:style>
  <w:style w:type="character" w:customStyle="1" w:styleId="TableTextChar">
    <w:name w:val="Table Text Char"/>
    <w:link w:val="TableText"/>
    <w:uiPriority w:val="7"/>
    <w:rsid w:val="006965F5"/>
    <w:rPr>
      <w:rFonts w:cs="Helvetica"/>
      <w:kern w:val="0"/>
      <w:sz w:val="18"/>
      <w:szCs w:val="20"/>
      <w14:ligatures w14:val="none"/>
    </w:rPr>
  </w:style>
  <w:style w:type="table" w:styleId="PlainTable2">
    <w:name w:val="Plain Table 2"/>
    <w:basedOn w:val="TableNormal"/>
    <w:uiPriority w:val="42"/>
    <w:rsid w:val="006965F5"/>
    <w:pPr>
      <w:spacing w:after="0" w:line="240" w:lineRule="auto"/>
    </w:pPr>
    <w:rPr>
      <w:kern w:val="0"/>
      <w:sz w:val="18"/>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tcMar>
        <w:top w:w="57" w:type="dxa"/>
        <w:bottom w:w="57" w:type="dxa"/>
      </w:tcMar>
    </w:tcPr>
    <w:tblStylePr w:type="firstRow">
      <w:pPr>
        <w:jc w:val="left"/>
      </w:pPr>
      <w:rPr>
        <w:b/>
        <w:bCs/>
        <w:color w:val="0F4761" w:themeColor="accent1" w:themeShade="BF"/>
      </w:rPr>
      <w:tblPr/>
      <w:tcPr>
        <w:tcBorders>
          <w:top w:val="nil"/>
          <w:left w:val="nil"/>
          <w:bottom w:val="nil"/>
          <w:right w:val="nil"/>
          <w:insideH w:val="nil"/>
          <w:insideV w:val="nil"/>
          <w:tl2br w:val="nil"/>
          <w:tr2bl w:val="nil"/>
        </w:tcBorders>
        <w:vAlign w:val="bottom"/>
      </w:tcPr>
    </w:tblStylePr>
    <w:tblStylePr w:type="lastRow">
      <w:rPr>
        <w:b/>
        <w:bCs/>
      </w:rPr>
      <w:tblPr/>
      <w:tcPr>
        <w:tcBorders>
          <w:top w:val="single" w:sz="4" w:space="0" w:color="7F7F7F" w:themeColor="text1" w:themeTint="80"/>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2">
    <w:name w:val="toc 2"/>
    <w:basedOn w:val="Normal"/>
    <w:next w:val="Normal"/>
    <w:uiPriority w:val="39"/>
    <w:unhideWhenUsed/>
    <w:rsid w:val="00740960"/>
    <w:pPr>
      <w:tabs>
        <w:tab w:val="right" w:leader="dot" w:pos="9639"/>
      </w:tabs>
      <w:spacing w:after="0" w:line="240" w:lineRule="auto"/>
      <w:ind w:left="397" w:hanging="397"/>
    </w:pPr>
    <w:rPr>
      <w:noProof/>
      <w:sz w:val="22"/>
    </w:rPr>
  </w:style>
  <w:style w:type="paragraph" w:styleId="TOC3">
    <w:name w:val="toc 3"/>
    <w:basedOn w:val="Normal"/>
    <w:next w:val="Normal"/>
    <w:autoRedefine/>
    <w:uiPriority w:val="39"/>
    <w:unhideWhenUsed/>
    <w:rsid w:val="006965F5"/>
    <w:pPr>
      <w:spacing w:after="100"/>
      <w:ind w:left="480"/>
    </w:pPr>
  </w:style>
  <w:style w:type="paragraph" w:styleId="Revision">
    <w:name w:val="Revision"/>
    <w:hidden/>
    <w:uiPriority w:val="99"/>
    <w:semiHidden/>
    <w:rsid w:val="001E2A0D"/>
    <w:pPr>
      <w:spacing w:after="0" w:line="240" w:lineRule="auto"/>
    </w:pPr>
  </w:style>
  <w:style w:type="character" w:styleId="CommentReference">
    <w:name w:val="annotation reference"/>
    <w:basedOn w:val="DefaultParagraphFont"/>
    <w:uiPriority w:val="99"/>
    <w:semiHidden/>
    <w:unhideWhenUsed/>
    <w:rsid w:val="00BF492E"/>
    <w:rPr>
      <w:sz w:val="16"/>
      <w:szCs w:val="16"/>
    </w:rPr>
  </w:style>
  <w:style w:type="paragraph" w:styleId="CommentText">
    <w:name w:val="annotation text"/>
    <w:basedOn w:val="Normal"/>
    <w:link w:val="CommentTextChar"/>
    <w:uiPriority w:val="99"/>
    <w:unhideWhenUsed/>
    <w:rsid w:val="00BF492E"/>
    <w:pPr>
      <w:spacing w:line="240" w:lineRule="auto"/>
    </w:pPr>
    <w:rPr>
      <w:sz w:val="20"/>
      <w:szCs w:val="20"/>
    </w:rPr>
  </w:style>
  <w:style w:type="character" w:customStyle="1" w:styleId="CommentTextChar">
    <w:name w:val="Comment Text Char"/>
    <w:basedOn w:val="DefaultParagraphFont"/>
    <w:link w:val="CommentText"/>
    <w:uiPriority w:val="99"/>
    <w:rsid w:val="00BF492E"/>
    <w:rPr>
      <w:sz w:val="20"/>
      <w:szCs w:val="20"/>
    </w:rPr>
  </w:style>
  <w:style w:type="paragraph" w:styleId="CommentSubject">
    <w:name w:val="annotation subject"/>
    <w:basedOn w:val="CommentText"/>
    <w:next w:val="CommentText"/>
    <w:link w:val="CommentSubjectChar"/>
    <w:uiPriority w:val="99"/>
    <w:semiHidden/>
    <w:unhideWhenUsed/>
    <w:rsid w:val="00BF492E"/>
    <w:rPr>
      <w:b/>
      <w:bCs/>
    </w:rPr>
  </w:style>
  <w:style w:type="character" w:customStyle="1" w:styleId="CommentSubjectChar">
    <w:name w:val="Comment Subject Char"/>
    <w:basedOn w:val="CommentTextChar"/>
    <w:link w:val="CommentSubject"/>
    <w:uiPriority w:val="99"/>
    <w:semiHidden/>
    <w:rsid w:val="00BF492E"/>
    <w:rPr>
      <w:b/>
      <w:bCs/>
      <w:sz w:val="20"/>
      <w:szCs w:val="20"/>
    </w:rPr>
  </w:style>
  <w:style w:type="character" w:styleId="UnresolvedMention">
    <w:name w:val="Unresolved Mention"/>
    <w:basedOn w:val="DefaultParagraphFont"/>
    <w:uiPriority w:val="99"/>
    <w:semiHidden/>
    <w:unhideWhenUsed/>
    <w:rsid w:val="003C07B9"/>
    <w:rPr>
      <w:color w:val="605E5C"/>
      <w:shd w:val="clear" w:color="auto" w:fill="E1DFDD"/>
    </w:rPr>
  </w:style>
  <w:style w:type="paragraph" w:styleId="FootnoteText">
    <w:name w:val="footnote text"/>
    <w:basedOn w:val="Normal"/>
    <w:link w:val="FootnoteTextChar"/>
    <w:uiPriority w:val="99"/>
    <w:semiHidden/>
    <w:unhideWhenUsed/>
    <w:rsid w:val="006020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20F6"/>
    <w:rPr>
      <w:sz w:val="20"/>
      <w:szCs w:val="20"/>
    </w:rPr>
  </w:style>
  <w:style w:type="character" w:styleId="FootnoteReference">
    <w:name w:val="footnote reference"/>
    <w:basedOn w:val="DefaultParagraphFont"/>
    <w:uiPriority w:val="99"/>
    <w:semiHidden/>
    <w:unhideWhenUsed/>
    <w:rsid w:val="006020F6"/>
    <w:rPr>
      <w:vertAlign w:val="superscript"/>
    </w:rPr>
  </w:style>
  <w:style w:type="paragraph" w:styleId="ListBullet">
    <w:name w:val="List Bullet"/>
    <w:basedOn w:val="Normal"/>
    <w:uiPriority w:val="99"/>
    <w:unhideWhenUsed/>
    <w:rsid w:val="00AF3E3A"/>
    <w:pPr>
      <w:numPr>
        <w:numId w:val="14"/>
      </w:numPr>
      <w:spacing w:after="240" w:line="240" w:lineRule="auto"/>
      <w:ind w:left="284" w:hanging="284"/>
      <w:contextualSpacing/>
    </w:pPr>
    <w:rPr>
      <w:sz w:val="22"/>
    </w:rPr>
  </w:style>
  <w:style w:type="paragraph" w:styleId="Caption">
    <w:name w:val="caption"/>
    <w:basedOn w:val="Normal"/>
    <w:next w:val="Normal"/>
    <w:uiPriority w:val="35"/>
    <w:unhideWhenUsed/>
    <w:qFormat/>
    <w:rsid w:val="00484A9B"/>
    <w:pPr>
      <w:spacing w:before="360" w:after="120" w:line="240" w:lineRule="auto"/>
      <w:ind w:left="851" w:hanging="851"/>
    </w:pPr>
    <w:rPr>
      <w:rFonts w:ascii="Calibri" w:hAnsi="Calibri"/>
      <w:iCs/>
      <w:sz w:val="20"/>
      <w:szCs w:val="18"/>
    </w:rPr>
  </w:style>
  <w:style w:type="paragraph" w:customStyle="1" w:styleId="ANNEXHEADING">
    <w:name w:val="ANNEX HEADING"/>
    <w:basedOn w:val="Heading1"/>
    <w:link w:val="ANNEXHEADINGChar"/>
    <w:qFormat/>
    <w:rsid w:val="00F97472"/>
    <w:pPr>
      <w:numPr>
        <w:numId w:val="15"/>
      </w:numPr>
      <w:spacing w:before="0" w:after="240"/>
    </w:pPr>
  </w:style>
  <w:style w:type="character" w:customStyle="1" w:styleId="ANNEXHEADINGChar">
    <w:name w:val="ANNEX HEADING Char"/>
    <w:basedOn w:val="Heading1Char"/>
    <w:link w:val="ANNEXHEADING"/>
    <w:rsid w:val="00F97472"/>
    <w:rPr>
      <w:rFonts w:asciiTheme="majorHAnsi" w:eastAsiaTheme="majorEastAsia" w:hAnsiTheme="majorHAnsi" w:cstheme="majorBidi"/>
      <w:color w:val="0F4761" w:themeColor="accent1" w:themeShade="BF"/>
      <w:sz w:val="32"/>
      <w:szCs w:val="32"/>
    </w:rPr>
  </w:style>
  <w:style w:type="paragraph" w:styleId="TOC1">
    <w:name w:val="toc 1"/>
    <w:basedOn w:val="Normal"/>
    <w:next w:val="Normal"/>
    <w:uiPriority w:val="39"/>
    <w:unhideWhenUsed/>
    <w:rsid w:val="00740960"/>
    <w:pPr>
      <w:tabs>
        <w:tab w:val="right" w:pos="1134"/>
        <w:tab w:val="right" w:leader="dot" w:pos="9639"/>
      </w:tabs>
      <w:spacing w:before="120" w:after="0" w:line="240" w:lineRule="auto"/>
      <w:ind w:left="397" w:hanging="397"/>
    </w:pPr>
    <w:rPr>
      <w:b/>
      <w:noProof/>
      <w:sz w:val="22"/>
    </w:rPr>
  </w:style>
  <w:style w:type="paragraph" w:styleId="TableofFigures">
    <w:name w:val="table of figures"/>
    <w:basedOn w:val="Normal"/>
    <w:next w:val="Normal"/>
    <w:uiPriority w:val="99"/>
    <w:unhideWhenUsed/>
    <w:rsid w:val="00740960"/>
    <w:pPr>
      <w:spacing w:after="0"/>
    </w:pPr>
  </w:style>
  <w:style w:type="paragraph" w:customStyle="1" w:styleId="RECOMMENDATION">
    <w:name w:val="RECOMMENDATION"/>
    <w:basedOn w:val="BodyText"/>
    <w:link w:val="RECOMMENDATIONChar"/>
    <w:qFormat/>
    <w:rsid w:val="00740960"/>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before="240" w:after="240"/>
      <w:ind w:left="170" w:right="170"/>
    </w:pPr>
    <w:rPr>
      <w:bCs/>
      <w:iCs/>
      <w:lang w:val="en-GB"/>
    </w:rPr>
  </w:style>
  <w:style w:type="character" w:customStyle="1" w:styleId="RECOMMENDATIONChar">
    <w:name w:val="RECOMMENDATION Char"/>
    <w:basedOn w:val="BodyTextChar"/>
    <w:link w:val="RECOMMENDATION"/>
    <w:rsid w:val="00740960"/>
    <w:rPr>
      <w:bCs/>
      <w:iCs/>
      <w:kern w:val="0"/>
      <w:sz w:val="22"/>
      <w:szCs w:val="22"/>
      <w:shd w:val="clear" w:color="auto" w:fill="F2F2F2" w:themeFill="background1" w:themeFillShade="F2"/>
      <w:lang w:val="en-GB"/>
      <w14:ligatures w14:val="none"/>
    </w:rPr>
  </w:style>
  <w:style w:type="character" w:styleId="Strong">
    <w:name w:val="Strong"/>
    <w:basedOn w:val="DefaultParagraphFont"/>
    <w:uiPriority w:val="22"/>
    <w:qFormat/>
    <w:rsid w:val="00740960"/>
    <w:rPr>
      <w:rFonts w:ascii="Calibri" w:hAnsi="Calibri"/>
      <w:b w:val="0"/>
      <w:bCs/>
      <w:color w:val="156082"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53941">
      <w:bodyDiv w:val="1"/>
      <w:marLeft w:val="0"/>
      <w:marRight w:val="0"/>
      <w:marTop w:val="0"/>
      <w:marBottom w:val="0"/>
      <w:divBdr>
        <w:top w:val="none" w:sz="0" w:space="0" w:color="auto"/>
        <w:left w:val="none" w:sz="0" w:space="0" w:color="auto"/>
        <w:bottom w:val="none" w:sz="0" w:space="0" w:color="auto"/>
        <w:right w:val="none" w:sz="0" w:space="0" w:color="auto"/>
      </w:divBdr>
    </w:div>
    <w:div w:id="223805838">
      <w:bodyDiv w:val="1"/>
      <w:marLeft w:val="0"/>
      <w:marRight w:val="0"/>
      <w:marTop w:val="0"/>
      <w:marBottom w:val="0"/>
      <w:divBdr>
        <w:top w:val="none" w:sz="0" w:space="0" w:color="auto"/>
        <w:left w:val="none" w:sz="0" w:space="0" w:color="auto"/>
        <w:bottom w:val="none" w:sz="0" w:space="0" w:color="auto"/>
        <w:right w:val="none" w:sz="0" w:space="0" w:color="auto"/>
      </w:divBdr>
      <w:divsChild>
        <w:div w:id="1720981930">
          <w:marLeft w:val="1800"/>
          <w:marRight w:val="0"/>
          <w:marTop w:val="200"/>
          <w:marBottom w:val="0"/>
          <w:divBdr>
            <w:top w:val="none" w:sz="0" w:space="0" w:color="auto"/>
            <w:left w:val="none" w:sz="0" w:space="0" w:color="auto"/>
            <w:bottom w:val="none" w:sz="0" w:space="0" w:color="auto"/>
            <w:right w:val="none" w:sz="0" w:space="0" w:color="auto"/>
          </w:divBdr>
        </w:div>
      </w:divsChild>
    </w:div>
    <w:div w:id="350306336">
      <w:bodyDiv w:val="1"/>
      <w:marLeft w:val="0"/>
      <w:marRight w:val="0"/>
      <w:marTop w:val="0"/>
      <w:marBottom w:val="0"/>
      <w:divBdr>
        <w:top w:val="none" w:sz="0" w:space="0" w:color="auto"/>
        <w:left w:val="none" w:sz="0" w:space="0" w:color="auto"/>
        <w:bottom w:val="none" w:sz="0" w:space="0" w:color="auto"/>
        <w:right w:val="none" w:sz="0" w:space="0" w:color="auto"/>
      </w:divBdr>
    </w:div>
    <w:div w:id="448668869">
      <w:bodyDiv w:val="1"/>
      <w:marLeft w:val="0"/>
      <w:marRight w:val="0"/>
      <w:marTop w:val="0"/>
      <w:marBottom w:val="0"/>
      <w:divBdr>
        <w:top w:val="none" w:sz="0" w:space="0" w:color="auto"/>
        <w:left w:val="none" w:sz="0" w:space="0" w:color="auto"/>
        <w:bottom w:val="none" w:sz="0" w:space="0" w:color="auto"/>
        <w:right w:val="none" w:sz="0" w:space="0" w:color="auto"/>
      </w:divBdr>
      <w:divsChild>
        <w:div w:id="55902837">
          <w:marLeft w:val="0"/>
          <w:marRight w:val="0"/>
          <w:marTop w:val="0"/>
          <w:marBottom w:val="0"/>
          <w:divBdr>
            <w:top w:val="none" w:sz="0" w:space="0" w:color="auto"/>
            <w:left w:val="none" w:sz="0" w:space="0" w:color="auto"/>
            <w:bottom w:val="none" w:sz="0" w:space="0" w:color="auto"/>
            <w:right w:val="none" w:sz="0" w:space="0" w:color="auto"/>
          </w:divBdr>
        </w:div>
        <w:div w:id="536084931">
          <w:marLeft w:val="0"/>
          <w:marRight w:val="0"/>
          <w:marTop w:val="0"/>
          <w:marBottom w:val="0"/>
          <w:divBdr>
            <w:top w:val="none" w:sz="0" w:space="0" w:color="auto"/>
            <w:left w:val="none" w:sz="0" w:space="0" w:color="auto"/>
            <w:bottom w:val="none" w:sz="0" w:space="0" w:color="auto"/>
            <w:right w:val="none" w:sz="0" w:space="0" w:color="auto"/>
          </w:divBdr>
        </w:div>
        <w:div w:id="610434424">
          <w:marLeft w:val="0"/>
          <w:marRight w:val="0"/>
          <w:marTop w:val="0"/>
          <w:marBottom w:val="0"/>
          <w:divBdr>
            <w:top w:val="none" w:sz="0" w:space="0" w:color="auto"/>
            <w:left w:val="none" w:sz="0" w:space="0" w:color="auto"/>
            <w:bottom w:val="none" w:sz="0" w:space="0" w:color="auto"/>
            <w:right w:val="none" w:sz="0" w:space="0" w:color="auto"/>
          </w:divBdr>
        </w:div>
        <w:div w:id="619381284">
          <w:marLeft w:val="0"/>
          <w:marRight w:val="0"/>
          <w:marTop w:val="0"/>
          <w:marBottom w:val="0"/>
          <w:divBdr>
            <w:top w:val="none" w:sz="0" w:space="0" w:color="auto"/>
            <w:left w:val="none" w:sz="0" w:space="0" w:color="auto"/>
            <w:bottom w:val="none" w:sz="0" w:space="0" w:color="auto"/>
            <w:right w:val="none" w:sz="0" w:space="0" w:color="auto"/>
          </w:divBdr>
        </w:div>
        <w:div w:id="1546798439">
          <w:marLeft w:val="0"/>
          <w:marRight w:val="0"/>
          <w:marTop w:val="0"/>
          <w:marBottom w:val="0"/>
          <w:divBdr>
            <w:top w:val="none" w:sz="0" w:space="0" w:color="auto"/>
            <w:left w:val="none" w:sz="0" w:space="0" w:color="auto"/>
            <w:bottom w:val="none" w:sz="0" w:space="0" w:color="auto"/>
            <w:right w:val="none" w:sz="0" w:space="0" w:color="auto"/>
          </w:divBdr>
        </w:div>
      </w:divsChild>
    </w:div>
    <w:div w:id="707947055">
      <w:bodyDiv w:val="1"/>
      <w:marLeft w:val="0"/>
      <w:marRight w:val="0"/>
      <w:marTop w:val="0"/>
      <w:marBottom w:val="0"/>
      <w:divBdr>
        <w:top w:val="none" w:sz="0" w:space="0" w:color="auto"/>
        <w:left w:val="none" w:sz="0" w:space="0" w:color="auto"/>
        <w:bottom w:val="none" w:sz="0" w:space="0" w:color="auto"/>
        <w:right w:val="none" w:sz="0" w:space="0" w:color="auto"/>
      </w:divBdr>
      <w:divsChild>
        <w:div w:id="2082289162">
          <w:marLeft w:val="1800"/>
          <w:marRight w:val="0"/>
          <w:marTop w:val="200"/>
          <w:marBottom w:val="0"/>
          <w:divBdr>
            <w:top w:val="none" w:sz="0" w:space="0" w:color="auto"/>
            <w:left w:val="none" w:sz="0" w:space="0" w:color="auto"/>
            <w:bottom w:val="none" w:sz="0" w:space="0" w:color="auto"/>
            <w:right w:val="none" w:sz="0" w:space="0" w:color="auto"/>
          </w:divBdr>
        </w:div>
      </w:divsChild>
    </w:div>
    <w:div w:id="772476352">
      <w:bodyDiv w:val="1"/>
      <w:marLeft w:val="0"/>
      <w:marRight w:val="0"/>
      <w:marTop w:val="0"/>
      <w:marBottom w:val="0"/>
      <w:divBdr>
        <w:top w:val="none" w:sz="0" w:space="0" w:color="auto"/>
        <w:left w:val="none" w:sz="0" w:space="0" w:color="auto"/>
        <w:bottom w:val="none" w:sz="0" w:space="0" w:color="auto"/>
        <w:right w:val="none" w:sz="0" w:space="0" w:color="auto"/>
      </w:divBdr>
      <w:divsChild>
        <w:div w:id="382295844">
          <w:marLeft w:val="0"/>
          <w:marRight w:val="0"/>
          <w:marTop w:val="0"/>
          <w:marBottom w:val="0"/>
          <w:divBdr>
            <w:top w:val="none" w:sz="0" w:space="0" w:color="auto"/>
            <w:left w:val="none" w:sz="0" w:space="0" w:color="auto"/>
            <w:bottom w:val="none" w:sz="0" w:space="0" w:color="auto"/>
            <w:right w:val="none" w:sz="0" w:space="0" w:color="auto"/>
          </w:divBdr>
        </w:div>
        <w:div w:id="421494591">
          <w:marLeft w:val="0"/>
          <w:marRight w:val="0"/>
          <w:marTop w:val="0"/>
          <w:marBottom w:val="0"/>
          <w:divBdr>
            <w:top w:val="none" w:sz="0" w:space="0" w:color="auto"/>
            <w:left w:val="none" w:sz="0" w:space="0" w:color="auto"/>
            <w:bottom w:val="none" w:sz="0" w:space="0" w:color="auto"/>
            <w:right w:val="none" w:sz="0" w:space="0" w:color="auto"/>
          </w:divBdr>
        </w:div>
        <w:div w:id="1027218645">
          <w:marLeft w:val="0"/>
          <w:marRight w:val="0"/>
          <w:marTop w:val="0"/>
          <w:marBottom w:val="0"/>
          <w:divBdr>
            <w:top w:val="none" w:sz="0" w:space="0" w:color="auto"/>
            <w:left w:val="none" w:sz="0" w:space="0" w:color="auto"/>
            <w:bottom w:val="none" w:sz="0" w:space="0" w:color="auto"/>
            <w:right w:val="none" w:sz="0" w:space="0" w:color="auto"/>
          </w:divBdr>
        </w:div>
        <w:div w:id="1259558425">
          <w:marLeft w:val="0"/>
          <w:marRight w:val="0"/>
          <w:marTop w:val="0"/>
          <w:marBottom w:val="0"/>
          <w:divBdr>
            <w:top w:val="none" w:sz="0" w:space="0" w:color="auto"/>
            <w:left w:val="none" w:sz="0" w:space="0" w:color="auto"/>
            <w:bottom w:val="none" w:sz="0" w:space="0" w:color="auto"/>
            <w:right w:val="none" w:sz="0" w:space="0" w:color="auto"/>
          </w:divBdr>
        </w:div>
        <w:div w:id="1883202325">
          <w:marLeft w:val="0"/>
          <w:marRight w:val="0"/>
          <w:marTop w:val="0"/>
          <w:marBottom w:val="0"/>
          <w:divBdr>
            <w:top w:val="none" w:sz="0" w:space="0" w:color="auto"/>
            <w:left w:val="none" w:sz="0" w:space="0" w:color="auto"/>
            <w:bottom w:val="none" w:sz="0" w:space="0" w:color="auto"/>
            <w:right w:val="none" w:sz="0" w:space="0" w:color="auto"/>
          </w:divBdr>
        </w:div>
      </w:divsChild>
    </w:div>
    <w:div w:id="1015500158">
      <w:bodyDiv w:val="1"/>
      <w:marLeft w:val="0"/>
      <w:marRight w:val="0"/>
      <w:marTop w:val="0"/>
      <w:marBottom w:val="0"/>
      <w:divBdr>
        <w:top w:val="none" w:sz="0" w:space="0" w:color="auto"/>
        <w:left w:val="none" w:sz="0" w:space="0" w:color="auto"/>
        <w:bottom w:val="none" w:sz="0" w:space="0" w:color="auto"/>
        <w:right w:val="none" w:sz="0" w:space="0" w:color="auto"/>
      </w:divBdr>
    </w:div>
    <w:div w:id="170459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SURGE">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0510C-E99A-4327-A297-C17EF6BE55C6}">
  <ds:schemaRefs>
    <ds:schemaRef ds:uri="http://schemas.openxmlformats.org/officeDocument/2006/bibliography"/>
  </ds:schemaRefs>
</ds:datastoreItem>
</file>

<file path=docMetadata/LabelInfo.xml><?xml version="1.0" encoding="utf-8"?>
<clbl:labelList xmlns:clbl="http://schemas.microsoft.com/office/2020/mipLabelMetadata">
  <clbl:label id="{11067652-e594-4683-81e3-2cbf4d08314b}" enabled="1" method="Standard" siteId="{dd4b51f9-ee38-4f0d-87d3-0fcc190484cf}" removed="0"/>
</clbl:labelList>
</file>

<file path=docProps/app.xml><?xml version="1.0" encoding="utf-8"?>
<Properties xmlns="http://schemas.openxmlformats.org/officeDocument/2006/extended-properties" xmlns:vt="http://schemas.openxmlformats.org/officeDocument/2006/docPropsVTypes">
  <Template>Normal.dotm</Template>
  <TotalTime>10</TotalTime>
  <Pages>7</Pages>
  <Words>1312</Words>
  <Characters>7235</Characters>
  <Application>Microsoft Office Word</Application>
  <DocSecurity>0</DocSecurity>
  <Lines>155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Patrick Baggoley</cp:lastModifiedBy>
  <cp:revision>12</cp:revision>
  <cp:lastPrinted>2025-01-27T21:35:00Z</cp:lastPrinted>
  <dcterms:created xsi:type="dcterms:W3CDTF">2025-01-28T05:03:00Z</dcterms:created>
  <dcterms:modified xsi:type="dcterms:W3CDTF">2025-01-29T03:17:00Z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v=2022.1;a=SHA256;h=D1451C0E8C2A86825CFDA71104282446CFE0C73218BF5F2A1445360617548728</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2024-12-16T22:30:10Z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E5329D78ADFF18985C404F3A4015F7B7C209C4C5</vt:lpwstr>
  </property>
  <property fmtid="{D5CDD505-2E9C-101B-9397-08002B2CF9AE}" pid="14" name="PM_DisplayValueSecClassificationWithQualifier">
    <vt:lpwstr>OFFICIAL</vt:lpwstr>
  </property>
  <property fmtid="{D5CDD505-2E9C-101B-9397-08002B2CF9AE}" pid="15" name="PM_Originating_FileId">
    <vt:lpwstr>F4B34D6C92634217917BDD76100A194A</vt:lpwstr>
  </property>
  <property fmtid="{D5CDD505-2E9C-101B-9397-08002B2CF9AE}" pid="16" name="PM_ProtectiveMarkingValue_Footer">
    <vt:lpwstr>OFFICIAL</vt:lpwstr>
  </property>
  <property fmtid="{D5CDD505-2E9C-101B-9397-08002B2CF9AE}" pid="17" name="PM_ProtectiveMarkingImage_Header">
    <vt:lpwstr>C:\Program Files (x86)\Common Files\janusNET Shared\janusSEAL\Images\DocumentSlashBlue.png</vt:lpwstr>
  </property>
  <property fmtid="{D5CDD505-2E9C-101B-9397-08002B2CF9AE}" pid="18" name="PM_ProtectiveMarkingImage_Footer">
    <vt:lpwstr>C:\Program Files (x86)\Common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C427463A240001568B1E728057080C091949066E05DD342FA6B5B9F6FF33F8D6</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CFE456C1F026F073F16B7C01EF26F0F9</vt:lpwstr>
  </property>
  <property fmtid="{D5CDD505-2E9C-101B-9397-08002B2CF9AE}" pid="25" name="PM_Hash_Salt">
    <vt:lpwstr>4DCB0728D1C11531D0E96D270834B341</vt:lpwstr>
  </property>
  <property fmtid="{D5CDD505-2E9C-101B-9397-08002B2CF9AE}" pid="26" name="PM_Hash_SHA1">
    <vt:lpwstr>2CFCDAE4F1F0AB335BF32353AF910F069AB3F10E</vt:lpwstr>
  </property>
  <property fmtid="{D5CDD505-2E9C-101B-9397-08002B2CF9AE}" pid="27" name="PM_SecurityClassification_Prev">
    <vt:lpwstr>OFFICIAL</vt:lpwstr>
  </property>
  <property fmtid="{D5CDD505-2E9C-101B-9397-08002B2CF9AE}" pid="28" name="PM_Qualifier_Prev">
    <vt:lpwstr/>
  </property>
</Properties>
</file>