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07162" w14:textId="7B36BA47" w:rsidR="007773B1" w:rsidRPr="00EB4317" w:rsidRDefault="00EB4317" w:rsidP="00EB4317">
      <w:pPr>
        <w:pStyle w:val="Title"/>
        <w:rPr>
          <w:lang w:val="en-AU"/>
        </w:rPr>
      </w:pPr>
      <w:r>
        <w:rPr>
          <w:lang w:val="en-AU"/>
        </w:rPr>
        <w:t>D</w:t>
      </w:r>
      <w:r w:rsidR="007773B1" w:rsidRPr="005E2351">
        <w:rPr>
          <w:lang w:val="en-AU"/>
        </w:rPr>
        <w:t xml:space="preserve">FAT management response </w:t>
      </w:r>
      <w:r w:rsidR="00955820">
        <w:rPr>
          <w:lang w:val="en-AU"/>
        </w:rPr>
        <w:t xml:space="preserve">to </w:t>
      </w:r>
      <w:r w:rsidR="00955820" w:rsidRPr="00955820">
        <w:rPr>
          <w:lang w:val="en-AU"/>
        </w:rPr>
        <w:t>technicaL disaster risk reduction program in png ev</w:t>
      </w:r>
      <w:r w:rsidR="001A6EF7">
        <w:rPr>
          <w:lang w:val="en-AU"/>
        </w:rPr>
        <w:t>a</w:t>
      </w:r>
      <w:r w:rsidR="00955820" w:rsidRPr="00955820">
        <w:rPr>
          <w:lang w:val="en-AU"/>
        </w:rPr>
        <w:t xml:space="preserve">laution </w:t>
      </w:r>
    </w:p>
    <w:p w14:paraId="433FB409" w14:textId="4EAE674C" w:rsidR="001B32EE" w:rsidRDefault="007773B1" w:rsidP="00225CF2">
      <w:pPr>
        <w:spacing w:line="276" w:lineRule="auto"/>
        <w:rPr>
          <w:rFonts w:cstheme="minorHAnsi"/>
          <w:color w:val="auto"/>
        </w:rPr>
      </w:pPr>
      <w:r w:rsidRPr="00F7623A">
        <w:rPr>
          <w:rFonts w:cstheme="minorHAnsi"/>
          <w:color w:val="auto"/>
        </w:rPr>
        <w:t xml:space="preserve">In </w:t>
      </w:r>
      <w:r w:rsidR="005B205C">
        <w:rPr>
          <w:rFonts w:cstheme="minorHAnsi"/>
          <w:color w:val="auto"/>
        </w:rPr>
        <w:t>August</w:t>
      </w:r>
      <w:r w:rsidR="008207CF">
        <w:rPr>
          <w:rFonts w:cstheme="minorHAnsi"/>
          <w:color w:val="auto"/>
        </w:rPr>
        <w:t xml:space="preserve"> 2022</w:t>
      </w:r>
      <w:r w:rsidRPr="00F7623A">
        <w:rPr>
          <w:rFonts w:cstheme="minorHAnsi"/>
          <w:color w:val="auto"/>
        </w:rPr>
        <w:t>,</w:t>
      </w:r>
      <w:r w:rsidR="00693737">
        <w:rPr>
          <w:rFonts w:cstheme="minorHAnsi"/>
          <w:color w:val="auto"/>
        </w:rPr>
        <w:t xml:space="preserve"> jointly with Geoscience Australia,</w:t>
      </w:r>
      <w:r w:rsidRPr="00F7623A">
        <w:rPr>
          <w:rFonts w:cstheme="minorHAnsi"/>
          <w:color w:val="auto"/>
        </w:rPr>
        <w:t xml:space="preserve"> </w:t>
      </w:r>
      <w:r w:rsidR="00693737">
        <w:rPr>
          <w:rFonts w:cstheme="minorHAnsi"/>
          <w:color w:val="auto"/>
        </w:rPr>
        <w:t>the</w:t>
      </w:r>
      <w:r w:rsidRPr="00F7623A">
        <w:rPr>
          <w:rFonts w:cstheme="minorHAnsi"/>
          <w:color w:val="auto"/>
        </w:rPr>
        <w:t xml:space="preserve"> Department of Foreign Affairs and Trade (DFAT) commissioned an evaluation</w:t>
      </w:r>
      <w:r w:rsidR="00326A48">
        <w:rPr>
          <w:rFonts w:cstheme="minorHAnsi"/>
          <w:color w:val="auto"/>
        </w:rPr>
        <w:t xml:space="preserve"> of</w:t>
      </w:r>
      <w:r w:rsidRPr="00F7623A">
        <w:rPr>
          <w:rFonts w:cstheme="minorHAnsi"/>
          <w:color w:val="auto"/>
        </w:rPr>
        <w:t xml:space="preserve"> </w:t>
      </w:r>
      <w:r w:rsidR="005A60CA">
        <w:rPr>
          <w:rFonts w:cstheme="minorHAnsi"/>
          <w:color w:val="auto"/>
        </w:rPr>
        <w:t>the Technical Disaster Risk Reduction Program in P</w:t>
      </w:r>
      <w:r w:rsidR="002A0EB6">
        <w:rPr>
          <w:rFonts w:cstheme="minorHAnsi"/>
          <w:color w:val="auto"/>
        </w:rPr>
        <w:t xml:space="preserve">apua New </w:t>
      </w:r>
      <w:r w:rsidR="005A60CA">
        <w:rPr>
          <w:rFonts w:cstheme="minorHAnsi"/>
          <w:color w:val="auto"/>
        </w:rPr>
        <w:t>G</w:t>
      </w:r>
      <w:r w:rsidR="002A0EB6">
        <w:rPr>
          <w:rFonts w:cstheme="minorHAnsi"/>
          <w:color w:val="auto"/>
        </w:rPr>
        <w:t>uinea</w:t>
      </w:r>
      <w:r w:rsidR="005A60CA">
        <w:rPr>
          <w:rFonts w:cstheme="minorHAnsi"/>
          <w:color w:val="auto"/>
        </w:rPr>
        <w:t>.</w:t>
      </w:r>
      <w:r w:rsidR="00EA7AAD">
        <w:rPr>
          <w:rFonts w:cstheme="minorHAnsi"/>
          <w:color w:val="auto"/>
        </w:rPr>
        <w:t xml:space="preserve"> The program is funded by DFAT and implemented by Geoscience Australia</w:t>
      </w:r>
      <w:r w:rsidR="00771E6B">
        <w:rPr>
          <w:rFonts w:cstheme="minorHAnsi"/>
          <w:color w:val="auto"/>
        </w:rPr>
        <w:t xml:space="preserve"> (GA)</w:t>
      </w:r>
      <w:r w:rsidR="00EA7AAD">
        <w:rPr>
          <w:rFonts w:cstheme="minorHAnsi"/>
          <w:color w:val="auto"/>
        </w:rPr>
        <w:t>.</w:t>
      </w:r>
      <w:r w:rsidR="00C16FC5">
        <w:rPr>
          <w:rFonts w:cstheme="minorHAnsi"/>
          <w:color w:val="auto"/>
        </w:rPr>
        <w:t xml:space="preserve"> </w:t>
      </w:r>
      <w:r w:rsidR="00541E3B">
        <w:rPr>
          <w:rFonts w:cstheme="minorHAnsi"/>
          <w:color w:val="auto"/>
        </w:rPr>
        <w:t>The current phase of the program has been ongoing since 201</w:t>
      </w:r>
      <w:r w:rsidR="007B3CED">
        <w:rPr>
          <w:rFonts w:cstheme="minorHAnsi"/>
          <w:color w:val="auto"/>
        </w:rPr>
        <w:t>6</w:t>
      </w:r>
      <w:r w:rsidR="00541E3B">
        <w:rPr>
          <w:rFonts w:cstheme="minorHAnsi"/>
          <w:color w:val="auto"/>
        </w:rPr>
        <w:t>, however the partnership between G</w:t>
      </w:r>
      <w:r w:rsidR="00771E6B">
        <w:rPr>
          <w:rFonts w:cstheme="minorHAnsi"/>
          <w:color w:val="auto"/>
        </w:rPr>
        <w:t>A</w:t>
      </w:r>
      <w:r w:rsidR="00541E3B">
        <w:rPr>
          <w:rFonts w:cstheme="minorHAnsi"/>
          <w:color w:val="auto"/>
        </w:rPr>
        <w:t xml:space="preserve"> and </w:t>
      </w:r>
      <w:r w:rsidR="001B32EE">
        <w:rPr>
          <w:rFonts w:cstheme="minorHAnsi"/>
          <w:color w:val="auto"/>
        </w:rPr>
        <w:t xml:space="preserve">counterpart technical agencies in the Government of PNG </w:t>
      </w:r>
      <w:r w:rsidR="00D72691">
        <w:rPr>
          <w:rFonts w:cstheme="minorHAnsi"/>
          <w:color w:val="auto"/>
        </w:rPr>
        <w:t xml:space="preserve">(GoPNG) </w:t>
      </w:r>
      <w:r w:rsidR="005E0A24">
        <w:rPr>
          <w:rFonts w:cstheme="minorHAnsi"/>
          <w:color w:val="auto"/>
        </w:rPr>
        <w:t>commenced in 1994</w:t>
      </w:r>
      <w:r w:rsidR="001B32EE">
        <w:rPr>
          <w:rFonts w:cstheme="minorHAnsi"/>
          <w:color w:val="auto"/>
        </w:rPr>
        <w:t xml:space="preserve">. </w:t>
      </w:r>
    </w:p>
    <w:p w14:paraId="7D5F0724" w14:textId="213FF91B" w:rsidR="00A3217B" w:rsidRPr="005E0A24" w:rsidRDefault="007773B1" w:rsidP="005E0A24">
      <w:pPr>
        <w:spacing w:line="276" w:lineRule="auto"/>
        <w:rPr>
          <w:rFonts w:cstheme="minorHAnsi"/>
          <w:color w:val="auto"/>
        </w:rPr>
      </w:pPr>
      <w:r w:rsidRPr="00F7623A">
        <w:rPr>
          <w:rFonts w:cstheme="minorHAnsi"/>
          <w:color w:val="auto"/>
        </w:rPr>
        <w:t xml:space="preserve">The evaluation assessed </w:t>
      </w:r>
      <w:r w:rsidR="00225CF2" w:rsidRPr="00EA7AAD">
        <w:rPr>
          <w:rFonts w:cstheme="minorHAnsi"/>
          <w:color w:val="auto"/>
        </w:rPr>
        <w:t xml:space="preserve">the program's performance against standard evaluation criteria </w:t>
      </w:r>
      <w:r w:rsidR="008D32C6">
        <w:rPr>
          <w:rFonts w:cstheme="minorHAnsi"/>
          <w:color w:val="auto"/>
        </w:rPr>
        <w:t>(</w:t>
      </w:r>
      <w:r w:rsidR="00225CF2" w:rsidRPr="00EA7AAD">
        <w:rPr>
          <w:rFonts w:cstheme="minorHAnsi"/>
          <w:color w:val="auto"/>
        </w:rPr>
        <w:t>relevance, coherence, effectiveness, efficiency, impact, and sustainability</w:t>
      </w:r>
      <w:r w:rsidR="008D32C6">
        <w:rPr>
          <w:rFonts w:cstheme="minorHAnsi"/>
          <w:color w:val="auto"/>
        </w:rPr>
        <w:t>)</w:t>
      </w:r>
      <w:r w:rsidR="00225CF2" w:rsidRPr="00EA7AAD">
        <w:rPr>
          <w:rFonts w:cstheme="minorHAnsi"/>
          <w:color w:val="auto"/>
        </w:rPr>
        <w:t xml:space="preserve"> and provide</w:t>
      </w:r>
      <w:r w:rsidR="007B5450">
        <w:rPr>
          <w:rFonts w:cstheme="minorHAnsi"/>
          <w:color w:val="auto"/>
        </w:rPr>
        <w:t>s</w:t>
      </w:r>
      <w:r w:rsidR="00225CF2" w:rsidRPr="00EA7AAD">
        <w:rPr>
          <w:rFonts w:cstheme="minorHAnsi"/>
          <w:color w:val="auto"/>
        </w:rPr>
        <w:t xml:space="preserve"> recommendations to inform future investment decisions regarding the partnership with Geoscience Australia, and </w:t>
      </w:r>
      <w:r w:rsidR="00B94F64">
        <w:rPr>
          <w:rFonts w:cstheme="minorHAnsi"/>
          <w:color w:val="auto"/>
        </w:rPr>
        <w:t>the</w:t>
      </w:r>
      <w:r w:rsidR="00225CF2" w:rsidRPr="00EA7AAD">
        <w:rPr>
          <w:rFonts w:cstheme="minorHAnsi"/>
          <w:color w:val="auto"/>
        </w:rPr>
        <w:t xml:space="preserve"> broader architecture of </w:t>
      </w:r>
      <w:r w:rsidR="00B94F64">
        <w:rPr>
          <w:rFonts w:cstheme="minorHAnsi"/>
          <w:color w:val="auto"/>
        </w:rPr>
        <w:t>DFAT’s</w:t>
      </w:r>
      <w:r w:rsidR="00225CF2" w:rsidRPr="00EA7AAD">
        <w:rPr>
          <w:rFonts w:cstheme="minorHAnsi"/>
          <w:color w:val="auto"/>
        </w:rPr>
        <w:t xml:space="preserve"> </w:t>
      </w:r>
      <w:r w:rsidR="008D32C6">
        <w:rPr>
          <w:rFonts w:cstheme="minorHAnsi"/>
          <w:color w:val="auto"/>
        </w:rPr>
        <w:t>d</w:t>
      </w:r>
      <w:r w:rsidR="00225CF2" w:rsidRPr="00EA7AAD">
        <w:rPr>
          <w:rFonts w:cstheme="minorHAnsi"/>
          <w:color w:val="auto"/>
        </w:rPr>
        <w:t xml:space="preserve">isaster </w:t>
      </w:r>
      <w:r w:rsidR="008D32C6">
        <w:rPr>
          <w:rFonts w:cstheme="minorHAnsi"/>
          <w:color w:val="auto"/>
        </w:rPr>
        <w:t>r</w:t>
      </w:r>
      <w:r w:rsidR="00225CF2" w:rsidRPr="00EA7AAD">
        <w:rPr>
          <w:rFonts w:cstheme="minorHAnsi"/>
          <w:color w:val="auto"/>
        </w:rPr>
        <w:t xml:space="preserve">isk </w:t>
      </w:r>
      <w:r w:rsidR="009A240E">
        <w:rPr>
          <w:rFonts w:cstheme="minorHAnsi"/>
          <w:color w:val="auto"/>
        </w:rPr>
        <w:t>reduction</w:t>
      </w:r>
      <w:r w:rsidR="008D32C6">
        <w:rPr>
          <w:rFonts w:cstheme="minorHAnsi"/>
          <w:color w:val="auto"/>
        </w:rPr>
        <w:t>/m</w:t>
      </w:r>
      <w:r w:rsidR="00B94F64">
        <w:rPr>
          <w:rFonts w:cstheme="minorHAnsi"/>
          <w:color w:val="auto"/>
        </w:rPr>
        <w:t>anagement</w:t>
      </w:r>
      <w:r w:rsidR="00225CF2" w:rsidRPr="00EA7AAD">
        <w:rPr>
          <w:rFonts w:cstheme="minorHAnsi"/>
          <w:color w:val="auto"/>
        </w:rPr>
        <w:t xml:space="preserve"> portfolio in PNG.</w:t>
      </w:r>
    </w:p>
    <w:p w14:paraId="68D74C4F" w14:textId="1B6080AB" w:rsidR="00460328" w:rsidRDefault="00460328" w:rsidP="00AD037C">
      <w:pPr>
        <w:spacing w:before="0" w:after="0"/>
        <w:rPr>
          <w:color w:val="auto"/>
          <w:lang w:val="en-AU"/>
        </w:rPr>
      </w:pPr>
    </w:p>
    <w:p w14:paraId="35D1A3A0" w14:textId="01AD7823" w:rsidR="00C37FFA" w:rsidRDefault="00B5207A" w:rsidP="00AD55A1">
      <w:pPr>
        <w:pStyle w:val="Subtitle"/>
      </w:pPr>
      <w:r>
        <w:t xml:space="preserve">DFAT-Geoscience Australia Joint Response to the Evaluation </w:t>
      </w:r>
    </w:p>
    <w:p w14:paraId="6CD93B79" w14:textId="07BC81C4" w:rsidR="00EB4317" w:rsidRDefault="00295AE8" w:rsidP="00EB4317">
      <w:pPr>
        <w:spacing w:line="276" w:lineRule="auto"/>
        <w:rPr>
          <w:rFonts w:cstheme="minorHAnsi"/>
          <w:color w:val="auto"/>
        </w:rPr>
      </w:pPr>
      <w:r>
        <w:rPr>
          <w:rFonts w:cstheme="minorHAnsi"/>
          <w:color w:val="auto"/>
        </w:rPr>
        <w:t xml:space="preserve">DFAT and GA welcome the </w:t>
      </w:r>
      <w:r w:rsidR="006134B0">
        <w:rPr>
          <w:rFonts w:cstheme="minorHAnsi"/>
          <w:color w:val="auto"/>
        </w:rPr>
        <w:t xml:space="preserve">independent </w:t>
      </w:r>
      <w:r w:rsidR="00747A7B">
        <w:rPr>
          <w:rFonts w:cstheme="minorHAnsi"/>
          <w:color w:val="auto"/>
        </w:rPr>
        <w:t>evaluation of the Technical Disaster Risk Reduction Program. We</w:t>
      </w:r>
      <w:r>
        <w:rPr>
          <w:rFonts w:cstheme="minorHAnsi"/>
          <w:color w:val="auto"/>
        </w:rPr>
        <w:t xml:space="preserve"> broadly accept the recommendations put forward in the evaluation report</w:t>
      </w:r>
      <w:r w:rsidR="006134B0">
        <w:rPr>
          <w:rFonts w:cstheme="minorHAnsi"/>
          <w:color w:val="auto"/>
        </w:rPr>
        <w:t xml:space="preserve"> and consider it to be a fair assessment of the strengths and challenges of the program and the context </w:t>
      </w:r>
      <w:r w:rsidR="000810F6">
        <w:rPr>
          <w:rFonts w:cstheme="minorHAnsi"/>
          <w:color w:val="auto"/>
        </w:rPr>
        <w:t>i</w:t>
      </w:r>
      <w:r w:rsidR="001E5FAC">
        <w:rPr>
          <w:rFonts w:cstheme="minorHAnsi"/>
          <w:color w:val="auto"/>
        </w:rPr>
        <w:t>t</w:t>
      </w:r>
      <w:r w:rsidR="000810F6">
        <w:rPr>
          <w:rFonts w:cstheme="minorHAnsi"/>
          <w:color w:val="auto"/>
        </w:rPr>
        <w:t xml:space="preserve"> </w:t>
      </w:r>
      <w:r w:rsidR="006134B0">
        <w:rPr>
          <w:rFonts w:cstheme="minorHAnsi"/>
          <w:color w:val="auto"/>
        </w:rPr>
        <w:t>operates</w:t>
      </w:r>
      <w:r w:rsidR="009B2AF1">
        <w:rPr>
          <w:rFonts w:cstheme="minorHAnsi"/>
          <w:color w:val="auto"/>
        </w:rPr>
        <w:t xml:space="preserve"> in</w:t>
      </w:r>
      <w:r w:rsidR="006134B0">
        <w:rPr>
          <w:rFonts w:cstheme="minorHAnsi"/>
          <w:color w:val="auto"/>
        </w:rPr>
        <w:t>.</w:t>
      </w:r>
      <w:r>
        <w:rPr>
          <w:rFonts w:cstheme="minorHAnsi"/>
          <w:color w:val="auto"/>
        </w:rPr>
        <w:t xml:space="preserve"> </w:t>
      </w:r>
    </w:p>
    <w:p w14:paraId="65CAE796" w14:textId="77777777" w:rsidR="00EB4317" w:rsidRDefault="00EB4317">
      <w:pPr>
        <w:suppressAutoHyphens w:val="0"/>
        <w:spacing w:before="0" w:after="120" w:line="440" w:lineRule="atLeast"/>
        <w:rPr>
          <w:rFonts w:cstheme="minorHAnsi"/>
          <w:color w:val="auto"/>
        </w:rPr>
      </w:pPr>
      <w:r>
        <w:rPr>
          <w:rFonts w:cstheme="minorHAnsi"/>
          <w:color w:val="auto"/>
        </w:rPr>
        <w:br w:type="page"/>
      </w:r>
    </w:p>
    <w:p w14:paraId="626ACEAA" w14:textId="332A2FB3" w:rsidR="00F35A36" w:rsidRDefault="00F35A36" w:rsidP="00EB4317">
      <w:pPr>
        <w:pStyle w:val="Subtitle"/>
      </w:pPr>
      <w:r w:rsidRPr="00AD55A1">
        <w:lastRenderedPageBreak/>
        <w:t xml:space="preserve">DFAT-Geoscience Australia Joint Response to the Recommendations </w:t>
      </w:r>
    </w:p>
    <w:tbl>
      <w:tblPr>
        <w:tblStyle w:val="TableGrid"/>
        <w:tblW w:w="0" w:type="auto"/>
        <w:tblLook w:val="04A0" w:firstRow="1" w:lastRow="0" w:firstColumn="1" w:lastColumn="0" w:noHBand="0" w:noVBand="1"/>
      </w:tblPr>
      <w:tblGrid>
        <w:gridCol w:w="4581"/>
        <w:gridCol w:w="1190"/>
        <w:gridCol w:w="7938"/>
      </w:tblGrid>
      <w:tr w:rsidR="00EB4317" w14:paraId="0ACB7DED" w14:textId="77777777" w:rsidTr="00755645">
        <w:trPr>
          <w:tblHeader/>
        </w:trPr>
        <w:tc>
          <w:tcPr>
            <w:tcW w:w="4724" w:type="dxa"/>
          </w:tcPr>
          <w:p w14:paraId="3DC93B22" w14:textId="77777777" w:rsidR="00EB4317" w:rsidRPr="00821377" w:rsidRDefault="00EB4317" w:rsidP="00755645">
            <w:pPr>
              <w:rPr>
                <w:b/>
                <w:bCs/>
              </w:rPr>
            </w:pPr>
            <w:r w:rsidRPr="00821377">
              <w:rPr>
                <w:b/>
                <w:bCs/>
              </w:rPr>
              <w:t>Recommendation</w:t>
            </w:r>
          </w:p>
        </w:tc>
        <w:tc>
          <w:tcPr>
            <w:tcW w:w="1196" w:type="dxa"/>
          </w:tcPr>
          <w:p w14:paraId="6BEE4DB5" w14:textId="77777777" w:rsidR="00EB4317" w:rsidRPr="00821377" w:rsidRDefault="00EB4317" w:rsidP="00755645">
            <w:pPr>
              <w:rPr>
                <w:b/>
                <w:bCs/>
              </w:rPr>
            </w:pPr>
            <w:r w:rsidRPr="00821377">
              <w:rPr>
                <w:b/>
                <w:bCs/>
              </w:rPr>
              <w:t>Response</w:t>
            </w:r>
          </w:p>
        </w:tc>
        <w:tc>
          <w:tcPr>
            <w:tcW w:w="8254" w:type="dxa"/>
          </w:tcPr>
          <w:p w14:paraId="30280819" w14:textId="77777777" w:rsidR="00EB4317" w:rsidRPr="00821377" w:rsidRDefault="00EB4317" w:rsidP="00755645">
            <w:pPr>
              <w:rPr>
                <w:b/>
                <w:bCs/>
              </w:rPr>
            </w:pPr>
            <w:r w:rsidRPr="00821377">
              <w:rPr>
                <w:b/>
                <w:bCs/>
              </w:rPr>
              <w:t>Who/What/When</w:t>
            </w:r>
          </w:p>
        </w:tc>
      </w:tr>
      <w:tr w:rsidR="00EB4317" w14:paraId="61D05943" w14:textId="77777777" w:rsidTr="00EB4317">
        <w:tc>
          <w:tcPr>
            <w:tcW w:w="4724" w:type="dxa"/>
          </w:tcPr>
          <w:p w14:paraId="3BAAB494" w14:textId="77777777" w:rsidR="00EB4317" w:rsidRDefault="00EB4317" w:rsidP="00755645">
            <w:r w:rsidRPr="00C57591">
              <w:rPr>
                <w:rFonts w:ascii="Calibri" w:hAnsi="Calibri" w:cs="Calibri"/>
              </w:rPr>
              <w:t>Recommendation 1: Geoscience Australia to continue its flexible and needs-based approach to assisting PNG technical agencies in building their capacity to manage hazards.</w:t>
            </w:r>
          </w:p>
        </w:tc>
        <w:tc>
          <w:tcPr>
            <w:tcW w:w="1196" w:type="dxa"/>
            <w:shd w:val="clear" w:color="auto" w:fill="DDECD0" w:themeFill="accent2" w:themeFillTint="66"/>
          </w:tcPr>
          <w:p w14:paraId="1EDE768C" w14:textId="77777777" w:rsidR="00EB4317" w:rsidRPr="00821377" w:rsidRDefault="00EB4317" w:rsidP="00755645">
            <w:pPr>
              <w:rPr>
                <w:color w:val="auto"/>
              </w:rPr>
            </w:pPr>
            <w:r w:rsidRPr="00821377">
              <w:rPr>
                <w:rFonts w:cstheme="minorHAnsi"/>
                <w:color w:val="auto"/>
                <w:lang w:val="en-AU"/>
              </w:rPr>
              <w:t>Agree</w:t>
            </w:r>
          </w:p>
        </w:tc>
        <w:tc>
          <w:tcPr>
            <w:tcW w:w="8254" w:type="dxa"/>
          </w:tcPr>
          <w:p w14:paraId="57769819" w14:textId="77777777" w:rsidR="00EB4317" w:rsidRDefault="00EB4317" w:rsidP="00755645">
            <w:pPr>
              <w:spacing w:after="0" w:line="264" w:lineRule="auto"/>
              <w:rPr>
                <w:b/>
                <w:bCs/>
              </w:rPr>
            </w:pPr>
            <w:r>
              <w:t>LEAD: Joint</w:t>
            </w:r>
          </w:p>
          <w:p w14:paraId="7BB5DC9B" w14:textId="77777777" w:rsidR="00EB4317" w:rsidRDefault="00EB4317" w:rsidP="00755645">
            <w:pPr>
              <w:spacing w:after="0" w:line="264" w:lineRule="auto"/>
              <w:rPr>
                <w:b/>
                <w:bCs/>
              </w:rPr>
            </w:pPr>
            <w:r>
              <w:t>BY: June 2023</w:t>
            </w:r>
          </w:p>
          <w:p w14:paraId="0ADD2B3C" w14:textId="77777777" w:rsidR="00EB4317" w:rsidRDefault="00EB4317" w:rsidP="00755645">
            <w:r>
              <w:t>GA and DFAT agree the current program model offers sufficient flexibility to support a needs-based approach to PNG technical agencies and that this model has supported program efficiency and effectiveness.  Any future programming will incorporate similar levels of flexibility.</w:t>
            </w:r>
          </w:p>
        </w:tc>
      </w:tr>
      <w:tr w:rsidR="00EB4317" w14:paraId="287EB17D" w14:textId="77777777" w:rsidTr="00EB4317">
        <w:tc>
          <w:tcPr>
            <w:tcW w:w="4724" w:type="dxa"/>
          </w:tcPr>
          <w:p w14:paraId="10FD4F96" w14:textId="77777777" w:rsidR="00EB4317" w:rsidRDefault="00EB4317" w:rsidP="00755645">
            <w:r w:rsidRPr="00C57591">
              <w:rPr>
                <w:rFonts w:ascii="Calibri" w:hAnsi="Calibri" w:cs="Calibri"/>
              </w:rPr>
              <w:t>Recommendation 2: Geoscience Australia to coordinate with United States Geological Survey to ensure potential future United States Geological Survey inputs are complementary with Geoscience Australia future inputs.</w:t>
            </w:r>
          </w:p>
        </w:tc>
        <w:tc>
          <w:tcPr>
            <w:tcW w:w="1196" w:type="dxa"/>
            <w:shd w:val="clear" w:color="auto" w:fill="DDECD0" w:themeFill="accent2" w:themeFillTint="66"/>
          </w:tcPr>
          <w:p w14:paraId="60E2E4B6" w14:textId="77777777" w:rsidR="00EB4317" w:rsidRPr="00821377" w:rsidRDefault="00EB4317" w:rsidP="00755645">
            <w:pPr>
              <w:rPr>
                <w:color w:val="auto"/>
              </w:rPr>
            </w:pPr>
            <w:r w:rsidRPr="00821377">
              <w:rPr>
                <w:rFonts w:cstheme="minorHAnsi"/>
                <w:color w:val="auto"/>
              </w:rPr>
              <w:t>Agree</w:t>
            </w:r>
          </w:p>
        </w:tc>
        <w:tc>
          <w:tcPr>
            <w:tcW w:w="8254" w:type="dxa"/>
          </w:tcPr>
          <w:p w14:paraId="7B6D154C" w14:textId="77777777" w:rsidR="00EB4317" w:rsidRDefault="00EB4317" w:rsidP="00755645">
            <w:pPr>
              <w:spacing w:after="0" w:line="264" w:lineRule="auto"/>
              <w:rPr>
                <w:b/>
                <w:bCs/>
              </w:rPr>
            </w:pPr>
            <w:r>
              <w:t>LEAD: Geoscience Australia</w:t>
            </w:r>
          </w:p>
          <w:p w14:paraId="22D6F621" w14:textId="77777777" w:rsidR="00EB4317" w:rsidRDefault="00EB4317" w:rsidP="00755645">
            <w:pPr>
              <w:spacing w:after="0" w:line="264" w:lineRule="auto"/>
              <w:rPr>
                <w:b/>
                <w:bCs/>
              </w:rPr>
            </w:pPr>
            <w:r>
              <w:t>BY: December 2023</w:t>
            </w:r>
          </w:p>
          <w:p w14:paraId="2BAD0AA9" w14:textId="77777777" w:rsidR="00EB4317" w:rsidRDefault="00EB4317" w:rsidP="00755645">
            <w:r>
              <w:t xml:space="preserve">GA will seek opportunities for future coordination with technical agencies from other development partners also seeking to support PNG to ensure coordination and maximising our collective efforts. This includes the United States Geological Survey. </w:t>
            </w:r>
          </w:p>
        </w:tc>
      </w:tr>
      <w:tr w:rsidR="00EB4317" w14:paraId="20FB86DC" w14:textId="77777777" w:rsidTr="00EB4317">
        <w:tc>
          <w:tcPr>
            <w:tcW w:w="4724" w:type="dxa"/>
          </w:tcPr>
          <w:p w14:paraId="1F6BD5D0" w14:textId="77777777" w:rsidR="00EB4317" w:rsidRDefault="00EB4317" w:rsidP="00755645">
            <w:r w:rsidRPr="00C57591">
              <w:rPr>
                <w:rFonts w:ascii="Calibri" w:hAnsi="Calibri" w:cs="Calibri"/>
              </w:rPr>
              <w:t>Recommendation 3: Geoscience Australia to revisit the issue of a multi-hazard approach in the design of a new phase of the program (from July 2023). This could also include linkages with the PNG Australia Climate Initiative Australian Humanitarian Partnership NGOs in PNG.</w:t>
            </w:r>
          </w:p>
        </w:tc>
        <w:tc>
          <w:tcPr>
            <w:tcW w:w="1196" w:type="dxa"/>
            <w:shd w:val="clear" w:color="auto" w:fill="EDCEBE" w:themeFill="accent3" w:themeFillTint="66"/>
          </w:tcPr>
          <w:p w14:paraId="06F65865" w14:textId="77777777" w:rsidR="00EB4317" w:rsidRPr="00821377" w:rsidRDefault="00EB4317" w:rsidP="00755645">
            <w:pPr>
              <w:rPr>
                <w:color w:val="auto"/>
              </w:rPr>
            </w:pPr>
            <w:r w:rsidRPr="00821377">
              <w:rPr>
                <w:rFonts w:cstheme="minorHAnsi"/>
                <w:color w:val="auto"/>
              </w:rPr>
              <w:t>Agree in part</w:t>
            </w:r>
          </w:p>
        </w:tc>
        <w:tc>
          <w:tcPr>
            <w:tcW w:w="8254" w:type="dxa"/>
          </w:tcPr>
          <w:p w14:paraId="33A9C746" w14:textId="77777777" w:rsidR="00EB4317" w:rsidRDefault="00EB4317" w:rsidP="00755645">
            <w:pPr>
              <w:spacing w:after="0" w:line="264" w:lineRule="auto"/>
              <w:rPr>
                <w:b/>
                <w:bCs/>
              </w:rPr>
            </w:pPr>
            <w:r>
              <w:t>LEAD: Joint</w:t>
            </w:r>
          </w:p>
          <w:p w14:paraId="134EA532" w14:textId="77777777" w:rsidR="00EB4317" w:rsidRDefault="00EB4317" w:rsidP="00755645">
            <w:pPr>
              <w:spacing w:after="0" w:line="264" w:lineRule="auto"/>
              <w:rPr>
                <w:b/>
                <w:bCs/>
              </w:rPr>
            </w:pPr>
            <w:r>
              <w:t>BY: June 2023</w:t>
            </w:r>
          </w:p>
          <w:p w14:paraId="4B241DB2" w14:textId="77777777" w:rsidR="00EB4317" w:rsidRDefault="00EB4317" w:rsidP="00755645">
            <w:pPr>
              <w:spacing w:after="0" w:line="264" w:lineRule="auto"/>
            </w:pPr>
            <w:r>
              <w:t xml:space="preserve">As part of any new program design activities, GA and DFAT will explore options to reinstate a multi-hazard approach for GA support to technical agencies in PNG. This will include considering opportunities to leverage Australia’s other disaster risk management and climate change investments in PNG. </w:t>
            </w:r>
          </w:p>
          <w:p w14:paraId="439407C9" w14:textId="77777777" w:rsidR="00EB4317" w:rsidRDefault="00EB4317" w:rsidP="00755645">
            <w:r>
              <w:t xml:space="preserve">GA and DFAT will also consider if GA is the right agency to support multi-hazard approaches, or if DFAT should consider partnerships with other Australian technical agencies who may be better placed to support their counterpart agencies in PNG. If the latter approach is taken, DFAT will ensure complementarity and coordination between programs. </w:t>
            </w:r>
          </w:p>
        </w:tc>
      </w:tr>
      <w:tr w:rsidR="00EB4317" w14:paraId="4F5BFF1C" w14:textId="77777777" w:rsidTr="00EB4317">
        <w:tc>
          <w:tcPr>
            <w:tcW w:w="4724" w:type="dxa"/>
          </w:tcPr>
          <w:p w14:paraId="6C715B6B" w14:textId="77777777" w:rsidR="00EB4317" w:rsidRDefault="00EB4317" w:rsidP="00755645">
            <w:r w:rsidRPr="00C57591">
              <w:rPr>
                <w:rFonts w:ascii="Calibri" w:hAnsi="Calibri" w:cs="Calibri"/>
              </w:rPr>
              <w:t xml:space="preserve">Recommendation 4: Geoscience Australia to meet with the Disaster READY Country Committee to explore possibilities for piloting </w:t>
            </w:r>
            <w:r w:rsidRPr="00C57591">
              <w:rPr>
                <w:rFonts w:ascii="Calibri" w:hAnsi="Calibri" w:cs="Calibri"/>
              </w:rPr>
              <w:lastRenderedPageBreak/>
              <w:t>community-based hazard awareness on seismic risk, most likely in Bougainville.</w:t>
            </w:r>
          </w:p>
        </w:tc>
        <w:tc>
          <w:tcPr>
            <w:tcW w:w="1196" w:type="dxa"/>
            <w:shd w:val="clear" w:color="auto" w:fill="ADDEC1" w:themeFill="accent5" w:themeFillTint="66"/>
          </w:tcPr>
          <w:p w14:paraId="53CD0C3C" w14:textId="77777777" w:rsidR="00EB4317" w:rsidRPr="00821377" w:rsidRDefault="00EB4317" w:rsidP="00755645">
            <w:pPr>
              <w:rPr>
                <w:color w:val="auto"/>
              </w:rPr>
            </w:pPr>
            <w:r w:rsidRPr="00821377">
              <w:rPr>
                <w:rFonts w:cstheme="minorHAnsi"/>
                <w:color w:val="auto"/>
              </w:rPr>
              <w:lastRenderedPageBreak/>
              <w:t>Agree</w:t>
            </w:r>
          </w:p>
        </w:tc>
        <w:tc>
          <w:tcPr>
            <w:tcW w:w="8254" w:type="dxa"/>
          </w:tcPr>
          <w:p w14:paraId="7C5B3714" w14:textId="77777777" w:rsidR="00EB4317" w:rsidRDefault="00EB4317" w:rsidP="00755645">
            <w:pPr>
              <w:spacing w:after="0" w:line="264" w:lineRule="auto"/>
              <w:rPr>
                <w:b/>
                <w:bCs/>
              </w:rPr>
            </w:pPr>
            <w:r>
              <w:t>LEAD: Joint</w:t>
            </w:r>
          </w:p>
          <w:p w14:paraId="525CFFF0" w14:textId="77777777" w:rsidR="00EB4317" w:rsidRDefault="00EB4317" w:rsidP="00755645">
            <w:pPr>
              <w:spacing w:after="0" w:line="264" w:lineRule="auto"/>
              <w:rPr>
                <w:b/>
                <w:bCs/>
              </w:rPr>
            </w:pPr>
            <w:r>
              <w:t>BY: June 2023</w:t>
            </w:r>
          </w:p>
          <w:p w14:paraId="54D375D3" w14:textId="77777777" w:rsidR="00EB4317" w:rsidRDefault="00EB4317" w:rsidP="00755645">
            <w:r>
              <w:lastRenderedPageBreak/>
              <w:t xml:space="preserve">As part of efforts to ensure complementarity, and opportunities to leverage DFAT’s investments in the disaster risk management sector in PNG, DFAT will consider all points of entry for GA. This will include considerations as to how GA’s expertise and work can be utilised by NGO partners under the Australian Humanitarian Partnership Disaster READY Program. </w:t>
            </w:r>
          </w:p>
        </w:tc>
      </w:tr>
      <w:tr w:rsidR="00EB4317" w14:paraId="2C5D802E" w14:textId="77777777" w:rsidTr="00EB4317">
        <w:tc>
          <w:tcPr>
            <w:tcW w:w="4724" w:type="dxa"/>
          </w:tcPr>
          <w:p w14:paraId="1756BEC0" w14:textId="77777777" w:rsidR="00EB4317" w:rsidRDefault="00EB4317" w:rsidP="00755645">
            <w:r w:rsidRPr="00C57591">
              <w:rPr>
                <w:rFonts w:ascii="Calibri" w:hAnsi="Calibri" w:cs="Calibri"/>
              </w:rPr>
              <w:lastRenderedPageBreak/>
              <w:t>Recommendation 5: DFAT to consider a different approach to strengthening DRM in PNG. One model to consider could be the Australia-Indonesia Partnership in Disaster Risk Management with its focus on institutional capacity and organisational systems strengthening to improve leadership in Disaster Risk Management.</w:t>
            </w:r>
          </w:p>
        </w:tc>
        <w:tc>
          <w:tcPr>
            <w:tcW w:w="1196" w:type="dxa"/>
            <w:shd w:val="clear" w:color="auto" w:fill="ADDEC1" w:themeFill="accent5" w:themeFillTint="66"/>
          </w:tcPr>
          <w:p w14:paraId="75E07C9A" w14:textId="77777777" w:rsidR="00EB4317" w:rsidRPr="00821377" w:rsidRDefault="00EB4317" w:rsidP="00755645">
            <w:pPr>
              <w:rPr>
                <w:color w:val="auto"/>
              </w:rPr>
            </w:pPr>
            <w:r w:rsidRPr="00821377">
              <w:rPr>
                <w:rFonts w:cstheme="minorHAnsi"/>
                <w:color w:val="auto"/>
              </w:rPr>
              <w:t>Agree</w:t>
            </w:r>
          </w:p>
        </w:tc>
        <w:tc>
          <w:tcPr>
            <w:tcW w:w="8254" w:type="dxa"/>
          </w:tcPr>
          <w:p w14:paraId="40190A45" w14:textId="77777777" w:rsidR="00EB4317" w:rsidRDefault="00EB4317" w:rsidP="00755645">
            <w:pPr>
              <w:spacing w:after="0" w:line="264" w:lineRule="auto"/>
              <w:rPr>
                <w:b/>
                <w:bCs/>
              </w:rPr>
            </w:pPr>
            <w:r>
              <w:t xml:space="preserve">LEAD: DFAT PNG Post </w:t>
            </w:r>
          </w:p>
          <w:p w14:paraId="1BABC951" w14:textId="77777777" w:rsidR="00EB4317" w:rsidRPr="005E3565" w:rsidRDefault="00EB4317" w:rsidP="00755645">
            <w:pPr>
              <w:spacing w:after="0" w:line="264" w:lineRule="auto"/>
              <w:rPr>
                <w:b/>
                <w:bCs/>
              </w:rPr>
            </w:pPr>
            <w:r>
              <w:t>BY: June 2023</w:t>
            </w:r>
          </w:p>
          <w:p w14:paraId="2856F082" w14:textId="77777777" w:rsidR="00EB4317" w:rsidRDefault="00EB4317" w:rsidP="00755645">
            <w:pPr>
              <w:spacing w:after="0" w:line="264" w:lineRule="auto"/>
            </w:pPr>
            <w:r>
              <w:t xml:space="preserve">DFAT welcomes the reflections on the broader architecture of the disaster risk reduction portfolio in PNG and agrees on the importance of taking an </w:t>
            </w:r>
            <w:r w:rsidRPr="00776533">
              <w:t>institutional capacity and organisational systems strengthening</w:t>
            </w:r>
            <w:r>
              <w:t xml:space="preserve"> approach to improve local leadership on DRM. This evaluation is part of a broader exercise to ensure we have a clear understanding of our investments, and the gaps and opportunities to support GoPNG DRM priorities. </w:t>
            </w:r>
          </w:p>
          <w:p w14:paraId="2A557B07" w14:textId="77777777" w:rsidR="00EB4317" w:rsidRDefault="00EB4317" w:rsidP="00755645">
            <w:r>
              <w:t>Post will consult with other DFAT country programs, and DRM technical experts in DFAT Canberra to help inform any future proposed programming.</w:t>
            </w:r>
          </w:p>
        </w:tc>
      </w:tr>
      <w:tr w:rsidR="00EB4317" w14:paraId="2E4FD31B" w14:textId="77777777" w:rsidTr="00EB4317">
        <w:tc>
          <w:tcPr>
            <w:tcW w:w="4724" w:type="dxa"/>
          </w:tcPr>
          <w:p w14:paraId="1A0B26E0" w14:textId="77777777" w:rsidR="00EB4317" w:rsidRDefault="00EB4317" w:rsidP="00755645">
            <w:r w:rsidRPr="00C57591">
              <w:rPr>
                <w:rFonts w:ascii="Calibri" w:hAnsi="Calibri" w:cs="Calibri"/>
              </w:rPr>
              <w:t>Recommendation 6: Geoscience Australia’s annual reporting should consistently include gender-disaggregated data for participation in program related training and workshops.</w:t>
            </w:r>
          </w:p>
        </w:tc>
        <w:tc>
          <w:tcPr>
            <w:tcW w:w="1196" w:type="dxa"/>
            <w:shd w:val="clear" w:color="auto" w:fill="ADDEC1" w:themeFill="accent5" w:themeFillTint="66"/>
          </w:tcPr>
          <w:p w14:paraId="38DF21C3" w14:textId="77777777" w:rsidR="00EB4317" w:rsidRPr="00821377" w:rsidRDefault="00EB4317" w:rsidP="00755645">
            <w:pPr>
              <w:rPr>
                <w:color w:val="auto"/>
              </w:rPr>
            </w:pPr>
            <w:r w:rsidRPr="00821377">
              <w:rPr>
                <w:rFonts w:cstheme="minorHAnsi"/>
                <w:color w:val="auto"/>
              </w:rPr>
              <w:t>Agree</w:t>
            </w:r>
          </w:p>
        </w:tc>
        <w:tc>
          <w:tcPr>
            <w:tcW w:w="8254" w:type="dxa"/>
          </w:tcPr>
          <w:p w14:paraId="631F0D21" w14:textId="77777777" w:rsidR="00EB4317" w:rsidRDefault="00EB4317" w:rsidP="00755645">
            <w:pPr>
              <w:spacing w:after="0" w:line="264" w:lineRule="auto"/>
              <w:rPr>
                <w:b/>
                <w:bCs/>
              </w:rPr>
            </w:pPr>
            <w:r>
              <w:t>LEAD: Joint</w:t>
            </w:r>
          </w:p>
          <w:p w14:paraId="39479C48" w14:textId="77777777" w:rsidR="00EB4317" w:rsidRDefault="00EB4317" w:rsidP="00755645">
            <w:pPr>
              <w:spacing w:after="0" w:line="264" w:lineRule="auto"/>
              <w:rPr>
                <w:b/>
                <w:bCs/>
              </w:rPr>
            </w:pPr>
            <w:r>
              <w:t>BY: October 2023</w:t>
            </w:r>
          </w:p>
          <w:p w14:paraId="0B434236" w14:textId="77777777" w:rsidR="00EB4317" w:rsidRDefault="00EB4317" w:rsidP="00755645">
            <w:r>
              <w:t>DFAT and GA will revisit annual reporting format to ensure it adequately captures gender-disaggregated data.</w:t>
            </w:r>
          </w:p>
        </w:tc>
      </w:tr>
      <w:tr w:rsidR="00EB4317" w14:paraId="7CC110FE" w14:textId="77777777" w:rsidTr="00EB4317">
        <w:tc>
          <w:tcPr>
            <w:tcW w:w="4724" w:type="dxa"/>
          </w:tcPr>
          <w:p w14:paraId="47628335" w14:textId="77777777" w:rsidR="00EB4317" w:rsidRDefault="00EB4317" w:rsidP="00755645">
            <w:r w:rsidRPr="00C57591">
              <w:rPr>
                <w:rFonts w:ascii="Calibri" w:hAnsi="Calibri" w:cs="Calibri"/>
              </w:rPr>
              <w:t>Recommendation 7: Geoscience Australia to continue the current model of program delivery using a range of technical staff to deliver inputs consistent with the evolving program outputs.</w:t>
            </w:r>
          </w:p>
        </w:tc>
        <w:tc>
          <w:tcPr>
            <w:tcW w:w="1196" w:type="dxa"/>
            <w:shd w:val="clear" w:color="auto" w:fill="ADDEC1" w:themeFill="accent5" w:themeFillTint="66"/>
          </w:tcPr>
          <w:p w14:paraId="29505E46" w14:textId="77777777" w:rsidR="00EB4317" w:rsidRPr="00821377" w:rsidRDefault="00EB4317" w:rsidP="00755645">
            <w:pPr>
              <w:rPr>
                <w:color w:val="auto"/>
              </w:rPr>
            </w:pPr>
            <w:r w:rsidRPr="00821377">
              <w:rPr>
                <w:rFonts w:cstheme="minorHAnsi"/>
                <w:color w:val="auto"/>
              </w:rPr>
              <w:t>Agree</w:t>
            </w:r>
          </w:p>
        </w:tc>
        <w:tc>
          <w:tcPr>
            <w:tcW w:w="8254" w:type="dxa"/>
          </w:tcPr>
          <w:p w14:paraId="0B3D6AFD" w14:textId="77777777" w:rsidR="00EB4317" w:rsidRDefault="00EB4317" w:rsidP="00755645">
            <w:pPr>
              <w:spacing w:after="0" w:line="264" w:lineRule="auto"/>
              <w:rPr>
                <w:b/>
                <w:bCs/>
              </w:rPr>
            </w:pPr>
            <w:r>
              <w:t>LEAD: GA</w:t>
            </w:r>
          </w:p>
          <w:p w14:paraId="4E3E314B" w14:textId="77777777" w:rsidR="00EB4317" w:rsidRDefault="00EB4317" w:rsidP="00755645">
            <w:pPr>
              <w:spacing w:after="0" w:line="264" w:lineRule="auto"/>
              <w:rPr>
                <w:b/>
                <w:bCs/>
              </w:rPr>
            </w:pPr>
            <w:r>
              <w:t xml:space="preserve">BY: Ongoing </w:t>
            </w:r>
          </w:p>
          <w:p w14:paraId="6F612478" w14:textId="130D9332" w:rsidR="00EB4317" w:rsidRPr="00207D38" w:rsidRDefault="00EB4317" w:rsidP="00207D38">
            <w:pPr>
              <w:spacing w:after="0" w:line="264" w:lineRule="auto"/>
              <w:rPr>
                <w:b/>
                <w:bCs/>
              </w:rPr>
            </w:pPr>
            <w:r>
              <w:t>GA and DFAT agree the breadth of technical expertise at GA is critical to the success of the program. This has been critical to</w:t>
            </w:r>
            <w:r w:rsidRPr="004C31A4">
              <w:t xml:space="preserve"> </w:t>
            </w:r>
            <w:r>
              <w:t xml:space="preserve">the deployment of targeted and </w:t>
            </w:r>
            <w:r w:rsidRPr="004C31A4">
              <w:t>relevant technical skills and knowledge to meet the evolving needs of the program.</w:t>
            </w:r>
            <w:r>
              <w:t xml:space="preserve"> </w:t>
            </w:r>
            <w:r w:rsidRPr="004C31A4">
              <w:t xml:space="preserve">GA has available staff with a wide range of technical expertise and experience and will continue to draw on these staff </w:t>
            </w:r>
            <w:r>
              <w:t>as needed.</w:t>
            </w:r>
          </w:p>
        </w:tc>
      </w:tr>
      <w:tr w:rsidR="00EB4317" w14:paraId="595F43B2" w14:textId="77777777" w:rsidTr="00755645">
        <w:tc>
          <w:tcPr>
            <w:tcW w:w="4724" w:type="dxa"/>
          </w:tcPr>
          <w:p w14:paraId="15B5D4CA" w14:textId="77777777" w:rsidR="00EB4317" w:rsidRPr="00C57591" w:rsidRDefault="00EB4317" w:rsidP="00755645">
            <w:pPr>
              <w:rPr>
                <w:rFonts w:ascii="Calibri" w:hAnsi="Calibri" w:cs="Calibri"/>
              </w:rPr>
            </w:pPr>
            <w:r w:rsidRPr="00C57591">
              <w:rPr>
                <w:rFonts w:ascii="Calibri" w:hAnsi="Calibri" w:cs="Calibri"/>
              </w:rPr>
              <w:lastRenderedPageBreak/>
              <w:t>Recommendation 8: DFAT to consider supporting University of PNG in offering the Graduate Diploma in Geohazards and Risk Management through support from Australia Awards PNG, including targeted scholarships for women.</w:t>
            </w:r>
          </w:p>
        </w:tc>
        <w:tc>
          <w:tcPr>
            <w:tcW w:w="1196" w:type="dxa"/>
            <w:shd w:val="clear" w:color="auto" w:fill="FF9999"/>
          </w:tcPr>
          <w:p w14:paraId="7BB10E3D" w14:textId="77777777" w:rsidR="00EB4317" w:rsidRDefault="00EB4317" w:rsidP="00755645">
            <w:pPr>
              <w:rPr>
                <w:rFonts w:cstheme="minorHAnsi"/>
              </w:rPr>
            </w:pPr>
            <w:r w:rsidRPr="00821377">
              <w:rPr>
                <w:rFonts w:cstheme="minorHAnsi"/>
                <w:color w:val="auto"/>
              </w:rPr>
              <w:t>Not agreed</w:t>
            </w:r>
          </w:p>
        </w:tc>
        <w:tc>
          <w:tcPr>
            <w:tcW w:w="8254" w:type="dxa"/>
          </w:tcPr>
          <w:p w14:paraId="527C3797" w14:textId="77777777" w:rsidR="00EB4317" w:rsidRDefault="00EB4317" w:rsidP="00755645">
            <w:pPr>
              <w:spacing w:after="0" w:line="264" w:lineRule="auto"/>
              <w:rPr>
                <w:b/>
                <w:bCs/>
              </w:rPr>
            </w:pPr>
            <w:r>
              <w:t xml:space="preserve">LEAD: DFAT PNG Post </w:t>
            </w:r>
          </w:p>
          <w:p w14:paraId="026D7865" w14:textId="77777777" w:rsidR="00EB4317" w:rsidRPr="00B323D8" w:rsidRDefault="00EB4317" w:rsidP="00755645">
            <w:pPr>
              <w:spacing w:line="264" w:lineRule="auto"/>
              <w:rPr>
                <w:color w:val="auto"/>
                <w:lang w:val="en-AU"/>
              </w:rPr>
            </w:pPr>
            <w:r>
              <w:t xml:space="preserve">BY: </w:t>
            </w:r>
            <w:r w:rsidRPr="00B323D8">
              <w:t>January 2024</w:t>
            </w:r>
            <w:r>
              <w:t xml:space="preserve"> </w:t>
            </w:r>
            <w:r w:rsidRPr="00453B32">
              <w:rPr>
                <w:color w:val="auto"/>
                <w:lang w:val="en-AU"/>
              </w:rPr>
              <w:t> </w:t>
            </w:r>
          </w:p>
          <w:p w14:paraId="3CB07AAE" w14:textId="77777777" w:rsidR="00EB4317" w:rsidRDefault="00EB4317" w:rsidP="00755645">
            <w:pPr>
              <w:spacing w:after="0" w:line="264" w:lineRule="auto"/>
            </w:pPr>
            <w:r w:rsidRPr="00B323D8">
              <w:t>DFAT recognises the importance of building disaster risk management capabilities in PNG. Through the Australia Awards program, DFAT will explore opportunities to deliver a targeted short course award in DRM for intake 2024, including the potential for collaboration with UPNG.</w:t>
            </w:r>
          </w:p>
        </w:tc>
      </w:tr>
    </w:tbl>
    <w:p w14:paraId="12D922F6" w14:textId="77777777" w:rsidR="002318E6" w:rsidRPr="001A52D9" w:rsidRDefault="002318E6" w:rsidP="00EB4317">
      <w:pPr>
        <w:pStyle w:val="Bulletlist1HDMES"/>
        <w:numPr>
          <w:ilvl w:val="0"/>
          <w:numId w:val="0"/>
        </w:numPr>
        <w:rPr>
          <w:rFonts w:asciiTheme="minorHAnsi" w:eastAsiaTheme="minorHAnsi" w:hAnsiTheme="minorHAnsi" w:cstheme="minorBidi"/>
          <w:color w:val="495965" w:themeColor="text2"/>
          <w:lang w:val="en-GB"/>
        </w:rPr>
      </w:pPr>
    </w:p>
    <w:sectPr w:rsidR="002318E6" w:rsidRPr="001A52D9" w:rsidSect="007412BC">
      <w:headerReference w:type="default" r:id="rId8"/>
      <w:footerReference w:type="default" r:id="rId9"/>
      <w:headerReference w:type="first" r:id="rId10"/>
      <w:footerReference w:type="first" r:id="rId11"/>
      <w:pgSz w:w="16838" w:h="11906" w:orient="landscape" w:code="9"/>
      <w:pgMar w:top="1191" w:right="1701" w:bottom="993" w:left="1418"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FDDDA" w14:textId="77777777" w:rsidR="0045450A" w:rsidRDefault="0045450A" w:rsidP="00D37B04">
      <w:r>
        <w:separator/>
      </w:r>
    </w:p>
  </w:endnote>
  <w:endnote w:type="continuationSeparator" w:id="0">
    <w:p w14:paraId="31856A96" w14:textId="77777777" w:rsidR="0045450A" w:rsidRDefault="0045450A"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429426290"/>
      <w:docPartObj>
        <w:docPartGallery w:val="Page Numbers (Bottom of Page)"/>
        <w:docPartUnique/>
      </w:docPartObj>
    </w:sdtPr>
    <w:sdtContent>
      <w:p w14:paraId="4D878E17" w14:textId="42A5F1A7" w:rsidR="001D7A4D" w:rsidRPr="00AD037C" w:rsidRDefault="001D7A4D">
        <w:pPr>
          <w:pStyle w:val="Footer"/>
          <w:jc w:val="right"/>
          <w:rPr>
            <w:color w:val="auto"/>
          </w:rPr>
        </w:pPr>
        <w:r w:rsidRPr="00AD037C">
          <w:rPr>
            <w:color w:val="auto"/>
          </w:rPr>
          <w:t xml:space="preserve">Page | </w:t>
        </w:r>
        <w:r w:rsidRPr="00AD037C">
          <w:rPr>
            <w:color w:val="auto"/>
          </w:rPr>
          <w:fldChar w:fldCharType="begin"/>
        </w:r>
        <w:r w:rsidRPr="00AD037C">
          <w:rPr>
            <w:color w:val="auto"/>
          </w:rPr>
          <w:instrText xml:space="preserve"> PAGE   \* MERGEFORMAT </w:instrText>
        </w:r>
        <w:r w:rsidRPr="00AD037C">
          <w:rPr>
            <w:color w:val="auto"/>
          </w:rPr>
          <w:fldChar w:fldCharType="separate"/>
        </w:r>
        <w:r w:rsidRPr="00AD037C">
          <w:rPr>
            <w:noProof/>
            <w:color w:val="auto"/>
          </w:rPr>
          <w:t>2</w:t>
        </w:r>
        <w:r w:rsidRPr="00AD037C">
          <w:rPr>
            <w:noProof/>
            <w:color w:val="auto"/>
          </w:rPr>
          <w:fldChar w:fldCharType="end"/>
        </w:r>
        <w:r w:rsidRPr="00AD037C">
          <w:rPr>
            <w:color w:val="auto"/>
          </w:rPr>
          <w:t xml:space="preserve"> </w:t>
        </w:r>
      </w:p>
    </w:sdtContent>
  </w:sdt>
  <w:p w14:paraId="033EC7FD" w14:textId="11C85592" w:rsidR="001561D3" w:rsidRPr="00FC322F" w:rsidRDefault="001561D3" w:rsidP="00AD037C">
    <w:pPr>
      <w:pStyle w:val="Footer"/>
      <w:ind w:right="-882"/>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2667260"/>
      <w:docPartObj>
        <w:docPartGallery w:val="Page Numbers (Bottom of Page)"/>
        <w:docPartUnique/>
      </w:docPartObj>
    </w:sdtPr>
    <w:sdtEndPr>
      <w:rPr>
        <w:color w:val="7F7F7F" w:themeColor="text1" w:themeTint="80"/>
      </w:rPr>
    </w:sdtEndPr>
    <w:sdtContent>
      <w:p w14:paraId="4ADB18AB" w14:textId="3E2C8080" w:rsidR="001D7A4D" w:rsidRPr="00C8609B" w:rsidRDefault="001D7A4D">
        <w:pPr>
          <w:pStyle w:val="Footer"/>
          <w:jc w:val="right"/>
          <w:rPr>
            <w:color w:val="7F7F7F" w:themeColor="text1" w:themeTint="80"/>
          </w:rPr>
        </w:pPr>
        <w:r w:rsidRPr="00C8609B">
          <w:rPr>
            <w:color w:val="595959" w:themeColor="text1" w:themeTint="A6"/>
          </w:rPr>
          <w:t xml:space="preserve">Page | </w:t>
        </w:r>
        <w:r w:rsidRPr="00C8609B">
          <w:rPr>
            <w:color w:val="595959" w:themeColor="text1" w:themeTint="A6"/>
          </w:rPr>
          <w:fldChar w:fldCharType="begin"/>
        </w:r>
        <w:r w:rsidRPr="00C8609B">
          <w:rPr>
            <w:color w:val="595959" w:themeColor="text1" w:themeTint="A6"/>
          </w:rPr>
          <w:instrText xml:space="preserve"> PAGE   \* MERGEFORMAT </w:instrText>
        </w:r>
        <w:r w:rsidRPr="00C8609B">
          <w:rPr>
            <w:color w:val="595959" w:themeColor="text1" w:themeTint="A6"/>
          </w:rPr>
          <w:fldChar w:fldCharType="separate"/>
        </w:r>
        <w:r w:rsidRPr="00C8609B">
          <w:rPr>
            <w:noProof/>
            <w:color w:val="595959" w:themeColor="text1" w:themeTint="A6"/>
          </w:rPr>
          <w:t>2</w:t>
        </w:r>
        <w:r w:rsidRPr="00C8609B">
          <w:rPr>
            <w:noProof/>
            <w:color w:val="595959" w:themeColor="text1" w:themeTint="A6"/>
          </w:rPr>
          <w:fldChar w:fldCharType="end"/>
        </w:r>
        <w:r w:rsidRPr="00C8609B">
          <w:rPr>
            <w:color w:val="595959" w:themeColor="text1" w:themeTint="A6"/>
          </w:rPr>
          <w:t xml:space="preserve"> </w:t>
        </w:r>
      </w:p>
    </w:sdtContent>
  </w:sdt>
  <w:p w14:paraId="331C0C93" w14:textId="77777777" w:rsidR="001D7A4D" w:rsidRDefault="001D7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A3F51" w14:textId="77777777" w:rsidR="0045450A" w:rsidRPr="008C5A0E" w:rsidRDefault="0045450A" w:rsidP="00D37B04">
      <w:pPr>
        <w:pStyle w:val="Footer"/>
      </w:pPr>
    </w:p>
  </w:footnote>
  <w:footnote w:type="continuationSeparator" w:id="0">
    <w:p w14:paraId="67527608" w14:textId="77777777" w:rsidR="0045450A" w:rsidRDefault="0045450A"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3DF0" w14:textId="46E24458" w:rsidR="001561D3" w:rsidRPr="000854FD" w:rsidRDefault="001561D3" w:rsidP="002D5B25">
    <w:pPr>
      <w:pStyle w:val="Header"/>
    </w:pPr>
    <w:r w:rsidRPr="00943730">
      <w:rPr>
        <w:noProof/>
        <w:lang w:val="en-AU" w:eastAsia="en-AU"/>
      </w:rPr>
      <w:drawing>
        <wp:anchor distT="0" distB="0" distL="114300" distR="114300" simplePos="0" relativeHeight="251662336" behindDoc="1" locked="1" layoutInCell="1" allowOverlap="1" wp14:anchorId="0BEC0D8C" wp14:editId="6BCFCBE2">
          <wp:simplePos x="0" y="0"/>
          <wp:positionH relativeFrom="page">
            <wp:posOffset>13970</wp:posOffset>
          </wp:positionH>
          <wp:positionV relativeFrom="page">
            <wp:align>top</wp:align>
          </wp:positionV>
          <wp:extent cx="10425430" cy="10692765"/>
          <wp:effectExtent l="0" t="0" r="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42543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3FDD" w14:textId="77777777" w:rsidR="00EB4317" w:rsidRDefault="00EB4317" w:rsidP="00943730">
    <w:pPr>
      <w:pStyle w:val="Header"/>
    </w:pPr>
  </w:p>
  <w:p w14:paraId="0DBF0E3D" w14:textId="77777777" w:rsidR="00EB4317" w:rsidRDefault="00EB4317" w:rsidP="00943730">
    <w:pPr>
      <w:pStyle w:val="Header"/>
    </w:pPr>
  </w:p>
  <w:p w14:paraId="18014F9F" w14:textId="49A84259" w:rsidR="00955820" w:rsidRDefault="001561D3" w:rsidP="00943730">
    <w:pPr>
      <w:pStyle w:val="Header"/>
      <w:rPr>
        <w:color w:val="595959" w:themeColor="text1" w:themeTint="A6"/>
      </w:rPr>
    </w:pPr>
    <w:r>
      <w:t xml:space="preserve">   </w:t>
    </w:r>
    <w:r w:rsidRPr="00C8609B">
      <w:rPr>
        <w:color w:val="7F7F7F" w:themeColor="text1" w:themeTint="80"/>
      </w:rPr>
      <w:t xml:space="preserve"> </w:t>
    </w:r>
    <w:r w:rsidRPr="00943730">
      <w:rPr>
        <w:noProof/>
        <w:lang w:val="en-AU" w:eastAsia="en-AU"/>
      </w:rPr>
      <w:drawing>
        <wp:inline distT="0" distB="0" distL="0" distR="0" wp14:anchorId="297E378B" wp14:editId="35D04FA3">
          <wp:extent cx="3166745" cy="554355"/>
          <wp:effectExtent l="0" t="0" r="0" b="0"/>
          <wp:docPr id="20" name="Picture 20" descr="Australian Government crest, Department of Foreign Affairs and Tra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crest, Department of Foreign Affairs and Trad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inline>
      </w:drawing>
    </w:r>
    <w:r w:rsidRPr="00943730">
      <w:rPr>
        <w:noProof/>
        <w:lang w:val="en-AU" w:eastAsia="en-AU"/>
      </w:rPr>
      <w:drawing>
        <wp:anchor distT="0" distB="0" distL="114300" distR="114300" simplePos="0" relativeHeight="251656192" behindDoc="1" locked="1" layoutInCell="1" allowOverlap="1" wp14:anchorId="40E6E509" wp14:editId="1DCD8D6C">
          <wp:simplePos x="0" y="0"/>
          <wp:positionH relativeFrom="margin">
            <wp:align>center</wp:align>
          </wp:positionH>
          <wp:positionV relativeFrom="page">
            <wp:align>top</wp:align>
          </wp:positionV>
          <wp:extent cx="10339070" cy="10692130"/>
          <wp:effectExtent l="0" t="0" r="508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0339070" cy="10692130"/>
                  </a:xfrm>
                  <a:prstGeom prst="rect">
                    <a:avLst/>
                  </a:prstGeom>
                </pic:spPr>
              </pic:pic>
            </a:graphicData>
          </a:graphic>
          <wp14:sizeRelH relativeFrom="margin">
            <wp14:pctWidth>0</wp14:pctWidth>
          </wp14:sizeRelH>
          <wp14:sizeRelV relativeFrom="margin">
            <wp14:pctHeight>0</wp14:pctHeight>
          </wp14:sizeRelV>
        </wp:anchor>
      </w:drawing>
    </w:r>
  </w:p>
  <w:p w14:paraId="60241711" w14:textId="56B9265B" w:rsidR="001561D3" w:rsidRPr="00943730" w:rsidRDefault="00241E69" w:rsidP="00943730">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DFE"/>
    <w:multiLevelType w:val="hybridMultilevel"/>
    <w:tmpl w:val="2EB09120"/>
    <w:lvl w:ilvl="0" w:tplc="0C09001B">
      <w:start w:val="1"/>
      <w:numFmt w:val="lowerRoman"/>
      <w:pStyle w:val="Bulletlist1HDMES"/>
      <w:lvlText w:val="%1."/>
      <w:lvlJc w:val="right"/>
      <w:pPr>
        <w:ind w:left="360" w:hanging="360"/>
      </w:pPr>
      <w:rPr>
        <w:rFonts w:hint="default"/>
        <w:b w:val="0"/>
        <w:i w:val="0"/>
        <w:sz w:val="22"/>
        <w:szCs w:val="3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4A350740"/>
    <w:multiLevelType w:val="hybridMultilevel"/>
    <w:tmpl w:val="4B38FBA0"/>
    <w:lvl w:ilvl="0" w:tplc="0C09001B">
      <w:start w:val="1"/>
      <w:numFmt w:val="lowerRoman"/>
      <w:lvlText w:val="%1."/>
      <w:lvlJc w:val="righ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2553D9F"/>
    <w:multiLevelType w:val="multilevel"/>
    <w:tmpl w:val="A6FA45D0"/>
    <w:numStyleLink w:val="BulletsList"/>
  </w:abstractNum>
  <w:abstractNum w:abstractNumId="6" w15:restartNumberingAfterBreak="0">
    <w:nsid w:val="533552CF"/>
    <w:multiLevelType w:val="hybridMultilevel"/>
    <w:tmpl w:val="D116D228"/>
    <w:lvl w:ilvl="0" w:tplc="179E9086">
      <w:start w:val="1"/>
      <w:numFmt w:val="decimal"/>
      <w:pStyle w:val="Numberedlist1HDMES"/>
      <w:lvlText w:val="%1."/>
      <w:lvlJc w:val="left"/>
      <w:pPr>
        <w:ind w:left="36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8" w15:restartNumberingAfterBreak="0">
    <w:nsid w:val="5C8F2094"/>
    <w:multiLevelType w:val="hybridMultilevel"/>
    <w:tmpl w:val="224071CE"/>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 w15:restartNumberingAfterBreak="0">
    <w:nsid w:val="65E252ED"/>
    <w:multiLevelType w:val="hybridMultilevel"/>
    <w:tmpl w:val="22F0D2D2"/>
    <w:lvl w:ilvl="0" w:tplc="EF841D56">
      <w:start w:val="1"/>
      <w:numFmt w:val="bullet"/>
      <w:pStyle w:val="Bulletlist2HDM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45363499">
    <w:abstractNumId w:val="11"/>
  </w:num>
  <w:num w:numId="2" w16cid:durableId="240020885">
    <w:abstractNumId w:val="1"/>
  </w:num>
  <w:num w:numId="3" w16cid:durableId="725836460">
    <w:abstractNumId w:val="3"/>
  </w:num>
  <w:num w:numId="4" w16cid:durableId="1083113547">
    <w:abstractNumId w:val="7"/>
  </w:num>
  <w:num w:numId="5" w16cid:durableId="1564217032">
    <w:abstractNumId w:val="9"/>
  </w:num>
  <w:num w:numId="6" w16cid:durableId="1333070124">
    <w:abstractNumId w:val="3"/>
  </w:num>
  <w:num w:numId="7" w16cid:durableId="1369405829">
    <w:abstractNumId w:val="1"/>
  </w:num>
  <w:num w:numId="8" w16cid:durableId="1376616022">
    <w:abstractNumId w:val="2"/>
  </w:num>
  <w:num w:numId="9" w16cid:durableId="1143884390">
    <w:abstractNumId w:val="12"/>
  </w:num>
  <w:num w:numId="10" w16cid:durableId="742608438">
    <w:abstractNumId w:val="5"/>
  </w:num>
  <w:num w:numId="11" w16cid:durableId="1349258781">
    <w:abstractNumId w:val="0"/>
  </w:num>
  <w:num w:numId="12" w16cid:durableId="5659905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0008969">
    <w:abstractNumId w:val="10"/>
  </w:num>
  <w:num w:numId="14" w16cid:durableId="315257951">
    <w:abstractNumId w:val="4"/>
  </w:num>
  <w:num w:numId="15" w16cid:durableId="1488091708">
    <w:abstractNumId w:val="0"/>
  </w:num>
  <w:num w:numId="16" w16cid:durableId="168564701">
    <w:abstractNumId w:val="0"/>
  </w:num>
  <w:num w:numId="17" w16cid:durableId="752773898">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A55"/>
    <w:rsid w:val="00001DA8"/>
    <w:rsid w:val="000020C1"/>
    <w:rsid w:val="000032B7"/>
    <w:rsid w:val="00005C1C"/>
    <w:rsid w:val="000104DE"/>
    <w:rsid w:val="000118A8"/>
    <w:rsid w:val="0001300D"/>
    <w:rsid w:val="000154B4"/>
    <w:rsid w:val="0002080A"/>
    <w:rsid w:val="000220EA"/>
    <w:rsid w:val="000223F9"/>
    <w:rsid w:val="000272DA"/>
    <w:rsid w:val="0002782F"/>
    <w:rsid w:val="00030CCC"/>
    <w:rsid w:val="00031368"/>
    <w:rsid w:val="00031568"/>
    <w:rsid w:val="00031B38"/>
    <w:rsid w:val="00032AE8"/>
    <w:rsid w:val="00035A4D"/>
    <w:rsid w:val="00035BBF"/>
    <w:rsid w:val="00042AF8"/>
    <w:rsid w:val="00045ECB"/>
    <w:rsid w:val="00046F30"/>
    <w:rsid w:val="000470DC"/>
    <w:rsid w:val="00050806"/>
    <w:rsid w:val="00051EE6"/>
    <w:rsid w:val="0005248A"/>
    <w:rsid w:val="000536A1"/>
    <w:rsid w:val="000546D9"/>
    <w:rsid w:val="00054E4D"/>
    <w:rsid w:val="00057ADB"/>
    <w:rsid w:val="00060073"/>
    <w:rsid w:val="000616C6"/>
    <w:rsid w:val="00061CD8"/>
    <w:rsid w:val="00071E60"/>
    <w:rsid w:val="00073DCD"/>
    <w:rsid w:val="0007428E"/>
    <w:rsid w:val="00077D58"/>
    <w:rsid w:val="000810F6"/>
    <w:rsid w:val="00084900"/>
    <w:rsid w:val="000854FD"/>
    <w:rsid w:val="00086354"/>
    <w:rsid w:val="0008795D"/>
    <w:rsid w:val="00090FBA"/>
    <w:rsid w:val="00091664"/>
    <w:rsid w:val="000923F9"/>
    <w:rsid w:val="00096723"/>
    <w:rsid w:val="000A0CD1"/>
    <w:rsid w:val="000A33FA"/>
    <w:rsid w:val="000A6E71"/>
    <w:rsid w:val="000A75B0"/>
    <w:rsid w:val="000B259D"/>
    <w:rsid w:val="000B37F5"/>
    <w:rsid w:val="000B4191"/>
    <w:rsid w:val="000B4F63"/>
    <w:rsid w:val="000C786E"/>
    <w:rsid w:val="000D30D9"/>
    <w:rsid w:val="000D5D79"/>
    <w:rsid w:val="000D66D6"/>
    <w:rsid w:val="000E1B55"/>
    <w:rsid w:val="000E3937"/>
    <w:rsid w:val="000E5E14"/>
    <w:rsid w:val="000E662B"/>
    <w:rsid w:val="000E7894"/>
    <w:rsid w:val="000F023F"/>
    <w:rsid w:val="000F2E22"/>
    <w:rsid w:val="000F6436"/>
    <w:rsid w:val="001028A8"/>
    <w:rsid w:val="001031D6"/>
    <w:rsid w:val="0011235B"/>
    <w:rsid w:val="001127D7"/>
    <w:rsid w:val="00113288"/>
    <w:rsid w:val="00114F5D"/>
    <w:rsid w:val="001214BE"/>
    <w:rsid w:val="0012165C"/>
    <w:rsid w:val="00130556"/>
    <w:rsid w:val="001306E5"/>
    <w:rsid w:val="001308BF"/>
    <w:rsid w:val="0013101C"/>
    <w:rsid w:val="00131547"/>
    <w:rsid w:val="00136734"/>
    <w:rsid w:val="00137E6D"/>
    <w:rsid w:val="00143F6B"/>
    <w:rsid w:val="00145C10"/>
    <w:rsid w:val="001461D6"/>
    <w:rsid w:val="00147B31"/>
    <w:rsid w:val="0015049C"/>
    <w:rsid w:val="001541EA"/>
    <w:rsid w:val="00155095"/>
    <w:rsid w:val="001550D8"/>
    <w:rsid w:val="001561D3"/>
    <w:rsid w:val="00156639"/>
    <w:rsid w:val="001627C9"/>
    <w:rsid w:val="001631FC"/>
    <w:rsid w:val="00163FA4"/>
    <w:rsid w:val="0016637D"/>
    <w:rsid w:val="00166424"/>
    <w:rsid w:val="001740F9"/>
    <w:rsid w:val="00181920"/>
    <w:rsid w:val="00181A56"/>
    <w:rsid w:val="001929F5"/>
    <w:rsid w:val="00197484"/>
    <w:rsid w:val="001A1E39"/>
    <w:rsid w:val="001A52D9"/>
    <w:rsid w:val="001A6AC7"/>
    <w:rsid w:val="001A6EF7"/>
    <w:rsid w:val="001A7829"/>
    <w:rsid w:val="001B2F7E"/>
    <w:rsid w:val="001B32EE"/>
    <w:rsid w:val="001B3E72"/>
    <w:rsid w:val="001B4C69"/>
    <w:rsid w:val="001B5086"/>
    <w:rsid w:val="001B62C8"/>
    <w:rsid w:val="001B7CD5"/>
    <w:rsid w:val="001C6CEB"/>
    <w:rsid w:val="001D663E"/>
    <w:rsid w:val="001D7435"/>
    <w:rsid w:val="001D7A4D"/>
    <w:rsid w:val="001E1DC0"/>
    <w:rsid w:val="001E5FAC"/>
    <w:rsid w:val="001F47F9"/>
    <w:rsid w:val="0020035E"/>
    <w:rsid w:val="00203277"/>
    <w:rsid w:val="0020377A"/>
    <w:rsid w:val="00205B2E"/>
    <w:rsid w:val="00207524"/>
    <w:rsid w:val="00207D38"/>
    <w:rsid w:val="00210AFC"/>
    <w:rsid w:val="002135A8"/>
    <w:rsid w:val="00214D8D"/>
    <w:rsid w:val="00224428"/>
    <w:rsid w:val="00225CF2"/>
    <w:rsid w:val="002318E6"/>
    <w:rsid w:val="0023300C"/>
    <w:rsid w:val="0023426C"/>
    <w:rsid w:val="00235B37"/>
    <w:rsid w:val="00241E69"/>
    <w:rsid w:val="002435EC"/>
    <w:rsid w:val="00245741"/>
    <w:rsid w:val="00245F9B"/>
    <w:rsid w:val="00246ED6"/>
    <w:rsid w:val="00247737"/>
    <w:rsid w:val="002528A4"/>
    <w:rsid w:val="00252C04"/>
    <w:rsid w:val="00252F15"/>
    <w:rsid w:val="00262164"/>
    <w:rsid w:val="00262B0F"/>
    <w:rsid w:val="002770F7"/>
    <w:rsid w:val="00277EBA"/>
    <w:rsid w:val="00280062"/>
    <w:rsid w:val="0028602A"/>
    <w:rsid w:val="00292164"/>
    <w:rsid w:val="00293456"/>
    <w:rsid w:val="00294FB1"/>
    <w:rsid w:val="00295AE8"/>
    <w:rsid w:val="002A0EB6"/>
    <w:rsid w:val="002A4720"/>
    <w:rsid w:val="002B14E7"/>
    <w:rsid w:val="002B1D70"/>
    <w:rsid w:val="002B3E6A"/>
    <w:rsid w:val="002B5E10"/>
    <w:rsid w:val="002C0CB8"/>
    <w:rsid w:val="002C0F41"/>
    <w:rsid w:val="002C1936"/>
    <w:rsid w:val="002C2A60"/>
    <w:rsid w:val="002C44A3"/>
    <w:rsid w:val="002C51CD"/>
    <w:rsid w:val="002C69C6"/>
    <w:rsid w:val="002C793D"/>
    <w:rsid w:val="002D03CA"/>
    <w:rsid w:val="002D343B"/>
    <w:rsid w:val="002D5B25"/>
    <w:rsid w:val="002E1E50"/>
    <w:rsid w:val="002E2BDB"/>
    <w:rsid w:val="002F05D3"/>
    <w:rsid w:val="002F21A8"/>
    <w:rsid w:val="002F410C"/>
    <w:rsid w:val="002F4F2B"/>
    <w:rsid w:val="002F5BA6"/>
    <w:rsid w:val="002F7D82"/>
    <w:rsid w:val="002F7EA6"/>
    <w:rsid w:val="003002C0"/>
    <w:rsid w:val="003009DA"/>
    <w:rsid w:val="00301144"/>
    <w:rsid w:val="0030127C"/>
    <w:rsid w:val="00301F68"/>
    <w:rsid w:val="00302CE1"/>
    <w:rsid w:val="00303164"/>
    <w:rsid w:val="003031C6"/>
    <w:rsid w:val="00304984"/>
    <w:rsid w:val="0030720A"/>
    <w:rsid w:val="00311CAA"/>
    <w:rsid w:val="00312BF8"/>
    <w:rsid w:val="003148B7"/>
    <w:rsid w:val="003158C3"/>
    <w:rsid w:val="00317A5C"/>
    <w:rsid w:val="0032572D"/>
    <w:rsid w:val="003258DB"/>
    <w:rsid w:val="00326A48"/>
    <w:rsid w:val="003274CD"/>
    <w:rsid w:val="0032768E"/>
    <w:rsid w:val="003310B9"/>
    <w:rsid w:val="00331FF5"/>
    <w:rsid w:val="00333501"/>
    <w:rsid w:val="003338BB"/>
    <w:rsid w:val="0033584F"/>
    <w:rsid w:val="00337BBB"/>
    <w:rsid w:val="0034169B"/>
    <w:rsid w:val="003432F9"/>
    <w:rsid w:val="00345336"/>
    <w:rsid w:val="003457C4"/>
    <w:rsid w:val="0035119D"/>
    <w:rsid w:val="0035307C"/>
    <w:rsid w:val="00353AE5"/>
    <w:rsid w:val="003614FF"/>
    <w:rsid w:val="0036200C"/>
    <w:rsid w:val="00363B59"/>
    <w:rsid w:val="00376425"/>
    <w:rsid w:val="00376B9B"/>
    <w:rsid w:val="003808CE"/>
    <w:rsid w:val="00380A79"/>
    <w:rsid w:val="003829CD"/>
    <w:rsid w:val="00384BF7"/>
    <w:rsid w:val="00384D40"/>
    <w:rsid w:val="0039135C"/>
    <w:rsid w:val="0039344A"/>
    <w:rsid w:val="00393554"/>
    <w:rsid w:val="00395163"/>
    <w:rsid w:val="00396EEA"/>
    <w:rsid w:val="003A0418"/>
    <w:rsid w:val="003A1017"/>
    <w:rsid w:val="003A1A4E"/>
    <w:rsid w:val="003A278E"/>
    <w:rsid w:val="003A27EA"/>
    <w:rsid w:val="003A68B3"/>
    <w:rsid w:val="003B1034"/>
    <w:rsid w:val="003B15E2"/>
    <w:rsid w:val="003B28AA"/>
    <w:rsid w:val="003B485C"/>
    <w:rsid w:val="003B4F12"/>
    <w:rsid w:val="003B708E"/>
    <w:rsid w:val="003B7105"/>
    <w:rsid w:val="003B73FA"/>
    <w:rsid w:val="003B745D"/>
    <w:rsid w:val="003C2816"/>
    <w:rsid w:val="003D14D4"/>
    <w:rsid w:val="003D2624"/>
    <w:rsid w:val="003D283B"/>
    <w:rsid w:val="003D4D80"/>
    <w:rsid w:val="003D5A28"/>
    <w:rsid w:val="003D7869"/>
    <w:rsid w:val="003E57AA"/>
    <w:rsid w:val="003F2041"/>
    <w:rsid w:val="003F2B5B"/>
    <w:rsid w:val="003F5699"/>
    <w:rsid w:val="003F6C5E"/>
    <w:rsid w:val="003F7ADF"/>
    <w:rsid w:val="00402ACC"/>
    <w:rsid w:val="00405CCA"/>
    <w:rsid w:val="00406156"/>
    <w:rsid w:val="00406B43"/>
    <w:rsid w:val="00410E70"/>
    <w:rsid w:val="004120EC"/>
    <w:rsid w:val="004127B1"/>
    <w:rsid w:val="004131BF"/>
    <w:rsid w:val="004133A3"/>
    <w:rsid w:val="00421B69"/>
    <w:rsid w:val="00423F31"/>
    <w:rsid w:val="00431899"/>
    <w:rsid w:val="00434932"/>
    <w:rsid w:val="00436077"/>
    <w:rsid w:val="0043788C"/>
    <w:rsid w:val="0044079F"/>
    <w:rsid w:val="00442055"/>
    <w:rsid w:val="0044326E"/>
    <w:rsid w:val="0044443C"/>
    <w:rsid w:val="00444B0D"/>
    <w:rsid w:val="00445477"/>
    <w:rsid w:val="00445535"/>
    <w:rsid w:val="004457A7"/>
    <w:rsid w:val="00445EAF"/>
    <w:rsid w:val="00453B32"/>
    <w:rsid w:val="00453DCA"/>
    <w:rsid w:val="0045450A"/>
    <w:rsid w:val="00454800"/>
    <w:rsid w:val="00457177"/>
    <w:rsid w:val="00460328"/>
    <w:rsid w:val="00463C58"/>
    <w:rsid w:val="00465E80"/>
    <w:rsid w:val="004703D0"/>
    <w:rsid w:val="00473702"/>
    <w:rsid w:val="00480FE4"/>
    <w:rsid w:val="00482AE8"/>
    <w:rsid w:val="0048492D"/>
    <w:rsid w:val="00486229"/>
    <w:rsid w:val="00486804"/>
    <w:rsid w:val="0048768E"/>
    <w:rsid w:val="00487BFA"/>
    <w:rsid w:val="004939C4"/>
    <w:rsid w:val="004A2B4A"/>
    <w:rsid w:val="004A2D5F"/>
    <w:rsid w:val="004A617F"/>
    <w:rsid w:val="004B08A6"/>
    <w:rsid w:val="004B0C6A"/>
    <w:rsid w:val="004B3775"/>
    <w:rsid w:val="004B7F33"/>
    <w:rsid w:val="004C0034"/>
    <w:rsid w:val="004C1D51"/>
    <w:rsid w:val="004C31A4"/>
    <w:rsid w:val="004C6342"/>
    <w:rsid w:val="004D0BA0"/>
    <w:rsid w:val="004D64DD"/>
    <w:rsid w:val="004E058F"/>
    <w:rsid w:val="004E09DE"/>
    <w:rsid w:val="004E0D63"/>
    <w:rsid w:val="004E3B87"/>
    <w:rsid w:val="004E3C3B"/>
    <w:rsid w:val="004E61BA"/>
    <w:rsid w:val="004E6776"/>
    <w:rsid w:val="004E777C"/>
    <w:rsid w:val="004F1A80"/>
    <w:rsid w:val="004F41B7"/>
    <w:rsid w:val="004F7ABC"/>
    <w:rsid w:val="00507BFD"/>
    <w:rsid w:val="00507C78"/>
    <w:rsid w:val="00510921"/>
    <w:rsid w:val="00510A79"/>
    <w:rsid w:val="00510AD3"/>
    <w:rsid w:val="00513348"/>
    <w:rsid w:val="00513AD8"/>
    <w:rsid w:val="00514447"/>
    <w:rsid w:val="005158D5"/>
    <w:rsid w:val="00517ABF"/>
    <w:rsid w:val="0052027E"/>
    <w:rsid w:val="005204D2"/>
    <w:rsid w:val="005217DF"/>
    <w:rsid w:val="00522396"/>
    <w:rsid w:val="0052578E"/>
    <w:rsid w:val="00527EAC"/>
    <w:rsid w:val="0053095B"/>
    <w:rsid w:val="00533B5D"/>
    <w:rsid w:val="00535EB6"/>
    <w:rsid w:val="00540B1F"/>
    <w:rsid w:val="00540E77"/>
    <w:rsid w:val="005417B9"/>
    <w:rsid w:val="0054187C"/>
    <w:rsid w:val="00541E3B"/>
    <w:rsid w:val="005476BE"/>
    <w:rsid w:val="00550049"/>
    <w:rsid w:val="00550157"/>
    <w:rsid w:val="00550D84"/>
    <w:rsid w:val="00552CED"/>
    <w:rsid w:val="005609A5"/>
    <w:rsid w:val="005725E5"/>
    <w:rsid w:val="00580870"/>
    <w:rsid w:val="00595D0E"/>
    <w:rsid w:val="00596958"/>
    <w:rsid w:val="0059716B"/>
    <w:rsid w:val="005A20F6"/>
    <w:rsid w:val="005A60BB"/>
    <w:rsid w:val="005A60CA"/>
    <w:rsid w:val="005B1CCE"/>
    <w:rsid w:val="005B205C"/>
    <w:rsid w:val="005B2276"/>
    <w:rsid w:val="005B55E8"/>
    <w:rsid w:val="005C39D1"/>
    <w:rsid w:val="005C4F20"/>
    <w:rsid w:val="005C71A6"/>
    <w:rsid w:val="005D31F0"/>
    <w:rsid w:val="005D3655"/>
    <w:rsid w:val="005E03CA"/>
    <w:rsid w:val="005E0794"/>
    <w:rsid w:val="005E0A24"/>
    <w:rsid w:val="005E2351"/>
    <w:rsid w:val="005E24A4"/>
    <w:rsid w:val="005E3565"/>
    <w:rsid w:val="005E4830"/>
    <w:rsid w:val="005E6DEC"/>
    <w:rsid w:val="005E7118"/>
    <w:rsid w:val="005F2560"/>
    <w:rsid w:val="006051CA"/>
    <w:rsid w:val="00612921"/>
    <w:rsid w:val="00612BDF"/>
    <w:rsid w:val="006134B0"/>
    <w:rsid w:val="00622287"/>
    <w:rsid w:val="00622B86"/>
    <w:rsid w:val="00623BA1"/>
    <w:rsid w:val="006266C6"/>
    <w:rsid w:val="006346BC"/>
    <w:rsid w:val="00640AA7"/>
    <w:rsid w:val="00654324"/>
    <w:rsid w:val="0065468D"/>
    <w:rsid w:val="00656088"/>
    <w:rsid w:val="00664158"/>
    <w:rsid w:val="00664FAE"/>
    <w:rsid w:val="0066652A"/>
    <w:rsid w:val="0066711D"/>
    <w:rsid w:val="00670AB2"/>
    <w:rsid w:val="006719C3"/>
    <w:rsid w:val="006767D2"/>
    <w:rsid w:val="00680522"/>
    <w:rsid w:val="00682167"/>
    <w:rsid w:val="00684228"/>
    <w:rsid w:val="00685841"/>
    <w:rsid w:val="00687053"/>
    <w:rsid w:val="006920F8"/>
    <w:rsid w:val="00693737"/>
    <w:rsid w:val="006958F5"/>
    <w:rsid w:val="006A02B1"/>
    <w:rsid w:val="006A1990"/>
    <w:rsid w:val="006A3066"/>
    <w:rsid w:val="006A675C"/>
    <w:rsid w:val="006A6DA1"/>
    <w:rsid w:val="006B61D4"/>
    <w:rsid w:val="006C42AF"/>
    <w:rsid w:val="006C4EA9"/>
    <w:rsid w:val="006C516F"/>
    <w:rsid w:val="006C6C64"/>
    <w:rsid w:val="006C7160"/>
    <w:rsid w:val="006C7171"/>
    <w:rsid w:val="006C7C5B"/>
    <w:rsid w:val="006D092C"/>
    <w:rsid w:val="006E0A09"/>
    <w:rsid w:val="006E0E7D"/>
    <w:rsid w:val="006E2373"/>
    <w:rsid w:val="006E34AD"/>
    <w:rsid w:val="006E3CCE"/>
    <w:rsid w:val="006E3E97"/>
    <w:rsid w:val="006E5091"/>
    <w:rsid w:val="006E5AD6"/>
    <w:rsid w:val="006E7CF4"/>
    <w:rsid w:val="006F28D6"/>
    <w:rsid w:val="006F4865"/>
    <w:rsid w:val="006F4872"/>
    <w:rsid w:val="006F7113"/>
    <w:rsid w:val="00706C25"/>
    <w:rsid w:val="00711D8E"/>
    <w:rsid w:val="00712672"/>
    <w:rsid w:val="00713B80"/>
    <w:rsid w:val="0071488B"/>
    <w:rsid w:val="007162F5"/>
    <w:rsid w:val="00725AEA"/>
    <w:rsid w:val="00725BEF"/>
    <w:rsid w:val="007320B6"/>
    <w:rsid w:val="00734E3F"/>
    <w:rsid w:val="00736985"/>
    <w:rsid w:val="00736CAE"/>
    <w:rsid w:val="007373CE"/>
    <w:rsid w:val="007412BC"/>
    <w:rsid w:val="007418CA"/>
    <w:rsid w:val="00745DF5"/>
    <w:rsid w:val="007465A9"/>
    <w:rsid w:val="00746E77"/>
    <w:rsid w:val="00747A7B"/>
    <w:rsid w:val="00752088"/>
    <w:rsid w:val="00754046"/>
    <w:rsid w:val="0076250F"/>
    <w:rsid w:val="00763A98"/>
    <w:rsid w:val="00763C34"/>
    <w:rsid w:val="00767BBC"/>
    <w:rsid w:val="007706B8"/>
    <w:rsid w:val="00771E6B"/>
    <w:rsid w:val="007727DB"/>
    <w:rsid w:val="007732BC"/>
    <w:rsid w:val="007734F7"/>
    <w:rsid w:val="00774A27"/>
    <w:rsid w:val="00774EE4"/>
    <w:rsid w:val="007773B1"/>
    <w:rsid w:val="00780FA5"/>
    <w:rsid w:val="007917D3"/>
    <w:rsid w:val="00793DE6"/>
    <w:rsid w:val="0079473E"/>
    <w:rsid w:val="0079633A"/>
    <w:rsid w:val="007A1BA0"/>
    <w:rsid w:val="007A78C2"/>
    <w:rsid w:val="007A7DBA"/>
    <w:rsid w:val="007B2095"/>
    <w:rsid w:val="007B3CED"/>
    <w:rsid w:val="007B5450"/>
    <w:rsid w:val="007B6200"/>
    <w:rsid w:val="007C1DDB"/>
    <w:rsid w:val="007D5157"/>
    <w:rsid w:val="007D78A1"/>
    <w:rsid w:val="007E11D9"/>
    <w:rsid w:val="007E1DC4"/>
    <w:rsid w:val="007E3395"/>
    <w:rsid w:val="007E776B"/>
    <w:rsid w:val="007F118F"/>
    <w:rsid w:val="007F3395"/>
    <w:rsid w:val="00801B9F"/>
    <w:rsid w:val="00801CB4"/>
    <w:rsid w:val="0080204D"/>
    <w:rsid w:val="00805A55"/>
    <w:rsid w:val="00805B9C"/>
    <w:rsid w:val="0080645A"/>
    <w:rsid w:val="008065C9"/>
    <w:rsid w:val="008110BE"/>
    <w:rsid w:val="00812673"/>
    <w:rsid w:val="00817ABC"/>
    <w:rsid w:val="008207CF"/>
    <w:rsid w:val="00824DD4"/>
    <w:rsid w:val="0083052F"/>
    <w:rsid w:val="0083170F"/>
    <w:rsid w:val="008331A6"/>
    <w:rsid w:val="00835041"/>
    <w:rsid w:val="00835E7B"/>
    <w:rsid w:val="008475F0"/>
    <w:rsid w:val="0085088B"/>
    <w:rsid w:val="00854532"/>
    <w:rsid w:val="008548E5"/>
    <w:rsid w:val="008557A7"/>
    <w:rsid w:val="00855E23"/>
    <w:rsid w:val="00856FB5"/>
    <w:rsid w:val="008570D6"/>
    <w:rsid w:val="008607DA"/>
    <w:rsid w:val="008628A6"/>
    <w:rsid w:val="00863E55"/>
    <w:rsid w:val="0086569C"/>
    <w:rsid w:val="008663C5"/>
    <w:rsid w:val="00870928"/>
    <w:rsid w:val="00876EF9"/>
    <w:rsid w:val="00880362"/>
    <w:rsid w:val="00881040"/>
    <w:rsid w:val="00883507"/>
    <w:rsid w:val="008847EC"/>
    <w:rsid w:val="00885A62"/>
    <w:rsid w:val="00891FC6"/>
    <w:rsid w:val="00893735"/>
    <w:rsid w:val="0089405C"/>
    <w:rsid w:val="008959A4"/>
    <w:rsid w:val="00896D34"/>
    <w:rsid w:val="00897FA2"/>
    <w:rsid w:val="008A1A4D"/>
    <w:rsid w:val="008A3128"/>
    <w:rsid w:val="008A5AFE"/>
    <w:rsid w:val="008A6228"/>
    <w:rsid w:val="008B116C"/>
    <w:rsid w:val="008B5969"/>
    <w:rsid w:val="008C09A4"/>
    <w:rsid w:val="008C2BEF"/>
    <w:rsid w:val="008C2BF6"/>
    <w:rsid w:val="008C5A0E"/>
    <w:rsid w:val="008C61C9"/>
    <w:rsid w:val="008C6A5B"/>
    <w:rsid w:val="008D32C6"/>
    <w:rsid w:val="008D6419"/>
    <w:rsid w:val="008E24B0"/>
    <w:rsid w:val="008E34AE"/>
    <w:rsid w:val="008E44A3"/>
    <w:rsid w:val="008E5802"/>
    <w:rsid w:val="008F0157"/>
    <w:rsid w:val="008F2DD7"/>
    <w:rsid w:val="008F341F"/>
    <w:rsid w:val="008F4976"/>
    <w:rsid w:val="008F5497"/>
    <w:rsid w:val="008F623C"/>
    <w:rsid w:val="008F6D55"/>
    <w:rsid w:val="008F76B6"/>
    <w:rsid w:val="00900994"/>
    <w:rsid w:val="009071C7"/>
    <w:rsid w:val="00907B25"/>
    <w:rsid w:val="00913147"/>
    <w:rsid w:val="009131ED"/>
    <w:rsid w:val="00916B17"/>
    <w:rsid w:val="00920407"/>
    <w:rsid w:val="0092517F"/>
    <w:rsid w:val="00926C88"/>
    <w:rsid w:val="009328B8"/>
    <w:rsid w:val="00937B56"/>
    <w:rsid w:val="00940414"/>
    <w:rsid w:val="00940E39"/>
    <w:rsid w:val="00943055"/>
    <w:rsid w:val="00943730"/>
    <w:rsid w:val="00945877"/>
    <w:rsid w:val="00951041"/>
    <w:rsid w:val="00951D80"/>
    <w:rsid w:val="00952BB3"/>
    <w:rsid w:val="009555E4"/>
    <w:rsid w:val="00955820"/>
    <w:rsid w:val="0095710F"/>
    <w:rsid w:val="009610F2"/>
    <w:rsid w:val="00961E72"/>
    <w:rsid w:val="00962C2C"/>
    <w:rsid w:val="00962DDE"/>
    <w:rsid w:val="00962FCB"/>
    <w:rsid w:val="00965276"/>
    <w:rsid w:val="009657E3"/>
    <w:rsid w:val="00966407"/>
    <w:rsid w:val="00967EA1"/>
    <w:rsid w:val="00973103"/>
    <w:rsid w:val="00975CA5"/>
    <w:rsid w:val="00983AED"/>
    <w:rsid w:val="00984341"/>
    <w:rsid w:val="00985D60"/>
    <w:rsid w:val="00986590"/>
    <w:rsid w:val="009871D3"/>
    <w:rsid w:val="00992C76"/>
    <w:rsid w:val="0099404A"/>
    <w:rsid w:val="00994181"/>
    <w:rsid w:val="0099450D"/>
    <w:rsid w:val="009965E8"/>
    <w:rsid w:val="009969D6"/>
    <w:rsid w:val="009A240E"/>
    <w:rsid w:val="009A3DD2"/>
    <w:rsid w:val="009A5E45"/>
    <w:rsid w:val="009B2AF1"/>
    <w:rsid w:val="009B4D3B"/>
    <w:rsid w:val="009B68BB"/>
    <w:rsid w:val="009B7942"/>
    <w:rsid w:val="009C16D3"/>
    <w:rsid w:val="009D357E"/>
    <w:rsid w:val="009D5D88"/>
    <w:rsid w:val="009D7407"/>
    <w:rsid w:val="009E0866"/>
    <w:rsid w:val="009E15D6"/>
    <w:rsid w:val="009E273C"/>
    <w:rsid w:val="009E290B"/>
    <w:rsid w:val="009F1350"/>
    <w:rsid w:val="009F2C0C"/>
    <w:rsid w:val="009F638A"/>
    <w:rsid w:val="009F6423"/>
    <w:rsid w:val="00A00B26"/>
    <w:rsid w:val="00A04C5F"/>
    <w:rsid w:val="00A11EBC"/>
    <w:rsid w:val="00A175B3"/>
    <w:rsid w:val="00A1770A"/>
    <w:rsid w:val="00A236D0"/>
    <w:rsid w:val="00A24A62"/>
    <w:rsid w:val="00A253F1"/>
    <w:rsid w:val="00A31C9F"/>
    <w:rsid w:val="00A3217B"/>
    <w:rsid w:val="00A4144F"/>
    <w:rsid w:val="00A4560F"/>
    <w:rsid w:val="00A45D32"/>
    <w:rsid w:val="00A5000C"/>
    <w:rsid w:val="00A517A6"/>
    <w:rsid w:val="00A537B2"/>
    <w:rsid w:val="00A53BD2"/>
    <w:rsid w:val="00A60A93"/>
    <w:rsid w:val="00A61B4D"/>
    <w:rsid w:val="00A63D70"/>
    <w:rsid w:val="00A64CF7"/>
    <w:rsid w:val="00A66D8B"/>
    <w:rsid w:val="00A703F4"/>
    <w:rsid w:val="00A733E3"/>
    <w:rsid w:val="00A75D83"/>
    <w:rsid w:val="00A80F95"/>
    <w:rsid w:val="00A82B88"/>
    <w:rsid w:val="00A910CF"/>
    <w:rsid w:val="00A914AD"/>
    <w:rsid w:val="00A91795"/>
    <w:rsid w:val="00A92AF2"/>
    <w:rsid w:val="00A97805"/>
    <w:rsid w:val="00A97BF1"/>
    <w:rsid w:val="00AA298A"/>
    <w:rsid w:val="00AA315B"/>
    <w:rsid w:val="00AA5381"/>
    <w:rsid w:val="00AA771F"/>
    <w:rsid w:val="00AB446D"/>
    <w:rsid w:val="00AC0447"/>
    <w:rsid w:val="00AC164A"/>
    <w:rsid w:val="00AC4E4A"/>
    <w:rsid w:val="00AD0219"/>
    <w:rsid w:val="00AD037C"/>
    <w:rsid w:val="00AD2249"/>
    <w:rsid w:val="00AD55A1"/>
    <w:rsid w:val="00AE14D8"/>
    <w:rsid w:val="00AE35A1"/>
    <w:rsid w:val="00AE3F45"/>
    <w:rsid w:val="00AE40E8"/>
    <w:rsid w:val="00AE423A"/>
    <w:rsid w:val="00AE448A"/>
    <w:rsid w:val="00AE5DCE"/>
    <w:rsid w:val="00AF06CB"/>
    <w:rsid w:val="00AF06CE"/>
    <w:rsid w:val="00AF2050"/>
    <w:rsid w:val="00AF4600"/>
    <w:rsid w:val="00AF5214"/>
    <w:rsid w:val="00AF7D61"/>
    <w:rsid w:val="00B03398"/>
    <w:rsid w:val="00B03CA8"/>
    <w:rsid w:val="00B05AAF"/>
    <w:rsid w:val="00B05EC8"/>
    <w:rsid w:val="00B21976"/>
    <w:rsid w:val="00B323D8"/>
    <w:rsid w:val="00B33C0A"/>
    <w:rsid w:val="00B34B76"/>
    <w:rsid w:val="00B36667"/>
    <w:rsid w:val="00B373F2"/>
    <w:rsid w:val="00B40F54"/>
    <w:rsid w:val="00B42D0E"/>
    <w:rsid w:val="00B444F6"/>
    <w:rsid w:val="00B47438"/>
    <w:rsid w:val="00B50426"/>
    <w:rsid w:val="00B5207A"/>
    <w:rsid w:val="00B54884"/>
    <w:rsid w:val="00B55128"/>
    <w:rsid w:val="00B55C75"/>
    <w:rsid w:val="00B55E19"/>
    <w:rsid w:val="00B6118D"/>
    <w:rsid w:val="00B63122"/>
    <w:rsid w:val="00B6712F"/>
    <w:rsid w:val="00B80840"/>
    <w:rsid w:val="00B81554"/>
    <w:rsid w:val="00B819AB"/>
    <w:rsid w:val="00B85EFE"/>
    <w:rsid w:val="00B87BD4"/>
    <w:rsid w:val="00B9213B"/>
    <w:rsid w:val="00B921B3"/>
    <w:rsid w:val="00B92A70"/>
    <w:rsid w:val="00B94758"/>
    <w:rsid w:val="00B94F64"/>
    <w:rsid w:val="00B95FCA"/>
    <w:rsid w:val="00BA4B6D"/>
    <w:rsid w:val="00BA7401"/>
    <w:rsid w:val="00BB236B"/>
    <w:rsid w:val="00BB26C5"/>
    <w:rsid w:val="00BC191F"/>
    <w:rsid w:val="00BC1C8B"/>
    <w:rsid w:val="00BC31BD"/>
    <w:rsid w:val="00BC69F4"/>
    <w:rsid w:val="00BC7D0E"/>
    <w:rsid w:val="00BD1FB6"/>
    <w:rsid w:val="00BD4211"/>
    <w:rsid w:val="00BD5D07"/>
    <w:rsid w:val="00BD5DE1"/>
    <w:rsid w:val="00BE2A12"/>
    <w:rsid w:val="00BF4DE6"/>
    <w:rsid w:val="00C009C7"/>
    <w:rsid w:val="00C03C3E"/>
    <w:rsid w:val="00C0523A"/>
    <w:rsid w:val="00C06B13"/>
    <w:rsid w:val="00C076CD"/>
    <w:rsid w:val="00C12EB5"/>
    <w:rsid w:val="00C14EA1"/>
    <w:rsid w:val="00C154EE"/>
    <w:rsid w:val="00C16FC5"/>
    <w:rsid w:val="00C17FA8"/>
    <w:rsid w:val="00C206E9"/>
    <w:rsid w:val="00C23B5A"/>
    <w:rsid w:val="00C23CBB"/>
    <w:rsid w:val="00C27D25"/>
    <w:rsid w:val="00C30799"/>
    <w:rsid w:val="00C34269"/>
    <w:rsid w:val="00C36D7D"/>
    <w:rsid w:val="00C37FFA"/>
    <w:rsid w:val="00C42541"/>
    <w:rsid w:val="00C42CDE"/>
    <w:rsid w:val="00C46146"/>
    <w:rsid w:val="00C5182A"/>
    <w:rsid w:val="00C53434"/>
    <w:rsid w:val="00C55245"/>
    <w:rsid w:val="00C55F14"/>
    <w:rsid w:val="00C57591"/>
    <w:rsid w:val="00C578D9"/>
    <w:rsid w:val="00C6076E"/>
    <w:rsid w:val="00C62863"/>
    <w:rsid w:val="00C629F9"/>
    <w:rsid w:val="00C63EE9"/>
    <w:rsid w:val="00C64C43"/>
    <w:rsid w:val="00C65AA2"/>
    <w:rsid w:val="00C66819"/>
    <w:rsid w:val="00C67CAA"/>
    <w:rsid w:val="00C7035D"/>
    <w:rsid w:val="00C71050"/>
    <w:rsid w:val="00C74AD0"/>
    <w:rsid w:val="00C8609B"/>
    <w:rsid w:val="00C86E70"/>
    <w:rsid w:val="00C914D7"/>
    <w:rsid w:val="00C916D5"/>
    <w:rsid w:val="00C96675"/>
    <w:rsid w:val="00CA16F3"/>
    <w:rsid w:val="00CA3521"/>
    <w:rsid w:val="00CA37B1"/>
    <w:rsid w:val="00CA3F43"/>
    <w:rsid w:val="00CA6E02"/>
    <w:rsid w:val="00CB0CBB"/>
    <w:rsid w:val="00CB1959"/>
    <w:rsid w:val="00CB1ABD"/>
    <w:rsid w:val="00CB43E2"/>
    <w:rsid w:val="00CC4F67"/>
    <w:rsid w:val="00CC7395"/>
    <w:rsid w:val="00CC741B"/>
    <w:rsid w:val="00CD0E4B"/>
    <w:rsid w:val="00CD1905"/>
    <w:rsid w:val="00CE476A"/>
    <w:rsid w:val="00CE4C89"/>
    <w:rsid w:val="00CF07BA"/>
    <w:rsid w:val="00CF0A01"/>
    <w:rsid w:val="00CF6B1C"/>
    <w:rsid w:val="00CF74DF"/>
    <w:rsid w:val="00D00B13"/>
    <w:rsid w:val="00D0296C"/>
    <w:rsid w:val="00D03D0E"/>
    <w:rsid w:val="00D04D54"/>
    <w:rsid w:val="00D10F0D"/>
    <w:rsid w:val="00D11B1C"/>
    <w:rsid w:val="00D1290E"/>
    <w:rsid w:val="00D143CC"/>
    <w:rsid w:val="00D221BC"/>
    <w:rsid w:val="00D22531"/>
    <w:rsid w:val="00D229C5"/>
    <w:rsid w:val="00D23FBD"/>
    <w:rsid w:val="00D2586C"/>
    <w:rsid w:val="00D26BA7"/>
    <w:rsid w:val="00D27334"/>
    <w:rsid w:val="00D27405"/>
    <w:rsid w:val="00D31E8D"/>
    <w:rsid w:val="00D32D6F"/>
    <w:rsid w:val="00D33DCE"/>
    <w:rsid w:val="00D354E2"/>
    <w:rsid w:val="00D37B04"/>
    <w:rsid w:val="00D4076C"/>
    <w:rsid w:val="00D415F7"/>
    <w:rsid w:val="00D4663F"/>
    <w:rsid w:val="00D50641"/>
    <w:rsid w:val="00D540C6"/>
    <w:rsid w:val="00D54266"/>
    <w:rsid w:val="00D55EC5"/>
    <w:rsid w:val="00D60BED"/>
    <w:rsid w:val="00D64BD1"/>
    <w:rsid w:val="00D72691"/>
    <w:rsid w:val="00D7275B"/>
    <w:rsid w:val="00D77948"/>
    <w:rsid w:val="00D82C14"/>
    <w:rsid w:val="00D91091"/>
    <w:rsid w:val="00D91FF3"/>
    <w:rsid w:val="00D92254"/>
    <w:rsid w:val="00D94140"/>
    <w:rsid w:val="00D97713"/>
    <w:rsid w:val="00DA19C8"/>
    <w:rsid w:val="00DC1237"/>
    <w:rsid w:val="00DC1CD8"/>
    <w:rsid w:val="00DC50BC"/>
    <w:rsid w:val="00DD3A53"/>
    <w:rsid w:val="00DD3C77"/>
    <w:rsid w:val="00DE084C"/>
    <w:rsid w:val="00DE5210"/>
    <w:rsid w:val="00DF6029"/>
    <w:rsid w:val="00DF60EF"/>
    <w:rsid w:val="00E017A4"/>
    <w:rsid w:val="00E0404C"/>
    <w:rsid w:val="00E0408D"/>
    <w:rsid w:val="00E14F51"/>
    <w:rsid w:val="00E16287"/>
    <w:rsid w:val="00E30F64"/>
    <w:rsid w:val="00E31A45"/>
    <w:rsid w:val="00E357B7"/>
    <w:rsid w:val="00E36F0C"/>
    <w:rsid w:val="00E40FB6"/>
    <w:rsid w:val="00E47170"/>
    <w:rsid w:val="00E53800"/>
    <w:rsid w:val="00E55942"/>
    <w:rsid w:val="00E56422"/>
    <w:rsid w:val="00E6081F"/>
    <w:rsid w:val="00E617E9"/>
    <w:rsid w:val="00E62074"/>
    <w:rsid w:val="00E630D5"/>
    <w:rsid w:val="00E65DCB"/>
    <w:rsid w:val="00E75060"/>
    <w:rsid w:val="00E80043"/>
    <w:rsid w:val="00E827FA"/>
    <w:rsid w:val="00E8296D"/>
    <w:rsid w:val="00E82C04"/>
    <w:rsid w:val="00E83010"/>
    <w:rsid w:val="00E8457B"/>
    <w:rsid w:val="00E957B8"/>
    <w:rsid w:val="00E961E2"/>
    <w:rsid w:val="00E97FA2"/>
    <w:rsid w:val="00EA04B2"/>
    <w:rsid w:val="00EA0562"/>
    <w:rsid w:val="00EA1454"/>
    <w:rsid w:val="00EA20F3"/>
    <w:rsid w:val="00EA5FAE"/>
    <w:rsid w:val="00EA6F43"/>
    <w:rsid w:val="00EA7AAD"/>
    <w:rsid w:val="00EB4317"/>
    <w:rsid w:val="00EC41CB"/>
    <w:rsid w:val="00EC540C"/>
    <w:rsid w:val="00EC55BF"/>
    <w:rsid w:val="00EC7557"/>
    <w:rsid w:val="00ED2831"/>
    <w:rsid w:val="00ED43D1"/>
    <w:rsid w:val="00ED75A8"/>
    <w:rsid w:val="00EE01C0"/>
    <w:rsid w:val="00EE25F4"/>
    <w:rsid w:val="00EE358C"/>
    <w:rsid w:val="00EE4EE1"/>
    <w:rsid w:val="00EF0914"/>
    <w:rsid w:val="00EF312A"/>
    <w:rsid w:val="00EF4309"/>
    <w:rsid w:val="00EF4574"/>
    <w:rsid w:val="00EF5FB3"/>
    <w:rsid w:val="00EF69B5"/>
    <w:rsid w:val="00F041B6"/>
    <w:rsid w:val="00F044BE"/>
    <w:rsid w:val="00F04C36"/>
    <w:rsid w:val="00F04D2D"/>
    <w:rsid w:val="00F05ABB"/>
    <w:rsid w:val="00F06B41"/>
    <w:rsid w:val="00F11BDB"/>
    <w:rsid w:val="00F139E1"/>
    <w:rsid w:val="00F15ADE"/>
    <w:rsid w:val="00F16151"/>
    <w:rsid w:val="00F25A93"/>
    <w:rsid w:val="00F25E34"/>
    <w:rsid w:val="00F2684E"/>
    <w:rsid w:val="00F27CC2"/>
    <w:rsid w:val="00F301CA"/>
    <w:rsid w:val="00F35A36"/>
    <w:rsid w:val="00F36264"/>
    <w:rsid w:val="00F41733"/>
    <w:rsid w:val="00F417AE"/>
    <w:rsid w:val="00F44EFA"/>
    <w:rsid w:val="00F4592B"/>
    <w:rsid w:val="00F45F99"/>
    <w:rsid w:val="00F52B7D"/>
    <w:rsid w:val="00F5404C"/>
    <w:rsid w:val="00F57B73"/>
    <w:rsid w:val="00F619C9"/>
    <w:rsid w:val="00F61BEE"/>
    <w:rsid w:val="00F62462"/>
    <w:rsid w:val="00F63AF7"/>
    <w:rsid w:val="00F6676E"/>
    <w:rsid w:val="00F70441"/>
    <w:rsid w:val="00F7276C"/>
    <w:rsid w:val="00F729EF"/>
    <w:rsid w:val="00F744A2"/>
    <w:rsid w:val="00F757CB"/>
    <w:rsid w:val="00F7623A"/>
    <w:rsid w:val="00F77CAE"/>
    <w:rsid w:val="00F80D10"/>
    <w:rsid w:val="00F82271"/>
    <w:rsid w:val="00F83428"/>
    <w:rsid w:val="00F84004"/>
    <w:rsid w:val="00F91165"/>
    <w:rsid w:val="00F937FA"/>
    <w:rsid w:val="00F93B82"/>
    <w:rsid w:val="00F94A5A"/>
    <w:rsid w:val="00F96462"/>
    <w:rsid w:val="00F96BB9"/>
    <w:rsid w:val="00FA0883"/>
    <w:rsid w:val="00FA3F8A"/>
    <w:rsid w:val="00FB4FAC"/>
    <w:rsid w:val="00FB5E13"/>
    <w:rsid w:val="00FB6765"/>
    <w:rsid w:val="00FC09B0"/>
    <w:rsid w:val="00FC14B9"/>
    <w:rsid w:val="00FC322F"/>
    <w:rsid w:val="00FC49D6"/>
    <w:rsid w:val="00FC5337"/>
    <w:rsid w:val="00FC67CB"/>
    <w:rsid w:val="00FC71E5"/>
    <w:rsid w:val="00FD6772"/>
    <w:rsid w:val="00FE52DF"/>
    <w:rsid w:val="00FE6D51"/>
    <w:rsid w:val="00FE6F2A"/>
    <w:rsid w:val="00FF0591"/>
    <w:rsid w:val="00FF68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C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C8609B"/>
    <w:pPr>
      <w:tabs>
        <w:tab w:val="center" w:pos="4513"/>
        <w:tab w:val="right" w:pos="9026"/>
      </w:tabs>
      <w:spacing w:before="0" w:after="0"/>
      <w:ind w:left="227"/>
    </w:pPr>
    <w:rPr>
      <w:b/>
      <w:caps/>
      <w:color w:val="000000" w:themeColor="text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3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8609B"/>
    <w:rPr>
      <w:b/>
      <w:caps/>
      <w:color w:val="000000" w:themeColor="text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8609B"/>
    <w:pPr>
      <w:spacing w:before="0" w:after="0" w:line="240" w:lineRule="exact"/>
      <w:ind w:left="284" w:right="284"/>
    </w:pPr>
    <w:rPr>
      <w:color w:val="000000" w:themeColor="text1"/>
    </w:rPr>
  </w:style>
  <w:style w:type="character" w:customStyle="1" w:styleId="FooterChar">
    <w:name w:val="Footer Char"/>
    <w:basedOn w:val="DefaultParagraphFont"/>
    <w:link w:val="Footer"/>
    <w:uiPriority w:val="99"/>
    <w:rsid w:val="00C8609B"/>
    <w:rPr>
      <w:color w:val="000000" w:themeColor="text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aliases w:val="ftref,16 Point,Superscript 6 Point,BVI fnr,Знак сноски 1,(NECG) Footnote Reference,fr,Footnote + Arial,10 pt,Black,Fußnotenzeichen DISS,Superscript 6 Point + 11 pt,Footnote Ref in FtNote,FnR-ANZDEC,de nota al pie,Ref,SUPERS,ftref1"/>
    <w:basedOn w:val="DefaultParagraphFont"/>
    <w:uiPriority w:val="99"/>
    <w:unhideWhenUsed/>
    <w:qFormat/>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character" w:styleId="IntenseReference">
    <w:name w:val="Intense Reference"/>
    <w:basedOn w:val="DefaultParagraphFont"/>
    <w:uiPriority w:val="32"/>
    <w:qFormat/>
    <w:locked/>
    <w:rsid w:val="004127B1"/>
    <w:rPr>
      <w:rFonts w:asciiTheme="minorHAnsi" w:hAnsiTheme="minorHAnsi"/>
      <w:b/>
      <w:bCs/>
      <w:caps w:val="0"/>
      <w:smallCaps/>
      <w:color w:val="007C89" w:themeColor="accent6"/>
      <w:spacing w:val="5"/>
    </w:rPr>
  </w:style>
  <w:style w:type="paragraph" w:styleId="ListParagraph">
    <w:name w:val="List Paragraph"/>
    <w:aliases w:val="Numbered Paragraph,Bullets level 1,123 List Paragraph,List Paragraph1,List Paragraph11,List Paragraph2,Bulit List -  Paragraph,Main numbered paragraph,Numbered List Paragraph,L,CV text,F5 List Paragraph,Dot pt,Medium Grid 1 - Accent 21,列出"/>
    <w:basedOn w:val="Normal"/>
    <w:link w:val="ListParagraphChar"/>
    <w:uiPriority w:val="34"/>
    <w:qFormat/>
    <w:locked/>
    <w:rsid w:val="004127B1"/>
    <w:pPr>
      <w:suppressAutoHyphens w:val="0"/>
      <w:spacing w:before="0" w:after="0" w:line="240" w:lineRule="auto"/>
      <w:ind w:left="720"/>
      <w:contextualSpacing/>
    </w:pPr>
    <w:rPr>
      <w:rFonts w:ascii="Times New Roman" w:eastAsia="Times New Roman" w:hAnsi="Times New Roman" w:cs="Times New Roman"/>
      <w:color w:val="auto"/>
      <w:sz w:val="24"/>
      <w:szCs w:val="24"/>
      <w:lang w:val="en-AU" w:eastAsia="en-GB"/>
    </w:rPr>
  </w:style>
  <w:style w:type="character" w:customStyle="1" w:styleId="ListParagraphChar">
    <w:name w:val="List Paragraph Char"/>
    <w:aliases w:val="Numbered Paragraph Char,Bullets level 1 Char,123 List Paragraph Char,List Paragraph1 Char,List Paragraph11 Char,List Paragraph2 Char,Bulit List -  Paragraph Char,Main numbered paragraph Char,Numbered List Paragraph Char,L Char"/>
    <w:basedOn w:val="DefaultParagraphFont"/>
    <w:link w:val="ListParagraph"/>
    <w:uiPriority w:val="34"/>
    <w:qFormat/>
    <w:locked/>
    <w:rsid w:val="004127B1"/>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CB1ABD"/>
    <w:pPr>
      <w:suppressAutoHyphens w:val="0"/>
      <w:spacing w:before="0" w:after="150" w:line="240" w:lineRule="auto"/>
    </w:pPr>
    <w:rPr>
      <w:rFonts w:ascii="Times New Roman" w:eastAsia="Times New Roman" w:hAnsi="Times New Roman" w:cs="Times New Roman"/>
      <w:color w:val="auto"/>
      <w:sz w:val="24"/>
      <w:szCs w:val="24"/>
      <w:lang w:val="en-AU" w:eastAsia="en-AU"/>
    </w:rPr>
  </w:style>
  <w:style w:type="paragraph" w:customStyle="1" w:styleId="Bulletlist1HDMES">
    <w:name w:val="Bullet list 1  HDMES"/>
    <w:basedOn w:val="Normal"/>
    <w:link w:val="Bulletlist1HDMESChar"/>
    <w:qFormat/>
    <w:rsid w:val="00051EE6"/>
    <w:pPr>
      <w:numPr>
        <w:numId w:val="11"/>
      </w:numPr>
      <w:suppressAutoHyphens w:val="0"/>
      <w:spacing w:before="0" w:after="40" w:line="252" w:lineRule="auto"/>
    </w:pPr>
    <w:rPr>
      <w:rFonts w:ascii="Calibri" w:eastAsia="Calibri" w:hAnsi="Calibri" w:cs="Times New Roman"/>
      <w:color w:val="auto"/>
      <w:lang w:val="en-AU"/>
    </w:rPr>
  </w:style>
  <w:style w:type="character" w:customStyle="1" w:styleId="StyleguidetextHDMESChar">
    <w:name w:val="Styleguide text HDMES Char"/>
    <w:link w:val="StyleguidetextHDMES"/>
    <w:locked/>
    <w:rsid w:val="00763C34"/>
  </w:style>
  <w:style w:type="paragraph" w:customStyle="1" w:styleId="StyleguidetextHDMES">
    <w:name w:val="Styleguide text HDMES"/>
    <w:basedOn w:val="Normal"/>
    <w:link w:val="StyleguidetextHDMESChar"/>
    <w:qFormat/>
    <w:rsid w:val="00763C34"/>
    <w:pPr>
      <w:suppressAutoHyphens w:val="0"/>
      <w:spacing w:before="0" w:after="200" w:line="252" w:lineRule="auto"/>
    </w:pPr>
    <w:rPr>
      <w:color w:val="auto"/>
      <w:lang w:val="en-AU"/>
    </w:rPr>
  </w:style>
  <w:style w:type="paragraph" w:customStyle="1" w:styleId="StyleguidetextbulletleadHDMES">
    <w:name w:val="Styleguide text bullet lead HDMES"/>
    <w:basedOn w:val="StyleguidetextHDMES"/>
    <w:next w:val="StyleguidetextHDMES"/>
    <w:qFormat/>
    <w:rsid w:val="00763C34"/>
    <w:pPr>
      <w:spacing w:after="120"/>
    </w:pPr>
  </w:style>
  <w:style w:type="paragraph" w:customStyle="1" w:styleId="Numberedlist1HDMES">
    <w:name w:val="Numbered list 1 HDMES"/>
    <w:basedOn w:val="StyleguidetextHDMES"/>
    <w:link w:val="Numberedlist1HDMESChar"/>
    <w:qFormat/>
    <w:rsid w:val="00763C34"/>
    <w:pPr>
      <w:numPr>
        <w:numId w:val="12"/>
      </w:numPr>
      <w:tabs>
        <w:tab w:val="num" w:pos="360"/>
      </w:tabs>
      <w:spacing w:after="40"/>
      <w:ind w:left="0" w:firstLine="0"/>
    </w:pPr>
  </w:style>
  <w:style w:type="character" w:customStyle="1" w:styleId="Numberedlist1HDMESChar">
    <w:name w:val="Numbered list 1 HDMES Char"/>
    <w:link w:val="Numberedlist1HDMES"/>
    <w:locked/>
    <w:rsid w:val="00763C34"/>
  </w:style>
  <w:style w:type="table" w:styleId="GridTable1Light-Accent1">
    <w:name w:val="Grid Table 1 Light Accent 1"/>
    <w:basedOn w:val="TableNormal"/>
    <w:uiPriority w:val="46"/>
    <w:locked/>
    <w:rsid w:val="00F04C36"/>
    <w:pPr>
      <w:spacing w:after="0" w:line="240" w:lineRule="auto"/>
    </w:pPr>
    <w:tblPr>
      <w:tblStyleRowBandSize w:val="1"/>
      <w:tblStyleColBandSize w:val="1"/>
      <w:tblBorders>
        <w:top w:val="single" w:sz="4" w:space="0" w:color="C1E7E0" w:themeColor="accent1" w:themeTint="66"/>
        <w:left w:val="single" w:sz="4" w:space="0" w:color="C1E7E0" w:themeColor="accent1" w:themeTint="66"/>
        <w:bottom w:val="single" w:sz="4" w:space="0" w:color="C1E7E0" w:themeColor="accent1" w:themeTint="66"/>
        <w:right w:val="single" w:sz="4" w:space="0" w:color="C1E7E0" w:themeColor="accent1" w:themeTint="66"/>
        <w:insideH w:val="single" w:sz="4" w:space="0" w:color="C1E7E0" w:themeColor="accent1" w:themeTint="66"/>
        <w:insideV w:val="single" w:sz="4" w:space="0" w:color="C1E7E0" w:themeColor="accent1" w:themeTint="66"/>
      </w:tblBorders>
    </w:tblPr>
    <w:tblStylePr w:type="firstRow">
      <w:rPr>
        <w:b/>
        <w:bCs/>
      </w:rPr>
      <w:tblPr/>
      <w:tcPr>
        <w:tcBorders>
          <w:bottom w:val="single" w:sz="12" w:space="0" w:color="A2DCD1" w:themeColor="accent1" w:themeTint="99"/>
        </w:tcBorders>
      </w:tcPr>
    </w:tblStylePr>
    <w:tblStylePr w:type="lastRow">
      <w:rPr>
        <w:b/>
        <w:bCs/>
      </w:rPr>
      <w:tblPr/>
      <w:tcPr>
        <w:tcBorders>
          <w:top w:val="double" w:sz="2" w:space="0" w:color="A2DCD1"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locked/>
    <w:rsid w:val="00A3217B"/>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styleId="ListTable4-Accent1">
    <w:name w:val="List Table 4 Accent 1"/>
    <w:basedOn w:val="TableNormal"/>
    <w:uiPriority w:val="49"/>
    <w:locked/>
    <w:rsid w:val="00A3217B"/>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tcBorders>
        <w:shd w:val="clear" w:color="auto" w:fill="65C5B4" w:themeFill="accent1"/>
      </w:tcPr>
    </w:tblStylePr>
    <w:tblStylePr w:type="lastRow">
      <w:rPr>
        <w:b/>
        <w:bCs/>
      </w:rPr>
      <w:tblPr/>
      <w:tcPr>
        <w:tcBorders>
          <w:top w:val="double" w:sz="4" w:space="0" w:color="A2DCD1" w:themeColor="accent1" w:themeTint="99"/>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styleId="ListTable6Colorful-Accent1">
    <w:name w:val="List Table 6 Colorful Accent 1"/>
    <w:basedOn w:val="TableNormal"/>
    <w:uiPriority w:val="51"/>
    <w:locked/>
    <w:rsid w:val="00A3217B"/>
    <w:pPr>
      <w:spacing w:after="0" w:line="240" w:lineRule="auto"/>
    </w:pPr>
    <w:rPr>
      <w:color w:val="3DA18F" w:themeColor="accent1" w:themeShade="BF"/>
    </w:rPr>
    <w:tblPr>
      <w:tblStyleRowBandSize w:val="1"/>
      <w:tblStyleColBandSize w:val="1"/>
      <w:tblBorders>
        <w:top w:val="single" w:sz="4" w:space="0" w:color="65C5B4" w:themeColor="accent1"/>
        <w:bottom w:val="single" w:sz="4" w:space="0" w:color="65C5B4" w:themeColor="accent1"/>
      </w:tblBorders>
    </w:tblPr>
    <w:tblStylePr w:type="firstRow">
      <w:rPr>
        <w:b/>
        <w:bCs/>
      </w:rPr>
      <w:tblPr/>
      <w:tcPr>
        <w:tcBorders>
          <w:bottom w:val="single" w:sz="4" w:space="0" w:color="65C5B4" w:themeColor="accent1"/>
        </w:tcBorders>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paragraph" w:customStyle="1" w:styleId="Default">
    <w:name w:val="Default"/>
    <w:rsid w:val="002770F7"/>
    <w:pPr>
      <w:autoSpaceDE w:val="0"/>
      <w:autoSpaceDN w:val="0"/>
      <w:adjustRightInd w:val="0"/>
      <w:spacing w:after="0" w:line="240" w:lineRule="auto"/>
    </w:pPr>
    <w:rPr>
      <w:rFonts w:ascii="Calibri" w:hAnsi="Calibri" w:cs="Calibri"/>
      <w:color w:val="000000"/>
      <w:sz w:val="24"/>
      <w:szCs w:val="24"/>
    </w:rPr>
  </w:style>
  <w:style w:type="character" w:customStyle="1" w:styleId="Bulletlist1HDMESChar">
    <w:name w:val="Bullet list 1  HDMES Char"/>
    <w:link w:val="Bulletlist1HDMES"/>
    <w:rsid w:val="00AF06CB"/>
    <w:rPr>
      <w:rFonts w:ascii="Calibri" w:eastAsia="Calibri" w:hAnsi="Calibri" w:cs="Times New Roman"/>
    </w:rPr>
  </w:style>
  <w:style w:type="paragraph" w:customStyle="1" w:styleId="Bulletlist2HDMES">
    <w:name w:val="Bullet list 2 HDMES"/>
    <w:basedOn w:val="StyleguidetextHDMES"/>
    <w:qFormat/>
    <w:rsid w:val="00AF06CB"/>
    <w:pPr>
      <w:numPr>
        <w:numId w:val="13"/>
      </w:numPr>
      <w:tabs>
        <w:tab w:val="num" w:pos="360"/>
      </w:tabs>
      <w:spacing w:after="40"/>
      <w:ind w:left="714" w:hanging="357"/>
    </w:pPr>
    <w:rPr>
      <w:rFonts w:ascii="Calibri" w:eastAsia="Calibri" w:hAnsi="Calibri" w:cs="Times New Roman"/>
    </w:rPr>
  </w:style>
  <w:style w:type="paragraph" w:customStyle="1" w:styleId="Heading4bluevariantHDMES">
    <w:name w:val="Heading 4 blue variant HDMES"/>
    <w:basedOn w:val="Heading4"/>
    <w:qFormat/>
    <w:rsid w:val="00AF06CB"/>
    <w:pPr>
      <w:keepLines w:val="0"/>
      <w:suppressAutoHyphens w:val="0"/>
      <w:spacing w:before="80" w:after="80" w:line="252" w:lineRule="auto"/>
      <w:contextualSpacing w:val="0"/>
    </w:pPr>
    <w:rPr>
      <w:rFonts w:ascii="Franklin Gothic Demi" w:eastAsia="Times New Roman" w:hAnsi="Franklin Gothic Demi" w:cs="Times New Roman"/>
      <w:iCs w:val="0"/>
      <w:color w:val="041F60"/>
      <w:szCs w:val="28"/>
      <w:lang w:val="en-AU"/>
    </w:rPr>
  </w:style>
  <w:style w:type="paragraph" w:customStyle="1" w:styleId="FootnotetextHDMES">
    <w:name w:val="Footnote text HDMES"/>
    <w:basedOn w:val="FootnoteText"/>
    <w:qFormat/>
    <w:rsid w:val="00F937FA"/>
    <w:pPr>
      <w:suppressAutoHyphens w:val="0"/>
      <w:spacing w:before="0" w:line="252" w:lineRule="auto"/>
      <w:ind w:left="0" w:firstLine="0"/>
    </w:pPr>
    <w:rPr>
      <w:rFonts w:ascii="Calibri" w:eastAsia="Calibri" w:hAnsi="Calibri" w:cs="Times New Roman"/>
      <w:color w:val="auto"/>
      <w:sz w:val="20"/>
      <w:lang w:val="en-AU"/>
    </w:rPr>
  </w:style>
  <w:style w:type="character" w:customStyle="1" w:styleId="normaltextrun">
    <w:name w:val="normaltextrun"/>
    <w:basedOn w:val="DefaultParagraphFont"/>
    <w:rsid w:val="007773B1"/>
  </w:style>
  <w:style w:type="table" w:styleId="GridTable1Light-Accent5">
    <w:name w:val="Grid Table 1 Light Accent 5"/>
    <w:basedOn w:val="TableNormal"/>
    <w:uiPriority w:val="46"/>
    <w:locked/>
    <w:rsid w:val="00E47170"/>
    <w:pPr>
      <w:spacing w:after="0" w:line="240" w:lineRule="auto"/>
    </w:pPr>
    <w:tblPr>
      <w:tblStyleRowBandSize w:val="1"/>
      <w:tblStyleColBandSize w:val="1"/>
      <w:tblBorders>
        <w:top w:val="single" w:sz="4" w:space="0" w:color="ADDEC1" w:themeColor="accent5" w:themeTint="66"/>
        <w:left w:val="single" w:sz="4" w:space="0" w:color="ADDEC1" w:themeColor="accent5" w:themeTint="66"/>
        <w:bottom w:val="single" w:sz="4" w:space="0" w:color="ADDEC1" w:themeColor="accent5" w:themeTint="66"/>
        <w:right w:val="single" w:sz="4" w:space="0" w:color="ADDEC1" w:themeColor="accent5" w:themeTint="66"/>
        <w:insideH w:val="single" w:sz="4" w:space="0" w:color="ADDEC1" w:themeColor="accent5" w:themeTint="66"/>
        <w:insideV w:val="single" w:sz="4" w:space="0" w:color="ADDEC1" w:themeColor="accent5" w:themeTint="66"/>
      </w:tblBorders>
    </w:tblPr>
    <w:tblStylePr w:type="firstRow">
      <w:rPr>
        <w:b/>
        <w:bCs/>
      </w:rPr>
      <w:tblPr/>
      <w:tcPr>
        <w:tcBorders>
          <w:bottom w:val="single" w:sz="12" w:space="0" w:color="84CDA2" w:themeColor="accent5" w:themeTint="99"/>
        </w:tcBorders>
      </w:tcPr>
    </w:tblStylePr>
    <w:tblStylePr w:type="lastRow">
      <w:rPr>
        <w:b/>
        <w:bCs/>
      </w:rPr>
      <w:tblPr/>
      <w:tcPr>
        <w:tcBorders>
          <w:top w:val="double" w:sz="2" w:space="0" w:color="84CDA2" w:themeColor="accent5" w:themeTint="99"/>
        </w:tcBorders>
      </w:tcPr>
    </w:tblStylePr>
    <w:tblStylePr w:type="firstCol">
      <w:rPr>
        <w:b/>
        <w:bCs/>
      </w:rPr>
    </w:tblStylePr>
    <w:tblStylePr w:type="lastCol">
      <w:rPr>
        <w:b/>
        <w:bCs/>
      </w:rPr>
    </w:tblStylePr>
  </w:style>
  <w:style w:type="paragraph" w:styleId="Revision">
    <w:name w:val="Revision"/>
    <w:hidden/>
    <w:uiPriority w:val="99"/>
    <w:semiHidden/>
    <w:rsid w:val="00F25E34"/>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940">
      <w:bodyDiv w:val="1"/>
      <w:marLeft w:val="0"/>
      <w:marRight w:val="0"/>
      <w:marTop w:val="0"/>
      <w:marBottom w:val="0"/>
      <w:divBdr>
        <w:top w:val="none" w:sz="0" w:space="0" w:color="auto"/>
        <w:left w:val="none" w:sz="0" w:space="0" w:color="auto"/>
        <w:bottom w:val="none" w:sz="0" w:space="0" w:color="auto"/>
        <w:right w:val="none" w:sz="0" w:space="0" w:color="auto"/>
      </w:divBdr>
    </w:div>
    <w:div w:id="161166714">
      <w:bodyDiv w:val="1"/>
      <w:marLeft w:val="0"/>
      <w:marRight w:val="0"/>
      <w:marTop w:val="0"/>
      <w:marBottom w:val="0"/>
      <w:divBdr>
        <w:top w:val="none" w:sz="0" w:space="0" w:color="auto"/>
        <w:left w:val="none" w:sz="0" w:space="0" w:color="auto"/>
        <w:bottom w:val="none" w:sz="0" w:space="0" w:color="auto"/>
        <w:right w:val="none" w:sz="0" w:space="0" w:color="auto"/>
      </w:divBdr>
    </w:div>
    <w:div w:id="385104012">
      <w:bodyDiv w:val="1"/>
      <w:marLeft w:val="0"/>
      <w:marRight w:val="0"/>
      <w:marTop w:val="0"/>
      <w:marBottom w:val="0"/>
      <w:divBdr>
        <w:top w:val="none" w:sz="0" w:space="0" w:color="auto"/>
        <w:left w:val="none" w:sz="0" w:space="0" w:color="auto"/>
        <w:bottom w:val="none" w:sz="0" w:space="0" w:color="auto"/>
        <w:right w:val="none" w:sz="0" w:space="0" w:color="auto"/>
      </w:divBdr>
    </w:div>
    <w:div w:id="454639245">
      <w:bodyDiv w:val="1"/>
      <w:marLeft w:val="0"/>
      <w:marRight w:val="0"/>
      <w:marTop w:val="0"/>
      <w:marBottom w:val="0"/>
      <w:divBdr>
        <w:top w:val="none" w:sz="0" w:space="0" w:color="auto"/>
        <w:left w:val="none" w:sz="0" w:space="0" w:color="auto"/>
        <w:bottom w:val="none" w:sz="0" w:space="0" w:color="auto"/>
        <w:right w:val="none" w:sz="0" w:space="0" w:color="auto"/>
      </w:divBdr>
    </w:div>
    <w:div w:id="561059176">
      <w:bodyDiv w:val="1"/>
      <w:marLeft w:val="0"/>
      <w:marRight w:val="0"/>
      <w:marTop w:val="0"/>
      <w:marBottom w:val="0"/>
      <w:divBdr>
        <w:top w:val="none" w:sz="0" w:space="0" w:color="auto"/>
        <w:left w:val="none" w:sz="0" w:space="0" w:color="auto"/>
        <w:bottom w:val="none" w:sz="0" w:space="0" w:color="auto"/>
        <w:right w:val="none" w:sz="0" w:space="0" w:color="auto"/>
      </w:divBdr>
    </w:div>
    <w:div w:id="695228247">
      <w:bodyDiv w:val="1"/>
      <w:marLeft w:val="0"/>
      <w:marRight w:val="0"/>
      <w:marTop w:val="0"/>
      <w:marBottom w:val="0"/>
      <w:divBdr>
        <w:top w:val="none" w:sz="0" w:space="0" w:color="auto"/>
        <w:left w:val="none" w:sz="0" w:space="0" w:color="auto"/>
        <w:bottom w:val="none" w:sz="0" w:space="0" w:color="auto"/>
        <w:right w:val="none" w:sz="0" w:space="0" w:color="auto"/>
      </w:divBdr>
    </w:div>
    <w:div w:id="835073080">
      <w:bodyDiv w:val="1"/>
      <w:marLeft w:val="0"/>
      <w:marRight w:val="0"/>
      <w:marTop w:val="0"/>
      <w:marBottom w:val="0"/>
      <w:divBdr>
        <w:top w:val="none" w:sz="0" w:space="0" w:color="auto"/>
        <w:left w:val="none" w:sz="0" w:space="0" w:color="auto"/>
        <w:bottom w:val="none" w:sz="0" w:space="0" w:color="auto"/>
        <w:right w:val="none" w:sz="0" w:space="0" w:color="auto"/>
      </w:divBdr>
    </w:div>
    <w:div w:id="837503222">
      <w:bodyDiv w:val="1"/>
      <w:marLeft w:val="0"/>
      <w:marRight w:val="0"/>
      <w:marTop w:val="0"/>
      <w:marBottom w:val="0"/>
      <w:divBdr>
        <w:top w:val="none" w:sz="0" w:space="0" w:color="auto"/>
        <w:left w:val="none" w:sz="0" w:space="0" w:color="auto"/>
        <w:bottom w:val="none" w:sz="0" w:space="0" w:color="auto"/>
        <w:right w:val="none" w:sz="0" w:space="0" w:color="auto"/>
      </w:divBdr>
    </w:div>
    <w:div w:id="852574167">
      <w:bodyDiv w:val="1"/>
      <w:marLeft w:val="0"/>
      <w:marRight w:val="0"/>
      <w:marTop w:val="0"/>
      <w:marBottom w:val="0"/>
      <w:divBdr>
        <w:top w:val="none" w:sz="0" w:space="0" w:color="auto"/>
        <w:left w:val="none" w:sz="0" w:space="0" w:color="auto"/>
        <w:bottom w:val="none" w:sz="0" w:space="0" w:color="auto"/>
        <w:right w:val="none" w:sz="0" w:space="0" w:color="auto"/>
      </w:divBdr>
    </w:div>
    <w:div w:id="986863087">
      <w:bodyDiv w:val="1"/>
      <w:marLeft w:val="0"/>
      <w:marRight w:val="0"/>
      <w:marTop w:val="0"/>
      <w:marBottom w:val="0"/>
      <w:divBdr>
        <w:top w:val="none" w:sz="0" w:space="0" w:color="auto"/>
        <w:left w:val="none" w:sz="0" w:space="0" w:color="auto"/>
        <w:bottom w:val="none" w:sz="0" w:space="0" w:color="auto"/>
        <w:right w:val="none" w:sz="0" w:space="0" w:color="auto"/>
      </w:divBdr>
    </w:div>
    <w:div w:id="1038436733">
      <w:bodyDiv w:val="1"/>
      <w:marLeft w:val="0"/>
      <w:marRight w:val="0"/>
      <w:marTop w:val="0"/>
      <w:marBottom w:val="0"/>
      <w:divBdr>
        <w:top w:val="none" w:sz="0" w:space="0" w:color="auto"/>
        <w:left w:val="none" w:sz="0" w:space="0" w:color="auto"/>
        <w:bottom w:val="none" w:sz="0" w:space="0" w:color="auto"/>
        <w:right w:val="none" w:sz="0" w:space="0" w:color="auto"/>
      </w:divBdr>
    </w:div>
    <w:div w:id="1086267529">
      <w:bodyDiv w:val="1"/>
      <w:marLeft w:val="0"/>
      <w:marRight w:val="0"/>
      <w:marTop w:val="0"/>
      <w:marBottom w:val="0"/>
      <w:divBdr>
        <w:top w:val="none" w:sz="0" w:space="0" w:color="auto"/>
        <w:left w:val="none" w:sz="0" w:space="0" w:color="auto"/>
        <w:bottom w:val="none" w:sz="0" w:space="0" w:color="auto"/>
        <w:right w:val="none" w:sz="0" w:space="0" w:color="auto"/>
      </w:divBdr>
    </w:div>
    <w:div w:id="1146510732">
      <w:bodyDiv w:val="1"/>
      <w:marLeft w:val="0"/>
      <w:marRight w:val="0"/>
      <w:marTop w:val="0"/>
      <w:marBottom w:val="0"/>
      <w:divBdr>
        <w:top w:val="none" w:sz="0" w:space="0" w:color="auto"/>
        <w:left w:val="none" w:sz="0" w:space="0" w:color="auto"/>
        <w:bottom w:val="none" w:sz="0" w:space="0" w:color="auto"/>
        <w:right w:val="none" w:sz="0" w:space="0" w:color="auto"/>
      </w:divBdr>
    </w:div>
    <w:div w:id="1340959503">
      <w:bodyDiv w:val="1"/>
      <w:marLeft w:val="0"/>
      <w:marRight w:val="0"/>
      <w:marTop w:val="0"/>
      <w:marBottom w:val="0"/>
      <w:divBdr>
        <w:top w:val="none" w:sz="0" w:space="0" w:color="auto"/>
        <w:left w:val="none" w:sz="0" w:space="0" w:color="auto"/>
        <w:bottom w:val="none" w:sz="0" w:space="0" w:color="auto"/>
        <w:right w:val="none" w:sz="0" w:space="0" w:color="auto"/>
      </w:divBdr>
    </w:div>
    <w:div w:id="1411662318">
      <w:bodyDiv w:val="1"/>
      <w:marLeft w:val="0"/>
      <w:marRight w:val="0"/>
      <w:marTop w:val="0"/>
      <w:marBottom w:val="0"/>
      <w:divBdr>
        <w:top w:val="none" w:sz="0" w:space="0" w:color="auto"/>
        <w:left w:val="none" w:sz="0" w:space="0" w:color="auto"/>
        <w:bottom w:val="none" w:sz="0" w:space="0" w:color="auto"/>
        <w:right w:val="none" w:sz="0" w:space="0" w:color="auto"/>
      </w:divBdr>
    </w:div>
    <w:div w:id="1638879538">
      <w:bodyDiv w:val="1"/>
      <w:marLeft w:val="0"/>
      <w:marRight w:val="0"/>
      <w:marTop w:val="0"/>
      <w:marBottom w:val="0"/>
      <w:divBdr>
        <w:top w:val="none" w:sz="0" w:space="0" w:color="auto"/>
        <w:left w:val="none" w:sz="0" w:space="0" w:color="auto"/>
        <w:bottom w:val="none" w:sz="0" w:space="0" w:color="auto"/>
        <w:right w:val="none" w:sz="0" w:space="0" w:color="auto"/>
      </w:divBdr>
    </w:div>
    <w:div w:id="1776485730">
      <w:bodyDiv w:val="1"/>
      <w:marLeft w:val="0"/>
      <w:marRight w:val="0"/>
      <w:marTop w:val="0"/>
      <w:marBottom w:val="0"/>
      <w:divBdr>
        <w:top w:val="none" w:sz="0" w:space="0" w:color="auto"/>
        <w:left w:val="none" w:sz="0" w:space="0" w:color="auto"/>
        <w:bottom w:val="none" w:sz="0" w:space="0" w:color="auto"/>
        <w:right w:val="none" w:sz="0" w:space="0" w:color="auto"/>
      </w:divBdr>
    </w:div>
    <w:div w:id="1798177865">
      <w:bodyDiv w:val="1"/>
      <w:marLeft w:val="0"/>
      <w:marRight w:val="0"/>
      <w:marTop w:val="0"/>
      <w:marBottom w:val="0"/>
      <w:divBdr>
        <w:top w:val="none" w:sz="0" w:space="0" w:color="auto"/>
        <w:left w:val="none" w:sz="0" w:space="0" w:color="auto"/>
        <w:bottom w:val="none" w:sz="0" w:space="0" w:color="auto"/>
        <w:right w:val="none" w:sz="0" w:space="0" w:color="auto"/>
      </w:divBdr>
    </w:div>
    <w:div w:id="191766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FCB33-23E8-4F73-ACD3-FA02322F6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915</Words>
  <Characters>5377</Characters>
  <Application>Microsoft Office Word</Application>
  <DocSecurity>0</DocSecurity>
  <Lines>126</Lines>
  <Paragraphs>51</Paragraphs>
  <ScaleCrop>false</ScaleCrop>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MANAGEMENT RESPONSE TO TECHNICAL DISASTER RISK REDUCTION PROGRAM IN PNG EVALAUTION</dc:title>
  <dc:subject/>
  <dc:creator/>
  <cp:keywords>[SEC=OFFICIAL]</cp:keywords>
  <cp:lastModifiedBy/>
  <cp:revision>1</cp:revision>
  <dcterms:created xsi:type="dcterms:W3CDTF">2023-03-10T03:54:00Z</dcterms:created>
  <dcterms:modified xsi:type="dcterms:W3CDTF">2023-03-10T04:16:00Z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MinimumSecurityClassification">
    <vt:lpwstr>OFFICIAL</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CEACC4D7F05C489B8DB29C68D112F5A8</vt:lpwstr>
  </property>
  <property fmtid="{D5CDD505-2E9C-101B-9397-08002B2CF9AE}" pid="9" name="PM_ProtectiveMarkingValue_Footer">
    <vt:lpwstr>OFFICIAL</vt:lpwstr>
  </property>
  <property fmtid="{D5CDD505-2E9C-101B-9397-08002B2CF9AE}" pid="10" name="PM_Originator_Hash_SHA1">
    <vt:lpwstr>260D391A355C0F7895D53005377AC1700003BFA9</vt:lpwstr>
  </property>
  <property fmtid="{D5CDD505-2E9C-101B-9397-08002B2CF9AE}" pid="11" name="PM_OriginationTimeStamp">
    <vt:lpwstr>2023-03-10T04:16:36Z</vt:lpwstr>
  </property>
  <property fmtid="{D5CDD505-2E9C-101B-9397-08002B2CF9AE}" pid="12" name="PM_ProtectiveMarkingValue_Header">
    <vt:lpwstr>OFFICIAL</vt:lpwstr>
  </property>
  <property fmtid="{D5CDD505-2E9C-101B-9397-08002B2CF9AE}" pid="13" name="PM_ProtectiveMarkingImage_Header">
    <vt:lpwstr>C:\Program Files (x86)\Common Files\janusNET Shared\janusSEAL\Images\DocumentSlashBlue.png</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93B9EECE4D6F13630C31D88FAAC4BCCC</vt:lpwstr>
  </property>
  <property fmtid="{D5CDD505-2E9C-101B-9397-08002B2CF9AE}" pid="21" name="PM_Hash_Salt">
    <vt:lpwstr>22566302E9971CB0DAC7F69CF892E19A</vt:lpwstr>
  </property>
  <property fmtid="{D5CDD505-2E9C-101B-9397-08002B2CF9AE}" pid="22" name="PM_Hash_SHA1">
    <vt:lpwstr>5C621BFF79DFAD5854E20CDFC9AA614AA48C96B6</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PM_Display">
    <vt:lpwstr>OFFICIAL</vt:lpwstr>
  </property>
  <property fmtid="{D5CDD505-2E9C-101B-9397-08002B2CF9AE}" pid="26" name="PM_OriginatorUserAccountName_SHA256">
    <vt:lpwstr>3F6D732A650B4EC715B623E0D837FB2B96AB69551124ACFE30889A7938FDE719</vt:lpwstr>
  </property>
  <property fmtid="{D5CDD505-2E9C-101B-9397-08002B2CF9AE}" pid="27" name="PM_OriginatorDomainName_SHA256">
    <vt:lpwstr>6F3591835F3B2A8A025B00B5BA6418010DA3A17C9C26EA9C049FFD28039489A2</vt:lpwstr>
  </property>
  <property fmtid="{D5CDD505-2E9C-101B-9397-08002B2CF9AE}" pid="28" name="PMUuid">
    <vt:lpwstr>ABBFF5E2-9674-55C9-B08D-C9980002FD58</vt:lpwstr>
  </property>
  <property fmtid="{D5CDD505-2E9C-101B-9397-08002B2CF9AE}" pid="29" name="PMUuidVer">
    <vt:lpwstr>2022.1</vt:lpwstr>
  </property>
</Properties>
</file>