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266D" w14:textId="6CA9C054" w:rsidR="00ED5255" w:rsidRPr="007451B9" w:rsidRDefault="001D7186" w:rsidP="00871006">
      <w:pPr>
        <w:pStyle w:val="Heading1"/>
        <w:spacing w:after="300"/>
        <w:jc w:val="center"/>
        <w:rPr>
          <w:color w:val="auto"/>
        </w:rPr>
      </w:pPr>
      <w:bookmarkStart w:id="0" w:name="_Toc475348267"/>
      <w:bookmarkStart w:id="1" w:name="_Toc373853205"/>
      <w:r w:rsidRPr="19E58A0E">
        <w:rPr>
          <w:caps w:val="0"/>
          <w:color w:val="auto"/>
        </w:rPr>
        <w:t xml:space="preserve">Independent program evaluation and </w:t>
      </w:r>
      <w:r>
        <w:rPr>
          <w:caps w:val="0"/>
          <w:color w:val="auto"/>
        </w:rPr>
        <w:t xml:space="preserve">forward </w:t>
      </w:r>
      <w:r w:rsidRPr="19E58A0E">
        <w:rPr>
          <w:caps w:val="0"/>
          <w:color w:val="auto"/>
        </w:rPr>
        <w:t>scoping</w:t>
      </w:r>
      <w:r>
        <w:rPr>
          <w:caps w:val="0"/>
          <w:color w:val="auto"/>
        </w:rPr>
        <w:t xml:space="preserve"> (PEFS): </w:t>
      </w:r>
      <w:r w:rsidRPr="3CC25135">
        <w:rPr>
          <w:caps w:val="0"/>
          <w:color w:val="auto"/>
        </w:rPr>
        <w:t xml:space="preserve">Joint </w:t>
      </w:r>
      <w:r>
        <w:rPr>
          <w:caps w:val="0"/>
          <w:color w:val="auto"/>
        </w:rPr>
        <w:t>TGA</w:t>
      </w:r>
      <w:r w:rsidRPr="3CC25135">
        <w:rPr>
          <w:caps w:val="0"/>
          <w:color w:val="auto"/>
        </w:rPr>
        <w:t xml:space="preserve"> and </w:t>
      </w:r>
      <w:r>
        <w:rPr>
          <w:caps w:val="0"/>
          <w:color w:val="auto"/>
        </w:rPr>
        <w:t>DFAT</w:t>
      </w:r>
      <w:r w:rsidRPr="3CC25135">
        <w:rPr>
          <w:caps w:val="0"/>
          <w:color w:val="auto"/>
        </w:rPr>
        <w:t xml:space="preserve"> </w:t>
      </w:r>
      <w:r>
        <w:rPr>
          <w:caps w:val="0"/>
          <w:color w:val="auto"/>
        </w:rPr>
        <w:t>M</w:t>
      </w:r>
      <w:r w:rsidRPr="3CC25135">
        <w:rPr>
          <w:caps w:val="0"/>
          <w:color w:val="auto"/>
        </w:rPr>
        <w:t xml:space="preserve">anagement </w:t>
      </w:r>
      <w:r>
        <w:rPr>
          <w:caps w:val="0"/>
          <w:color w:val="auto"/>
        </w:rPr>
        <w:t>R</w:t>
      </w:r>
      <w:r w:rsidRPr="3CC25135">
        <w:rPr>
          <w:caps w:val="0"/>
          <w:color w:val="auto"/>
        </w:rPr>
        <w:t>esponse</w:t>
      </w:r>
      <w:bookmarkEnd w:id="0"/>
    </w:p>
    <w:p w14:paraId="2C3900D9" w14:textId="13DEAD60" w:rsidR="000E64ED" w:rsidRPr="00D404C1" w:rsidRDefault="000E64ED" w:rsidP="000553B4">
      <w:pPr>
        <w:pStyle w:val="Heading3"/>
        <w:ind w:left="2160" w:hanging="2160"/>
        <w:rPr>
          <w:rFonts w:asciiTheme="minorHAnsi" w:eastAsiaTheme="minorEastAsia" w:hAnsiTheme="minorHAnsi" w:cstheme="minorBidi"/>
          <w:b/>
          <w:sz w:val="22"/>
          <w:szCs w:val="22"/>
          <w:lang w:val="en-GB"/>
        </w:rPr>
      </w:pPr>
      <w:r w:rsidRPr="19E58A0E">
        <w:rPr>
          <w:rFonts w:asciiTheme="minorHAnsi" w:eastAsiaTheme="minorEastAsia" w:hAnsiTheme="minorHAnsi" w:cstheme="minorBidi"/>
          <w:b/>
          <w:sz w:val="22"/>
          <w:szCs w:val="22"/>
          <w:lang w:val="en-GB"/>
        </w:rPr>
        <w:t>Prepared by:</w:t>
      </w:r>
      <w:r>
        <w:tab/>
      </w:r>
      <w:r w:rsidR="4B0C5651" w:rsidRPr="19E58A0E">
        <w:rPr>
          <w:rFonts w:asciiTheme="minorHAnsi" w:eastAsiaTheme="minorEastAsia" w:hAnsiTheme="minorHAnsi" w:cstheme="minorBidi"/>
          <w:b/>
          <w:sz w:val="22"/>
          <w:szCs w:val="22"/>
          <w:lang w:val="en-GB"/>
        </w:rPr>
        <w:t xml:space="preserve">Felicity Jameson, Director, International Regulatory Branch, </w:t>
      </w:r>
      <w:r w:rsidR="002A17B5">
        <w:rPr>
          <w:rFonts w:asciiTheme="minorHAnsi" w:eastAsiaTheme="minorEastAsia" w:hAnsiTheme="minorHAnsi" w:cstheme="minorBidi"/>
          <w:b/>
          <w:sz w:val="22"/>
          <w:szCs w:val="22"/>
          <w:lang w:val="en-GB"/>
        </w:rPr>
        <w:t xml:space="preserve">Medicines Regulation Division, </w:t>
      </w:r>
      <w:r w:rsidR="4B0C5651" w:rsidRPr="19E58A0E">
        <w:rPr>
          <w:rFonts w:asciiTheme="minorHAnsi" w:eastAsiaTheme="minorEastAsia" w:hAnsiTheme="minorHAnsi" w:cstheme="minorBidi"/>
          <w:b/>
          <w:sz w:val="22"/>
          <w:szCs w:val="22"/>
          <w:lang w:val="en-GB"/>
        </w:rPr>
        <w:t xml:space="preserve">TGA </w:t>
      </w:r>
    </w:p>
    <w:p w14:paraId="53C3A539" w14:textId="656EE49E" w:rsidR="4B0C5651" w:rsidRDefault="4B0C5651" w:rsidP="004F70A1">
      <w:pPr>
        <w:ind w:left="1440" w:firstLine="720"/>
        <w:rPr>
          <w:rFonts w:eastAsiaTheme="minorEastAsia"/>
          <w:b/>
          <w:bCs/>
        </w:rPr>
      </w:pPr>
      <w:r w:rsidRPr="19E58A0E">
        <w:rPr>
          <w:rFonts w:eastAsiaTheme="minorEastAsia"/>
          <w:b/>
          <w:bCs/>
        </w:rPr>
        <w:t xml:space="preserve">Andrew Everett, </w:t>
      </w:r>
      <w:r w:rsidR="2539600D" w:rsidRPr="19E58A0E">
        <w:rPr>
          <w:rFonts w:eastAsiaTheme="minorEastAsia"/>
          <w:b/>
          <w:bCs/>
        </w:rPr>
        <w:t xml:space="preserve">Health Policy and Program Officer, Public Sector Partnerships </w:t>
      </w:r>
      <w:r>
        <w:tab/>
      </w:r>
      <w:r>
        <w:tab/>
      </w:r>
      <w:r w:rsidR="2539600D" w:rsidRPr="19E58A0E">
        <w:rPr>
          <w:rFonts w:eastAsiaTheme="minorEastAsia"/>
          <w:b/>
          <w:bCs/>
        </w:rPr>
        <w:t>Section, Indo-Pacific Centre for Health Security. DFAT</w:t>
      </w:r>
    </w:p>
    <w:p w14:paraId="418650D5" w14:textId="43529043" w:rsidR="000E64ED" w:rsidRDefault="000E64ED" w:rsidP="000553B4">
      <w:pPr>
        <w:pStyle w:val="Heading3"/>
        <w:ind w:left="2160" w:hanging="2160"/>
        <w:rPr>
          <w:rFonts w:asciiTheme="minorHAnsi" w:eastAsiaTheme="minorEastAsia" w:hAnsiTheme="minorHAnsi" w:cstheme="minorBidi"/>
          <w:b/>
          <w:sz w:val="22"/>
          <w:szCs w:val="22"/>
          <w:lang w:val="en-GB"/>
        </w:rPr>
      </w:pPr>
      <w:r w:rsidRPr="19E58A0E">
        <w:rPr>
          <w:rFonts w:asciiTheme="minorHAnsi" w:eastAsiaTheme="minorEastAsia" w:hAnsiTheme="minorHAnsi" w:cstheme="minorBidi"/>
          <w:b/>
          <w:sz w:val="22"/>
          <w:szCs w:val="22"/>
          <w:lang w:val="en-GB"/>
        </w:rPr>
        <w:t xml:space="preserve">Approved by: </w:t>
      </w:r>
      <w:r>
        <w:tab/>
      </w:r>
      <w:r w:rsidR="7842D7FF" w:rsidRPr="19E58A0E">
        <w:rPr>
          <w:rFonts w:asciiTheme="minorHAnsi" w:eastAsiaTheme="minorEastAsia" w:hAnsiTheme="minorHAnsi" w:cstheme="minorBidi"/>
          <w:b/>
          <w:sz w:val="22"/>
          <w:szCs w:val="22"/>
          <w:lang w:val="en-GB"/>
        </w:rPr>
        <w:t xml:space="preserve">Michael Wiseman, </w:t>
      </w:r>
      <w:r w:rsidR="002A17B5">
        <w:rPr>
          <w:rFonts w:asciiTheme="minorHAnsi" w:eastAsiaTheme="minorEastAsia" w:hAnsiTheme="minorHAnsi" w:cstheme="minorBidi"/>
          <w:b/>
          <w:sz w:val="22"/>
          <w:szCs w:val="22"/>
          <w:lang w:val="en-GB"/>
        </w:rPr>
        <w:t>Assistant Secretary, International Regulatory Branch, Medicines Regulation Division, TGA</w:t>
      </w:r>
    </w:p>
    <w:p w14:paraId="440D2F6D" w14:textId="7C81CA88" w:rsidR="7842D7FF" w:rsidRDefault="43B00567" w:rsidP="382CE4C0">
      <w:pPr>
        <w:pStyle w:val="Heading3"/>
        <w:ind w:left="2160"/>
        <w:rPr>
          <w:rFonts w:asciiTheme="minorHAnsi" w:eastAsiaTheme="minorEastAsia" w:hAnsiTheme="minorHAnsi" w:cstheme="minorBidi"/>
          <w:b/>
          <w:sz w:val="22"/>
          <w:szCs w:val="22"/>
          <w:lang w:val="en-GB"/>
        </w:rPr>
      </w:pPr>
      <w:r w:rsidRPr="382CE4C0">
        <w:rPr>
          <w:rFonts w:asciiTheme="minorHAnsi" w:eastAsiaTheme="minorEastAsia" w:hAnsiTheme="minorHAnsi" w:cstheme="minorBidi"/>
          <w:b/>
          <w:sz w:val="22"/>
          <w:szCs w:val="22"/>
          <w:lang w:val="en-GB"/>
        </w:rPr>
        <w:t xml:space="preserve">Sean </w:t>
      </w:r>
      <w:proofErr w:type="spellStart"/>
      <w:r w:rsidRPr="382CE4C0">
        <w:rPr>
          <w:rFonts w:asciiTheme="minorHAnsi" w:eastAsiaTheme="minorEastAsia" w:hAnsiTheme="minorHAnsi" w:cstheme="minorBidi"/>
          <w:b/>
          <w:sz w:val="22"/>
          <w:szCs w:val="22"/>
          <w:lang w:val="en-GB"/>
        </w:rPr>
        <w:t>Sta</w:t>
      </w:r>
      <w:r w:rsidR="58D1CA4B" w:rsidRPr="382CE4C0">
        <w:rPr>
          <w:rFonts w:asciiTheme="minorHAnsi" w:eastAsiaTheme="minorEastAsia" w:hAnsiTheme="minorHAnsi" w:cstheme="minorBidi"/>
          <w:b/>
          <w:sz w:val="22"/>
          <w:szCs w:val="22"/>
          <w:lang w:val="en-GB"/>
        </w:rPr>
        <w:t>r</w:t>
      </w:r>
      <w:r w:rsidRPr="382CE4C0">
        <w:rPr>
          <w:rFonts w:asciiTheme="minorHAnsi" w:eastAsiaTheme="minorEastAsia" w:hAnsiTheme="minorHAnsi" w:cstheme="minorBidi"/>
          <w:b/>
          <w:sz w:val="22"/>
          <w:szCs w:val="22"/>
          <w:lang w:val="en-GB"/>
        </w:rPr>
        <w:t>mer</w:t>
      </w:r>
      <w:proofErr w:type="spellEnd"/>
      <w:r w:rsidR="2EC2304A" w:rsidRPr="382CE4C0">
        <w:rPr>
          <w:rFonts w:asciiTheme="minorHAnsi" w:eastAsiaTheme="minorEastAsia" w:hAnsiTheme="minorHAnsi" w:cstheme="minorBidi"/>
          <w:b/>
          <w:sz w:val="22"/>
          <w:szCs w:val="22"/>
          <w:lang w:val="en-GB"/>
        </w:rPr>
        <w:t xml:space="preserve">, </w:t>
      </w:r>
      <w:r w:rsidR="58D1CA4B" w:rsidRPr="382CE4C0">
        <w:rPr>
          <w:rFonts w:asciiTheme="minorHAnsi" w:eastAsiaTheme="minorEastAsia" w:hAnsiTheme="minorHAnsi" w:cstheme="minorBidi"/>
          <w:b/>
          <w:sz w:val="22"/>
          <w:szCs w:val="22"/>
          <w:lang w:val="en-GB"/>
        </w:rPr>
        <w:t xml:space="preserve">A/g </w:t>
      </w:r>
      <w:r w:rsidR="2EC2304A" w:rsidRPr="382CE4C0">
        <w:rPr>
          <w:rFonts w:asciiTheme="minorHAnsi" w:eastAsiaTheme="minorEastAsia" w:hAnsiTheme="minorHAnsi" w:cstheme="minorBidi"/>
          <w:b/>
          <w:sz w:val="22"/>
          <w:szCs w:val="22"/>
          <w:lang w:val="en-GB"/>
        </w:rPr>
        <w:t>Assistant Secretary, Centre for Health Security</w:t>
      </w:r>
      <w:r w:rsidR="6DE19F99" w:rsidRPr="382CE4C0">
        <w:rPr>
          <w:rFonts w:asciiTheme="minorHAnsi" w:eastAsiaTheme="minorEastAsia" w:hAnsiTheme="minorHAnsi" w:cstheme="minorBidi"/>
          <w:b/>
          <w:sz w:val="22"/>
          <w:szCs w:val="22"/>
          <w:lang w:val="en-GB"/>
        </w:rPr>
        <w:t>, Global Health Division, DFAT</w:t>
      </w:r>
    </w:p>
    <w:p w14:paraId="5D4DB586" w14:textId="34996C54" w:rsidR="000E64ED" w:rsidRDefault="000E64ED" w:rsidP="3CC25135">
      <w:pPr>
        <w:pStyle w:val="Heading3"/>
        <w:rPr>
          <w:rFonts w:asciiTheme="minorHAnsi" w:eastAsiaTheme="minorEastAsia" w:hAnsiTheme="minorHAnsi" w:cstheme="minorBidi"/>
          <w:b/>
          <w:sz w:val="22"/>
          <w:szCs w:val="22"/>
          <w:lang w:val="en-GB"/>
        </w:rPr>
      </w:pPr>
      <w:r w:rsidRPr="3CC25135">
        <w:rPr>
          <w:rFonts w:asciiTheme="minorHAnsi" w:eastAsiaTheme="minorEastAsia" w:hAnsiTheme="minorHAnsi" w:cstheme="minorBidi"/>
          <w:b/>
          <w:sz w:val="22"/>
          <w:szCs w:val="22"/>
          <w:lang w:val="en-GB"/>
        </w:rPr>
        <w:t>Date Approved:</w:t>
      </w:r>
      <w:r>
        <w:tab/>
      </w:r>
      <w:r>
        <w:tab/>
      </w:r>
      <w:r w:rsidR="73C21B19" w:rsidRPr="3CC25135">
        <w:rPr>
          <w:rFonts w:asciiTheme="minorHAnsi" w:eastAsiaTheme="minorEastAsia" w:hAnsiTheme="minorHAnsi" w:cstheme="minorBidi"/>
          <w:b/>
          <w:sz w:val="22"/>
          <w:szCs w:val="22"/>
          <w:lang w:val="en-GB"/>
        </w:rPr>
        <w:t>15 February 2023</w:t>
      </w:r>
    </w:p>
    <w:p w14:paraId="26A154DF" w14:textId="2C517FB1" w:rsidR="00220C1E" w:rsidRDefault="00220C1E" w:rsidP="00220C1E">
      <w:pPr>
        <w:pStyle w:val="Heading2"/>
        <w:jc w:val="both"/>
        <w:rPr>
          <w:szCs w:val="24"/>
        </w:rPr>
      </w:pPr>
      <w:r w:rsidRPr="00B207BF">
        <w:rPr>
          <w:szCs w:val="24"/>
        </w:rPr>
        <w:t>Summary</w:t>
      </w:r>
    </w:p>
    <w:p w14:paraId="4D9C756D" w14:textId="0651C56C" w:rsidR="00C93636" w:rsidRPr="00C93636" w:rsidRDefault="00C93636" w:rsidP="00C93636">
      <w:r w:rsidRPr="19E58A0E">
        <w:rPr>
          <w:b/>
          <w:bCs/>
        </w:rPr>
        <w:t>Regulatory Strengthening Program (RSP)</w:t>
      </w:r>
    </w:p>
    <w:tbl>
      <w:tblPr>
        <w:tblW w:w="98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1E0" w:firstRow="1" w:lastRow="1" w:firstColumn="1" w:lastColumn="1" w:noHBand="0" w:noVBand="0"/>
      </w:tblPr>
      <w:tblGrid>
        <w:gridCol w:w="2263"/>
        <w:gridCol w:w="7626"/>
      </w:tblGrid>
      <w:tr w:rsidR="00C93636" w:rsidRPr="001A7552" w14:paraId="1842E0FB" w14:textId="77777777" w:rsidTr="00C93636">
        <w:trPr>
          <w:cantSplit/>
          <w:tblHeader/>
        </w:trPr>
        <w:tc>
          <w:tcPr>
            <w:tcW w:w="2263" w:type="dxa"/>
            <w:shd w:val="clear" w:color="auto" w:fill="E0E0E0"/>
            <w:vAlign w:val="center"/>
          </w:tcPr>
          <w:p w14:paraId="6CEDC2DC" w14:textId="2E16D908" w:rsidR="00C93636" w:rsidRPr="001A7552" w:rsidRDefault="00C93636" w:rsidP="000E64ED">
            <w:pPr>
              <w:pStyle w:val="Table-normal-text"/>
              <w:spacing w:before="120" w:after="120"/>
              <w:rPr>
                <w:b/>
              </w:rPr>
            </w:pPr>
            <w:r>
              <w:rPr>
                <w:b/>
              </w:rPr>
              <w:t>Focus</w:t>
            </w:r>
          </w:p>
        </w:tc>
        <w:tc>
          <w:tcPr>
            <w:tcW w:w="7626" w:type="dxa"/>
            <w:shd w:val="clear" w:color="auto" w:fill="E0E0E0"/>
            <w:vAlign w:val="center"/>
          </w:tcPr>
          <w:p w14:paraId="78596349" w14:textId="42A9C6D7" w:rsidR="00C93636" w:rsidRPr="19E58A0E" w:rsidRDefault="00C93636" w:rsidP="19E58A0E">
            <w:pPr>
              <w:pStyle w:val="Table-normal-text"/>
              <w:spacing w:before="120" w:after="120"/>
              <w:rPr>
                <w:b/>
                <w:bCs/>
              </w:rPr>
            </w:pPr>
            <w:r>
              <w:rPr>
                <w:b/>
                <w:bCs/>
              </w:rPr>
              <w:t>Details</w:t>
            </w:r>
          </w:p>
        </w:tc>
      </w:tr>
      <w:tr w:rsidR="00220C1E" w:rsidRPr="008209AF" w14:paraId="5FAFB96D" w14:textId="77777777" w:rsidTr="00C93636">
        <w:trPr>
          <w:cantSplit/>
        </w:trPr>
        <w:tc>
          <w:tcPr>
            <w:tcW w:w="2263" w:type="dxa"/>
            <w:shd w:val="clear" w:color="auto" w:fill="auto"/>
          </w:tcPr>
          <w:p w14:paraId="0309BE79" w14:textId="0F11D113" w:rsidR="00220C1E" w:rsidRPr="00C93636" w:rsidRDefault="00220C1E" w:rsidP="19E58A0E">
            <w:pPr>
              <w:pStyle w:val="Table-normal-text"/>
              <w:rPr>
                <w:rFonts w:asciiTheme="minorHAnsi" w:eastAsiaTheme="minorEastAsia" w:hAnsiTheme="minorHAnsi" w:cstheme="minorBidi"/>
                <w:sz w:val="22"/>
                <w:szCs w:val="22"/>
                <w:lang w:val="en-PH"/>
              </w:rPr>
            </w:pPr>
            <w:proofErr w:type="spellStart"/>
            <w:r w:rsidRPr="00C93636">
              <w:rPr>
                <w:rFonts w:asciiTheme="minorHAnsi" w:eastAsiaTheme="minorEastAsia" w:hAnsiTheme="minorHAnsi" w:cstheme="minorBidi"/>
                <w:sz w:val="22"/>
                <w:szCs w:val="22"/>
                <w:lang w:val="en-PH"/>
              </w:rPr>
              <w:t>AidWorks</w:t>
            </w:r>
            <w:proofErr w:type="spellEnd"/>
            <w:r w:rsidRPr="00C93636">
              <w:rPr>
                <w:rFonts w:asciiTheme="minorHAnsi" w:eastAsiaTheme="minorEastAsia" w:hAnsiTheme="minorHAnsi" w:cstheme="minorBidi"/>
                <w:sz w:val="22"/>
                <w:szCs w:val="22"/>
                <w:lang w:val="en-PH"/>
              </w:rPr>
              <w:t xml:space="preserve"> initiative number</w:t>
            </w:r>
            <w:r w:rsidR="76D9B479" w:rsidRPr="00C93636">
              <w:rPr>
                <w:rFonts w:asciiTheme="minorHAnsi" w:eastAsiaTheme="minorEastAsia" w:hAnsiTheme="minorHAnsi" w:cstheme="minorBidi"/>
                <w:sz w:val="22"/>
                <w:szCs w:val="22"/>
                <w:lang w:val="en-PH"/>
              </w:rPr>
              <w:t>s</w:t>
            </w:r>
          </w:p>
        </w:tc>
        <w:tc>
          <w:tcPr>
            <w:tcW w:w="7626" w:type="dxa"/>
            <w:shd w:val="clear" w:color="auto" w:fill="auto"/>
          </w:tcPr>
          <w:p w14:paraId="27DCE0FB" w14:textId="6700D6B3" w:rsidR="00220C1E" w:rsidRPr="00C93636" w:rsidRDefault="108AF8BD" w:rsidP="19E58A0E">
            <w:pPr>
              <w:pStyle w:val="Table-normal-text"/>
              <w:rPr>
                <w:rFonts w:asciiTheme="minorHAnsi" w:eastAsiaTheme="minorEastAsia" w:hAnsiTheme="minorHAnsi" w:cstheme="minorBidi"/>
                <w:sz w:val="22"/>
                <w:szCs w:val="22"/>
                <w:lang w:val="en-PH"/>
              </w:rPr>
            </w:pPr>
            <w:r w:rsidRPr="00C93636">
              <w:rPr>
                <w:rFonts w:asciiTheme="minorHAnsi" w:eastAsiaTheme="minorEastAsia" w:hAnsiTheme="minorHAnsi" w:cstheme="minorBidi"/>
                <w:sz w:val="22"/>
                <w:szCs w:val="22"/>
                <w:lang w:val="en-PH"/>
              </w:rPr>
              <w:t>INM657</w:t>
            </w:r>
          </w:p>
        </w:tc>
      </w:tr>
      <w:tr w:rsidR="00C93636" w:rsidRPr="008209AF" w14:paraId="6C81E1AF" w14:textId="77777777" w:rsidTr="00C93636">
        <w:trPr>
          <w:cantSplit/>
        </w:trPr>
        <w:tc>
          <w:tcPr>
            <w:tcW w:w="2263" w:type="dxa"/>
            <w:shd w:val="clear" w:color="auto" w:fill="auto"/>
          </w:tcPr>
          <w:p w14:paraId="73697CEF" w14:textId="77777777" w:rsidR="00C93636" w:rsidRPr="00C93636" w:rsidRDefault="00C93636" w:rsidP="000E64ED">
            <w:pPr>
              <w:pStyle w:val="Table-normal-text"/>
              <w:rPr>
                <w:rFonts w:asciiTheme="minorHAnsi" w:eastAsiaTheme="minorHAnsi" w:hAnsiTheme="minorHAnsi" w:cstheme="minorBidi"/>
                <w:iCs/>
                <w:sz w:val="22"/>
                <w:szCs w:val="20"/>
                <w:lang w:val="en-PH"/>
              </w:rPr>
            </w:pPr>
            <w:r w:rsidRPr="00C93636">
              <w:rPr>
                <w:rFonts w:asciiTheme="minorHAnsi" w:eastAsiaTheme="minorHAnsi" w:hAnsiTheme="minorHAnsi" w:cstheme="minorBidi"/>
                <w:iCs/>
                <w:sz w:val="22"/>
                <w:szCs w:val="20"/>
                <w:lang w:val="en-PH"/>
              </w:rPr>
              <w:t>Commencement date</w:t>
            </w:r>
          </w:p>
        </w:tc>
        <w:tc>
          <w:tcPr>
            <w:tcW w:w="7626" w:type="dxa"/>
            <w:shd w:val="clear" w:color="auto" w:fill="auto"/>
          </w:tcPr>
          <w:p w14:paraId="2C8103F7" w14:textId="7D4762DF" w:rsidR="00C93636" w:rsidRPr="00C93636" w:rsidRDefault="00C93636" w:rsidP="19E58A0E">
            <w:pPr>
              <w:pStyle w:val="Table-normal-text"/>
              <w:rPr>
                <w:rFonts w:asciiTheme="minorHAnsi" w:eastAsiaTheme="minorEastAsia" w:hAnsiTheme="minorHAnsi" w:cstheme="minorBidi"/>
                <w:sz w:val="22"/>
                <w:szCs w:val="22"/>
                <w:lang w:val="en-PH"/>
              </w:rPr>
            </w:pPr>
            <w:r w:rsidRPr="00C93636">
              <w:rPr>
                <w:rFonts w:asciiTheme="minorHAnsi" w:eastAsiaTheme="minorEastAsia" w:hAnsiTheme="minorHAnsi" w:cstheme="minorBidi"/>
                <w:sz w:val="22"/>
                <w:szCs w:val="22"/>
                <w:lang w:val="en-PH"/>
              </w:rPr>
              <w:t>01 October 2018</w:t>
            </w:r>
          </w:p>
        </w:tc>
      </w:tr>
      <w:tr w:rsidR="00C93636" w:rsidRPr="008209AF" w14:paraId="69DF5127" w14:textId="77777777" w:rsidTr="00C93636">
        <w:trPr>
          <w:cantSplit/>
        </w:trPr>
        <w:tc>
          <w:tcPr>
            <w:tcW w:w="2263" w:type="dxa"/>
            <w:shd w:val="clear" w:color="auto" w:fill="auto"/>
          </w:tcPr>
          <w:p w14:paraId="10A02C6D" w14:textId="7C82CF09" w:rsidR="00C93636" w:rsidRPr="00C93636" w:rsidRDefault="00C93636" w:rsidP="00C93636">
            <w:pPr>
              <w:pStyle w:val="Table-normal-text"/>
              <w:rPr>
                <w:rFonts w:asciiTheme="minorHAnsi" w:eastAsiaTheme="minorHAnsi" w:hAnsiTheme="minorHAnsi" w:cstheme="minorBidi"/>
                <w:iCs/>
                <w:sz w:val="22"/>
                <w:szCs w:val="20"/>
                <w:lang w:val="en-PH"/>
              </w:rPr>
            </w:pPr>
            <w:r w:rsidRPr="00C93636">
              <w:rPr>
                <w:rFonts w:asciiTheme="minorHAnsi" w:eastAsiaTheme="minorHAnsi" w:hAnsiTheme="minorHAnsi" w:cstheme="minorBidi"/>
                <w:iCs/>
                <w:sz w:val="22"/>
                <w:szCs w:val="20"/>
                <w:lang w:val="en-PH"/>
              </w:rPr>
              <w:t>Completion date</w:t>
            </w:r>
          </w:p>
        </w:tc>
        <w:tc>
          <w:tcPr>
            <w:tcW w:w="7626" w:type="dxa"/>
            <w:shd w:val="clear" w:color="auto" w:fill="auto"/>
          </w:tcPr>
          <w:p w14:paraId="6BD51DA6" w14:textId="414D93D1" w:rsidR="00C93636" w:rsidRPr="00C93636" w:rsidRDefault="00C93636" w:rsidP="00C93636">
            <w:pPr>
              <w:pStyle w:val="Table-normal-text"/>
              <w:rPr>
                <w:rFonts w:asciiTheme="minorHAnsi" w:eastAsiaTheme="minorEastAsia" w:hAnsiTheme="minorHAnsi" w:cstheme="minorBidi"/>
                <w:sz w:val="22"/>
                <w:szCs w:val="22"/>
                <w:lang w:val="en-PH"/>
              </w:rPr>
            </w:pPr>
            <w:r w:rsidRPr="00C93636">
              <w:rPr>
                <w:rFonts w:asciiTheme="minorHAnsi" w:eastAsiaTheme="minorEastAsia" w:hAnsiTheme="minorHAnsi" w:cstheme="minorBidi"/>
                <w:sz w:val="22"/>
                <w:szCs w:val="22"/>
                <w:lang w:val="en-PH"/>
              </w:rPr>
              <w:t>30 June 2023</w:t>
            </w:r>
          </w:p>
        </w:tc>
      </w:tr>
      <w:tr w:rsidR="00C93636" w:rsidRPr="008209AF" w14:paraId="2905DF19" w14:textId="77777777" w:rsidTr="00C93636">
        <w:trPr>
          <w:cantSplit/>
        </w:trPr>
        <w:tc>
          <w:tcPr>
            <w:tcW w:w="2263" w:type="dxa"/>
            <w:shd w:val="clear" w:color="auto" w:fill="auto"/>
          </w:tcPr>
          <w:p w14:paraId="4DBBF74D" w14:textId="77777777" w:rsidR="00C93636" w:rsidRPr="00C93636" w:rsidRDefault="00C93636" w:rsidP="00C93636">
            <w:pPr>
              <w:pStyle w:val="Table-normal-text"/>
              <w:rPr>
                <w:rFonts w:asciiTheme="minorHAnsi" w:eastAsiaTheme="minorHAnsi" w:hAnsiTheme="minorHAnsi" w:cstheme="minorBidi"/>
                <w:iCs/>
                <w:sz w:val="22"/>
                <w:szCs w:val="20"/>
                <w:lang w:val="en-PH"/>
              </w:rPr>
            </w:pPr>
            <w:r w:rsidRPr="00C93636">
              <w:rPr>
                <w:rFonts w:asciiTheme="minorHAnsi" w:eastAsiaTheme="minorHAnsi" w:hAnsiTheme="minorHAnsi" w:cstheme="minorBidi"/>
                <w:iCs/>
                <w:sz w:val="22"/>
                <w:szCs w:val="20"/>
                <w:lang w:val="en-PH"/>
              </w:rPr>
              <w:t>Total Australian $</w:t>
            </w:r>
          </w:p>
        </w:tc>
        <w:tc>
          <w:tcPr>
            <w:tcW w:w="7626" w:type="dxa"/>
            <w:shd w:val="clear" w:color="auto" w:fill="auto"/>
          </w:tcPr>
          <w:p w14:paraId="3F0B2136" w14:textId="766C533E" w:rsidR="00C93636" w:rsidRPr="00C93636" w:rsidRDefault="00C93636" w:rsidP="00C93636">
            <w:pPr>
              <w:pStyle w:val="Table-normal-text"/>
              <w:rPr>
                <w:rFonts w:asciiTheme="minorHAnsi" w:eastAsiaTheme="minorEastAsia" w:hAnsiTheme="minorHAnsi" w:cstheme="minorBidi"/>
                <w:sz w:val="22"/>
                <w:szCs w:val="22"/>
                <w:lang w:val="en-PH"/>
              </w:rPr>
            </w:pPr>
            <w:r w:rsidRPr="00C93636">
              <w:rPr>
                <w:rFonts w:asciiTheme="minorHAnsi" w:eastAsiaTheme="minorEastAsia" w:hAnsiTheme="minorHAnsi" w:cstheme="minorBidi"/>
                <w:sz w:val="22"/>
                <w:szCs w:val="22"/>
                <w:lang w:val="en-PH"/>
              </w:rPr>
              <w:t>11 million</w:t>
            </w:r>
          </w:p>
        </w:tc>
      </w:tr>
      <w:tr w:rsidR="00C93636" w:rsidRPr="008209AF" w14:paraId="0E518203" w14:textId="77777777" w:rsidTr="00C93636">
        <w:trPr>
          <w:cantSplit/>
        </w:trPr>
        <w:tc>
          <w:tcPr>
            <w:tcW w:w="2263" w:type="dxa"/>
            <w:shd w:val="clear" w:color="auto" w:fill="auto"/>
          </w:tcPr>
          <w:p w14:paraId="33709893" w14:textId="34E9CAD9" w:rsidR="00C93636" w:rsidRPr="00C93636" w:rsidRDefault="00C93636" w:rsidP="00C93636">
            <w:pPr>
              <w:pStyle w:val="Table-normal-text"/>
              <w:rPr>
                <w:rFonts w:asciiTheme="minorHAnsi" w:eastAsiaTheme="minorHAnsi" w:hAnsiTheme="minorHAnsi" w:cstheme="minorBidi"/>
                <w:iCs/>
                <w:sz w:val="22"/>
                <w:szCs w:val="20"/>
                <w:lang w:val="en-PH"/>
              </w:rPr>
            </w:pPr>
            <w:r w:rsidRPr="00C93636">
              <w:rPr>
                <w:rFonts w:asciiTheme="minorHAnsi" w:eastAsiaTheme="minorHAnsi" w:hAnsiTheme="minorHAnsi" w:cstheme="minorBidi"/>
                <w:iCs/>
                <w:sz w:val="22"/>
                <w:szCs w:val="20"/>
                <w:lang w:val="en-PH"/>
              </w:rPr>
              <w:t xml:space="preserve">Delivery </w:t>
            </w:r>
            <w:proofErr w:type="spellStart"/>
            <w:r w:rsidRPr="00C93636">
              <w:rPr>
                <w:rFonts w:asciiTheme="minorHAnsi" w:eastAsiaTheme="minorHAnsi" w:hAnsiTheme="minorHAnsi" w:cstheme="minorBidi"/>
                <w:iCs/>
                <w:sz w:val="22"/>
                <w:szCs w:val="20"/>
                <w:lang w:val="en-PH"/>
              </w:rPr>
              <w:t>organisations</w:t>
            </w:r>
            <w:proofErr w:type="spellEnd"/>
          </w:p>
        </w:tc>
        <w:tc>
          <w:tcPr>
            <w:tcW w:w="7626" w:type="dxa"/>
            <w:shd w:val="clear" w:color="auto" w:fill="auto"/>
          </w:tcPr>
          <w:p w14:paraId="019A0F81" w14:textId="33555258" w:rsidR="00C93636" w:rsidRPr="00C93636" w:rsidRDefault="00C93636" w:rsidP="00C93636">
            <w:pPr>
              <w:pStyle w:val="Table-normal-text"/>
            </w:pPr>
            <w:r w:rsidRPr="00C93636">
              <w:rPr>
                <w:rFonts w:asciiTheme="minorHAnsi" w:eastAsiaTheme="minorEastAsia" w:hAnsiTheme="minorHAnsi" w:cstheme="minorBidi"/>
                <w:sz w:val="22"/>
                <w:szCs w:val="22"/>
                <w:lang w:val="en-PH"/>
              </w:rPr>
              <w:t>Therapeutic Goods Administration (TGA), Duke-NUS Centre of Regulatory Excellence (</w:t>
            </w:r>
            <w:proofErr w:type="spellStart"/>
            <w:r w:rsidRPr="00C93636">
              <w:rPr>
                <w:rFonts w:asciiTheme="minorHAnsi" w:eastAsiaTheme="minorEastAsia" w:hAnsiTheme="minorHAnsi" w:cstheme="minorBidi"/>
                <w:sz w:val="22"/>
                <w:szCs w:val="22"/>
                <w:lang w:val="en-PH"/>
              </w:rPr>
              <w:t>CoRE</w:t>
            </w:r>
            <w:proofErr w:type="spellEnd"/>
            <w:r w:rsidRPr="00C93636">
              <w:rPr>
                <w:rFonts w:asciiTheme="minorHAnsi" w:eastAsiaTheme="minorEastAsia" w:hAnsiTheme="minorHAnsi" w:cstheme="minorBidi"/>
                <w:sz w:val="22"/>
                <w:szCs w:val="22"/>
                <w:lang w:val="en-PH"/>
              </w:rPr>
              <w:t>), United States Pharmacopeia (USP)</w:t>
            </w:r>
          </w:p>
        </w:tc>
      </w:tr>
      <w:tr w:rsidR="00C93636" w:rsidRPr="008209AF" w14:paraId="30338C87" w14:textId="77777777" w:rsidTr="00C93636">
        <w:trPr>
          <w:cantSplit/>
        </w:trPr>
        <w:tc>
          <w:tcPr>
            <w:tcW w:w="2263" w:type="dxa"/>
            <w:shd w:val="clear" w:color="auto" w:fill="auto"/>
          </w:tcPr>
          <w:p w14:paraId="44FBEFD9" w14:textId="3461A512" w:rsidR="00C93636" w:rsidRPr="00C93636" w:rsidRDefault="00C93636" w:rsidP="00C93636">
            <w:pPr>
              <w:pStyle w:val="Table-normal-text"/>
              <w:rPr>
                <w:rFonts w:asciiTheme="minorHAnsi" w:eastAsiaTheme="minorHAnsi" w:hAnsiTheme="minorHAnsi" w:cstheme="minorBidi"/>
                <w:iCs/>
                <w:sz w:val="22"/>
                <w:szCs w:val="20"/>
                <w:lang w:val="en-PH"/>
              </w:rPr>
            </w:pPr>
            <w:r w:rsidRPr="00C93636">
              <w:rPr>
                <w:rFonts w:asciiTheme="minorHAnsi" w:eastAsiaTheme="minorHAnsi" w:hAnsiTheme="minorHAnsi" w:cstheme="minorBidi"/>
                <w:iCs/>
                <w:sz w:val="22"/>
                <w:szCs w:val="20"/>
                <w:lang w:val="en-PH"/>
              </w:rPr>
              <w:t>Region</w:t>
            </w:r>
          </w:p>
        </w:tc>
        <w:tc>
          <w:tcPr>
            <w:tcW w:w="7626" w:type="dxa"/>
            <w:shd w:val="clear" w:color="auto" w:fill="auto"/>
          </w:tcPr>
          <w:p w14:paraId="102D2D67" w14:textId="3FE27086" w:rsidR="00C93636" w:rsidRPr="00C93636" w:rsidRDefault="00C93636" w:rsidP="00C93636">
            <w:pPr>
              <w:pStyle w:val="Table-normal-text"/>
            </w:pPr>
            <w:r w:rsidRPr="00C93636">
              <w:rPr>
                <w:rFonts w:asciiTheme="minorHAnsi" w:eastAsiaTheme="minorEastAsia" w:hAnsiTheme="minorHAnsi" w:cstheme="minorBidi"/>
                <w:sz w:val="22"/>
                <w:szCs w:val="22"/>
                <w:lang w:val="en-PH"/>
              </w:rPr>
              <w:t>South-East Asia and Papua New Guinea</w:t>
            </w:r>
          </w:p>
        </w:tc>
      </w:tr>
      <w:tr w:rsidR="00C93636" w:rsidRPr="008209AF" w14:paraId="4B7BD3E6" w14:textId="77777777" w:rsidTr="00C93636">
        <w:trPr>
          <w:cantSplit/>
        </w:trPr>
        <w:tc>
          <w:tcPr>
            <w:tcW w:w="2263" w:type="dxa"/>
            <w:shd w:val="clear" w:color="auto" w:fill="auto"/>
          </w:tcPr>
          <w:p w14:paraId="57D05B92" w14:textId="77777777" w:rsidR="00C93636" w:rsidRPr="00C93636" w:rsidRDefault="00C93636" w:rsidP="00C93636">
            <w:pPr>
              <w:pStyle w:val="Table-normal-text"/>
              <w:rPr>
                <w:rFonts w:asciiTheme="minorHAnsi" w:eastAsiaTheme="minorHAnsi" w:hAnsiTheme="minorHAnsi" w:cstheme="minorBidi"/>
                <w:iCs/>
                <w:sz w:val="22"/>
                <w:szCs w:val="20"/>
                <w:lang w:val="en-PH"/>
              </w:rPr>
            </w:pPr>
            <w:r w:rsidRPr="00C93636">
              <w:rPr>
                <w:rFonts w:asciiTheme="minorHAnsi" w:eastAsiaTheme="minorHAnsi" w:hAnsiTheme="minorHAnsi" w:cstheme="minorBidi"/>
                <w:iCs/>
                <w:sz w:val="22"/>
                <w:szCs w:val="20"/>
                <w:lang w:val="en-PH"/>
              </w:rPr>
              <w:lastRenderedPageBreak/>
              <w:t>Initiative objective/s</w:t>
            </w:r>
          </w:p>
        </w:tc>
        <w:tc>
          <w:tcPr>
            <w:tcW w:w="7626" w:type="dxa"/>
            <w:shd w:val="clear" w:color="auto" w:fill="auto"/>
          </w:tcPr>
          <w:p w14:paraId="6F55D93C" w14:textId="52B80B6B" w:rsidR="00C93636" w:rsidRPr="00C93636" w:rsidRDefault="00C93636" w:rsidP="00C93636">
            <w:pPr>
              <w:jc w:val="both"/>
              <w:rPr>
                <w:color w:val="auto"/>
              </w:rPr>
            </w:pPr>
            <w:r w:rsidRPr="00C93636">
              <w:rPr>
                <w:color w:val="auto"/>
              </w:rPr>
              <w:t>The Indo-Pacific Regulatory Strengthening Program (RSP) was jointly developed by the Department of Foreign Affairs and Trade and the Department of Health (</w:t>
            </w:r>
            <w:proofErr w:type="spellStart"/>
            <w:r w:rsidRPr="00C93636">
              <w:rPr>
                <w:color w:val="auto"/>
              </w:rPr>
              <w:t>DoH</w:t>
            </w:r>
            <w:proofErr w:type="spellEnd"/>
            <w:r w:rsidRPr="00C93636">
              <w:rPr>
                <w:color w:val="auto"/>
              </w:rPr>
              <w:t xml:space="preserve">), through the Therapeutic Goods Administration (TGA). Funded by the Health Security Initiative for the Indo-Pacific, the Program aims to improve marketing authorisation systems for medicines and medical devices and to promote regional collaboration on regulatory practice. The TGA will establish people </w:t>
            </w:r>
            <w:r w:rsidRPr="00C93636">
              <w:rPr>
                <w:color w:val="auto"/>
              </w:rPr>
              <w:noBreakHyphen/>
              <w:t xml:space="preserve">to </w:t>
            </w:r>
            <w:r w:rsidRPr="00C93636">
              <w:rPr>
                <w:color w:val="auto"/>
              </w:rPr>
              <w:noBreakHyphen/>
              <w:t>people and institutional links with counterpart regulatory authorities in Cambodia, Indonesia, Laos PDR, Myanmar, Papua New Guinea, Vietnam, and Thailand. The high-level objective is to strengthen health security in the Indo</w:t>
            </w:r>
            <w:r w:rsidRPr="00C93636">
              <w:rPr>
                <w:color w:val="auto"/>
              </w:rPr>
              <w:noBreakHyphen/>
              <w:t>Pacific by improving access to quality medical products for the diagnosis, treatment, and prevention of priority diseases. The Program complements DFAT’s $75 million Product Development Partnerships Fund, which aims to bring new treatments and diagnostics to market for malaria and tuberculosis.</w:t>
            </w:r>
          </w:p>
        </w:tc>
      </w:tr>
    </w:tbl>
    <w:p w14:paraId="0A0F6627" w14:textId="26A505AA" w:rsidR="00C93636" w:rsidRDefault="00C93636">
      <w:r w:rsidRPr="19E58A0E">
        <w:rPr>
          <w:b/>
          <w:bCs/>
        </w:rPr>
        <w:t>Australian Expert Technical Assistance Program Regulatory Support and Safety Monitoring (AETAP-RSSM)</w:t>
      </w:r>
    </w:p>
    <w:tbl>
      <w:tblPr>
        <w:tblW w:w="98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1E0" w:firstRow="1" w:lastRow="1" w:firstColumn="1" w:lastColumn="1" w:noHBand="0" w:noVBand="0"/>
      </w:tblPr>
      <w:tblGrid>
        <w:gridCol w:w="2263"/>
        <w:gridCol w:w="7626"/>
      </w:tblGrid>
      <w:tr w:rsidR="00C93636" w14:paraId="723403E4" w14:textId="77777777" w:rsidTr="00C93636">
        <w:trPr>
          <w:cantSplit/>
          <w:trHeight w:val="300"/>
        </w:trPr>
        <w:tc>
          <w:tcPr>
            <w:tcW w:w="2263" w:type="dxa"/>
            <w:shd w:val="clear" w:color="auto" w:fill="E0E0E0"/>
          </w:tcPr>
          <w:p w14:paraId="3B7F86F9" w14:textId="422985E2" w:rsidR="00C93636" w:rsidRDefault="00C93636" w:rsidP="00C93636">
            <w:pPr>
              <w:pStyle w:val="Table-normal-text"/>
              <w:spacing w:before="120" w:after="120"/>
              <w:rPr>
                <w:b/>
                <w:bCs/>
              </w:rPr>
            </w:pPr>
            <w:r>
              <w:rPr>
                <w:b/>
                <w:bCs/>
              </w:rPr>
              <w:t>Focus</w:t>
            </w:r>
          </w:p>
        </w:tc>
        <w:tc>
          <w:tcPr>
            <w:tcW w:w="7626" w:type="dxa"/>
            <w:shd w:val="clear" w:color="auto" w:fill="E0E0E0"/>
          </w:tcPr>
          <w:p w14:paraId="4A103AC5" w14:textId="0D17F1E7" w:rsidR="00C93636" w:rsidRDefault="00C93636" w:rsidP="00C93636">
            <w:pPr>
              <w:pStyle w:val="Table-normal-text"/>
              <w:spacing w:before="120" w:after="120"/>
              <w:rPr>
                <w:b/>
                <w:bCs/>
              </w:rPr>
            </w:pPr>
            <w:r>
              <w:rPr>
                <w:b/>
                <w:bCs/>
              </w:rPr>
              <w:t>Details</w:t>
            </w:r>
          </w:p>
        </w:tc>
      </w:tr>
      <w:tr w:rsidR="00C93636" w14:paraId="5FAF5A9E" w14:textId="77777777" w:rsidTr="00C93636">
        <w:trPr>
          <w:cantSplit/>
          <w:trHeight w:val="300"/>
        </w:trPr>
        <w:tc>
          <w:tcPr>
            <w:tcW w:w="2263" w:type="dxa"/>
            <w:shd w:val="clear" w:color="auto" w:fill="auto"/>
          </w:tcPr>
          <w:p w14:paraId="2BA5E241" w14:textId="0F11D113" w:rsidR="00C93636" w:rsidRDefault="00C93636" w:rsidP="00C93636">
            <w:pPr>
              <w:pStyle w:val="Table-normal-text"/>
              <w:rPr>
                <w:rFonts w:asciiTheme="minorHAnsi" w:eastAsiaTheme="minorEastAsia" w:hAnsiTheme="minorHAnsi" w:cstheme="minorBidi"/>
                <w:color w:val="495965" w:themeColor="text2"/>
                <w:sz w:val="22"/>
                <w:szCs w:val="22"/>
                <w:lang w:val="en-PH"/>
              </w:rPr>
            </w:pPr>
            <w:proofErr w:type="spellStart"/>
            <w:r w:rsidRPr="19E58A0E">
              <w:rPr>
                <w:rFonts w:asciiTheme="minorHAnsi" w:eastAsiaTheme="minorEastAsia" w:hAnsiTheme="minorHAnsi" w:cstheme="minorBidi"/>
                <w:color w:val="495965" w:themeColor="text2"/>
                <w:sz w:val="22"/>
                <w:szCs w:val="22"/>
                <w:lang w:val="en-PH"/>
              </w:rPr>
              <w:t>AidWorks</w:t>
            </w:r>
            <w:proofErr w:type="spellEnd"/>
            <w:r w:rsidRPr="19E58A0E">
              <w:rPr>
                <w:rFonts w:asciiTheme="minorHAnsi" w:eastAsiaTheme="minorEastAsia" w:hAnsiTheme="minorHAnsi" w:cstheme="minorBidi"/>
                <w:color w:val="495965" w:themeColor="text2"/>
                <w:sz w:val="22"/>
                <w:szCs w:val="22"/>
                <w:lang w:val="en-PH"/>
              </w:rPr>
              <w:t xml:space="preserve"> initiative numbers</w:t>
            </w:r>
          </w:p>
        </w:tc>
        <w:tc>
          <w:tcPr>
            <w:tcW w:w="7626" w:type="dxa"/>
            <w:shd w:val="clear" w:color="auto" w:fill="auto"/>
          </w:tcPr>
          <w:p w14:paraId="24839F12" w14:textId="35DB9D01" w:rsidR="00C93636" w:rsidRDefault="00C93636" w:rsidP="00C93636">
            <w:pPr>
              <w:pStyle w:val="Table-normal-text"/>
              <w:rPr>
                <w:rFonts w:asciiTheme="minorHAnsi" w:eastAsiaTheme="minorEastAsia" w:hAnsiTheme="minorHAnsi" w:cstheme="minorBidi"/>
                <w:color w:val="495965" w:themeColor="text2"/>
                <w:sz w:val="22"/>
                <w:szCs w:val="22"/>
              </w:rPr>
            </w:pPr>
            <w:r w:rsidRPr="19E58A0E">
              <w:rPr>
                <w:rFonts w:asciiTheme="minorHAnsi" w:eastAsiaTheme="minorEastAsia" w:hAnsiTheme="minorHAnsi" w:cstheme="minorBidi"/>
                <w:color w:val="495965" w:themeColor="text2"/>
                <w:sz w:val="22"/>
                <w:szCs w:val="22"/>
              </w:rPr>
              <w:t>INN668, 21A116, 14488/30</w:t>
            </w:r>
          </w:p>
        </w:tc>
      </w:tr>
      <w:tr w:rsidR="00C93636" w14:paraId="42745F84" w14:textId="77777777" w:rsidTr="00C93636">
        <w:trPr>
          <w:cantSplit/>
          <w:trHeight w:val="300"/>
        </w:trPr>
        <w:tc>
          <w:tcPr>
            <w:tcW w:w="2263" w:type="dxa"/>
            <w:shd w:val="clear" w:color="auto" w:fill="auto"/>
          </w:tcPr>
          <w:p w14:paraId="05C9B6FE" w14:textId="77777777" w:rsidR="00C93636" w:rsidRDefault="00C93636" w:rsidP="00C93636">
            <w:pPr>
              <w:pStyle w:val="Table-normal-text"/>
              <w:rPr>
                <w:rFonts w:asciiTheme="minorHAnsi" w:eastAsiaTheme="minorEastAsia" w:hAnsiTheme="minorHAnsi" w:cstheme="minorBidi"/>
                <w:color w:val="495965" w:themeColor="text2"/>
                <w:sz w:val="22"/>
                <w:szCs w:val="22"/>
                <w:lang w:val="en-PH"/>
              </w:rPr>
            </w:pPr>
            <w:r w:rsidRPr="19E58A0E">
              <w:rPr>
                <w:rFonts w:asciiTheme="minorHAnsi" w:eastAsiaTheme="minorEastAsia" w:hAnsiTheme="minorHAnsi" w:cstheme="minorBidi"/>
                <w:color w:val="495965" w:themeColor="text2"/>
                <w:sz w:val="22"/>
                <w:szCs w:val="22"/>
                <w:lang w:val="en-PH"/>
              </w:rPr>
              <w:t>Commencement date</w:t>
            </w:r>
          </w:p>
        </w:tc>
        <w:tc>
          <w:tcPr>
            <w:tcW w:w="7626" w:type="dxa"/>
            <w:shd w:val="clear" w:color="auto" w:fill="auto"/>
          </w:tcPr>
          <w:p w14:paraId="27333286" w14:textId="47BDF363" w:rsidR="00C93636" w:rsidRDefault="00C93636" w:rsidP="00C93636">
            <w:pPr>
              <w:pStyle w:val="Table-normal-text"/>
              <w:rPr>
                <w:rFonts w:asciiTheme="minorHAnsi" w:eastAsiaTheme="minorEastAsia" w:hAnsiTheme="minorHAnsi" w:cstheme="minorBidi"/>
                <w:color w:val="495965" w:themeColor="text2"/>
                <w:sz w:val="22"/>
                <w:szCs w:val="22"/>
                <w:lang w:val="en-PH"/>
              </w:rPr>
            </w:pPr>
            <w:r w:rsidRPr="19E58A0E">
              <w:rPr>
                <w:rFonts w:asciiTheme="minorHAnsi" w:eastAsiaTheme="minorEastAsia" w:hAnsiTheme="minorHAnsi" w:cstheme="minorBidi"/>
                <w:color w:val="495965" w:themeColor="text2"/>
                <w:sz w:val="22"/>
                <w:szCs w:val="22"/>
              </w:rPr>
              <w:t>30 Apr 2021</w:t>
            </w:r>
          </w:p>
        </w:tc>
      </w:tr>
      <w:tr w:rsidR="00C93636" w14:paraId="3252DF1C" w14:textId="77777777" w:rsidTr="00C93636">
        <w:trPr>
          <w:cantSplit/>
          <w:trHeight w:val="300"/>
        </w:trPr>
        <w:tc>
          <w:tcPr>
            <w:tcW w:w="2263" w:type="dxa"/>
            <w:shd w:val="clear" w:color="auto" w:fill="auto"/>
          </w:tcPr>
          <w:p w14:paraId="5FDD08AF" w14:textId="5F8939A0" w:rsidR="00C93636" w:rsidRPr="19E58A0E" w:rsidRDefault="00C93636" w:rsidP="00C93636">
            <w:pPr>
              <w:pStyle w:val="Table-normal-text"/>
              <w:rPr>
                <w:rFonts w:asciiTheme="minorHAnsi" w:eastAsiaTheme="minorEastAsia" w:hAnsiTheme="minorHAnsi" w:cstheme="minorBidi"/>
                <w:color w:val="495965" w:themeColor="text2"/>
                <w:sz w:val="22"/>
                <w:szCs w:val="22"/>
                <w:lang w:val="en-PH"/>
              </w:rPr>
            </w:pPr>
            <w:r w:rsidRPr="19E58A0E">
              <w:rPr>
                <w:rFonts w:asciiTheme="minorHAnsi" w:eastAsiaTheme="minorEastAsia" w:hAnsiTheme="minorHAnsi" w:cstheme="minorBidi"/>
                <w:color w:val="495965" w:themeColor="text2"/>
                <w:sz w:val="22"/>
                <w:szCs w:val="22"/>
                <w:lang w:val="en-PH"/>
              </w:rPr>
              <w:t>Completion date</w:t>
            </w:r>
          </w:p>
        </w:tc>
        <w:tc>
          <w:tcPr>
            <w:tcW w:w="7626" w:type="dxa"/>
            <w:shd w:val="clear" w:color="auto" w:fill="auto"/>
          </w:tcPr>
          <w:p w14:paraId="3DA30711" w14:textId="2E74A06B" w:rsidR="00C93636" w:rsidRDefault="00C93636" w:rsidP="00C93636">
            <w:pPr>
              <w:pStyle w:val="Table-normal-text"/>
              <w:rPr>
                <w:rFonts w:asciiTheme="minorHAnsi" w:eastAsiaTheme="minorEastAsia" w:hAnsiTheme="minorHAnsi" w:cstheme="minorBidi"/>
                <w:color w:val="495965" w:themeColor="text2"/>
                <w:sz w:val="22"/>
                <w:szCs w:val="22"/>
              </w:rPr>
            </w:pPr>
            <w:r w:rsidRPr="19E58A0E">
              <w:rPr>
                <w:rFonts w:asciiTheme="minorHAnsi" w:eastAsiaTheme="minorEastAsia" w:hAnsiTheme="minorHAnsi" w:cstheme="minorBidi"/>
                <w:color w:val="495965" w:themeColor="text2"/>
                <w:sz w:val="22"/>
                <w:szCs w:val="22"/>
                <w:lang w:val="en-PH"/>
              </w:rPr>
              <w:t>30 June 2023</w:t>
            </w:r>
          </w:p>
        </w:tc>
      </w:tr>
      <w:tr w:rsidR="00C93636" w14:paraId="55F11782" w14:textId="77777777" w:rsidTr="00C93636">
        <w:trPr>
          <w:cantSplit/>
          <w:trHeight w:val="300"/>
        </w:trPr>
        <w:tc>
          <w:tcPr>
            <w:tcW w:w="2263" w:type="dxa"/>
            <w:shd w:val="clear" w:color="auto" w:fill="auto"/>
          </w:tcPr>
          <w:p w14:paraId="6CF93E80" w14:textId="77777777" w:rsidR="00C93636" w:rsidRDefault="00C93636" w:rsidP="00C93636">
            <w:pPr>
              <w:pStyle w:val="Table-normal-text"/>
              <w:rPr>
                <w:rFonts w:asciiTheme="minorHAnsi" w:eastAsiaTheme="minorEastAsia" w:hAnsiTheme="minorHAnsi" w:cstheme="minorBidi"/>
                <w:color w:val="495965" w:themeColor="text2"/>
                <w:sz w:val="22"/>
                <w:szCs w:val="22"/>
                <w:lang w:val="en-PH"/>
              </w:rPr>
            </w:pPr>
            <w:r w:rsidRPr="19E58A0E">
              <w:rPr>
                <w:rFonts w:asciiTheme="minorHAnsi" w:eastAsiaTheme="minorEastAsia" w:hAnsiTheme="minorHAnsi" w:cstheme="minorBidi"/>
                <w:color w:val="495965" w:themeColor="text2"/>
                <w:sz w:val="22"/>
                <w:szCs w:val="22"/>
                <w:lang w:val="en-PH"/>
              </w:rPr>
              <w:t>Total Australian $</w:t>
            </w:r>
          </w:p>
        </w:tc>
        <w:tc>
          <w:tcPr>
            <w:tcW w:w="7626" w:type="dxa"/>
            <w:shd w:val="clear" w:color="auto" w:fill="auto"/>
          </w:tcPr>
          <w:p w14:paraId="46974A44" w14:textId="2B1F7DB2" w:rsidR="00C93636" w:rsidRDefault="00C93636" w:rsidP="00C93636">
            <w:pPr>
              <w:pStyle w:val="Table-normal-text"/>
              <w:rPr>
                <w:rFonts w:asciiTheme="minorHAnsi" w:eastAsiaTheme="minorEastAsia" w:hAnsiTheme="minorHAnsi" w:cstheme="minorBidi"/>
                <w:color w:val="495965" w:themeColor="text2"/>
                <w:sz w:val="22"/>
                <w:szCs w:val="22"/>
              </w:rPr>
            </w:pPr>
            <w:r>
              <w:rPr>
                <w:rFonts w:asciiTheme="minorHAnsi" w:eastAsiaTheme="minorEastAsia" w:hAnsiTheme="minorHAnsi" w:cstheme="minorBidi"/>
                <w:color w:val="495965" w:themeColor="text2"/>
                <w:sz w:val="22"/>
                <w:szCs w:val="22"/>
              </w:rPr>
              <w:t xml:space="preserve">9 million </w:t>
            </w:r>
            <w:r w:rsidRPr="19E58A0E">
              <w:rPr>
                <w:rFonts w:asciiTheme="minorHAnsi" w:eastAsiaTheme="minorEastAsia" w:hAnsiTheme="minorHAnsi" w:cstheme="minorBidi"/>
                <w:color w:val="495965" w:themeColor="text2"/>
                <w:sz w:val="22"/>
                <w:szCs w:val="22"/>
              </w:rPr>
              <w:t xml:space="preserve"> </w:t>
            </w:r>
          </w:p>
        </w:tc>
      </w:tr>
      <w:tr w:rsidR="00C93636" w14:paraId="0AB5DE7F" w14:textId="77777777" w:rsidTr="00C93636">
        <w:trPr>
          <w:cantSplit/>
          <w:trHeight w:val="300"/>
        </w:trPr>
        <w:tc>
          <w:tcPr>
            <w:tcW w:w="2263" w:type="dxa"/>
            <w:shd w:val="clear" w:color="auto" w:fill="auto"/>
          </w:tcPr>
          <w:p w14:paraId="2C0ED8FA" w14:textId="1EF8FEF9" w:rsidR="00C93636" w:rsidRDefault="00C93636" w:rsidP="00C93636">
            <w:pPr>
              <w:pStyle w:val="Table-normal-text"/>
              <w:rPr>
                <w:rFonts w:asciiTheme="minorHAnsi" w:eastAsiaTheme="minorEastAsia" w:hAnsiTheme="minorHAnsi" w:cstheme="minorBidi"/>
                <w:color w:val="495965" w:themeColor="text2"/>
                <w:sz w:val="22"/>
                <w:szCs w:val="22"/>
                <w:lang w:val="en-PH"/>
              </w:rPr>
            </w:pPr>
            <w:r w:rsidRPr="19E58A0E">
              <w:rPr>
                <w:rFonts w:asciiTheme="minorHAnsi" w:eastAsiaTheme="minorEastAsia" w:hAnsiTheme="minorHAnsi" w:cstheme="minorBidi"/>
                <w:color w:val="495965" w:themeColor="text2"/>
                <w:sz w:val="22"/>
                <w:szCs w:val="22"/>
                <w:lang w:val="en-PH"/>
              </w:rPr>
              <w:t xml:space="preserve">Delivery </w:t>
            </w:r>
            <w:proofErr w:type="spellStart"/>
            <w:r w:rsidRPr="19E58A0E">
              <w:rPr>
                <w:rFonts w:asciiTheme="minorHAnsi" w:eastAsiaTheme="minorEastAsia" w:hAnsiTheme="minorHAnsi" w:cstheme="minorBidi"/>
                <w:color w:val="495965" w:themeColor="text2"/>
                <w:sz w:val="22"/>
                <w:szCs w:val="22"/>
                <w:lang w:val="en-PH"/>
              </w:rPr>
              <w:t>organisation</w:t>
            </w:r>
            <w:proofErr w:type="spellEnd"/>
          </w:p>
        </w:tc>
        <w:tc>
          <w:tcPr>
            <w:tcW w:w="7626" w:type="dxa"/>
            <w:shd w:val="clear" w:color="auto" w:fill="auto"/>
          </w:tcPr>
          <w:p w14:paraId="29D5A366" w14:textId="2C6A168A" w:rsidR="00C93636" w:rsidRDefault="00C93636" w:rsidP="00C93636">
            <w:pPr>
              <w:pStyle w:val="Table-normal-text"/>
            </w:pPr>
            <w:r w:rsidRPr="19E58A0E">
              <w:rPr>
                <w:rFonts w:asciiTheme="minorHAnsi" w:eastAsiaTheme="minorEastAsia" w:hAnsiTheme="minorHAnsi" w:cstheme="minorBidi"/>
                <w:color w:val="495965" w:themeColor="text2"/>
                <w:sz w:val="22"/>
                <w:szCs w:val="22"/>
                <w:lang w:val="en-PH"/>
              </w:rPr>
              <w:t>TGA</w:t>
            </w:r>
          </w:p>
        </w:tc>
      </w:tr>
      <w:tr w:rsidR="00C93636" w14:paraId="6D357673" w14:textId="77777777" w:rsidTr="00C93636">
        <w:trPr>
          <w:cantSplit/>
          <w:trHeight w:val="300"/>
        </w:trPr>
        <w:tc>
          <w:tcPr>
            <w:tcW w:w="2263" w:type="dxa"/>
            <w:shd w:val="clear" w:color="auto" w:fill="auto"/>
          </w:tcPr>
          <w:p w14:paraId="6F3E5C10" w14:textId="6731DF21" w:rsidR="00C93636" w:rsidRDefault="00C93636" w:rsidP="00C93636">
            <w:pPr>
              <w:pStyle w:val="Table-normal-text"/>
              <w:rPr>
                <w:rFonts w:asciiTheme="minorHAnsi" w:eastAsiaTheme="minorEastAsia" w:hAnsiTheme="minorHAnsi" w:cstheme="minorBidi"/>
                <w:color w:val="495965" w:themeColor="text2"/>
                <w:sz w:val="22"/>
                <w:szCs w:val="22"/>
                <w:lang w:val="en-PH"/>
              </w:rPr>
            </w:pPr>
            <w:r w:rsidRPr="19E58A0E">
              <w:rPr>
                <w:rFonts w:asciiTheme="minorHAnsi" w:eastAsiaTheme="minorEastAsia" w:hAnsiTheme="minorHAnsi" w:cstheme="minorBidi"/>
                <w:color w:val="495965" w:themeColor="text2"/>
                <w:sz w:val="22"/>
                <w:szCs w:val="22"/>
                <w:lang w:val="en-PH"/>
              </w:rPr>
              <w:t>Region</w:t>
            </w:r>
          </w:p>
        </w:tc>
        <w:tc>
          <w:tcPr>
            <w:tcW w:w="7626" w:type="dxa"/>
            <w:shd w:val="clear" w:color="auto" w:fill="auto"/>
          </w:tcPr>
          <w:p w14:paraId="549E285E" w14:textId="05C5E289" w:rsidR="00C93636" w:rsidRDefault="00C93636" w:rsidP="00C93636">
            <w:pPr>
              <w:pStyle w:val="Table-normal-text"/>
            </w:pPr>
            <w:r w:rsidRPr="19E58A0E">
              <w:rPr>
                <w:rFonts w:asciiTheme="minorHAnsi" w:eastAsiaTheme="minorEastAsia" w:hAnsiTheme="minorHAnsi" w:cstheme="minorBidi"/>
                <w:color w:val="495965" w:themeColor="text2"/>
                <w:sz w:val="22"/>
                <w:szCs w:val="22"/>
                <w:lang w:val="en-PH"/>
              </w:rPr>
              <w:t xml:space="preserve">South-East Asia </w:t>
            </w:r>
            <w:r>
              <w:rPr>
                <w:rFonts w:asciiTheme="minorHAnsi" w:eastAsiaTheme="minorEastAsia" w:hAnsiTheme="minorHAnsi" w:cstheme="minorBidi"/>
                <w:color w:val="495965" w:themeColor="text2"/>
                <w:sz w:val="22"/>
                <w:szCs w:val="22"/>
                <w:lang w:val="en-PH"/>
              </w:rPr>
              <w:t>and the</w:t>
            </w:r>
            <w:r w:rsidRPr="19E58A0E">
              <w:rPr>
                <w:rFonts w:asciiTheme="minorHAnsi" w:eastAsiaTheme="minorEastAsia" w:hAnsiTheme="minorHAnsi" w:cstheme="minorBidi"/>
                <w:color w:val="495965" w:themeColor="text2"/>
                <w:sz w:val="22"/>
                <w:szCs w:val="22"/>
                <w:lang w:val="en-PH"/>
              </w:rPr>
              <w:t xml:space="preserve"> Pacific </w:t>
            </w:r>
          </w:p>
        </w:tc>
      </w:tr>
      <w:tr w:rsidR="00C93636" w14:paraId="36F8F2A6" w14:textId="77777777" w:rsidTr="00C93636">
        <w:trPr>
          <w:cantSplit/>
          <w:trHeight w:val="300"/>
        </w:trPr>
        <w:tc>
          <w:tcPr>
            <w:tcW w:w="2263" w:type="dxa"/>
            <w:shd w:val="clear" w:color="auto" w:fill="auto"/>
          </w:tcPr>
          <w:p w14:paraId="3EDC35A5" w14:textId="6D46D932" w:rsidR="00C93636" w:rsidRDefault="00C93636" w:rsidP="00C93636">
            <w:pPr>
              <w:pStyle w:val="Table-normal-text"/>
              <w:rPr>
                <w:rFonts w:asciiTheme="minorHAnsi" w:eastAsiaTheme="minorEastAsia" w:hAnsiTheme="minorHAnsi" w:cstheme="minorBidi"/>
                <w:color w:val="495965" w:themeColor="text2"/>
                <w:sz w:val="22"/>
                <w:szCs w:val="22"/>
                <w:lang w:val="en-PH"/>
              </w:rPr>
            </w:pPr>
            <w:r w:rsidRPr="19E58A0E">
              <w:rPr>
                <w:rFonts w:asciiTheme="minorHAnsi" w:eastAsiaTheme="minorEastAsia" w:hAnsiTheme="minorHAnsi" w:cstheme="minorBidi"/>
                <w:color w:val="495965" w:themeColor="text2"/>
                <w:sz w:val="22"/>
                <w:szCs w:val="22"/>
                <w:lang w:val="en-PH"/>
              </w:rPr>
              <w:t>Initiative objectives</w:t>
            </w:r>
          </w:p>
        </w:tc>
        <w:tc>
          <w:tcPr>
            <w:tcW w:w="7626" w:type="dxa"/>
            <w:shd w:val="clear" w:color="auto" w:fill="auto"/>
          </w:tcPr>
          <w:p w14:paraId="7A39BE79" w14:textId="61540D23" w:rsidR="00C93636" w:rsidRDefault="00C93636" w:rsidP="00C93636">
            <w:pPr>
              <w:pStyle w:val="Table-normal-text"/>
            </w:pPr>
            <w:r w:rsidRPr="19E58A0E">
              <w:rPr>
                <w:rFonts w:asciiTheme="minorHAnsi" w:eastAsiaTheme="minorEastAsia" w:hAnsiTheme="minorHAnsi" w:cstheme="minorBidi"/>
                <w:color w:val="495965" w:themeColor="text2"/>
                <w:sz w:val="22"/>
                <w:szCs w:val="22"/>
              </w:rPr>
              <w:t>The Australian Expert Technical Assistance Program for Regional COVID-19 Vaccine Access: Regulatory Support and Safety Monitoring (RSSM) will support Pacific and Southeast Asian countries’ efforts to deliver safe, effective and accessible COVID-19 immunisation programs, based on a health and regulatory systems strengthening approach and in line with best practice standards. The Therapeutic Goods Administration (TGA) will provide technical regulatory input to support evaluation of COVID19 vaccines, marketing authorisation/product registration of COVID19 vaccines, ensuring the quality of vaccines procured, and pharmacovigilance and vaccine safety activities.</w:t>
            </w:r>
          </w:p>
        </w:tc>
      </w:tr>
    </w:tbl>
    <w:p w14:paraId="48027839" w14:textId="77777777" w:rsidR="00C93636" w:rsidRDefault="00C93636" w:rsidP="000E64ED">
      <w:pPr>
        <w:pStyle w:val="Heading2"/>
        <w:jc w:val="both"/>
        <w:rPr>
          <w:szCs w:val="24"/>
        </w:rPr>
      </w:pPr>
    </w:p>
    <w:p w14:paraId="0125311B" w14:textId="77777777" w:rsidR="00C93636" w:rsidRDefault="00C93636">
      <w:pPr>
        <w:suppressAutoHyphens w:val="0"/>
        <w:spacing w:before="0" w:after="120" w:line="440" w:lineRule="atLeast"/>
        <w:rPr>
          <w:rFonts w:asciiTheme="majorHAnsi" w:eastAsiaTheme="majorEastAsia" w:hAnsiTheme="majorHAnsi" w:cstheme="majorBidi"/>
          <w:caps/>
          <w:sz w:val="38"/>
          <w:szCs w:val="24"/>
        </w:rPr>
      </w:pPr>
      <w:r>
        <w:rPr>
          <w:szCs w:val="24"/>
        </w:rPr>
        <w:br w:type="page"/>
      </w:r>
    </w:p>
    <w:p w14:paraId="315BB5BD" w14:textId="21CAEE50" w:rsidR="000E64ED" w:rsidRPr="00C47072" w:rsidRDefault="000E64ED" w:rsidP="000E64ED">
      <w:pPr>
        <w:pStyle w:val="Heading2"/>
        <w:jc w:val="both"/>
        <w:rPr>
          <w:szCs w:val="24"/>
        </w:rPr>
      </w:pPr>
      <w:r w:rsidRPr="00C47072">
        <w:rPr>
          <w:szCs w:val="24"/>
        </w:rPr>
        <w:lastRenderedPageBreak/>
        <w:t>Evaluation Summary</w:t>
      </w:r>
    </w:p>
    <w:p w14:paraId="6EC90462" w14:textId="77777777" w:rsidR="00C93636" w:rsidRDefault="000E64ED" w:rsidP="000F25A1">
      <w:r w:rsidRPr="00065DD2">
        <w:rPr>
          <w:b/>
        </w:rPr>
        <w:t>Evaluation Objective:</w:t>
      </w:r>
      <w:r w:rsidR="00085248">
        <w:rPr>
          <w:b/>
        </w:rPr>
        <w:t xml:space="preserve"> </w:t>
      </w:r>
      <w:r w:rsidR="00D006A7">
        <w:t xml:space="preserve">The purpose of the </w:t>
      </w:r>
      <w:r w:rsidR="00861A5D">
        <w:t xml:space="preserve">Program </w:t>
      </w:r>
      <w:r w:rsidR="006544BD">
        <w:t xml:space="preserve">Evaluation and </w:t>
      </w:r>
      <w:r w:rsidR="00861A5D">
        <w:t xml:space="preserve">Forward </w:t>
      </w:r>
      <w:r w:rsidR="006544BD">
        <w:t>Scoping</w:t>
      </w:r>
      <w:r w:rsidR="00861A5D">
        <w:t xml:space="preserve"> </w:t>
      </w:r>
      <w:r w:rsidR="00225692">
        <w:t>Program (</w:t>
      </w:r>
      <w:r w:rsidR="00861A5D">
        <w:t>PEFS</w:t>
      </w:r>
      <w:r w:rsidR="00225692">
        <w:t>) wa</w:t>
      </w:r>
      <w:r w:rsidR="00D006A7">
        <w:t>s to</w:t>
      </w:r>
      <w:r w:rsidR="00861A5D">
        <w:t xml:space="preserve"> </w:t>
      </w:r>
      <w:r w:rsidR="00D006A7">
        <w:t xml:space="preserve">evaluate </w:t>
      </w:r>
      <w:r w:rsidR="00034815" w:rsidRPr="00034815">
        <w:t>DFAT-funded work of TGA (2018-present) and</w:t>
      </w:r>
      <w:r w:rsidR="009D571B">
        <w:t xml:space="preserve"> </w:t>
      </w:r>
      <w:r w:rsidR="009D0606">
        <w:t xml:space="preserve">to </w:t>
      </w:r>
      <w:r w:rsidR="009D571B">
        <w:t>also scope</w:t>
      </w:r>
      <w:r w:rsidR="00034815" w:rsidRPr="00034815">
        <w:t xml:space="preserve"> a future TGA-DFAT partnership</w:t>
      </w:r>
      <w:r w:rsidR="00194790">
        <w:t xml:space="preserve">. The evaluation </w:t>
      </w:r>
      <w:r w:rsidR="005A1B74">
        <w:t xml:space="preserve">component of the report aimed to </w:t>
      </w:r>
      <w:r w:rsidR="00446EC7">
        <w:t>determine whether the RSP and RSSM had met</w:t>
      </w:r>
      <w:r w:rsidR="002A17B5">
        <w:t>,</w:t>
      </w:r>
      <w:r w:rsidR="00446EC7">
        <w:t xml:space="preserve"> </w:t>
      </w:r>
      <w:r w:rsidR="002A17B5">
        <w:t xml:space="preserve">or </w:t>
      </w:r>
      <w:r w:rsidR="00446EC7">
        <w:t>were on track to meet</w:t>
      </w:r>
      <w:r w:rsidR="002A17B5">
        <w:t>,</w:t>
      </w:r>
      <w:r w:rsidR="00446EC7">
        <w:t xml:space="preserve"> their end of program outcomes</w:t>
      </w:r>
      <w:r w:rsidR="009D0606">
        <w:t xml:space="preserve"> (EOPOs)</w:t>
      </w:r>
      <w:r w:rsidR="00CA7217">
        <w:t>, associated enable</w:t>
      </w:r>
      <w:r w:rsidR="002A17B5">
        <w:t>r</w:t>
      </w:r>
      <w:r w:rsidR="00CA7217">
        <w:t>s and barriers</w:t>
      </w:r>
      <w:r w:rsidR="009D0606">
        <w:t xml:space="preserve"> to EOPOs</w:t>
      </w:r>
      <w:r w:rsidR="00CA7217">
        <w:t xml:space="preserve"> as well as suggested program modifications </w:t>
      </w:r>
      <w:r w:rsidR="0079127D">
        <w:t xml:space="preserve">to increase </w:t>
      </w:r>
      <w:r w:rsidR="002A17B5">
        <w:t xml:space="preserve">the </w:t>
      </w:r>
      <w:r w:rsidR="0079127D">
        <w:t xml:space="preserve">ability to achieve intended outcomes. The scoping section of the report </w:t>
      </w:r>
      <w:r w:rsidR="00C5204E">
        <w:t xml:space="preserve">intended to </w:t>
      </w:r>
      <w:r w:rsidR="00376D59">
        <w:t xml:space="preserve">propose </w:t>
      </w:r>
      <w:r w:rsidR="00C5204E" w:rsidRPr="00C5204E">
        <w:t>country specific approach</w:t>
      </w:r>
      <w:r w:rsidR="00376D59">
        <w:t>es</w:t>
      </w:r>
      <w:r w:rsidR="00C5204E" w:rsidRPr="00C5204E">
        <w:t xml:space="preserve"> and regional cooperation mechanisms</w:t>
      </w:r>
      <w:r w:rsidR="00376D59">
        <w:t xml:space="preserve"> </w:t>
      </w:r>
      <w:r w:rsidR="00C5204E" w:rsidRPr="00C5204E">
        <w:t>for a future phase of work</w:t>
      </w:r>
      <w:r w:rsidR="00376D59">
        <w:t xml:space="preserve">. </w:t>
      </w:r>
    </w:p>
    <w:p w14:paraId="68F63D78" w14:textId="32882872" w:rsidR="000F25A1" w:rsidRDefault="000F25A1" w:rsidP="000F25A1">
      <w:pPr>
        <w:rPr>
          <w:b/>
        </w:rPr>
      </w:pPr>
      <w:r w:rsidRPr="001A7552">
        <w:rPr>
          <w:b/>
        </w:rPr>
        <w:t>Evaluation Completion Date:</w:t>
      </w:r>
      <w:r>
        <w:rPr>
          <w:b/>
        </w:rPr>
        <w:t xml:space="preserve"> </w:t>
      </w:r>
      <w:r w:rsidR="00065DD2" w:rsidRPr="00065DD2">
        <w:rPr>
          <w:bCs/>
        </w:rPr>
        <w:t>31</w:t>
      </w:r>
      <w:r w:rsidR="00A568B1" w:rsidRPr="00065DD2">
        <w:rPr>
          <w:bCs/>
        </w:rPr>
        <w:t xml:space="preserve"> </w:t>
      </w:r>
      <w:r w:rsidR="00065DD2" w:rsidRPr="00065DD2">
        <w:rPr>
          <w:bCs/>
        </w:rPr>
        <w:t xml:space="preserve">December </w:t>
      </w:r>
      <w:r w:rsidR="00D404C1" w:rsidRPr="00065DD2">
        <w:rPr>
          <w:bCs/>
        </w:rPr>
        <w:t>20</w:t>
      </w:r>
      <w:r w:rsidR="00065DD2" w:rsidRPr="00065DD2">
        <w:rPr>
          <w:bCs/>
        </w:rPr>
        <w:t>22</w:t>
      </w:r>
    </w:p>
    <w:p w14:paraId="1652168D" w14:textId="17DDF0D4" w:rsidR="00085248" w:rsidRPr="00C93636" w:rsidRDefault="000F25A1" w:rsidP="00C93636">
      <w:r w:rsidRPr="001A7552">
        <w:rPr>
          <w:b/>
        </w:rPr>
        <w:t xml:space="preserve">Evaluation Team: </w:t>
      </w:r>
      <w:r w:rsidR="00F81323" w:rsidRPr="00F81323">
        <w:rPr>
          <w:bCs/>
        </w:rPr>
        <w:t xml:space="preserve">Dr </w:t>
      </w:r>
      <w:r w:rsidR="004F70A1" w:rsidRPr="00F81323">
        <w:rPr>
          <w:bCs/>
        </w:rPr>
        <w:t>Barry</w:t>
      </w:r>
      <w:r w:rsidR="004F70A1">
        <w:t xml:space="preserve"> </w:t>
      </w:r>
      <w:r w:rsidR="00F81323">
        <w:t>Walker</w:t>
      </w:r>
      <w:r w:rsidR="00C93636">
        <w:t xml:space="preserve"> and </w:t>
      </w:r>
      <w:r w:rsidR="00F81323">
        <w:t xml:space="preserve">Dr </w:t>
      </w:r>
      <w:r w:rsidR="004F70A1">
        <w:t xml:space="preserve">Kathryn </w:t>
      </w:r>
      <w:proofErr w:type="spellStart"/>
      <w:r w:rsidR="00F81323">
        <w:t>Dinh</w:t>
      </w:r>
      <w:proofErr w:type="spellEnd"/>
    </w:p>
    <w:p w14:paraId="609A3C02" w14:textId="70EF58AD" w:rsidR="00C10415" w:rsidRPr="00D404C1" w:rsidRDefault="6CAB61AC" w:rsidP="00D404C1">
      <w:pPr>
        <w:pStyle w:val="Heading2"/>
        <w:jc w:val="both"/>
        <w:rPr>
          <w:szCs w:val="24"/>
        </w:rPr>
      </w:pPr>
      <w:r>
        <w:t>management r</w:t>
      </w:r>
      <w:r w:rsidR="0AF5D8C3">
        <w:t xml:space="preserve">esponse </w:t>
      </w:r>
    </w:p>
    <w:p w14:paraId="7C3A2A6B" w14:textId="45557AF9" w:rsidR="00B93D68" w:rsidRDefault="62DB878D" w:rsidP="000F1D3B">
      <w:pPr>
        <w:pStyle w:val="BodyText"/>
        <w:jc w:val="both"/>
        <w:sectPr w:rsidR="00B93D68" w:rsidSect="0013615E">
          <w:headerReference w:type="default" r:id="rId11"/>
          <w:footerReference w:type="default" r:id="rId12"/>
          <w:headerReference w:type="first" r:id="rId13"/>
          <w:footerReference w:type="first" r:id="rId14"/>
          <w:pgSz w:w="11906" w:h="16838" w:code="9"/>
          <w:pgMar w:top="1985" w:right="1134" w:bottom="1701" w:left="1134" w:header="567" w:footer="567" w:gutter="0"/>
          <w:cols w:space="708"/>
          <w:titlePg/>
          <w:docGrid w:linePitch="360"/>
        </w:sectPr>
      </w:pPr>
      <w:r>
        <w:t xml:space="preserve">The </w:t>
      </w:r>
      <w:r w:rsidR="28127279">
        <w:t xml:space="preserve">TGA </w:t>
      </w:r>
      <w:r w:rsidR="655BB7D5">
        <w:t xml:space="preserve">and </w:t>
      </w:r>
      <w:r w:rsidR="5ACC4F5A">
        <w:t xml:space="preserve">DFAT </w:t>
      </w:r>
      <w:r w:rsidR="00B56E30">
        <w:t xml:space="preserve">welcome the independent </w:t>
      </w:r>
      <w:r w:rsidR="3D506C95">
        <w:t>Program Evaluation and Forward Scoping Program (PEFS)</w:t>
      </w:r>
      <w:r w:rsidR="10A626CD">
        <w:t xml:space="preserve">. </w:t>
      </w:r>
      <w:r w:rsidR="12EEDE53">
        <w:t>T</w:t>
      </w:r>
      <w:r w:rsidR="2AA63AC6">
        <w:t>he TGA and DFAT consider that the broad selection and participation of evaluation participants has resulted in robust program</w:t>
      </w:r>
      <w:r w:rsidR="00B56E30">
        <w:t>-</w:t>
      </w:r>
      <w:r w:rsidR="2AA63AC6">
        <w:t>wide evaluative findings and illustrative country</w:t>
      </w:r>
      <w:r w:rsidR="00B56E30">
        <w:t>-</w:t>
      </w:r>
      <w:r w:rsidR="2AA63AC6">
        <w:t>specific achievements and challenges.</w:t>
      </w:r>
      <w:r w:rsidR="63BF226C">
        <w:t xml:space="preserve"> The realist evaluation section of the PEFS useful</w:t>
      </w:r>
      <w:r w:rsidR="00B56E30">
        <w:t>ly</w:t>
      </w:r>
      <w:r w:rsidR="63BF226C">
        <w:t xml:space="preserve"> identif</w:t>
      </w:r>
      <w:r w:rsidR="00B56E30">
        <w:t>ies</w:t>
      </w:r>
      <w:r w:rsidR="63BF226C">
        <w:t xml:space="preserve"> and articulat</w:t>
      </w:r>
      <w:r w:rsidR="00B56E30">
        <w:t>es</w:t>
      </w:r>
      <w:r w:rsidR="63BF226C">
        <w:t xml:space="preserve"> program</w:t>
      </w:r>
      <w:r w:rsidR="00B56E30">
        <w:t>-</w:t>
      </w:r>
      <w:r w:rsidR="63BF226C">
        <w:t xml:space="preserve">wide strengths, </w:t>
      </w:r>
      <w:proofErr w:type="gramStart"/>
      <w:r w:rsidR="63BF226C">
        <w:t>detractors</w:t>
      </w:r>
      <w:proofErr w:type="gramEnd"/>
      <w:r w:rsidR="63BF226C">
        <w:t xml:space="preserve"> and opportunities for improvement. </w:t>
      </w:r>
      <w:r w:rsidR="00B56E30">
        <w:t>DFAT and the TGA find it</w:t>
      </w:r>
      <w:r w:rsidR="63BF226C">
        <w:t xml:space="preserve"> valuable to review informative evaluative findings across both programs of work in one coherent report</w:t>
      </w:r>
      <w:r w:rsidR="00B56E30">
        <w:t xml:space="preserve"> and to triangulate finding</w:t>
      </w:r>
      <w:r w:rsidR="00EE39EA">
        <w:t>s</w:t>
      </w:r>
      <w:r w:rsidR="00B56E30">
        <w:t xml:space="preserve"> from the </w:t>
      </w:r>
      <w:r w:rsidR="59F304C7">
        <w:t xml:space="preserve">external evaluation team </w:t>
      </w:r>
      <w:r w:rsidR="00B56E30">
        <w:t>with our own assessments and feedback from partners.</w:t>
      </w:r>
      <w:r w:rsidR="000F1D3B">
        <w:t xml:space="preserve"> </w:t>
      </w:r>
      <w:r w:rsidR="161B0CF8">
        <w:t>Th</w:t>
      </w:r>
      <w:r w:rsidR="65258C43">
        <w:t>e</w:t>
      </w:r>
      <w:r w:rsidR="161B0CF8">
        <w:t xml:space="preserve"> scoping report, and </w:t>
      </w:r>
      <w:r w:rsidR="3D851C0E">
        <w:t>its</w:t>
      </w:r>
      <w:r w:rsidR="161B0CF8">
        <w:t xml:space="preserve"> recommendation </w:t>
      </w:r>
      <w:r w:rsidR="2EEC9D7B">
        <w:t>for</w:t>
      </w:r>
      <w:r w:rsidR="161B0CF8">
        <w:t xml:space="preserve"> DFAT to </w:t>
      </w:r>
      <w:bookmarkStart w:id="2" w:name="_Int_bEVpqVqx"/>
      <w:proofErr w:type="gramStart"/>
      <w:r w:rsidR="161B0CF8">
        <w:t>enter into</w:t>
      </w:r>
      <w:bookmarkEnd w:id="2"/>
      <w:proofErr w:type="gramEnd"/>
      <w:r w:rsidR="161B0CF8">
        <w:t xml:space="preserve"> a</w:t>
      </w:r>
      <w:r w:rsidR="65258C43">
        <w:t xml:space="preserve">nother partnership with the TGA, </w:t>
      </w:r>
      <w:r w:rsidR="00B56E30">
        <w:t>aligns with</w:t>
      </w:r>
      <w:r w:rsidR="65258C43">
        <w:t xml:space="preserve"> DFAT’s </w:t>
      </w:r>
      <w:r w:rsidR="1F43C29E">
        <w:t xml:space="preserve">favourable view of the program. The TGA and DFAT welcome broad </w:t>
      </w:r>
      <w:r w:rsidR="4FD088B3">
        <w:t xml:space="preserve">recommendations </w:t>
      </w:r>
      <w:r w:rsidR="3DC890C0">
        <w:t>in the report, and t</w:t>
      </w:r>
      <w:r w:rsidR="543EBAA4">
        <w:t xml:space="preserve">he TGA will lead work to review technical </w:t>
      </w:r>
      <w:r w:rsidR="0B5E6D1B">
        <w:t xml:space="preserve">sections </w:t>
      </w:r>
      <w:r w:rsidR="5650994F">
        <w:t xml:space="preserve">of this report and </w:t>
      </w:r>
      <w:r w:rsidR="4AEF5A4D">
        <w:t xml:space="preserve">will </w:t>
      </w:r>
      <w:r w:rsidR="5650994F">
        <w:t>include elements</w:t>
      </w:r>
      <w:r w:rsidR="4AEF5A4D">
        <w:t xml:space="preserve"> that add value to the program and meet partner country needs. </w:t>
      </w:r>
      <w:r w:rsidR="543EBAA4">
        <w:t xml:space="preserve"> </w:t>
      </w:r>
      <w:r>
        <w:br w:type="page"/>
      </w:r>
    </w:p>
    <w:p w14:paraId="5F00AA30" w14:textId="6C8146B7" w:rsidR="00C10415" w:rsidRDefault="0031432C" w:rsidP="002A2AD5">
      <w:pPr>
        <w:pStyle w:val="Heading3"/>
        <w:spacing w:before="0"/>
      </w:pPr>
      <w:r>
        <w:lastRenderedPageBreak/>
        <w:t>Individual m</w:t>
      </w:r>
      <w:r w:rsidR="00C10415">
        <w:t xml:space="preserve">anagement response to the recommendations </w:t>
      </w:r>
    </w:p>
    <w:tbl>
      <w:tblPr>
        <w:tblStyle w:val="TableGrid"/>
        <w:tblW w:w="0" w:type="auto"/>
        <w:tblLook w:val="04A0" w:firstRow="1" w:lastRow="0" w:firstColumn="1" w:lastColumn="0" w:noHBand="0" w:noVBand="1"/>
      </w:tblPr>
      <w:tblGrid>
        <w:gridCol w:w="416"/>
        <w:gridCol w:w="4619"/>
        <w:gridCol w:w="1014"/>
        <w:gridCol w:w="4287"/>
        <w:gridCol w:w="3640"/>
        <w:gridCol w:w="1412"/>
      </w:tblGrid>
      <w:tr w:rsidR="00794046" w:rsidRPr="00794046" w14:paraId="1921E864" w14:textId="77777777" w:rsidTr="3CC25135">
        <w:trPr>
          <w:trHeight w:val="467"/>
          <w:tblHeader/>
        </w:trPr>
        <w:tc>
          <w:tcPr>
            <w:tcW w:w="0" w:type="auto"/>
            <w:shd w:val="clear" w:color="auto" w:fill="B8CCE4"/>
            <w:tcMar>
              <w:left w:w="105" w:type="dxa"/>
              <w:right w:w="105" w:type="dxa"/>
            </w:tcMar>
            <w:vAlign w:val="center"/>
          </w:tcPr>
          <w:p w14:paraId="442A5283" w14:textId="54B5AAD4" w:rsidR="19E58A0E" w:rsidRPr="00805ECA" w:rsidRDefault="19E58A0E" w:rsidP="00A96928">
            <w:pPr>
              <w:spacing w:before="0" w:after="0" w:line="276" w:lineRule="auto"/>
              <w:rPr>
                <w:rFonts w:eastAsia="Calibri" w:cstheme="minorHAnsi"/>
                <w:color w:val="495965"/>
                <w:sz w:val="20"/>
                <w:szCs w:val="20"/>
              </w:rPr>
            </w:pPr>
            <w:r w:rsidRPr="009C0532">
              <w:rPr>
                <w:rStyle w:val="Strong"/>
                <w:rFonts w:eastAsia="Calibri" w:cstheme="minorHAnsi"/>
                <w:b w:val="0"/>
                <w:bCs w:val="0"/>
                <w:color w:val="auto"/>
                <w:sz w:val="20"/>
                <w:szCs w:val="20"/>
              </w:rPr>
              <w:t>#</w:t>
            </w:r>
          </w:p>
        </w:tc>
        <w:tc>
          <w:tcPr>
            <w:tcW w:w="0" w:type="auto"/>
            <w:shd w:val="clear" w:color="auto" w:fill="B8CCE4"/>
            <w:tcMar>
              <w:left w:w="105" w:type="dxa"/>
              <w:right w:w="105" w:type="dxa"/>
            </w:tcMar>
            <w:vAlign w:val="center"/>
          </w:tcPr>
          <w:p w14:paraId="06DCB2B9" w14:textId="44D6186D" w:rsidR="19E58A0E" w:rsidRPr="009C0532" w:rsidRDefault="19E58A0E" w:rsidP="00A96928">
            <w:pPr>
              <w:spacing w:before="0" w:after="0" w:line="276" w:lineRule="auto"/>
              <w:rPr>
                <w:rFonts w:eastAsia="Calibri" w:cstheme="minorHAnsi"/>
                <w:color w:val="auto"/>
                <w:sz w:val="20"/>
                <w:szCs w:val="20"/>
              </w:rPr>
            </w:pPr>
            <w:r w:rsidRPr="009C0532">
              <w:rPr>
                <w:rStyle w:val="Strong"/>
                <w:rFonts w:eastAsia="Calibri" w:cstheme="minorHAnsi"/>
                <w:color w:val="auto"/>
                <w:sz w:val="20"/>
                <w:szCs w:val="20"/>
              </w:rPr>
              <w:t>Recommendation</w:t>
            </w:r>
          </w:p>
        </w:tc>
        <w:tc>
          <w:tcPr>
            <w:tcW w:w="0" w:type="auto"/>
            <w:shd w:val="clear" w:color="auto" w:fill="B8CCE4"/>
            <w:tcMar>
              <w:left w:w="105" w:type="dxa"/>
              <w:right w:w="105" w:type="dxa"/>
            </w:tcMar>
            <w:vAlign w:val="center"/>
          </w:tcPr>
          <w:p w14:paraId="6EAA7228" w14:textId="11292082" w:rsidR="19E58A0E" w:rsidRPr="009C0532" w:rsidRDefault="19E58A0E" w:rsidP="00A96928">
            <w:pPr>
              <w:spacing w:before="0" w:after="0" w:line="276" w:lineRule="auto"/>
              <w:rPr>
                <w:rStyle w:val="Strong"/>
                <w:rFonts w:eastAsia="Calibri" w:cstheme="minorHAnsi"/>
                <w:color w:val="auto"/>
                <w:sz w:val="20"/>
                <w:szCs w:val="20"/>
              </w:rPr>
            </w:pPr>
            <w:r w:rsidRPr="009C0532">
              <w:rPr>
                <w:rStyle w:val="Strong"/>
                <w:rFonts w:eastAsia="Calibri" w:cstheme="minorHAnsi"/>
                <w:color w:val="auto"/>
                <w:sz w:val="20"/>
                <w:szCs w:val="20"/>
              </w:rPr>
              <w:t>Response</w:t>
            </w:r>
          </w:p>
        </w:tc>
        <w:tc>
          <w:tcPr>
            <w:tcW w:w="0" w:type="auto"/>
            <w:shd w:val="clear" w:color="auto" w:fill="B8CCE4"/>
            <w:tcMar>
              <w:left w:w="105" w:type="dxa"/>
              <w:right w:w="105" w:type="dxa"/>
            </w:tcMar>
            <w:vAlign w:val="center"/>
          </w:tcPr>
          <w:p w14:paraId="3FB8C0BD" w14:textId="2090BC59" w:rsidR="19E58A0E" w:rsidRPr="009C0532" w:rsidRDefault="19E58A0E" w:rsidP="00A96928">
            <w:pPr>
              <w:spacing w:before="0" w:after="0" w:line="276" w:lineRule="auto"/>
              <w:rPr>
                <w:rStyle w:val="Strong"/>
                <w:rFonts w:eastAsia="Calibri" w:cstheme="minorHAnsi"/>
                <w:color w:val="auto"/>
                <w:sz w:val="20"/>
                <w:szCs w:val="20"/>
              </w:rPr>
            </w:pPr>
            <w:r w:rsidRPr="009C0532">
              <w:rPr>
                <w:rStyle w:val="Strong"/>
                <w:rFonts w:eastAsia="Calibri" w:cstheme="minorHAnsi"/>
                <w:color w:val="auto"/>
                <w:sz w:val="20"/>
                <w:szCs w:val="20"/>
              </w:rPr>
              <w:t>Explanation</w:t>
            </w:r>
          </w:p>
        </w:tc>
        <w:tc>
          <w:tcPr>
            <w:tcW w:w="0" w:type="auto"/>
            <w:shd w:val="clear" w:color="auto" w:fill="B8CCE4"/>
            <w:tcMar>
              <w:left w:w="105" w:type="dxa"/>
              <w:right w:w="105" w:type="dxa"/>
            </w:tcMar>
            <w:vAlign w:val="center"/>
          </w:tcPr>
          <w:p w14:paraId="47A3AC6E" w14:textId="71D0DB96" w:rsidR="19E58A0E" w:rsidRPr="009C0532" w:rsidRDefault="19E58A0E" w:rsidP="00A96928">
            <w:pPr>
              <w:spacing w:before="0" w:after="0" w:line="276" w:lineRule="auto"/>
              <w:rPr>
                <w:rStyle w:val="Strong"/>
                <w:rFonts w:eastAsia="Calibri" w:cstheme="minorHAnsi"/>
                <w:color w:val="auto"/>
                <w:sz w:val="20"/>
                <w:szCs w:val="20"/>
              </w:rPr>
            </w:pPr>
            <w:r w:rsidRPr="009C0532">
              <w:rPr>
                <w:rStyle w:val="Strong"/>
                <w:rFonts w:eastAsia="Calibri" w:cstheme="minorHAnsi"/>
                <w:color w:val="auto"/>
                <w:sz w:val="20"/>
                <w:szCs w:val="20"/>
              </w:rPr>
              <w:t>Action plan</w:t>
            </w:r>
          </w:p>
        </w:tc>
        <w:tc>
          <w:tcPr>
            <w:tcW w:w="0" w:type="auto"/>
            <w:shd w:val="clear" w:color="auto" w:fill="B8CCE4"/>
            <w:tcMar>
              <w:left w:w="105" w:type="dxa"/>
              <w:right w:w="105" w:type="dxa"/>
            </w:tcMar>
            <w:vAlign w:val="center"/>
          </w:tcPr>
          <w:p w14:paraId="3AFD17CE" w14:textId="61C81520" w:rsidR="19E58A0E" w:rsidRPr="009C0532" w:rsidRDefault="19E58A0E" w:rsidP="3CC25135">
            <w:pPr>
              <w:spacing w:before="0" w:after="0" w:line="276" w:lineRule="auto"/>
              <w:rPr>
                <w:rStyle w:val="Strong"/>
                <w:rFonts w:eastAsia="Calibri"/>
                <w:color w:val="auto"/>
                <w:sz w:val="20"/>
                <w:szCs w:val="20"/>
              </w:rPr>
            </w:pPr>
            <w:bookmarkStart w:id="3" w:name="_Int_P6cdn3JB"/>
            <w:r w:rsidRPr="009C0532">
              <w:rPr>
                <w:rStyle w:val="Strong"/>
                <w:rFonts w:eastAsia="Calibri"/>
                <w:color w:val="auto"/>
                <w:sz w:val="20"/>
                <w:szCs w:val="20"/>
              </w:rPr>
              <w:t>Timeframe</w:t>
            </w:r>
            <w:bookmarkEnd w:id="3"/>
          </w:p>
        </w:tc>
      </w:tr>
      <w:tr w:rsidR="00794046" w:rsidRPr="00794046" w14:paraId="628F1807" w14:textId="77777777" w:rsidTr="3CC25135">
        <w:trPr>
          <w:trHeight w:val="300"/>
        </w:trPr>
        <w:tc>
          <w:tcPr>
            <w:tcW w:w="0" w:type="auto"/>
            <w:tcMar>
              <w:left w:w="105" w:type="dxa"/>
              <w:right w:w="105" w:type="dxa"/>
            </w:tcMar>
          </w:tcPr>
          <w:p w14:paraId="0D9EA4AB" w14:textId="5B433807" w:rsidR="19E58A0E" w:rsidRPr="00BE120B" w:rsidRDefault="19E58A0E" w:rsidP="00A96928">
            <w:pPr>
              <w:spacing w:before="0" w:after="0" w:line="276" w:lineRule="auto"/>
              <w:rPr>
                <w:rFonts w:eastAsia="Calibri" w:cstheme="minorHAnsi"/>
                <w:color w:val="495965"/>
                <w:sz w:val="20"/>
                <w:szCs w:val="20"/>
              </w:rPr>
            </w:pPr>
            <w:r w:rsidRPr="00BE120B">
              <w:rPr>
                <w:rStyle w:val="Strong"/>
                <w:rFonts w:eastAsia="Calibri" w:cstheme="minorHAnsi"/>
                <w:b w:val="0"/>
                <w:bCs w:val="0"/>
                <w:color w:val="495965"/>
                <w:sz w:val="20"/>
                <w:szCs w:val="20"/>
              </w:rPr>
              <w:t>1</w:t>
            </w:r>
          </w:p>
        </w:tc>
        <w:tc>
          <w:tcPr>
            <w:tcW w:w="0" w:type="auto"/>
            <w:tcMar>
              <w:left w:w="105" w:type="dxa"/>
              <w:right w:w="105" w:type="dxa"/>
            </w:tcMar>
          </w:tcPr>
          <w:p w14:paraId="48C30310" w14:textId="2DAF73DE" w:rsidR="19E58A0E" w:rsidRPr="00BE120B" w:rsidRDefault="19E58A0E" w:rsidP="3CC25135">
            <w:pPr>
              <w:spacing w:before="0" w:after="0" w:line="276" w:lineRule="auto"/>
              <w:rPr>
                <w:rFonts w:eastAsia="Calibri"/>
                <w:color w:val="495965"/>
                <w:sz w:val="20"/>
                <w:szCs w:val="20"/>
              </w:rPr>
            </w:pPr>
            <w:r w:rsidRPr="3CC25135">
              <w:rPr>
                <w:rStyle w:val="Strong"/>
                <w:rFonts w:eastAsia="Calibri"/>
                <w:sz w:val="20"/>
                <w:szCs w:val="20"/>
              </w:rPr>
              <w:t>Strategy:</w:t>
            </w:r>
            <w:r w:rsidRPr="3CC25135">
              <w:rPr>
                <w:rStyle w:val="Strong"/>
                <w:rFonts w:eastAsia="Calibri"/>
                <w:b w:val="0"/>
                <w:bCs w:val="0"/>
                <w:sz w:val="20"/>
                <w:szCs w:val="20"/>
              </w:rPr>
              <w:t xml:space="preserve"> TGA and </w:t>
            </w:r>
            <w:bookmarkStart w:id="4" w:name="_Int_imgiD8xr"/>
            <w:r w:rsidRPr="3CC25135">
              <w:rPr>
                <w:rStyle w:val="Strong"/>
                <w:rFonts w:eastAsia="Calibri"/>
                <w:b w:val="0"/>
                <w:bCs w:val="0"/>
                <w:sz w:val="20"/>
                <w:szCs w:val="20"/>
              </w:rPr>
              <w:t>DFAT</w:t>
            </w:r>
            <w:bookmarkEnd w:id="4"/>
            <w:r w:rsidRPr="3CC25135">
              <w:rPr>
                <w:rStyle w:val="Strong"/>
                <w:rFonts w:eastAsia="Calibri"/>
                <w:b w:val="0"/>
                <w:bCs w:val="0"/>
                <w:sz w:val="20"/>
                <w:szCs w:val="20"/>
              </w:rPr>
              <w:t xml:space="preserve"> to develop a five-year strategy for a new TGA-DFAT partnership funded by DFAT, incorporating elements that will continue from both RSP and AETAP-RSSM. The strategy could include:</w:t>
            </w:r>
          </w:p>
          <w:p w14:paraId="4BC2F6AE" w14:textId="4827338B" w:rsidR="19E58A0E" w:rsidRPr="00BE120B" w:rsidRDefault="19E58A0E" w:rsidP="3CC25135">
            <w:pPr>
              <w:pStyle w:val="ListParagraph"/>
              <w:numPr>
                <w:ilvl w:val="0"/>
                <w:numId w:val="4"/>
              </w:numPr>
              <w:spacing w:before="0" w:after="0" w:line="276" w:lineRule="auto"/>
              <w:rPr>
                <w:rFonts w:eastAsia="Calibri"/>
                <w:color w:val="495965"/>
                <w:sz w:val="20"/>
                <w:szCs w:val="20"/>
              </w:rPr>
            </w:pPr>
            <w:r w:rsidRPr="3CC25135">
              <w:rPr>
                <w:rStyle w:val="Strong"/>
                <w:rFonts w:eastAsia="Calibri"/>
                <w:b w:val="0"/>
                <w:bCs w:val="0"/>
                <w:sz w:val="20"/>
                <w:szCs w:val="20"/>
              </w:rPr>
              <w:t xml:space="preserve">Clear vision, </w:t>
            </w:r>
            <w:proofErr w:type="gramStart"/>
            <w:r w:rsidRPr="3CC25135">
              <w:rPr>
                <w:rStyle w:val="Strong"/>
                <w:rFonts w:eastAsia="Calibri"/>
                <w:b w:val="0"/>
                <w:bCs w:val="0"/>
                <w:sz w:val="20"/>
                <w:szCs w:val="20"/>
              </w:rPr>
              <w:t>goal</w:t>
            </w:r>
            <w:proofErr w:type="gramEnd"/>
            <w:r w:rsidRPr="3CC25135">
              <w:rPr>
                <w:rStyle w:val="Strong"/>
                <w:rFonts w:eastAsia="Calibri"/>
                <w:b w:val="0"/>
                <w:bCs w:val="0"/>
                <w:sz w:val="20"/>
                <w:szCs w:val="20"/>
              </w:rPr>
              <w:t xml:space="preserve"> and anticipated end of program outcomes in regulatory strengthening that align with the goal and objectives of DFAT’s next phase of health security programming and </w:t>
            </w:r>
            <w:bookmarkStart w:id="5" w:name="_Int_DUgt8hNK"/>
            <w:r w:rsidRPr="3CC25135">
              <w:rPr>
                <w:rStyle w:val="Strong"/>
                <w:rFonts w:eastAsia="Calibri"/>
                <w:b w:val="0"/>
                <w:bCs w:val="0"/>
                <w:sz w:val="20"/>
                <w:szCs w:val="20"/>
              </w:rPr>
              <w:t>takes into account</w:t>
            </w:r>
            <w:bookmarkEnd w:id="5"/>
            <w:r w:rsidRPr="3CC25135">
              <w:rPr>
                <w:rStyle w:val="Strong"/>
                <w:rFonts w:eastAsia="Calibri"/>
                <w:b w:val="0"/>
                <w:bCs w:val="0"/>
                <w:sz w:val="20"/>
                <w:szCs w:val="20"/>
              </w:rPr>
              <w:t xml:space="preserve"> pandemic preparedness</w:t>
            </w:r>
          </w:p>
          <w:p w14:paraId="74F5D359" w14:textId="197A49A9" w:rsidR="19E58A0E" w:rsidRPr="00BE120B" w:rsidRDefault="19E58A0E" w:rsidP="00A96928">
            <w:pPr>
              <w:pStyle w:val="ListParagraph"/>
              <w:numPr>
                <w:ilvl w:val="0"/>
                <w:numId w:val="4"/>
              </w:numPr>
              <w:spacing w:before="0" w:after="0" w:line="276" w:lineRule="auto"/>
              <w:rPr>
                <w:rFonts w:eastAsia="Calibri" w:cstheme="minorHAnsi"/>
                <w:color w:val="495965"/>
                <w:sz w:val="20"/>
                <w:szCs w:val="20"/>
              </w:rPr>
            </w:pPr>
            <w:r w:rsidRPr="00BE120B">
              <w:rPr>
                <w:rStyle w:val="Strong"/>
                <w:rFonts w:eastAsia="Calibri" w:cstheme="minorHAnsi"/>
                <w:b w:val="0"/>
                <w:bCs w:val="0"/>
                <w:color w:val="495965"/>
                <w:sz w:val="20"/>
                <w:szCs w:val="20"/>
              </w:rPr>
              <w:t>10-year stretch objectives</w:t>
            </w:r>
          </w:p>
          <w:p w14:paraId="5CA6EB01" w14:textId="59F4E909" w:rsidR="19E58A0E" w:rsidRPr="00BE120B" w:rsidRDefault="19E58A0E" w:rsidP="00A96928">
            <w:pPr>
              <w:pStyle w:val="ListParagraph"/>
              <w:numPr>
                <w:ilvl w:val="0"/>
                <w:numId w:val="4"/>
              </w:numPr>
              <w:spacing w:before="0" w:after="0" w:line="276" w:lineRule="auto"/>
              <w:rPr>
                <w:rFonts w:eastAsia="Calibri" w:cstheme="minorHAnsi"/>
                <w:color w:val="495965"/>
                <w:sz w:val="20"/>
                <w:szCs w:val="20"/>
              </w:rPr>
            </w:pPr>
            <w:r w:rsidRPr="00BE120B">
              <w:rPr>
                <w:rStyle w:val="Strong"/>
                <w:rFonts w:eastAsia="Calibri" w:cstheme="minorHAnsi"/>
                <w:b w:val="0"/>
                <w:bCs w:val="0"/>
                <w:color w:val="495965"/>
                <w:sz w:val="20"/>
                <w:szCs w:val="20"/>
              </w:rPr>
              <w:t xml:space="preserve">Sections for strategic planning with </w:t>
            </w:r>
            <w:r w:rsidR="0014077E" w:rsidRPr="0014077E">
              <w:rPr>
                <w:rStyle w:val="Strong"/>
                <w:rFonts w:eastAsia="Calibri" w:cstheme="minorHAnsi"/>
                <w:b w:val="0"/>
                <w:bCs w:val="0"/>
                <w:color w:val="495965"/>
                <w:sz w:val="20"/>
                <w:szCs w:val="20"/>
              </w:rPr>
              <w:t>Duke-NUS Centre of Regulatory Excellence (</w:t>
            </w:r>
            <w:proofErr w:type="spellStart"/>
            <w:r w:rsidR="0014077E" w:rsidRPr="0014077E">
              <w:rPr>
                <w:rStyle w:val="Strong"/>
                <w:rFonts w:eastAsia="Calibri" w:cstheme="minorHAnsi"/>
                <w:b w:val="0"/>
                <w:bCs w:val="0"/>
                <w:color w:val="495965"/>
                <w:sz w:val="20"/>
                <w:szCs w:val="20"/>
              </w:rPr>
              <w:t>CoRE</w:t>
            </w:r>
            <w:proofErr w:type="spellEnd"/>
            <w:r w:rsidR="0014077E" w:rsidRPr="0014077E">
              <w:rPr>
                <w:rStyle w:val="Strong"/>
                <w:rFonts w:eastAsia="Calibri" w:cstheme="minorHAnsi"/>
                <w:b w:val="0"/>
                <w:bCs w:val="0"/>
                <w:color w:val="495965"/>
                <w:sz w:val="20"/>
                <w:szCs w:val="20"/>
              </w:rPr>
              <w:t>)</w:t>
            </w:r>
            <w:r w:rsidRPr="00BE120B">
              <w:rPr>
                <w:rStyle w:val="Strong"/>
                <w:rFonts w:eastAsia="Calibri" w:cstheme="minorHAnsi"/>
                <w:b w:val="0"/>
                <w:bCs w:val="0"/>
                <w:color w:val="495965"/>
                <w:sz w:val="20"/>
                <w:szCs w:val="20"/>
              </w:rPr>
              <w:t xml:space="preserve">, </w:t>
            </w:r>
            <w:r w:rsidR="0014077E" w:rsidRPr="0014077E">
              <w:rPr>
                <w:rStyle w:val="Strong"/>
                <w:rFonts w:eastAsia="Calibri" w:cstheme="minorHAnsi"/>
                <w:b w:val="0"/>
                <w:bCs w:val="0"/>
                <w:color w:val="495965"/>
                <w:sz w:val="20"/>
                <w:szCs w:val="20"/>
              </w:rPr>
              <w:t>United States Pharmacopeia (USP)</w:t>
            </w:r>
            <w:r w:rsidRPr="00BE120B">
              <w:rPr>
                <w:rStyle w:val="Strong"/>
                <w:rFonts w:eastAsia="Calibri" w:cstheme="minorHAnsi"/>
                <w:b w:val="0"/>
                <w:bCs w:val="0"/>
                <w:color w:val="495965"/>
                <w:sz w:val="20"/>
                <w:szCs w:val="20"/>
              </w:rPr>
              <w:t xml:space="preserve">, </w:t>
            </w:r>
            <w:proofErr w:type="spellStart"/>
            <w:r w:rsidRPr="00BE120B">
              <w:rPr>
                <w:rStyle w:val="Strong"/>
                <w:rFonts w:eastAsia="Calibri" w:cstheme="minorHAnsi"/>
                <w:b w:val="0"/>
                <w:bCs w:val="0"/>
                <w:color w:val="495965"/>
                <w:sz w:val="20"/>
                <w:szCs w:val="20"/>
              </w:rPr>
              <w:t>mSupply</w:t>
            </w:r>
            <w:proofErr w:type="spellEnd"/>
            <w:r w:rsidRPr="00BE120B">
              <w:rPr>
                <w:rStyle w:val="Strong"/>
                <w:rFonts w:eastAsia="Calibri" w:cstheme="minorHAnsi"/>
                <w:b w:val="0"/>
                <w:bCs w:val="0"/>
                <w:color w:val="495965"/>
                <w:sz w:val="20"/>
                <w:szCs w:val="20"/>
              </w:rPr>
              <w:t xml:space="preserve"> and </w:t>
            </w:r>
            <w:r w:rsidR="003D57E4" w:rsidRPr="003D57E4">
              <w:rPr>
                <w:rStyle w:val="Strong"/>
                <w:rFonts w:eastAsia="Calibri" w:cstheme="minorHAnsi"/>
                <w:b w:val="0"/>
                <w:bCs w:val="0"/>
                <w:color w:val="495965"/>
                <w:sz w:val="20"/>
                <w:szCs w:val="20"/>
              </w:rPr>
              <w:t>National Centre for Immunisation Research &amp; Surveillance (NCIRS)</w:t>
            </w:r>
          </w:p>
          <w:p w14:paraId="18BE07E4" w14:textId="4AFEB8E3" w:rsidR="19E58A0E" w:rsidRPr="00BE120B" w:rsidRDefault="19E58A0E" w:rsidP="00A96928">
            <w:pPr>
              <w:spacing w:before="0" w:after="0" w:line="276" w:lineRule="auto"/>
              <w:rPr>
                <w:rFonts w:eastAsia="Calibri" w:cstheme="minorHAnsi"/>
                <w:color w:val="495965"/>
                <w:sz w:val="20"/>
                <w:szCs w:val="20"/>
              </w:rPr>
            </w:pPr>
            <w:r w:rsidRPr="00BE120B">
              <w:rPr>
                <w:rStyle w:val="Strong"/>
                <w:rFonts w:eastAsia="Calibri" w:cstheme="minorHAnsi"/>
                <w:b w:val="0"/>
                <w:bCs w:val="0"/>
                <w:color w:val="495965"/>
                <w:sz w:val="20"/>
                <w:szCs w:val="20"/>
              </w:rPr>
              <w:t>The strategy could also incorporate recommendations 2a to 5 below.</w:t>
            </w:r>
          </w:p>
        </w:tc>
        <w:tc>
          <w:tcPr>
            <w:tcW w:w="0" w:type="auto"/>
            <w:shd w:val="clear" w:color="auto" w:fill="CDE2B9" w:themeFill="accent3" w:themeFillTint="99"/>
            <w:tcMar>
              <w:left w:w="105" w:type="dxa"/>
              <w:right w:w="105" w:type="dxa"/>
            </w:tcMar>
          </w:tcPr>
          <w:p w14:paraId="69CEDD08" w14:textId="2F812B41" w:rsidR="19E58A0E" w:rsidRPr="00BE120B" w:rsidRDefault="00114ED4" w:rsidP="00A96928">
            <w:pPr>
              <w:spacing w:before="0" w:after="0" w:line="276" w:lineRule="auto"/>
              <w:rPr>
                <w:rStyle w:val="Strong"/>
                <w:rFonts w:eastAsia="Calibri" w:cstheme="minorHAnsi"/>
                <w:b w:val="0"/>
                <w:bCs w:val="0"/>
                <w:color w:val="495965"/>
                <w:sz w:val="20"/>
                <w:szCs w:val="20"/>
              </w:rPr>
            </w:pPr>
            <w:r w:rsidRPr="00BE120B">
              <w:rPr>
                <w:rStyle w:val="Strong"/>
                <w:rFonts w:eastAsia="Calibri" w:cstheme="minorHAnsi"/>
                <w:b w:val="0"/>
                <w:bCs w:val="0"/>
                <w:color w:val="495965"/>
                <w:sz w:val="20"/>
                <w:szCs w:val="20"/>
              </w:rPr>
              <w:t>Agree</w:t>
            </w:r>
          </w:p>
        </w:tc>
        <w:tc>
          <w:tcPr>
            <w:tcW w:w="0" w:type="auto"/>
            <w:tcMar>
              <w:left w:w="105" w:type="dxa"/>
              <w:right w:w="105" w:type="dxa"/>
            </w:tcMar>
          </w:tcPr>
          <w:p w14:paraId="0800F8E6" w14:textId="59D78077" w:rsidR="008A324D" w:rsidRDefault="008A324D" w:rsidP="00A96928">
            <w:pPr>
              <w:spacing w:before="0" w:after="0" w:line="276" w:lineRule="auto"/>
              <w:rPr>
                <w:rStyle w:val="Strong"/>
                <w:rFonts w:eastAsia="Calibri" w:cstheme="minorHAnsi"/>
                <w:b w:val="0"/>
                <w:bCs w:val="0"/>
                <w:color w:val="495965"/>
                <w:sz w:val="20"/>
                <w:szCs w:val="20"/>
              </w:rPr>
            </w:pPr>
            <w:r>
              <w:rPr>
                <w:rStyle w:val="Strong"/>
                <w:rFonts w:eastAsia="Calibri" w:cstheme="minorHAnsi"/>
                <w:b w:val="0"/>
                <w:bCs w:val="0"/>
                <w:color w:val="495965"/>
                <w:sz w:val="20"/>
                <w:szCs w:val="20"/>
              </w:rPr>
              <w:t>T</w:t>
            </w:r>
            <w:r w:rsidRPr="005E435C">
              <w:rPr>
                <w:rStyle w:val="Strong"/>
                <w:rFonts w:eastAsia="Calibri" w:cstheme="minorHAnsi"/>
                <w:b w:val="0"/>
                <w:bCs w:val="0"/>
                <w:color w:val="495965"/>
                <w:sz w:val="20"/>
                <w:szCs w:val="20"/>
              </w:rPr>
              <w:t xml:space="preserve">GA and DFAT </w:t>
            </w:r>
            <w:r w:rsidR="005E435C" w:rsidRPr="005E435C">
              <w:rPr>
                <w:rStyle w:val="Strong"/>
                <w:rFonts w:eastAsia="Calibri" w:cstheme="minorHAnsi"/>
                <w:b w:val="0"/>
                <w:bCs w:val="0"/>
                <w:color w:val="495965"/>
                <w:sz w:val="20"/>
                <w:szCs w:val="20"/>
              </w:rPr>
              <w:t xml:space="preserve">agree that </w:t>
            </w:r>
            <w:r w:rsidR="00E250D2">
              <w:rPr>
                <w:rStyle w:val="Strong"/>
                <w:rFonts w:eastAsia="Calibri" w:cstheme="minorHAnsi"/>
                <w:b w:val="0"/>
                <w:bCs w:val="0"/>
                <w:color w:val="495965"/>
                <w:sz w:val="20"/>
                <w:szCs w:val="20"/>
              </w:rPr>
              <w:t xml:space="preserve">a five-year strategy, that combines the RSP and AETAP-RSSM </w:t>
            </w:r>
            <w:r w:rsidR="005E435C" w:rsidRPr="005E435C">
              <w:rPr>
                <w:rStyle w:val="Strong"/>
                <w:rFonts w:eastAsia="Calibri" w:cstheme="minorHAnsi"/>
                <w:b w:val="0"/>
                <w:bCs w:val="0"/>
                <w:color w:val="495965"/>
                <w:sz w:val="20"/>
                <w:szCs w:val="20"/>
              </w:rPr>
              <w:t>program</w:t>
            </w:r>
            <w:r w:rsidR="00E250D2">
              <w:rPr>
                <w:rStyle w:val="Strong"/>
                <w:rFonts w:eastAsia="Calibri" w:cstheme="minorHAnsi"/>
                <w:b w:val="0"/>
                <w:bCs w:val="0"/>
                <w:color w:val="495965"/>
                <w:sz w:val="20"/>
                <w:szCs w:val="20"/>
              </w:rPr>
              <w:t xml:space="preserve">s </w:t>
            </w:r>
            <w:r w:rsidR="00881C80">
              <w:rPr>
                <w:rStyle w:val="Strong"/>
                <w:rFonts w:eastAsia="Calibri" w:cstheme="minorHAnsi"/>
                <w:b w:val="0"/>
                <w:bCs w:val="0"/>
                <w:color w:val="495965"/>
                <w:sz w:val="20"/>
                <w:szCs w:val="20"/>
              </w:rPr>
              <w:t xml:space="preserve">is desirable. </w:t>
            </w:r>
          </w:p>
          <w:p w14:paraId="2A4C6FE6" w14:textId="77777777" w:rsidR="00881C80" w:rsidRDefault="00881C80" w:rsidP="00A96928">
            <w:pPr>
              <w:spacing w:before="0" w:after="0" w:line="276" w:lineRule="auto"/>
              <w:rPr>
                <w:rStyle w:val="Strong"/>
                <w:rFonts w:eastAsia="Calibri" w:cstheme="minorHAnsi"/>
                <w:b w:val="0"/>
                <w:bCs w:val="0"/>
                <w:color w:val="495965"/>
                <w:sz w:val="20"/>
                <w:szCs w:val="20"/>
              </w:rPr>
            </w:pPr>
          </w:p>
          <w:p w14:paraId="17E12B41" w14:textId="46D59DE2" w:rsidR="19E58A0E" w:rsidRPr="00BE120B" w:rsidRDefault="0081002F" w:rsidP="00A96928">
            <w:pPr>
              <w:spacing w:before="0" w:after="0" w:line="276" w:lineRule="auto"/>
              <w:rPr>
                <w:rStyle w:val="Strong"/>
                <w:rFonts w:eastAsia="Calibri" w:cstheme="minorHAnsi"/>
                <w:b w:val="0"/>
                <w:bCs w:val="0"/>
                <w:color w:val="495965"/>
                <w:sz w:val="20"/>
                <w:szCs w:val="20"/>
              </w:rPr>
            </w:pPr>
            <w:r w:rsidRPr="00BE120B">
              <w:rPr>
                <w:rStyle w:val="Strong"/>
                <w:rFonts w:eastAsia="Calibri" w:cstheme="minorHAnsi"/>
                <w:b w:val="0"/>
                <w:bCs w:val="0"/>
                <w:color w:val="495965"/>
                <w:sz w:val="20"/>
                <w:szCs w:val="20"/>
              </w:rPr>
              <w:t xml:space="preserve">DFAT </w:t>
            </w:r>
            <w:r w:rsidR="00881C80">
              <w:rPr>
                <w:rStyle w:val="Strong"/>
                <w:rFonts w:eastAsia="Calibri" w:cstheme="minorHAnsi"/>
                <w:b w:val="0"/>
                <w:bCs w:val="0"/>
                <w:color w:val="495965"/>
                <w:sz w:val="20"/>
                <w:szCs w:val="20"/>
              </w:rPr>
              <w:t xml:space="preserve">will continue </w:t>
            </w:r>
            <w:r w:rsidRPr="00BE120B">
              <w:rPr>
                <w:rStyle w:val="Strong"/>
                <w:b w:val="0"/>
                <w:bCs w:val="0"/>
                <w:color w:val="495965"/>
                <w:sz w:val="20"/>
                <w:szCs w:val="20"/>
              </w:rPr>
              <w:t>to manage delivery of outcomes for partner organisations</w:t>
            </w:r>
            <w:r w:rsidR="00A5587F" w:rsidRPr="00BE120B">
              <w:rPr>
                <w:rStyle w:val="Strong"/>
                <w:b w:val="0"/>
                <w:bCs w:val="0"/>
                <w:color w:val="495965"/>
                <w:sz w:val="20"/>
                <w:szCs w:val="20"/>
              </w:rPr>
              <w:t xml:space="preserve">, which will complement </w:t>
            </w:r>
            <w:r w:rsidR="00A567F1" w:rsidRPr="00BE120B">
              <w:rPr>
                <w:rStyle w:val="Strong"/>
                <w:b w:val="0"/>
                <w:bCs w:val="0"/>
                <w:color w:val="495965"/>
                <w:sz w:val="20"/>
                <w:szCs w:val="20"/>
              </w:rPr>
              <w:t xml:space="preserve">the regulatory strengthening activities of the TGA.  </w:t>
            </w:r>
          </w:p>
          <w:p w14:paraId="3E437E17" w14:textId="3CE2E846" w:rsidR="008D7E34" w:rsidRPr="00BE120B" w:rsidRDefault="008D7E34" w:rsidP="00A96928">
            <w:pPr>
              <w:spacing w:before="0" w:after="0" w:line="276" w:lineRule="auto"/>
              <w:rPr>
                <w:rStyle w:val="Strong"/>
                <w:rFonts w:eastAsia="Calibri" w:cstheme="minorHAnsi"/>
                <w:color w:val="495965"/>
                <w:sz w:val="20"/>
                <w:szCs w:val="20"/>
              </w:rPr>
            </w:pPr>
          </w:p>
        </w:tc>
        <w:tc>
          <w:tcPr>
            <w:tcW w:w="0" w:type="auto"/>
            <w:tcMar>
              <w:left w:w="105" w:type="dxa"/>
              <w:right w:w="105" w:type="dxa"/>
            </w:tcMar>
          </w:tcPr>
          <w:p w14:paraId="7F5C5877" w14:textId="245F192A" w:rsidR="00737F34" w:rsidRDefault="00737F34" w:rsidP="00737F34">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 xml:space="preserve">Recommendation </w:t>
            </w:r>
            <w:r w:rsidR="0045400C">
              <w:rPr>
                <w:rStyle w:val="Strong"/>
                <w:rFonts w:eastAsia="Calibri" w:cstheme="minorHAnsi"/>
                <w:color w:val="495965"/>
                <w:sz w:val="20"/>
                <w:szCs w:val="20"/>
              </w:rPr>
              <w:t>1</w:t>
            </w:r>
            <w:r>
              <w:rPr>
                <w:rStyle w:val="Strong"/>
                <w:rFonts w:eastAsia="Calibri" w:cstheme="minorHAnsi"/>
                <w:color w:val="495965"/>
                <w:sz w:val="20"/>
                <w:szCs w:val="20"/>
              </w:rPr>
              <w:t xml:space="preserve"> will be addressed as part of the strategic design process. </w:t>
            </w:r>
          </w:p>
          <w:p w14:paraId="0D3AD87A" w14:textId="2CBA3A53" w:rsidR="19E58A0E" w:rsidRPr="00BE120B" w:rsidRDefault="19E58A0E" w:rsidP="00A96928">
            <w:pPr>
              <w:spacing w:before="0" w:after="0" w:line="276" w:lineRule="auto"/>
              <w:rPr>
                <w:rStyle w:val="Strong"/>
                <w:rFonts w:eastAsia="Calibri" w:cstheme="minorHAnsi"/>
                <w:color w:val="495965"/>
                <w:sz w:val="20"/>
                <w:szCs w:val="20"/>
              </w:rPr>
            </w:pPr>
          </w:p>
        </w:tc>
        <w:tc>
          <w:tcPr>
            <w:tcW w:w="0" w:type="auto"/>
            <w:tcMar>
              <w:left w:w="105" w:type="dxa"/>
              <w:right w:w="105" w:type="dxa"/>
            </w:tcMar>
          </w:tcPr>
          <w:p w14:paraId="750ED017" w14:textId="12C3C209" w:rsidR="19E58A0E" w:rsidRPr="00BE120B" w:rsidRDefault="00F776C1" w:rsidP="00A96928">
            <w:pPr>
              <w:spacing w:before="0" w:after="0" w:line="276" w:lineRule="auto"/>
              <w:rPr>
                <w:rStyle w:val="Strong"/>
                <w:rFonts w:eastAsia="Calibri" w:cstheme="minorHAnsi"/>
                <w:color w:val="495965"/>
                <w:sz w:val="20"/>
                <w:szCs w:val="20"/>
              </w:rPr>
            </w:pPr>
            <w:r w:rsidRPr="00BE120B">
              <w:rPr>
                <w:rStyle w:val="Strong"/>
                <w:rFonts w:eastAsia="Calibri" w:cstheme="minorHAnsi"/>
                <w:color w:val="495965"/>
                <w:sz w:val="20"/>
                <w:szCs w:val="20"/>
              </w:rPr>
              <w:t>30 Jun 2023</w:t>
            </w:r>
          </w:p>
        </w:tc>
      </w:tr>
      <w:tr w:rsidR="00794046" w:rsidRPr="00794046" w14:paraId="3B9F43BC" w14:textId="77777777" w:rsidTr="3CC25135">
        <w:trPr>
          <w:trHeight w:val="300"/>
        </w:trPr>
        <w:tc>
          <w:tcPr>
            <w:tcW w:w="0" w:type="auto"/>
            <w:tcMar>
              <w:left w:w="105" w:type="dxa"/>
              <w:right w:w="105" w:type="dxa"/>
            </w:tcMar>
          </w:tcPr>
          <w:p w14:paraId="55AD326C" w14:textId="2DCF289B" w:rsidR="19E58A0E" w:rsidRPr="00DB5601" w:rsidRDefault="19E58A0E" w:rsidP="00A96928">
            <w:pPr>
              <w:spacing w:before="0" w:after="0" w:line="276" w:lineRule="auto"/>
              <w:rPr>
                <w:rFonts w:eastAsia="Calibri" w:cstheme="minorHAnsi"/>
                <w:color w:val="495965"/>
                <w:sz w:val="20"/>
                <w:szCs w:val="20"/>
              </w:rPr>
            </w:pPr>
            <w:r w:rsidRPr="00DB5601">
              <w:rPr>
                <w:rStyle w:val="Strong"/>
                <w:rFonts w:eastAsia="Calibri" w:cstheme="minorHAnsi"/>
                <w:b w:val="0"/>
                <w:bCs w:val="0"/>
                <w:color w:val="495965"/>
                <w:sz w:val="20"/>
                <w:szCs w:val="20"/>
              </w:rPr>
              <w:t>2a</w:t>
            </w:r>
          </w:p>
        </w:tc>
        <w:tc>
          <w:tcPr>
            <w:tcW w:w="0" w:type="auto"/>
            <w:tcMar>
              <w:left w:w="105" w:type="dxa"/>
              <w:right w:w="105" w:type="dxa"/>
            </w:tcMar>
          </w:tcPr>
          <w:p w14:paraId="0285F775" w14:textId="7A5BF815" w:rsidR="19E58A0E" w:rsidRPr="00DB5601" w:rsidRDefault="19E58A0E" w:rsidP="00A96928">
            <w:pPr>
              <w:spacing w:before="0" w:after="0" w:line="276" w:lineRule="auto"/>
              <w:rPr>
                <w:rFonts w:eastAsia="Calibri" w:cstheme="minorHAnsi"/>
                <w:color w:val="495965"/>
                <w:sz w:val="20"/>
                <w:szCs w:val="20"/>
              </w:rPr>
            </w:pPr>
            <w:r w:rsidRPr="00DB5601">
              <w:rPr>
                <w:rStyle w:val="Strong"/>
                <w:rFonts w:eastAsia="Calibri" w:cstheme="minorHAnsi"/>
                <w:color w:val="495965"/>
                <w:sz w:val="20"/>
                <w:szCs w:val="20"/>
              </w:rPr>
              <w:t>Scope of work</w:t>
            </w:r>
          </w:p>
          <w:p w14:paraId="299930BC" w14:textId="18DE244B" w:rsidR="19E58A0E" w:rsidRPr="00DB5601" w:rsidRDefault="19E58A0E" w:rsidP="00A96928">
            <w:pPr>
              <w:spacing w:before="0" w:after="0" w:line="276" w:lineRule="auto"/>
              <w:rPr>
                <w:rFonts w:eastAsia="Calibri" w:cstheme="minorHAnsi"/>
                <w:color w:val="495965"/>
                <w:sz w:val="20"/>
                <w:szCs w:val="20"/>
              </w:rPr>
            </w:pPr>
            <w:r w:rsidRPr="00DB5601">
              <w:rPr>
                <w:rStyle w:val="Strong"/>
                <w:rFonts w:eastAsia="Calibri" w:cstheme="minorHAnsi"/>
                <w:color w:val="495965"/>
                <w:sz w:val="20"/>
                <w:szCs w:val="20"/>
              </w:rPr>
              <w:t>Technical areas:</w:t>
            </w:r>
            <w:r w:rsidRPr="00DB5601">
              <w:rPr>
                <w:rStyle w:val="Strong"/>
                <w:rFonts w:eastAsia="Calibri" w:cstheme="minorHAnsi"/>
                <w:b w:val="0"/>
                <w:bCs w:val="0"/>
                <w:color w:val="495965"/>
                <w:sz w:val="20"/>
                <w:szCs w:val="20"/>
              </w:rPr>
              <w:t xml:space="preserve"> TGA to continue to provide country-level technical assistance in the core areas of </w:t>
            </w:r>
            <w:r w:rsidR="003D57E4">
              <w:rPr>
                <w:rStyle w:val="Strong"/>
                <w:rFonts w:eastAsia="Calibri" w:cstheme="minorHAnsi"/>
                <w:b w:val="0"/>
                <w:bCs w:val="0"/>
                <w:color w:val="495965"/>
                <w:sz w:val="20"/>
                <w:szCs w:val="20"/>
              </w:rPr>
              <w:t>M</w:t>
            </w:r>
            <w:r w:rsidR="003D57E4" w:rsidRPr="003D57E4">
              <w:rPr>
                <w:rStyle w:val="Strong"/>
                <w:rFonts w:eastAsia="Calibri" w:cstheme="minorHAnsi"/>
                <w:b w:val="0"/>
                <w:bCs w:val="0"/>
                <w:color w:val="495965"/>
                <w:sz w:val="20"/>
                <w:szCs w:val="20"/>
              </w:rPr>
              <w:t>arket Authorisation (</w:t>
            </w:r>
            <w:r w:rsidRPr="00DB5601">
              <w:rPr>
                <w:rStyle w:val="Strong"/>
                <w:rFonts w:eastAsia="Calibri" w:cstheme="minorHAnsi"/>
                <w:b w:val="0"/>
                <w:bCs w:val="0"/>
                <w:color w:val="495965"/>
                <w:sz w:val="20"/>
                <w:szCs w:val="20"/>
              </w:rPr>
              <w:t>MA</w:t>
            </w:r>
            <w:r w:rsidR="003D57E4">
              <w:rPr>
                <w:rStyle w:val="Strong"/>
                <w:rFonts w:eastAsia="Calibri" w:cstheme="minorHAnsi"/>
                <w:b w:val="0"/>
                <w:bCs w:val="0"/>
                <w:color w:val="495965"/>
                <w:sz w:val="20"/>
                <w:szCs w:val="20"/>
              </w:rPr>
              <w:t>)</w:t>
            </w:r>
            <w:r w:rsidRPr="00DB5601">
              <w:rPr>
                <w:rStyle w:val="Strong"/>
                <w:rFonts w:eastAsia="Calibri" w:cstheme="minorHAnsi"/>
                <w:b w:val="0"/>
                <w:bCs w:val="0"/>
                <w:color w:val="495965"/>
                <w:sz w:val="20"/>
                <w:szCs w:val="20"/>
              </w:rPr>
              <w:t xml:space="preserve">, </w:t>
            </w:r>
            <w:r w:rsidR="003D57E4" w:rsidRPr="00DD491E">
              <w:rPr>
                <w:rStyle w:val="Strong"/>
                <w:rFonts w:eastAsia="Calibri" w:cstheme="minorHAnsi"/>
                <w:b w:val="0"/>
                <w:bCs w:val="0"/>
                <w:color w:val="495965"/>
                <w:sz w:val="20"/>
                <w:szCs w:val="20"/>
              </w:rPr>
              <w:t xml:space="preserve">Good Manufacturing Practice </w:t>
            </w:r>
            <w:r w:rsidR="003D57E4">
              <w:rPr>
                <w:rStyle w:val="Strong"/>
                <w:rFonts w:eastAsia="Calibri" w:cstheme="minorHAnsi"/>
                <w:b w:val="0"/>
                <w:bCs w:val="0"/>
                <w:color w:val="495965"/>
                <w:sz w:val="20"/>
                <w:szCs w:val="20"/>
              </w:rPr>
              <w:t>(</w:t>
            </w:r>
            <w:r w:rsidRPr="00DB5601">
              <w:rPr>
                <w:rStyle w:val="Strong"/>
                <w:rFonts w:eastAsia="Calibri" w:cstheme="minorHAnsi"/>
                <w:b w:val="0"/>
                <w:bCs w:val="0"/>
                <w:color w:val="495965"/>
                <w:sz w:val="20"/>
                <w:szCs w:val="20"/>
              </w:rPr>
              <w:t>GMP</w:t>
            </w:r>
            <w:r w:rsidR="003D57E4">
              <w:rPr>
                <w:rStyle w:val="Strong"/>
                <w:rFonts w:eastAsia="Calibri" w:cstheme="minorHAnsi"/>
                <w:b w:val="0"/>
                <w:bCs w:val="0"/>
                <w:color w:val="495965"/>
                <w:sz w:val="20"/>
                <w:szCs w:val="20"/>
              </w:rPr>
              <w:t>)</w:t>
            </w:r>
            <w:r w:rsidRPr="00DB5601">
              <w:rPr>
                <w:rStyle w:val="Strong"/>
                <w:rFonts w:eastAsia="Calibri" w:cstheme="minorHAnsi"/>
                <w:b w:val="0"/>
                <w:bCs w:val="0"/>
                <w:color w:val="495965"/>
                <w:sz w:val="20"/>
                <w:szCs w:val="20"/>
              </w:rPr>
              <w:t xml:space="preserve"> and </w:t>
            </w:r>
            <w:r w:rsidR="003D57E4" w:rsidRPr="00627CF7">
              <w:rPr>
                <w:rFonts w:eastAsia="Calibri" w:cstheme="minorHAnsi"/>
                <w:color w:val="495965"/>
                <w:sz w:val="20"/>
                <w:szCs w:val="20"/>
              </w:rPr>
              <w:t>p</w:t>
            </w:r>
            <w:r w:rsidR="003D57E4" w:rsidRPr="002D4D51">
              <w:rPr>
                <w:sz w:val="20"/>
                <w:szCs w:val="20"/>
              </w:rPr>
              <w:t xml:space="preserve">harmacovigilance </w:t>
            </w:r>
            <w:r w:rsidR="003D57E4">
              <w:rPr>
                <w:sz w:val="20"/>
                <w:szCs w:val="20"/>
              </w:rPr>
              <w:t>(</w:t>
            </w:r>
            <w:r w:rsidRPr="00DB5601">
              <w:rPr>
                <w:rStyle w:val="Strong"/>
                <w:rFonts w:eastAsia="Calibri" w:cstheme="minorHAnsi"/>
                <w:b w:val="0"/>
                <w:bCs w:val="0"/>
                <w:color w:val="495965"/>
                <w:sz w:val="20"/>
                <w:szCs w:val="20"/>
              </w:rPr>
              <w:t>PV</w:t>
            </w:r>
            <w:r w:rsidR="003D57E4">
              <w:rPr>
                <w:rStyle w:val="Strong"/>
                <w:rFonts w:eastAsia="Calibri" w:cstheme="minorHAnsi"/>
                <w:b w:val="0"/>
                <w:bCs w:val="0"/>
                <w:color w:val="495965"/>
                <w:sz w:val="20"/>
                <w:szCs w:val="20"/>
              </w:rPr>
              <w:t>)</w:t>
            </w:r>
            <w:r w:rsidRPr="00DB5601">
              <w:rPr>
                <w:rStyle w:val="Strong"/>
                <w:rFonts w:eastAsia="Calibri" w:cstheme="minorHAnsi"/>
                <w:b w:val="0"/>
                <w:bCs w:val="0"/>
                <w:color w:val="495965"/>
                <w:sz w:val="20"/>
                <w:szCs w:val="20"/>
              </w:rPr>
              <w:t xml:space="preserve">. </w:t>
            </w:r>
          </w:p>
          <w:p w14:paraId="09360CF4" w14:textId="32F75D7F" w:rsidR="19E58A0E" w:rsidRPr="00DD491E" w:rsidRDefault="19E58A0E" w:rsidP="00A96928">
            <w:pPr>
              <w:spacing w:before="0" w:after="0" w:line="276" w:lineRule="auto"/>
              <w:rPr>
                <w:rFonts w:eastAsia="Calibri" w:cstheme="minorHAnsi"/>
                <w:color w:val="495965"/>
                <w:sz w:val="20"/>
                <w:szCs w:val="20"/>
              </w:rPr>
            </w:pPr>
            <w:r w:rsidRPr="00DB5601">
              <w:rPr>
                <w:rStyle w:val="Strong"/>
                <w:rFonts w:eastAsia="Calibri" w:cstheme="minorHAnsi"/>
                <w:b w:val="0"/>
                <w:bCs w:val="0"/>
                <w:color w:val="495965"/>
                <w:sz w:val="20"/>
                <w:szCs w:val="20"/>
              </w:rPr>
              <w:t>: Merge activities provided under RSP and AETAP</w:t>
            </w:r>
            <w:r w:rsidR="00486529">
              <w:rPr>
                <w:rStyle w:val="Strong"/>
                <w:rFonts w:eastAsia="Calibri" w:cstheme="minorHAnsi"/>
                <w:b w:val="0"/>
                <w:bCs w:val="0"/>
                <w:color w:val="495965"/>
                <w:sz w:val="20"/>
                <w:szCs w:val="20"/>
              </w:rPr>
              <w:noBreakHyphen/>
            </w:r>
            <w:r w:rsidRPr="00DD491E">
              <w:rPr>
                <w:rStyle w:val="Strong"/>
                <w:rFonts w:eastAsia="Calibri" w:cstheme="minorHAnsi"/>
                <w:b w:val="0"/>
                <w:bCs w:val="0"/>
                <w:color w:val="495965"/>
                <w:sz w:val="20"/>
                <w:szCs w:val="20"/>
              </w:rPr>
              <w:t>RSSM.</w:t>
            </w:r>
          </w:p>
          <w:p w14:paraId="4D715E92" w14:textId="4D78F2AF" w:rsidR="19E58A0E" w:rsidRPr="00DD491E" w:rsidRDefault="19E58A0E" w:rsidP="00A96928">
            <w:pPr>
              <w:spacing w:before="0" w:after="0" w:line="276" w:lineRule="auto"/>
              <w:rPr>
                <w:rFonts w:eastAsia="Calibri" w:cstheme="minorHAnsi"/>
                <w:color w:val="495965"/>
                <w:sz w:val="20"/>
                <w:szCs w:val="20"/>
              </w:rPr>
            </w:pPr>
            <w:r w:rsidRPr="00DD491E">
              <w:rPr>
                <w:rStyle w:val="Strong"/>
                <w:rFonts w:eastAsia="Calibri" w:cstheme="minorHAnsi"/>
                <w:b w:val="0"/>
                <w:bCs w:val="0"/>
                <w:color w:val="495965"/>
                <w:sz w:val="20"/>
                <w:szCs w:val="20"/>
              </w:rPr>
              <w:t xml:space="preserve">: Consider limited </w:t>
            </w:r>
            <w:r w:rsidR="003D57E4">
              <w:rPr>
                <w:rStyle w:val="Strong"/>
                <w:rFonts w:eastAsia="Calibri" w:cstheme="minorHAnsi"/>
                <w:b w:val="0"/>
                <w:bCs w:val="0"/>
                <w:color w:val="495965"/>
                <w:sz w:val="20"/>
                <w:szCs w:val="20"/>
              </w:rPr>
              <w:t>technical assistance (</w:t>
            </w:r>
            <w:r w:rsidRPr="00DD491E">
              <w:rPr>
                <w:rStyle w:val="Strong"/>
                <w:rFonts w:eastAsia="Calibri" w:cstheme="minorHAnsi"/>
                <w:b w:val="0"/>
                <w:bCs w:val="0"/>
                <w:color w:val="495965"/>
                <w:sz w:val="20"/>
                <w:szCs w:val="20"/>
              </w:rPr>
              <w:t>TA</w:t>
            </w:r>
            <w:r w:rsidR="003D57E4">
              <w:rPr>
                <w:rStyle w:val="Strong"/>
                <w:rFonts w:eastAsia="Calibri" w:cstheme="minorHAnsi"/>
                <w:b w:val="0"/>
                <w:bCs w:val="0"/>
                <w:color w:val="495965"/>
                <w:sz w:val="20"/>
                <w:szCs w:val="20"/>
              </w:rPr>
              <w:t>)</w:t>
            </w:r>
            <w:r w:rsidRPr="00DD491E">
              <w:rPr>
                <w:rStyle w:val="Strong"/>
                <w:rFonts w:eastAsia="Calibri" w:cstheme="minorHAnsi"/>
                <w:b w:val="0"/>
                <w:bCs w:val="0"/>
                <w:color w:val="495965"/>
                <w:sz w:val="20"/>
                <w:szCs w:val="20"/>
              </w:rPr>
              <w:t xml:space="preserve"> in advanced therapeutics, substandard and falsified medicines </w:t>
            </w:r>
          </w:p>
          <w:p w14:paraId="213FB0EF" w14:textId="1469D49F" w:rsidR="19E58A0E" w:rsidRPr="00DD491E" w:rsidRDefault="19E58A0E" w:rsidP="00A96928">
            <w:pPr>
              <w:spacing w:before="0" w:after="0" w:line="276" w:lineRule="auto"/>
              <w:rPr>
                <w:rFonts w:eastAsia="Calibri" w:cstheme="minorHAnsi"/>
                <w:color w:val="495965"/>
                <w:sz w:val="20"/>
                <w:szCs w:val="20"/>
              </w:rPr>
            </w:pPr>
            <w:r w:rsidRPr="00DD491E">
              <w:rPr>
                <w:rStyle w:val="Strong"/>
                <w:rFonts w:eastAsia="Calibri" w:cstheme="minorHAnsi"/>
                <w:b w:val="0"/>
                <w:bCs w:val="0"/>
                <w:color w:val="495965"/>
                <w:sz w:val="20"/>
                <w:szCs w:val="20"/>
              </w:rPr>
              <w:lastRenderedPageBreak/>
              <w:t xml:space="preserve">: Include a long-term planned approach to </w:t>
            </w:r>
            <w:r w:rsidR="00337CCF" w:rsidRPr="00337CCF">
              <w:rPr>
                <w:rStyle w:val="Strong"/>
                <w:rFonts w:eastAsia="Calibri" w:cstheme="minorHAnsi"/>
                <w:b w:val="0"/>
                <w:bCs w:val="0"/>
                <w:color w:val="495965"/>
                <w:sz w:val="20"/>
                <w:szCs w:val="20"/>
              </w:rPr>
              <w:t xml:space="preserve">Gender equality, </w:t>
            </w:r>
            <w:proofErr w:type="gramStart"/>
            <w:r w:rsidR="00337CCF" w:rsidRPr="00337CCF">
              <w:rPr>
                <w:rStyle w:val="Strong"/>
                <w:rFonts w:eastAsia="Calibri" w:cstheme="minorHAnsi"/>
                <w:b w:val="0"/>
                <w:bCs w:val="0"/>
                <w:color w:val="495965"/>
                <w:sz w:val="20"/>
                <w:szCs w:val="20"/>
              </w:rPr>
              <w:t>disability</w:t>
            </w:r>
            <w:proofErr w:type="gramEnd"/>
            <w:r w:rsidR="00337CCF" w:rsidRPr="00337CCF">
              <w:rPr>
                <w:rStyle w:val="Strong"/>
                <w:rFonts w:eastAsia="Calibri" w:cstheme="minorHAnsi"/>
                <w:b w:val="0"/>
                <w:bCs w:val="0"/>
                <w:color w:val="495965"/>
                <w:sz w:val="20"/>
                <w:szCs w:val="20"/>
              </w:rPr>
              <w:t xml:space="preserve"> and social inclusion (GEDSI)</w:t>
            </w:r>
            <w:r w:rsidRPr="00DD491E">
              <w:rPr>
                <w:rStyle w:val="Strong"/>
                <w:rFonts w:eastAsia="Calibri" w:cstheme="minorHAnsi"/>
                <w:b w:val="0"/>
                <w:bCs w:val="0"/>
                <w:color w:val="495965"/>
                <w:sz w:val="20"/>
                <w:szCs w:val="20"/>
              </w:rPr>
              <w:t>.</w:t>
            </w:r>
          </w:p>
        </w:tc>
        <w:tc>
          <w:tcPr>
            <w:tcW w:w="0" w:type="auto"/>
            <w:shd w:val="clear" w:color="auto" w:fill="CDE2B9" w:themeFill="accent3" w:themeFillTint="99"/>
            <w:tcMar>
              <w:left w:w="105" w:type="dxa"/>
              <w:right w:w="105" w:type="dxa"/>
            </w:tcMar>
          </w:tcPr>
          <w:p w14:paraId="77CE281C" w14:textId="6B674A43" w:rsidR="19E58A0E" w:rsidRPr="00DD491E" w:rsidRDefault="00DB7305" w:rsidP="00A96928">
            <w:pPr>
              <w:spacing w:before="0" w:after="0" w:line="276" w:lineRule="auto"/>
              <w:rPr>
                <w:rStyle w:val="Strong"/>
                <w:rFonts w:eastAsia="Calibri" w:cstheme="minorHAnsi"/>
                <w:b w:val="0"/>
                <w:bCs w:val="0"/>
                <w:color w:val="495965"/>
                <w:sz w:val="20"/>
                <w:szCs w:val="20"/>
              </w:rPr>
            </w:pPr>
            <w:r>
              <w:rPr>
                <w:rStyle w:val="Strong"/>
                <w:rFonts w:eastAsia="Calibri" w:cstheme="minorHAnsi"/>
                <w:b w:val="0"/>
                <w:bCs w:val="0"/>
                <w:color w:val="495965"/>
                <w:sz w:val="20"/>
                <w:szCs w:val="20"/>
              </w:rPr>
              <w:lastRenderedPageBreak/>
              <w:t>A</w:t>
            </w:r>
            <w:r w:rsidR="009440C1" w:rsidRPr="00DD491E">
              <w:rPr>
                <w:rStyle w:val="Strong"/>
                <w:rFonts w:eastAsia="Calibri" w:cstheme="minorHAnsi"/>
                <w:b w:val="0"/>
                <w:bCs w:val="0"/>
                <w:color w:val="495965"/>
                <w:sz w:val="20"/>
                <w:szCs w:val="20"/>
              </w:rPr>
              <w:t xml:space="preserve">gree </w:t>
            </w:r>
          </w:p>
        </w:tc>
        <w:tc>
          <w:tcPr>
            <w:tcW w:w="0" w:type="auto"/>
            <w:tcMar>
              <w:left w:w="105" w:type="dxa"/>
              <w:right w:w="105" w:type="dxa"/>
            </w:tcMar>
          </w:tcPr>
          <w:p w14:paraId="3DF60193" w14:textId="41DEFCAA" w:rsidR="006B537C" w:rsidRPr="00186466" w:rsidRDefault="00857833" w:rsidP="00A96928">
            <w:pPr>
              <w:spacing w:before="0" w:after="0" w:line="276" w:lineRule="auto"/>
              <w:rPr>
                <w:rStyle w:val="Strong"/>
                <w:rFonts w:eastAsia="Calibri" w:cstheme="minorHAnsi"/>
                <w:b w:val="0"/>
                <w:bCs w:val="0"/>
                <w:color w:val="495965"/>
                <w:sz w:val="20"/>
                <w:szCs w:val="20"/>
              </w:rPr>
            </w:pPr>
            <w:r w:rsidRPr="00DB5601">
              <w:rPr>
                <w:rStyle w:val="Strong"/>
                <w:rFonts w:eastAsia="Calibri" w:cstheme="minorHAnsi"/>
                <w:b w:val="0"/>
                <w:bCs w:val="0"/>
                <w:color w:val="495965"/>
                <w:sz w:val="20"/>
                <w:szCs w:val="20"/>
              </w:rPr>
              <w:t xml:space="preserve">The </w:t>
            </w:r>
            <w:r w:rsidR="0081002F" w:rsidRPr="000B19DF">
              <w:rPr>
                <w:rStyle w:val="Strong"/>
                <w:rFonts w:eastAsia="Calibri" w:cstheme="minorHAnsi"/>
                <w:b w:val="0"/>
                <w:bCs w:val="0"/>
                <w:color w:val="495965"/>
                <w:sz w:val="20"/>
                <w:szCs w:val="20"/>
              </w:rPr>
              <w:t xml:space="preserve">TGA </w:t>
            </w:r>
            <w:r w:rsidR="009E516D" w:rsidRPr="00186466">
              <w:rPr>
                <w:rStyle w:val="Strong"/>
                <w:rFonts w:eastAsia="Calibri" w:cstheme="minorHAnsi"/>
                <w:b w:val="0"/>
                <w:bCs w:val="0"/>
                <w:color w:val="495965"/>
                <w:sz w:val="20"/>
                <w:szCs w:val="20"/>
              </w:rPr>
              <w:t xml:space="preserve">and DFAT broadly </w:t>
            </w:r>
            <w:r w:rsidR="0081002F" w:rsidRPr="00DB5601">
              <w:rPr>
                <w:rStyle w:val="Strong"/>
                <w:rFonts w:eastAsia="Calibri" w:cstheme="minorHAnsi"/>
                <w:b w:val="0"/>
                <w:bCs w:val="0"/>
                <w:color w:val="495965"/>
                <w:sz w:val="20"/>
                <w:szCs w:val="20"/>
              </w:rPr>
              <w:t>agree</w:t>
            </w:r>
            <w:r w:rsidR="00191AB4" w:rsidRPr="00186466">
              <w:rPr>
                <w:rStyle w:val="Strong"/>
                <w:rFonts w:eastAsia="Calibri" w:cstheme="minorHAnsi"/>
                <w:b w:val="0"/>
                <w:bCs w:val="0"/>
                <w:color w:val="495965"/>
                <w:sz w:val="20"/>
                <w:szCs w:val="20"/>
              </w:rPr>
              <w:t xml:space="preserve"> with the recommendations on technical areas of focus</w:t>
            </w:r>
            <w:r w:rsidR="00D66020" w:rsidRPr="00186466">
              <w:rPr>
                <w:rStyle w:val="Strong"/>
                <w:rFonts w:eastAsia="Calibri" w:cstheme="minorHAnsi"/>
                <w:b w:val="0"/>
                <w:bCs w:val="0"/>
                <w:color w:val="495965"/>
                <w:sz w:val="20"/>
                <w:szCs w:val="20"/>
              </w:rPr>
              <w:t>, program merging recommendations</w:t>
            </w:r>
            <w:r w:rsidR="00191AB4" w:rsidRPr="00186466">
              <w:rPr>
                <w:rStyle w:val="Strong"/>
                <w:rFonts w:eastAsia="Calibri" w:cstheme="minorHAnsi"/>
                <w:b w:val="0"/>
                <w:bCs w:val="0"/>
                <w:color w:val="495965"/>
                <w:sz w:val="20"/>
                <w:szCs w:val="20"/>
              </w:rPr>
              <w:t xml:space="preserve"> and agree </w:t>
            </w:r>
            <w:r w:rsidR="0081002F" w:rsidRPr="00DB5601">
              <w:rPr>
                <w:rStyle w:val="Strong"/>
                <w:rFonts w:eastAsia="Calibri" w:cstheme="minorHAnsi"/>
                <w:b w:val="0"/>
                <w:bCs w:val="0"/>
                <w:color w:val="495965"/>
                <w:sz w:val="20"/>
                <w:szCs w:val="20"/>
              </w:rPr>
              <w:t xml:space="preserve">that GEDSI </w:t>
            </w:r>
            <w:r w:rsidR="00B21783" w:rsidRPr="00DB5601">
              <w:rPr>
                <w:rStyle w:val="Strong"/>
                <w:rFonts w:eastAsia="Calibri" w:cstheme="minorHAnsi"/>
                <w:b w:val="0"/>
                <w:bCs w:val="0"/>
                <w:color w:val="495965"/>
                <w:sz w:val="20"/>
                <w:szCs w:val="20"/>
              </w:rPr>
              <w:t xml:space="preserve">should </w:t>
            </w:r>
            <w:r w:rsidR="0081002F" w:rsidRPr="00DB5601">
              <w:rPr>
                <w:rStyle w:val="Strong"/>
                <w:rFonts w:eastAsia="Calibri" w:cstheme="minorHAnsi"/>
                <w:b w:val="0"/>
                <w:bCs w:val="0"/>
                <w:color w:val="495965"/>
                <w:sz w:val="20"/>
                <w:szCs w:val="20"/>
              </w:rPr>
              <w:t xml:space="preserve">be integrated into the </w:t>
            </w:r>
            <w:r w:rsidR="00BB49C3" w:rsidRPr="00DB5601">
              <w:rPr>
                <w:rStyle w:val="Strong"/>
                <w:rFonts w:eastAsia="Calibri" w:cstheme="minorHAnsi"/>
                <w:b w:val="0"/>
                <w:bCs w:val="0"/>
                <w:color w:val="495965"/>
                <w:sz w:val="20"/>
                <w:szCs w:val="20"/>
              </w:rPr>
              <w:t>long-term</w:t>
            </w:r>
            <w:r w:rsidR="0081002F" w:rsidRPr="00DB5601">
              <w:rPr>
                <w:rStyle w:val="Strong"/>
                <w:rFonts w:eastAsia="Calibri" w:cstheme="minorHAnsi"/>
                <w:b w:val="0"/>
                <w:bCs w:val="0"/>
                <w:color w:val="495965"/>
                <w:sz w:val="20"/>
                <w:szCs w:val="20"/>
              </w:rPr>
              <w:t xml:space="preserve"> planning of the program, with specific goals identified. </w:t>
            </w:r>
          </w:p>
          <w:p w14:paraId="267EF40B" w14:textId="77777777" w:rsidR="00D66020" w:rsidRPr="00186466" w:rsidRDefault="00D66020" w:rsidP="00A96928">
            <w:pPr>
              <w:spacing w:before="0" w:after="0" w:line="276" w:lineRule="auto"/>
              <w:rPr>
                <w:rStyle w:val="Strong"/>
                <w:rFonts w:eastAsia="Calibri" w:cstheme="minorHAnsi"/>
                <w:b w:val="0"/>
                <w:bCs w:val="0"/>
                <w:color w:val="495965"/>
                <w:sz w:val="20"/>
                <w:szCs w:val="20"/>
              </w:rPr>
            </w:pPr>
          </w:p>
          <w:p w14:paraId="6F651CA4" w14:textId="51634BA2" w:rsidR="00D66020" w:rsidRPr="00186466" w:rsidRDefault="00D66020" w:rsidP="00D66020">
            <w:pPr>
              <w:spacing w:before="0" w:after="0" w:line="276" w:lineRule="auto"/>
              <w:rPr>
                <w:rStyle w:val="Strong"/>
                <w:rFonts w:eastAsia="Calibri" w:cstheme="minorHAnsi"/>
                <w:b w:val="0"/>
                <w:bCs w:val="0"/>
                <w:color w:val="495965"/>
                <w:sz w:val="20"/>
                <w:szCs w:val="20"/>
              </w:rPr>
            </w:pPr>
            <w:r w:rsidRPr="00DB5601">
              <w:rPr>
                <w:rStyle w:val="Strong"/>
                <w:rFonts w:eastAsia="Calibri" w:cstheme="minorHAnsi"/>
                <w:b w:val="0"/>
                <w:bCs w:val="0"/>
                <w:color w:val="495965"/>
                <w:sz w:val="20"/>
                <w:szCs w:val="20"/>
              </w:rPr>
              <w:t xml:space="preserve">DFAT and </w:t>
            </w:r>
            <w:r w:rsidR="0023220A" w:rsidRPr="00186466">
              <w:rPr>
                <w:rStyle w:val="Strong"/>
                <w:rFonts w:eastAsia="Calibri" w:cstheme="minorHAnsi"/>
                <w:b w:val="0"/>
                <w:bCs w:val="0"/>
                <w:color w:val="495965"/>
                <w:sz w:val="20"/>
                <w:szCs w:val="20"/>
              </w:rPr>
              <w:t xml:space="preserve">the </w:t>
            </w:r>
            <w:r w:rsidRPr="00DB5601">
              <w:rPr>
                <w:rStyle w:val="Strong"/>
                <w:rFonts w:eastAsia="Calibri" w:cstheme="minorHAnsi"/>
                <w:b w:val="0"/>
                <w:bCs w:val="0"/>
                <w:color w:val="495965"/>
                <w:sz w:val="20"/>
                <w:szCs w:val="20"/>
              </w:rPr>
              <w:t xml:space="preserve">TGA </w:t>
            </w:r>
            <w:r w:rsidRPr="00186466">
              <w:rPr>
                <w:rStyle w:val="Strong"/>
                <w:rFonts w:eastAsia="Calibri" w:cstheme="minorHAnsi"/>
                <w:b w:val="0"/>
                <w:bCs w:val="0"/>
                <w:color w:val="495965"/>
                <w:sz w:val="20"/>
                <w:szCs w:val="20"/>
              </w:rPr>
              <w:t xml:space="preserve">will remain committed to working with global partners to </w:t>
            </w:r>
            <w:r w:rsidRPr="00DB5601">
              <w:rPr>
                <w:rStyle w:val="Strong"/>
                <w:rFonts w:eastAsia="Calibri" w:cstheme="minorHAnsi"/>
                <w:b w:val="0"/>
                <w:bCs w:val="0"/>
                <w:color w:val="495965"/>
                <w:sz w:val="20"/>
                <w:szCs w:val="20"/>
              </w:rPr>
              <w:t xml:space="preserve">address substandard and falsified medicines on the </w:t>
            </w:r>
            <w:r w:rsidRPr="00DB5601">
              <w:rPr>
                <w:rStyle w:val="Strong"/>
                <w:rFonts w:eastAsia="Calibri" w:cstheme="minorHAnsi"/>
                <w:b w:val="0"/>
                <w:bCs w:val="0"/>
                <w:color w:val="495965"/>
                <w:sz w:val="20"/>
                <w:szCs w:val="20"/>
              </w:rPr>
              <w:lastRenderedPageBreak/>
              <w:t>market</w:t>
            </w:r>
            <w:r w:rsidRPr="00186466">
              <w:rPr>
                <w:rStyle w:val="Strong"/>
                <w:rFonts w:eastAsia="Calibri" w:cstheme="minorHAnsi"/>
                <w:b w:val="0"/>
                <w:bCs w:val="0"/>
                <w:color w:val="495965"/>
                <w:sz w:val="20"/>
                <w:szCs w:val="20"/>
              </w:rPr>
              <w:t xml:space="preserve">, namely supporting </w:t>
            </w:r>
            <w:r w:rsidRPr="00DB5601">
              <w:rPr>
                <w:rStyle w:val="Strong"/>
                <w:rFonts w:eastAsia="Calibri" w:cstheme="minorHAnsi"/>
                <w:b w:val="0"/>
                <w:bCs w:val="0"/>
                <w:color w:val="495965"/>
                <w:sz w:val="20"/>
                <w:szCs w:val="20"/>
              </w:rPr>
              <w:t>the WHO</w:t>
            </w:r>
            <w:r w:rsidR="0023220A" w:rsidRPr="00186466">
              <w:rPr>
                <w:rStyle w:val="Strong"/>
                <w:rFonts w:eastAsia="Calibri" w:cstheme="minorHAnsi"/>
                <w:b w:val="0"/>
                <w:bCs w:val="0"/>
                <w:color w:val="495965"/>
                <w:sz w:val="20"/>
                <w:szCs w:val="20"/>
              </w:rPr>
              <w:t>’s</w:t>
            </w:r>
            <w:r w:rsidRPr="00DB5601">
              <w:rPr>
                <w:rStyle w:val="Strong"/>
                <w:rFonts w:eastAsia="Calibri" w:cstheme="minorHAnsi"/>
                <w:b w:val="0"/>
                <w:bCs w:val="0"/>
                <w:color w:val="495965"/>
                <w:sz w:val="20"/>
                <w:szCs w:val="20"/>
              </w:rPr>
              <w:t xml:space="preserve"> Member State Mechanism</w:t>
            </w:r>
            <w:r w:rsidR="0023220A" w:rsidRPr="00186466">
              <w:rPr>
                <w:rStyle w:val="Strong"/>
                <w:rFonts w:eastAsia="Calibri" w:cstheme="minorHAnsi"/>
                <w:b w:val="0"/>
                <w:bCs w:val="0"/>
                <w:color w:val="495965"/>
                <w:sz w:val="20"/>
                <w:szCs w:val="20"/>
              </w:rPr>
              <w:t xml:space="preserve"> for Substandard and Falsified Medical Products through active participation and encouraging the involvement of partner NRAs</w:t>
            </w:r>
            <w:r w:rsidRPr="00186466">
              <w:rPr>
                <w:rStyle w:val="Strong"/>
                <w:rFonts w:eastAsia="Calibri" w:cstheme="minorHAnsi"/>
                <w:b w:val="0"/>
                <w:bCs w:val="0"/>
                <w:color w:val="495965"/>
                <w:sz w:val="20"/>
                <w:szCs w:val="20"/>
              </w:rPr>
              <w:t xml:space="preserve">. </w:t>
            </w:r>
          </w:p>
          <w:p w14:paraId="39B2BE83" w14:textId="2A3E871D" w:rsidR="00D66020" w:rsidRPr="00D35D70" w:rsidRDefault="00D35D70" w:rsidP="00D35D70">
            <w:pPr>
              <w:rPr>
                <w:rStyle w:val="Strong"/>
                <w:b w:val="0"/>
                <w:bCs w:val="0"/>
                <w:color w:val="auto"/>
                <w:sz w:val="20"/>
                <w:szCs w:val="20"/>
              </w:rPr>
            </w:pPr>
            <w:r w:rsidRPr="00D35D70">
              <w:rPr>
                <w:rStyle w:val="Strong"/>
                <w:b w:val="0"/>
                <w:bCs w:val="0"/>
                <w:sz w:val="20"/>
                <w:szCs w:val="20"/>
              </w:rPr>
              <w:t>The TGA agrees that technical assistance and support in relation to the regulation of advanced therapies should be incorporated into the program. In particular</w:t>
            </w:r>
            <w:r>
              <w:rPr>
                <w:rStyle w:val="Strong"/>
                <w:b w:val="0"/>
                <w:bCs w:val="0"/>
                <w:sz w:val="20"/>
                <w:szCs w:val="20"/>
              </w:rPr>
              <w:t>,</w:t>
            </w:r>
            <w:r w:rsidRPr="00D35D70">
              <w:rPr>
                <w:rStyle w:val="Strong"/>
                <w:b w:val="0"/>
                <w:bCs w:val="0"/>
                <w:sz w:val="20"/>
                <w:szCs w:val="20"/>
              </w:rPr>
              <w:t xml:space="preserve"> </w:t>
            </w:r>
            <w:r>
              <w:rPr>
                <w:rStyle w:val="Strong"/>
                <w:b w:val="0"/>
                <w:bCs w:val="0"/>
                <w:sz w:val="20"/>
                <w:szCs w:val="20"/>
              </w:rPr>
              <w:t xml:space="preserve">the TGA </w:t>
            </w:r>
            <w:r w:rsidRPr="00D35D70">
              <w:rPr>
                <w:rStyle w:val="Strong"/>
                <w:b w:val="0"/>
                <w:bCs w:val="0"/>
                <w:sz w:val="20"/>
                <w:szCs w:val="20"/>
              </w:rPr>
              <w:t xml:space="preserve">will support partner countries in their assessment of whether adequate safety monitoring systems are in place for these products.  </w:t>
            </w:r>
          </w:p>
        </w:tc>
        <w:tc>
          <w:tcPr>
            <w:tcW w:w="0" w:type="auto"/>
            <w:tcMar>
              <w:left w:w="105" w:type="dxa"/>
              <w:right w:w="105" w:type="dxa"/>
            </w:tcMar>
          </w:tcPr>
          <w:p w14:paraId="1CFF229C" w14:textId="6709BBF2" w:rsidR="00AD3B18" w:rsidRDefault="00AD3B18" w:rsidP="00A96928">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lastRenderedPageBreak/>
              <w:t xml:space="preserve">Recommendation 2a will be addressed as part of the strategic design process. </w:t>
            </w:r>
          </w:p>
          <w:p w14:paraId="5018BEE8" w14:textId="77777777" w:rsidR="00AD3B18" w:rsidRDefault="00AD3B18" w:rsidP="00A96928">
            <w:pPr>
              <w:spacing w:before="0" w:after="0" w:line="276" w:lineRule="auto"/>
              <w:rPr>
                <w:rStyle w:val="Strong"/>
                <w:rFonts w:eastAsia="Calibri" w:cstheme="minorHAnsi"/>
                <w:color w:val="495965"/>
                <w:sz w:val="20"/>
                <w:szCs w:val="20"/>
              </w:rPr>
            </w:pPr>
          </w:p>
          <w:p w14:paraId="18375F1F" w14:textId="6499B385" w:rsidR="19E58A0E" w:rsidRPr="00DB5601" w:rsidRDefault="0081002F" w:rsidP="00A96928">
            <w:pPr>
              <w:spacing w:before="0" w:after="0" w:line="276" w:lineRule="auto"/>
              <w:rPr>
                <w:rStyle w:val="Strong"/>
                <w:rFonts w:eastAsia="Calibri" w:cstheme="minorHAnsi"/>
                <w:color w:val="495965"/>
                <w:sz w:val="20"/>
                <w:szCs w:val="20"/>
              </w:rPr>
            </w:pPr>
            <w:r w:rsidRPr="00DB5601">
              <w:rPr>
                <w:rStyle w:val="Strong"/>
                <w:rFonts w:eastAsia="Calibri" w:cstheme="minorHAnsi"/>
                <w:color w:val="495965"/>
                <w:sz w:val="20"/>
                <w:szCs w:val="20"/>
              </w:rPr>
              <w:t xml:space="preserve"> </w:t>
            </w:r>
          </w:p>
        </w:tc>
        <w:tc>
          <w:tcPr>
            <w:tcW w:w="0" w:type="auto"/>
            <w:tcMar>
              <w:left w:w="105" w:type="dxa"/>
              <w:right w:w="105" w:type="dxa"/>
            </w:tcMar>
          </w:tcPr>
          <w:p w14:paraId="3F7CF07A" w14:textId="5DB8AADB" w:rsidR="00E07762" w:rsidRPr="00DB5601" w:rsidRDefault="00E07762" w:rsidP="00A96928">
            <w:pPr>
              <w:spacing w:before="0" w:after="0" w:line="276" w:lineRule="auto"/>
              <w:rPr>
                <w:rStyle w:val="Strong"/>
                <w:rFonts w:eastAsia="Calibri" w:cstheme="minorHAnsi"/>
                <w:color w:val="495965"/>
                <w:sz w:val="20"/>
                <w:szCs w:val="20"/>
              </w:rPr>
            </w:pPr>
            <w:r w:rsidRPr="00DB5601">
              <w:rPr>
                <w:rStyle w:val="Strong"/>
                <w:rFonts w:eastAsia="Calibri" w:cstheme="minorHAnsi"/>
                <w:color w:val="495965"/>
                <w:sz w:val="20"/>
                <w:szCs w:val="20"/>
              </w:rPr>
              <w:t xml:space="preserve">30 Jun 2023 </w:t>
            </w:r>
          </w:p>
        </w:tc>
      </w:tr>
      <w:tr w:rsidR="00794046" w:rsidRPr="00794046" w14:paraId="6A4BEA84" w14:textId="77777777" w:rsidTr="3CC25135">
        <w:trPr>
          <w:trHeight w:val="300"/>
        </w:trPr>
        <w:tc>
          <w:tcPr>
            <w:tcW w:w="0" w:type="auto"/>
            <w:tcMar>
              <w:left w:w="105" w:type="dxa"/>
              <w:right w:w="105" w:type="dxa"/>
            </w:tcMar>
          </w:tcPr>
          <w:p w14:paraId="3AB654CB" w14:textId="0C9D5EFC" w:rsidR="19E58A0E" w:rsidRPr="00DD491E" w:rsidRDefault="19E58A0E" w:rsidP="00A96928">
            <w:pPr>
              <w:spacing w:before="0" w:after="0" w:line="276" w:lineRule="auto"/>
              <w:ind w:right="-67"/>
              <w:rPr>
                <w:rFonts w:eastAsia="Calibri" w:cstheme="minorHAnsi"/>
                <w:color w:val="495965"/>
                <w:sz w:val="20"/>
                <w:szCs w:val="20"/>
              </w:rPr>
            </w:pPr>
            <w:r w:rsidRPr="00DD491E">
              <w:rPr>
                <w:rStyle w:val="Strong"/>
                <w:rFonts w:eastAsia="Calibri" w:cstheme="minorHAnsi"/>
                <w:b w:val="0"/>
                <w:bCs w:val="0"/>
                <w:color w:val="495965"/>
                <w:sz w:val="20"/>
                <w:szCs w:val="20"/>
              </w:rPr>
              <w:t>2b</w:t>
            </w:r>
          </w:p>
        </w:tc>
        <w:tc>
          <w:tcPr>
            <w:tcW w:w="0" w:type="auto"/>
            <w:tcMar>
              <w:left w:w="105" w:type="dxa"/>
              <w:right w:w="105" w:type="dxa"/>
            </w:tcMar>
          </w:tcPr>
          <w:p w14:paraId="410F5915" w14:textId="45E31878" w:rsidR="19E58A0E" w:rsidRPr="00DD491E" w:rsidRDefault="19E58A0E" w:rsidP="3CC25135">
            <w:pPr>
              <w:spacing w:before="0" w:after="0" w:line="276" w:lineRule="auto"/>
              <w:rPr>
                <w:rFonts w:eastAsia="Calibri"/>
                <w:color w:val="495965"/>
                <w:sz w:val="20"/>
                <w:szCs w:val="20"/>
              </w:rPr>
            </w:pPr>
            <w:r w:rsidRPr="3CC25135">
              <w:rPr>
                <w:rFonts w:eastAsia="Calibri"/>
                <w:b/>
                <w:bCs/>
                <w:sz w:val="20"/>
                <w:szCs w:val="20"/>
              </w:rPr>
              <w:t xml:space="preserve">Types of programming: </w:t>
            </w:r>
            <w:r w:rsidRPr="3CC25135">
              <w:rPr>
                <w:rFonts w:eastAsia="Calibri"/>
                <w:sz w:val="20"/>
                <w:szCs w:val="20"/>
              </w:rPr>
              <w:t xml:space="preserve">TGA to maintain a tiered, country-specific technical assistance framework </w:t>
            </w:r>
            <w:bookmarkStart w:id="6" w:name="_Int_FX8TEMBt"/>
            <w:proofErr w:type="gramStart"/>
            <w:r w:rsidRPr="3CC25135">
              <w:rPr>
                <w:rFonts w:eastAsia="Calibri"/>
                <w:sz w:val="20"/>
                <w:szCs w:val="20"/>
              </w:rPr>
              <w:t>taking into account</w:t>
            </w:r>
            <w:bookmarkEnd w:id="6"/>
            <w:proofErr w:type="gramEnd"/>
            <w:r w:rsidRPr="3CC25135">
              <w:rPr>
                <w:rFonts w:eastAsia="Calibri"/>
                <w:sz w:val="20"/>
                <w:szCs w:val="20"/>
              </w:rPr>
              <w:t xml:space="preserve"> the existing maturity level of the NRA or regulatory capacity of the MoH, along with due regard to regional public health priorities. </w:t>
            </w:r>
          </w:p>
          <w:p w14:paraId="226CCE1B" w14:textId="7307F9AB" w:rsidR="19E58A0E" w:rsidRPr="00DD491E" w:rsidRDefault="19E58A0E" w:rsidP="00A96928">
            <w:pPr>
              <w:spacing w:before="0" w:after="0" w:line="276" w:lineRule="auto"/>
              <w:rPr>
                <w:rFonts w:eastAsia="Calibri" w:cstheme="minorHAnsi"/>
                <w:color w:val="495965"/>
                <w:sz w:val="20"/>
                <w:szCs w:val="20"/>
              </w:rPr>
            </w:pPr>
            <w:r w:rsidRPr="00DD491E">
              <w:rPr>
                <w:rFonts w:eastAsia="Calibri" w:cstheme="minorHAnsi"/>
                <w:color w:val="495965"/>
                <w:sz w:val="20"/>
                <w:szCs w:val="20"/>
              </w:rPr>
              <w:t>: Establishing autonomous manufacturing capability is becoming a priority for many countries in the region.</w:t>
            </w:r>
          </w:p>
        </w:tc>
        <w:tc>
          <w:tcPr>
            <w:tcW w:w="0" w:type="auto"/>
            <w:shd w:val="clear" w:color="auto" w:fill="CDE2B9" w:themeFill="accent3" w:themeFillTint="99"/>
            <w:tcMar>
              <w:left w:w="105" w:type="dxa"/>
              <w:right w:w="105" w:type="dxa"/>
            </w:tcMar>
          </w:tcPr>
          <w:p w14:paraId="1F907A1E" w14:textId="527750EA" w:rsidR="19E58A0E" w:rsidRPr="00DD491E" w:rsidRDefault="008B415A" w:rsidP="00A96928">
            <w:pPr>
              <w:spacing w:before="0" w:after="0" w:line="276" w:lineRule="auto"/>
              <w:rPr>
                <w:rStyle w:val="Strong"/>
                <w:rFonts w:eastAsia="Calibri" w:cstheme="minorHAnsi"/>
                <w:b w:val="0"/>
                <w:bCs w:val="0"/>
                <w:color w:val="495965"/>
                <w:sz w:val="20"/>
                <w:szCs w:val="20"/>
              </w:rPr>
            </w:pPr>
            <w:r>
              <w:rPr>
                <w:rStyle w:val="Strong"/>
                <w:rFonts w:eastAsia="Calibri" w:cstheme="minorHAnsi"/>
                <w:b w:val="0"/>
                <w:bCs w:val="0"/>
                <w:color w:val="495965"/>
                <w:sz w:val="20"/>
                <w:szCs w:val="20"/>
              </w:rPr>
              <w:t>Partia</w:t>
            </w:r>
            <w:r w:rsidR="00183E93">
              <w:rPr>
                <w:rStyle w:val="Strong"/>
                <w:rFonts w:eastAsia="Calibri" w:cstheme="minorHAnsi"/>
                <w:b w:val="0"/>
                <w:bCs w:val="0"/>
                <w:color w:val="495965"/>
                <w:sz w:val="20"/>
                <w:szCs w:val="20"/>
              </w:rPr>
              <w:t xml:space="preserve">lly agree </w:t>
            </w:r>
          </w:p>
        </w:tc>
        <w:tc>
          <w:tcPr>
            <w:tcW w:w="0" w:type="auto"/>
            <w:tcMar>
              <w:left w:w="105" w:type="dxa"/>
              <w:right w:w="105" w:type="dxa"/>
            </w:tcMar>
          </w:tcPr>
          <w:p w14:paraId="6052BBE0" w14:textId="376C48F7" w:rsidR="00D36159" w:rsidRPr="00186466" w:rsidRDefault="00D36159" w:rsidP="3CC25135">
            <w:pPr>
              <w:spacing w:before="0" w:after="0" w:line="276" w:lineRule="auto"/>
              <w:rPr>
                <w:rStyle w:val="Strong"/>
                <w:rFonts w:eastAsia="Calibri"/>
                <w:b w:val="0"/>
                <w:bCs w:val="0"/>
                <w:color w:val="495965"/>
                <w:sz w:val="20"/>
                <w:szCs w:val="20"/>
              </w:rPr>
            </w:pPr>
            <w:r w:rsidRPr="3CC25135">
              <w:rPr>
                <w:rStyle w:val="Strong"/>
                <w:rFonts w:eastAsia="Calibri"/>
                <w:b w:val="0"/>
                <w:bCs w:val="0"/>
                <w:color w:val="495965"/>
                <w:sz w:val="20"/>
                <w:szCs w:val="20"/>
              </w:rPr>
              <w:t xml:space="preserve">DFAT </w:t>
            </w:r>
            <w:r w:rsidR="00486529" w:rsidRPr="3CC25135">
              <w:rPr>
                <w:rStyle w:val="Strong"/>
                <w:rFonts w:eastAsia="Calibri"/>
                <w:b w:val="0"/>
                <w:bCs w:val="0"/>
                <w:color w:val="495965"/>
                <w:sz w:val="20"/>
                <w:szCs w:val="20"/>
              </w:rPr>
              <w:t xml:space="preserve">and the </w:t>
            </w:r>
            <w:r w:rsidRPr="3CC25135">
              <w:rPr>
                <w:rStyle w:val="Strong"/>
                <w:rFonts w:eastAsia="Calibri"/>
                <w:b w:val="0"/>
                <w:bCs w:val="0"/>
                <w:color w:val="495965"/>
                <w:sz w:val="20"/>
                <w:szCs w:val="20"/>
              </w:rPr>
              <w:t xml:space="preserve">TGA </w:t>
            </w:r>
            <w:r w:rsidR="00B8110A" w:rsidRPr="3CC25135">
              <w:rPr>
                <w:rStyle w:val="Strong"/>
                <w:rFonts w:eastAsia="Calibri"/>
                <w:b w:val="0"/>
                <w:bCs w:val="0"/>
                <w:color w:val="495965"/>
                <w:sz w:val="20"/>
                <w:szCs w:val="20"/>
              </w:rPr>
              <w:t>agree that a focus on country</w:t>
            </w:r>
            <w:r w:rsidR="58F55682" w:rsidRPr="3CC25135">
              <w:rPr>
                <w:rStyle w:val="Strong"/>
                <w:rFonts w:eastAsia="Calibri"/>
                <w:b w:val="0"/>
                <w:bCs w:val="0"/>
                <w:color w:val="495965"/>
                <w:sz w:val="20"/>
                <w:szCs w:val="20"/>
              </w:rPr>
              <w:t>-</w:t>
            </w:r>
            <w:r w:rsidR="00486529" w:rsidRPr="00186466">
              <w:rPr>
                <w:rStyle w:val="Strong"/>
                <w:rFonts w:eastAsia="Calibri" w:cstheme="minorHAnsi"/>
                <w:b w:val="0"/>
                <w:bCs w:val="0"/>
                <w:color w:val="495965"/>
                <w:sz w:val="20"/>
                <w:szCs w:val="20"/>
              </w:rPr>
              <w:noBreakHyphen/>
            </w:r>
            <w:r w:rsidR="00BA59F8" w:rsidRPr="3CC25135">
              <w:rPr>
                <w:rStyle w:val="Strong"/>
                <w:rFonts w:eastAsia="Calibri"/>
                <w:b w:val="0"/>
                <w:bCs w:val="0"/>
                <w:color w:val="495965"/>
                <w:sz w:val="20"/>
                <w:szCs w:val="20"/>
              </w:rPr>
              <w:t>specific</w:t>
            </w:r>
            <w:r w:rsidR="00B8110A" w:rsidRPr="3CC25135">
              <w:rPr>
                <w:rStyle w:val="Strong"/>
                <w:rFonts w:eastAsia="Calibri"/>
                <w:b w:val="0"/>
                <w:bCs w:val="0"/>
                <w:color w:val="495965"/>
                <w:sz w:val="20"/>
                <w:szCs w:val="20"/>
              </w:rPr>
              <w:t xml:space="preserve"> needs</w:t>
            </w:r>
            <w:r w:rsidR="0059111D" w:rsidRPr="3CC25135">
              <w:rPr>
                <w:rStyle w:val="Strong"/>
                <w:rFonts w:eastAsia="Calibri"/>
                <w:b w:val="0"/>
                <w:bCs w:val="0"/>
                <w:color w:val="495965"/>
                <w:sz w:val="20"/>
                <w:szCs w:val="20"/>
              </w:rPr>
              <w:t>, capabilities</w:t>
            </w:r>
            <w:r w:rsidR="00B8110A" w:rsidRPr="3CC25135">
              <w:rPr>
                <w:rStyle w:val="Strong"/>
                <w:rFonts w:eastAsia="Calibri"/>
                <w:b w:val="0"/>
                <w:bCs w:val="0"/>
                <w:color w:val="495965"/>
                <w:sz w:val="20"/>
                <w:szCs w:val="20"/>
              </w:rPr>
              <w:t xml:space="preserve"> and </w:t>
            </w:r>
            <w:r w:rsidR="00BA59F8" w:rsidRPr="3CC25135">
              <w:rPr>
                <w:rStyle w:val="Strong"/>
                <w:rFonts w:eastAsia="Calibri"/>
                <w:b w:val="0"/>
                <w:bCs w:val="0"/>
                <w:color w:val="495965"/>
                <w:sz w:val="20"/>
                <w:szCs w:val="20"/>
              </w:rPr>
              <w:t xml:space="preserve">capacities is important. </w:t>
            </w:r>
          </w:p>
          <w:p w14:paraId="1B952219" w14:textId="77777777" w:rsidR="00D36159" w:rsidRPr="00186466" w:rsidRDefault="00D36159" w:rsidP="00A96928">
            <w:pPr>
              <w:spacing w:before="0" w:after="0" w:line="276" w:lineRule="auto"/>
              <w:rPr>
                <w:rStyle w:val="Strong"/>
                <w:rFonts w:eastAsia="Calibri" w:cstheme="minorHAnsi"/>
                <w:b w:val="0"/>
                <w:bCs w:val="0"/>
                <w:color w:val="495965"/>
                <w:sz w:val="20"/>
                <w:szCs w:val="20"/>
              </w:rPr>
            </w:pPr>
          </w:p>
          <w:p w14:paraId="6672109A" w14:textId="0B32B247" w:rsidR="00C97C39" w:rsidRPr="00186466" w:rsidRDefault="00967F7E" w:rsidP="3CC25135">
            <w:pPr>
              <w:spacing w:before="0" w:after="0" w:line="276" w:lineRule="auto"/>
              <w:rPr>
                <w:rStyle w:val="Strong"/>
                <w:rFonts w:eastAsia="Calibri"/>
                <w:b w:val="0"/>
                <w:bCs w:val="0"/>
                <w:color w:val="495965"/>
                <w:sz w:val="20"/>
                <w:szCs w:val="20"/>
              </w:rPr>
            </w:pPr>
            <w:r w:rsidRPr="3CC25135">
              <w:rPr>
                <w:rStyle w:val="Strong"/>
                <w:rFonts w:eastAsia="Calibri"/>
                <w:b w:val="0"/>
                <w:bCs w:val="0"/>
                <w:sz w:val="20"/>
                <w:szCs w:val="20"/>
              </w:rPr>
              <w:t xml:space="preserve">Establishing autonomous manufacturing capability </w:t>
            </w:r>
            <w:r w:rsidR="00BA59F8" w:rsidRPr="3CC25135">
              <w:rPr>
                <w:rStyle w:val="Strong"/>
                <w:rFonts w:eastAsia="Calibri"/>
                <w:b w:val="0"/>
                <w:bCs w:val="0"/>
                <w:sz w:val="20"/>
                <w:szCs w:val="20"/>
              </w:rPr>
              <w:t>is</w:t>
            </w:r>
            <w:r w:rsidRPr="3CC25135">
              <w:rPr>
                <w:rStyle w:val="Strong"/>
                <w:rFonts w:eastAsia="Calibri"/>
                <w:b w:val="0"/>
                <w:bCs w:val="0"/>
                <w:sz w:val="20"/>
                <w:szCs w:val="20"/>
              </w:rPr>
              <w:t xml:space="preserve"> a priority for many countries in the </w:t>
            </w:r>
            <w:bookmarkStart w:id="7" w:name="_Int_x39v50io"/>
            <w:proofErr w:type="gramStart"/>
            <w:r w:rsidRPr="3CC25135">
              <w:rPr>
                <w:rStyle w:val="Strong"/>
                <w:rFonts w:eastAsia="Calibri"/>
                <w:b w:val="0"/>
                <w:bCs w:val="0"/>
                <w:sz w:val="20"/>
                <w:szCs w:val="20"/>
              </w:rPr>
              <w:t>region</w:t>
            </w:r>
            <w:r w:rsidR="00BA59F8" w:rsidRPr="3CC25135">
              <w:rPr>
                <w:rStyle w:val="Strong"/>
                <w:rFonts w:eastAsia="Calibri"/>
                <w:b w:val="0"/>
                <w:bCs w:val="0"/>
                <w:sz w:val="20"/>
                <w:szCs w:val="20"/>
              </w:rPr>
              <w:t>, but</w:t>
            </w:r>
            <w:bookmarkEnd w:id="7"/>
            <w:proofErr w:type="gramEnd"/>
            <w:r w:rsidR="00BA59F8" w:rsidRPr="3CC25135">
              <w:rPr>
                <w:rStyle w:val="Strong"/>
                <w:rFonts w:eastAsia="Calibri"/>
                <w:b w:val="0"/>
                <w:bCs w:val="0"/>
                <w:sz w:val="20"/>
                <w:szCs w:val="20"/>
              </w:rPr>
              <w:t xml:space="preserve"> is</w:t>
            </w:r>
            <w:r w:rsidRPr="3CC25135">
              <w:rPr>
                <w:rStyle w:val="Strong"/>
                <w:rFonts w:eastAsia="Calibri"/>
                <w:b w:val="0"/>
                <w:bCs w:val="0"/>
                <w:sz w:val="20"/>
                <w:szCs w:val="20"/>
              </w:rPr>
              <w:t xml:space="preserve"> not the focus of a regulatory strengthening program</w:t>
            </w:r>
            <w:r w:rsidR="003F694A" w:rsidRPr="3CC25135">
              <w:rPr>
                <w:rStyle w:val="Strong"/>
                <w:rFonts w:eastAsia="Calibri"/>
                <w:b w:val="0"/>
                <w:bCs w:val="0"/>
                <w:sz w:val="20"/>
                <w:szCs w:val="20"/>
              </w:rPr>
              <w:t xml:space="preserve"> nor something which the TGA is best</w:t>
            </w:r>
            <w:r w:rsidR="00B56E30" w:rsidRPr="3CC25135">
              <w:rPr>
                <w:rStyle w:val="Strong"/>
                <w:rFonts w:eastAsia="Calibri"/>
                <w:b w:val="0"/>
                <w:bCs w:val="0"/>
                <w:sz w:val="20"/>
                <w:szCs w:val="20"/>
              </w:rPr>
              <w:t xml:space="preserve"> </w:t>
            </w:r>
            <w:r w:rsidR="003F694A" w:rsidRPr="3CC25135">
              <w:rPr>
                <w:rStyle w:val="Strong"/>
                <w:rFonts w:eastAsia="Calibri"/>
                <w:b w:val="0"/>
                <w:bCs w:val="0"/>
                <w:sz w:val="20"/>
                <w:szCs w:val="20"/>
              </w:rPr>
              <w:t>placed to deliver</w:t>
            </w:r>
            <w:r w:rsidRPr="3CC25135">
              <w:rPr>
                <w:rStyle w:val="Strong"/>
                <w:rFonts w:eastAsia="Calibri"/>
                <w:b w:val="0"/>
                <w:bCs w:val="0"/>
                <w:sz w:val="20"/>
                <w:szCs w:val="20"/>
              </w:rPr>
              <w:t xml:space="preserve">. </w:t>
            </w:r>
          </w:p>
          <w:p w14:paraId="65E38A3A" w14:textId="77777777" w:rsidR="00C97C39" w:rsidRPr="00186466" w:rsidRDefault="00C97C39" w:rsidP="00A96928">
            <w:pPr>
              <w:spacing w:before="0" w:after="0" w:line="276" w:lineRule="auto"/>
              <w:rPr>
                <w:rStyle w:val="Strong"/>
                <w:rFonts w:eastAsia="Calibri" w:cstheme="minorHAnsi"/>
                <w:b w:val="0"/>
                <w:bCs w:val="0"/>
                <w:color w:val="495965"/>
                <w:sz w:val="20"/>
                <w:szCs w:val="20"/>
              </w:rPr>
            </w:pPr>
          </w:p>
          <w:p w14:paraId="6F74962C" w14:textId="48A78BC9" w:rsidR="00967F7E" w:rsidRPr="00DD491E" w:rsidRDefault="00967F7E" w:rsidP="3CC25135">
            <w:pPr>
              <w:spacing w:before="0" w:after="0" w:line="276" w:lineRule="auto"/>
              <w:rPr>
                <w:rStyle w:val="Strong"/>
                <w:rFonts w:eastAsia="Calibri"/>
                <w:b w:val="0"/>
                <w:bCs w:val="0"/>
                <w:color w:val="495965"/>
                <w:sz w:val="20"/>
                <w:szCs w:val="20"/>
              </w:rPr>
            </w:pPr>
            <w:bookmarkStart w:id="8" w:name="_Int_REuRbhau"/>
            <w:r w:rsidRPr="3CC25135">
              <w:rPr>
                <w:rStyle w:val="Strong"/>
                <w:rFonts w:eastAsia="Calibri"/>
                <w:b w:val="0"/>
                <w:bCs w:val="0"/>
                <w:sz w:val="20"/>
                <w:szCs w:val="20"/>
              </w:rPr>
              <w:t>NRAs</w:t>
            </w:r>
            <w:bookmarkEnd w:id="8"/>
            <w:r w:rsidRPr="3CC25135">
              <w:rPr>
                <w:rStyle w:val="Strong"/>
                <w:rFonts w:eastAsia="Calibri"/>
                <w:b w:val="0"/>
                <w:bCs w:val="0"/>
                <w:sz w:val="20"/>
                <w:szCs w:val="20"/>
              </w:rPr>
              <w:t xml:space="preserve"> can be supported </w:t>
            </w:r>
            <w:r w:rsidR="00C97C39" w:rsidRPr="3CC25135">
              <w:rPr>
                <w:rStyle w:val="Strong"/>
                <w:rFonts w:eastAsia="Calibri"/>
                <w:b w:val="0"/>
                <w:bCs w:val="0"/>
                <w:sz w:val="20"/>
                <w:szCs w:val="20"/>
              </w:rPr>
              <w:t>to</w:t>
            </w:r>
            <w:r w:rsidRPr="3CC25135">
              <w:rPr>
                <w:rStyle w:val="Strong"/>
                <w:rFonts w:eastAsia="Calibri"/>
                <w:b w:val="0"/>
                <w:bCs w:val="0"/>
                <w:sz w:val="20"/>
                <w:szCs w:val="20"/>
              </w:rPr>
              <w:t xml:space="preserve"> </w:t>
            </w:r>
            <w:r w:rsidR="00352206" w:rsidRPr="3CC25135">
              <w:rPr>
                <w:rStyle w:val="Strong"/>
                <w:rFonts w:eastAsia="Calibri"/>
                <w:b w:val="0"/>
                <w:bCs w:val="0"/>
                <w:sz w:val="20"/>
                <w:szCs w:val="20"/>
              </w:rPr>
              <w:t xml:space="preserve">build </w:t>
            </w:r>
            <w:r w:rsidRPr="3CC25135">
              <w:rPr>
                <w:rStyle w:val="Strong"/>
                <w:rFonts w:eastAsia="Calibri"/>
                <w:b w:val="0"/>
                <w:bCs w:val="0"/>
                <w:sz w:val="20"/>
                <w:szCs w:val="20"/>
              </w:rPr>
              <w:t xml:space="preserve">capacity in the areas of technology transfer assessment </w:t>
            </w:r>
            <w:r w:rsidR="003F694A" w:rsidRPr="3CC25135">
              <w:rPr>
                <w:rStyle w:val="Strong"/>
                <w:rFonts w:eastAsia="Calibri"/>
                <w:b w:val="0"/>
                <w:bCs w:val="0"/>
                <w:sz w:val="20"/>
                <w:szCs w:val="20"/>
              </w:rPr>
              <w:t>(</w:t>
            </w:r>
            <w:r w:rsidR="00486529" w:rsidRPr="3CC25135">
              <w:rPr>
                <w:rStyle w:val="Strong"/>
                <w:rFonts w:eastAsia="Calibri"/>
                <w:b w:val="0"/>
                <w:bCs w:val="0"/>
                <w:sz w:val="20"/>
                <w:szCs w:val="20"/>
              </w:rPr>
              <w:t>q</w:t>
            </w:r>
            <w:r w:rsidR="003F694A" w:rsidRPr="3CC25135">
              <w:rPr>
                <w:rStyle w:val="Strong"/>
                <w:rFonts w:eastAsia="Calibri"/>
                <w:b w:val="0"/>
                <w:bCs w:val="0"/>
                <w:sz w:val="20"/>
                <w:szCs w:val="20"/>
              </w:rPr>
              <w:t xml:space="preserve">uality assessment) </w:t>
            </w:r>
            <w:r w:rsidRPr="3CC25135">
              <w:rPr>
                <w:rStyle w:val="Strong"/>
                <w:rFonts w:eastAsia="Calibri"/>
                <w:b w:val="0"/>
                <w:bCs w:val="0"/>
                <w:sz w:val="20"/>
                <w:szCs w:val="20"/>
              </w:rPr>
              <w:t xml:space="preserve">and Good Manufacturing Practice (GMP) inspections. Building capability in these areas will allow NRAs to adequately assess new domestic manufacturing facilities for registration. </w:t>
            </w:r>
          </w:p>
        </w:tc>
        <w:tc>
          <w:tcPr>
            <w:tcW w:w="0" w:type="auto"/>
            <w:tcMar>
              <w:left w:w="105" w:type="dxa"/>
              <w:right w:w="105" w:type="dxa"/>
            </w:tcMar>
          </w:tcPr>
          <w:p w14:paraId="3051805F" w14:textId="67F2A114" w:rsidR="19E58A0E" w:rsidRPr="00DD491E" w:rsidRDefault="00857833" w:rsidP="00A96928">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 xml:space="preserve">The </w:t>
            </w:r>
            <w:r w:rsidR="008D7E34" w:rsidRPr="00DD491E">
              <w:rPr>
                <w:rStyle w:val="Strong"/>
                <w:rFonts w:eastAsia="Calibri" w:cstheme="minorHAnsi"/>
                <w:color w:val="495965"/>
                <w:sz w:val="20"/>
                <w:szCs w:val="20"/>
              </w:rPr>
              <w:t xml:space="preserve">TGA </w:t>
            </w:r>
            <w:r w:rsidR="003322FF">
              <w:rPr>
                <w:rStyle w:val="Strong"/>
                <w:rFonts w:eastAsia="Calibri" w:cstheme="minorHAnsi"/>
                <w:color w:val="495965"/>
                <w:sz w:val="20"/>
                <w:szCs w:val="20"/>
              </w:rPr>
              <w:t xml:space="preserve">will </w:t>
            </w:r>
            <w:r w:rsidR="008D7E34" w:rsidRPr="00DD491E">
              <w:rPr>
                <w:rStyle w:val="Strong"/>
                <w:rFonts w:eastAsia="Calibri" w:cstheme="minorHAnsi"/>
                <w:color w:val="495965"/>
                <w:sz w:val="20"/>
                <w:szCs w:val="20"/>
              </w:rPr>
              <w:t xml:space="preserve">work closely with NRAs to </w:t>
            </w:r>
            <w:r w:rsidR="00F37F1A">
              <w:rPr>
                <w:rStyle w:val="Strong"/>
                <w:rFonts w:eastAsia="Calibri" w:cstheme="minorHAnsi"/>
                <w:color w:val="495965"/>
                <w:sz w:val="20"/>
                <w:szCs w:val="20"/>
              </w:rPr>
              <w:t>update</w:t>
            </w:r>
            <w:r w:rsidR="008D7E34" w:rsidRPr="00DD491E">
              <w:rPr>
                <w:rStyle w:val="Strong"/>
                <w:rFonts w:eastAsia="Calibri" w:cstheme="minorHAnsi"/>
                <w:color w:val="495965"/>
                <w:sz w:val="20"/>
                <w:szCs w:val="20"/>
              </w:rPr>
              <w:t xml:space="preserve"> country-specific workplans in line with </w:t>
            </w:r>
            <w:r w:rsidR="00B33CE2" w:rsidRPr="00DD491E">
              <w:rPr>
                <w:rStyle w:val="Strong"/>
                <w:rFonts w:eastAsia="Calibri" w:cstheme="minorHAnsi"/>
                <w:color w:val="495965"/>
                <w:sz w:val="20"/>
                <w:szCs w:val="20"/>
              </w:rPr>
              <w:t xml:space="preserve">new </w:t>
            </w:r>
            <w:r w:rsidR="008D7E34" w:rsidRPr="00DD491E">
              <w:rPr>
                <w:rStyle w:val="Strong"/>
                <w:rFonts w:eastAsia="Calibri" w:cstheme="minorHAnsi"/>
                <w:color w:val="495965"/>
                <w:sz w:val="20"/>
                <w:szCs w:val="20"/>
              </w:rPr>
              <w:t>program goals</w:t>
            </w:r>
            <w:r w:rsidR="00B33CE2" w:rsidRPr="00DD491E">
              <w:rPr>
                <w:rStyle w:val="Strong"/>
                <w:rFonts w:eastAsia="Calibri" w:cstheme="minorHAnsi"/>
                <w:color w:val="495965"/>
                <w:sz w:val="20"/>
                <w:szCs w:val="20"/>
              </w:rPr>
              <w:t xml:space="preserve"> and updated country needs</w:t>
            </w:r>
            <w:r w:rsidR="00F37F1A">
              <w:rPr>
                <w:rStyle w:val="Strong"/>
                <w:rFonts w:eastAsia="Calibri" w:cstheme="minorHAnsi"/>
                <w:color w:val="495965"/>
                <w:sz w:val="20"/>
                <w:szCs w:val="20"/>
              </w:rPr>
              <w:t xml:space="preserve">, aimed at </w:t>
            </w:r>
            <w:r w:rsidR="008D7E34" w:rsidRPr="00DD491E">
              <w:rPr>
                <w:rStyle w:val="Strong"/>
                <w:rFonts w:eastAsia="Calibri" w:cstheme="minorHAnsi"/>
                <w:color w:val="495965"/>
                <w:sz w:val="20"/>
                <w:szCs w:val="20"/>
              </w:rPr>
              <w:t xml:space="preserve">increasing </w:t>
            </w:r>
            <w:r w:rsidR="00EE39EA">
              <w:rPr>
                <w:rStyle w:val="Strong"/>
                <w:rFonts w:eastAsia="Calibri" w:cstheme="minorHAnsi"/>
                <w:color w:val="495965"/>
                <w:sz w:val="20"/>
                <w:szCs w:val="20"/>
              </w:rPr>
              <w:t xml:space="preserve">the </w:t>
            </w:r>
            <w:r w:rsidR="008D7E34" w:rsidRPr="00DD491E">
              <w:rPr>
                <w:rStyle w:val="Strong"/>
                <w:rFonts w:eastAsia="Calibri" w:cstheme="minorHAnsi"/>
                <w:color w:val="495965"/>
                <w:sz w:val="20"/>
                <w:szCs w:val="20"/>
              </w:rPr>
              <w:t>maturity level of the NRA, in line with the WHO GBT</w:t>
            </w:r>
            <w:r w:rsidR="00F37F1A">
              <w:rPr>
                <w:rStyle w:val="Strong"/>
                <w:rFonts w:eastAsia="Calibri" w:cstheme="minorHAnsi"/>
                <w:color w:val="495965"/>
                <w:sz w:val="20"/>
                <w:szCs w:val="20"/>
              </w:rPr>
              <w:t xml:space="preserve">. </w:t>
            </w:r>
          </w:p>
          <w:p w14:paraId="0DD3C339" w14:textId="77777777" w:rsidR="001C3D29" w:rsidRPr="00DD491E" w:rsidRDefault="001C3D29" w:rsidP="00A96928">
            <w:pPr>
              <w:spacing w:before="0" w:after="0" w:line="276" w:lineRule="auto"/>
              <w:rPr>
                <w:rStyle w:val="Strong"/>
                <w:rFonts w:eastAsia="Calibri" w:cstheme="minorHAnsi"/>
                <w:color w:val="495965"/>
                <w:sz w:val="20"/>
                <w:szCs w:val="20"/>
              </w:rPr>
            </w:pPr>
          </w:p>
          <w:p w14:paraId="144D611C" w14:textId="4BC3AADB" w:rsidR="003F694A" w:rsidRPr="00DD491E" w:rsidRDefault="003F694A" w:rsidP="00A96928">
            <w:pPr>
              <w:spacing w:before="0" w:after="0" w:line="276" w:lineRule="auto"/>
              <w:rPr>
                <w:rStyle w:val="Strong"/>
                <w:rFonts w:eastAsia="Calibri" w:cstheme="minorHAnsi"/>
                <w:color w:val="495965"/>
                <w:sz w:val="20"/>
                <w:szCs w:val="20"/>
              </w:rPr>
            </w:pPr>
          </w:p>
        </w:tc>
        <w:tc>
          <w:tcPr>
            <w:tcW w:w="0" w:type="auto"/>
            <w:tcMar>
              <w:left w:w="105" w:type="dxa"/>
              <w:right w:w="105" w:type="dxa"/>
            </w:tcMar>
          </w:tcPr>
          <w:p w14:paraId="593FE4CB" w14:textId="77777777" w:rsidR="19E58A0E" w:rsidRPr="00DD491E" w:rsidRDefault="00A007BB" w:rsidP="00A96928">
            <w:pPr>
              <w:spacing w:before="0" w:after="0" w:line="276" w:lineRule="auto"/>
              <w:rPr>
                <w:rStyle w:val="Strong"/>
                <w:rFonts w:eastAsia="Calibri" w:cstheme="minorHAnsi"/>
                <w:color w:val="495965"/>
                <w:sz w:val="20"/>
                <w:szCs w:val="20"/>
              </w:rPr>
            </w:pPr>
            <w:r w:rsidRPr="00DD491E">
              <w:rPr>
                <w:rStyle w:val="Strong"/>
                <w:rFonts w:eastAsia="Calibri" w:cstheme="minorHAnsi"/>
                <w:color w:val="495965"/>
                <w:sz w:val="20"/>
                <w:szCs w:val="20"/>
              </w:rPr>
              <w:t>30 Jun 2024</w:t>
            </w:r>
          </w:p>
          <w:p w14:paraId="44D0308A" w14:textId="77777777" w:rsidR="00772CB9" w:rsidRPr="00DD491E" w:rsidRDefault="00772CB9" w:rsidP="00A96928">
            <w:pPr>
              <w:spacing w:before="0" w:after="0" w:line="276" w:lineRule="auto"/>
              <w:rPr>
                <w:rStyle w:val="Strong"/>
                <w:rFonts w:eastAsia="Calibri" w:cstheme="minorHAnsi"/>
                <w:color w:val="495965"/>
                <w:sz w:val="20"/>
                <w:szCs w:val="20"/>
              </w:rPr>
            </w:pPr>
          </w:p>
          <w:p w14:paraId="78FFCEC5" w14:textId="77777777" w:rsidR="00772CB9" w:rsidRPr="00DD491E" w:rsidRDefault="00772CB9" w:rsidP="00A96928">
            <w:pPr>
              <w:spacing w:before="0" w:after="0" w:line="276" w:lineRule="auto"/>
              <w:rPr>
                <w:rStyle w:val="Strong"/>
                <w:rFonts w:eastAsia="Calibri" w:cstheme="minorHAnsi"/>
                <w:color w:val="495965"/>
                <w:sz w:val="20"/>
                <w:szCs w:val="20"/>
              </w:rPr>
            </w:pPr>
          </w:p>
          <w:p w14:paraId="569A2534" w14:textId="77777777" w:rsidR="00772CB9" w:rsidRPr="00DD491E" w:rsidRDefault="00772CB9" w:rsidP="00A96928">
            <w:pPr>
              <w:spacing w:before="0" w:after="0" w:line="276" w:lineRule="auto"/>
              <w:rPr>
                <w:rStyle w:val="Strong"/>
                <w:rFonts w:eastAsia="Calibri" w:cstheme="minorHAnsi"/>
                <w:color w:val="495965"/>
                <w:sz w:val="20"/>
                <w:szCs w:val="20"/>
              </w:rPr>
            </w:pPr>
          </w:p>
          <w:p w14:paraId="6C243867" w14:textId="77777777" w:rsidR="00772CB9" w:rsidRPr="00DD491E" w:rsidRDefault="00772CB9" w:rsidP="00A96928">
            <w:pPr>
              <w:spacing w:before="0" w:after="0" w:line="276" w:lineRule="auto"/>
              <w:rPr>
                <w:rStyle w:val="Strong"/>
                <w:rFonts w:eastAsia="Calibri" w:cstheme="minorHAnsi"/>
                <w:color w:val="495965"/>
                <w:sz w:val="20"/>
                <w:szCs w:val="20"/>
              </w:rPr>
            </w:pPr>
          </w:p>
          <w:p w14:paraId="165FA2B1" w14:textId="77777777" w:rsidR="00772CB9" w:rsidRPr="00DD491E" w:rsidRDefault="00772CB9" w:rsidP="00A96928">
            <w:pPr>
              <w:spacing w:before="0" w:after="0" w:line="276" w:lineRule="auto"/>
              <w:rPr>
                <w:rStyle w:val="Strong"/>
                <w:rFonts w:eastAsia="Calibri" w:cstheme="minorHAnsi"/>
                <w:color w:val="495965"/>
                <w:sz w:val="20"/>
                <w:szCs w:val="20"/>
              </w:rPr>
            </w:pPr>
          </w:p>
          <w:p w14:paraId="53B334EC" w14:textId="77777777" w:rsidR="00772CB9" w:rsidRPr="00DD491E" w:rsidRDefault="00772CB9" w:rsidP="00A96928">
            <w:pPr>
              <w:spacing w:before="0" w:after="0" w:line="276" w:lineRule="auto"/>
              <w:rPr>
                <w:rStyle w:val="Strong"/>
                <w:rFonts w:eastAsia="Calibri" w:cstheme="minorHAnsi"/>
                <w:color w:val="495965"/>
                <w:sz w:val="20"/>
                <w:szCs w:val="20"/>
              </w:rPr>
            </w:pPr>
          </w:p>
          <w:p w14:paraId="7669D6BE" w14:textId="77777777" w:rsidR="00772CB9" w:rsidRPr="00DD491E" w:rsidRDefault="00772CB9" w:rsidP="00A96928">
            <w:pPr>
              <w:spacing w:before="0" w:after="0" w:line="276" w:lineRule="auto"/>
              <w:rPr>
                <w:rStyle w:val="Strong"/>
                <w:rFonts w:eastAsia="Calibri" w:cstheme="minorHAnsi"/>
                <w:color w:val="495965"/>
                <w:sz w:val="20"/>
                <w:szCs w:val="20"/>
              </w:rPr>
            </w:pPr>
          </w:p>
          <w:p w14:paraId="2C89C3C0" w14:textId="77777777" w:rsidR="00772CB9" w:rsidRPr="00DD491E" w:rsidRDefault="00772CB9" w:rsidP="00A96928">
            <w:pPr>
              <w:spacing w:before="0" w:after="0" w:line="276" w:lineRule="auto"/>
              <w:rPr>
                <w:rStyle w:val="Strong"/>
                <w:rFonts w:eastAsia="Calibri" w:cstheme="minorHAnsi"/>
                <w:color w:val="495965"/>
                <w:sz w:val="20"/>
                <w:szCs w:val="20"/>
              </w:rPr>
            </w:pPr>
          </w:p>
          <w:p w14:paraId="4DC455A5" w14:textId="77777777" w:rsidR="00772CB9" w:rsidRPr="00DD491E" w:rsidRDefault="00772CB9" w:rsidP="00A96928">
            <w:pPr>
              <w:spacing w:before="0" w:after="0" w:line="276" w:lineRule="auto"/>
              <w:rPr>
                <w:rStyle w:val="Strong"/>
                <w:rFonts w:eastAsia="Calibri" w:cstheme="minorHAnsi"/>
                <w:color w:val="495965"/>
                <w:sz w:val="20"/>
                <w:szCs w:val="20"/>
              </w:rPr>
            </w:pPr>
          </w:p>
          <w:p w14:paraId="777F9A5A" w14:textId="77777777" w:rsidR="00772CB9" w:rsidRPr="00DD491E" w:rsidRDefault="00772CB9" w:rsidP="00A96928">
            <w:pPr>
              <w:spacing w:before="0" w:after="0" w:line="276" w:lineRule="auto"/>
              <w:rPr>
                <w:rStyle w:val="Strong"/>
                <w:rFonts w:eastAsia="Calibri" w:cstheme="minorHAnsi"/>
                <w:color w:val="495965"/>
                <w:sz w:val="20"/>
                <w:szCs w:val="20"/>
              </w:rPr>
            </w:pPr>
          </w:p>
          <w:p w14:paraId="4FF8AE6F" w14:textId="77777777" w:rsidR="00772CB9" w:rsidRPr="00DD491E" w:rsidRDefault="00772CB9" w:rsidP="00A96928">
            <w:pPr>
              <w:spacing w:before="0" w:after="0" w:line="276" w:lineRule="auto"/>
              <w:rPr>
                <w:rStyle w:val="Strong"/>
                <w:rFonts w:eastAsia="Calibri" w:cstheme="minorHAnsi"/>
                <w:color w:val="495965"/>
                <w:sz w:val="20"/>
                <w:szCs w:val="20"/>
              </w:rPr>
            </w:pPr>
          </w:p>
          <w:p w14:paraId="0D519F9E" w14:textId="77777777" w:rsidR="00772CB9" w:rsidRPr="00DD491E" w:rsidRDefault="00772CB9" w:rsidP="00A96928">
            <w:pPr>
              <w:spacing w:before="0" w:after="0" w:line="276" w:lineRule="auto"/>
              <w:rPr>
                <w:rStyle w:val="Strong"/>
                <w:rFonts w:eastAsia="Calibri" w:cstheme="minorHAnsi"/>
                <w:color w:val="495965"/>
                <w:sz w:val="20"/>
                <w:szCs w:val="20"/>
              </w:rPr>
            </w:pPr>
          </w:p>
          <w:p w14:paraId="19105B87" w14:textId="2C7E703F" w:rsidR="00772CB9" w:rsidRPr="00DD491E" w:rsidRDefault="00772CB9" w:rsidP="00A96928">
            <w:pPr>
              <w:spacing w:before="0" w:after="0" w:line="276" w:lineRule="auto"/>
              <w:rPr>
                <w:rStyle w:val="Strong"/>
                <w:rFonts w:eastAsia="Calibri" w:cstheme="minorHAnsi"/>
                <w:color w:val="495965"/>
                <w:sz w:val="20"/>
                <w:szCs w:val="20"/>
              </w:rPr>
            </w:pPr>
          </w:p>
        </w:tc>
      </w:tr>
      <w:tr w:rsidR="00794046" w:rsidRPr="00794046" w14:paraId="6EC394A8" w14:textId="77777777" w:rsidTr="3CC25135">
        <w:trPr>
          <w:trHeight w:val="300"/>
        </w:trPr>
        <w:tc>
          <w:tcPr>
            <w:tcW w:w="0" w:type="auto"/>
            <w:tcMar>
              <w:left w:w="105" w:type="dxa"/>
              <w:right w:w="105" w:type="dxa"/>
            </w:tcMar>
          </w:tcPr>
          <w:p w14:paraId="43676B69" w14:textId="05897740" w:rsidR="19E58A0E" w:rsidRPr="00DD491E" w:rsidRDefault="19E58A0E" w:rsidP="00A96928">
            <w:pPr>
              <w:spacing w:before="0" w:after="0" w:line="276" w:lineRule="auto"/>
              <w:rPr>
                <w:rFonts w:eastAsia="Calibri" w:cstheme="minorHAnsi"/>
                <w:color w:val="495965"/>
                <w:sz w:val="20"/>
                <w:szCs w:val="20"/>
              </w:rPr>
            </w:pPr>
            <w:r w:rsidRPr="00DD491E">
              <w:rPr>
                <w:rStyle w:val="Strong"/>
                <w:rFonts w:eastAsia="Calibri" w:cstheme="minorHAnsi"/>
                <w:b w:val="0"/>
                <w:bCs w:val="0"/>
                <w:color w:val="495965"/>
                <w:sz w:val="20"/>
                <w:szCs w:val="20"/>
              </w:rPr>
              <w:t>2c</w:t>
            </w:r>
          </w:p>
        </w:tc>
        <w:tc>
          <w:tcPr>
            <w:tcW w:w="0" w:type="auto"/>
            <w:tcMar>
              <w:left w:w="105" w:type="dxa"/>
              <w:right w:w="105" w:type="dxa"/>
            </w:tcMar>
          </w:tcPr>
          <w:p w14:paraId="059B3B6E" w14:textId="20571D55" w:rsidR="19E58A0E" w:rsidRPr="00DD491E" w:rsidRDefault="19E58A0E" w:rsidP="3CC25135">
            <w:pPr>
              <w:spacing w:before="0" w:after="0" w:line="276" w:lineRule="auto"/>
              <w:rPr>
                <w:rFonts w:eastAsia="Calibri"/>
                <w:color w:val="495965"/>
                <w:sz w:val="20"/>
                <w:szCs w:val="20"/>
              </w:rPr>
            </w:pPr>
            <w:r w:rsidRPr="3CC25135">
              <w:rPr>
                <w:rStyle w:val="Strong"/>
                <w:rFonts w:eastAsia="Calibri"/>
                <w:sz w:val="20"/>
                <w:szCs w:val="20"/>
              </w:rPr>
              <w:t>Regulatory cooperation (convergence, reliance, harmonisation etc):</w:t>
            </w:r>
            <w:r w:rsidRPr="3CC25135">
              <w:rPr>
                <w:rStyle w:val="Strong"/>
                <w:rFonts w:eastAsia="Calibri"/>
                <w:b w:val="0"/>
                <w:bCs w:val="0"/>
                <w:sz w:val="20"/>
                <w:szCs w:val="20"/>
              </w:rPr>
              <w:t xml:space="preserve"> TGA to support</w:t>
            </w:r>
            <w:r w:rsidRPr="3CC25135">
              <w:rPr>
                <w:rStyle w:val="Strong"/>
                <w:rFonts w:eastAsia="Calibri"/>
                <w:sz w:val="20"/>
                <w:szCs w:val="20"/>
              </w:rPr>
              <w:t xml:space="preserve"> </w:t>
            </w:r>
            <w:r w:rsidRPr="3CC25135">
              <w:rPr>
                <w:rStyle w:val="Strong"/>
                <w:rFonts w:eastAsia="Calibri"/>
                <w:b w:val="0"/>
                <w:bCs w:val="0"/>
                <w:sz w:val="20"/>
                <w:szCs w:val="20"/>
              </w:rPr>
              <w:t xml:space="preserve">existing processes </w:t>
            </w:r>
            <w:r w:rsidRPr="3CC25135">
              <w:rPr>
                <w:rStyle w:val="Strong"/>
                <w:rFonts w:eastAsia="Calibri"/>
                <w:b w:val="0"/>
                <w:bCs w:val="0"/>
                <w:sz w:val="20"/>
                <w:szCs w:val="20"/>
              </w:rPr>
              <w:lastRenderedPageBreak/>
              <w:t xml:space="preserve">for regional regulatory cooperation, including the </w:t>
            </w:r>
            <w:bookmarkStart w:id="9" w:name="_Int_kQMYF3hv"/>
            <w:r w:rsidRPr="3CC25135">
              <w:rPr>
                <w:rStyle w:val="Strong"/>
                <w:rFonts w:eastAsia="Calibri"/>
                <w:b w:val="0"/>
                <w:bCs w:val="0"/>
                <w:sz w:val="20"/>
                <w:szCs w:val="20"/>
              </w:rPr>
              <w:t>ASEAN</w:t>
            </w:r>
            <w:bookmarkEnd w:id="9"/>
            <w:r w:rsidRPr="3CC25135">
              <w:rPr>
                <w:rStyle w:val="Strong"/>
                <w:rFonts w:eastAsia="Calibri"/>
                <w:b w:val="0"/>
                <w:bCs w:val="0"/>
                <w:sz w:val="20"/>
                <w:szCs w:val="20"/>
              </w:rPr>
              <w:t xml:space="preserve"> </w:t>
            </w:r>
            <w:bookmarkStart w:id="10" w:name="_Int_4vGBuVtP"/>
            <w:r w:rsidRPr="3CC25135">
              <w:rPr>
                <w:rStyle w:val="Strong"/>
                <w:rFonts w:eastAsia="Calibri"/>
                <w:b w:val="0"/>
                <w:bCs w:val="0"/>
                <w:sz w:val="20"/>
                <w:szCs w:val="20"/>
              </w:rPr>
              <w:t>JACG</w:t>
            </w:r>
            <w:bookmarkEnd w:id="10"/>
            <w:r w:rsidRPr="3CC25135">
              <w:rPr>
                <w:rStyle w:val="Strong"/>
                <w:rFonts w:eastAsia="Calibri"/>
                <w:b w:val="0"/>
                <w:bCs w:val="0"/>
                <w:sz w:val="20"/>
                <w:szCs w:val="20"/>
              </w:rPr>
              <w:t xml:space="preserve"> and the </w:t>
            </w:r>
            <w:bookmarkStart w:id="11" w:name="_Int_zXGCDPo3"/>
            <w:r w:rsidRPr="3CC25135">
              <w:rPr>
                <w:rStyle w:val="Strong"/>
                <w:rFonts w:eastAsia="Calibri"/>
                <w:b w:val="0"/>
                <w:bCs w:val="0"/>
                <w:sz w:val="20"/>
                <w:szCs w:val="20"/>
              </w:rPr>
              <w:t>WHO</w:t>
            </w:r>
            <w:bookmarkEnd w:id="11"/>
            <w:r w:rsidRPr="3CC25135">
              <w:rPr>
                <w:rStyle w:val="Strong"/>
                <w:rFonts w:eastAsia="Calibri"/>
                <w:b w:val="0"/>
                <w:bCs w:val="0"/>
                <w:sz w:val="20"/>
                <w:szCs w:val="20"/>
              </w:rPr>
              <w:t xml:space="preserve"> Pacific Sub-Regional Platform.</w:t>
            </w:r>
          </w:p>
          <w:p w14:paraId="68DB4E82" w14:textId="4058E21A" w:rsidR="19E58A0E" w:rsidRPr="00DD491E" w:rsidRDefault="19E58A0E" w:rsidP="00A96928">
            <w:pPr>
              <w:spacing w:before="0" w:after="0" w:line="276" w:lineRule="auto"/>
              <w:rPr>
                <w:rFonts w:eastAsia="Calibri" w:cstheme="minorHAnsi"/>
                <w:color w:val="495965"/>
                <w:sz w:val="20"/>
                <w:szCs w:val="20"/>
              </w:rPr>
            </w:pPr>
            <w:r w:rsidRPr="00DD491E">
              <w:rPr>
                <w:rStyle w:val="Strong"/>
                <w:rFonts w:eastAsia="Calibri" w:cstheme="minorHAnsi"/>
                <w:b w:val="0"/>
                <w:bCs w:val="0"/>
                <w:color w:val="495965"/>
                <w:sz w:val="20"/>
                <w:szCs w:val="20"/>
              </w:rPr>
              <w:t xml:space="preserve">: TGA, with DFAT’s support, to work towards supporting other NRAs in the region as a more sustainable model of regulatory strengthening. </w:t>
            </w:r>
          </w:p>
          <w:p w14:paraId="4F06FB18" w14:textId="35BDDFAF" w:rsidR="19E58A0E" w:rsidRPr="00DD491E" w:rsidRDefault="19E58A0E" w:rsidP="00A96928">
            <w:pPr>
              <w:spacing w:before="0" w:after="0" w:line="276" w:lineRule="auto"/>
              <w:rPr>
                <w:rFonts w:eastAsia="Calibri" w:cstheme="minorHAnsi"/>
                <w:color w:val="495965"/>
                <w:sz w:val="20"/>
                <w:szCs w:val="20"/>
              </w:rPr>
            </w:pPr>
            <w:r w:rsidRPr="00DD491E">
              <w:rPr>
                <w:rStyle w:val="Strong"/>
                <w:rFonts w:eastAsia="Calibri" w:cstheme="minorHAnsi"/>
                <w:b w:val="0"/>
                <w:bCs w:val="0"/>
                <w:color w:val="495965"/>
                <w:sz w:val="20"/>
                <w:szCs w:val="20"/>
              </w:rPr>
              <w:t xml:space="preserve">: TGA to work with DFAT in providing input on any proposed regulatory legislative changes in partner countries that support convergence. </w:t>
            </w:r>
          </w:p>
          <w:p w14:paraId="1F252E9B" w14:textId="690A8ADA" w:rsidR="19E58A0E" w:rsidRPr="00DD491E" w:rsidRDefault="19E58A0E" w:rsidP="00A96928">
            <w:pPr>
              <w:spacing w:before="0" w:after="0" w:line="276" w:lineRule="auto"/>
              <w:rPr>
                <w:rFonts w:eastAsia="Calibri" w:cstheme="minorHAnsi"/>
                <w:color w:val="495965"/>
                <w:sz w:val="20"/>
                <w:szCs w:val="20"/>
              </w:rPr>
            </w:pPr>
            <w:r w:rsidRPr="00DD491E">
              <w:rPr>
                <w:rStyle w:val="Strong"/>
                <w:rFonts w:eastAsia="Calibri" w:cstheme="minorHAnsi"/>
                <w:b w:val="0"/>
                <w:bCs w:val="0"/>
                <w:color w:val="495965"/>
                <w:sz w:val="20"/>
                <w:szCs w:val="20"/>
              </w:rPr>
              <w:t>: DFAT to collaborate with other donors to strengthen regulatory cooperation through the regulatory providers’ forum (see below).</w:t>
            </w:r>
          </w:p>
          <w:p w14:paraId="428091DE" w14:textId="37D5F118" w:rsidR="19E58A0E" w:rsidRPr="00DD491E" w:rsidRDefault="19E58A0E" w:rsidP="00A96928">
            <w:pPr>
              <w:spacing w:before="0" w:after="0" w:line="276" w:lineRule="auto"/>
              <w:rPr>
                <w:rFonts w:eastAsia="Calibri" w:cstheme="minorHAnsi"/>
                <w:color w:val="495965"/>
                <w:sz w:val="20"/>
                <w:szCs w:val="20"/>
              </w:rPr>
            </w:pPr>
            <w:r w:rsidRPr="00DD491E">
              <w:rPr>
                <w:rStyle w:val="Strong"/>
                <w:rFonts w:eastAsia="Calibri" w:cstheme="minorHAnsi"/>
                <w:b w:val="0"/>
                <w:bCs w:val="0"/>
                <w:color w:val="495965"/>
                <w:sz w:val="20"/>
                <w:szCs w:val="20"/>
              </w:rPr>
              <w:t xml:space="preserve">: TGA to assess how to support the ASEAN Common Technical Document process. </w:t>
            </w:r>
          </w:p>
          <w:p w14:paraId="5EAF3962" w14:textId="10073B1D" w:rsidR="19E58A0E" w:rsidRPr="00DD491E" w:rsidRDefault="19E58A0E" w:rsidP="00A96928">
            <w:pPr>
              <w:spacing w:before="0" w:after="0" w:line="276" w:lineRule="auto"/>
              <w:rPr>
                <w:rFonts w:eastAsia="Calibri" w:cstheme="minorHAnsi"/>
                <w:color w:val="495965"/>
                <w:sz w:val="20"/>
                <w:szCs w:val="20"/>
              </w:rPr>
            </w:pPr>
            <w:r w:rsidRPr="00DD491E">
              <w:rPr>
                <w:rStyle w:val="Strong"/>
                <w:rFonts w:eastAsia="Calibri" w:cstheme="minorHAnsi"/>
                <w:b w:val="0"/>
                <w:bCs w:val="0"/>
                <w:color w:val="495965"/>
                <w:sz w:val="20"/>
                <w:szCs w:val="20"/>
              </w:rPr>
              <w:t>: TGA to support building of common capacity and understanding on risk management and assessments for MA of new products and PV planning.</w:t>
            </w:r>
          </w:p>
        </w:tc>
        <w:tc>
          <w:tcPr>
            <w:tcW w:w="0" w:type="auto"/>
            <w:shd w:val="clear" w:color="auto" w:fill="CDE2B9" w:themeFill="accent3" w:themeFillTint="99"/>
            <w:tcMar>
              <w:left w:w="105" w:type="dxa"/>
              <w:right w:w="105" w:type="dxa"/>
            </w:tcMar>
          </w:tcPr>
          <w:p w14:paraId="34434B52" w14:textId="5705569A" w:rsidR="19E58A0E" w:rsidRPr="002D4D51" w:rsidRDefault="363FFE3D" w:rsidP="382CE4C0">
            <w:pPr>
              <w:spacing w:before="0" w:after="0" w:line="276" w:lineRule="auto"/>
              <w:rPr>
                <w:rStyle w:val="Strong"/>
                <w:rFonts w:eastAsia="Calibri"/>
                <w:b w:val="0"/>
                <w:bCs w:val="0"/>
                <w:color w:val="495965"/>
                <w:sz w:val="20"/>
                <w:szCs w:val="20"/>
              </w:rPr>
            </w:pPr>
            <w:r w:rsidRPr="382CE4C0">
              <w:rPr>
                <w:rStyle w:val="Strong"/>
                <w:rFonts w:eastAsia="Calibri"/>
                <w:b w:val="0"/>
                <w:bCs w:val="0"/>
                <w:sz w:val="20"/>
                <w:szCs w:val="20"/>
              </w:rPr>
              <w:lastRenderedPageBreak/>
              <w:t xml:space="preserve">Partially </w:t>
            </w:r>
            <w:r w:rsidR="46895AE3" w:rsidRPr="382CE4C0">
              <w:rPr>
                <w:rStyle w:val="Strong"/>
                <w:rFonts w:eastAsia="Calibri"/>
                <w:b w:val="0"/>
                <w:bCs w:val="0"/>
                <w:sz w:val="20"/>
                <w:szCs w:val="20"/>
              </w:rPr>
              <w:t>agree</w:t>
            </w:r>
            <w:r w:rsidR="1710BF43" w:rsidRPr="382CE4C0">
              <w:rPr>
                <w:rStyle w:val="Strong"/>
                <w:rFonts w:eastAsia="Calibri"/>
                <w:b w:val="0"/>
                <w:bCs w:val="0"/>
                <w:sz w:val="20"/>
                <w:szCs w:val="20"/>
              </w:rPr>
              <w:t xml:space="preserve"> </w:t>
            </w:r>
          </w:p>
        </w:tc>
        <w:tc>
          <w:tcPr>
            <w:tcW w:w="0" w:type="auto"/>
            <w:tcMar>
              <w:left w:w="105" w:type="dxa"/>
              <w:right w:w="105" w:type="dxa"/>
            </w:tcMar>
          </w:tcPr>
          <w:p w14:paraId="469307CC" w14:textId="34D39DED" w:rsidR="00C85E0F" w:rsidRPr="002D4D51" w:rsidRDefault="75AD9985" w:rsidP="382CE4C0">
            <w:pPr>
              <w:spacing w:before="0" w:after="0" w:line="276" w:lineRule="auto"/>
              <w:rPr>
                <w:rStyle w:val="Strong"/>
                <w:rFonts w:eastAsia="Calibri"/>
                <w:b w:val="0"/>
                <w:bCs w:val="0"/>
                <w:color w:val="495965"/>
                <w:sz w:val="20"/>
                <w:szCs w:val="20"/>
              </w:rPr>
            </w:pPr>
            <w:r w:rsidRPr="3CC25135">
              <w:rPr>
                <w:rStyle w:val="Strong"/>
                <w:rFonts w:eastAsia="Calibri"/>
                <w:b w:val="0"/>
                <w:bCs w:val="0"/>
                <w:sz w:val="20"/>
                <w:szCs w:val="20"/>
              </w:rPr>
              <w:t xml:space="preserve">The </w:t>
            </w:r>
            <w:r w:rsidR="6E9E9199" w:rsidRPr="3CC25135">
              <w:rPr>
                <w:rStyle w:val="Strong"/>
                <w:rFonts w:eastAsia="Calibri"/>
                <w:b w:val="0"/>
                <w:bCs w:val="0"/>
                <w:sz w:val="20"/>
                <w:szCs w:val="20"/>
              </w:rPr>
              <w:t xml:space="preserve">TGA </w:t>
            </w:r>
            <w:r w:rsidR="4C8EEE1C" w:rsidRPr="3CC25135">
              <w:rPr>
                <w:rStyle w:val="Strong"/>
                <w:rFonts w:eastAsia="Calibri"/>
                <w:b w:val="0"/>
                <w:bCs w:val="0"/>
                <w:sz w:val="20"/>
                <w:szCs w:val="20"/>
              </w:rPr>
              <w:t xml:space="preserve">currently supports the </w:t>
            </w:r>
            <w:r w:rsidRPr="3CC25135">
              <w:rPr>
                <w:rStyle w:val="Strong"/>
                <w:rFonts w:eastAsia="Calibri"/>
                <w:b w:val="0"/>
                <w:bCs w:val="0"/>
                <w:sz w:val="20"/>
                <w:szCs w:val="20"/>
              </w:rPr>
              <w:t xml:space="preserve">WHO CRP, </w:t>
            </w:r>
            <w:r w:rsidR="4C8EEE1C" w:rsidRPr="3CC25135">
              <w:rPr>
                <w:rStyle w:val="Strong"/>
                <w:rFonts w:eastAsia="Calibri"/>
                <w:b w:val="0"/>
                <w:bCs w:val="0"/>
                <w:sz w:val="20"/>
                <w:szCs w:val="20"/>
              </w:rPr>
              <w:t xml:space="preserve">ASEAN JACG and WHO Pacific sub-regional platform. </w:t>
            </w:r>
            <w:r w:rsidR="7F2FF36C" w:rsidRPr="3CC25135">
              <w:rPr>
                <w:rStyle w:val="Strong"/>
                <w:rFonts w:eastAsia="Calibri"/>
                <w:b w:val="0"/>
                <w:bCs w:val="0"/>
                <w:sz w:val="20"/>
                <w:szCs w:val="20"/>
              </w:rPr>
              <w:t xml:space="preserve">The </w:t>
            </w:r>
            <w:r w:rsidR="6CF024FF" w:rsidRPr="3CC25135">
              <w:rPr>
                <w:rStyle w:val="Strong"/>
                <w:rFonts w:eastAsia="Calibri"/>
                <w:b w:val="0"/>
                <w:bCs w:val="0"/>
                <w:sz w:val="20"/>
                <w:szCs w:val="20"/>
              </w:rPr>
              <w:lastRenderedPageBreak/>
              <w:t xml:space="preserve">TGA has supported </w:t>
            </w:r>
            <w:bookmarkStart w:id="12" w:name="_Int_zNsc8mom"/>
            <w:proofErr w:type="gramStart"/>
            <w:r w:rsidR="6F38DF0F" w:rsidRPr="3CC25135">
              <w:rPr>
                <w:rStyle w:val="Strong"/>
                <w:rFonts w:eastAsia="Calibri"/>
                <w:b w:val="0"/>
                <w:bCs w:val="0"/>
                <w:sz w:val="20"/>
                <w:szCs w:val="20"/>
              </w:rPr>
              <w:t>a number of</w:t>
            </w:r>
            <w:bookmarkEnd w:id="12"/>
            <w:proofErr w:type="gramEnd"/>
            <w:r w:rsidR="6CF024FF" w:rsidRPr="3CC25135">
              <w:rPr>
                <w:rStyle w:val="Strong"/>
                <w:rFonts w:eastAsia="Calibri"/>
                <w:b w:val="0"/>
                <w:bCs w:val="0"/>
                <w:sz w:val="20"/>
                <w:szCs w:val="20"/>
              </w:rPr>
              <w:t xml:space="preserve"> ASEAN JA processes to date as the reference agency</w:t>
            </w:r>
            <w:r w:rsidR="62B87A27" w:rsidRPr="3CC25135">
              <w:rPr>
                <w:rStyle w:val="Strong"/>
                <w:rFonts w:eastAsia="Calibri"/>
                <w:b w:val="0"/>
                <w:bCs w:val="0"/>
                <w:sz w:val="20"/>
                <w:szCs w:val="20"/>
              </w:rPr>
              <w:t xml:space="preserve">, </w:t>
            </w:r>
            <w:r w:rsidR="6CF024FF" w:rsidRPr="3CC25135">
              <w:rPr>
                <w:rStyle w:val="Strong"/>
                <w:rFonts w:eastAsia="Calibri"/>
                <w:b w:val="0"/>
                <w:bCs w:val="0"/>
                <w:sz w:val="20"/>
                <w:szCs w:val="20"/>
              </w:rPr>
              <w:t xml:space="preserve">through the provision of </w:t>
            </w:r>
            <w:r w:rsidR="62B87A27" w:rsidRPr="3CC25135">
              <w:rPr>
                <w:rStyle w:val="Strong"/>
                <w:rFonts w:eastAsia="Calibri"/>
                <w:b w:val="0"/>
                <w:bCs w:val="0"/>
                <w:sz w:val="20"/>
                <w:szCs w:val="20"/>
              </w:rPr>
              <w:t xml:space="preserve">technical assistance </w:t>
            </w:r>
            <w:r w:rsidR="6CF024FF" w:rsidRPr="3CC25135">
              <w:rPr>
                <w:rStyle w:val="Strong"/>
                <w:rFonts w:eastAsia="Calibri"/>
                <w:b w:val="0"/>
                <w:bCs w:val="0"/>
                <w:sz w:val="20"/>
                <w:szCs w:val="20"/>
              </w:rPr>
              <w:t xml:space="preserve">to </w:t>
            </w:r>
            <w:r w:rsidR="62B87A27" w:rsidRPr="3CC25135">
              <w:rPr>
                <w:rStyle w:val="Strong"/>
                <w:rFonts w:eastAsia="Calibri"/>
                <w:b w:val="0"/>
                <w:bCs w:val="0"/>
                <w:sz w:val="20"/>
                <w:szCs w:val="20"/>
              </w:rPr>
              <w:t xml:space="preserve">the </w:t>
            </w:r>
            <w:r w:rsidR="6CF024FF" w:rsidRPr="3CC25135">
              <w:rPr>
                <w:rStyle w:val="Strong"/>
                <w:rFonts w:eastAsia="Calibri"/>
                <w:b w:val="0"/>
                <w:bCs w:val="0"/>
                <w:sz w:val="20"/>
                <w:szCs w:val="20"/>
              </w:rPr>
              <w:t xml:space="preserve">RSP countries involved. </w:t>
            </w:r>
          </w:p>
          <w:p w14:paraId="003CAA5C" w14:textId="32604D96" w:rsidR="00B93C84" w:rsidRPr="002D4D51" w:rsidRDefault="00B93C84" w:rsidP="00A96928">
            <w:pPr>
              <w:spacing w:before="0" w:after="0" w:line="276" w:lineRule="auto"/>
              <w:rPr>
                <w:rStyle w:val="Strong"/>
                <w:rFonts w:eastAsia="Calibri" w:cstheme="minorHAnsi"/>
                <w:b w:val="0"/>
                <w:bCs w:val="0"/>
                <w:color w:val="495965"/>
                <w:sz w:val="20"/>
                <w:szCs w:val="20"/>
              </w:rPr>
            </w:pPr>
          </w:p>
          <w:p w14:paraId="338D35E2" w14:textId="2151A4C1" w:rsidR="00B93C84" w:rsidRPr="002D4D51" w:rsidRDefault="62B87A27" w:rsidP="382CE4C0">
            <w:pPr>
              <w:spacing w:before="0" w:after="0" w:line="276" w:lineRule="auto"/>
              <w:rPr>
                <w:rStyle w:val="Strong"/>
                <w:rFonts w:eastAsia="Calibri"/>
                <w:b w:val="0"/>
                <w:bCs w:val="0"/>
                <w:color w:val="495965"/>
                <w:sz w:val="20"/>
                <w:szCs w:val="20"/>
              </w:rPr>
            </w:pPr>
            <w:r w:rsidRPr="382CE4C0">
              <w:rPr>
                <w:rStyle w:val="Strong"/>
                <w:rFonts w:eastAsia="Calibri"/>
                <w:b w:val="0"/>
                <w:bCs w:val="0"/>
                <w:sz w:val="20"/>
                <w:szCs w:val="20"/>
              </w:rPr>
              <w:t xml:space="preserve">The </w:t>
            </w:r>
            <w:r w:rsidR="6CF024FF" w:rsidRPr="382CE4C0">
              <w:rPr>
                <w:rStyle w:val="Strong"/>
                <w:rFonts w:eastAsia="Calibri"/>
                <w:b w:val="0"/>
                <w:bCs w:val="0"/>
                <w:sz w:val="20"/>
                <w:szCs w:val="20"/>
              </w:rPr>
              <w:t>TGA agrees that support can be given to other NRAs in the region to take on a lead role in the provision of technical assistance and regulatory strengthening</w:t>
            </w:r>
            <w:r w:rsidR="00B56E30">
              <w:rPr>
                <w:rStyle w:val="Strong"/>
                <w:rFonts w:eastAsia="Calibri"/>
                <w:b w:val="0"/>
                <w:bCs w:val="0"/>
                <w:sz w:val="20"/>
                <w:szCs w:val="20"/>
              </w:rPr>
              <w:t>,</w:t>
            </w:r>
            <w:r w:rsidR="15155DDB" w:rsidRPr="382CE4C0">
              <w:rPr>
                <w:rStyle w:val="Strong"/>
                <w:rFonts w:eastAsia="Calibri"/>
                <w:b w:val="0"/>
                <w:bCs w:val="0"/>
                <w:sz w:val="20"/>
                <w:szCs w:val="20"/>
              </w:rPr>
              <w:t xml:space="preserve"> where app</w:t>
            </w:r>
            <w:r w:rsidR="03272306" w:rsidRPr="382CE4C0">
              <w:rPr>
                <w:rStyle w:val="Strong"/>
                <w:rFonts w:eastAsia="Calibri"/>
                <w:b w:val="0"/>
                <w:bCs w:val="0"/>
                <w:sz w:val="20"/>
                <w:szCs w:val="20"/>
              </w:rPr>
              <w:t xml:space="preserve">ropriate. </w:t>
            </w:r>
          </w:p>
          <w:p w14:paraId="5FBE7876" w14:textId="77777777" w:rsidR="00D35D70" w:rsidRPr="00D35D70" w:rsidRDefault="00D35D70" w:rsidP="00D35D70">
            <w:pPr>
              <w:rPr>
                <w:rStyle w:val="Strong"/>
                <w:b w:val="0"/>
                <w:bCs w:val="0"/>
                <w:sz w:val="20"/>
                <w:szCs w:val="20"/>
              </w:rPr>
            </w:pPr>
            <w:r w:rsidRPr="00D35D70">
              <w:rPr>
                <w:rStyle w:val="Strong"/>
                <w:b w:val="0"/>
                <w:bCs w:val="0"/>
                <w:sz w:val="20"/>
                <w:szCs w:val="20"/>
              </w:rPr>
              <w:t>Upon request, the TGA currently provides support for legislative changes in partner countries and agrees that this should be continued to be offered as part of a regulatory strengthening program with due consideration to key stakeholders and policy settings.</w:t>
            </w:r>
          </w:p>
          <w:p w14:paraId="04F3B3A2" w14:textId="785D1581" w:rsidR="382CE4C0" w:rsidRPr="00D35D70" w:rsidRDefault="382CE4C0" w:rsidP="382CE4C0">
            <w:pPr>
              <w:spacing w:before="0" w:after="0" w:line="276" w:lineRule="auto"/>
              <w:rPr>
                <w:rStyle w:val="Strong"/>
                <w:rFonts w:eastAsia="Calibri"/>
                <w:b w:val="0"/>
                <w:bCs w:val="0"/>
                <w:sz w:val="20"/>
                <w:szCs w:val="20"/>
              </w:rPr>
            </w:pPr>
          </w:p>
          <w:p w14:paraId="2D9B4089" w14:textId="45464E00" w:rsidR="059FD70C" w:rsidRDefault="059FD70C" w:rsidP="382CE4C0">
            <w:pPr>
              <w:spacing w:before="0" w:after="0" w:line="276" w:lineRule="auto"/>
            </w:pPr>
            <w:r w:rsidRPr="382CE4C0">
              <w:rPr>
                <w:rStyle w:val="Strong"/>
                <w:rFonts w:eastAsia="Calibri"/>
                <w:b w:val="0"/>
                <w:bCs w:val="0"/>
                <w:sz w:val="20"/>
                <w:szCs w:val="20"/>
              </w:rPr>
              <w:t xml:space="preserve">Refer to </w:t>
            </w:r>
            <w:r w:rsidRPr="00EE39EA">
              <w:rPr>
                <w:rStyle w:val="Strong"/>
                <w:rFonts w:eastAsia="Calibri"/>
                <w:b w:val="0"/>
                <w:bCs w:val="0"/>
                <w:sz w:val="20"/>
                <w:szCs w:val="20"/>
              </w:rPr>
              <w:t xml:space="preserve">recommendation 4 for </w:t>
            </w:r>
            <w:r w:rsidR="00EE39EA" w:rsidRPr="00EE39EA">
              <w:rPr>
                <w:rStyle w:val="Strong"/>
                <w:rFonts w:eastAsia="Calibri"/>
                <w:b w:val="0"/>
                <w:bCs w:val="0"/>
                <w:sz w:val="20"/>
                <w:szCs w:val="20"/>
              </w:rPr>
              <w:t xml:space="preserve">the </w:t>
            </w:r>
            <w:r w:rsidRPr="00EE39EA">
              <w:rPr>
                <w:rStyle w:val="Strong"/>
                <w:rFonts w:eastAsia="Calibri"/>
                <w:b w:val="0"/>
                <w:bCs w:val="0"/>
                <w:sz w:val="20"/>
                <w:szCs w:val="20"/>
              </w:rPr>
              <w:t>TGA</w:t>
            </w:r>
            <w:r w:rsidRPr="382CE4C0">
              <w:rPr>
                <w:rStyle w:val="Strong"/>
                <w:rFonts w:eastAsia="Calibri"/>
                <w:b w:val="0"/>
                <w:bCs w:val="0"/>
                <w:sz w:val="20"/>
                <w:szCs w:val="20"/>
              </w:rPr>
              <w:t xml:space="preserve"> and DFAT</w:t>
            </w:r>
            <w:r w:rsidR="00EE39EA">
              <w:rPr>
                <w:rStyle w:val="Strong"/>
                <w:rFonts w:eastAsia="Calibri"/>
                <w:b w:val="0"/>
                <w:bCs w:val="0"/>
                <w:sz w:val="20"/>
                <w:szCs w:val="20"/>
              </w:rPr>
              <w:t>’</w:t>
            </w:r>
            <w:r w:rsidR="00EE39EA" w:rsidRPr="00EE39EA">
              <w:rPr>
                <w:rStyle w:val="Strong"/>
                <w:rFonts w:eastAsia="Calibri"/>
                <w:b w:val="0"/>
                <w:bCs w:val="0"/>
                <w:sz w:val="20"/>
                <w:szCs w:val="20"/>
              </w:rPr>
              <w:t>s</w:t>
            </w:r>
            <w:r w:rsidRPr="382CE4C0">
              <w:rPr>
                <w:rStyle w:val="Strong"/>
                <w:rFonts w:eastAsia="Calibri"/>
                <w:b w:val="0"/>
                <w:bCs w:val="0"/>
                <w:sz w:val="20"/>
                <w:szCs w:val="20"/>
              </w:rPr>
              <w:t xml:space="preserve"> views on donor collaboration. </w:t>
            </w:r>
          </w:p>
          <w:p w14:paraId="395683E3" w14:textId="470E5E3A" w:rsidR="00F87DB2" w:rsidRPr="002D4D51" w:rsidRDefault="00F87DB2" w:rsidP="00A96928">
            <w:pPr>
              <w:spacing w:before="0" w:after="0" w:line="276" w:lineRule="auto"/>
              <w:rPr>
                <w:rStyle w:val="Strong"/>
                <w:rFonts w:eastAsia="Calibri" w:cstheme="minorHAnsi"/>
                <w:b w:val="0"/>
                <w:bCs w:val="0"/>
                <w:color w:val="495965"/>
                <w:sz w:val="20"/>
                <w:szCs w:val="20"/>
              </w:rPr>
            </w:pPr>
          </w:p>
          <w:p w14:paraId="2FCF278C" w14:textId="1723CBBE" w:rsidR="009F024A" w:rsidRPr="002D4D51" w:rsidRDefault="009F024A" w:rsidP="3CC25135">
            <w:pPr>
              <w:spacing w:before="0" w:after="0" w:line="276" w:lineRule="auto"/>
              <w:rPr>
                <w:rStyle w:val="Strong"/>
                <w:rFonts w:eastAsia="Calibri"/>
                <w:b w:val="0"/>
                <w:bCs w:val="0"/>
                <w:color w:val="495965"/>
                <w:sz w:val="20"/>
                <w:szCs w:val="20"/>
              </w:rPr>
            </w:pPr>
            <w:r w:rsidRPr="3CC25135">
              <w:rPr>
                <w:rStyle w:val="Strong"/>
                <w:rFonts w:eastAsia="Calibri"/>
                <w:b w:val="0"/>
                <w:bCs w:val="0"/>
                <w:color w:val="495965"/>
                <w:sz w:val="20"/>
                <w:szCs w:val="20"/>
              </w:rPr>
              <w:t xml:space="preserve">The </w:t>
            </w:r>
            <w:r w:rsidR="0059111D" w:rsidRPr="3CC25135">
              <w:rPr>
                <w:rStyle w:val="Strong"/>
                <w:rFonts w:eastAsia="Calibri"/>
                <w:b w:val="0"/>
                <w:bCs w:val="0"/>
                <w:color w:val="495965"/>
                <w:sz w:val="20"/>
                <w:szCs w:val="20"/>
              </w:rPr>
              <w:t>ASEAN CTD (</w:t>
            </w:r>
            <w:r w:rsidRPr="3CC25135">
              <w:rPr>
                <w:rStyle w:val="Strong"/>
                <w:rFonts w:eastAsia="Calibri"/>
                <w:b w:val="0"/>
                <w:bCs w:val="0"/>
                <w:color w:val="495965"/>
                <w:sz w:val="20"/>
                <w:szCs w:val="20"/>
              </w:rPr>
              <w:t>ACTD</w:t>
            </w:r>
            <w:r w:rsidR="0059111D" w:rsidRPr="3CC25135">
              <w:rPr>
                <w:rStyle w:val="Strong"/>
                <w:rFonts w:eastAsia="Calibri"/>
                <w:b w:val="0"/>
                <w:bCs w:val="0"/>
                <w:color w:val="495965"/>
                <w:sz w:val="20"/>
                <w:szCs w:val="20"/>
              </w:rPr>
              <w:t>) and associated guidance documents</w:t>
            </w:r>
            <w:r w:rsidRPr="3CC25135">
              <w:rPr>
                <w:rStyle w:val="Strong"/>
                <w:rFonts w:eastAsia="Calibri"/>
                <w:b w:val="0"/>
                <w:bCs w:val="0"/>
                <w:color w:val="495965"/>
                <w:sz w:val="20"/>
                <w:szCs w:val="20"/>
              </w:rPr>
              <w:t xml:space="preserve"> </w:t>
            </w:r>
            <w:r w:rsidR="0059111D" w:rsidRPr="3CC25135">
              <w:rPr>
                <w:rStyle w:val="Strong"/>
                <w:rFonts w:eastAsia="Calibri"/>
                <w:b w:val="0"/>
                <w:bCs w:val="0"/>
                <w:color w:val="495965"/>
                <w:sz w:val="20"/>
                <w:szCs w:val="20"/>
              </w:rPr>
              <w:t xml:space="preserve">are </w:t>
            </w:r>
            <w:r w:rsidRPr="3CC25135">
              <w:rPr>
                <w:rStyle w:val="Strong"/>
                <w:rFonts w:eastAsia="Calibri"/>
                <w:b w:val="0"/>
                <w:bCs w:val="0"/>
                <w:color w:val="495965"/>
                <w:sz w:val="20"/>
                <w:szCs w:val="20"/>
              </w:rPr>
              <w:t xml:space="preserve">well established and adopted by all ASEAN countries. The TGA </w:t>
            </w:r>
            <w:bookmarkStart w:id="13" w:name="_Int_DOoP1f7X"/>
            <w:proofErr w:type="gramStart"/>
            <w:r w:rsidRPr="3CC25135">
              <w:rPr>
                <w:rStyle w:val="Strong"/>
                <w:rFonts w:eastAsia="Calibri"/>
                <w:b w:val="0"/>
                <w:bCs w:val="0"/>
                <w:color w:val="495965"/>
                <w:sz w:val="20"/>
                <w:szCs w:val="20"/>
              </w:rPr>
              <w:t>is able to</w:t>
            </w:r>
            <w:bookmarkEnd w:id="13"/>
            <w:proofErr w:type="gramEnd"/>
            <w:r w:rsidRPr="3CC25135">
              <w:rPr>
                <w:rStyle w:val="Strong"/>
                <w:rFonts w:eastAsia="Calibri"/>
                <w:b w:val="0"/>
                <w:bCs w:val="0"/>
                <w:color w:val="495965"/>
                <w:sz w:val="20"/>
                <w:szCs w:val="20"/>
              </w:rPr>
              <w:t xml:space="preserve"> offer support for the implementation of ASEAN </w:t>
            </w:r>
            <w:r w:rsidR="00857833" w:rsidRPr="3CC25135">
              <w:rPr>
                <w:rStyle w:val="Strong"/>
                <w:rFonts w:eastAsia="Calibri"/>
                <w:b w:val="0"/>
                <w:bCs w:val="0"/>
                <w:color w:val="495965"/>
                <w:sz w:val="20"/>
                <w:szCs w:val="20"/>
              </w:rPr>
              <w:t xml:space="preserve">and ICH </w:t>
            </w:r>
            <w:r w:rsidRPr="3CC25135">
              <w:rPr>
                <w:rStyle w:val="Strong"/>
                <w:rFonts w:eastAsia="Calibri"/>
                <w:b w:val="0"/>
                <w:bCs w:val="0"/>
                <w:color w:val="495965"/>
                <w:sz w:val="20"/>
                <w:szCs w:val="20"/>
              </w:rPr>
              <w:t xml:space="preserve">guidelines </w:t>
            </w:r>
            <w:r w:rsidR="00857833" w:rsidRPr="3CC25135">
              <w:rPr>
                <w:rStyle w:val="Strong"/>
                <w:rFonts w:eastAsia="Calibri"/>
                <w:b w:val="0"/>
                <w:bCs w:val="0"/>
                <w:color w:val="495965"/>
                <w:sz w:val="20"/>
                <w:szCs w:val="20"/>
              </w:rPr>
              <w:t xml:space="preserve">and their interpretation </w:t>
            </w:r>
            <w:r w:rsidRPr="3CC25135">
              <w:rPr>
                <w:rStyle w:val="Strong"/>
                <w:rFonts w:eastAsia="Calibri"/>
                <w:b w:val="0"/>
                <w:bCs w:val="0"/>
                <w:color w:val="495965"/>
                <w:sz w:val="20"/>
                <w:szCs w:val="20"/>
              </w:rPr>
              <w:t>by NRAs</w:t>
            </w:r>
            <w:r w:rsidR="00FE6914" w:rsidRPr="3CC25135">
              <w:rPr>
                <w:rStyle w:val="Strong"/>
                <w:rFonts w:eastAsia="Calibri"/>
                <w:b w:val="0"/>
                <w:bCs w:val="0"/>
                <w:color w:val="495965"/>
                <w:sz w:val="20"/>
                <w:szCs w:val="20"/>
              </w:rPr>
              <w:t>, where this is identified as a priority in country</w:t>
            </w:r>
            <w:r w:rsidR="1D7C9FF6" w:rsidRPr="3CC25135">
              <w:rPr>
                <w:rStyle w:val="Strong"/>
                <w:rFonts w:eastAsia="Calibri"/>
                <w:b w:val="0"/>
                <w:bCs w:val="0"/>
                <w:color w:val="495965"/>
                <w:sz w:val="20"/>
                <w:szCs w:val="20"/>
              </w:rPr>
              <w:t>-</w:t>
            </w:r>
            <w:r w:rsidR="00EE39EA">
              <w:rPr>
                <w:rStyle w:val="Strong"/>
                <w:rFonts w:eastAsia="Calibri" w:cstheme="minorHAnsi"/>
                <w:b w:val="0"/>
                <w:bCs w:val="0"/>
                <w:color w:val="495965"/>
                <w:sz w:val="20"/>
                <w:szCs w:val="20"/>
              </w:rPr>
              <w:noBreakHyphen/>
            </w:r>
            <w:r w:rsidR="00EE39EA" w:rsidRPr="3CC25135">
              <w:rPr>
                <w:rStyle w:val="Strong"/>
                <w:rFonts w:eastAsia="Calibri"/>
                <w:b w:val="0"/>
                <w:bCs w:val="0"/>
                <w:color w:val="495965"/>
                <w:sz w:val="20"/>
                <w:szCs w:val="20"/>
              </w:rPr>
              <w:t>specific</w:t>
            </w:r>
            <w:r w:rsidR="00EE39EA" w:rsidRPr="3CC25135">
              <w:rPr>
                <w:rStyle w:val="Strong"/>
                <w:rFonts w:eastAsia="Calibri"/>
                <w:color w:val="495965"/>
                <w:sz w:val="20"/>
                <w:szCs w:val="20"/>
              </w:rPr>
              <w:t xml:space="preserve"> </w:t>
            </w:r>
            <w:r w:rsidR="00FE6914" w:rsidRPr="3CC25135">
              <w:rPr>
                <w:rStyle w:val="Strong"/>
                <w:rFonts w:eastAsia="Calibri"/>
                <w:b w:val="0"/>
                <w:bCs w:val="0"/>
                <w:color w:val="495965"/>
                <w:sz w:val="20"/>
                <w:szCs w:val="20"/>
              </w:rPr>
              <w:t xml:space="preserve">work plans. </w:t>
            </w:r>
          </w:p>
          <w:p w14:paraId="262EF9DF" w14:textId="7334B1D5" w:rsidR="009F024A" w:rsidRPr="002D4D51" w:rsidRDefault="009F024A" w:rsidP="00A96928">
            <w:pPr>
              <w:spacing w:before="0" w:after="0" w:line="276" w:lineRule="auto"/>
              <w:rPr>
                <w:rStyle w:val="Strong"/>
                <w:rFonts w:eastAsia="Calibri" w:cstheme="minorHAnsi"/>
                <w:b w:val="0"/>
                <w:bCs w:val="0"/>
                <w:color w:val="495965"/>
                <w:sz w:val="20"/>
                <w:szCs w:val="20"/>
              </w:rPr>
            </w:pPr>
          </w:p>
          <w:p w14:paraId="2EA6E874" w14:textId="680A9D04" w:rsidR="19E58A0E" w:rsidRPr="002D4D51" w:rsidRDefault="00B66A5A" w:rsidP="3CC25135">
            <w:pPr>
              <w:spacing w:before="0" w:after="0" w:line="276" w:lineRule="auto"/>
              <w:rPr>
                <w:rStyle w:val="Strong"/>
                <w:rFonts w:eastAsia="Calibri"/>
                <w:b w:val="0"/>
                <w:bCs w:val="0"/>
                <w:color w:val="495965"/>
                <w:sz w:val="20"/>
                <w:szCs w:val="20"/>
              </w:rPr>
            </w:pPr>
            <w:r w:rsidRPr="3CC25135">
              <w:rPr>
                <w:rStyle w:val="Strong"/>
                <w:rFonts w:eastAsia="Calibri"/>
                <w:b w:val="0"/>
                <w:bCs w:val="0"/>
                <w:color w:val="495965"/>
                <w:sz w:val="20"/>
                <w:szCs w:val="20"/>
              </w:rPr>
              <w:t xml:space="preserve">The </w:t>
            </w:r>
            <w:r w:rsidR="009F024A" w:rsidRPr="3CC25135">
              <w:rPr>
                <w:rStyle w:val="Strong"/>
                <w:rFonts w:eastAsia="Calibri"/>
                <w:b w:val="0"/>
                <w:bCs w:val="0"/>
                <w:color w:val="495965"/>
                <w:sz w:val="20"/>
                <w:szCs w:val="20"/>
              </w:rPr>
              <w:t xml:space="preserve">TGA </w:t>
            </w:r>
            <w:r w:rsidR="00C66B97" w:rsidRPr="3CC25135">
              <w:rPr>
                <w:rStyle w:val="Strong"/>
                <w:rFonts w:eastAsia="Calibri"/>
                <w:b w:val="0"/>
                <w:bCs w:val="0"/>
                <w:color w:val="495965"/>
                <w:sz w:val="20"/>
                <w:szCs w:val="20"/>
              </w:rPr>
              <w:t xml:space="preserve">and DFAT </w:t>
            </w:r>
            <w:r w:rsidR="009F024A" w:rsidRPr="3CC25135">
              <w:rPr>
                <w:rStyle w:val="Strong"/>
                <w:rFonts w:eastAsia="Calibri"/>
                <w:b w:val="0"/>
                <w:bCs w:val="0"/>
                <w:color w:val="495965"/>
                <w:sz w:val="20"/>
                <w:szCs w:val="20"/>
              </w:rPr>
              <w:t xml:space="preserve">agree that support should be given to </w:t>
            </w:r>
            <w:r w:rsidR="009F024A" w:rsidRPr="3CC25135">
              <w:rPr>
                <w:rFonts w:eastAsia="Calibri"/>
                <w:color w:val="495965"/>
                <w:sz w:val="20"/>
                <w:szCs w:val="20"/>
              </w:rPr>
              <w:t xml:space="preserve">build an understanding of risk </w:t>
            </w:r>
            <w:r w:rsidR="009F024A" w:rsidRPr="3CC25135">
              <w:rPr>
                <w:rFonts w:eastAsia="Calibri"/>
                <w:color w:val="495965"/>
                <w:sz w:val="20"/>
                <w:szCs w:val="20"/>
              </w:rPr>
              <w:lastRenderedPageBreak/>
              <w:t xml:space="preserve">management and assessments for MA of new products and </w:t>
            </w:r>
            <w:r w:rsidR="00857833" w:rsidRPr="3CC25135">
              <w:rPr>
                <w:rFonts w:eastAsia="Calibri"/>
                <w:color w:val="495965"/>
                <w:sz w:val="20"/>
                <w:szCs w:val="20"/>
              </w:rPr>
              <w:t>p</w:t>
            </w:r>
            <w:r w:rsidR="00857833" w:rsidRPr="002D4D51">
              <w:rPr>
                <w:sz w:val="20"/>
                <w:szCs w:val="20"/>
              </w:rPr>
              <w:t>harmacovigilance (</w:t>
            </w:r>
            <w:r w:rsidR="009F024A" w:rsidRPr="3CC25135">
              <w:rPr>
                <w:rFonts w:eastAsia="Calibri"/>
                <w:color w:val="495965"/>
                <w:sz w:val="20"/>
                <w:szCs w:val="20"/>
              </w:rPr>
              <w:t>PV</w:t>
            </w:r>
            <w:r w:rsidR="00857833" w:rsidRPr="3CC25135">
              <w:rPr>
                <w:rFonts w:eastAsia="Calibri"/>
                <w:color w:val="495965"/>
                <w:sz w:val="20"/>
                <w:szCs w:val="20"/>
              </w:rPr>
              <w:t xml:space="preserve">) </w:t>
            </w:r>
            <w:r w:rsidR="009F024A" w:rsidRPr="3CC25135">
              <w:rPr>
                <w:rFonts w:eastAsia="Calibri"/>
                <w:color w:val="495965"/>
                <w:sz w:val="20"/>
                <w:szCs w:val="20"/>
              </w:rPr>
              <w:t>planning. All technical assistance provided through the program has a focus on risk</w:t>
            </w:r>
            <w:r w:rsidR="643D1D42" w:rsidRPr="3CC25135">
              <w:rPr>
                <w:rFonts w:eastAsia="Calibri"/>
                <w:color w:val="495965"/>
                <w:sz w:val="20"/>
                <w:szCs w:val="20"/>
              </w:rPr>
              <w:t>-</w:t>
            </w:r>
            <w:r w:rsidRPr="00627CF7">
              <w:rPr>
                <w:rFonts w:eastAsia="Calibri" w:cstheme="minorHAnsi"/>
                <w:color w:val="495965"/>
                <w:sz w:val="20"/>
                <w:szCs w:val="20"/>
              </w:rPr>
              <w:noBreakHyphen/>
            </w:r>
            <w:r w:rsidR="009F024A" w:rsidRPr="3CC25135">
              <w:rPr>
                <w:rFonts w:eastAsia="Calibri"/>
                <w:color w:val="495965"/>
                <w:sz w:val="20"/>
                <w:szCs w:val="20"/>
              </w:rPr>
              <w:t>based decision making and mitigating risks for all products</w:t>
            </w:r>
            <w:r w:rsidR="00857833" w:rsidRPr="3CC25135">
              <w:rPr>
                <w:rFonts w:eastAsia="Calibri"/>
                <w:color w:val="495965"/>
                <w:sz w:val="20"/>
                <w:szCs w:val="20"/>
              </w:rPr>
              <w:t xml:space="preserve"> </w:t>
            </w:r>
            <w:r w:rsidR="00857833" w:rsidRPr="002D4D51">
              <w:rPr>
                <w:sz w:val="20"/>
                <w:szCs w:val="20"/>
              </w:rPr>
              <w:t>in the interests of public health and safety</w:t>
            </w:r>
            <w:r w:rsidR="009F024A" w:rsidRPr="3CC25135">
              <w:rPr>
                <w:rFonts w:eastAsia="Calibri"/>
                <w:color w:val="495965"/>
                <w:sz w:val="20"/>
                <w:szCs w:val="20"/>
              </w:rPr>
              <w:t xml:space="preserve">. PV continues to be a focus of the program with PV systems strengthening a key item for future </w:t>
            </w:r>
            <w:r w:rsidR="004F0ABC" w:rsidRPr="3CC25135">
              <w:rPr>
                <w:rFonts w:eastAsia="Calibri"/>
                <w:color w:val="495965"/>
                <w:sz w:val="20"/>
                <w:szCs w:val="20"/>
              </w:rPr>
              <w:t xml:space="preserve">programming. </w:t>
            </w:r>
          </w:p>
        </w:tc>
        <w:tc>
          <w:tcPr>
            <w:tcW w:w="0" w:type="auto"/>
            <w:tcMar>
              <w:left w:w="105" w:type="dxa"/>
              <w:right w:w="105" w:type="dxa"/>
            </w:tcMar>
          </w:tcPr>
          <w:p w14:paraId="2E754B76" w14:textId="2616C071" w:rsidR="19E58A0E" w:rsidRPr="002D4D51" w:rsidRDefault="00857833" w:rsidP="00A96928">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lastRenderedPageBreak/>
              <w:t xml:space="preserve">The </w:t>
            </w:r>
            <w:r w:rsidR="003F694A" w:rsidRPr="002D4D51">
              <w:rPr>
                <w:rStyle w:val="Strong"/>
                <w:rFonts w:eastAsia="Calibri" w:cstheme="minorHAnsi"/>
                <w:color w:val="495965"/>
                <w:sz w:val="20"/>
                <w:szCs w:val="20"/>
              </w:rPr>
              <w:t xml:space="preserve">TGA </w:t>
            </w:r>
            <w:r w:rsidR="00990776">
              <w:rPr>
                <w:rStyle w:val="Strong"/>
                <w:rFonts w:eastAsia="Calibri" w:cstheme="minorHAnsi"/>
                <w:color w:val="495965"/>
                <w:sz w:val="20"/>
                <w:szCs w:val="20"/>
              </w:rPr>
              <w:t>will</w:t>
            </w:r>
            <w:r w:rsidR="003F694A" w:rsidRPr="002D4D51">
              <w:rPr>
                <w:rStyle w:val="Strong"/>
                <w:rFonts w:eastAsia="Calibri" w:cstheme="minorHAnsi"/>
                <w:color w:val="495965"/>
                <w:sz w:val="20"/>
                <w:szCs w:val="20"/>
              </w:rPr>
              <w:t xml:space="preserve"> continue to support the </w:t>
            </w:r>
            <w:r w:rsidR="001F3C41">
              <w:rPr>
                <w:rStyle w:val="Strong"/>
                <w:rFonts w:eastAsia="Calibri" w:cstheme="minorHAnsi"/>
                <w:color w:val="495965"/>
                <w:sz w:val="20"/>
                <w:szCs w:val="20"/>
              </w:rPr>
              <w:t xml:space="preserve">WHO CRP, </w:t>
            </w:r>
            <w:r w:rsidR="003F694A" w:rsidRPr="002D4D51">
              <w:rPr>
                <w:rStyle w:val="Strong"/>
                <w:rFonts w:eastAsia="Calibri" w:cstheme="minorHAnsi"/>
                <w:color w:val="495965"/>
                <w:sz w:val="20"/>
                <w:szCs w:val="20"/>
              </w:rPr>
              <w:t xml:space="preserve">ASEAN </w:t>
            </w:r>
            <w:proofErr w:type="gramStart"/>
            <w:r w:rsidR="003F694A" w:rsidRPr="002D4D51">
              <w:rPr>
                <w:rStyle w:val="Strong"/>
                <w:rFonts w:eastAsia="Calibri" w:cstheme="minorHAnsi"/>
                <w:color w:val="495965"/>
                <w:sz w:val="20"/>
                <w:szCs w:val="20"/>
              </w:rPr>
              <w:t>JACG</w:t>
            </w:r>
            <w:proofErr w:type="gramEnd"/>
            <w:r w:rsidR="003F694A" w:rsidRPr="002D4D51">
              <w:rPr>
                <w:rStyle w:val="Strong"/>
                <w:rFonts w:eastAsia="Calibri" w:cstheme="minorHAnsi"/>
                <w:color w:val="495965"/>
                <w:sz w:val="20"/>
                <w:szCs w:val="20"/>
              </w:rPr>
              <w:t xml:space="preserve"> and </w:t>
            </w:r>
            <w:r>
              <w:rPr>
                <w:rStyle w:val="Strong"/>
                <w:rFonts w:eastAsia="Calibri" w:cstheme="minorHAnsi"/>
                <w:color w:val="495965"/>
                <w:sz w:val="20"/>
                <w:szCs w:val="20"/>
              </w:rPr>
              <w:t xml:space="preserve">the </w:t>
            </w:r>
            <w:r>
              <w:rPr>
                <w:rStyle w:val="Strong"/>
                <w:rFonts w:eastAsia="Calibri" w:cstheme="minorHAnsi"/>
                <w:color w:val="495965"/>
                <w:sz w:val="20"/>
                <w:szCs w:val="20"/>
              </w:rPr>
              <w:t xml:space="preserve">development of the </w:t>
            </w:r>
            <w:r w:rsidR="003F694A" w:rsidRPr="002D4D51">
              <w:rPr>
                <w:rStyle w:val="Strong"/>
                <w:rFonts w:eastAsia="Calibri" w:cstheme="minorHAnsi"/>
                <w:color w:val="495965"/>
                <w:sz w:val="20"/>
                <w:szCs w:val="20"/>
              </w:rPr>
              <w:t>WHO Pacific sub</w:t>
            </w:r>
            <w:r>
              <w:rPr>
                <w:rStyle w:val="Strong"/>
                <w:rFonts w:eastAsia="Calibri" w:cstheme="minorHAnsi"/>
                <w:color w:val="495965"/>
                <w:sz w:val="20"/>
                <w:szCs w:val="20"/>
              </w:rPr>
              <w:noBreakHyphen/>
            </w:r>
            <w:r w:rsidR="003F694A" w:rsidRPr="002D4D51">
              <w:rPr>
                <w:rStyle w:val="Strong"/>
                <w:rFonts w:eastAsia="Calibri" w:cstheme="minorHAnsi"/>
                <w:color w:val="495965"/>
                <w:sz w:val="20"/>
                <w:szCs w:val="20"/>
              </w:rPr>
              <w:t xml:space="preserve">regional platform. </w:t>
            </w:r>
          </w:p>
          <w:p w14:paraId="035C6E26" w14:textId="77777777" w:rsidR="003F694A" w:rsidRPr="002D4D51" w:rsidRDefault="003F694A" w:rsidP="00A96928">
            <w:pPr>
              <w:spacing w:before="0" w:after="0" w:line="276" w:lineRule="auto"/>
              <w:rPr>
                <w:rStyle w:val="Strong"/>
                <w:rFonts w:eastAsia="Calibri" w:cstheme="minorHAnsi"/>
                <w:color w:val="495965"/>
                <w:sz w:val="20"/>
                <w:szCs w:val="20"/>
              </w:rPr>
            </w:pPr>
          </w:p>
          <w:p w14:paraId="1D852600" w14:textId="37010018" w:rsidR="003F694A" w:rsidRPr="00AB6B62" w:rsidRDefault="00857833" w:rsidP="00A96928">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 xml:space="preserve">The </w:t>
            </w:r>
            <w:r w:rsidR="003F694A" w:rsidRPr="002D4D51">
              <w:rPr>
                <w:rStyle w:val="Strong"/>
                <w:rFonts w:eastAsia="Calibri" w:cstheme="minorHAnsi"/>
                <w:color w:val="495965"/>
                <w:sz w:val="20"/>
                <w:szCs w:val="20"/>
              </w:rPr>
              <w:t xml:space="preserve">TGA </w:t>
            </w:r>
            <w:r w:rsidR="00990776">
              <w:rPr>
                <w:rStyle w:val="Strong"/>
                <w:rFonts w:eastAsia="Calibri" w:cstheme="minorHAnsi"/>
                <w:color w:val="495965"/>
                <w:sz w:val="20"/>
                <w:szCs w:val="20"/>
              </w:rPr>
              <w:t>will</w:t>
            </w:r>
            <w:r w:rsidR="003F694A" w:rsidRPr="002D4D51">
              <w:rPr>
                <w:rStyle w:val="Strong"/>
                <w:rFonts w:eastAsia="Calibri" w:cstheme="minorHAnsi"/>
                <w:color w:val="495965"/>
                <w:sz w:val="20"/>
                <w:szCs w:val="20"/>
              </w:rPr>
              <w:t xml:space="preserve"> work with DFAT and other regional partners (</w:t>
            </w:r>
            <w:r w:rsidR="009F4320">
              <w:rPr>
                <w:rStyle w:val="Strong"/>
                <w:rFonts w:eastAsia="Calibri" w:cstheme="minorHAnsi"/>
                <w:color w:val="495965"/>
                <w:sz w:val="20"/>
                <w:szCs w:val="20"/>
              </w:rPr>
              <w:t xml:space="preserve">especially the </w:t>
            </w:r>
            <w:r w:rsidR="003F694A" w:rsidRPr="002D4D51">
              <w:rPr>
                <w:rStyle w:val="Strong"/>
                <w:rFonts w:eastAsia="Calibri" w:cstheme="minorHAnsi"/>
                <w:color w:val="495965"/>
                <w:sz w:val="20"/>
                <w:szCs w:val="20"/>
              </w:rPr>
              <w:t>WHO</w:t>
            </w:r>
            <w:r>
              <w:rPr>
                <w:rStyle w:val="Strong"/>
                <w:rFonts w:eastAsia="Calibri" w:cstheme="minorHAnsi"/>
                <w:color w:val="495965"/>
                <w:sz w:val="20"/>
                <w:szCs w:val="20"/>
              </w:rPr>
              <w:t xml:space="preserve"> and other regulators engaged in regulatory strengthening activities in the region</w:t>
            </w:r>
            <w:r w:rsidR="003F694A" w:rsidRPr="00AB6B62">
              <w:rPr>
                <w:rStyle w:val="Strong"/>
                <w:rFonts w:eastAsia="Calibri" w:cstheme="minorHAnsi"/>
                <w:color w:val="495965"/>
                <w:sz w:val="20"/>
                <w:szCs w:val="20"/>
              </w:rPr>
              <w:t xml:space="preserve">) to consider how other NRAs in the region can be engaged to take on a lead role in the provision of technical assistance. </w:t>
            </w:r>
          </w:p>
          <w:p w14:paraId="26EC8B3A" w14:textId="77777777" w:rsidR="003F694A" w:rsidRPr="00AB6B62" w:rsidRDefault="003F694A" w:rsidP="00A96928">
            <w:pPr>
              <w:spacing w:before="0" w:after="0" w:line="276" w:lineRule="auto"/>
              <w:rPr>
                <w:rStyle w:val="Strong"/>
                <w:rFonts w:eastAsia="Calibri" w:cstheme="minorHAnsi"/>
                <w:color w:val="495965"/>
                <w:sz w:val="20"/>
                <w:szCs w:val="20"/>
              </w:rPr>
            </w:pPr>
          </w:p>
          <w:p w14:paraId="50D34D4A" w14:textId="113EDC3A" w:rsidR="003F694A" w:rsidRPr="00AB6B62" w:rsidRDefault="003F694A" w:rsidP="00A96928">
            <w:pPr>
              <w:spacing w:before="0" w:after="0" w:line="276" w:lineRule="auto"/>
              <w:rPr>
                <w:rStyle w:val="Strong"/>
                <w:rFonts w:eastAsia="Calibri" w:cstheme="minorHAnsi"/>
                <w:color w:val="495965"/>
                <w:sz w:val="20"/>
                <w:szCs w:val="20"/>
              </w:rPr>
            </w:pPr>
          </w:p>
        </w:tc>
        <w:tc>
          <w:tcPr>
            <w:tcW w:w="0" w:type="auto"/>
            <w:tcMar>
              <w:left w:w="105" w:type="dxa"/>
              <w:right w:w="105" w:type="dxa"/>
            </w:tcMar>
          </w:tcPr>
          <w:p w14:paraId="71826EEB" w14:textId="77777777" w:rsidR="19E58A0E" w:rsidRPr="00AB6B62" w:rsidRDefault="00B32690" w:rsidP="00A96928">
            <w:pPr>
              <w:spacing w:before="0" w:after="0" w:line="276" w:lineRule="auto"/>
              <w:rPr>
                <w:rStyle w:val="Strong"/>
                <w:rFonts w:eastAsia="Calibri" w:cstheme="minorHAnsi"/>
                <w:color w:val="495965"/>
                <w:sz w:val="20"/>
                <w:szCs w:val="20"/>
              </w:rPr>
            </w:pPr>
            <w:r w:rsidRPr="00AB6B62">
              <w:rPr>
                <w:rStyle w:val="Strong"/>
                <w:rFonts w:eastAsia="Calibri" w:cstheme="minorHAnsi"/>
                <w:color w:val="495965"/>
                <w:sz w:val="20"/>
                <w:szCs w:val="20"/>
              </w:rPr>
              <w:lastRenderedPageBreak/>
              <w:t>Ongoing</w:t>
            </w:r>
          </w:p>
          <w:p w14:paraId="72FE38C5" w14:textId="77777777" w:rsidR="003453D9" w:rsidRPr="00AB6B62" w:rsidRDefault="003453D9" w:rsidP="00A96928">
            <w:pPr>
              <w:spacing w:before="0" w:after="0" w:line="276" w:lineRule="auto"/>
              <w:rPr>
                <w:rStyle w:val="Strong"/>
                <w:rFonts w:eastAsia="Calibri" w:cstheme="minorHAnsi"/>
                <w:color w:val="495965"/>
                <w:sz w:val="20"/>
                <w:szCs w:val="20"/>
              </w:rPr>
            </w:pPr>
          </w:p>
          <w:p w14:paraId="0775611C" w14:textId="77777777" w:rsidR="003453D9" w:rsidRPr="00AB6B62" w:rsidRDefault="003453D9" w:rsidP="00A96928">
            <w:pPr>
              <w:spacing w:before="0" w:after="0" w:line="276" w:lineRule="auto"/>
              <w:rPr>
                <w:rStyle w:val="Strong"/>
                <w:rFonts w:eastAsia="Calibri" w:cstheme="minorHAnsi"/>
                <w:color w:val="495965"/>
                <w:sz w:val="20"/>
                <w:szCs w:val="20"/>
              </w:rPr>
            </w:pPr>
          </w:p>
          <w:p w14:paraId="581808EE" w14:textId="77777777" w:rsidR="003453D9" w:rsidRPr="00AB6B62" w:rsidRDefault="003453D9" w:rsidP="00A96928">
            <w:pPr>
              <w:spacing w:before="0" w:after="0" w:line="276" w:lineRule="auto"/>
              <w:rPr>
                <w:rStyle w:val="Strong"/>
                <w:rFonts w:eastAsia="Calibri" w:cstheme="minorHAnsi"/>
                <w:color w:val="495965"/>
                <w:sz w:val="20"/>
                <w:szCs w:val="20"/>
              </w:rPr>
            </w:pPr>
          </w:p>
          <w:p w14:paraId="2E137EA4" w14:textId="756B58CB" w:rsidR="3CC25135" w:rsidRDefault="3CC25135" w:rsidP="3CC25135">
            <w:pPr>
              <w:spacing w:before="0" w:after="0" w:line="276" w:lineRule="auto"/>
              <w:rPr>
                <w:rStyle w:val="Strong"/>
                <w:rFonts w:eastAsia="Calibri"/>
                <w:sz w:val="20"/>
                <w:szCs w:val="20"/>
              </w:rPr>
            </w:pPr>
          </w:p>
          <w:p w14:paraId="76B93696" w14:textId="77777777" w:rsidR="003453D9" w:rsidRPr="00AB6B62" w:rsidRDefault="003453D9" w:rsidP="00A96928">
            <w:pPr>
              <w:spacing w:before="0" w:after="0" w:line="276" w:lineRule="auto"/>
              <w:rPr>
                <w:rStyle w:val="Strong"/>
                <w:rFonts w:eastAsia="Calibri" w:cstheme="minorHAnsi"/>
                <w:color w:val="495965"/>
                <w:sz w:val="20"/>
                <w:szCs w:val="20"/>
              </w:rPr>
            </w:pPr>
            <w:r w:rsidRPr="00AB6B62">
              <w:rPr>
                <w:rStyle w:val="Strong"/>
                <w:rFonts w:eastAsia="Calibri" w:cstheme="minorHAnsi"/>
                <w:color w:val="495965"/>
                <w:sz w:val="20"/>
                <w:szCs w:val="20"/>
              </w:rPr>
              <w:t>30 Jun 2025</w:t>
            </w:r>
          </w:p>
          <w:p w14:paraId="7A33AD9D" w14:textId="77777777" w:rsidR="009E14D6" w:rsidRPr="00AB6B62" w:rsidRDefault="009E14D6" w:rsidP="00A96928">
            <w:pPr>
              <w:spacing w:before="0" w:after="0" w:line="276" w:lineRule="auto"/>
              <w:rPr>
                <w:rStyle w:val="Strong"/>
                <w:rFonts w:eastAsia="Calibri" w:cstheme="minorHAnsi"/>
                <w:color w:val="495965"/>
                <w:sz w:val="20"/>
                <w:szCs w:val="20"/>
              </w:rPr>
            </w:pPr>
          </w:p>
          <w:p w14:paraId="0EEA7EE9" w14:textId="77777777" w:rsidR="009E14D6" w:rsidRPr="00AB6B62" w:rsidRDefault="009E14D6" w:rsidP="00A96928">
            <w:pPr>
              <w:spacing w:before="0" w:after="0" w:line="276" w:lineRule="auto"/>
              <w:rPr>
                <w:rStyle w:val="Strong"/>
                <w:rFonts w:eastAsia="Calibri" w:cstheme="minorHAnsi"/>
                <w:color w:val="495965"/>
                <w:sz w:val="20"/>
                <w:szCs w:val="20"/>
              </w:rPr>
            </w:pPr>
          </w:p>
          <w:p w14:paraId="6298FA95" w14:textId="77777777" w:rsidR="009E14D6" w:rsidRPr="00AB6B62" w:rsidRDefault="009E14D6" w:rsidP="00A96928">
            <w:pPr>
              <w:spacing w:before="0" w:after="0" w:line="276" w:lineRule="auto"/>
              <w:rPr>
                <w:rStyle w:val="Strong"/>
                <w:rFonts w:eastAsia="Calibri" w:cstheme="minorHAnsi"/>
                <w:color w:val="495965"/>
                <w:sz w:val="20"/>
                <w:szCs w:val="20"/>
              </w:rPr>
            </w:pPr>
          </w:p>
          <w:p w14:paraId="496070A8" w14:textId="33935891" w:rsidR="009E14D6" w:rsidRPr="00AB6B62" w:rsidRDefault="009E14D6" w:rsidP="00A96928">
            <w:pPr>
              <w:spacing w:before="0" w:after="0" w:line="276" w:lineRule="auto"/>
              <w:rPr>
                <w:rStyle w:val="Strong"/>
                <w:rFonts w:eastAsia="Calibri" w:cstheme="minorHAnsi"/>
                <w:color w:val="495965"/>
                <w:sz w:val="20"/>
                <w:szCs w:val="20"/>
              </w:rPr>
            </w:pPr>
          </w:p>
        </w:tc>
      </w:tr>
      <w:tr w:rsidR="00794046" w:rsidRPr="00794046" w14:paraId="70B8ECFD" w14:textId="77777777" w:rsidTr="3CC25135">
        <w:trPr>
          <w:trHeight w:val="300"/>
        </w:trPr>
        <w:tc>
          <w:tcPr>
            <w:tcW w:w="0" w:type="auto"/>
            <w:tcMar>
              <w:left w:w="105" w:type="dxa"/>
              <w:right w:w="105" w:type="dxa"/>
            </w:tcMar>
          </w:tcPr>
          <w:p w14:paraId="6E69F070" w14:textId="5DFDF0E4" w:rsidR="19E58A0E" w:rsidRPr="00AB6B62" w:rsidRDefault="19E58A0E" w:rsidP="00A96928">
            <w:pPr>
              <w:spacing w:before="0" w:after="0" w:line="276" w:lineRule="auto"/>
              <w:ind w:right="-67"/>
              <w:rPr>
                <w:rFonts w:eastAsia="Calibri" w:cstheme="minorHAnsi"/>
                <w:color w:val="495965"/>
                <w:sz w:val="20"/>
                <w:szCs w:val="20"/>
              </w:rPr>
            </w:pPr>
            <w:r w:rsidRPr="00AB6B62">
              <w:rPr>
                <w:rStyle w:val="Strong"/>
                <w:rFonts w:eastAsia="Calibri" w:cstheme="minorHAnsi"/>
                <w:b w:val="0"/>
                <w:bCs w:val="0"/>
                <w:color w:val="495965"/>
                <w:sz w:val="20"/>
                <w:szCs w:val="20"/>
              </w:rPr>
              <w:lastRenderedPageBreak/>
              <w:t>2d</w:t>
            </w:r>
          </w:p>
        </w:tc>
        <w:tc>
          <w:tcPr>
            <w:tcW w:w="0" w:type="auto"/>
            <w:tcMar>
              <w:left w:w="105" w:type="dxa"/>
              <w:right w:w="105" w:type="dxa"/>
            </w:tcMar>
          </w:tcPr>
          <w:p w14:paraId="7EA9CB74" w14:textId="70374D41" w:rsidR="19E58A0E" w:rsidRPr="00AB6B62" w:rsidRDefault="19E58A0E" w:rsidP="3CC25135">
            <w:pPr>
              <w:spacing w:before="0" w:after="0" w:line="276" w:lineRule="auto"/>
              <w:rPr>
                <w:rFonts w:eastAsia="Calibri"/>
                <w:color w:val="495965"/>
                <w:sz w:val="20"/>
                <w:szCs w:val="20"/>
              </w:rPr>
            </w:pPr>
            <w:r w:rsidRPr="3CC25135">
              <w:rPr>
                <w:rStyle w:val="Strong"/>
                <w:rFonts w:eastAsia="Calibri"/>
                <w:sz w:val="20"/>
                <w:szCs w:val="20"/>
              </w:rPr>
              <w:t xml:space="preserve">Information technology:  </w:t>
            </w:r>
            <w:r w:rsidRPr="3CC25135">
              <w:rPr>
                <w:rStyle w:val="Strong"/>
                <w:rFonts w:eastAsia="Calibri"/>
                <w:b w:val="0"/>
                <w:bCs w:val="0"/>
                <w:sz w:val="20"/>
                <w:szCs w:val="20"/>
              </w:rPr>
              <w:t xml:space="preserve">TGA to support and advise on the implementation of </w:t>
            </w:r>
            <w:bookmarkStart w:id="14" w:name="_Int_GTe9QXDb"/>
            <w:r w:rsidRPr="3CC25135">
              <w:rPr>
                <w:rStyle w:val="Strong"/>
                <w:rFonts w:eastAsia="Calibri"/>
                <w:b w:val="0"/>
                <w:bCs w:val="0"/>
                <w:sz w:val="20"/>
                <w:szCs w:val="20"/>
              </w:rPr>
              <w:t>IT</w:t>
            </w:r>
            <w:bookmarkEnd w:id="14"/>
            <w:r w:rsidRPr="3CC25135">
              <w:rPr>
                <w:rStyle w:val="Strong"/>
                <w:rFonts w:eastAsia="Calibri"/>
                <w:b w:val="0"/>
                <w:bCs w:val="0"/>
                <w:sz w:val="20"/>
                <w:szCs w:val="20"/>
              </w:rPr>
              <w:t xml:space="preserve"> systems used to facilitate compatible regulatory processes where possible. This could include continued work with </w:t>
            </w:r>
            <w:proofErr w:type="spellStart"/>
            <w:r w:rsidRPr="3CC25135">
              <w:rPr>
                <w:rStyle w:val="Strong"/>
                <w:rFonts w:eastAsia="Calibri"/>
                <w:b w:val="0"/>
                <w:bCs w:val="0"/>
                <w:sz w:val="20"/>
                <w:szCs w:val="20"/>
              </w:rPr>
              <w:t>mSupply</w:t>
            </w:r>
            <w:proofErr w:type="spellEnd"/>
            <w:r w:rsidRPr="3CC25135">
              <w:rPr>
                <w:rStyle w:val="Strong"/>
                <w:rFonts w:eastAsia="Calibri"/>
                <w:b w:val="0"/>
                <w:bCs w:val="0"/>
                <w:sz w:val="20"/>
                <w:szCs w:val="20"/>
              </w:rPr>
              <w:t xml:space="preserve"> and contributing to early steps for a joined-up data base on regulatory decision making. Early steps could include TGA agreements for sharing documents bilaterally or between sub-regional groups of countries.</w:t>
            </w:r>
          </w:p>
        </w:tc>
        <w:tc>
          <w:tcPr>
            <w:tcW w:w="0" w:type="auto"/>
            <w:shd w:val="clear" w:color="auto" w:fill="CDE2B9" w:themeFill="accent3" w:themeFillTint="99"/>
            <w:tcMar>
              <w:left w:w="105" w:type="dxa"/>
              <w:right w:w="105" w:type="dxa"/>
            </w:tcMar>
          </w:tcPr>
          <w:p w14:paraId="7FB2C278" w14:textId="16F6A147" w:rsidR="19E58A0E" w:rsidRPr="00AB6B62" w:rsidRDefault="004F0ABC" w:rsidP="00A96928">
            <w:pPr>
              <w:spacing w:before="0" w:after="0" w:line="276" w:lineRule="auto"/>
              <w:rPr>
                <w:rStyle w:val="Strong"/>
                <w:rFonts w:eastAsia="Calibri" w:cstheme="minorHAnsi"/>
                <w:b w:val="0"/>
                <w:bCs w:val="0"/>
                <w:color w:val="495965"/>
                <w:sz w:val="20"/>
                <w:szCs w:val="20"/>
              </w:rPr>
            </w:pPr>
            <w:r w:rsidRPr="00AB6B62">
              <w:rPr>
                <w:rStyle w:val="Strong"/>
                <w:rFonts w:eastAsia="Calibri" w:cstheme="minorHAnsi"/>
                <w:b w:val="0"/>
                <w:bCs w:val="0"/>
                <w:color w:val="495965"/>
                <w:sz w:val="20"/>
                <w:szCs w:val="20"/>
              </w:rPr>
              <w:t xml:space="preserve">Partially </w:t>
            </w:r>
            <w:r w:rsidR="00207A2D" w:rsidRPr="00FF2A9F">
              <w:rPr>
                <w:rStyle w:val="Strong"/>
                <w:rFonts w:eastAsia="Calibri" w:cstheme="minorHAnsi"/>
                <w:b w:val="0"/>
                <w:bCs w:val="0"/>
                <w:color w:val="495965"/>
                <w:sz w:val="20"/>
                <w:szCs w:val="20"/>
              </w:rPr>
              <w:t>agree</w:t>
            </w:r>
          </w:p>
        </w:tc>
        <w:tc>
          <w:tcPr>
            <w:tcW w:w="0" w:type="auto"/>
            <w:tcMar>
              <w:left w:w="105" w:type="dxa"/>
              <w:right w:w="105" w:type="dxa"/>
            </w:tcMar>
          </w:tcPr>
          <w:p w14:paraId="2F8DCED3" w14:textId="184A10B7" w:rsidR="004F0ABC" w:rsidRPr="006B0E5F" w:rsidRDefault="00B66A5A" w:rsidP="00A96928">
            <w:pPr>
              <w:spacing w:before="0" w:after="0" w:line="276" w:lineRule="auto"/>
              <w:rPr>
                <w:rStyle w:val="Strong"/>
                <w:b w:val="0"/>
                <w:bCs w:val="0"/>
                <w:color w:val="495965"/>
                <w:sz w:val="20"/>
                <w:szCs w:val="20"/>
              </w:rPr>
            </w:pPr>
            <w:r w:rsidRPr="0023220A">
              <w:rPr>
                <w:rStyle w:val="Strong"/>
                <w:rFonts w:eastAsia="Calibri" w:cstheme="minorHAnsi"/>
                <w:b w:val="0"/>
                <w:bCs w:val="0"/>
                <w:color w:val="495965"/>
                <w:sz w:val="20"/>
                <w:szCs w:val="20"/>
              </w:rPr>
              <w:t>T</w:t>
            </w:r>
            <w:r w:rsidRPr="006B0E5F">
              <w:rPr>
                <w:rStyle w:val="Strong"/>
                <w:rFonts w:eastAsia="Calibri" w:cstheme="minorHAnsi"/>
                <w:b w:val="0"/>
                <w:bCs w:val="0"/>
                <w:color w:val="495965"/>
                <w:sz w:val="20"/>
                <w:szCs w:val="20"/>
              </w:rPr>
              <w:t xml:space="preserve">he </w:t>
            </w:r>
            <w:r w:rsidR="004F0ABC" w:rsidRPr="006C440B">
              <w:rPr>
                <w:rStyle w:val="Strong"/>
                <w:b w:val="0"/>
                <w:bCs w:val="0"/>
                <w:color w:val="495965"/>
                <w:sz w:val="20"/>
                <w:szCs w:val="20"/>
              </w:rPr>
              <w:t xml:space="preserve">TGA supports the implementation of IT systems to facilitate electronic dossier submission and assessment. </w:t>
            </w:r>
            <w:r w:rsidR="00CB63E6" w:rsidRPr="0023220A">
              <w:rPr>
                <w:rStyle w:val="Strong"/>
                <w:b w:val="0"/>
                <w:bCs w:val="0"/>
                <w:color w:val="495965"/>
                <w:sz w:val="20"/>
                <w:szCs w:val="20"/>
              </w:rPr>
              <w:t>T</w:t>
            </w:r>
            <w:r w:rsidR="004F0ABC" w:rsidRPr="006B0E5F">
              <w:rPr>
                <w:rStyle w:val="Strong"/>
                <w:b w:val="0"/>
                <w:bCs w:val="0"/>
                <w:color w:val="495965"/>
                <w:sz w:val="20"/>
                <w:szCs w:val="20"/>
              </w:rPr>
              <w:t xml:space="preserve">here are </w:t>
            </w:r>
            <w:r w:rsidR="00DB7305">
              <w:rPr>
                <w:rStyle w:val="Strong"/>
                <w:b w:val="0"/>
                <w:bCs w:val="0"/>
                <w:color w:val="495965"/>
                <w:sz w:val="20"/>
                <w:szCs w:val="20"/>
              </w:rPr>
              <w:t xml:space="preserve">multiple </w:t>
            </w:r>
            <w:r w:rsidR="004F0ABC" w:rsidRPr="006B0E5F">
              <w:rPr>
                <w:rStyle w:val="Strong"/>
                <w:b w:val="0"/>
                <w:bCs w:val="0"/>
                <w:color w:val="495965"/>
                <w:sz w:val="20"/>
                <w:szCs w:val="20"/>
              </w:rPr>
              <w:t xml:space="preserve">IT system providers currently working in the region. </w:t>
            </w:r>
            <w:r w:rsidRPr="0023220A">
              <w:rPr>
                <w:rStyle w:val="Strong"/>
                <w:b w:val="0"/>
                <w:bCs w:val="0"/>
                <w:color w:val="495965"/>
                <w:sz w:val="20"/>
                <w:szCs w:val="20"/>
              </w:rPr>
              <w:t>T</w:t>
            </w:r>
            <w:r w:rsidRPr="006B0E5F">
              <w:rPr>
                <w:rStyle w:val="Strong"/>
                <w:b w:val="0"/>
                <w:bCs w:val="0"/>
                <w:color w:val="495965"/>
                <w:sz w:val="20"/>
                <w:szCs w:val="20"/>
              </w:rPr>
              <w:t xml:space="preserve">he </w:t>
            </w:r>
            <w:r w:rsidR="004F0ABC" w:rsidRPr="006B0E5F">
              <w:rPr>
                <w:rStyle w:val="Strong"/>
                <w:b w:val="0"/>
                <w:bCs w:val="0"/>
                <w:color w:val="495965"/>
                <w:sz w:val="20"/>
                <w:szCs w:val="20"/>
              </w:rPr>
              <w:t>TGA</w:t>
            </w:r>
            <w:r w:rsidR="00DB7305">
              <w:rPr>
                <w:rStyle w:val="Strong"/>
                <w:b w:val="0"/>
                <w:bCs w:val="0"/>
                <w:color w:val="495965"/>
                <w:sz w:val="20"/>
                <w:szCs w:val="20"/>
              </w:rPr>
              <w:t xml:space="preserve"> will </w:t>
            </w:r>
            <w:r w:rsidR="004F0ABC" w:rsidRPr="006B0E5F">
              <w:rPr>
                <w:rStyle w:val="Strong"/>
                <w:b w:val="0"/>
                <w:bCs w:val="0"/>
                <w:color w:val="495965"/>
                <w:sz w:val="20"/>
                <w:szCs w:val="20"/>
              </w:rPr>
              <w:t>support NRA</w:t>
            </w:r>
            <w:r w:rsidR="00DB7305">
              <w:rPr>
                <w:rStyle w:val="Strong"/>
                <w:b w:val="0"/>
                <w:bCs w:val="0"/>
                <w:color w:val="495965"/>
                <w:sz w:val="20"/>
                <w:szCs w:val="20"/>
              </w:rPr>
              <w:t xml:space="preserve">s to implement regulatory IT systems of their choosing, irrespective of </w:t>
            </w:r>
            <w:r w:rsidR="004F0ABC" w:rsidRPr="006B0E5F">
              <w:rPr>
                <w:rStyle w:val="Strong"/>
                <w:b w:val="0"/>
                <w:bCs w:val="0"/>
                <w:color w:val="495965"/>
                <w:sz w:val="20"/>
                <w:szCs w:val="20"/>
              </w:rPr>
              <w:t xml:space="preserve">the </w:t>
            </w:r>
            <w:r w:rsidR="00DB7305">
              <w:rPr>
                <w:rStyle w:val="Strong"/>
                <w:b w:val="0"/>
                <w:bCs w:val="0"/>
                <w:color w:val="495965"/>
                <w:sz w:val="20"/>
                <w:szCs w:val="20"/>
              </w:rPr>
              <w:t>system</w:t>
            </w:r>
            <w:r w:rsidR="004F0ABC" w:rsidRPr="006B0E5F">
              <w:rPr>
                <w:rStyle w:val="Strong"/>
                <w:b w:val="0"/>
                <w:bCs w:val="0"/>
                <w:color w:val="495965"/>
                <w:sz w:val="20"/>
                <w:szCs w:val="20"/>
              </w:rPr>
              <w:t xml:space="preserve"> </w:t>
            </w:r>
            <w:r w:rsidR="00DB7305">
              <w:rPr>
                <w:rStyle w:val="Strong"/>
                <w:b w:val="0"/>
                <w:bCs w:val="0"/>
                <w:color w:val="495965"/>
                <w:sz w:val="20"/>
                <w:szCs w:val="20"/>
              </w:rPr>
              <w:t>provider</w:t>
            </w:r>
            <w:r w:rsidR="004F0ABC" w:rsidRPr="006B0E5F">
              <w:rPr>
                <w:rStyle w:val="Strong"/>
                <w:b w:val="0"/>
                <w:bCs w:val="0"/>
                <w:color w:val="495965"/>
                <w:sz w:val="20"/>
                <w:szCs w:val="20"/>
              </w:rPr>
              <w:t xml:space="preserve">. </w:t>
            </w:r>
          </w:p>
          <w:p w14:paraId="19239081" w14:textId="77777777" w:rsidR="00D219B5" w:rsidRPr="00D35D70" w:rsidRDefault="00D219B5" w:rsidP="00A96928">
            <w:pPr>
              <w:spacing w:before="0" w:after="0" w:line="276" w:lineRule="auto"/>
              <w:rPr>
                <w:rStyle w:val="Strong"/>
                <w:rFonts w:eastAsia="Calibri" w:cstheme="minorHAnsi"/>
                <w:b w:val="0"/>
                <w:bCs w:val="0"/>
                <w:color w:val="495965"/>
                <w:sz w:val="20"/>
                <w:szCs w:val="20"/>
              </w:rPr>
            </w:pPr>
          </w:p>
          <w:p w14:paraId="26EF452B" w14:textId="77777777" w:rsidR="00D35D70" w:rsidRDefault="00D35D70" w:rsidP="00D35D70">
            <w:pPr>
              <w:rPr>
                <w:rStyle w:val="Strong"/>
                <w:b w:val="0"/>
                <w:bCs w:val="0"/>
                <w:sz w:val="20"/>
                <w:szCs w:val="20"/>
              </w:rPr>
            </w:pPr>
            <w:r w:rsidRPr="3CC25135">
              <w:rPr>
                <w:rStyle w:val="Strong"/>
                <w:b w:val="0"/>
                <w:bCs w:val="0"/>
                <w:sz w:val="20"/>
                <w:szCs w:val="20"/>
              </w:rPr>
              <w:t xml:space="preserve">The TGA and DFAT do not believe that a joined-up data base for regulatory decision making should be a priority for the next phase of programming. The TGA currently works bilaterally with countries to share documents under </w:t>
            </w:r>
            <w:bookmarkStart w:id="15" w:name="_Int_GVMRiCit"/>
            <w:proofErr w:type="spellStart"/>
            <w:r w:rsidRPr="3CC25135">
              <w:rPr>
                <w:rStyle w:val="Strong"/>
                <w:b w:val="0"/>
                <w:bCs w:val="0"/>
                <w:sz w:val="20"/>
                <w:szCs w:val="20"/>
              </w:rPr>
              <w:t>MoUs</w:t>
            </w:r>
            <w:bookmarkEnd w:id="15"/>
            <w:proofErr w:type="spellEnd"/>
            <w:r w:rsidRPr="3CC25135">
              <w:rPr>
                <w:rStyle w:val="Strong"/>
                <w:b w:val="0"/>
                <w:bCs w:val="0"/>
                <w:sz w:val="20"/>
                <w:szCs w:val="20"/>
              </w:rPr>
              <w:t xml:space="preserve"> as well as multilaterally through the ASEAN JA and the WHO CRP, both of which have platforms for the secure sharing of documents and are conducted with the full knowledge and support of the relevant pharmaceutical company.</w:t>
            </w:r>
          </w:p>
          <w:p w14:paraId="35B4C698" w14:textId="4A0CD7F2" w:rsidR="00D35D70" w:rsidRPr="00D35D70" w:rsidRDefault="00D35D70" w:rsidP="00D35D70">
            <w:pPr>
              <w:rPr>
                <w:rStyle w:val="Strong"/>
                <w:b w:val="0"/>
                <w:bCs w:val="0"/>
                <w:sz w:val="20"/>
                <w:szCs w:val="20"/>
              </w:rPr>
            </w:pPr>
            <w:r w:rsidRPr="3CC25135">
              <w:rPr>
                <w:rStyle w:val="Strong"/>
                <w:b w:val="0"/>
                <w:bCs w:val="0"/>
                <w:sz w:val="20"/>
                <w:szCs w:val="20"/>
              </w:rPr>
              <w:t xml:space="preserve"> In the policy and legal settings of many countries in the region, information relating to the receipt of a regulatory application is itself considered to be commercial</w:t>
            </w:r>
            <w:r w:rsidR="4D041925" w:rsidRPr="3CC25135">
              <w:rPr>
                <w:rStyle w:val="Strong"/>
                <w:b w:val="0"/>
                <w:bCs w:val="0"/>
                <w:sz w:val="20"/>
                <w:szCs w:val="20"/>
              </w:rPr>
              <w:t>-</w:t>
            </w:r>
            <w:r w:rsidRPr="3CC25135">
              <w:rPr>
                <w:rStyle w:val="Strong"/>
                <w:b w:val="0"/>
                <w:bCs w:val="0"/>
                <w:sz w:val="20"/>
                <w:szCs w:val="20"/>
              </w:rPr>
              <w:t>in</w:t>
            </w:r>
            <w:r w:rsidR="4D041925" w:rsidRPr="3CC25135">
              <w:rPr>
                <w:rStyle w:val="Strong"/>
                <w:b w:val="0"/>
                <w:bCs w:val="0"/>
                <w:sz w:val="20"/>
                <w:szCs w:val="20"/>
              </w:rPr>
              <w:t>-</w:t>
            </w:r>
            <w:r w:rsidRPr="3CC25135">
              <w:rPr>
                <w:rStyle w:val="Strong"/>
                <w:b w:val="0"/>
                <w:bCs w:val="0"/>
                <w:sz w:val="20"/>
                <w:szCs w:val="20"/>
              </w:rPr>
              <w:t xml:space="preserve">confidence information, in addition </w:t>
            </w:r>
            <w:r w:rsidRPr="3CC25135">
              <w:rPr>
                <w:rStyle w:val="Strong"/>
                <w:b w:val="0"/>
                <w:bCs w:val="0"/>
                <w:sz w:val="20"/>
                <w:szCs w:val="20"/>
              </w:rPr>
              <w:lastRenderedPageBreak/>
              <w:t xml:space="preserve">to the accompanying data and supportive documentation. Such challenges need to be considered in relation to operationalising ‘common </w:t>
            </w:r>
            <w:bookmarkStart w:id="16" w:name="_Int_yM2kr3ec"/>
            <w:proofErr w:type="gramStart"/>
            <w:r w:rsidRPr="3CC25135">
              <w:rPr>
                <w:rStyle w:val="Strong"/>
                <w:b w:val="0"/>
                <w:bCs w:val="0"/>
                <w:sz w:val="20"/>
                <w:szCs w:val="20"/>
              </w:rPr>
              <w:t>applications’</w:t>
            </w:r>
            <w:bookmarkEnd w:id="16"/>
            <w:proofErr w:type="gramEnd"/>
            <w:r w:rsidRPr="3CC25135">
              <w:rPr>
                <w:rStyle w:val="Strong"/>
                <w:b w:val="0"/>
                <w:bCs w:val="0"/>
                <w:sz w:val="20"/>
                <w:szCs w:val="20"/>
              </w:rPr>
              <w:t xml:space="preserve"> and resource sharing initiatives.  </w:t>
            </w:r>
          </w:p>
          <w:p w14:paraId="6F9E588D" w14:textId="3C7504AD" w:rsidR="008C0E6B" w:rsidRPr="00D35D70" w:rsidRDefault="00D35D70" w:rsidP="00D35D70">
            <w:pPr>
              <w:rPr>
                <w:rStyle w:val="Strong"/>
                <w:b w:val="0"/>
                <w:bCs w:val="0"/>
                <w:sz w:val="20"/>
                <w:szCs w:val="20"/>
              </w:rPr>
            </w:pPr>
            <w:r w:rsidRPr="00D35D70">
              <w:rPr>
                <w:rStyle w:val="Strong"/>
                <w:b w:val="0"/>
                <w:bCs w:val="0"/>
                <w:sz w:val="20"/>
                <w:szCs w:val="20"/>
              </w:rPr>
              <w:t>The TGA will continue to provide support for the development of the WHO Pacific sub</w:t>
            </w:r>
            <w:r w:rsidRPr="00D35D70">
              <w:rPr>
                <w:rStyle w:val="Strong"/>
                <w:b w:val="0"/>
                <w:bCs w:val="0"/>
                <w:sz w:val="20"/>
                <w:szCs w:val="20"/>
              </w:rPr>
              <w:noBreakHyphen/>
              <w:t>regional platform, which will be a useful resource for countries involved.</w:t>
            </w:r>
          </w:p>
        </w:tc>
        <w:tc>
          <w:tcPr>
            <w:tcW w:w="0" w:type="auto"/>
            <w:tcMar>
              <w:left w:w="105" w:type="dxa"/>
              <w:right w:w="105" w:type="dxa"/>
            </w:tcMar>
          </w:tcPr>
          <w:p w14:paraId="04FD3085" w14:textId="5127663B" w:rsidR="0090621B" w:rsidRDefault="0090621B" w:rsidP="00A96928">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lastRenderedPageBreak/>
              <w:t xml:space="preserve">The strategic </w:t>
            </w:r>
            <w:r w:rsidR="006B31CE">
              <w:rPr>
                <w:rStyle w:val="Strong"/>
                <w:rFonts w:eastAsia="Calibri" w:cstheme="minorHAnsi"/>
                <w:color w:val="495965"/>
                <w:sz w:val="20"/>
                <w:szCs w:val="20"/>
              </w:rPr>
              <w:t xml:space="preserve">decision and country plans for the partnership for the next five years will include: </w:t>
            </w:r>
          </w:p>
          <w:p w14:paraId="425A018A" w14:textId="79EAD657" w:rsidR="00B86360" w:rsidRPr="006B0E5F" w:rsidRDefault="00B66A5A" w:rsidP="00A96928">
            <w:pPr>
              <w:pStyle w:val="ListParagraph"/>
              <w:numPr>
                <w:ilvl w:val="0"/>
                <w:numId w:val="35"/>
              </w:num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 xml:space="preserve">The </w:t>
            </w:r>
            <w:r w:rsidR="003F694A" w:rsidRPr="006B0E5F">
              <w:rPr>
                <w:rStyle w:val="Strong"/>
                <w:rFonts w:eastAsia="Calibri" w:cstheme="minorHAnsi"/>
                <w:color w:val="495965"/>
                <w:sz w:val="20"/>
                <w:szCs w:val="20"/>
              </w:rPr>
              <w:t xml:space="preserve">TGA to provide support to NRAs with the implementation of IT systems regardless of the technology platform. </w:t>
            </w:r>
          </w:p>
          <w:p w14:paraId="32A8A8DE" w14:textId="5059E38C" w:rsidR="003F694A" w:rsidRPr="006B0E5F" w:rsidRDefault="00B66A5A" w:rsidP="00A96928">
            <w:pPr>
              <w:pStyle w:val="ListParagraph"/>
              <w:numPr>
                <w:ilvl w:val="0"/>
                <w:numId w:val="35"/>
              </w:num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 xml:space="preserve">The </w:t>
            </w:r>
            <w:r w:rsidR="00B86360" w:rsidRPr="006B0E5F">
              <w:rPr>
                <w:rStyle w:val="Strong"/>
                <w:rFonts w:eastAsia="Calibri" w:cstheme="minorHAnsi"/>
                <w:color w:val="495965"/>
                <w:sz w:val="20"/>
                <w:szCs w:val="20"/>
              </w:rPr>
              <w:t xml:space="preserve">TGA to </w:t>
            </w:r>
            <w:r w:rsidR="00462F30" w:rsidRPr="006B0E5F">
              <w:rPr>
                <w:rStyle w:val="Strong"/>
                <w:rFonts w:eastAsia="Calibri" w:cstheme="minorHAnsi"/>
                <w:color w:val="495965"/>
                <w:sz w:val="20"/>
                <w:szCs w:val="20"/>
              </w:rPr>
              <w:t>provide requested support and advice to regulatory IT systems partners working in the region</w:t>
            </w:r>
          </w:p>
          <w:p w14:paraId="6D27D8FB" w14:textId="03223B73" w:rsidR="003F694A" w:rsidRDefault="00B66A5A" w:rsidP="006B31CE">
            <w:pPr>
              <w:pStyle w:val="ListParagraph"/>
              <w:numPr>
                <w:ilvl w:val="0"/>
                <w:numId w:val="35"/>
              </w:num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 xml:space="preserve">The </w:t>
            </w:r>
            <w:r w:rsidR="003F694A" w:rsidRPr="006B0E5F">
              <w:rPr>
                <w:rStyle w:val="Strong"/>
                <w:rFonts w:eastAsia="Calibri" w:cstheme="minorHAnsi"/>
                <w:color w:val="495965"/>
                <w:sz w:val="20"/>
                <w:szCs w:val="20"/>
              </w:rPr>
              <w:t xml:space="preserve">TGA to continue supporting bilateral sharing of documents under </w:t>
            </w:r>
            <w:proofErr w:type="spellStart"/>
            <w:r w:rsidR="003F694A" w:rsidRPr="006B0E5F">
              <w:rPr>
                <w:rStyle w:val="Strong"/>
                <w:rFonts w:eastAsia="Calibri" w:cstheme="minorHAnsi"/>
                <w:color w:val="495965"/>
                <w:sz w:val="20"/>
                <w:szCs w:val="20"/>
              </w:rPr>
              <w:t>MoUs</w:t>
            </w:r>
            <w:proofErr w:type="spellEnd"/>
            <w:r w:rsidR="003F694A" w:rsidRPr="006B0E5F">
              <w:rPr>
                <w:rStyle w:val="Strong"/>
                <w:rFonts w:eastAsia="Calibri" w:cstheme="minorHAnsi"/>
                <w:color w:val="495965"/>
                <w:sz w:val="20"/>
                <w:szCs w:val="20"/>
              </w:rPr>
              <w:t xml:space="preserve"> and multilaterally through already existing platforms (</w:t>
            </w:r>
            <w:r>
              <w:rPr>
                <w:rStyle w:val="Strong"/>
                <w:rFonts w:eastAsia="Calibri" w:cstheme="minorHAnsi"/>
                <w:color w:val="495965"/>
                <w:sz w:val="20"/>
                <w:szCs w:val="20"/>
              </w:rPr>
              <w:t xml:space="preserve">such as </w:t>
            </w:r>
            <w:r w:rsidR="003F694A" w:rsidRPr="006B0E5F">
              <w:rPr>
                <w:rStyle w:val="Strong"/>
                <w:rFonts w:eastAsia="Calibri" w:cstheme="minorHAnsi"/>
                <w:color w:val="495965"/>
                <w:sz w:val="20"/>
                <w:szCs w:val="20"/>
              </w:rPr>
              <w:t xml:space="preserve">ASEAN JA, CRP). </w:t>
            </w:r>
          </w:p>
          <w:p w14:paraId="1DB8B9C8" w14:textId="6AEC5870" w:rsidR="009E478E" w:rsidRPr="006B0E5F" w:rsidRDefault="009E478E" w:rsidP="006B31CE">
            <w:pPr>
              <w:pStyle w:val="ListParagraph"/>
              <w:numPr>
                <w:ilvl w:val="0"/>
                <w:numId w:val="35"/>
              </w:numPr>
              <w:spacing w:before="0" w:after="0" w:line="276" w:lineRule="auto"/>
              <w:rPr>
                <w:rStyle w:val="Strong"/>
                <w:rFonts w:eastAsia="Calibri" w:cstheme="minorHAnsi"/>
                <w:color w:val="495965"/>
                <w:sz w:val="20"/>
                <w:szCs w:val="20"/>
              </w:rPr>
            </w:pPr>
            <w:r w:rsidRPr="00186466">
              <w:rPr>
                <w:rStyle w:val="Strong"/>
                <w:rFonts w:eastAsia="Calibri" w:cstheme="minorHAnsi"/>
                <w:color w:val="495965"/>
                <w:sz w:val="20"/>
                <w:szCs w:val="20"/>
              </w:rPr>
              <w:t xml:space="preserve">The TGA </w:t>
            </w:r>
            <w:r w:rsidRPr="006B0E5F">
              <w:rPr>
                <w:rStyle w:val="Strong"/>
                <w:rFonts w:eastAsia="Calibri" w:cstheme="minorHAnsi"/>
                <w:color w:val="495965"/>
                <w:sz w:val="20"/>
                <w:szCs w:val="20"/>
              </w:rPr>
              <w:t xml:space="preserve">to </w:t>
            </w:r>
            <w:r w:rsidR="00A35351">
              <w:rPr>
                <w:rStyle w:val="Strong"/>
                <w:rFonts w:eastAsia="Calibri" w:cstheme="minorHAnsi"/>
                <w:color w:val="495965"/>
                <w:sz w:val="20"/>
                <w:szCs w:val="20"/>
              </w:rPr>
              <w:t>provide product specific technical support to Market Authorisation activities to one or more NRAs at the request of the Market Authorisation Holder (MAH)</w:t>
            </w:r>
            <w:r w:rsidRPr="006B0E5F">
              <w:rPr>
                <w:rStyle w:val="Strong"/>
                <w:rFonts w:eastAsia="Calibri" w:cstheme="minorHAnsi"/>
                <w:color w:val="495965"/>
                <w:sz w:val="20"/>
                <w:szCs w:val="20"/>
              </w:rPr>
              <w:t>.</w:t>
            </w:r>
            <w:r w:rsidR="00A35351">
              <w:rPr>
                <w:rStyle w:val="Strong"/>
                <w:rFonts w:eastAsia="Calibri" w:cstheme="minorHAnsi"/>
                <w:color w:val="495965"/>
                <w:sz w:val="20"/>
                <w:szCs w:val="20"/>
              </w:rPr>
              <w:t xml:space="preserve"> </w:t>
            </w:r>
            <w:r w:rsidR="00A35351">
              <w:rPr>
                <w:rStyle w:val="Strong"/>
                <w:rFonts w:eastAsia="Calibri" w:cstheme="minorHAnsi"/>
                <w:color w:val="495965"/>
                <w:sz w:val="20"/>
                <w:szCs w:val="20"/>
              </w:rPr>
              <w:lastRenderedPageBreak/>
              <w:t>The TGA to encourage MAH support of document sharing</w:t>
            </w:r>
            <w:r w:rsidR="00EE39EA">
              <w:rPr>
                <w:rStyle w:val="Strong"/>
                <w:rFonts w:eastAsia="Calibri" w:cstheme="minorHAnsi"/>
                <w:color w:val="495965"/>
                <w:sz w:val="20"/>
                <w:szCs w:val="20"/>
              </w:rPr>
              <w:t xml:space="preserve"> through secure means. </w:t>
            </w:r>
          </w:p>
        </w:tc>
        <w:tc>
          <w:tcPr>
            <w:tcW w:w="0" w:type="auto"/>
            <w:tcMar>
              <w:left w:w="105" w:type="dxa"/>
              <w:right w:w="105" w:type="dxa"/>
            </w:tcMar>
          </w:tcPr>
          <w:p w14:paraId="66973C8E" w14:textId="16DD999F" w:rsidR="00A06FE7" w:rsidRPr="006B0E5F" w:rsidRDefault="00A06FE7" w:rsidP="00A96928">
            <w:pPr>
              <w:spacing w:before="0" w:after="0" w:line="276" w:lineRule="auto"/>
              <w:rPr>
                <w:rStyle w:val="Strong"/>
                <w:rFonts w:eastAsia="Calibri" w:cstheme="minorHAnsi"/>
                <w:color w:val="495965"/>
                <w:sz w:val="20"/>
                <w:szCs w:val="20"/>
              </w:rPr>
            </w:pPr>
            <w:r w:rsidRPr="006B0E5F">
              <w:rPr>
                <w:rStyle w:val="Strong"/>
                <w:rFonts w:eastAsia="Calibri" w:cstheme="minorHAnsi"/>
                <w:color w:val="495965"/>
                <w:sz w:val="20"/>
                <w:szCs w:val="20"/>
              </w:rPr>
              <w:lastRenderedPageBreak/>
              <w:t xml:space="preserve">Ongoing  </w:t>
            </w:r>
          </w:p>
        </w:tc>
      </w:tr>
      <w:tr w:rsidR="00794046" w:rsidRPr="00794046" w14:paraId="72106E6A" w14:textId="77777777" w:rsidTr="3CC25135">
        <w:trPr>
          <w:trHeight w:val="300"/>
        </w:trPr>
        <w:tc>
          <w:tcPr>
            <w:tcW w:w="0" w:type="auto"/>
            <w:tcMar>
              <w:left w:w="105" w:type="dxa"/>
              <w:right w:w="105" w:type="dxa"/>
            </w:tcMar>
          </w:tcPr>
          <w:p w14:paraId="3817DB8F" w14:textId="0405B72D" w:rsidR="19E58A0E" w:rsidRPr="00CF409B" w:rsidRDefault="19E58A0E" w:rsidP="00A96928">
            <w:pPr>
              <w:spacing w:before="0" w:after="0" w:line="276" w:lineRule="auto"/>
              <w:rPr>
                <w:rFonts w:eastAsia="Calibri" w:cstheme="minorHAnsi"/>
                <w:color w:val="495965"/>
                <w:sz w:val="20"/>
                <w:szCs w:val="20"/>
              </w:rPr>
            </w:pPr>
            <w:r w:rsidRPr="00CF409B">
              <w:rPr>
                <w:rStyle w:val="Strong"/>
                <w:rFonts w:eastAsia="Calibri" w:cstheme="minorHAnsi"/>
                <w:b w:val="0"/>
                <w:bCs w:val="0"/>
                <w:color w:val="495965"/>
                <w:sz w:val="20"/>
                <w:szCs w:val="20"/>
              </w:rPr>
              <w:t>4</w:t>
            </w:r>
          </w:p>
        </w:tc>
        <w:tc>
          <w:tcPr>
            <w:tcW w:w="0" w:type="auto"/>
            <w:tcMar>
              <w:left w:w="105" w:type="dxa"/>
              <w:right w:w="105" w:type="dxa"/>
            </w:tcMar>
          </w:tcPr>
          <w:p w14:paraId="67D44EC7" w14:textId="0E8F6891" w:rsidR="19E58A0E" w:rsidRPr="00CF409B" w:rsidRDefault="19E58A0E" w:rsidP="3CC25135">
            <w:pPr>
              <w:spacing w:before="0" w:after="0" w:line="276" w:lineRule="auto"/>
              <w:rPr>
                <w:rFonts w:eastAsia="Calibri"/>
                <w:color w:val="495965"/>
                <w:sz w:val="20"/>
                <w:szCs w:val="20"/>
              </w:rPr>
            </w:pPr>
            <w:r w:rsidRPr="3CC25135">
              <w:rPr>
                <w:rStyle w:val="Strong"/>
                <w:rFonts w:eastAsia="Calibri"/>
                <w:sz w:val="20"/>
                <w:szCs w:val="20"/>
              </w:rPr>
              <w:t>Regulatory providers’ forum:</w:t>
            </w:r>
            <w:r w:rsidRPr="3CC25135">
              <w:rPr>
                <w:rStyle w:val="Strong"/>
                <w:rFonts w:eastAsia="Calibri"/>
                <w:b w:val="0"/>
                <w:bCs w:val="0"/>
                <w:sz w:val="20"/>
                <w:szCs w:val="20"/>
              </w:rPr>
              <w:t xml:space="preserve"> TGA and DFAT to initiate a regulatory providers’ forum, together with other actors such as WHO, </w:t>
            </w:r>
            <w:r w:rsidR="004D3208" w:rsidRPr="3CC25135">
              <w:rPr>
                <w:rStyle w:val="Strong"/>
                <w:rFonts w:eastAsia="Calibri"/>
                <w:b w:val="0"/>
                <w:bCs w:val="0"/>
                <w:sz w:val="20"/>
                <w:szCs w:val="20"/>
              </w:rPr>
              <w:t>Bill &amp; Melinda Gates Foundation (</w:t>
            </w:r>
            <w:r w:rsidRPr="3CC25135">
              <w:rPr>
                <w:rStyle w:val="Strong"/>
                <w:rFonts w:eastAsia="Calibri"/>
                <w:b w:val="0"/>
                <w:bCs w:val="0"/>
                <w:sz w:val="20"/>
                <w:szCs w:val="20"/>
              </w:rPr>
              <w:t>BMGF</w:t>
            </w:r>
            <w:r w:rsidR="004D3208" w:rsidRPr="3CC25135">
              <w:rPr>
                <w:rStyle w:val="Strong"/>
                <w:rFonts w:eastAsia="Calibri"/>
                <w:b w:val="0"/>
                <w:bCs w:val="0"/>
                <w:sz w:val="20"/>
                <w:szCs w:val="20"/>
              </w:rPr>
              <w:t>)</w:t>
            </w:r>
            <w:r w:rsidRPr="3CC25135">
              <w:rPr>
                <w:rStyle w:val="Strong"/>
                <w:rFonts w:eastAsia="Calibri"/>
                <w:b w:val="0"/>
                <w:bCs w:val="0"/>
                <w:sz w:val="20"/>
                <w:szCs w:val="20"/>
              </w:rPr>
              <w:t xml:space="preserve"> and USP. This forum will coordinate regulatory strengthening activities, including training and support and cooperative regulatory processes such as reliance, in the Indo Pacific. Such a forum would include</w:t>
            </w:r>
            <w:r w:rsidR="0075513C">
              <w:t xml:space="preserve"> </w:t>
            </w:r>
            <w:r w:rsidR="0075513C" w:rsidRPr="3CC25135">
              <w:rPr>
                <w:rStyle w:val="Strong"/>
                <w:rFonts w:eastAsia="Calibri"/>
                <w:b w:val="0"/>
                <w:bCs w:val="0"/>
                <w:sz w:val="20"/>
                <w:szCs w:val="20"/>
              </w:rPr>
              <w:t xml:space="preserve">MFDS (South Korea), </w:t>
            </w:r>
            <w:bookmarkStart w:id="17" w:name="_Int_G4zdzTqL"/>
            <w:r w:rsidR="0075513C" w:rsidRPr="3CC25135">
              <w:rPr>
                <w:rStyle w:val="Strong"/>
                <w:rFonts w:eastAsia="Calibri"/>
                <w:b w:val="0"/>
                <w:bCs w:val="0"/>
                <w:sz w:val="20"/>
                <w:szCs w:val="20"/>
              </w:rPr>
              <w:t>NIID</w:t>
            </w:r>
            <w:bookmarkEnd w:id="17"/>
            <w:r w:rsidR="0075513C" w:rsidRPr="3CC25135">
              <w:rPr>
                <w:rStyle w:val="Strong"/>
                <w:rFonts w:eastAsia="Calibri"/>
                <w:b w:val="0"/>
                <w:bCs w:val="0"/>
                <w:sz w:val="20"/>
                <w:szCs w:val="20"/>
              </w:rPr>
              <w:t xml:space="preserve"> (Japan), NZ </w:t>
            </w:r>
            <w:proofErr w:type="spellStart"/>
            <w:r w:rsidR="0075513C" w:rsidRPr="3CC25135">
              <w:rPr>
                <w:rStyle w:val="Strong"/>
                <w:rFonts w:eastAsia="Calibri"/>
                <w:b w:val="0"/>
                <w:bCs w:val="0"/>
                <w:sz w:val="20"/>
                <w:szCs w:val="20"/>
              </w:rPr>
              <w:t>MedSafe</w:t>
            </w:r>
            <w:proofErr w:type="spellEnd"/>
            <w:r w:rsidRPr="3CC25135">
              <w:rPr>
                <w:rStyle w:val="Strong"/>
                <w:rFonts w:eastAsia="Calibri"/>
                <w:b w:val="0"/>
                <w:bCs w:val="0"/>
                <w:sz w:val="20"/>
                <w:szCs w:val="20"/>
              </w:rPr>
              <w:t xml:space="preserve"> and others funding and conducting activities in the region. </w:t>
            </w:r>
          </w:p>
        </w:tc>
        <w:tc>
          <w:tcPr>
            <w:tcW w:w="0" w:type="auto"/>
            <w:tcMar>
              <w:left w:w="105" w:type="dxa"/>
              <w:right w:w="105" w:type="dxa"/>
            </w:tcMar>
          </w:tcPr>
          <w:p w14:paraId="2A6405D8" w14:textId="726CE5EC" w:rsidR="19E58A0E" w:rsidRPr="00CF409B" w:rsidRDefault="005F358C" w:rsidP="00A96928">
            <w:pPr>
              <w:spacing w:before="0" w:after="0" w:line="276" w:lineRule="auto"/>
              <w:rPr>
                <w:rStyle w:val="Strong"/>
                <w:rFonts w:eastAsia="Calibri" w:cstheme="minorHAnsi"/>
                <w:b w:val="0"/>
                <w:bCs w:val="0"/>
                <w:color w:val="495965"/>
                <w:sz w:val="20"/>
                <w:szCs w:val="20"/>
              </w:rPr>
            </w:pPr>
            <w:r w:rsidRPr="00CF409B">
              <w:rPr>
                <w:rStyle w:val="Strong"/>
                <w:rFonts w:eastAsia="Calibri" w:cstheme="minorHAnsi"/>
                <w:b w:val="0"/>
                <w:bCs w:val="0"/>
                <w:color w:val="495965"/>
                <w:sz w:val="20"/>
                <w:szCs w:val="20"/>
              </w:rPr>
              <w:t xml:space="preserve">Partially </w:t>
            </w:r>
            <w:r w:rsidR="001B0846" w:rsidRPr="001B0846">
              <w:rPr>
                <w:rStyle w:val="Strong"/>
                <w:rFonts w:eastAsia="Calibri" w:cstheme="minorHAnsi"/>
                <w:b w:val="0"/>
                <w:bCs w:val="0"/>
                <w:color w:val="495965"/>
                <w:sz w:val="20"/>
                <w:szCs w:val="20"/>
              </w:rPr>
              <w:t>agree</w:t>
            </w:r>
            <w:r w:rsidR="00DE66EA" w:rsidRPr="00CF409B">
              <w:rPr>
                <w:rStyle w:val="Strong"/>
                <w:rFonts w:eastAsia="Calibri" w:cstheme="minorHAnsi"/>
                <w:b w:val="0"/>
                <w:bCs w:val="0"/>
                <w:color w:val="495965"/>
                <w:sz w:val="20"/>
                <w:szCs w:val="20"/>
              </w:rPr>
              <w:t xml:space="preserve"> </w:t>
            </w:r>
          </w:p>
        </w:tc>
        <w:tc>
          <w:tcPr>
            <w:tcW w:w="0" w:type="auto"/>
            <w:tcMar>
              <w:left w:w="105" w:type="dxa"/>
              <w:right w:w="105" w:type="dxa"/>
            </w:tcMar>
          </w:tcPr>
          <w:p w14:paraId="3BDF11E1" w14:textId="588A9941" w:rsidR="00246761" w:rsidRPr="00C93636" w:rsidRDefault="00B66A5A" w:rsidP="00A21239">
            <w:pPr>
              <w:spacing w:before="0" w:after="0" w:line="276" w:lineRule="auto"/>
              <w:rPr>
                <w:rStyle w:val="Strong"/>
                <w:rFonts w:eastAsia="Calibri" w:cstheme="minorHAnsi"/>
                <w:b w:val="0"/>
                <w:bCs w:val="0"/>
                <w:color w:val="495965"/>
                <w:sz w:val="20"/>
                <w:szCs w:val="20"/>
              </w:rPr>
            </w:pPr>
            <w:r w:rsidRPr="0023220A">
              <w:rPr>
                <w:rStyle w:val="Strong"/>
                <w:rFonts w:eastAsia="Calibri" w:cstheme="minorHAnsi"/>
                <w:b w:val="0"/>
                <w:bCs w:val="0"/>
                <w:color w:val="495965"/>
                <w:sz w:val="20"/>
                <w:szCs w:val="20"/>
              </w:rPr>
              <w:t>T</w:t>
            </w:r>
            <w:r w:rsidRPr="00CF409B">
              <w:rPr>
                <w:rStyle w:val="Strong"/>
                <w:rFonts w:eastAsia="Calibri" w:cstheme="minorHAnsi"/>
                <w:b w:val="0"/>
                <w:bCs w:val="0"/>
                <w:color w:val="495965"/>
                <w:sz w:val="20"/>
                <w:szCs w:val="20"/>
              </w:rPr>
              <w:t xml:space="preserve">he </w:t>
            </w:r>
            <w:r w:rsidR="001A7D5B" w:rsidRPr="0023220A">
              <w:rPr>
                <w:rStyle w:val="Strong"/>
                <w:rFonts w:eastAsia="Calibri" w:cstheme="minorHAnsi"/>
                <w:b w:val="0"/>
                <w:bCs w:val="0"/>
                <w:color w:val="495965"/>
                <w:sz w:val="20"/>
                <w:szCs w:val="20"/>
              </w:rPr>
              <w:t xml:space="preserve">TGA and DFAT agree that there </w:t>
            </w:r>
            <w:r w:rsidR="00173D0B" w:rsidRPr="0023220A">
              <w:rPr>
                <w:rStyle w:val="Strong"/>
                <w:rFonts w:eastAsia="Calibri" w:cstheme="minorHAnsi"/>
                <w:b w:val="0"/>
                <w:bCs w:val="0"/>
                <w:color w:val="495965"/>
                <w:sz w:val="20"/>
                <w:szCs w:val="20"/>
              </w:rPr>
              <w:t xml:space="preserve">would be benefit </w:t>
            </w:r>
            <w:r w:rsidR="0063448A" w:rsidRPr="0023220A">
              <w:rPr>
                <w:rStyle w:val="Strong"/>
                <w:rFonts w:eastAsia="Calibri" w:cstheme="minorHAnsi"/>
                <w:b w:val="0"/>
                <w:bCs w:val="0"/>
                <w:color w:val="495965"/>
                <w:sz w:val="20"/>
                <w:szCs w:val="20"/>
              </w:rPr>
              <w:t>in establishing closer relationships</w:t>
            </w:r>
            <w:r w:rsidR="0063448A" w:rsidRPr="00AB6B62">
              <w:rPr>
                <w:rStyle w:val="Strong"/>
                <w:rFonts w:eastAsia="Calibri" w:cstheme="minorHAnsi"/>
                <w:b w:val="0"/>
                <w:bCs w:val="0"/>
                <w:color w:val="495965"/>
                <w:sz w:val="20"/>
                <w:szCs w:val="20"/>
              </w:rPr>
              <w:t xml:space="preserve"> </w:t>
            </w:r>
            <w:r w:rsidR="0063448A" w:rsidRPr="0023220A">
              <w:rPr>
                <w:rStyle w:val="Strong"/>
                <w:rFonts w:eastAsia="Calibri" w:cstheme="minorHAnsi"/>
                <w:b w:val="0"/>
                <w:bCs w:val="0"/>
                <w:color w:val="495965"/>
                <w:sz w:val="20"/>
                <w:szCs w:val="20"/>
              </w:rPr>
              <w:t>with other donors</w:t>
            </w:r>
            <w:r w:rsidR="003A6AB0" w:rsidRPr="0023220A">
              <w:rPr>
                <w:rStyle w:val="Strong"/>
                <w:rFonts w:eastAsia="Calibri" w:cstheme="minorHAnsi"/>
                <w:b w:val="0"/>
                <w:bCs w:val="0"/>
                <w:color w:val="495965"/>
                <w:sz w:val="20"/>
                <w:szCs w:val="20"/>
              </w:rPr>
              <w:t xml:space="preserve">, </w:t>
            </w:r>
            <w:r w:rsidR="00C772F4" w:rsidRPr="0023220A">
              <w:rPr>
                <w:rStyle w:val="Strong"/>
                <w:rFonts w:eastAsia="Calibri" w:cstheme="minorHAnsi"/>
                <w:b w:val="0"/>
                <w:bCs w:val="0"/>
                <w:color w:val="495965"/>
                <w:sz w:val="20"/>
                <w:szCs w:val="20"/>
              </w:rPr>
              <w:t xml:space="preserve">associated </w:t>
            </w:r>
            <w:r w:rsidRPr="0023220A">
              <w:rPr>
                <w:rStyle w:val="Strong"/>
                <w:rFonts w:eastAsia="Calibri" w:cstheme="minorHAnsi"/>
                <w:b w:val="0"/>
                <w:bCs w:val="0"/>
                <w:color w:val="495965"/>
                <w:sz w:val="20"/>
                <w:szCs w:val="20"/>
              </w:rPr>
              <w:t>N</w:t>
            </w:r>
            <w:r w:rsidRPr="00AB6B62">
              <w:rPr>
                <w:rStyle w:val="Strong"/>
                <w:rFonts w:eastAsia="Calibri" w:cstheme="minorHAnsi"/>
                <w:b w:val="0"/>
                <w:bCs w:val="0"/>
                <w:color w:val="495965"/>
                <w:sz w:val="20"/>
                <w:szCs w:val="20"/>
              </w:rPr>
              <w:t>RAs</w:t>
            </w:r>
            <w:r w:rsidR="003A6AB0" w:rsidRPr="0023220A">
              <w:rPr>
                <w:rStyle w:val="Strong"/>
                <w:rFonts w:eastAsia="Calibri" w:cstheme="minorHAnsi"/>
                <w:b w:val="0"/>
                <w:bCs w:val="0"/>
                <w:color w:val="495965"/>
                <w:sz w:val="20"/>
                <w:szCs w:val="20"/>
              </w:rPr>
              <w:t xml:space="preserve"> and complementary providers of regulatory </w:t>
            </w:r>
            <w:r w:rsidR="003A6AB0" w:rsidRPr="00627CF7">
              <w:rPr>
                <w:rStyle w:val="Strong"/>
                <w:rFonts w:eastAsia="Calibri" w:cstheme="minorHAnsi"/>
                <w:b w:val="0"/>
                <w:bCs w:val="0"/>
                <w:color w:val="495965"/>
                <w:sz w:val="20"/>
                <w:szCs w:val="20"/>
              </w:rPr>
              <w:t xml:space="preserve">strengthening </w:t>
            </w:r>
            <w:r w:rsidR="00450B57" w:rsidRPr="00627CF7">
              <w:rPr>
                <w:rStyle w:val="Strong"/>
                <w:rFonts w:eastAsia="Calibri" w:cstheme="minorHAnsi"/>
                <w:b w:val="0"/>
                <w:bCs w:val="0"/>
                <w:color w:val="495965"/>
                <w:sz w:val="20"/>
                <w:szCs w:val="20"/>
              </w:rPr>
              <w:t>(</w:t>
            </w:r>
            <w:r w:rsidR="00627CF7" w:rsidRPr="00627CF7">
              <w:rPr>
                <w:rStyle w:val="Strong"/>
                <w:rFonts w:eastAsia="Calibri" w:cstheme="minorHAnsi"/>
                <w:b w:val="0"/>
                <w:bCs w:val="0"/>
                <w:color w:val="495965"/>
                <w:sz w:val="20"/>
                <w:szCs w:val="20"/>
              </w:rPr>
              <w:t>s</w:t>
            </w:r>
            <w:r w:rsidR="00627CF7" w:rsidRPr="00AB6B62">
              <w:rPr>
                <w:rStyle w:val="Strong"/>
                <w:rFonts w:eastAsia="Calibri" w:cstheme="minorHAnsi"/>
                <w:b w:val="0"/>
                <w:bCs w:val="0"/>
                <w:color w:val="495965"/>
                <w:sz w:val="20"/>
                <w:szCs w:val="20"/>
              </w:rPr>
              <w:t xml:space="preserve">uch as </w:t>
            </w:r>
            <w:r w:rsidR="00FB0F41" w:rsidRPr="00627CF7">
              <w:rPr>
                <w:rStyle w:val="Strong"/>
                <w:rFonts w:eastAsia="Calibri" w:cstheme="minorHAnsi"/>
                <w:b w:val="0"/>
                <w:bCs w:val="0"/>
                <w:color w:val="495965"/>
                <w:sz w:val="20"/>
                <w:szCs w:val="20"/>
              </w:rPr>
              <w:t>WHO</w:t>
            </w:r>
            <w:r w:rsidR="00FB0F41" w:rsidRPr="0023220A">
              <w:rPr>
                <w:rStyle w:val="Strong"/>
                <w:rFonts w:eastAsia="Calibri" w:cstheme="minorHAnsi"/>
                <w:b w:val="0"/>
                <w:bCs w:val="0"/>
                <w:color w:val="495965"/>
                <w:sz w:val="20"/>
                <w:szCs w:val="20"/>
              </w:rPr>
              <w:t xml:space="preserve"> </w:t>
            </w:r>
            <w:r w:rsidRPr="0023220A">
              <w:rPr>
                <w:rStyle w:val="Strong"/>
                <w:rFonts w:eastAsia="Calibri" w:cstheme="minorHAnsi"/>
                <w:b w:val="0"/>
                <w:bCs w:val="0"/>
                <w:color w:val="495965"/>
                <w:sz w:val="20"/>
                <w:szCs w:val="20"/>
              </w:rPr>
              <w:t>h</w:t>
            </w:r>
            <w:r w:rsidRPr="00AB6B62">
              <w:rPr>
                <w:rStyle w:val="Strong"/>
                <w:rFonts w:eastAsia="Calibri" w:cstheme="minorHAnsi"/>
                <w:b w:val="0"/>
                <w:bCs w:val="0"/>
                <w:color w:val="495965"/>
                <w:sz w:val="20"/>
                <w:szCs w:val="20"/>
              </w:rPr>
              <w:t xml:space="preserve">eadquarters, </w:t>
            </w:r>
            <w:r w:rsidR="00FB0F41" w:rsidRPr="0023220A">
              <w:rPr>
                <w:rStyle w:val="Strong"/>
                <w:rFonts w:eastAsia="Calibri" w:cstheme="minorHAnsi"/>
                <w:b w:val="0"/>
                <w:bCs w:val="0"/>
                <w:color w:val="495965"/>
                <w:sz w:val="20"/>
                <w:szCs w:val="20"/>
              </w:rPr>
              <w:t xml:space="preserve">country and regional offices, </w:t>
            </w:r>
            <w:r w:rsidR="00C772F4" w:rsidRPr="0023220A">
              <w:rPr>
                <w:rStyle w:val="Strong"/>
                <w:rFonts w:eastAsia="Calibri" w:cstheme="minorHAnsi"/>
                <w:b w:val="0"/>
                <w:bCs w:val="0"/>
                <w:color w:val="495965"/>
                <w:sz w:val="20"/>
                <w:szCs w:val="20"/>
              </w:rPr>
              <w:t xml:space="preserve">USAID, </w:t>
            </w:r>
            <w:r w:rsidR="00450B57" w:rsidRPr="00AB6B62">
              <w:rPr>
                <w:rStyle w:val="Strong"/>
                <w:rFonts w:eastAsia="Calibri" w:cstheme="minorHAnsi"/>
                <w:b w:val="0"/>
                <w:bCs w:val="0"/>
                <w:color w:val="495965"/>
                <w:sz w:val="20"/>
                <w:szCs w:val="20"/>
              </w:rPr>
              <w:t>MFDS South Korea, NIID</w:t>
            </w:r>
            <w:r w:rsidR="00450B57" w:rsidRPr="0023220A">
              <w:rPr>
                <w:rStyle w:val="Strong"/>
                <w:rFonts w:eastAsia="Calibri" w:cstheme="minorHAnsi"/>
                <w:b w:val="0"/>
                <w:bCs w:val="0"/>
                <w:color w:val="495965"/>
                <w:sz w:val="20"/>
                <w:szCs w:val="20"/>
              </w:rPr>
              <w:t xml:space="preserve"> </w:t>
            </w:r>
            <w:r w:rsidR="00450B57" w:rsidRPr="00AB6B62">
              <w:rPr>
                <w:rStyle w:val="Strong"/>
                <w:rFonts w:eastAsia="Calibri" w:cstheme="minorHAnsi"/>
                <w:b w:val="0"/>
                <w:bCs w:val="0"/>
                <w:color w:val="495965"/>
                <w:sz w:val="20"/>
                <w:szCs w:val="20"/>
              </w:rPr>
              <w:t>Japan</w:t>
            </w:r>
            <w:r w:rsidR="00450B57" w:rsidRPr="0023220A">
              <w:rPr>
                <w:rStyle w:val="Strong"/>
                <w:rFonts w:eastAsia="Calibri" w:cstheme="minorHAnsi"/>
                <w:b w:val="0"/>
                <w:bCs w:val="0"/>
                <w:color w:val="495965"/>
                <w:sz w:val="20"/>
                <w:szCs w:val="20"/>
              </w:rPr>
              <w:t>,</w:t>
            </w:r>
            <w:r w:rsidR="00450B57" w:rsidRPr="00AB6B62">
              <w:rPr>
                <w:rStyle w:val="Strong"/>
                <w:rFonts w:eastAsia="Calibri" w:cstheme="minorHAnsi"/>
                <w:b w:val="0"/>
                <w:bCs w:val="0"/>
                <w:color w:val="495965"/>
                <w:sz w:val="20"/>
                <w:szCs w:val="20"/>
              </w:rPr>
              <w:t xml:space="preserve"> NZ </w:t>
            </w:r>
            <w:proofErr w:type="spellStart"/>
            <w:r w:rsidR="00450B57" w:rsidRPr="00AB6B62">
              <w:rPr>
                <w:rStyle w:val="Strong"/>
                <w:rFonts w:eastAsia="Calibri" w:cstheme="minorHAnsi"/>
                <w:b w:val="0"/>
                <w:bCs w:val="0"/>
                <w:color w:val="495965"/>
                <w:sz w:val="20"/>
                <w:szCs w:val="20"/>
              </w:rPr>
              <w:t>MedSafe</w:t>
            </w:r>
            <w:proofErr w:type="spellEnd"/>
            <w:r w:rsidR="003A6AB0" w:rsidRPr="0023220A">
              <w:rPr>
                <w:rStyle w:val="Strong"/>
                <w:rFonts w:eastAsia="Calibri" w:cstheme="minorHAnsi"/>
                <w:b w:val="0"/>
                <w:bCs w:val="0"/>
                <w:color w:val="495965"/>
                <w:sz w:val="20"/>
                <w:szCs w:val="20"/>
              </w:rPr>
              <w:t>, BMGF, USP</w:t>
            </w:r>
            <w:r w:rsidR="00450B57" w:rsidRPr="0023220A">
              <w:rPr>
                <w:rStyle w:val="Strong"/>
                <w:rFonts w:eastAsia="Calibri" w:cstheme="minorHAnsi"/>
                <w:b w:val="0"/>
                <w:bCs w:val="0"/>
                <w:color w:val="495965"/>
                <w:sz w:val="20"/>
                <w:szCs w:val="20"/>
              </w:rPr>
              <w:t>)</w:t>
            </w:r>
            <w:r w:rsidR="00C772F4" w:rsidRPr="0023220A">
              <w:rPr>
                <w:rStyle w:val="Strong"/>
                <w:rFonts w:eastAsia="Calibri" w:cstheme="minorHAnsi"/>
                <w:b w:val="0"/>
                <w:bCs w:val="0"/>
                <w:color w:val="495965"/>
                <w:sz w:val="20"/>
                <w:szCs w:val="20"/>
              </w:rPr>
              <w:t xml:space="preserve">. </w:t>
            </w:r>
            <w:r w:rsidR="00FB5EFC" w:rsidRPr="0023220A">
              <w:rPr>
                <w:rStyle w:val="Strong"/>
                <w:rFonts w:eastAsia="Calibri" w:cstheme="minorHAnsi"/>
                <w:b w:val="0"/>
                <w:bCs w:val="0"/>
                <w:color w:val="495965"/>
                <w:sz w:val="20"/>
                <w:szCs w:val="20"/>
              </w:rPr>
              <w:t>The modality for how to engage these partners</w:t>
            </w:r>
            <w:r w:rsidR="00DD3B42" w:rsidRPr="0023220A">
              <w:rPr>
                <w:rStyle w:val="Strong"/>
                <w:rFonts w:eastAsia="Calibri" w:cstheme="minorHAnsi"/>
                <w:b w:val="0"/>
                <w:bCs w:val="0"/>
                <w:color w:val="495965"/>
                <w:sz w:val="20"/>
                <w:szCs w:val="20"/>
              </w:rPr>
              <w:t xml:space="preserve"> will be determined following further consultation</w:t>
            </w:r>
            <w:r w:rsidR="000C7F35" w:rsidRPr="0023220A">
              <w:rPr>
                <w:rStyle w:val="Strong"/>
                <w:rFonts w:eastAsia="Calibri" w:cstheme="minorHAnsi"/>
                <w:b w:val="0"/>
                <w:bCs w:val="0"/>
                <w:color w:val="495965"/>
                <w:sz w:val="20"/>
                <w:szCs w:val="20"/>
              </w:rPr>
              <w:t xml:space="preserve">. </w:t>
            </w:r>
          </w:p>
        </w:tc>
        <w:tc>
          <w:tcPr>
            <w:tcW w:w="0" w:type="auto"/>
            <w:tcMar>
              <w:left w:w="105" w:type="dxa"/>
              <w:right w:w="105" w:type="dxa"/>
            </w:tcMar>
          </w:tcPr>
          <w:p w14:paraId="4E94594C" w14:textId="394D97C2" w:rsidR="00FC695D" w:rsidRDefault="00FC695D" w:rsidP="00FC695D">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 xml:space="preserve">Recommendation 4 will be addressed as part of the strategic design process. </w:t>
            </w:r>
          </w:p>
          <w:p w14:paraId="359B035C" w14:textId="328B5748" w:rsidR="00B65944" w:rsidRPr="008847DD" w:rsidRDefault="00B65944" w:rsidP="1E5DBCBD">
            <w:pPr>
              <w:spacing w:before="0" w:after="0" w:line="276" w:lineRule="auto"/>
              <w:rPr>
                <w:rStyle w:val="Strong"/>
                <w:rFonts w:eastAsia="Calibri"/>
                <w:color w:val="495965"/>
                <w:sz w:val="20"/>
                <w:szCs w:val="20"/>
                <w:highlight w:val="yellow"/>
              </w:rPr>
            </w:pPr>
          </w:p>
        </w:tc>
        <w:tc>
          <w:tcPr>
            <w:tcW w:w="0" w:type="auto"/>
            <w:tcMar>
              <w:left w:w="105" w:type="dxa"/>
              <w:right w:w="105" w:type="dxa"/>
            </w:tcMar>
          </w:tcPr>
          <w:p w14:paraId="5125E113" w14:textId="558D66FA" w:rsidR="19E58A0E" w:rsidRPr="00CF409B" w:rsidRDefault="00627CF7" w:rsidP="00A96928">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30 Jun 2023/Ongoing</w:t>
            </w:r>
          </w:p>
        </w:tc>
      </w:tr>
      <w:tr w:rsidR="00794046" w:rsidRPr="00794046" w14:paraId="5B173354" w14:textId="77777777" w:rsidTr="3CC25135">
        <w:trPr>
          <w:trHeight w:val="300"/>
        </w:trPr>
        <w:tc>
          <w:tcPr>
            <w:tcW w:w="0" w:type="auto"/>
            <w:tcMar>
              <w:left w:w="105" w:type="dxa"/>
              <w:right w:w="105" w:type="dxa"/>
            </w:tcMar>
          </w:tcPr>
          <w:p w14:paraId="4245B899" w14:textId="547C2733" w:rsidR="19E58A0E" w:rsidRPr="00CF409B" w:rsidRDefault="19E58A0E" w:rsidP="00A96928">
            <w:pPr>
              <w:spacing w:before="0" w:after="0" w:line="276" w:lineRule="auto"/>
              <w:rPr>
                <w:rFonts w:eastAsia="Calibri" w:cstheme="minorHAnsi"/>
                <w:color w:val="495965"/>
                <w:sz w:val="20"/>
                <w:szCs w:val="20"/>
              </w:rPr>
            </w:pPr>
            <w:r w:rsidRPr="00CF409B">
              <w:rPr>
                <w:rStyle w:val="Strong"/>
                <w:rFonts w:eastAsia="Calibri" w:cstheme="minorHAnsi"/>
                <w:b w:val="0"/>
                <w:bCs w:val="0"/>
                <w:color w:val="495965"/>
                <w:sz w:val="20"/>
                <w:szCs w:val="20"/>
              </w:rPr>
              <w:t>5</w:t>
            </w:r>
          </w:p>
        </w:tc>
        <w:tc>
          <w:tcPr>
            <w:tcW w:w="0" w:type="auto"/>
            <w:tcMar>
              <w:left w:w="105" w:type="dxa"/>
              <w:right w:w="105" w:type="dxa"/>
            </w:tcMar>
          </w:tcPr>
          <w:p w14:paraId="0313D7C9" w14:textId="0CEE678F" w:rsidR="19E58A0E" w:rsidRPr="00CF409B" w:rsidRDefault="19E58A0E" w:rsidP="00A96928">
            <w:pPr>
              <w:spacing w:before="0" w:after="0" w:line="276" w:lineRule="auto"/>
              <w:rPr>
                <w:rFonts w:eastAsia="Calibri" w:cstheme="minorHAnsi"/>
                <w:color w:val="495965"/>
                <w:sz w:val="20"/>
                <w:szCs w:val="20"/>
              </w:rPr>
            </w:pPr>
            <w:r w:rsidRPr="00CF409B">
              <w:rPr>
                <w:rStyle w:val="Strong"/>
                <w:rFonts w:eastAsia="Calibri" w:cstheme="minorHAnsi"/>
                <w:color w:val="495965"/>
                <w:sz w:val="20"/>
                <w:szCs w:val="20"/>
              </w:rPr>
              <w:t xml:space="preserve">Partnership between TGA and DFAT: </w:t>
            </w:r>
            <w:r w:rsidRPr="00CF409B">
              <w:rPr>
                <w:rStyle w:val="Strong"/>
                <w:rFonts w:eastAsia="Calibri" w:cstheme="minorHAnsi"/>
                <w:b w:val="0"/>
                <w:bCs w:val="0"/>
                <w:color w:val="495965"/>
                <w:sz w:val="20"/>
                <w:szCs w:val="20"/>
              </w:rPr>
              <w:t>Strengthen the partnership approach between DFAT and TGA, including the allocation of greater resourcing from DFAT (</w:t>
            </w:r>
            <w:r w:rsidR="004D3208">
              <w:rPr>
                <w:rStyle w:val="Strong"/>
                <w:rFonts w:eastAsia="Calibri" w:cstheme="minorHAnsi"/>
                <w:b w:val="0"/>
                <w:bCs w:val="0"/>
                <w:color w:val="495965"/>
                <w:sz w:val="20"/>
                <w:szCs w:val="20"/>
              </w:rPr>
              <w:t>Global Health Division (</w:t>
            </w:r>
            <w:r w:rsidRPr="00CF409B">
              <w:rPr>
                <w:rStyle w:val="Strong"/>
                <w:rFonts w:eastAsia="Calibri" w:cstheme="minorHAnsi"/>
                <w:b w:val="0"/>
                <w:bCs w:val="0"/>
                <w:color w:val="495965"/>
                <w:sz w:val="20"/>
                <w:szCs w:val="20"/>
              </w:rPr>
              <w:t>GHD</w:t>
            </w:r>
            <w:r w:rsidR="004D3208">
              <w:rPr>
                <w:rStyle w:val="Strong"/>
                <w:rFonts w:eastAsia="Calibri" w:cstheme="minorHAnsi"/>
                <w:b w:val="0"/>
                <w:bCs w:val="0"/>
                <w:color w:val="495965"/>
                <w:sz w:val="20"/>
                <w:szCs w:val="20"/>
              </w:rPr>
              <w:t>)</w:t>
            </w:r>
            <w:r w:rsidRPr="00CF409B">
              <w:rPr>
                <w:rStyle w:val="Strong"/>
                <w:rFonts w:eastAsia="Calibri" w:cstheme="minorHAnsi"/>
                <w:b w:val="0"/>
                <w:bCs w:val="0"/>
                <w:color w:val="495965"/>
                <w:sz w:val="20"/>
                <w:szCs w:val="20"/>
              </w:rPr>
              <w:t xml:space="preserve"> program management and time spent by posts)</w:t>
            </w:r>
            <w:r w:rsidRPr="00CF409B">
              <w:rPr>
                <w:rStyle w:val="Strong"/>
                <w:rFonts w:eastAsia="Calibri" w:cstheme="minorHAnsi"/>
                <w:color w:val="495965"/>
                <w:sz w:val="20"/>
                <w:szCs w:val="20"/>
              </w:rPr>
              <w:t xml:space="preserve"> </w:t>
            </w:r>
            <w:r w:rsidRPr="00CF409B">
              <w:rPr>
                <w:rStyle w:val="Strong"/>
                <w:rFonts w:eastAsia="Calibri" w:cstheme="minorHAnsi"/>
                <w:b w:val="0"/>
                <w:bCs w:val="0"/>
                <w:color w:val="495965"/>
                <w:sz w:val="20"/>
                <w:szCs w:val="20"/>
              </w:rPr>
              <w:t>by:</w:t>
            </w:r>
          </w:p>
          <w:p w14:paraId="5816EB1B" w14:textId="318BC50D" w:rsidR="19E58A0E" w:rsidRPr="00CF409B" w:rsidRDefault="19E58A0E" w:rsidP="00A96928">
            <w:pPr>
              <w:pStyle w:val="ListParagraph"/>
              <w:numPr>
                <w:ilvl w:val="0"/>
                <w:numId w:val="2"/>
              </w:numPr>
              <w:tabs>
                <w:tab w:val="num" w:pos="563"/>
              </w:tabs>
              <w:spacing w:before="0" w:after="0" w:line="276" w:lineRule="auto"/>
              <w:ind w:left="563"/>
              <w:rPr>
                <w:rFonts w:eastAsia="Calibri" w:cstheme="minorHAnsi"/>
                <w:color w:val="495965"/>
                <w:sz w:val="20"/>
                <w:szCs w:val="20"/>
              </w:rPr>
            </w:pPr>
            <w:r w:rsidRPr="00CF409B">
              <w:rPr>
                <w:rFonts w:eastAsia="Calibri" w:cstheme="minorHAnsi"/>
                <w:color w:val="495965"/>
                <w:sz w:val="20"/>
                <w:szCs w:val="20"/>
              </w:rPr>
              <w:t xml:space="preserve">GHD engaging </w:t>
            </w:r>
            <w:r w:rsidRPr="00CF409B">
              <w:rPr>
                <w:rFonts w:eastAsia="Calibri" w:cstheme="minorHAnsi"/>
                <w:b/>
                <w:bCs/>
                <w:color w:val="495965"/>
                <w:sz w:val="20"/>
                <w:szCs w:val="20"/>
              </w:rPr>
              <w:t xml:space="preserve">posts </w:t>
            </w:r>
            <w:r w:rsidRPr="00CF409B">
              <w:rPr>
                <w:rFonts w:eastAsia="Calibri" w:cstheme="minorHAnsi"/>
                <w:color w:val="495965"/>
                <w:sz w:val="20"/>
                <w:szCs w:val="20"/>
              </w:rPr>
              <w:t xml:space="preserve">in country-level planning of a new TGA-DFAT partnership and brokering meetings with </w:t>
            </w:r>
            <w:proofErr w:type="spellStart"/>
            <w:r w:rsidRPr="00CF409B">
              <w:rPr>
                <w:rFonts w:eastAsia="Calibri" w:cstheme="minorHAnsi"/>
                <w:color w:val="495965"/>
                <w:sz w:val="20"/>
                <w:szCs w:val="20"/>
              </w:rPr>
              <w:t>MoHs</w:t>
            </w:r>
            <w:proofErr w:type="spellEnd"/>
            <w:r w:rsidRPr="00CF409B">
              <w:rPr>
                <w:rFonts w:eastAsia="Calibri" w:cstheme="minorHAnsi"/>
                <w:color w:val="495965"/>
                <w:sz w:val="20"/>
                <w:szCs w:val="20"/>
              </w:rPr>
              <w:t>/partners; and GHD providing background information to posts on how to support the work of TGA.</w:t>
            </w:r>
          </w:p>
          <w:p w14:paraId="6FE14BC5" w14:textId="1C4CA587" w:rsidR="19E58A0E" w:rsidRPr="00CF409B" w:rsidRDefault="19E58A0E" w:rsidP="00A96928">
            <w:pPr>
              <w:pStyle w:val="ListParagraph"/>
              <w:numPr>
                <w:ilvl w:val="0"/>
                <w:numId w:val="2"/>
              </w:numPr>
              <w:tabs>
                <w:tab w:val="num" w:pos="563"/>
              </w:tabs>
              <w:spacing w:before="0" w:after="0" w:line="276" w:lineRule="auto"/>
              <w:ind w:left="563"/>
              <w:rPr>
                <w:rFonts w:eastAsia="Calibri" w:cstheme="minorHAnsi"/>
                <w:color w:val="495965"/>
                <w:sz w:val="20"/>
                <w:szCs w:val="20"/>
              </w:rPr>
            </w:pPr>
            <w:r w:rsidRPr="00CF409B">
              <w:rPr>
                <w:rFonts w:eastAsia="Calibri" w:cstheme="minorHAnsi"/>
                <w:color w:val="495965"/>
                <w:sz w:val="20"/>
                <w:szCs w:val="20"/>
                <w:lang w:val="en-AU"/>
              </w:rPr>
              <w:lastRenderedPageBreak/>
              <w:t xml:space="preserve">DFAT specifically engaging with </w:t>
            </w:r>
            <w:r w:rsidRPr="00CF409B">
              <w:rPr>
                <w:rFonts w:eastAsia="Calibri" w:cstheme="minorHAnsi"/>
                <w:b/>
                <w:bCs/>
                <w:color w:val="495965"/>
                <w:sz w:val="20"/>
                <w:szCs w:val="20"/>
                <w:lang w:val="en-AU"/>
              </w:rPr>
              <w:t xml:space="preserve">PICs </w:t>
            </w:r>
            <w:r w:rsidRPr="00CF409B">
              <w:rPr>
                <w:rFonts w:eastAsia="Calibri" w:cstheme="minorHAnsi"/>
                <w:color w:val="495965"/>
                <w:sz w:val="20"/>
                <w:szCs w:val="20"/>
                <w:lang w:val="en-AU"/>
              </w:rPr>
              <w:t>for ongoing TGA TA and facilitating cross program learning with </w:t>
            </w:r>
            <w:r w:rsidR="00F45677">
              <w:rPr>
                <w:rFonts w:eastAsia="Calibri" w:cstheme="minorHAnsi"/>
                <w:b/>
                <w:bCs/>
                <w:color w:val="495965"/>
                <w:sz w:val="20"/>
                <w:szCs w:val="20"/>
                <w:lang w:val="en-AU"/>
              </w:rPr>
              <w:t>Pacific Medicines Testing Program (</w:t>
            </w:r>
            <w:r w:rsidRPr="00CF409B">
              <w:rPr>
                <w:rFonts w:eastAsia="Calibri" w:cstheme="minorHAnsi"/>
                <w:b/>
                <w:bCs/>
                <w:color w:val="495965"/>
                <w:sz w:val="20"/>
                <w:szCs w:val="20"/>
                <w:lang w:val="en-AU"/>
              </w:rPr>
              <w:t>PMTP</w:t>
            </w:r>
            <w:r w:rsidR="00F45677">
              <w:rPr>
                <w:rFonts w:eastAsia="Calibri" w:cstheme="minorHAnsi"/>
                <w:b/>
                <w:bCs/>
                <w:color w:val="495965"/>
                <w:sz w:val="20"/>
                <w:szCs w:val="20"/>
                <w:lang w:val="en-AU"/>
              </w:rPr>
              <w:t>)</w:t>
            </w:r>
            <w:r w:rsidRPr="00CF409B">
              <w:rPr>
                <w:rFonts w:eastAsia="Calibri" w:cstheme="minorHAnsi"/>
                <w:b/>
                <w:bCs/>
                <w:color w:val="495965"/>
                <w:sz w:val="20"/>
                <w:szCs w:val="20"/>
                <w:lang w:val="en-AU"/>
              </w:rPr>
              <w:t>.</w:t>
            </w:r>
          </w:p>
          <w:p w14:paraId="6A7DD352" w14:textId="34C93275" w:rsidR="19E58A0E" w:rsidRPr="00CF409B" w:rsidRDefault="19E58A0E" w:rsidP="00A96928">
            <w:pPr>
              <w:pStyle w:val="ListParagraph"/>
              <w:numPr>
                <w:ilvl w:val="0"/>
                <w:numId w:val="2"/>
              </w:numPr>
              <w:tabs>
                <w:tab w:val="num" w:pos="563"/>
              </w:tabs>
              <w:spacing w:before="0" w:after="0" w:line="276" w:lineRule="auto"/>
              <w:ind w:left="563"/>
              <w:rPr>
                <w:rFonts w:eastAsia="Calibri" w:cstheme="minorHAnsi"/>
                <w:color w:val="495965"/>
                <w:sz w:val="20"/>
                <w:szCs w:val="20"/>
              </w:rPr>
            </w:pPr>
            <w:r w:rsidRPr="00CF409B">
              <w:rPr>
                <w:rFonts w:eastAsia="Calibri" w:cstheme="minorHAnsi"/>
                <w:color w:val="495965"/>
                <w:sz w:val="20"/>
                <w:szCs w:val="20"/>
              </w:rPr>
              <w:t xml:space="preserve">DFAT facilitating TGA support for </w:t>
            </w:r>
            <w:r w:rsidRPr="00CF409B">
              <w:rPr>
                <w:rFonts w:eastAsia="Calibri" w:cstheme="minorHAnsi"/>
                <w:b/>
                <w:bCs/>
                <w:color w:val="495965"/>
                <w:sz w:val="20"/>
                <w:szCs w:val="20"/>
              </w:rPr>
              <w:t>ASEAN JACG</w:t>
            </w:r>
            <w:r w:rsidRPr="00CF409B">
              <w:rPr>
                <w:rFonts w:eastAsia="Calibri" w:cstheme="minorHAnsi"/>
                <w:color w:val="495965"/>
                <w:sz w:val="20"/>
                <w:szCs w:val="20"/>
              </w:rPr>
              <w:t xml:space="preserve"> and the </w:t>
            </w:r>
            <w:r w:rsidRPr="00CF409B">
              <w:rPr>
                <w:rFonts w:eastAsia="Calibri" w:cstheme="minorHAnsi"/>
                <w:b/>
                <w:bCs/>
                <w:color w:val="495965"/>
                <w:sz w:val="20"/>
                <w:szCs w:val="20"/>
              </w:rPr>
              <w:t>WHO-coordinated Pacific Sub-Regional Platform.</w:t>
            </w:r>
          </w:p>
          <w:p w14:paraId="611E26DC" w14:textId="049A77FF" w:rsidR="19E58A0E" w:rsidRPr="00CF409B" w:rsidRDefault="19E58A0E" w:rsidP="00A96928">
            <w:pPr>
              <w:pStyle w:val="ListParagraph"/>
              <w:numPr>
                <w:ilvl w:val="0"/>
                <w:numId w:val="2"/>
              </w:numPr>
              <w:tabs>
                <w:tab w:val="num" w:pos="563"/>
              </w:tabs>
              <w:spacing w:before="0" w:after="0" w:line="276" w:lineRule="auto"/>
              <w:ind w:left="563"/>
              <w:rPr>
                <w:rFonts w:eastAsia="Calibri" w:cstheme="minorHAnsi"/>
                <w:color w:val="495965"/>
                <w:sz w:val="20"/>
                <w:szCs w:val="20"/>
              </w:rPr>
            </w:pPr>
            <w:r w:rsidRPr="00CF409B">
              <w:rPr>
                <w:rFonts w:eastAsia="Calibri" w:cstheme="minorHAnsi"/>
                <w:color w:val="495965"/>
                <w:sz w:val="20"/>
                <w:szCs w:val="20"/>
              </w:rPr>
              <w:t xml:space="preserve">DFAT conducting </w:t>
            </w:r>
            <w:r w:rsidRPr="00CF409B">
              <w:rPr>
                <w:rFonts w:eastAsia="Calibri" w:cstheme="minorHAnsi"/>
                <w:b/>
                <w:bCs/>
                <w:color w:val="495965"/>
                <w:sz w:val="20"/>
                <w:szCs w:val="20"/>
              </w:rPr>
              <w:t>diplomatic meetings</w:t>
            </w:r>
            <w:r w:rsidRPr="00CF409B">
              <w:rPr>
                <w:rFonts w:eastAsia="Calibri" w:cstheme="minorHAnsi"/>
                <w:color w:val="495965"/>
                <w:sz w:val="20"/>
                <w:szCs w:val="20"/>
              </w:rPr>
              <w:t xml:space="preserve"> (Japan, Korea, NZ, US etc.) to optimise regulatory inputs and coordination in the region.</w:t>
            </w:r>
          </w:p>
          <w:p w14:paraId="114D38E3" w14:textId="3B6FA7B2" w:rsidR="19E58A0E" w:rsidRPr="00CF409B" w:rsidRDefault="19E58A0E" w:rsidP="3CC25135">
            <w:pPr>
              <w:pStyle w:val="ListParagraph"/>
              <w:numPr>
                <w:ilvl w:val="0"/>
                <w:numId w:val="2"/>
              </w:numPr>
              <w:tabs>
                <w:tab w:val="num" w:pos="563"/>
              </w:tabs>
              <w:spacing w:before="0" w:after="0" w:line="276" w:lineRule="auto"/>
              <w:ind w:left="563"/>
              <w:rPr>
                <w:rFonts w:eastAsia="Calibri"/>
                <w:color w:val="495965"/>
                <w:sz w:val="20"/>
                <w:szCs w:val="20"/>
              </w:rPr>
            </w:pPr>
            <w:r w:rsidRPr="3CC25135">
              <w:rPr>
                <w:rFonts w:eastAsia="Calibri"/>
                <w:sz w:val="20"/>
                <w:szCs w:val="20"/>
              </w:rPr>
              <w:t xml:space="preserve">DFAT to enhance coordination (where appropriate) with other relevant </w:t>
            </w:r>
            <w:r w:rsidRPr="3CC25135">
              <w:rPr>
                <w:rFonts w:eastAsia="Calibri"/>
                <w:b/>
                <w:bCs/>
                <w:sz w:val="20"/>
                <w:szCs w:val="20"/>
              </w:rPr>
              <w:t>DFAT-funded programs</w:t>
            </w:r>
            <w:r w:rsidRPr="3CC25135">
              <w:rPr>
                <w:rFonts w:eastAsia="Calibri"/>
                <w:sz w:val="20"/>
                <w:szCs w:val="20"/>
              </w:rPr>
              <w:t xml:space="preserve"> – </w:t>
            </w:r>
            <w:bookmarkStart w:id="18" w:name="_Int_hhUGAgeW"/>
            <w:proofErr w:type="gramStart"/>
            <w:r w:rsidRPr="3CC25135">
              <w:rPr>
                <w:rFonts w:eastAsia="Calibri"/>
                <w:sz w:val="20"/>
                <w:szCs w:val="20"/>
              </w:rPr>
              <w:t>e.g.</w:t>
            </w:r>
            <w:bookmarkEnd w:id="18"/>
            <w:proofErr w:type="gramEnd"/>
            <w:r w:rsidRPr="3CC25135">
              <w:rPr>
                <w:rFonts w:eastAsia="Calibri"/>
                <w:sz w:val="20"/>
                <w:szCs w:val="20"/>
              </w:rPr>
              <w:t xml:space="preserve"> </w:t>
            </w:r>
            <w:r w:rsidR="686A7FCD" w:rsidRPr="3CC25135">
              <w:rPr>
                <w:rFonts w:eastAsia="Calibri"/>
                <w:sz w:val="20"/>
                <w:szCs w:val="20"/>
              </w:rPr>
              <w:t>PDP (Product Development Partnerships)</w:t>
            </w:r>
            <w:r w:rsidRPr="3CC25135">
              <w:rPr>
                <w:rFonts w:eastAsia="Calibri"/>
                <w:sz w:val="20"/>
                <w:szCs w:val="20"/>
              </w:rPr>
              <w:t xml:space="preserve"> Fund, </w:t>
            </w:r>
            <w:proofErr w:type="spellStart"/>
            <w:r w:rsidRPr="3CC25135">
              <w:rPr>
                <w:rFonts w:eastAsia="Calibri"/>
                <w:sz w:val="20"/>
                <w:szCs w:val="20"/>
              </w:rPr>
              <w:t>mSupply</w:t>
            </w:r>
            <w:proofErr w:type="spellEnd"/>
            <w:r w:rsidRPr="3CC25135">
              <w:rPr>
                <w:rFonts w:eastAsia="Calibri"/>
                <w:sz w:val="20"/>
                <w:szCs w:val="20"/>
              </w:rPr>
              <w:t>, NCIRS so that there is increased visibility of planned activities and where each partner can add value to the other.</w:t>
            </w:r>
          </w:p>
        </w:tc>
        <w:tc>
          <w:tcPr>
            <w:tcW w:w="0" w:type="auto"/>
            <w:shd w:val="clear" w:color="auto" w:fill="CDE2B9" w:themeFill="accent3" w:themeFillTint="99"/>
            <w:tcMar>
              <w:left w:w="105" w:type="dxa"/>
              <w:right w:w="105" w:type="dxa"/>
            </w:tcMar>
          </w:tcPr>
          <w:p w14:paraId="6D7F72AE" w14:textId="51B24E64" w:rsidR="19E58A0E" w:rsidRPr="00CF409B" w:rsidRDefault="00DE66EA" w:rsidP="00A96928">
            <w:pPr>
              <w:spacing w:before="0" w:after="0" w:line="276" w:lineRule="auto"/>
              <w:rPr>
                <w:rStyle w:val="Strong"/>
                <w:rFonts w:eastAsia="Calibri" w:cstheme="minorHAnsi"/>
                <w:b w:val="0"/>
                <w:bCs w:val="0"/>
                <w:color w:val="495965"/>
                <w:sz w:val="20"/>
                <w:szCs w:val="20"/>
              </w:rPr>
            </w:pPr>
            <w:r w:rsidRPr="00CF409B">
              <w:rPr>
                <w:rStyle w:val="Strong"/>
                <w:rFonts w:eastAsia="Calibri" w:cstheme="minorHAnsi"/>
                <w:b w:val="0"/>
                <w:bCs w:val="0"/>
                <w:color w:val="495965"/>
                <w:sz w:val="20"/>
                <w:szCs w:val="20"/>
              </w:rPr>
              <w:lastRenderedPageBreak/>
              <w:t xml:space="preserve">Partially </w:t>
            </w:r>
            <w:r w:rsidR="00AE4B62">
              <w:rPr>
                <w:rStyle w:val="Strong"/>
                <w:rFonts w:eastAsia="Calibri" w:cstheme="minorHAnsi"/>
                <w:b w:val="0"/>
                <w:bCs w:val="0"/>
                <w:color w:val="495965"/>
                <w:sz w:val="20"/>
                <w:szCs w:val="20"/>
              </w:rPr>
              <w:t>agree</w:t>
            </w:r>
          </w:p>
        </w:tc>
        <w:tc>
          <w:tcPr>
            <w:tcW w:w="0" w:type="auto"/>
            <w:tcMar>
              <w:left w:w="105" w:type="dxa"/>
              <w:right w:w="105" w:type="dxa"/>
            </w:tcMar>
          </w:tcPr>
          <w:p w14:paraId="6BEA38B4" w14:textId="407626FF" w:rsidR="002D5BA0" w:rsidRDefault="00B66A5A" w:rsidP="00A96928">
            <w:pPr>
              <w:spacing w:before="0" w:after="0" w:line="276" w:lineRule="auto"/>
              <w:rPr>
                <w:rStyle w:val="Strong"/>
                <w:rFonts w:eastAsia="Calibri" w:cstheme="minorHAnsi"/>
                <w:b w:val="0"/>
                <w:bCs w:val="0"/>
                <w:color w:val="495965"/>
                <w:sz w:val="20"/>
                <w:szCs w:val="20"/>
              </w:rPr>
            </w:pPr>
            <w:r>
              <w:rPr>
                <w:rStyle w:val="Strong"/>
                <w:rFonts w:eastAsia="Calibri" w:cstheme="minorHAnsi"/>
                <w:b w:val="0"/>
                <w:bCs w:val="0"/>
                <w:color w:val="495965"/>
                <w:sz w:val="20"/>
                <w:szCs w:val="20"/>
              </w:rPr>
              <w:t xml:space="preserve">The </w:t>
            </w:r>
            <w:r w:rsidR="00DC0C65" w:rsidRPr="003B117B">
              <w:rPr>
                <w:rStyle w:val="Strong"/>
                <w:rFonts w:eastAsia="Calibri" w:cstheme="minorHAnsi"/>
                <w:b w:val="0"/>
                <w:bCs w:val="0"/>
                <w:color w:val="495965"/>
                <w:sz w:val="20"/>
                <w:szCs w:val="20"/>
              </w:rPr>
              <w:t xml:space="preserve">TGA and </w:t>
            </w:r>
            <w:r w:rsidR="0026593B" w:rsidRPr="003B117B">
              <w:rPr>
                <w:rStyle w:val="Strong"/>
                <w:rFonts w:eastAsia="Calibri" w:cstheme="minorHAnsi"/>
                <w:b w:val="0"/>
                <w:bCs w:val="0"/>
                <w:color w:val="495965"/>
                <w:sz w:val="20"/>
                <w:szCs w:val="20"/>
              </w:rPr>
              <w:t xml:space="preserve">DFAT </w:t>
            </w:r>
            <w:r w:rsidR="00DC0C65" w:rsidRPr="003B117B">
              <w:rPr>
                <w:rStyle w:val="Strong"/>
                <w:rFonts w:eastAsia="Calibri" w:cstheme="minorHAnsi"/>
                <w:b w:val="0"/>
                <w:bCs w:val="0"/>
                <w:color w:val="495965"/>
                <w:sz w:val="20"/>
                <w:szCs w:val="20"/>
              </w:rPr>
              <w:t xml:space="preserve">agree </w:t>
            </w:r>
            <w:r w:rsidR="002D5BA0">
              <w:rPr>
                <w:rStyle w:val="Strong"/>
                <w:rFonts w:eastAsia="Calibri" w:cstheme="minorHAnsi"/>
                <w:b w:val="0"/>
                <w:bCs w:val="0"/>
                <w:color w:val="495965"/>
                <w:sz w:val="20"/>
                <w:szCs w:val="20"/>
              </w:rPr>
              <w:t xml:space="preserve">there is considerable merit in maintaining a strong and productive partnership. </w:t>
            </w:r>
          </w:p>
          <w:p w14:paraId="54C072B1" w14:textId="77777777" w:rsidR="002D5BA0" w:rsidRDefault="002D5BA0" w:rsidP="00A96928">
            <w:pPr>
              <w:spacing w:before="0" w:after="0" w:line="276" w:lineRule="auto"/>
              <w:rPr>
                <w:rStyle w:val="Strong"/>
                <w:rFonts w:eastAsia="Calibri" w:cstheme="minorHAnsi"/>
                <w:b w:val="0"/>
                <w:bCs w:val="0"/>
                <w:color w:val="495965"/>
                <w:sz w:val="20"/>
                <w:szCs w:val="20"/>
              </w:rPr>
            </w:pPr>
          </w:p>
          <w:p w14:paraId="17F016CE" w14:textId="0066C6BE" w:rsidR="002D5BA0" w:rsidRDefault="002D5BA0" w:rsidP="00A96928">
            <w:pPr>
              <w:spacing w:before="0" w:after="0" w:line="276" w:lineRule="auto"/>
              <w:rPr>
                <w:rStyle w:val="Strong"/>
                <w:rFonts w:eastAsia="Calibri" w:cstheme="minorHAnsi"/>
                <w:b w:val="0"/>
                <w:bCs w:val="0"/>
                <w:color w:val="495965"/>
                <w:sz w:val="20"/>
                <w:szCs w:val="20"/>
              </w:rPr>
            </w:pPr>
            <w:r>
              <w:rPr>
                <w:rStyle w:val="Strong"/>
                <w:rFonts w:eastAsia="Calibri" w:cstheme="minorHAnsi"/>
                <w:b w:val="0"/>
                <w:bCs w:val="0"/>
                <w:color w:val="495965"/>
                <w:sz w:val="20"/>
                <w:szCs w:val="20"/>
              </w:rPr>
              <w:t xml:space="preserve">The </w:t>
            </w:r>
            <w:r w:rsidRPr="00CF409B">
              <w:rPr>
                <w:rStyle w:val="Strong"/>
                <w:rFonts w:eastAsia="Calibri" w:cstheme="minorHAnsi"/>
                <w:b w:val="0"/>
                <w:bCs w:val="0"/>
                <w:color w:val="495965"/>
                <w:sz w:val="20"/>
                <w:szCs w:val="20"/>
              </w:rPr>
              <w:t>TGA and DFAT</w:t>
            </w:r>
            <w:r w:rsidRPr="003B117B">
              <w:rPr>
                <w:rStyle w:val="Strong"/>
                <w:rFonts w:eastAsia="Calibri" w:cstheme="minorHAnsi"/>
                <w:b w:val="0"/>
                <w:bCs w:val="0"/>
                <w:color w:val="495965"/>
                <w:sz w:val="20"/>
                <w:szCs w:val="20"/>
              </w:rPr>
              <w:t xml:space="preserve"> GHD</w:t>
            </w:r>
            <w:r w:rsidRPr="00CF409B">
              <w:rPr>
                <w:rStyle w:val="Strong"/>
                <w:rFonts w:eastAsia="Calibri" w:cstheme="minorHAnsi"/>
                <w:b w:val="0"/>
                <w:bCs w:val="0"/>
                <w:color w:val="495965"/>
                <w:sz w:val="20"/>
                <w:szCs w:val="20"/>
              </w:rPr>
              <w:t xml:space="preserve"> </w:t>
            </w:r>
            <w:r w:rsidRPr="003B117B">
              <w:rPr>
                <w:rStyle w:val="Strong"/>
                <w:rFonts w:eastAsia="Calibri" w:cstheme="minorHAnsi"/>
                <w:b w:val="0"/>
                <w:bCs w:val="0"/>
                <w:color w:val="495965"/>
                <w:sz w:val="20"/>
                <w:szCs w:val="20"/>
              </w:rPr>
              <w:t xml:space="preserve">agree that further </w:t>
            </w:r>
            <w:r w:rsidRPr="00CF409B">
              <w:rPr>
                <w:rStyle w:val="Strong"/>
                <w:rFonts w:eastAsia="Calibri" w:cstheme="minorHAnsi"/>
                <w:b w:val="0"/>
                <w:bCs w:val="0"/>
                <w:color w:val="495965"/>
                <w:sz w:val="20"/>
                <w:szCs w:val="20"/>
              </w:rPr>
              <w:t>effort</w:t>
            </w:r>
            <w:r w:rsidRPr="003B117B">
              <w:rPr>
                <w:rStyle w:val="Strong"/>
                <w:rFonts w:eastAsia="Calibri" w:cstheme="minorHAnsi"/>
                <w:b w:val="0"/>
                <w:bCs w:val="0"/>
                <w:color w:val="495965"/>
                <w:sz w:val="20"/>
                <w:szCs w:val="20"/>
              </w:rPr>
              <w:t>s</w:t>
            </w:r>
            <w:r w:rsidRPr="00CF409B">
              <w:rPr>
                <w:rStyle w:val="Strong"/>
                <w:rFonts w:eastAsia="Calibri" w:cstheme="minorHAnsi"/>
                <w:b w:val="0"/>
                <w:bCs w:val="0"/>
                <w:color w:val="495965"/>
                <w:sz w:val="20"/>
                <w:szCs w:val="20"/>
              </w:rPr>
              <w:t xml:space="preserve"> </w:t>
            </w:r>
            <w:r w:rsidRPr="003B117B">
              <w:rPr>
                <w:rStyle w:val="Strong"/>
                <w:rFonts w:eastAsia="Calibri" w:cstheme="minorHAnsi"/>
                <w:b w:val="0"/>
                <w:bCs w:val="0"/>
                <w:color w:val="495965"/>
                <w:sz w:val="20"/>
                <w:szCs w:val="20"/>
              </w:rPr>
              <w:t>can be made to engage post</w:t>
            </w:r>
            <w:r>
              <w:rPr>
                <w:rStyle w:val="Strong"/>
                <w:rFonts w:eastAsia="Calibri" w:cstheme="minorHAnsi"/>
                <w:b w:val="0"/>
                <w:bCs w:val="0"/>
                <w:color w:val="495965"/>
                <w:sz w:val="20"/>
                <w:szCs w:val="20"/>
              </w:rPr>
              <w:t>s</w:t>
            </w:r>
            <w:r w:rsidRPr="003B117B">
              <w:rPr>
                <w:rStyle w:val="Strong"/>
                <w:rFonts w:eastAsia="Calibri" w:cstheme="minorHAnsi"/>
                <w:b w:val="0"/>
                <w:bCs w:val="0"/>
                <w:color w:val="495965"/>
                <w:sz w:val="20"/>
                <w:szCs w:val="20"/>
              </w:rPr>
              <w:t xml:space="preserve"> with strategic </w:t>
            </w:r>
            <w:r w:rsidRPr="00CF409B">
              <w:rPr>
                <w:rStyle w:val="Strong"/>
                <w:rFonts w:eastAsia="Calibri" w:cstheme="minorHAnsi"/>
                <w:b w:val="0"/>
                <w:bCs w:val="0"/>
                <w:color w:val="495965"/>
                <w:sz w:val="20"/>
                <w:szCs w:val="20"/>
              </w:rPr>
              <w:t>forward</w:t>
            </w:r>
            <w:r w:rsidRPr="003B117B">
              <w:rPr>
                <w:rStyle w:val="Strong"/>
                <w:rFonts w:eastAsia="Calibri" w:cstheme="minorHAnsi"/>
                <w:b w:val="0"/>
                <w:bCs w:val="0"/>
                <w:color w:val="495965"/>
                <w:sz w:val="20"/>
                <w:szCs w:val="20"/>
              </w:rPr>
              <w:t xml:space="preserve"> country</w:t>
            </w:r>
            <w:r w:rsidRPr="00CF409B">
              <w:rPr>
                <w:rStyle w:val="Strong"/>
                <w:rFonts w:eastAsia="Calibri" w:cstheme="minorHAnsi"/>
                <w:b w:val="0"/>
                <w:bCs w:val="0"/>
                <w:color w:val="495965"/>
                <w:sz w:val="20"/>
                <w:szCs w:val="20"/>
              </w:rPr>
              <w:t xml:space="preserve"> planning</w:t>
            </w:r>
            <w:r w:rsidRPr="003B117B">
              <w:rPr>
                <w:rStyle w:val="Strong"/>
                <w:rFonts w:eastAsia="Calibri" w:cstheme="minorHAnsi"/>
                <w:b w:val="0"/>
                <w:bCs w:val="0"/>
                <w:color w:val="495965"/>
                <w:sz w:val="20"/>
                <w:szCs w:val="20"/>
              </w:rPr>
              <w:t xml:space="preserve"> and program implementation</w:t>
            </w:r>
            <w:r>
              <w:rPr>
                <w:rStyle w:val="Strong"/>
                <w:rFonts w:eastAsia="Calibri" w:cstheme="minorHAnsi"/>
                <w:b w:val="0"/>
                <w:bCs w:val="0"/>
                <w:color w:val="495965"/>
                <w:sz w:val="20"/>
                <w:szCs w:val="20"/>
              </w:rPr>
              <w:t>, while remaining mindful of resource constraints and competing priorities in broad bilateral relationships</w:t>
            </w:r>
            <w:r w:rsidRPr="003B117B">
              <w:rPr>
                <w:rStyle w:val="Strong"/>
                <w:rFonts w:eastAsia="Calibri" w:cstheme="minorHAnsi"/>
                <w:b w:val="0"/>
                <w:bCs w:val="0"/>
                <w:color w:val="495965"/>
                <w:sz w:val="20"/>
                <w:szCs w:val="20"/>
              </w:rPr>
              <w:t>.</w:t>
            </w:r>
          </w:p>
          <w:p w14:paraId="66ABA67E" w14:textId="77777777" w:rsidR="002D5BA0" w:rsidRDefault="002D5BA0" w:rsidP="00A96928">
            <w:pPr>
              <w:spacing w:before="0" w:after="0" w:line="276" w:lineRule="auto"/>
              <w:rPr>
                <w:rStyle w:val="Strong"/>
                <w:rFonts w:eastAsia="Calibri" w:cstheme="minorHAnsi"/>
                <w:b w:val="0"/>
                <w:bCs w:val="0"/>
                <w:color w:val="495965"/>
                <w:sz w:val="20"/>
                <w:szCs w:val="20"/>
              </w:rPr>
            </w:pPr>
          </w:p>
          <w:p w14:paraId="33E2660D" w14:textId="10C808F7" w:rsidR="00B65944" w:rsidRPr="000F1D3B" w:rsidRDefault="002D5BA0" w:rsidP="3CC25135">
            <w:pPr>
              <w:spacing w:before="0" w:after="0" w:line="276" w:lineRule="auto"/>
              <w:rPr>
                <w:rStyle w:val="Strong"/>
                <w:color w:val="495965"/>
                <w:sz w:val="20"/>
                <w:szCs w:val="20"/>
              </w:rPr>
            </w:pPr>
            <w:r w:rsidRPr="3CC25135">
              <w:rPr>
                <w:rStyle w:val="Strong"/>
                <w:rFonts w:eastAsia="Calibri"/>
                <w:b w:val="0"/>
                <w:bCs w:val="0"/>
                <w:sz w:val="20"/>
                <w:szCs w:val="20"/>
              </w:rPr>
              <w:lastRenderedPageBreak/>
              <w:t>The TGA’s technical expertise and existing relationships mean it is well placed to lead the Australian Government’s engagement on certain issues without requiring or benefitting from DFAT support.</w:t>
            </w:r>
            <w:r w:rsidR="000F1D3B" w:rsidRPr="3CC25135">
              <w:rPr>
                <w:rStyle w:val="Strong"/>
                <w:rFonts w:eastAsia="Calibri"/>
                <w:b w:val="0"/>
                <w:bCs w:val="0"/>
                <w:sz w:val="20"/>
                <w:szCs w:val="20"/>
              </w:rPr>
              <w:t xml:space="preserve"> DFAT will remain central coordination point for all DFAT funded program partners. </w:t>
            </w:r>
            <w:r w:rsidR="00B66A5A" w:rsidRPr="3CC25135">
              <w:rPr>
                <w:rStyle w:val="Strong"/>
                <w:rFonts w:eastAsia="Calibri"/>
                <w:b w:val="0"/>
                <w:bCs w:val="0"/>
                <w:sz w:val="20"/>
                <w:szCs w:val="20"/>
              </w:rPr>
              <w:t xml:space="preserve">The </w:t>
            </w:r>
            <w:r w:rsidR="003B117B" w:rsidRPr="3CC25135">
              <w:rPr>
                <w:rStyle w:val="Strong"/>
                <w:rFonts w:eastAsia="Calibri"/>
                <w:b w:val="0"/>
                <w:bCs w:val="0"/>
                <w:sz w:val="20"/>
                <w:szCs w:val="20"/>
              </w:rPr>
              <w:t xml:space="preserve">TGA and DFAT </w:t>
            </w:r>
            <w:r w:rsidR="00B66A5A" w:rsidRPr="3CC25135">
              <w:rPr>
                <w:rStyle w:val="Strong"/>
                <w:rFonts w:eastAsia="Calibri"/>
                <w:b w:val="0"/>
                <w:bCs w:val="0"/>
                <w:sz w:val="20"/>
                <w:szCs w:val="20"/>
              </w:rPr>
              <w:t>e</w:t>
            </w:r>
            <w:r w:rsidR="005412F1" w:rsidRPr="3CC25135">
              <w:rPr>
                <w:rStyle w:val="Strong"/>
                <w:rFonts w:eastAsia="Calibri"/>
                <w:b w:val="0"/>
                <w:bCs w:val="0"/>
                <w:sz w:val="20"/>
                <w:szCs w:val="20"/>
              </w:rPr>
              <w:t xml:space="preserve">ngagement with Japan, Korea, </w:t>
            </w:r>
            <w:proofErr w:type="gramStart"/>
            <w:r w:rsidR="005412F1" w:rsidRPr="3CC25135">
              <w:rPr>
                <w:rStyle w:val="Strong"/>
                <w:rFonts w:eastAsia="Calibri"/>
                <w:b w:val="0"/>
                <w:bCs w:val="0"/>
                <w:sz w:val="20"/>
                <w:szCs w:val="20"/>
              </w:rPr>
              <w:t>NZ</w:t>
            </w:r>
            <w:proofErr w:type="gramEnd"/>
            <w:r w:rsidR="005412F1" w:rsidRPr="3CC25135">
              <w:rPr>
                <w:rStyle w:val="Strong"/>
                <w:rFonts w:eastAsia="Calibri"/>
                <w:b w:val="0"/>
                <w:bCs w:val="0"/>
                <w:sz w:val="20"/>
                <w:szCs w:val="20"/>
              </w:rPr>
              <w:t xml:space="preserve"> and US will be considered</w:t>
            </w:r>
            <w:r w:rsidR="003B117B" w:rsidRPr="3CC25135">
              <w:rPr>
                <w:rStyle w:val="Strong"/>
                <w:rFonts w:eastAsia="Calibri"/>
                <w:b w:val="0"/>
                <w:bCs w:val="0"/>
                <w:sz w:val="20"/>
                <w:szCs w:val="20"/>
              </w:rPr>
              <w:t xml:space="preserve"> in recommendation 4</w:t>
            </w:r>
            <w:r w:rsidR="00B66A5A" w:rsidRPr="3CC25135">
              <w:rPr>
                <w:rStyle w:val="Strong"/>
                <w:rFonts w:eastAsia="Calibri"/>
                <w:b w:val="0"/>
                <w:bCs w:val="0"/>
                <w:sz w:val="20"/>
                <w:szCs w:val="20"/>
              </w:rPr>
              <w:t>.</w:t>
            </w:r>
          </w:p>
          <w:p w14:paraId="5E950EE5" w14:textId="49DCAECF" w:rsidR="00B65944" w:rsidRPr="00CF409B" w:rsidRDefault="00B65944" w:rsidP="00B65944">
            <w:pPr>
              <w:spacing w:before="0" w:after="0" w:line="276" w:lineRule="auto"/>
              <w:rPr>
                <w:rStyle w:val="Strong"/>
                <w:rFonts w:eastAsia="Calibri" w:cstheme="minorHAnsi"/>
                <w:b w:val="0"/>
                <w:bCs w:val="0"/>
                <w:color w:val="495965"/>
                <w:sz w:val="20"/>
                <w:szCs w:val="20"/>
              </w:rPr>
            </w:pPr>
          </w:p>
        </w:tc>
        <w:tc>
          <w:tcPr>
            <w:tcW w:w="0" w:type="auto"/>
            <w:tcMar>
              <w:left w:w="105" w:type="dxa"/>
              <w:right w:w="105" w:type="dxa"/>
            </w:tcMar>
          </w:tcPr>
          <w:p w14:paraId="704E7C5B" w14:textId="1FB4432B" w:rsidR="005A55EA" w:rsidRDefault="00857464" w:rsidP="3CC25135">
            <w:pPr>
              <w:spacing w:before="0" w:after="0" w:line="276" w:lineRule="auto"/>
              <w:rPr>
                <w:rStyle w:val="Strong"/>
                <w:rFonts w:eastAsia="Calibri"/>
                <w:color w:val="495965"/>
                <w:sz w:val="20"/>
                <w:szCs w:val="20"/>
              </w:rPr>
            </w:pPr>
            <w:r w:rsidRPr="3CC25135">
              <w:rPr>
                <w:rStyle w:val="Strong"/>
              </w:rPr>
              <w:lastRenderedPageBreak/>
              <w:t>A</w:t>
            </w:r>
            <w:r w:rsidRPr="3CC25135">
              <w:rPr>
                <w:rStyle w:val="Strong"/>
                <w:rFonts w:eastAsia="Calibri"/>
                <w:sz w:val="20"/>
                <w:szCs w:val="20"/>
              </w:rPr>
              <w:t xml:space="preserve">ctions and </w:t>
            </w:r>
            <w:r w:rsidR="00884404" w:rsidRPr="3CC25135">
              <w:rPr>
                <w:rStyle w:val="Strong"/>
                <w:rFonts w:eastAsia="Calibri"/>
                <w:sz w:val="20"/>
                <w:szCs w:val="20"/>
              </w:rPr>
              <w:t>working arrangements to promote a strengthen</w:t>
            </w:r>
            <w:r w:rsidR="00B9184B" w:rsidRPr="3CC25135">
              <w:rPr>
                <w:rStyle w:val="Strong"/>
                <w:rFonts w:eastAsia="Calibri"/>
                <w:sz w:val="20"/>
                <w:szCs w:val="20"/>
              </w:rPr>
              <w:t>ed</w:t>
            </w:r>
            <w:r w:rsidR="00884404" w:rsidRPr="3CC25135">
              <w:rPr>
                <w:rStyle w:val="Strong"/>
                <w:rFonts w:eastAsia="Calibri"/>
                <w:sz w:val="20"/>
                <w:szCs w:val="20"/>
              </w:rPr>
              <w:t xml:space="preserve"> partnership approach will be reflected in the strategic </w:t>
            </w:r>
            <w:r w:rsidR="000C7F35" w:rsidRPr="3CC25135">
              <w:rPr>
                <w:rStyle w:val="Strong"/>
                <w:rFonts w:eastAsia="Calibri"/>
                <w:sz w:val="20"/>
                <w:szCs w:val="20"/>
              </w:rPr>
              <w:t>design</w:t>
            </w:r>
            <w:r w:rsidR="00884404" w:rsidRPr="3CC25135">
              <w:rPr>
                <w:rStyle w:val="Strong"/>
                <w:rFonts w:eastAsia="Calibri"/>
                <w:sz w:val="20"/>
                <w:szCs w:val="20"/>
              </w:rPr>
              <w:t xml:space="preserve"> for the next 5 </w:t>
            </w:r>
            <w:bookmarkStart w:id="19" w:name="_Int_ZwANct7x"/>
            <w:proofErr w:type="gramStart"/>
            <w:r w:rsidR="00884404" w:rsidRPr="3CC25135">
              <w:rPr>
                <w:rStyle w:val="Strong"/>
                <w:rFonts w:eastAsia="Calibri"/>
                <w:sz w:val="20"/>
                <w:szCs w:val="20"/>
              </w:rPr>
              <w:t>years, and</w:t>
            </w:r>
            <w:bookmarkEnd w:id="19"/>
            <w:proofErr w:type="gramEnd"/>
            <w:r w:rsidR="00884404" w:rsidRPr="3CC25135">
              <w:rPr>
                <w:rStyle w:val="Strong"/>
                <w:rFonts w:eastAsia="Calibri"/>
                <w:sz w:val="20"/>
                <w:szCs w:val="20"/>
              </w:rPr>
              <w:t xml:space="preserve"> reviewed </w:t>
            </w:r>
            <w:r w:rsidR="0020010D" w:rsidRPr="3CC25135">
              <w:rPr>
                <w:rStyle w:val="Strong"/>
                <w:rFonts w:eastAsia="Calibri"/>
                <w:sz w:val="20"/>
                <w:szCs w:val="20"/>
              </w:rPr>
              <w:t xml:space="preserve">during regular partnership discussions between the TGA and DFAT. </w:t>
            </w:r>
          </w:p>
          <w:p w14:paraId="43969E06" w14:textId="77777777" w:rsidR="008B30D5" w:rsidRDefault="008B30D5" w:rsidP="00B65944">
            <w:pPr>
              <w:spacing w:before="0" w:after="0" w:line="276" w:lineRule="auto"/>
              <w:rPr>
                <w:rStyle w:val="Strong"/>
                <w:rFonts w:eastAsia="Calibri" w:cstheme="minorHAnsi"/>
                <w:color w:val="495965"/>
                <w:sz w:val="20"/>
                <w:szCs w:val="20"/>
              </w:rPr>
            </w:pPr>
          </w:p>
          <w:p w14:paraId="618181DE" w14:textId="3DEE29F1" w:rsidR="00627CF7" w:rsidRPr="00CF409B" w:rsidRDefault="00627CF7" w:rsidP="00B65944">
            <w:pPr>
              <w:spacing w:before="0" w:after="0" w:line="276" w:lineRule="auto"/>
              <w:rPr>
                <w:rStyle w:val="Strong"/>
                <w:color w:val="495965"/>
              </w:rPr>
            </w:pPr>
            <w:r w:rsidRPr="3CC25135">
              <w:rPr>
                <w:rStyle w:val="Strong"/>
                <w:rFonts w:eastAsia="Calibri"/>
                <w:sz w:val="20"/>
                <w:szCs w:val="20"/>
              </w:rPr>
              <w:t>The strategic partnership design will acknowledge and complement the existing DFAT</w:t>
            </w:r>
            <w:r w:rsidR="373D1AEA" w:rsidRPr="3CC25135">
              <w:rPr>
                <w:rStyle w:val="Strong"/>
                <w:rFonts w:eastAsia="Calibri"/>
                <w:sz w:val="20"/>
                <w:szCs w:val="20"/>
              </w:rPr>
              <w:t>-</w:t>
            </w:r>
            <w:r w:rsidRPr="3CC25135">
              <w:rPr>
                <w:rStyle w:val="Strong"/>
                <w:rFonts w:eastAsia="Calibri"/>
                <w:sz w:val="20"/>
                <w:szCs w:val="20"/>
              </w:rPr>
              <w:t>funded TGA</w:t>
            </w:r>
            <w:r w:rsidR="0669A2A5" w:rsidRPr="3CC25135">
              <w:rPr>
                <w:rStyle w:val="Strong"/>
                <w:rFonts w:eastAsia="Calibri"/>
                <w:sz w:val="20"/>
                <w:szCs w:val="20"/>
              </w:rPr>
              <w:t>-</w:t>
            </w:r>
            <w:r w:rsidRPr="3CC25135">
              <w:rPr>
                <w:rStyle w:val="Strong"/>
                <w:rFonts w:eastAsia="Calibri"/>
                <w:sz w:val="20"/>
                <w:szCs w:val="20"/>
              </w:rPr>
              <w:t xml:space="preserve">led Pacific </w:t>
            </w:r>
            <w:r w:rsidRPr="3CC25135">
              <w:rPr>
                <w:rStyle w:val="Strong"/>
                <w:rFonts w:eastAsia="Calibri"/>
                <w:sz w:val="20"/>
                <w:szCs w:val="20"/>
              </w:rPr>
              <w:lastRenderedPageBreak/>
              <w:t xml:space="preserve">Medicines Testing Program and the programs will be strongly coordinated. </w:t>
            </w:r>
          </w:p>
          <w:p w14:paraId="5D78DDF3" w14:textId="6D2C096A" w:rsidR="19E58A0E" w:rsidRPr="008B30D5" w:rsidRDefault="19E58A0E" w:rsidP="00B65944">
            <w:pPr>
              <w:spacing w:before="0" w:after="0" w:line="276" w:lineRule="auto"/>
              <w:rPr>
                <w:rStyle w:val="Strong"/>
                <w:b w:val="0"/>
                <w:bCs w:val="0"/>
                <w:color w:val="495965"/>
                <w:highlight w:val="yellow"/>
              </w:rPr>
            </w:pPr>
          </w:p>
        </w:tc>
        <w:tc>
          <w:tcPr>
            <w:tcW w:w="0" w:type="auto"/>
            <w:tcMar>
              <w:left w:w="105" w:type="dxa"/>
              <w:right w:w="105" w:type="dxa"/>
            </w:tcMar>
          </w:tcPr>
          <w:p w14:paraId="7E70E86A" w14:textId="332A0870" w:rsidR="19E58A0E" w:rsidRPr="008B30D5" w:rsidRDefault="0020010D" w:rsidP="00A96928">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lastRenderedPageBreak/>
              <w:t xml:space="preserve">30 Jun 2023/Ongoing </w:t>
            </w:r>
          </w:p>
        </w:tc>
      </w:tr>
      <w:tr w:rsidR="00794046" w:rsidRPr="00794046" w14:paraId="6BB058D8" w14:textId="77777777" w:rsidTr="3CC25135">
        <w:trPr>
          <w:trHeight w:val="676"/>
        </w:trPr>
        <w:tc>
          <w:tcPr>
            <w:tcW w:w="0" w:type="auto"/>
            <w:tcMar>
              <w:left w:w="105" w:type="dxa"/>
              <w:right w:w="105" w:type="dxa"/>
            </w:tcMar>
          </w:tcPr>
          <w:p w14:paraId="6ED01BBF" w14:textId="5787607F" w:rsidR="19E58A0E" w:rsidRPr="008B30D5" w:rsidRDefault="19E58A0E" w:rsidP="00A96928">
            <w:pPr>
              <w:spacing w:before="0" w:after="0" w:line="276" w:lineRule="auto"/>
              <w:rPr>
                <w:rFonts w:eastAsia="Calibri" w:cstheme="minorHAnsi"/>
                <w:color w:val="495965"/>
                <w:sz w:val="20"/>
                <w:szCs w:val="20"/>
              </w:rPr>
            </w:pPr>
            <w:r w:rsidRPr="008B30D5">
              <w:rPr>
                <w:rStyle w:val="Strong"/>
                <w:rFonts w:eastAsia="Calibri" w:cstheme="minorHAnsi"/>
                <w:b w:val="0"/>
                <w:bCs w:val="0"/>
                <w:color w:val="495965"/>
                <w:sz w:val="20"/>
                <w:szCs w:val="20"/>
              </w:rPr>
              <w:t>6</w:t>
            </w:r>
          </w:p>
        </w:tc>
        <w:tc>
          <w:tcPr>
            <w:tcW w:w="0" w:type="auto"/>
            <w:tcMar>
              <w:left w:w="105" w:type="dxa"/>
              <w:right w:w="105" w:type="dxa"/>
            </w:tcMar>
          </w:tcPr>
          <w:p w14:paraId="44CF79F2" w14:textId="761FB087" w:rsidR="19E58A0E" w:rsidRPr="008B30D5" w:rsidRDefault="19E58A0E" w:rsidP="3CC25135">
            <w:pPr>
              <w:spacing w:before="0" w:after="0" w:line="276" w:lineRule="auto"/>
              <w:rPr>
                <w:rFonts w:eastAsia="Calibri"/>
                <w:color w:val="495965"/>
                <w:sz w:val="20"/>
                <w:szCs w:val="20"/>
              </w:rPr>
            </w:pPr>
            <w:r w:rsidRPr="3CC25135">
              <w:rPr>
                <w:rStyle w:val="Strong"/>
                <w:rFonts w:eastAsia="Calibri"/>
                <w:sz w:val="20"/>
                <w:szCs w:val="20"/>
              </w:rPr>
              <w:t>TGA organisational management:</w:t>
            </w:r>
            <w:r w:rsidRPr="3CC25135">
              <w:rPr>
                <w:rStyle w:val="Strong"/>
                <w:rFonts w:eastAsia="Calibri"/>
                <w:b w:val="0"/>
                <w:bCs w:val="0"/>
                <w:sz w:val="20"/>
                <w:szCs w:val="20"/>
              </w:rPr>
              <w:t xml:space="preserve"> Increase the knowledge and experience of development and culturally responsive practice within the TGA team </w:t>
            </w:r>
            <w:bookmarkStart w:id="20" w:name="_Int_gT7IPv5X"/>
            <w:proofErr w:type="gramStart"/>
            <w:r w:rsidRPr="3CC25135">
              <w:rPr>
                <w:rStyle w:val="Strong"/>
                <w:rFonts w:eastAsia="Calibri"/>
                <w:b w:val="0"/>
                <w:bCs w:val="0"/>
                <w:sz w:val="20"/>
                <w:szCs w:val="20"/>
              </w:rPr>
              <w:t>in order to</w:t>
            </w:r>
            <w:bookmarkEnd w:id="20"/>
            <w:proofErr w:type="gramEnd"/>
            <w:r w:rsidRPr="3CC25135">
              <w:rPr>
                <w:rStyle w:val="Strong"/>
                <w:rFonts w:eastAsia="Calibri"/>
                <w:b w:val="0"/>
                <w:bCs w:val="0"/>
                <w:sz w:val="20"/>
                <w:szCs w:val="20"/>
              </w:rPr>
              <w:t xml:space="preserve"> strengthen work with country partners. </w:t>
            </w:r>
          </w:p>
          <w:p w14:paraId="60F3555D" w14:textId="6D7861B8" w:rsidR="19E58A0E" w:rsidRPr="008B30D5" w:rsidRDefault="19E58A0E" w:rsidP="00A96928">
            <w:pPr>
              <w:spacing w:before="0" w:after="0" w:line="276" w:lineRule="auto"/>
              <w:rPr>
                <w:rFonts w:eastAsia="Calibri" w:cstheme="minorHAnsi"/>
                <w:color w:val="495965"/>
                <w:sz w:val="20"/>
                <w:szCs w:val="20"/>
              </w:rPr>
            </w:pPr>
            <w:r w:rsidRPr="008B30D5">
              <w:rPr>
                <w:rStyle w:val="Strong"/>
                <w:rFonts w:eastAsia="Calibri" w:cstheme="minorHAnsi"/>
                <w:b w:val="0"/>
                <w:bCs w:val="0"/>
                <w:color w:val="495965"/>
                <w:sz w:val="20"/>
                <w:szCs w:val="20"/>
              </w:rPr>
              <w:t xml:space="preserve">: Explore organising the secondment or placement of a TGA member of staff into DFAT’s Global Health Division or having a DFAT member of staff seconded/placed in TGA for a limited period/regularly to improve mutual understanding of activities and ways of working, as well as in development practice through closer work with DFAT. </w:t>
            </w:r>
          </w:p>
        </w:tc>
        <w:tc>
          <w:tcPr>
            <w:tcW w:w="0" w:type="auto"/>
            <w:shd w:val="clear" w:color="auto" w:fill="CDE2B9" w:themeFill="accent3" w:themeFillTint="99"/>
            <w:tcMar>
              <w:left w:w="105" w:type="dxa"/>
              <w:right w:w="105" w:type="dxa"/>
            </w:tcMar>
          </w:tcPr>
          <w:p w14:paraId="5B74A866" w14:textId="3A346FCA" w:rsidR="19E58A0E" w:rsidRPr="008B30D5" w:rsidRDefault="00D01107" w:rsidP="00A96928">
            <w:pPr>
              <w:spacing w:before="0" w:after="0" w:line="276" w:lineRule="auto"/>
              <w:rPr>
                <w:rStyle w:val="Strong"/>
                <w:rFonts w:eastAsia="Calibri" w:cstheme="minorHAnsi"/>
                <w:b w:val="0"/>
                <w:bCs w:val="0"/>
                <w:color w:val="495965"/>
                <w:sz w:val="20"/>
                <w:szCs w:val="20"/>
              </w:rPr>
            </w:pPr>
            <w:r>
              <w:rPr>
                <w:rStyle w:val="Strong"/>
                <w:rFonts w:eastAsia="Calibri" w:cstheme="minorHAnsi"/>
                <w:b w:val="0"/>
                <w:bCs w:val="0"/>
                <w:color w:val="495965"/>
                <w:sz w:val="20"/>
                <w:szCs w:val="20"/>
              </w:rPr>
              <w:t>Partially a</w:t>
            </w:r>
            <w:r w:rsidR="00D6559E" w:rsidRPr="008B30D5">
              <w:rPr>
                <w:rStyle w:val="Strong"/>
                <w:rFonts w:eastAsia="Calibri" w:cstheme="minorHAnsi"/>
                <w:b w:val="0"/>
                <w:bCs w:val="0"/>
                <w:color w:val="495965"/>
                <w:sz w:val="20"/>
                <w:szCs w:val="20"/>
              </w:rPr>
              <w:t>gree</w:t>
            </w:r>
          </w:p>
        </w:tc>
        <w:tc>
          <w:tcPr>
            <w:tcW w:w="0" w:type="auto"/>
            <w:tcMar>
              <w:left w:w="105" w:type="dxa"/>
              <w:right w:w="105" w:type="dxa"/>
            </w:tcMar>
          </w:tcPr>
          <w:p w14:paraId="559F7045" w14:textId="03F64D1C" w:rsidR="19E58A0E" w:rsidRPr="008B30D5" w:rsidRDefault="00627CF7" w:rsidP="00A96928">
            <w:pPr>
              <w:spacing w:before="0" w:after="0" w:line="276" w:lineRule="auto"/>
              <w:rPr>
                <w:rStyle w:val="Strong"/>
                <w:rFonts w:eastAsia="Calibri" w:cstheme="minorHAnsi"/>
                <w:b w:val="0"/>
                <w:bCs w:val="0"/>
                <w:color w:val="495965"/>
                <w:sz w:val="20"/>
                <w:szCs w:val="20"/>
              </w:rPr>
            </w:pPr>
            <w:r w:rsidRPr="00627CF7">
              <w:rPr>
                <w:rStyle w:val="Strong"/>
                <w:rFonts w:eastAsia="Calibri" w:cstheme="minorHAnsi"/>
                <w:b w:val="0"/>
                <w:bCs w:val="0"/>
                <w:color w:val="495965"/>
                <w:sz w:val="20"/>
                <w:szCs w:val="20"/>
              </w:rPr>
              <w:t>T</w:t>
            </w:r>
            <w:r w:rsidRPr="008B30D5">
              <w:rPr>
                <w:rStyle w:val="Strong"/>
                <w:rFonts w:eastAsia="Calibri" w:cstheme="minorHAnsi"/>
                <w:b w:val="0"/>
                <w:bCs w:val="0"/>
                <w:color w:val="495965"/>
                <w:sz w:val="20"/>
                <w:szCs w:val="20"/>
              </w:rPr>
              <w:t xml:space="preserve">he </w:t>
            </w:r>
            <w:r w:rsidR="00D357BE" w:rsidRPr="008B30D5">
              <w:rPr>
                <w:rStyle w:val="Strong"/>
                <w:rFonts w:eastAsia="Calibri" w:cstheme="minorHAnsi"/>
                <w:b w:val="0"/>
                <w:bCs w:val="0"/>
                <w:color w:val="495965"/>
                <w:sz w:val="20"/>
                <w:szCs w:val="20"/>
              </w:rPr>
              <w:t>TGA and DFAT a</w:t>
            </w:r>
            <w:r w:rsidR="00BE7F3C" w:rsidRPr="008B30D5">
              <w:rPr>
                <w:rStyle w:val="Strong"/>
                <w:rFonts w:eastAsia="Calibri" w:cstheme="minorHAnsi"/>
                <w:b w:val="0"/>
                <w:bCs w:val="0"/>
                <w:color w:val="495965"/>
                <w:sz w:val="20"/>
                <w:szCs w:val="20"/>
              </w:rPr>
              <w:t>gree</w:t>
            </w:r>
            <w:r w:rsidR="00CC4B3C" w:rsidRPr="00627CF7">
              <w:rPr>
                <w:rStyle w:val="Strong"/>
                <w:rFonts w:eastAsia="Calibri" w:cstheme="minorHAnsi"/>
                <w:b w:val="0"/>
                <w:bCs w:val="0"/>
                <w:color w:val="495965"/>
                <w:sz w:val="20"/>
                <w:szCs w:val="20"/>
              </w:rPr>
              <w:t xml:space="preserve"> that further increasing </w:t>
            </w:r>
            <w:r w:rsidR="000D2133" w:rsidRPr="00627CF7">
              <w:rPr>
                <w:rStyle w:val="Strong"/>
                <w:rFonts w:eastAsia="Calibri" w:cstheme="minorHAnsi"/>
                <w:b w:val="0"/>
                <w:bCs w:val="0"/>
                <w:color w:val="495965"/>
                <w:sz w:val="20"/>
                <w:szCs w:val="20"/>
              </w:rPr>
              <w:t xml:space="preserve">knowledge and experience of development and culturally responsive practise should be a priority in the next phase. </w:t>
            </w:r>
            <w:r w:rsidR="00FA4178" w:rsidRPr="00627CF7">
              <w:rPr>
                <w:rStyle w:val="Strong"/>
                <w:rFonts w:eastAsia="Calibri" w:cstheme="minorHAnsi"/>
                <w:b w:val="0"/>
                <w:bCs w:val="0"/>
                <w:color w:val="495965"/>
                <w:sz w:val="20"/>
                <w:szCs w:val="20"/>
              </w:rPr>
              <w:t>S</w:t>
            </w:r>
            <w:r w:rsidR="00BE7F3C" w:rsidRPr="008B30D5">
              <w:rPr>
                <w:rStyle w:val="Strong"/>
                <w:rFonts w:eastAsia="Calibri" w:cstheme="minorHAnsi"/>
                <w:b w:val="0"/>
                <w:bCs w:val="0"/>
                <w:color w:val="495965"/>
                <w:sz w:val="20"/>
                <w:szCs w:val="20"/>
              </w:rPr>
              <w:t>econdment</w:t>
            </w:r>
            <w:r w:rsidR="00FA4178" w:rsidRPr="00627CF7">
              <w:rPr>
                <w:rStyle w:val="Strong"/>
                <w:rFonts w:eastAsia="Calibri" w:cstheme="minorHAnsi"/>
                <w:b w:val="0"/>
                <w:bCs w:val="0"/>
                <w:color w:val="495965"/>
                <w:sz w:val="20"/>
                <w:szCs w:val="20"/>
              </w:rPr>
              <w:t xml:space="preserve">s are one possible approach. </w:t>
            </w:r>
            <w:r w:rsidR="00BE7F3C" w:rsidRPr="008B30D5">
              <w:rPr>
                <w:rStyle w:val="Strong"/>
                <w:rFonts w:eastAsia="Calibri" w:cstheme="minorHAnsi"/>
                <w:b w:val="0"/>
                <w:bCs w:val="0"/>
                <w:color w:val="495965"/>
                <w:sz w:val="20"/>
                <w:szCs w:val="20"/>
              </w:rPr>
              <w:t xml:space="preserve"> </w:t>
            </w:r>
          </w:p>
        </w:tc>
        <w:tc>
          <w:tcPr>
            <w:tcW w:w="0" w:type="auto"/>
            <w:tcMar>
              <w:left w:w="105" w:type="dxa"/>
              <w:right w:w="105" w:type="dxa"/>
            </w:tcMar>
          </w:tcPr>
          <w:p w14:paraId="3B9EC7BF" w14:textId="0AD3B591" w:rsidR="00442702" w:rsidRPr="008B30D5" w:rsidRDefault="00B66A5A" w:rsidP="00A96928">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 xml:space="preserve">The </w:t>
            </w:r>
            <w:r w:rsidR="002C096B" w:rsidRPr="008B30D5">
              <w:rPr>
                <w:rStyle w:val="Strong"/>
                <w:rFonts w:eastAsia="Calibri" w:cstheme="minorHAnsi"/>
                <w:color w:val="495965"/>
                <w:sz w:val="20"/>
                <w:szCs w:val="20"/>
              </w:rPr>
              <w:t xml:space="preserve">TGA and DFAT to explore </w:t>
            </w:r>
            <w:r w:rsidR="00D61D98">
              <w:rPr>
                <w:rStyle w:val="Strong"/>
                <w:rFonts w:eastAsia="Calibri" w:cstheme="minorHAnsi"/>
                <w:color w:val="495965"/>
                <w:sz w:val="20"/>
                <w:szCs w:val="20"/>
              </w:rPr>
              <w:t xml:space="preserve">a </w:t>
            </w:r>
            <w:r w:rsidR="002C096B" w:rsidRPr="008B30D5">
              <w:rPr>
                <w:rStyle w:val="Strong"/>
                <w:rFonts w:eastAsia="Calibri" w:cstheme="minorHAnsi"/>
                <w:color w:val="495965"/>
                <w:sz w:val="20"/>
                <w:szCs w:val="20"/>
              </w:rPr>
              <w:t xml:space="preserve">secondment plan </w:t>
            </w:r>
            <w:r w:rsidR="00FA4178">
              <w:rPr>
                <w:rStyle w:val="Strong"/>
                <w:rFonts w:eastAsia="Calibri" w:cstheme="minorHAnsi"/>
                <w:color w:val="495965"/>
                <w:sz w:val="20"/>
                <w:szCs w:val="20"/>
              </w:rPr>
              <w:t>and/</w:t>
            </w:r>
            <w:r w:rsidR="002C096B" w:rsidRPr="008B30D5">
              <w:rPr>
                <w:rStyle w:val="Strong"/>
                <w:rFonts w:eastAsia="Calibri" w:cstheme="minorHAnsi"/>
                <w:color w:val="495965"/>
                <w:sz w:val="20"/>
                <w:szCs w:val="20"/>
              </w:rPr>
              <w:t xml:space="preserve">or shared working arrangements to facilitate knowledge sharing. </w:t>
            </w:r>
          </w:p>
          <w:p w14:paraId="2210BDFD" w14:textId="77777777" w:rsidR="00442702" w:rsidRPr="008B30D5" w:rsidRDefault="00442702" w:rsidP="00A96928">
            <w:pPr>
              <w:spacing w:before="0" w:after="0" w:line="276" w:lineRule="auto"/>
              <w:rPr>
                <w:rStyle w:val="Strong"/>
                <w:rFonts w:eastAsia="Calibri" w:cstheme="minorHAnsi"/>
                <w:b w:val="0"/>
                <w:bCs w:val="0"/>
                <w:color w:val="495965"/>
                <w:sz w:val="20"/>
                <w:szCs w:val="20"/>
              </w:rPr>
            </w:pPr>
          </w:p>
          <w:p w14:paraId="17E67C8D" w14:textId="6B48089C" w:rsidR="00442702" w:rsidRPr="008B30D5" w:rsidRDefault="00B66A5A" w:rsidP="00A96928">
            <w:pPr>
              <w:spacing w:before="0" w:after="0" w:line="276" w:lineRule="auto"/>
              <w:rPr>
                <w:rStyle w:val="Strong"/>
                <w:rFonts w:eastAsia="Calibri" w:cstheme="minorHAnsi"/>
                <w:b w:val="0"/>
                <w:bCs w:val="0"/>
                <w:color w:val="495965"/>
                <w:sz w:val="20"/>
                <w:szCs w:val="20"/>
              </w:rPr>
            </w:pPr>
            <w:r>
              <w:rPr>
                <w:rStyle w:val="Strong"/>
                <w:rFonts w:eastAsia="Calibri" w:cstheme="minorHAnsi"/>
                <w:color w:val="495965"/>
                <w:sz w:val="20"/>
                <w:szCs w:val="20"/>
              </w:rPr>
              <w:t xml:space="preserve">The </w:t>
            </w:r>
            <w:r w:rsidR="00E749DD" w:rsidRPr="008B30D5">
              <w:rPr>
                <w:rStyle w:val="Strong"/>
                <w:rFonts w:eastAsia="Calibri" w:cstheme="minorHAnsi"/>
                <w:color w:val="495965"/>
                <w:sz w:val="20"/>
                <w:szCs w:val="20"/>
              </w:rPr>
              <w:t>TGA and DFAT to explore available</w:t>
            </w:r>
            <w:r w:rsidR="00420ABF" w:rsidRPr="008B30D5">
              <w:rPr>
                <w:rStyle w:val="Strong"/>
                <w:rFonts w:eastAsia="Calibri" w:cstheme="minorHAnsi"/>
                <w:color w:val="495965"/>
                <w:sz w:val="20"/>
                <w:szCs w:val="20"/>
              </w:rPr>
              <w:t xml:space="preserve"> developmental and cultural awareness</w:t>
            </w:r>
            <w:r w:rsidR="00E749DD" w:rsidRPr="008B30D5">
              <w:rPr>
                <w:rStyle w:val="Strong"/>
                <w:rFonts w:eastAsia="Calibri" w:cstheme="minorHAnsi"/>
                <w:color w:val="495965"/>
                <w:sz w:val="20"/>
                <w:szCs w:val="20"/>
              </w:rPr>
              <w:t xml:space="preserve"> training </w:t>
            </w:r>
            <w:r w:rsidR="00420ABF" w:rsidRPr="008B30D5">
              <w:rPr>
                <w:rStyle w:val="Strong"/>
                <w:rFonts w:eastAsia="Calibri" w:cstheme="minorHAnsi"/>
                <w:color w:val="495965"/>
                <w:sz w:val="20"/>
                <w:szCs w:val="20"/>
              </w:rPr>
              <w:t xml:space="preserve">for TGA staff on DFAT’s </w:t>
            </w:r>
            <w:proofErr w:type="spellStart"/>
            <w:r w:rsidR="00420ABF" w:rsidRPr="008B30D5">
              <w:rPr>
                <w:rStyle w:val="Strong"/>
                <w:rFonts w:eastAsia="Calibri" w:cstheme="minorHAnsi"/>
                <w:color w:val="495965"/>
                <w:sz w:val="20"/>
                <w:szCs w:val="20"/>
              </w:rPr>
              <w:t>Lumi</w:t>
            </w:r>
            <w:proofErr w:type="spellEnd"/>
            <w:r w:rsidR="00420ABF" w:rsidRPr="008B30D5">
              <w:rPr>
                <w:rStyle w:val="Strong"/>
                <w:rFonts w:eastAsia="Calibri" w:cstheme="minorHAnsi"/>
                <w:color w:val="495965"/>
                <w:sz w:val="20"/>
                <w:szCs w:val="20"/>
              </w:rPr>
              <w:t xml:space="preserve"> training platform and </w:t>
            </w:r>
            <w:r w:rsidR="00816630" w:rsidRPr="008B30D5">
              <w:rPr>
                <w:rStyle w:val="Strong"/>
                <w:rFonts w:eastAsia="Calibri" w:cstheme="minorHAnsi"/>
                <w:color w:val="495965"/>
                <w:sz w:val="20"/>
                <w:szCs w:val="20"/>
              </w:rPr>
              <w:t xml:space="preserve">through external providers. </w:t>
            </w:r>
          </w:p>
        </w:tc>
        <w:tc>
          <w:tcPr>
            <w:tcW w:w="0" w:type="auto"/>
            <w:tcMar>
              <w:left w:w="105" w:type="dxa"/>
              <w:right w:w="105" w:type="dxa"/>
            </w:tcMar>
          </w:tcPr>
          <w:p w14:paraId="34810FFC" w14:textId="77777777" w:rsidR="19E58A0E" w:rsidRPr="008B30D5" w:rsidRDefault="00161878" w:rsidP="00A96928">
            <w:pPr>
              <w:spacing w:before="0" w:after="0" w:line="276" w:lineRule="auto"/>
              <w:rPr>
                <w:rStyle w:val="Strong"/>
                <w:rFonts w:eastAsia="Calibri" w:cstheme="minorHAnsi"/>
                <w:color w:val="495965"/>
                <w:sz w:val="20"/>
                <w:szCs w:val="20"/>
              </w:rPr>
            </w:pPr>
            <w:r w:rsidRPr="008B30D5">
              <w:rPr>
                <w:rStyle w:val="Strong"/>
                <w:rFonts w:eastAsia="Calibri" w:cstheme="minorHAnsi"/>
                <w:color w:val="495965"/>
                <w:sz w:val="20"/>
                <w:szCs w:val="20"/>
              </w:rPr>
              <w:t>31 Jan 2024</w:t>
            </w:r>
          </w:p>
          <w:p w14:paraId="4A7F8E30" w14:textId="77777777" w:rsidR="00816630" w:rsidRPr="008B30D5" w:rsidRDefault="00816630" w:rsidP="00A96928">
            <w:pPr>
              <w:spacing w:before="0" w:after="0" w:line="276" w:lineRule="auto"/>
              <w:rPr>
                <w:rStyle w:val="Strong"/>
                <w:rFonts w:eastAsia="Calibri" w:cstheme="minorHAnsi"/>
                <w:color w:val="495965"/>
                <w:sz w:val="20"/>
                <w:szCs w:val="20"/>
              </w:rPr>
            </w:pPr>
          </w:p>
          <w:p w14:paraId="49667914" w14:textId="77777777" w:rsidR="00816630" w:rsidRPr="008B30D5" w:rsidRDefault="00816630" w:rsidP="00A96928">
            <w:pPr>
              <w:spacing w:before="0" w:after="0" w:line="276" w:lineRule="auto"/>
              <w:rPr>
                <w:rStyle w:val="Strong"/>
                <w:rFonts w:eastAsia="Calibri" w:cstheme="minorHAnsi"/>
                <w:color w:val="495965"/>
                <w:sz w:val="20"/>
                <w:szCs w:val="20"/>
              </w:rPr>
            </w:pPr>
          </w:p>
          <w:p w14:paraId="6E0C4DF4" w14:textId="77777777" w:rsidR="00816630" w:rsidRPr="008B30D5" w:rsidRDefault="00816630" w:rsidP="00A96928">
            <w:pPr>
              <w:spacing w:before="0" w:after="0" w:line="276" w:lineRule="auto"/>
              <w:rPr>
                <w:rStyle w:val="Strong"/>
                <w:rFonts w:eastAsia="Calibri" w:cstheme="minorHAnsi"/>
                <w:color w:val="495965"/>
                <w:sz w:val="20"/>
                <w:szCs w:val="20"/>
              </w:rPr>
            </w:pPr>
          </w:p>
          <w:p w14:paraId="6F4F7B7A" w14:textId="77777777" w:rsidR="00816630" w:rsidRPr="008B30D5" w:rsidRDefault="00816630" w:rsidP="00A96928">
            <w:pPr>
              <w:spacing w:before="0" w:after="0" w:line="276" w:lineRule="auto"/>
              <w:rPr>
                <w:rStyle w:val="Strong"/>
                <w:rFonts w:eastAsia="Calibri" w:cstheme="minorHAnsi"/>
                <w:color w:val="495965"/>
                <w:sz w:val="20"/>
                <w:szCs w:val="20"/>
              </w:rPr>
            </w:pPr>
          </w:p>
          <w:p w14:paraId="236E3B01" w14:textId="07694118" w:rsidR="00816630" w:rsidRPr="008B30D5" w:rsidRDefault="00816630" w:rsidP="00A96928">
            <w:pPr>
              <w:spacing w:before="0" w:after="0" w:line="276" w:lineRule="auto"/>
              <w:rPr>
                <w:rStyle w:val="Strong"/>
                <w:rFonts w:eastAsia="Calibri" w:cstheme="minorHAnsi"/>
                <w:color w:val="495965"/>
                <w:sz w:val="20"/>
                <w:szCs w:val="20"/>
              </w:rPr>
            </w:pPr>
            <w:r w:rsidRPr="008B30D5">
              <w:rPr>
                <w:rStyle w:val="Strong"/>
                <w:rFonts w:eastAsia="Calibri" w:cstheme="minorHAnsi"/>
                <w:color w:val="495965"/>
                <w:sz w:val="20"/>
                <w:szCs w:val="20"/>
              </w:rPr>
              <w:t>31 Jan 2024</w:t>
            </w:r>
          </w:p>
        </w:tc>
      </w:tr>
      <w:tr w:rsidR="00794046" w:rsidRPr="00794046" w14:paraId="06EAACFE" w14:textId="77777777" w:rsidTr="3CC25135">
        <w:trPr>
          <w:trHeight w:val="300"/>
        </w:trPr>
        <w:tc>
          <w:tcPr>
            <w:tcW w:w="0" w:type="auto"/>
            <w:tcMar>
              <w:left w:w="105" w:type="dxa"/>
              <w:right w:w="105" w:type="dxa"/>
            </w:tcMar>
          </w:tcPr>
          <w:p w14:paraId="4E20DE4A" w14:textId="0593EF05" w:rsidR="19E58A0E" w:rsidRPr="008B30D5" w:rsidRDefault="19E58A0E" w:rsidP="00A96928">
            <w:pPr>
              <w:spacing w:before="0" w:after="0" w:line="276" w:lineRule="auto"/>
              <w:rPr>
                <w:rFonts w:eastAsia="Calibri" w:cstheme="minorHAnsi"/>
                <w:color w:val="495965"/>
                <w:sz w:val="20"/>
                <w:szCs w:val="20"/>
              </w:rPr>
            </w:pPr>
            <w:r w:rsidRPr="008B30D5">
              <w:rPr>
                <w:rStyle w:val="Strong"/>
                <w:rFonts w:eastAsia="Calibri" w:cstheme="minorHAnsi"/>
                <w:b w:val="0"/>
                <w:bCs w:val="0"/>
                <w:color w:val="495965"/>
                <w:sz w:val="20"/>
                <w:szCs w:val="20"/>
              </w:rPr>
              <w:lastRenderedPageBreak/>
              <w:t>7</w:t>
            </w:r>
          </w:p>
        </w:tc>
        <w:tc>
          <w:tcPr>
            <w:tcW w:w="0" w:type="auto"/>
            <w:tcMar>
              <w:left w:w="105" w:type="dxa"/>
              <w:right w:w="105" w:type="dxa"/>
            </w:tcMar>
          </w:tcPr>
          <w:p w14:paraId="5F391225" w14:textId="07F40420" w:rsidR="19E58A0E" w:rsidRPr="008B30D5" w:rsidRDefault="19E58A0E" w:rsidP="3CC25135">
            <w:pPr>
              <w:spacing w:before="0" w:after="0" w:line="276" w:lineRule="auto"/>
              <w:rPr>
                <w:rFonts w:eastAsia="Calibri"/>
                <w:color w:val="495965"/>
                <w:sz w:val="20"/>
                <w:szCs w:val="20"/>
              </w:rPr>
            </w:pPr>
            <w:r w:rsidRPr="3CC25135">
              <w:rPr>
                <w:rStyle w:val="Strong"/>
                <w:rFonts w:eastAsia="Calibri"/>
                <w:sz w:val="20"/>
                <w:szCs w:val="20"/>
              </w:rPr>
              <w:t xml:space="preserve">Measuring outcomes: </w:t>
            </w:r>
            <w:r w:rsidRPr="3CC25135">
              <w:rPr>
                <w:rStyle w:val="Strong"/>
                <w:rFonts w:eastAsia="Calibri"/>
                <w:b w:val="0"/>
                <w:bCs w:val="0"/>
                <w:sz w:val="20"/>
                <w:szCs w:val="20"/>
              </w:rPr>
              <w:t xml:space="preserve">Use the robust monitoring systems established by TGA to increase focus on measuring and reporting on interim and end of program outcomes for the remainder of this phase of activity and ensure that </w:t>
            </w:r>
            <w:r w:rsidR="1047C141" w:rsidRPr="3CC25135">
              <w:rPr>
                <w:rStyle w:val="Strong"/>
                <w:rFonts w:eastAsia="Calibri"/>
                <w:b w:val="0"/>
                <w:bCs w:val="0"/>
                <w:sz w:val="20"/>
                <w:szCs w:val="20"/>
              </w:rPr>
              <w:t>MEL (Monitoring, Evaluation and Learning)</w:t>
            </w:r>
            <w:r w:rsidRPr="3CC25135">
              <w:rPr>
                <w:rStyle w:val="Strong"/>
                <w:rFonts w:eastAsia="Calibri"/>
                <w:b w:val="0"/>
                <w:bCs w:val="0"/>
                <w:sz w:val="20"/>
                <w:szCs w:val="20"/>
              </w:rPr>
              <w:t xml:space="preserve"> systems for a future TGA-DFAT partnership continue to emphasise the monitoring of outcomes.</w:t>
            </w:r>
          </w:p>
          <w:p w14:paraId="29EF30CD" w14:textId="1B219303" w:rsidR="19E58A0E" w:rsidRPr="008B30D5" w:rsidRDefault="19E58A0E" w:rsidP="3CC25135">
            <w:pPr>
              <w:spacing w:before="0" w:after="0" w:line="276" w:lineRule="auto"/>
              <w:rPr>
                <w:rFonts w:eastAsia="Calibri"/>
                <w:color w:val="495965"/>
                <w:sz w:val="20"/>
                <w:szCs w:val="20"/>
              </w:rPr>
            </w:pPr>
            <w:r w:rsidRPr="3CC25135">
              <w:rPr>
                <w:rStyle w:val="Strong"/>
                <w:rFonts w:eastAsia="Calibri"/>
                <w:b w:val="0"/>
                <w:bCs w:val="0"/>
                <w:sz w:val="20"/>
                <w:szCs w:val="20"/>
              </w:rPr>
              <w:t xml:space="preserve">: In the </w:t>
            </w:r>
            <w:r w:rsidR="7FDE30FE" w:rsidRPr="3CC25135">
              <w:rPr>
                <w:rStyle w:val="Strong"/>
                <w:rFonts w:eastAsia="Calibri"/>
                <w:b w:val="0"/>
                <w:bCs w:val="0"/>
                <w:sz w:val="20"/>
                <w:szCs w:val="20"/>
              </w:rPr>
              <w:t>MELF (Monitoring, Evaluation and Learning Framework)</w:t>
            </w:r>
            <w:r w:rsidRPr="3CC25135">
              <w:rPr>
                <w:rStyle w:val="Strong"/>
                <w:rFonts w:eastAsia="Calibri"/>
                <w:b w:val="0"/>
                <w:bCs w:val="0"/>
                <w:sz w:val="20"/>
                <w:szCs w:val="20"/>
              </w:rPr>
              <w:t xml:space="preserve"> for a future partnership with DFAT, include an indicator to measure the value of TGA’s partnerships with regional stakeholders.</w:t>
            </w:r>
          </w:p>
        </w:tc>
        <w:tc>
          <w:tcPr>
            <w:tcW w:w="0" w:type="auto"/>
            <w:shd w:val="clear" w:color="auto" w:fill="CDE2B9" w:themeFill="accent3" w:themeFillTint="99"/>
            <w:tcMar>
              <w:left w:w="105" w:type="dxa"/>
              <w:right w:w="105" w:type="dxa"/>
            </w:tcMar>
          </w:tcPr>
          <w:p w14:paraId="28A41AED" w14:textId="58038139" w:rsidR="19E58A0E" w:rsidRPr="008B30D5" w:rsidRDefault="00FB5ADF" w:rsidP="00A96928">
            <w:pPr>
              <w:spacing w:before="0" w:after="0" w:line="276" w:lineRule="auto"/>
              <w:rPr>
                <w:rStyle w:val="Strong"/>
                <w:rFonts w:eastAsia="Calibri" w:cstheme="minorHAnsi"/>
                <w:b w:val="0"/>
                <w:bCs w:val="0"/>
                <w:color w:val="495965"/>
                <w:sz w:val="20"/>
                <w:szCs w:val="20"/>
              </w:rPr>
            </w:pPr>
            <w:r w:rsidRPr="008B30D5">
              <w:rPr>
                <w:rStyle w:val="Strong"/>
                <w:rFonts w:eastAsia="Calibri" w:cstheme="minorHAnsi"/>
                <w:b w:val="0"/>
                <w:bCs w:val="0"/>
                <w:color w:val="495965"/>
                <w:sz w:val="20"/>
                <w:szCs w:val="20"/>
              </w:rPr>
              <w:t>Agree</w:t>
            </w:r>
          </w:p>
        </w:tc>
        <w:tc>
          <w:tcPr>
            <w:tcW w:w="0" w:type="auto"/>
            <w:tcMar>
              <w:left w:w="105" w:type="dxa"/>
              <w:right w:w="105" w:type="dxa"/>
            </w:tcMar>
          </w:tcPr>
          <w:p w14:paraId="30DDF7B4" w14:textId="218A0AB0" w:rsidR="00AC2CDC" w:rsidRPr="008B30D5" w:rsidRDefault="00B66A5A" w:rsidP="00A96928">
            <w:pPr>
              <w:spacing w:before="0" w:after="0" w:line="276" w:lineRule="auto"/>
              <w:rPr>
                <w:rStyle w:val="Strong"/>
                <w:rFonts w:eastAsia="Calibri" w:cstheme="minorHAnsi"/>
                <w:b w:val="0"/>
                <w:bCs w:val="0"/>
                <w:color w:val="495965"/>
                <w:sz w:val="20"/>
                <w:szCs w:val="20"/>
              </w:rPr>
            </w:pPr>
            <w:r>
              <w:rPr>
                <w:rStyle w:val="Strong"/>
                <w:rFonts w:eastAsia="Calibri" w:cstheme="minorHAnsi"/>
                <w:b w:val="0"/>
                <w:bCs w:val="0"/>
                <w:color w:val="495965"/>
                <w:sz w:val="20"/>
                <w:szCs w:val="20"/>
              </w:rPr>
              <w:t xml:space="preserve">The </w:t>
            </w:r>
            <w:r w:rsidR="002C096B" w:rsidRPr="008B30D5">
              <w:rPr>
                <w:rStyle w:val="Strong"/>
                <w:rFonts w:eastAsia="Calibri" w:cstheme="minorHAnsi"/>
                <w:b w:val="0"/>
                <w:bCs w:val="0"/>
                <w:color w:val="495965"/>
                <w:sz w:val="20"/>
                <w:szCs w:val="20"/>
              </w:rPr>
              <w:t>TGA</w:t>
            </w:r>
            <w:r w:rsidR="009D05C7" w:rsidRPr="008B30D5">
              <w:rPr>
                <w:rStyle w:val="Strong"/>
                <w:rFonts w:eastAsia="Calibri" w:cstheme="minorHAnsi"/>
                <w:b w:val="0"/>
                <w:bCs w:val="0"/>
                <w:color w:val="495965"/>
                <w:sz w:val="20"/>
                <w:szCs w:val="20"/>
              </w:rPr>
              <w:t xml:space="preserve"> and DFAT</w:t>
            </w:r>
            <w:r w:rsidR="002C096B" w:rsidRPr="008B30D5">
              <w:rPr>
                <w:rStyle w:val="Strong"/>
                <w:rFonts w:eastAsia="Calibri" w:cstheme="minorHAnsi"/>
                <w:b w:val="0"/>
                <w:bCs w:val="0"/>
                <w:color w:val="495965"/>
                <w:sz w:val="20"/>
                <w:szCs w:val="20"/>
              </w:rPr>
              <w:t xml:space="preserve"> agree</w:t>
            </w:r>
            <w:r w:rsidR="009548FC">
              <w:rPr>
                <w:rStyle w:val="Strong"/>
                <w:rFonts w:eastAsia="Calibri" w:cstheme="minorHAnsi"/>
                <w:b w:val="0"/>
                <w:bCs w:val="0"/>
                <w:color w:val="495965"/>
                <w:sz w:val="20"/>
                <w:szCs w:val="20"/>
              </w:rPr>
              <w:t xml:space="preserve"> that a strong focus on robust monitoring, evaluation a</w:t>
            </w:r>
            <w:r w:rsidR="00ED3CF5">
              <w:rPr>
                <w:rStyle w:val="Strong"/>
                <w:rFonts w:eastAsia="Calibri" w:cstheme="minorHAnsi"/>
                <w:b w:val="0"/>
                <w:bCs w:val="0"/>
                <w:color w:val="495965"/>
                <w:sz w:val="20"/>
                <w:szCs w:val="20"/>
              </w:rPr>
              <w:t xml:space="preserve">nd learning systems is important. Improved indicators to measure the value of TGA’s partnerships will be explored. </w:t>
            </w:r>
          </w:p>
        </w:tc>
        <w:tc>
          <w:tcPr>
            <w:tcW w:w="0" w:type="auto"/>
            <w:tcMar>
              <w:left w:w="105" w:type="dxa"/>
              <w:right w:w="105" w:type="dxa"/>
            </w:tcMar>
          </w:tcPr>
          <w:p w14:paraId="56EB14F9" w14:textId="33934BCE" w:rsidR="00FC695D" w:rsidRDefault="00FC695D" w:rsidP="00FC695D">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 xml:space="preserve">Recommendation 7 will be addressed as part of the strategic design process. </w:t>
            </w:r>
          </w:p>
          <w:p w14:paraId="170DF905" w14:textId="2E8C4977" w:rsidR="001C7151" w:rsidRPr="008B30D5" w:rsidRDefault="001C7151" w:rsidP="00C90EA4">
            <w:pPr>
              <w:spacing w:before="0" w:after="0" w:line="276" w:lineRule="auto"/>
              <w:rPr>
                <w:rStyle w:val="Strong"/>
                <w:rFonts w:eastAsia="Calibri" w:cstheme="minorHAnsi"/>
                <w:color w:val="495965"/>
                <w:sz w:val="20"/>
                <w:szCs w:val="20"/>
              </w:rPr>
            </w:pPr>
          </w:p>
        </w:tc>
        <w:tc>
          <w:tcPr>
            <w:tcW w:w="0" w:type="auto"/>
            <w:tcMar>
              <w:left w:w="105" w:type="dxa"/>
              <w:right w:w="105" w:type="dxa"/>
            </w:tcMar>
          </w:tcPr>
          <w:p w14:paraId="62EB9541" w14:textId="3C844E23" w:rsidR="00CA0ED3" w:rsidRPr="008B30D5" w:rsidRDefault="0060665E" w:rsidP="00A96928">
            <w:pPr>
              <w:spacing w:before="0" w:after="0" w:line="276" w:lineRule="auto"/>
              <w:rPr>
                <w:rStyle w:val="Strong"/>
                <w:rFonts w:eastAsia="Calibri" w:cstheme="minorHAnsi"/>
                <w:color w:val="495965"/>
                <w:sz w:val="20"/>
                <w:szCs w:val="20"/>
              </w:rPr>
            </w:pPr>
            <w:r>
              <w:rPr>
                <w:rStyle w:val="Strong"/>
                <w:rFonts w:eastAsia="Calibri" w:cstheme="minorHAnsi"/>
                <w:color w:val="495965"/>
                <w:sz w:val="20"/>
                <w:szCs w:val="20"/>
              </w:rPr>
              <w:t>3</w:t>
            </w:r>
            <w:r w:rsidR="00CA0ED3" w:rsidRPr="008B30D5">
              <w:rPr>
                <w:rStyle w:val="Strong"/>
                <w:rFonts w:eastAsia="Calibri" w:cstheme="minorHAnsi"/>
                <w:color w:val="495965"/>
                <w:sz w:val="20"/>
                <w:szCs w:val="20"/>
              </w:rPr>
              <w:t>0 Jun 2023</w:t>
            </w:r>
          </w:p>
        </w:tc>
      </w:tr>
      <w:bookmarkEnd w:id="1"/>
    </w:tbl>
    <w:p w14:paraId="3682D703" w14:textId="49E1C426" w:rsidR="008F39BE" w:rsidRPr="00A516AF" w:rsidRDefault="008F39BE" w:rsidP="00A516AF">
      <w:pPr>
        <w:spacing w:after="200" w:line="240" w:lineRule="auto"/>
        <w:rPr>
          <w:rFonts w:ascii="Calibri" w:eastAsia="Calibri" w:hAnsi="Calibri" w:cs="Calibri"/>
          <w:color w:val="000000" w:themeColor="text1"/>
          <w:lang w:val="en-AU"/>
        </w:rPr>
      </w:pPr>
    </w:p>
    <w:sectPr w:rsidR="008F39BE" w:rsidRPr="00A516AF" w:rsidSect="001A18DE">
      <w:pgSz w:w="16838" w:h="11906" w:orient="landscape"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5F92" w14:textId="77777777" w:rsidR="00043458" w:rsidRDefault="00043458" w:rsidP="003A5358">
      <w:r>
        <w:separator/>
      </w:r>
    </w:p>
  </w:endnote>
  <w:endnote w:type="continuationSeparator" w:id="0">
    <w:p w14:paraId="60290662" w14:textId="77777777" w:rsidR="00043458" w:rsidRDefault="00043458" w:rsidP="003A5358">
      <w:r>
        <w:continuationSeparator/>
      </w:r>
    </w:p>
  </w:endnote>
  <w:endnote w:type="continuationNotice" w:id="1">
    <w:p w14:paraId="4E1572DB" w14:textId="77777777" w:rsidR="00043458" w:rsidRDefault="000434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5DC0" w14:textId="77777777" w:rsidR="00BD4402" w:rsidRDefault="00BD4402" w:rsidP="00057479">
    <w:pPr>
      <w:pStyle w:val="Classification"/>
    </w:pPr>
    <w:r>
      <w:rPr>
        <w:noProof/>
        <w:lang w:val="en-AU" w:eastAsia="en-AU"/>
      </w:rPr>
      <w:drawing>
        <wp:inline distT="0" distB="0" distL="0" distR="0" wp14:anchorId="232EE034" wp14:editId="65A38750">
          <wp:extent cx="6119495" cy="382270"/>
          <wp:effectExtent l="0" t="0" r="0" b="0"/>
          <wp:docPr id="22" name="Picture 2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inline>
      </w:drawing>
    </w:r>
  </w:p>
  <w:p w14:paraId="482C4D04" w14:textId="19C01516" w:rsidR="00BD4402" w:rsidRDefault="00BD4402"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4253B1">
      <w:rPr>
        <w:rStyle w:val="PageNumber"/>
        <w:noProof/>
      </w:rPr>
      <w:t>12</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DB2F" w14:textId="69F61C5B" w:rsidR="00BD4402" w:rsidRDefault="00BD4402" w:rsidP="003A5358">
    <w:pPr>
      <w:pStyle w:val="Footer"/>
    </w:pPr>
    <w:r>
      <w:rPr>
        <w:noProof/>
        <w:lang w:val="en-AU" w:eastAsia="en-AU"/>
      </w:rPr>
      <w:drawing>
        <wp:inline distT="0" distB="0" distL="0" distR="0" wp14:anchorId="0BC4A3D8" wp14:editId="1C0CBF41">
          <wp:extent cx="6119495" cy="382270"/>
          <wp:effectExtent l="0" t="0" r="0" b="0"/>
          <wp:docPr id="24" name="Picture 2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inline>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4253B1">
      <w:rPr>
        <w:rStyle w:val="PageNumber"/>
        <w:noProof/>
      </w:rPr>
      <w:t>1</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9530" w14:textId="77777777" w:rsidR="00043458" w:rsidRPr="008C5A0E" w:rsidRDefault="00043458" w:rsidP="003A5358">
      <w:pPr>
        <w:pStyle w:val="FootnoteSeparator"/>
      </w:pPr>
    </w:p>
  </w:footnote>
  <w:footnote w:type="continuationSeparator" w:id="0">
    <w:p w14:paraId="12F796C5" w14:textId="77777777" w:rsidR="00043458" w:rsidRDefault="00043458" w:rsidP="003A5358">
      <w:r>
        <w:continuationSeparator/>
      </w:r>
    </w:p>
  </w:footnote>
  <w:footnote w:type="continuationNotice" w:id="1">
    <w:p w14:paraId="583FB8AC" w14:textId="77777777" w:rsidR="00043458" w:rsidRDefault="000434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867F" w14:textId="6914B84E" w:rsidR="00BD4402" w:rsidRPr="00806503" w:rsidRDefault="00BD4402" w:rsidP="00057479">
    <w:pPr>
      <w:pStyle w:val="Classification"/>
    </w:pPr>
    <w:r>
      <w:rPr>
        <w:noProof/>
        <w:lang w:val="en-AU" w:eastAsia="en-AU"/>
      </w:rPr>
      <w:drawing>
        <wp:inline distT="0" distB="0" distL="0" distR="0" wp14:anchorId="5AEF8158" wp14:editId="6C82ABC3">
          <wp:extent cx="10039350" cy="419100"/>
          <wp:effectExtent l="0" t="0" r="0" b="0"/>
          <wp:docPr id="21" name="Picture 2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10039350"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EEAB" w14:textId="7B5931E9" w:rsidR="00BD4402" w:rsidRDefault="00BD4402" w:rsidP="003A5358">
    <w:pPr>
      <w:pStyle w:val="Header"/>
    </w:pPr>
    <w:r>
      <w:rPr>
        <w:noProof/>
        <w:lang w:val="en-AU" w:eastAsia="en-AU"/>
      </w:rPr>
      <w:drawing>
        <wp:inline distT="0" distB="0" distL="0" distR="0" wp14:anchorId="27DCB334" wp14:editId="69786DFE">
          <wp:extent cx="9839325" cy="466725"/>
          <wp:effectExtent l="0" t="0" r="9525" b="9525"/>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9839325"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19C"/>
    <w:multiLevelType w:val="hybridMultilevel"/>
    <w:tmpl w:val="E9529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0780C40"/>
    <w:multiLevelType w:val="hybridMultilevel"/>
    <w:tmpl w:val="49442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7251D3D"/>
    <w:multiLevelType w:val="hybridMultilevel"/>
    <w:tmpl w:val="2C08A92C"/>
    <w:lvl w:ilvl="0" w:tplc="7F509684">
      <w:start w:val="1"/>
      <w:numFmt w:val="bullet"/>
      <w:lvlText w:val=""/>
      <w:lvlJc w:val="left"/>
      <w:pPr>
        <w:ind w:left="720" w:hanging="360"/>
      </w:pPr>
      <w:rPr>
        <w:rFonts w:ascii="Symbol" w:hAnsi="Symbol" w:hint="default"/>
      </w:rPr>
    </w:lvl>
    <w:lvl w:ilvl="1" w:tplc="EF6C849A">
      <w:start w:val="1"/>
      <w:numFmt w:val="bullet"/>
      <w:lvlText w:val="o"/>
      <w:lvlJc w:val="left"/>
      <w:pPr>
        <w:ind w:left="1440" w:hanging="360"/>
      </w:pPr>
      <w:rPr>
        <w:rFonts w:ascii="Courier New" w:hAnsi="Courier New" w:hint="default"/>
      </w:rPr>
    </w:lvl>
    <w:lvl w:ilvl="2" w:tplc="778817D6">
      <w:start w:val="1"/>
      <w:numFmt w:val="bullet"/>
      <w:lvlText w:val=""/>
      <w:lvlJc w:val="left"/>
      <w:pPr>
        <w:ind w:left="2160" w:hanging="360"/>
      </w:pPr>
      <w:rPr>
        <w:rFonts w:ascii="Wingdings" w:hAnsi="Wingdings" w:hint="default"/>
      </w:rPr>
    </w:lvl>
    <w:lvl w:ilvl="3" w:tplc="C3CE4CE6">
      <w:start w:val="1"/>
      <w:numFmt w:val="bullet"/>
      <w:lvlText w:val=""/>
      <w:lvlJc w:val="left"/>
      <w:pPr>
        <w:ind w:left="2880" w:hanging="360"/>
      </w:pPr>
      <w:rPr>
        <w:rFonts w:ascii="Symbol" w:hAnsi="Symbol" w:hint="default"/>
      </w:rPr>
    </w:lvl>
    <w:lvl w:ilvl="4" w:tplc="6CBE4118">
      <w:start w:val="1"/>
      <w:numFmt w:val="bullet"/>
      <w:lvlText w:val="o"/>
      <w:lvlJc w:val="left"/>
      <w:pPr>
        <w:ind w:left="3600" w:hanging="360"/>
      </w:pPr>
      <w:rPr>
        <w:rFonts w:ascii="Courier New" w:hAnsi="Courier New" w:hint="default"/>
      </w:rPr>
    </w:lvl>
    <w:lvl w:ilvl="5" w:tplc="B74C82FC">
      <w:start w:val="1"/>
      <w:numFmt w:val="bullet"/>
      <w:lvlText w:val=""/>
      <w:lvlJc w:val="left"/>
      <w:pPr>
        <w:ind w:left="4320" w:hanging="360"/>
      </w:pPr>
      <w:rPr>
        <w:rFonts w:ascii="Wingdings" w:hAnsi="Wingdings" w:hint="default"/>
      </w:rPr>
    </w:lvl>
    <w:lvl w:ilvl="6" w:tplc="705CF842">
      <w:start w:val="1"/>
      <w:numFmt w:val="bullet"/>
      <w:lvlText w:val=""/>
      <w:lvlJc w:val="left"/>
      <w:pPr>
        <w:ind w:left="5040" w:hanging="360"/>
      </w:pPr>
      <w:rPr>
        <w:rFonts w:ascii="Symbol" w:hAnsi="Symbol" w:hint="default"/>
      </w:rPr>
    </w:lvl>
    <w:lvl w:ilvl="7" w:tplc="A67427B8">
      <w:start w:val="1"/>
      <w:numFmt w:val="bullet"/>
      <w:lvlText w:val="o"/>
      <w:lvlJc w:val="left"/>
      <w:pPr>
        <w:ind w:left="5760" w:hanging="360"/>
      </w:pPr>
      <w:rPr>
        <w:rFonts w:ascii="Courier New" w:hAnsi="Courier New" w:hint="default"/>
      </w:rPr>
    </w:lvl>
    <w:lvl w:ilvl="8" w:tplc="2AB82308">
      <w:start w:val="1"/>
      <w:numFmt w:val="bullet"/>
      <w:lvlText w:val=""/>
      <w:lvlJc w:val="left"/>
      <w:pPr>
        <w:ind w:left="6480" w:hanging="360"/>
      </w:pPr>
      <w:rPr>
        <w:rFonts w:ascii="Wingdings" w:hAnsi="Wingdings" w:hint="default"/>
      </w:rPr>
    </w:lvl>
  </w:abstractNum>
  <w:abstractNum w:abstractNumId="7"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8"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9" w15:restartNumberingAfterBreak="0">
    <w:nsid w:val="1A486E9A"/>
    <w:multiLevelType w:val="hybridMultilevel"/>
    <w:tmpl w:val="B9048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5419D5"/>
    <w:multiLevelType w:val="hybridMultilevel"/>
    <w:tmpl w:val="A57E691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0F64C6"/>
    <w:multiLevelType w:val="hybridMultilevel"/>
    <w:tmpl w:val="9AEE146E"/>
    <w:lvl w:ilvl="0" w:tplc="40EE6874">
      <w:start w:val="1"/>
      <w:numFmt w:val="bullet"/>
      <w:lvlText w:val="-"/>
      <w:lvlJc w:val="left"/>
      <w:pPr>
        <w:ind w:left="360" w:hanging="360"/>
      </w:pPr>
      <w:rPr>
        <w:rFonts w:ascii="Times New Roman" w:hAnsi="Times New Roman" w:hint="default"/>
      </w:rPr>
    </w:lvl>
    <w:lvl w:ilvl="1" w:tplc="9C4474E4">
      <w:start w:val="1"/>
      <w:numFmt w:val="bullet"/>
      <w:lvlText w:val="o"/>
      <w:lvlJc w:val="left"/>
      <w:pPr>
        <w:ind w:left="1440" w:hanging="360"/>
      </w:pPr>
      <w:rPr>
        <w:rFonts w:ascii="Courier New" w:hAnsi="Courier New" w:hint="default"/>
      </w:rPr>
    </w:lvl>
    <w:lvl w:ilvl="2" w:tplc="EB48EA6C">
      <w:start w:val="1"/>
      <w:numFmt w:val="bullet"/>
      <w:lvlText w:val=""/>
      <w:lvlJc w:val="left"/>
      <w:pPr>
        <w:ind w:left="2160" w:hanging="360"/>
      </w:pPr>
      <w:rPr>
        <w:rFonts w:ascii="Wingdings" w:hAnsi="Wingdings" w:hint="default"/>
      </w:rPr>
    </w:lvl>
    <w:lvl w:ilvl="3" w:tplc="EB18AA16">
      <w:start w:val="1"/>
      <w:numFmt w:val="bullet"/>
      <w:lvlText w:val=""/>
      <w:lvlJc w:val="left"/>
      <w:pPr>
        <w:ind w:left="2880" w:hanging="360"/>
      </w:pPr>
      <w:rPr>
        <w:rFonts w:ascii="Symbol" w:hAnsi="Symbol" w:hint="default"/>
      </w:rPr>
    </w:lvl>
    <w:lvl w:ilvl="4" w:tplc="89A61DEA">
      <w:start w:val="1"/>
      <w:numFmt w:val="bullet"/>
      <w:lvlText w:val="o"/>
      <w:lvlJc w:val="left"/>
      <w:pPr>
        <w:ind w:left="3600" w:hanging="360"/>
      </w:pPr>
      <w:rPr>
        <w:rFonts w:ascii="Courier New" w:hAnsi="Courier New" w:hint="default"/>
      </w:rPr>
    </w:lvl>
    <w:lvl w:ilvl="5" w:tplc="FCA04940">
      <w:start w:val="1"/>
      <w:numFmt w:val="bullet"/>
      <w:lvlText w:val=""/>
      <w:lvlJc w:val="left"/>
      <w:pPr>
        <w:ind w:left="4320" w:hanging="360"/>
      </w:pPr>
      <w:rPr>
        <w:rFonts w:ascii="Wingdings" w:hAnsi="Wingdings" w:hint="default"/>
      </w:rPr>
    </w:lvl>
    <w:lvl w:ilvl="6" w:tplc="7656563A">
      <w:start w:val="1"/>
      <w:numFmt w:val="bullet"/>
      <w:lvlText w:val=""/>
      <w:lvlJc w:val="left"/>
      <w:pPr>
        <w:ind w:left="5040" w:hanging="360"/>
      </w:pPr>
      <w:rPr>
        <w:rFonts w:ascii="Symbol" w:hAnsi="Symbol" w:hint="default"/>
      </w:rPr>
    </w:lvl>
    <w:lvl w:ilvl="7" w:tplc="7542D28C">
      <w:start w:val="1"/>
      <w:numFmt w:val="bullet"/>
      <w:lvlText w:val="o"/>
      <w:lvlJc w:val="left"/>
      <w:pPr>
        <w:ind w:left="5760" w:hanging="360"/>
      </w:pPr>
      <w:rPr>
        <w:rFonts w:ascii="Courier New" w:hAnsi="Courier New" w:hint="default"/>
      </w:rPr>
    </w:lvl>
    <w:lvl w:ilvl="8" w:tplc="E932C7D4">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0C2376B"/>
    <w:multiLevelType w:val="hybridMultilevel"/>
    <w:tmpl w:val="9F60D0B8"/>
    <w:lvl w:ilvl="0" w:tplc="9760A1F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2ED638"/>
    <w:multiLevelType w:val="hybridMultilevel"/>
    <w:tmpl w:val="B1627960"/>
    <w:lvl w:ilvl="0" w:tplc="F61E9646">
      <w:start w:val="1"/>
      <w:numFmt w:val="bullet"/>
      <w:lvlText w:val=""/>
      <w:lvlJc w:val="left"/>
      <w:pPr>
        <w:ind w:left="720" w:hanging="360"/>
      </w:pPr>
      <w:rPr>
        <w:rFonts w:ascii="Symbol" w:hAnsi="Symbol" w:hint="default"/>
      </w:rPr>
    </w:lvl>
    <w:lvl w:ilvl="1" w:tplc="9C54D39A">
      <w:start w:val="1"/>
      <w:numFmt w:val="bullet"/>
      <w:lvlText w:val="o"/>
      <w:lvlJc w:val="left"/>
      <w:pPr>
        <w:ind w:left="1440" w:hanging="360"/>
      </w:pPr>
      <w:rPr>
        <w:rFonts w:ascii="Courier New" w:hAnsi="Courier New" w:hint="default"/>
      </w:rPr>
    </w:lvl>
    <w:lvl w:ilvl="2" w:tplc="4DE01D28">
      <w:start w:val="1"/>
      <w:numFmt w:val="bullet"/>
      <w:lvlText w:val=""/>
      <w:lvlJc w:val="left"/>
      <w:pPr>
        <w:ind w:left="2160" w:hanging="360"/>
      </w:pPr>
      <w:rPr>
        <w:rFonts w:ascii="Wingdings" w:hAnsi="Wingdings" w:hint="default"/>
      </w:rPr>
    </w:lvl>
    <w:lvl w:ilvl="3" w:tplc="0A780F4C">
      <w:start w:val="1"/>
      <w:numFmt w:val="bullet"/>
      <w:lvlText w:val=""/>
      <w:lvlJc w:val="left"/>
      <w:pPr>
        <w:ind w:left="2880" w:hanging="360"/>
      </w:pPr>
      <w:rPr>
        <w:rFonts w:ascii="Symbol" w:hAnsi="Symbol" w:hint="default"/>
      </w:rPr>
    </w:lvl>
    <w:lvl w:ilvl="4" w:tplc="3B5CC09E">
      <w:start w:val="1"/>
      <w:numFmt w:val="bullet"/>
      <w:lvlText w:val="o"/>
      <w:lvlJc w:val="left"/>
      <w:pPr>
        <w:ind w:left="3600" w:hanging="360"/>
      </w:pPr>
      <w:rPr>
        <w:rFonts w:ascii="Courier New" w:hAnsi="Courier New" w:hint="default"/>
      </w:rPr>
    </w:lvl>
    <w:lvl w:ilvl="5" w:tplc="F7BA5D64">
      <w:start w:val="1"/>
      <w:numFmt w:val="bullet"/>
      <w:lvlText w:val=""/>
      <w:lvlJc w:val="left"/>
      <w:pPr>
        <w:ind w:left="4320" w:hanging="360"/>
      </w:pPr>
      <w:rPr>
        <w:rFonts w:ascii="Wingdings" w:hAnsi="Wingdings" w:hint="default"/>
      </w:rPr>
    </w:lvl>
    <w:lvl w:ilvl="6" w:tplc="21286C18">
      <w:start w:val="1"/>
      <w:numFmt w:val="bullet"/>
      <w:lvlText w:val=""/>
      <w:lvlJc w:val="left"/>
      <w:pPr>
        <w:ind w:left="5040" w:hanging="360"/>
      </w:pPr>
      <w:rPr>
        <w:rFonts w:ascii="Symbol" w:hAnsi="Symbol" w:hint="default"/>
      </w:rPr>
    </w:lvl>
    <w:lvl w:ilvl="7" w:tplc="54F46D0C">
      <w:start w:val="1"/>
      <w:numFmt w:val="bullet"/>
      <w:lvlText w:val="o"/>
      <w:lvlJc w:val="left"/>
      <w:pPr>
        <w:ind w:left="5760" w:hanging="360"/>
      </w:pPr>
      <w:rPr>
        <w:rFonts w:ascii="Courier New" w:hAnsi="Courier New" w:hint="default"/>
      </w:rPr>
    </w:lvl>
    <w:lvl w:ilvl="8" w:tplc="F17E27D4">
      <w:start w:val="1"/>
      <w:numFmt w:val="bullet"/>
      <w:lvlText w:val=""/>
      <w:lvlJc w:val="left"/>
      <w:pPr>
        <w:ind w:left="6480" w:hanging="360"/>
      </w:pPr>
      <w:rPr>
        <w:rFonts w:ascii="Wingdings" w:hAnsi="Wingdings" w:hint="default"/>
      </w:rPr>
    </w:lvl>
  </w:abstractNum>
  <w:abstractNum w:abstractNumId="15" w15:restartNumberingAfterBreak="0">
    <w:nsid w:val="4427542F"/>
    <w:multiLevelType w:val="hybridMultilevel"/>
    <w:tmpl w:val="A78EA0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50F2013"/>
    <w:multiLevelType w:val="hybridMultilevel"/>
    <w:tmpl w:val="5A62DD60"/>
    <w:lvl w:ilvl="0" w:tplc="9760A1F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98AF44"/>
    <w:multiLevelType w:val="hybridMultilevel"/>
    <w:tmpl w:val="936E71F0"/>
    <w:lvl w:ilvl="0" w:tplc="78388C5A">
      <w:start w:val="1"/>
      <w:numFmt w:val="bullet"/>
      <w:lvlText w:val="-"/>
      <w:lvlJc w:val="left"/>
      <w:pPr>
        <w:ind w:left="720" w:hanging="360"/>
      </w:pPr>
      <w:rPr>
        <w:rFonts w:ascii="Calibri" w:hAnsi="Calibri" w:hint="default"/>
      </w:rPr>
    </w:lvl>
    <w:lvl w:ilvl="1" w:tplc="BEC653C6">
      <w:start w:val="1"/>
      <w:numFmt w:val="bullet"/>
      <w:lvlText w:val="o"/>
      <w:lvlJc w:val="left"/>
      <w:pPr>
        <w:ind w:left="1440" w:hanging="360"/>
      </w:pPr>
      <w:rPr>
        <w:rFonts w:ascii="Courier New" w:hAnsi="Courier New" w:hint="default"/>
      </w:rPr>
    </w:lvl>
    <w:lvl w:ilvl="2" w:tplc="3734355A">
      <w:start w:val="1"/>
      <w:numFmt w:val="bullet"/>
      <w:lvlText w:val=""/>
      <w:lvlJc w:val="left"/>
      <w:pPr>
        <w:ind w:left="2160" w:hanging="360"/>
      </w:pPr>
      <w:rPr>
        <w:rFonts w:ascii="Wingdings" w:hAnsi="Wingdings" w:hint="default"/>
      </w:rPr>
    </w:lvl>
    <w:lvl w:ilvl="3" w:tplc="4F1AEF3E">
      <w:start w:val="1"/>
      <w:numFmt w:val="bullet"/>
      <w:lvlText w:val=""/>
      <w:lvlJc w:val="left"/>
      <w:pPr>
        <w:ind w:left="2880" w:hanging="360"/>
      </w:pPr>
      <w:rPr>
        <w:rFonts w:ascii="Symbol" w:hAnsi="Symbol" w:hint="default"/>
      </w:rPr>
    </w:lvl>
    <w:lvl w:ilvl="4" w:tplc="C08EC3B4">
      <w:start w:val="1"/>
      <w:numFmt w:val="bullet"/>
      <w:lvlText w:val="o"/>
      <w:lvlJc w:val="left"/>
      <w:pPr>
        <w:ind w:left="3600" w:hanging="360"/>
      </w:pPr>
      <w:rPr>
        <w:rFonts w:ascii="Courier New" w:hAnsi="Courier New" w:hint="default"/>
      </w:rPr>
    </w:lvl>
    <w:lvl w:ilvl="5" w:tplc="56B6E710">
      <w:start w:val="1"/>
      <w:numFmt w:val="bullet"/>
      <w:lvlText w:val=""/>
      <w:lvlJc w:val="left"/>
      <w:pPr>
        <w:ind w:left="4320" w:hanging="360"/>
      </w:pPr>
      <w:rPr>
        <w:rFonts w:ascii="Wingdings" w:hAnsi="Wingdings" w:hint="default"/>
      </w:rPr>
    </w:lvl>
    <w:lvl w:ilvl="6" w:tplc="E3AA9EC8">
      <w:start w:val="1"/>
      <w:numFmt w:val="bullet"/>
      <w:lvlText w:val=""/>
      <w:lvlJc w:val="left"/>
      <w:pPr>
        <w:ind w:left="5040" w:hanging="360"/>
      </w:pPr>
      <w:rPr>
        <w:rFonts w:ascii="Symbol" w:hAnsi="Symbol" w:hint="default"/>
      </w:rPr>
    </w:lvl>
    <w:lvl w:ilvl="7" w:tplc="D01C5828">
      <w:start w:val="1"/>
      <w:numFmt w:val="bullet"/>
      <w:lvlText w:val="o"/>
      <w:lvlJc w:val="left"/>
      <w:pPr>
        <w:ind w:left="5760" w:hanging="360"/>
      </w:pPr>
      <w:rPr>
        <w:rFonts w:ascii="Courier New" w:hAnsi="Courier New" w:hint="default"/>
      </w:rPr>
    </w:lvl>
    <w:lvl w:ilvl="8" w:tplc="5852A708">
      <w:start w:val="1"/>
      <w:numFmt w:val="bullet"/>
      <w:lvlText w:val=""/>
      <w:lvlJc w:val="left"/>
      <w:pPr>
        <w:ind w:left="6480" w:hanging="360"/>
      </w:pPr>
      <w:rPr>
        <w:rFonts w:ascii="Wingdings" w:hAnsi="Wingdings" w:hint="default"/>
      </w:rPr>
    </w:lvl>
  </w:abstractNum>
  <w:abstractNum w:abstractNumId="18" w15:restartNumberingAfterBreak="0">
    <w:nsid w:val="4BAF442E"/>
    <w:multiLevelType w:val="hybridMultilevel"/>
    <w:tmpl w:val="91562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304926"/>
    <w:multiLevelType w:val="hybridMultilevel"/>
    <w:tmpl w:val="21040E12"/>
    <w:lvl w:ilvl="0" w:tplc="27E85A7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AC74884"/>
    <w:multiLevelType w:val="hybridMultilevel"/>
    <w:tmpl w:val="43AED786"/>
    <w:lvl w:ilvl="0" w:tplc="27E85A7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56043A"/>
    <w:multiLevelType w:val="multilevel"/>
    <w:tmpl w:val="69AEB596"/>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F2E3890"/>
    <w:multiLevelType w:val="hybridMultilevel"/>
    <w:tmpl w:val="E76CD34C"/>
    <w:lvl w:ilvl="0" w:tplc="9760A1F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0E2ABC"/>
    <w:multiLevelType w:val="multilevel"/>
    <w:tmpl w:val="3BBAD900"/>
    <w:numStyleLink w:val="HeadingsList"/>
  </w:abstractNum>
  <w:abstractNum w:abstractNumId="28" w15:restartNumberingAfterBreak="0">
    <w:nsid w:val="71CF699F"/>
    <w:multiLevelType w:val="hybridMultilevel"/>
    <w:tmpl w:val="8298A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0"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DC65ABE"/>
    <w:multiLevelType w:val="hybridMultilevel"/>
    <w:tmpl w:val="FC7A7978"/>
    <w:lvl w:ilvl="0" w:tplc="04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C52291"/>
    <w:multiLevelType w:val="hybridMultilevel"/>
    <w:tmpl w:val="72A20ED6"/>
    <w:lvl w:ilvl="0" w:tplc="89BC8AB2">
      <w:start w:val="1"/>
      <w:numFmt w:val="bullet"/>
      <w:lvlText w:val="-"/>
      <w:lvlJc w:val="left"/>
      <w:pPr>
        <w:ind w:left="360" w:hanging="360"/>
      </w:pPr>
      <w:rPr>
        <w:rFonts w:ascii="Times New Roman" w:hAnsi="Times New Roman" w:hint="default"/>
      </w:rPr>
    </w:lvl>
    <w:lvl w:ilvl="1" w:tplc="3D566DAC">
      <w:start w:val="1"/>
      <w:numFmt w:val="bullet"/>
      <w:lvlText w:val="o"/>
      <w:lvlJc w:val="left"/>
      <w:pPr>
        <w:ind w:left="1440" w:hanging="360"/>
      </w:pPr>
      <w:rPr>
        <w:rFonts w:ascii="Courier New" w:hAnsi="Courier New" w:hint="default"/>
      </w:rPr>
    </w:lvl>
    <w:lvl w:ilvl="2" w:tplc="B8922EE0">
      <w:start w:val="1"/>
      <w:numFmt w:val="bullet"/>
      <w:lvlText w:val=""/>
      <w:lvlJc w:val="left"/>
      <w:pPr>
        <w:ind w:left="2160" w:hanging="360"/>
      </w:pPr>
      <w:rPr>
        <w:rFonts w:ascii="Wingdings" w:hAnsi="Wingdings" w:hint="default"/>
      </w:rPr>
    </w:lvl>
    <w:lvl w:ilvl="3" w:tplc="B108FBAE">
      <w:start w:val="1"/>
      <w:numFmt w:val="bullet"/>
      <w:lvlText w:val=""/>
      <w:lvlJc w:val="left"/>
      <w:pPr>
        <w:ind w:left="2880" w:hanging="360"/>
      </w:pPr>
      <w:rPr>
        <w:rFonts w:ascii="Symbol" w:hAnsi="Symbol" w:hint="default"/>
      </w:rPr>
    </w:lvl>
    <w:lvl w:ilvl="4" w:tplc="E7BA77FC">
      <w:start w:val="1"/>
      <w:numFmt w:val="bullet"/>
      <w:lvlText w:val="o"/>
      <w:lvlJc w:val="left"/>
      <w:pPr>
        <w:ind w:left="3600" w:hanging="360"/>
      </w:pPr>
      <w:rPr>
        <w:rFonts w:ascii="Courier New" w:hAnsi="Courier New" w:hint="default"/>
      </w:rPr>
    </w:lvl>
    <w:lvl w:ilvl="5" w:tplc="5BC4E42E">
      <w:start w:val="1"/>
      <w:numFmt w:val="bullet"/>
      <w:lvlText w:val=""/>
      <w:lvlJc w:val="left"/>
      <w:pPr>
        <w:ind w:left="4320" w:hanging="360"/>
      </w:pPr>
      <w:rPr>
        <w:rFonts w:ascii="Wingdings" w:hAnsi="Wingdings" w:hint="default"/>
      </w:rPr>
    </w:lvl>
    <w:lvl w:ilvl="6" w:tplc="44887760">
      <w:start w:val="1"/>
      <w:numFmt w:val="bullet"/>
      <w:lvlText w:val=""/>
      <w:lvlJc w:val="left"/>
      <w:pPr>
        <w:ind w:left="5040" w:hanging="360"/>
      </w:pPr>
      <w:rPr>
        <w:rFonts w:ascii="Symbol" w:hAnsi="Symbol" w:hint="default"/>
      </w:rPr>
    </w:lvl>
    <w:lvl w:ilvl="7" w:tplc="0DF48706">
      <w:start w:val="1"/>
      <w:numFmt w:val="bullet"/>
      <w:lvlText w:val="o"/>
      <w:lvlJc w:val="left"/>
      <w:pPr>
        <w:ind w:left="5760" w:hanging="360"/>
      </w:pPr>
      <w:rPr>
        <w:rFonts w:ascii="Courier New" w:hAnsi="Courier New" w:hint="default"/>
      </w:rPr>
    </w:lvl>
    <w:lvl w:ilvl="8" w:tplc="5DF61666">
      <w:start w:val="1"/>
      <w:numFmt w:val="bullet"/>
      <w:lvlText w:val=""/>
      <w:lvlJc w:val="left"/>
      <w:pPr>
        <w:ind w:left="6480" w:hanging="360"/>
      </w:pPr>
      <w:rPr>
        <w:rFonts w:ascii="Wingdings" w:hAnsi="Wingdings" w:hint="default"/>
      </w:rPr>
    </w:lvl>
  </w:abstractNum>
  <w:num w:numId="1" w16cid:durableId="1902666393">
    <w:abstractNumId w:val="17"/>
  </w:num>
  <w:num w:numId="2" w16cid:durableId="1464039969">
    <w:abstractNumId w:val="11"/>
  </w:num>
  <w:num w:numId="3" w16cid:durableId="729495621">
    <w:abstractNumId w:val="32"/>
  </w:num>
  <w:num w:numId="4" w16cid:durableId="1587496828">
    <w:abstractNumId w:val="6"/>
  </w:num>
  <w:num w:numId="5" w16cid:durableId="501816584">
    <w:abstractNumId w:val="14"/>
  </w:num>
  <w:num w:numId="6" w16cid:durableId="866598177">
    <w:abstractNumId w:val="29"/>
  </w:num>
  <w:num w:numId="7" w16cid:durableId="267197984">
    <w:abstractNumId w:val="2"/>
  </w:num>
  <w:num w:numId="8" w16cid:durableId="223881222">
    <w:abstractNumId w:val="12"/>
  </w:num>
  <w:num w:numId="9" w16cid:durableId="571938790">
    <w:abstractNumId w:val="20"/>
  </w:num>
  <w:num w:numId="10" w16cid:durableId="1605384259">
    <w:abstractNumId w:val="24"/>
  </w:num>
  <w:num w:numId="11" w16cid:durableId="609362056">
    <w:abstractNumId w:val="2"/>
  </w:num>
  <w:num w:numId="12" w16cid:durableId="130055380">
    <w:abstractNumId w:val="5"/>
  </w:num>
  <w:num w:numId="13" w16cid:durableId="1015545964">
    <w:abstractNumId w:val="30"/>
  </w:num>
  <w:num w:numId="14" w16cid:durableId="1652826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9370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4090996">
    <w:abstractNumId w:val="26"/>
  </w:num>
  <w:num w:numId="17" w16cid:durableId="1488782952">
    <w:abstractNumId w:val="4"/>
  </w:num>
  <w:num w:numId="18" w16cid:durableId="19930966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3312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4380645">
    <w:abstractNumId w:val="23"/>
  </w:num>
  <w:num w:numId="21" w16cid:durableId="1268191643">
    <w:abstractNumId w:val="27"/>
  </w:num>
  <w:num w:numId="22" w16cid:durableId="189298102">
    <w:abstractNumId w:val="10"/>
  </w:num>
  <w:num w:numId="23" w16cid:durableId="1767770643">
    <w:abstractNumId w:val="1"/>
  </w:num>
  <w:num w:numId="24" w16cid:durableId="554581301">
    <w:abstractNumId w:val="31"/>
  </w:num>
  <w:num w:numId="25" w16cid:durableId="1476794645">
    <w:abstractNumId w:val="15"/>
  </w:num>
  <w:num w:numId="26" w16cid:durableId="180553156">
    <w:abstractNumId w:val="28"/>
  </w:num>
  <w:num w:numId="27" w16cid:durableId="458494578">
    <w:abstractNumId w:val="19"/>
  </w:num>
  <w:num w:numId="28" w16cid:durableId="1411151130">
    <w:abstractNumId w:val="22"/>
  </w:num>
  <w:num w:numId="29" w16cid:durableId="959261298">
    <w:abstractNumId w:val="0"/>
  </w:num>
  <w:num w:numId="30" w16cid:durableId="339084861">
    <w:abstractNumId w:val="3"/>
  </w:num>
  <w:num w:numId="31" w16cid:durableId="2033721777">
    <w:abstractNumId w:val="25"/>
  </w:num>
  <w:num w:numId="32" w16cid:durableId="872887924">
    <w:abstractNumId w:val="16"/>
  </w:num>
  <w:num w:numId="33" w16cid:durableId="1705011608">
    <w:abstractNumId w:val="13"/>
  </w:num>
  <w:num w:numId="34" w16cid:durableId="71860162">
    <w:abstractNumId w:val="9"/>
  </w:num>
  <w:num w:numId="35" w16cid:durableId="56029388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PH"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F6"/>
    <w:rsid w:val="00001B14"/>
    <w:rsid w:val="00007CDC"/>
    <w:rsid w:val="00011D0D"/>
    <w:rsid w:val="00013F0E"/>
    <w:rsid w:val="00015A47"/>
    <w:rsid w:val="0001666A"/>
    <w:rsid w:val="0001758F"/>
    <w:rsid w:val="0002080A"/>
    <w:rsid w:val="0002336C"/>
    <w:rsid w:val="00025D1E"/>
    <w:rsid w:val="00026761"/>
    <w:rsid w:val="00027287"/>
    <w:rsid w:val="000275CB"/>
    <w:rsid w:val="0002782F"/>
    <w:rsid w:val="00034815"/>
    <w:rsid w:val="000356C3"/>
    <w:rsid w:val="00036E69"/>
    <w:rsid w:val="00040A8B"/>
    <w:rsid w:val="00043458"/>
    <w:rsid w:val="00044330"/>
    <w:rsid w:val="00047307"/>
    <w:rsid w:val="00047435"/>
    <w:rsid w:val="0004D953"/>
    <w:rsid w:val="000524C5"/>
    <w:rsid w:val="00054E4D"/>
    <w:rsid w:val="000553B4"/>
    <w:rsid w:val="000564EE"/>
    <w:rsid w:val="00057368"/>
    <w:rsid w:val="00057479"/>
    <w:rsid w:val="00060073"/>
    <w:rsid w:val="00061316"/>
    <w:rsid w:val="00064004"/>
    <w:rsid w:val="00065DD2"/>
    <w:rsid w:val="00067916"/>
    <w:rsid w:val="000704AD"/>
    <w:rsid w:val="000721AE"/>
    <w:rsid w:val="00080474"/>
    <w:rsid w:val="00085248"/>
    <w:rsid w:val="00092011"/>
    <w:rsid w:val="00093E8A"/>
    <w:rsid w:val="000972FD"/>
    <w:rsid w:val="000A677A"/>
    <w:rsid w:val="000A7FA1"/>
    <w:rsid w:val="000B1310"/>
    <w:rsid w:val="000B19DF"/>
    <w:rsid w:val="000B290F"/>
    <w:rsid w:val="000B3155"/>
    <w:rsid w:val="000B3169"/>
    <w:rsid w:val="000B321A"/>
    <w:rsid w:val="000B5035"/>
    <w:rsid w:val="000C3638"/>
    <w:rsid w:val="000C7F35"/>
    <w:rsid w:val="000D2133"/>
    <w:rsid w:val="000D53CF"/>
    <w:rsid w:val="000E64ED"/>
    <w:rsid w:val="000E79F6"/>
    <w:rsid w:val="000F12F0"/>
    <w:rsid w:val="000F1D3B"/>
    <w:rsid w:val="000F25A1"/>
    <w:rsid w:val="000F2A97"/>
    <w:rsid w:val="000F300E"/>
    <w:rsid w:val="000F3B40"/>
    <w:rsid w:val="000F4993"/>
    <w:rsid w:val="000F7C92"/>
    <w:rsid w:val="001007FB"/>
    <w:rsid w:val="00101A68"/>
    <w:rsid w:val="00103A08"/>
    <w:rsid w:val="00105094"/>
    <w:rsid w:val="001055F8"/>
    <w:rsid w:val="00111C42"/>
    <w:rsid w:val="00112198"/>
    <w:rsid w:val="0011276D"/>
    <w:rsid w:val="00114ED4"/>
    <w:rsid w:val="001250CF"/>
    <w:rsid w:val="00125E4E"/>
    <w:rsid w:val="00127677"/>
    <w:rsid w:val="0012783E"/>
    <w:rsid w:val="001327A7"/>
    <w:rsid w:val="0013615E"/>
    <w:rsid w:val="0013725F"/>
    <w:rsid w:val="0014077E"/>
    <w:rsid w:val="00141E3E"/>
    <w:rsid w:val="00145775"/>
    <w:rsid w:val="00146016"/>
    <w:rsid w:val="0015356B"/>
    <w:rsid w:val="0015397D"/>
    <w:rsid w:val="001541EA"/>
    <w:rsid w:val="00156A3D"/>
    <w:rsid w:val="00157C34"/>
    <w:rsid w:val="00157CF5"/>
    <w:rsid w:val="00161878"/>
    <w:rsid w:val="00162509"/>
    <w:rsid w:val="0016608C"/>
    <w:rsid w:val="00172FD8"/>
    <w:rsid w:val="00173200"/>
    <w:rsid w:val="00173D0B"/>
    <w:rsid w:val="001761C0"/>
    <w:rsid w:val="00176E78"/>
    <w:rsid w:val="00177828"/>
    <w:rsid w:val="00180071"/>
    <w:rsid w:val="001805D8"/>
    <w:rsid w:val="00180A0A"/>
    <w:rsid w:val="00183E93"/>
    <w:rsid w:val="00186466"/>
    <w:rsid w:val="00191AB4"/>
    <w:rsid w:val="00192EA7"/>
    <w:rsid w:val="00194790"/>
    <w:rsid w:val="00196380"/>
    <w:rsid w:val="00196DE3"/>
    <w:rsid w:val="001A0BDB"/>
    <w:rsid w:val="001A18DE"/>
    <w:rsid w:val="001A65B8"/>
    <w:rsid w:val="001A79DE"/>
    <w:rsid w:val="001A7D5B"/>
    <w:rsid w:val="001B0846"/>
    <w:rsid w:val="001B2351"/>
    <w:rsid w:val="001B4DDE"/>
    <w:rsid w:val="001C013B"/>
    <w:rsid w:val="001C2CE5"/>
    <w:rsid w:val="001C3D29"/>
    <w:rsid w:val="001C5C4C"/>
    <w:rsid w:val="001C7151"/>
    <w:rsid w:val="001C7935"/>
    <w:rsid w:val="001D36D7"/>
    <w:rsid w:val="001D43D8"/>
    <w:rsid w:val="001D4767"/>
    <w:rsid w:val="001D663E"/>
    <w:rsid w:val="001D6906"/>
    <w:rsid w:val="001D7186"/>
    <w:rsid w:val="001E02B3"/>
    <w:rsid w:val="001E0D37"/>
    <w:rsid w:val="001E1DC0"/>
    <w:rsid w:val="001E3411"/>
    <w:rsid w:val="001E52EB"/>
    <w:rsid w:val="001E7027"/>
    <w:rsid w:val="001E7261"/>
    <w:rsid w:val="001F20E5"/>
    <w:rsid w:val="001F3C41"/>
    <w:rsid w:val="0020010D"/>
    <w:rsid w:val="00203BF7"/>
    <w:rsid w:val="00207A2D"/>
    <w:rsid w:val="00212849"/>
    <w:rsid w:val="00220C1E"/>
    <w:rsid w:val="00221438"/>
    <w:rsid w:val="0022167B"/>
    <w:rsid w:val="0022186C"/>
    <w:rsid w:val="00225692"/>
    <w:rsid w:val="002308AD"/>
    <w:rsid w:val="0023220A"/>
    <w:rsid w:val="0023481D"/>
    <w:rsid w:val="00234A59"/>
    <w:rsid w:val="00235580"/>
    <w:rsid w:val="00240892"/>
    <w:rsid w:val="0024653B"/>
    <w:rsid w:val="00246761"/>
    <w:rsid w:val="0025301C"/>
    <w:rsid w:val="00253405"/>
    <w:rsid w:val="00256803"/>
    <w:rsid w:val="002573DB"/>
    <w:rsid w:val="00260099"/>
    <w:rsid w:val="002607B0"/>
    <w:rsid w:val="0026120F"/>
    <w:rsid w:val="002650EC"/>
    <w:rsid w:val="0026593B"/>
    <w:rsid w:val="00271503"/>
    <w:rsid w:val="00272143"/>
    <w:rsid w:val="00272B56"/>
    <w:rsid w:val="00276B76"/>
    <w:rsid w:val="00283EFE"/>
    <w:rsid w:val="0028602A"/>
    <w:rsid w:val="00286EDD"/>
    <w:rsid w:val="00287871"/>
    <w:rsid w:val="00287A19"/>
    <w:rsid w:val="002921CE"/>
    <w:rsid w:val="0029542A"/>
    <w:rsid w:val="002A17B5"/>
    <w:rsid w:val="002A240C"/>
    <w:rsid w:val="002A2AD5"/>
    <w:rsid w:val="002B1079"/>
    <w:rsid w:val="002B1213"/>
    <w:rsid w:val="002B1FC1"/>
    <w:rsid w:val="002B22C4"/>
    <w:rsid w:val="002C055E"/>
    <w:rsid w:val="002C096B"/>
    <w:rsid w:val="002C0C6F"/>
    <w:rsid w:val="002C1EB6"/>
    <w:rsid w:val="002C3505"/>
    <w:rsid w:val="002C5063"/>
    <w:rsid w:val="002C6FC5"/>
    <w:rsid w:val="002D0410"/>
    <w:rsid w:val="002D133E"/>
    <w:rsid w:val="002D21B5"/>
    <w:rsid w:val="002D2D31"/>
    <w:rsid w:val="002D43C3"/>
    <w:rsid w:val="002D484F"/>
    <w:rsid w:val="002D4D51"/>
    <w:rsid w:val="002D5825"/>
    <w:rsid w:val="002D5BA0"/>
    <w:rsid w:val="002E0CF2"/>
    <w:rsid w:val="002E2186"/>
    <w:rsid w:val="002E5397"/>
    <w:rsid w:val="002F1BDC"/>
    <w:rsid w:val="002F782D"/>
    <w:rsid w:val="003002C0"/>
    <w:rsid w:val="00301144"/>
    <w:rsid w:val="00302E4B"/>
    <w:rsid w:val="0030650D"/>
    <w:rsid w:val="0030736A"/>
    <w:rsid w:val="0031097F"/>
    <w:rsid w:val="0031432C"/>
    <w:rsid w:val="003148B7"/>
    <w:rsid w:val="003158C3"/>
    <w:rsid w:val="00317188"/>
    <w:rsid w:val="00320B4B"/>
    <w:rsid w:val="003274CD"/>
    <w:rsid w:val="003322FF"/>
    <w:rsid w:val="00332FA2"/>
    <w:rsid w:val="00333501"/>
    <w:rsid w:val="00337112"/>
    <w:rsid w:val="00337B31"/>
    <w:rsid w:val="00337CCF"/>
    <w:rsid w:val="00337D35"/>
    <w:rsid w:val="0034129C"/>
    <w:rsid w:val="00343E2A"/>
    <w:rsid w:val="00345004"/>
    <w:rsid w:val="003453D9"/>
    <w:rsid w:val="003457C4"/>
    <w:rsid w:val="00346E14"/>
    <w:rsid w:val="003508A8"/>
    <w:rsid w:val="00350DEE"/>
    <w:rsid w:val="00350E24"/>
    <w:rsid w:val="0035119D"/>
    <w:rsid w:val="00352206"/>
    <w:rsid w:val="00352A18"/>
    <w:rsid w:val="0035513B"/>
    <w:rsid w:val="00355610"/>
    <w:rsid w:val="00355FAC"/>
    <w:rsid w:val="003567C7"/>
    <w:rsid w:val="00360853"/>
    <w:rsid w:val="00362BCE"/>
    <w:rsid w:val="00363455"/>
    <w:rsid w:val="00363B3C"/>
    <w:rsid w:val="00364861"/>
    <w:rsid w:val="003653B1"/>
    <w:rsid w:val="00367856"/>
    <w:rsid w:val="00371C70"/>
    <w:rsid w:val="003723F2"/>
    <w:rsid w:val="00373E92"/>
    <w:rsid w:val="00376D59"/>
    <w:rsid w:val="003819D0"/>
    <w:rsid w:val="00381BAE"/>
    <w:rsid w:val="00383B26"/>
    <w:rsid w:val="00390584"/>
    <w:rsid w:val="003917DC"/>
    <w:rsid w:val="00392790"/>
    <w:rsid w:val="00392BFF"/>
    <w:rsid w:val="0039540F"/>
    <w:rsid w:val="0039572B"/>
    <w:rsid w:val="003957EF"/>
    <w:rsid w:val="00396038"/>
    <w:rsid w:val="00396AAC"/>
    <w:rsid w:val="00396EB1"/>
    <w:rsid w:val="003A188B"/>
    <w:rsid w:val="003A5358"/>
    <w:rsid w:val="003A5CD1"/>
    <w:rsid w:val="003A6AB0"/>
    <w:rsid w:val="003A7EF1"/>
    <w:rsid w:val="003A7F18"/>
    <w:rsid w:val="003B117B"/>
    <w:rsid w:val="003B4F12"/>
    <w:rsid w:val="003B6B23"/>
    <w:rsid w:val="003B7805"/>
    <w:rsid w:val="003C2969"/>
    <w:rsid w:val="003C4196"/>
    <w:rsid w:val="003D0DC7"/>
    <w:rsid w:val="003D3C6E"/>
    <w:rsid w:val="003D4F79"/>
    <w:rsid w:val="003D57E4"/>
    <w:rsid w:val="003D6F3F"/>
    <w:rsid w:val="003D7D08"/>
    <w:rsid w:val="003D7F56"/>
    <w:rsid w:val="003E038E"/>
    <w:rsid w:val="003E0442"/>
    <w:rsid w:val="003E32FA"/>
    <w:rsid w:val="003E6559"/>
    <w:rsid w:val="003F163B"/>
    <w:rsid w:val="003F2F48"/>
    <w:rsid w:val="003F3DE0"/>
    <w:rsid w:val="003F4443"/>
    <w:rsid w:val="003F47E6"/>
    <w:rsid w:val="003F525E"/>
    <w:rsid w:val="003F694A"/>
    <w:rsid w:val="0040592A"/>
    <w:rsid w:val="00406654"/>
    <w:rsid w:val="0041430C"/>
    <w:rsid w:val="004144E9"/>
    <w:rsid w:val="00414FA5"/>
    <w:rsid w:val="004203A3"/>
    <w:rsid w:val="0042098F"/>
    <w:rsid w:val="00420ABF"/>
    <w:rsid w:val="004215E7"/>
    <w:rsid w:val="00422FAC"/>
    <w:rsid w:val="004230ED"/>
    <w:rsid w:val="00423F31"/>
    <w:rsid w:val="0042455D"/>
    <w:rsid w:val="004253B1"/>
    <w:rsid w:val="00425CB9"/>
    <w:rsid w:val="00426C51"/>
    <w:rsid w:val="004270F9"/>
    <w:rsid w:val="00427B4D"/>
    <w:rsid w:val="00431899"/>
    <w:rsid w:val="00433974"/>
    <w:rsid w:val="00436291"/>
    <w:rsid w:val="00437A5A"/>
    <w:rsid w:val="00442702"/>
    <w:rsid w:val="00446EC7"/>
    <w:rsid w:val="00450B57"/>
    <w:rsid w:val="00453FCC"/>
    <w:rsid w:val="0045400C"/>
    <w:rsid w:val="00454643"/>
    <w:rsid w:val="004564E6"/>
    <w:rsid w:val="00460764"/>
    <w:rsid w:val="00460C7E"/>
    <w:rsid w:val="00462F30"/>
    <w:rsid w:val="004646F2"/>
    <w:rsid w:val="00465CCF"/>
    <w:rsid w:val="00467695"/>
    <w:rsid w:val="00471BC6"/>
    <w:rsid w:val="0047483B"/>
    <w:rsid w:val="0047491E"/>
    <w:rsid w:val="004778BE"/>
    <w:rsid w:val="00480316"/>
    <w:rsid w:val="0048174A"/>
    <w:rsid w:val="00481CA0"/>
    <w:rsid w:val="0048398D"/>
    <w:rsid w:val="00485254"/>
    <w:rsid w:val="00486529"/>
    <w:rsid w:val="00486804"/>
    <w:rsid w:val="00486BA0"/>
    <w:rsid w:val="00495F8E"/>
    <w:rsid w:val="004971E7"/>
    <w:rsid w:val="004A3947"/>
    <w:rsid w:val="004A5AEE"/>
    <w:rsid w:val="004A704E"/>
    <w:rsid w:val="004B3775"/>
    <w:rsid w:val="004B6FA5"/>
    <w:rsid w:val="004C052C"/>
    <w:rsid w:val="004C1ABD"/>
    <w:rsid w:val="004C32F5"/>
    <w:rsid w:val="004D0AEE"/>
    <w:rsid w:val="004D3208"/>
    <w:rsid w:val="004D336E"/>
    <w:rsid w:val="004D3BF8"/>
    <w:rsid w:val="004D40AD"/>
    <w:rsid w:val="004D633C"/>
    <w:rsid w:val="004D7A9F"/>
    <w:rsid w:val="004E058F"/>
    <w:rsid w:val="004E3B87"/>
    <w:rsid w:val="004E7E9F"/>
    <w:rsid w:val="004F07ED"/>
    <w:rsid w:val="004F0ABC"/>
    <w:rsid w:val="004F2CEC"/>
    <w:rsid w:val="004F70A1"/>
    <w:rsid w:val="004F7BF0"/>
    <w:rsid w:val="00501EA3"/>
    <w:rsid w:val="0050405D"/>
    <w:rsid w:val="005041C2"/>
    <w:rsid w:val="00506404"/>
    <w:rsid w:val="00510921"/>
    <w:rsid w:val="00510AD3"/>
    <w:rsid w:val="005120E2"/>
    <w:rsid w:val="00513348"/>
    <w:rsid w:val="005137F9"/>
    <w:rsid w:val="00513EC1"/>
    <w:rsid w:val="00521B2A"/>
    <w:rsid w:val="005255FA"/>
    <w:rsid w:val="0052713E"/>
    <w:rsid w:val="00530522"/>
    <w:rsid w:val="005336D4"/>
    <w:rsid w:val="00533B5D"/>
    <w:rsid w:val="00534683"/>
    <w:rsid w:val="00534BE6"/>
    <w:rsid w:val="00536F42"/>
    <w:rsid w:val="005412F1"/>
    <w:rsid w:val="00552BFE"/>
    <w:rsid w:val="005536C4"/>
    <w:rsid w:val="0056172E"/>
    <w:rsid w:val="00562806"/>
    <w:rsid w:val="0056485C"/>
    <w:rsid w:val="0057225D"/>
    <w:rsid w:val="0057674D"/>
    <w:rsid w:val="0057688C"/>
    <w:rsid w:val="00580BDB"/>
    <w:rsid w:val="00582118"/>
    <w:rsid w:val="0058458D"/>
    <w:rsid w:val="0058530D"/>
    <w:rsid w:val="00586071"/>
    <w:rsid w:val="0059100C"/>
    <w:rsid w:val="0059111D"/>
    <w:rsid w:val="00593623"/>
    <w:rsid w:val="00596DED"/>
    <w:rsid w:val="005A0ACB"/>
    <w:rsid w:val="005A1B74"/>
    <w:rsid w:val="005A32F4"/>
    <w:rsid w:val="005A3526"/>
    <w:rsid w:val="005A55EA"/>
    <w:rsid w:val="005B16F8"/>
    <w:rsid w:val="005B583F"/>
    <w:rsid w:val="005B6FAB"/>
    <w:rsid w:val="005C18AC"/>
    <w:rsid w:val="005C4B23"/>
    <w:rsid w:val="005C70FA"/>
    <w:rsid w:val="005D0990"/>
    <w:rsid w:val="005D09AD"/>
    <w:rsid w:val="005D1E4D"/>
    <w:rsid w:val="005D6697"/>
    <w:rsid w:val="005D76CA"/>
    <w:rsid w:val="005E295B"/>
    <w:rsid w:val="005E435C"/>
    <w:rsid w:val="005F0701"/>
    <w:rsid w:val="005F1D57"/>
    <w:rsid w:val="005F358C"/>
    <w:rsid w:val="005F47EF"/>
    <w:rsid w:val="006017AC"/>
    <w:rsid w:val="0060665E"/>
    <w:rsid w:val="006079F8"/>
    <w:rsid w:val="00610F29"/>
    <w:rsid w:val="00617122"/>
    <w:rsid w:val="00617926"/>
    <w:rsid w:val="0062071E"/>
    <w:rsid w:val="00620899"/>
    <w:rsid w:val="006222A8"/>
    <w:rsid w:val="00623BA1"/>
    <w:rsid w:val="00627558"/>
    <w:rsid w:val="00627CF7"/>
    <w:rsid w:val="0063448A"/>
    <w:rsid w:val="006346BC"/>
    <w:rsid w:val="006416AB"/>
    <w:rsid w:val="006544BD"/>
    <w:rsid w:val="00655169"/>
    <w:rsid w:val="0065749D"/>
    <w:rsid w:val="00660AF5"/>
    <w:rsid w:val="00661748"/>
    <w:rsid w:val="00662EA9"/>
    <w:rsid w:val="00663BB9"/>
    <w:rsid w:val="0066652A"/>
    <w:rsid w:val="0067164D"/>
    <w:rsid w:val="006741DF"/>
    <w:rsid w:val="00677240"/>
    <w:rsid w:val="00682167"/>
    <w:rsid w:val="00683B10"/>
    <w:rsid w:val="00684AC7"/>
    <w:rsid w:val="00686E76"/>
    <w:rsid w:val="00686EFB"/>
    <w:rsid w:val="00687B3B"/>
    <w:rsid w:val="0069036C"/>
    <w:rsid w:val="006922D7"/>
    <w:rsid w:val="00692552"/>
    <w:rsid w:val="006955FB"/>
    <w:rsid w:val="006A3024"/>
    <w:rsid w:val="006A4A42"/>
    <w:rsid w:val="006B0E2A"/>
    <w:rsid w:val="006B0E5F"/>
    <w:rsid w:val="006B1E50"/>
    <w:rsid w:val="006B31CE"/>
    <w:rsid w:val="006B537C"/>
    <w:rsid w:val="006B7BE7"/>
    <w:rsid w:val="006C3042"/>
    <w:rsid w:val="006C42AF"/>
    <w:rsid w:val="006C440B"/>
    <w:rsid w:val="006C483E"/>
    <w:rsid w:val="006C6B30"/>
    <w:rsid w:val="006C71F5"/>
    <w:rsid w:val="006D358D"/>
    <w:rsid w:val="006D3831"/>
    <w:rsid w:val="006E1010"/>
    <w:rsid w:val="006E2A12"/>
    <w:rsid w:val="006F0606"/>
    <w:rsid w:val="006F13CB"/>
    <w:rsid w:val="006F25AC"/>
    <w:rsid w:val="006F3B43"/>
    <w:rsid w:val="006F4C39"/>
    <w:rsid w:val="006F682D"/>
    <w:rsid w:val="006F7D84"/>
    <w:rsid w:val="00700B3A"/>
    <w:rsid w:val="00706FDE"/>
    <w:rsid w:val="007071DB"/>
    <w:rsid w:val="0071086E"/>
    <w:rsid w:val="00710AC4"/>
    <w:rsid w:val="00711D8E"/>
    <w:rsid w:val="00712672"/>
    <w:rsid w:val="007149DD"/>
    <w:rsid w:val="00716711"/>
    <w:rsid w:val="00716E3E"/>
    <w:rsid w:val="007217E9"/>
    <w:rsid w:val="007217FC"/>
    <w:rsid w:val="00722BDF"/>
    <w:rsid w:val="00731A39"/>
    <w:rsid w:val="00732CA1"/>
    <w:rsid w:val="00732E21"/>
    <w:rsid w:val="00733A30"/>
    <w:rsid w:val="00734E3F"/>
    <w:rsid w:val="00736985"/>
    <w:rsid w:val="00737F34"/>
    <w:rsid w:val="007406CD"/>
    <w:rsid w:val="007451B9"/>
    <w:rsid w:val="00745DF5"/>
    <w:rsid w:val="00750DBA"/>
    <w:rsid w:val="0075129E"/>
    <w:rsid w:val="007538A5"/>
    <w:rsid w:val="0075513C"/>
    <w:rsid w:val="00756044"/>
    <w:rsid w:val="0075794C"/>
    <w:rsid w:val="00761FBB"/>
    <w:rsid w:val="00772CB9"/>
    <w:rsid w:val="00774489"/>
    <w:rsid w:val="007806BC"/>
    <w:rsid w:val="00781218"/>
    <w:rsid w:val="00785854"/>
    <w:rsid w:val="00786CF1"/>
    <w:rsid w:val="00787BD2"/>
    <w:rsid w:val="007903D7"/>
    <w:rsid w:val="0079127D"/>
    <w:rsid w:val="00791326"/>
    <w:rsid w:val="00791AD8"/>
    <w:rsid w:val="007923A2"/>
    <w:rsid w:val="00794046"/>
    <w:rsid w:val="00794DDF"/>
    <w:rsid w:val="00794E78"/>
    <w:rsid w:val="0079738A"/>
    <w:rsid w:val="007A011C"/>
    <w:rsid w:val="007A34B5"/>
    <w:rsid w:val="007A553D"/>
    <w:rsid w:val="007A7373"/>
    <w:rsid w:val="007B03BD"/>
    <w:rsid w:val="007B42BF"/>
    <w:rsid w:val="007B6200"/>
    <w:rsid w:val="007B634D"/>
    <w:rsid w:val="007B756C"/>
    <w:rsid w:val="007C0812"/>
    <w:rsid w:val="007C3AF0"/>
    <w:rsid w:val="007C42D8"/>
    <w:rsid w:val="007C5973"/>
    <w:rsid w:val="007C7079"/>
    <w:rsid w:val="007D25A6"/>
    <w:rsid w:val="007D3399"/>
    <w:rsid w:val="007D37F6"/>
    <w:rsid w:val="007D40C5"/>
    <w:rsid w:val="007D5DCF"/>
    <w:rsid w:val="007D60CC"/>
    <w:rsid w:val="007E2357"/>
    <w:rsid w:val="007E2535"/>
    <w:rsid w:val="007E3380"/>
    <w:rsid w:val="007E5701"/>
    <w:rsid w:val="007E7882"/>
    <w:rsid w:val="007F3395"/>
    <w:rsid w:val="007F3779"/>
    <w:rsid w:val="007F39E2"/>
    <w:rsid w:val="00801B9F"/>
    <w:rsid w:val="0080449D"/>
    <w:rsid w:val="00805ECA"/>
    <w:rsid w:val="00806503"/>
    <w:rsid w:val="00806757"/>
    <w:rsid w:val="0081002F"/>
    <w:rsid w:val="00811F79"/>
    <w:rsid w:val="00816630"/>
    <w:rsid w:val="008209AF"/>
    <w:rsid w:val="00822EB9"/>
    <w:rsid w:val="00823FC8"/>
    <w:rsid w:val="0082741E"/>
    <w:rsid w:val="00834336"/>
    <w:rsid w:val="00840942"/>
    <w:rsid w:val="00841E4A"/>
    <w:rsid w:val="0085011E"/>
    <w:rsid w:val="00850804"/>
    <w:rsid w:val="008524EB"/>
    <w:rsid w:val="00857464"/>
    <w:rsid w:val="00857833"/>
    <w:rsid w:val="00860CB4"/>
    <w:rsid w:val="00861459"/>
    <w:rsid w:val="00861A5D"/>
    <w:rsid w:val="00863389"/>
    <w:rsid w:val="00863EA2"/>
    <w:rsid w:val="00864672"/>
    <w:rsid w:val="00866F73"/>
    <w:rsid w:val="00870108"/>
    <w:rsid w:val="00871006"/>
    <w:rsid w:val="00875F79"/>
    <w:rsid w:val="008767B2"/>
    <w:rsid w:val="00881C80"/>
    <w:rsid w:val="008825CD"/>
    <w:rsid w:val="008830D2"/>
    <w:rsid w:val="00884404"/>
    <w:rsid w:val="008847DD"/>
    <w:rsid w:val="00886785"/>
    <w:rsid w:val="00892441"/>
    <w:rsid w:val="00897EDE"/>
    <w:rsid w:val="008A0512"/>
    <w:rsid w:val="008A217A"/>
    <w:rsid w:val="008A2D70"/>
    <w:rsid w:val="008A324D"/>
    <w:rsid w:val="008B24F6"/>
    <w:rsid w:val="008B28AE"/>
    <w:rsid w:val="008B30D5"/>
    <w:rsid w:val="008B3A67"/>
    <w:rsid w:val="008B415A"/>
    <w:rsid w:val="008C0E6B"/>
    <w:rsid w:val="008C2ADB"/>
    <w:rsid w:val="008C455D"/>
    <w:rsid w:val="008C5A0E"/>
    <w:rsid w:val="008D21F0"/>
    <w:rsid w:val="008D29BA"/>
    <w:rsid w:val="008D7E34"/>
    <w:rsid w:val="008E032F"/>
    <w:rsid w:val="008E175F"/>
    <w:rsid w:val="008E198A"/>
    <w:rsid w:val="008E6446"/>
    <w:rsid w:val="008F26C2"/>
    <w:rsid w:val="008F39BE"/>
    <w:rsid w:val="008F4066"/>
    <w:rsid w:val="008F4A4D"/>
    <w:rsid w:val="008F516A"/>
    <w:rsid w:val="00901AF4"/>
    <w:rsid w:val="009057EA"/>
    <w:rsid w:val="0090621B"/>
    <w:rsid w:val="009102D2"/>
    <w:rsid w:val="00910B98"/>
    <w:rsid w:val="00914311"/>
    <w:rsid w:val="0091468E"/>
    <w:rsid w:val="00924EB1"/>
    <w:rsid w:val="00934230"/>
    <w:rsid w:val="009342F4"/>
    <w:rsid w:val="009440C1"/>
    <w:rsid w:val="00944CD4"/>
    <w:rsid w:val="009457A1"/>
    <w:rsid w:val="00946984"/>
    <w:rsid w:val="009509CB"/>
    <w:rsid w:val="00952E37"/>
    <w:rsid w:val="009548FC"/>
    <w:rsid w:val="00961895"/>
    <w:rsid w:val="00967F7E"/>
    <w:rsid w:val="00970352"/>
    <w:rsid w:val="009703FF"/>
    <w:rsid w:val="00971905"/>
    <w:rsid w:val="00973346"/>
    <w:rsid w:val="00975A69"/>
    <w:rsid w:val="009767DC"/>
    <w:rsid w:val="00976F47"/>
    <w:rsid w:val="009771AA"/>
    <w:rsid w:val="00982A5F"/>
    <w:rsid w:val="0098447F"/>
    <w:rsid w:val="00987092"/>
    <w:rsid w:val="00990776"/>
    <w:rsid w:val="009946C6"/>
    <w:rsid w:val="0099481F"/>
    <w:rsid w:val="009A1EE6"/>
    <w:rsid w:val="009A42A6"/>
    <w:rsid w:val="009A4CDE"/>
    <w:rsid w:val="009A60A0"/>
    <w:rsid w:val="009B0649"/>
    <w:rsid w:val="009B12CA"/>
    <w:rsid w:val="009B3986"/>
    <w:rsid w:val="009B4D3B"/>
    <w:rsid w:val="009C0532"/>
    <w:rsid w:val="009C0928"/>
    <w:rsid w:val="009C0C53"/>
    <w:rsid w:val="009C2794"/>
    <w:rsid w:val="009C6BCD"/>
    <w:rsid w:val="009C6D70"/>
    <w:rsid w:val="009D05C7"/>
    <w:rsid w:val="009D0606"/>
    <w:rsid w:val="009D3402"/>
    <w:rsid w:val="009D3AB1"/>
    <w:rsid w:val="009D571B"/>
    <w:rsid w:val="009D7407"/>
    <w:rsid w:val="009E0866"/>
    <w:rsid w:val="009E14D6"/>
    <w:rsid w:val="009E25BF"/>
    <w:rsid w:val="009E33CA"/>
    <w:rsid w:val="009E478E"/>
    <w:rsid w:val="009E516D"/>
    <w:rsid w:val="009E67DD"/>
    <w:rsid w:val="009F024A"/>
    <w:rsid w:val="009F15ED"/>
    <w:rsid w:val="009F19CB"/>
    <w:rsid w:val="009F4320"/>
    <w:rsid w:val="009F6423"/>
    <w:rsid w:val="009F6C84"/>
    <w:rsid w:val="00A007BB"/>
    <w:rsid w:val="00A02111"/>
    <w:rsid w:val="00A03031"/>
    <w:rsid w:val="00A04166"/>
    <w:rsid w:val="00A06BE8"/>
    <w:rsid w:val="00A06FE7"/>
    <w:rsid w:val="00A1277E"/>
    <w:rsid w:val="00A13E4D"/>
    <w:rsid w:val="00A14AD7"/>
    <w:rsid w:val="00A1561E"/>
    <w:rsid w:val="00A161CD"/>
    <w:rsid w:val="00A20315"/>
    <w:rsid w:val="00A21239"/>
    <w:rsid w:val="00A234BF"/>
    <w:rsid w:val="00A24100"/>
    <w:rsid w:val="00A2486C"/>
    <w:rsid w:val="00A24A62"/>
    <w:rsid w:val="00A27B0C"/>
    <w:rsid w:val="00A3022D"/>
    <w:rsid w:val="00A3043C"/>
    <w:rsid w:val="00A31C9F"/>
    <w:rsid w:val="00A33827"/>
    <w:rsid w:val="00A33A5B"/>
    <w:rsid w:val="00A33A72"/>
    <w:rsid w:val="00A35351"/>
    <w:rsid w:val="00A3732B"/>
    <w:rsid w:val="00A376D2"/>
    <w:rsid w:val="00A37BD9"/>
    <w:rsid w:val="00A40B22"/>
    <w:rsid w:val="00A40DD0"/>
    <w:rsid w:val="00A4144F"/>
    <w:rsid w:val="00A44AC6"/>
    <w:rsid w:val="00A516AF"/>
    <w:rsid w:val="00A51B45"/>
    <w:rsid w:val="00A5587F"/>
    <w:rsid w:val="00A5609A"/>
    <w:rsid w:val="00A567F1"/>
    <w:rsid w:val="00A568B1"/>
    <w:rsid w:val="00A61D28"/>
    <w:rsid w:val="00A6241D"/>
    <w:rsid w:val="00A62CC4"/>
    <w:rsid w:val="00A63B76"/>
    <w:rsid w:val="00A65F96"/>
    <w:rsid w:val="00A661E7"/>
    <w:rsid w:val="00A67968"/>
    <w:rsid w:val="00A72C41"/>
    <w:rsid w:val="00A745FC"/>
    <w:rsid w:val="00A75A27"/>
    <w:rsid w:val="00A90510"/>
    <w:rsid w:val="00A92408"/>
    <w:rsid w:val="00A93C92"/>
    <w:rsid w:val="00A940AA"/>
    <w:rsid w:val="00A944A0"/>
    <w:rsid w:val="00A96928"/>
    <w:rsid w:val="00AA1359"/>
    <w:rsid w:val="00AA6EDD"/>
    <w:rsid w:val="00AB388E"/>
    <w:rsid w:val="00AB50EC"/>
    <w:rsid w:val="00AB6B62"/>
    <w:rsid w:val="00AC164A"/>
    <w:rsid w:val="00AC1C1F"/>
    <w:rsid w:val="00AC21DA"/>
    <w:rsid w:val="00AC2CDC"/>
    <w:rsid w:val="00AC4620"/>
    <w:rsid w:val="00AC5C34"/>
    <w:rsid w:val="00AC5DC8"/>
    <w:rsid w:val="00AD3B18"/>
    <w:rsid w:val="00AD75D5"/>
    <w:rsid w:val="00AE256D"/>
    <w:rsid w:val="00AE3E05"/>
    <w:rsid w:val="00AE4B62"/>
    <w:rsid w:val="00AF2050"/>
    <w:rsid w:val="00AF4CED"/>
    <w:rsid w:val="00AF5A66"/>
    <w:rsid w:val="00AF66C5"/>
    <w:rsid w:val="00AF6D5E"/>
    <w:rsid w:val="00B03361"/>
    <w:rsid w:val="00B03CA8"/>
    <w:rsid w:val="00B05098"/>
    <w:rsid w:val="00B05DD7"/>
    <w:rsid w:val="00B10950"/>
    <w:rsid w:val="00B12844"/>
    <w:rsid w:val="00B13B4F"/>
    <w:rsid w:val="00B13C94"/>
    <w:rsid w:val="00B15FC6"/>
    <w:rsid w:val="00B20E80"/>
    <w:rsid w:val="00B21783"/>
    <w:rsid w:val="00B25585"/>
    <w:rsid w:val="00B31B0E"/>
    <w:rsid w:val="00B32690"/>
    <w:rsid w:val="00B33CE2"/>
    <w:rsid w:val="00B34059"/>
    <w:rsid w:val="00B35911"/>
    <w:rsid w:val="00B36ABC"/>
    <w:rsid w:val="00B43D03"/>
    <w:rsid w:val="00B45AB3"/>
    <w:rsid w:val="00B461AB"/>
    <w:rsid w:val="00B50F8E"/>
    <w:rsid w:val="00B52945"/>
    <w:rsid w:val="00B55E19"/>
    <w:rsid w:val="00B56E30"/>
    <w:rsid w:val="00B6075D"/>
    <w:rsid w:val="00B61C08"/>
    <w:rsid w:val="00B62AC8"/>
    <w:rsid w:val="00B62DEB"/>
    <w:rsid w:val="00B64C1D"/>
    <w:rsid w:val="00B65944"/>
    <w:rsid w:val="00B66A5A"/>
    <w:rsid w:val="00B66BDC"/>
    <w:rsid w:val="00B6782A"/>
    <w:rsid w:val="00B71158"/>
    <w:rsid w:val="00B720E9"/>
    <w:rsid w:val="00B7263E"/>
    <w:rsid w:val="00B73B36"/>
    <w:rsid w:val="00B76749"/>
    <w:rsid w:val="00B76C71"/>
    <w:rsid w:val="00B8110A"/>
    <w:rsid w:val="00B8384A"/>
    <w:rsid w:val="00B842E8"/>
    <w:rsid w:val="00B851FD"/>
    <w:rsid w:val="00B85247"/>
    <w:rsid w:val="00B86360"/>
    <w:rsid w:val="00B9184B"/>
    <w:rsid w:val="00B92E1E"/>
    <w:rsid w:val="00B93C84"/>
    <w:rsid w:val="00B93D68"/>
    <w:rsid w:val="00BA31A7"/>
    <w:rsid w:val="00BA3B27"/>
    <w:rsid w:val="00BA4B6D"/>
    <w:rsid w:val="00BA59F8"/>
    <w:rsid w:val="00BA5D1A"/>
    <w:rsid w:val="00BB1230"/>
    <w:rsid w:val="00BB19CD"/>
    <w:rsid w:val="00BB26C5"/>
    <w:rsid w:val="00BB33A8"/>
    <w:rsid w:val="00BB49C3"/>
    <w:rsid w:val="00BB567A"/>
    <w:rsid w:val="00BC25E7"/>
    <w:rsid w:val="00BC7B06"/>
    <w:rsid w:val="00BD0B99"/>
    <w:rsid w:val="00BD2DE2"/>
    <w:rsid w:val="00BD4402"/>
    <w:rsid w:val="00BD7603"/>
    <w:rsid w:val="00BE0891"/>
    <w:rsid w:val="00BE120B"/>
    <w:rsid w:val="00BE1FFF"/>
    <w:rsid w:val="00BE2805"/>
    <w:rsid w:val="00BE4EE1"/>
    <w:rsid w:val="00BE7F3C"/>
    <w:rsid w:val="00BF14D0"/>
    <w:rsid w:val="00BF27EF"/>
    <w:rsid w:val="00BF29D2"/>
    <w:rsid w:val="00BF3A17"/>
    <w:rsid w:val="00BF4DE6"/>
    <w:rsid w:val="00BF4F60"/>
    <w:rsid w:val="00BF57D1"/>
    <w:rsid w:val="00BF68AF"/>
    <w:rsid w:val="00BF786B"/>
    <w:rsid w:val="00C00C98"/>
    <w:rsid w:val="00C04CAA"/>
    <w:rsid w:val="00C05176"/>
    <w:rsid w:val="00C0613F"/>
    <w:rsid w:val="00C06BE1"/>
    <w:rsid w:val="00C07738"/>
    <w:rsid w:val="00C10259"/>
    <w:rsid w:val="00C10415"/>
    <w:rsid w:val="00C16478"/>
    <w:rsid w:val="00C174D3"/>
    <w:rsid w:val="00C33A9C"/>
    <w:rsid w:val="00C361A1"/>
    <w:rsid w:val="00C3731C"/>
    <w:rsid w:val="00C40091"/>
    <w:rsid w:val="00C42B8B"/>
    <w:rsid w:val="00C42CDE"/>
    <w:rsid w:val="00C43BB1"/>
    <w:rsid w:val="00C47072"/>
    <w:rsid w:val="00C5204E"/>
    <w:rsid w:val="00C63EE9"/>
    <w:rsid w:val="00C643E0"/>
    <w:rsid w:val="00C65C11"/>
    <w:rsid w:val="00C66B97"/>
    <w:rsid w:val="00C70369"/>
    <w:rsid w:val="00C721D7"/>
    <w:rsid w:val="00C772F4"/>
    <w:rsid w:val="00C85E0F"/>
    <w:rsid w:val="00C85F7D"/>
    <w:rsid w:val="00C86007"/>
    <w:rsid w:val="00C90EA4"/>
    <w:rsid w:val="00C92999"/>
    <w:rsid w:val="00C93636"/>
    <w:rsid w:val="00C96797"/>
    <w:rsid w:val="00C97C39"/>
    <w:rsid w:val="00CA0ED3"/>
    <w:rsid w:val="00CA18B1"/>
    <w:rsid w:val="00CA37B1"/>
    <w:rsid w:val="00CA6EC9"/>
    <w:rsid w:val="00CA7217"/>
    <w:rsid w:val="00CB1959"/>
    <w:rsid w:val="00CB62D5"/>
    <w:rsid w:val="00CB63E6"/>
    <w:rsid w:val="00CC18E5"/>
    <w:rsid w:val="00CC2459"/>
    <w:rsid w:val="00CC431B"/>
    <w:rsid w:val="00CC4B3C"/>
    <w:rsid w:val="00CC531A"/>
    <w:rsid w:val="00CC7D0A"/>
    <w:rsid w:val="00CD2F34"/>
    <w:rsid w:val="00CD60B1"/>
    <w:rsid w:val="00CE2F1B"/>
    <w:rsid w:val="00CE321B"/>
    <w:rsid w:val="00CE5E62"/>
    <w:rsid w:val="00CE7E2E"/>
    <w:rsid w:val="00CF280B"/>
    <w:rsid w:val="00CF3A3D"/>
    <w:rsid w:val="00CF409B"/>
    <w:rsid w:val="00CF68DB"/>
    <w:rsid w:val="00D006A7"/>
    <w:rsid w:val="00D01107"/>
    <w:rsid w:val="00D018D0"/>
    <w:rsid w:val="00D01B49"/>
    <w:rsid w:val="00D0296C"/>
    <w:rsid w:val="00D03FA1"/>
    <w:rsid w:val="00D042D3"/>
    <w:rsid w:val="00D04A61"/>
    <w:rsid w:val="00D06F13"/>
    <w:rsid w:val="00D07E78"/>
    <w:rsid w:val="00D104F9"/>
    <w:rsid w:val="00D12225"/>
    <w:rsid w:val="00D12D89"/>
    <w:rsid w:val="00D13F00"/>
    <w:rsid w:val="00D17E7D"/>
    <w:rsid w:val="00D20251"/>
    <w:rsid w:val="00D203EB"/>
    <w:rsid w:val="00D219B5"/>
    <w:rsid w:val="00D2248F"/>
    <w:rsid w:val="00D22A81"/>
    <w:rsid w:val="00D242A5"/>
    <w:rsid w:val="00D256D3"/>
    <w:rsid w:val="00D26B1D"/>
    <w:rsid w:val="00D316A8"/>
    <w:rsid w:val="00D31A9F"/>
    <w:rsid w:val="00D357BE"/>
    <w:rsid w:val="00D35D70"/>
    <w:rsid w:val="00D36159"/>
    <w:rsid w:val="00D379DF"/>
    <w:rsid w:val="00D404C1"/>
    <w:rsid w:val="00D40C15"/>
    <w:rsid w:val="00D41E2A"/>
    <w:rsid w:val="00D44758"/>
    <w:rsid w:val="00D44F25"/>
    <w:rsid w:val="00D461F4"/>
    <w:rsid w:val="00D47CF6"/>
    <w:rsid w:val="00D500E9"/>
    <w:rsid w:val="00D509F3"/>
    <w:rsid w:val="00D54624"/>
    <w:rsid w:val="00D5556A"/>
    <w:rsid w:val="00D57616"/>
    <w:rsid w:val="00D61576"/>
    <w:rsid w:val="00D61D98"/>
    <w:rsid w:val="00D65170"/>
    <w:rsid w:val="00D6559E"/>
    <w:rsid w:val="00D66020"/>
    <w:rsid w:val="00D66193"/>
    <w:rsid w:val="00D710EE"/>
    <w:rsid w:val="00D73A6D"/>
    <w:rsid w:val="00D76A65"/>
    <w:rsid w:val="00D82FD1"/>
    <w:rsid w:val="00D85A66"/>
    <w:rsid w:val="00D9353F"/>
    <w:rsid w:val="00DA024F"/>
    <w:rsid w:val="00DB0239"/>
    <w:rsid w:val="00DB5537"/>
    <w:rsid w:val="00DB5601"/>
    <w:rsid w:val="00DB6402"/>
    <w:rsid w:val="00DB7305"/>
    <w:rsid w:val="00DB792F"/>
    <w:rsid w:val="00DC06DF"/>
    <w:rsid w:val="00DC0C65"/>
    <w:rsid w:val="00DC132B"/>
    <w:rsid w:val="00DC366B"/>
    <w:rsid w:val="00DC5265"/>
    <w:rsid w:val="00DC5578"/>
    <w:rsid w:val="00DC5EF8"/>
    <w:rsid w:val="00DD0B1D"/>
    <w:rsid w:val="00DD140A"/>
    <w:rsid w:val="00DD1F84"/>
    <w:rsid w:val="00DD3B42"/>
    <w:rsid w:val="00DD420C"/>
    <w:rsid w:val="00DD44EA"/>
    <w:rsid w:val="00DD491E"/>
    <w:rsid w:val="00DD4ACF"/>
    <w:rsid w:val="00DD795F"/>
    <w:rsid w:val="00DE5B53"/>
    <w:rsid w:val="00DE6375"/>
    <w:rsid w:val="00DE66EA"/>
    <w:rsid w:val="00E03461"/>
    <w:rsid w:val="00E03E92"/>
    <w:rsid w:val="00E04AC1"/>
    <w:rsid w:val="00E07762"/>
    <w:rsid w:val="00E10987"/>
    <w:rsid w:val="00E11703"/>
    <w:rsid w:val="00E14BE6"/>
    <w:rsid w:val="00E1612F"/>
    <w:rsid w:val="00E16D17"/>
    <w:rsid w:val="00E20CC7"/>
    <w:rsid w:val="00E250D2"/>
    <w:rsid w:val="00E259AB"/>
    <w:rsid w:val="00E26E94"/>
    <w:rsid w:val="00E3368B"/>
    <w:rsid w:val="00E33DE3"/>
    <w:rsid w:val="00E357B7"/>
    <w:rsid w:val="00E36360"/>
    <w:rsid w:val="00E377D5"/>
    <w:rsid w:val="00E37B70"/>
    <w:rsid w:val="00E411F5"/>
    <w:rsid w:val="00E4144E"/>
    <w:rsid w:val="00E41B0A"/>
    <w:rsid w:val="00E4629C"/>
    <w:rsid w:val="00E46ADE"/>
    <w:rsid w:val="00E513C3"/>
    <w:rsid w:val="00E53800"/>
    <w:rsid w:val="00E55AF3"/>
    <w:rsid w:val="00E55DA8"/>
    <w:rsid w:val="00E60251"/>
    <w:rsid w:val="00E6081F"/>
    <w:rsid w:val="00E62377"/>
    <w:rsid w:val="00E62925"/>
    <w:rsid w:val="00E6753E"/>
    <w:rsid w:val="00E71EA7"/>
    <w:rsid w:val="00E72B60"/>
    <w:rsid w:val="00E734D4"/>
    <w:rsid w:val="00E749DD"/>
    <w:rsid w:val="00E8026F"/>
    <w:rsid w:val="00E81D62"/>
    <w:rsid w:val="00E82491"/>
    <w:rsid w:val="00E82F47"/>
    <w:rsid w:val="00E839A4"/>
    <w:rsid w:val="00E84B15"/>
    <w:rsid w:val="00E86C52"/>
    <w:rsid w:val="00E86EFA"/>
    <w:rsid w:val="00E91D1D"/>
    <w:rsid w:val="00E928D7"/>
    <w:rsid w:val="00E9392A"/>
    <w:rsid w:val="00EA04B2"/>
    <w:rsid w:val="00EA0BCE"/>
    <w:rsid w:val="00EA20F3"/>
    <w:rsid w:val="00EA2F0D"/>
    <w:rsid w:val="00EA3906"/>
    <w:rsid w:val="00EA3CFE"/>
    <w:rsid w:val="00EA5EDD"/>
    <w:rsid w:val="00EA7640"/>
    <w:rsid w:val="00EB6875"/>
    <w:rsid w:val="00EC2CCF"/>
    <w:rsid w:val="00EC6395"/>
    <w:rsid w:val="00ED3161"/>
    <w:rsid w:val="00ED3CF5"/>
    <w:rsid w:val="00ED43D1"/>
    <w:rsid w:val="00ED5255"/>
    <w:rsid w:val="00ED75E2"/>
    <w:rsid w:val="00EE0C41"/>
    <w:rsid w:val="00EE0D33"/>
    <w:rsid w:val="00EE39EA"/>
    <w:rsid w:val="00EE4906"/>
    <w:rsid w:val="00EE4EE1"/>
    <w:rsid w:val="00EF23EA"/>
    <w:rsid w:val="00EF4574"/>
    <w:rsid w:val="00EF6621"/>
    <w:rsid w:val="00EF75BF"/>
    <w:rsid w:val="00EF766D"/>
    <w:rsid w:val="00F001F8"/>
    <w:rsid w:val="00F10AA9"/>
    <w:rsid w:val="00F14C4A"/>
    <w:rsid w:val="00F1611E"/>
    <w:rsid w:val="00F20E5E"/>
    <w:rsid w:val="00F2346E"/>
    <w:rsid w:val="00F25387"/>
    <w:rsid w:val="00F2684E"/>
    <w:rsid w:val="00F37297"/>
    <w:rsid w:val="00F37F1A"/>
    <w:rsid w:val="00F40E06"/>
    <w:rsid w:val="00F43947"/>
    <w:rsid w:val="00F45677"/>
    <w:rsid w:val="00F4730B"/>
    <w:rsid w:val="00F4791C"/>
    <w:rsid w:val="00F50744"/>
    <w:rsid w:val="00F5404C"/>
    <w:rsid w:val="00F54263"/>
    <w:rsid w:val="00F6098C"/>
    <w:rsid w:val="00F61E08"/>
    <w:rsid w:val="00F62971"/>
    <w:rsid w:val="00F62ED4"/>
    <w:rsid w:val="00F63911"/>
    <w:rsid w:val="00F66D0E"/>
    <w:rsid w:val="00F729EF"/>
    <w:rsid w:val="00F776C1"/>
    <w:rsid w:val="00F77CAE"/>
    <w:rsid w:val="00F81323"/>
    <w:rsid w:val="00F8555B"/>
    <w:rsid w:val="00F87CF4"/>
    <w:rsid w:val="00F87DB2"/>
    <w:rsid w:val="00F958AE"/>
    <w:rsid w:val="00F96BB9"/>
    <w:rsid w:val="00F96CC9"/>
    <w:rsid w:val="00FA4178"/>
    <w:rsid w:val="00FA6261"/>
    <w:rsid w:val="00FB0306"/>
    <w:rsid w:val="00FB0F41"/>
    <w:rsid w:val="00FB19CB"/>
    <w:rsid w:val="00FB470F"/>
    <w:rsid w:val="00FB5ADF"/>
    <w:rsid w:val="00FB5EFC"/>
    <w:rsid w:val="00FB616D"/>
    <w:rsid w:val="00FB7242"/>
    <w:rsid w:val="00FC129A"/>
    <w:rsid w:val="00FC1DEF"/>
    <w:rsid w:val="00FC695D"/>
    <w:rsid w:val="00FC750D"/>
    <w:rsid w:val="00FD1DF4"/>
    <w:rsid w:val="00FD22B7"/>
    <w:rsid w:val="00FD3976"/>
    <w:rsid w:val="00FD4C8E"/>
    <w:rsid w:val="00FD7EA3"/>
    <w:rsid w:val="00FE14E0"/>
    <w:rsid w:val="00FE5E37"/>
    <w:rsid w:val="00FE6914"/>
    <w:rsid w:val="00FE6D51"/>
    <w:rsid w:val="00FE7052"/>
    <w:rsid w:val="00FF1589"/>
    <w:rsid w:val="00FF20A4"/>
    <w:rsid w:val="00FF2A9F"/>
    <w:rsid w:val="00FF2EE8"/>
    <w:rsid w:val="00FF4BB2"/>
    <w:rsid w:val="00FF63CB"/>
    <w:rsid w:val="024FDA34"/>
    <w:rsid w:val="03272306"/>
    <w:rsid w:val="041D6914"/>
    <w:rsid w:val="04E2A8DC"/>
    <w:rsid w:val="05927881"/>
    <w:rsid w:val="059FD70C"/>
    <w:rsid w:val="05B0C90C"/>
    <w:rsid w:val="0669A2A5"/>
    <w:rsid w:val="0786E48B"/>
    <w:rsid w:val="0AF5D8C3"/>
    <w:rsid w:val="0B5E6D1B"/>
    <w:rsid w:val="0C9AB804"/>
    <w:rsid w:val="0E906DA0"/>
    <w:rsid w:val="0FB47694"/>
    <w:rsid w:val="0FC2FE1F"/>
    <w:rsid w:val="1047C141"/>
    <w:rsid w:val="108AF8BD"/>
    <w:rsid w:val="10A626CD"/>
    <w:rsid w:val="10C93571"/>
    <w:rsid w:val="10F92750"/>
    <w:rsid w:val="11BE4074"/>
    <w:rsid w:val="126505D2"/>
    <w:rsid w:val="1294F7B1"/>
    <w:rsid w:val="12EEDE53"/>
    <w:rsid w:val="15155DDB"/>
    <w:rsid w:val="161B0CF8"/>
    <w:rsid w:val="1645BC5D"/>
    <w:rsid w:val="1710BF43"/>
    <w:rsid w:val="1745F326"/>
    <w:rsid w:val="18D34705"/>
    <w:rsid w:val="19E58A0E"/>
    <w:rsid w:val="1A62AC82"/>
    <w:rsid w:val="1A90C8D2"/>
    <w:rsid w:val="1D7C9FF6"/>
    <w:rsid w:val="1DFE83FC"/>
    <w:rsid w:val="1E5DBCBD"/>
    <w:rsid w:val="1F299FDF"/>
    <w:rsid w:val="1F43C29E"/>
    <w:rsid w:val="1F6439F5"/>
    <w:rsid w:val="22B0B31E"/>
    <w:rsid w:val="22B8CCC2"/>
    <w:rsid w:val="231EA026"/>
    <w:rsid w:val="2337697E"/>
    <w:rsid w:val="2490C243"/>
    <w:rsid w:val="2539600D"/>
    <w:rsid w:val="25F06D84"/>
    <w:rsid w:val="2722FE03"/>
    <w:rsid w:val="2786B692"/>
    <w:rsid w:val="27EC556F"/>
    <w:rsid w:val="280ADAA1"/>
    <w:rsid w:val="28127279"/>
    <w:rsid w:val="28293555"/>
    <w:rsid w:val="28658EB2"/>
    <w:rsid w:val="2AA63AC6"/>
    <w:rsid w:val="2ABE5754"/>
    <w:rsid w:val="2BD5F3B7"/>
    <w:rsid w:val="2C40C2EA"/>
    <w:rsid w:val="2EC2304A"/>
    <w:rsid w:val="2EC868B8"/>
    <w:rsid w:val="2EEC9D7B"/>
    <w:rsid w:val="3031B784"/>
    <w:rsid w:val="31E3438A"/>
    <w:rsid w:val="35B5D50E"/>
    <w:rsid w:val="35C36E2E"/>
    <w:rsid w:val="35D4B159"/>
    <w:rsid w:val="363FFE3D"/>
    <w:rsid w:val="36C439D9"/>
    <w:rsid w:val="373D1AEA"/>
    <w:rsid w:val="382CE4C0"/>
    <w:rsid w:val="3840BC50"/>
    <w:rsid w:val="38519AAD"/>
    <w:rsid w:val="38D01055"/>
    <w:rsid w:val="39461F96"/>
    <w:rsid w:val="3B35067E"/>
    <w:rsid w:val="3B9875B5"/>
    <w:rsid w:val="3CC25135"/>
    <w:rsid w:val="3D20F7A9"/>
    <w:rsid w:val="3D4AA9A7"/>
    <w:rsid w:val="3D506C95"/>
    <w:rsid w:val="3D8180CA"/>
    <w:rsid w:val="3D851C0E"/>
    <w:rsid w:val="3DC890C0"/>
    <w:rsid w:val="3EED7473"/>
    <w:rsid w:val="3FC58AC6"/>
    <w:rsid w:val="40247809"/>
    <w:rsid w:val="41710150"/>
    <w:rsid w:val="4204F26D"/>
    <w:rsid w:val="421E1ACA"/>
    <w:rsid w:val="4294433D"/>
    <w:rsid w:val="42BABECF"/>
    <w:rsid w:val="43139975"/>
    <w:rsid w:val="434140D3"/>
    <w:rsid w:val="43B00567"/>
    <w:rsid w:val="448C22C6"/>
    <w:rsid w:val="46895AE3"/>
    <w:rsid w:val="46E474E8"/>
    <w:rsid w:val="46ED52BB"/>
    <w:rsid w:val="47EB12A1"/>
    <w:rsid w:val="49394D15"/>
    <w:rsid w:val="49EC73C0"/>
    <w:rsid w:val="4AEF5A4D"/>
    <w:rsid w:val="4B0C5651"/>
    <w:rsid w:val="4C8EEE1C"/>
    <w:rsid w:val="4D041925"/>
    <w:rsid w:val="4DF664E3"/>
    <w:rsid w:val="4EDEED81"/>
    <w:rsid w:val="4F85C080"/>
    <w:rsid w:val="4FD088B3"/>
    <w:rsid w:val="516B7D02"/>
    <w:rsid w:val="51A661A8"/>
    <w:rsid w:val="520BD573"/>
    <w:rsid w:val="543DD7C6"/>
    <w:rsid w:val="543EBAA4"/>
    <w:rsid w:val="5650994F"/>
    <w:rsid w:val="57BF924D"/>
    <w:rsid w:val="58924541"/>
    <w:rsid w:val="58980902"/>
    <w:rsid w:val="58D1CA4B"/>
    <w:rsid w:val="58F55682"/>
    <w:rsid w:val="5943600C"/>
    <w:rsid w:val="595CC1EE"/>
    <w:rsid w:val="59F304C7"/>
    <w:rsid w:val="5AA2566B"/>
    <w:rsid w:val="5AB2761F"/>
    <w:rsid w:val="5ACC4F5A"/>
    <w:rsid w:val="5D5A9078"/>
    <w:rsid w:val="5DFDC73A"/>
    <w:rsid w:val="5E57E0C8"/>
    <w:rsid w:val="5E9E0AA4"/>
    <w:rsid w:val="602DD226"/>
    <w:rsid w:val="60842EC9"/>
    <w:rsid w:val="619B883C"/>
    <w:rsid w:val="62B87A27"/>
    <w:rsid w:val="62C52D40"/>
    <w:rsid w:val="62DB878D"/>
    <w:rsid w:val="638B6489"/>
    <w:rsid w:val="63BF226C"/>
    <w:rsid w:val="63C126DC"/>
    <w:rsid w:val="643D1D42"/>
    <w:rsid w:val="64A31D04"/>
    <w:rsid w:val="64ADF79B"/>
    <w:rsid w:val="65258C43"/>
    <w:rsid w:val="655BB7D5"/>
    <w:rsid w:val="67E9F80C"/>
    <w:rsid w:val="67FE1A15"/>
    <w:rsid w:val="686A7FCD"/>
    <w:rsid w:val="6A34F8A8"/>
    <w:rsid w:val="6CAB61AC"/>
    <w:rsid w:val="6CBD692F"/>
    <w:rsid w:val="6CF024FF"/>
    <w:rsid w:val="6DE19F99"/>
    <w:rsid w:val="6DED069B"/>
    <w:rsid w:val="6E9E9199"/>
    <w:rsid w:val="6F184C9F"/>
    <w:rsid w:val="6F38DF0F"/>
    <w:rsid w:val="6FE2F18C"/>
    <w:rsid w:val="71107DF9"/>
    <w:rsid w:val="71AD01A4"/>
    <w:rsid w:val="71B9998C"/>
    <w:rsid w:val="7304447C"/>
    <w:rsid w:val="735569ED"/>
    <w:rsid w:val="73C21B19"/>
    <w:rsid w:val="74731661"/>
    <w:rsid w:val="74C5B648"/>
    <w:rsid w:val="74E3EFE2"/>
    <w:rsid w:val="74F13A4E"/>
    <w:rsid w:val="7546585E"/>
    <w:rsid w:val="75AD9985"/>
    <w:rsid w:val="76C761F4"/>
    <w:rsid w:val="76D9B479"/>
    <w:rsid w:val="76E5E726"/>
    <w:rsid w:val="7717455E"/>
    <w:rsid w:val="7842D7FF"/>
    <w:rsid w:val="7881B787"/>
    <w:rsid w:val="78FA3756"/>
    <w:rsid w:val="7B51E842"/>
    <w:rsid w:val="7BDDA74A"/>
    <w:rsid w:val="7F2FF36C"/>
    <w:rsid w:val="7F49F7F0"/>
    <w:rsid w:val="7FDE30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20"/>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11"/>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21"/>
      </w:numPr>
      <w:spacing w:after="60"/>
    </w:pPr>
    <w:rPr>
      <w:bCs/>
    </w:rPr>
  </w:style>
  <w:style w:type="paragraph" w:customStyle="1" w:styleId="Heading3Numbered">
    <w:name w:val="Heading 3 Numbered"/>
    <w:basedOn w:val="Heading3"/>
    <w:next w:val="Normal"/>
    <w:qFormat/>
    <w:rsid w:val="006D3831"/>
    <w:pPr>
      <w:numPr>
        <w:ilvl w:val="2"/>
        <w:numId w:val="21"/>
      </w:numPr>
      <w:spacing w:before="300" w:after="60"/>
    </w:pPr>
    <w:rPr>
      <w:szCs w:val="22"/>
      <w:lang w:val="en-GB"/>
    </w:rPr>
  </w:style>
  <w:style w:type="numbering" w:customStyle="1" w:styleId="BulletsList">
    <w:name w:val="Bullets List"/>
    <w:uiPriority w:val="99"/>
    <w:rsid w:val="00D44758"/>
    <w:pPr>
      <w:numPr>
        <w:numId w:val="6"/>
      </w:numPr>
    </w:pPr>
  </w:style>
  <w:style w:type="numbering" w:customStyle="1" w:styleId="Numberedlist">
    <w:name w:val="Numbered list"/>
    <w:uiPriority w:val="99"/>
    <w:rsid w:val="00F2684E"/>
    <w:pPr>
      <w:numPr>
        <w:numId w:val="7"/>
      </w:numPr>
    </w:pPr>
  </w:style>
  <w:style w:type="numbering" w:customStyle="1" w:styleId="HeadingsList">
    <w:name w:val="Headings List"/>
    <w:uiPriority w:val="99"/>
    <w:rsid w:val="006D3831"/>
    <w:pPr>
      <w:numPr>
        <w:numId w:val="8"/>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12"/>
      </w:numPr>
      <w:ind w:left="454" w:hanging="170"/>
    </w:pPr>
  </w:style>
  <w:style w:type="paragraph" w:customStyle="1" w:styleId="Box2Bullet">
    <w:name w:val="Box 2 Bullet"/>
    <w:basedOn w:val="Box2Text"/>
    <w:qFormat/>
    <w:rsid w:val="00AC5DC8"/>
    <w:pPr>
      <w:numPr>
        <w:numId w:val="13"/>
      </w:numPr>
      <w:tabs>
        <w:tab w:val="left" w:pos="1247"/>
        <w:tab w:val="left" w:pos="1531"/>
      </w:tabs>
      <w:spacing w:before="60" w:after="60"/>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21"/>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14"/>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5"/>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basedOn w:val="DefaultParagraphFont"/>
    <w:link w:val="ListParagraph"/>
    <w:uiPriority w:val="34"/>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6"/>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7"/>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8"/>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9"/>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 w:type="paragraph" w:customStyle="1" w:styleId="Table-normal-text">
    <w:name w:val="Table-normal-text"/>
    <w:basedOn w:val="Normal"/>
    <w:rsid w:val="00220C1E"/>
    <w:pPr>
      <w:suppressAutoHyphens w:val="0"/>
      <w:spacing w:before="60" w:after="0" w:line="240" w:lineRule="auto"/>
    </w:pPr>
    <w:rPr>
      <w:rFonts w:ascii="Arial" w:eastAsia="Times New Roman" w:hAnsi="Arial" w:cs="Times New Roman"/>
      <w:color w:val="auto"/>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0272">
      <w:bodyDiv w:val="1"/>
      <w:marLeft w:val="0"/>
      <w:marRight w:val="0"/>
      <w:marTop w:val="0"/>
      <w:marBottom w:val="0"/>
      <w:divBdr>
        <w:top w:val="none" w:sz="0" w:space="0" w:color="auto"/>
        <w:left w:val="none" w:sz="0" w:space="0" w:color="auto"/>
        <w:bottom w:val="none" w:sz="0" w:space="0" w:color="auto"/>
        <w:right w:val="none" w:sz="0" w:space="0" w:color="auto"/>
      </w:divBdr>
    </w:div>
    <w:div w:id="341587392">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989403770">
      <w:bodyDiv w:val="1"/>
      <w:marLeft w:val="0"/>
      <w:marRight w:val="0"/>
      <w:marTop w:val="0"/>
      <w:marBottom w:val="0"/>
      <w:divBdr>
        <w:top w:val="none" w:sz="0" w:space="0" w:color="auto"/>
        <w:left w:val="none" w:sz="0" w:space="0" w:color="auto"/>
        <w:bottom w:val="none" w:sz="0" w:space="0" w:color="auto"/>
        <w:right w:val="none" w:sz="0" w:space="0" w:color="auto"/>
      </w:divBdr>
    </w:div>
    <w:div w:id="1089228209">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89817620">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12" ma:contentTypeDescription="Create a new document." ma:contentTypeScope="" ma:versionID="88077df229c92cf8c72e9ddb5476fcf1">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4afd6af3b4dc9f74d2135c832297bd7d"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2F4F4-DB1F-4571-9384-F705A66928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E951E-E3F8-4A1B-B1F6-1041DFA37511}">
  <ds:schemaRefs>
    <ds:schemaRef ds:uri="http://schemas.openxmlformats.org/officeDocument/2006/bibliography"/>
  </ds:schemaRefs>
</ds:datastoreItem>
</file>

<file path=customXml/itemProps3.xml><?xml version="1.0" encoding="utf-8"?>
<ds:datastoreItem xmlns:ds="http://schemas.openxmlformats.org/officeDocument/2006/customXml" ds:itemID="{DC56519B-FF3A-4688-A16A-FC2F845C8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F63A3-593A-442C-974A-34B4534A5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2799</Words>
  <Characters>16173</Characters>
  <Application>Microsoft Office Word</Application>
  <DocSecurity>0</DocSecurity>
  <Lines>523</Lines>
  <Paragraphs>153</Paragraphs>
  <ScaleCrop>false</ScaleCrop>
  <HeadingPairs>
    <vt:vector size="2" baseType="variant">
      <vt:variant>
        <vt:lpstr>Title</vt:lpstr>
      </vt:variant>
      <vt:variant>
        <vt:i4>1</vt:i4>
      </vt:variant>
    </vt:vector>
  </HeadingPairs>
  <TitlesOfParts>
    <vt:vector size="1" baseType="lpstr">
      <vt:lpstr>Access to Quality Education Program End of Program Management Response</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Quality Education Program End of Program Management Response</dc:title>
  <dc:subject/>
  <dc:creator/>
  <cp:keywords>[SEC=UNOFFICIAL]</cp:keywords>
  <dc:description/>
  <cp:lastModifiedBy/>
  <cp:revision>2</cp:revision>
  <dcterms:created xsi:type="dcterms:W3CDTF">2023-02-14T21:39:00Z</dcterms:created>
  <dcterms:modified xsi:type="dcterms:W3CDTF">2023-02-15T22:52:00Z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e74170d3-750b-434e-9aea-b83619894a17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0x0101007D14CF51C84DCD4692C0DBE656617F0B</vt:lpwstr>
  </property>
  <property fmtid="{D5CDD505-2E9C-101B-9397-08002B2CF9AE}" pid="6" name="Order">
    <vt:r8>1197700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UNOFFICIAL</vt:lpwstr>
  </property>
  <property fmtid="{D5CDD505-2E9C-101B-9397-08002B2CF9AE}" pid="13" name="PM_Qualifier">
    <vt:lpwstr/>
  </property>
  <property fmtid="{D5CDD505-2E9C-101B-9397-08002B2CF9AE}" pid="14" name="PM_SecurityClassification">
    <vt:lpwstr>UNOFFICIAL</vt:lpwstr>
  </property>
  <property fmtid="{D5CDD505-2E9C-101B-9397-08002B2CF9AE}" pid="15" name="PM_InsertionValue">
    <vt:lpwstr>UNOFFICIAL</vt:lpwstr>
  </property>
  <property fmtid="{D5CDD505-2E9C-101B-9397-08002B2CF9AE}" pid="16" name="PM_Originating_FileId">
    <vt:lpwstr>3CF877A0CBF64E1EA77CB84A9D7D6D0F</vt:lpwstr>
  </property>
  <property fmtid="{D5CDD505-2E9C-101B-9397-08002B2CF9AE}" pid="17" name="PM_ProtectiveMarkingValue_Footer">
    <vt:lpwstr>UNOFFICIAL</vt:lpwstr>
  </property>
  <property fmtid="{D5CDD505-2E9C-101B-9397-08002B2CF9AE}" pid="18" name="PM_Originator_Hash_SHA1">
    <vt:lpwstr>260D391A355C0F7895D53005377AC1700003BFA9</vt:lpwstr>
  </property>
  <property fmtid="{D5CDD505-2E9C-101B-9397-08002B2CF9AE}" pid="19" name="PM_OriginationTimeStamp">
    <vt:lpwstr>2023-02-15T22:52:56Z</vt:lpwstr>
  </property>
  <property fmtid="{D5CDD505-2E9C-101B-9397-08002B2CF9AE}" pid="20" name="PM_ProtectiveMarkingValue_Header">
    <vt:lpwstr>UNOFFICIAL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UNOFFICIAL</vt:lpwstr>
  </property>
  <property fmtid="{D5CDD505-2E9C-101B-9397-08002B2CF9AE}" pid="27" name="PMUuid">
    <vt:lpwstr>E1361484-89D3-5259-96FC-8942BCC53599</vt:lpwstr>
  </property>
  <property fmtid="{D5CDD505-2E9C-101B-9397-08002B2CF9AE}" pid="28" name="PMUuidVer">
    <vt:lpwstr>2022.1</vt:lpwstr>
  </property>
  <property fmtid="{D5CDD505-2E9C-101B-9397-08002B2CF9AE}" pid="29" name="PM_Hash_Version">
    <vt:lpwstr>2018.0</vt:lpwstr>
  </property>
  <property fmtid="{D5CDD505-2E9C-101B-9397-08002B2CF9AE}" pid="30" name="PM_Hash_Salt_Prev">
    <vt:lpwstr>6C1031BCAF47F4699284BFA150837E0C</vt:lpwstr>
  </property>
  <property fmtid="{D5CDD505-2E9C-101B-9397-08002B2CF9AE}" pid="31" name="PM_Hash_Salt">
    <vt:lpwstr>BD00BBB0BE9D657FDC063F2EA329A097</vt:lpwstr>
  </property>
  <property fmtid="{D5CDD505-2E9C-101B-9397-08002B2CF9AE}" pid="32" name="PM_Hash_SHA1">
    <vt:lpwstr>9B88B69794E549A260EE6F0AB9BD32E56203247D</vt:lpwstr>
  </property>
  <property fmtid="{D5CDD505-2E9C-101B-9397-08002B2CF9AE}" pid="33" name="PM_OriginatorUserAccountName_SHA256">
    <vt:lpwstr>3F6D732A650B4EC715B623E0D837FB2B96AB69551124ACFE30889A7938FDE719</vt:lpwstr>
  </property>
  <property fmtid="{D5CDD505-2E9C-101B-9397-08002B2CF9AE}" pid="34" name="PM_OriginatorDomainName_SHA256">
    <vt:lpwstr>6F3591835F3B2A8A025B00B5BA6418010DA3A17C9C26EA9C049FFD28039489A2</vt:lpwstr>
  </property>
  <property fmtid="{D5CDD505-2E9C-101B-9397-08002B2CF9AE}" pid="35" name="PM_SecurityClassification_Prev">
    <vt:lpwstr>UNOFFICIAL</vt:lpwstr>
  </property>
  <property fmtid="{D5CDD505-2E9C-101B-9397-08002B2CF9AE}" pid="36" name="PM_Qualifier_Prev">
    <vt:lpwstr/>
  </property>
</Properties>
</file>