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417C4" w14:textId="77777777" w:rsidR="00354A06" w:rsidRPr="0007327B" w:rsidRDefault="00354A06" w:rsidP="005714C3">
      <w:pPr>
        <w:pStyle w:val="BTNSSBodyTextNoSpacingSmall"/>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5714C3" w:rsidRPr="0007327B" w14:paraId="410E2700" w14:textId="77777777" w:rsidTr="008A4C51">
        <w:trPr>
          <w:trHeight w:val="4365"/>
        </w:trPr>
        <w:tc>
          <w:tcPr>
            <w:tcW w:w="9060" w:type="dxa"/>
          </w:tcPr>
          <w:p w14:paraId="0180AEF2" w14:textId="77777777" w:rsidR="005714C3" w:rsidRPr="0007327B" w:rsidRDefault="005714C3" w:rsidP="005714C3">
            <w:pPr>
              <w:pStyle w:val="BTBodyText"/>
              <w:spacing w:after="240"/>
              <w:jc w:val="center"/>
              <w:rPr>
                <w:b/>
                <w:bCs/>
                <w:sz w:val="32"/>
                <w:szCs w:val="32"/>
              </w:rPr>
            </w:pPr>
            <w:r w:rsidRPr="0007327B">
              <w:rPr>
                <w:b/>
                <w:bCs/>
                <w:sz w:val="32"/>
                <w:szCs w:val="32"/>
              </w:rPr>
              <w:t>Before the World Trade Organization</w:t>
            </w:r>
          </w:p>
          <w:p w14:paraId="40C42D64" w14:textId="77777777" w:rsidR="005714C3" w:rsidRPr="0007327B" w:rsidRDefault="005714C3" w:rsidP="005714C3">
            <w:pPr>
              <w:pStyle w:val="BTBodyText"/>
              <w:spacing w:after="240"/>
              <w:jc w:val="center"/>
              <w:rPr>
                <w:b/>
                <w:bCs/>
                <w:sz w:val="32"/>
                <w:szCs w:val="32"/>
              </w:rPr>
            </w:pPr>
            <w:r w:rsidRPr="0007327B">
              <w:rPr>
                <w:b/>
                <w:bCs/>
                <w:sz w:val="32"/>
                <w:szCs w:val="32"/>
              </w:rPr>
              <w:t>Panel Proceedings</w:t>
            </w:r>
          </w:p>
        </w:tc>
      </w:tr>
      <w:tr w:rsidR="005714C3" w:rsidRPr="0007327B" w14:paraId="789C0AC3" w14:textId="77777777" w:rsidTr="00BE0B1C">
        <w:trPr>
          <w:trHeight w:val="737"/>
        </w:trPr>
        <w:tc>
          <w:tcPr>
            <w:tcW w:w="9060" w:type="dxa"/>
          </w:tcPr>
          <w:p w14:paraId="56FB0FDA" w14:textId="4038CCBC" w:rsidR="005714C3" w:rsidRPr="0007327B" w:rsidRDefault="00674CB1" w:rsidP="00DA5381">
            <w:pPr>
              <w:pStyle w:val="WTODTWTODisputeTitle"/>
            </w:pPr>
            <w:r>
              <w:t>China – Measures Concerning Trade in Goods</w:t>
            </w:r>
          </w:p>
        </w:tc>
      </w:tr>
      <w:tr w:rsidR="005714C3" w:rsidRPr="0007327B" w14:paraId="1AE3599C" w14:textId="77777777" w:rsidTr="008A4C51">
        <w:trPr>
          <w:trHeight w:val="3175"/>
        </w:trPr>
        <w:tc>
          <w:tcPr>
            <w:tcW w:w="9060" w:type="dxa"/>
          </w:tcPr>
          <w:p w14:paraId="1555E29D" w14:textId="66D267DB" w:rsidR="005714C3" w:rsidRPr="0007327B" w:rsidRDefault="005714C3" w:rsidP="00DA5381">
            <w:pPr>
              <w:pStyle w:val="DSNDSNumber"/>
            </w:pPr>
            <w:r w:rsidRPr="0007327B">
              <w:t>(DS</w:t>
            </w:r>
            <w:r w:rsidR="00674CB1">
              <w:t>610)</w:t>
            </w:r>
          </w:p>
        </w:tc>
      </w:tr>
      <w:tr w:rsidR="005714C3" w:rsidRPr="0007327B" w14:paraId="2F27BF4C" w14:textId="77777777" w:rsidTr="00DD4BA0">
        <w:trPr>
          <w:trHeight w:val="3798"/>
        </w:trPr>
        <w:tc>
          <w:tcPr>
            <w:tcW w:w="9060" w:type="dxa"/>
          </w:tcPr>
          <w:p w14:paraId="1EF16E78" w14:textId="1AB1149B" w:rsidR="005714C3" w:rsidRPr="0007327B" w:rsidRDefault="00674CB1" w:rsidP="00DA5381">
            <w:pPr>
              <w:pStyle w:val="DTDocumentTitle"/>
            </w:pPr>
            <w:r>
              <w:t>Third</w:t>
            </w:r>
            <w:r w:rsidR="00E35EA2">
              <w:t xml:space="preserve"> </w:t>
            </w:r>
            <w:r>
              <w:t>Party Written Submission of Australia</w:t>
            </w:r>
          </w:p>
        </w:tc>
      </w:tr>
      <w:tr w:rsidR="005714C3" w:rsidRPr="0007327B" w14:paraId="678637BD" w14:textId="77777777" w:rsidTr="00BE0B1C">
        <w:trPr>
          <w:trHeight w:val="624"/>
        </w:trPr>
        <w:tc>
          <w:tcPr>
            <w:tcW w:w="9060" w:type="dxa"/>
          </w:tcPr>
          <w:p w14:paraId="22E287F3" w14:textId="107B0698" w:rsidR="005714C3" w:rsidRPr="0007327B" w:rsidRDefault="00674CB1" w:rsidP="00DA5381">
            <w:pPr>
              <w:pStyle w:val="DDDocumentDate"/>
            </w:pPr>
            <w:r>
              <w:t>9 November 2023</w:t>
            </w:r>
          </w:p>
        </w:tc>
      </w:tr>
    </w:tbl>
    <w:p w14:paraId="23152BEC" w14:textId="77777777" w:rsidR="005714C3" w:rsidRPr="0007327B" w:rsidRDefault="005714C3" w:rsidP="00BE0B1C">
      <w:pPr>
        <w:pStyle w:val="BTNSSBodyTextNoSpacingSmall"/>
      </w:pPr>
    </w:p>
    <w:p w14:paraId="7E42C38A" w14:textId="77777777" w:rsidR="00006269" w:rsidRPr="0007327B" w:rsidRDefault="00006269" w:rsidP="00BE0B1C">
      <w:pPr>
        <w:pStyle w:val="BTNSSBodyTextNoSpacingSmall"/>
      </w:pPr>
      <w:r w:rsidRPr="0007327B">
        <w:br w:type="page"/>
      </w:r>
    </w:p>
    <w:p w14:paraId="625477EC" w14:textId="77777777" w:rsidR="00F01A73" w:rsidRPr="0007327B" w:rsidRDefault="00F01A73" w:rsidP="00F01A73">
      <w:pPr>
        <w:pStyle w:val="BTNSSBodyTextNoSpacingSmall"/>
        <w:rPr>
          <w:sz w:val="2"/>
          <w:szCs w:val="2"/>
        </w:rPr>
      </w:pPr>
    </w:p>
    <w:sdt>
      <w:sdtPr>
        <w:rPr>
          <w:lang w:val="en-AU"/>
        </w:rPr>
        <w:id w:val="-1730524273"/>
        <w:docPartObj>
          <w:docPartGallery w:val="Table of Contents"/>
          <w:docPartUnique/>
        </w:docPartObj>
      </w:sdtPr>
      <w:sdtEndPr/>
      <w:sdtContent>
        <w:p w14:paraId="5D897D10" w14:textId="77777777" w:rsidR="00D47F18" w:rsidRPr="0007327B" w:rsidRDefault="00D47F18">
          <w:pPr>
            <w:pStyle w:val="TOCHeading"/>
            <w:rPr>
              <w:lang w:val="en-AU"/>
            </w:rPr>
          </w:pPr>
          <w:r w:rsidRPr="0007327B">
            <w:rPr>
              <w:lang w:val="en-AU"/>
            </w:rPr>
            <w:t>Table of Contents</w:t>
          </w:r>
        </w:p>
        <w:p w14:paraId="05874D0F" w14:textId="723728DC" w:rsidR="00D75CDC" w:rsidRDefault="00F945DB">
          <w:pPr>
            <w:pStyle w:val="TOC1"/>
            <w:rPr>
              <w:rFonts w:asciiTheme="minorHAnsi" w:eastAsiaTheme="minorEastAsia" w:hAnsiTheme="minorHAnsi"/>
              <w:b w:val="0"/>
              <w:caps w:val="0"/>
              <w:noProof/>
              <w:sz w:val="22"/>
              <w:szCs w:val="22"/>
              <w:lang w:eastAsia="en-AU"/>
            </w:rPr>
          </w:pPr>
          <w:r>
            <w:fldChar w:fldCharType="begin"/>
          </w:r>
          <w:r w:rsidRPr="0007327B">
            <w:instrText xml:space="preserve"> TOC \o "1-5" \h \z \u </w:instrText>
          </w:r>
          <w:r>
            <w:fldChar w:fldCharType="separate"/>
          </w:r>
          <w:hyperlink w:anchor="_Toc150441687" w:history="1">
            <w:r w:rsidR="00D75CDC" w:rsidRPr="00005E66">
              <w:rPr>
                <w:rStyle w:val="Hyperlink"/>
                <w:noProof/>
              </w:rPr>
              <w:t>Table of Cases</w:t>
            </w:r>
            <w:r w:rsidR="00D75CDC">
              <w:rPr>
                <w:noProof/>
                <w:webHidden/>
              </w:rPr>
              <w:tab/>
            </w:r>
            <w:r w:rsidR="00D75CDC">
              <w:rPr>
                <w:noProof/>
                <w:webHidden/>
              </w:rPr>
              <w:fldChar w:fldCharType="begin"/>
            </w:r>
            <w:r w:rsidR="00D75CDC">
              <w:rPr>
                <w:noProof/>
                <w:webHidden/>
              </w:rPr>
              <w:instrText xml:space="preserve"> PAGEREF _Toc150441687 \h </w:instrText>
            </w:r>
            <w:r w:rsidR="00D75CDC">
              <w:rPr>
                <w:noProof/>
                <w:webHidden/>
              </w:rPr>
            </w:r>
            <w:r w:rsidR="00D75CDC">
              <w:rPr>
                <w:noProof/>
                <w:webHidden/>
              </w:rPr>
              <w:fldChar w:fldCharType="separate"/>
            </w:r>
            <w:r w:rsidR="00D75CDC">
              <w:rPr>
                <w:noProof/>
                <w:webHidden/>
              </w:rPr>
              <w:t>3</w:t>
            </w:r>
            <w:r w:rsidR="00D75CDC">
              <w:rPr>
                <w:noProof/>
                <w:webHidden/>
              </w:rPr>
              <w:fldChar w:fldCharType="end"/>
            </w:r>
          </w:hyperlink>
        </w:p>
        <w:p w14:paraId="32A3F238" w14:textId="0C57B587" w:rsidR="00D75CDC" w:rsidRDefault="00E65C42">
          <w:pPr>
            <w:pStyle w:val="TOC1"/>
            <w:rPr>
              <w:rFonts w:asciiTheme="minorHAnsi" w:eastAsiaTheme="minorEastAsia" w:hAnsiTheme="minorHAnsi"/>
              <w:b w:val="0"/>
              <w:caps w:val="0"/>
              <w:noProof/>
              <w:sz w:val="22"/>
              <w:szCs w:val="22"/>
              <w:lang w:eastAsia="en-AU"/>
            </w:rPr>
          </w:pPr>
          <w:hyperlink w:anchor="_Toc150441688" w:history="1">
            <w:r w:rsidR="00D75CDC" w:rsidRPr="00005E66">
              <w:rPr>
                <w:rStyle w:val="Hyperlink"/>
                <w:noProof/>
              </w:rPr>
              <w:t>List of Acronyms, Abbreviations and Short Forms</w:t>
            </w:r>
            <w:r w:rsidR="00D75CDC">
              <w:rPr>
                <w:noProof/>
                <w:webHidden/>
              </w:rPr>
              <w:tab/>
            </w:r>
            <w:r w:rsidR="00D75CDC">
              <w:rPr>
                <w:noProof/>
                <w:webHidden/>
              </w:rPr>
              <w:fldChar w:fldCharType="begin"/>
            </w:r>
            <w:r w:rsidR="00D75CDC">
              <w:rPr>
                <w:noProof/>
                <w:webHidden/>
              </w:rPr>
              <w:instrText xml:space="preserve"> PAGEREF _Toc150441688 \h </w:instrText>
            </w:r>
            <w:r w:rsidR="00D75CDC">
              <w:rPr>
                <w:noProof/>
                <w:webHidden/>
              </w:rPr>
            </w:r>
            <w:r w:rsidR="00D75CDC">
              <w:rPr>
                <w:noProof/>
                <w:webHidden/>
              </w:rPr>
              <w:fldChar w:fldCharType="separate"/>
            </w:r>
            <w:r w:rsidR="00D75CDC">
              <w:rPr>
                <w:noProof/>
                <w:webHidden/>
              </w:rPr>
              <w:t>6</w:t>
            </w:r>
            <w:r w:rsidR="00D75CDC">
              <w:rPr>
                <w:noProof/>
                <w:webHidden/>
              </w:rPr>
              <w:fldChar w:fldCharType="end"/>
            </w:r>
          </w:hyperlink>
        </w:p>
        <w:p w14:paraId="569029E8" w14:textId="7897FF46" w:rsidR="00D75CDC" w:rsidRDefault="00E65C42">
          <w:pPr>
            <w:pStyle w:val="TOC1"/>
            <w:rPr>
              <w:rFonts w:asciiTheme="minorHAnsi" w:eastAsiaTheme="minorEastAsia" w:hAnsiTheme="minorHAnsi"/>
              <w:b w:val="0"/>
              <w:caps w:val="0"/>
              <w:noProof/>
              <w:sz w:val="22"/>
              <w:szCs w:val="22"/>
              <w:lang w:eastAsia="en-AU"/>
            </w:rPr>
          </w:pPr>
          <w:hyperlink w:anchor="_Toc150441689" w:history="1">
            <w:r w:rsidR="00D75CDC" w:rsidRPr="00005E66">
              <w:rPr>
                <w:rStyle w:val="Hyperlink"/>
                <w:noProof/>
              </w:rPr>
              <w:t>I.</w:t>
            </w:r>
            <w:r w:rsidR="00D75CDC">
              <w:rPr>
                <w:rFonts w:asciiTheme="minorHAnsi" w:eastAsiaTheme="minorEastAsia" w:hAnsiTheme="minorHAnsi"/>
                <w:b w:val="0"/>
                <w:caps w:val="0"/>
                <w:noProof/>
                <w:sz w:val="22"/>
                <w:szCs w:val="22"/>
                <w:lang w:eastAsia="en-AU"/>
              </w:rPr>
              <w:tab/>
            </w:r>
            <w:r w:rsidR="00D75CDC" w:rsidRPr="00005E66">
              <w:rPr>
                <w:rStyle w:val="Hyperlink"/>
                <w:noProof/>
              </w:rPr>
              <w:t>Introduction</w:t>
            </w:r>
            <w:r w:rsidR="00D75CDC">
              <w:rPr>
                <w:noProof/>
                <w:webHidden/>
              </w:rPr>
              <w:tab/>
            </w:r>
            <w:r w:rsidR="00D75CDC">
              <w:rPr>
                <w:noProof/>
                <w:webHidden/>
              </w:rPr>
              <w:fldChar w:fldCharType="begin"/>
            </w:r>
            <w:r w:rsidR="00D75CDC">
              <w:rPr>
                <w:noProof/>
                <w:webHidden/>
              </w:rPr>
              <w:instrText xml:space="preserve"> PAGEREF _Toc150441689 \h </w:instrText>
            </w:r>
            <w:r w:rsidR="00D75CDC">
              <w:rPr>
                <w:noProof/>
                <w:webHidden/>
              </w:rPr>
            </w:r>
            <w:r w:rsidR="00D75CDC">
              <w:rPr>
                <w:noProof/>
                <w:webHidden/>
              </w:rPr>
              <w:fldChar w:fldCharType="separate"/>
            </w:r>
            <w:r w:rsidR="00D75CDC">
              <w:rPr>
                <w:noProof/>
                <w:webHidden/>
              </w:rPr>
              <w:t>7</w:t>
            </w:r>
            <w:r w:rsidR="00D75CDC">
              <w:rPr>
                <w:noProof/>
                <w:webHidden/>
              </w:rPr>
              <w:fldChar w:fldCharType="end"/>
            </w:r>
          </w:hyperlink>
        </w:p>
        <w:p w14:paraId="73A481C5" w14:textId="5D2112AE" w:rsidR="00D75CDC" w:rsidRDefault="00E65C42">
          <w:pPr>
            <w:pStyle w:val="TOC1"/>
            <w:rPr>
              <w:rFonts w:asciiTheme="minorHAnsi" w:eastAsiaTheme="minorEastAsia" w:hAnsiTheme="minorHAnsi"/>
              <w:b w:val="0"/>
              <w:caps w:val="0"/>
              <w:noProof/>
              <w:sz w:val="22"/>
              <w:szCs w:val="22"/>
              <w:lang w:eastAsia="en-AU"/>
            </w:rPr>
          </w:pPr>
          <w:hyperlink w:anchor="_Toc150441690" w:history="1">
            <w:r w:rsidR="00D75CDC" w:rsidRPr="00005E66">
              <w:rPr>
                <w:rStyle w:val="Hyperlink"/>
                <w:noProof/>
              </w:rPr>
              <w:t>II.</w:t>
            </w:r>
            <w:r w:rsidR="00D75CDC">
              <w:rPr>
                <w:rFonts w:asciiTheme="minorHAnsi" w:eastAsiaTheme="minorEastAsia" w:hAnsiTheme="minorHAnsi"/>
                <w:b w:val="0"/>
                <w:caps w:val="0"/>
                <w:noProof/>
                <w:sz w:val="22"/>
                <w:szCs w:val="22"/>
                <w:lang w:eastAsia="en-AU"/>
              </w:rPr>
              <w:tab/>
            </w:r>
            <w:r w:rsidR="00D75CDC" w:rsidRPr="00005E66">
              <w:rPr>
                <w:rStyle w:val="Hyperlink"/>
                <w:noProof/>
              </w:rPr>
              <w:t>Establishing the existence of the measures</w:t>
            </w:r>
            <w:r w:rsidR="00D75CDC">
              <w:rPr>
                <w:noProof/>
                <w:webHidden/>
              </w:rPr>
              <w:tab/>
            </w:r>
            <w:r w:rsidR="00D75CDC">
              <w:rPr>
                <w:noProof/>
                <w:webHidden/>
              </w:rPr>
              <w:fldChar w:fldCharType="begin"/>
            </w:r>
            <w:r w:rsidR="00D75CDC">
              <w:rPr>
                <w:noProof/>
                <w:webHidden/>
              </w:rPr>
              <w:instrText xml:space="preserve"> PAGEREF _Toc150441690 \h </w:instrText>
            </w:r>
            <w:r w:rsidR="00D75CDC">
              <w:rPr>
                <w:noProof/>
                <w:webHidden/>
              </w:rPr>
            </w:r>
            <w:r w:rsidR="00D75CDC">
              <w:rPr>
                <w:noProof/>
                <w:webHidden/>
              </w:rPr>
              <w:fldChar w:fldCharType="separate"/>
            </w:r>
            <w:r w:rsidR="00D75CDC">
              <w:rPr>
                <w:noProof/>
                <w:webHidden/>
              </w:rPr>
              <w:t>8</w:t>
            </w:r>
            <w:r w:rsidR="00D75CDC">
              <w:rPr>
                <w:noProof/>
                <w:webHidden/>
              </w:rPr>
              <w:fldChar w:fldCharType="end"/>
            </w:r>
          </w:hyperlink>
        </w:p>
        <w:p w14:paraId="09135044" w14:textId="267501E5" w:rsidR="00D75CDC" w:rsidRDefault="00E65C42">
          <w:pPr>
            <w:pStyle w:val="TOC1"/>
            <w:rPr>
              <w:rFonts w:asciiTheme="minorHAnsi" w:eastAsiaTheme="minorEastAsia" w:hAnsiTheme="minorHAnsi"/>
              <w:b w:val="0"/>
              <w:caps w:val="0"/>
              <w:noProof/>
              <w:sz w:val="22"/>
              <w:szCs w:val="22"/>
              <w:lang w:eastAsia="en-AU"/>
            </w:rPr>
          </w:pPr>
          <w:hyperlink w:anchor="_Toc150441691" w:history="1">
            <w:r w:rsidR="00D75CDC" w:rsidRPr="00005E66">
              <w:rPr>
                <w:rStyle w:val="Hyperlink"/>
                <w:noProof/>
              </w:rPr>
              <w:t>III.</w:t>
            </w:r>
            <w:r w:rsidR="00D75CDC">
              <w:rPr>
                <w:rFonts w:asciiTheme="minorHAnsi" w:eastAsiaTheme="minorEastAsia" w:hAnsiTheme="minorHAnsi"/>
                <w:b w:val="0"/>
                <w:caps w:val="0"/>
                <w:noProof/>
                <w:sz w:val="22"/>
                <w:szCs w:val="22"/>
                <w:lang w:eastAsia="en-AU"/>
              </w:rPr>
              <w:tab/>
            </w:r>
            <w:r w:rsidR="00D75CDC" w:rsidRPr="00005E66">
              <w:rPr>
                <w:rStyle w:val="Hyperlink"/>
                <w:noProof/>
              </w:rPr>
              <w:t>Threshold considerations</w:t>
            </w:r>
            <w:r w:rsidR="00D75CDC">
              <w:rPr>
                <w:noProof/>
                <w:webHidden/>
              </w:rPr>
              <w:tab/>
            </w:r>
            <w:r w:rsidR="00D75CDC">
              <w:rPr>
                <w:noProof/>
                <w:webHidden/>
              </w:rPr>
              <w:fldChar w:fldCharType="begin"/>
            </w:r>
            <w:r w:rsidR="00D75CDC">
              <w:rPr>
                <w:noProof/>
                <w:webHidden/>
              </w:rPr>
              <w:instrText xml:space="preserve"> PAGEREF _Toc150441691 \h </w:instrText>
            </w:r>
            <w:r w:rsidR="00D75CDC">
              <w:rPr>
                <w:noProof/>
                <w:webHidden/>
              </w:rPr>
            </w:r>
            <w:r w:rsidR="00D75CDC">
              <w:rPr>
                <w:noProof/>
                <w:webHidden/>
              </w:rPr>
              <w:fldChar w:fldCharType="separate"/>
            </w:r>
            <w:r w:rsidR="00D75CDC">
              <w:rPr>
                <w:noProof/>
                <w:webHidden/>
              </w:rPr>
              <w:t>9</w:t>
            </w:r>
            <w:r w:rsidR="00D75CDC">
              <w:rPr>
                <w:noProof/>
                <w:webHidden/>
              </w:rPr>
              <w:fldChar w:fldCharType="end"/>
            </w:r>
          </w:hyperlink>
        </w:p>
        <w:p w14:paraId="44FAF12F" w14:textId="08F4F43D" w:rsidR="00D75CDC" w:rsidRDefault="00E65C42">
          <w:pPr>
            <w:pStyle w:val="TOC2"/>
            <w:rPr>
              <w:rFonts w:asciiTheme="minorHAnsi" w:eastAsiaTheme="minorEastAsia" w:hAnsiTheme="minorHAnsi"/>
              <w:b w:val="0"/>
              <w:smallCaps w:val="0"/>
              <w:noProof/>
              <w:sz w:val="22"/>
              <w:szCs w:val="22"/>
              <w:lang w:eastAsia="en-AU"/>
            </w:rPr>
          </w:pPr>
          <w:hyperlink w:anchor="_Toc150441692" w:history="1">
            <w:r w:rsidR="00D75CDC" w:rsidRPr="00005E66">
              <w:rPr>
                <w:rStyle w:val="Hyperlink"/>
                <w:noProof/>
              </w:rPr>
              <w:t>A.</w:t>
            </w:r>
            <w:r w:rsidR="00D75CDC">
              <w:rPr>
                <w:rFonts w:asciiTheme="minorHAnsi" w:eastAsiaTheme="minorEastAsia" w:hAnsiTheme="minorHAnsi"/>
                <w:b w:val="0"/>
                <w:smallCaps w:val="0"/>
                <w:noProof/>
                <w:sz w:val="22"/>
                <w:szCs w:val="22"/>
                <w:lang w:eastAsia="en-AU"/>
              </w:rPr>
              <w:tab/>
            </w:r>
            <w:r w:rsidR="00D75CDC" w:rsidRPr="00005E66">
              <w:rPr>
                <w:rStyle w:val="Hyperlink"/>
                <w:noProof/>
              </w:rPr>
              <w:t>The concept of a "measure" is broad and flexible</w:t>
            </w:r>
            <w:r w:rsidR="00D75CDC">
              <w:rPr>
                <w:noProof/>
                <w:webHidden/>
              </w:rPr>
              <w:tab/>
            </w:r>
            <w:r w:rsidR="00D75CDC">
              <w:rPr>
                <w:noProof/>
                <w:webHidden/>
              </w:rPr>
              <w:fldChar w:fldCharType="begin"/>
            </w:r>
            <w:r w:rsidR="00D75CDC">
              <w:rPr>
                <w:noProof/>
                <w:webHidden/>
              </w:rPr>
              <w:instrText xml:space="preserve"> PAGEREF _Toc150441692 \h </w:instrText>
            </w:r>
            <w:r w:rsidR="00D75CDC">
              <w:rPr>
                <w:noProof/>
                <w:webHidden/>
              </w:rPr>
            </w:r>
            <w:r w:rsidR="00D75CDC">
              <w:rPr>
                <w:noProof/>
                <w:webHidden/>
              </w:rPr>
              <w:fldChar w:fldCharType="separate"/>
            </w:r>
            <w:r w:rsidR="00D75CDC">
              <w:rPr>
                <w:noProof/>
                <w:webHidden/>
              </w:rPr>
              <w:t>9</w:t>
            </w:r>
            <w:r w:rsidR="00D75CDC">
              <w:rPr>
                <w:noProof/>
                <w:webHidden/>
              </w:rPr>
              <w:fldChar w:fldCharType="end"/>
            </w:r>
          </w:hyperlink>
        </w:p>
        <w:p w14:paraId="6A035F8E" w14:textId="55D2CE26" w:rsidR="00D75CDC" w:rsidRDefault="00E65C42">
          <w:pPr>
            <w:pStyle w:val="TOC2"/>
            <w:rPr>
              <w:rFonts w:asciiTheme="minorHAnsi" w:eastAsiaTheme="minorEastAsia" w:hAnsiTheme="minorHAnsi"/>
              <w:b w:val="0"/>
              <w:smallCaps w:val="0"/>
              <w:noProof/>
              <w:sz w:val="22"/>
              <w:szCs w:val="22"/>
              <w:lang w:eastAsia="en-AU"/>
            </w:rPr>
          </w:pPr>
          <w:hyperlink w:anchor="_Toc150441693" w:history="1">
            <w:r w:rsidR="00D75CDC" w:rsidRPr="00005E66">
              <w:rPr>
                <w:rStyle w:val="Hyperlink"/>
                <w:noProof/>
              </w:rPr>
              <w:t>B.</w:t>
            </w:r>
            <w:r w:rsidR="00D75CDC">
              <w:rPr>
                <w:rFonts w:asciiTheme="minorHAnsi" w:eastAsiaTheme="minorEastAsia" w:hAnsiTheme="minorHAnsi"/>
                <w:b w:val="0"/>
                <w:smallCaps w:val="0"/>
                <w:noProof/>
                <w:sz w:val="22"/>
                <w:szCs w:val="22"/>
                <w:lang w:eastAsia="en-AU"/>
              </w:rPr>
              <w:tab/>
            </w:r>
            <w:r w:rsidR="00D75CDC" w:rsidRPr="00005E66">
              <w:rPr>
                <w:rStyle w:val="Hyperlink"/>
                <w:noProof/>
              </w:rPr>
              <w:t>The standard of proof does not change because a measure is "unwritten"</w:t>
            </w:r>
            <w:r w:rsidR="00D75CDC">
              <w:rPr>
                <w:noProof/>
                <w:webHidden/>
              </w:rPr>
              <w:tab/>
            </w:r>
            <w:r w:rsidR="00D75CDC">
              <w:rPr>
                <w:noProof/>
                <w:webHidden/>
              </w:rPr>
              <w:fldChar w:fldCharType="begin"/>
            </w:r>
            <w:r w:rsidR="00D75CDC">
              <w:rPr>
                <w:noProof/>
                <w:webHidden/>
              </w:rPr>
              <w:instrText xml:space="preserve"> PAGEREF _Toc150441693 \h </w:instrText>
            </w:r>
            <w:r w:rsidR="00D75CDC">
              <w:rPr>
                <w:noProof/>
                <w:webHidden/>
              </w:rPr>
            </w:r>
            <w:r w:rsidR="00D75CDC">
              <w:rPr>
                <w:noProof/>
                <w:webHidden/>
              </w:rPr>
              <w:fldChar w:fldCharType="separate"/>
            </w:r>
            <w:r w:rsidR="00D75CDC">
              <w:rPr>
                <w:noProof/>
                <w:webHidden/>
              </w:rPr>
              <w:t>10</w:t>
            </w:r>
            <w:r w:rsidR="00D75CDC">
              <w:rPr>
                <w:noProof/>
                <w:webHidden/>
              </w:rPr>
              <w:fldChar w:fldCharType="end"/>
            </w:r>
          </w:hyperlink>
        </w:p>
        <w:p w14:paraId="1E75AF5E" w14:textId="0EF1E7DD" w:rsidR="00D75CDC" w:rsidRDefault="00E65C42">
          <w:pPr>
            <w:pStyle w:val="TOC2"/>
            <w:rPr>
              <w:rFonts w:asciiTheme="minorHAnsi" w:eastAsiaTheme="minorEastAsia" w:hAnsiTheme="minorHAnsi"/>
              <w:b w:val="0"/>
              <w:smallCaps w:val="0"/>
              <w:noProof/>
              <w:sz w:val="22"/>
              <w:szCs w:val="22"/>
              <w:lang w:eastAsia="en-AU"/>
            </w:rPr>
          </w:pPr>
          <w:hyperlink w:anchor="_Toc150441694" w:history="1">
            <w:r w:rsidR="00D75CDC" w:rsidRPr="00005E66">
              <w:rPr>
                <w:rStyle w:val="Hyperlink"/>
                <w:noProof/>
              </w:rPr>
              <w:t>C.</w:t>
            </w:r>
            <w:r w:rsidR="00D75CDC">
              <w:rPr>
                <w:rFonts w:asciiTheme="minorHAnsi" w:eastAsiaTheme="minorEastAsia" w:hAnsiTheme="minorHAnsi"/>
                <w:b w:val="0"/>
                <w:smallCaps w:val="0"/>
                <w:noProof/>
                <w:sz w:val="22"/>
                <w:szCs w:val="22"/>
                <w:lang w:eastAsia="en-AU"/>
              </w:rPr>
              <w:tab/>
            </w:r>
            <w:r w:rsidR="00D75CDC" w:rsidRPr="00005E66">
              <w:rPr>
                <w:rStyle w:val="Hyperlink"/>
                <w:noProof/>
              </w:rPr>
              <w:t>The elements to be proven, and how to prove them, are case-specific</w:t>
            </w:r>
            <w:r w:rsidR="00D75CDC">
              <w:rPr>
                <w:noProof/>
                <w:webHidden/>
              </w:rPr>
              <w:tab/>
            </w:r>
            <w:r w:rsidR="00D75CDC">
              <w:rPr>
                <w:noProof/>
                <w:webHidden/>
              </w:rPr>
              <w:fldChar w:fldCharType="begin"/>
            </w:r>
            <w:r w:rsidR="00D75CDC">
              <w:rPr>
                <w:noProof/>
                <w:webHidden/>
              </w:rPr>
              <w:instrText xml:space="preserve"> PAGEREF _Toc150441694 \h </w:instrText>
            </w:r>
            <w:r w:rsidR="00D75CDC">
              <w:rPr>
                <w:noProof/>
                <w:webHidden/>
              </w:rPr>
            </w:r>
            <w:r w:rsidR="00D75CDC">
              <w:rPr>
                <w:noProof/>
                <w:webHidden/>
              </w:rPr>
              <w:fldChar w:fldCharType="separate"/>
            </w:r>
            <w:r w:rsidR="00D75CDC">
              <w:rPr>
                <w:noProof/>
                <w:webHidden/>
              </w:rPr>
              <w:t>13</w:t>
            </w:r>
            <w:r w:rsidR="00D75CDC">
              <w:rPr>
                <w:noProof/>
                <w:webHidden/>
              </w:rPr>
              <w:fldChar w:fldCharType="end"/>
            </w:r>
          </w:hyperlink>
        </w:p>
        <w:p w14:paraId="23D56864" w14:textId="4F06C132" w:rsidR="00D75CDC" w:rsidRDefault="00E65C42">
          <w:pPr>
            <w:pStyle w:val="TOC1"/>
            <w:rPr>
              <w:rFonts w:asciiTheme="minorHAnsi" w:eastAsiaTheme="minorEastAsia" w:hAnsiTheme="minorHAnsi"/>
              <w:b w:val="0"/>
              <w:caps w:val="0"/>
              <w:noProof/>
              <w:sz w:val="22"/>
              <w:szCs w:val="22"/>
              <w:lang w:eastAsia="en-AU"/>
            </w:rPr>
          </w:pPr>
          <w:hyperlink w:anchor="_Toc150441695" w:history="1">
            <w:r w:rsidR="00D75CDC" w:rsidRPr="00005E66">
              <w:rPr>
                <w:rStyle w:val="Hyperlink"/>
                <w:noProof/>
              </w:rPr>
              <w:t>IV.</w:t>
            </w:r>
            <w:r w:rsidR="00D75CDC">
              <w:rPr>
                <w:rFonts w:asciiTheme="minorHAnsi" w:eastAsiaTheme="minorEastAsia" w:hAnsiTheme="minorHAnsi"/>
                <w:b w:val="0"/>
                <w:caps w:val="0"/>
                <w:noProof/>
                <w:sz w:val="22"/>
                <w:szCs w:val="22"/>
                <w:lang w:eastAsia="en-AU"/>
              </w:rPr>
              <w:tab/>
            </w:r>
            <w:r w:rsidR="00D75CDC" w:rsidRPr="00005E66">
              <w:rPr>
                <w:rStyle w:val="Hyperlink"/>
                <w:noProof/>
              </w:rPr>
              <w:t>Evidentiary considerations</w:t>
            </w:r>
            <w:r w:rsidR="00D75CDC">
              <w:rPr>
                <w:noProof/>
                <w:webHidden/>
              </w:rPr>
              <w:tab/>
            </w:r>
            <w:r w:rsidR="00D75CDC">
              <w:rPr>
                <w:noProof/>
                <w:webHidden/>
              </w:rPr>
              <w:fldChar w:fldCharType="begin"/>
            </w:r>
            <w:r w:rsidR="00D75CDC">
              <w:rPr>
                <w:noProof/>
                <w:webHidden/>
              </w:rPr>
              <w:instrText xml:space="preserve"> PAGEREF _Toc150441695 \h </w:instrText>
            </w:r>
            <w:r w:rsidR="00D75CDC">
              <w:rPr>
                <w:noProof/>
                <w:webHidden/>
              </w:rPr>
            </w:r>
            <w:r w:rsidR="00D75CDC">
              <w:rPr>
                <w:noProof/>
                <w:webHidden/>
              </w:rPr>
              <w:fldChar w:fldCharType="separate"/>
            </w:r>
            <w:r w:rsidR="00D75CDC">
              <w:rPr>
                <w:noProof/>
                <w:webHidden/>
              </w:rPr>
              <w:t>16</w:t>
            </w:r>
            <w:r w:rsidR="00D75CDC">
              <w:rPr>
                <w:noProof/>
                <w:webHidden/>
              </w:rPr>
              <w:fldChar w:fldCharType="end"/>
            </w:r>
          </w:hyperlink>
        </w:p>
        <w:p w14:paraId="4D12837E" w14:textId="0709150A" w:rsidR="00D75CDC" w:rsidRDefault="00E65C42">
          <w:pPr>
            <w:pStyle w:val="TOC2"/>
            <w:rPr>
              <w:rFonts w:asciiTheme="minorHAnsi" w:eastAsiaTheme="minorEastAsia" w:hAnsiTheme="minorHAnsi"/>
              <w:b w:val="0"/>
              <w:smallCaps w:val="0"/>
              <w:noProof/>
              <w:sz w:val="22"/>
              <w:szCs w:val="22"/>
              <w:lang w:eastAsia="en-AU"/>
            </w:rPr>
          </w:pPr>
          <w:hyperlink w:anchor="_Toc150441696" w:history="1">
            <w:r w:rsidR="00D75CDC" w:rsidRPr="00005E66">
              <w:rPr>
                <w:rStyle w:val="Hyperlink"/>
                <w:noProof/>
              </w:rPr>
              <w:t>A.</w:t>
            </w:r>
            <w:r w:rsidR="00D75CDC">
              <w:rPr>
                <w:rFonts w:asciiTheme="minorHAnsi" w:eastAsiaTheme="minorEastAsia" w:hAnsiTheme="minorHAnsi"/>
                <w:b w:val="0"/>
                <w:smallCaps w:val="0"/>
                <w:noProof/>
                <w:sz w:val="22"/>
                <w:szCs w:val="22"/>
                <w:lang w:eastAsia="en-AU"/>
              </w:rPr>
              <w:tab/>
            </w:r>
            <w:r w:rsidR="00D75CDC" w:rsidRPr="00005E66">
              <w:rPr>
                <w:rStyle w:val="Hyperlink"/>
                <w:noProof/>
              </w:rPr>
              <w:t>A panel must assess the evidence "in totality"</w:t>
            </w:r>
            <w:r w:rsidR="00D75CDC">
              <w:rPr>
                <w:noProof/>
                <w:webHidden/>
              </w:rPr>
              <w:tab/>
            </w:r>
            <w:r w:rsidR="00D75CDC">
              <w:rPr>
                <w:noProof/>
                <w:webHidden/>
              </w:rPr>
              <w:fldChar w:fldCharType="begin"/>
            </w:r>
            <w:r w:rsidR="00D75CDC">
              <w:rPr>
                <w:noProof/>
                <w:webHidden/>
              </w:rPr>
              <w:instrText xml:space="preserve"> PAGEREF _Toc150441696 \h </w:instrText>
            </w:r>
            <w:r w:rsidR="00D75CDC">
              <w:rPr>
                <w:noProof/>
                <w:webHidden/>
              </w:rPr>
            </w:r>
            <w:r w:rsidR="00D75CDC">
              <w:rPr>
                <w:noProof/>
                <w:webHidden/>
              </w:rPr>
              <w:fldChar w:fldCharType="separate"/>
            </w:r>
            <w:r w:rsidR="00D75CDC">
              <w:rPr>
                <w:noProof/>
                <w:webHidden/>
              </w:rPr>
              <w:t>16</w:t>
            </w:r>
            <w:r w:rsidR="00D75CDC">
              <w:rPr>
                <w:noProof/>
                <w:webHidden/>
              </w:rPr>
              <w:fldChar w:fldCharType="end"/>
            </w:r>
          </w:hyperlink>
        </w:p>
        <w:p w14:paraId="5A4B5755" w14:textId="22D5B295" w:rsidR="00D75CDC" w:rsidRDefault="00E65C42">
          <w:pPr>
            <w:pStyle w:val="TOC2"/>
            <w:rPr>
              <w:rFonts w:asciiTheme="minorHAnsi" w:eastAsiaTheme="minorEastAsia" w:hAnsiTheme="minorHAnsi"/>
              <w:b w:val="0"/>
              <w:smallCaps w:val="0"/>
              <w:noProof/>
              <w:sz w:val="22"/>
              <w:szCs w:val="22"/>
              <w:lang w:eastAsia="en-AU"/>
            </w:rPr>
          </w:pPr>
          <w:hyperlink w:anchor="_Toc150441697" w:history="1">
            <w:r w:rsidR="00D75CDC" w:rsidRPr="00005E66">
              <w:rPr>
                <w:rStyle w:val="Hyperlink"/>
                <w:noProof/>
              </w:rPr>
              <w:t>B.</w:t>
            </w:r>
            <w:r w:rsidR="00D75CDC">
              <w:rPr>
                <w:rFonts w:asciiTheme="minorHAnsi" w:eastAsiaTheme="minorEastAsia" w:hAnsiTheme="minorHAnsi"/>
                <w:b w:val="0"/>
                <w:smallCaps w:val="0"/>
                <w:noProof/>
                <w:sz w:val="22"/>
                <w:szCs w:val="22"/>
                <w:lang w:eastAsia="en-AU"/>
              </w:rPr>
              <w:tab/>
            </w:r>
            <w:r w:rsidR="00D75CDC" w:rsidRPr="00005E66">
              <w:rPr>
                <w:rStyle w:val="Hyperlink"/>
                <w:noProof/>
              </w:rPr>
              <w:t>The Panel may seek further information</w:t>
            </w:r>
            <w:r w:rsidR="00D75CDC">
              <w:rPr>
                <w:noProof/>
                <w:webHidden/>
              </w:rPr>
              <w:tab/>
            </w:r>
            <w:r w:rsidR="00D75CDC">
              <w:rPr>
                <w:noProof/>
                <w:webHidden/>
              </w:rPr>
              <w:fldChar w:fldCharType="begin"/>
            </w:r>
            <w:r w:rsidR="00D75CDC">
              <w:rPr>
                <w:noProof/>
                <w:webHidden/>
              </w:rPr>
              <w:instrText xml:space="preserve"> PAGEREF _Toc150441697 \h </w:instrText>
            </w:r>
            <w:r w:rsidR="00D75CDC">
              <w:rPr>
                <w:noProof/>
                <w:webHidden/>
              </w:rPr>
            </w:r>
            <w:r w:rsidR="00D75CDC">
              <w:rPr>
                <w:noProof/>
                <w:webHidden/>
              </w:rPr>
              <w:fldChar w:fldCharType="separate"/>
            </w:r>
            <w:r w:rsidR="00D75CDC">
              <w:rPr>
                <w:noProof/>
                <w:webHidden/>
              </w:rPr>
              <w:t>21</w:t>
            </w:r>
            <w:r w:rsidR="00D75CDC">
              <w:rPr>
                <w:noProof/>
                <w:webHidden/>
              </w:rPr>
              <w:fldChar w:fldCharType="end"/>
            </w:r>
          </w:hyperlink>
        </w:p>
        <w:p w14:paraId="17623A90" w14:textId="4AE0FC8A" w:rsidR="00D75CDC" w:rsidRDefault="00E65C42">
          <w:pPr>
            <w:pStyle w:val="TOC1"/>
            <w:rPr>
              <w:rFonts w:asciiTheme="minorHAnsi" w:eastAsiaTheme="minorEastAsia" w:hAnsiTheme="minorHAnsi"/>
              <w:b w:val="0"/>
              <w:caps w:val="0"/>
              <w:noProof/>
              <w:sz w:val="22"/>
              <w:szCs w:val="22"/>
              <w:lang w:eastAsia="en-AU"/>
            </w:rPr>
          </w:pPr>
          <w:hyperlink w:anchor="_Toc150441698" w:history="1">
            <w:r w:rsidR="00D75CDC" w:rsidRPr="00005E66">
              <w:rPr>
                <w:rStyle w:val="Hyperlink"/>
                <w:noProof/>
              </w:rPr>
              <w:t>V.</w:t>
            </w:r>
            <w:r w:rsidR="00D75CDC">
              <w:rPr>
                <w:rFonts w:asciiTheme="minorHAnsi" w:eastAsiaTheme="minorEastAsia" w:hAnsiTheme="minorHAnsi"/>
                <w:b w:val="0"/>
                <w:caps w:val="0"/>
                <w:noProof/>
                <w:sz w:val="22"/>
                <w:szCs w:val="22"/>
                <w:lang w:eastAsia="en-AU"/>
              </w:rPr>
              <w:tab/>
            </w:r>
            <w:r w:rsidR="00D75CDC" w:rsidRPr="00005E66">
              <w:rPr>
                <w:rStyle w:val="Hyperlink"/>
                <w:noProof/>
              </w:rPr>
              <w:t>Systemic implications</w:t>
            </w:r>
            <w:r w:rsidR="00D75CDC">
              <w:rPr>
                <w:noProof/>
                <w:webHidden/>
              </w:rPr>
              <w:tab/>
            </w:r>
            <w:r w:rsidR="00D75CDC">
              <w:rPr>
                <w:noProof/>
                <w:webHidden/>
              </w:rPr>
              <w:fldChar w:fldCharType="begin"/>
            </w:r>
            <w:r w:rsidR="00D75CDC">
              <w:rPr>
                <w:noProof/>
                <w:webHidden/>
              </w:rPr>
              <w:instrText xml:space="preserve"> PAGEREF _Toc150441698 \h </w:instrText>
            </w:r>
            <w:r w:rsidR="00D75CDC">
              <w:rPr>
                <w:noProof/>
                <w:webHidden/>
              </w:rPr>
            </w:r>
            <w:r w:rsidR="00D75CDC">
              <w:rPr>
                <w:noProof/>
                <w:webHidden/>
              </w:rPr>
              <w:fldChar w:fldCharType="separate"/>
            </w:r>
            <w:r w:rsidR="00D75CDC">
              <w:rPr>
                <w:noProof/>
                <w:webHidden/>
              </w:rPr>
              <w:t>23</w:t>
            </w:r>
            <w:r w:rsidR="00D75CDC">
              <w:rPr>
                <w:noProof/>
                <w:webHidden/>
              </w:rPr>
              <w:fldChar w:fldCharType="end"/>
            </w:r>
          </w:hyperlink>
        </w:p>
        <w:p w14:paraId="2E6D6242" w14:textId="27078130" w:rsidR="00D75CDC" w:rsidRDefault="00E65C42">
          <w:pPr>
            <w:pStyle w:val="TOC1"/>
            <w:rPr>
              <w:rFonts w:asciiTheme="minorHAnsi" w:eastAsiaTheme="minorEastAsia" w:hAnsiTheme="minorHAnsi"/>
              <w:b w:val="0"/>
              <w:caps w:val="0"/>
              <w:noProof/>
              <w:sz w:val="22"/>
              <w:szCs w:val="22"/>
              <w:lang w:eastAsia="en-AU"/>
            </w:rPr>
          </w:pPr>
          <w:hyperlink w:anchor="_Toc150441699" w:history="1">
            <w:r w:rsidR="00D75CDC" w:rsidRPr="00005E66">
              <w:rPr>
                <w:rStyle w:val="Hyperlink"/>
                <w:noProof/>
              </w:rPr>
              <w:t>VI.</w:t>
            </w:r>
            <w:r w:rsidR="00D75CDC">
              <w:rPr>
                <w:rFonts w:asciiTheme="minorHAnsi" w:eastAsiaTheme="minorEastAsia" w:hAnsiTheme="minorHAnsi"/>
                <w:b w:val="0"/>
                <w:caps w:val="0"/>
                <w:noProof/>
                <w:sz w:val="22"/>
                <w:szCs w:val="22"/>
                <w:lang w:eastAsia="en-AU"/>
              </w:rPr>
              <w:tab/>
            </w:r>
            <w:r w:rsidR="00D75CDC" w:rsidRPr="00005E66">
              <w:rPr>
                <w:rStyle w:val="Hyperlink"/>
                <w:noProof/>
              </w:rPr>
              <w:t>Conclusion</w:t>
            </w:r>
            <w:r w:rsidR="00D75CDC">
              <w:rPr>
                <w:noProof/>
                <w:webHidden/>
              </w:rPr>
              <w:tab/>
            </w:r>
            <w:r w:rsidR="00D75CDC">
              <w:rPr>
                <w:noProof/>
                <w:webHidden/>
              </w:rPr>
              <w:fldChar w:fldCharType="begin"/>
            </w:r>
            <w:r w:rsidR="00D75CDC">
              <w:rPr>
                <w:noProof/>
                <w:webHidden/>
              </w:rPr>
              <w:instrText xml:space="preserve"> PAGEREF _Toc150441699 \h </w:instrText>
            </w:r>
            <w:r w:rsidR="00D75CDC">
              <w:rPr>
                <w:noProof/>
                <w:webHidden/>
              </w:rPr>
            </w:r>
            <w:r w:rsidR="00D75CDC">
              <w:rPr>
                <w:noProof/>
                <w:webHidden/>
              </w:rPr>
              <w:fldChar w:fldCharType="separate"/>
            </w:r>
            <w:r w:rsidR="00D75CDC">
              <w:rPr>
                <w:noProof/>
                <w:webHidden/>
              </w:rPr>
              <w:t>25</w:t>
            </w:r>
            <w:r w:rsidR="00D75CDC">
              <w:rPr>
                <w:noProof/>
                <w:webHidden/>
              </w:rPr>
              <w:fldChar w:fldCharType="end"/>
            </w:r>
          </w:hyperlink>
        </w:p>
        <w:p w14:paraId="231F010A" w14:textId="355F3D71" w:rsidR="004D7079" w:rsidRPr="00613CFE" w:rsidRDefault="00F945DB" w:rsidP="001D6DB3">
          <w:pPr>
            <w:pStyle w:val="TOC1"/>
          </w:pPr>
          <w:r>
            <w:fldChar w:fldCharType="end"/>
          </w:r>
          <w:r w:rsidR="00613CFE">
            <w:br w:type="page"/>
          </w:r>
        </w:p>
      </w:sdtContent>
    </w:sdt>
    <w:p w14:paraId="7B5946E0" w14:textId="77777777" w:rsidR="00646950" w:rsidRPr="0007327B" w:rsidRDefault="00646950" w:rsidP="00646950">
      <w:pPr>
        <w:pStyle w:val="SHSectionHeading"/>
      </w:pPr>
      <w:bookmarkStart w:id="0" w:name="_Toc148689582"/>
      <w:bookmarkStart w:id="1" w:name="_Toc150441687"/>
      <w:r w:rsidRPr="0007327B">
        <w:lastRenderedPageBreak/>
        <w:t>Table of Cases</w:t>
      </w:r>
      <w:bookmarkEnd w:id="0"/>
      <w:bookmarkEnd w:id="1"/>
    </w:p>
    <w:tbl>
      <w:tblPr>
        <w:tblStyle w:val="TableGrid"/>
        <w:tblW w:w="5000" w:type="pct"/>
        <w:tblLook w:val="04A0" w:firstRow="1" w:lastRow="0" w:firstColumn="1" w:lastColumn="0" w:noHBand="0" w:noVBand="1"/>
      </w:tblPr>
      <w:tblGrid>
        <w:gridCol w:w="2261"/>
        <w:gridCol w:w="6755"/>
        <w:gridCol w:w="44"/>
      </w:tblGrid>
      <w:tr w:rsidR="004759DD" w:rsidRPr="0007327B" w14:paraId="671292EB" w14:textId="77777777" w:rsidTr="0012704C">
        <w:trPr>
          <w:cantSplit/>
          <w:trHeight w:val="397"/>
          <w:tblHeader/>
        </w:trPr>
        <w:tc>
          <w:tcPr>
            <w:tcW w:w="2261" w:type="dxa"/>
            <w:shd w:val="clear" w:color="auto" w:fill="D9D9D9" w:themeFill="background1" w:themeFillShade="D9"/>
          </w:tcPr>
          <w:p w14:paraId="4025EB8D" w14:textId="77777777" w:rsidR="00613CFE" w:rsidRPr="0007327B" w:rsidRDefault="00613CFE" w:rsidP="00D63B48">
            <w:pPr>
              <w:pStyle w:val="THTableHeading"/>
              <w:jc w:val="center"/>
            </w:pPr>
            <w:r w:rsidRPr="0007327B">
              <w:t>Short Title</w:t>
            </w:r>
          </w:p>
        </w:tc>
        <w:tc>
          <w:tcPr>
            <w:tcW w:w="6799" w:type="dxa"/>
            <w:gridSpan w:val="2"/>
            <w:shd w:val="clear" w:color="auto" w:fill="D9D9D9" w:themeFill="background1" w:themeFillShade="D9"/>
          </w:tcPr>
          <w:p w14:paraId="09CA4AC8" w14:textId="77777777" w:rsidR="00613CFE" w:rsidRPr="0007327B" w:rsidRDefault="00613CFE" w:rsidP="00D63B48">
            <w:pPr>
              <w:pStyle w:val="THTableHeading"/>
              <w:jc w:val="center"/>
            </w:pPr>
            <w:r w:rsidRPr="0007327B">
              <w:t>Full Case Title and Citation</w:t>
            </w:r>
          </w:p>
        </w:tc>
      </w:tr>
      <w:tr w:rsidR="004759DD" w:rsidRPr="0007327B" w14:paraId="28F74F71" w14:textId="77777777" w:rsidTr="0012704C">
        <w:trPr>
          <w:cantSplit/>
          <w:trHeight w:val="397"/>
        </w:trPr>
        <w:tc>
          <w:tcPr>
            <w:tcW w:w="2261" w:type="dxa"/>
          </w:tcPr>
          <w:p w14:paraId="0C06B1BF" w14:textId="77777777" w:rsidR="00613CFE" w:rsidRPr="0007327B" w:rsidRDefault="00613CFE" w:rsidP="00D63B48">
            <w:pPr>
              <w:pStyle w:val="TTTableText"/>
            </w:pPr>
            <w:r>
              <w:rPr>
                <w:i/>
                <w:iCs/>
              </w:rPr>
              <w:t>Argentina – Import Measures</w:t>
            </w:r>
          </w:p>
        </w:tc>
        <w:tc>
          <w:tcPr>
            <w:tcW w:w="6799" w:type="dxa"/>
            <w:gridSpan w:val="2"/>
          </w:tcPr>
          <w:p w14:paraId="77DD948C" w14:textId="5380B9DF" w:rsidR="00613CFE" w:rsidRPr="00B03E6B" w:rsidRDefault="00613CFE" w:rsidP="00D63B48">
            <w:pPr>
              <w:pStyle w:val="TTTableText"/>
            </w:pPr>
            <w:r w:rsidRPr="00EF73B2">
              <w:rPr>
                <w:color w:val="000000"/>
              </w:rPr>
              <w:t xml:space="preserve">Appellate Body Reports, </w:t>
            </w:r>
            <w:r w:rsidRPr="00EF73B2">
              <w:rPr>
                <w:i/>
                <w:color w:val="000000"/>
              </w:rPr>
              <w:t>Argentina – Measures Affecting the Importation of Goods</w:t>
            </w:r>
            <w:r w:rsidRPr="00EF73B2">
              <w:rPr>
                <w:color w:val="000000"/>
              </w:rPr>
              <w:t xml:space="preserve">, </w:t>
            </w:r>
            <w:r w:rsidRPr="00FB359A">
              <w:t>WT/DS438/AB/R</w:t>
            </w:r>
            <w:r w:rsidRPr="00EF73B2">
              <w:rPr>
                <w:color w:val="000000"/>
              </w:rPr>
              <w:t xml:space="preserve"> / </w:t>
            </w:r>
            <w:r w:rsidRPr="00FB359A">
              <w:t>WT/DS444/AB/R</w:t>
            </w:r>
            <w:r w:rsidRPr="00EF73B2">
              <w:rPr>
                <w:color w:val="000000"/>
              </w:rPr>
              <w:t xml:space="preserve"> / </w:t>
            </w:r>
            <w:r w:rsidRPr="00FB359A">
              <w:t>WT/DS445/AB/R</w:t>
            </w:r>
            <w:r w:rsidRPr="00EF73B2">
              <w:rPr>
                <w:color w:val="000000"/>
              </w:rPr>
              <w:t>, adopted 26 January 2015, DSR 2015:II, p. 579</w:t>
            </w:r>
          </w:p>
        </w:tc>
      </w:tr>
      <w:tr w:rsidR="00A91D40" w:rsidRPr="0007327B" w14:paraId="583540B6" w14:textId="77777777" w:rsidTr="0012704C">
        <w:trPr>
          <w:cantSplit/>
          <w:trHeight w:val="397"/>
        </w:trPr>
        <w:tc>
          <w:tcPr>
            <w:tcW w:w="2261" w:type="dxa"/>
          </w:tcPr>
          <w:p w14:paraId="550E12DA" w14:textId="7AF67EDD" w:rsidR="00A91D40" w:rsidRDefault="00A91D40" w:rsidP="00D63B48">
            <w:pPr>
              <w:pStyle w:val="TTTableText"/>
              <w:rPr>
                <w:i/>
                <w:iCs/>
              </w:rPr>
            </w:pPr>
            <w:r>
              <w:rPr>
                <w:i/>
                <w:iCs/>
              </w:rPr>
              <w:t>Argentina – Import Measures</w:t>
            </w:r>
          </w:p>
        </w:tc>
        <w:tc>
          <w:tcPr>
            <w:tcW w:w="6799" w:type="dxa"/>
            <w:gridSpan w:val="2"/>
          </w:tcPr>
          <w:p w14:paraId="17F61FF9" w14:textId="0C6ABDB5" w:rsidR="00A91D40" w:rsidRPr="00EF73B2" w:rsidRDefault="00A91D40" w:rsidP="00D63B48">
            <w:pPr>
              <w:pStyle w:val="TTTableText"/>
              <w:rPr>
                <w:color w:val="000000"/>
              </w:rPr>
            </w:pPr>
            <w:r w:rsidRPr="00A91D40">
              <w:rPr>
                <w:color w:val="000000"/>
              </w:rPr>
              <w:t xml:space="preserve">Panel Reports, </w:t>
            </w:r>
            <w:r w:rsidRPr="00A91D40">
              <w:rPr>
                <w:i/>
                <w:color w:val="000000"/>
              </w:rPr>
              <w:t>Argentina – Measures Affecting the Importation of Goods</w:t>
            </w:r>
            <w:r w:rsidRPr="00A91D40">
              <w:rPr>
                <w:color w:val="000000"/>
              </w:rPr>
              <w:t xml:space="preserve">, </w:t>
            </w:r>
            <w:r w:rsidRPr="0012704C">
              <w:rPr>
                <w:color w:val="000000"/>
              </w:rPr>
              <w:t>WT/DS438/R</w:t>
            </w:r>
            <w:r w:rsidRPr="00A91D40">
              <w:rPr>
                <w:color w:val="000000"/>
              </w:rPr>
              <w:t xml:space="preserve"> and Add.1 / </w:t>
            </w:r>
            <w:r w:rsidRPr="0012704C">
              <w:rPr>
                <w:color w:val="000000"/>
              </w:rPr>
              <w:t>WT/DS444/R</w:t>
            </w:r>
            <w:r w:rsidRPr="00A91D40">
              <w:rPr>
                <w:color w:val="000000"/>
              </w:rPr>
              <w:t xml:space="preserve"> and Add.1 / </w:t>
            </w:r>
            <w:r w:rsidRPr="0012704C">
              <w:rPr>
                <w:color w:val="000000"/>
              </w:rPr>
              <w:t>WT/DS445/R</w:t>
            </w:r>
            <w:r w:rsidRPr="00A91D40">
              <w:rPr>
                <w:color w:val="000000"/>
              </w:rPr>
              <w:t xml:space="preserve"> and Add.1, adopted 26 January 2015, as modified (WT/DS438/R) and upheld (WT/DS444/R / WT/DS445/R) by Appellate Body Reports WT/DS438/AB/R / WT/DS444/AB/R / WT/DS445/AB/R, DSR 2015:II, p. 783</w:t>
            </w:r>
          </w:p>
        </w:tc>
      </w:tr>
      <w:tr w:rsidR="004759DD" w:rsidRPr="0007327B" w14:paraId="76A777FE" w14:textId="77777777" w:rsidTr="0012704C">
        <w:trPr>
          <w:gridAfter w:val="1"/>
          <w:wAfter w:w="44" w:type="dxa"/>
          <w:cantSplit/>
          <w:trHeight w:val="397"/>
        </w:trPr>
        <w:tc>
          <w:tcPr>
            <w:tcW w:w="2261" w:type="dxa"/>
          </w:tcPr>
          <w:p w14:paraId="1D37C4FB" w14:textId="77777777" w:rsidR="00613CFE" w:rsidRPr="00D2798F" w:rsidRDefault="00613CFE" w:rsidP="00D63B48">
            <w:pPr>
              <w:pStyle w:val="TTTableText"/>
              <w:rPr>
                <w:i/>
                <w:iCs/>
              </w:rPr>
            </w:pPr>
            <w:r>
              <w:rPr>
                <w:i/>
                <w:iCs/>
              </w:rPr>
              <w:t>Argentina – Textiles and Apparel</w:t>
            </w:r>
          </w:p>
        </w:tc>
        <w:tc>
          <w:tcPr>
            <w:tcW w:w="6755" w:type="dxa"/>
          </w:tcPr>
          <w:p w14:paraId="7F8C942A" w14:textId="50F43714" w:rsidR="00613CFE" w:rsidRPr="00B03E6B" w:rsidRDefault="00014EBA" w:rsidP="00D63B48">
            <w:pPr>
              <w:pStyle w:val="TTTableText"/>
              <w:rPr>
                <w:color w:val="000000"/>
              </w:rPr>
            </w:pPr>
            <w:r w:rsidRPr="00014EBA">
              <w:rPr>
                <w:color w:val="000000"/>
              </w:rPr>
              <w:t xml:space="preserve">Panel Report, </w:t>
            </w:r>
            <w:r w:rsidRPr="00014EBA">
              <w:rPr>
                <w:i/>
                <w:color w:val="000000"/>
              </w:rPr>
              <w:t>Argentina – Measures Affecting Imports of Footwear, Textiles, Apparel and Other Items</w:t>
            </w:r>
            <w:r w:rsidRPr="00014EBA">
              <w:rPr>
                <w:color w:val="000000"/>
              </w:rPr>
              <w:t xml:space="preserve">, </w:t>
            </w:r>
            <w:r w:rsidRPr="0012704C">
              <w:rPr>
                <w:color w:val="000000"/>
              </w:rPr>
              <w:t>WT/DS56/R</w:t>
            </w:r>
            <w:r w:rsidRPr="00014EBA">
              <w:rPr>
                <w:color w:val="000000"/>
              </w:rPr>
              <w:t>, adopted 22 April 1998, as modified by Appellate Body Report WT/DS56/AB/R, DSR 1998:III, p. 1033</w:t>
            </w:r>
          </w:p>
        </w:tc>
      </w:tr>
      <w:tr w:rsidR="004759DD" w:rsidRPr="0007327B" w14:paraId="0784E984" w14:textId="77777777" w:rsidTr="0012704C">
        <w:trPr>
          <w:gridAfter w:val="1"/>
          <w:wAfter w:w="44" w:type="dxa"/>
          <w:cantSplit/>
          <w:trHeight w:val="397"/>
        </w:trPr>
        <w:tc>
          <w:tcPr>
            <w:tcW w:w="2261" w:type="dxa"/>
          </w:tcPr>
          <w:p w14:paraId="2B201A02" w14:textId="77777777" w:rsidR="00613CFE" w:rsidRPr="00FA2F0E" w:rsidRDefault="00613CFE" w:rsidP="00D63B48">
            <w:pPr>
              <w:pStyle w:val="TTTableText"/>
              <w:rPr>
                <w:i/>
                <w:iCs/>
                <w:szCs w:val="18"/>
              </w:rPr>
            </w:pPr>
            <w:r w:rsidRPr="00D2798F">
              <w:rPr>
                <w:i/>
                <w:iCs/>
              </w:rPr>
              <w:t>Brazil – Re-treaded Tyres</w:t>
            </w:r>
          </w:p>
        </w:tc>
        <w:tc>
          <w:tcPr>
            <w:tcW w:w="6755" w:type="dxa"/>
          </w:tcPr>
          <w:p w14:paraId="099294BF" w14:textId="4B522CC3" w:rsidR="00613CFE" w:rsidRPr="00B03E6B" w:rsidRDefault="00613CFE" w:rsidP="00D63B48">
            <w:pPr>
              <w:pStyle w:val="TTTableText"/>
              <w:rPr>
                <w:color w:val="000000"/>
              </w:rPr>
            </w:pPr>
            <w:r w:rsidRPr="00EF73B2">
              <w:rPr>
                <w:color w:val="000000"/>
              </w:rPr>
              <w:t xml:space="preserve">Appellate Body Report, </w:t>
            </w:r>
            <w:r w:rsidRPr="00EF73B2">
              <w:rPr>
                <w:i/>
                <w:color w:val="000000"/>
              </w:rPr>
              <w:t>Brazil – Measures Affecting Imports of Retreaded Tyres</w:t>
            </w:r>
            <w:r w:rsidRPr="00EF73B2">
              <w:rPr>
                <w:color w:val="000000"/>
              </w:rPr>
              <w:t xml:space="preserve">, </w:t>
            </w:r>
            <w:r w:rsidRPr="00FB359A">
              <w:t>WT/DS332/AB/R</w:t>
            </w:r>
            <w:r w:rsidRPr="00EF73B2">
              <w:rPr>
                <w:color w:val="000000"/>
              </w:rPr>
              <w:t>, adopted 17 December 2007, DSR 2007:IV, p. 1527</w:t>
            </w:r>
          </w:p>
        </w:tc>
      </w:tr>
      <w:tr w:rsidR="004759DD" w:rsidRPr="0007327B" w14:paraId="10813246" w14:textId="77777777" w:rsidTr="0012704C">
        <w:trPr>
          <w:gridAfter w:val="1"/>
          <w:wAfter w:w="44" w:type="dxa"/>
          <w:cantSplit/>
          <w:trHeight w:val="397"/>
        </w:trPr>
        <w:tc>
          <w:tcPr>
            <w:tcW w:w="2261" w:type="dxa"/>
          </w:tcPr>
          <w:p w14:paraId="45B94B4C" w14:textId="77777777" w:rsidR="00613CFE" w:rsidRPr="00FA2F0E" w:rsidRDefault="00613CFE" w:rsidP="00D63B48">
            <w:pPr>
              <w:pStyle w:val="TTTableText"/>
              <w:rPr>
                <w:i/>
                <w:iCs/>
                <w:szCs w:val="18"/>
              </w:rPr>
            </w:pPr>
            <w:r>
              <w:rPr>
                <w:i/>
                <w:iCs/>
                <w:szCs w:val="18"/>
              </w:rPr>
              <w:t>Canada - Aircraft</w:t>
            </w:r>
          </w:p>
        </w:tc>
        <w:tc>
          <w:tcPr>
            <w:tcW w:w="6755" w:type="dxa"/>
          </w:tcPr>
          <w:p w14:paraId="708A8417" w14:textId="734A3F51" w:rsidR="00613CFE" w:rsidRPr="00B03E6B" w:rsidRDefault="00613CFE" w:rsidP="00D63B48">
            <w:pPr>
              <w:pStyle w:val="TTTableText"/>
              <w:rPr>
                <w:color w:val="000000"/>
              </w:rPr>
            </w:pPr>
            <w:r w:rsidRPr="00EF73B2">
              <w:rPr>
                <w:color w:val="000000"/>
              </w:rPr>
              <w:t xml:space="preserve">Appellate Body Report, </w:t>
            </w:r>
            <w:r w:rsidRPr="00EF73B2">
              <w:rPr>
                <w:i/>
                <w:color w:val="000000"/>
              </w:rPr>
              <w:t>Canada – Measures Affecting the Export of Civilian Aircraft</w:t>
            </w:r>
            <w:r w:rsidRPr="00EF73B2">
              <w:rPr>
                <w:color w:val="000000"/>
              </w:rPr>
              <w:t xml:space="preserve">, </w:t>
            </w:r>
            <w:r w:rsidRPr="00FB359A">
              <w:t>WT/DS70/AB/R</w:t>
            </w:r>
            <w:r w:rsidRPr="00EF73B2">
              <w:rPr>
                <w:color w:val="000000"/>
              </w:rPr>
              <w:t>, adopted 20 August 1999, DSR 1999:III, p. 1377</w:t>
            </w:r>
          </w:p>
        </w:tc>
      </w:tr>
      <w:tr w:rsidR="004759DD" w:rsidRPr="0007327B" w14:paraId="196A8EC8" w14:textId="77777777" w:rsidTr="0012704C">
        <w:trPr>
          <w:gridAfter w:val="1"/>
          <w:wAfter w:w="44" w:type="dxa"/>
          <w:cantSplit/>
          <w:trHeight w:val="397"/>
        </w:trPr>
        <w:tc>
          <w:tcPr>
            <w:tcW w:w="2261" w:type="dxa"/>
          </w:tcPr>
          <w:p w14:paraId="62E407AB" w14:textId="77777777" w:rsidR="00613CFE" w:rsidRPr="0012704C" w:rsidRDefault="00613CFE" w:rsidP="00D63B48">
            <w:pPr>
              <w:pStyle w:val="TTTableText"/>
              <w:rPr>
                <w:i/>
                <w:iCs/>
                <w:color w:val="000000"/>
              </w:rPr>
            </w:pPr>
            <w:r w:rsidRPr="0012704C">
              <w:rPr>
                <w:i/>
                <w:color w:val="000000"/>
              </w:rPr>
              <w:t>Chile – Price Band System (Article 21.5 – Argentina)</w:t>
            </w:r>
          </w:p>
        </w:tc>
        <w:tc>
          <w:tcPr>
            <w:tcW w:w="6755" w:type="dxa"/>
          </w:tcPr>
          <w:p w14:paraId="61070E8D" w14:textId="5BD67885" w:rsidR="00613CFE" w:rsidRPr="0012704C" w:rsidRDefault="00613CFE" w:rsidP="00D63B48">
            <w:pPr>
              <w:pStyle w:val="TTTableText"/>
              <w:rPr>
                <w:color w:val="000000"/>
              </w:rPr>
            </w:pPr>
            <w:r w:rsidRPr="0012704C">
              <w:rPr>
                <w:color w:val="000000"/>
              </w:rPr>
              <w:t xml:space="preserve">Appellate Body Report, </w:t>
            </w:r>
            <w:r w:rsidRPr="0012704C">
              <w:rPr>
                <w:i/>
                <w:color w:val="000000"/>
              </w:rPr>
              <w:t>Chile – Price Band System and Safeguard Measures Relating to Certain Agricultural Products – Recourse to Article 21.5 of the DSU by Argentina</w:t>
            </w:r>
            <w:r w:rsidRPr="0012704C">
              <w:rPr>
                <w:color w:val="000000"/>
              </w:rPr>
              <w:t xml:space="preserve">, </w:t>
            </w:r>
            <w:r w:rsidRPr="0012704C">
              <w:t>WT/DS207/AB/RW</w:t>
            </w:r>
            <w:r w:rsidRPr="0012704C">
              <w:rPr>
                <w:color w:val="000000"/>
              </w:rPr>
              <w:t>, adopted 22 May 2007, DSR 2007:II, p. 513</w:t>
            </w:r>
          </w:p>
        </w:tc>
      </w:tr>
      <w:tr w:rsidR="004759DD" w:rsidRPr="0007327B" w14:paraId="67798475" w14:textId="77777777" w:rsidTr="0012704C">
        <w:trPr>
          <w:gridAfter w:val="1"/>
          <w:wAfter w:w="44" w:type="dxa"/>
          <w:cantSplit/>
          <w:trHeight w:val="397"/>
        </w:trPr>
        <w:tc>
          <w:tcPr>
            <w:tcW w:w="2261" w:type="dxa"/>
          </w:tcPr>
          <w:p w14:paraId="57C00207" w14:textId="77777777" w:rsidR="00613CFE" w:rsidRPr="00E90FD2" w:rsidRDefault="00613CFE" w:rsidP="00D63B48">
            <w:pPr>
              <w:pStyle w:val="TTTableText"/>
            </w:pPr>
            <w:r w:rsidRPr="00EF73B2">
              <w:rPr>
                <w:i/>
                <w:iCs/>
                <w:color w:val="000000"/>
              </w:rPr>
              <w:t>EC and certain member States – Large Civil Aircraft</w:t>
            </w:r>
          </w:p>
        </w:tc>
        <w:tc>
          <w:tcPr>
            <w:tcW w:w="6755" w:type="dxa"/>
          </w:tcPr>
          <w:p w14:paraId="7C1A9E5B" w14:textId="3191B58E" w:rsidR="00613CFE" w:rsidRPr="00E90FD2" w:rsidRDefault="00613CFE" w:rsidP="00D63B48">
            <w:pPr>
              <w:pStyle w:val="TTTableText"/>
            </w:pPr>
            <w:r w:rsidRPr="00EF73B2">
              <w:rPr>
                <w:color w:val="000000"/>
              </w:rPr>
              <w:t xml:space="preserve">Appellate Body Report, </w:t>
            </w:r>
            <w:r w:rsidRPr="00EF73B2">
              <w:rPr>
                <w:i/>
                <w:iCs/>
                <w:color w:val="000000"/>
              </w:rPr>
              <w:t>European Communities and Certain Member States – Measures Affecting Trade in Large Civil Aircraft</w:t>
            </w:r>
            <w:r w:rsidRPr="00EF73B2">
              <w:rPr>
                <w:color w:val="000000"/>
              </w:rPr>
              <w:t xml:space="preserve">, </w:t>
            </w:r>
            <w:r w:rsidRPr="00FB359A">
              <w:t>WT/DS316/AB/R</w:t>
            </w:r>
            <w:r w:rsidRPr="00EF73B2">
              <w:rPr>
                <w:color w:val="000000"/>
              </w:rPr>
              <w:t>, adopted 1 June 2011, DSR 2011:I, p. 7</w:t>
            </w:r>
          </w:p>
        </w:tc>
      </w:tr>
      <w:tr w:rsidR="004759DD" w:rsidRPr="0007327B" w14:paraId="7EFFAF5F" w14:textId="77777777" w:rsidTr="0012704C">
        <w:trPr>
          <w:gridAfter w:val="1"/>
          <w:wAfter w:w="44" w:type="dxa"/>
          <w:cantSplit/>
          <w:trHeight w:val="397"/>
        </w:trPr>
        <w:tc>
          <w:tcPr>
            <w:tcW w:w="2261" w:type="dxa"/>
          </w:tcPr>
          <w:p w14:paraId="60D5A8D8" w14:textId="77777777" w:rsidR="00613CFE" w:rsidRDefault="00613CFE" w:rsidP="00D63B48">
            <w:pPr>
              <w:pStyle w:val="TTTableText"/>
              <w:rPr>
                <w:i/>
              </w:rPr>
            </w:pPr>
            <w:r>
              <w:rPr>
                <w:i/>
                <w:iCs/>
              </w:rPr>
              <w:t>EC – Approval and Marketing of Biotech Products</w:t>
            </w:r>
          </w:p>
        </w:tc>
        <w:tc>
          <w:tcPr>
            <w:tcW w:w="6755" w:type="dxa"/>
          </w:tcPr>
          <w:p w14:paraId="7FBB57E8" w14:textId="530F68A3" w:rsidR="00613CFE" w:rsidRPr="008E199E" w:rsidRDefault="00613CFE" w:rsidP="00D63B48">
            <w:pPr>
              <w:pStyle w:val="TTTableText"/>
              <w:rPr>
                <w:color w:val="000000"/>
              </w:rPr>
            </w:pPr>
            <w:r w:rsidRPr="00EF73B2">
              <w:rPr>
                <w:color w:val="000000"/>
              </w:rPr>
              <w:t xml:space="preserve">Panel Reports, </w:t>
            </w:r>
            <w:r w:rsidRPr="00EF73B2">
              <w:rPr>
                <w:i/>
                <w:color w:val="000000"/>
              </w:rPr>
              <w:t>European Communities – Measures Affecting the Approval and Marketing of Biotech Products</w:t>
            </w:r>
            <w:r w:rsidRPr="00EF73B2">
              <w:rPr>
                <w:color w:val="000000"/>
              </w:rPr>
              <w:t xml:space="preserve">, </w:t>
            </w:r>
            <w:r w:rsidRPr="00FB359A">
              <w:t>WT/DS291/R</w:t>
            </w:r>
            <w:r w:rsidRPr="00EF73B2">
              <w:rPr>
                <w:color w:val="000000"/>
              </w:rPr>
              <w:t xml:space="preserve">, Add.1 to Add.9 and Corr.1 / </w:t>
            </w:r>
            <w:r w:rsidRPr="00FB359A">
              <w:t>WT/DS292/R</w:t>
            </w:r>
            <w:r w:rsidRPr="00EF73B2">
              <w:rPr>
                <w:color w:val="000000"/>
              </w:rPr>
              <w:t xml:space="preserve">, Add.1 to Add.9 and Corr.1 / </w:t>
            </w:r>
            <w:r w:rsidRPr="00FB359A">
              <w:t>WT/DS293/R</w:t>
            </w:r>
            <w:r w:rsidRPr="00EF73B2">
              <w:rPr>
                <w:color w:val="000000"/>
              </w:rPr>
              <w:t>, Add.1 to Add.9 and Corr.1, adopted 21 November 2006, DSR 2006:III, p. 847</w:t>
            </w:r>
          </w:p>
        </w:tc>
      </w:tr>
      <w:tr w:rsidR="004759DD" w:rsidRPr="0007327B" w14:paraId="43703E49" w14:textId="77777777" w:rsidTr="0012704C">
        <w:trPr>
          <w:gridAfter w:val="1"/>
          <w:wAfter w:w="44" w:type="dxa"/>
          <w:cantSplit/>
          <w:trHeight w:val="397"/>
        </w:trPr>
        <w:tc>
          <w:tcPr>
            <w:tcW w:w="2261" w:type="dxa"/>
          </w:tcPr>
          <w:p w14:paraId="14E9A98A" w14:textId="77777777" w:rsidR="00613CFE" w:rsidRPr="0007327B" w:rsidRDefault="00613CFE" w:rsidP="00D63B48">
            <w:pPr>
              <w:pStyle w:val="TTTableText"/>
            </w:pPr>
            <w:r>
              <w:rPr>
                <w:i/>
              </w:rPr>
              <w:t>EC - Hormones</w:t>
            </w:r>
          </w:p>
        </w:tc>
        <w:tc>
          <w:tcPr>
            <w:tcW w:w="6755" w:type="dxa"/>
          </w:tcPr>
          <w:p w14:paraId="6319C4E2" w14:textId="3ED6C433" w:rsidR="00613CFE" w:rsidRPr="0007327B" w:rsidRDefault="00613CFE" w:rsidP="00D63B48">
            <w:pPr>
              <w:pStyle w:val="TTTableText"/>
            </w:pPr>
            <w:bookmarkStart w:id="2" w:name="_Hlk536785626"/>
            <w:r w:rsidRPr="00A53994">
              <w:rPr>
                <w:color w:val="000000"/>
              </w:rPr>
              <w:t xml:space="preserve">Appellate Body Report, </w:t>
            </w:r>
            <w:r w:rsidRPr="00A53994">
              <w:rPr>
                <w:i/>
                <w:color w:val="000000"/>
              </w:rPr>
              <w:t>European Communities – Measures Concerning Meat and Meat Products (Hormones)</w:t>
            </w:r>
            <w:r w:rsidRPr="00A53994">
              <w:rPr>
                <w:color w:val="000000"/>
              </w:rPr>
              <w:t xml:space="preserve">, </w:t>
            </w:r>
            <w:r w:rsidRPr="00FB359A">
              <w:t>WT/DS26/AB/R</w:t>
            </w:r>
            <w:r w:rsidRPr="00A53994">
              <w:rPr>
                <w:color w:val="000000"/>
              </w:rPr>
              <w:t xml:space="preserve">, </w:t>
            </w:r>
            <w:r w:rsidRPr="00FB359A">
              <w:t>WT/DS48/AB/R</w:t>
            </w:r>
            <w:r w:rsidRPr="00A53994">
              <w:rPr>
                <w:color w:val="000000"/>
              </w:rPr>
              <w:t>, adopted 13 February 1998, DSR 1998:I, p. 135</w:t>
            </w:r>
            <w:bookmarkEnd w:id="2"/>
          </w:p>
        </w:tc>
      </w:tr>
      <w:tr w:rsidR="00524AAE" w:rsidRPr="0007327B" w14:paraId="01ACA4CD" w14:textId="77777777" w:rsidTr="0012704C">
        <w:trPr>
          <w:gridAfter w:val="1"/>
          <w:wAfter w:w="44" w:type="dxa"/>
          <w:cantSplit/>
          <w:trHeight w:val="397"/>
        </w:trPr>
        <w:tc>
          <w:tcPr>
            <w:tcW w:w="2261" w:type="dxa"/>
          </w:tcPr>
          <w:p w14:paraId="2061C3A0" w14:textId="11EE69D9" w:rsidR="00524AAE" w:rsidRPr="00EF73B2" w:rsidRDefault="00524AAE" w:rsidP="00D63B48">
            <w:pPr>
              <w:pStyle w:val="TTTableText"/>
              <w:rPr>
                <w:i/>
                <w:color w:val="000000"/>
              </w:rPr>
            </w:pPr>
            <w:r>
              <w:rPr>
                <w:i/>
                <w:color w:val="000000"/>
              </w:rPr>
              <w:t>EU – Cost Adjustment Methodologies II (Russia)</w:t>
            </w:r>
          </w:p>
        </w:tc>
        <w:tc>
          <w:tcPr>
            <w:tcW w:w="6755" w:type="dxa"/>
          </w:tcPr>
          <w:p w14:paraId="619A90AA" w14:textId="6AF0F2BB" w:rsidR="00524AAE" w:rsidRPr="00EF73B2" w:rsidRDefault="00524AAE" w:rsidP="00D63B48">
            <w:pPr>
              <w:pStyle w:val="TTTableText"/>
              <w:rPr>
                <w:color w:val="000000"/>
              </w:rPr>
            </w:pPr>
            <w:r w:rsidRPr="00524AAE">
              <w:rPr>
                <w:color w:val="000000"/>
              </w:rPr>
              <w:t xml:space="preserve">Panel Report, </w:t>
            </w:r>
            <w:r w:rsidRPr="00524AAE">
              <w:rPr>
                <w:i/>
                <w:iCs/>
                <w:color w:val="000000"/>
              </w:rPr>
              <w:t>European Union – Cost Adjustment Methodologies and Certain Anti-Dumping Measures on Imports from Russia (Second Complaint)</w:t>
            </w:r>
            <w:r w:rsidRPr="00524AAE">
              <w:rPr>
                <w:color w:val="000000"/>
              </w:rPr>
              <w:t xml:space="preserve">, </w:t>
            </w:r>
            <w:r w:rsidRPr="0012704C">
              <w:rPr>
                <w:color w:val="000000"/>
              </w:rPr>
              <w:t>WT/DS494/R</w:t>
            </w:r>
            <w:r w:rsidRPr="00524AAE">
              <w:rPr>
                <w:color w:val="000000"/>
              </w:rPr>
              <w:t xml:space="preserve"> and Add.1, circulated to WTO Members 24 July 2020, appealed 28 August 2020</w:t>
            </w:r>
          </w:p>
        </w:tc>
      </w:tr>
      <w:tr w:rsidR="004759DD" w:rsidRPr="0007327B" w14:paraId="5CEDB403" w14:textId="77777777" w:rsidTr="0012704C">
        <w:trPr>
          <w:gridAfter w:val="1"/>
          <w:wAfter w:w="44" w:type="dxa"/>
          <w:cantSplit/>
          <w:trHeight w:val="397"/>
        </w:trPr>
        <w:tc>
          <w:tcPr>
            <w:tcW w:w="2261" w:type="dxa"/>
          </w:tcPr>
          <w:p w14:paraId="7EC325DF" w14:textId="77777777" w:rsidR="00613CFE" w:rsidRPr="004F1573" w:rsidRDefault="00613CFE" w:rsidP="00D63B48">
            <w:pPr>
              <w:pStyle w:val="TTTableText"/>
            </w:pPr>
            <w:r w:rsidRPr="00EF73B2">
              <w:rPr>
                <w:i/>
                <w:color w:val="000000"/>
              </w:rPr>
              <w:t>Guatemala – Cement I</w:t>
            </w:r>
          </w:p>
        </w:tc>
        <w:tc>
          <w:tcPr>
            <w:tcW w:w="6755" w:type="dxa"/>
          </w:tcPr>
          <w:p w14:paraId="1F90C823" w14:textId="71D3074E" w:rsidR="00613CFE" w:rsidRPr="004F1573" w:rsidRDefault="00613CFE" w:rsidP="00D63B48">
            <w:pPr>
              <w:pStyle w:val="TTTableText"/>
            </w:pPr>
            <w:r w:rsidRPr="00EF73B2">
              <w:rPr>
                <w:color w:val="000000"/>
              </w:rPr>
              <w:t xml:space="preserve">Appellate Body Report, </w:t>
            </w:r>
            <w:r w:rsidRPr="00EF73B2">
              <w:rPr>
                <w:i/>
                <w:color w:val="000000"/>
              </w:rPr>
              <w:t>Guatemala – Anti-Dumping Investigation Regarding Portland Cement from Mexico</w:t>
            </w:r>
            <w:r w:rsidRPr="00EF73B2">
              <w:rPr>
                <w:color w:val="000000"/>
              </w:rPr>
              <w:t xml:space="preserve">, </w:t>
            </w:r>
            <w:r w:rsidRPr="00FB359A">
              <w:t>WT/DS60/AB/R</w:t>
            </w:r>
            <w:r w:rsidRPr="00EF73B2">
              <w:rPr>
                <w:color w:val="000000"/>
              </w:rPr>
              <w:t>, adopted 25 November 1998, DSR 1998:IX, p. 3767</w:t>
            </w:r>
          </w:p>
        </w:tc>
      </w:tr>
      <w:tr w:rsidR="004759DD" w:rsidRPr="0007327B" w14:paraId="23DA873E" w14:textId="77777777" w:rsidTr="0012704C">
        <w:trPr>
          <w:gridAfter w:val="1"/>
          <w:wAfter w:w="44" w:type="dxa"/>
          <w:cantSplit/>
          <w:trHeight w:val="397"/>
        </w:trPr>
        <w:tc>
          <w:tcPr>
            <w:tcW w:w="2261" w:type="dxa"/>
          </w:tcPr>
          <w:p w14:paraId="7F7B143A" w14:textId="77777777" w:rsidR="00613CFE" w:rsidRPr="0007327B" w:rsidRDefault="00613CFE" w:rsidP="00D63B48">
            <w:pPr>
              <w:pStyle w:val="TTTableText"/>
            </w:pPr>
            <w:r>
              <w:rPr>
                <w:i/>
                <w:iCs/>
              </w:rPr>
              <w:lastRenderedPageBreak/>
              <w:t>Japan – Agricultural Products II</w:t>
            </w:r>
          </w:p>
        </w:tc>
        <w:tc>
          <w:tcPr>
            <w:tcW w:w="6755" w:type="dxa"/>
          </w:tcPr>
          <w:p w14:paraId="2FC3F43A" w14:textId="4B537136" w:rsidR="00613CFE" w:rsidRPr="006B529A" w:rsidRDefault="00613CFE" w:rsidP="00D63B48">
            <w:pPr>
              <w:pStyle w:val="TTTableText"/>
            </w:pPr>
            <w:r w:rsidRPr="00EF73B2">
              <w:rPr>
                <w:color w:val="000000"/>
              </w:rPr>
              <w:t xml:space="preserve">Appellate Body Report, </w:t>
            </w:r>
            <w:r w:rsidRPr="00EF73B2">
              <w:rPr>
                <w:i/>
                <w:color w:val="000000"/>
              </w:rPr>
              <w:t>Japan – Measures Affecting Agricultural Products</w:t>
            </w:r>
            <w:r w:rsidRPr="00EF73B2">
              <w:rPr>
                <w:color w:val="000000"/>
              </w:rPr>
              <w:t xml:space="preserve">, </w:t>
            </w:r>
            <w:r w:rsidRPr="00FB359A">
              <w:t>WT/DS76/AB/R</w:t>
            </w:r>
            <w:r w:rsidRPr="00EF73B2">
              <w:rPr>
                <w:color w:val="000000"/>
              </w:rPr>
              <w:t>, adopted 19 March 1999, DSR 1999:I, p. 277</w:t>
            </w:r>
          </w:p>
        </w:tc>
      </w:tr>
      <w:tr w:rsidR="004759DD" w:rsidRPr="0007327B" w14:paraId="23F79BB7" w14:textId="77777777" w:rsidTr="0012704C">
        <w:trPr>
          <w:gridAfter w:val="1"/>
          <w:wAfter w:w="44" w:type="dxa"/>
          <w:cantSplit/>
          <w:trHeight w:val="397"/>
        </w:trPr>
        <w:tc>
          <w:tcPr>
            <w:tcW w:w="2261" w:type="dxa"/>
          </w:tcPr>
          <w:p w14:paraId="0A829D7E" w14:textId="6C8E91D6" w:rsidR="00613CFE" w:rsidRPr="00205F49" w:rsidRDefault="00613CFE" w:rsidP="00D63B48">
            <w:pPr>
              <w:pStyle w:val="TTTableText"/>
              <w:rPr>
                <w:i/>
                <w:iCs/>
              </w:rPr>
            </w:pPr>
            <w:r w:rsidRPr="0012704C">
              <w:rPr>
                <w:i/>
                <w:iCs/>
              </w:rPr>
              <w:t>Japan – Alcoholic Beverages II</w:t>
            </w:r>
          </w:p>
        </w:tc>
        <w:tc>
          <w:tcPr>
            <w:tcW w:w="6755" w:type="dxa"/>
          </w:tcPr>
          <w:p w14:paraId="4FE09CE6" w14:textId="0E6D51A6" w:rsidR="00613CFE" w:rsidRPr="00205F49" w:rsidRDefault="00613CFE" w:rsidP="00D63B48">
            <w:pPr>
              <w:pStyle w:val="TTTableText"/>
              <w:rPr>
                <w:color w:val="000000"/>
              </w:rPr>
            </w:pPr>
            <w:r w:rsidRPr="0012704C">
              <w:rPr>
                <w:color w:val="000000"/>
              </w:rPr>
              <w:t xml:space="preserve">Appellate Body Report, </w:t>
            </w:r>
            <w:r w:rsidRPr="0012704C">
              <w:rPr>
                <w:i/>
                <w:color w:val="000000"/>
              </w:rPr>
              <w:t>Japan – Taxes on Alcoholic Beverages</w:t>
            </w:r>
            <w:r w:rsidRPr="0012704C">
              <w:rPr>
                <w:color w:val="000000"/>
              </w:rPr>
              <w:t xml:space="preserve">, </w:t>
            </w:r>
            <w:r w:rsidRPr="0012704C">
              <w:t>WT/DS8/AB/R</w:t>
            </w:r>
            <w:r w:rsidRPr="0012704C">
              <w:rPr>
                <w:color w:val="000000"/>
              </w:rPr>
              <w:t xml:space="preserve">, </w:t>
            </w:r>
            <w:r w:rsidRPr="0012704C">
              <w:t>WT/DS10/AB/R</w:t>
            </w:r>
            <w:r w:rsidRPr="0012704C">
              <w:rPr>
                <w:color w:val="000000"/>
              </w:rPr>
              <w:t xml:space="preserve">, </w:t>
            </w:r>
            <w:r w:rsidRPr="0012704C">
              <w:t>WT/DS11/AB/R</w:t>
            </w:r>
            <w:r w:rsidRPr="0012704C">
              <w:rPr>
                <w:color w:val="000000"/>
              </w:rPr>
              <w:t>, adopted 1 November 1996, DSR 1996:I, p. 97</w:t>
            </w:r>
          </w:p>
        </w:tc>
      </w:tr>
      <w:tr w:rsidR="004759DD" w:rsidRPr="0007327B" w14:paraId="27467ADC" w14:textId="77777777" w:rsidTr="0012704C">
        <w:trPr>
          <w:gridAfter w:val="1"/>
          <w:wAfter w:w="44" w:type="dxa"/>
          <w:cantSplit/>
          <w:trHeight w:val="397"/>
        </w:trPr>
        <w:tc>
          <w:tcPr>
            <w:tcW w:w="2261" w:type="dxa"/>
          </w:tcPr>
          <w:p w14:paraId="72D29B17" w14:textId="77777777" w:rsidR="00613CFE" w:rsidRPr="00EF73B2" w:rsidRDefault="00613CFE" w:rsidP="00D63B48">
            <w:pPr>
              <w:pStyle w:val="TTTableText"/>
              <w:rPr>
                <w:i/>
                <w:iCs/>
              </w:rPr>
            </w:pPr>
            <w:r w:rsidRPr="00EF73B2">
              <w:rPr>
                <w:i/>
                <w:iCs/>
              </w:rPr>
              <w:t>Japan - Apples</w:t>
            </w:r>
          </w:p>
        </w:tc>
        <w:tc>
          <w:tcPr>
            <w:tcW w:w="6755" w:type="dxa"/>
          </w:tcPr>
          <w:p w14:paraId="1494AF47" w14:textId="3DACDDEC" w:rsidR="00613CFE" w:rsidRPr="00FA130E" w:rsidRDefault="00613CFE" w:rsidP="00D63B48">
            <w:pPr>
              <w:pStyle w:val="TTTableText"/>
            </w:pPr>
            <w:r w:rsidRPr="00EF73B2">
              <w:rPr>
                <w:color w:val="000000"/>
              </w:rPr>
              <w:t xml:space="preserve">Appellate Body Report, </w:t>
            </w:r>
            <w:r w:rsidRPr="00EF73B2">
              <w:rPr>
                <w:i/>
                <w:color w:val="000000"/>
              </w:rPr>
              <w:t>Japan – Measures Affecting the Importation of Apples</w:t>
            </w:r>
            <w:r w:rsidRPr="00EF73B2">
              <w:rPr>
                <w:color w:val="000000"/>
              </w:rPr>
              <w:t xml:space="preserve">, </w:t>
            </w:r>
            <w:r w:rsidRPr="00FB359A">
              <w:t>WT/DS245/AB/R</w:t>
            </w:r>
            <w:r w:rsidRPr="00EF73B2">
              <w:rPr>
                <w:color w:val="000000"/>
              </w:rPr>
              <w:t>, adopted 10 December 2003, DSR 2003:IX, p. 4391</w:t>
            </w:r>
          </w:p>
        </w:tc>
      </w:tr>
      <w:tr w:rsidR="004759DD" w:rsidRPr="0007327B" w14:paraId="37EA9B7E" w14:textId="77777777" w:rsidTr="0012704C">
        <w:trPr>
          <w:gridAfter w:val="1"/>
          <w:wAfter w:w="44" w:type="dxa"/>
          <w:cantSplit/>
          <w:trHeight w:val="397"/>
        </w:trPr>
        <w:tc>
          <w:tcPr>
            <w:tcW w:w="2261" w:type="dxa"/>
          </w:tcPr>
          <w:p w14:paraId="6B1E0BB3" w14:textId="77777777" w:rsidR="00613CFE" w:rsidRPr="00925E87" w:rsidRDefault="00613CFE" w:rsidP="00D63B48">
            <w:pPr>
              <w:pStyle w:val="TTTableText"/>
            </w:pPr>
            <w:r w:rsidRPr="00925E87">
              <w:rPr>
                <w:i/>
                <w:iCs/>
              </w:rPr>
              <w:t>Japan – Film</w:t>
            </w:r>
          </w:p>
        </w:tc>
        <w:tc>
          <w:tcPr>
            <w:tcW w:w="6755" w:type="dxa"/>
          </w:tcPr>
          <w:p w14:paraId="7AB3B3CE" w14:textId="76C38521" w:rsidR="00613CFE" w:rsidRPr="00F405A8" w:rsidRDefault="00613CFE" w:rsidP="00D63B48">
            <w:pPr>
              <w:pStyle w:val="TTTableText"/>
            </w:pPr>
            <w:r w:rsidRPr="00EF73B2">
              <w:rPr>
                <w:color w:val="000000"/>
              </w:rPr>
              <w:t xml:space="preserve">Panel Report, </w:t>
            </w:r>
            <w:r w:rsidRPr="00EF73B2">
              <w:rPr>
                <w:i/>
                <w:color w:val="000000"/>
              </w:rPr>
              <w:t>Japan – Measures Affecting Consumer Photographic Film and Paper</w:t>
            </w:r>
            <w:r w:rsidRPr="00EF73B2">
              <w:rPr>
                <w:color w:val="000000"/>
              </w:rPr>
              <w:t xml:space="preserve">, </w:t>
            </w:r>
            <w:r w:rsidRPr="00FB359A">
              <w:t>WT/DS44/R</w:t>
            </w:r>
            <w:r w:rsidRPr="00EF73B2">
              <w:rPr>
                <w:color w:val="000000"/>
              </w:rPr>
              <w:t>, adopted 22 April 1998, DSR 1998:IV, p. 1179</w:t>
            </w:r>
          </w:p>
        </w:tc>
      </w:tr>
      <w:tr w:rsidR="004759DD" w:rsidRPr="0007327B" w14:paraId="229D87AC" w14:textId="77777777" w:rsidTr="0012704C">
        <w:trPr>
          <w:gridAfter w:val="1"/>
          <w:wAfter w:w="44" w:type="dxa"/>
          <w:cantSplit/>
          <w:trHeight w:val="397"/>
        </w:trPr>
        <w:tc>
          <w:tcPr>
            <w:tcW w:w="2261" w:type="dxa"/>
          </w:tcPr>
          <w:p w14:paraId="0C961C8A" w14:textId="77777777" w:rsidR="00613CFE" w:rsidRPr="0012704C" w:rsidRDefault="00613CFE" w:rsidP="00D63B48">
            <w:pPr>
              <w:pStyle w:val="TTTableText"/>
              <w:rPr>
                <w:i/>
                <w:iCs/>
                <w:szCs w:val="18"/>
              </w:rPr>
            </w:pPr>
            <w:r w:rsidRPr="0012704C">
              <w:rPr>
                <w:i/>
                <w:iCs/>
                <w:szCs w:val="18"/>
              </w:rPr>
              <w:t>Korea - Dairy</w:t>
            </w:r>
          </w:p>
        </w:tc>
        <w:tc>
          <w:tcPr>
            <w:tcW w:w="6755" w:type="dxa"/>
          </w:tcPr>
          <w:p w14:paraId="75D18630" w14:textId="55F8674B" w:rsidR="00613CFE" w:rsidRPr="0012704C" w:rsidRDefault="00613CFE" w:rsidP="00D63B48">
            <w:pPr>
              <w:pStyle w:val="TTTableText"/>
              <w:rPr>
                <w:color w:val="000000"/>
              </w:rPr>
            </w:pPr>
            <w:r w:rsidRPr="0012704C">
              <w:rPr>
                <w:color w:val="000000"/>
              </w:rPr>
              <w:t xml:space="preserve">Appellate Body Report, </w:t>
            </w:r>
            <w:r w:rsidRPr="0012704C">
              <w:rPr>
                <w:i/>
                <w:color w:val="000000"/>
              </w:rPr>
              <w:t>Korea – Definitive Safeguard Measure on Imports of Certain Dairy Products</w:t>
            </w:r>
            <w:r w:rsidRPr="0012704C">
              <w:rPr>
                <w:color w:val="000000"/>
              </w:rPr>
              <w:t xml:space="preserve">, </w:t>
            </w:r>
            <w:r w:rsidRPr="0012704C">
              <w:t>WT/DS98/AB/R</w:t>
            </w:r>
            <w:r w:rsidRPr="0012704C">
              <w:rPr>
                <w:color w:val="000000"/>
              </w:rPr>
              <w:t xml:space="preserve">, adopted 12 January 2000, DSR 2000:I, p. 3 Appellate Body Report, </w:t>
            </w:r>
            <w:r w:rsidRPr="0012704C">
              <w:rPr>
                <w:i/>
                <w:color w:val="000000"/>
              </w:rPr>
              <w:t>Korea – Definitive Safeguard Measure on Imports of Certain Dairy Products</w:t>
            </w:r>
            <w:r w:rsidRPr="0012704C">
              <w:rPr>
                <w:color w:val="000000"/>
              </w:rPr>
              <w:t xml:space="preserve">, </w:t>
            </w:r>
            <w:r w:rsidRPr="0012704C">
              <w:t>WT/DS98/AB/R</w:t>
            </w:r>
            <w:r w:rsidRPr="0012704C">
              <w:rPr>
                <w:color w:val="000000"/>
              </w:rPr>
              <w:t>, adopted 12 January 2000, DSR 2000:I, p. 3</w:t>
            </w:r>
          </w:p>
        </w:tc>
      </w:tr>
      <w:tr w:rsidR="004759DD" w:rsidRPr="0007327B" w14:paraId="23311B8B" w14:textId="77777777" w:rsidTr="0012704C">
        <w:trPr>
          <w:gridAfter w:val="1"/>
          <w:wAfter w:w="44" w:type="dxa"/>
          <w:cantSplit/>
          <w:trHeight w:val="397"/>
        </w:trPr>
        <w:tc>
          <w:tcPr>
            <w:tcW w:w="2261" w:type="dxa"/>
          </w:tcPr>
          <w:p w14:paraId="1B11F543" w14:textId="77777777" w:rsidR="00613CFE" w:rsidRPr="00F405A8" w:rsidRDefault="00613CFE" w:rsidP="00D63B48">
            <w:pPr>
              <w:pStyle w:val="TTTableText"/>
              <w:rPr>
                <w:i/>
                <w:color w:val="000000"/>
              </w:rPr>
            </w:pPr>
            <w:r w:rsidRPr="00FA2F0E">
              <w:rPr>
                <w:i/>
                <w:iCs/>
                <w:szCs w:val="18"/>
              </w:rPr>
              <w:t>Russia – Tariff Treatment</w:t>
            </w:r>
          </w:p>
        </w:tc>
        <w:tc>
          <w:tcPr>
            <w:tcW w:w="6755" w:type="dxa"/>
          </w:tcPr>
          <w:p w14:paraId="1AFABB73" w14:textId="6EC87C25" w:rsidR="00613CFE" w:rsidRPr="00F405A8" w:rsidRDefault="00613CFE" w:rsidP="00D63B48">
            <w:pPr>
              <w:pStyle w:val="TTTableText"/>
              <w:rPr>
                <w:color w:val="000000"/>
              </w:rPr>
            </w:pPr>
            <w:r w:rsidRPr="00EF73B2">
              <w:rPr>
                <w:color w:val="000000"/>
              </w:rPr>
              <w:t xml:space="preserve">Panel Report, </w:t>
            </w:r>
            <w:r w:rsidRPr="00EF73B2">
              <w:rPr>
                <w:i/>
                <w:color w:val="000000"/>
              </w:rPr>
              <w:t>Russia – Tariff Treatment of Certain Agricultural and Manufacturing Products</w:t>
            </w:r>
            <w:r w:rsidRPr="00EF73B2">
              <w:rPr>
                <w:color w:val="000000"/>
              </w:rPr>
              <w:t xml:space="preserve">, </w:t>
            </w:r>
            <w:r w:rsidRPr="00FB359A">
              <w:t>WT/DS485/R</w:t>
            </w:r>
            <w:r w:rsidRPr="00EF73B2">
              <w:rPr>
                <w:color w:val="000000"/>
              </w:rPr>
              <w:t>, Add.1, Corr.1, and Corr.2, adopted 26 September 2016, DSR 2016:IV, p. 1547</w:t>
            </w:r>
          </w:p>
        </w:tc>
      </w:tr>
      <w:tr w:rsidR="004759DD" w:rsidRPr="0007327B" w14:paraId="5E8F27D6" w14:textId="77777777" w:rsidTr="0012704C">
        <w:trPr>
          <w:gridAfter w:val="1"/>
          <w:wAfter w:w="44" w:type="dxa"/>
          <w:cantSplit/>
          <w:trHeight w:val="397"/>
        </w:trPr>
        <w:tc>
          <w:tcPr>
            <w:tcW w:w="2261" w:type="dxa"/>
          </w:tcPr>
          <w:p w14:paraId="37958730" w14:textId="6FBDADFF" w:rsidR="00613CFE" w:rsidRPr="00925E87" w:rsidRDefault="00C77041" w:rsidP="00D63B48">
            <w:pPr>
              <w:pStyle w:val="TTTableText"/>
              <w:rPr>
                <w:i/>
                <w:iCs/>
                <w:color w:val="000000" w:themeColor="text1"/>
              </w:rPr>
            </w:pPr>
            <w:r w:rsidRPr="00EF73B2">
              <w:rPr>
                <w:i/>
                <w:color w:val="000000"/>
              </w:rPr>
              <w:t>Russia – Railway Equipment</w:t>
            </w:r>
          </w:p>
        </w:tc>
        <w:tc>
          <w:tcPr>
            <w:tcW w:w="6755" w:type="dxa"/>
          </w:tcPr>
          <w:p w14:paraId="7E7020FD" w14:textId="205C53F8" w:rsidR="00613CFE" w:rsidRPr="00766441" w:rsidRDefault="00613CFE" w:rsidP="00D63B48">
            <w:pPr>
              <w:pStyle w:val="TTTableText"/>
              <w:rPr>
                <w:color w:val="000000"/>
              </w:rPr>
            </w:pPr>
            <w:r w:rsidRPr="00EF73B2">
              <w:rPr>
                <w:color w:val="000000"/>
              </w:rPr>
              <w:t xml:space="preserve">Appellate Body Report, </w:t>
            </w:r>
            <w:r w:rsidRPr="00EF73B2">
              <w:rPr>
                <w:i/>
                <w:color w:val="000000"/>
              </w:rPr>
              <w:t>Russia – Measures Affecting the Importation of Railway Equipment and Parts Thereof</w:t>
            </w:r>
            <w:r w:rsidRPr="00EF73B2">
              <w:rPr>
                <w:color w:val="000000"/>
              </w:rPr>
              <w:t xml:space="preserve">, </w:t>
            </w:r>
            <w:r w:rsidRPr="00FB359A">
              <w:t>WT/DS499/AB/R</w:t>
            </w:r>
            <w:r w:rsidRPr="00EF73B2">
              <w:rPr>
                <w:color w:val="000000"/>
              </w:rPr>
              <w:t xml:space="preserve"> a</w:t>
            </w:r>
            <w:r w:rsidRPr="00EF73B2">
              <w:rPr>
                <w:iCs/>
                <w:color w:val="000000"/>
              </w:rPr>
              <w:t>nd Add.1, adopted 5 March 2020</w:t>
            </w:r>
          </w:p>
        </w:tc>
      </w:tr>
      <w:tr w:rsidR="00C77041" w:rsidRPr="0007327B" w14:paraId="6D3E7ECF" w14:textId="77777777" w:rsidTr="0012704C">
        <w:trPr>
          <w:gridAfter w:val="1"/>
          <w:wAfter w:w="44" w:type="dxa"/>
          <w:cantSplit/>
          <w:trHeight w:val="397"/>
        </w:trPr>
        <w:tc>
          <w:tcPr>
            <w:tcW w:w="2261" w:type="dxa"/>
          </w:tcPr>
          <w:p w14:paraId="5FFC0ABA" w14:textId="786485F1" w:rsidR="00C77041" w:rsidRPr="00FA2F0E" w:rsidRDefault="00C77041" w:rsidP="00D63B48">
            <w:pPr>
              <w:pStyle w:val="TTTableText"/>
              <w:rPr>
                <w:i/>
                <w:iCs/>
                <w:szCs w:val="18"/>
              </w:rPr>
            </w:pPr>
            <w:r w:rsidRPr="00EF73B2">
              <w:rPr>
                <w:i/>
                <w:color w:val="000000"/>
              </w:rPr>
              <w:t>Russia – Railway Equipment</w:t>
            </w:r>
          </w:p>
        </w:tc>
        <w:tc>
          <w:tcPr>
            <w:tcW w:w="6755" w:type="dxa"/>
          </w:tcPr>
          <w:p w14:paraId="63346CCA" w14:textId="2381103C" w:rsidR="00C77041" w:rsidRPr="00EF73B2" w:rsidRDefault="00C77041" w:rsidP="00D63B48">
            <w:pPr>
              <w:pStyle w:val="TTTableText"/>
            </w:pPr>
            <w:r w:rsidRPr="00C77041">
              <w:t xml:space="preserve">Panel Report, </w:t>
            </w:r>
            <w:r w:rsidRPr="00C77041">
              <w:rPr>
                <w:i/>
              </w:rPr>
              <w:t>Russia – Measures Affecting the Importation of Railway Equipment and Parts Thereof</w:t>
            </w:r>
            <w:r w:rsidRPr="00C77041">
              <w:t xml:space="preserve">, </w:t>
            </w:r>
            <w:r w:rsidRPr="0012704C">
              <w:t>WT/DS499/R</w:t>
            </w:r>
            <w:r w:rsidRPr="00C77041">
              <w:t xml:space="preserve"> a</w:t>
            </w:r>
            <w:r w:rsidRPr="00C77041">
              <w:rPr>
                <w:iCs/>
              </w:rPr>
              <w:t>nd Add.1, adopted 5 March 2020, as modified by Appellate Body Report WT/DS499/AB/R</w:t>
            </w:r>
          </w:p>
        </w:tc>
      </w:tr>
      <w:tr w:rsidR="004759DD" w:rsidRPr="0007327B" w14:paraId="2F79A5E0" w14:textId="77777777" w:rsidTr="0012704C">
        <w:trPr>
          <w:gridAfter w:val="1"/>
          <w:wAfter w:w="44" w:type="dxa"/>
          <w:cantSplit/>
          <w:trHeight w:val="397"/>
        </w:trPr>
        <w:tc>
          <w:tcPr>
            <w:tcW w:w="2261" w:type="dxa"/>
          </w:tcPr>
          <w:p w14:paraId="77969C0E" w14:textId="77777777" w:rsidR="00613CFE" w:rsidRPr="00FA2F0E" w:rsidRDefault="00613CFE" w:rsidP="00D63B48">
            <w:pPr>
              <w:pStyle w:val="TTTableText"/>
              <w:rPr>
                <w:i/>
                <w:iCs/>
                <w:szCs w:val="18"/>
              </w:rPr>
            </w:pPr>
            <w:r w:rsidRPr="00FA2F0E">
              <w:rPr>
                <w:i/>
                <w:iCs/>
                <w:szCs w:val="18"/>
              </w:rPr>
              <w:t>US – Anti-Dumping and Countervailing Duties (Korea)</w:t>
            </w:r>
          </w:p>
        </w:tc>
        <w:tc>
          <w:tcPr>
            <w:tcW w:w="6755" w:type="dxa"/>
          </w:tcPr>
          <w:p w14:paraId="67EDCFDA" w14:textId="554283C9" w:rsidR="00613CFE" w:rsidRPr="00766441" w:rsidRDefault="00613CFE" w:rsidP="00D63B48">
            <w:pPr>
              <w:pStyle w:val="TTTableText"/>
              <w:rPr>
                <w:color w:val="000000"/>
              </w:rPr>
            </w:pPr>
            <w:bookmarkStart w:id="3" w:name="_Hlk67053960"/>
            <w:r w:rsidRPr="00EF73B2">
              <w:t xml:space="preserve">Panel Report, </w:t>
            </w:r>
            <w:r w:rsidRPr="00EF73B2">
              <w:rPr>
                <w:i/>
                <w:iCs/>
              </w:rPr>
              <w:t>United States – Anti-Dumping and Countervailing Duties on Certain Products and the Use of Facts Available</w:t>
            </w:r>
            <w:r w:rsidRPr="00EF73B2">
              <w:t xml:space="preserve">, </w:t>
            </w:r>
            <w:r w:rsidRPr="00FB359A">
              <w:t>WT/DS539/R</w:t>
            </w:r>
            <w:r w:rsidRPr="00EF73B2">
              <w:t xml:space="preserve"> and Add.1, </w:t>
            </w:r>
            <w:r w:rsidRPr="00EF73B2">
              <w:rPr>
                <w:color w:val="000000"/>
              </w:rPr>
              <w:t>circulated to WTO Members 21 January 2021</w:t>
            </w:r>
            <w:bookmarkEnd w:id="3"/>
            <w:r w:rsidRPr="00EF73B2">
              <w:rPr>
                <w:color w:val="000000"/>
              </w:rPr>
              <w:t>, appealed 19 March 2021</w:t>
            </w:r>
          </w:p>
        </w:tc>
      </w:tr>
      <w:tr w:rsidR="004759DD" w:rsidRPr="0007327B" w14:paraId="45B7EB02" w14:textId="77777777" w:rsidTr="0012704C">
        <w:trPr>
          <w:gridAfter w:val="1"/>
          <w:wAfter w:w="44" w:type="dxa"/>
          <w:cantSplit/>
          <w:trHeight w:val="397"/>
        </w:trPr>
        <w:tc>
          <w:tcPr>
            <w:tcW w:w="2261" w:type="dxa"/>
          </w:tcPr>
          <w:p w14:paraId="5B2A688F" w14:textId="77777777" w:rsidR="00613CFE" w:rsidRPr="001D3472" w:rsidRDefault="00613CFE" w:rsidP="00D63B48">
            <w:pPr>
              <w:pStyle w:val="TTTableText"/>
              <w:rPr>
                <w:i/>
                <w:iCs/>
                <w:color w:val="000000" w:themeColor="text1"/>
              </w:rPr>
            </w:pPr>
            <w:r w:rsidRPr="00FA2F0E">
              <w:rPr>
                <w:i/>
                <w:iCs/>
                <w:szCs w:val="18"/>
              </w:rPr>
              <w:t xml:space="preserve">US </w:t>
            </w:r>
            <w:r>
              <w:rPr>
                <w:i/>
                <w:iCs/>
                <w:szCs w:val="18"/>
              </w:rPr>
              <w:t>-</w:t>
            </w:r>
            <w:r w:rsidRPr="00FA2F0E">
              <w:rPr>
                <w:i/>
                <w:iCs/>
                <w:szCs w:val="18"/>
              </w:rPr>
              <w:t xml:space="preserve"> Anti-Dumping Methodologies (China)</w:t>
            </w:r>
            <w:r w:rsidRPr="00FA2F0E">
              <w:rPr>
                <w:szCs w:val="18"/>
              </w:rPr>
              <w:t xml:space="preserve"> </w:t>
            </w:r>
          </w:p>
        </w:tc>
        <w:tc>
          <w:tcPr>
            <w:tcW w:w="6755" w:type="dxa"/>
          </w:tcPr>
          <w:p w14:paraId="04FA12A4" w14:textId="0C1B7524" w:rsidR="00613CFE" w:rsidRPr="00144D8D" w:rsidRDefault="00613CFE" w:rsidP="00D63B48">
            <w:pPr>
              <w:pStyle w:val="TTTableText"/>
              <w:rPr>
                <w:color w:val="000000"/>
              </w:rPr>
            </w:pPr>
            <w:r w:rsidRPr="00EF73B2">
              <w:rPr>
                <w:color w:val="000000"/>
              </w:rPr>
              <w:t xml:space="preserve">Appellate Body Report, </w:t>
            </w:r>
            <w:r w:rsidRPr="00EF73B2">
              <w:rPr>
                <w:i/>
                <w:color w:val="000000"/>
              </w:rPr>
              <w:t>United States – Certain Methodologies and Their Application to Anti</w:t>
            </w:r>
            <w:r w:rsidRPr="00EF73B2">
              <w:rPr>
                <w:i/>
                <w:color w:val="000000"/>
              </w:rPr>
              <w:noBreakHyphen/>
              <w:t>Dumping Proceedings Involving China</w:t>
            </w:r>
            <w:r w:rsidRPr="00EF73B2">
              <w:rPr>
                <w:color w:val="000000"/>
              </w:rPr>
              <w:t xml:space="preserve">, </w:t>
            </w:r>
            <w:r w:rsidRPr="00FB359A">
              <w:t>WT/DS471/AB/R</w:t>
            </w:r>
            <w:r w:rsidRPr="00EF73B2">
              <w:rPr>
                <w:color w:val="000000"/>
              </w:rPr>
              <w:t xml:space="preserve"> and Add.1, adopted 22 May 2017, DSR 2017:III, p. 1423</w:t>
            </w:r>
          </w:p>
        </w:tc>
      </w:tr>
      <w:tr w:rsidR="004759DD" w:rsidRPr="0007327B" w14:paraId="6A0AEF6F" w14:textId="77777777" w:rsidTr="0012704C">
        <w:trPr>
          <w:gridAfter w:val="1"/>
          <w:wAfter w:w="44" w:type="dxa"/>
          <w:cantSplit/>
          <w:trHeight w:val="397"/>
        </w:trPr>
        <w:tc>
          <w:tcPr>
            <w:tcW w:w="2261" w:type="dxa"/>
          </w:tcPr>
          <w:p w14:paraId="73FCCC51" w14:textId="77777777" w:rsidR="00613CFE" w:rsidRPr="001D3472" w:rsidRDefault="00613CFE" w:rsidP="00D63B48">
            <w:pPr>
              <w:pStyle w:val="TTTableText"/>
            </w:pPr>
            <w:r w:rsidRPr="001D3472">
              <w:rPr>
                <w:i/>
                <w:iCs/>
                <w:color w:val="000000" w:themeColor="text1"/>
              </w:rPr>
              <w:t>US – Carbon Steel</w:t>
            </w:r>
          </w:p>
        </w:tc>
        <w:tc>
          <w:tcPr>
            <w:tcW w:w="6755" w:type="dxa"/>
          </w:tcPr>
          <w:p w14:paraId="44374240" w14:textId="1853F2CF" w:rsidR="00613CFE" w:rsidRPr="001D3472" w:rsidRDefault="00613CFE" w:rsidP="00D63B48">
            <w:pPr>
              <w:pStyle w:val="TTTableText"/>
            </w:pPr>
            <w:r w:rsidRPr="00EF73B2">
              <w:rPr>
                <w:color w:val="000000"/>
              </w:rPr>
              <w:t xml:space="preserve">Appellate Body Report, </w:t>
            </w:r>
            <w:r w:rsidRPr="00EF73B2">
              <w:rPr>
                <w:i/>
                <w:color w:val="000000"/>
              </w:rPr>
              <w:t>United States – Countervailing Duties on Certain Corrosion-Resistant Carbon Steel Flat Products from Germany</w:t>
            </w:r>
            <w:r w:rsidRPr="00EF73B2">
              <w:rPr>
                <w:color w:val="000000"/>
              </w:rPr>
              <w:t xml:space="preserve">, </w:t>
            </w:r>
            <w:r w:rsidRPr="00FB359A">
              <w:t>WT/DS213/AB/R</w:t>
            </w:r>
            <w:r w:rsidRPr="00EF73B2">
              <w:rPr>
                <w:color w:val="000000"/>
              </w:rPr>
              <w:t xml:space="preserve"> and Corr.1, adopted 19 December 2002, DSR 2002:IX, p. 3779</w:t>
            </w:r>
          </w:p>
        </w:tc>
      </w:tr>
      <w:tr w:rsidR="004759DD" w:rsidRPr="0007327B" w14:paraId="4FE3C29A" w14:textId="77777777" w:rsidTr="0012704C">
        <w:trPr>
          <w:gridAfter w:val="1"/>
          <w:wAfter w:w="44" w:type="dxa"/>
          <w:cantSplit/>
          <w:trHeight w:val="397"/>
        </w:trPr>
        <w:tc>
          <w:tcPr>
            <w:tcW w:w="2261" w:type="dxa"/>
          </w:tcPr>
          <w:p w14:paraId="60F49932" w14:textId="77777777" w:rsidR="00613CFE" w:rsidRPr="00000C09" w:rsidRDefault="00613CFE" w:rsidP="00D63B48">
            <w:pPr>
              <w:pStyle w:val="TTTableText"/>
              <w:rPr>
                <w:i/>
                <w:iCs/>
              </w:rPr>
            </w:pPr>
            <w:r w:rsidRPr="00EF73B2">
              <w:rPr>
                <w:i/>
                <w:color w:val="000000"/>
              </w:rPr>
              <w:t>US – Continued Zeroing</w:t>
            </w:r>
          </w:p>
        </w:tc>
        <w:tc>
          <w:tcPr>
            <w:tcW w:w="6755" w:type="dxa"/>
          </w:tcPr>
          <w:p w14:paraId="22A60CA0" w14:textId="379FD5B0" w:rsidR="00613CFE" w:rsidRPr="00000C09" w:rsidRDefault="00613CFE" w:rsidP="00D63B48">
            <w:pPr>
              <w:pStyle w:val="TTTableText"/>
              <w:rPr>
                <w:color w:val="000000"/>
              </w:rPr>
            </w:pPr>
            <w:r w:rsidRPr="00EF73B2">
              <w:rPr>
                <w:color w:val="000000"/>
              </w:rPr>
              <w:t xml:space="preserve">Appellate Body Report, </w:t>
            </w:r>
            <w:r w:rsidRPr="00EF73B2">
              <w:rPr>
                <w:i/>
                <w:color w:val="000000"/>
              </w:rPr>
              <w:t>United States – Continued Existence and Application of Zeroing Methodology</w:t>
            </w:r>
            <w:r w:rsidRPr="00EF73B2">
              <w:rPr>
                <w:color w:val="000000"/>
              </w:rPr>
              <w:t xml:space="preserve">, </w:t>
            </w:r>
            <w:r w:rsidRPr="00FB359A">
              <w:t>WT/DS350/AB/R</w:t>
            </w:r>
            <w:r w:rsidRPr="00EF73B2">
              <w:rPr>
                <w:color w:val="000000"/>
              </w:rPr>
              <w:t>, adopted 19 February 2009, DSR 2009:III, p. 1291</w:t>
            </w:r>
          </w:p>
        </w:tc>
      </w:tr>
      <w:tr w:rsidR="004759DD" w:rsidRPr="0007327B" w14:paraId="373875A9" w14:textId="77777777" w:rsidTr="0012704C">
        <w:trPr>
          <w:gridAfter w:val="1"/>
          <w:wAfter w:w="44" w:type="dxa"/>
          <w:cantSplit/>
          <w:trHeight w:val="397"/>
        </w:trPr>
        <w:tc>
          <w:tcPr>
            <w:tcW w:w="2261" w:type="dxa"/>
          </w:tcPr>
          <w:p w14:paraId="2AE6ED85" w14:textId="77777777" w:rsidR="00613CFE" w:rsidRPr="001D3472" w:rsidRDefault="00613CFE" w:rsidP="00D63B48">
            <w:pPr>
              <w:pStyle w:val="TTTableText"/>
            </w:pPr>
            <w:r w:rsidRPr="001D3472">
              <w:rPr>
                <w:i/>
                <w:iCs/>
              </w:rPr>
              <w:lastRenderedPageBreak/>
              <w:t>US – Corrosion-Resistant Steel Sunset Review</w:t>
            </w:r>
          </w:p>
        </w:tc>
        <w:tc>
          <w:tcPr>
            <w:tcW w:w="6755" w:type="dxa"/>
          </w:tcPr>
          <w:p w14:paraId="7832DA2F" w14:textId="609746F9" w:rsidR="00613CFE" w:rsidRPr="001D3472" w:rsidRDefault="00613CFE" w:rsidP="00D63B48">
            <w:pPr>
              <w:pStyle w:val="TTTableText"/>
            </w:pPr>
            <w:r w:rsidRPr="00EF73B2">
              <w:rPr>
                <w:color w:val="000000"/>
              </w:rPr>
              <w:t xml:space="preserve">Appellate Body Report, </w:t>
            </w:r>
            <w:r w:rsidRPr="00EF73B2">
              <w:rPr>
                <w:i/>
                <w:color w:val="000000"/>
              </w:rPr>
              <w:t>United States – Sunset Review of Anti-Dumping Duties on Corrosion</w:t>
            </w:r>
            <w:r w:rsidRPr="00EF73B2">
              <w:rPr>
                <w:i/>
                <w:color w:val="000000"/>
              </w:rPr>
              <w:noBreakHyphen/>
              <w:t>Resistant Carbon Steel Flat Products from Japan</w:t>
            </w:r>
            <w:r w:rsidRPr="00EF73B2">
              <w:rPr>
                <w:color w:val="000000"/>
              </w:rPr>
              <w:t xml:space="preserve">, </w:t>
            </w:r>
            <w:r w:rsidRPr="00FB359A">
              <w:t>WT/DS244/AB/R</w:t>
            </w:r>
            <w:r w:rsidRPr="00EF73B2">
              <w:rPr>
                <w:color w:val="000000"/>
              </w:rPr>
              <w:t>, adopted 9 January 2004, DSR 2004:I, p. 3</w:t>
            </w:r>
          </w:p>
        </w:tc>
      </w:tr>
      <w:tr w:rsidR="004759DD" w:rsidRPr="0007327B" w14:paraId="1D6115AD" w14:textId="77777777" w:rsidTr="0012704C">
        <w:trPr>
          <w:gridAfter w:val="1"/>
          <w:wAfter w:w="44" w:type="dxa"/>
          <w:cantSplit/>
          <w:trHeight w:val="397"/>
        </w:trPr>
        <w:tc>
          <w:tcPr>
            <w:tcW w:w="2261" w:type="dxa"/>
          </w:tcPr>
          <w:p w14:paraId="7B456585" w14:textId="77777777" w:rsidR="00613CFE" w:rsidRDefault="00613CFE" w:rsidP="00D63B48">
            <w:pPr>
              <w:pStyle w:val="TTTableText"/>
              <w:rPr>
                <w:i/>
                <w:iCs/>
              </w:rPr>
            </w:pPr>
            <w:r>
              <w:rPr>
                <w:i/>
                <w:iCs/>
              </w:rPr>
              <w:t xml:space="preserve">US – Countervailing Duty Investigation on </w:t>
            </w:r>
            <w:r w:rsidRPr="006374D0">
              <w:rPr>
                <w:i/>
                <w:iCs/>
              </w:rPr>
              <w:t>DRAMS</w:t>
            </w:r>
          </w:p>
        </w:tc>
        <w:tc>
          <w:tcPr>
            <w:tcW w:w="6755" w:type="dxa"/>
          </w:tcPr>
          <w:p w14:paraId="30549E65" w14:textId="32349FE4" w:rsidR="00613CFE" w:rsidRPr="008E199E" w:rsidRDefault="00613CFE" w:rsidP="00D63B48">
            <w:pPr>
              <w:pStyle w:val="TTTableText"/>
              <w:rPr>
                <w:color w:val="000000"/>
              </w:rPr>
            </w:pPr>
            <w:r w:rsidRPr="00EF73B2">
              <w:rPr>
                <w:color w:val="000000"/>
              </w:rPr>
              <w:t xml:space="preserve">Appellate Body Report, </w:t>
            </w:r>
            <w:r w:rsidRPr="00EF73B2">
              <w:rPr>
                <w:i/>
                <w:color w:val="000000"/>
              </w:rPr>
              <w:t>United States – Countervailing Duty Investigation on Dynamic Random Access Memory Semiconductors (DRAMS) from Korea</w:t>
            </w:r>
            <w:r w:rsidRPr="00EF73B2">
              <w:rPr>
                <w:color w:val="000000"/>
              </w:rPr>
              <w:t xml:space="preserve">, </w:t>
            </w:r>
            <w:r w:rsidRPr="00FB359A">
              <w:t>WT/DS296/AB/R</w:t>
            </w:r>
            <w:r w:rsidRPr="00EF73B2">
              <w:rPr>
                <w:color w:val="000000"/>
              </w:rPr>
              <w:t>, adopted 20 July 2005, DSR 2005:XVI, p. 8131</w:t>
            </w:r>
          </w:p>
        </w:tc>
      </w:tr>
      <w:tr w:rsidR="004759DD" w:rsidRPr="0007327B" w14:paraId="7CE99954" w14:textId="77777777" w:rsidTr="0012704C">
        <w:trPr>
          <w:gridAfter w:val="1"/>
          <w:wAfter w:w="44" w:type="dxa"/>
          <w:cantSplit/>
          <w:trHeight w:val="397"/>
        </w:trPr>
        <w:tc>
          <w:tcPr>
            <w:tcW w:w="2261" w:type="dxa"/>
          </w:tcPr>
          <w:p w14:paraId="6925C8F0" w14:textId="77777777" w:rsidR="00613CFE" w:rsidRDefault="00613CFE" w:rsidP="00D63B48">
            <w:pPr>
              <w:pStyle w:val="TTTableText"/>
              <w:rPr>
                <w:i/>
                <w:iCs/>
              </w:rPr>
            </w:pPr>
            <w:r w:rsidRPr="00601567">
              <w:rPr>
                <w:i/>
                <w:iCs/>
              </w:rPr>
              <w:t>US – FSC</w:t>
            </w:r>
            <w:r>
              <w:rPr>
                <w:i/>
                <w:iCs/>
              </w:rPr>
              <w:t xml:space="preserve"> (Article 21.5 – EC)</w:t>
            </w:r>
          </w:p>
        </w:tc>
        <w:tc>
          <w:tcPr>
            <w:tcW w:w="6755" w:type="dxa"/>
          </w:tcPr>
          <w:p w14:paraId="699A8E27" w14:textId="1FE2F825" w:rsidR="00613CFE" w:rsidRPr="00FF15A8" w:rsidRDefault="00613CFE" w:rsidP="00D63B48">
            <w:pPr>
              <w:pStyle w:val="TTTableText"/>
              <w:rPr>
                <w:color w:val="000000"/>
              </w:rPr>
            </w:pPr>
            <w:r w:rsidRPr="00EF73B2">
              <w:rPr>
                <w:color w:val="000000"/>
              </w:rPr>
              <w:t xml:space="preserve">Appellate Body Report, </w:t>
            </w:r>
            <w:r w:rsidRPr="00EF73B2">
              <w:rPr>
                <w:i/>
                <w:color w:val="000000"/>
              </w:rPr>
              <w:t>United States – Tax Treatment for "Foreign Sales Corporations" – Recourse to Article 21.5 of the DSU by the European Communities</w:t>
            </w:r>
            <w:r w:rsidRPr="00EF73B2">
              <w:rPr>
                <w:color w:val="000000"/>
              </w:rPr>
              <w:t xml:space="preserve">, </w:t>
            </w:r>
            <w:r w:rsidRPr="00FB359A">
              <w:rPr>
                <w:rFonts w:eastAsia="Times New Roman"/>
                <w:bCs/>
              </w:rPr>
              <w:t>WT/DS108/AB/RW</w:t>
            </w:r>
            <w:r w:rsidRPr="00EF73B2">
              <w:rPr>
                <w:color w:val="000000"/>
              </w:rPr>
              <w:t>, adopted 29 January 2002, DSR 2002:I, p. 55</w:t>
            </w:r>
          </w:p>
        </w:tc>
      </w:tr>
      <w:tr w:rsidR="004759DD" w:rsidRPr="0007327B" w14:paraId="7C1D3370" w14:textId="77777777" w:rsidTr="0012704C">
        <w:trPr>
          <w:gridAfter w:val="1"/>
          <w:wAfter w:w="44" w:type="dxa"/>
          <w:cantSplit/>
          <w:trHeight w:val="397"/>
        </w:trPr>
        <w:tc>
          <w:tcPr>
            <w:tcW w:w="2261" w:type="dxa"/>
          </w:tcPr>
          <w:p w14:paraId="3441638A" w14:textId="77777777" w:rsidR="00613CFE" w:rsidRDefault="00613CFE" w:rsidP="00D63B48">
            <w:pPr>
              <w:pStyle w:val="TTTableText"/>
              <w:rPr>
                <w:i/>
                <w:iCs/>
              </w:rPr>
            </w:pPr>
            <w:r>
              <w:rPr>
                <w:i/>
                <w:iCs/>
              </w:rPr>
              <w:t>US - Gambling</w:t>
            </w:r>
          </w:p>
        </w:tc>
        <w:tc>
          <w:tcPr>
            <w:tcW w:w="6755" w:type="dxa"/>
          </w:tcPr>
          <w:p w14:paraId="4B9469EB" w14:textId="2A35178E" w:rsidR="00613CFE" w:rsidRPr="00F042D7" w:rsidRDefault="00613CFE" w:rsidP="00D63B48">
            <w:pPr>
              <w:pStyle w:val="TTTableText"/>
              <w:rPr>
                <w:color w:val="000000"/>
              </w:rPr>
            </w:pPr>
            <w:r w:rsidRPr="00EF73B2">
              <w:rPr>
                <w:color w:val="000000"/>
              </w:rPr>
              <w:t xml:space="preserve">Appellate Body Report, </w:t>
            </w:r>
            <w:r w:rsidRPr="00EF73B2">
              <w:rPr>
                <w:i/>
                <w:color w:val="000000"/>
              </w:rPr>
              <w:t>United States – Measures Affecting the Cross-Border Supply of Gambling and Betting Services</w:t>
            </w:r>
            <w:r w:rsidRPr="00EF73B2">
              <w:rPr>
                <w:color w:val="000000"/>
              </w:rPr>
              <w:t xml:space="preserve">, </w:t>
            </w:r>
            <w:r w:rsidRPr="00FB359A">
              <w:t>WT/DS285/AB/R</w:t>
            </w:r>
            <w:r w:rsidRPr="00EF73B2">
              <w:rPr>
                <w:color w:val="000000"/>
              </w:rPr>
              <w:t>, adopted 20 April 2005, DSR 2005:XII, p. 5663 (and Corr.1, DSR 2006:XII, p. 5475)</w:t>
            </w:r>
          </w:p>
        </w:tc>
      </w:tr>
      <w:tr w:rsidR="00F8523E" w:rsidRPr="0007327B" w14:paraId="7DFA11E3" w14:textId="77777777" w:rsidTr="0012704C">
        <w:trPr>
          <w:gridAfter w:val="1"/>
          <w:wAfter w:w="44" w:type="dxa"/>
          <w:cantSplit/>
          <w:trHeight w:val="397"/>
        </w:trPr>
        <w:tc>
          <w:tcPr>
            <w:tcW w:w="2261" w:type="dxa"/>
          </w:tcPr>
          <w:p w14:paraId="065F2673" w14:textId="0183BF4D" w:rsidR="00F8523E" w:rsidRPr="00B449DA" w:rsidRDefault="00F8523E" w:rsidP="00D63B48">
            <w:pPr>
              <w:pStyle w:val="TTTableText"/>
              <w:rPr>
                <w:i/>
                <w:color w:val="000000"/>
              </w:rPr>
            </w:pPr>
            <w:r>
              <w:rPr>
                <w:i/>
                <w:color w:val="000000"/>
              </w:rPr>
              <w:t>US – Large Civil Aircraft (2</w:t>
            </w:r>
            <w:r w:rsidRPr="0012704C">
              <w:rPr>
                <w:i/>
                <w:color w:val="000000"/>
                <w:vertAlign w:val="superscript"/>
              </w:rPr>
              <w:t>nd</w:t>
            </w:r>
            <w:r>
              <w:rPr>
                <w:i/>
                <w:color w:val="000000"/>
              </w:rPr>
              <w:t xml:space="preserve"> complaint)</w:t>
            </w:r>
          </w:p>
        </w:tc>
        <w:tc>
          <w:tcPr>
            <w:tcW w:w="6755" w:type="dxa"/>
          </w:tcPr>
          <w:p w14:paraId="0B52AE6C" w14:textId="62C03B7F" w:rsidR="00F8523E" w:rsidRPr="003C1A7F" w:rsidRDefault="00F8523E" w:rsidP="00D63B48">
            <w:pPr>
              <w:pStyle w:val="TTTableText"/>
              <w:rPr>
                <w:color w:val="000000"/>
              </w:rPr>
            </w:pPr>
            <w:r w:rsidRPr="00F8523E">
              <w:rPr>
                <w:color w:val="000000"/>
              </w:rPr>
              <w:t xml:space="preserve">Appellate Body Report, </w:t>
            </w:r>
            <w:r w:rsidRPr="00F8523E">
              <w:rPr>
                <w:i/>
                <w:color w:val="000000"/>
              </w:rPr>
              <w:t>United States – Measures Affecting Trade in Large Civil Aircraft (Second Complaint)</w:t>
            </w:r>
            <w:r w:rsidRPr="00F8523E">
              <w:rPr>
                <w:color w:val="000000"/>
              </w:rPr>
              <w:t xml:space="preserve">, </w:t>
            </w:r>
            <w:r w:rsidRPr="0012704C">
              <w:rPr>
                <w:color w:val="000000"/>
              </w:rPr>
              <w:t>WT/DS353/AB/R</w:t>
            </w:r>
            <w:r w:rsidRPr="00F8523E">
              <w:rPr>
                <w:color w:val="000000"/>
              </w:rPr>
              <w:t>, adopted 23 March 2012, DSR 2012:I, p. 7</w:t>
            </w:r>
          </w:p>
        </w:tc>
      </w:tr>
      <w:tr w:rsidR="004759DD" w:rsidRPr="0007327B" w14:paraId="722A2252" w14:textId="77777777" w:rsidTr="0012704C">
        <w:trPr>
          <w:gridAfter w:val="1"/>
          <w:wAfter w:w="44" w:type="dxa"/>
          <w:cantSplit/>
          <w:trHeight w:val="397"/>
        </w:trPr>
        <w:tc>
          <w:tcPr>
            <w:tcW w:w="2261" w:type="dxa"/>
          </w:tcPr>
          <w:p w14:paraId="5CA6D81A" w14:textId="77777777" w:rsidR="00613CFE" w:rsidRDefault="00613CFE" w:rsidP="00D63B48">
            <w:pPr>
              <w:pStyle w:val="TTTableText"/>
              <w:rPr>
                <w:i/>
                <w:iCs/>
              </w:rPr>
            </w:pPr>
            <w:r w:rsidRPr="00B449DA">
              <w:rPr>
                <w:i/>
                <w:color w:val="000000"/>
              </w:rPr>
              <w:t>US – Oil Country Tubular Goods Sunset Reviews</w:t>
            </w:r>
          </w:p>
        </w:tc>
        <w:tc>
          <w:tcPr>
            <w:tcW w:w="6755" w:type="dxa"/>
          </w:tcPr>
          <w:p w14:paraId="07BD357D" w14:textId="4F707AD9" w:rsidR="00613CFE" w:rsidRPr="0077171F" w:rsidRDefault="00613CFE" w:rsidP="00D63B48">
            <w:pPr>
              <w:pStyle w:val="TTTableText"/>
              <w:rPr>
                <w:color w:val="000000"/>
              </w:rPr>
            </w:pPr>
            <w:r w:rsidRPr="003C1A7F">
              <w:rPr>
                <w:color w:val="000000"/>
              </w:rPr>
              <w:t xml:space="preserve">Appellate Body Report, </w:t>
            </w:r>
            <w:r w:rsidRPr="003C1A7F">
              <w:rPr>
                <w:i/>
                <w:color w:val="000000"/>
              </w:rPr>
              <w:t>United States – Sunset Reviews of Anti-Dumping Measures on Oil Country Tubular Goods from Argentina</w:t>
            </w:r>
            <w:r w:rsidRPr="003C1A7F">
              <w:rPr>
                <w:color w:val="000000"/>
              </w:rPr>
              <w:t xml:space="preserve">, </w:t>
            </w:r>
            <w:r w:rsidRPr="00FB359A">
              <w:t>WT/DS268/AB/R</w:t>
            </w:r>
            <w:r w:rsidRPr="003C1A7F">
              <w:rPr>
                <w:color w:val="000000"/>
              </w:rPr>
              <w:t>, adopted 17 December 2004, DSR 2004:VII, p. 3257</w:t>
            </w:r>
          </w:p>
        </w:tc>
      </w:tr>
      <w:tr w:rsidR="004759DD" w:rsidRPr="0007327B" w14:paraId="2281F1BB" w14:textId="77777777" w:rsidTr="0012704C">
        <w:trPr>
          <w:gridAfter w:val="1"/>
          <w:wAfter w:w="44" w:type="dxa"/>
          <w:cantSplit/>
          <w:trHeight w:val="397"/>
        </w:trPr>
        <w:tc>
          <w:tcPr>
            <w:tcW w:w="2261" w:type="dxa"/>
          </w:tcPr>
          <w:p w14:paraId="7112ECD0" w14:textId="77777777" w:rsidR="00613CFE" w:rsidRPr="0007327B" w:rsidRDefault="00613CFE" w:rsidP="00D63B48">
            <w:pPr>
              <w:pStyle w:val="TTTableText"/>
            </w:pPr>
            <w:r>
              <w:rPr>
                <w:i/>
                <w:iCs/>
              </w:rPr>
              <w:t>US – Shrimp</w:t>
            </w:r>
          </w:p>
        </w:tc>
        <w:tc>
          <w:tcPr>
            <w:tcW w:w="6755" w:type="dxa"/>
          </w:tcPr>
          <w:p w14:paraId="7E13D328" w14:textId="71565648" w:rsidR="00613CFE" w:rsidRPr="0007327B" w:rsidRDefault="00613CFE" w:rsidP="00D63B48">
            <w:pPr>
              <w:pStyle w:val="TTTableText"/>
            </w:pPr>
            <w:r w:rsidRPr="0077171F">
              <w:rPr>
                <w:color w:val="000000"/>
              </w:rPr>
              <w:t xml:space="preserve">Appellate Body Report, </w:t>
            </w:r>
            <w:r w:rsidRPr="0077171F">
              <w:rPr>
                <w:i/>
                <w:color w:val="000000"/>
              </w:rPr>
              <w:t>United States – Import Prohibition of Certain Shrimp and Shrimp Products</w:t>
            </w:r>
            <w:r w:rsidRPr="0077171F">
              <w:rPr>
                <w:color w:val="000000"/>
              </w:rPr>
              <w:t xml:space="preserve">, </w:t>
            </w:r>
            <w:r w:rsidRPr="00FB359A">
              <w:t>WT/DS58/AB/R</w:t>
            </w:r>
            <w:r w:rsidRPr="0077171F">
              <w:rPr>
                <w:color w:val="000000"/>
              </w:rPr>
              <w:t>, adopted 6 November 1998, DSR 1998:VII, p. 2755</w:t>
            </w:r>
          </w:p>
        </w:tc>
      </w:tr>
      <w:tr w:rsidR="004759DD" w:rsidRPr="0007327B" w14:paraId="3605041D" w14:textId="77777777" w:rsidTr="0012704C">
        <w:trPr>
          <w:gridAfter w:val="1"/>
          <w:wAfter w:w="44" w:type="dxa"/>
          <w:cantSplit/>
          <w:trHeight w:val="397"/>
        </w:trPr>
        <w:tc>
          <w:tcPr>
            <w:tcW w:w="2261" w:type="dxa"/>
          </w:tcPr>
          <w:p w14:paraId="50E425FD" w14:textId="77777777" w:rsidR="00613CFE" w:rsidRPr="0095176C" w:rsidRDefault="00613CFE" w:rsidP="00D63B48">
            <w:pPr>
              <w:pStyle w:val="TTTableText"/>
            </w:pPr>
            <w:r w:rsidRPr="00EF73B2">
              <w:rPr>
                <w:i/>
                <w:color w:val="000000"/>
              </w:rPr>
              <w:t>US – Supercalendered Paper</w:t>
            </w:r>
          </w:p>
        </w:tc>
        <w:tc>
          <w:tcPr>
            <w:tcW w:w="6755" w:type="dxa"/>
          </w:tcPr>
          <w:p w14:paraId="5B924DB3" w14:textId="03C7FB97" w:rsidR="00613CFE" w:rsidRPr="001A6D49" w:rsidRDefault="00613CFE" w:rsidP="00D63B48">
            <w:pPr>
              <w:pStyle w:val="TTTableText"/>
            </w:pPr>
            <w:r w:rsidRPr="00EF73B2">
              <w:rPr>
                <w:color w:val="000000"/>
              </w:rPr>
              <w:t xml:space="preserve">Appellate Body Report, </w:t>
            </w:r>
            <w:r w:rsidRPr="00EF73B2">
              <w:rPr>
                <w:i/>
                <w:color w:val="000000"/>
              </w:rPr>
              <w:t>United States – Countervailing Measures on Supercalendered Paper from Canada</w:t>
            </w:r>
            <w:r w:rsidRPr="00EF73B2">
              <w:rPr>
                <w:color w:val="000000"/>
              </w:rPr>
              <w:t xml:space="preserve">, </w:t>
            </w:r>
            <w:r w:rsidRPr="00FB359A">
              <w:t>WT/DS505/AB/R</w:t>
            </w:r>
            <w:r w:rsidRPr="00EF73B2">
              <w:rPr>
                <w:color w:val="000000"/>
              </w:rPr>
              <w:t xml:space="preserve"> and Add.1, </w:t>
            </w:r>
            <w:r w:rsidRPr="00EF73B2">
              <w:rPr>
                <w:iCs/>
                <w:color w:val="000000"/>
              </w:rPr>
              <w:t>adopted 5 March 2020</w:t>
            </w:r>
          </w:p>
        </w:tc>
      </w:tr>
      <w:tr w:rsidR="004759DD" w:rsidRPr="0007327B" w14:paraId="6A48222C" w14:textId="77777777" w:rsidTr="0012704C">
        <w:trPr>
          <w:gridAfter w:val="1"/>
          <w:wAfter w:w="44" w:type="dxa"/>
          <w:cantSplit/>
          <w:trHeight w:val="397"/>
        </w:trPr>
        <w:tc>
          <w:tcPr>
            <w:tcW w:w="2261" w:type="dxa"/>
          </w:tcPr>
          <w:p w14:paraId="39697537" w14:textId="77777777" w:rsidR="00613CFE" w:rsidRPr="000F2F1E" w:rsidRDefault="00613CFE" w:rsidP="00D63B48">
            <w:pPr>
              <w:pStyle w:val="TTTableText"/>
              <w:rPr>
                <w:i/>
                <w:iCs/>
              </w:rPr>
            </w:pPr>
            <w:r w:rsidRPr="00EF73B2">
              <w:rPr>
                <w:i/>
                <w:color w:val="000000"/>
              </w:rPr>
              <w:t>US – Underwear</w:t>
            </w:r>
          </w:p>
        </w:tc>
        <w:tc>
          <w:tcPr>
            <w:tcW w:w="6755" w:type="dxa"/>
          </w:tcPr>
          <w:p w14:paraId="1DC296E0" w14:textId="041746F4" w:rsidR="00613CFE" w:rsidRPr="000F2F1E" w:rsidRDefault="00613CFE" w:rsidP="00D63B48">
            <w:pPr>
              <w:pStyle w:val="TTTableText"/>
              <w:rPr>
                <w:color w:val="000000"/>
              </w:rPr>
            </w:pPr>
            <w:r w:rsidRPr="00EF73B2">
              <w:rPr>
                <w:color w:val="000000"/>
              </w:rPr>
              <w:t xml:space="preserve">Appellate Body Report, </w:t>
            </w:r>
            <w:r w:rsidRPr="00EF73B2">
              <w:rPr>
                <w:i/>
                <w:color w:val="000000"/>
              </w:rPr>
              <w:t>United States – Restrictions on Imports of Cotton and Man-made Fibre Underwear</w:t>
            </w:r>
            <w:r w:rsidRPr="00EF73B2">
              <w:rPr>
                <w:color w:val="000000"/>
              </w:rPr>
              <w:t xml:space="preserve">, </w:t>
            </w:r>
            <w:r w:rsidRPr="00FB359A">
              <w:t>WT/DS24/AB/R</w:t>
            </w:r>
            <w:r w:rsidRPr="00EF73B2">
              <w:rPr>
                <w:color w:val="000000"/>
              </w:rPr>
              <w:t>, adopted 25 February 1997, DSR 1997:I, p. 11</w:t>
            </w:r>
          </w:p>
        </w:tc>
      </w:tr>
      <w:tr w:rsidR="004759DD" w:rsidRPr="0007327B" w14:paraId="668272B2" w14:textId="77777777" w:rsidTr="0012704C">
        <w:trPr>
          <w:gridAfter w:val="1"/>
          <w:wAfter w:w="44" w:type="dxa"/>
          <w:cantSplit/>
          <w:trHeight w:val="397"/>
        </w:trPr>
        <w:tc>
          <w:tcPr>
            <w:tcW w:w="2261" w:type="dxa"/>
          </w:tcPr>
          <w:p w14:paraId="49F8D299" w14:textId="77777777" w:rsidR="00613CFE" w:rsidRPr="00A3744E" w:rsidRDefault="00613CFE" w:rsidP="00D63B48">
            <w:pPr>
              <w:pStyle w:val="TTTableText"/>
              <w:rPr>
                <w:i/>
                <w:iCs/>
              </w:rPr>
            </w:pPr>
            <w:r w:rsidRPr="00403CA9">
              <w:rPr>
                <w:i/>
                <w:iCs/>
                <w:szCs w:val="18"/>
              </w:rPr>
              <w:t>US – Wheat Gluten</w:t>
            </w:r>
          </w:p>
        </w:tc>
        <w:tc>
          <w:tcPr>
            <w:tcW w:w="6755" w:type="dxa"/>
          </w:tcPr>
          <w:p w14:paraId="69B4226D" w14:textId="21C1EA94" w:rsidR="00613CFE" w:rsidRPr="00233FE7" w:rsidRDefault="00613CFE" w:rsidP="00D63B48">
            <w:pPr>
              <w:pStyle w:val="TTTableText"/>
              <w:rPr>
                <w:color w:val="000000"/>
              </w:rPr>
            </w:pPr>
            <w:r w:rsidRPr="00EF73B2">
              <w:rPr>
                <w:color w:val="000000"/>
              </w:rPr>
              <w:t xml:space="preserve">Appellate Body Report, </w:t>
            </w:r>
            <w:r w:rsidRPr="00EF73B2">
              <w:rPr>
                <w:i/>
                <w:color w:val="000000"/>
              </w:rPr>
              <w:t>United States – Definitive Safeguard Measures on Imports of Wheat Gluten from the European Communities</w:t>
            </w:r>
            <w:r w:rsidRPr="00EF73B2">
              <w:rPr>
                <w:color w:val="000000"/>
              </w:rPr>
              <w:t xml:space="preserve">, </w:t>
            </w:r>
            <w:r w:rsidRPr="00FB359A">
              <w:t>WT/DS166/AB/R</w:t>
            </w:r>
            <w:r w:rsidRPr="00EF73B2">
              <w:rPr>
                <w:color w:val="000000"/>
              </w:rPr>
              <w:t>, adopted 19 January 2001, DSR 2001:II, p. 717</w:t>
            </w:r>
          </w:p>
        </w:tc>
      </w:tr>
      <w:tr w:rsidR="004759DD" w:rsidRPr="0007327B" w14:paraId="23DF685A" w14:textId="77777777" w:rsidTr="0012704C">
        <w:trPr>
          <w:gridAfter w:val="1"/>
          <w:wAfter w:w="44" w:type="dxa"/>
          <w:cantSplit/>
          <w:trHeight w:val="397"/>
        </w:trPr>
        <w:tc>
          <w:tcPr>
            <w:tcW w:w="2261" w:type="dxa"/>
          </w:tcPr>
          <w:p w14:paraId="2916DBDA" w14:textId="77777777" w:rsidR="00613CFE" w:rsidRPr="00A3744E" w:rsidRDefault="00613CFE" w:rsidP="00D63B48">
            <w:pPr>
              <w:pStyle w:val="TTTableText"/>
              <w:rPr>
                <w:i/>
                <w:color w:val="000000"/>
              </w:rPr>
            </w:pPr>
            <w:r w:rsidRPr="00A3744E">
              <w:rPr>
                <w:i/>
                <w:iCs/>
              </w:rPr>
              <w:t>US - Wool Shirts and Blouses</w:t>
            </w:r>
          </w:p>
        </w:tc>
        <w:tc>
          <w:tcPr>
            <w:tcW w:w="6755" w:type="dxa"/>
          </w:tcPr>
          <w:p w14:paraId="6CFD10BC" w14:textId="16C12A22" w:rsidR="00613CFE" w:rsidRPr="00A3744E" w:rsidRDefault="00613CFE" w:rsidP="00D63B48">
            <w:pPr>
              <w:pStyle w:val="TTTableText"/>
              <w:rPr>
                <w:color w:val="000000"/>
              </w:rPr>
            </w:pPr>
            <w:r w:rsidRPr="00A724EC">
              <w:rPr>
                <w:color w:val="000000"/>
              </w:rPr>
              <w:t xml:space="preserve">Appellate Body Report, </w:t>
            </w:r>
            <w:r w:rsidRPr="00A724EC">
              <w:rPr>
                <w:i/>
                <w:color w:val="000000"/>
              </w:rPr>
              <w:t>United States – Measure Affecting Imports of Woven Wool Shirts and Blouses from India</w:t>
            </w:r>
            <w:r w:rsidRPr="00A724EC">
              <w:rPr>
                <w:color w:val="000000"/>
              </w:rPr>
              <w:t xml:space="preserve">, </w:t>
            </w:r>
            <w:r w:rsidRPr="00FB359A">
              <w:t>WT/DS33/AB/R</w:t>
            </w:r>
            <w:r w:rsidRPr="00A724EC">
              <w:rPr>
                <w:color w:val="000000"/>
              </w:rPr>
              <w:t>, adopted 23 May 1997, and Corr.1, DSR 1997:I, p. 323</w:t>
            </w:r>
          </w:p>
        </w:tc>
      </w:tr>
      <w:tr w:rsidR="004759DD" w:rsidRPr="0007327B" w14:paraId="1BE36DFB" w14:textId="77777777" w:rsidTr="0012704C">
        <w:trPr>
          <w:gridAfter w:val="1"/>
          <w:wAfter w:w="44" w:type="dxa"/>
          <w:cantSplit/>
          <w:trHeight w:val="397"/>
        </w:trPr>
        <w:tc>
          <w:tcPr>
            <w:tcW w:w="2261" w:type="dxa"/>
          </w:tcPr>
          <w:p w14:paraId="1A86FD9A" w14:textId="77777777" w:rsidR="00613CFE" w:rsidRPr="0007327B" w:rsidRDefault="00613CFE" w:rsidP="00D63B48">
            <w:pPr>
              <w:pStyle w:val="TTTableText"/>
            </w:pPr>
            <w:r w:rsidRPr="00AF709C">
              <w:rPr>
                <w:i/>
                <w:iCs/>
              </w:rPr>
              <w:lastRenderedPageBreak/>
              <w:t>US — Zeroing</w:t>
            </w:r>
            <w:r>
              <w:rPr>
                <w:i/>
                <w:iCs/>
              </w:rPr>
              <w:t xml:space="preserve"> (EC)</w:t>
            </w:r>
          </w:p>
        </w:tc>
        <w:tc>
          <w:tcPr>
            <w:tcW w:w="6755" w:type="dxa"/>
          </w:tcPr>
          <w:p w14:paraId="47BBC8D9" w14:textId="087737E0" w:rsidR="00613CFE" w:rsidRPr="001A6D49" w:rsidRDefault="00613CFE" w:rsidP="00D63B48">
            <w:pPr>
              <w:pStyle w:val="TTTableText"/>
            </w:pPr>
            <w:r w:rsidRPr="00EF73B2">
              <w:rPr>
                <w:color w:val="000000"/>
              </w:rPr>
              <w:t xml:space="preserve">Appellate Body Report, </w:t>
            </w:r>
            <w:r w:rsidRPr="00EF73B2">
              <w:rPr>
                <w:i/>
                <w:color w:val="000000"/>
              </w:rPr>
              <w:t>United States – Laws, Regulations and Methodology for Calculating Dumping Margins ("Zeroing")</w:t>
            </w:r>
            <w:r w:rsidRPr="00EF73B2">
              <w:rPr>
                <w:color w:val="000000"/>
              </w:rPr>
              <w:t xml:space="preserve">, </w:t>
            </w:r>
            <w:r w:rsidRPr="00FB359A">
              <w:t>WT/DS294/AB/R</w:t>
            </w:r>
            <w:r w:rsidRPr="00EF73B2">
              <w:rPr>
                <w:color w:val="000000"/>
              </w:rPr>
              <w:t>, adopted 9 May 2006, and Corr.1, DSR 2006:II, p. 417</w:t>
            </w:r>
          </w:p>
        </w:tc>
      </w:tr>
    </w:tbl>
    <w:p w14:paraId="4DB0225A" w14:textId="680E74FD" w:rsidR="004D7079" w:rsidRDefault="004D7079" w:rsidP="004D7079">
      <w:pPr>
        <w:pStyle w:val="BTNSSBodyTextNoSpacingSmall"/>
      </w:pPr>
    </w:p>
    <w:p w14:paraId="0DAB075F" w14:textId="77777777" w:rsidR="00613CFE" w:rsidRPr="0007327B" w:rsidRDefault="00613CFE" w:rsidP="004D7079">
      <w:pPr>
        <w:pStyle w:val="BTNSSBodyTextNoSpacingSmall"/>
      </w:pPr>
    </w:p>
    <w:p w14:paraId="7922AF42" w14:textId="77777777" w:rsidR="008A1191" w:rsidRPr="0007327B" w:rsidRDefault="004524CE" w:rsidP="004524CE">
      <w:pPr>
        <w:pStyle w:val="SHSectionHeading"/>
      </w:pPr>
      <w:bookmarkStart w:id="4" w:name="_Toc150441688"/>
      <w:r w:rsidRPr="0007327B">
        <w:t>List of Acronyms, Abbreviations and Short Forms</w:t>
      </w:r>
      <w:bookmarkEnd w:id="4"/>
    </w:p>
    <w:tbl>
      <w:tblPr>
        <w:tblStyle w:val="TableGrid"/>
        <w:tblW w:w="5000" w:type="pct"/>
        <w:tblLook w:val="04A0" w:firstRow="1" w:lastRow="0" w:firstColumn="1" w:lastColumn="0" w:noHBand="0" w:noVBand="1"/>
      </w:tblPr>
      <w:tblGrid>
        <w:gridCol w:w="1696"/>
        <w:gridCol w:w="7364"/>
      </w:tblGrid>
      <w:tr w:rsidR="008A1191" w:rsidRPr="0007327B" w14:paraId="02A242B4" w14:textId="77777777" w:rsidTr="57A6B59E">
        <w:trPr>
          <w:cantSplit/>
          <w:trHeight w:val="397"/>
          <w:tblHeader/>
        </w:trPr>
        <w:tc>
          <w:tcPr>
            <w:tcW w:w="1696" w:type="dxa"/>
            <w:shd w:val="clear" w:color="auto" w:fill="D9D9D9" w:themeFill="background1" w:themeFillShade="D9"/>
          </w:tcPr>
          <w:p w14:paraId="42AA6BA4" w14:textId="77777777" w:rsidR="008A1191" w:rsidRPr="0007327B" w:rsidRDefault="008A1191" w:rsidP="008A4C51">
            <w:pPr>
              <w:pStyle w:val="THTableHeading"/>
              <w:jc w:val="center"/>
            </w:pPr>
            <w:r w:rsidRPr="0007327B">
              <w:t>Abbreviation</w:t>
            </w:r>
          </w:p>
        </w:tc>
        <w:tc>
          <w:tcPr>
            <w:tcW w:w="7364" w:type="dxa"/>
            <w:shd w:val="clear" w:color="auto" w:fill="D9D9D9" w:themeFill="background1" w:themeFillShade="D9"/>
          </w:tcPr>
          <w:p w14:paraId="1EF04560" w14:textId="77777777" w:rsidR="008A1191" w:rsidRPr="0007327B" w:rsidRDefault="008A1191" w:rsidP="008A4C51">
            <w:pPr>
              <w:pStyle w:val="THTableHeading"/>
              <w:jc w:val="center"/>
            </w:pPr>
            <w:r w:rsidRPr="0007327B">
              <w:t>Full Form or Description</w:t>
            </w:r>
          </w:p>
        </w:tc>
      </w:tr>
      <w:tr w:rsidR="003453DF" w:rsidRPr="0007327B" w14:paraId="4320F9A9" w14:textId="77777777" w:rsidTr="57A6B59E">
        <w:trPr>
          <w:cantSplit/>
          <w:trHeight w:val="397"/>
        </w:trPr>
        <w:tc>
          <w:tcPr>
            <w:tcW w:w="1696" w:type="dxa"/>
          </w:tcPr>
          <w:p w14:paraId="3E447378" w14:textId="18572C15" w:rsidR="003453DF" w:rsidRPr="000231AA" w:rsidRDefault="003453DF" w:rsidP="008A4C51">
            <w:pPr>
              <w:pStyle w:val="TTTableText"/>
            </w:pPr>
            <w:r w:rsidRPr="000231AA">
              <w:t>DSB</w:t>
            </w:r>
          </w:p>
        </w:tc>
        <w:tc>
          <w:tcPr>
            <w:tcW w:w="7364" w:type="dxa"/>
          </w:tcPr>
          <w:p w14:paraId="630EA01A" w14:textId="63C9765C" w:rsidR="003453DF" w:rsidRPr="003453DF" w:rsidRDefault="000231AA" w:rsidP="008A4C51">
            <w:pPr>
              <w:pStyle w:val="TTTableText"/>
              <w:rPr>
                <w:rFonts w:asciiTheme="minorHAnsi" w:hAnsiTheme="minorHAnsi" w:cstheme="minorHAnsi"/>
              </w:rPr>
            </w:pPr>
            <w:r>
              <w:rPr>
                <w:rFonts w:asciiTheme="minorHAnsi" w:hAnsiTheme="minorHAnsi" w:cstheme="minorHAnsi"/>
              </w:rPr>
              <w:t>Dispute Settlement Body</w:t>
            </w:r>
          </w:p>
        </w:tc>
      </w:tr>
      <w:tr w:rsidR="008A1191" w:rsidRPr="0007327B" w14:paraId="6D12C15E" w14:textId="77777777" w:rsidTr="57A6B59E">
        <w:trPr>
          <w:cantSplit/>
          <w:trHeight w:val="397"/>
        </w:trPr>
        <w:tc>
          <w:tcPr>
            <w:tcW w:w="1696" w:type="dxa"/>
          </w:tcPr>
          <w:p w14:paraId="25E5AA2A" w14:textId="787A1020" w:rsidR="008A1191" w:rsidRPr="0012704C" w:rsidRDefault="003C7AA9" w:rsidP="008A4C51">
            <w:pPr>
              <w:pStyle w:val="TTTableText"/>
            </w:pPr>
            <w:r w:rsidRPr="0012704C">
              <w:t>DSU</w:t>
            </w:r>
          </w:p>
        </w:tc>
        <w:tc>
          <w:tcPr>
            <w:tcW w:w="7364" w:type="dxa"/>
          </w:tcPr>
          <w:p w14:paraId="76BDDEA1" w14:textId="229A241D" w:rsidR="008A1191" w:rsidRPr="0012704C" w:rsidRDefault="003C7AA9" w:rsidP="008A4C51">
            <w:pPr>
              <w:pStyle w:val="TTTableText"/>
            </w:pPr>
            <w:r w:rsidRPr="0012704C">
              <w:rPr>
                <w:rFonts w:asciiTheme="minorHAnsi" w:hAnsiTheme="minorHAnsi" w:cstheme="minorHAnsi"/>
              </w:rPr>
              <w:t>Understanding</w:t>
            </w:r>
            <w:r w:rsidRPr="0012704C">
              <w:rPr>
                <w:rFonts w:asciiTheme="minorHAnsi" w:hAnsiTheme="minorHAnsi" w:cstheme="minorHAnsi"/>
                <w:spacing w:val="-7"/>
              </w:rPr>
              <w:t xml:space="preserve"> </w:t>
            </w:r>
            <w:r w:rsidRPr="0012704C">
              <w:rPr>
                <w:rFonts w:asciiTheme="minorHAnsi" w:hAnsiTheme="minorHAnsi" w:cstheme="minorHAnsi"/>
              </w:rPr>
              <w:t>on</w:t>
            </w:r>
            <w:r w:rsidRPr="0012704C">
              <w:rPr>
                <w:rFonts w:asciiTheme="minorHAnsi" w:hAnsiTheme="minorHAnsi" w:cstheme="minorHAnsi"/>
                <w:spacing w:val="-7"/>
              </w:rPr>
              <w:t xml:space="preserve"> </w:t>
            </w:r>
            <w:r w:rsidRPr="0012704C">
              <w:rPr>
                <w:rFonts w:asciiTheme="minorHAnsi" w:hAnsiTheme="minorHAnsi" w:cstheme="minorHAnsi"/>
              </w:rPr>
              <w:t>Rules</w:t>
            </w:r>
            <w:r w:rsidRPr="0012704C">
              <w:rPr>
                <w:rFonts w:asciiTheme="minorHAnsi" w:hAnsiTheme="minorHAnsi" w:cstheme="minorHAnsi"/>
                <w:spacing w:val="-5"/>
              </w:rPr>
              <w:t xml:space="preserve"> </w:t>
            </w:r>
            <w:r w:rsidRPr="0012704C">
              <w:rPr>
                <w:rFonts w:asciiTheme="minorHAnsi" w:hAnsiTheme="minorHAnsi" w:cstheme="minorHAnsi"/>
              </w:rPr>
              <w:t>and</w:t>
            </w:r>
            <w:r w:rsidRPr="0012704C">
              <w:rPr>
                <w:rFonts w:asciiTheme="minorHAnsi" w:hAnsiTheme="minorHAnsi" w:cstheme="minorHAnsi"/>
                <w:spacing w:val="-7"/>
              </w:rPr>
              <w:t xml:space="preserve"> </w:t>
            </w:r>
            <w:r w:rsidRPr="0012704C">
              <w:rPr>
                <w:rFonts w:asciiTheme="minorHAnsi" w:hAnsiTheme="minorHAnsi" w:cstheme="minorHAnsi"/>
              </w:rPr>
              <w:t>Procedures</w:t>
            </w:r>
            <w:r w:rsidRPr="0012704C">
              <w:rPr>
                <w:rFonts w:asciiTheme="minorHAnsi" w:hAnsiTheme="minorHAnsi" w:cstheme="minorHAnsi"/>
                <w:spacing w:val="-7"/>
              </w:rPr>
              <w:t xml:space="preserve"> </w:t>
            </w:r>
            <w:r w:rsidRPr="0012704C">
              <w:rPr>
                <w:rFonts w:asciiTheme="minorHAnsi" w:hAnsiTheme="minorHAnsi" w:cstheme="minorHAnsi"/>
              </w:rPr>
              <w:t>Governing</w:t>
            </w:r>
            <w:r w:rsidRPr="0012704C">
              <w:rPr>
                <w:rFonts w:asciiTheme="minorHAnsi" w:hAnsiTheme="minorHAnsi" w:cstheme="minorHAnsi"/>
                <w:spacing w:val="-7"/>
              </w:rPr>
              <w:t xml:space="preserve"> </w:t>
            </w:r>
            <w:r w:rsidRPr="0012704C">
              <w:rPr>
                <w:rFonts w:asciiTheme="minorHAnsi" w:hAnsiTheme="minorHAnsi" w:cstheme="minorHAnsi"/>
              </w:rPr>
              <w:t>the Settlement of Disputes</w:t>
            </w:r>
          </w:p>
        </w:tc>
      </w:tr>
      <w:tr w:rsidR="00646950" w:rsidRPr="0007327B" w14:paraId="441F183B" w14:textId="77777777" w:rsidTr="57A6B59E">
        <w:trPr>
          <w:cantSplit/>
          <w:trHeight w:val="397"/>
        </w:trPr>
        <w:tc>
          <w:tcPr>
            <w:tcW w:w="1696" w:type="dxa"/>
          </w:tcPr>
          <w:p w14:paraId="64F0D957" w14:textId="63405E47" w:rsidR="00646950" w:rsidRPr="00E35EA2" w:rsidRDefault="00646950" w:rsidP="008A4C51">
            <w:pPr>
              <w:pStyle w:val="TTTableText"/>
            </w:pPr>
            <w:r w:rsidRPr="00E35EA2">
              <w:t xml:space="preserve">GATT </w:t>
            </w:r>
          </w:p>
        </w:tc>
        <w:tc>
          <w:tcPr>
            <w:tcW w:w="7364" w:type="dxa"/>
          </w:tcPr>
          <w:p w14:paraId="06CEBC6B" w14:textId="376DA714" w:rsidR="00646950" w:rsidRPr="00E35EA2" w:rsidRDefault="300AB0E2" w:rsidP="57A6B59E">
            <w:pPr>
              <w:pStyle w:val="TTTableText"/>
            </w:pPr>
            <w:r w:rsidRPr="00E35EA2">
              <w:rPr>
                <w:rFonts w:eastAsia="Calibri" w:cs="Calibri"/>
              </w:rPr>
              <w:t>General Agreement on Tariffs and Trade</w:t>
            </w:r>
          </w:p>
        </w:tc>
      </w:tr>
      <w:tr w:rsidR="001D6CE1" w:rsidRPr="0007327B" w14:paraId="691C39D1" w14:textId="77777777" w:rsidTr="57A6B59E">
        <w:trPr>
          <w:cantSplit/>
          <w:trHeight w:val="397"/>
        </w:trPr>
        <w:tc>
          <w:tcPr>
            <w:tcW w:w="1696" w:type="dxa"/>
          </w:tcPr>
          <w:p w14:paraId="73B977F4" w14:textId="61936409" w:rsidR="001D6CE1" w:rsidRPr="001D6CE1" w:rsidRDefault="001D6CE1" w:rsidP="001D6CE1">
            <w:pPr>
              <w:pStyle w:val="TTTableText"/>
            </w:pPr>
            <w:r>
              <w:t>Member</w:t>
            </w:r>
          </w:p>
        </w:tc>
        <w:tc>
          <w:tcPr>
            <w:tcW w:w="7364" w:type="dxa"/>
          </w:tcPr>
          <w:p w14:paraId="2D3BC5B3" w14:textId="6E7186F5" w:rsidR="001D6CE1" w:rsidRDefault="001D6CE1" w:rsidP="001D6CE1">
            <w:pPr>
              <w:pStyle w:val="TTTableText"/>
            </w:pPr>
            <w:r>
              <w:t>Member of the World Trade Organization</w:t>
            </w:r>
          </w:p>
        </w:tc>
      </w:tr>
      <w:tr w:rsidR="001A0A79" w:rsidRPr="0007327B" w14:paraId="2E76CE27" w14:textId="77777777" w:rsidTr="57A6B59E">
        <w:trPr>
          <w:cantSplit/>
          <w:trHeight w:val="397"/>
        </w:trPr>
        <w:tc>
          <w:tcPr>
            <w:tcW w:w="1696" w:type="dxa"/>
          </w:tcPr>
          <w:p w14:paraId="08F78310" w14:textId="67E440D4" w:rsidR="001A0A79" w:rsidRPr="0012704C" w:rsidRDefault="001A0A79" w:rsidP="008A4C51">
            <w:pPr>
              <w:pStyle w:val="TTTableText"/>
            </w:pPr>
            <w:r w:rsidRPr="0012704C">
              <w:t>Panel Request</w:t>
            </w:r>
          </w:p>
        </w:tc>
        <w:tc>
          <w:tcPr>
            <w:tcW w:w="7364" w:type="dxa"/>
          </w:tcPr>
          <w:p w14:paraId="1A6BA3C7" w14:textId="2D19E395" w:rsidR="001A0A79" w:rsidRPr="0012704C" w:rsidRDefault="00E35EA2" w:rsidP="008A4C51">
            <w:pPr>
              <w:pStyle w:val="TTTableText"/>
            </w:pPr>
            <w:r>
              <w:t>R</w:t>
            </w:r>
            <w:r w:rsidR="001A0A79" w:rsidRPr="0012704C">
              <w:t>equest for the establishment of a panel</w:t>
            </w:r>
            <w:r>
              <w:t xml:space="preserve"> by the European Union</w:t>
            </w:r>
            <w:r w:rsidR="001A0A79" w:rsidRPr="0012704C">
              <w:t>, WT/DS610/8.</w:t>
            </w:r>
          </w:p>
        </w:tc>
      </w:tr>
      <w:tr w:rsidR="00646950" w:rsidRPr="0007327B" w14:paraId="5B0CF7B1" w14:textId="77777777" w:rsidTr="57A6B59E">
        <w:trPr>
          <w:cantSplit/>
          <w:trHeight w:val="397"/>
        </w:trPr>
        <w:tc>
          <w:tcPr>
            <w:tcW w:w="1696" w:type="dxa"/>
          </w:tcPr>
          <w:p w14:paraId="69795DBB" w14:textId="5FA0D6C5" w:rsidR="00646950" w:rsidRPr="0012704C" w:rsidRDefault="00646950" w:rsidP="008A4C51">
            <w:pPr>
              <w:pStyle w:val="TTTableText"/>
            </w:pPr>
            <w:r w:rsidRPr="0012704C">
              <w:t>SPS Agreement</w:t>
            </w:r>
          </w:p>
        </w:tc>
        <w:tc>
          <w:tcPr>
            <w:tcW w:w="7364" w:type="dxa"/>
          </w:tcPr>
          <w:p w14:paraId="674A5CB6" w14:textId="369897AC" w:rsidR="57A6B59E" w:rsidRPr="0012704C" w:rsidRDefault="57A6B59E" w:rsidP="57A6B59E">
            <w:pPr>
              <w:spacing w:before="40" w:after="40"/>
            </w:pPr>
            <w:r w:rsidRPr="0012704C">
              <w:rPr>
                <w:rFonts w:eastAsia="Calibri" w:cs="Calibri"/>
              </w:rPr>
              <w:t>Agreement on the Application of Sanitary and Phytosanitary Measures</w:t>
            </w:r>
          </w:p>
        </w:tc>
      </w:tr>
      <w:tr w:rsidR="001D6CE1" w:rsidRPr="0007327B" w14:paraId="190C56FB" w14:textId="77777777" w:rsidTr="57A6B59E">
        <w:trPr>
          <w:cantSplit/>
          <w:trHeight w:val="397"/>
        </w:trPr>
        <w:tc>
          <w:tcPr>
            <w:tcW w:w="1696" w:type="dxa"/>
          </w:tcPr>
          <w:p w14:paraId="16A72AD3" w14:textId="21B1136F" w:rsidR="001D6CE1" w:rsidRPr="00E35EA2" w:rsidRDefault="001D6CE1" w:rsidP="001D6CE1">
            <w:pPr>
              <w:pStyle w:val="TTTableText"/>
            </w:pPr>
            <w:r>
              <w:t>USDOC</w:t>
            </w:r>
          </w:p>
        </w:tc>
        <w:tc>
          <w:tcPr>
            <w:tcW w:w="7364" w:type="dxa"/>
          </w:tcPr>
          <w:p w14:paraId="26229DCC" w14:textId="214348CA" w:rsidR="001D6CE1" w:rsidRPr="00E35EA2" w:rsidRDefault="001D6CE1" w:rsidP="001D6CE1">
            <w:pPr>
              <w:pStyle w:val="TTTableText"/>
            </w:pPr>
            <w:r>
              <w:t>United States Department of Commerce</w:t>
            </w:r>
          </w:p>
        </w:tc>
      </w:tr>
      <w:tr w:rsidR="003C7AA9" w:rsidRPr="0007327B" w14:paraId="602AB201" w14:textId="77777777" w:rsidTr="57A6B59E">
        <w:trPr>
          <w:cantSplit/>
          <w:trHeight w:val="397"/>
        </w:trPr>
        <w:tc>
          <w:tcPr>
            <w:tcW w:w="1696" w:type="dxa"/>
          </w:tcPr>
          <w:p w14:paraId="5FF5DA87" w14:textId="2B2313AD" w:rsidR="003C7AA9" w:rsidRPr="0012704C" w:rsidRDefault="003C7AA9" w:rsidP="008A4C51">
            <w:pPr>
              <w:pStyle w:val="TTTableText"/>
            </w:pPr>
            <w:r w:rsidRPr="0012704C">
              <w:t>WTO</w:t>
            </w:r>
          </w:p>
        </w:tc>
        <w:tc>
          <w:tcPr>
            <w:tcW w:w="7364" w:type="dxa"/>
          </w:tcPr>
          <w:p w14:paraId="75CD4DB3" w14:textId="3F3EB3BB" w:rsidR="003C7AA9" w:rsidRPr="0012704C" w:rsidRDefault="003C7AA9" w:rsidP="008A4C51">
            <w:pPr>
              <w:pStyle w:val="TTTableText"/>
            </w:pPr>
            <w:r w:rsidRPr="0012704C">
              <w:t>World Trade O</w:t>
            </w:r>
            <w:r w:rsidR="007E3FA3" w:rsidRPr="0012704C">
              <w:t>r</w:t>
            </w:r>
            <w:r w:rsidRPr="0012704C">
              <w:t>ganization</w:t>
            </w:r>
          </w:p>
        </w:tc>
      </w:tr>
    </w:tbl>
    <w:p w14:paraId="30E47B86" w14:textId="77777777" w:rsidR="00613CFE" w:rsidRDefault="00613CFE" w:rsidP="00613CFE">
      <w:pPr>
        <w:pStyle w:val="BTBodyText"/>
      </w:pPr>
    </w:p>
    <w:p w14:paraId="6F3B666B" w14:textId="77777777" w:rsidR="00613CFE" w:rsidRDefault="00613CFE" w:rsidP="00613CFE">
      <w:pPr>
        <w:pStyle w:val="BTBodyText"/>
      </w:pPr>
      <w:r>
        <w:br w:type="page"/>
      </w:r>
    </w:p>
    <w:p w14:paraId="320859F7" w14:textId="685A6757" w:rsidR="00D52A17" w:rsidRPr="0007327B" w:rsidRDefault="00674CB1" w:rsidP="00BE4E04">
      <w:pPr>
        <w:pStyle w:val="HL1HeadingLevel1"/>
      </w:pPr>
      <w:bookmarkStart w:id="5" w:name="_Toc150441689"/>
      <w:r>
        <w:lastRenderedPageBreak/>
        <w:t>Introduction</w:t>
      </w:r>
      <w:bookmarkEnd w:id="5"/>
      <w:r w:rsidR="00CB7112">
        <w:t xml:space="preserve"> </w:t>
      </w:r>
    </w:p>
    <w:p w14:paraId="7BE43462" w14:textId="41D107AE" w:rsidR="000873EF" w:rsidRDefault="000873EF" w:rsidP="000873EF">
      <w:pPr>
        <w:pStyle w:val="P1-N1Paragraph1-Number1"/>
      </w:pPr>
      <w:bookmarkStart w:id="6" w:name="_Hlk150330665"/>
      <w:r>
        <w:t xml:space="preserve">Australia expects it to be the common view of all WTO Members that Members should not use or threaten measures affecting trade in an abusive, arbitrary or pretextual manner to pressure, induce or otherwise interfere with a foreign government's exercise of its legitimate sovereign rights or choices. </w:t>
      </w:r>
      <w:r w:rsidRPr="00A61697">
        <w:t xml:space="preserve">Such measures may be unwritten, while others </w:t>
      </w:r>
      <w:r>
        <w:t>may be</w:t>
      </w:r>
      <w:r w:rsidRPr="00A61697">
        <w:t xml:space="preserve"> disguised as legitimate government regulatory or public policy measures, </w:t>
      </w:r>
      <w:r>
        <w:t xml:space="preserve">purportedly </w:t>
      </w:r>
      <w:r w:rsidRPr="00A61697">
        <w:t>unrelated to the strategic objective they are intended to advance.</w:t>
      </w:r>
    </w:p>
    <w:p w14:paraId="7CBA7FB8" w14:textId="5D3DA80A" w:rsidR="000873EF" w:rsidRDefault="000873EF" w:rsidP="000873EF">
      <w:pPr>
        <w:pStyle w:val="P1-N1Paragraph1-Number1"/>
      </w:pPr>
      <w:r>
        <w:t xml:space="preserve">These proceedings raise serious allegations about disguised, trade-restrictive </w:t>
      </w:r>
      <w:r w:rsidR="00DC4EB1">
        <w:t>measures</w:t>
      </w:r>
      <w:r>
        <w:t xml:space="preserve">, which are designed to evade scrutiny by a </w:t>
      </w:r>
      <w:r w:rsidR="00613CFE">
        <w:t>p</w:t>
      </w:r>
      <w:r>
        <w:t>anel.</w:t>
      </w:r>
      <w:r>
        <w:rPr>
          <w:rStyle w:val="FootnoteReference"/>
        </w:rPr>
        <w:footnoteReference w:id="2"/>
      </w:r>
      <w:r>
        <w:t xml:space="preserve"> In analysing these allegations the Panel must exercise due care in its interpretation of the evidence of the measures, to ensure the proper discharge of its mandate under Article 11 of the DSU. </w:t>
      </w:r>
    </w:p>
    <w:p w14:paraId="19C2BA3F" w14:textId="1D8DF195" w:rsidR="000873EF" w:rsidRPr="00140FCB" w:rsidRDefault="000873EF" w:rsidP="000873EF">
      <w:pPr>
        <w:pStyle w:val="P1-N1Paragraph1-Number1"/>
      </w:pPr>
      <w:r>
        <w:t>An allegation that there is a measure that is in unwritten form, the existence of which is entirely denied by the respondent, raises significant challenges for the Panel. It would be incompatible with the Panel’s function to simply accept the denial, or to simply assume the existence of the measure</w:t>
      </w:r>
      <w:r w:rsidR="00BE0B3B">
        <w:t>. The Panel</w:t>
      </w:r>
      <w:r>
        <w:t xml:space="preserve"> must assess, weigh and draw conclusions from the evidence to make findings as to whether the alleged measure exists.  There is an inherent information asymmetry in a situation where there is an unwritten or concealed measure. One side of the dispute has limited evidence to prove the existence of such measures, while the absence of written proof of the measure provides an easy point of rebuttal for the other side. </w:t>
      </w:r>
      <w:r w:rsidRPr="00C36FBA">
        <w:t xml:space="preserve">The </w:t>
      </w:r>
      <w:r>
        <w:t xml:space="preserve">Panel must strike a balance between applying reasonable and appropriate flexibility, which recognises the challenges an unwritten measure presents for a complainant, whilst also ensuring the </w:t>
      </w:r>
      <w:r w:rsidRPr="00140FCB">
        <w:t xml:space="preserve">evidentiary rigour required in any WTO dispute is applied.   </w:t>
      </w:r>
    </w:p>
    <w:p w14:paraId="5E6FB4DD" w14:textId="7B3EAA28" w:rsidR="000873EF" w:rsidRPr="00140FCB" w:rsidRDefault="000873EF" w:rsidP="000873EF">
      <w:pPr>
        <w:pStyle w:val="P1-N1Paragraph1-Number1"/>
      </w:pPr>
      <w:r w:rsidRPr="00140FCB">
        <w:t>Australia address</w:t>
      </w:r>
      <w:r w:rsidR="004353FF">
        <w:t>es</w:t>
      </w:r>
      <w:r w:rsidRPr="00140FCB">
        <w:t xml:space="preserve"> these challenges by presenting its view on how the Panel should approach the key evidentiary questions </w:t>
      </w:r>
      <w:r w:rsidR="00140FCB">
        <w:t xml:space="preserve">that a </w:t>
      </w:r>
      <w:r w:rsidR="00A322A9">
        <w:t>p</w:t>
      </w:r>
      <w:r w:rsidR="00140FCB">
        <w:t>anel needs to consider</w:t>
      </w:r>
      <w:r w:rsidR="00BE0B3B">
        <w:t>,</w:t>
      </w:r>
      <w:r w:rsidR="00140FCB">
        <w:t xml:space="preserve"> in assessing</w:t>
      </w:r>
      <w:r w:rsidRPr="00140FCB">
        <w:t xml:space="preserve"> whether the challenged measures exist. Australia does not present any position on the specific facts of this dispute.</w:t>
      </w:r>
    </w:p>
    <w:p w14:paraId="4C67752C" w14:textId="4B75AFF3" w:rsidR="007E3FA3" w:rsidRDefault="00C158FE" w:rsidP="00CB7112">
      <w:pPr>
        <w:pStyle w:val="HL1HeadingLevel1"/>
      </w:pPr>
      <w:bookmarkStart w:id="7" w:name="_Toc150441690"/>
      <w:bookmarkEnd w:id="6"/>
      <w:r>
        <w:lastRenderedPageBreak/>
        <w:t>E</w:t>
      </w:r>
      <w:r w:rsidR="007E3FA3">
        <w:t>stablishing the existence of the measures</w:t>
      </w:r>
      <w:bookmarkEnd w:id="7"/>
      <w:r w:rsidR="007E3FA3">
        <w:t xml:space="preserve"> </w:t>
      </w:r>
    </w:p>
    <w:p w14:paraId="5D9948E8" w14:textId="1207D47D" w:rsidR="007E3FA3" w:rsidRPr="00D46BAD" w:rsidRDefault="33B4B102" w:rsidP="007E3FA3">
      <w:pPr>
        <w:pStyle w:val="P1-N1Paragraph1-Number1"/>
      </w:pPr>
      <w:r>
        <w:t>The</w:t>
      </w:r>
      <w:r w:rsidR="001A0A79" w:rsidRPr="00D46BAD">
        <w:t xml:space="preserve"> European Union challenges the following three measures:</w:t>
      </w:r>
      <w:r w:rsidR="007E3FA3" w:rsidRPr="00D46BAD">
        <w:t xml:space="preserve"> </w:t>
      </w:r>
    </w:p>
    <w:p w14:paraId="3D031156" w14:textId="32F7DB05" w:rsidR="008B0BBD" w:rsidRPr="00D46BAD" w:rsidRDefault="007E3FA3" w:rsidP="00D46BAD">
      <w:pPr>
        <w:pStyle w:val="P2-B1Paragraph2-Bullet1"/>
      </w:pPr>
      <w:r w:rsidRPr="00D46BAD">
        <w:t>An "</w:t>
      </w:r>
      <w:r w:rsidRPr="009D65BD">
        <w:rPr>
          <w:b/>
          <w:bCs/>
        </w:rPr>
        <w:t>overarching measure</w:t>
      </w:r>
      <w:r w:rsidRPr="00D46BAD">
        <w:t>"</w:t>
      </w:r>
      <w:r w:rsidR="00D46BAD" w:rsidRPr="00D46BAD">
        <w:t xml:space="preserve">, which is more fully characterised in </w:t>
      </w:r>
      <w:r w:rsidR="001D6CE1">
        <w:t>s</w:t>
      </w:r>
      <w:r w:rsidR="00D46BAD" w:rsidRPr="00D46BAD">
        <w:t>ection 6 of the European Union's first written submission;</w:t>
      </w:r>
    </w:p>
    <w:p w14:paraId="48377AC8" w14:textId="699A2714" w:rsidR="007E3FA3" w:rsidRPr="00D46BAD" w:rsidRDefault="009D65BD" w:rsidP="008B0BBD">
      <w:pPr>
        <w:pStyle w:val="P2-B1Paragraph2-Bullet1"/>
      </w:pPr>
      <w:r>
        <w:t>a</w:t>
      </w:r>
      <w:r w:rsidR="001A0A79" w:rsidRPr="00D46BAD">
        <w:t>n "</w:t>
      </w:r>
      <w:r w:rsidR="00C46C24" w:rsidRPr="009D65BD">
        <w:rPr>
          <w:b/>
          <w:bCs/>
        </w:rPr>
        <w:t>import restriction</w:t>
      </w:r>
      <w:r w:rsidR="00C46C24" w:rsidRPr="00D46BAD">
        <w:t>"</w:t>
      </w:r>
      <w:r w:rsidR="003315A8" w:rsidRPr="00D46BAD">
        <w:t xml:space="preserve"> measure</w:t>
      </w:r>
      <w:r w:rsidR="00D46BAD" w:rsidRPr="00D46BAD">
        <w:t xml:space="preserve">, which is more fully characterised in </w:t>
      </w:r>
      <w:r w:rsidR="001D6CE1">
        <w:t>s</w:t>
      </w:r>
      <w:r w:rsidR="00D46BAD" w:rsidRPr="00D46BAD">
        <w:t>ection 4 of the European Union's first written submission; and</w:t>
      </w:r>
      <w:r w:rsidR="00F731E9" w:rsidRPr="00D46BAD">
        <w:t xml:space="preserve"> </w:t>
      </w:r>
    </w:p>
    <w:p w14:paraId="5358B50E" w14:textId="59DA296B" w:rsidR="00C46C24" w:rsidRPr="00D46BAD" w:rsidRDefault="00C46C24" w:rsidP="007E3FA3">
      <w:pPr>
        <w:pStyle w:val="P2-B1Paragraph2-Bullet1"/>
      </w:pPr>
      <w:r w:rsidRPr="00D46BAD">
        <w:t>"</w:t>
      </w:r>
      <w:r w:rsidRPr="009D65BD">
        <w:rPr>
          <w:b/>
          <w:bCs/>
        </w:rPr>
        <w:t>SPS measures</w:t>
      </w:r>
      <w:r w:rsidRPr="00D46BAD">
        <w:t>"</w:t>
      </w:r>
      <w:r w:rsidR="003315A8" w:rsidRPr="00D46BAD">
        <w:t xml:space="preserve">, which </w:t>
      </w:r>
      <w:r w:rsidR="00D46BAD" w:rsidRPr="00D46BAD">
        <w:t xml:space="preserve">are more fully </w:t>
      </w:r>
      <w:r w:rsidR="00092936">
        <w:t>characterised</w:t>
      </w:r>
      <w:r w:rsidR="00092936" w:rsidRPr="00D46BAD">
        <w:t xml:space="preserve"> </w:t>
      </w:r>
      <w:r w:rsidR="00D46BAD" w:rsidRPr="00D46BAD">
        <w:t xml:space="preserve">in </w:t>
      </w:r>
      <w:r w:rsidR="001D6CE1">
        <w:t>s</w:t>
      </w:r>
      <w:r w:rsidR="00D46BAD" w:rsidRPr="00D46BAD">
        <w:t>ection 5 of the European Unions' first written submission.</w:t>
      </w:r>
    </w:p>
    <w:p w14:paraId="535C1D45" w14:textId="0DF3CAEA" w:rsidR="00297BD0" w:rsidRPr="00A451F3" w:rsidRDefault="00D46BAD" w:rsidP="00C46C24">
      <w:pPr>
        <w:pStyle w:val="P1-N1Paragraph1-Number1"/>
      </w:pPr>
      <w:r>
        <w:t>China asserts that the European Union has failed to show that the overarching measure,</w:t>
      </w:r>
      <w:r>
        <w:rPr>
          <w:rStyle w:val="FootnoteReference"/>
        </w:rPr>
        <w:footnoteReference w:id="3"/>
      </w:r>
      <w:r>
        <w:t xml:space="preserve"> or import restriction measure</w:t>
      </w:r>
      <w:r w:rsidR="009D65BD">
        <w:t>,</w:t>
      </w:r>
      <w:r>
        <w:rPr>
          <w:rStyle w:val="FootnoteReference"/>
        </w:rPr>
        <w:footnoteReference w:id="4"/>
      </w:r>
      <w:r w:rsidR="009D65BD">
        <w:t xml:space="preserve"> exist.</w:t>
      </w:r>
      <w:r>
        <w:t xml:space="preserve"> China does not challenge the </w:t>
      </w:r>
      <w:r w:rsidRPr="00A451F3">
        <w:t>existence of the SPS measures.</w:t>
      </w:r>
    </w:p>
    <w:p w14:paraId="234208C3" w14:textId="7B80CB52" w:rsidR="00EF3E73" w:rsidRPr="00A451F3" w:rsidRDefault="00E45CAC" w:rsidP="00092936">
      <w:pPr>
        <w:pStyle w:val="P1-N1Paragraph1-Number1"/>
      </w:pPr>
      <w:r w:rsidRPr="00A451F3">
        <w:t>A</w:t>
      </w:r>
      <w:r w:rsidR="00E045A7">
        <w:t>ccordingly, a</w:t>
      </w:r>
      <w:r w:rsidRPr="00A451F3">
        <w:t xml:space="preserve"> key issue in this dispute is whether the evidence presented by the European Union </w:t>
      </w:r>
      <w:r w:rsidR="00E045A7">
        <w:t>establishes</w:t>
      </w:r>
      <w:r w:rsidR="00E045A7" w:rsidRPr="00A451F3">
        <w:t xml:space="preserve"> </w:t>
      </w:r>
      <w:r w:rsidRPr="00A451F3">
        <w:t>the existence of the challenged measures</w:t>
      </w:r>
      <w:r w:rsidR="006566B5" w:rsidRPr="00A451F3">
        <w:t>, which is a threshold requirement</w:t>
      </w:r>
      <w:r w:rsidRPr="00A451F3">
        <w:t xml:space="preserve"> under WTO rules. Th</w:t>
      </w:r>
      <w:r w:rsidR="00E045A7">
        <w:t>e</w:t>
      </w:r>
      <w:r w:rsidRPr="00A451F3">
        <w:t xml:space="preserve"> </w:t>
      </w:r>
      <w:r w:rsidR="00547020" w:rsidRPr="00A451F3">
        <w:t>analysis</w:t>
      </w:r>
      <w:r w:rsidR="00E045A7">
        <w:t xml:space="preserve"> of this issue</w:t>
      </w:r>
      <w:r w:rsidRPr="00A451F3">
        <w:t xml:space="preserve"> includes enquiries</w:t>
      </w:r>
      <w:r w:rsidR="00AB418A">
        <w:t xml:space="preserve"> directed both at </w:t>
      </w:r>
      <w:r w:rsidRPr="00A451F3">
        <w:t xml:space="preserve">whether </w:t>
      </w:r>
      <w:r w:rsidR="00547020" w:rsidRPr="00A451F3">
        <w:t>each</w:t>
      </w:r>
      <w:r w:rsidRPr="00A451F3">
        <w:t xml:space="preserve"> alleged measure</w:t>
      </w:r>
      <w:r w:rsidR="00547020" w:rsidRPr="00A451F3">
        <w:t xml:space="preserve"> </w:t>
      </w:r>
      <w:r w:rsidRPr="00A451F3">
        <w:t xml:space="preserve">constitutes a measure </w:t>
      </w:r>
      <w:r w:rsidR="00E045A7">
        <w:t>that</w:t>
      </w:r>
      <w:r w:rsidR="00E045A7" w:rsidRPr="00A451F3">
        <w:t xml:space="preserve"> </w:t>
      </w:r>
      <w:r w:rsidRPr="00A451F3">
        <w:t xml:space="preserve">is </w:t>
      </w:r>
      <w:r w:rsidRPr="00A451F3">
        <w:rPr>
          <w:i/>
          <w:iCs/>
        </w:rPr>
        <w:t xml:space="preserve">capable of challenge </w:t>
      </w:r>
      <w:r w:rsidRPr="00F856C3">
        <w:t>through WTO dispute settlement</w:t>
      </w:r>
      <w:r w:rsidR="00F856C3">
        <w:t>,</w:t>
      </w:r>
      <w:r w:rsidRPr="00A451F3">
        <w:rPr>
          <w:rStyle w:val="FootnoteReference"/>
        </w:rPr>
        <w:footnoteReference w:id="5"/>
      </w:r>
      <w:r w:rsidR="00F856C3">
        <w:t xml:space="preserve"> </w:t>
      </w:r>
      <w:r w:rsidR="00EF16B1" w:rsidRPr="00A451F3">
        <w:t xml:space="preserve">and </w:t>
      </w:r>
      <w:r w:rsidR="00F856C3">
        <w:t xml:space="preserve">also </w:t>
      </w:r>
      <w:r w:rsidR="00C35CA3" w:rsidRPr="00A451F3">
        <w:t xml:space="preserve">whether </w:t>
      </w:r>
      <w:r w:rsidR="00DC2D10">
        <w:t xml:space="preserve">each </w:t>
      </w:r>
      <w:r w:rsidR="00E045A7">
        <w:t>measure has been proved to exist</w:t>
      </w:r>
      <w:r w:rsidR="00C35CA3" w:rsidRPr="00A451F3">
        <w:t>, in an evidentiary sense</w:t>
      </w:r>
      <w:r w:rsidR="00A451F3">
        <w:t>.</w:t>
      </w:r>
      <w:r w:rsidR="00092936">
        <w:t xml:space="preserve"> </w:t>
      </w:r>
      <w:r w:rsidR="7C2A1E5E">
        <w:t xml:space="preserve">  </w:t>
      </w:r>
    </w:p>
    <w:p w14:paraId="6DB3A419" w14:textId="20381C02" w:rsidR="00E45CAC" w:rsidRDefault="00E45CAC" w:rsidP="00EF3E73">
      <w:pPr>
        <w:pStyle w:val="P1-N1Paragraph1-Number1"/>
      </w:pPr>
      <w:r w:rsidRPr="00A451F3">
        <w:t>Section</w:t>
      </w:r>
      <w:r w:rsidR="000909F9">
        <w:t> </w:t>
      </w:r>
      <w:r w:rsidR="001A42EA" w:rsidRPr="009D65BD">
        <w:t>III</w:t>
      </w:r>
      <w:r w:rsidRPr="00A451F3">
        <w:t xml:space="preserve"> </w:t>
      </w:r>
      <w:r w:rsidR="00F856C3">
        <w:t xml:space="preserve">of this submission </w:t>
      </w:r>
      <w:r w:rsidR="00432DF9" w:rsidRPr="00A451F3">
        <w:t xml:space="preserve">summarises </w:t>
      </w:r>
      <w:r w:rsidRPr="00A451F3">
        <w:t xml:space="preserve">the </w:t>
      </w:r>
      <w:r w:rsidR="008B0BBD" w:rsidRPr="00A451F3">
        <w:t>relevance of</w:t>
      </w:r>
      <w:r w:rsidRPr="00A451F3">
        <w:t xml:space="preserve"> </w:t>
      </w:r>
      <w:r w:rsidR="008B0BBD" w:rsidRPr="00A451F3">
        <w:t>"</w:t>
      </w:r>
      <w:r w:rsidRPr="00A451F3">
        <w:t>measures</w:t>
      </w:r>
      <w:r w:rsidR="008B0BBD" w:rsidRPr="00A451F3">
        <w:t>"</w:t>
      </w:r>
      <w:r w:rsidRPr="00A451F3">
        <w:t xml:space="preserve"> </w:t>
      </w:r>
      <w:r w:rsidR="00AA675E" w:rsidRPr="00A451F3">
        <w:t>under the WTO system</w:t>
      </w:r>
      <w:r w:rsidR="00A451F3">
        <w:t>,</w:t>
      </w:r>
      <w:r w:rsidR="006566B5" w:rsidRPr="00A451F3">
        <w:t xml:space="preserve"> followed by</w:t>
      </w:r>
      <w:r w:rsidR="00432DF9" w:rsidRPr="00A451F3">
        <w:t xml:space="preserve"> an examination</w:t>
      </w:r>
      <w:r w:rsidR="00432DF9">
        <w:t xml:space="preserve"> of</w:t>
      </w:r>
      <w:r w:rsidR="006566B5" w:rsidRPr="00EF3E73">
        <w:rPr>
          <w:i/>
          <w:iCs/>
        </w:rPr>
        <w:t xml:space="preserve"> </w:t>
      </w:r>
      <w:r w:rsidR="00A451F3">
        <w:t xml:space="preserve">how the </w:t>
      </w:r>
      <w:r w:rsidR="0010119C">
        <w:t>P</w:t>
      </w:r>
      <w:r w:rsidR="00A451F3">
        <w:t xml:space="preserve">anel should properly determine </w:t>
      </w:r>
      <w:r w:rsidR="006566B5" w:rsidRPr="00EF3E73">
        <w:rPr>
          <w:i/>
          <w:iCs/>
        </w:rPr>
        <w:t xml:space="preserve">what </w:t>
      </w:r>
      <w:r w:rsidR="006566B5">
        <w:t>must be established by the complainant</w:t>
      </w:r>
      <w:r w:rsidR="00B03559">
        <w:t xml:space="preserve"> in order to prove a challengeable measure</w:t>
      </w:r>
      <w:r w:rsidR="00092936">
        <w:t xml:space="preserve">, </w:t>
      </w:r>
      <w:r w:rsidR="006566B5">
        <w:t xml:space="preserve">and to </w:t>
      </w:r>
      <w:r w:rsidR="006566B5" w:rsidRPr="00EF3E73">
        <w:rPr>
          <w:i/>
          <w:iCs/>
        </w:rPr>
        <w:t>what standard</w:t>
      </w:r>
      <w:r>
        <w:t>.</w:t>
      </w:r>
      <w:r w:rsidR="00092936">
        <w:t xml:space="preserve"> </w:t>
      </w:r>
      <w:r w:rsidR="006566B5">
        <w:t>Then in</w:t>
      </w:r>
      <w:r w:rsidR="00BE0B3B">
        <w:t xml:space="preserve"> </w:t>
      </w:r>
      <w:r w:rsidR="001D6CE1">
        <w:t>s</w:t>
      </w:r>
      <w:r w:rsidR="006566B5">
        <w:t>ection</w:t>
      </w:r>
      <w:r w:rsidR="00613CFE">
        <w:t> IV</w:t>
      </w:r>
      <w:r w:rsidR="006566B5">
        <w:t>, g</w:t>
      </w:r>
      <w:r>
        <w:t xml:space="preserve">iven the challenges raised by the </w:t>
      </w:r>
      <w:r w:rsidR="00AE2E28">
        <w:t>circumstances of these allegations</w:t>
      </w:r>
      <w:r>
        <w:t>,</w:t>
      </w:r>
      <w:r w:rsidRPr="00E73B3D">
        <w:t xml:space="preserve"> Australia </w:t>
      </w:r>
      <w:r w:rsidR="00AA675E">
        <w:t>presents</w:t>
      </w:r>
      <w:r w:rsidRPr="00E73B3D">
        <w:t xml:space="preserve"> comment</w:t>
      </w:r>
      <w:r w:rsidR="00AA675E">
        <w:t>s</w:t>
      </w:r>
      <w:r w:rsidRPr="00E73B3D">
        <w:t xml:space="preserve"> on the treatment of evidence.</w:t>
      </w:r>
    </w:p>
    <w:p w14:paraId="55A32CEC" w14:textId="0A16D76A" w:rsidR="00297BD0" w:rsidRDefault="00092936" w:rsidP="00F856C3">
      <w:pPr>
        <w:pStyle w:val="HL1HeadingLevel1"/>
      </w:pPr>
      <w:bookmarkStart w:id="8" w:name="_Toc150441691"/>
      <w:r>
        <w:lastRenderedPageBreak/>
        <w:t xml:space="preserve">Threshold </w:t>
      </w:r>
      <w:r w:rsidR="00EC2D5B">
        <w:t>considerations</w:t>
      </w:r>
      <w:bookmarkEnd w:id="8"/>
      <w:r w:rsidR="009568A8">
        <w:t xml:space="preserve"> </w:t>
      </w:r>
    </w:p>
    <w:p w14:paraId="730EF0F6" w14:textId="304B76B4" w:rsidR="0086226C" w:rsidRDefault="0086226C" w:rsidP="00F856C3">
      <w:pPr>
        <w:pStyle w:val="P1-N1Paragraph1-Number1"/>
        <w:keepNext/>
      </w:pPr>
      <w:r>
        <w:t xml:space="preserve">At the outset, Australia observes that: </w:t>
      </w:r>
    </w:p>
    <w:p w14:paraId="2FDB662F" w14:textId="21CCC323" w:rsidR="0086226C" w:rsidRDefault="0086226C" w:rsidP="00F856C3">
      <w:pPr>
        <w:pStyle w:val="QQuotation"/>
        <w:keepNext/>
      </w:pPr>
      <w:r>
        <w:t xml:space="preserve">[T]he DSU accords to a panel established by the DSB, and engaged in a dispute settlement proceeding, </w:t>
      </w:r>
      <w:r w:rsidRPr="00062475">
        <w:rPr>
          <w:b/>
          <w:bCs/>
          <w:i/>
          <w:iCs/>
        </w:rPr>
        <w:t>ample and extensive authority to undertake and to control the process by which it informs itself both of the relevant facts of the dispute and of the legal norms and principles applicable to such facts</w:t>
      </w:r>
      <w:r w:rsidRPr="0012704C">
        <w:rPr>
          <w:b/>
          <w:bCs/>
          <w:i/>
          <w:iCs/>
        </w:rPr>
        <w:t>.</w:t>
      </w:r>
      <w:r>
        <w:t xml:space="preserve"> That authority, and the breadth thereof, is indispensably necessary to enable a panel to discharge its duty imposed by Article 11 of the DSU to </w:t>
      </w:r>
      <w:r w:rsidR="00B73821">
        <w:t>"</w:t>
      </w:r>
      <w:r>
        <w:t xml:space="preserve">make an objective assessment of the matter before it, including an </w:t>
      </w:r>
      <w:r w:rsidRPr="0012704C">
        <w:rPr>
          <w:i/>
          <w:iCs/>
        </w:rPr>
        <w:t>objective assessment of the facts of the case</w:t>
      </w:r>
      <w:r>
        <w:t xml:space="preserve"> and the </w:t>
      </w:r>
      <w:r w:rsidRPr="0012704C">
        <w:rPr>
          <w:i/>
          <w:iCs/>
        </w:rPr>
        <w:t>applicability of and conformity with the relevant covered agreements</w:t>
      </w:r>
      <w:r>
        <w:t xml:space="preserve"> …</w:t>
      </w:r>
      <w:r w:rsidR="00062475">
        <w:t xml:space="preserve"> </w:t>
      </w:r>
      <w:r w:rsidR="00B73821">
        <w:t>."</w:t>
      </w:r>
      <w:r w:rsidR="00B73821">
        <w:rPr>
          <w:rStyle w:val="FootnoteReference"/>
        </w:rPr>
        <w:footnoteReference w:id="6"/>
      </w:r>
      <w:r w:rsidR="00B73821">
        <w:t xml:space="preserve"> </w:t>
      </w:r>
    </w:p>
    <w:p w14:paraId="2BBF8BBA" w14:textId="7B982DA2" w:rsidR="00547020" w:rsidRDefault="00AA3C51" w:rsidP="0086226C">
      <w:pPr>
        <w:pStyle w:val="P1-N1Paragraph1-Number1"/>
      </w:pPr>
      <w:r>
        <w:t xml:space="preserve">Allegations relating to unwritten or concealed measures of the type alleged by the European Union present challenges for a </w:t>
      </w:r>
      <w:r w:rsidR="00613CFE">
        <w:t>p</w:t>
      </w:r>
      <w:r>
        <w:t>anel, but these are not insurmountable.</w:t>
      </w:r>
      <w:r w:rsidR="00EF3E73">
        <w:t xml:space="preserve"> The</w:t>
      </w:r>
      <w:r w:rsidR="00EC245A">
        <w:t xml:space="preserve"> </w:t>
      </w:r>
      <w:r w:rsidR="006E3FF2">
        <w:t>P</w:t>
      </w:r>
      <w:r w:rsidR="00EC245A">
        <w:t xml:space="preserve">anel </w:t>
      </w:r>
      <w:r w:rsidR="00807B12">
        <w:t xml:space="preserve">has </w:t>
      </w:r>
      <w:r w:rsidR="00EC245A">
        <w:t xml:space="preserve">significant control over the </w:t>
      </w:r>
      <w:r w:rsidR="00807B12">
        <w:t xml:space="preserve">fact-finding </w:t>
      </w:r>
      <w:r w:rsidR="00EC245A">
        <w:t xml:space="preserve">process in this dispute, including </w:t>
      </w:r>
      <w:r w:rsidR="001A42EA">
        <w:t xml:space="preserve">discretion to </w:t>
      </w:r>
      <w:r w:rsidR="00EC245A">
        <w:t xml:space="preserve">inform </w:t>
      </w:r>
      <w:r w:rsidR="008B0BBD">
        <w:t>its</w:t>
      </w:r>
      <w:r w:rsidR="00EC245A">
        <w:t xml:space="preserve"> understanding of all of the evidence.</w:t>
      </w:r>
      <w:r w:rsidR="00EC245A">
        <w:rPr>
          <w:rStyle w:val="FootnoteReference"/>
        </w:rPr>
        <w:footnoteReference w:id="7"/>
      </w:r>
      <w:r w:rsidR="00EC245A">
        <w:t xml:space="preserve"> As a consequence, </w:t>
      </w:r>
      <w:r w:rsidR="001A42EA">
        <w:t xml:space="preserve">any ambiguity which might arise from the evidence </w:t>
      </w:r>
      <w:r w:rsidR="00A451F3">
        <w:t>of those</w:t>
      </w:r>
      <w:r w:rsidR="00EC245A">
        <w:t xml:space="preserve"> measures is not the end of the Panel's analysis</w:t>
      </w:r>
      <w:r w:rsidR="001A42EA">
        <w:t>.</w:t>
      </w:r>
      <w:r w:rsidR="00A451F3">
        <w:t xml:space="preserve"> WTO rules which guide a panel</w:t>
      </w:r>
      <w:r w:rsidR="00EB60AC">
        <w:t>'</w:t>
      </w:r>
      <w:r w:rsidR="00A451F3">
        <w:t>s examination of the existence of a measure and its supporting evidence</w:t>
      </w:r>
      <w:r w:rsidR="00921034">
        <w:t xml:space="preserve"> </w:t>
      </w:r>
      <w:r w:rsidR="00A451F3">
        <w:t>are sufficient to assist the Panel in</w:t>
      </w:r>
      <w:r w:rsidR="00807B12">
        <w:t xml:space="preserve"> resolving the </w:t>
      </w:r>
      <w:r w:rsidR="00A451F3">
        <w:t xml:space="preserve">matter. </w:t>
      </w:r>
      <w:r w:rsidR="00EF3E73">
        <w:t xml:space="preserve">Australia begins </w:t>
      </w:r>
      <w:r w:rsidR="00F856C3">
        <w:t xml:space="preserve">this analysis </w:t>
      </w:r>
      <w:r w:rsidR="00EF3E73">
        <w:t>with an overview of the fundamental importance and role of a "measure" in WTO dispute settlement.</w:t>
      </w:r>
    </w:p>
    <w:p w14:paraId="6EDC82DE" w14:textId="69BAEAD5" w:rsidR="00297BD0" w:rsidRDefault="0024679E" w:rsidP="00246287">
      <w:pPr>
        <w:pStyle w:val="HL2HeadingLevel2"/>
      </w:pPr>
      <w:bookmarkStart w:id="9" w:name="_Toc150441692"/>
      <w:bookmarkStart w:id="10" w:name="_Hlk149124386"/>
      <w:r>
        <w:t>The concept of a "measure" is broad and flexible</w:t>
      </w:r>
      <w:bookmarkEnd w:id="9"/>
    </w:p>
    <w:bookmarkEnd w:id="10"/>
    <w:p w14:paraId="63A196F7" w14:textId="45165F7A" w:rsidR="00EC2D5B" w:rsidRDefault="00A616E5" w:rsidP="00EC2D5B">
      <w:pPr>
        <w:pStyle w:val="P1-N1Paragraph1-Number1"/>
        <w:rPr>
          <w:rStyle w:val="ui-provider"/>
        </w:rPr>
      </w:pPr>
      <w:r>
        <w:t>Australia recalls</w:t>
      </w:r>
      <w:r w:rsidR="636F7EAA" w:rsidRPr="00EF3E73">
        <w:t xml:space="preserve"> that "[t]he scope of measures that can be challenged in WTO</w:t>
      </w:r>
      <w:r w:rsidR="636F7EAA" w:rsidRPr="000F1569">
        <w:t xml:space="preserve"> dispute settlement is […] broad"</w:t>
      </w:r>
      <w:r w:rsidR="636F7EAA">
        <w:t>,</w:t>
      </w:r>
      <w:r w:rsidR="00EC2D5B">
        <w:rPr>
          <w:rStyle w:val="FootnoteReference"/>
        </w:rPr>
        <w:footnoteReference w:id="8"/>
      </w:r>
      <w:r w:rsidR="636F7EAA">
        <w:t xml:space="preserve"> encompassing both</w:t>
      </w:r>
      <w:r w:rsidR="636F7EAA" w:rsidRPr="000F1569">
        <w:t xml:space="preserve"> </w:t>
      </w:r>
      <w:r w:rsidR="636F7EAA">
        <w:t>written and unwritten measures.</w:t>
      </w:r>
      <w:r w:rsidR="00EC2D5B">
        <w:rPr>
          <w:rStyle w:val="FootnoteReference"/>
        </w:rPr>
        <w:footnoteReference w:id="9"/>
      </w:r>
      <w:r w:rsidR="636F7EAA">
        <w:t xml:space="preserve"> </w:t>
      </w:r>
      <w:r w:rsidR="636F7EAA" w:rsidRPr="000F1569">
        <w:t>"</w:t>
      </w:r>
      <w:r w:rsidR="00671A1D">
        <w:t>[</w:t>
      </w:r>
      <w:r w:rsidR="636F7EAA">
        <w:t>I</w:t>
      </w:r>
      <w:r w:rsidR="00671A1D">
        <w:t>]</w:t>
      </w:r>
      <w:r w:rsidR="636F7EAA" w:rsidRPr="000F1569">
        <w:t xml:space="preserve">n principle, </w:t>
      </w:r>
      <w:r w:rsidR="636F7EAA" w:rsidRPr="15D066C9">
        <w:rPr>
          <w:b/>
          <w:bCs/>
          <w:i/>
          <w:iCs/>
        </w:rPr>
        <w:t>any act or omission attributable to a WTO Member can be a measure of that Member for the purposes of dispute settlement proceedings</w:t>
      </w:r>
      <w:r w:rsidR="636F7EAA" w:rsidRPr="000F1569">
        <w:t>"</w:t>
      </w:r>
      <w:r w:rsidR="636F7EAA">
        <w:t>,</w:t>
      </w:r>
      <w:r w:rsidR="00EC2D5B" w:rsidRPr="000F1569">
        <w:rPr>
          <w:rStyle w:val="FootnoteReference"/>
        </w:rPr>
        <w:footnoteReference w:id="10"/>
      </w:r>
      <w:r w:rsidR="636F7EAA">
        <w:t xml:space="preserve"> whether or not legally binding.</w:t>
      </w:r>
      <w:r w:rsidR="00EC2D5B">
        <w:rPr>
          <w:rStyle w:val="FootnoteReference"/>
        </w:rPr>
        <w:footnoteReference w:id="11"/>
      </w:r>
      <w:r w:rsidR="3A720BD9">
        <w:t xml:space="preserve"> </w:t>
      </w:r>
    </w:p>
    <w:p w14:paraId="49296203" w14:textId="470D25BD" w:rsidR="00EC2D5B" w:rsidRPr="00A33E29" w:rsidRDefault="00EC2D5B" w:rsidP="00F856C3">
      <w:pPr>
        <w:pStyle w:val="P1-N1Paragraph1-Number1"/>
        <w:keepNext/>
      </w:pPr>
      <w:r w:rsidRPr="008143FB">
        <w:rPr>
          <w:rFonts w:eastAsia="Times New Roman"/>
        </w:rPr>
        <w:lastRenderedPageBreak/>
        <w:t xml:space="preserve">This </w:t>
      </w:r>
      <w:r>
        <w:rPr>
          <w:rFonts w:eastAsia="Times New Roman"/>
        </w:rPr>
        <w:t>flexibility</w:t>
      </w:r>
      <w:r w:rsidR="00CD5AEE">
        <w:rPr>
          <w:rFonts w:eastAsia="Times New Roman"/>
        </w:rPr>
        <w:t xml:space="preserve"> in the scope of the content of challenged measures:</w:t>
      </w:r>
    </w:p>
    <w:p w14:paraId="53A1F697" w14:textId="40B80985" w:rsidR="00EC2D5B" w:rsidRPr="004D51DB" w:rsidRDefault="00613CFE" w:rsidP="00F856C3">
      <w:pPr>
        <w:pStyle w:val="P1-N1Paragraph1-Number1"/>
        <w:keepNext/>
        <w:numPr>
          <w:ilvl w:val="0"/>
          <w:numId w:val="0"/>
        </w:numPr>
        <w:ind w:left="851"/>
        <w:rPr>
          <w:rFonts w:eastAsia="Times New Roman"/>
        </w:rPr>
      </w:pPr>
      <w:r>
        <w:rPr>
          <w:rStyle w:val="QQuotationChar"/>
        </w:rPr>
        <w:t>[I]</w:t>
      </w:r>
      <w:r w:rsidR="00EC2D5B" w:rsidRPr="00EC2D5B">
        <w:rPr>
          <w:rStyle w:val="QQuotationChar"/>
        </w:rPr>
        <w:t xml:space="preserve">s consistent with </w:t>
      </w:r>
      <w:r w:rsidR="00EC2D5B" w:rsidRPr="008B0BBD">
        <w:rPr>
          <w:rStyle w:val="QQuotationChar"/>
          <w:b/>
          <w:bCs/>
          <w:i/>
          <w:iCs/>
        </w:rPr>
        <w:t>the comprehensive nature of the right of Members to resort to dispute settlement to 'preserve [their] rights and obligations…under the covered agreements, and to clarify the existing provisions of those agreements</w:t>
      </w:r>
      <w:r w:rsidR="00EC2D5B" w:rsidRPr="00EC2D5B">
        <w:rPr>
          <w:rStyle w:val="QQuotationChar"/>
        </w:rPr>
        <w:t xml:space="preserve">.' As long as a Member respects the principles set forth in Articles 3.7 and 3.10 of the DSU, namely, to exercise their 'judgment as to whether action under these procedures would be fruitful' and to engage in dispute settlement in good faith, then that Member is entitled to request a panel to examine </w:t>
      </w:r>
      <w:r w:rsidR="00EC2D5B" w:rsidRPr="004D51DB">
        <w:rPr>
          <w:rStyle w:val="QQuotationChar"/>
        </w:rPr>
        <w:t>measures that the Member considers nullify or impair its benefits.</w:t>
      </w:r>
      <w:r w:rsidR="00EC2D5B" w:rsidRPr="004D51DB">
        <w:rPr>
          <w:rStyle w:val="FootnoteReference"/>
          <w:rFonts w:eastAsia="Times New Roman"/>
        </w:rPr>
        <w:footnoteReference w:id="12"/>
      </w:r>
      <w:r w:rsidR="00EC2D5B" w:rsidRPr="004D51DB">
        <w:rPr>
          <w:rFonts w:eastAsia="Times New Roman"/>
        </w:rPr>
        <w:t xml:space="preserve"> </w:t>
      </w:r>
    </w:p>
    <w:p w14:paraId="022D58B8" w14:textId="2614B3D8" w:rsidR="00EF3E73" w:rsidRPr="004D51DB" w:rsidRDefault="00A616E5" w:rsidP="009D65BD">
      <w:pPr>
        <w:pStyle w:val="P1-N1Paragraph1-Number1"/>
      </w:pPr>
      <w:r w:rsidRPr="004D51DB">
        <w:t>So, while the</w:t>
      </w:r>
      <w:r w:rsidR="57D0C6A8" w:rsidRPr="004D51DB">
        <w:t xml:space="preserve"> concept of a "measure" </w:t>
      </w:r>
      <w:r w:rsidR="37C65AEC" w:rsidRPr="004D51DB">
        <w:t>is critical to defining the scope of dispute settlement</w:t>
      </w:r>
      <w:r w:rsidRPr="004D51DB">
        <w:t>,</w:t>
      </w:r>
      <w:r w:rsidRPr="004D51DB">
        <w:rPr>
          <w:rStyle w:val="FootnoteReference"/>
        </w:rPr>
        <w:footnoteReference w:id="13"/>
      </w:r>
      <w:r w:rsidRPr="004D51DB">
        <w:t xml:space="preserve"> there is</w:t>
      </w:r>
      <w:r w:rsidR="37C65AEC" w:rsidRPr="004D51DB">
        <w:t xml:space="preserve"> considerable discretion left to Members to identify "measures". </w:t>
      </w:r>
      <w:r w:rsidR="00120C27" w:rsidRPr="0012704C">
        <w:t>Australia would urge the Panel to ensure that, in applying</w:t>
      </w:r>
      <w:r w:rsidR="00120C27" w:rsidRPr="004D51DB">
        <w:t xml:space="preserve"> any</w:t>
      </w:r>
      <w:r w:rsidR="00120C27" w:rsidRPr="0012704C">
        <w:t xml:space="preserve"> analytical tools to the </w:t>
      </w:r>
      <w:r w:rsidR="00120C27" w:rsidRPr="004D51DB">
        <w:t xml:space="preserve">enquiry </w:t>
      </w:r>
      <w:r w:rsidR="00120C27" w:rsidRPr="0012704C">
        <w:t>as to the</w:t>
      </w:r>
      <w:r w:rsidR="00120C27" w:rsidRPr="004D51DB">
        <w:t xml:space="preserve"> </w:t>
      </w:r>
      <w:r w:rsidR="00120C27" w:rsidRPr="0012704C">
        <w:t>existence of a measure, it</w:t>
      </w:r>
      <w:r w:rsidR="00120C27" w:rsidRPr="004D51DB">
        <w:t xml:space="preserve"> </w:t>
      </w:r>
      <w:r w:rsidR="00120C27" w:rsidRPr="0012704C">
        <w:t>does not inadvertently curtail the scope of measures which can be brought before it</w:t>
      </w:r>
      <w:r w:rsidR="1F826E01" w:rsidRPr="004D51DB">
        <w:t xml:space="preserve">. </w:t>
      </w:r>
      <w:r w:rsidR="4754B043" w:rsidRPr="004D51DB">
        <w:t xml:space="preserve">Those analytical tools are considered further below. </w:t>
      </w:r>
      <w:r w:rsidR="1F826E01" w:rsidRPr="004D51DB">
        <w:t>Importantly, it remains</w:t>
      </w:r>
      <w:r w:rsidR="37C65AEC" w:rsidRPr="004D51DB">
        <w:t xml:space="preserve"> up to the complainant to prove the fact of th</w:t>
      </w:r>
      <w:r w:rsidR="305FB443" w:rsidRPr="004D51DB">
        <w:t xml:space="preserve">e </w:t>
      </w:r>
      <w:r w:rsidR="37C65AEC" w:rsidRPr="004D51DB">
        <w:t xml:space="preserve">measure </w:t>
      </w:r>
      <w:r w:rsidR="37C65AEC" w:rsidRPr="004D51DB">
        <w:rPr>
          <w:i/>
          <w:iCs/>
        </w:rPr>
        <w:t>which it has identified</w:t>
      </w:r>
      <w:r w:rsidR="37C65AEC" w:rsidRPr="004D51DB">
        <w:t xml:space="preserve">, to the satisfaction of </w:t>
      </w:r>
      <w:r w:rsidR="1F826E01" w:rsidRPr="004D51DB">
        <w:t>a</w:t>
      </w:r>
      <w:r w:rsidR="37C65AEC" w:rsidRPr="004D51DB">
        <w:t xml:space="preserve"> panel.</w:t>
      </w:r>
    </w:p>
    <w:p w14:paraId="0277B2A2" w14:textId="6B8B5363" w:rsidR="00297BD0" w:rsidRDefault="006B555A" w:rsidP="004C6040">
      <w:pPr>
        <w:pStyle w:val="HL2HeadingLevel2"/>
      </w:pPr>
      <w:bookmarkStart w:id="11" w:name="_Toc150441693"/>
      <w:r w:rsidRPr="00120C27">
        <w:t>The standard</w:t>
      </w:r>
      <w:r>
        <w:t xml:space="preserve"> of proof </w:t>
      </w:r>
      <w:r w:rsidR="006B61CA">
        <w:t>does not change</w:t>
      </w:r>
      <w:r w:rsidR="00A01EC3">
        <w:t xml:space="preserve"> because </w:t>
      </w:r>
      <w:r w:rsidR="008B3A0F">
        <w:t>a measure is</w:t>
      </w:r>
      <w:r w:rsidR="00A01EC3">
        <w:t xml:space="preserve"> </w:t>
      </w:r>
      <w:r w:rsidR="00400611">
        <w:t>"</w:t>
      </w:r>
      <w:r w:rsidR="00A01EC3">
        <w:t>unwritten</w:t>
      </w:r>
      <w:r w:rsidR="00400611">
        <w:t>"</w:t>
      </w:r>
      <w:bookmarkEnd w:id="11"/>
    </w:p>
    <w:p w14:paraId="2B036085" w14:textId="59DF071D" w:rsidR="00297BD0" w:rsidRDefault="002D308F" w:rsidP="00297BD0">
      <w:pPr>
        <w:pStyle w:val="P1-N1Paragraph1-Number1"/>
      </w:pPr>
      <w:r>
        <w:t xml:space="preserve">Australia recalls that </w:t>
      </w:r>
      <w:r w:rsidR="00DF2643">
        <w:t>"</w:t>
      </w:r>
      <w:r w:rsidR="00C67DDC">
        <w:t>i</w:t>
      </w:r>
      <w:r w:rsidR="00DF2643">
        <w:t xml:space="preserve">n all cases under the WTO/GATT dispute settlement system </w:t>
      </w:r>
      <w:r w:rsidR="00285EC2">
        <w:t>-</w:t>
      </w:r>
      <w:r w:rsidR="00DF2643">
        <w:t xml:space="preserve"> and, indeed</w:t>
      </w:r>
      <w:r w:rsidR="00A47780">
        <w:t>,</w:t>
      </w:r>
      <w:r w:rsidR="00DF2643">
        <w:t xml:space="preserve"> […] under most systems of jurisprudence - it is for the party asserting a fact, claim or defence to bear the burden of providing proof thereof."</w:t>
      </w:r>
      <w:r w:rsidR="00DF2643">
        <w:rPr>
          <w:rStyle w:val="FootnoteReference"/>
        </w:rPr>
        <w:footnoteReference w:id="14"/>
      </w:r>
      <w:r w:rsidR="00DF2643">
        <w:t xml:space="preserve"> </w:t>
      </w:r>
      <w:r w:rsidR="002A0DCD">
        <w:t>This includes proving the existence of a challenged measure,</w:t>
      </w:r>
      <w:r w:rsidR="003A00C3" w:rsidRPr="003A00C3">
        <w:rPr>
          <w:rStyle w:val="FootnoteReference"/>
        </w:rPr>
        <w:t xml:space="preserve"> </w:t>
      </w:r>
      <w:r w:rsidR="003A00C3">
        <w:rPr>
          <w:rStyle w:val="FootnoteReference"/>
        </w:rPr>
        <w:footnoteReference w:id="15"/>
      </w:r>
      <w:r w:rsidR="003A00C3">
        <w:t xml:space="preserve"> </w:t>
      </w:r>
      <w:r w:rsidR="002A0DCD">
        <w:t xml:space="preserve">which is </w:t>
      </w:r>
      <w:r w:rsidR="00297BD0" w:rsidRPr="00297BD0">
        <w:t xml:space="preserve">part of the complainant's </w:t>
      </w:r>
      <w:r w:rsidR="00200EC8">
        <w:t>well-established</w:t>
      </w:r>
      <w:r w:rsidR="003A00C3">
        <w:t xml:space="preserve"> </w:t>
      </w:r>
      <w:r w:rsidR="00200EC8">
        <w:t xml:space="preserve">and </w:t>
      </w:r>
      <w:r w:rsidR="006B555A">
        <w:t>mandatory</w:t>
      </w:r>
      <w:r w:rsidR="00200EC8">
        <w:rPr>
          <w:rStyle w:val="FootnoteReference"/>
        </w:rPr>
        <w:footnoteReference w:id="16"/>
      </w:r>
      <w:r w:rsidR="00200EC8">
        <w:t xml:space="preserve"> </w:t>
      </w:r>
      <w:r w:rsidR="00297BD0" w:rsidRPr="00297BD0">
        <w:t xml:space="preserve">burden in establishing its </w:t>
      </w:r>
      <w:r w:rsidR="00297BD0" w:rsidRPr="00200EC8">
        <w:rPr>
          <w:i/>
          <w:iCs/>
        </w:rPr>
        <w:t>prima facie</w:t>
      </w:r>
      <w:r w:rsidR="00297BD0" w:rsidRPr="00297BD0">
        <w:t xml:space="preserve"> case</w:t>
      </w:r>
      <w:r w:rsidR="00200EC8">
        <w:t>.</w:t>
      </w:r>
      <w:r w:rsidR="00200EC8">
        <w:rPr>
          <w:rStyle w:val="FootnoteReference"/>
        </w:rPr>
        <w:footnoteReference w:id="17"/>
      </w:r>
      <w:r w:rsidR="00200EC8">
        <w:t xml:space="preserve"> It is a</w:t>
      </w:r>
      <w:r w:rsidR="004B64DD">
        <w:t xml:space="preserve"> separat</w:t>
      </w:r>
      <w:r w:rsidR="004E4C4A">
        <w:t>e</w:t>
      </w:r>
      <w:r w:rsidR="004B64DD">
        <w:t xml:space="preserve"> enquiry to the </w:t>
      </w:r>
      <w:r w:rsidR="004B64DD">
        <w:lastRenderedPageBreak/>
        <w:t xml:space="preserve">question of "how and why" </w:t>
      </w:r>
      <w:r w:rsidR="002A0DCD">
        <w:t>a measure may be</w:t>
      </w:r>
      <w:r w:rsidR="004B64DD">
        <w:t xml:space="preserve"> </w:t>
      </w:r>
      <w:r w:rsidR="002A0DCD">
        <w:t>inconsistent</w:t>
      </w:r>
      <w:r w:rsidR="004B64DD">
        <w:t xml:space="preserve"> with the covered agreements</w:t>
      </w:r>
      <w:r w:rsidR="006B555A">
        <w:t>,</w:t>
      </w:r>
      <w:r w:rsidR="004B64DD">
        <w:rPr>
          <w:rStyle w:val="FootnoteReference"/>
        </w:rPr>
        <w:footnoteReference w:id="18"/>
      </w:r>
      <w:r w:rsidR="006B555A">
        <w:t xml:space="preserve"> which </w:t>
      </w:r>
      <w:r w:rsidR="004E4C4A">
        <w:t xml:space="preserve">is also </w:t>
      </w:r>
      <w:r w:rsidR="0031181D">
        <w:t xml:space="preserve">part of the complainant's burden in establishing a </w:t>
      </w:r>
      <w:r w:rsidR="006B555A">
        <w:rPr>
          <w:i/>
          <w:iCs/>
        </w:rPr>
        <w:t xml:space="preserve">prima facie </w:t>
      </w:r>
      <w:r w:rsidR="006B555A">
        <w:t>case.</w:t>
      </w:r>
      <w:r w:rsidR="00297BD0" w:rsidRPr="00297BD0">
        <w:t xml:space="preserve"> </w:t>
      </w:r>
    </w:p>
    <w:p w14:paraId="5BCDDAF3" w14:textId="16E37C5B" w:rsidR="00285EC2" w:rsidRDefault="00200EC8" w:rsidP="0012704C">
      <w:pPr>
        <w:pStyle w:val="P1-N1Paragraph1-Number1"/>
      </w:pPr>
      <w:r>
        <w:t xml:space="preserve">The </w:t>
      </w:r>
      <w:r w:rsidRPr="006B555A">
        <w:t xml:space="preserve">standard </w:t>
      </w:r>
      <w:r w:rsidRPr="00B2105A">
        <w:t>of proof</w:t>
      </w:r>
      <w:r>
        <w:t xml:space="preserve"> to establish the existence of a measure </w:t>
      </w:r>
      <w:r w:rsidR="003B2208">
        <w:t xml:space="preserve">does not </w:t>
      </w:r>
      <w:r w:rsidR="000909F9">
        <w:t>expand or contract</w:t>
      </w:r>
      <w:r w:rsidR="00737DC6">
        <w:t xml:space="preserve"> </w:t>
      </w:r>
      <w:r w:rsidR="003B2208">
        <w:t>in response to the</w:t>
      </w:r>
      <w:r>
        <w:t xml:space="preserve"> nature of the measure itself. </w:t>
      </w:r>
      <w:r w:rsidR="009D7824">
        <w:t xml:space="preserve">That standard </w:t>
      </w:r>
      <w:r w:rsidR="00DF2643">
        <w:t xml:space="preserve">requires a party to "adduce[] evidence </w:t>
      </w:r>
      <w:r w:rsidR="00DF2643" w:rsidRPr="0012704C">
        <w:t>sufficient to raise a presumption</w:t>
      </w:r>
      <w:r w:rsidR="00DF2643" w:rsidRPr="004353FF">
        <w:t xml:space="preserve"> that what is claimed is true</w:t>
      </w:r>
      <w:r w:rsidR="004353FF">
        <w:t xml:space="preserve"> […]</w:t>
      </w:r>
      <w:r w:rsidR="00DF2643">
        <w:t>"</w:t>
      </w:r>
      <w:r w:rsidR="004353FF">
        <w:t>.</w:t>
      </w:r>
      <w:r w:rsidR="004353FF">
        <w:rPr>
          <w:rStyle w:val="FootnoteReference"/>
        </w:rPr>
        <w:footnoteReference w:id="19"/>
      </w:r>
      <w:r w:rsidR="00DF2643">
        <w:t xml:space="preserve"> </w:t>
      </w:r>
      <w:r w:rsidR="004353FF">
        <w:t>At that</w:t>
      </w:r>
      <w:r w:rsidR="00DF2643">
        <w:t xml:space="preserve"> point</w:t>
      </w:r>
      <w:r w:rsidR="004353FF">
        <w:t>,</w:t>
      </w:r>
      <w:r w:rsidR="00DF2643">
        <w:t xml:space="preserve"> "the burden then shifts to the other party, who will fail unless it adduces sufficient evidence to rebut the presumption."</w:t>
      </w:r>
      <w:r w:rsidR="00DF2643">
        <w:rPr>
          <w:rStyle w:val="FootnoteReference"/>
        </w:rPr>
        <w:footnoteReference w:id="20"/>
      </w:r>
      <w:r>
        <w:t xml:space="preserve"> </w:t>
      </w:r>
    </w:p>
    <w:p w14:paraId="6E7693D5" w14:textId="56B33BFA" w:rsidR="00285EC2" w:rsidRPr="005437AA" w:rsidRDefault="003B2208" w:rsidP="00285EC2">
      <w:pPr>
        <w:pStyle w:val="P1-N1Paragraph1-Number1"/>
      </w:pPr>
      <w:r w:rsidRPr="009D65BD">
        <w:t xml:space="preserve">While the concept of "sufficiency" is inherently fact-specific, that should not be confused with any kind of </w:t>
      </w:r>
      <w:r>
        <w:t>flexibility</w:t>
      </w:r>
      <w:r w:rsidRPr="009D65BD">
        <w:t xml:space="preserve"> in the standard itself. </w:t>
      </w:r>
      <w:r w:rsidR="00F8523E">
        <w:t>The</w:t>
      </w:r>
      <w:r w:rsidR="00200EC8" w:rsidRPr="003B2208">
        <w:t xml:space="preserve"> Appellate Body </w:t>
      </w:r>
      <w:r w:rsidR="009500C5" w:rsidRPr="003B2208">
        <w:t xml:space="preserve">in </w:t>
      </w:r>
      <w:r w:rsidR="009500C5" w:rsidRPr="003B2208">
        <w:rPr>
          <w:i/>
          <w:iCs/>
        </w:rPr>
        <w:t>US – Zeroing</w:t>
      </w:r>
      <w:r w:rsidR="00F8523E">
        <w:rPr>
          <w:i/>
          <w:iCs/>
        </w:rPr>
        <w:t> </w:t>
      </w:r>
      <w:r w:rsidR="009500C5" w:rsidRPr="003B2208">
        <w:rPr>
          <w:i/>
          <w:iCs/>
        </w:rPr>
        <w:t xml:space="preserve">(EC) </w:t>
      </w:r>
      <w:r w:rsidR="00200EC8" w:rsidRPr="003B2208">
        <w:t xml:space="preserve">referred to </w:t>
      </w:r>
      <w:r w:rsidR="009D7824" w:rsidRPr="003B2208">
        <w:t xml:space="preserve">a "high" threshold </w:t>
      </w:r>
      <w:r w:rsidR="00A559DB" w:rsidRPr="003B2208">
        <w:t xml:space="preserve">and "particular rigour" </w:t>
      </w:r>
      <w:r w:rsidR="009500C5" w:rsidRPr="003B2208">
        <w:t>in the context of</w:t>
      </w:r>
      <w:r w:rsidR="009D7824" w:rsidRPr="003B2208">
        <w:t xml:space="preserve"> unwritten measures</w:t>
      </w:r>
      <w:r w:rsidR="00F8523E">
        <w:t>.</w:t>
      </w:r>
      <w:r w:rsidR="009D7824" w:rsidRPr="003B2208">
        <w:rPr>
          <w:rStyle w:val="FootnoteReference"/>
        </w:rPr>
        <w:footnoteReference w:id="21"/>
      </w:r>
      <w:r w:rsidR="009D7824" w:rsidRPr="003B2208">
        <w:t xml:space="preserve"> </w:t>
      </w:r>
      <w:r w:rsidR="00F8523E">
        <w:t xml:space="preserve">However, </w:t>
      </w:r>
      <w:r w:rsidR="009D7824" w:rsidRPr="003B2208">
        <w:t>th</w:t>
      </w:r>
      <w:r w:rsidR="00F8523E">
        <w:t xml:space="preserve">ose comments </w:t>
      </w:r>
      <w:r w:rsidR="006B61CA" w:rsidRPr="003B2208">
        <w:t>were</w:t>
      </w:r>
      <w:r w:rsidR="009500C5" w:rsidRPr="003B2208">
        <w:t xml:space="preserve"> </w:t>
      </w:r>
      <w:r w:rsidR="009D7824" w:rsidRPr="003B2208">
        <w:t xml:space="preserve">observations </w:t>
      </w:r>
      <w:r w:rsidR="0031181D" w:rsidRPr="003B2208">
        <w:t>on the</w:t>
      </w:r>
      <w:r w:rsidR="009D7824" w:rsidRPr="003B2208">
        <w:t xml:space="preserve"> process of examination</w:t>
      </w:r>
      <w:r w:rsidR="009D7824">
        <w:t xml:space="preserve"> to be undertaken by a panel </w:t>
      </w:r>
      <w:r w:rsidR="00967E6D">
        <w:t>in the relevant circumstances</w:t>
      </w:r>
      <w:r w:rsidR="0024679E">
        <w:t>,</w:t>
      </w:r>
      <w:r w:rsidR="00524AAE">
        <w:rPr>
          <w:rStyle w:val="FootnoteReference"/>
        </w:rPr>
        <w:footnoteReference w:id="22"/>
      </w:r>
      <w:r w:rsidR="0024679E">
        <w:t xml:space="preserve"> not the overall legal standard</w:t>
      </w:r>
      <w:r w:rsidR="00967E6D">
        <w:t xml:space="preserve">. </w:t>
      </w:r>
      <w:r w:rsidR="000332DC">
        <w:t>R</w:t>
      </w:r>
      <w:r w:rsidR="006B61CA">
        <w:t>ead in context, the</w:t>
      </w:r>
      <w:r w:rsidR="00F8523E">
        <w:t>y</w:t>
      </w:r>
      <w:r w:rsidR="000A2A47">
        <w:t xml:space="preserve"> are</w:t>
      </w:r>
      <w:r w:rsidR="00967E6D">
        <w:t xml:space="preserve"> </w:t>
      </w:r>
      <w:r w:rsidR="000332DC">
        <w:t xml:space="preserve">clearly </w:t>
      </w:r>
      <w:r w:rsidR="00967E6D">
        <w:t xml:space="preserve">not </w:t>
      </w:r>
      <w:r>
        <w:t>comments</w:t>
      </w:r>
      <w:r w:rsidR="00967E6D">
        <w:t xml:space="preserve"> on </w:t>
      </w:r>
      <w:r w:rsidR="009D7824">
        <w:t xml:space="preserve">the </w:t>
      </w:r>
      <w:r w:rsidR="004B3592">
        <w:t xml:space="preserve">relevant </w:t>
      </w:r>
      <w:r w:rsidR="009D7824">
        <w:t>standard of proof</w:t>
      </w:r>
      <w:r w:rsidR="00542C19">
        <w:t xml:space="preserve"> or </w:t>
      </w:r>
      <w:r w:rsidR="00A01EC3">
        <w:t xml:space="preserve">type and </w:t>
      </w:r>
      <w:r w:rsidR="00542C19">
        <w:t>volume of evidence which</w:t>
      </w:r>
      <w:r w:rsidR="00542C19" w:rsidRPr="009D65BD">
        <w:rPr>
          <w:i/>
          <w:iCs/>
        </w:rPr>
        <w:t xml:space="preserve"> </w:t>
      </w:r>
      <w:r w:rsidR="00542C19" w:rsidRPr="00F856C3">
        <w:t xml:space="preserve">must </w:t>
      </w:r>
      <w:r w:rsidR="00542C19">
        <w:t>be adduced</w:t>
      </w:r>
      <w:r w:rsidR="00503F27">
        <w:t xml:space="preserve"> to prove the existence of unwritten measures</w:t>
      </w:r>
      <w:r w:rsidR="00542C19">
        <w:t>.</w:t>
      </w:r>
      <w:r w:rsidR="009D7824">
        <w:t xml:space="preserve"> </w:t>
      </w:r>
      <w:r w:rsidR="00355ACF">
        <w:t>In fact</w:t>
      </w:r>
      <w:r w:rsidR="008E04B1">
        <w:t xml:space="preserve">, </w:t>
      </w:r>
      <w:r w:rsidR="002A3E9A">
        <w:t>the Appellate Body's reference</w:t>
      </w:r>
      <w:r w:rsidR="009500C5">
        <w:t xml:space="preserve"> in that dispute </w:t>
      </w:r>
      <w:r w:rsidR="002A3E9A">
        <w:t xml:space="preserve">to a "high" threshold </w:t>
      </w:r>
      <w:r w:rsidR="000548D0">
        <w:t>was not a specific reference to the "evidentiary threshold" at all</w:t>
      </w:r>
      <w:r w:rsidR="002E78FC">
        <w:t>.</w:t>
      </w:r>
      <w:r w:rsidR="002E78FC" w:rsidRPr="002E78FC">
        <w:t xml:space="preserve"> </w:t>
      </w:r>
      <w:r w:rsidR="002E78FC">
        <w:t xml:space="preserve">Nor was it a comment on the standard applicable to </w:t>
      </w:r>
      <w:r w:rsidR="002E78FC" w:rsidRPr="003B2208">
        <w:rPr>
          <w:i/>
          <w:iCs/>
        </w:rPr>
        <w:t xml:space="preserve">unwritten </w:t>
      </w:r>
      <w:r w:rsidR="002E78FC" w:rsidRPr="00F856C3">
        <w:t>measures.</w:t>
      </w:r>
      <w:r w:rsidR="000548D0">
        <w:t xml:space="preserve"> It </w:t>
      </w:r>
      <w:r w:rsidR="002A3E9A">
        <w:t xml:space="preserve">was </w:t>
      </w:r>
      <w:r w:rsidR="00097A84">
        <w:t>merely</w:t>
      </w:r>
      <w:r w:rsidR="002E78FC">
        <w:t xml:space="preserve"> </w:t>
      </w:r>
      <w:r w:rsidR="002A3E9A">
        <w:t xml:space="preserve">a comment on </w:t>
      </w:r>
      <w:r w:rsidR="009500C5">
        <w:t xml:space="preserve">the </w:t>
      </w:r>
      <w:r w:rsidR="00E959F0">
        <w:t xml:space="preserve">multiple </w:t>
      </w:r>
      <w:r w:rsidR="002A3E9A">
        <w:t xml:space="preserve">elements to be </w:t>
      </w:r>
      <w:r w:rsidR="00990BB6">
        <w:t xml:space="preserve">"clearly </w:t>
      </w:r>
      <w:r w:rsidR="00990BB6" w:rsidRPr="005437AA">
        <w:t>establish</w:t>
      </w:r>
      <w:r w:rsidR="00524AAE">
        <w:t>[</w:t>
      </w:r>
      <w:r w:rsidR="00990BB6" w:rsidRPr="005437AA">
        <w:t>ed</w:t>
      </w:r>
      <w:r w:rsidR="00524AAE">
        <w:t>]</w:t>
      </w:r>
      <w:r w:rsidR="00990BB6" w:rsidRPr="005437AA">
        <w:t>" to substanti</w:t>
      </w:r>
      <w:r w:rsidR="000548D0" w:rsidRPr="005437AA">
        <w:t>ate</w:t>
      </w:r>
      <w:r w:rsidR="002A3E9A" w:rsidRPr="005437AA">
        <w:t xml:space="preserve"> the existence of a "rule or norm"</w:t>
      </w:r>
      <w:r w:rsidR="001A7801" w:rsidRPr="005437AA">
        <w:t>.</w:t>
      </w:r>
      <w:r w:rsidR="007D5A7A" w:rsidRPr="005437AA">
        <w:rPr>
          <w:rStyle w:val="FootnoteReference"/>
        </w:rPr>
        <w:footnoteReference w:id="23"/>
      </w:r>
      <w:r w:rsidR="001A7801" w:rsidRPr="005437AA">
        <w:t xml:space="preserve"> </w:t>
      </w:r>
    </w:p>
    <w:p w14:paraId="2B98F157" w14:textId="3D2F660F" w:rsidR="00285EC2" w:rsidRPr="005437AA" w:rsidRDefault="39C7ED03" w:rsidP="00285EC2">
      <w:pPr>
        <w:pStyle w:val="P1-N1Paragraph1-Number1"/>
      </w:pPr>
      <w:r w:rsidRPr="005437AA">
        <w:lastRenderedPageBreak/>
        <w:t>In the same vein, t</w:t>
      </w:r>
      <w:r w:rsidR="4FFFDA06" w:rsidRPr="005437AA">
        <w:t>he Appellate Body's statements</w:t>
      </w:r>
      <w:r w:rsidRPr="005437AA">
        <w:t xml:space="preserve"> in </w:t>
      </w:r>
      <w:r w:rsidRPr="005437AA">
        <w:rPr>
          <w:i/>
          <w:iCs/>
        </w:rPr>
        <w:t>US – Zeroing (EC)</w:t>
      </w:r>
      <w:r w:rsidR="37E8E53B" w:rsidRPr="005437AA">
        <w:t xml:space="preserve"> </w:t>
      </w:r>
      <w:r w:rsidR="677F7B28" w:rsidRPr="005437AA">
        <w:t xml:space="preserve">do not </w:t>
      </w:r>
      <w:r w:rsidR="37E8E53B" w:rsidRPr="005437AA">
        <w:t xml:space="preserve">support </w:t>
      </w:r>
      <w:r w:rsidR="4FFFDA06" w:rsidRPr="005437AA">
        <w:t xml:space="preserve">any </w:t>
      </w:r>
      <w:r w:rsidR="37E8E53B" w:rsidRPr="005437AA">
        <w:t xml:space="preserve">general principle that "serious" challenges require </w:t>
      </w:r>
      <w:r w:rsidR="4FFFDA06" w:rsidRPr="005437AA">
        <w:t>some kind of</w:t>
      </w:r>
      <w:r w:rsidR="37E8E53B" w:rsidRPr="005437AA">
        <w:t xml:space="preserve"> "higher" evidentiary threshold</w:t>
      </w:r>
      <w:r w:rsidRPr="005437AA">
        <w:t xml:space="preserve"> or standard of proof</w:t>
      </w:r>
      <w:r w:rsidR="37E8E53B" w:rsidRPr="005437AA">
        <w:t>.</w:t>
      </w:r>
      <w:r w:rsidR="007500A3" w:rsidRPr="005437AA">
        <w:rPr>
          <w:rStyle w:val="FootnoteReference"/>
        </w:rPr>
        <w:footnoteReference w:id="24"/>
      </w:r>
      <w:r w:rsidR="37E8E53B" w:rsidRPr="005437AA">
        <w:t xml:space="preserve"> Rather, </w:t>
      </w:r>
      <w:r w:rsidR="4FFFDA06" w:rsidRPr="005437AA">
        <w:t>as the Appellate Body observed</w:t>
      </w:r>
      <w:r w:rsidRPr="005437AA">
        <w:t xml:space="preserve"> in </w:t>
      </w:r>
      <w:r w:rsidR="53B5E616" w:rsidRPr="6BC516A5">
        <w:t>that dispute,</w:t>
      </w:r>
      <w:r w:rsidR="4FFFDA06" w:rsidRPr="005437AA">
        <w:t xml:space="preserve"> </w:t>
      </w:r>
      <w:r w:rsidR="4CF08892" w:rsidRPr="005437AA">
        <w:t xml:space="preserve">the </w:t>
      </w:r>
      <w:r w:rsidR="37E8E53B" w:rsidRPr="005437AA">
        <w:t>three constituent elements</w:t>
      </w:r>
      <w:r w:rsidR="00B136A2" w:rsidRPr="005437AA">
        <w:rPr>
          <w:rStyle w:val="FootnoteReference"/>
        </w:rPr>
        <w:footnoteReference w:id="25"/>
      </w:r>
      <w:r w:rsidR="37E8E53B" w:rsidRPr="005437AA">
        <w:t xml:space="preserve"> to be "clearly established" to prove the existence of a "rule or norm"</w:t>
      </w:r>
      <w:r w:rsidR="00B136A2">
        <w:t xml:space="preserve"> </w:t>
      </w:r>
      <w:r w:rsidR="37E8E53B" w:rsidRPr="005437AA">
        <w:rPr>
          <w:i/>
          <w:iCs/>
        </w:rPr>
        <w:t xml:space="preserve">are </w:t>
      </w:r>
      <w:r w:rsidR="37E8E53B" w:rsidRPr="005437AA">
        <w:t>the "high threshold</w:t>
      </w:r>
      <w:r w:rsidR="005437AA" w:rsidRPr="005437AA">
        <w:t>"</w:t>
      </w:r>
      <w:r w:rsidR="37E8E53B" w:rsidRPr="005437AA">
        <w:t>.</w:t>
      </w:r>
      <w:r w:rsidR="005437AA" w:rsidRPr="005437AA">
        <w:rPr>
          <w:rStyle w:val="FootnoteReference"/>
        </w:rPr>
        <w:footnoteReference w:id="26"/>
      </w:r>
      <w:r w:rsidR="37E8E53B" w:rsidRPr="005437AA">
        <w:t xml:space="preserve"> </w:t>
      </w:r>
    </w:p>
    <w:p w14:paraId="6982E774" w14:textId="585961E2" w:rsidR="004D1DC9" w:rsidRDefault="298A603F" w:rsidP="00285EC2">
      <w:pPr>
        <w:pStyle w:val="P1-N1Paragraph1-Number1"/>
      </w:pPr>
      <w:r>
        <w:t xml:space="preserve">In </w:t>
      </w:r>
      <w:r w:rsidRPr="005F425D">
        <w:t xml:space="preserve">its first written submission, China relies upon the volume of exhibits submitted by complainants in past disputes </w:t>
      </w:r>
      <w:r w:rsidR="00412ADD" w:rsidRPr="005F425D">
        <w:t xml:space="preserve">to </w:t>
      </w:r>
      <w:r w:rsidR="005F425D" w:rsidRPr="0012704C">
        <w:t>support</w:t>
      </w:r>
      <w:r w:rsidR="00392C1D">
        <w:t xml:space="preserve"> </w:t>
      </w:r>
      <w:r w:rsidR="005F425D" w:rsidRPr="0012704C">
        <w:t>its claims of a "high" evidentiary threshold</w:t>
      </w:r>
      <w:r w:rsidRPr="005F425D">
        <w:t>.</w:t>
      </w:r>
      <w:r w:rsidR="004D1DC9" w:rsidRPr="005F425D">
        <w:rPr>
          <w:rStyle w:val="FootnoteReference"/>
        </w:rPr>
        <w:footnoteReference w:id="27"/>
      </w:r>
      <w:r w:rsidR="3F7A1C18" w:rsidRPr="005F425D">
        <w:t xml:space="preserve"> </w:t>
      </w:r>
      <w:r w:rsidR="00E740AA" w:rsidRPr="005F425D">
        <w:t xml:space="preserve">But </w:t>
      </w:r>
      <w:r w:rsidR="3F7A1C18" w:rsidRPr="005F425D">
        <w:t>there is no requirement for any particular volume of evidence to be presented</w:t>
      </w:r>
      <w:r w:rsidR="3F7A1C18">
        <w:t xml:space="preserve">. What is required is </w:t>
      </w:r>
      <w:r w:rsidR="00A86CCE">
        <w:t xml:space="preserve">simply </w:t>
      </w:r>
      <w:r w:rsidR="3F7A1C18">
        <w:t>evidence sufficient to meet the standard of proof, whether that is done through 1 or 900 exhibits.</w:t>
      </w:r>
    </w:p>
    <w:p w14:paraId="0984ECB9" w14:textId="7AB32B99" w:rsidR="009D7824" w:rsidRPr="00285EC2" w:rsidRDefault="37E8E53B" w:rsidP="00EC30B2">
      <w:pPr>
        <w:pStyle w:val="P1-N1Paragraph1-Number1"/>
      </w:pPr>
      <w:r>
        <w:t>Australia does</w:t>
      </w:r>
      <w:r w:rsidR="3053EF62">
        <w:t>,</w:t>
      </w:r>
      <w:r>
        <w:t xml:space="preserve"> however, acknowledge the Appellate Body's clear statement that</w:t>
      </w:r>
      <w:r w:rsidR="4359CFA4">
        <w:t xml:space="preserve"> "particular rigour" is required in the context of unwritten </w:t>
      </w:r>
      <w:r w:rsidR="4EAD839F">
        <w:t>norms</w:t>
      </w:r>
      <w:r>
        <w:t>.</w:t>
      </w:r>
      <w:r w:rsidR="005F425D">
        <w:rPr>
          <w:rStyle w:val="FootnoteReference"/>
        </w:rPr>
        <w:footnoteReference w:id="28"/>
      </w:r>
      <w:r>
        <w:t xml:space="preserve"> </w:t>
      </w:r>
      <w:r w:rsidR="007C7776">
        <w:t>This</w:t>
      </w:r>
      <w:r>
        <w:t xml:space="preserve"> is</w:t>
      </w:r>
      <w:r w:rsidR="4EAD839F">
        <w:t xml:space="preserve"> subsequently clarified as a requirement for "careful[] examin</w:t>
      </w:r>
      <w:r w:rsidR="007C7776">
        <w:t>[ation]</w:t>
      </w:r>
      <w:r w:rsidR="4EAD839F">
        <w:t>" of the evidence</w:t>
      </w:r>
      <w:r w:rsidR="1A2957EB">
        <w:t>.</w:t>
      </w:r>
      <w:r w:rsidR="005F425D">
        <w:rPr>
          <w:rStyle w:val="FootnoteReference"/>
        </w:rPr>
        <w:footnoteReference w:id="29"/>
      </w:r>
      <w:r w:rsidR="1A2957EB">
        <w:t xml:space="preserve">  </w:t>
      </w:r>
      <w:r w:rsidR="007C7776">
        <w:t>It</w:t>
      </w:r>
      <w:r w:rsidR="00EE712E">
        <w:t xml:space="preserve"> </w:t>
      </w:r>
      <w:r w:rsidR="1A2957EB">
        <w:t>does not</w:t>
      </w:r>
      <w:r w:rsidR="5B3C8893">
        <w:t xml:space="preserve"> </w:t>
      </w:r>
      <w:r w:rsidR="3BB6BCA2">
        <w:t>mean</w:t>
      </w:r>
      <w:r w:rsidR="5B3C8893">
        <w:t xml:space="preserve"> that a </w:t>
      </w:r>
      <w:r w:rsidR="4EAD839F" w:rsidRPr="0012704C">
        <w:t>high</w:t>
      </w:r>
      <w:r w:rsidR="4EAD839F" w:rsidRPr="15D066C9">
        <w:rPr>
          <w:i/>
          <w:iCs/>
        </w:rPr>
        <w:t xml:space="preserve"> </w:t>
      </w:r>
      <w:r w:rsidR="4EAD839F" w:rsidRPr="00093743">
        <w:t>volume</w:t>
      </w:r>
      <w:r w:rsidR="4EAD839F" w:rsidRPr="0093374D">
        <w:t xml:space="preserve"> </w:t>
      </w:r>
      <w:r w:rsidR="5EED0FC3">
        <w:t>o</w:t>
      </w:r>
      <w:r w:rsidR="4EAD839F">
        <w:t>f evidence</w:t>
      </w:r>
      <w:r w:rsidR="5B3C8893">
        <w:t xml:space="preserve"> is required.</w:t>
      </w:r>
      <w:r w:rsidR="4EAD839F">
        <w:t xml:space="preserve"> </w:t>
      </w:r>
      <w:r w:rsidR="3BB6BCA2">
        <w:t>It means that e</w:t>
      </w:r>
      <w:r w:rsidR="3684CF27">
        <w:t>vidence should be</w:t>
      </w:r>
      <w:r w:rsidR="45411A5A">
        <w:t xml:space="preserve"> invariably</w:t>
      </w:r>
      <w:r w:rsidR="3684CF27">
        <w:t xml:space="preserve"> "solid"</w:t>
      </w:r>
      <w:r w:rsidR="0016120B">
        <w:rPr>
          <w:rStyle w:val="FootnoteReference"/>
        </w:rPr>
        <w:footnoteReference w:id="30"/>
      </w:r>
      <w:r w:rsidR="3684CF27">
        <w:t xml:space="preserve"> </w:t>
      </w:r>
      <w:r w:rsidR="45411A5A">
        <w:t xml:space="preserve">and not merely </w:t>
      </w:r>
      <w:r w:rsidR="29EBF789">
        <w:t xml:space="preserve">tending towards </w:t>
      </w:r>
      <w:r w:rsidR="61BFF8E9">
        <w:t xml:space="preserve">an </w:t>
      </w:r>
      <w:r w:rsidR="45411A5A">
        <w:t xml:space="preserve">abstract </w:t>
      </w:r>
      <w:r w:rsidR="61BFF8E9">
        <w:t>conclusion</w:t>
      </w:r>
      <w:r w:rsidR="45411A5A">
        <w:t xml:space="preserve">. </w:t>
      </w:r>
      <w:r w:rsidR="498FFEEF">
        <w:t xml:space="preserve">A complainant </w:t>
      </w:r>
      <w:r w:rsidR="009E309C">
        <w:t xml:space="preserve">should </w:t>
      </w:r>
      <w:r w:rsidR="498FFEEF">
        <w:t>not</w:t>
      </w:r>
      <w:r w:rsidR="009E309C">
        <w:t xml:space="preserve"> be</w:t>
      </w:r>
      <w:r w:rsidR="498FFEEF">
        <w:t xml:space="preserve"> subjected to some kind of a</w:t>
      </w:r>
      <w:r w:rsidR="5EED0FC3">
        <w:t>bstract</w:t>
      </w:r>
      <w:r w:rsidR="498FFEEF">
        <w:t xml:space="preserve"> "high bar" or "high threshold" of evidence</w:t>
      </w:r>
      <w:r w:rsidR="2C072B05">
        <w:t xml:space="preserve"> as contended by China</w:t>
      </w:r>
      <w:r w:rsidR="00EE2820">
        <w:rPr>
          <w:rStyle w:val="FootnoteReference"/>
        </w:rPr>
        <w:footnoteReference w:id="31"/>
      </w:r>
      <w:r w:rsidR="498FFEEF">
        <w:t xml:space="preserve"> merely because one of the characteristics of a measure is </w:t>
      </w:r>
      <w:r w:rsidR="227FDAF7">
        <w:t xml:space="preserve">that it is </w:t>
      </w:r>
      <w:r w:rsidR="498FFEEF">
        <w:t>unwritten</w:t>
      </w:r>
      <w:r w:rsidR="39C7ED03">
        <w:t xml:space="preserve"> or because it is a grave allegation</w:t>
      </w:r>
      <w:r w:rsidR="498FFEEF">
        <w:t xml:space="preserve">. </w:t>
      </w:r>
      <w:r w:rsidR="78969899">
        <w:t xml:space="preserve">The challenges inherent in proving the existence of an </w:t>
      </w:r>
      <w:r w:rsidR="227FDAF7">
        <w:t xml:space="preserve">unwritten </w:t>
      </w:r>
      <w:r w:rsidR="78969899">
        <w:t xml:space="preserve">measure </w:t>
      </w:r>
      <w:r w:rsidR="4359CFA4">
        <w:t>sufficiently,</w:t>
      </w:r>
      <w:r w:rsidR="78969899">
        <w:t xml:space="preserve"> </w:t>
      </w:r>
      <w:r w:rsidR="3FF1C334">
        <w:t xml:space="preserve">and the gravity with which "serious" allegations may be viewed, </w:t>
      </w:r>
      <w:r w:rsidR="008B05D4">
        <w:t>do not</w:t>
      </w:r>
      <w:r w:rsidR="00E5163F">
        <w:t xml:space="preserve"> change </w:t>
      </w:r>
      <w:r w:rsidR="0C8224D6">
        <w:t>the</w:t>
      </w:r>
      <w:r w:rsidR="78969899">
        <w:t xml:space="preserve"> standard </w:t>
      </w:r>
      <w:r w:rsidR="0C8224D6">
        <w:t xml:space="preserve">of proof </w:t>
      </w:r>
      <w:r w:rsidR="78969899">
        <w:t xml:space="preserve">for such a task. While the </w:t>
      </w:r>
      <w:r w:rsidR="4040596D">
        <w:t xml:space="preserve">evidentiary </w:t>
      </w:r>
      <w:r w:rsidR="3041423A">
        <w:lastRenderedPageBreak/>
        <w:t xml:space="preserve">requirements </w:t>
      </w:r>
      <w:r w:rsidR="3041423A" w:rsidRPr="006B61CA">
        <w:t xml:space="preserve">may </w:t>
      </w:r>
      <w:r w:rsidR="3041423A">
        <w:t>be more complex</w:t>
      </w:r>
      <w:r w:rsidR="555F2333">
        <w:t xml:space="preserve"> </w:t>
      </w:r>
      <w:r w:rsidR="50249FD8">
        <w:t xml:space="preserve">(or "rigorous") </w:t>
      </w:r>
      <w:r w:rsidR="555F2333">
        <w:t xml:space="preserve">relative to </w:t>
      </w:r>
      <w:r w:rsidR="10CD497C">
        <w:t>written</w:t>
      </w:r>
      <w:r w:rsidR="555F2333">
        <w:t xml:space="preserve"> measures</w:t>
      </w:r>
      <w:r w:rsidR="78969899">
        <w:t>, the standard</w:t>
      </w:r>
      <w:r w:rsidR="0C8224D6">
        <w:t xml:space="preserve"> of proof itself </w:t>
      </w:r>
      <w:r w:rsidR="3041423A">
        <w:t>is no different</w:t>
      </w:r>
      <w:r w:rsidR="78969899">
        <w:t>.</w:t>
      </w:r>
      <w:r w:rsidR="7660A3BE">
        <w:t xml:space="preserve"> </w:t>
      </w:r>
    </w:p>
    <w:p w14:paraId="3102A93F" w14:textId="16E0E028" w:rsidR="001F51D6" w:rsidRDefault="008B3A0F" w:rsidP="001F51D6">
      <w:pPr>
        <w:pStyle w:val="HL2HeadingLevel2"/>
      </w:pPr>
      <w:bookmarkStart w:id="12" w:name="_Toc150441694"/>
      <w:r>
        <w:t>The elements to be proven</w:t>
      </w:r>
      <w:r w:rsidR="00E35EA2">
        <w:t>, and how to prove them,</w:t>
      </w:r>
      <w:r>
        <w:t xml:space="preserve"> are case-specific</w:t>
      </w:r>
      <w:bookmarkEnd w:id="12"/>
    </w:p>
    <w:p w14:paraId="23D48671" w14:textId="4A40D7C8" w:rsidR="00132975" w:rsidRDefault="227FDAF7" w:rsidP="0031181D">
      <w:pPr>
        <w:pStyle w:val="P1-N1Paragraph1-Number1"/>
      </w:pPr>
      <w:r>
        <w:t xml:space="preserve">It is </w:t>
      </w:r>
      <w:r w:rsidR="5EED0FC3">
        <w:t>well-established</w:t>
      </w:r>
      <w:r>
        <w:t xml:space="preserve"> that </w:t>
      </w:r>
      <w:r w:rsidR="149A17DC">
        <w:t>in substantiating the existence of a measure</w:t>
      </w:r>
      <w:r w:rsidR="0027288F">
        <w:t xml:space="preserve"> </w:t>
      </w:r>
      <w:r w:rsidR="00886025">
        <w:t>"</w:t>
      </w:r>
      <w:r w:rsidR="00A752CA">
        <w:t xml:space="preserve">a complainant must </w:t>
      </w:r>
      <w:r w:rsidR="005F425D">
        <w:t xml:space="preserve">establish </w:t>
      </w:r>
      <w:r w:rsidR="24AC977D" w:rsidRPr="0031181D">
        <w:t xml:space="preserve">that </w:t>
      </w:r>
      <w:r w:rsidR="00B20C46">
        <w:t>[a]</w:t>
      </w:r>
      <w:r w:rsidR="24AC977D" w:rsidRPr="0031181D">
        <w:t xml:space="preserve"> measure is </w:t>
      </w:r>
      <w:r w:rsidR="24AC977D" w:rsidRPr="15D066C9">
        <w:rPr>
          <w:b/>
          <w:bCs/>
          <w:i/>
          <w:iCs/>
        </w:rPr>
        <w:t>attributable</w:t>
      </w:r>
      <w:r w:rsidR="24AC977D" w:rsidRPr="15D066C9">
        <w:rPr>
          <w:i/>
          <w:iCs/>
        </w:rPr>
        <w:t xml:space="preserve"> </w:t>
      </w:r>
      <w:r w:rsidR="24AC977D" w:rsidRPr="0031181D">
        <w:t xml:space="preserve">to the respondent, </w:t>
      </w:r>
      <w:r w:rsidR="005F425D">
        <w:t xml:space="preserve">as well as the </w:t>
      </w:r>
      <w:r w:rsidR="24AC977D" w:rsidRPr="15D066C9">
        <w:rPr>
          <w:b/>
          <w:bCs/>
          <w:i/>
          <w:iCs/>
        </w:rPr>
        <w:t xml:space="preserve">precise content </w:t>
      </w:r>
      <w:r w:rsidR="24AC977D" w:rsidRPr="0012704C">
        <w:t xml:space="preserve">of the </w:t>
      </w:r>
      <w:r w:rsidR="00886025">
        <w:t xml:space="preserve">challenged </w:t>
      </w:r>
      <w:r w:rsidR="24AC977D" w:rsidRPr="0012704C">
        <w:t>measure</w:t>
      </w:r>
      <w:r w:rsidR="24AC977D" w:rsidRPr="0031181D">
        <w:t>."</w:t>
      </w:r>
      <w:r w:rsidR="00445573" w:rsidRPr="0031181D">
        <w:rPr>
          <w:rStyle w:val="FootnoteReference"/>
        </w:rPr>
        <w:footnoteReference w:id="32"/>
      </w:r>
      <w:r w:rsidR="24AC977D" w:rsidRPr="0031181D">
        <w:t xml:space="preserve"> </w:t>
      </w:r>
      <w:r w:rsidR="4C6566F2">
        <w:t>B</w:t>
      </w:r>
      <w:r w:rsidR="24AC977D" w:rsidRPr="0031181D">
        <w:t>eyond that</w:t>
      </w:r>
      <w:r w:rsidR="00A752CA">
        <w:t xml:space="preserve">, </w:t>
      </w:r>
    </w:p>
    <w:p w14:paraId="566F4623" w14:textId="75C9AA37" w:rsidR="00132975" w:rsidRDefault="00132975" w:rsidP="00132975">
      <w:pPr>
        <w:pStyle w:val="QQuotation"/>
      </w:pPr>
      <w:r>
        <w:t>[T]</w:t>
      </w:r>
      <w:r w:rsidR="24AC977D" w:rsidRPr="0031181D">
        <w:t xml:space="preserve">he constituent elements that must be substantiated with evidence and arguments in order to prove the existence of a measure challenged </w:t>
      </w:r>
      <w:r w:rsidR="24AC977D" w:rsidRPr="15D066C9">
        <w:rPr>
          <w:b/>
          <w:bCs/>
          <w:i/>
          <w:iCs/>
        </w:rPr>
        <w:t>will be informed by how such measure is described or characterised by the complainant</w:t>
      </w:r>
      <w:r w:rsidR="24AC977D" w:rsidRPr="0031181D">
        <w:t>.</w:t>
      </w:r>
      <w:r>
        <w:t xml:space="preserve"> Depending on the characteristics of the measure challenged, other elements in addition to attribution to a WTO Member and precise content may need to be substantiated to prove its existence.</w:t>
      </w:r>
      <w:r w:rsidR="00445573" w:rsidRPr="0031181D">
        <w:rPr>
          <w:rStyle w:val="FootnoteReference"/>
        </w:rPr>
        <w:footnoteReference w:id="33"/>
      </w:r>
      <w:r w:rsidR="24AC977D" w:rsidRPr="0031181D">
        <w:t xml:space="preserve"> </w:t>
      </w:r>
    </w:p>
    <w:p w14:paraId="3A1020F3" w14:textId="7EBDADC6" w:rsidR="0031181D" w:rsidRDefault="2B29A816" w:rsidP="00132975">
      <w:pPr>
        <w:pStyle w:val="P1-N1Paragraph1-Number1"/>
      </w:pPr>
      <w:r>
        <w:t xml:space="preserve">Critically, </w:t>
      </w:r>
      <w:r w:rsidR="0F53D2A5">
        <w:t xml:space="preserve">this means that </w:t>
      </w:r>
      <w:r>
        <w:t>the Panel should look to the</w:t>
      </w:r>
      <w:r w:rsidR="00463AFF">
        <w:t xml:space="preserve"> alleged </w:t>
      </w:r>
      <w:r>
        <w:t>measure itself</w:t>
      </w:r>
      <w:r w:rsidR="008C2EF8">
        <w:t>,</w:t>
      </w:r>
      <w:r>
        <w:t xml:space="preserve"> in order to answer the fundamental question of how that measure needs to be </w:t>
      </w:r>
      <w:r w:rsidR="61BFF8E9">
        <w:t>assessed</w:t>
      </w:r>
      <w:r w:rsidR="008C2EF8">
        <w:t>. The Pa</w:t>
      </w:r>
      <w:r w:rsidR="00A864A2">
        <w:t>n</w:t>
      </w:r>
      <w:r w:rsidR="008C2EF8">
        <w:t xml:space="preserve">el </w:t>
      </w:r>
      <w:r w:rsidR="3C5304D3">
        <w:t xml:space="preserve">should not be </w:t>
      </w:r>
      <w:r w:rsidR="000545C2">
        <w:t xml:space="preserve">influenced </w:t>
      </w:r>
      <w:r w:rsidR="58CC9778">
        <w:t xml:space="preserve">by </w:t>
      </w:r>
      <w:r w:rsidR="3C5304D3">
        <w:t>findings of fact in earlier disputes</w:t>
      </w:r>
      <w:r w:rsidR="008C2EF8">
        <w:t xml:space="preserve"> in the manner contended by China.</w:t>
      </w:r>
      <w:r w:rsidR="008452D6">
        <w:rPr>
          <w:rStyle w:val="FootnoteReference"/>
        </w:rPr>
        <w:footnoteReference w:id="34"/>
      </w:r>
      <w:r w:rsidR="61BFF8E9">
        <w:t xml:space="preserve"> </w:t>
      </w:r>
      <w:r w:rsidR="5BBC8A91">
        <w:t xml:space="preserve">There is no such thing as a "typical" measure </w:t>
      </w:r>
      <w:r w:rsidR="58B68CE5">
        <w:t xml:space="preserve">in this context, </w:t>
      </w:r>
      <w:r w:rsidR="5BBC8A91">
        <w:t xml:space="preserve">and nor are such comparisons </w:t>
      </w:r>
      <w:r w:rsidR="58B68CE5">
        <w:t>determinative.</w:t>
      </w:r>
      <w:r w:rsidR="5BBC8A91">
        <w:t xml:space="preserve"> </w:t>
      </w:r>
    </w:p>
    <w:p w14:paraId="2DE1BB3A" w14:textId="5BC3E216" w:rsidR="0073667C" w:rsidRDefault="080BFFDD" w:rsidP="0031181D">
      <w:pPr>
        <w:pStyle w:val="P1-N1Paragraph1-Number1"/>
      </w:pPr>
      <w:r w:rsidRPr="00FB3845">
        <w:t xml:space="preserve">As a preliminary matter, </w:t>
      </w:r>
      <w:r w:rsidR="103438CB" w:rsidRPr="009D65BD">
        <w:t xml:space="preserve">Australia understands that </w:t>
      </w:r>
      <w:r w:rsidR="3CF4CCE0" w:rsidRPr="00FB3845">
        <w:t>China</w:t>
      </w:r>
      <w:r w:rsidR="45411A5A" w:rsidRPr="00FB3845">
        <w:t xml:space="preserve"> challenges the evidence in support of </w:t>
      </w:r>
      <w:r w:rsidRPr="00FB3845">
        <w:t xml:space="preserve">the "precise content" of </w:t>
      </w:r>
      <w:r w:rsidR="3FF1C334" w:rsidRPr="00FB3845">
        <w:t xml:space="preserve">two of the </w:t>
      </w:r>
      <w:r w:rsidR="45411A5A" w:rsidRPr="00FB3845">
        <w:t>measures</w:t>
      </w:r>
      <w:r w:rsidR="61C14559" w:rsidRPr="00FB3845">
        <w:t>, based on its interpretation of the characteristics of th</w:t>
      </w:r>
      <w:r w:rsidR="3FF1C334" w:rsidRPr="00FB3845">
        <w:t>ose</w:t>
      </w:r>
      <w:r w:rsidR="61C14559" w:rsidRPr="00FB3845">
        <w:t xml:space="preserve"> measures</w:t>
      </w:r>
      <w:r w:rsidR="45411A5A" w:rsidRPr="00FB3845">
        <w:t>.</w:t>
      </w:r>
      <w:r w:rsidR="00543906" w:rsidRPr="00FB3845">
        <w:rPr>
          <w:rStyle w:val="FootnoteReference"/>
        </w:rPr>
        <w:footnoteReference w:id="35"/>
      </w:r>
      <w:r w:rsidR="45411A5A" w:rsidRPr="00FB3845">
        <w:t xml:space="preserve"> </w:t>
      </w:r>
      <w:r w:rsidR="29EBF789">
        <w:t>China</w:t>
      </w:r>
      <w:r w:rsidR="103438CB">
        <w:t xml:space="preserve"> suggest</w:t>
      </w:r>
      <w:r w:rsidR="00E3E5A6">
        <w:t>s</w:t>
      </w:r>
      <w:r w:rsidR="103438CB">
        <w:t xml:space="preserve"> that in light of this challenge, "attribution</w:t>
      </w:r>
      <w:r w:rsidR="24497307">
        <w:t xml:space="preserve"> </w:t>
      </w:r>
      <w:r w:rsidR="103438CB">
        <w:t>is moot</w:t>
      </w:r>
      <w:r w:rsidR="00A864A2">
        <w:t xml:space="preserve"> […]</w:t>
      </w:r>
      <w:r w:rsidR="103438CB">
        <w:t>".</w:t>
      </w:r>
      <w:r w:rsidR="00F15690">
        <w:rPr>
          <w:rStyle w:val="FootnoteReference"/>
        </w:rPr>
        <w:footnoteReference w:id="36"/>
      </w:r>
      <w:r w:rsidR="103438CB">
        <w:t xml:space="preserve"> </w:t>
      </w:r>
      <w:r w:rsidR="45411A5A" w:rsidRPr="00FB3845">
        <w:t>The</w:t>
      </w:r>
      <w:r w:rsidR="45411A5A">
        <w:t xml:space="preserve"> substance of this dispute</w:t>
      </w:r>
      <w:r w:rsidR="61C14559">
        <w:t xml:space="preserve"> therefore</w:t>
      </w:r>
      <w:r w:rsidR="45411A5A">
        <w:t xml:space="preserve"> lies in</w:t>
      </w:r>
      <w:r w:rsidR="103438CB">
        <w:t xml:space="preserve"> specifically</w:t>
      </w:r>
      <w:r w:rsidR="45411A5A">
        <w:t xml:space="preserve"> </w:t>
      </w:r>
      <w:r w:rsidR="45411A5A" w:rsidRPr="15D066C9">
        <w:rPr>
          <w:i/>
          <w:iCs/>
        </w:rPr>
        <w:t xml:space="preserve">what </w:t>
      </w:r>
      <w:r w:rsidR="45411A5A">
        <w:t>must be established</w:t>
      </w:r>
      <w:r w:rsidR="58B68CE5">
        <w:t xml:space="preserve"> </w:t>
      </w:r>
      <w:r w:rsidR="5639E39F">
        <w:t>to prove th</w:t>
      </w:r>
      <w:r w:rsidR="3D069CCA">
        <w:t xml:space="preserve">e </w:t>
      </w:r>
      <w:r w:rsidR="146E0937">
        <w:t>unique</w:t>
      </w:r>
      <w:r w:rsidR="29EBF789">
        <w:t xml:space="preserve"> </w:t>
      </w:r>
      <w:r w:rsidR="5639E39F">
        <w:t xml:space="preserve">measures </w:t>
      </w:r>
      <w:r w:rsidR="58B68CE5">
        <w:t>in this dispute,</w:t>
      </w:r>
      <w:r w:rsidR="45411A5A">
        <w:t xml:space="preserve"> and </w:t>
      </w:r>
      <w:r w:rsidR="45411A5A" w:rsidRPr="15D066C9">
        <w:rPr>
          <w:i/>
          <w:iCs/>
        </w:rPr>
        <w:t>how.</w:t>
      </w:r>
      <w:r w:rsidR="103438CB" w:rsidRPr="15D066C9">
        <w:rPr>
          <w:i/>
          <w:iCs/>
        </w:rPr>
        <w:t xml:space="preserve"> </w:t>
      </w:r>
      <w:r w:rsidR="103438CB" w:rsidRPr="009D65BD">
        <w:t>Australia's submissions do not a</w:t>
      </w:r>
      <w:r w:rsidR="103438CB">
        <w:t>ddress "attribution" further.</w:t>
      </w:r>
    </w:p>
    <w:p w14:paraId="503D8DDF" w14:textId="6F07EC5A" w:rsidR="006D369A" w:rsidRDefault="5B3A45BC" w:rsidP="0012704C">
      <w:pPr>
        <w:pStyle w:val="P1-N1Paragraph1-Number1"/>
        <w:keepNext/>
      </w:pPr>
      <w:r>
        <w:t xml:space="preserve">The </w:t>
      </w:r>
      <w:r w:rsidR="09368F9A">
        <w:t>question of</w:t>
      </w:r>
      <w:r w:rsidR="6253DE2D">
        <w:t xml:space="preserve"> </w:t>
      </w:r>
      <w:r w:rsidR="6253DE2D" w:rsidRPr="15D066C9">
        <w:rPr>
          <w:i/>
          <w:iCs/>
        </w:rPr>
        <w:t xml:space="preserve">what </w:t>
      </w:r>
      <w:r w:rsidR="6253DE2D">
        <w:t>must be established</w:t>
      </w:r>
      <w:r w:rsidR="09368F9A">
        <w:t xml:space="preserve"> </w:t>
      </w:r>
      <w:r w:rsidR="0E30959F">
        <w:t xml:space="preserve">"sufficiently", </w:t>
      </w:r>
      <w:r w:rsidR="09368F9A">
        <w:t>in order to prove the existence of a measure</w:t>
      </w:r>
      <w:r w:rsidR="0E30959F">
        <w:t>,</w:t>
      </w:r>
      <w:r w:rsidR="6253DE2D">
        <w:t xml:space="preserve"> is a </w:t>
      </w:r>
      <w:r w:rsidR="0E30959F">
        <w:t xml:space="preserve">question </w:t>
      </w:r>
      <w:r w:rsidR="6253DE2D">
        <w:t>of fact</w:t>
      </w:r>
      <w:r w:rsidR="58B68CE5">
        <w:t xml:space="preserve">. </w:t>
      </w:r>
      <w:r w:rsidR="54CA76B5">
        <w:t xml:space="preserve">This is because, as set out at paragraph </w:t>
      </w:r>
      <w:r w:rsidR="32C2FCFD">
        <w:t>2</w:t>
      </w:r>
      <w:r w:rsidR="2C072B05">
        <w:t>0</w:t>
      </w:r>
      <w:r w:rsidR="54CA76B5">
        <w:t xml:space="preserve"> above,</w:t>
      </w:r>
      <w:r w:rsidR="58B68CE5">
        <w:t xml:space="preserve"> i</w:t>
      </w:r>
      <w:r w:rsidR="3D069CCA">
        <w:t>t i</w:t>
      </w:r>
      <w:r w:rsidR="58B68CE5">
        <w:t>s a question to be answered</w:t>
      </w:r>
      <w:r w:rsidR="6253DE2D">
        <w:t xml:space="preserve"> on the basis of the</w:t>
      </w:r>
      <w:r w:rsidR="0E30959F">
        <w:t xml:space="preserve"> characterisation</w:t>
      </w:r>
      <w:r w:rsidR="58B68CE5">
        <w:t xml:space="preserve"> </w:t>
      </w:r>
      <w:r w:rsidR="0E30959F">
        <w:t xml:space="preserve">of the </w:t>
      </w:r>
      <w:r w:rsidR="58B68CE5">
        <w:t>challenged measure</w:t>
      </w:r>
      <w:r w:rsidR="0E30959F">
        <w:t xml:space="preserve"> itself</w:t>
      </w:r>
      <w:r w:rsidR="6253DE2D">
        <w:t xml:space="preserve">. </w:t>
      </w:r>
      <w:r w:rsidR="54CA76B5">
        <w:t>It is a</w:t>
      </w:r>
      <w:r w:rsidR="61BFF8E9">
        <w:t xml:space="preserve"> case-specific enquiry</w:t>
      </w:r>
      <w:r w:rsidR="0E30959F">
        <w:t xml:space="preserve">. It is </w:t>
      </w:r>
      <w:r w:rsidR="54CA76B5">
        <w:t xml:space="preserve">not a question which should be answered on the basis </w:t>
      </w:r>
      <w:r w:rsidR="54CA76B5">
        <w:lastRenderedPageBreak/>
        <w:t xml:space="preserve">of the </w:t>
      </w:r>
      <w:r w:rsidR="3C5304D3">
        <w:t>past practice of panels</w:t>
      </w:r>
      <w:r w:rsidR="0E30959F">
        <w:t>, as applied to certain key words by which a measure may be described</w:t>
      </w:r>
      <w:r w:rsidR="3C5304D3">
        <w:t xml:space="preserve">. </w:t>
      </w:r>
      <w:r w:rsidR="54CA76B5">
        <w:t>As th</w:t>
      </w:r>
      <w:r w:rsidR="2ECAC421">
        <w:t>e</w:t>
      </w:r>
      <w:r w:rsidR="3C5304D3">
        <w:t xml:space="preserve"> Appellate Body has </w:t>
      </w:r>
      <w:r w:rsidR="54CA76B5">
        <w:t>stated</w:t>
      </w:r>
      <w:r w:rsidR="3C5304D3">
        <w:t xml:space="preserve">: </w:t>
      </w:r>
      <w:r w:rsidR="6253DE2D">
        <w:t xml:space="preserve"> </w:t>
      </w:r>
    </w:p>
    <w:p w14:paraId="6D817C8C" w14:textId="1E0335FA" w:rsidR="006D369A" w:rsidRPr="00737DC6" w:rsidRDefault="004F2FE4" w:rsidP="0012704C">
      <w:pPr>
        <w:pStyle w:val="QQuotation"/>
        <w:keepNext/>
      </w:pPr>
      <w:r>
        <w:t>F</w:t>
      </w:r>
      <w:r w:rsidR="006D369A" w:rsidRPr="0012704C">
        <w:t>actual findings made in prior disputes do not determine facts in another dispute</w:t>
      </w:r>
      <w:r w:rsidR="006D369A" w:rsidRPr="004F2FE4">
        <w:t>.</w:t>
      </w:r>
      <w:r w:rsidR="006D369A">
        <w:t xml:space="preserve"> […] The </w:t>
      </w:r>
      <w:r w:rsidR="006D369A" w:rsidRPr="00737DC6">
        <w:t>finders of fact are […] obliged to make their own determination afresh and on the basis of all the evidence before them.</w:t>
      </w:r>
      <w:r w:rsidR="006D369A" w:rsidRPr="00737DC6">
        <w:rPr>
          <w:rStyle w:val="FootnoteReference"/>
        </w:rPr>
        <w:footnoteReference w:id="37"/>
      </w:r>
    </w:p>
    <w:p w14:paraId="2A2A5BB9" w14:textId="5FCE4E82" w:rsidR="0025782E" w:rsidRPr="00737DC6" w:rsidRDefault="0E30959F" w:rsidP="00737DC6">
      <w:pPr>
        <w:pStyle w:val="P1-N1Paragraph1-Number1"/>
      </w:pPr>
      <w:r>
        <w:t>Examples from prior disputes</w:t>
      </w:r>
      <w:r w:rsidR="58B68CE5">
        <w:t xml:space="preserve"> may be informative and illustrative, but they </w:t>
      </w:r>
      <w:r w:rsidR="004677DD">
        <w:t>must not determine</w:t>
      </w:r>
      <w:r w:rsidR="58B68CE5">
        <w:t xml:space="preserve"> the</w:t>
      </w:r>
      <w:r w:rsidR="6071A21D">
        <w:t xml:space="preserve"> </w:t>
      </w:r>
      <w:r w:rsidR="004677DD">
        <w:t xml:space="preserve">Panel’s </w:t>
      </w:r>
      <w:r w:rsidR="6071A21D">
        <w:t>analytical approach or conclusions in subsequent disputes.</w:t>
      </w:r>
      <w:r w:rsidR="58B68CE5">
        <w:t xml:space="preserve"> </w:t>
      </w:r>
      <w:r w:rsidR="5A7D9C2A">
        <w:t xml:space="preserve">No two </w:t>
      </w:r>
      <w:r w:rsidR="1DA28649">
        <w:t>dispute</w:t>
      </w:r>
      <w:r w:rsidR="5A7D9C2A">
        <w:t xml:space="preserve">s are the same, and a range of different factual circumstances will inform a </w:t>
      </w:r>
      <w:r w:rsidR="00613CFE">
        <w:t>p</w:t>
      </w:r>
      <w:r w:rsidR="5A7D9C2A">
        <w:t xml:space="preserve">anel's assessment of the evidence before it. </w:t>
      </w:r>
      <w:r w:rsidR="0D1DACCA">
        <w:t>As a result</w:t>
      </w:r>
      <w:r w:rsidR="61BFF8E9">
        <w:t>,</w:t>
      </w:r>
      <w:r w:rsidR="3C5304D3">
        <w:t xml:space="preserve"> </w:t>
      </w:r>
      <w:r w:rsidR="6071A21D">
        <w:t xml:space="preserve">there is </w:t>
      </w:r>
      <w:r w:rsidR="3C5304D3">
        <w:t xml:space="preserve">there </w:t>
      </w:r>
      <w:r w:rsidR="0D1DACCA">
        <w:t>no</w:t>
      </w:r>
      <w:r w:rsidR="3C5304D3">
        <w:t xml:space="preserve"> </w:t>
      </w:r>
      <w:r w:rsidR="39C7ED03">
        <w:t>basis</w:t>
      </w:r>
      <w:r w:rsidR="6071A21D">
        <w:t xml:space="preserve"> </w:t>
      </w:r>
      <w:r w:rsidR="452B34CF">
        <w:t>for</w:t>
      </w:r>
      <w:r w:rsidR="6071A21D">
        <w:t xml:space="preserve"> the rule that China </w:t>
      </w:r>
      <w:r w:rsidR="004C0BF5">
        <w:t xml:space="preserve">attempts to derive </w:t>
      </w:r>
      <w:r w:rsidR="6071A21D">
        <w:t xml:space="preserve">from the approach </w:t>
      </w:r>
      <w:r w:rsidR="00834FD5">
        <w:t xml:space="preserve">of </w:t>
      </w:r>
      <w:r w:rsidR="178B03ED">
        <w:t>p</w:t>
      </w:r>
      <w:r w:rsidR="00834FD5">
        <w:t xml:space="preserve">anels </w:t>
      </w:r>
      <w:r w:rsidR="6071A21D">
        <w:t>in past disputes</w:t>
      </w:r>
      <w:r w:rsidR="00834FD5">
        <w:t>, nam</w:t>
      </w:r>
      <w:r w:rsidR="00154981">
        <w:t>ely</w:t>
      </w:r>
      <w:r w:rsidR="39C7ED03">
        <w:t xml:space="preserve"> </w:t>
      </w:r>
      <w:r w:rsidR="3C5304D3">
        <w:t>that:</w:t>
      </w:r>
    </w:p>
    <w:p w14:paraId="1456E737" w14:textId="38ED794A" w:rsidR="0025782E" w:rsidRPr="0025782E" w:rsidRDefault="0025782E" w:rsidP="00EB03B5">
      <w:pPr>
        <w:pStyle w:val="QQuotation"/>
      </w:pPr>
      <w:r>
        <w:t>[</w:t>
      </w:r>
      <w:r w:rsidR="004F2FE4">
        <w:t>I]</w:t>
      </w:r>
      <w:r>
        <w:t xml:space="preserve">n order to prove the existence of an independent unwritten measure, a complainant must adduce </w:t>
      </w:r>
      <w:r w:rsidRPr="0012704C">
        <w:rPr>
          <w:i/>
          <w:iCs/>
        </w:rPr>
        <w:t>evidence of repeated and highly consistent instances</w:t>
      </w:r>
      <w:r w:rsidRPr="00EB03B5">
        <w:rPr>
          <w:b/>
          <w:bCs/>
          <w:i/>
          <w:iCs/>
        </w:rPr>
        <w:t xml:space="preserve"> </w:t>
      </w:r>
      <w:r>
        <w:t xml:space="preserve">of regulatory conduct, in given circumstances, over time [and] </w:t>
      </w:r>
      <w:r w:rsidRPr="0012704C">
        <w:rPr>
          <w:i/>
          <w:iCs/>
        </w:rPr>
        <w:t>evidence that those instances are connected</w:t>
      </w:r>
      <w:r w:rsidRPr="0012704C">
        <w:t xml:space="preserve"> across time</w:t>
      </w:r>
      <w:r>
        <w:t xml:space="preserve"> </w:t>
      </w:r>
      <w:r w:rsidR="004F2FE4">
        <w:t>by an organised policy, rule, norm or other directive attributable to the Member concerned.</w:t>
      </w:r>
      <w:r w:rsidR="00967E6D">
        <w:rPr>
          <w:rStyle w:val="FootnoteReference"/>
        </w:rPr>
        <w:footnoteReference w:id="38"/>
      </w:r>
    </w:p>
    <w:p w14:paraId="3E0474A2" w14:textId="07EC7FA8" w:rsidR="007F30DB" w:rsidRDefault="3C5304D3" w:rsidP="007F30DB">
      <w:pPr>
        <w:pStyle w:val="P1-N1Paragraph1-Number1"/>
      </w:pPr>
      <w:r>
        <w:t xml:space="preserve"> Nor </w:t>
      </w:r>
      <w:r w:rsidR="00154981">
        <w:t xml:space="preserve">can past disputes provide </w:t>
      </w:r>
      <w:r w:rsidR="39C7ED03">
        <w:t xml:space="preserve">any </w:t>
      </w:r>
      <w:r w:rsidR="3FF1C334">
        <w:t xml:space="preserve">valid </w:t>
      </w:r>
      <w:r w:rsidR="39C7ED03">
        <w:t>basis</w:t>
      </w:r>
      <w:r w:rsidR="61BFF8E9">
        <w:t xml:space="preserve"> for </w:t>
      </w:r>
      <w:r w:rsidR="5B3C8893">
        <w:t xml:space="preserve">a </w:t>
      </w:r>
      <w:r w:rsidR="0D1DACCA">
        <w:t xml:space="preserve">broad </w:t>
      </w:r>
      <w:r w:rsidR="5B3C8893">
        <w:t>rule</w:t>
      </w:r>
      <w:r w:rsidR="61BFF8E9">
        <w:t xml:space="preserve"> </w:t>
      </w:r>
      <w:r w:rsidR="39C7ED03">
        <w:t>that</w:t>
      </w:r>
      <w:r w:rsidR="00D41D31">
        <w:t xml:space="preserve"> a complainant must prove</w:t>
      </w:r>
      <w:r w:rsidR="39C7ED03">
        <w:t xml:space="preserve"> </w:t>
      </w:r>
      <w:r>
        <w:t>"</w:t>
      </w:r>
      <w:r w:rsidRPr="0012704C">
        <w:rPr>
          <w:i/>
          <w:iCs/>
        </w:rPr>
        <w:t>unwavering consistency</w:t>
      </w:r>
      <w:r w:rsidR="00AB42C4">
        <w:t xml:space="preserve"> </w:t>
      </w:r>
      <w:r>
        <w:t xml:space="preserve">in the operation of the alleged </w:t>
      </w:r>
      <w:r w:rsidR="09368F9A">
        <w:t>un</w:t>
      </w:r>
      <w:r>
        <w:t>written measure over time."</w:t>
      </w:r>
      <w:r w:rsidR="0025782E">
        <w:rPr>
          <w:rStyle w:val="FootnoteReference"/>
        </w:rPr>
        <w:footnoteReference w:id="39"/>
      </w:r>
      <w:r>
        <w:t xml:space="preserve"> </w:t>
      </w:r>
    </w:p>
    <w:p w14:paraId="6FE0DC65" w14:textId="389D6B6B" w:rsidR="00F15690" w:rsidRDefault="00B234C5" w:rsidP="15D066C9">
      <w:pPr>
        <w:pStyle w:val="P1-N1Paragraph1-Number1"/>
      </w:pPr>
      <w:r>
        <w:t xml:space="preserve">Of course, </w:t>
      </w:r>
      <w:r w:rsidR="5639E39F">
        <w:t xml:space="preserve">panels </w:t>
      </w:r>
      <w:r>
        <w:t>may</w:t>
      </w:r>
      <w:r w:rsidR="00AB42C4">
        <w:t xml:space="preserve"> </w:t>
      </w:r>
      <w:r w:rsidR="5639E39F">
        <w:t>look to past decisions for guidance.</w:t>
      </w:r>
      <w:r w:rsidR="0D1DACCA">
        <w:t xml:space="preserve"> </w:t>
      </w:r>
      <w:r w:rsidR="0DD950EA">
        <w:t>In th</w:t>
      </w:r>
      <w:r w:rsidR="080BFFDD">
        <w:t>at</w:t>
      </w:r>
      <w:r w:rsidR="0DD950EA">
        <w:t xml:space="preserve"> regard</w:t>
      </w:r>
      <w:r w:rsidR="5639E39F">
        <w:t xml:space="preserve">, previous panels have </w:t>
      </w:r>
      <w:r w:rsidR="0DD950EA">
        <w:t xml:space="preserve">repeatedly </w:t>
      </w:r>
      <w:r w:rsidR="5639E39F">
        <w:t>engaged</w:t>
      </w:r>
      <w:r w:rsidR="0D1DACCA">
        <w:t xml:space="preserve"> </w:t>
      </w:r>
      <w:r w:rsidR="5639E39F">
        <w:t>helpful</w:t>
      </w:r>
      <w:r w:rsidR="7D63481D">
        <w:t xml:space="preserve"> analytical </w:t>
      </w:r>
      <w:r w:rsidR="5639E39F">
        <w:t>"</w:t>
      </w:r>
      <w:r w:rsidR="10F7A51A">
        <w:t>devices</w:t>
      </w:r>
      <w:r w:rsidR="5639E39F">
        <w:t>",</w:t>
      </w:r>
      <w:r w:rsidR="00512F2D">
        <w:rPr>
          <w:rStyle w:val="FootnoteReference"/>
        </w:rPr>
        <w:footnoteReference w:id="40"/>
      </w:r>
      <w:r w:rsidR="43088CAC">
        <w:t xml:space="preserve"> to </w:t>
      </w:r>
      <w:r w:rsidR="0DD950EA">
        <w:t xml:space="preserve">establish </w:t>
      </w:r>
      <w:r w:rsidR="43088CAC">
        <w:t>t</w:t>
      </w:r>
      <w:r w:rsidR="66DB7F83">
        <w:t xml:space="preserve">he existence of </w:t>
      </w:r>
      <w:r w:rsidR="7057DA0A">
        <w:t xml:space="preserve">certain </w:t>
      </w:r>
      <w:r w:rsidR="0DD950EA">
        <w:t xml:space="preserve">types of </w:t>
      </w:r>
      <w:r w:rsidR="66DB7F83">
        <w:t>measure</w:t>
      </w:r>
      <w:r w:rsidR="7057DA0A">
        <w:t>s</w:t>
      </w:r>
      <w:r w:rsidR="24AC977D">
        <w:t>.</w:t>
      </w:r>
      <w:r w:rsidR="00CD593A">
        <w:rPr>
          <w:rStyle w:val="FootnoteReference"/>
        </w:rPr>
        <w:footnoteReference w:id="41"/>
      </w:r>
      <w:r w:rsidR="24AC977D">
        <w:t xml:space="preserve"> </w:t>
      </w:r>
      <w:r w:rsidR="56E4819A">
        <w:t>Such tools</w:t>
      </w:r>
      <w:r w:rsidR="09368F9A">
        <w:t xml:space="preserve"> set out defined</w:t>
      </w:r>
      <w:r w:rsidR="7057DA0A">
        <w:t xml:space="preserve"> and</w:t>
      </w:r>
      <w:r w:rsidR="1C37DB59">
        <w:t>,</w:t>
      </w:r>
      <w:r w:rsidR="7057DA0A">
        <w:t xml:space="preserve"> in some instances, well-established</w:t>
      </w:r>
      <w:r w:rsidR="09368F9A">
        <w:t xml:space="preserve"> pathway</w:t>
      </w:r>
      <w:r w:rsidR="58B68CE5">
        <w:t>s</w:t>
      </w:r>
      <w:r w:rsidR="09368F9A">
        <w:t xml:space="preserve"> </w:t>
      </w:r>
      <w:r w:rsidR="43088CAC">
        <w:t>which will "normally"</w:t>
      </w:r>
      <w:r w:rsidR="00A227C1">
        <w:rPr>
          <w:rStyle w:val="FootnoteReference"/>
        </w:rPr>
        <w:footnoteReference w:id="42"/>
      </w:r>
      <w:r w:rsidR="09368F9A">
        <w:t xml:space="preserve"> </w:t>
      </w:r>
      <w:r w:rsidR="5639E39F">
        <w:t xml:space="preserve">be sufficient to </w:t>
      </w:r>
      <w:r w:rsidR="09368F9A">
        <w:t xml:space="preserve">prove </w:t>
      </w:r>
      <w:r w:rsidR="43088CAC">
        <w:t xml:space="preserve">the relevant </w:t>
      </w:r>
      <w:r w:rsidR="09368F9A">
        <w:t xml:space="preserve">characteristics </w:t>
      </w:r>
      <w:r w:rsidR="00314ECB">
        <w:t xml:space="preserve">of the measure </w:t>
      </w:r>
      <w:r w:rsidR="0DD950EA">
        <w:t>in question</w:t>
      </w:r>
      <w:r w:rsidR="09368F9A">
        <w:t xml:space="preserve">. </w:t>
      </w:r>
      <w:r w:rsidR="0D1DACCA">
        <w:t xml:space="preserve">Such </w:t>
      </w:r>
      <w:r w:rsidR="43088CAC">
        <w:t xml:space="preserve">analytical </w:t>
      </w:r>
      <w:r w:rsidR="0D1DACCA">
        <w:t xml:space="preserve">devices </w:t>
      </w:r>
      <w:r w:rsidR="0D1DACCA" w:rsidRPr="00A94406">
        <w:t>may</w:t>
      </w:r>
      <w:r w:rsidR="0D1DACCA" w:rsidRPr="15D066C9">
        <w:rPr>
          <w:i/>
          <w:iCs/>
        </w:rPr>
        <w:t xml:space="preserve"> </w:t>
      </w:r>
      <w:r w:rsidR="0D1DACCA">
        <w:t xml:space="preserve">be applied where a panel deems </w:t>
      </w:r>
      <w:r w:rsidR="00661D84">
        <w:t>it useful to do so</w:t>
      </w:r>
      <w:r w:rsidR="0D1DACCA">
        <w:t xml:space="preserve">, and </w:t>
      </w:r>
      <w:r w:rsidR="009F5B6C">
        <w:t xml:space="preserve">when the device relates to </w:t>
      </w:r>
      <w:r w:rsidR="0D1DACCA">
        <w:t xml:space="preserve">the nature of the challenged measure. </w:t>
      </w:r>
      <w:r w:rsidR="0DD950EA">
        <w:t xml:space="preserve">But </w:t>
      </w:r>
      <w:r w:rsidR="0025637F">
        <w:t xml:space="preserve">use of such devices </w:t>
      </w:r>
      <w:r w:rsidR="004C6EF9">
        <w:t xml:space="preserve">is </w:t>
      </w:r>
      <w:r w:rsidR="0DD950EA">
        <w:t xml:space="preserve">not </w:t>
      </w:r>
      <w:r w:rsidR="0E257AF7">
        <w:t>mandatory</w:t>
      </w:r>
      <w:r w:rsidR="0DD950EA">
        <w:t>, and</w:t>
      </w:r>
      <w:r w:rsidR="09368F9A">
        <w:t xml:space="preserve"> they do not supplant the fundamental </w:t>
      </w:r>
      <w:r w:rsidR="09368F9A">
        <w:lastRenderedPageBreak/>
        <w:t>assessment of the facts</w:t>
      </w:r>
      <w:r w:rsidR="4A4A583D">
        <w:t xml:space="preserve"> that</w:t>
      </w:r>
      <w:r w:rsidR="09368F9A">
        <w:t xml:space="preserve"> </w:t>
      </w:r>
      <w:r w:rsidR="4A4A583D">
        <w:t xml:space="preserve">Australia </w:t>
      </w:r>
      <w:r w:rsidR="09368F9A">
        <w:t>describe</w:t>
      </w:r>
      <w:r w:rsidR="4A4A583D">
        <w:t>s</w:t>
      </w:r>
      <w:r w:rsidR="09368F9A">
        <w:t xml:space="preserve"> above. They are tools which may assist – but which do not dictate – </w:t>
      </w:r>
      <w:r w:rsidR="0027288F">
        <w:t>a p</w:t>
      </w:r>
      <w:r w:rsidR="09368F9A">
        <w:t>anel's enquiry</w:t>
      </w:r>
      <w:r w:rsidR="5639E39F">
        <w:t xml:space="preserve"> as to the characteristics to be proven</w:t>
      </w:r>
      <w:r w:rsidR="080BFFDD">
        <w:t xml:space="preserve">. </w:t>
      </w:r>
    </w:p>
    <w:p w14:paraId="369879F2" w14:textId="7E01B2D7" w:rsidR="00501FB8" w:rsidRPr="0078223E" w:rsidRDefault="5639E39F" w:rsidP="00CD593A">
      <w:pPr>
        <w:pStyle w:val="P1-N1Paragraph1-Number1"/>
      </w:pPr>
      <w:r>
        <w:t xml:space="preserve">Importantly, this means that </w:t>
      </w:r>
      <w:r w:rsidR="29EBF789">
        <w:t xml:space="preserve">any consistent </w:t>
      </w:r>
      <w:r w:rsidR="004800F3">
        <w:t>use</w:t>
      </w:r>
      <w:r w:rsidR="00AF77BB">
        <w:t xml:space="preserve"> of</w:t>
      </w:r>
      <w:r w:rsidR="43088CAC">
        <w:t xml:space="preserve"> such </w:t>
      </w:r>
      <w:r w:rsidR="3D069CCA">
        <w:t xml:space="preserve">analytical devices </w:t>
      </w:r>
      <w:r w:rsidR="09368F9A">
        <w:t xml:space="preserve">should not be interpretated as </w:t>
      </w:r>
      <w:r w:rsidR="00F34010">
        <w:t xml:space="preserve">a requirement to continue using </w:t>
      </w:r>
      <w:r w:rsidR="69AF1599">
        <w:t>a similar process</w:t>
      </w:r>
      <w:r w:rsidR="43088CAC">
        <w:t xml:space="preserve"> </w:t>
      </w:r>
      <w:r w:rsidR="00DE6ECA">
        <w:t>to</w:t>
      </w:r>
      <w:r w:rsidR="4A4A583D">
        <w:t xml:space="preserve"> prove </w:t>
      </w:r>
      <w:r w:rsidR="43088CAC" w:rsidRPr="15D066C9">
        <w:rPr>
          <w:i/>
          <w:iCs/>
        </w:rPr>
        <w:t xml:space="preserve">any </w:t>
      </w:r>
      <w:r w:rsidR="00463AFF">
        <w:t xml:space="preserve">particular </w:t>
      </w:r>
      <w:r w:rsidR="09368F9A">
        <w:t>characteristics of a measure</w:t>
      </w:r>
      <w:r>
        <w:t>.</w:t>
      </w:r>
      <w:r w:rsidR="00463AFF" w:rsidDel="00463AFF">
        <w:t xml:space="preserve"> </w:t>
      </w:r>
      <w:r w:rsidR="43088CAC">
        <w:t>The</w:t>
      </w:r>
      <w:r w:rsidR="6B015252">
        <w:t xml:space="preserve"> Panel must look to the characterisation of the measure itself </w:t>
      </w:r>
      <w:r w:rsidR="6B015252" w:rsidRPr="0078223E">
        <w:t xml:space="preserve">in order to assess whether the </w:t>
      </w:r>
      <w:r w:rsidR="0DD950EA" w:rsidRPr="0078223E">
        <w:t>consideration of any</w:t>
      </w:r>
      <w:r w:rsidR="6B015252" w:rsidRPr="0078223E">
        <w:t xml:space="preserve"> heuristic device</w:t>
      </w:r>
      <w:r w:rsidR="3D069CCA" w:rsidRPr="0078223E">
        <w:t xml:space="preserve"> is useful and relevant.</w:t>
      </w:r>
    </w:p>
    <w:p w14:paraId="0515A085" w14:textId="337556DB" w:rsidR="00F15690" w:rsidRDefault="005E1FAC" w:rsidP="0078223E">
      <w:pPr>
        <w:pStyle w:val="P1-N1Paragraph1-Number1"/>
      </w:pPr>
      <w:r w:rsidRPr="0078223E">
        <w:t>T</w:t>
      </w:r>
      <w:r w:rsidR="3D069CCA" w:rsidRPr="0078223E">
        <w:t xml:space="preserve">here are </w:t>
      </w:r>
      <w:r w:rsidR="00E76FD0" w:rsidRPr="0078223E">
        <w:t xml:space="preserve">simply no </w:t>
      </w:r>
      <w:r w:rsidR="00494F9A" w:rsidRPr="0078223E">
        <w:t xml:space="preserve">uniform </w:t>
      </w:r>
      <w:r w:rsidR="3D069CCA" w:rsidRPr="0078223E">
        <w:t xml:space="preserve">requirements which </w:t>
      </w:r>
      <w:r w:rsidR="000F0E14" w:rsidRPr="0078223E">
        <w:t xml:space="preserve">a claimant must necessarily satisfy </w:t>
      </w:r>
      <w:r w:rsidR="3D069CCA" w:rsidRPr="0078223E">
        <w:t xml:space="preserve">to prove the existence of an </w:t>
      </w:r>
      <w:r w:rsidR="3D069CCA" w:rsidRPr="0078223E">
        <w:rPr>
          <w:i/>
          <w:iCs/>
        </w:rPr>
        <w:t xml:space="preserve">unwritten </w:t>
      </w:r>
      <w:r w:rsidR="3D069CCA" w:rsidRPr="0012704C">
        <w:t>measure</w:t>
      </w:r>
      <w:r w:rsidR="3D069CCA" w:rsidRPr="0078223E">
        <w:t>.</w:t>
      </w:r>
      <w:r w:rsidR="00F15690" w:rsidRPr="0078223E">
        <w:rPr>
          <w:rStyle w:val="FootnoteReference"/>
        </w:rPr>
        <w:footnoteReference w:id="43"/>
      </w:r>
      <w:r w:rsidR="2847EF85" w:rsidRPr="0078223E">
        <w:t xml:space="preserve"> </w:t>
      </w:r>
      <w:r w:rsidR="005C6108">
        <w:t>As the Appellate Body has stated,</w:t>
      </w:r>
      <w:r w:rsidR="0078223E">
        <w:t xml:space="preserve"> "the elements a panel needs to review in </w:t>
      </w:r>
      <w:r w:rsidR="0078223E" w:rsidRPr="00DE3D0F">
        <w:t>ascertaining the existence of an unwritten measure</w:t>
      </w:r>
      <w:r w:rsidR="0078223E" w:rsidRPr="0012704C">
        <w:rPr>
          <w:b/>
          <w:bCs/>
          <w:i/>
          <w:iCs/>
        </w:rPr>
        <w:t xml:space="preserve"> </w:t>
      </w:r>
      <w:r w:rsidR="0078223E">
        <w:t>will depend on the specific measure challenged and how it is described and characterized by the complainant […]"</w:t>
      </w:r>
      <w:r w:rsidR="0078223E">
        <w:rPr>
          <w:rStyle w:val="FootnoteReference"/>
        </w:rPr>
        <w:footnoteReference w:id="44"/>
      </w:r>
    </w:p>
    <w:p w14:paraId="498AED69" w14:textId="0E25A43C" w:rsidR="0021517C" w:rsidRDefault="49F9CA3E" w:rsidP="0095646A">
      <w:pPr>
        <w:pStyle w:val="P1-N1Paragraph1-Number1"/>
      </w:pPr>
      <w:r>
        <w:t xml:space="preserve">Finally, Australia observes that the European Union </w:t>
      </w:r>
      <w:r w:rsidR="59F57748">
        <w:t xml:space="preserve">makes submissions on the </w:t>
      </w:r>
      <w:r w:rsidR="080BFFDD">
        <w:t xml:space="preserve">characteristics of the </w:t>
      </w:r>
      <w:r w:rsidR="59F57748">
        <w:t>"general" and "prospective" nature of the overarching measure.</w:t>
      </w:r>
      <w:r w:rsidR="00EB5E54">
        <w:rPr>
          <w:rStyle w:val="FootnoteReference"/>
        </w:rPr>
        <w:footnoteReference w:id="45"/>
      </w:r>
      <w:r w:rsidR="59F57748">
        <w:t xml:space="preserve"> China argues that the </w:t>
      </w:r>
      <w:r w:rsidR="445D34B4">
        <w:t xml:space="preserve">European Union's evidence with respect to the </w:t>
      </w:r>
      <w:r w:rsidR="59F57748">
        <w:t>overarching measure does not satisfy these criteria</w:t>
      </w:r>
      <w:r w:rsidR="445D34B4">
        <w:t>.</w:t>
      </w:r>
      <w:r w:rsidR="0095646A">
        <w:rPr>
          <w:rStyle w:val="FootnoteReference"/>
        </w:rPr>
        <w:footnoteReference w:id="46"/>
      </w:r>
      <w:r w:rsidR="445D34B4">
        <w:t xml:space="preserve"> </w:t>
      </w:r>
      <w:r w:rsidR="59F57748">
        <w:t xml:space="preserve">Consistent with Australia's submissions above, prior disputes are </w:t>
      </w:r>
      <w:r w:rsidR="59F57748" w:rsidRPr="00614F11">
        <w:t>illustrative,</w:t>
      </w:r>
      <w:r w:rsidR="59F57748">
        <w:t xml:space="preserve"> but not determinative, in setting out the means through which a complainant may prove </w:t>
      </w:r>
      <w:r w:rsidR="00EA7BAD">
        <w:t>the characteristics of a measure</w:t>
      </w:r>
      <w:r w:rsidR="59F57748">
        <w:t xml:space="preserve">. </w:t>
      </w:r>
      <w:r w:rsidR="3D7685E2">
        <w:t xml:space="preserve">The Appellate Body confirmed this approach in </w:t>
      </w:r>
      <w:r w:rsidR="3D7685E2" w:rsidRPr="15D066C9">
        <w:rPr>
          <w:i/>
          <w:iCs/>
        </w:rPr>
        <w:t>US – Anti-Dumping Methodologies (China)</w:t>
      </w:r>
      <w:r w:rsidR="3D7685E2">
        <w:t xml:space="preserve">. </w:t>
      </w:r>
      <w:r w:rsidR="00EA7BAD">
        <w:t xml:space="preserve">After considering </w:t>
      </w:r>
      <w:r w:rsidR="3D7685E2">
        <w:t xml:space="preserve">previous treatment of the terms "general and prospective" application, it </w:t>
      </w:r>
      <w:r w:rsidR="00EA7BAD">
        <w:t>stated</w:t>
      </w:r>
      <w:r w:rsidR="3D7685E2">
        <w:t xml:space="preserve">: </w:t>
      </w:r>
    </w:p>
    <w:p w14:paraId="271788CF" w14:textId="5FD5F3DC" w:rsidR="0021517C" w:rsidRDefault="0021517C" w:rsidP="009D65BD">
      <w:pPr>
        <w:pStyle w:val="QQuotation"/>
      </w:pPr>
      <w:r>
        <w:t>The examination of whether a rule or norm has general and prospective application may vary from case to case. We do not exclude that additional factors may be relevant in this assessment depending on the particular facts and specific circumstances of the case at hand.</w:t>
      </w:r>
      <w:r w:rsidR="00613CFE">
        <w:rPr>
          <w:rStyle w:val="FootnoteReference"/>
        </w:rPr>
        <w:footnoteReference w:id="47"/>
      </w:r>
      <w:r w:rsidR="0095646A">
        <w:t xml:space="preserve"> </w:t>
      </w:r>
    </w:p>
    <w:p w14:paraId="75390B2E" w14:textId="6A757E1E" w:rsidR="007F74E7" w:rsidRDefault="59F57748" w:rsidP="0095646A">
      <w:pPr>
        <w:pStyle w:val="P1-N1Paragraph1-Number1"/>
      </w:pPr>
      <w:r>
        <w:t xml:space="preserve">In any event, </w:t>
      </w:r>
      <w:r w:rsidR="65409CBE">
        <w:t xml:space="preserve">the Panel should carefully assess </w:t>
      </w:r>
      <w:r>
        <w:t>China's submissions on th</w:t>
      </w:r>
      <w:r w:rsidR="3961A6A1">
        <w:t xml:space="preserve">e </w:t>
      </w:r>
      <w:r w:rsidR="00203329">
        <w:t>meaning of these terms</w:t>
      </w:r>
      <w:r w:rsidR="3961A6A1">
        <w:t xml:space="preserve">. With respect to "general application", </w:t>
      </w:r>
      <w:r w:rsidR="6E306F4B">
        <w:t>the Appellate Body</w:t>
      </w:r>
      <w:r w:rsidR="3D7685E2">
        <w:t xml:space="preserve"> </w:t>
      </w:r>
      <w:r w:rsidR="1F90CD90">
        <w:t xml:space="preserve">has </w:t>
      </w:r>
      <w:r w:rsidR="6E306F4B">
        <w:t>suggested</w:t>
      </w:r>
      <w:r w:rsidR="3D7685E2">
        <w:t xml:space="preserve"> </w:t>
      </w:r>
      <w:r w:rsidR="3961A6A1" w:rsidRPr="007053F3">
        <w:t xml:space="preserve">"that a rule or norm has </w:t>
      </w:r>
      <w:r w:rsidR="3961A6A1">
        <w:t>'</w:t>
      </w:r>
      <w:r w:rsidR="3961A6A1" w:rsidRPr="007053F3">
        <w:t>general application</w:t>
      </w:r>
      <w:r w:rsidR="3961A6A1">
        <w:t>'</w:t>
      </w:r>
      <w:r w:rsidR="3961A6A1" w:rsidRPr="007053F3">
        <w:t xml:space="preserve"> to the extent that it affects an unidentified number of economic operators".</w:t>
      </w:r>
      <w:r w:rsidR="007053F3" w:rsidRPr="007053F3">
        <w:rPr>
          <w:vertAlign w:val="superscript"/>
        </w:rPr>
        <w:footnoteReference w:id="48"/>
      </w:r>
      <w:r w:rsidR="3961A6A1" w:rsidRPr="007053F3">
        <w:t xml:space="preserve"> </w:t>
      </w:r>
      <w:r w:rsidR="477A1835">
        <w:t xml:space="preserve">Australia considers </w:t>
      </w:r>
      <w:r w:rsidR="477A1835" w:rsidRPr="00FA7350">
        <w:t xml:space="preserve">that this principle </w:t>
      </w:r>
      <w:r w:rsidR="00FA7350" w:rsidRPr="0012704C">
        <w:t>is</w:t>
      </w:r>
      <w:r w:rsidR="0D8773CD" w:rsidRPr="00FA7350">
        <w:t xml:space="preserve"> more helpful than China's </w:t>
      </w:r>
      <w:r w:rsidR="0D8773CD" w:rsidRPr="00FA7350">
        <w:lastRenderedPageBreak/>
        <w:t>reference to "a measure</w:t>
      </w:r>
      <w:r w:rsidR="00135D90">
        <w:t xml:space="preserve"> […]</w:t>
      </w:r>
      <w:r w:rsidR="0D8773CD" w:rsidRPr="00FA7350">
        <w:t xml:space="preserve"> 'addressed to a </w:t>
      </w:r>
      <w:r w:rsidR="0D8773CD" w:rsidRPr="0012704C">
        <w:rPr>
          <w:i/>
          <w:iCs/>
        </w:rPr>
        <w:t>specific compan</w:t>
      </w:r>
      <w:r w:rsidR="0D8773CD" w:rsidRPr="00FA7350">
        <w:t xml:space="preserve">y or </w:t>
      </w:r>
      <w:r w:rsidR="0D8773CD" w:rsidRPr="0012704C">
        <w:rPr>
          <w:i/>
          <w:iCs/>
        </w:rPr>
        <w:t>applied to a specific shipment</w:t>
      </w:r>
      <w:r w:rsidR="0D8773CD" w:rsidRPr="00FA7350">
        <w:t>'",</w:t>
      </w:r>
      <w:r w:rsidR="00AD430D" w:rsidRPr="00FA7350">
        <w:rPr>
          <w:rStyle w:val="FootnoteReference"/>
        </w:rPr>
        <w:footnoteReference w:id="49"/>
      </w:r>
      <w:r w:rsidR="0D8773CD" w:rsidRPr="00FA7350">
        <w:t xml:space="preserve"> in this context</w:t>
      </w:r>
      <w:r w:rsidR="477A1835" w:rsidRPr="00FA7350">
        <w:t>.</w:t>
      </w:r>
      <w:r w:rsidR="6E306F4B" w:rsidRPr="00FA7350">
        <w:t xml:space="preserve"> </w:t>
      </w:r>
      <w:r w:rsidR="00203329">
        <w:t>The</w:t>
      </w:r>
      <w:r w:rsidR="00140FCB" w:rsidRPr="0012704C">
        <w:t xml:space="preserve"> </w:t>
      </w:r>
      <w:r w:rsidR="00135D90">
        <w:t xml:space="preserve">provision of </w:t>
      </w:r>
      <w:r w:rsidR="6E306F4B" w:rsidRPr="00FA7350">
        <w:t>illustrative examples</w:t>
      </w:r>
      <w:r w:rsidR="007C55B9">
        <w:t>,</w:t>
      </w:r>
      <w:r w:rsidR="6E306F4B" w:rsidRPr="00FA7350">
        <w:t xml:space="preserve"> </w:t>
      </w:r>
      <w:r w:rsidR="00FA7350" w:rsidRPr="0012704C">
        <w:t>which "demonstrate"</w:t>
      </w:r>
      <w:r w:rsidR="00FA7350" w:rsidRPr="0012704C">
        <w:rPr>
          <w:rStyle w:val="FootnoteReference"/>
        </w:rPr>
        <w:footnoteReference w:id="50"/>
      </w:r>
      <w:r w:rsidR="00FA7350" w:rsidRPr="0012704C">
        <w:t xml:space="preserve"> the existence of the overarching measure, </w:t>
      </w:r>
      <w:r w:rsidR="00203329">
        <w:t xml:space="preserve">does not </w:t>
      </w:r>
      <w:r w:rsidR="00140FCB" w:rsidRPr="00FA7350">
        <w:t xml:space="preserve">mean that the effect of the </w:t>
      </w:r>
      <w:r w:rsidR="00FA7350" w:rsidRPr="00FA7350">
        <w:t xml:space="preserve">overarching </w:t>
      </w:r>
      <w:r w:rsidR="00140FCB" w:rsidRPr="00FA7350">
        <w:t>measure was limited to those cases</w:t>
      </w:r>
      <w:r w:rsidR="00203329">
        <w:t>, in Australia's view.</w:t>
      </w:r>
    </w:p>
    <w:p w14:paraId="6541533E" w14:textId="1BEEE33F" w:rsidR="00AE6A21" w:rsidRDefault="6E306F4B" w:rsidP="00AE6A21">
      <w:pPr>
        <w:pStyle w:val="P1-N1Paragraph1-Number1"/>
      </w:pPr>
      <w:r>
        <w:t xml:space="preserve">With respect to </w:t>
      </w:r>
      <w:r w:rsidR="09F51F20">
        <w:t xml:space="preserve">a measure's </w:t>
      </w:r>
      <w:r>
        <w:t>"prospective application"</w:t>
      </w:r>
      <w:r w:rsidR="09F51F20">
        <w:t>,</w:t>
      </w:r>
      <w:r>
        <w:t xml:space="preserve"> a </w:t>
      </w:r>
      <w:r w:rsidR="09F51F20">
        <w:t>"'</w:t>
      </w:r>
      <w:r>
        <w:t>rule or norm</w:t>
      </w:r>
      <w:r w:rsidR="09F51F20">
        <w:t>'</w:t>
      </w:r>
      <w:r>
        <w:t xml:space="preserve"> has prospective application to the extent that it applies in the future.</w:t>
      </w:r>
      <w:r w:rsidR="09F51F20">
        <w:t>"</w:t>
      </w:r>
      <w:r w:rsidR="00AE6A21">
        <w:rPr>
          <w:rStyle w:val="FootnoteReference"/>
        </w:rPr>
        <w:footnoteReference w:id="51"/>
      </w:r>
      <w:r>
        <w:t xml:space="preserve"> </w:t>
      </w:r>
      <w:r w:rsidR="00203329">
        <w:t xml:space="preserve">However, </w:t>
      </w:r>
      <w:r w:rsidR="20E687A3">
        <w:t>Australia reiterates</w:t>
      </w:r>
      <w:r>
        <w:t xml:space="preserve"> that there is no fixed standard </w:t>
      </w:r>
      <w:r w:rsidR="00A31AF4">
        <w:t xml:space="preserve">or approach </w:t>
      </w:r>
      <w:r>
        <w:t xml:space="preserve">which </w:t>
      </w:r>
      <w:r w:rsidR="4E9EDDC7">
        <w:t xml:space="preserve">must </w:t>
      </w:r>
      <w:r>
        <w:t xml:space="preserve">be satisfied in order </w:t>
      </w:r>
      <w:r w:rsidR="42E0CB0D">
        <w:t xml:space="preserve">to </w:t>
      </w:r>
      <w:r>
        <w:t>establish the prospective application of a measure.</w:t>
      </w:r>
      <w:r w:rsidR="00400611">
        <w:rPr>
          <w:rStyle w:val="FootnoteReference"/>
        </w:rPr>
        <w:footnoteReference w:id="52"/>
      </w:r>
      <w:r>
        <w:t xml:space="preserve"> </w:t>
      </w:r>
    </w:p>
    <w:p w14:paraId="0F33D9D8" w14:textId="361D3E46" w:rsidR="00AE6A21" w:rsidRDefault="6E306F4B" w:rsidP="00A451F3">
      <w:pPr>
        <w:pStyle w:val="P1-N1Paragraph1-Number1"/>
      </w:pPr>
      <w:r>
        <w:t>China</w:t>
      </w:r>
      <w:r w:rsidR="00203329">
        <w:t xml:space="preserve"> submits</w:t>
      </w:r>
      <w:r>
        <w:t xml:space="preserve"> that the prospective application of a measure "cannot be made absent </w:t>
      </w:r>
      <w:r w:rsidRPr="00A94406">
        <w:t xml:space="preserve">robust proof </w:t>
      </w:r>
      <w:r w:rsidRPr="0027288F">
        <w:t xml:space="preserve">that the measure </w:t>
      </w:r>
      <w:r w:rsidRPr="00A94406">
        <w:t>actually</w:t>
      </w:r>
      <w:r>
        <w:t xml:space="preserve"> will be applied in the future</w:t>
      </w:r>
      <w:r w:rsidR="00203329">
        <w:t>.</w:t>
      </w:r>
      <w:r w:rsidR="63BD9186">
        <w:t>"</w:t>
      </w:r>
      <w:r w:rsidR="00AE6A21">
        <w:rPr>
          <w:rStyle w:val="FootnoteReference"/>
        </w:rPr>
        <w:footnoteReference w:id="53"/>
      </w:r>
      <w:r w:rsidR="00203329">
        <w:t xml:space="preserve"> This</w:t>
      </w:r>
      <w:r>
        <w:t xml:space="preserve"> is inconsistent with the Appellate Body</w:t>
      </w:r>
      <w:r w:rsidR="63BD9186">
        <w:t>'</w:t>
      </w:r>
      <w:r>
        <w:t xml:space="preserve">s interpretation of the level of 'certainty' of prospective application that is required. In </w:t>
      </w:r>
      <w:r w:rsidRPr="15D066C9">
        <w:rPr>
          <w:i/>
          <w:iCs/>
        </w:rPr>
        <w:t>US– Anti-Dumping Methodologies (China)</w:t>
      </w:r>
      <w:r>
        <w:t xml:space="preserve">, the Appellate Body </w:t>
      </w:r>
      <w:r w:rsidR="00135D90">
        <w:t xml:space="preserve">stated </w:t>
      </w:r>
      <w:r>
        <w:t xml:space="preserve">that </w:t>
      </w:r>
      <w:r w:rsidR="00135D90">
        <w:t>"[</w:t>
      </w:r>
      <w:r>
        <w:t>a</w:t>
      </w:r>
      <w:r w:rsidR="00135D90">
        <w:t>]</w:t>
      </w:r>
      <w:r>
        <w:t xml:space="preserve"> complainant would not be able to show 'certainty' of future application, because any measure, including rules or norms, written or unwritten, may be modified or withdrawn in the future."</w:t>
      </w:r>
      <w:r w:rsidR="00AE6A21">
        <w:rPr>
          <w:rStyle w:val="FootnoteReference"/>
        </w:rPr>
        <w:footnoteReference w:id="54"/>
      </w:r>
      <w:r>
        <w:t xml:space="preserve"> </w:t>
      </w:r>
      <w:r w:rsidR="12D0F0AD">
        <w:t xml:space="preserve">Australia submits that the standard China </w:t>
      </w:r>
      <w:r w:rsidR="779AF03C">
        <w:t xml:space="preserve">appears to propose </w:t>
      </w:r>
      <w:r w:rsidR="2BFD27C6">
        <w:t xml:space="preserve">- </w:t>
      </w:r>
      <w:r w:rsidR="779AF03C">
        <w:t>of "robust proof" of "actual" future application</w:t>
      </w:r>
      <w:r w:rsidR="2BFD27C6">
        <w:t xml:space="preserve"> -</w:t>
      </w:r>
      <w:r w:rsidR="1EB8B8AD">
        <w:t xml:space="preserve"> </w:t>
      </w:r>
      <w:r w:rsidR="779AF03C">
        <w:t>is by</w:t>
      </w:r>
      <w:r w:rsidR="1EB8B8AD">
        <w:t xml:space="preserve"> its very nature, impossible to satisfy</w:t>
      </w:r>
      <w:r w:rsidR="779AF03C">
        <w:t>.</w:t>
      </w:r>
    </w:p>
    <w:p w14:paraId="525096AD" w14:textId="1B9E15B9" w:rsidR="00092936" w:rsidRDefault="009568A8" w:rsidP="00AB5B95">
      <w:pPr>
        <w:pStyle w:val="HL1HeadingLevel1"/>
      </w:pPr>
      <w:bookmarkStart w:id="13" w:name="_Toc150441695"/>
      <w:r>
        <w:t>Evidentiary considerations</w:t>
      </w:r>
      <w:bookmarkEnd w:id="13"/>
      <w:r>
        <w:t xml:space="preserve"> </w:t>
      </w:r>
    </w:p>
    <w:p w14:paraId="70AF5047" w14:textId="7B83D184" w:rsidR="00205299" w:rsidRDefault="00180A97" w:rsidP="00205299">
      <w:pPr>
        <w:pStyle w:val="HL2HeadingLevel2"/>
      </w:pPr>
      <w:bookmarkStart w:id="14" w:name="_Toc150441696"/>
      <w:r>
        <w:t xml:space="preserve">A </w:t>
      </w:r>
      <w:r w:rsidR="008B3A0F">
        <w:t>panel</w:t>
      </w:r>
      <w:r w:rsidR="00D13872">
        <w:t xml:space="preserve"> </w:t>
      </w:r>
      <w:r w:rsidR="001535E0">
        <w:t xml:space="preserve">must </w:t>
      </w:r>
      <w:r w:rsidR="003925A5">
        <w:t xml:space="preserve">assess </w:t>
      </w:r>
      <w:r w:rsidR="001535E0">
        <w:t>the evidence "in totality"</w:t>
      </w:r>
      <w:bookmarkEnd w:id="14"/>
    </w:p>
    <w:p w14:paraId="6B187F67" w14:textId="7CD1CFB6" w:rsidR="006E3B6C" w:rsidRDefault="66221B2F" w:rsidP="0012704C">
      <w:pPr>
        <w:pStyle w:val="P1-N1Paragraph1-Number1"/>
      </w:pPr>
      <w:r>
        <w:t>Australia t</w:t>
      </w:r>
      <w:r w:rsidR="3A020846">
        <w:t>urns</w:t>
      </w:r>
      <w:r w:rsidR="5BBC8A91">
        <w:t xml:space="preserve"> now to the question of</w:t>
      </w:r>
      <w:r w:rsidR="5BBC8A91" w:rsidRPr="005F77B3">
        <w:t xml:space="preserve"> </w:t>
      </w:r>
      <w:r w:rsidR="5BBC8A91" w:rsidRPr="00A94406">
        <w:rPr>
          <w:i/>
          <w:iCs/>
        </w:rPr>
        <w:t>how</w:t>
      </w:r>
      <w:r w:rsidR="5BBC8A91" w:rsidRPr="15D066C9">
        <w:rPr>
          <w:i/>
          <w:iCs/>
        </w:rPr>
        <w:t xml:space="preserve"> </w:t>
      </w:r>
      <w:r w:rsidR="5BBC8A91">
        <w:t xml:space="preserve">to </w:t>
      </w:r>
      <w:r w:rsidR="00C62461">
        <w:t xml:space="preserve">assess </w:t>
      </w:r>
      <w:r w:rsidR="5BBC8A91">
        <w:t>the</w:t>
      </w:r>
      <w:r w:rsidR="00C62461">
        <w:t xml:space="preserve"> evidence of the</w:t>
      </w:r>
      <w:r w:rsidR="5BBC8A91">
        <w:t xml:space="preserve"> </w:t>
      </w:r>
      <w:r w:rsidR="00C62461">
        <w:t xml:space="preserve">relevant </w:t>
      </w:r>
      <w:r w:rsidR="5BBC8A91">
        <w:t>constituent elements of a measure.</w:t>
      </w:r>
      <w:r w:rsidR="06488E40">
        <w:t xml:space="preserve"> </w:t>
      </w:r>
      <w:r w:rsidR="005F77B3">
        <w:t>For the</w:t>
      </w:r>
      <w:r w:rsidR="10EFED7F">
        <w:t xml:space="preserve"> import restriction measure, China </w:t>
      </w:r>
      <w:r w:rsidR="1F877A00">
        <w:t xml:space="preserve">asserts that </w:t>
      </w:r>
      <w:r w:rsidR="10EFED7F">
        <w:t>that</w:t>
      </w:r>
      <w:r w:rsidR="005F77B3">
        <w:t xml:space="preserve"> "[n]</w:t>
      </w:r>
      <w:r w:rsidR="00C62461">
        <w:t xml:space="preserve">one of [the] categories of evidence, taken </w:t>
      </w:r>
      <w:r w:rsidR="006E3B6C">
        <w:t>individually or collectively, meets the 'high threshold' for proving the existence and precise content of the unwritten measure that the EU alleges to exist.</w:t>
      </w:r>
      <w:r w:rsidR="005F77B3">
        <w:t>"</w:t>
      </w:r>
      <w:r w:rsidR="006E3B6C">
        <w:rPr>
          <w:rStyle w:val="FootnoteReference"/>
        </w:rPr>
        <w:footnoteReference w:id="55"/>
      </w:r>
    </w:p>
    <w:p w14:paraId="4DF21655" w14:textId="6919E8C1" w:rsidR="00CF70C8" w:rsidRDefault="10EFED7F" w:rsidP="006E3B6C">
      <w:pPr>
        <w:pStyle w:val="P1-N1Paragraph1-Number1"/>
      </w:pPr>
      <w:r>
        <w:t>However,</w:t>
      </w:r>
      <w:r w:rsidR="1F877A00">
        <w:t xml:space="preserve"> </w:t>
      </w:r>
      <w:r>
        <w:t>i</w:t>
      </w:r>
      <w:r w:rsidR="1F877A00">
        <w:t xml:space="preserve">n </w:t>
      </w:r>
      <w:r w:rsidR="77528BDA">
        <w:t>seeking to establish this</w:t>
      </w:r>
      <w:r w:rsidR="1F877A00">
        <w:t xml:space="preserve"> conclusion</w:t>
      </w:r>
      <w:r w:rsidR="77528BDA">
        <w:t>,</w:t>
      </w:r>
      <w:r>
        <w:t xml:space="preserve"> and despite </w:t>
      </w:r>
      <w:r w:rsidR="005F77B3">
        <w:t>commenting</w:t>
      </w:r>
      <w:r>
        <w:t xml:space="preserve"> on the "collective" impact of the evidence,</w:t>
      </w:r>
      <w:r w:rsidR="1F877A00">
        <w:t xml:space="preserve"> China </w:t>
      </w:r>
      <w:r w:rsidR="2A1BBF63">
        <w:t xml:space="preserve">approaches </w:t>
      </w:r>
      <w:r w:rsidR="65E8A619">
        <w:t xml:space="preserve">the </w:t>
      </w:r>
      <w:r w:rsidR="2A1BBF63">
        <w:t xml:space="preserve">body </w:t>
      </w:r>
      <w:r w:rsidR="4AD55795">
        <w:t xml:space="preserve">of </w:t>
      </w:r>
      <w:r w:rsidR="65E8A619">
        <w:t>evidence</w:t>
      </w:r>
      <w:r w:rsidR="1F877A00">
        <w:t xml:space="preserve"> </w:t>
      </w:r>
      <w:r w:rsidR="2A1BBF63">
        <w:t xml:space="preserve">submitted by the </w:t>
      </w:r>
      <w:r w:rsidR="2A1BBF63">
        <w:lastRenderedPageBreak/>
        <w:t xml:space="preserve">European Union </w:t>
      </w:r>
      <w:r w:rsidR="001028C5">
        <w:t xml:space="preserve">through a series of individual </w:t>
      </w:r>
      <w:r w:rsidR="00E44D53">
        <w:t>assessments</w:t>
      </w:r>
      <w:r w:rsidR="1F877A00">
        <w:t>.</w:t>
      </w:r>
      <w:r w:rsidR="006E3B6C">
        <w:rPr>
          <w:rStyle w:val="FootnoteReference"/>
        </w:rPr>
        <w:footnoteReference w:id="56"/>
      </w:r>
      <w:r w:rsidR="61D568A8">
        <w:t xml:space="preserve"> </w:t>
      </w:r>
      <w:r w:rsidR="1C146D69">
        <w:t xml:space="preserve">China </w:t>
      </w:r>
      <w:r w:rsidR="1D071648">
        <w:t>considers each category of</w:t>
      </w:r>
      <w:r w:rsidR="1C146D69">
        <w:t xml:space="preserve"> </w:t>
      </w:r>
      <w:r w:rsidR="1D071648">
        <w:t xml:space="preserve">evidence in a </w:t>
      </w:r>
      <w:r w:rsidR="3861E98A">
        <w:t xml:space="preserve">segregated manner, and not cumulatively. </w:t>
      </w:r>
      <w:r w:rsidR="65E8A619">
        <w:t>Australia submits that</w:t>
      </w:r>
      <w:r w:rsidR="005F77B3">
        <w:t xml:space="preserve"> </w:t>
      </w:r>
      <w:r w:rsidR="65E8A619">
        <w:t xml:space="preserve">the Panel </w:t>
      </w:r>
      <w:r w:rsidR="005F77B3">
        <w:t>should take</w:t>
      </w:r>
      <w:r w:rsidR="65E8A619">
        <w:t xml:space="preserve"> a more holistic approach</w:t>
      </w:r>
      <w:r w:rsidR="005F77B3">
        <w:t xml:space="preserve"> to the evidence</w:t>
      </w:r>
      <w:r w:rsidR="65E8A619">
        <w:t>.</w:t>
      </w:r>
    </w:p>
    <w:p w14:paraId="4B5771B1" w14:textId="54B60224" w:rsidR="001535E0" w:rsidRDefault="11C69702" w:rsidP="001535E0">
      <w:pPr>
        <w:pStyle w:val="P1-N1Paragraph1-Number1"/>
      </w:pPr>
      <w:r>
        <w:t>As</w:t>
      </w:r>
      <w:r w:rsidR="1B6827B6">
        <w:t xml:space="preserve"> a starting point to this analysis, Australia </w:t>
      </w:r>
      <w:r w:rsidR="07D9ACF1">
        <w:t xml:space="preserve">recalls </w:t>
      </w:r>
      <w:r w:rsidR="1B6827B6">
        <w:t xml:space="preserve">that </w:t>
      </w:r>
      <w:r>
        <w:t>a</w:t>
      </w:r>
      <w:r w:rsidR="1B6827B6">
        <w:t xml:space="preserve"> </w:t>
      </w:r>
      <w:r>
        <w:t>p</w:t>
      </w:r>
      <w:r w:rsidR="1B6827B6">
        <w:t xml:space="preserve">anel's mandate under </w:t>
      </w:r>
      <w:r w:rsidR="1B6827B6" w:rsidRPr="00EE5739">
        <w:t>Art</w:t>
      </w:r>
      <w:r w:rsidR="1B6827B6">
        <w:t>icle</w:t>
      </w:r>
      <w:r w:rsidR="1B6827B6" w:rsidRPr="00EE5739">
        <w:t xml:space="preserve"> 11 </w:t>
      </w:r>
      <w:r w:rsidR="1B6827B6">
        <w:t>of the DSU requires it to</w:t>
      </w:r>
      <w:r w:rsidR="1B6827B6" w:rsidRPr="00EE5739">
        <w:t xml:space="preserve"> "make an objective assessment of the matter before it, including an objective assessment of the facts of the case</w:t>
      </w:r>
      <w:r w:rsidR="00B35A42">
        <w:t xml:space="preserve"> […]</w:t>
      </w:r>
      <w:r w:rsidR="1B6827B6" w:rsidRPr="00EE5739">
        <w:t>".</w:t>
      </w:r>
      <w:r w:rsidR="001535E0">
        <w:rPr>
          <w:rStyle w:val="FootnoteReference"/>
        </w:rPr>
        <w:footnoteReference w:id="57"/>
      </w:r>
      <w:r w:rsidR="1B6827B6">
        <w:t xml:space="preserve"> The Appellate Body has stated that "[i]n carrying out this mandate, a panel has the duty to examine and consider all the evidence before it […] and to evaluate the relevance and probative force of each piece thereof."</w:t>
      </w:r>
      <w:r w:rsidR="001535E0">
        <w:rPr>
          <w:rStyle w:val="FootnoteReference"/>
        </w:rPr>
        <w:footnoteReference w:id="58"/>
      </w:r>
      <w:r w:rsidR="1B6827B6">
        <w:t xml:space="preserve"> </w:t>
      </w:r>
      <w:r w:rsidR="00B35A42">
        <w:t>A</w:t>
      </w:r>
      <w:r w:rsidR="1B6827B6">
        <w:t xml:space="preserve"> panel must not wilfully dis</w:t>
      </w:r>
      <w:r w:rsidR="00B35A42">
        <w:t>tort, misrepresent or dis</w:t>
      </w:r>
      <w:r w:rsidR="1B6827B6">
        <w:t>regard evidence.</w:t>
      </w:r>
      <w:r w:rsidR="00B35A42">
        <w:rPr>
          <w:rStyle w:val="FootnoteReference"/>
        </w:rPr>
        <w:footnoteReference w:id="59"/>
      </w:r>
      <w:r w:rsidR="1B6827B6">
        <w:t xml:space="preserve"> </w:t>
      </w:r>
      <w:r w:rsidR="00341984">
        <w:t>"</w:t>
      </w:r>
      <w:r w:rsidR="1B6827B6">
        <w:t>Nor may panels make affirmative findings that lack a basis in the evidence contained in the panel record."</w:t>
      </w:r>
      <w:r w:rsidR="001535E0">
        <w:rPr>
          <w:rStyle w:val="FootnoteReference"/>
        </w:rPr>
        <w:footnoteReference w:id="60"/>
      </w:r>
      <w:r w:rsidR="1B6827B6">
        <w:t xml:space="preserve"> Within the constraints </w:t>
      </w:r>
      <w:r w:rsidR="4A1ACAAF">
        <w:t>of</w:t>
      </w:r>
      <w:r w:rsidR="1B6827B6">
        <w:t xml:space="preserve"> Article 11 of the DSU, Australia makes </w:t>
      </w:r>
      <w:r w:rsidR="5F49915D">
        <w:t>three</w:t>
      </w:r>
      <w:r w:rsidR="1B6827B6">
        <w:t xml:space="preserve"> submissions which may </w:t>
      </w:r>
      <w:r w:rsidR="65672477">
        <w:t>inform the Panel</w:t>
      </w:r>
      <w:r w:rsidR="00341984">
        <w:t>'</w:t>
      </w:r>
      <w:r w:rsidR="65672477">
        <w:t>s analysis.</w:t>
      </w:r>
    </w:p>
    <w:p w14:paraId="431A2186" w14:textId="0AE0D7B6" w:rsidR="001535E0" w:rsidRPr="0072412D" w:rsidRDefault="1B6827B6" w:rsidP="00403CA9">
      <w:pPr>
        <w:pStyle w:val="P1-N1Paragraph1-Number1"/>
        <w:rPr>
          <w:color w:val="000000" w:themeColor="text1"/>
        </w:rPr>
      </w:pPr>
      <w:r w:rsidRPr="15D066C9">
        <w:rPr>
          <w:b/>
          <w:bCs/>
          <w:i/>
          <w:iCs/>
        </w:rPr>
        <w:t>First</w:t>
      </w:r>
      <w:r w:rsidR="06488E40" w:rsidRPr="15D066C9">
        <w:rPr>
          <w:b/>
          <w:bCs/>
          <w:i/>
          <w:iCs/>
        </w:rPr>
        <w:t xml:space="preserve">: the </w:t>
      </w:r>
      <w:r w:rsidR="001D6CE1">
        <w:rPr>
          <w:b/>
          <w:bCs/>
          <w:i/>
          <w:iCs/>
        </w:rPr>
        <w:t>P</w:t>
      </w:r>
      <w:r w:rsidR="06488E40" w:rsidRPr="15D066C9">
        <w:rPr>
          <w:b/>
          <w:bCs/>
          <w:i/>
          <w:iCs/>
        </w:rPr>
        <w:t>anel should consider the evidence in totality</w:t>
      </w:r>
      <w:r w:rsidR="06488E40">
        <w:t>. As the Appellate Body has</w:t>
      </w:r>
      <w:r>
        <w:t xml:space="preserve"> stated</w:t>
      </w:r>
      <w:r w:rsidR="06488E40">
        <w:t xml:space="preserve">, </w:t>
      </w:r>
      <w:r w:rsidR="77242E72">
        <w:t>and in addition to the requirements set out at paragraph 3</w:t>
      </w:r>
      <w:r w:rsidR="00341984">
        <w:t>5</w:t>
      </w:r>
      <w:r w:rsidR="77242E72">
        <w:t xml:space="preserve"> above, </w:t>
      </w:r>
      <w:r>
        <w:t xml:space="preserve">Article 11 of the DSU also: </w:t>
      </w:r>
    </w:p>
    <w:p w14:paraId="5C84F542" w14:textId="0C59C958" w:rsidR="001535E0" w:rsidRDefault="001535E0" w:rsidP="001535E0">
      <w:pPr>
        <w:pStyle w:val="P1-N1Paragraph1-Number1"/>
        <w:numPr>
          <w:ilvl w:val="0"/>
          <w:numId w:val="0"/>
        </w:numPr>
        <w:ind w:left="720"/>
      </w:pPr>
      <w:r w:rsidRPr="001535E0">
        <w:rPr>
          <w:rStyle w:val="QQuotationChar"/>
        </w:rPr>
        <w:t xml:space="preserve">[R]equires a panel to consider evidence before it in its totality, which includes consideration of submitted evidence in relation to other evidence. </w:t>
      </w:r>
      <w:r w:rsidRPr="00EA6007">
        <w:rPr>
          <w:rStyle w:val="QQuotationChar"/>
          <w:b/>
          <w:bCs/>
          <w:i/>
          <w:iCs/>
        </w:rPr>
        <w:t>A particular piece of evidence, even if not sufficient by itself to establish an asserted fact or claim, may contribute to establishing that fact or claim when considered in conjunction with other pieces of evidence</w:t>
      </w:r>
      <w:r w:rsidRPr="001535E0">
        <w:rPr>
          <w:rStyle w:val="QQuotationChar"/>
        </w:rPr>
        <w:t>.</w:t>
      </w:r>
      <w:r>
        <w:rPr>
          <w:rStyle w:val="FootnoteReference"/>
        </w:rPr>
        <w:footnoteReference w:id="61"/>
      </w:r>
      <w:r>
        <w:t xml:space="preserve"> </w:t>
      </w:r>
    </w:p>
    <w:p w14:paraId="23C4FDC8" w14:textId="143F2080" w:rsidR="00A91D40" w:rsidRDefault="1DFCA278" w:rsidP="0078562A">
      <w:pPr>
        <w:pStyle w:val="P1-N1Paragraph1-Number1"/>
        <w:keepNext/>
        <w:rPr>
          <w:rStyle w:val="QQuotationChar"/>
        </w:rPr>
      </w:pPr>
      <w:r>
        <w:rPr>
          <w:rStyle w:val="QQuotationChar"/>
        </w:rPr>
        <w:t xml:space="preserve">The Panel in </w:t>
      </w:r>
      <w:r w:rsidRPr="15D066C9">
        <w:rPr>
          <w:rStyle w:val="QQuotationChar"/>
          <w:i/>
          <w:iCs/>
        </w:rPr>
        <w:t xml:space="preserve">Argentina – Import Measures </w:t>
      </w:r>
      <w:r>
        <w:rPr>
          <w:rStyle w:val="QQuotationChar"/>
        </w:rPr>
        <w:t>stated that such a "holistic consideration" need only encompass evidence which has "probative value".</w:t>
      </w:r>
      <w:r w:rsidR="005E5A82" w:rsidRPr="15D066C9">
        <w:rPr>
          <w:rStyle w:val="FootnoteReference"/>
          <w:sz w:val="22"/>
          <w:szCs w:val="22"/>
        </w:rPr>
        <w:footnoteReference w:id="62"/>
      </w:r>
      <w:r>
        <w:rPr>
          <w:rStyle w:val="QQuotationChar"/>
        </w:rPr>
        <w:t xml:space="preserve"> However,</w:t>
      </w:r>
      <w:r w:rsidR="3B3CBE9B">
        <w:rPr>
          <w:rStyle w:val="QQuotationChar"/>
        </w:rPr>
        <w:t xml:space="preserve"> </w:t>
      </w:r>
      <w:r w:rsidR="00341984">
        <w:t>a holistic</w:t>
      </w:r>
      <w:r w:rsidR="3B3CBE9B">
        <w:t xml:space="preserve"> </w:t>
      </w:r>
      <w:r w:rsidR="00A91D40">
        <w:t xml:space="preserve">or "global" </w:t>
      </w:r>
      <w:r w:rsidR="3B3CBE9B">
        <w:t xml:space="preserve">analysis of </w:t>
      </w:r>
      <w:r w:rsidR="3B3CBE9B">
        <w:lastRenderedPageBreak/>
        <w:t xml:space="preserve">the evidence may also </w:t>
      </w:r>
      <w:r w:rsidR="00341984">
        <w:t>inform</w:t>
      </w:r>
      <w:r w:rsidR="3B3CBE9B">
        <w:t xml:space="preserve"> the probative value </w:t>
      </w:r>
      <w:r w:rsidR="2A54CE92">
        <w:t xml:space="preserve">and weight </w:t>
      </w:r>
      <w:r w:rsidR="3B3CBE9B">
        <w:t>of each piece of evidence itself.</w:t>
      </w:r>
      <w:r w:rsidR="0053716A">
        <w:rPr>
          <w:rStyle w:val="FootnoteReference"/>
        </w:rPr>
        <w:footnoteReference w:id="63"/>
      </w:r>
      <w:r w:rsidR="3B3CBE9B">
        <w:t xml:space="preserve"> </w:t>
      </w:r>
      <w:r w:rsidR="00A91D40">
        <w:rPr>
          <w:rStyle w:val="QQuotationChar"/>
        </w:rPr>
        <w:t xml:space="preserve">So, </w:t>
      </w:r>
    </w:p>
    <w:p w14:paraId="7B2B2BC7" w14:textId="1BA5BBF0" w:rsidR="00EA6007" w:rsidRPr="00EA6007" w:rsidRDefault="00A91D40" w:rsidP="0078562A">
      <w:pPr>
        <w:pStyle w:val="QQuotation"/>
        <w:keepNext/>
      </w:pPr>
      <w:r>
        <w:rPr>
          <w:rStyle w:val="QQuotationChar"/>
        </w:rPr>
        <w:t>Even if [a] Panel were correct in assessing the value of individual pieces of evidence, and in concluding that no single piece of evidence demonstrated an asserted fact at issue, it [is] not proper for it to [foreclose] the possibility that the consideration of all of the evidence taken together might be sufficient proof of [a] fact.</w:t>
      </w:r>
      <w:r w:rsidR="001535E0">
        <w:rPr>
          <w:rStyle w:val="FootnoteReference"/>
        </w:rPr>
        <w:footnoteReference w:id="64"/>
      </w:r>
      <w:r w:rsidR="1B6827B6">
        <w:t xml:space="preserve"> </w:t>
      </w:r>
    </w:p>
    <w:p w14:paraId="4F723AAA" w14:textId="59014B85" w:rsidR="001535E0" w:rsidRPr="00FA7350" w:rsidRDefault="7F5F9E5A" w:rsidP="57A6B59E">
      <w:pPr>
        <w:pStyle w:val="P1-N1Paragraph1-Number1"/>
        <w:rPr>
          <w:sz w:val="22"/>
          <w:szCs w:val="22"/>
        </w:rPr>
      </w:pPr>
      <w:r>
        <w:t>A panel</w:t>
      </w:r>
      <w:r w:rsidR="5F49915D">
        <w:t xml:space="preserve"> must engage in a "cumulative appreciation of the evidence"</w:t>
      </w:r>
      <w:r w:rsidR="007772B0">
        <w:t>.</w:t>
      </w:r>
      <w:r w:rsidR="003925A5">
        <w:rPr>
          <w:rStyle w:val="FootnoteReference"/>
        </w:rPr>
        <w:footnoteReference w:id="65"/>
      </w:r>
      <w:r w:rsidR="5F49915D">
        <w:t xml:space="preserve"> </w:t>
      </w:r>
      <w:r w:rsidR="007772B0">
        <w:t>This requires an</w:t>
      </w:r>
      <w:r w:rsidR="5F49915D">
        <w:t xml:space="preserve"> assessment of the </w:t>
      </w:r>
      <w:r>
        <w:t xml:space="preserve">value and </w:t>
      </w:r>
      <w:r w:rsidR="5F49915D">
        <w:t xml:space="preserve">meaning of certain evidence </w:t>
      </w:r>
      <w:r w:rsidR="5F49915D" w:rsidRPr="15D066C9">
        <w:rPr>
          <w:i/>
          <w:iCs/>
        </w:rPr>
        <w:t xml:space="preserve">in the light of </w:t>
      </w:r>
      <w:r w:rsidR="5F49915D">
        <w:t>other evidence.</w:t>
      </w:r>
      <w:r w:rsidR="003925A5">
        <w:rPr>
          <w:rStyle w:val="FootnoteReference"/>
        </w:rPr>
        <w:footnoteReference w:id="66"/>
      </w:r>
      <w:r w:rsidR="5F49915D">
        <w:t xml:space="preserve"> </w:t>
      </w:r>
      <w:r w:rsidR="67E7E10B">
        <w:t>Such analysis necessarily invites a</w:t>
      </w:r>
      <w:r w:rsidR="0EA0E011">
        <w:t xml:space="preserve"> panel to consider the "</w:t>
      </w:r>
      <w:r w:rsidR="0EA0E011" w:rsidRPr="15D066C9">
        <w:rPr>
          <w:i/>
          <w:iCs/>
        </w:rPr>
        <w:t>inferences</w:t>
      </w:r>
      <w:r w:rsidR="0EA0E011">
        <w:t xml:space="preserve"> that might reasonably </w:t>
      </w:r>
      <w:r w:rsidR="61D568A8">
        <w:t>[be]</w:t>
      </w:r>
      <w:r w:rsidR="0EA0E011">
        <w:t xml:space="preserve"> drawn" </w:t>
      </w:r>
      <w:r w:rsidR="61D568A8">
        <w:t>from</w:t>
      </w:r>
      <w:r w:rsidR="0EA0E011">
        <w:t xml:space="preserve"> the totality of the evidence.</w:t>
      </w:r>
      <w:r w:rsidR="00CD5F17">
        <w:rPr>
          <w:rStyle w:val="FootnoteReference"/>
        </w:rPr>
        <w:footnoteReference w:id="67"/>
      </w:r>
      <w:r w:rsidR="0EA0E011">
        <w:t xml:space="preserve"> </w:t>
      </w:r>
      <w:r w:rsidR="00455E94">
        <w:t>D</w:t>
      </w:r>
      <w:r w:rsidR="1634E7F2">
        <w:t>epending on</w:t>
      </w:r>
      <w:r w:rsidR="3B3CBE9B">
        <w:t xml:space="preserve"> the circumstances, such a "holistic" analysis of the evidence may incorporate</w:t>
      </w:r>
      <w:r w:rsidR="5F49915D">
        <w:t xml:space="preserve"> a consideration of the </w:t>
      </w:r>
      <w:r w:rsidR="5F49915D" w:rsidRPr="00A94406">
        <w:t xml:space="preserve">temporal </w:t>
      </w:r>
      <w:r w:rsidR="007772B0" w:rsidRPr="00A94406">
        <w:t xml:space="preserve">relationship </w:t>
      </w:r>
      <w:r w:rsidR="5F49915D" w:rsidRPr="0027288F">
        <w:t xml:space="preserve">between </w:t>
      </w:r>
      <w:r w:rsidR="601AB891" w:rsidRPr="0027288F">
        <w:t xml:space="preserve">certain </w:t>
      </w:r>
      <w:r w:rsidR="007772B0" w:rsidRPr="0027288F">
        <w:t xml:space="preserve">incidents </w:t>
      </w:r>
      <w:r w:rsidR="004759DD" w:rsidRPr="0027288F">
        <w:t>set out in</w:t>
      </w:r>
      <w:r w:rsidR="007772B0" w:rsidRPr="0027288F">
        <w:t xml:space="preserve"> the </w:t>
      </w:r>
      <w:r w:rsidR="5F49915D" w:rsidRPr="0027288F">
        <w:t>evidence</w:t>
      </w:r>
      <w:r w:rsidR="003925A5" w:rsidRPr="0027288F">
        <w:rPr>
          <w:rStyle w:val="FootnoteReference"/>
        </w:rPr>
        <w:footnoteReference w:id="68"/>
      </w:r>
      <w:r w:rsidR="3B3CBE9B" w:rsidRPr="0027288F">
        <w:t xml:space="preserve"> and the </w:t>
      </w:r>
      <w:r w:rsidR="007772B0" w:rsidRPr="00A94406">
        <w:t>repetition</w:t>
      </w:r>
      <w:r w:rsidR="007772B0" w:rsidRPr="0027288F">
        <w:t xml:space="preserve"> </w:t>
      </w:r>
      <w:r w:rsidR="3B3CBE9B">
        <w:t xml:space="preserve">of </w:t>
      </w:r>
      <w:r w:rsidR="007772B0">
        <w:t>incidents</w:t>
      </w:r>
      <w:r w:rsidR="3B3CBE9B">
        <w:t>.</w:t>
      </w:r>
      <w:r w:rsidR="005423DD">
        <w:rPr>
          <w:rStyle w:val="FootnoteReference"/>
        </w:rPr>
        <w:footnoteReference w:id="69"/>
      </w:r>
      <w:r w:rsidR="76444B70">
        <w:t xml:space="preserve"> Australia submits that</w:t>
      </w:r>
      <w:r w:rsidR="0984ECE6">
        <w:t xml:space="preserve"> </w:t>
      </w:r>
      <w:r w:rsidR="76444B70">
        <w:t>it is not sufficient for a panel merely to conclude, as China argues, that "the isolated instances of technical difficulties and delay at customs are not capable of evidencing any kind of systemic</w:t>
      </w:r>
      <w:r w:rsidR="00873665">
        <w:t xml:space="preserve"> unwritten</w:t>
      </w:r>
      <w:r w:rsidR="76444B70">
        <w:t xml:space="preserve"> import restriction</w:t>
      </w:r>
      <w:r w:rsidR="00873665">
        <w:t xml:space="preserve"> […]</w:t>
      </w:r>
      <w:r w:rsidR="76444B70">
        <w:t>"</w:t>
      </w:r>
      <w:r w:rsidR="004759DD">
        <w:t>.</w:t>
      </w:r>
      <w:r w:rsidR="00873665">
        <w:rPr>
          <w:rStyle w:val="FootnoteReference"/>
        </w:rPr>
        <w:footnoteReference w:id="70"/>
      </w:r>
      <w:r w:rsidR="00AC2998">
        <w:t xml:space="preserve"> The Panel must consider </w:t>
      </w:r>
      <w:r w:rsidR="0984ECE6" w:rsidRPr="00FA7350">
        <w:t xml:space="preserve">the cumulative </w:t>
      </w:r>
      <w:r w:rsidR="00873665">
        <w:t>meaning</w:t>
      </w:r>
      <w:r w:rsidR="00873665" w:rsidRPr="00FA7350">
        <w:t xml:space="preserve"> </w:t>
      </w:r>
      <w:r w:rsidR="0984ECE6" w:rsidRPr="00FA7350">
        <w:t>and impact of the evidence.</w:t>
      </w:r>
    </w:p>
    <w:p w14:paraId="69B3A03E" w14:textId="3411A48B" w:rsidR="009C459C" w:rsidRPr="00455E94" w:rsidRDefault="004759DD" w:rsidP="00D63B48">
      <w:pPr>
        <w:pStyle w:val="P1-N1Paragraph1-Number1"/>
        <w:rPr>
          <w:sz w:val="22"/>
          <w:szCs w:val="22"/>
        </w:rPr>
      </w:pPr>
      <w:r>
        <w:t>If</w:t>
      </w:r>
      <w:r w:rsidR="3D2A5D29" w:rsidRPr="00FA7350">
        <w:t xml:space="preserve"> </w:t>
      </w:r>
      <w:r w:rsidR="2CC598A7" w:rsidRPr="00FA7350">
        <w:t xml:space="preserve">the Panel determines that the complainant must adduce sufficient evidence of a "broader objective" as part of its </w:t>
      </w:r>
      <w:r w:rsidR="2CC598A7" w:rsidRPr="00455E94">
        <w:rPr>
          <w:i/>
          <w:iCs/>
        </w:rPr>
        <w:t xml:space="preserve">prima facie </w:t>
      </w:r>
      <w:r w:rsidR="2CC598A7" w:rsidRPr="00FA7350">
        <w:t xml:space="preserve">case, Australia cautions against assessing the facts </w:t>
      </w:r>
      <w:r w:rsidR="008D7795">
        <w:t xml:space="preserve">of this case </w:t>
      </w:r>
      <w:r w:rsidR="2CC598A7" w:rsidRPr="00FA7350">
        <w:t>in too "narrow and formalistic [a] manner".</w:t>
      </w:r>
      <w:r w:rsidR="009C459C" w:rsidRPr="00FA7350">
        <w:rPr>
          <w:rStyle w:val="FootnoteReference"/>
        </w:rPr>
        <w:footnoteReference w:id="71"/>
      </w:r>
      <w:r w:rsidR="2CC598A7" w:rsidRPr="00FA7350">
        <w:t xml:space="preserve"> Determining the existence of </w:t>
      </w:r>
      <w:r w:rsidR="2CC598A7" w:rsidRPr="00FA7350">
        <w:lastRenderedPageBreak/>
        <w:t xml:space="preserve">the broader underlying "objective" of a measure may be particularly challenging, in light of the likely information asymmetry inherent in such a task. </w:t>
      </w:r>
      <w:r w:rsidR="00455E94" w:rsidRPr="00FA7350">
        <w:t>In that regard, Australia observes that a Member could effectively "insulate itself from effective discipline</w:t>
      </w:r>
      <w:r w:rsidR="00455E94">
        <w:t>"</w:t>
      </w:r>
      <w:r w:rsidR="00455E94" w:rsidRPr="00FA7350">
        <w:t xml:space="preserve"> </w:t>
      </w:r>
      <w:r w:rsidR="00455E94">
        <w:t>if</w:t>
      </w:r>
      <w:r w:rsidR="00455E94" w:rsidRPr="00FA7350">
        <w:t xml:space="preserve"> it was </w:t>
      </w:r>
      <w:r w:rsidR="00455E94">
        <w:t>"</w:t>
      </w:r>
      <w:r w:rsidR="00455E94" w:rsidRPr="00FA7350">
        <w:t>careful enough to sever any self-evident formal link [to a breach of a claim]"</w:t>
      </w:r>
      <w:r w:rsidR="00455E94" w:rsidRPr="00FA7350">
        <w:rPr>
          <w:rStyle w:val="FootnoteReference"/>
        </w:rPr>
        <w:footnoteReference w:id="72"/>
      </w:r>
      <w:r w:rsidR="00455E94" w:rsidRPr="00FA7350">
        <w:t xml:space="preserve">. </w:t>
      </w:r>
      <w:r w:rsidR="2CC598A7" w:rsidRPr="00FA7350">
        <w:t xml:space="preserve">Consistent with the above submissions, </w:t>
      </w:r>
      <w:r w:rsidR="0984ECE6" w:rsidRPr="00FA7350">
        <w:t xml:space="preserve">it </w:t>
      </w:r>
      <w:r w:rsidR="00FA7350" w:rsidRPr="00FA7350">
        <w:t>is</w:t>
      </w:r>
      <w:r w:rsidR="0984ECE6" w:rsidRPr="00FA7350">
        <w:t xml:space="preserve"> appropriate for the </w:t>
      </w:r>
      <w:r w:rsidR="2789971C" w:rsidRPr="00FA7350">
        <w:t>P</w:t>
      </w:r>
      <w:r w:rsidR="0984ECE6" w:rsidRPr="00FA7350">
        <w:t>anel to</w:t>
      </w:r>
      <w:r w:rsidR="2CC598A7" w:rsidRPr="00FA7350">
        <w:t xml:space="preserve"> </w:t>
      </w:r>
      <w:r w:rsidR="0984ECE6" w:rsidRPr="00FA7350">
        <w:t>give careful consideration to t</w:t>
      </w:r>
      <w:r w:rsidR="00455E94">
        <w:t>his</w:t>
      </w:r>
      <w:r w:rsidR="0984ECE6" w:rsidRPr="00FA7350">
        <w:t xml:space="preserve"> </w:t>
      </w:r>
      <w:r w:rsidR="2CC598A7" w:rsidRPr="00FA7350">
        <w:t>"overall situation as an integrated whole" in its judgment of the facts regarding this criteri</w:t>
      </w:r>
      <w:r w:rsidR="12CDC31E" w:rsidRPr="00FA7350">
        <w:t>on</w:t>
      </w:r>
      <w:r w:rsidR="2CC598A7" w:rsidRPr="00FA7350">
        <w:t>.</w:t>
      </w:r>
      <w:r w:rsidR="009C459C" w:rsidRPr="00FA7350">
        <w:rPr>
          <w:rStyle w:val="FootnoteReference"/>
        </w:rPr>
        <w:footnoteReference w:id="73"/>
      </w:r>
      <w:r w:rsidR="2CC598A7" w:rsidRPr="00FA7350">
        <w:t xml:space="preserve"> The </w:t>
      </w:r>
      <w:r w:rsidR="00455E94">
        <w:t>general relevance</w:t>
      </w:r>
      <w:r w:rsidR="2CC598A7" w:rsidRPr="00FA7350">
        <w:t xml:space="preserve"> of </w:t>
      </w:r>
      <w:r w:rsidR="00455E94" w:rsidRPr="00FA7350">
        <w:t>po</w:t>
      </w:r>
      <w:r w:rsidR="00455E94">
        <w:t xml:space="preserve">ssible </w:t>
      </w:r>
      <w:r w:rsidR="2CC598A7" w:rsidRPr="0012704C">
        <w:t>self-interes</w:t>
      </w:r>
      <w:r w:rsidR="00455E94">
        <w:t>t</w:t>
      </w:r>
      <w:r w:rsidR="2CC598A7">
        <w:t xml:space="preserve"> to a panel's assessment of evidence </w:t>
      </w:r>
      <w:r w:rsidR="44CE5260">
        <w:t xml:space="preserve">is </w:t>
      </w:r>
      <w:r w:rsidR="2CC598A7">
        <w:t xml:space="preserve">demonstrated </w:t>
      </w:r>
      <w:r w:rsidR="000303A8">
        <w:t xml:space="preserve">by </w:t>
      </w:r>
      <w:r w:rsidR="2CC598A7">
        <w:t xml:space="preserve">the </w:t>
      </w:r>
      <w:r w:rsidR="00620851">
        <w:t>p</w:t>
      </w:r>
      <w:r w:rsidR="000303A8">
        <w:t xml:space="preserve">anel's </w:t>
      </w:r>
      <w:r w:rsidR="2CC598A7">
        <w:t xml:space="preserve">analysis of certain statements in </w:t>
      </w:r>
      <w:r w:rsidR="2CC598A7" w:rsidRPr="00455E94">
        <w:rPr>
          <w:i/>
          <w:iCs/>
        </w:rPr>
        <w:t>EC and certain member States – Large Civil Aircraft</w:t>
      </w:r>
      <w:r w:rsidR="2CC598A7">
        <w:t>.</w:t>
      </w:r>
      <w:r w:rsidR="009C459C">
        <w:rPr>
          <w:rStyle w:val="FootnoteReference"/>
        </w:rPr>
        <w:footnoteReference w:id="74"/>
      </w:r>
    </w:p>
    <w:p w14:paraId="391C7111" w14:textId="7FA2DD9A" w:rsidR="001535E0" w:rsidRPr="005423DD" w:rsidRDefault="601AB891" w:rsidP="001535E0">
      <w:pPr>
        <w:pStyle w:val="P1-N1Paragraph1-Number1"/>
        <w:rPr>
          <w:sz w:val="22"/>
        </w:rPr>
      </w:pPr>
      <w:r>
        <w:t>For</w:t>
      </w:r>
      <w:r w:rsidR="06488E40">
        <w:t xml:space="preserve"> completeness,</w:t>
      </w:r>
      <w:r w:rsidR="1B6827B6">
        <w:t xml:space="preserve"> the requirement to consider evidence in "totality" under Article 11 of the DSU does not </w:t>
      </w:r>
      <w:r w:rsidR="1DFCA278">
        <w:t>necessarily require</w:t>
      </w:r>
      <w:r w:rsidR="68849E18">
        <w:t xml:space="preserve"> </w:t>
      </w:r>
      <w:r w:rsidR="1DFCA278">
        <w:t>a</w:t>
      </w:r>
      <w:r w:rsidR="1B6827B6">
        <w:t xml:space="preserve"> </w:t>
      </w:r>
      <w:r w:rsidR="1DFCA278">
        <w:t>p</w:t>
      </w:r>
      <w:r w:rsidR="1B6827B6">
        <w:t xml:space="preserve">anel </w:t>
      </w:r>
      <w:r w:rsidR="68849E18">
        <w:t xml:space="preserve">to </w:t>
      </w:r>
      <w:r w:rsidR="1B6827B6">
        <w:t>support its findings with an overwhelming body of evidence. Rather, and "[d]epending on the circumstances of a particular case, a single piece of evidence may constitute sufficient proof"</w:t>
      </w:r>
      <w:r w:rsidR="06488E40">
        <w:t xml:space="preserve"> of a fact.</w:t>
      </w:r>
      <w:r w:rsidR="001535E0">
        <w:rPr>
          <w:rStyle w:val="FootnoteReference"/>
        </w:rPr>
        <w:footnoteReference w:id="75"/>
      </w:r>
      <w:r w:rsidR="1B6827B6">
        <w:t xml:space="preserve"> </w:t>
      </w:r>
      <w:r w:rsidR="7AE2D79E">
        <w:t>A</w:t>
      </w:r>
      <w:r>
        <w:t xml:space="preserve"> panel must </w:t>
      </w:r>
      <w:r w:rsidR="7AE2D79E">
        <w:t xml:space="preserve">ultimately </w:t>
      </w:r>
      <w:r>
        <w:t>regard the sufficiency of evidence on a case-by case basis. This leads to Australia's next submission.</w:t>
      </w:r>
    </w:p>
    <w:p w14:paraId="00E15E78" w14:textId="0F92713F" w:rsidR="00905A7F" w:rsidRPr="00816FD9" w:rsidRDefault="601AB891" w:rsidP="00A559DB">
      <w:pPr>
        <w:pStyle w:val="P1-N1Paragraph1-Number1"/>
        <w:rPr>
          <w:b/>
          <w:bCs/>
          <w:i/>
          <w:iCs/>
        </w:rPr>
      </w:pPr>
      <w:r w:rsidRPr="15D066C9">
        <w:rPr>
          <w:b/>
          <w:bCs/>
          <w:i/>
          <w:iCs/>
        </w:rPr>
        <w:t xml:space="preserve">Second: the type and quality of evidence that a Panel will regard as </w:t>
      </w:r>
      <w:proofErr w:type="gramStart"/>
      <w:r w:rsidRPr="15D066C9">
        <w:rPr>
          <w:b/>
          <w:bCs/>
          <w:i/>
          <w:iCs/>
        </w:rPr>
        <w:t>probative</w:t>
      </w:r>
      <w:proofErr w:type="gramEnd"/>
      <w:r w:rsidRPr="15D066C9">
        <w:rPr>
          <w:b/>
          <w:bCs/>
          <w:i/>
          <w:iCs/>
        </w:rPr>
        <w:t xml:space="preserve"> and persuasive will change depending on the type of measure in issue. </w:t>
      </w:r>
      <w:r w:rsidR="6BE60589">
        <w:t xml:space="preserve">It is well-established that "precisely how much and precisely what kind of evidence will be required to establish </w:t>
      </w:r>
      <w:r w:rsidR="00A14295">
        <w:t>[</w:t>
      </w:r>
      <w:r w:rsidR="6BE60589">
        <w:t>a presumption that what is claimed is true] will necessarily vary from measure to measure, provision to provision, and case to case."</w:t>
      </w:r>
      <w:r w:rsidR="00682329">
        <w:rPr>
          <w:rStyle w:val="FootnoteReference"/>
        </w:rPr>
        <w:footnoteReference w:id="76"/>
      </w:r>
      <w:r w:rsidR="6BE60589">
        <w:t xml:space="preserve"> </w:t>
      </w:r>
    </w:p>
    <w:p w14:paraId="7678D2F9" w14:textId="1016E21A" w:rsidR="00CD5F17" w:rsidRPr="00CD5F17" w:rsidRDefault="27F29E35" w:rsidP="00A559DB">
      <w:pPr>
        <w:pStyle w:val="P1-N1Paragraph1-Number1"/>
        <w:rPr>
          <w:b/>
          <w:bCs/>
          <w:i/>
          <w:iCs/>
        </w:rPr>
      </w:pPr>
      <w:r>
        <w:t>Australia submits that</w:t>
      </w:r>
      <w:r w:rsidR="34FE761F">
        <w:t>,</w:t>
      </w:r>
      <w:r>
        <w:t xml:space="preserve"> where the nature of the </w:t>
      </w:r>
      <w:r w:rsidR="627F9AE1">
        <w:t xml:space="preserve">alleged </w:t>
      </w:r>
      <w:r>
        <w:t xml:space="preserve">measure </w:t>
      </w:r>
      <w:r w:rsidR="627F9AE1">
        <w:t xml:space="preserve">is that it has been deliberately concealed, and written records of it avoided, such that proof of it will necessarily be based on </w:t>
      </w:r>
      <w:r>
        <w:t xml:space="preserve">circumstantial evidence, this </w:t>
      </w:r>
      <w:r w:rsidR="69379FCD">
        <w:t>should</w:t>
      </w:r>
      <w:r>
        <w:t xml:space="preserve"> inform the Panel's approach to that evidence.</w:t>
      </w:r>
      <w:r w:rsidR="69379FCD">
        <w:t xml:space="preserve"> </w:t>
      </w:r>
    </w:p>
    <w:p w14:paraId="12D96728" w14:textId="3E7CA362" w:rsidR="00503CEE" w:rsidRPr="00503CEE" w:rsidRDefault="00D9515E" w:rsidP="1E5D3B2A">
      <w:pPr>
        <w:pStyle w:val="P1-N1Paragraph1-Number1"/>
        <w:rPr>
          <w:b/>
          <w:bCs/>
          <w:i/>
          <w:iCs/>
        </w:rPr>
      </w:pPr>
      <w:r>
        <w:lastRenderedPageBreak/>
        <w:t>The</w:t>
      </w:r>
      <w:r w:rsidR="39EDAD90" w:rsidRPr="00503CEE">
        <w:t xml:space="preserve"> </w:t>
      </w:r>
      <w:r w:rsidR="001D6CE1">
        <w:t>P</w:t>
      </w:r>
      <w:r w:rsidR="39EDAD90" w:rsidRPr="00503CEE">
        <w:t xml:space="preserve">anel in </w:t>
      </w:r>
      <w:r w:rsidR="39EDAD90" w:rsidRPr="15D066C9">
        <w:rPr>
          <w:i/>
          <w:iCs/>
        </w:rPr>
        <w:t xml:space="preserve">EC – Approval and Marketing of Biotech Products </w:t>
      </w:r>
      <w:r w:rsidR="39EDAD90" w:rsidRPr="00503CEE">
        <w:t xml:space="preserve">observed that "where the existence of a </w:t>
      </w:r>
      <w:r w:rsidR="39EDAD90" w:rsidRPr="15D066C9">
        <w:rPr>
          <w:i/>
          <w:iCs/>
        </w:rPr>
        <w:t>de facto</w:t>
      </w:r>
      <w:r w:rsidR="39EDAD90" w:rsidRPr="00503CEE">
        <w:t xml:space="preserve"> measure is alleged", it is </w:t>
      </w:r>
      <w:r w:rsidR="002940D7">
        <w:t>"</w:t>
      </w:r>
      <w:r w:rsidR="39EDAD90" w:rsidRPr="00503CEE">
        <w:t>often inevitable that Complaining Parties base their complaints largely on circumstantial evidence"</w:t>
      </w:r>
      <w:r w:rsidR="004759DD">
        <w:t>.</w:t>
      </w:r>
      <w:r w:rsidR="002940D7">
        <w:rPr>
          <w:rStyle w:val="FootnoteReference"/>
        </w:rPr>
        <w:footnoteReference w:id="77"/>
      </w:r>
      <w:r w:rsidR="004759DD">
        <w:t xml:space="preserve"> Such </w:t>
      </w:r>
      <w:r w:rsidR="39EDAD90">
        <w:t>circumstantial evidence may therefore be "relied on, together with other evidence, to establish facts."</w:t>
      </w:r>
      <w:r w:rsidR="00503CEE">
        <w:rPr>
          <w:rStyle w:val="FootnoteReference"/>
        </w:rPr>
        <w:footnoteReference w:id="78"/>
      </w:r>
      <w:r w:rsidR="39EDAD90">
        <w:t xml:space="preserve"> In </w:t>
      </w:r>
      <w:r w:rsidR="5A15C0CF">
        <w:t>that case,</w:t>
      </w:r>
      <w:r w:rsidR="39EDAD90">
        <w:t xml:space="preserve"> the Panel was not persuaded </w:t>
      </w:r>
      <w:r w:rsidR="06D889D2">
        <w:t xml:space="preserve">by the argument </w:t>
      </w:r>
      <w:r w:rsidR="39EDAD90">
        <w:t>th</w:t>
      </w:r>
      <w:r w:rsidR="43BDBCD5">
        <w:t>at</w:t>
      </w:r>
      <w:r w:rsidR="39EDAD90">
        <w:t xml:space="preserve"> circumstantial evidence </w:t>
      </w:r>
      <w:r w:rsidR="7481F73D">
        <w:t>could</w:t>
      </w:r>
      <w:r w:rsidR="7481F73D" w:rsidRPr="15D066C9">
        <w:rPr>
          <w:i/>
          <w:iCs/>
        </w:rPr>
        <w:t xml:space="preserve"> </w:t>
      </w:r>
      <w:r w:rsidR="7587C5C8" w:rsidRPr="006374D0">
        <w:t xml:space="preserve">not </w:t>
      </w:r>
      <w:r w:rsidR="39EDAD90" w:rsidDel="2EA6E83B">
        <w:t xml:space="preserve">be relied upon </w:t>
      </w:r>
      <w:r w:rsidR="17ADCD0F" w:rsidRPr="15D066C9">
        <w:rPr>
          <w:i/>
          <w:iCs/>
        </w:rPr>
        <w:t>alone</w:t>
      </w:r>
      <w:r w:rsidR="17ADCD0F">
        <w:t xml:space="preserve"> </w:t>
      </w:r>
      <w:r w:rsidR="39EDAD90">
        <w:t xml:space="preserve">to </w:t>
      </w:r>
      <w:r w:rsidR="2D37C12B">
        <w:t xml:space="preserve">establish a fact, </w:t>
      </w:r>
      <w:r w:rsidR="14FD0BA4">
        <w:t xml:space="preserve"> </w:t>
      </w:r>
      <w:r w:rsidR="008181A2">
        <w:t>finding instead that such evidence</w:t>
      </w:r>
      <w:r w:rsidR="14FD0BA4">
        <w:t xml:space="preserve"> </w:t>
      </w:r>
      <w:r w:rsidR="53B12922">
        <w:t>could</w:t>
      </w:r>
      <w:r w:rsidR="14FD0BA4">
        <w:t xml:space="preserve"> be used</w:t>
      </w:r>
      <w:r w:rsidR="008181A2">
        <w:t xml:space="preserve"> cumulatively</w:t>
      </w:r>
      <w:r w:rsidR="14FD0BA4">
        <w:t xml:space="preserve"> </w:t>
      </w:r>
      <w:r w:rsidR="4ACC9046">
        <w:t>for that purpose</w:t>
      </w:r>
      <w:r w:rsidR="14FD0BA4">
        <w:t>.</w:t>
      </w:r>
      <w:r w:rsidR="00503CEE">
        <w:rPr>
          <w:rStyle w:val="FootnoteReference"/>
        </w:rPr>
        <w:footnoteReference w:id="79"/>
      </w:r>
      <w:r w:rsidR="39EDAD90" w:rsidRPr="00503CEE">
        <w:t xml:space="preserve"> </w:t>
      </w:r>
      <w:r w:rsidR="19988E3D">
        <w:t xml:space="preserve">The Panel further clarified that circumstantial evidence such as "statements by individual government officials and similar evidence </w:t>
      </w:r>
      <w:r w:rsidR="19988E3D" w:rsidRPr="15D066C9">
        <w:rPr>
          <w:b/>
          <w:bCs/>
          <w:i/>
          <w:iCs/>
        </w:rPr>
        <w:t xml:space="preserve">must be given proper weight, which weight can only be determined in the specific circumstances of </w:t>
      </w:r>
      <w:r w:rsidR="002940D7">
        <w:rPr>
          <w:b/>
          <w:bCs/>
          <w:i/>
          <w:iCs/>
        </w:rPr>
        <w:t>each</w:t>
      </w:r>
      <w:r w:rsidR="002940D7" w:rsidRPr="15D066C9">
        <w:rPr>
          <w:b/>
          <w:bCs/>
          <w:i/>
          <w:iCs/>
        </w:rPr>
        <w:t xml:space="preserve"> </w:t>
      </w:r>
      <w:r w:rsidR="19988E3D" w:rsidRPr="15D066C9">
        <w:rPr>
          <w:b/>
          <w:bCs/>
          <w:i/>
          <w:iCs/>
        </w:rPr>
        <w:t>case</w:t>
      </w:r>
      <w:r w:rsidR="19988E3D">
        <w:t>."</w:t>
      </w:r>
      <w:r w:rsidR="00677B9C">
        <w:rPr>
          <w:rStyle w:val="FootnoteReference"/>
        </w:rPr>
        <w:footnoteReference w:id="80"/>
      </w:r>
      <w:r w:rsidR="14FD0BA4">
        <w:t xml:space="preserve"> This accords with Australia's earlier submissions on the relevance of unwritten measures and </w:t>
      </w:r>
      <w:r w:rsidR="61D568A8">
        <w:t>grave</w:t>
      </w:r>
      <w:r w:rsidR="14FD0BA4">
        <w:t xml:space="preserve"> allegations: while a panel must not take these lightly, these features are not dispositive of any legal standard.</w:t>
      </w:r>
      <w:r w:rsidR="00614F11">
        <w:rPr>
          <w:rStyle w:val="FootnoteReference"/>
        </w:rPr>
        <w:footnoteReference w:id="81"/>
      </w:r>
      <w:r w:rsidR="14FD0BA4">
        <w:t xml:space="preserve"> Rather, they may influence the</w:t>
      </w:r>
      <w:r w:rsidR="61D568A8">
        <w:t xml:space="preserve"> </w:t>
      </w:r>
      <w:r w:rsidR="71BF9ED6" w:rsidRPr="00B52235">
        <w:t>Panel's preparedness to place weight on circumstantial evidence</w:t>
      </w:r>
      <w:r w:rsidR="13822962" w:rsidRPr="006C5896">
        <w:t>.</w:t>
      </w:r>
    </w:p>
    <w:p w14:paraId="1B701C07" w14:textId="4EFF5DF4" w:rsidR="00250CCE" w:rsidRPr="00EB03B5" w:rsidRDefault="394367FB" w:rsidP="57A6B59E">
      <w:pPr>
        <w:pStyle w:val="P1-N1Paragraph1-Number1"/>
        <w:rPr>
          <w:b/>
          <w:bCs/>
          <w:i/>
          <w:iCs/>
        </w:rPr>
      </w:pPr>
      <w:r w:rsidRPr="15D066C9">
        <w:rPr>
          <w:b/>
          <w:bCs/>
          <w:i/>
          <w:iCs/>
        </w:rPr>
        <w:t xml:space="preserve">Finally: a panel has discretion in its approach, treatment and assessment of the evidence. </w:t>
      </w:r>
      <w:r w:rsidR="545C67CD">
        <w:t xml:space="preserve">While the </w:t>
      </w:r>
      <w:r w:rsidR="6F12E477">
        <w:t>P</w:t>
      </w:r>
      <w:r w:rsidR="545C67CD">
        <w:t>anel must consider all of the evidence, and in totality,</w:t>
      </w:r>
      <w:r w:rsidR="4F319A7C">
        <w:t xml:space="preserve"> </w:t>
      </w:r>
      <w:r w:rsidR="545C67CD">
        <w:t xml:space="preserve">it otherwise has </w:t>
      </w:r>
      <w:r w:rsidR="4F319A7C">
        <w:t>discretion in assessing the relevance of evidence to its reasoning,</w:t>
      </w:r>
      <w:r w:rsidR="00D2798F">
        <w:rPr>
          <w:rStyle w:val="FootnoteReference"/>
        </w:rPr>
        <w:footnoteReference w:id="82"/>
      </w:r>
      <w:r w:rsidR="4F319A7C">
        <w:t xml:space="preserve"> </w:t>
      </w:r>
      <w:r w:rsidR="61D568A8">
        <w:rPr>
          <w:color w:val="000000" w:themeColor="text1"/>
        </w:rPr>
        <w:t>"</w:t>
      </w:r>
      <w:r w:rsidR="4F319A7C">
        <w:rPr>
          <w:color w:val="000000" w:themeColor="text1"/>
        </w:rPr>
        <w:t>selecting</w:t>
      </w:r>
      <w:r w:rsidR="4F319A7C" w:rsidRPr="00043951">
        <w:rPr>
          <w:color w:val="000000" w:themeColor="text1"/>
        </w:rPr>
        <w:t xml:space="preserve"> the evidence it relies upon to establish certain facts</w:t>
      </w:r>
      <w:r w:rsidR="61D568A8">
        <w:rPr>
          <w:color w:val="000000" w:themeColor="text1"/>
        </w:rPr>
        <w:t>"</w:t>
      </w:r>
      <w:r w:rsidR="00D2798F">
        <w:rPr>
          <w:rStyle w:val="FootnoteReference"/>
          <w:color w:val="000000" w:themeColor="text1"/>
        </w:rPr>
        <w:footnoteReference w:id="83"/>
      </w:r>
      <w:r w:rsidR="4F319A7C">
        <w:rPr>
          <w:color w:val="000000" w:themeColor="text1"/>
        </w:rPr>
        <w:t xml:space="preserve"> and deciding </w:t>
      </w:r>
      <w:r w:rsidR="61D568A8">
        <w:rPr>
          <w:color w:val="000000" w:themeColor="text1"/>
        </w:rPr>
        <w:t>"</w:t>
      </w:r>
      <w:r w:rsidR="4F319A7C">
        <w:rPr>
          <w:color w:val="000000" w:themeColor="text1"/>
        </w:rPr>
        <w:t>what weight to ascribe</w:t>
      </w:r>
      <w:r w:rsidR="61D568A8">
        <w:rPr>
          <w:color w:val="000000" w:themeColor="text1"/>
        </w:rPr>
        <w:t>"</w:t>
      </w:r>
      <w:r w:rsidR="4F319A7C">
        <w:rPr>
          <w:color w:val="000000" w:themeColor="text1"/>
        </w:rPr>
        <w:t xml:space="preserve"> to evidence.</w:t>
      </w:r>
      <w:r w:rsidR="00D2798F">
        <w:rPr>
          <w:rStyle w:val="FootnoteReference"/>
          <w:color w:val="000000" w:themeColor="text1"/>
        </w:rPr>
        <w:footnoteReference w:id="84"/>
      </w:r>
      <w:r w:rsidR="4F319A7C">
        <w:rPr>
          <w:color w:val="000000" w:themeColor="text1"/>
        </w:rPr>
        <w:t xml:space="preserve"> </w:t>
      </w:r>
      <w:r w:rsidR="545C67CD">
        <w:rPr>
          <w:color w:val="000000" w:themeColor="text1"/>
        </w:rPr>
        <w:t>Panels also have authority to employ inferential reasoning necessary for the proper assessment of circumstantial evidence.</w:t>
      </w:r>
      <w:r w:rsidR="00757425">
        <w:rPr>
          <w:rStyle w:val="FootnoteReference"/>
          <w:color w:val="000000" w:themeColor="text1"/>
        </w:rPr>
        <w:footnoteReference w:id="85"/>
      </w:r>
      <w:r w:rsidR="545C67CD">
        <w:rPr>
          <w:color w:val="000000" w:themeColor="text1"/>
        </w:rPr>
        <w:t xml:space="preserve"> </w:t>
      </w:r>
    </w:p>
    <w:p w14:paraId="7133C4B9" w14:textId="68BC98BC" w:rsidR="00074BE9" w:rsidRPr="00757425" w:rsidRDefault="76444B70" w:rsidP="0053191D">
      <w:pPr>
        <w:pStyle w:val="P1-N1Paragraph1-Number1"/>
        <w:rPr>
          <w:b/>
          <w:bCs/>
          <w:i/>
          <w:iCs/>
        </w:rPr>
      </w:pPr>
      <w:r>
        <w:lastRenderedPageBreak/>
        <w:t xml:space="preserve">Panels </w:t>
      </w:r>
      <w:r w:rsidR="61D568A8">
        <w:t>"</w:t>
      </w:r>
      <w:r>
        <w:t>enjoy a margin of discretion to structure their assessment as they see fit</w:t>
      </w:r>
      <w:r w:rsidR="61D568A8">
        <w:t>"</w:t>
      </w:r>
      <w:r w:rsidR="004759DD">
        <w:t>.</w:t>
      </w:r>
      <w:r w:rsidR="00250CCE">
        <w:rPr>
          <w:rStyle w:val="FootnoteReference"/>
        </w:rPr>
        <w:footnoteReference w:id="86"/>
      </w:r>
      <w:r>
        <w:t xml:space="preserve"> </w:t>
      </w:r>
      <w:r w:rsidR="004759DD">
        <w:t xml:space="preserve">They </w:t>
      </w:r>
      <w:r w:rsidR="61D568A8">
        <w:t>"</w:t>
      </w:r>
      <w:r>
        <w:t>a</w:t>
      </w:r>
      <w:r w:rsidR="218AEEAF">
        <w:t>r</w:t>
      </w:r>
      <w:r>
        <w:t xml:space="preserve">e afforded a certain degree of latitude to </w:t>
      </w:r>
      <w:r w:rsidRPr="0012704C">
        <w:t>tailor the sequence and order of analysis</w:t>
      </w:r>
      <w:r w:rsidRPr="00014EBA">
        <w:t xml:space="preserve">, </w:t>
      </w:r>
      <w:r>
        <w:t xml:space="preserve">which, however, </w:t>
      </w:r>
      <w:r w:rsidR="218AEEAF">
        <w:t>is</w:t>
      </w:r>
      <w:r>
        <w:t xml:space="preserve"> informed by the specific claims, measures, facts and arguments at issue.</w:t>
      </w:r>
      <w:r w:rsidR="61D568A8">
        <w:t>"</w:t>
      </w:r>
      <w:r w:rsidR="00250CCE">
        <w:rPr>
          <w:rStyle w:val="FootnoteReference"/>
        </w:rPr>
        <w:footnoteReference w:id="87"/>
      </w:r>
      <w:r>
        <w:t xml:space="preserve"> </w:t>
      </w:r>
      <w:r w:rsidR="005F77B3">
        <w:t>China asserts that "[i]f that first unwritten measure [i.e. the import restriction measure] does not exist, the EU has, by definition, also failed to prove the existence of the 'overarching' unwritten measure, as it defines it."</w:t>
      </w:r>
      <w:r w:rsidR="005F77B3">
        <w:rPr>
          <w:rStyle w:val="FootnoteReference"/>
        </w:rPr>
        <w:footnoteReference w:id="88"/>
      </w:r>
      <w:r w:rsidR="005F77B3">
        <w:t xml:space="preserve"> But i</w:t>
      </w:r>
      <w:r w:rsidR="1F4C30ED">
        <w:t xml:space="preserve">t </w:t>
      </w:r>
      <w:r w:rsidR="0375B103" w:rsidRPr="009F0BD4">
        <w:t>i</w:t>
      </w:r>
      <w:r>
        <w:t xml:space="preserve">s not a foregone conclusion that, where </w:t>
      </w:r>
      <w:r w:rsidR="71BF9ED6">
        <w:t>a</w:t>
      </w:r>
      <w:r>
        <w:t xml:space="preserve"> measure </w:t>
      </w:r>
      <w:r w:rsidR="71BF9ED6">
        <w:t xml:space="preserve">such as the import restriction measure </w:t>
      </w:r>
      <w:r>
        <w:t xml:space="preserve">cannot be </w:t>
      </w:r>
      <w:r w:rsidR="00F77A9E">
        <w:t xml:space="preserve">proven </w:t>
      </w:r>
      <w:r w:rsidRPr="0012704C">
        <w:t>in isolation</w:t>
      </w:r>
      <w:r w:rsidR="71BF9ED6" w:rsidRPr="00014EBA">
        <w:t>,</w:t>
      </w:r>
      <w:r w:rsidR="71BF9ED6">
        <w:t xml:space="preserve"> </w:t>
      </w:r>
      <w:r w:rsidR="218AEEAF">
        <w:t xml:space="preserve">the evidence of </w:t>
      </w:r>
      <w:r>
        <w:t>a</w:t>
      </w:r>
      <w:r w:rsidR="71BF9ED6">
        <w:t>n interlinked,</w:t>
      </w:r>
      <w:r>
        <w:t xml:space="preserve"> overarching measure must also</w:t>
      </w:r>
      <w:r w:rsidR="71BF9ED6">
        <w:t xml:space="preserve"> automatically</w:t>
      </w:r>
      <w:r>
        <w:t xml:space="preserve"> fail</w:t>
      </w:r>
      <w:r w:rsidR="71BF9ED6">
        <w:t xml:space="preserve"> as a consequence</w:t>
      </w:r>
      <w:r>
        <w:t xml:space="preserve">. </w:t>
      </w:r>
      <w:r w:rsidR="001D6CE1">
        <w:t xml:space="preserve"> </w:t>
      </w:r>
      <w:r w:rsidR="002A2761">
        <w:t xml:space="preserve">The Panel's order of analysis in assessing the existence of a measure should be guided by </w:t>
      </w:r>
      <w:r w:rsidR="005F77B3">
        <w:t xml:space="preserve">the </w:t>
      </w:r>
      <w:r w:rsidR="002A2761">
        <w:t>measure itself</w:t>
      </w:r>
      <w:r w:rsidR="00106B66">
        <w:rPr>
          <w:rStyle w:val="FootnoteReference"/>
        </w:rPr>
        <w:footnoteReference w:id="89"/>
      </w:r>
      <w:r w:rsidR="00014EBA">
        <w:t xml:space="preserve"> and it must consider the evidence in totality.</w:t>
      </w:r>
      <w:r w:rsidR="218AEEAF">
        <w:t xml:space="preserve"> </w:t>
      </w:r>
    </w:p>
    <w:p w14:paraId="70CBCC78" w14:textId="126746C1" w:rsidR="00677B9C" w:rsidRPr="001751C9" w:rsidRDefault="545C67CD" w:rsidP="57A6B59E">
      <w:pPr>
        <w:pStyle w:val="P1-N1Paragraph1-Number1"/>
        <w:rPr>
          <w:b/>
          <w:bCs/>
          <w:i/>
          <w:iCs/>
        </w:rPr>
      </w:pPr>
      <w:r>
        <w:t xml:space="preserve">Drawing together the strands of these submissions, Australia submits that </w:t>
      </w:r>
      <w:r w:rsidR="6A3CFFE5">
        <w:t xml:space="preserve">a panel's approach </w:t>
      </w:r>
      <w:r w:rsidR="089A6498">
        <w:t xml:space="preserve">to </w:t>
      </w:r>
      <w:r w:rsidR="6A3CFFE5">
        <w:t xml:space="preserve">and assessment of the evidence of </w:t>
      </w:r>
      <w:r w:rsidR="430B5A90">
        <w:t xml:space="preserve">the </w:t>
      </w:r>
      <w:r w:rsidR="6A3CFFE5">
        <w:t xml:space="preserve">existence of a measure must be guided by the characteristics of the measure </w:t>
      </w:r>
      <w:r w:rsidR="61962C96">
        <w:t xml:space="preserve">- </w:t>
      </w:r>
      <w:r w:rsidR="09F51F20">
        <w:t xml:space="preserve">not by </w:t>
      </w:r>
      <w:r w:rsidR="1A3BDC20">
        <w:t xml:space="preserve">the fact that it is </w:t>
      </w:r>
      <w:r w:rsidR="09F51F20">
        <w:t>"unwritten"</w:t>
      </w:r>
      <w:r w:rsidR="6A3CFFE5">
        <w:t>. U</w:t>
      </w:r>
      <w:r>
        <w:t xml:space="preserve">nder appropriate circumstances – as assessed on a case-by-case basis </w:t>
      </w:r>
      <w:r w:rsidR="61962C96">
        <w:t xml:space="preserve">– </w:t>
      </w:r>
      <w:r>
        <w:t xml:space="preserve">a panel </w:t>
      </w:r>
      <w:r w:rsidR="00E318F0">
        <w:t>may need</w:t>
      </w:r>
      <w:r>
        <w:t xml:space="preserve"> to engage in inferential reasoning on the basis of circumstantial evidence in order to make findings </w:t>
      </w:r>
      <w:r w:rsidR="00215AE5">
        <w:t>regarding</w:t>
      </w:r>
      <w:r>
        <w:t xml:space="preserve"> the existence of a measure. Where it does so, </w:t>
      </w:r>
      <w:r w:rsidR="79811EED">
        <w:t>a</w:t>
      </w:r>
      <w:r>
        <w:t xml:space="preserve"> panel's assessment of the totality of the evidence before </w:t>
      </w:r>
      <w:r w:rsidR="79811EED">
        <w:t>it</w:t>
      </w:r>
      <w:r>
        <w:t xml:space="preserve"> may also include factors such as the</w:t>
      </w:r>
      <w:r w:rsidR="4225B853">
        <w:t xml:space="preserve"> </w:t>
      </w:r>
      <w:r w:rsidR="4225B853" w:rsidRPr="15D066C9">
        <w:rPr>
          <w:rFonts w:eastAsia="Calibri" w:cs="Calibri"/>
        </w:rPr>
        <w:t xml:space="preserve">temporal </w:t>
      </w:r>
      <w:r w:rsidR="00A31AF4">
        <w:rPr>
          <w:rFonts w:eastAsia="Calibri" w:cs="Calibri"/>
        </w:rPr>
        <w:t>relationship</w:t>
      </w:r>
      <w:r w:rsidR="00A31AF4" w:rsidRPr="15D066C9">
        <w:rPr>
          <w:rFonts w:eastAsia="Calibri" w:cs="Calibri"/>
        </w:rPr>
        <w:t xml:space="preserve"> </w:t>
      </w:r>
      <w:r w:rsidR="4225B853" w:rsidRPr="15D066C9">
        <w:rPr>
          <w:rFonts w:eastAsia="Calibri" w:cs="Calibri"/>
        </w:rPr>
        <w:t xml:space="preserve">between the </w:t>
      </w:r>
      <w:r w:rsidR="00A31AF4">
        <w:rPr>
          <w:rFonts w:eastAsia="Calibri" w:cs="Calibri"/>
        </w:rPr>
        <w:t xml:space="preserve">incidents set out in the </w:t>
      </w:r>
      <w:r w:rsidR="4225B853" w:rsidRPr="15D066C9">
        <w:rPr>
          <w:rFonts w:eastAsia="Calibri" w:cs="Calibri"/>
        </w:rPr>
        <w:t xml:space="preserve">evidence, </w:t>
      </w:r>
      <w:r w:rsidR="4225B853" w:rsidRPr="002A2761">
        <w:rPr>
          <w:rFonts w:eastAsia="Calibri" w:cs="Calibri"/>
        </w:rPr>
        <w:t xml:space="preserve">the </w:t>
      </w:r>
      <w:r w:rsidR="004759DD">
        <w:rPr>
          <w:rFonts w:eastAsia="Calibri" w:cs="Calibri"/>
        </w:rPr>
        <w:t xml:space="preserve">repetition </w:t>
      </w:r>
      <w:r w:rsidR="4225B853" w:rsidRPr="002A2761">
        <w:rPr>
          <w:rFonts w:eastAsia="Calibri" w:cs="Calibri"/>
        </w:rPr>
        <w:t xml:space="preserve">of certain </w:t>
      </w:r>
      <w:r w:rsidR="00A31AF4" w:rsidRPr="002A2761">
        <w:rPr>
          <w:rFonts w:eastAsia="Calibri" w:cs="Calibri"/>
        </w:rPr>
        <w:t xml:space="preserve">incidents </w:t>
      </w:r>
      <w:r w:rsidR="4225B853" w:rsidRPr="002A2761">
        <w:rPr>
          <w:rFonts w:eastAsia="Calibri" w:cs="Calibri"/>
        </w:rPr>
        <w:t>and</w:t>
      </w:r>
      <w:r w:rsidR="3B7D0796" w:rsidRPr="002A2761">
        <w:rPr>
          <w:rFonts w:eastAsia="Calibri" w:cs="Calibri"/>
        </w:rPr>
        <w:t>,</w:t>
      </w:r>
      <w:r w:rsidR="4225B853" w:rsidRPr="002A2761">
        <w:rPr>
          <w:rFonts w:eastAsia="Calibri" w:cs="Calibri"/>
        </w:rPr>
        <w:t xml:space="preserve"> ultimately,</w:t>
      </w:r>
      <w:r w:rsidRPr="002A2761">
        <w:t xml:space="preserve"> </w:t>
      </w:r>
      <w:r w:rsidR="52051ECD" w:rsidRPr="002A2761">
        <w:t xml:space="preserve">the </w:t>
      </w:r>
      <w:r w:rsidRPr="002A2761">
        <w:t>plausibility of proven events occurring in</w:t>
      </w:r>
      <w:r w:rsidRPr="00D9515E">
        <w:t xml:space="preserve"> short</w:t>
      </w:r>
      <w:r w:rsidRPr="002A2761">
        <w:t xml:space="preserve"> succession </w:t>
      </w:r>
      <w:r w:rsidRPr="00A94406">
        <w:t>without</w:t>
      </w:r>
      <w:r w:rsidRPr="008C27F6">
        <w:t xml:space="preserve"> </w:t>
      </w:r>
      <w:r w:rsidR="00F12BD7" w:rsidRPr="002A2761">
        <w:t>th</w:t>
      </w:r>
      <w:r w:rsidR="002A2761" w:rsidRPr="0012704C">
        <w:t>e</w:t>
      </w:r>
      <w:r w:rsidR="00F12BD7" w:rsidRPr="002A2761">
        <w:t xml:space="preserve"> existence of an overarching measure</w:t>
      </w:r>
      <w:r w:rsidRPr="002A2761">
        <w:t>.</w:t>
      </w:r>
      <w:r w:rsidR="6A3CFFE5">
        <w:t xml:space="preserve"> </w:t>
      </w:r>
    </w:p>
    <w:p w14:paraId="1D993F98" w14:textId="2D555130" w:rsidR="00EC2D5B" w:rsidRPr="00EC2D5B" w:rsidRDefault="00EC2D5B" w:rsidP="00EC2D5B">
      <w:pPr>
        <w:pStyle w:val="HL2HeadingLevel2"/>
      </w:pPr>
      <w:bookmarkStart w:id="15" w:name="_Toc148689595"/>
      <w:bookmarkStart w:id="16" w:name="_Toc150441697"/>
      <w:r w:rsidRPr="00EC2D5B">
        <w:t>The Panel may seek further information</w:t>
      </w:r>
      <w:bookmarkEnd w:id="15"/>
      <w:bookmarkEnd w:id="16"/>
    </w:p>
    <w:p w14:paraId="1FFE4A06" w14:textId="4F69BA9C" w:rsidR="00C81BE7" w:rsidRDefault="70672101" w:rsidP="00EC2D5B">
      <w:pPr>
        <w:pStyle w:val="P1-N1Paragraph1-Number1"/>
      </w:pPr>
      <w:r>
        <w:t xml:space="preserve">In a dispute characterised by an asymmetry of information between the complainant and respondent, one mechanism available to a panel is to seek information pursuant to Article 13 of the DSU. Australia does not take a position on whether such a request would be warranted in this dispute, but in this </w:t>
      </w:r>
      <w:r w:rsidR="00014EBA">
        <w:t>s</w:t>
      </w:r>
      <w:r>
        <w:t>ection summarises its view of the relevant principles to assist the Panel in considering whether this mechanism may be of assistance.</w:t>
      </w:r>
    </w:p>
    <w:p w14:paraId="1B296ACF" w14:textId="2402F1AD" w:rsidR="00EC2D5B" w:rsidRDefault="636F7EAA" w:rsidP="00EC2D5B">
      <w:pPr>
        <w:pStyle w:val="P1-N1Paragraph1-Number1"/>
      </w:pPr>
      <w:r>
        <w:lastRenderedPageBreak/>
        <w:t>Even after reviewing all of the evidence</w:t>
      </w:r>
      <w:r w:rsidR="79811EED">
        <w:t xml:space="preserve"> in totality</w:t>
      </w:r>
      <w:r>
        <w:t>, a panel may require further information in order to fully evaluate the probative value of that evidence and "elucidate its understanding of the facts and issues in the dispute before it":</w:t>
      </w:r>
      <w:r w:rsidR="00EC2D5B">
        <w:rPr>
          <w:rStyle w:val="FootnoteReference"/>
        </w:rPr>
        <w:footnoteReference w:id="90"/>
      </w:r>
      <w:r>
        <w:t xml:space="preserve"> </w:t>
      </w:r>
    </w:p>
    <w:p w14:paraId="1EF350B5" w14:textId="77777777" w:rsidR="00EC2D5B" w:rsidRPr="00713F6E" w:rsidRDefault="00EC2D5B" w:rsidP="00EC2D5B">
      <w:pPr>
        <w:pStyle w:val="QQuotation"/>
      </w:pPr>
      <w:r w:rsidRPr="00043951">
        <w:rPr>
          <w:b/>
          <w:bCs/>
          <w:i/>
          <w:iCs/>
        </w:rPr>
        <w:t>[W]hile a panel cannot make the case for a party</w:t>
      </w:r>
      <w:r w:rsidRPr="00043951">
        <w:t xml:space="preserve">, Article 11 requires a panel to test evidence with the parties, and to seek further information if necessary, in order to determine whether the evidence satisfies a party's burden of proof. </w:t>
      </w:r>
      <w:r w:rsidRPr="00043951">
        <w:rPr>
          <w:b/>
          <w:bCs/>
          <w:i/>
          <w:iCs/>
        </w:rPr>
        <w:t xml:space="preserve">As the Appellate Body has explained, '[a] panel may, in fact, need the information sought in order to evaluate evidence already before it' so as to make an objective assessment of whether the complaining party has established a </w:t>
      </w:r>
      <w:r w:rsidRPr="00A94406">
        <w:rPr>
          <w:b/>
          <w:bCs/>
        </w:rPr>
        <w:t>prima facie</w:t>
      </w:r>
      <w:r w:rsidRPr="00043951">
        <w:rPr>
          <w:b/>
          <w:bCs/>
          <w:i/>
          <w:iCs/>
        </w:rPr>
        <w:t xml:space="preserve"> case</w:t>
      </w:r>
      <w:r w:rsidRPr="00043951">
        <w:t xml:space="preserve"> […]</w:t>
      </w:r>
      <w:r>
        <w:rPr>
          <w:rStyle w:val="FootnoteReference"/>
        </w:rPr>
        <w:footnoteReference w:id="91"/>
      </w:r>
    </w:p>
    <w:p w14:paraId="776BEA7F" w14:textId="2F812AAB" w:rsidR="00EC2D5B" w:rsidRDefault="636F7EAA" w:rsidP="00EC2D5B">
      <w:pPr>
        <w:pStyle w:val="P1-N1Paragraph1-Number1"/>
      </w:pPr>
      <w:r>
        <w:t>Article 13 of the DSU confers a right on panels to seek information from any source, and at any time, which they deem appropriate to adjudicate a dispute.</w:t>
      </w:r>
      <w:r w:rsidRPr="00062EF7">
        <w:rPr>
          <w:rStyle w:val="FootnoteReference"/>
        </w:rPr>
        <w:t xml:space="preserve"> </w:t>
      </w:r>
      <w:r w:rsidR="00EC2D5B">
        <w:rPr>
          <w:rStyle w:val="FootnoteReference"/>
        </w:rPr>
        <w:footnoteReference w:id="92"/>
      </w:r>
      <w:r>
        <w:t xml:space="preserve">  In </w:t>
      </w:r>
      <w:r w:rsidRPr="15D066C9">
        <w:rPr>
          <w:i/>
          <w:iCs/>
        </w:rPr>
        <w:t>Canada – Aircraft</w:t>
      </w:r>
      <w:r>
        <w:t>, the Appellate Body stated that:</w:t>
      </w:r>
    </w:p>
    <w:p w14:paraId="020FF391" w14:textId="77777777" w:rsidR="00EC2D5B" w:rsidRDefault="00EC2D5B" w:rsidP="00EC2D5B">
      <w:pPr>
        <w:pStyle w:val="P1-N1Paragraph1-Number1"/>
        <w:numPr>
          <w:ilvl w:val="0"/>
          <w:numId w:val="0"/>
        </w:numPr>
        <w:ind w:left="851"/>
      </w:pPr>
      <w:r w:rsidRPr="00043951">
        <w:rPr>
          <w:rStyle w:val="QQuotationChar"/>
        </w:rPr>
        <w:t xml:space="preserve">[A] panel is vested with ample and extensive discretionary authority to determine when it needs information to resolve a dispute and what information it needs. A panel may need such information before or after a complaining or a responding Member has established its complaint or defence on a </w:t>
      </w:r>
      <w:r w:rsidRPr="00274E68">
        <w:rPr>
          <w:rStyle w:val="QQuotationChar"/>
          <w:i/>
          <w:iCs/>
        </w:rPr>
        <w:t>prima facie</w:t>
      </w:r>
      <w:r w:rsidRPr="00043951">
        <w:rPr>
          <w:rStyle w:val="QQuotationChar"/>
        </w:rPr>
        <w:t xml:space="preserve"> basis.</w:t>
      </w:r>
      <w:r>
        <w:rPr>
          <w:rStyle w:val="FootnoteReference"/>
        </w:rPr>
        <w:footnoteReference w:id="93"/>
      </w:r>
      <w:r>
        <w:t xml:space="preserve"> </w:t>
      </w:r>
    </w:p>
    <w:p w14:paraId="38FFA4AB" w14:textId="2628D727" w:rsidR="00EC2D5B" w:rsidRDefault="636F7EAA" w:rsidP="00EC2D5B">
      <w:pPr>
        <w:pStyle w:val="P1-N1Paragraph1-Number1"/>
      </w:pPr>
      <w:r>
        <w:t xml:space="preserve"> If </w:t>
      </w:r>
      <w:r w:rsidR="2F6F2C16">
        <w:t>a p</w:t>
      </w:r>
      <w:r>
        <w:t>anel exercises its right under Article 13.1 of the DSU to request information from a party, that party must "respond promptly and fully to any request […] for such information as the panel considers necessary and appropriate."</w:t>
      </w:r>
      <w:r w:rsidR="00EC2D5B">
        <w:rPr>
          <w:rStyle w:val="FootnoteReference"/>
        </w:rPr>
        <w:footnoteReference w:id="94"/>
      </w:r>
      <w:r>
        <w:t xml:space="preserve"> The Appellate Body in </w:t>
      </w:r>
      <w:r w:rsidRPr="15D066C9">
        <w:rPr>
          <w:i/>
          <w:iCs/>
        </w:rPr>
        <w:t xml:space="preserve">Canada – Aircraft </w:t>
      </w:r>
      <w:r>
        <w:t xml:space="preserve">stated that the term </w:t>
      </w:r>
      <w:r w:rsidR="7845F7BC">
        <w:t>'"</w:t>
      </w:r>
      <w:r>
        <w:t>should</w:t>
      </w:r>
      <w:r w:rsidR="7845F7BC">
        <w:t>'</w:t>
      </w:r>
      <w:r>
        <w:t xml:space="preserve"> in the third sentence of Article 13.1 </w:t>
      </w:r>
      <w:r w:rsidR="7845F7BC">
        <w:t xml:space="preserve">is, </w:t>
      </w:r>
      <w:r>
        <w:t xml:space="preserve">in the context of the whole of Article 13, used in a normative, rather a merely exhortative, sense. </w:t>
      </w:r>
      <w:r w:rsidR="00613CFE">
        <w:t>"</w:t>
      </w:r>
      <w:r>
        <w:t>Members are, in other words, under a duty and an obligation to 'respond promptly and fully'</w:t>
      </w:r>
      <w:r w:rsidR="7845F7BC">
        <w:t xml:space="preserve"> </w:t>
      </w:r>
      <w:r w:rsidR="7845F7BC">
        <w:lastRenderedPageBreak/>
        <w:t>to requests […]</w:t>
      </w:r>
      <w:r>
        <w:t>".</w:t>
      </w:r>
      <w:r w:rsidR="00EC2D5B">
        <w:rPr>
          <w:rStyle w:val="FootnoteReference"/>
        </w:rPr>
        <w:footnoteReference w:id="95"/>
      </w:r>
      <w:r>
        <w:t xml:space="preserve"> </w:t>
      </w:r>
      <w:r w:rsidR="61962C96">
        <w:t>A</w:t>
      </w:r>
      <w:r>
        <w:t xml:space="preserve"> </w:t>
      </w:r>
      <w:r w:rsidR="3BA1E185">
        <w:t xml:space="preserve">respondent </w:t>
      </w:r>
      <w:r>
        <w:t>therefore has a "duty and an obligation"</w:t>
      </w:r>
      <w:r w:rsidRPr="00D64771">
        <w:rPr>
          <w:rStyle w:val="FootnoteReference"/>
        </w:rPr>
        <w:t xml:space="preserve"> </w:t>
      </w:r>
      <w:r w:rsidR="00EC2D5B">
        <w:rPr>
          <w:rStyle w:val="FootnoteReference"/>
        </w:rPr>
        <w:footnoteReference w:id="96"/>
      </w:r>
      <w:r>
        <w:t xml:space="preserve"> to respond in full to any request by </w:t>
      </w:r>
      <w:r w:rsidR="61962C96">
        <w:t>a p</w:t>
      </w:r>
      <w:r>
        <w:t xml:space="preserve">anel for information that </w:t>
      </w:r>
      <w:r w:rsidR="001D6CE1">
        <w:t>a</w:t>
      </w:r>
      <w:r>
        <w:t xml:space="preserve"> </w:t>
      </w:r>
      <w:r w:rsidR="61962C96">
        <w:t>p</w:t>
      </w:r>
      <w:r>
        <w:t xml:space="preserve">anel considers appropriate. </w:t>
      </w:r>
    </w:p>
    <w:p w14:paraId="09B4C90E" w14:textId="4E48B850" w:rsidR="00EC2D5B" w:rsidRPr="0007327B" w:rsidRDefault="636F7EAA" w:rsidP="00EC2D5B">
      <w:pPr>
        <w:pStyle w:val="P1-N1Paragraph1-Number1"/>
      </w:pPr>
      <w:r>
        <w:t xml:space="preserve">If </w:t>
      </w:r>
      <w:r w:rsidR="7365E9CD">
        <w:t>a party</w:t>
      </w:r>
      <w:r>
        <w:t xml:space="preserve"> is unable or unwilling to provide information requested by </w:t>
      </w:r>
      <w:r w:rsidR="61962C96">
        <w:t>a</w:t>
      </w:r>
      <w:r>
        <w:t xml:space="preserve"> </w:t>
      </w:r>
      <w:r w:rsidR="61962C96">
        <w:t>p</w:t>
      </w:r>
      <w:r>
        <w:t xml:space="preserve">anel, that may have implications for how </w:t>
      </w:r>
      <w:r w:rsidR="001D6CE1">
        <w:t xml:space="preserve">a </w:t>
      </w:r>
      <w:r w:rsidR="61962C96">
        <w:t>p</w:t>
      </w:r>
      <w:r>
        <w:t>anel assess</w:t>
      </w:r>
      <w:r w:rsidR="19191A48">
        <w:t>es</w:t>
      </w:r>
      <w:r>
        <w:t xml:space="preserve"> the material before it. The Appellate Body observed in </w:t>
      </w:r>
      <w:r w:rsidRPr="15D066C9">
        <w:rPr>
          <w:i/>
          <w:iCs/>
        </w:rPr>
        <w:t>US – Wheat Gluten</w:t>
      </w:r>
      <w:r>
        <w:t>, "[w]here a party refuses to provide information requested by a panel under Article 13.1 of the DSU, that refusal will be one of the relevant facts of record, and indeed an important fact, to be taken into account in determining the appropriate inference to be drawn."</w:t>
      </w:r>
      <w:r w:rsidR="008C27F6" w:rsidRPr="008C27F6">
        <w:rPr>
          <w:rStyle w:val="FootnoteReference"/>
        </w:rPr>
        <w:t xml:space="preserve"> </w:t>
      </w:r>
      <w:r w:rsidR="008C27F6">
        <w:rPr>
          <w:rStyle w:val="FootnoteReference"/>
        </w:rPr>
        <w:footnoteReference w:id="97"/>
      </w:r>
      <w:r>
        <w:t xml:space="preserve"> This suggests that if any party fails to provide information requested by </w:t>
      </w:r>
      <w:r w:rsidR="61962C96">
        <w:t>a</w:t>
      </w:r>
      <w:r>
        <w:t xml:space="preserve"> </w:t>
      </w:r>
      <w:r w:rsidR="61962C96">
        <w:t>p</w:t>
      </w:r>
      <w:r>
        <w:t>anel, then that</w:t>
      </w:r>
      <w:r w:rsidRPr="00D45DB7">
        <w:t xml:space="preserve"> failure is a fact that can be taken into account</w:t>
      </w:r>
      <w:r>
        <w:t xml:space="preserve"> by th</w:t>
      </w:r>
      <w:r w:rsidR="001D6CE1">
        <w:t>at</w:t>
      </w:r>
      <w:r>
        <w:t xml:space="preserve"> </w:t>
      </w:r>
      <w:r w:rsidR="61962C96">
        <w:t>p</w:t>
      </w:r>
      <w:r>
        <w:t>anel in assessing the evidence on record and conclusions which should be drawn from it.</w:t>
      </w:r>
    </w:p>
    <w:p w14:paraId="31F3B182" w14:textId="6DED8ED6" w:rsidR="00CE0CDD" w:rsidRDefault="68FD26C6" w:rsidP="002D0CDD">
      <w:pPr>
        <w:pStyle w:val="HL1HeadingLevel1"/>
      </w:pPr>
      <w:bookmarkStart w:id="17" w:name="_Toc150441698"/>
      <w:r>
        <w:t xml:space="preserve">Systemic </w:t>
      </w:r>
      <w:r w:rsidR="47A7FBEA">
        <w:t>i</w:t>
      </w:r>
      <w:r>
        <w:t>mplications</w:t>
      </w:r>
      <w:bookmarkEnd w:id="17"/>
      <w:r w:rsidR="0984ECE6">
        <w:t xml:space="preserve"> </w:t>
      </w:r>
    </w:p>
    <w:p w14:paraId="488AD0AC" w14:textId="3349164E" w:rsidR="000A4370" w:rsidRDefault="000A4370" w:rsidP="000A4370">
      <w:pPr>
        <w:pStyle w:val="P1-N1Paragraph1-Number1"/>
      </w:pPr>
      <w:r>
        <w:t>Finally, taking a systemic view, Australia considers the issues raised in this dispute to be of the utmost importance to the effective functioning and credibility of the rules-based multilateral trading system. The WTO system relies on Members</w:t>
      </w:r>
      <w:r w:rsidR="00A31AF4">
        <w:t>'</w:t>
      </w:r>
      <w:r>
        <w:t xml:space="preserve"> consent to accept certain rules and concessions in return for access to concessions and adherence by others to those rules. Inevitably, and as envisaged by the system's architects, Members will disagree from time to time on whether another Member is complying with those undertakings. That is what the dispute settlement system is designed to address. However, transparency is the glue that holds the system together. If measures are deliberately designed to avoid scrutiny, </w:t>
      </w:r>
      <w:r w:rsidR="00A31AF4">
        <w:t xml:space="preserve">particularly where there is a pattern of this type of behaviour, </w:t>
      </w:r>
      <w:r>
        <w:t>Members' vital confidence in the rules and the system</w:t>
      </w:r>
      <w:r w:rsidR="00A31AF4">
        <w:t xml:space="preserve"> is undermined</w:t>
      </w:r>
      <w:r>
        <w:t>.  Over time, this can exacerbate non-compliance with the rules and ero</w:t>
      </w:r>
      <w:r w:rsidR="00C77D4F">
        <w:t>de</w:t>
      </w:r>
      <w:r>
        <w:t xml:space="preserve"> confidence in the system as a whole, putting at risk the predictability and stability of the trading environment for all Members.  </w:t>
      </w:r>
    </w:p>
    <w:p w14:paraId="107437BF" w14:textId="695DF43B" w:rsidR="000A4370" w:rsidRDefault="000A4370" w:rsidP="000A4370">
      <w:pPr>
        <w:pStyle w:val="P1-N1Paragraph1-Number1"/>
      </w:pPr>
      <w:r>
        <w:t>The threat to the system is further exacerbated by measures that are pursued in an abusive, arbitrary or pretextual manner, in order to advance an extraneous strategic or policy objective</w:t>
      </w:r>
      <w:r w:rsidR="00613CFE">
        <w:t>.</w:t>
      </w:r>
      <w:r>
        <w:rPr>
          <w:rStyle w:val="FootnoteReference"/>
        </w:rPr>
        <w:footnoteReference w:id="98"/>
      </w:r>
      <w:r w:rsidR="00613CFE">
        <w:t xml:space="preserve"> </w:t>
      </w:r>
      <w:r>
        <w:t xml:space="preserve">Australia has consistently raised concerns about such trade restrictive and </w:t>
      </w:r>
      <w:r>
        <w:lastRenderedPageBreak/>
        <w:t>disruptive measures in a range of fora, including the WTO, and through statements.</w:t>
      </w:r>
      <w:r>
        <w:rPr>
          <w:rStyle w:val="FootnoteReference"/>
        </w:rPr>
        <w:footnoteReference w:id="99"/>
      </w:r>
      <w:r>
        <w:t xml:space="preserve"> Such measures may be unwritten, while others are disguised as legitimate government regulatory or public policy measures, purportedly unrelated to the strategic objective they are in fact intended to advance. </w:t>
      </w:r>
    </w:p>
    <w:p w14:paraId="558B4505" w14:textId="66EA0897" w:rsidR="000A4370" w:rsidRDefault="000A4370" w:rsidP="000A4370">
      <w:pPr>
        <w:pStyle w:val="P1-N1Paragraph1-Number1"/>
      </w:pPr>
      <w:r>
        <w:t>The WTO cannot legitimise such measures. This would simply incentivise such practices. The rules must not be blind to those who act in the shadows. Their measures, even if unwritten or disguised, must be regarded as inconsistent not only with WTO rules but with the WTO</w:t>
      </w:r>
      <w:r w:rsidR="00C77D4F">
        <w:t>'</w:t>
      </w:r>
      <w:r>
        <w:t>s key tenet</w:t>
      </w:r>
      <w:r w:rsidR="00C77D4F">
        <w:t xml:space="preserve"> of</w:t>
      </w:r>
      <w:r>
        <w:t xml:space="preserve"> non-discrimination, and indeed with the WTO's underlying objective of reducing barriers to trade.</w:t>
      </w:r>
      <w:r>
        <w:rPr>
          <w:rStyle w:val="FootnoteReference"/>
        </w:rPr>
        <w:footnoteReference w:id="100"/>
      </w:r>
    </w:p>
    <w:p w14:paraId="5AE3B837" w14:textId="6CB70E25" w:rsidR="000A4370" w:rsidRDefault="000A4370" w:rsidP="000A4370">
      <w:pPr>
        <w:pStyle w:val="P1-N1Paragraph1-Number1"/>
      </w:pPr>
      <w:r>
        <w:t xml:space="preserve">Australia recognises that, by their nature, such measures are extremely challenging to address. However this is a challenge with which panels must grapple. In light of these considerations, Australia </w:t>
      </w:r>
      <w:r w:rsidR="00671A1D">
        <w:t xml:space="preserve">submits </w:t>
      </w:r>
      <w:r>
        <w:t xml:space="preserve">that the </w:t>
      </w:r>
      <w:r w:rsidR="00671A1D">
        <w:t xml:space="preserve">full </w:t>
      </w:r>
      <w:r>
        <w:t>assessment of the characteristics and evidence relating to the import restriction measure and the overarching measure</w:t>
      </w:r>
      <w:r w:rsidR="00671A1D">
        <w:t xml:space="preserve"> is</w:t>
      </w:r>
      <w:r>
        <w:t xml:space="preserve"> necessary and important to resolve this dispute. Australia urges the Panel not to exercise judicial economy in its analysis of the existence of those measures. </w:t>
      </w:r>
    </w:p>
    <w:p w14:paraId="6D1F094B" w14:textId="4E82386E" w:rsidR="000A4370" w:rsidRDefault="000A4370" w:rsidP="000A4370">
      <w:pPr>
        <w:pStyle w:val="P1-N1Paragraph1-Number1"/>
      </w:pPr>
      <w:r>
        <w:t>Australia draws no conclusions regarding the particular facts of this case. However, it urges the Panel to bear in mind its systemic implications in considering how measures of the nature that the E</w:t>
      </w:r>
      <w:r w:rsidR="008C27F6">
        <w:t xml:space="preserve">uropean </w:t>
      </w:r>
      <w:r>
        <w:t>U</w:t>
      </w:r>
      <w:r w:rsidR="008C27F6">
        <w:t>nion</w:t>
      </w:r>
      <w:r>
        <w:t xml:space="preserve"> has alleged can ever be addressed, when in fact they do exist. This dispute potentially serves as a test case for the capacity of WTO rules to accommodate an issue of vital concern and importance. While due care must be exercised, Australia considers that WTO rules have sufficient flexibility to appropriately analyse, capture and discipline even disguised measures, where sufficient evidence of their existence is put forward. In Australia's view, a pathway to combat such measures is not only available, </w:t>
      </w:r>
      <w:proofErr w:type="gramStart"/>
      <w:r>
        <w:t>it</w:t>
      </w:r>
      <w:r w:rsidR="0010725E">
        <w:t xml:space="preserve"> </w:t>
      </w:r>
      <w:r>
        <w:t>is</w:t>
      </w:r>
      <w:proofErr w:type="gramEnd"/>
      <w:r>
        <w:t xml:space="preserve"> essential to the ongoing functioning and health of the WTO system. </w:t>
      </w:r>
    </w:p>
    <w:p w14:paraId="14ABE610" w14:textId="1556C781" w:rsidR="00CB7112" w:rsidRDefault="00CB7112" w:rsidP="00CB7112">
      <w:pPr>
        <w:pStyle w:val="HL1HeadingLevel1"/>
      </w:pPr>
      <w:bookmarkStart w:id="18" w:name="_Toc150441699"/>
      <w:r>
        <w:lastRenderedPageBreak/>
        <w:t>Conclusion</w:t>
      </w:r>
      <w:bookmarkEnd w:id="18"/>
      <w:r w:rsidR="00646950">
        <w:t xml:space="preserve"> </w:t>
      </w:r>
    </w:p>
    <w:p w14:paraId="6C5A16E9" w14:textId="49DF1846" w:rsidR="485C701B" w:rsidRDefault="2F41361D" w:rsidP="00875646">
      <w:pPr>
        <w:pStyle w:val="P1-N1Paragraph1-Number1"/>
      </w:pPr>
      <w:r>
        <w:t xml:space="preserve">The allegations in this dispute raise important </w:t>
      </w:r>
      <w:r w:rsidR="26866FD1">
        <w:t>systemic</w:t>
      </w:r>
      <w:r>
        <w:t xml:space="preserve"> questions </w:t>
      </w:r>
      <w:r w:rsidR="40F4AC32">
        <w:t>about the capacity of the WTO system to respond to alleged measures that have been deliberately crafted to avoid scrutiny. In Australia's view, the current rules provide the flexibility to respond, whilst ensuring the due process entitlements of the respondent – provided they are interpreted to give effect to the flexibility they were always intended to have.</w:t>
      </w:r>
      <w:r w:rsidR="5454911B">
        <w:t xml:space="preserve"> </w:t>
      </w:r>
      <w:r w:rsidR="40F4AC32">
        <w:t>In that regard, as</w:t>
      </w:r>
      <w:r w:rsidR="6CED6130">
        <w:t xml:space="preserve"> the Appellate Body has stated:</w:t>
      </w:r>
    </w:p>
    <w:p w14:paraId="79F688DD" w14:textId="49E213E1" w:rsidR="00FF6B5A" w:rsidRDefault="00FF6B5A" w:rsidP="00FF6B5A">
      <w:pPr>
        <w:pStyle w:val="QQuotation"/>
      </w:pPr>
      <w:r>
        <w:t xml:space="preserve">WTO rules are reliable, comprehensible and enforceable. </w:t>
      </w:r>
      <w:r w:rsidRPr="00F856C3">
        <w:t>WTO rules are not so rigid or so inflexible as not to leave room for reasoned judgements in confronting the endless and ever-changing ebb and flow of real facts in real cases in the real world. They will serve the multilateral trading system best if they are interpreted with that in mind. In</w:t>
      </w:r>
      <w:r>
        <w:t xml:space="preserve"> that way, we will achieve the "security and predictability" sought for the multilateral trading system by the Members of the WTO through the establishment of the dispute settlement system.</w:t>
      </w:r>
      <w:r w:rsidR="00295262">
        <w:rPr>
          <w:rStyle w:val="FootnoteReference"/>
        </w:rPr>
        <w:footnoteReference w:id="101"/>
      </w:r>
      <w:r w:rsidR="00295262" w:rsidDel="00295262">
        <w:t xml:space="preserve"> </w:t>
      </w:r>
    </w:p>
    <w:p w14:paraId="55F4B80E" w14:textId="7823F64F" w:rsidR="00180A97" w:rsidRPr="00FF6B5A" w:rsidRDefault="54A2727E" w:rsidP="00AF6455">
      <w:pPr>
        <w:pStyle w:val="P1-N1Paragraph1-Number1"/>
      </w:pPr>
      <w:r>
        <w:t>Australia thanks the Panel for the opportunity to submit these views.</w:t>
      </w:r>
    </w:p>
    <w:sectPr w:rsidR="00180A97" w:rsidRPr="00FF6B5A" w:rsidSect="008F5B14">
      <w:headerReference w:type="default" r:id="rId7"/>
      <w:footerReference w:type="default" r:id="rId8"/>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1316A" w14:textId="77777777" w:rsidR="00DF4058" w:rsidRDefault="00DF4058" w:rsidP="00006269">
      <w:pPr>
        <w:spacing w:after="0" w:line="240" w:lineRule="auto"/>
      </w:pPr>
      <w:r>
        <w:separator/>
      </w:r>
    </w:p>
  </w:endnote>
  <w:endnote w:type="continuationSeparator" w:id="0">
    <w:p w14:paraId="6614ED0F" w14:textId="77777777" w:rsidR="00DF4058" w:rsidRDefault="00DF4058" w:rsidP="00006269">
      <w:pPr>
        <w:spacing w:after="0" w:line="240" w:lineRule="auto"/>
      </w:pPr>
      <w:r>
        <w:continuationSeparator/>
      </w:r>
    </w:p>
  </w:endnote>
  <w:endnote w:type="continuationNotice" w:id="1">
    <w:p w14:paraId="1C4ED46D" w14:textId="77777777" w:rsidR="00DF4058" w:rsidRDefault="00DF40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FD6C" w14:textId="77777777" w:rsidR="00AB418A" w:rsidRDefault="00AB418A">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38EF1" w14:textId="77777777" w:rsidR="00DF4058" w:rsidRDefault="00DF4058" w:rsidP="00006269">
      <w:pPr>
        <w:spacing w:after="0" w:line="240" w:lineRule="auto"/>
      </w:pPr>
      <w:r>
        <w:separator/>
      </w:r>
    </w:p>
  </w:footnote>
  <w:footnote w:type="continuationSeparator" w:id="0">
    <w:p w14:paraId="3B931888" w14:textId="77777777" w:rsidR="00DF4058" w:rsidRDefault="00DF4058" w:rsidP="00006269">
      <w:pPr>
        <w:spacing w:after="0" w:line="240" w:lineRule="auto"/>
      </w:pPr>
      <w:r>
        <w:continuationSeparator/>
      </w:r>
    </w:p>
  </w:footnote>
  <w:footnote w:type="continuationNotice" w:id="1">
    <w:p w14:paraId="2CE120E5" w14:textId="77777777" w:rsidR="00DF4058" w:rsidRDefault="00DF4058">
      <w:pPr>
        <w:spacing w:after="0" w:line="240" w:lineRule="auto"/>
      </w:pPr>
    </w:p>
  </w:footnote>
  <w:footnote w:id="2">
    <w:p w14:paraId="5979A81D" w14:textId="05CBEFA0" w:rsidR="000873EF" w:rsidRDefault="000873EF" w:rsidP="000873EF">
      <w:pPr>
        <w:pStyle w:val="FootnoteText"/>
      </w:pPr>
      <w:r>
        <w:rPr>
          <w:rStyle w:val="FootnoteReference"/>
        </w:rPr>
        <w:footnoteRef/>
      </w:r>
      <w:r>
        <w:t xml:space="preserve"> See for example, the European Union's first written submission, para. 84 in relation to the import restriction</w:t>
      </w:r>
      <w:r w:rsidR="00BE0B3B">
        <w:t xml:space="preserve"> and para. 569 in relation to the overarching measure</w:t>
      </w:r>
      <w:r>
        <w:t xml:space="preserve">; Panel Request, para. 1 of </w:t>
      </w:r>
      <w:r w:rsidR="001D6CE1">
        <w:t>s</w:t>
      </w:r>
      <w:r>
        <w:t xml:space="preserve">ection 1. </w:t>
      </w:r>
    </w:p>
  </w:footnote>
  <w:footnote w:id="3">
    <w:p w14:paraId="479C1FCA" w14:textId="4702F092" w:rsidR="00AB418A" w:rsidRDefault="00AB418A">
      <w:pPr>
        <w:pStyle w:val="FootnoteText"/>
      </w:pPr>
      <w:r>
        <w:rPr>
          <w:rStyle w:val="FootnoteReference"/>
        </w:rPr>
        <w:footnoteRef/>
      </w:r>
      <w:r>
        <w:t xml:space="preserve"> See for example, China's first written submission, para. 319.</w:t>
      </w:r>
    </w:p>
  </w:footnote>
  <w:footnote w:id="4">
    <w:p w14:paraId="53109DF2" w14:textId="74159791" w:rsidR="00AB418A" w:rsidRDefault="00AB418A">
      <w:pPr>
        <w:pStyle w:val="FootnoteText"/>
      </w:pPr>
      <w:r>
        <w:rPr>
          <w:rStyle w:val="FootnoteReference"/>
        </w:rPr>
        <w:footnoteRef/>
      </w:r>
      <w:r>
        <w:t xml:space="preserve"> See for example, China's first written submission, paras. 1</w:t>
      </w:r>
      <w:r w:rsidR="00BE0B3B">
        <w:t>09</w:t>
      </w:r>
      <w:r>
        <w:t xml:space="preserve"> – 111.</w:t>
      </w:r>
    </w:p>
  </w:footnote>
  <w:footnote w:id="5">
    <w:p w14:paraId="13D171D4" w14:textId="5C81818D" w:rsidR="00AB418A" w:rsidRDefault="00AB418A" w:rsidP="00E45CAC">
      <w:pPr>
        <w:pStyle w:val="FootnoteText"/>
      </w:pPr>
      <w:r>
        <w:rPr>
          <w:rStyle w:val="FootnoteReference"/>
        </w:rPr>
        <w:footnoteRef/>
      </w:r>
      <w:r>
        <w:t xml:space="preserve"> </w:t>
      </w:r>
      <w:r w:rsidR="00F856C3" w:rsidRPr="00F856C3">
        <w:t xml:space="preserve"> </w:t>
      </w:r>
      <w:r w:rsidR="00F856C3">
        <w:t>This</w:t>
      </w:r>
      <w:r w:rsidR="00F856C3" w:rsidRPr="009D65BD">
        <w:t xml:space="preserve"> includes an assessment of </w:t>
      </w:r>
      <w:r w:rsidR="00F856C3" w:rsidRPr="009D65BD">
        <w:rPr>
          <w:i/>
          <w:iCs/>
        </w:rPr>
        <w:t>what</w:t>
      </w:r>
      <w:r w:rsidR="00F856C3" w:rsidRPr="009D65BD">
        <w:t xml:space="preserve"> must be established to prove </w:t>
      </w:r>
      <w:r w:rsidR="00F856C3">
        <w:t xml:space="preserve">a measure. </w:t>
      </w:r>
      <w:r w:rsidR="003453DF">
        <w:t xml:space="preserve">There </w:t>
      </w:r>
      <w:r w:rsidRPr="00547020">
        <w:t xml:space="preserve">is also the </w:t>
      </w:r>
      <w:r w:rsidR="00BE0B3B">
        <w:t xml:space="preserve">related </w:t>
      </w:r>
      <w:r w:rsidRPr="00547020">
        <w:t>question of whether a measure is challengeable under the</w:t>
      </w:r>
      <w:r w:rsidR="004353FF">
        <w:t xml:space="preserve"> relevant</w:t>
      </w:r>
      <w:r w:rsidRPr="00547020">
        <w:t xml:space="preserve"> provision of </w:t>
      </w:r>
      <w:r w:rsidR="004353FF">
        <w:t>the</w:t>
      </w:r>
      <w:r w:rsidRPr="00547020">
        <w:t xml:space="preserve"> covered agreement</w:t>
      </w:r>
      <w:r w:rsidR="004353FF">
        <w:t>(s)</w:t>
      </w:r>
      <w:r w:rsidRPr="00547020">
        <w:t xml:space="preserve">. Australia's submission does not address </w:t>
      </w:r>
      <w:r>
        <w:t>that point.</w:t>
      </w:r>
    </w:p>
  </w:footnote>
  <w:footnote w:id="6">
    <w:p w14:paraId="730CD8DF" w14:textId="3DC096C0" w:rsidR="00B73821" w:rsidRPr="00AA675E" w:rsidRDefault="00B73821">
      <w:pPr>
        <w:pStyle w:val="FootnoteText"/>
      </w:pPr>
      <w:r>
        <w:rPr>
          <w:rStyle w:val="FootnoteReference"/>
        </w:rPr>
        <w:footnoteRef/>
      </w:r>
      <w:r>
        <w:t xml:space="preserve"> Appellate Body Report, </w:t>
      </w:r>
      <w:r>
        <w:rPr>
          <w:i/>
          <w:iCs/>
        </w:rPr>
        <w:t>US – Shrimp</w:t>
      </w:r>
      <w:r>
        <w:t>, para. 106 (bold emphasis added; other emphasis original). The Appellate Body's conclusion is based on the operation of Articles 12 and 13 of the DSU.</w:t>
      </w:r>
    </w:p>
  </w:footnote>
  <w:footnote w:id="7">
    <w:p w14:paraId="4DAE106D" w14:textId="466F79C3" w:rsidR="00AB418A" w:rsidRDefault="00AB418A">
      <w:pPr>
        <w:pStyle w:val="FootnoteText"/>
      </w:pPr>
      <w:r>
        <w:rPr>
          <w:rStyle w:val="FootnoteReference"/>
        </w:rPr>
        <w:footnoteRef/>
      </w:r>
      <w:r>
        <w:t xml:space="preserve"> For further, please see </w:t>
      </w:r>
      <w:r w:rsidR="001D6CE1">
        <w:t>s</w:t>
      </w:r>
      <w:r>
        <w:t xml:space="preserve">ection </w:t>
      </w:r>
      <w:r w:rsidR="00613CFE">
        <w:t>IV.B</w:t>
      </w:r>
      <w:r>
        <w:t xml:space="preserve"> on Article 13 of the DSU, below.</w:t>
      </w:r>
    </w:p>
  </w:footnote>
  <w:footnote w:id="8">
    <w:p w14:paraId="28803C14" w14:textId="5FCABE23" w:rsidR="00AB418A" w:rsidRDefault="00AB418A" w:rsidP="00EC2D5B">
      <w:pPr>
        <w:pStyle w:val="FootnoteText"/>
      </w:pPr>
      <w:r>
        <w:rPr>
          <w:rStyle w:val="FootnoteReference"/>
        </w:rPr>
        <w:footnoteRef/>
      </w:r>
      <w:r>
        <w:t xml:space="preserve"> </w:t>
      </w:r>
      <w:r w:rsidR="00062475" w:rsidRPr="00062475">
        <w:t xml:space="preserve">Appellate </w:t>
      </w:r>
      <w:r w:rsidR="00062475" w:rsidRPr="0012704C">
        <w:t>Body Report,</w:t>
      </w:r>
      <w:r w:rsidRPr="00062475">
        <w:t xml:space="preserve"> </w:t>
      </w:r>
      <w:r w:rsidR="00062475" w:rsidRPr="0012704C">
        <w:rPr>
          <w:i/>
          <w:iCs/>
        </w:rPr>
        <w:t>US – Supercalendered Paper</w:t>
      </w:r>
      <w:r w:rsidR="00062475" w:rsidRPr="0012704C">
        <w:t>,</w:t>
      </w:r>
      <w:r w:rsidRPr="00062475">
        <w:t xml:space="preserve"> para. 5.17 and disputes cited at footnote 6</w:t>
      </w:r>
      <w:r w:rsidR="00062475" w:rsidRPr="0012704C">
        <w:t>3 thereto</w:t>
      </w:r>
      <w:r w:rsidRPr="00062475">
        <w:t>.</w:t>
      </w:r>
      <w:r w:rsidRPr="00535D54">
        <w:t xml:space="preserve"> </w:t>
      </w:r>
    </w:p>
  </w:footnote>
  <w:footnote w:id="9">
    <w:p w14:paraId="5A8D82FA" w14:textId="71175389" w:rsidR="00AB418A" w:rsidRPr="00CD5AEE" w:rsidRDefault="00AB418A" w:rsidP="00EC2D5B">
      <w:pPr>
        <w:pStyle w:val="FootnoteText"/>
      </w:pPr>
      <w:r>
        <w:rPr>
          <w:rStyle w:val="FootnoteReference"/>
        </w:rPr>
        <w:footnoteRef/>
      </w:r>
      <w:r>
        <w:t xml:space="preserve"> A prominent example </w:t>
      </w:r>
      <w:r w:rsidR="00062475">
        <w:t xml:space="preserve">of an unwritten measure </w:t>
      </w:r>
      <w:r>
        <w:t xml:space="preserve">is Appellate Body Reports, </w:t>
      </w:r>
      <w:r>
        <w:rPr>
          <w:i/>
          <w:iCs/>
        </w:rPr>
        <w:t>Argentina – Import Measures</w:t>
      </w:r>
      <w:r>
        <w:t xml:space="preserve">. </w:t>
      </w:r>
    </w:p>
  </w:footnote>
  <w:footnote w:id="10">
    <w:p w14:paraId="01E684E5" w14:textId="731B6E40" w:rsidR="00AB418A" w:rsidRDefault="00AB418A" w:rsidP="00EC2D5B">
      <w:pPr>
        <w:pStyle w:val="FootnoteText"/>
      </w:pPr>
      <w:r>
        <w:rPr>
          <w:rStyle w:val="FootnoteReference"/>
        </w:rPr>
        <w:footnoteRef/>
      </w:r>
      <w:r>
        <w:t xml:space="preserve"> </w:t>
      </w:r>
      <w:r w:rsidR="00A616E5">
        <w:t xml:space="preserve">See </w:t>
      </w:r>
      <w:r w:rsidRPr="00535D54">
        <w:t xml:space="preserve">Appellate Body Report, </w:t>
      </w:r>
      <w:r w:rsidRPr="00AF709C">
        <w:rPr>
          <w:i/>
          <w:iCs/>
        </w:rPr>
        <w:t>US — Supercalendered Paper</w:t>
      </w:r>
      <w:r>
        <w:rPr>
          <w:i/>
          <w:iCs/>
        </w:rPr>
        <w:t xml:space="preserve">, </w:t>
      </w:r>
      <w:r w:rsidRPr="00AF709C">
        <w:t>para. 5.17</w:t>
      </w:r>
      <w:r w:rsidR="000231AA">
        <w:t xml:space="preserve"> and disputes cited at footnote 62 thereto</w:t>
      </w:r>
      <w:r w:rsidRPr="00AF709C">
        <w:t>.</w:t>
      </w:r>
      <w:r>
        <w:t xml:space="preserve"> </w:t>
      </w:r>
    </w:p>
  </w:footnote>
  <w:footnote w:id="11">
    <w:p w14:paraId="0384F107" w14:textId="798D10AA" w:rsidR="00AB418A" w:rsidRPr="00A33E29" w:rsidRDefault="00AB418A" w:rsidP="00EC2D5B">
      <w:pPr>
        <w:pStyle w:val="FootnoteText"/>
        <w:rPr>
          <w:i/>
          <w:iCs/>
        </w:rPr>
      </w:pPr>
      <w:r>
        <w:rPr>
          <w:rStyle w:val="FootnoteReference"/>
        </w:rPr>
        <w:footnoteRef/>
      </w:r>
      <w:r>
        <w:t xml:space="preserve"> </w:t>
      </w:r>
      <w:r w:rsidR="00671A1D">
        <w:t xml:space="preserve">See </w:t>
      </w:r>
      <w:r>
        <w:t xml:space="preserve">Appellate Body Report, </w:t>
      </w:r>
      <w:r>
        <w:rPr>
          <w:i/>
          <w:iCs/>
        </w:rPr>
        <w:t>US – Corrosion-Resistant Steel Sunset Review</w:t>
      </w:r>
      <w:r w:rsidRPr="00FA2F0E">
        <w:rPr>
          <w:color w:val="000000" w:themeColor="text1"/>
        </w:rPr>
        <w:t>, para. 85</w:t>
      </w:r>
      <w:r w:rsidR="00671A1D">
        <w:rPr>
          <w:color w:val="000000" w:themeColor="text1"/>
        </w:rPr>
        <w:t xml:space="preserve"> (quoting</w:t>
      </w:r>
      <w:r w:rsidRPr="00FA2F0E">
        <w:rPr>
          <w:color w:val="000000" w:themeColor="text1"/>
        </w:rPr>
        <w:t xml:space="preserve"> Appellate Body Report, </w:t>
      </w:r>
      <w:r w:rsidRPr="00FA2F0E">
        <w:rPr>
          <w:i/>
          <w:iCs/>
          <w:color w:val="000000" w:themeColor="text1"/>
        </w:rPr>
        <w:t>Guatemala – Cement I</w:t>
      </w:r>
      <w:r w:rsidRPr="00FA2F0E">
        <w:rPr>
          <w:color w:val="000000" w:themeColor="text1"/>
        </w:rPr>
        <w:t>, footnote 47</w:t>
      </w:r>
      <w:r w:rsidR="00613CFE">
        <w:rPr>
          <w:color w:val="000000" w:themeColor="text1"/>
        </w:rPr>
        <w:t xml:space="preserve">, </w:t>
      </w:r>
      <w:r w:rsidRPr="00FA2F0E">
        <w:rPr>
          <w:color w:val="000000" w:themeColor="text1"/>
        </w:rPr>
        <w:t>para. 69</w:t>
      </w:r>
      <w:r w:rsidR="00671A1D">
        <w:rPr>
          <w:color w:val="000000" w:themeColor="text1"/>
        </w:rPr>
        <w:t xml:space="preserve">; </w:t>
      </w:r>
      <w:r w:rsidRPr="00FA2F0E">
        <w:rPr>
          <w:color w:val="000000" w:themeColor="text1"/>
        </w:rPr>
        <w:t>additional reference omitted).</w:t>
      </w:r>
    </w:p>
  </w:footnote>
  <w:footnote w:id="12">
    <w:p w14:paraId="1E1F56FD" w14:textId="02902A94" w:rsidR="00AB418A" w:rsidRDefault="00AB418A" w:rsidP="00EC2D5B">
      <w:pPr>
        <w:pStyle w:val="FootnoteText"/>
      </w:pPr>
      <w:r>
        <w:rPr>
          <w:rStyle w:val="FootnoteReference"/>
        </w:rPr>
        <w:footnoteRef/>
      </w:r>
      <w:r>
        <w:t xml:space="preserve"> Appellate Body Report,</w:t>
      </w:r>
      <w:r w:rsidRPr="00AF709C">
        <w:t xml:space="preserve"> </w:t>
      </w:r>
      <w:r w:rsidRPr="00AF709C">
        <w:rPr>
          <w:i/>
          <w:iCs/>
        </w:rPr>
        <w:t>US — Corrosion-Resistant Steel Sunset Review</w:t>
      </w:r>
      <w:r>
        <w:t>, para.</w:t>
      </w:r>
      <w:r w:rsidRPr="000F1569">
        <w:t xml:space="preserve"> 89</w:t>
      </w:r>
      <w:r>
        <w:t>. (footnote omitted; emphasis added). See also</w:t>
      </w:r>
      <w:r w:rsidR="00886025">
        <w:t>,</w:t>
      </w:r>
      <w:r>
        <w:t xml:space="preserve"> Appellate Body Report, </w:t>
      </w:r>
      <w:r w:rsidRPr="00AF709C">
        <w:rPr>
          <w:i/>
          <w:iCs/>
        </w:rPr>
        <w:t>US — Zeroing</w:t>
      </w:r>
      <w:r w:rsidR="00A47780">
        <w:rPr>
          <w:i/>
          <w:iCs/>
        </w:rPr>
        <w:t xml:space="preserve"> (EC)</w:t>
      </w:r>
      <w:r w:rsidRPr="00AF709C">
        <w:t>,</w:t>
      </w:r>
      <w:r>
        <w:t xml:space="preserve"> para. 192.</w:t>
      </w:r>
    </w:p>
  </w:footnote>
  <w:footnote w:id="13">
    <w:p w14:paraId="3D120350" w14:textId="3D25287E" w:rsidR="00A616E5" w:rsidRDefault="00A616E5">
      <w:pPr>
        <w:pStyle w:val="FootnoteText"/>
      </w:pPr>
      <w:r>
        <w:rPr>
          <w:rStyle w:val="FootnoteReference"/>
        </w:rPr>
        <w:footnoteRef/>
      </w:r>
      <w:r>
        <w:t xml:space="preserve"> See Articles 3.3, 4.4 and 6.2 of the DSU, which refer to </w:t>
      </w:r>
      <w:r w:rsidR="00A47780">
        <w:t>"</w:t>
      </w:r>
      <w:r>
        <w:t>measures</w:t>
      </w:r>
      <w:r w:rsidR="00A47780">
        <w:t>".</w:t>
      </w:r>
    </w:p>
  </w:footnote>
  <w:footnote w:id="14">
    <w:p w14:paraId="1F3AA575" w14:textId="4465EDA7" w:rsidR="00AB418A" w:rsidRPr="00656F59" w:rsidRDefault="00AB418A">
      <w:pPr>
        <w:pStyle w:val="FootnoteText"/>
        <w:rPr>
          <w:iCs/>
        </w:rPr>
      </w:pPr>
      <w:r>
        <w:rPr>
          <w:rStyle w:val="FootnoteReference"/>
        </w:rPr>
        <w:footnoteRef/>
      </w:r>
      <w:r>
        <w:t xml:space="preserve"> Panel Report, </w:t>
      </w:r>
      <w:r>
        <w:rPr>
          <w:i/>
          <w:iCs/>
        </w:rPr>
        <w:t>Japan – Film</w:t>
      </w:r>
      <w:r>
        <w:t>, para. 10.29</w:t>
      </w:r>
      <w:r w:rsidR="00A47780">
        <w:t xml:space="preserve"> (referring to</w:t>
      </w:r>
      <w:r>
        <w:t xml:space="preserve"> Appellate Body Report, </w:t>
      </w:r>
      <w:r w:rsidRPr="00DF2643">
        <w:rPr>
          <w:i/>
          <w:iCs/>
        </w:rPr>
        <w:t>US - Wool Shirts and Blouses</w:t>
      </w:r>
      <w:r>
        <w:t>, p. 14</w:t>
      </w:r>
      <w:r w:rsidR="00A47780">
        <w:t>)</w:t>
      </w:r>
      <w:r>
        <w:t xml:space="preserve">. </w:t>
      </w:r>
      <w:r w:rsidR="003A00C3">
        <w:t xml:space="preserve">See also, Appellate Body Report, </w:t>
      </w:r>
      <w:r w:rsidR="003A00C3">
        <w:rPr>
          <w:i/>
          <w:iCs/>
          <w:szCs w:val="18"/>
        </w:rPr>
        <w:t>Chile – Price Band System (Article 21.5 – Argentina)</w:t>
      </w:r>
      <w:r w:rsidR="003A00C3">
        <w:rPr>
          <w:szCs w:val="18"/>
        </w:rPr>
        <w:t xml:space="preserve">, </w:t>
      </w:r>
      <w:r w:rsidR="003A00C3" w:rsidRPr="00DF2F8A">
        <w:rPr>
          <w:szCs w:val="18"/>
        </w:rPr>
        <w:t xml:space="preserve">para. </w:t>
      </w:r>
      <w:r w:rsidR="003A00C3" w:rsidRPr="00FA2F0E">
        <w:rPr>
          <w:szCs w:val="18"/>
        </w:rPr>
        <w:t>134 and footnote 172</w:t>
      </w:r>
      <w:r w:rsidR="003A00C3">
        <w:rPr>
          <w:szCs w:val="18"/>
        </w:rPr>
        <w:t xml:space="preserve"> thereto.</w:t>
      </w:r>
    </w:p>
  </w:footnote>
  <w:footnote w:id="15">
    <w:p w14:paraId="47572AD9" w14:textId="77777777" w:rsidR="003A00C3" w:rsidRDefault="003A00C3" w:rsidP="003A00C3">
      <w:pPr>
        <w:pStyle w:val="FootnoteText"/>
      </w:pPr>
      <w:r>
        <w:rPr>
          <w:rStyle w:val="FootnoteReference"/>
        </w:rPr>
        <w:footnoteRef/>
      </w:r>
      <w:r>
        <w:t xml:space="preserve"> Appellate Body Report, </w:t>
      </w:r>
      <w:r>
        <w:rPr>
          <w:i/>
          <w:iCs/>
        </w:rPr>
        <w:t>US – Gambling</w:t>
      </w:r>
      <w:r>
        <w:t xml:space="preserve">, para. 141: "The evidence and arguments underlying a </w:t>
      </w:r>
      <w:r>
        <w:rPr>
          <w:i/>
          <w:iCs/>
        </w:rPr>
        <w:t xml:space="preserve">prima facie </w:t>
      </w:r>
      <w:r>
        <w:t>case, therefore, must be sufficient to identify the challenged measure and its basic import, identify the relevant WTO provision and obligation contained therein, and explain the basis for the claimed inconsistency of the measure with that provision."</w:t>
      </w:r>
    </w:p>
  </w:footnote>
  <w:footnote w:id="16">
    <w:p w14:paraId="6CC56082" w14:textId="40514226" w:rsidR="00AB418A" w:rsidRPr="00EE2892" w:rsidRDefault="00AB418A">
      <w:pPr>
        <w:pStyle w:val="FootnoteText"/>
        <w:rPr>
          <w:i/>
          <w:iCs/>
          <w:sz w:val="20"/>
        </w:rPr>
      </w:pPr>
      <w:r>
        <w:rPr>
          <w:rStyle w:val="FootnoteReference"/>
        </w:rPr>
        <w:footnoteRef/>
      </w:r>
      <w:r>
        <w:t xml:space="preserve"> </w:t>
      </w:r>
      <w:r w:rsidR="005408D0">
        <w:t xml:space="preserve">See Appellate Body Report, </w:t>
      </w:r>
      <w:r w:rsidR="005408D0">
        <w:rPr>
          <w:i/>
          <w:iCs/>
        </w:rPr>
        <w:t xml:space="preserve">US – </w:t>
      </w:r>
      <w:r w:rsidR="005408D0" w:rsidRPr="005408D0">
        <w:rPr>
          <w:i/>
          <w:iCs/>
        </w:rPr>
        <w:t>Gambling</w:t>
      </w:r>
      <w:r w:rsidR="005408D0" w:rsidRPr="0012704C">
        <w:t>, para. 139</w:t>
      </w:r>
      <w:r w:rsidR="005408D0" w:rsidRPr="005408D0">
        <w:t xml:space="preserve">: </w:t>
      </w:r>
      <w:r w:rsidRPr="005408D0">
        <w:rPr>
          <w:i/>
          <w:iCs/>
          <w:szCs w:val="18"/>
        </w:rPr>
        <w:t>"</w:t>
      </w:r>
      <w:r w:rsidRPr="005408D0">
        <w:rPr>
          <w:szCs w:val="18"/>
        </w:rPr>
        <w:t xml:space="preserve">A panel errs when it rules on a claim for which the complaining party has failed to make a </w:t>
      </w:r>
      <w:r w:rsidRPr="0012704C">
        <w:rPr>
          <w:i/>
          <w:iCs/>
          <w:szCs w:val="18"/>
        </w:rPr>
        <w:t>prima facie</w:t>
      </w:r>
      <w:r w:rsidRPr="005408D0">
        <w:rPr>
          <w:szCs w:val="18"/>
        </w:rPr>
        <w:t xml:space="preserve"> case." </w:t>
      </w:r>
      <w:r w:rsidR="005408D0" w:rsidRPr="0012704C">
        <w:rPr>
          <w:szCs w:val="18"/>
        </w:rPr>
        <w:t>(footnote omitted)</w:t>
      </w:r>
    </w:p>
  </w:footnote>
  <w:footnote w:id="17">
    <w:p w14:paraId="44E94B9F" w14:textId="21037ED5" w:rsidR="00AB418A" w:rsidRDefault="00AB418A">
      <w:pPr>
        <w:pStyle w:val="FootnoteText"/>
      </w:pPr>
      <w:r>
        <w:rPr>
          <w:rStyle w:val="FootnoteReference"/>
        </w:rPr>
        <w:footnoteRef/>
      </w:r>
      <w:r>
        <w:t xml:space="preserve"> "</w:t>
      </w:r>
      <w:r w:rsidRPr="00200EC8">
        <w:t xml:space="preserve">[A] </w:t>
      </w:r>
      <w:r w:rsidRPr="003C65B0">
        <w:rPr>
          <w:i/>
          <w:iCs/>
        </w:rPr>
        <w:t>prima facie</w:t>
      </w:r>
      <w:r w:rsidRPr="00200EC8">
        <w:t xml:space="preserve"> case is one which, in the absence of effective refutation by the defending party, requires a panel, as a matter of law, to rule in favour of the complaining party</w:t>
      </w:r>
      <w:r w:rsidR="00FE59C3">
        <w:t xml:space="preserve"> presenting the </w:t>
      </w:r>
      <w:r w:rsidR="00FE59C3">
        <w:rPr>
          <w:i/>
          <w:iCs/>
        </w:rPr>
        <w:t xml:space="preserve">prima facie </w:t>
      </w:r>
      <w:r w:rsidR="00FE59C3">
        <w:t>case</w:t>
      </w:r>
      <w:r w:rsidRPr="00200EC8">
        <w:t>." (</w:t>
      </w:r>
      <w:r w:rsidR="00FE59C3">
        <w:t>Appellate Body Report</w:t>
      </w:r>
      <w:r w:rsidRPr="00200EC8">
        <w:t xml:space="preserve">, </w:t>
      </w:r>
      <w:r w:rsidRPr="003C65B0">
        <w:rPr>
          <w:i/>
          <w:iCs/>
        </w:rPr>
        <w:t>EC – Hormones</w:t>
      </w:r>
      <w:r w:rsidRPr="00200EC8">
        <w:t>, para. 104).</w:t>
      </w:r>
      <w:r>
        <w:t xml:space="preserve"> As to the burden of proof as it intersects with a panel's </w:t>
      </w:r>
      <w:r w:rsidR="00613CFE">
        <w:t xml:space="preserve">fact-finding </w:t>
      </w:r>
      <w:r>
        <w:t xml:space="preserve">authority under Article 13 of the DSU, please see </w:t>
      </w:r>
      <w:r w:rsidR="00613CFE">
        <w:t>paragraph 48, below.</w:t>
      </w:r>
    </w:p>
  </w:footnote>
  <w:footnote w:id="18">
    <w:p w14:paraId="50061E99" w14:textId="6773082E" w:rsidR="00AB418A" w:rsidRDefault="00AB418A" w:rsidP="00FE59C3">
      <w:pPr>
        <w:pStyle w:val="FootnoteText"/>
      </w:pPr>
      <w:r>
        <w:rPr>
          <w:rStyle w:val="FootnoteReference"/>
        </w:rPr>
        <w:footnoteRef/>
      </w:r>
      <w:r w:rsidR="00FE59C3">
        <w:t xml:space="preserve"> See Appellate Body Report, </w:t>
      </w:r>
      <w:r w:rsidR="00FE59C3">
        <w:rPr>
          <w:i/>
          <w:iCs/>
        </w:rPr>
        <w:t>US – Zeroing (EC)</w:t>
      </w:r>
      <w:r w:rsidR="00FE59C3">
        <w:t xml:space="preserve">, para. </w:t>
      </w:r>
      <w:r w:rsidR="003A00C3">
        <w:t xml:space="preserve">203: "[T]he Panel did not, in its analysis, clearly distinguish between the issue of ascertaining the existence of the challenged measure, which is especially important when unwritten measures are at issue, and </w:t>
      </w:r>
      <w:r w:rsidR="003A00C3" w:rsidRPr="0012704C">
        <w:rPr>
          <w:b/>
          <w:bCs/>
          <w:i/>
          <w:iCs/>
        </w:rPr>
        <w:t>the separate examination of its consistency with the relevant provisions of the covered agreements</w:t>
      </w:r>
      <w:r w:rsidR="003A00C3">
        <w:t>." (emphasis added; footnote omitted)</w:t>
      </w:r>
    </w:p>
  </w:footnote>
  <w:footnote w:id="19">
    <w:p w14:paraId="6359AF55" w14:textId="426CF807" w:rsidR="004353FF" w:rsidRPr="00F8523E" w:rsidRDefault="004353FF">
      <w:pPr>
        <w:pStyle w:val="FootnoteText"/>
      </w:pPr>
      <w:r>
        <w:rPr>
          <w:rStyle w:val="FootnoteReference"/>
        </w:rPr>
        <w:footnoteRef/>
      </w:r>
      <w:r>
        <w:t xml:space="preserve"> </w:t>
      </w:r>
      <w:r w:rsidRPr="00FA2F0E">
        <w:t xml:space="preserve">Appellate Body Report, </w:t>
      </w:r>
      <w:r w:rsidRPr="00FA2F0E">
        <w:rPr>
          <w:i/>
          <w:iCs/>
        </w:rPr>
        <w:t>US - Wool Shirts and Blouses</w:t>
      </w:r>
      <w:r w:rsidRPr="00FA2F0E">
        <w:t>,</w:t>
      </w:r>
      <w:r>
        <w:t xml:space="preserve"> p. 14.</w:t>
      </w:r>
      <w:r w:rsidR="00F8523E">
        <w:t xml:space="preserve"> See also</w:t>
      </w:r>
      <w:r w:rsidR="00886025">
        <w:t>,</w:t>
      </w:r>
      <w:r w:rsidR="00F8523E">
        <w:t xml:space="preserve"> Appellate Body Report, </w:t>
      </w:r>
      <w:r w:rsidR="00F8523E">
        <w:rPr>
          <w:i/>
          <w:iCs/>
        </w:rPr>
        <w:t>US - Large Civil Aircraft (2</w:t>
      </w:r>
      <w:r w:rsidR="00F8523E" w:rsidRPr="0012704C">
        <w:rPr>
          <w:i/>
          <w:iCs/>
          <w:vertAlign w:val="superscript"/>
        </w:rPr>
        <w:t>nd</w:t>
      </w:r>
      <w:r w:rsidR="00F8523E">
        <w:rPr>
          <w:i/>
          <w:iCs/>
        </w:rPr>
        <w:t xml:space="preserve"> complaint)</w:t>
      </w:r>
      <w:r w:rsidR="00F8523E">
        <w:t>, para. 713: "As initial trier of facts, a panel must […] base its findings on a sufficient evidentiary basis […]" (footnote omitted)</w:t>
      </w:r>
    </w:p>
  </w:footnote>
  <w:footnote w:id="20">
    <w:p w14:paraId="44A9281E" w14:textId="4DDE950A" w:rsidR="00AB418A" w:rsidRPr="00FA2F0E" w:rsidRDefault="00AB418A">
      <w:pPr>
        <w:pStyle w:val="FootnoteText"/>
      </w:pPr>
      <w:r>
        <w:rPr>
          <w:rStyle w:val="FootnoteReference"/>
        </w:rPr>
        <w:footnoteRef/>
      </w:r>
      <w:r>
        <w:t xml:space="preserve"> </w:t>
      </w:r>
      <w:r w:rsidR="00F8523E" w:rsidRPr="00F8523E">
        <w:t xml:space="preserve"> </w:t>
      </w:r>
      <w:r w:rsidR="00F8523E" w:rsidRPr="00FA2F0E">
        <w:t xml:space="preserve">Appellate Body Report, </w:t>
      </w:r>
      <w:r w:rsidR="00F8523E" w:rsidRPr="00FA2F0E">
        <w:rPr>
          <w:i/>
          <w:iCs/>
        </w:rPr>
        <w:t>US - Wool Shirts and Blouses</w:t>
      </w:r>
      <w:r w:rsidR="00F8523E" w:rsidRPr="00FA2F0E">
        <w:t>,</w:t>
      </w:r>
      <w:r w:rsidR="00F8523E">
        <w:t xml:space="preserve"> p. 14. </w:t>
      </w:r>
      <w:r w:rsidR="00813D6E">
        <w:t>(footnote omitted)</w:t>
      </w:r>
    </w:p>
  </w:footnote>
  <w:footnote w:id="21">
    <w:p w14:paraId="20001E67" w14:textId="56396A57" w:rsidR="00AB418A" w:rsidRPr="00FA2F0E" w:rsidRDefault="00AB418A">
      <w:pPr>
        <w:pStyle w:val="FootnoteText"/>
        <w:rPr>
          <w:color w:val="000000" w:themeColor="text1"/>
        </w:rPr>
      </w:pPr>
      <w:r w:rsidRPr="00FA2F0E">
        <w:rPr>
          <w:rStyle w:val="FootnoteReference"/>
          <w:color w:val="000000" w:themeColor="text1"/>
        </w:rPr>
        <w:footnoteRef/>
      </w:r>
      <w:r>
        <w:rPr>
          <w:color w:val="000000" w:themeColor="text1"/>
        </w:rPr>
        <w:t xml:space="preserve"> See Appellate Body Report,</w:t>
      </w:r>
      <w:r w:rsidRPr="00FA2F0E">
        <w:rPr>
          <w:color w:val="000000" w:themeColor="text1"/>
        </w:rPr>
        <w:t xml:space="preserve"> </w:t>
      </w:r>
      <w:r w:rsidRPr="00FA2F0E">
        <w:rPr>
          <w:i/>
          <w:iCs/>
          <w:color w:val="000000" w:themeColor="text1"/>
          <w:szCs w:val="18"/>
        </w:rPr>
        <w:t>US – Zeroing (EC)</w:t>
      </w:r>
      <w:r w:rsidRPr="00FA2F0E">
        <w:rPr>
          <w:color w:val="000000" w:themeColor="text1"/>
          <w:szCs w:val="18"/>
        </w:rPr>
        <w:t>, para. 198</w:t>
      </w:r>
      <w:r w:rsidR="00524AAE">
        <w:rPr>
          <w:color w:val="000000" w:themeColor="text1"/>
          <w:szCs w:val="18"/>
        </w:rPr>
        <w:t>. See also,</w:t>
      </w:r>
      <w:r w:rsidRPr="00FA2F0E">
        <w:rPr>
          <w:color w:val="000000" w:themeColor="text1"/>
          <w:szCs w:val="18"/>
        </w:rPr>
        <w:t xml:space="preserve"> Panel Report</w:t>
      </w:r>
      <w:r w:rsidR="00C77041">
        <w:rPr>
          <w:color w:val="000000" w:themeColor="text1"/>
          <w:szCs w:val="18"/>
        </w:rPr>
        <w:t>s</w:t>
      </w:r>
      <w:r w:rsidRPr="00FA2F0E">
        <w:rPr>
          <w:color w:val="000000" w:themeColor="text1"/>
          <w:szCs w:val="18"/>
        </w:rPr>
        <w:t xml:space="preserve">, </w:t>
      </w:r>
      <w:r w:rsidRPr="00FA2F0E">
        <w:rPr>
          <w:i/>
          <w:iCs/>
          <w:color w:val="000000" w:themeColor="text1"/>
          <w:szCs w:val="18"/>
        </w:rPr>
        <w:t>EU – Cost Adjustment Methodologies II (Russia)</w:t>
      </w:r>
      <w:r w:rsidRPr="00FA2F0E">
        <w:rPr>
          <w:color w:val="000000" w:themeColor="text1"/>
          <w:szCs w:val="18"/>
        </w:rPr>
        <w:t>, para. 7.2</w:t>
      </w:r>
      <w:r w:rsidR="00524AAE">
        <w:rPr>
          <w:color w:val="000000" w:themeColor="text1"/>
          <w:szCs w:val="18"/>
        </w:rPr>
        <w:t>6</w:t>
      </w:r>
      <w:r w:rsidR="00C77041">
        <w:rPr>
          <w:color w:val="000000" w:themeColor="text1"/>
          <w:szCs w:val="18"/>
        </w:rPr>
        <w:t xml:space="preserve">; </w:t>
      </w:r>
      <w:r w:rsidR="00C77041">
        <w:rPr>
          <w:i/>
          <w:iCs/>
        </w:rPr>
        <w:t>Russia – Railway Equipment</w:t>
      </w:r>
      <w:r w:rsidR="00C77041">
        <w:t>, para. 7.946 and disputes cited in footnote 730 thereto.</w:t>
      </w:r>
    </w:p>
  </w:footnote>
  <w:footnote w:id="22">
    <w:p w14:paraId="3BBDF72A" w14:textId="77777777" w:rsidR="00524AAE" w:rsidRDefault="00524AAE" w:rsidP="00524AAE">
      <w:pPr>
        <w:pStyle w:val="FootnoteText"/>
      </w:pPr>
      <w:r>
        <w:rPr>
          <w:rStyle w:val="FootnoteReference"/>
        </w:rPr>
        <w:footnoteRef/>
      </w:r>
      <w:r>
        <w:t xml:space="preserve"> Australia addresses that process of examination at section III.C of this submission.</w:t>
      </w:r>
    </w:p>
  </w:footnote>
  <w:footnote w:id="23">
    <w:p w14:paraId="2140366D" w14:textId="05C2EC76" w:rsidR="00AB418A" w:rsidRDefault="00AB418A" w:rsidP="007D5A7A">
      <w:pPr>
        <w:pStyle w:val="FootnoteText"/>
      </w:pPr>
      <w:r>
        <w:rPr>
          <w:rStyle w:val="FootnoteReference"/>
        </w:rPr>
        <w:footnoteRef/>
      </w:r>
      <w:r>
        <w:t xml:space="preserve"> Appellate Body Report, </w:t>
      </w:r>
      <w:r>
        <w:rPr>
          <w:i/>
          <w:iCs/>
        </w:rPr>
        <w:t>US – Zeroing (EC)</w:t>
      </w:r>
      <w:r>
        <w:t xml:space="preserve">, para. 198. The full text of </w:t>
      </w:r>
      <w:r w:rsidR="00524AAE">
        <w:t>that paragraph is</w:t>
      </w:r>
      <w:r w:rsidR="00613CFE">
        <w:t>:</w:t>
      </w:r>
      <w:r>
        <w:t xml:space="preserve"> "In o</w:t>
      </w:r>
      <w:r w:rsidRPr="002A3E9A">
        <w:t xml:space="preserve">ur view, when bringing a challenge against such a </w:t>
      </w:r>
      <w:r w:rsidR="00524AAE">
        <w:t>'</w:t>
      </w:r>
      <w:r w:rsidRPr="002A3E9A">
        <w:t>rule or norm</w:t>
      </w:r>
      <w:r w:rsidR="00524AAE">
        <w:t>'</w:t>
      </w:r>
      <w:r w:rsidRPr="002A3E9A">
        <w:t xml:space="preserve"> that constitutes a measure of general and prospective application</w:t>
      </w:r>
      <w:r w:rsidRPr="005437AA">
        <w:t>,</w:t>
      </w:r>
      <w:r w:rsidRPr="0012704C">
        <w:t xml:space="preserve"> a complaining party must clearly establish, through arguments and supporting evidence,</w:t>
      </w:r>
      <w:r w:rsidRPr="00EB03B5">
        <w:rPr>
          <w:b/>
          <w:bCs/>
          <w:i/>
          <w:iCs/>
        </w:rPr>
        <w:t xml:space="preserve"> </w:t>
      </w:r>
      <w:r w:rsidRPr="0012704C">
        <w:t xml:space="preserve">at least that the alleged </w:t>
      </w:r>
      <w:r w:rsidR="00524AAE">
        <w:t>'</w:t>
      </w:r>
      <w:r w:rsidRPr="0012704C">
        <w:t>rule or norm</w:t>
      </w:r>
      <w:r w:rsidR="00524AAE">
        <w:t>'</w:t>
      </w:r>
      <w:r w:rsidRPr="0012704C">
        <w:t xml:space="preserve"> is attributable to the responding Member; its precise content; and indeed, that it does have general and prospective application. It is only if the complaining party meets this high threshold, </w:t>
      </w:r>
      <w:r w:rsidRPr="00524AAE">
        <w:t xml:space="preserve">and puts forward sufficient evidence with respect to each of these elements, </w:t>
      </w:r>
      <w:r w:rsidRPr="002A3E9A">
        <w:t xml:space="preserve">that a panel would be in a position to find that the </w:t>
      </w:r>
      <w:r w:rsidR="00524AAE">
        <w:t>'</w:t>
      </w:r>
      <w:r w:rsidRPr="002A3E9A">
        <w:t>rule or norm</w:t>
      </w:r>
      <w:r w:rsidR="00524AAE">
        <w:t>'</w:t>
      </w:r>
      <w:r w:rsidRPr="002A3E9A">
        <w:t xml:space="preserve"> may be challenged, as such</w:t>
      </w:r>
      <w:r w:rsidR="00524AAE">
        <w:t xml:space="preserve">. This evidence may include proof of the systemic application of the challenged 'rule or norm'. Particular rigour is required on the part of a panel to support a conclusion as to the existence of a 'rule or norm' that is </w:t>
      </w:r>
      <w:r w:rsidR="00524AAE">
        <w:rPr>
          <w:i/>
          <w:iCs/>
        </w:rPr>
        <w:t xml:space="preserve">not </w:t>
      </w:r>
      <w:r w:rsidR="00524AAE">
        <w:t>expressed the form of a written document. A panel must carefully examine the concrete instrumentalities that evidence the existence of the purported 'rule or norm' in order to conclude that such 'rule or norm' can be challenged, as such.</w:t>
      </w:r>
      <w:r>
        <w:t>" (</w:t>
      </w:r>
      <w:r w:rsidR="00524AAE">
        <w:t>emphasis original; footnote omitted</w:t>
      </w:r>
      <w:r>
        <w:t xml:space="preserve">) </w:t>
      </w:r>
    </w:p>
  </w:footnote>
  <w:footnote w:id="24">
    <w:p w14:paraId="2CFD1554" w14:textId="2069F791" w:rsidR="00AB418A" w:rsidRPr="00B136A2" w:rsidRDefault="00AB418A">
      <w:pPr>
        <w:pStyle w:val="FootnoteText"/>
      </w:pPr>
      <w:r>
        <w:rPr>
          <w:rStyle w:val="FootnoteReference"/>
        </w:rPr>
        <w:footnoteRef/>
      </w:r>
      <w:r>
        <w:t xml:space="preserve"> Contrast with China's first written </w:t>
      </w:r>
      <w:r w:rsidR="006D1DAC">
        <w:t>submission</w:t>
      </w:r>
      <w:r>
        <w:t>, para. 286.</w:t>
      </w:r>
      <w:r w:rsidR="00B136A2">
        <w:t xml:space="preserve"> China cites Appellate Body Report, </w:t>
      </w:r>
      <w:r w:rsidR="00B136A2">
        <w:rPr>
          <w:i/>
          <w:iCs/>
        </w:rPr>
        <w:t>US – Oil Country Tubular Goods Sunset Reviews</w:t>
      </w:r>
      <w:r w:rsidR="00B136A2">
        <w:t>, para. 172, in support of its submission at paragraph 286. The cited passage observes that "as such" challenges are "serious challenges", in the context of the panel's terms of reference. That paragraph is not relevant to China's submission</w:t>
      </w:r>
      <w:r w:rsidR="007C55B9">
        <w:t xml:space="preserve"> on this point</w:t>
      </w:r>
      <w:r w:rsidR="00B136A2">
        <w:t>.</w:t>
      </w:r>
    </w:p>
  </w:footnote>
  <w:footnote w:id="25">
    <w:p w14:paraId="7BA80910" w14:textId="25FD37ED" w:rsidR="00B136A2" w:rsidRPr="005437AA" w:rsidRDefault="00B136A2" w:rsidP="00B136A2">
      <w:pPr>
        <w:pStyle w:val="FootnoteText"/>
      </w:pPr>
      <w:r>
        <w:rPr>
          <w:rStyle w:val="FootnoteReference"/>
        </w:rPr>
        <w:footnoteRef/>
      </w:r>
      <w:r>
        <w:t xml:space="preserve"> These three elements are "attribution", "precise content" and "general and prospective application". See Appellate Body Report, </w:t>
      </w:r>
      <w:r>
        <w:rPr>
          <w:i/>
          <w:iCs/>
        </w:rPr>
        <w:t>US – Zeroing (EC)</w:t>
      </w:r>
      <w:r>
        <w:t>, para. 198.</w:t>
      </w:r>
    </w:p>
  </w:footnote>
  <w:footnote w:id="26">
    <w:p w14:paraId="5F750ABF" w14:textId="07CC602D" w:rsidR="005437AA" w:rsidRDefault="005437AA">
      <w:pPr>
        <w:pStyle w:val="FootnoteText"/>
      </w:pPr>
      <w:r>
        <w:rPr>
          <w:rStyle w:val="FootnoteReference"/>
        </w:rPr>
        <w:footnoteRef/>
      </w:r>
      <w:r>
        <w:t xml:space="preserve"> </w:t>
      </w:r>
      <w:r w:rsidR="00B136A2">
        <w:t xml:space="preserve">The full </w:t>
      </w:r>
      <w:r>
        <w:t xml:space="preserve">quote of </w:t>
      </w:r>
      <w:r w:rsidR="00B136A2">
        <w:t xml:space="preserve">paragraph 198 of Appellate Body Report, </w:t>
      </w:r>
      <w:r w:rsidR="00B136A2">
        <w:rPr>
          <w:i/>
          <w:iCs/>
        </w:rPr>
        <w:t>US – Zeroing (EC)</w:t>
      </w:r>
      <w:r w:rsidR="007C7776">
        <w:t>,</w:t>
      </w:r>
      <w:r w:rsidR="00B136A2">
        <w:rPr>
          <w:i/>
          <w:iCs/>
        </w:rPr>
        <w:t xml:space="preserve"> </w:t>
      </w:r>
      <w:r w:rsidR="00B136A2">
        <w:t xml:space="preserve">is extracted </w:t>
      </w:r>
      <w:r>
        <w:t>at footnote 2</w:t>
      </w:r>
      <w:r w:rsidR="00463CD4">
        <w:t>3</w:t>
      </w:r>
      <w:r>
        <w:t>, above.</w:t>
      </w:r>
    </w:p>
  </w:footnote>
  <w:footnote w:id="27">
    <w:p w14:paraId="292FF070" w14:textId="1A6A13C3" w:rsidR="004D1DC9" w:rsidRDefault="004D1DC9">
      <w:pPr>
        <w:pStyle w:val="FootnoteText"/>
      </w:pPr>
      <w:r>
        <w:rPr>
          <w:rStyle w:val="FootnoteReference"/>
        </w:rPr>
        <w:footnoteRef/>
      </w:r>
      <w:r>
        <w:t xml:space="preserve"> See China's first written submission, paras. 22 – 23. </w:t>
      </w:r>
    </w:p>
  </w:footnote>
  <w:footnote w:id="28">
    <w:p w14:paraId="4ECAA811" w14:textId="395A1F02" w:rsidR="005F425D" w:rsidRPr="005F425D" w:rsidRDefault="005F425D">
      <w:pPr>
        <w:pStyle w:val="FootnoteText"/>
      </w:pPr>
      <w:r>
        <w:rPr>
          <w:rStyle w:val="FootnoteReference"/>
        </w:rPr>
        <w:footnoteRef/>
      </w:r>
      <w:r>
        <w:t xml:space="preserve"> Appellate Body Report, </w:t>
      </w:r>
      <w:r>
        <w:rPr>
          <w:i/>
          <w:iCs/>
        </w:rPr>
        <w:t>US – Zeroing (EC)</w:t>
      </w:r>
      <w:r>
        <w:t xml:space="preserve">, para. 198: "Particular rigour is required on the part of a panel to support a conclusion as to the existence of a 'rule or norm' that is </w:t>
      </w:r>
      <w:r>
        <w:rPr>
          <w:i/>
          <w:iCs/>
        </w:rPr>
        <w:t xml:space="preserve">not </w:t>
      </w:r>
      <w:r>
        <w:t>expressed in the form of a written document. A panel must carefully examine the concrete instrumentalities that evidence the existence of the purported 'rule or norm'</w:t>
      </w:r>
      <w:r w:rsidR="00613CFE">
        <w:t xml:space="preserve"> </w:t>
      </w:r>
      <w:r>
        <w:t>[…]"</w:t>
      </w:r>
      <w:r w:rsidR="007C7776">
        <w:t xml:space="preserve"> (emphasis original)</w:t>
      </w:r>
    </w:p>
  </w:footnote>
  <w:footnote w:id="29">
    <w:p w14:paraId="05389EAC" w14:textId="3802EDAB" w:rsidR="005F425D" w:rsidRDefault="005F425D">
      <w:pPr>
        <w:pStyle w:val="FootnoteText"/>
      </w:pPr>
      <w:r>
        <w:rPr>
          <w:rStyle w:val="FootnoteReference"/>
        </w:rPr>
        <w:footnoteRef/>
      </w:r>
      <w:r>
        <w:t xml:space="preserve"> Ibid.</w:t>
      </w:r>
    </w:p>
  </w:footnote>
  <w:footnote w:id="30">
    <w:p w14:paraId="70379DE0" w14:textId="797E2D12" w:rsidR="00AB418A" w:rsidRPr="0016120B" w:rsidRDefault="00AB418A">
      <w:pPr>
        <w:pStyle w:val="FootnoteText"/>
      </w:pPr>
      <w:r>
        <w:rPr>
          <w:rStyle w:val="FootnoteReference"/>
        </w:rPr>
        <w:footnoteRef/>
      </w:r>
      <w:r>
        <w:t xml:space="preserve"> See</w:t>
      </w:r>
      <w:r w:rsidR="007A186F">
        <w:t xml:space="preserve"> Appellate Body Report,</w:t>
      </w:r>
      <w:r>
        <w:t xml:space="preserve"> </w:t>
      </w:r>
      <w:r>
        <w:rPr>
          <w:i/>
          <w:iCs/>
        </w:rPr>
        <w:t xml:space="preserve">US – </w:t>
      </w:r>
      <w:r w:rsidR="00613CFE">
        <w:rPr>
          <w:i/>
          <w:iCs/>
        </w:rPr>
        <w:t>O</w:t>
      </w:r>
      <w:r>
        <w:rPr>
          <w:i/>
          <w:iCs/>
        </w:rPr>
        <w:t>il Country Tubular Goods Sunset Reviews</w:t>
      </w:r>
      <w:r>
        <w:t xml:space="preserve">, para. 217. While this paragraph relates to the seriousness of </w:t>
      </w:r>
      <w:r w:rsidR="007A186F">
        <w:t xml:space="preserve">certain </w:t>
      </w:r>
      <w:r>
        <w:t>allegations of inconsistency with covered agreements, Australia acknowledges in a general sense that "serious" allegations "should not be brought lightly" and "must be supported by solid evidence"</w:t>
      </w:r>
      <w:r w:rsidR="007A186F">
        <w:t>, as stated in that paragraph.</w:t>
      </w:r>
    </w:p>
  </w:footnote>
  <w:footnote w:id="31">
    <w:p w14:paraId="2FD4B1D1" w14:textId="66897B43" w:rsidR="00AB418A" w:rsidRDefault="00AB418A">
      <w:pPr>
        <w:pStyle w:val="FootnoteText"/>
      </w:pPr>
      <w:r>
        <w:rPr>
          <w:rStyle w:val="FootnoteReference"/>
        </w:rPr>
        <w:footnoteRef/>
      </w:r>
      <w:r>
        <w:t xml:space="preserve"> China's first written submission, para. 34.</w:t>
      </w:r>
    </w:p>
  </w:footnote>
  <w:footnote w:id="32">
    <w:p w14:paraId="6BDA9D0D" w14:textId="011806FE" w:rsidR="00AB418A" w:rsidRPr="00365F14" w:rsidRDefault="00AB418A" w:rsidP="00445573">
      <w:pPr>
        <w:pStyle w:val="FootnoteText"/>
      </w:pPr>
      <w:r>
        <w:rPr>
          <w:rStyle w:val="FootnoteReference"/>
        </w:rPr>
        <w:footnoteRef/>
      </w:r>
      <w:r>
        <w:t xml:space="preserve"> Appellate Body Report, </w:t>
      </w:r>
      <w:r w:rsidRPr="00915760">
        <w:rPr>
          <w:i/>
        </w:rPr>
        <w:t>US – Supercalendered Paper</w:t>
      </w:r>
      <w:r w:rsidRPr="003F1358">
        <w:t>, para. 5.17</w:t>
      </w:r>
      <w:r w:rsidR="00886025">
        <w:t>.</w:t>
      </w:r>
      <w:r>
        <w:t xml:space="preserve"> (</w:t>
      </w:r>
      <w:r w:rsidRPr="003F1358">
        <w:t>emphasis added</w:t>
      </w:r>
      <w:r>
        <w:t xml:space="preserve">) See also, Appellate Body Reports, </w:t>
      </w:r>
      <w:r>
        <w:rPr>
          <w:i/>
        </w:rPr>
        <w:t>Argentina – Import Measures</w:t>
      </w:r>
      <w:r>
        <w:t>, paras. 5.10</w:t>
      </w:r>
      <w:r w:rsidR="00553507">
        <w:t>8.</w:t>
      </w:r>
    </w:p>
  </w:footnote>
  <w:footnote w:id="33">
    <w:p w14:paraId="3CC7FF72" w14:textId="0DBB5AF5" w:rsidR="00AB418A" w:rsidRDefault="00AB418A" w:rsidP="00445573">
      <w:pPr>
        <w:pStyle w:val="FootnoteText"/>
      </w:pPr>
      <w:r>
        <w:rPr>
          <w:rStyle w:val="FootnoteReference"/>
        </w:rPr>
        <w:footnoteRef/>
      </w:r>
      <w:r>
        <w:t xml:space="preserve"> Appellate Body Reports, </w:t>
      </w:r>
      <w:r w:rsidRPr="00FA2F0E">
        <w:rPr>
          <w:i/>
          <w:iCs/>
          <w:szCs w:val="18"/>
        </w:rPr>
        <w:t xml:space="preserve">Argentina – Import Measures, </w:t>
      </w:r>
      <w:r w:rsidRPr="00FA2F0E">
        <w:rPr>
          <w:szCs w:val="18"/>
        </w:rPr>
        <w:t xml:space="preserve">para. 5.108 </w:t>
      </w:r>
      <w:r>
        <w:rPr>
          <w:szCs w:val="18"/>
        </w:rPr>
        <w:t>(</w:t>
      </w:r>
      <w:r w:rsidRPr="00FA2F0E">
        <w:rPr>
          <w:szCs w:val="18"/>
        </w:rPr>
        <w:t>emphasis added). See also</w:t>
      </w:r>
      <w:r>
        <w:rPr>
          <w:szCs w:val="18"/>
        </w:rPr>
        <w:t xml:space="preserve">, Appellate Body Report, </w:t>
      </w:r>
      <w:r w:rsidRPr="00FA2F0E">
        <w:rPr>
          <w:i/>
          <w:iCs/>
          <w:szCs w:val="18"/>
        </w:rPr>
        <w:t xml:space="preserve">US </w:t>
      </w:r>
      <w:r>
        <w:rPr>
          <w:i/>
          <w:iCs/>
          <w:szCs w:val="18"/>
        </w:rPr>
        <w:t>-</w:t>
      </w:r>
      <w:r w:rsidRPr="00FA2F0E">
        <w:rPr>
          <w:i/>
          <w:iCs/>
          <w:szCs w:val="18"/>
        </w:rPr>
        <w:t xml:space="preserve"> Anti-Dumping Methodologies (China)</w:t>
      </w:r>
      <w:r w:rsidRPr="00FA2F0E">
        <w:rPr>
          <w:szCs w:val="18"/>
        </w:rPr>
        <w:t xml:space="preserve"> para. 5.123</w:t>
      </w:r>
      <w:r w:rsidR="007A24F8">
        <w:rPr>
          <w:szCs w:val="18"/>
        </w:rPr>
        <w:t xml:space="preserve"> (footnote omitted) </w:t>
      </w:r>
      <w:r>
        <w:rPr>
          <w:szCs w:val="18"/>
        </w:rPr>
        <w:t>and</w:t>
      </w:r>
      <w:r w:rsidRPr="00FA2F0E">
        <w:rPr>
          <w:szCs w:val="18"/>
        </w:rPr>
        <w:t xml:space="preserve"> Panel Report</w:t>
      </w:r>
      <w:r>
        <w:rPr>
          <w:szCs w:val="18"/>
        </w:rPr>
        <w:t>s</w:t>
      </w:r>
      <w:r w:rsidRPr="00FA2F0E">
        <w:rPr>
          <w:szCs w:val="18"/>
        </w:rPr>
        <w:t xml:space="preserve">, </w:t>
      </w:r>
      <w:r w:rsidRPr="00FA2F0E">
        <w:rPr>
          <w:i/>
          <w:iCs/>
          <w:szCs w:val="18"/>
        </w:rPr>
        <w:t xml:space="preserve">Russia – Tariff Treatment </w:t>
      </w:r>
      <w:r w:rsidRPr="00FA2F0E">
        <w:rPr>
          <w:szCs w:val="18"/>
        </w:rPr>
        <w:t xml:space="preserve">para. 7.296; </w:t>
      </w:r>
      <w:r w:rsidRPr="00FA2F0E">
        <w:rPr>
          <w:i/>
          <w:iCs/>
          <w:szCs w:val="18"/>
        </w:rPr>
        <w:t>US – Anti-Dumping and Countervailing Duties (Korea)</w:t>
      </w:r>
      <w:r w:rsidRPr="00FA2F0E">
        <w:rPr>
          <w:szCs w:val="18"/>
        </w:rPr>
        <w:t>, para. 7.703</w:t>
      </w:r>
      <w:r>
        <w:rPr>
          <w:szCs w:val="18"/>
        </w:rPr>
        <w:t>.</w:t>
      </w:r>
    </w:p>
  </w:footnote>
  <w:footnote w:id="34">
    <w:p w14:paraId="53052879" w14:textId="141D8C8B" w:rsidR="00AB418A" w:rsidRDefault="00AB418A">
      <w:pPr>
        <w:pStyle w:val="FootnoteText"/>
      </w:pPr>
      <w:r>
        <w:rPr>
          <w:rStyle w:val="FootnoteReference"/>
        </w:rPr>
        <w:footnoteRef/>
      </w:r>
      <w:r>
        <w:t xml:space="preserve"> See </w:t>
      </w:r>
      <w:r w:rsidR="00A864A2">
        <w:t xml:space="preserve">for example, </w:t>
      </w:r>
      <w:r>
        <w:t>China's first written submission</w:t>
      </w:r>
      <w:r w:rsidR="008C2EF8">
        <w:t>, para. 2</w:t>
      </w:r>
      <w:r w:rsidR="00A864A2">
        <w:t>7</w:t>
      </w:r>
      <w:r w:rsidR="008C2EF8">
        <w:t>.</w:t>
      </w:r>
    </w:p>
  </w:footnote>
  <w:footnote w:id="35">
    <w:p w14:paraId="0440532B" w14:textId="0334F3E3" w:rsidR="00AB418A" w:rsidRDefault="00AB418A">
      <w:pPr>
        <w:pStyle w:val="FootnoteText"/>
      </w:pPr>
      <w:r>
        <w:rPr>
          <w:rStyle w:val="FootnoteReference"/>
        </w:rPr>
        <w:footnoteRef/>
      </w:r>
      <w:r>
        <w:t xml:space="preserve"> China's first written submission, para. 2</w:t>
      </w:r>
      <w:r w:rsidR="00A864A2">
        <w:t>9.</w:t>
      </w:r>
    </w:p>
  </w:footnote>
  <w:footnote w:id="36">
    <w:p w14:paraId="2F966D3A" w14:textId="42C77DFD" w:rsidR="00AB418A" w:rsidRDefault="00AB418A">
      <w:pPr>
        <w:pStyle w:val="FootnoteText"/>
      </w:pPr>
      <w:r>
        <w:rPr>
          <w:rStyle w:val="FootnoteReference"/>
        </w:rPr>
        <w:footnoteRef/>
      </w:r>
      <w:r>
        <w:t xml:space="preserve"> </w:t>
      </w:r>
      <w:r w:rsidRPr="0012704C">
        <w:rPr>
          <w:iCs/>
        </w:rPr>
        <w:t>Ibid</w:t>
      </w:r>
      <w:r>
        <w:t>.</w:t>
      </w:r>
    </w:p>
  </w:footnote>
  <w:footnote w:id="37">
    <w:p w14:paraId="0A2D83FF" w14:textId="0E86C933" w:rsidR="00AB418A" w:rsidRDefault="00AB418A">
      <w:pPr>
        <w:pStyle w:val="FootnoteText"/>
      </w:pPr>
      <w:r>
        <w:rPr>
          <w:rStyle w:val="FootnoteReference"/>
        </w:rPr>
        <w:footnoteRef/>
      </w:r>
      <w:r>
        <w:t xml:space="preserve"> </w:t>
      </w:r>
      <w:r w:rsidRPr="006D369A">
        <w:t xml:space="preserve">Appellate Body Report, </w:t>
      </w:r>
      <w:r w:rsidRPr="006D369A">
        <w:rPr>
          <w:i/>
          <w:iCs/>
        </w:rPr>
        <w:t>US – Continued Zeroing</w:t>
      </w:r>
      <w:r w:rsidRPr="006D369A">
        <w:t>, para. 190</w:t>
      </w:r>
      <w:r>
        <w:t>.</w:t>
      </w:r>
    </w:p>
  </w:footnote>
  <w:footnote w:id="38">
    <w:p w14:paraId="7863645A" w14:textId="5B1CD9A6" w:rsidR="00AB418A" w:rsidRDefault="00AB418A">
      <w:pPr>
        <w:pStyle w:val="FootnoteText"/>
      </w:pPr>
      <w:r>
        <w:rPr>
          <w:rStyle w:val="FootnoteReference"/>
        </w:rPr>
        <w:footnoteRef/>
      </w:r>
      <w:r>
        <w:t xml:space="preserve"> China's first written submission, para. 30.</w:t>
      </w:r>
      <w:r w:rsidR="004F2FE4">
        <w:t xml:space="preserve"> (emphasis original)</w:t>
      </w:r>
    </w:p>
  </w:footnote>
  <w:footnote w:id="39">
    <w:p w14:paraId="463999E8" w14:textId="5397F1DD" w:rsidR="00AB418A" w:rsidRDefault="00AB418A">
      <w:pPr>
        <w:pStyle w:val="FootnoteText"/>
      </w:pPr>
      <w:r>
        <w:rPr>
          <w:rStyle w:val="FootnoteReference"/>
        </w:rPr>
        <w:footnoteRef/>
      </w:r>
      <w:r w:rsidR="00AB42C4">
        <w:t xml:space="preserve"> </w:t>
      </w:r>
      <w:r w:rsidR="004F2FE4">
        <w:t>As suggested by China in its</w:t>
      </w:r>
      <w:r>
        <w:t xml:space="preserve"> first written submission, para. 107.</w:t>
      </w:r>
      <w:r w:rsidR="00AB42C4">
        <w:t xml:space="preserve"> (emphasis original)</w:t>
      </w:r>
    </w:p>
  </w:footnote>
  <w:footnote w:id="40">
    <w:p w14:paraId="26896F87" w14:textId="788185F3" w:rsidR="00512F2D" w:rsidRPr="0012704C" w:rsidRDefault="00512F2D">
      <w:pPr>
        <w:pStyle w:val="FootnoteText"/>
        <w:rPr>
          <w:i/>
          <w:iCs/>
        </w:rPr>
      </w:pPr>
      <w:r>
        <w:rPr>
          <w:rStyle w:val="FootnoteReference"/>
        </w:rPr>
        <w:footnoteRef/>
      </w:r>
      <w:r>
        <w:t xml:space="preserve"> See Appellate Body Report, </w:t>
      </w:r>
      <w:r w:rsidRPr="0012704C">
        <w:rPr>
          <w:i/>
          <w:iCs/>
        </w:rPr>
        <w:t>U</w:t>
      </w:r>
      <w:r>
        <w:rPr>
          <w:i/>
          <w:iCs/>
        </w:rPr>
        <w:t>S</w:t>
      </w:r>
      <w:r w:rsidRPr="0012704C">
        <w:rPr>
          <w:i/>
          <w:iCs/>
        </w:rPr>
        <w:t xml:space="preserve"> – Continued Zeroing</w:t>
      </w:r>
      <w:r>
        <w:t>, para. 179.</w:t>
      </w:r>
    </w:p>
  </w:footnote>
  <w:footnote w:id="41">
    <w:p w14:paraId="59DD41E3" w14:textId="6AA01BE0" w:rsidR="00AB418A" w:rsidRDefault="00AB418A" w:rsidP="00A227C1">
      <w:pPr>
        <w:pStyle w:val="FootnoteText"/>
      </w:pPr>
      <w:r>
        <w:rPr>
          <w:rStyle w:val="FootnoteReference"/>
        </w:rPr>
        <w:footnoteRef/>
      </w:r>
      <w:r>
        <w:t xml:space="preserve"> By way of example, panels commonly examine the existence of measures through the heuristic device of "norms or rules", which are challenged "as such".  Yet, while this is a well-established category of a measure which may be assessed under WTO rules, those "distinctions are not always useful or appropriate to define the elements that must be substantiated for purposes of proving the existence and nature of a measure at issue." (see Appellate Body Reports, </w:t>
      </w:r>
      <w:r>
        <w:rPr>
          <w:i/>
          <w:iCs/>
        </w:rPr>
        <w:t xml:space="preserve">Argentina – Import </w:t>
      </w:r>
      <w:r w:rsidR="004F2FE4">
        <w:rPr>
          <w:i/>
          <w:iCs/>
        </w:rPr>
        <w:t>Measures</w:t>
      </w:r>
      <w:r>
        <w:t xml:space="preserve">, para. 5.109). A complainant is under no obligation to "categorize its challenge as either 'as such' or 'as applied'" (see Appellate Body Reports, </w:t>
      </w:r>
      <w:r>
        <w:rPr>
          <w:i/>
          <w:iCs/>
        </w:rPr>
        <w:t xml:space="preserve">Argentina – Import </w:t>
      </w:r>
      <w:r w:rsidR="00DE3D0F">
        <w:rPr>
          <w:i/>
          <w:iCs/>
        </w:rPr>
        <w:t>Measures</w:t>
      </w:r>
      <w:r w:rsidRPr="00243D85">
        <w:t>, para. 5.110)</w:t>
      </w:r>
      <w:r>
        <w:t>.</w:t>
      </w:r>
    </w:p>
  </w:footnote>
  <w:footnote w:id="42">
    <w:p w14:paraId="7E700290" w14:textId="1B5A447B" w:rsidR="00AB418A" w:rsidRPr="00A227C1" w:rsidRDefault="00AB418A">
      <w:pPr>
        <w:pStyle w:val="FootnoteText"/>
      </w:pPr>
      <w:r>
        <w:rPr>
          <w:rStyle w:val="FootnoteReference"/>
        </w:rPr>
        <w:footnoteRef/>
      </w:r>
      <w:r>
        <w:t xml:space="preserve"> See Appellate Body Reports, </w:t>
      </w:r>
      <w:r>
        <w:rPr>
          <w:i/>
          <w:iCs/>
        </w:rPr>
        <w:t xml:space="preserve">Argentina – Import </w:t>
      </w:r>
      <w:r w:rsidR="00DE3D0F">
        <w:rPr>
          <w:i/>
          <w:iCs/>
        </w:rPr>
        <w:t>Measures</w:t>
      </w:r>
      <w:r>
        <w:t>, para. 5.108.</w:t>
      </w:r>
    </w:p>
  </w:footnote>
  <w:footnote w:id="43">
    <w:p w14:paraId="5439AD7B" w14:textId="164FBFC3" w:rsidR="00AB418A" w:rsidRDefault="00AB418A" w:rsidP="00F15690">
      <w:pPr>
        <w:pStyle w:val="FootnoteText"/>
      </w:pPr>
      <w:r>
        <w:rPr>
          <w:rStyle w:val="FootnoteReference"/>
        </w:rPr>
        <w:footnoteRef/>
      </w:r>
      <w:r>
        <w:t xml:space="preserve"> Save for</w:t>
      </w:r>
      <w:r w:rsidR="008C556C">
        <w:t xml:space="preserve"> the elements</w:t>
      </w:r>
      <w:r>
        <w:t xml:space="preserve"> noted above at </w:t>
      </w:r>
      <w:r w:rsidRPr="00DE3D0F">
        <w:t xml:space="preserve">paragraph </w:t>
      </w:r>
      <w:r w:rsidR="008C556C" w:rsidRPr="0012704C">
        <w:t>20</w:t>
      </w:r>
      <w:r w:rsidRPr="00DE3D0F">
        <w:t>.</w:t>
      </w:r>
    </w:p>
  </w:footnote>
  <w:footnote w:id="44">
    <w:p w14:paraId="59602ADD" w14:textId="35BFC43D" w:rsidR="0078223E" w:rsidRDefault="0078223E">
      <w:pPr>
        <w:pStyle w:val="FootnoteText"/>
      </w:pPr>
      <w:r>
        <w:rPr>
          <w:rStyle w:val="FootnoteReference"/>
        </w:rPr>
        <w:footnoteRef/>
      </w:r>
      <w:r>
        <w:t xml:space="preserve"> </w:t>
      </w:r>
      <w:r w:rsidR="005C6108">
        <w:t xml:space="preserve">Appellate Body Reports, </w:t>
      </w:r>
      <w:r w:rsidR="005C6108">
        <w:rPr>
          <w:i/>
          <w:iCs/>
        </w:rPr>
        <w:t>Argentina – Import Measures</w:t>
      </w:r>
      <w:r>
        <w:t>, para. 5.11</w:t>
      </w:r>
      <w:r w:rsidR="00DE3D0F">
        <w:t>2</w:t>
      </w:r>
      <w:r>
        <w:t>.</w:t>
      </w:r>
      <w:r w:rsidR="005C6108">
        <w:t xml:space="preserve"> (emphasis added)</w:t>
      </w:r>
    </w:p>
  </w:footnote>
  <w:footnote w:id="45">
    <w:p w14:paraId="0E1A2470" w14:textId="5DBFA523" w:rsidR="00AB418A" w:rsidRDefault="00AB418A">
      <w:pPr>
        <w:pStyle w:val="FootnoteText"/>
      </w:pPr>
      <w:r>
        <w:rPr>
          <w:rStyle w:val="FootnoteReference"/>
        </w:rPr>
        <w:footnoteRef/>
      </w:r>
      <w:r>
        <w:t xml:space="preserve"> European Unions' first written submission, paras. 578 – 580.</w:t>
      </w:r>
    </w:p>
  </w:footnote>
  <w:footnote w:id="46">
    <w:p w14:paraId="00ABB367" w14:textId="0C7C4714" w:rsidR="00AB418A" w:rsidRDefault="00AB418A">
      <w:pPr>
        <w:pStyle w:val="FootnoteText"/>
      </w:pPr>
      <w:r>
        <w:rPr>
          <w:rStyle w:val="FootnoteReference"/>
        </w:rPr>
        <w:footnoteRef/>
      </w:r>
      <w:r>
        <w:t xml:space="preserve"> China's first written submission, paras. 28</w:t>
      </w:r>
      <w:r w:rsidR="005E4B45">
        <w:t>6</w:t>
      </w:r>
      <w:r>
        <w:t xml:space="preserve"> – 288; 308 – 317.</w:t>
      </w:r>
    </w:p>
  </w:footnote>
  <w:footnote w:id="47">
    <w:p w14:paraId="2DF938AF" w14:textId="2FAFD54C" w:rsidR="00613CFE" w:rsidRPr="00613CFE" w:rsidRDefault="00613CFE">
      <w:pPr>
        <w:pStyle w:val="FootnoteText"/>
      </w:pPr>
      <w:r>
        <w:rPr>
          <w:rStyle w:val="FootnoteReference"/>
        </w:rPr>
        <w:footnoteRef/>
      </w:r>
      <w:r>
        <w:t xml:space="preserve"> Appellate Body Report, </w:t>
      </w:r>
      <w:r>
        <w:rPr>
          <w:i/>
          <w:iCs/>
        </w:rPr>
        <w:t>U</w:t>
      </w:r>
      <w:r w:rsidR="00EA7BAD">
        <w:rPr>
          <w:i/>
          <w:iCs/>
        </w:rPr>
        <w:t>S</w:t>
      </w:r>
      <w:r>
        <w:rPr>
          <w:i/>
          <w:iCs/>
        </w:rPr>
        <w:t xml:space="preserve"> – Anti-Dumping Methodologies (China)</w:t>
      </w:r>
      <w:r>
        <w:t>, para. 5.133.</w:t>
      </w:r>
    </w:p>
  </w:footnote>
  <w:footnote w:id="48">
    <w:p w14:paraId="50E628D8" w14:textId="5E8EE9EA" w:rsidR="00AB418A" w:rsidRDefault="00AB418A" w:rsidP="007053F3">
      <w:pPr>
        <w:pStyle w:val="FootnoteText"/>
      </w:pPr>
      <w:r>
        <w:rPr>
          <w:rStyle w:val="FootnoteReference"/>
        </w:rPr>
        <w:footnoteRef/>
      </w:r>
      <w:r>
        <w:t xml:space="preserve"> Appellate Body Report, </w:t>
      </w:r>
      <w:r w:rsidRPr="004C35F3">
        <w:rPr>
          <w:i/>
          <w:iCs/>
        </w:rPr>
        <w:t>US – Anti-Dumping Methodologies (China)</w:t>
      </w:r>
      <w:r>
        <w:t>, para. 5.130.</w:t>
      </w:r>
    </w:p>
  </w:footnote>
  <w:footnote w:id="49">
    <w:p w14:paraId="2EAEDDE6" w14:textId="4A2B2080" w:rsidR="00AD430D" w:rsidRPr="00AF6455" w:rsidRDefault="00AD430D">
      <w:pPr>
        <w:pStyle w:val="FootnoteText"/>
        <w:rPr>
          <w:i/>
          <w:iCs/>
        </w:rPr>
      </w:pPr>
      <w:r>
        <w:rPr>
          <w:rStyle w:val="FootnoteReference"/>
        </w:rPr>
        <w:footnoteRef/>
      </w:r>
      <w:r>
        <w:t xml:space="preserve"> China's first written submission, para. </w:t>
      </w:r>
      <w:r w:rsidR="001269B5">
        <w:t>287</w:t>
      </w:r>
      <w:r w:rsidR="00135D90">
        <w:t xml:space="preserve"> (quoting </w:t>
      </w:r>
      <w:r w:rsidR="001269B5">
        <w:t xml:space="preserve">Panel Report, </w:t>
      </w:r>
      <w:r w:rsidR="001269B5">
        <w:rPr>
          <w:i/>
          <w:iCs/>
        </w:rPr>
        <w:t>US – Underwear</w:t>
      </w:r>
      <w:r w:rsidR="00135D90">
        <w:t>).</w:t>
      </w:r>
    </w:p>
  </w:footnote>
  <w:footnote w:id="50">
    <w:p w14:paraId="0A3B9162" w14:textId="0B87B25F" w:rsidR="00FA7350" w:rsidRDefault="00FA7350">
      <w:pPr>
        <w:pStyle w:val="FootnoteText"/>
      </w:pPr>
      <w:r>
        <w:rPr>
          <w:rStyle w:val="FootnoteReference"/>
        </w:rPr>
        <w:footnoteRef/>
      </w:r>
      <w:r>
        <w:t xml:space="preserve"> European Union's first written submission, paras. 64, 567.</w:t>
      </w:r>
    </w:p>
  </w:footnote>
  <w:footnote w:id="51">
    <w:p w14:paraId="10EE87B9" w14:textId="2368ABDA" w:rsidR="00AB418A" w:rsidRDefault="00AB418A" w:rsidP="00AE6A21">
      <w:pPr>
        <w:pStyle w:val="FootnoteText"/>
      </w:pPr>
      <w:r>
        <w:rPr>
          <w:rStyle w:val="FootnoteReference"/>
        </w:rPr>
        <w:footnoteRef/>
      </w:r>
      <w:r w:rsidRPr="00243D85">
        <w:t>Appellate Body Report,</w:t>
      </w:r>
      <w:r w:rsidRPr="00EA35FD">
        <w:rPr>
          <w:sz w:val="20"/>
        </w:rPr>
        <w:t xml:space="preserve"> </w:t>
      </w:r>
      <w:r w:rsidRPr="00243D85">
        <w:rPr>
          <w:i/>
          <w:iCs/>
        </w:rPr>
        <w:t>US – Anti-Dumping Methodologies (China),</w:t>
      </w:r>
      <w:r w:rsidRPr="00E2354F">
        <w:t xml:space="preserve"> </w:t>
      </w:r>
      <w:r>
        <w:t>para.</w:t>
      </w:r>
      <w:r w:rsidRPr="00E2354F">
        <w:t xml:space="preserve"> 5.132</w:t>
      </w:r>
      <w:r>
        <w:t>.</w:t>
      </w:r>
      <w:r w:rsidR="00203329">
        <w:t xml:space="preserve"> (footnote omitted)</w:t>
      </w:r>
    </w:p>
  </w:footnote>
  <w:footnote w:id="52">
    <w:p w14:paraId="58EAC197" w14:textId="738A99E0" w:rsidR="00AB418A" w:rsidRDefault="00AB418A">
      <w:pPr>
        <w:pStyle w:val="FootnoteText"/>
      </w:pPr>
      <w:r>
        <w:rPr>
          <w:rStyle w:val="FootnoteReference"/>
        </w:rPr>
        <w:footnoteRef/>
      </w:r>
      <w:r>
        <w:t xml:space="preserve"> Please see paragraph </w:t>
      </w:r>
      <w:r w:rsidR="00203329">
        <w:t>29</w:t>
      </w:r>
      <w:r>
        <w:t xml:space="preserve"> of this submission, above.</w:t>
      </w:r>
    </w:p>
  </w:footnote>
  <w:footnote w:id="53">
    <w:p w14:paraId="50078AE3" w14:textId="6730F8F7" w:rsidR="00AB418A" w:rsidRDefault="00AB418A" w:rsidP="00AE6A21">
      <w:pPr>
        <w:pStyle w:val="FootnoteText"/>
      </w:pPr>
      <w:r>
        <w:rPr>
          <w:rStyle w:val="FootnoteReference"/>
        </w:rPr>
        <w:footnoteRef/>
      </w:r>
      <w:r>
        <w:t xml:space="preserve"> China's first written submission, para. 313.</w:t>
      </w:r>
      <w:r w:rsidR="001269B5">
        <w:t xml:space="preserve"> (emphasis added)</w:t>
      </w:r>
    </w:p>
  </w:footnote>
  <w:footnote w:id="54">
    <w:p w14:paraId="4C68004E" w14:textId="23927CFF" w:rsidR="00AB418A" w:rsidRDefault="00AB418A" w:rsidP="00AE6A21">
      <w:pPr>
        <w:pStyle w:val="FootnoteText"/>
      </w:pPr>
      <w:r>
        <w:rPr>
          <w:rStyle w:val="FootnoteReference"/>
        </w:rPr>
        <w:footnoteRef/>
      </w:r>
      <w:r>
        <w:t xml:space="preserve"> </w:t>
      </w:r>
      <w:r w:rsidRPr="00BA66E0">
        <w:t>Appellate Body Report,</w:t>
      </w:r>
      <w:r w:rsidRPr="00EA35FD">
        <w:rPr>
          <w:sz w:val="20"/>
        </w:rPr>
        <w:t xml:space="preserve"> </w:t>
      </w:r>
      <w:r w:rsidRPr="00BA66E0">
        <w:rPr>
          <w:i/>
          <w:iCs/>
        </w:rPr>
        <w:t>US – Anti-Dumping Methodologies (China),</w:t>
      </w:r>
      <w:r w:rsidRPr="00E2354F">
        <w:t xml:space="preserve"> </w:t>
      </w:r>
      <w:r>
        <w:t>para.</w:t>
      </w:r>
      <w:r w:rsidRPr="00E2354F">
        <w:t xml:space="preserve"> 5.132</w:t>
      </w:r>
      <w:r>
        <w:t>.</w:t>
      </w:r>
    </w:p>
  </w:footnote>
  <w:footnote w:id="55">
    <w:p w14:paraId="22B6DD2E" w14:textId="3557D93E" w:rsidR="00AB418A" w:rsidRDefault="00AB418A">
      <w:pPr>
        <w:pStyle w:val="FootnoteText"/>
      </w:pPr>
      <w:r>
        <w:rPr>
          <w:rStyle w:val="FootnoteReference"/>
        </w:rPr>
        <w:footnoteRef/>
      </w:r>
      <w:r>
        <w:t xml:space="preserve"> China's first written submission, para. 34.</w:t>
      </w:r>
    </w:p>
  </w:footnote>
  <w:footnote w:id="56">
    <w:p w14:paraId="35DEE00B" w14:textId="13638216" w:rsidR="00AB418A" w:rsidRDefault="00AB418A">
      <w:pPr>
        <w:pStyle w:val="FootnoteText"/>
      </w:pPr>
      <w:r>
        <w:rPr>
          <w:rStyle w:val="FootnoteReference"/>
        </w:rPr>
        <w:footnoteRef/>
      </w:r>
      <w:r>
        <w:t xml:space="preserve"> See China's first written submission, paras. 36 – 94.</w:t>
      </w:r>
    </w:p>
  </w:footnote>
  <w:footnote w:id="57">
    <w:p w14:paraId="3E02DD87" w14:textId="273E1C3D" w:rsidR="00AB418A" w:rsidRDefault="00AB418A" w:rsidP="001535E0">
      <w:pPr>
        <w:pStyle w:val="FootnoteText"/>
      </w:pPr>
      <w:r>
        <w:rPr>
          <w:rStyle w:val="FootnoteReference"/>
        </w:rPr>
        <w:footnoteRef/>
      </w:r>
      <w:r>
        <w:t xml:space="preserve"> Article 11</w:t>
      </w:r>
      <w:r w:rsidR="00613CFE">
        <w:t xml:space="preserve"> of the DSU</w:t>
      </w:r>
      <w:r>
        <w:t>.</w:t>
      </w:r>
    </w:p>
  </w:footnote>
  <w:footnote w:id="58">
    <w:p w14:paraId="0EF95D23" w14:textId="18AF90CF" w:rsidR="00AB418A" w:rsidRDefault="00AB418A" w:rsidP="001535E0">
      <w:pPr>
        <w:pStyle w:val="FootnoteText"/>
      </w:pPr>
      <w:r w:rsidRPr="009B1B5B">
        <w:rPr>
          <w:rStyle w:val="FootnoteReference"/>
        </w:rPr>
        <w:footnoteRef/>
      </w:r>
      <w:r w:rsidRPr="009B1B5B">
        <w:t xml:space="preserve"> </w:t>
      </w:r>
      <w:r w:rsidRPr="00403CA9">
        <w:rPr>
          <w:szCs w:val="18"/>
        </w:rPr>
        <w:t xml:space="preserve">Appellate Body Report, </w:t>
      </w:r>
      <w:r w:rsidRPr="00403CA9">
        <w:rPr>
          <w:i/>
          <w:iCs/>
          <w:szCs w:val="18"/>
        </w:rPr>
        <w:t>Korea – Dairy</w:t>
      </w:r>
      <w:r w:rsidRPr="00403CA9">
        <w:rPr>
          <w:szCs w:val="18"/>
        </w:rPr>
        <w:t>, para. 137</w:t>
      </w:r>
      <w:r w:rsidR="00B35A42">
        <w:rPr>
          <w:szCs w:val="18"/>
        </w:rPr>
        <w:t>.</w:t>
      </w:r>
      <w:r w:rsidRPr="00403CA9">
        <w:rPr>
          <w:szCs w:val="18"/>
        </w:rPr>
        <w:t xml:space="preserve"> </w:t>
      </w:r>
    </w:p>
  </w:footnote>
  <w:footnote w:id="59">
    <w:p w14:paraId="6BEDB54B" w14:textId="6310D792" w:rsidR="00B35A42" w:rsidRPr="00B35A42" w:rsidRDefault="00B35A42">
      <w:pPr>
        <w:pStyle w:val="FootnoteText"/>
      </w:pPr>
      <w:r>
        <w:rPr>
          <w:rStyle w:val="FootnoteReference"/>
        </w:rPr>
        <w:footnoteRef/>
      </w:r>
      <w:r>
        <w:t xml:space="preserve"> Appellate Body Report, </w:t>
      </w:r>
      <w:r>
        <w:rPr>
          <w:i/>
          <w:iCs/>
        </w:rPr>
        <w:t>EC – Hormones</w:t>
      </w:r>
      <w:r>
        <w:t>, para. 133.</w:t>
      </w:r>
    </w:p>
  </w:footnote>
  <w:footnote w:id="60">
    <w:p w14:paraId="0F76BA12" w14:textId="489525F7" w:rsidR="00AB418A" w:rsidRDefault="00AB418A" w:rsidP="001535E0">
      <w:pPr>
        <w:pStyle w:val="FootnoteText"/>
      </w:pPr>
      <w:r>
        <w:rPr>
          <w:rStyle w:val="FootnoteReference"/>
        </w:rPr>
        <w:footnoteRef/>
      </w:r>
      <w:r>
        <w:t xml:space="preserve"> </w:t>
      </w:r>
      <w:r w:rsidRPr="00403CA9">
        <w:rPr>
          <w:szCs w:val="18"/>
        </w:rPr>
        <w:t xml:space="preserve">Appellate </w:t>
      </w:r>
      <w:r w:rsidR="00341984">
        <w:rPr>
          <w:szCs w:val="18"/>
        </w:rPr>
        <w:t>B</w:t>
      </w:r>
      <w:r w:rsidRPr="00403CA9">
        <w:rPr>
          <w:szCs w:val="18"/>
        </w:rPr>
        <w:t xml:space="preserve">ody Report, </w:t>
      </w:r>
      <w:r w:rsidRPr="00403CA9">
        <w:rPr>
          <w:i/>
          <w:iCs/>
          <w:szCs w:val="18"/>
        </w:rPr>
        <w:t>US – Carbon Steel</w:t>
      </w:r>
      <w:r w:rsidRPr="00403CA9">
        <w:rPr>
          <w:szCs w:val="18"/>
        </w:rPr>
        <w:t>, para. 142</w:t>
      </w:r>
      <w:r w:rsidR="00613CFE">
        <w:rPr>
          <w:szCs w:val="18"/>
        </w:rPr>
        <w:t>.</w:t>
      </w:r>
      <w:r w:rsidR="00341984">
        <w:rPr>
          <w:szCs w:val="18"/>
        </w:rPr>
        <w:t xml:space="preserve"> (footnote omitted)</w:t>
      </w:r>
    </w:p>
  </w:footnote>
  <w:footnote w:id="61">
    <w:p w14:paraId="73C1CE2C" w14:textId="5435038F" w:rsidR="00AB418A" w:rsidRPr="005962BC" w:rsidRDefault="00AB418A" w:rsidP="001535E0">
      <w:pPr>
        <w:pStyle w:val="FootnoteText"/>
      </w:pPr>
      <w:r>
        <w:rPr>
          <w:rStyle w:val="FootnoteReference"/>
        </w:rPr>
        <w:footnoteRef/>
      </w:r>
      <w:r>
        <w:t xml:space="preserve"> </w:t>
      </w:r>
      <w:r w:rsidR="00341984">
        <w:t xml:space="preserve">Appellate Body Report, </w:t>
      </w:r>
      <w:r>
        <w:rPr>
          <w:i/>
          <w:iCs/>
        </w:rPr>
        <w:t>US – Continued Zeroing</w:t>
      </w:r>
      <w:r>
        <w:t>, para. 331. (emphasis added)</w:t>
      </w:r>
    </w:p>
  </w:footnote>
  <w:footnote w:id="62">
    <w:p w14:paraId="7657EC92" w14:textId="16D53016" w:rsidR="00AB418A" w:rsidRPr="005E5A82" w:rsidRDefault="00AB418A">
      <w:pPr>
        <w:pStyle w:val="FootnoteText"/>
      </w:pPr>
      <w:r>
        <w:rPr>
          <w:rStyle w:val="FootnoteReference"/>
        </w:rPr>
        <w:footnoteRef/>
      </w:r>
      <w:r>
        <w:t xml:space="preserve"> Panel Report</w:t>
      </w:r>
      <w:r w:rsidR="00341984">
        <w:t>s</w:t>
      </w:r>
      <w:r>
        <w:t xml:space="preserve">, </w:t>
      </w:r>
      <w:r>
        <w:rPr>
          <w:i/>
          <w:iCs/>
        </w:rPr>
        <w:t>Argentina – Import Measures</w:t>
      </w:r>
      <w:r>
        <w:t>, para. 6.7</w:t>
      </w:r>
      <w:r w:rsidR="00341984">
        <w:t>1</w:t>
      </w:r>
      <w:r>
        <w:t xml:space="preserve">. The </w:t>
      </w:r>
      <w:r w:rsidR="00671A1D">
        <w:t>p</w:t>
      </w:r>
      <w:r>
        <w:t>anel's approach to the evidence was not overturned on appeal.</w:t>
      </w:r>
    </w:p>
  </w:footnote>
  <w:footnote w:id="63">
    <w:p w14:paraId="76F8CF67" w14:textId="2F173E11" w:rsidR="00AB418A" w:rsidRPr="00677B9C" w:rsidRDefault="00AB418A" w:rsidP="0053716A">
      <w:pPr>
        <w:pStyle w:val="FootnoteText"/>
      </w:pPr>
      <w:r>
        <w:rPr>
          <w:rStyle w:val="FootnoteReference"/>
        </w:rPr>
        <w:footnoteRef/>
      </w:r>
      <w:r>
        <w:t xml:space="preserve"> See </w:t>
      </w:r>
      <w:r w:rsidRPr="00CD5F17">
        <w:t>Panel</w:t>
      </w:r>
      <w:r>
        <w:t xml:space="preserve"> Report</w:t>
      </w:r>
      <w:r w:rsidR="00A91D40">
        <w:t>s</w:t>
      </w:r>
      <w:r>
        <w:t xml:space="preserve">, </w:t>
      </w:r>
      <w:r>
        <w:rPr>
          <w:i/>
          <w:iCs/>
        </w:rPr>
        <w:t>Argentina – Import Measures</w:t>
      </w:r>
      <w:r>
        <w:t>, para. 6.71, rejecting a challenge to the general probative value of newspaper or magazine articles</w:t>
      </w:r>
      <w:r w:rsidR="00341984">
        <w:t xml:space="preserve">. </w:t>
      </w:r>
      <w:r>
        <w:t xml:space="preserve">The </w:t>
      </w:r>
      <w:r w:rsidR="00671A1D">
        <w:t>p</w:t>
      </w:r>
      <w:r>
        <w:t>anel observed</w:t>
      </w:r>
      <w:r w:rsidR="00341984">
        <w:t>,</w:t>
      </w:r>
      <w:r>
        <w:t xml:space="preserve"> "they can be useful sources of information, particularly when dealing with unwritten measures and when corroborating facts asserted through other forms of evidence", citing a case of the International Court of Justice. See also, Appellate Body Report, </w:t>
      </w:r>
      <w:r>
        <w:rPr>
          <w:i/>
          <w:iCs/>
        </w:rPr>
        <w:t xml:space="preserve">US – Countervailing Duty Investigation on </w:t>
      </w:r>
      <w:r w:rsidRPr="006374D0">
        <w:rPr>
          <w:i/>
          <w:iCs/>
        </w:rPr>
        <w:t>DRAMS</w:t>
      </w:r>
      <w:r>
        <w:t xml:space="preserve">, para. 154: "a piece of evidence that may initially appear to be of little or no probative value, when viewed in isolation, </w:t>
      </w:r>
      <w:r w:rsidRPr="0012704C">
        <w:rPr>
          <w:i/>
          <w:iCs/>
        </w:rPr>
        <w:t>could</w:t>
      </w:r>
      <w:r>
        <w:t xml:space="preserve">, when placed beside another piece of evidence of the same nature, form part of an overall picture that gives rise to a reasonable inference […]". </w:t>
      </w:r>
      <w:r w:rsidR="00A91D40">
        <w:t>(emphasis original)</w:t>
      </w:r>
    </w:p>
  </w:footnote>
  <w:footnote w:id="64">
    <w:p w14:paraId="6E156048" w14:textId="5083EB76" w:rsidR="00AB418A" w:rsidRPr="001535E0" w:rsidRDefault="00AB418A">
      <w:pPr>
        <w:pStyle w:val="FootnoteText"/>
      </w:pPr>
      <w:r>
        <w:rPr>
          <w:rStyle w:val="FootnoteReference"/>
        </w:rPr>
        <w:footnoteRef/>
      </w:r>
      <w:r>
        <w:t xml:space="preserve"> </w:t>
      </w:r>
      <w:r w:rsidR="00A91D40">
        <w:t xml:space="preserve">Appellate Body Report, </w:t>
      </w:r>
      <w:r>
        <w:rPr>
          <w:i/>
          <w:iCs/>
        </w:rPr>
        <w:t>US – Continued Zeroing</w:t>
      </w:r>
      <w:r>
        <w:t>, para. 337.</w:t>
      </w:r>
    </w:p>
  </w:footnote>
  <w:footnote w:id="65">
    <w:p w14:paraId="0B1A773B" w14:textId="1A14A68E" w:rsidR="00AB418A" w:rsidRPr="003925A5" w:rsidRDefault="00AB418A">
      <w:pPr>
        <w:pStyle w:val="FootnoteText"/>
        <w:rPr>
          <w:iCs/>
        </w:rPr>
      </w:pPr>
      <w:r>
        <w:rPr>
          <w:rStyle w:val="FootnoteReference"/>
        </w:rPr>
        <w:footnoteRef/>
      </w:r>
      <w:r>
        <w:t xml:space="preserve"> </w:t>
      </w:r>
      <w:r w:rsidR="006813B9" w:rsidRPr="0012704C">
        <w:rPr>
          <w:iCs/>
        </w:rPr>
        <w:t>Ibid.</w:t>
      </w:r>
    </w:p>
  </w:footnote>
  <w:footnote w:id="66">
    <w:p w14:paraId="4DD55FF8" w14:textId="25464C96" w:rsidR="00AB418A" w:rsidRPr="007B60CB" w:rsidRDefault="00AB418A">
      <w:pPr>
        <w:pStyle w:val="FootnoteText"/>
      </w:pPr>
      <w:r>
        <w:rPr>
          <w:rStyle w:val="FootnoteReference"/>
        </w:rPr>
        <w:footnoteRef/>
      </w:r>
      <w:r>
        <w:t xml:space="preserve"> See for example, the Appellate Body's analysis of margin calculation programs and tables showing detailed calculations in </w:t>
      </w:r>
      <w:r>
        <w:rPr>
          <w:i/>
          <w:iCs/>
        </w:rPr>
        <w:t>US – Continued Zeroing</w:t>
      </w:r>
      <w:r>
        <w:t xml:space="preserve">, para. 337; the </w:t>
      </w:r>
      <w:r w:rsidR="00671A1D">
        <w:t>p</w:t>
      </w:r>
      <w:r w:rsidR="00613CFE">
        <w:t>anel's</w:t>
      </w:r>
      <w:r>
        <w:t xml:space="preserve"> determination of the meaning to be derived from statistics in </w:t>
      </w:r>
      <w:r w:rsidR="00613CFE">
        <w:t>Panel Reports</w:t>
      </w:r>
      <w:r>
        <w:t xml:space="preserve"> Reports, </w:t>
      </w:r>
      <w:r>
        <w:rPr>
          <w:i/>
          <w:iCs/>
        </w:rPr>
        <w:t>EC – Approval and Marketing of Biotech Products</w:t>
      </w:r>
      <w:r>
        <w:t>, para. 7.533.</w:t>
      </w:r>
    </w:p>
  </w:footnote>
  <w:footnote w:id="67">
    <w:p w14:paraId="409014E4" w14:textId="00BBA16D" w:rsidR="00AB418A" w:rsidRPr="00CD5F17" w:rsidRDefault="00AB418A">
      <w:pPr>
        <w:pStyle w:val="FootnoteText"/>
      </w:pPr>
      <w:r>
        <w:rPr>
          <w:rStyle w:val="FootnoteReference"/>
        </w:rPr>
        <w:footnoteRef/>
      </w:r>
      <w:r>
        <w:t xml:space="preserve"> Appellate Body Report, </w:t>
      </w:r>
      <w:r>
        <w:rPr>
          <w:i/>
          <w:iCs/>
        </w:rPr>
        <w:t>US – Countervailing Duty Investigation on DRAMS</w:t>
      </w:r>
      <w:r>
        <w:t xml:space="preserve">, para. 154 (emphasis original). While that </w:t>
      </w:r>
      <w:r w:rsidR="006813B9">
        <w:t xml:space="preserve">passage addressed </w:t>
      </w:r>
      <w:r>
        <w:t xml:space="preserve">the </w:t>
      </w:r>
      <w:r w:rsidR="00671A1D">
        <w:t>p</w:t>
      </w:r>
      <w:r>
        <w:t xml:space="preserve">anel's examination of an investigating authority's findings, Australia considers that </w:t>
      </w:r>
      <w:r w:rsidR="006813B9">
        <w:t xml:space="preserve">it is </w:t>
      </w:r>
      <w:r>
        <w:t xml:space="preserve">relevant to the general </w:t>
      </w:r>
      <w:r w:rsidR="006813B9">
        <w:t>analysis of</w:t>
      </w:r>
      <w:r>
        <w:t xml:space="preserve"> evidence in support of a fact.</w:t>
      </w:r>
    </w:p>
  </w:footnote>
  <w:footnote w:id="68">
    <w:p w14:paraId="284F6369" w14:textId="7C827372" w:rsidR="00AB418A" w:rsidRDefault="00AB418A">
      <w:pPr>
        <w:pStyle w:val="FootnoteText"/>
      </w:pPr>
      <w:r>
        <w:rPr>
          <w:rStyle w:val="FootnoteReference"/>
        </w:rPr>
        <w:footnoteRef/>
      </w:r>
      <w:r>
        <w:t xml:space="preserve"> For example, in </w:t>
      </w:r>
      <w:r w:rsidR="006813B9">
        <w:t xml:space="preserve">Appellate Body Report, </w:t>
      </w:r>
      <w:r>
        <w:rPr>
          <w:i/>
          <w:iCs/>
        </w:rPr>
        <w:t>US – Continued Zeroing</w:t>
      </w:r>
      <w:r>
        <w:t xml:space="preserve">, </w:t>
      </w:r>
      <w:r w:rsidR="006813B9">
        <w:t xml:space="preserve">para. 191, </w:t>
      </w:r>
      <w:r>
        <w:t xml:space="preserve">the Appellate Body was satisfied as to the fact that the measure would likely continue to be applied, in light of the "density" of </w:t>
      </w:r>
      <w:r w:rsidR="006813B9">
        <w:t xml:space="preserve">relevant </w:t>
      </w:r>
      <w:r>
        <w:t>factual findings</w:t>
      </w:r>
      <w:r w:rsidR="006813B9">
        <w:t>.</w:t>
      </w:r>
    </w:p>
  </w:footnote>
  <w:footnote w:id="69">
    <w:p w14:paraId="7B316024" w14:textId="3393D81F" w:rsidR="00AB418A" w:rsidRPr="005423DD" w:rsidRDefault="00AB418A">
      <w:pPr>
        <w:pStyle w:val="FootnoteText"/>
      </w:pPr>
      <w:r>
        <w:rPr>
          <w:rStyle w:val="FootnoteReference"/>
        </w:rPr>
        <w:footnoteRef/>
      </w:r>
      <w:r>
        <w:t xml:space="preserve"> Panel Reports, </w:t>
      </w:r>
      <w:r>
        <w:rPr>
          <w:i/>
          <w:iCs/>
        </w:rPr>
        <w:t xml:space="preserve">Argentina – Import Measures, </w:t>
      </w:r>
      <w:r>
        <w:t>para. 6.79</w:t>
      </w:r>
      <w:r w:rsidR="006813B9">
        <w:t>: "Consistent public statements made on the record by a public official cannot be devoid of importance […]"</w:t>
      </w:r>
    </w:p>
  </w:footnote>
  <w:footnote w:id="70">
    <w:p w14:paraId="4D45000B" w14:textId="28B92836" w:rsidR="00873665" w:rsidRDefault="00873665">
      <w:pPr>
        <w:pStyle w:val="FootnoteText"/>
      </w:pPr>
      <w:r>
        <w:rPr>
          <w:rStyle w:val="FootnoteReference"/>
        </w:rPr>
        <w:footnoteRef/>
      </w:r>
      <w:r>
        <w:t xml:space="preserve"> China's first written submission, para. 301.</w:t>
      </w:r>
    </w:p>
  </w:footnote>
  <w:footnote w:id="71">
    <w:p w14:paraId="0D143C97" w14:textId="43099869" w:rsidR="00AB418A" w:rsidRDefault="00AB418A" w:rsidP="009C459C">
      <w:pPr>
        <w:pStyle w:val="FootnoteText"/>
      </w:pPr>
      <w:r>
        <w:rPr>
          <w:rStyle w:val="FootnoteReference"/>
        </w:rPr>
        <w:footnoteRef/>
      </w:r>
      <w:r>
        <w:t xml:space="preserve"> Panel Report, </w:t>
      </w:r>
      <w:r w:rsidRPr="00601567">
        <w:rPr>
          <w:i/>
          <w:iCs/>
        </w:rPr>
        <w:t>US – FSC</w:t>
      </w:r>
      <w:r>
        <w:rPr>
          <w:i/>
          <w:iCs/>
        </w:rPr>
        <w:t xml:space="preserve"> (Article 21.5 – EC)</w:t>
      </w:r>
      <w:r>
        <w:t>, para. 8.15. Th</w:t>
      </w:r>
      <w:r w:rsidR="008D7795">
        <w:t>e quoted</w:t>
      </w:r>
      <w:r>
        <w:t xml:space="preserve"> observation broadly relates the analysis of the factual question set out at paragraph 8.19</w:t>
      </w:r>
      <w:r w:rsidR="008D7795">
        <w:t xml:space="preserve"> of that Panel Report</w:t>
      </w:r>
      <w:r>
        <w:t xml:space="preserve">. The </w:t>
      </w:r>
      <w:r w:rsidR="00671A1D">
        <w:t>p</w:t>
      </w:r>
      <w:r>
        <w:t>anel's observations</w:t>
      </w:r>
      <w:r w:rsidR="008D7795">
        <w:t>,</w:t>
      </w:r>
      <w:r>
        <w:t xml:space="preserve"> as cited in this submission</w:t>
      </w:r>
      <w:r w:rsidR="008D7795">
        <w:t>,</w:t>
      </w:r>
      <w:r>
        <w:t xml:space="preserve"> were not specifically addressed on appeal, although the </w:t>
      </w:r>
      <w:r w:rsidR="00671A1D">
        <w:t>p</w:t>
      </w:r>
      <w:r>
        <w:t>anel's ultimate findings were upheld.</w:t>
      </w:r>
    </w:p>
  </w:footnote>
  <w:footnote w:id="72">
    <w:p w14:paraId="323B7A0B" w14:textId="77777777" w:rsidR="00455E94" w:rsidRDefault="00455E94" w:rsidP="00455E94">
      <w:pPr>
        <w:pStyle w:val="FootnoteText"/>
      </w:pPr>
      <w:r>
        <w:rPr>
          <w:rStyle w:val="FootnoteReference"/>
        </w:rPr>
        <w:footnoteRef/>
      </w:r>
      <w:r>
        <w:t xml:space="preserve"> </w:t>
      </w:r>
      <w:r w:rsidRPr="0018159B">
        <w:t>Ibid</w:t>
      </w:r>
      <w:r w:rsidRPr="00455E94">
        <w:t>,</w:t>
      </w:r>
      <w:r>
        <w:t xml:space="preserve"> para. 8.15.</w:t>
      </w:r>
    </w:p>
  </w:footnote>
  <w:footnote w:id="73">
    <w:p w14:paraId="5C652C3E" w14:textId="53506443" w:rsidR="00AB418A" w:rsidRDefault="00AB418A" w:rsidP="009C459C">
      <w:pPr>
        <w:pStyle w:val="FootnoteText"/>
      </w:pPr>
      <w:r>
        <w:rPr>
          <w:rStyle w:val="FootnoteReference"/>
        </w:rPr>
        <w:footnoteRef/>
      </w:r>
      <w:r w:rsidRPr="00F06E74">
        <w:rPr>
          <w:i/>
          <w:iCs/>
        </w:rPr>
        <w:t xml:space="preserve"> </w:t>
      </w:r>
      <w:r w:rsidRPr="0012704C">
        <w:t>Ibid</w:t>
      </w:r>
      <w:r w:rsidRPr="00455E94">
        <w:t>,</w:t>
      </w:r>
      <w:r>
        <w:t xml:space="preserve"> para. 8.23. That dispute addressed the </w:t>
      </w:r>
      <w:r w:rsidR="00671A1D">
        <w:t>p</w:t>
      </w:r>
      <w:r>
        <w:t>anel's examination of the US tax regime</w:t>
      </w:r>
      <w:r w:rsidR="00455E94">
        <w:t>,</w:t>
      </w:r>
      <w:r>
        <w:t xml:space="preserve"> including the relevant legal standard applicable, and is distinguishable from the current dispute on its </w:t>
      </w:r>
      <w:r w:rsidR="00455E94">
        <w:t>facts</w:t>
      </w:r>
      <w:r>
        <w:t>. However, the panel's general analytical reasoning in paras. 8.14 – 8.23 may be helpful.</w:t>
      </w:r>
    </w:p>
  </w:footnote>
  <w:footnote w:id="74">
    <w:p w14:paraId="5040753A" w14:textId="0A65A4D9" w:rsidR="00AB418A" w:rsidRPr="009833CE" w:rsidRDefault="00AB418A" w:rsidP="009C459C">
      <w:pPr>
        <w:pStyle w:val="FootnoteText"/>
      </w:pPr>
      <w:r>
        <w:rPr>
          <w:rStyle w:val="FootnoteReference"/>
        </w:rPr>
        <w:footnoteRef/>
      </w:r>
      <w:r>
        <w:t xml:space="preserve"> Panel Report, </w:t>
      </w:r>
      <w:r>
        <w:rPr>
          <w:i/>
          <w:iCs/>
        </w:rPr>
        <w:t>EC and certain member States – Large Civil Aircraft</w:t>
      </w:r>
      <w:r>
        <w:t>, para. 7.1919. Albeit</w:t>
      </w:r>
      <w:r w:rsidR="001D6CE1">
        <w:t>,</w:t>
      </w:r>
      <w:r>
        <w:t xml:space="preserve"> the </w:t>
      </w:r>
      <w:r w:rsidR="00671A1D">
        <w:t>p</w:t>
      </w:r>
      <w:r>
        <w:t>anel in th</w:t>
      </w:r>
      <w:r w:rsidR="00613CFE">
        <w:t>at</w:t>
      </w:r>
      <w:r>
        <w:t xml:space="preserve"> dispute determined that it would still "take this evidence [which </w:t>
      </w:r>
      <w:r w:rsidR="000303A8">
        <w:t>may have involved</w:t>
      </w:r>
      <w:r>
        <w:t xml:space="preserve"> a 'degree of self-interest'] into account" but "making our own judgments as to its weight and probative value".</w:t>
      </w:r>
    </w:p>
  </w:footnote>
  <w:footnote w:id="75">
    <w:p w14:paraId="19486BD0" w14:textId="18B41D4B" w:rsidR="00AB418A" w:rsidRDefault="00AB418A">
      <w:pPr>
        <w:pStyle w:val="FootnoteText"/>
      </w:pPr>
      <w:r>
        <w:rPr>
          <w:rStyle w:val="FootnoteReference"/>
        </w:rPr>
        <w:footnoteRef/>
      </w:r>
      <w:r>
        <w:t xml:space="preserve"> </w:t>
      </w:r>
      <w:r w:rsidRPr="001535E0">
        <w:t>Appellate Body Report</w:t>
      </w:r>
      <w:r>
        <w:t xml:space="preserve">s, </w:t>
      </w:r>
      <w:r w:rsidRPr="001535E0">
        <w:rPr>
          <w:i/>
          <w:iCs/>
        </w:rPr>
        <w:t>Argentina</w:t>
      </w:r>
      <w:r>
        <w:rPr>
          <w:i/>
          <w:iCs/>
        </w:rPr>
        <w:t xml:space="preserve"> - </w:t>
      </w:r>
      <w:r w:rsidRPr="001535E0">
        <w:rPr>
          <w:i/>
          <w:iCs/>
        </w:rPr>
        <w:t>Import Measures</w:t>
      </w:r>
      <w:r w:rsidRPr="001535E0">
        <w:t>, para. 5.176</w:t>
      </w:r>
      <w:r>
        <w:t>.</w:t>
      </w:r>
    </w:p>
  </w:footnote>
  <w:footnote w:id="76">
    <w:p w14:paraId="64903959" w14:textId="5130FFA3" w:rsidR="00AB418A" w:rsidRPr="00682329" w:rsidRDefault="00AB418A">
      <w:pPr>
        <w:pStyle w:val="FootnoteText"/>
      </w:pPr>
      <w:r>
        <w:rPr>
          <w:rStyle w:val="FootnoteReference"/>
        </w:rPr>
        <w:footnoteRef/>
      </w:r>
      <w:r>
        <w:t xml:space="preserve"> Appellate Body Report, </w:t>
      </w:r>
      <w:r>
        <w:rPr>
          <w:i/>
          <w:iCs/>
        </w:rPr>
        <w:t>US – Wool Shirts and Blouses</w:t>
      </w:r>
      <w:r>
        <w:t xml:space="preserve">, p. </w:t>
      </w:r>
      <w:r w:rsidR="00A14295">
        <w:t>14</w:t>
      </w:r>
      <w:r>
        <w:t>. See also</w:t>
      </w:r>
      <w:r w:rsidR="00886025">
        <w:t>,</w:t>
      </w:r>
      <w:r>
        <w:t xml:space="preserve"> </w:t>
      </w:r>
      <w:r w:rsidR="00A14295">
        <w:t xml:space="preserve">Appellate Body Reports, </w:t>
      </w:r>
      <w:r w:rsidR="00A14295">
        <w:rPr>
          <w:i/>
          <w:iCs/>
        </w:rPr>
        <w:t>Russia – Railway Equipment</w:t>
      </w:r>
      <w:r w:rsidR="00A14295">
        <w:t xml:space="preserve">, para. 5.187; </w:t>
      </w:r>
      <w:r w:rsidRPr="00CB0AC9">
        <w:rPr>
          <w:i/>
          <w:iCs/>
        </w:rPr>
        <w:t>Japan – Apples</w:t>
      </w:r>
      <w:r w:rsidRPr="00CB0AC9">
        <w:t>, para. 159</w:t>
      </w:r>
      <w:r w:rsidR="00A14295">
        <w:t>.</w:t>
      </w:r>
    </w:p>
  </w:footnote>
  <w:footnote w:id="77">
    <w:p w14:paraId="76297266" w14:textId="17E19312" w:rsidR="002940D7" w:rsidRDefault="002940D7">
      <w:pPr>
        <w:pStyle w:val="FootnoteText"/>
      </w:pPr>
      <w:r>
        <w:rPr>
          <w:rStyle w:val="FootnoteReference"/>
        </w:rPr>
        <w:footnoteRef/>
      </w:r>
      <w:r>
        <w:t xml:space="preserve"> Panel Reports, </w:t>
      </w:r>
      <w:r>
        <w:rPr>
          <w:i/>
          <w:iCs/>
        </w:rPr>
        <w:t xml:space="preserve">EC – Approval and Marketing of Biotech </w:t>
      </w:r>
      <w:r w:rsidRPr="002940D7">
        <w:rPr>
          <w:i/>
          <w:iCs/>
        </w:rPr>
        <w:t>Product</w:t>
      </w:r>
      <w:r w:rsidRPr="0018159B">
        <w:t>s</w:t>
      </w:r>
      <w:r>
        <w:t>, para. 7.522.</w:t>
      </w:r>
    </w:p>
  </w:footnote>
  <w:footnote w:id="78">
    <w:p w14:paraId="7F332448" w14:textId="40D4C554" w:rsidR="00AB418A" w:rsidRDefault="00AB418A">
      <w:pPr>
        <w:pStyle w:val="FootnoteText"/>
      </w:pPr>
      <w:r>
        <w:rPr>
          <w:rStyle w:val="FootnoteReference"/>
        </w:rPr>
        <w:footnoteRef/>
      </w:r>
      <w:r>
        <w:t xml:space="preserve"> </w:t>
      </w:r>
      <w:r w:rsidR="002940D7">
        <w:t>Ibid</w:t>
      </w:r>
      <w:r w:rsidR="00613CFE">
        <w:t>.</w:t>
      </w:r>
    </w:p>
  </w:footnote>
  <w:footnote w:id="79">
    <w:p w14:paraId="0E1872CB" w14:textId="35B31231" w:rsidR="00AB418A" w:rsidRDefault="00AB418A">
      <w:pPr>
        <w:pStyle w:val="FootnoteText"/>
      </w:pPr>
      <w:r>
        <w:rPr>
          <w:rStyle w:val="FootnoteReference"/>
        </w:rPr>
        <w:footnoteRef/>
      </w:r>
      <w:r>
        <w:t xml:space="preserve"> Ibid.</w:t>
      </w:r>
      <w:r w:rsidR="00E318F0">
        <w:t xml:space="preserve"> See also, Appellate Body Reports, </w:t>
      </w:r>
      <w:r w:rsidR="00E318F0">
        <w:rPr>
          <w:i/>
          <w:iCs/>
        </w:rPr>
        <w:t>US – Countervailing Duty investigation on DRAMS</w:t>
      </w:r>
      <w:r w:rsidR="00E318F0">
        <w:t>, paras. 149 – 152;</w:t>
      </w:r>
      <w:r w:rsidR="00D9515E">
        <w:t xml:space="preserve"> </w:t>
      </w:r>
      <w:r w:rsidR="00D9515E">
        <w:rPr>
          <w:i/>
          <w:iCs/>
        </w:rPr>
        <w:t>US – Continued Zeroing</w:t>
      </w:r>
      <w:r w:rsidR="00D9515E">
        <w:t>,</w:t>
      </w:r>
      <w:r w:rsidR="00E318F0">
        <w:t xml:space="preserve"> para. 357</w:t>
      </w:r>
      <w:r w:rsidR="00D9515E">
        <w:t>.</w:t>
      </w:r>
    </w:p>
  </w:footnote>
  <w:footnote w:id="80">
    <w:p w14:paraId="5B434715" w14:textId="31CDB1D3" w:rsidR="00AB418A" w:rsidRDefault="00AB418A">
      <w:pPr>
        <w:pStyle w:val="FootnoteText"/>
      </w:pPr>
      <w:r>
        <w:rPr>
          <w:rStyle w:val="FootnoteReference"/>
        </w:rPr>
        <w:footnoteRef/>
      </w:r>
      <w:r>
        <w:t xml:space="preserve"> </w:t>
      </w:r>
      <w:r w:rsidR="002940D7">
        <w:t xml:space="preserve">Panel Reports, </w:t>
      </w:r>
      <w:r w:rsidR="002940D7">
        <w:rPr>
          <w:i/>
          <w:iCs/>
        </w:rPr>
        <w:t xml:space="preserve">EC – Approval and Marketing of Biotech </w:t>
      </w:r>
      <w:r w:rsidR="002940D7" w:rsidRPr="002940D7">
        <w:rPr>
          <w:i/>
          <w:iCs/>
        </w:rPr>
        <w:t>Product</w:t>
      </w:r>
      <w:r w:rsidR="002940D7" w:rsidRPr="0018159B">
        <w:t>s</w:t>
      </w:r>
      <w:r w:rsidR="002940D7">
        <w:t>, para. 7.522.</w:t>
      </w:r>
    </w:p>
  </w:footnote>
  <w:footnote w:id="81">
    <w:p w14:paraId="42E0BC13" w14:textId="31E8FB3E" w:rsidR="00AB418A" w:rsidRDefault="00AB418A">
      <w:pPr>
        <w:pStyle w:val="FootnoteText"/>
      </w:pPr>
      <w:r>
        <w:rPr>
          <w:rStyle w:val="FootnoteReference"/>
        </w:rPr>
        <w:footnoteRef/>
      </w:r>
      <w:r>
        <w:t xml:space="preserve"> See </w:t>
      </w:r>
      <w:r w:rsidR="001D6CE1">
        <w:t>s</w:t>
      </w:r>
      <w:r w:rsidR="00613CFE">
        <w:t>ection III.B</w:t>
      </w:r>
      <w:r>
        <w:t xml:space="preserve"> of this submission, above.</w:t>
      </w:r>
    </w:p>
  </w:footnote>
  <w:footnote w:id="82">
    <w:p w14:paraId="22820485" w14:textId="51FB4640" w:rsidR="00AB418A" w:rsidRDefault="00AB418A">
      <w:pPr>
        <w:pStyle w:val="FootnoteText"/>
      </w:pPr>
      <w:r>
        <w:rPr>
          <w:rStyle w:val="FootnoteReference"/>
        </w:rPr>
        <w:footnoteRef/>
      </w:r>
      <w:r>
        <w:t xml:space="preserve"> </w:t>
      </w:r>
      <w:r w:rsidRPr="00D2798F">
        <w:t xml:space="preserve">Appellate Body Reports, </w:t>
      </w:r>
      <w:r w:rsidRPr="00D2798F">
        <w:rPr>
          <w:i/>
          <w:iCs/>
        </w:rPr>
        <w:t>EC – Hormones</w:t>
      </w:r>
      <w:r w:rsidRPr="00D2798F">
        <w:t xml:space="preserve">, para. 132; </w:t>
      </w:r>
      <w:r w:rsidRPr="00D2798F">
        <w:rPr>
          <w:i/>
          <w:iCs/>
        </w:rPr>
        <w:t>Brazil – Re-treaded Tyres</w:t>
      </w:r>
      <w:r w:rsidRPr="00D2798F">
        <w:t>, para. 202</w:t>
      </w:r>
      <w:r>
        <w:t>. See also</w:t>
      </w:r>
      <w:r w:rsidR="00886025">
        <w:t>,</w:t>
      </w:r>
      <w:r>
        <w:t xml:space="preserve"> </w:t>
      </w:r>
      <w:r w:rsidRPr="00D2798F">
        <w:rPr>
          <w:i/>
          <w:iCs/>
        </w:rPr>
        <w:t>Korea – Dairy</w:t>
      </w:r>
      <w:r w:rsidRPr="00D2798F">
        <w:t>, paras. 135 – 136</w:t>
      </w:r>
      <w:r w:rsidR="00D9515E">
        <w:t>.</w:t>
      </w:r>
    </w:p>
  </w:footnote>
  <w:footnote w:id="83">
    <w:p w14:paraId="5088B0B3" w14:textId="2FC2DF17" w:rsidR="00AB418A" w:rsidRPr="00D2798F" w:rsidRDefault="00AB418A">
      <w:pPr>
        <w:pStyle w:val="FootnoteText"/>
      </w:pPr>
      <w:r>
        <w:rPr>
          <w:rStyle w:val="FootnoteReference"/>
        </w:rPr>
        <w:footnoteRef/>
      </w:r>
      <w:r>
        <w:t xml:space="preserve"> </w:t>
      </w:r>
      <w:r w:rsidRPr="00D2798F">
        <w:t>Appellate Body Report</w:t>
      </w:r>
      <w:r w:rsidR="00D9515E">
        <w:t>s</w:t>
      </w:r>
      <w:r>
        <w:t xml:space="preserve">, </w:t>
      </w:r>
      <w:r w:rsidRPr="00D2798F">
        <w:rPr>
          <w:i/>
          <w:iCs/>
        </w:rPr>
        <w:t>Argentina- Import Measures</w:t>
      </w:r>
      <w:r w:rsidRPr="00D2798F">
        <w:t>, para. 5.176</w:t>
      </w:r>
      <w:r>
        <w:t>. See also</w:t>
      </w:r>
      <w:r w:rsidR="00886025">
        <w:t>,</w:t>
      </w:r>
      <w:r w:rsidR="00D9515E">
        <w:t xml:space="preserve"> Appellate Body Report,</w:t>
      </w:r>
      <w:r>
        <w:t xml:space="preserve"> </w:t>
      </w:r>
      <w:r>
        <w:rPr>
          <w:i/>
          <w:iCs/>
        </w:rPr>
        <w:t>US – Shrimp</w:t>
      </w:r>
      <w:r>
        <w:t>, para. 104: "</w:t>
      </w:r>
      <w:r w:rsidR="00D9515E">
        <w:t>[A]</w:t>
      </w:r>
      <w:r>
        <w:t xml:space="preserve"> panel also has the authority </w:t>
      </w:r>
      <w:r w:rsidRPr="0012704C">
        <w:rPr>
          <w:i/>
          <w:iCs/>
        </w:rPr>
        <w:t>to accept or reject</w:t>
      </w:r>
      <w:r>
        <w:t xml:space="preserve"> any information or advice which it may have sought and received, or to </w:t>
      </w:r>
      <w:r w:rsidRPr="0012704C">
        <w:rPr>
          <w:i/>
          <w:iCs/>
        </w:rPr>
        <w:t>make some other appropriate</w:t>
      </w:r>
      <w:r>
        <w:t xml:space="preserve"> disposition thereof."</w:t>
      </w:r>
      <w:r w:rsidR="00D9515E">
        <w:t xml:space="preserve"> (emphasis original)</w:t>
      </w:r>
    </w:p>
  </w:footnote>
  <w:footnote w:id="84">
    <w:p w14:paraId="34474929" w14:textId="61F54707" w:rsidR="00AB418A" w:rsidRPr="00D2798F" w:rsidRDefault="00AB418A">
      <w:pPr>
        <w:pStyle w:val="FootnoteText"/>
      </w:pPr>
      <w:r>
        <w:rPr>
          <w:rStyle w:val="FootnoteReference"/>
        </w:rPr>
        <w:footnoteRef/>
      </w:r>
      <w:r>
        <w:t xml:space="preserve"> Appellate Body Report, </w:t>
      </w:r>
      <w:r>
        <w:rPr>
          <w:i/>
          <w:iCs/>
        </w:rPr>
        <w:t>US – Shrimp</w:t>
      </w:r>
      <w:r>
        <w:t>, para. 104.</w:t>
      </w:r>
    </w:p>
  </w:footnote>
  <w:footnote w:id="85">
    <w:p w14:paraId="2E99AC3C" w14:textId="293B6160" w:rsidR="00AB418A" w:rsidRPr="000C10D3" w:rsidRDefault="00AB418A">
      <w:pPr>
        <w:pStyle w:val="FootnoteText"/>
      </w:pPr>
      <w:r>
        <w:rPr>
          <w:rStyle w:val="FootnoteReference"/>
        </w:rPr>
        <w:footnoteRef/>
      </w:r>
      <w:r>
        <w:t xml:space="preserve"> Panel Report, </w:t>
      </w:r>
      <w:r>
        <w:rPr>
          <w:i/>
          <w:iCs/>
        </w:rPr>
        <w:t>Argentina – Textiles</w:t>
      </w:r>
      <w:r w:rsidR="00014EBA">
        <w:rPr>
          <w:i/>
          <w:iCs/>
        </w:rPr>
        <w:t xml:space="preserve"> and Apparel</w:t>
      </w:r>
      <w:r>
        <w:t>, para. 6.39: "F</w:t>
      </w:r>
      <w:r w:rsidRPr="00601567">
        <w:t>or international disputes it seems normal that tribunals, in evaluating claims, are given considerable flexibility. Inference (or judicial presumption) is a useful means at the disposal of international tribunals for evaluating claims. In situations where direct evidence is not available, relying on inferences drawn from relevant facts of each case facilitates the duty of international tribunals in determining whether or not the burden of proof has been met."</w:t>
      </w:r>
      <w:r>
        <w:t xml:space="preserve"> While this quote relates to the analysis of inconsistency with a covered agreement, Australia submits that it is relevant in general</w:t>
      </w:r>
      <w:r w:rsidR="00014EBA">
        <w:t>,</w:t>
      </w:r>
      <w:r>
        <w:t xml:space="preserve"> to the approach which a panel may take to evidence before it.</w:t>
      </w:r>
    </w:p>
  </w:footnote>
  <w:footnote w:id="86">
    <w:p w14:paraId="7D806940" w14:textId="6613615C" w:rsidR="00AB418A" w:rsidRDefault="00AB418A">
      <w:pPr>
        <w:pStyle w:val="FootnoteText"/>
      </w:pPr>
      <w:r>
        <w:rPr>
          <w:rStyle w:val="FootnoteReference"/>
        </w:rPr>
        <w:footnoteRef/>
      </w:r>
      <w:r>
        <w:t xml:space="preserve"> </w:t>
      </w:r>
      <w:r w:rsidR="00014EBA">
        <w:t xml:space="preserve">Appellate Body Report, </w:t>
      </w:r>
      <w:r w:rsidR="00014EBA">
        <w:rPr>
          <w:i/>
          <w:iCs/>
        </w:rPr>
        <w:t>Russia – Railway Equipment</w:t>
      </w:r>
      <w:r w:rsidR="00014EBA">
        <w:t>,</w:t>
      </w:r>
      <w:r>
        <w:t xml:space="preserve"> para. 5.235.</w:t>
      </w:r>
    </w:p>
  </w:footnote>
  <w:footnote w:id="87">
    <w:p w14:paraId="784D2179" w14:textId="3F1FCA18" w:rsidR="00AB418A" w:rsidRDefault="00AB418A">
      <w:pPr>
        <w:pStyle w:val="FootnoteText"/>
      </w:pPr>
      <w:r>
        <w:rPr>
          <w:rStyle w:val="FootnoteReference"/>
        </w:rPr>
        <w:footnoteRef/>
      </w:r>
      <w:r w:rsidRPr="00F06E74">
        <w:rPr>
          <w:i/>
          <w:iCs/>
        </w:rPr>
        <w:t xml:space="preserve"> </w:t>
      </w:r>
      <w:r w:rsidRPr="0012704C">
        <w:t>Ibid</w:t>
      </w:r>
      <w:r w:rsidRPr="00014EBA">
        <w:t>.</w:t>
      </w:r>
      <w:r w:rsidR="00014EBA">
        <w:t xml:space="preserve"> </w:t>
      </w:r>
    </w:p>
  </w:footnote>
  <w:footnote w:id="88">
    <w:p w14:paraId="74CDFF32" w14:textId="77777777" w:rsidR="005F77B3" w:rsidRDefault="005F77B3" w:rsidP="005F77B3">
      <w:pPr>
        <w:pStyle w:val="FootnoteText"/>
      </w:pPr>
      <w:r>
        <w:rPr>
          <w:rStyle w:val="FootnoteReference"/>
        </w:rPr>
        <w:footnoteRef/>
      </w:r>
      <w:r>
        <w:t xml:space="preserve"> China's first written submission, paras. 293.</w:t>
      </w:r>
    </w:p>
  </w:footnote>
  <w:footnote w:id="89">
    <w:p w14:paraId="479D3C2C" w14:textId="2243F077" w:rsidR="00106B66" w:rsidRPr="00106B66" w:rsidRDefault="00106B66">
      <w:pPr>
        <w:pStyle w:val="FootnoteText"/>
      </w:pPr>
      <w:r>
        <w:rPr>
          <w:rStyle w:val="FootnoteReference"/>
        </w:rPr>
        <w:footnoteRef/>
      </w:r>
      <w:r>
        <w:t xml:space="preserve"> See Appellate Body Report, </w:t>
      </w:r>
      <w:r>
        <w:rPr>
          <w:i/>
          <w:iCs/>
        </w:rPr>
        <w:t>Russia – Railway Equipment</w:t>
      </w:r>
      <w:r>
        <w:t>, para. 5.235.</w:t>
      </w:r>
    </w:p>
  </w:footnote>
  <w:footnote w:id="90">
    <w:p w14:paraId="63E2544E" w14:textId="4198C247" w:rsidR="00AB418A" w:rsidRPr="002E43F3" w:rsidRDefault="00AB418A" w:rsidP="00EC2D5B">
      <w:pPr>
        <w:pStyle w:val="FootnoteText"/>
      </w:pPr>
      <w:r>
        <w:rPr>
          <w:rStyle w:val="FootnoteReference"/>
        </w:rPr>
        <w:footnoteRef/>
      </w:r>
      <w:r>
        <w:t xml:space="preserve"> Appellate Body Report, </w:t>
      </w:r>
      <w:r>
        <w:rPr>
          <w:i/>
          <w:iCs/>
        </w:rPr>
        <w:t>US – Continued Zeroing</w:t>
      </w:r>
      <w:r>
        <w:t>, para. 347: "Once the Panel set out [the relevant standard], we see no indication that it got to the heart of the matter concerning the probative value of evidence before it […] In our view, the Panel required evidence that was authenticated as USDOC documents, but then did not take the necessary steps to elicit from the parties information that might, i</w:t>
      </w:r>
      <w:r w:rsidR="00671A1D">
        <w:t>n</w:t>
      </w:r>
      <w:r>
        <w:t xml:space="preserve"> </w:t>
      </w:r>
      <w:r w:rsidR="00671A1D">
        <w:t>t</w:t>
      </w:r>
      <w:r>
        <w:t xml:space="preserve">he words of the Panel 'elucidate its understanding of the facts and issues in the dispute before it'." See also, Appellate Body Report, </w:t>
      </w:r>
      <w:r>
        <w:rPr>
          <w:i/>
          <w:iCs/>
        </w:rPr>
        <w:t>US – Shrimp</w:t>
      </w:r>
      <w:r>
        <w:t>, para. 104.</w:t>
      </w:r>
    </w:p>
  </w:footnote>
  <w:footnote w:id="91">
    <w:p w14:paraId="7CC90F38" w14:textId="1C61E32E" w:rsidR="00AB418A" w:rsidRPr="001478B3" w:rsidRDefault="00AB418A" w:rsidP="00EC2D5B">
      <w:pPr>
        <w:pStyle w:val="FootnoteText"/>
      </w:pPr>
      <w:r>
        <w:rPr>
          <w:rStyle w:val="FootnoteReference"/>
        </w:rPr>
        <w:footnoteRef/>
      </w:r>
      <w:r>
        <w:t xml:space="preserve"> Appellate Body Report, </w:t>
      </w:r>
      <w:r>
        <w:rPr>
          <w:i/>
          <w:iCs/>
        </w:rPr>
        <w:t>US – Continued Zeroing</w:t>
      </w:r>
      <w:r>
        <w:t>, para. 347. (emphasis added; footnote omitted) See also,</w:t>
      </w:r>
      <w:r w:rsidR="00205F49">
        <w:t xml:space="preserve"> Appellate Body Report,</w:t>
      </w:r>
      <w:r>
        <w:t xml:space="preserve"> </w:t>
      </w:r>
      <w:r>
        <w:rPr>
          <w:i/>
          <w:iCs/>
        </w:rPr>
        <w:t>Japan – Agricultural Products II</w:t>
      </w:r>
      <w:r>
        <w:t xml:space="preserve">, para. 129 regarding the </w:t>
      </w:r>
      <w:r w:rsidR="00671A1D">
        <w:t>p</w:t>
      </w:r>
      <w:r>
        <w:t xml:space="preserve">anel's finding of an "alternative measure" which was not argued by the complainant: "[…] this authority cannot be used by a panel to rule in favour of a complaining party which has not established a </w:t>
      </w:r>
      <w:r>
        <w:rPr>
          <w:i/>
          <w:iCs/>
        </w:rPr>
        <w:t xml:space="preserve">prima facie </w:t>
      </w:r>
      <w:r>
        <w:t>case of inconsistency based on specific legal claims asserted by it. A panel is entitled to seek information and advice […] to help it understand and evaluate ethe evidence submitted and the arguments made by the parties, but not to make the case for a complaining party."</w:t>
      </w:r>
    </w:p>
  </w:footnote>
  <w:footnote w:id="92">
    <w:p w14:paraId="4859E435" w14:textId="52F7D486" w:rsidR="00AB418A" w:rsidRPr="001478B3" w:rsidRDefault="00AB418A" w:rsidP="00EC2D5B">
      <w:pPr>
        <w:pStyle w:val="FootnoteText"/>
      </w:pPr>
      <w:r>
        <w:rPr>
          <w:rStyle w:val="FootnoteReference"/>
        </w:rPr>
        <w:footnoteRef/>
      </w:r>
      <w:r>
        <w:t xml:space="preserve"> See also, Appellate Body Report, </w:t>
      </w:r>
      <w:r>
        <w:rPr>
          <w:i/>
          <w:iCs/>
        </w:rPr>
        <w:t>Japan – Agricultural Products II</w:t>
      </w:r>
      <w:r w:rsidR="00613CFE">
        <w:t xml:space="preserve">, paras. 128 – 131, regarding the </w:t>
      </w:r>
      <w:r w:rsidR="00671A1D">
        <w:t>p</w:t>
      </w:r>
      <w:r w:rsidR="00613CFE">
        <w:t xml:space="preserve">anel's "significant investigative authority" under both Article 13 of the DSU and Article 11.2 of the </w:t>
      </w:r>
      <w:r w:rsidR="00613CFE">
        <w:rPr>
          <w:i/>
          <w:iCs/>
        </w:rPr>
        <w:t>SPS Agreement</w:t>
      </w:r>
      <w:r w:rsidR="00613CFE">
        <w:t>.</w:t>
      </w:r>
    </w:p>
  </w:footnote>
  <w:footnote w:id="93">
    <w:p w14:paraId="3B94B1AD" w14:textId="77777777" w:rsidR="00AB418A" w:rsidRPr="00BD0E00" w:rsidRDefault="00AB418A" w:rsidP="00EC2D5B">
      <w:pPr>
        <w:pStyle w:val="FootnoteText"/>
      </w:pPr>
      <w:r>
        <w:rPr>
          <w:rStyle w:val="FootnoteReference"/>
        </w:rPr>
        <w:footnoteRef/>
      </w:r>
      <w:r>
        <w:t xml:space="preserve"> Appellate Body Report, </w:t>
      </w:r>
      <w:r>
        <w:rPr>
          <w:i/>
          <w:iCs/>
        </w:rPr>
        <w:t xml:space="preserve">Canada – Aircraft, </w:t>
      </w:r>
      <w:r>
        <w:t>para. 192.</w:t>
      </w:r>
    </w:p>
  </w:footnote>
  <w:footnote w:id="94">
    <w:p w14:paraId="52710D51" w14:textId="77777777" w:rsidR="00AB418A" w:rsidRDefault="00AB418A" w:rsidP="00EC2D5B">
      <w:pPr>
        <w:pStyle w:val="FootnoteText"/>
      </w:pPr>
      <w:r>
        <w:rPr>
          <w:rStyle w:val="FootnoteReference"/>
        </w:rPr>
        <w:footnoteRef/>
      </w:r>
      <w:r>
        <w:t xml:space="preserve"> Article 13.1 of Dispute Settlement Understanding. </w:t>
      </w:r>
    </w:p>
  </w:footnote>
  <w:footnote w:id="95">
    <w:p w14:paraId="5618C39A" w14:textId="77777777" w:rsidR="00AB418A" w:rsidRPr="007A5AAC" w:rsidRDefault="00AB418A" w:rsidP="00EC2D5B">
      <w:pPr>
        <w:pStyle w:val="FootnoteText"/>
      </w:pPr>
      <w:r>
        <w:rPr>
          <w:rStyle w:val="FootnoteReference"/>
        </w:rPr>
        <w:footnoteRef/>
      </w:r>
      <w:r>
        <w:t xml:space="preserve"> Appellate Body Report, </w:t>
      </w:r>
      <w:r>
        <w:rPr>
          <w:i/>
          <w:iCs/>
        </w:rPr>
        <w:t>Canada – Aircraft</w:t>
      </w:r>
      <w:r>
        <w:t>, para. 187.</w:t>
      </w:r>
    </w:p>
  </w:footnote>
  <w:footnote w:id="96">
    <w:p w14:paraId="0F14C95C" w14:textId="77777777" w:rsidR="00AB418A" w:rsidRPr="007A5AAC" w:rsidRDefault="00AB418A" w:rsidP="00EC2D5B">
      <w:pPr>
        <w:pStyle w:val="FootnoteText"/>
      </w:pPr>
      <w:r>
        <w:rPr>
          <w:rStyle w:val="FootnoteReference"/>
        </w:rPr>
        <w:footnoteRef/>
      </w:r>
      <w:r>
        <w:t xml:space="preserve"> Appellate Body Report, </w:t>
      </w:r>
      <w:r>
        <w:rPr>
          <w:i/>
          <w:iCs/>
        </w:rPr>
        <w:t>Canada – Aircraft</w:t>
      </w:r>
      <w:r>
        <w:t>, para. 187.</w:t>
      </w:r>
    </w:p>
  </w:footnote>
  <w:footnote w:id="97">
    <w:p w14:paraId="2735FD45" w14:textId="77777777" w:rsidR="008C27F6" w:rsidRDefault="008C27F6" w:rsidP="008C27F6">
      <w:pPr>
        <w:pStyle w:val="FootnoteText"/>
      </w:pPr>
      <w:r>
        <w:rPr>
          <w:rStyle w:val="FootnoteReference"/>
        </w:rPr>
        <w:footnoteRef/>
      </w:r>
      <w:r>
        <w:t xml:space="preserve"> A</w:t>
      </w:r>
      <w:r w:rsidRPr="00164F74">
        <w:t xml:space="preserve">ppellate Body Report, </w:t>
      </w:r>
      <w:r w:rsidRPr="00164F74">
        <w:rPr>
          <w:i/>
          <w:iCs/>
        </w:rPr>
        <w:t>US – Wheat Gluten</w:t>
      </w:r>
      <w:r w:rsidRPr="00164F74">
        <w:t>, para. 174.</w:t>
      </w:r>
    </w:p>
  </w:footnote>
  <w:footnote w:id="98">
    <w:p w14:paraId="069A3F63" w14:textId="77777777" w:rsidR="000A4370" w:rsidRDefault="000A4370" w:rsidP="000A4370">
      <w:pPr>
        <w:pStyle w:val="FootnoteText"/>
      </w:pPr>
      <w:r>
        <w:rPr>
          <w:rStyle w:val="FootnoteReference"/>
        </w:rPr>
        <w:footnoteRef/>
      </w:r>
      <w:r>
        <w:t xml:space="preserve"> Such measures would not include measures adopted and maintained in a transparent manner, in good faith, in pursuit of a legitimate public policy objective, such as health and safety or environmental protection, among others. </w:t>
      </w:r>
    </w:p>
  </w:footnote>
  <w:footnote w:id="99">
    <w:p w14:paraId="667E7462" w14:textId="2AD92280" w:rsidR="000A4370" w:rsidRDefault="000A4370" w:rsidP="000A4370">
      <w:pPr>
        <w:pStyle w:val="FootnoteText"/>
      </w:pPr>
      <w:r>
        <w:rPr>
          <w:rStyle w:val="FootnoteReference"/>
        </w:rPr>
        <w:footnoteRef/>
      </w:r>
      <w:r>
        <w:t xml:space="preserve"> See, for example, </w:t>
      </w:r>
      <w:r w:rsidR="001D6DB3">
        <w:t>"</w:t>
      </w:r>
      <w:r w:rsidRPr="001D6DB3">
        <w:t>Joint Declaration Against Trade-Related Economic Coercion and Non-Market Policies and Practice</w:t>
      </w:r>
      <w:r w:rsidR="001D6DB3">
        <w:t xml:space="preserve">s" dated 9 June 2023, available at: </w:t>
      </w:r>
      <w:r w:rsidR="001D6DB3" w:rsidRPr="0012704C">
        <w:t>www.foreignminister.gov.au</w:t>
      </w:r>
      <w:r w:rsidR="001D6DB3">
        <w:t>.</w:t>
      </w:r>
    </w:p>
  </w:footnote>
  <w:footnote w:id="100">
    <w:p w14:paraId="2619D74D" w14:textId="77777777" w:rsidR="000A4370" w:rsidRDefault="000A4370" w:rsidP="000A4370">
      <w:pPr>
        <w:pStyle w:val="FootnoteText"/>
      </w:pPr>
      <w:r>
        <w:rPr>
          <w:rStyle w:val="FootnoteReference"/>
        </w:rPr>
        <w:footnoteRef/>
      </w:r>
      <w:r>
        <w:t xml:space="preserve"> See, for example, Preamble to the Marrakesh Agreement, para. 4: "</w:t>
      </w:r>
      <w:r>
        <w:rPr>
          <w:i/>
          <w:iCs/>
        </w:rPr>
        <w:t>Being desirous</w:t>
      </w:r>
      <w:r>
        <w:t xml:space="preserve"> of contributing to these objectives by entering into reciprocal and mutually advantageous arrangements directed to the substantial reduction of tariffs and other barriers to trade and to the elimination of discriminatory treatment in international trade relations".</w:t>
      </w:r>
    </w:p>
  </w:footnote>
  <w:footnote w:id="101">
    <w:p w14:paraId="066AFEBB" w14:textId="4C6F2A01" w:rsidR="00AB418A" w:rsidRPr="00295262" w:rsidRDefault="00AB418A">
      <w:pPr>
        <w:pStyle w:val="FootnoteText"/>
      </w:pPr>
      <w:r>
        <w:rPr>
          <w:rStyle w:val="FootnoteReference"/>
        </w:rPr>
        <w:footnoteRef/>
      </w:r>
      <w:r>
        <w:t xml:space="preserve"> Appellate Body Report, </w:t>
      </w:r>
      <w:r>
        <w:rPr>
          <w:i/>
          <w:iCs/>
        </w:rPr>
        <w:t>Japan – Alcoholic Beverages II</w:t>
      </w:r>
      <w:r>
        <w:t xml:space="preserve">, p. 31 </w:t>
      </w:r>
      <w:r w:rsidR="00451CF0">
        <w:t>(referring to</w:t>
      </w:r>
      <w:r>
        <w:t xml:space="preserve"> Article 3.2 of the DSU</w:t>
      </w:r>
      <w:r w:rsidR="00451CF0">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A715" w14:textId="70BF2F12" w:rsidR="00AB418A" w:rsidRDefault="00AB418A">
    <w:pPr>
      <w:pStyle w:val="Header"/>
    </w:pPr>
    <w:r>
      <w:rPr>
        <w:i/>
        <w:iCs/>
      </w:rPr>
      <w:t>China – Measures Concerning Trade in Goods</w:t>
    </w:r>
    <w:r>
      <w:ptab w:relativeTo="margin" w:alignment="right" w:leader="none"/>
    </w:r>
    <w:r>
      <w:t>Third</w:t>
    </w:r>
    <w:r w:rsidR="00E35EA2">
      <w:t xml:space="preserve"> </w:t>
    </w:r>
    <w:r>
      <w:t>Party Written Submission of Australia</w:t>
    </w:r>
  </w:p>
  <w:p w14:paraId="3BC1D088" w14:textId="47F260F9" w:rsidR="00AB418A" w:rsidRDefault="00AB418A">
    <w:pPr>
      <w:pStyle w:val="Header"/>
    </w:pPr>
    <w:r>
      <w:t>DS610</w:t>
    </w:r>
    <w:r>
      <w:ptab w:relativeTo="margin" w:alignment="right" w:leader="none"/>
    </w:r>
    <w:r>
      <w:t>9 November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4046F"/>
    <w:multiLevelType w:val="hybridMultilevel"/>
    <w:tmpl w:val="DDD01E9E"/>
    <w:lvl w:ilvl="0" w:tplc="F6281E4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165CB4"/>
    <w:multiLevelType w:val="hybridMultilevel"/>
    <w:tmpl w:val="66AC58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8A4596"/>
    <w:multiLevelType w:val="multilevel"/>
    <w:tmpl w:val="3EF6F766"/>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1702"/>
        </w:tabs>
        <w:ind w:left="1702" w:hanging="851"/>
      </w:pPr>
      <w:rPr>
        <w:rFonts w:hint="default"/>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4" w15:restartNumberingAfterBreak="0">
    <w:nsid w:val="1E1415D6"/>
    <w:multiLevelType w:val="hybridMultilevel"/>
    <w:tmpl w:val="92961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4CA8E90">
      <w:start w:val="6"/>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400CD3"/>
    <w:multiLevelType w:val="hybridMultilevel"/>
    <w:tmpl w:val="6BCAB8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243105"/>
    <w:multiLevelType w:val="hybridMultilevel"/>
    <w:tmpl w:val="3F621B30"/>
    <w:lvl w:ilvl="0" w:tplc="FFFFFFFF">
      <w:start w:val="1"/>
      <w:numFmt w:val="decimal"/>
      <w:pStyle w:val="P1-N1Paragraph1-Number1"/>
      <w:lvlText w:val="%1."/>
      <w:lvlJc w:val="left"/>
      <w:pPr>
        <w:tabs>
          <w:tab w:val="num" w:pos="851"/>
        </w:tabs>
        <w:ind w:left="0" w:firstLine="0"/>
      </w:pPr>
      <w:rPr>
        <w:b w:val="0"/>
        <w:bCs w:val="0"/>
        <w:i w:val="0"/>
        <w:iCs w:val="0"/>
      </w:rPr>
    </w:lvl>
    <w:lvl w:ilvl="1" w:tplc="A036DD04">
      <w:start w:val="1"/>
      <w:numFmt w:val="lowerRoman"/>
      <w:pStyle w:val="P2-B1Paragraph2-Bullet1"/>
      <w:lvlText w:val="%2."/>
      <w:lvlJc w:val="right"/>
      <w:pPr>
        <w:ind w:left="1211" w:hanging="360"/>
      </w:pPr>
      <w:rPr>
        <w:i w:val="0"/>
        <w:iCs w:val="0"/>
      </w:r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7" w15:restartNumberingAfterBreak="0">
    <w:nsid w:val="36F93A71"/>
    <w:multiLevelType w:val="hybridMultilevel"/>
    <w:tmpl w:val="BF906C54"/>
    <w:lvl w:ilvl="0" w:tplc="687CDF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8C28BA"/>
    <w:multiLevelType w:val="hybridMultilevel"/>
    <w:tmpl w:val="28BE73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10" w15:restartNumberingAfterBreak="0">
    <w:nsid w:val="5ADE4510"/>
    <w:multiLevelType w:val="hybridMultilevel"/>
    <w:tmpl w:val="8CE00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197C3C"/>
    <w:multiLevelType w:val="hybridMultilevel"/>
    <w:tmpl w:val="9A80A822"/>
    <w:lvl w:ilvl="0" w:tplc="C2D4BBC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77587B"/>
    <w:multiLevelType w:val="multilevel"/>
    <w:tmpl w:val="235000D0"/>
    <w:styleLink w:val="CurrentList1"/>
    <w:lvl w:ilvl="0">
      <w:start w:val="1"/>
      <w:numFmt w:val="decimal"/>
      <w:lvlText w:val="%1."/>
      <w:lvlJc w:val="left"/>
      <w:pPr>
        <w:tabs>
          <w:tab w:val="num" w:pos="851"/>
        </w:tabs>
        <w:ind w:left="0" w:firstLine="0"/>
      </w:pPr>
      <w:rPr>
        <w:rFonts w:hint="default"/>
      </w:rPr>
    </w:lvl>
    <w:lvl w:ilvl="1">
      <w:start w:val="1"/>
      <w:numFmt w:val="lowerRoman"/>
      <w:lvlText w:val="%2."/>
      <w:lvlJc w:val="right"/>
      <w:pPr>
        <w:ind w:left="1211" w:hanging="360"/>
      </w:pPr>
    </w:lvl>
    <w:lvl w:ilvl="2">
      <w:start w:val="1"/>
      <w:numFmt w:val="bullet"/>
      <w:lvlText w:val="–"/>
      <w:lvlJc w:val="left"/>
      <w:pPr>
        <w:tabs>
          <w:tab w:val="num" w:pos="2552"/>
        </w:tabs>
        <w:ind w:left="2552" w:hanging="851"/>
      </w:pPr>
      <w:rPr>
        <w:rFonts w:ascii="Calibri" w:eastAsiaTheme="minorHAnsi" w:hAnsi="Calibri" w:cs="Calibri" w:hint="default"/>
      </w:rPr>
    </w:lvl>
    <w:lvl w:ilvl="3">
      <w:start w:val="1"/>
      <w:numFmt w:val="bullet"/>
      <w:lvlText w:val="o"/>
      <w:lvlJc w:val="left"/>
      <w:pPr>
        <w:tabs>
          <w:tab w:val="num" w:pos="3402"/>
        </w:tabs>
        <w:ind w:left="3402" w:hanging="850"/>
      </w:pPr>
      <w:rPr>
        <w:rFonts w:ascii="Courier New" w:hAnsi="Courier New" w:hint="default"/>
      </w:rPr>
    </w:lvl>
    <w:lvl w:ilvl="4">
      <w:start w:val="1"/>
      <w:numFmt w:val="bullet"/>
      <w:lvlText w:val=""/>
      <w:lvlJc w:val="left"/>
      <w:pPr>
        <w:tabs>
          <w:tab w:val="num" w:pos="4253"/>
        </w:tabs>
        <w:ind w:left="4253" w:hanging="851"/>
      </w:pPr>
      <w:rPr>
        <w:rFonts w:ascii="Wingdings" w:hAnsi="Wingdings" w:hint="default"/>
      </w:rPr>
    </w:lvl>
    <w:lvl w:ilvl="5">
      <w:start w:val="1"/>
      <w:numFmt w:val="bullet"/>
      <w:lvlText w:val=""/>
      <w:lvlJc w:val="left"/>
      <w:pPr>
        <w:tabs>
          <w:tab w:val="num" w:pos="5103"/>
        </w:tabs>
        <w:ind w:left="5103" w:hanging="850"/>
      </w:pPr>
      <w:rPr>
        <w:rFonts w:ascii="Wingdings" w:hAnsi="Wingdings" w:hint="default"/>
      </w:rPr>
    </w:lvl>
    <w:lvl w:ilvl="6">
      <w:start w:val="1"/>
      <w:numFmt w:val="bullet"/>
      <w:lvlText w:val=""/>
      <w:lvlJc w:val="left"/>
      <w:pPr>
        <w:tabs>
          <w:tab w:val="num" w:pos="5954"/>
        </w:tabs>
        <w:ind w:left="5954" w:hanging="851"/>
      </w:pPr>
      <w:rPr>
        <w:rFonts w:ascii="Symbol" w:hAnsi="Symbol" w:hint="default"/>
      </w:rPr>
    </w:lvl>
    <w:lvl w:ilvl="7">
      <w:start w:val="1"/>
      <w:numFmt w:val="bullet"/>
      <w:lvlText w:val="–"/>
      <w:lvlJc w:val="left"/>
      <w:pPr>
        <w:tabs>
          <w:tab w:val="num" w:pos="6804"/>
        </w:tabs>
        <w:ind w:left="6804" w:hanging="850"/>
      </w:pPr>
      <w:rPr>
        <w:rFonts w:ascii="Calibri" w:eastAsiaTheme="minorHAnsi" w:hAnsi="Calibri" w:cs="Calibri" w:hint="default"/>
      </w:rPr>
    </w:lvl>
    <w:lvl w:ilvl="8">
      <w:start w:val="1"/>
      <w:numFmt w:val="bullet"/>
      <w:lvlText w:val="o"/>
      <w:lvlJc w:val="left"/>
      <w:pPr>
        <w:tabs>
          <w:tab w:val="num" w:pos="7655"/>
        </w:tabs>
        <w:ind w:left="7655" w:hanging="851"/>
      </w:pPr>
      <w:rPr>
        <w:rFonts w:ascii="Courier New" w:hAnsi="Courier New" w:hint="default"/>
      </w:rPr>
    </w:lvl>
  </w:abstractNum>
  <w:abstractNum w:abstractNumId="13"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9471DE3"/>
    <w:multiLevelType w:val="hybridMultilevel"/>
    <w:tmpl w:val="F8C68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ED68F46">
      <w:start w:val="4"/>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754781"/>
    <w:multiLevelType w:val="hybridMultilevel"/>
    <w:tmpl w:val="B5B677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05F2BD1"/>
    <w:multiLevelType w:val="hybridMultilevel"/>
    <w:tmpl w:val="60C6E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6305D6"/>
    <w:multiLevelType w:val="hybridMultilevel"/>
    <w:tmpl w:val="F86E59D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341156085">
    <w:abstractNumId w:val="6"/>
  </w:num>
  <w:num w:numId="2" w16cid:durableId="1222060973">
    <w:abstractNumId w:val="3"/>
  </w:num>
  <w:num w:numId="3" w16cid:durableId="1777096341">
    <w:abstractNumId w:val="6"/>
  </w:num>
  <w:num w:numId="4" w16cid:durableId="1727102767">
    <w:abstractNumId w:val="0"/>
  </w:num>
  <w:num w:numId="5" w16cid:durableId="1731464749">
    <w:abstractNumId w:val="13"/>
  </w:num>
  <w:num w:numId="6" w16cid:durableId="1351838105">
    <w:abstractNumId w:val="9"/>
  </w:num>
  <w:num w:numId="7" w16cid:durableId="798884275">
    <w:abstractNumId w:val="9"/>
  </w:num>
  <w:num w:numId="8" w16cid:durableId="1524174141">
    <w:abstractNumId w:val="3"/>
  </w:num>
  <w:num w:numId="9" w16cid:durableId="1559046933">
    <w:abstractNumId w:val="8"/>
  </w:num>
  <w:num w:numId="10" w16cid:durableId="665086504">
    <w:abstractNumId w:val="15"/>
  </w:num>
  <w:num w:numId="11" w16cid:durableId="308902894">
    <w:abstractNumId w:val="4"/>
  </w:num>
  <w:num w:numId="12" w16cid:durableId="1201626415">
    <w:abstractNumId w:val="6"/>
  </w:num>
  <w:num w:numId="13" w16cid:durableId="968976956">
    <w:abstractNumId w:val="6"/>
  </w:num>
  <w:num w:numId="14" w16cid:durableId="1909924874">
    <w:abstractNumId w:val="6"/>
  </w:num>
  <w:num w:numId="15" w16cid:durableId="507453776">
    <w:abstractNumId w:val="6"/>
  </w:num>
  <w:num w:numId="16" w16cid:durableId="1518929770">
    <w:abstractNumId w:val="6"/>
  </w:num>
  <w:num w:numId="17" w16cid:durableId="420029683">
    <w:abstractNumId w:val="17"/>
  </w:num>
  <w:num w:numId="18" w16cid:durableId="542980321">
    <w:abstractNumId w:val="14"/>
  </w:num>
  <w:num w:numId="19" w16cid:durableId="1039553015">
    <w:abstractNumId w:val="6"/>
    <w:lvlOverride w:ilvl="0"/>
    <w:lvlOverride w:ilvl="1">
      <w:startOverride w:val="1"/>
    </w:lvlOverride>
    <w:lvlOverride w:ilvl="2"/>
    <w:lvlOverride w:ilvl="3"/>
    <w:lvlOverride w:ilvl="4"/>
    <w:lvlOverride w:ilvl="5"/>
    <w:lvlOverride w:ilvl="6"/>
    <w:lvlOverride w:ilvl="7"/>
    <w:lvlOverride w:ilvl="8"/>
  </w:num>
  <w:num w:numId="20" w16cid:durableId="19312352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3395297">
    <w:abstractNumId w:val="4"/>
  </w:num>
  <w:num w:numId="22" w16cid:durableId="1430462690">
    <w:abstractNumId w:val="11"/>
  </w:num>
  <w:num w:numId="23" w16cid:durableId="2029208737">
    <w:abstractNumId w:val="6"/>
  </w:num>
  <w:num w:numId="24" w16cid:durableId="90785646">
    <w:abstractNumId w:val="12"/>
  </w:num>
  <w:num w:numId="25" w16cid:durableId="1232959068">
    <w:abstractNumId w:val="16"/>
  </w:num>
  <w:num w:numId="26" w16cid:durableId="1294675179">
    <w:abstractNumId w:val="2"/>
  </w:num>
  <w:num w:numId="27" w16cid:durableId="219101125">
    <w:abstractNumId w:val="1"/>
  </w:num>
  <w:num w:numId="28" w16cid:durableId="1393239732">
    <w:abstractNumId w:val="7"/>
  </w:num>
  <w:num w:numId="29" w16cid:durableId="1354454018">
    <w:abstractNumId w:val="5"/>
  </w:num>
  <w:num w:numId="30" w16cid:durableId="14088411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4C"/>
    <w:rsid w:val="00000BD1"/>
    <w:rsid w:val="00004009"/>
    <w:rsid w:val="00006269"/>
    <w:rsid w:val="000070F8"/>
    <w:rsid w:val="0001010E"/>
    <w:rsid w:val="00010BCD"/>
    <w:rsid w:val="00010DD9"/>
    <w:rsid w:val="0001149B"/>
    <w:rsid w:val="00011C52"/>
    <w:rsid w:val="00013F6E"/>
    <w:rsid w:val="00014EBA"/>
    <w:rsid w:val="000158A7"/>
    <w:rsid w:val="00016097"/>
    <w:rsid w:val="00016BF5"/>
    <w:rsid w:val="00016F54"/>
    <w:rsid w:val="00021AD0"/>
    <w:rsid w:val="00022A4A"/>
    <w:rsid w:val="000231AA"/>
    <w:rsid w:val="000235CB"/>
    <w:rsid w:val="00023C47"/>
    <w:rsid w:val="00024F55"/>
    <w:rsid w:val="00025483"/>
    <w:rsid w:val="0002553F"/>
    <w:rsid w:val="00025541"/>
    <w:rsid w:val="00025B43"/>
    <w:rsid w:val="000303A8"/>
    <w:rsid w:val="00030A32"/>
    <w:rsid w:val="00030AC9"/>
    <w:rsid w:val="00031577"/>
    <w:rsid w:val="00033077"/>
    <w:rsid w:val="000332DC"/>
    <w:rsid w:val="00036689"/>
    <w:rsid w:val="0004042E"/>
    <w:rsid w:val="00040482"/>
    <w:rsid w:val="00040FEE"/>
    <w:rsid w:val="0004197A"/>
    <w:rsid w:val="000425E8"/>
    <w:rsid w:val="000429A3"/>
    <w:rsid w:val="00042C46"/>
    <w:rsid w:val="00043244"/>
    <w:rsid w:val="00043951"/>
    <w:rsid w:val="000453F8"/>
    <w:rsid w:val="00046BAF"/>
    <w:rsid w:val="00047146"/>
    <w:rsid w:val="000472AF"/>
    <w:rsid w:val="000476F1"/>
    <w:rsid w:val="00050C08"/>
    <w:rsid w:val="000522D5"/>
    <w:rsid w:val="00052F29"/>
    <w:rsid w:val="000534E3"/>
    <w:rsid w:val="000536F1"/>
    <w:rsid w:val="00053B66"/>
    <w:rsid w:val="000545C2"/>
    <w:rsid w:val="000547C3"/>
    <w:rsid w:val="000548D0"/>
    <w:rsid w:val="00055986"/>
    <w:rsid w:val="00056E23"/>
    <w:rsid w:val="00057AAF"/>
    <w:rsid w:val="00058A6C"/>
    <w:rsid w:val="00060D05"/>
    <w:rsid w:val="00061CBA"/>
    <w:rsid w:val="00062475"/>
    <w:rsid w:val="00064011"/>
    <w:rsid w:val="000662B0"/>
    <w:rsid w:val="00067C44"/>
    <w:rsid w:val="000704C9"/>
    <w:rsid w:val="000716BD"/>
    <w:rsid w:val="0007327B"/>
    <w:rsid w:val="00074750"/>
    <w:rsid w:val="00074BE9"/>
    <w:rsid w:val="00076F71"/>
    <w:rsid w:val="000772C8"/>
    <w:rsid w:val="000773E3"/>
    <w:rsid w:val="0007779F"/>
    <w:rsid w:val="000804AF"/>
    <w:rsid w:val="00081602"/>
    <w:rsid w:val="000824D2"/>
    <w:rsid w:val="00082549"/>
    <w:rsid w:val="00083BAF"/>
    <w:rsid w:val="00084B9D"/>
    <w:rsid w:val="00084C1E"/>
    <w:rsid w:val="0008552C"/>
    <w:rsid w:val="000873EF"/>
    <w:rsid w:val="00087748"/>
    <w:rsid w:val="000909F9"/>
    <w:rsid w:val="000918D4"/>
    <w:rsid w:val="00092936"/>
    <w:rsid w:val="00092A98"/>
    <w:rsid w:val="00093175"/>
    <w:rsid w:val="00093743"/>
    <w:rsid w:val="000948AF"/>
    <w:rsid w:val="000950D2"/>
    <w:rsid w:val="00097007"/>
    <w:rsid w:val="00097A84"/>
    <w:rsid w:val="000A0497"/>
    <w:rsid w:val="000A2A47"/>
    <w:rsid w:val="000A2F2E"/>
    <w:rsid w:val="000A4370"/>
    <w:rsid w:val="000A506F"/>
    <w:rsid w:val="000A5D41"/>
    <w:rsid w:val="000B3B1A"/>
    <w:rsid w:val="000B53DB"/>
    <w:rsid w:val="000B5EF8"/>
    <w:rsid w:val="000B7CCA"/>
    <w:rsid w:val="000C10D3"/>
    <w:rsid w:val="000C14F5"/>
    <w:rsid w:val="000C168B"/>
    <w:rsid w:val="000C29FB"/>
    <w:rsid w:val="000C2A13"/>
    <w:rsid w:val="000C4C72"/>
    <w:rsid w:val="000C6905"/>
    <w:rsid w:val="000C69EE"/>
    <w:rsid w:val="000D0B96"/>
    <w:rsid w:val="000D291B"/>
    <w:rsid w:val="000D4646"/>
    <w:rsid w:val="000E0F10"/>
    <w:rsid w:val="000E1E37"/>
    <w:rsid w:val="000E2A61"/>
    <w:rsid w:val="000E4404"/>
    <w:rsid w:val="000E4C65"/>
    <w:rsid w:val="000E61F4"/>
    <w:rsid w:val="000E77CF"/>
    <w:rsid w:val="000F0E14"/>
    <w:rsid w:val="000F14CA"/>
    <w:rsid w:val="000F35D1"/>
    <w:rsid w:val="000F3C24"/>
    <w:rsid w:val="000F512F"/>
    <w:rsid w:val="000F5A63"/>
    <w:rsid w:val="000F630A"/>
    <w:rsid w:val="000F6681"/>
    <w:rsid w:val="000F69F5"/>
    <w:rsid w:val="0010119C"/>
    <w:rsid w:val="00101DDE"/>
    <w:rsid w:val="001028C5"/>
    <w:rsid w:val="001035D6"/>
    <w:rsid w:val="00104BD7"/>
    <w:rsid w:val="00106B66"/>
    <w:rsid w:val="00106F48"/>
    <w:rsid w:val="0010715F"/>
    <w:rsid w:val="0010725E"/>
    <w:rsid w:val="00110114"/>
    <w:rsid w:val="00110FFE"/>
    <w:rsid w:val="00113095"/>
    <w:rsid w:val="00113DA9"/>
    <w:rsid w:val="00114126"/>
    <w:rsid w:val="00114F81"/>
    <w:rsid w:val="0011547E"/>
    <w:rsid w:val="001175A1"/>
    <w:rsid w:val="001179EE"/>
    <w:rsid w:val="00120C27"/>
    <w:rsid w:val="0012151F"/>
    <w:rsid w:val="0012266F"/>
    <w:rsid w:val="001229AF"/>
    <w:rsid w:val="00124339"/>
    <w:rsid w:val="00124547"/>
    <w:rsid w:val="001269B5"/>
    <w:rsid w:val="0012704C"/>
    <w:rsid w:val="00131095"/>
    <w:rsid w:val="00132975"/>
    <w:rsid w:val="001346C7"/>
    <w:rsid w:val="00135D90"/>
    <w:rsid w:val="001363C0"/>
    <w:rsid w:val="00136D1B"/>
    <w:rsid w:val="00137022"/>
    <w:rsid w:val="001374B6"/>
    <w:rsid w:val="001409F8"/>
    <w:rsid w:val="00140DF4"/>
    <w:rsid w:val="00140FCB"/>
    <w:rsid w:val="00143494"/>
    <w:rsid w:val="00145673"/>
    <w:rsid w:val="00145A07"/>
    <w:rsid w:val="00145A17"/>
    <w:rsid w:val="001478FB"/>
    <w:rsid w:val="001500AB"/>
    <w:rsid w:val="001535E0"/>
    <w:rsid w:val="00154981"/>
    <w:rsid w:val="001554CC"/>
    <w:rsid w:val="001570CB"/>
    <w:rsid w:val="0015729F"/>
    <w:rsid w:val="001607A6"/>
    <w:rsid w:val="0016120B"/>
    <w:rsid w:val="0016224B"/>
    <w:rsid w:val="00163915"/>
    <w:rsid w:val="00164B53"/>
    <w:rsid w:val="00165108"/>
    <w:rsid w:val="00165E0D"/>
    <w:rsid w:val="00170206"/>
    <w:rsid w:val="0017192E"/>
    <w:rsid w:val="00172A73"/>
    <w:rsid w:val="00173F09"/>
    <w:rsid w:val="00174F30"/>
    <w:rsid w:val="001751C9"/>
    <w:rsid w:val="00175558"/>
    <w:rsid w:val="001773A0"/>
    <w:rsid w:val="00180A97"/>
    <w:rsid w:val="001824D4"/>
    <w:rsid w:val="00182727"/>
    <w:rsid w:val="001846DD"/>
    <w:rsid w:val="00190C5B"/>
    <w:rsid w:val="0019130D"/>
    <w:rsid w:val="00192D06"/>
    <w:rsid w:val="00193BC1"/>
    <w:rsid w:val="0019432E"/>
    <w:rsid w:val="0019472F"/>
    <w:rsid w:val="0019676B"/>
    <w:rsid w:val="001A0A79"/>
    <w:rsid w:val="001A1434"/>
    <w:rsid w:val="001A30EA"/>
    <w:rsid w:val="001A41B7"/>
    <w:rsid w:val="001A42EA"/>
    <w:rsid w:val="001A6F7A"/>
    <w:rsid w:val="001A754B"/>
    <w:rsid w:val="001A7801"/>
    <w:rsid w:val="001B09E0"/>
    <w:rsid w:val="001B0B0C"/>
    <w:rsid w:val="001B0CC2"/>
    <w:rsid w:val="001B3CCE"/>
    <w:rsid w:val="001B7D2D"/>
    <w:rsid w:val="001C1D3E"/>
    <w:rsid w:val="001C369E"/>
    <w:rsid w:val="001C3E99"/>
    <w:rsid w:val="001C4D1A"/>
    <w:rsid w:val="001C635A"/>
    <w:rsid w:val="001C6980"/>
    <w:rsid w:val="001C7F52"/>
    <w:rsid w:val="001D4F40"/>
    <w:rsid w:val="001D6CE1"/>
    <w:rsid w:val="001D6DB3"/>
    <w:rsid w:val="001E2D7D"/>
    <w:rsid w:val="001E7C2A"/>
    <w:rsid w:val="001F0E6F"/>
    <w:rsid w:val="001F2359"/>
    <w:rsid w:val="001F3D5E"/>
    <w:rsid w:val="001F46B7"/>
    <w:rsid w:val="001F51D6"/>
    <w:rsid w:val="001F683B"/>
    <w:rsid w:val="00200EC8"/>
    <w:rsid w:val="00203329"/>
    <w:rsid w:val="00204B01"/>
    <w:rsid w:val="00205299"/>
    <w:rsid w:val="00205F2B"/>
    <w:rsid w:val="00205F49"/>
    <w:rsid w:val="00206785"/>
    <w:rsid w:val="002070FA"/>
    <w:rsid w:val="002074D5"/>
    <w:rsid w:val="00207752"/>
    <w:rsid w:val="002105D2"/>
    <w:rsid w:val="00212CBA"/>
    <w:rsid w:val="0021350E"/>
    <w:rsid w:val="00213F0B"/>
    <w:rsid w:val="002140A1"/>
    <w:rsid w:val="0021517C"/>
    <w:rsid w:val="00215AE5"/>
    <w:rsid w:val="002206E4"/>
    <w:rsid w:val="00223199"/>
    <w:rsid w:val="00223AC0"/>
    <w:rsid w:val="0022544B"/>
    <w:rsid w:val="00227D0E"/>
    <w:rsid w:val="00230197"/>
    <w:rsid w:val="0023272D"/>
    <w:rsid w:val="00233974"/>
    <w:rsid w:val="00235538"/>
    <w:rsid w:val="00235592"/>
    <w:rsid w:val="00235894"/>
    <w:rsid w:val="0024076B"/>
    <w:rsid w:val="002408DE"/>
    <w:rsid w:val="002418E2"/>
    <w:rsid w:val="00241D86"/>
    <w:rsid w:val="0024376C"/>
    <w:rsid w:val="00245FA1"/>
    <w:rsid w:val="00246287"/>
    <w:rsid w:val="0024679E"/>
    <w:rsid w:val="00247D00"/>
    <w:rsid w:val="00250CCE"/>
    <w:rsid w:val="00251A8F"/>
    <w:rsid w:val="002529DD"/>
    <w:rsid w:val="0025353C"/>
    <w:rsid w:val="002539A5"/>
    <w:rsid w:val="00254AF2"/>
    <w:rsid w:val="00255779"/>
    <w:rsid w:val="00255BD7"/>
    <w:rsid w:val="0025637F"/>
    <w:rsid w:val="0025672A"/>
    <w:rsid w:val="0025782E"/>
    <w:rsid w:val="002600C5"/>
    <w:rsid w:val="00260205"/>
    <w:rsid w:val="002603E6"/>
    <w:rsid w:val="0026128E"/>
    <w:rsid w:val="00263B70"/>
    <w:rsid w:val="00264EA4"/>
    <w:rsid w:val="0026510D"/>
    <w:rsid w:val="00266CD3"/>
    <w:rsid w:val="00266F48"/>
    <w:rsid w:val="0027013A"/>
    <w:rsid w:val="0027288F"/>
    <w:rsid w:val="00272E36"/>
    <w:rsid w:val="002745CE"/>
    <w:rsid w:val="00274E68"/>
    <w:rsid w:val="002765F3"/>
    <w:rsid w:val="002774D9"/>
    <w:rsid w:val="00280210"/>
    <w:rsid w:val="00283DB2"/>
    <w:rsid w:val="00284006"/>
    <w:rsid w:val="002856F3"/>
    <w:rsid w:val="00285B61"/>
    <w:rsid w:val="00285EC2"/>
    <w:rsid w:val="002865AA"/>
    <w:rsid w:val="00286F21"/>
    <w:rsid w:val="00290566"/>
    <w:rsid w:val="002905FF"/>
    <w:rsid w:val="00293160"/>
    <w:rsid w:val="002940D7"/>
    <w:rsid w:val="00295262"/>
    <w:rsid w:val="00295BA5"/>
    <w:rsid w:val="002960F9"/>
    <w:rsid w:val="00297BD0"/>
    <w:rsid w:val="002A0DCD"/>
    <w:rsid w:val="002A1273"/>
    <w:rsid w:val="002A1295"/>
    <w:rsid w:val="002A2761"/>
    <w:rsid w:val="002A3E9A"/>
    <w:rsid w:val="002A4763"/>
    <w:rsid w:val="002A5624"/>
    <w:rsid w:val="002B0A73"/>
    <w:rsid w:val="002B0B0B"/>
    <w:rsid w:val="002B13F2"/>
    <w:rsid w:val="002B4CE4"/>
    <w:rsid w:val="002B7A1E"/>
    <w:rsid w:val="002C0205"/>
    <w:rsid w:val="002C1856"/>
    <w:rsid w:val="002C242D"/>
    <w:rsid w:val="002C3322"/>
    <w:rsid w:val="002C36F8"/>
    <w:rsid w:val="002C4528"/>
    <w:rsid w:val="002C4893"/>
    <w:rsid w:val="002C5E6B"/>
    <w:rsid w:val="002C757D"/>
    <w:rsid w:val="002D0CDD"/>
    <w:rsid w:val="002D308F"/>
    <w:rsid w:val="002D313B"/>
    <w:rsid w:val="002D4B5C"/>
    <w:rsid w:val="002D5383"/>
    <w:rsid w:val="002D5C90"/>
    <w:rsid w:val="002D6722"/>
    <w:rsid w:val="002E43F3"/>
    <w:rsid w:val="002E78FC"/>
    <w:rsid w:val="002F071E"/>
    <w:rsid w:val="002F1025"/>
    <w:rsid w:val="002F1614"/>
    <w:rsid w:val="002F1C99"/>
    <w:rsid w:val="002F332D"/>
    <w:rsid w:val="002F42E7"/>
    <w:rsid w:val="002F433F"/>
    <w:rsid w:val="002F6A7B"/>
    <w:rsid w:val="003004DB"/>
    <w:rsid w:val="003005A3"/>
    <w:rsid w:val="00300F68"/>
    <w:rsid w:val="003036FB"/>
    <w:rsid w:val="00305E63"/>
    <w:rsid w:val="0031054B"/>
    <w:rsid w:val="0031181D"/>
    <w:rsid w:val="00314D95"/>
    <w:rsid w:val="00314ECB"/>
    <w:rsid w:val="00317837"/>
    <w:rsid w:val="00317DA6"/>
    <w:rsid w:val="00322DE8"/>
    <w:rsid w:val="00322FA7"/>
    <w:rsid w:val="00323150"/>
    <w:rsid w:val="00323D58"/>
    <w:rsid w:val="00324B18"/>
    <w:rsid w:val="0032545D"/>
    <w:rsid w:val="00325C42"/>
    <w:rsid w:val="003274A4"/>
    <w:rsid w:val="00330582"/>
    <w:rsid w:val="003315A8"/>
    <w:rsid w:val="00331717"/>
    <w:rsid w:val="003318FB"/>
    <w:rsid w:val="00332109"/>
    <w:rsid w:val="00336853"/>
    <w:rsid w:val="00336A38"/>
    <w:rsid w:val="003415E7"/>
    <w:rsid w:val="0034182B"/>
    <w:rsid w:val="00341984"/>
    <w:rsid w:val="003430FB"/>
    <w:rsid w:val="00343C7D"/>
    <w:rsid w:val="003453DF"/>
    <w:rsid w:val="003456FE"/>
    <w:rsid w:val="00347584"/>
    <w:rsid w:val="00347A9B"/>
    <w:rsid w:val="00351524"/>
    <w:rsid w:val="0035285F"/>
    <w:rsid w:val="00352C73"/>
    <w:rsid w:val="0035391A"/>
    <w:rsid w:val="00354A06"/>
    <w:rsid w:val="00355394"/>
    <w:rsid w:val="00355ACF"/>
    <w:rsid w:val="00356877"/>
    <w:rsid w:val="003634F6"/>
    <w:rsid w:val="0036390A"/>
    <w:rsid w:val="00365C51"/>
    <w:rsid w:val="00365F14"/>
    <w:rsid w:val="00366027"/>
    <w:rsid w:val="00367EE0"/>
    <w:rsid w:val="00370D1F"/>
    <w:rsid w:val="00371258"/>
    <w:rsid w:val="00372E15"/>
    <w:rsid w:val="00373873"/>
    <w:rsid w:val="003771FC"/>
    <w:rsid w:val="00380306"/>
    <w:rsid w:val="00380454"/>
    <w:rsid w:val="00380795"/>
    <w:rsid w:val="003811E7"/>
    <w:rsid w:val="003822DC"/>
    <w:rsid w:val="0038247C"/>
    <w:rsid w:val="003825A0"/>
    <w:rsid w:val="00383F40"/>
    <w:rsid w:val="003868EC"/>
    <w:rsid w:val="003870F6"/>
    <w:rsid w:val="003925A5"/>
    <w:rsid w:val="00392C1D"/>
    <w:rsid w:val="00394B36"/>
    <w:rsid w:val="00394DA4"/>
    <w:rsid w:val="00396B82"/>
    <w:rsid w:val="00396CC4"/>
    <w:rsid w:val="003972F7"/>
    <w:rsid w:val="003A00C3"/>
    <w:rsid w:val="003A10EE"/>
    <w:rsid w:val="003A2991"/>
    <w:rsid w:val="003A2CE4"/>
    <w:rsid w:val="003A3FC8"/>
    <w:rsid w:val="003A56A4"/>
    <w:rsid w:val="003A5EE8"/>
    <w:rsid w:val="003A703B"/>
    <w:rsid w:val="003B2208"/>
    <w:rsid w:val="003B572B"/>
    <w:rsid w:val="003B6218"/>
    <w:rsid w:val="003B6F08"/>
    <w:rsid w:val="003C1494"/>
    <w:rsid w:val="003C19D9"/>
    <w:rsid w:val="003C34F8"/>
    <w:rsid w:val="003C5624"/>
    <w:rsid w:val="003C5BDF"/>
    <w:rsid w:val="003C65B0"/>
    <w:rsid w:val="003C6819"/>
    <w:rsid w:val="003C6DA6"/>
    <w:rsid w:val="003C7AA9"/>
    <w:rsid w:val="003C7DEA"/>
    <w:rsid w:val="003D37DF"/>
    <w:rsid w:val="003D5320"/>
    <w:rsid w:val="003D5A61"/>
    <w:rsid w:val="003E01DD"/>
    <w:rsid w:val="003E0750"/>
    <w:rsid w:val="003E1CE7"/>
    <w:rsid w:val="003E5AAA"/>
    <w:rsid w:val="003F2C72"/>
    <w:rsid w:val="003F4663"/>
    <w:rsid w:val="003F6F46"/>
    <w:rsid w:val="003F7BF7"/>
    <w:rsid w:val="00400611"/>
    <w:rsid w:val="0040108F"/>
    <w:rsid w:val="004021EA"/>
    <w:rsid w:val="00403CA9"/>
    <w:rsid w:val="00405892"/>
    <w:rsid w:val="00405CFE"/>
    <w:rsid w:val="00411C59"/>
    <w:rsid w:val="00412ADD"/>
    <w:rsid w:val="004140D9"/>
    <w:rsid w:val="00417B08"/>
    <w:rsid w:val="00420443"/>
    <w:rsid w:val="00420737"/>
    <w:rsid w:val="00421BC4"/>
    <w:rsid w:val="0042260C"/>
    <w:rsid w:val="00422C96"/>
    <w:rsid w:val="00427544"/>
    <w:rsid w:val="004275A6"/>
    <w:rsid w:val="0042794E"/>
    <w:rsid w:val="00432DF9"/>
    <w:rsid w:val="004342E7"/>
    <w:rsid w:val="004353FF"/>
    <w:rsid w:val="004354B1"/>
    <w:rsid w:val="00435DE5"/>
    <w:rsid w:val="00442B47"/>
    <w:rsid w:val="00443CC9"/>
    <w:rsid w:val="00445573"/>
    <w:rsid w:val="0044581B"/>
    <w:rsid w:val="0045105B"/>
    <w:rsid w:val="00451CF0"/>
    <w:rsid w:val="004524CE"/>
    <w:rsid w:val="00453C6C"/>
    <w:rsid w:val="00454A8F"/>
    <w:rsid w:val="00455E94"/>
    <w:rsid w:val="0045675C"/>
    <w:rsid w:val="00460350"/>
    <w:rsid w:val="004615E7"/>
    <w:rsid w:val="004620AA"/>
    <w:rsid w:val="00463AFF"/>
    <w:rsid w:val="00463BA8"/>
    <w:rsid w:val="00463CD4"/>
    <w:rsid w:val="0046442B"/>
    <w:rsid w:val="004647D4"/>
    <w:rsid w:val="004677DD"/>
    <w:rsid w:val="00471DE9"/>
    <w:rsid w:val="004742D3"/>
    <w:rsid w:val="00474CE6"/>
    <w:rsid w:val="00475284"/>
    <w:rsid w:val="004759DD"/>
    <w:rsid w:val="00477519"/>
    <w:rsid w:val="00477B15"/>
    <w:rsid w:val="004800C8"/>
    <w:rsid w:val="004800F3"/>
    <w:rsid w:val="00486CE7"/>
    <w:rsid w:val="00493CB7"/>
    <w:rsid w:val="00494F9A"/>
    <w:rsid w:val="004A32D6"/>
    <w:rsid w:val="004A4140"/>
    <w:rsid w:val="004A420D"/>
    <w:rsid w:val="004B16E4"/>
    <w:rsid w:val="004B3255"/>
    <w:rsid w:val="004B3592"/>
    <w:rsid w:val="004B47FB"/>
    <w:rsid w:val="004B64DD"/>
    <w:rsid w:val="004C0BF5"/>
    <w:rsid w:val="004C0D8E"/>
    <w:rsid w:val="004C235B"/>
    <w:rsid w:val="004C335E"/>
    <w:rsid w:val="004C35F3"/>
    <w:rsid w:val="004C5649"/>
    <w:rsid w:val="004C6040"/>
    <w:rsid w:val="004C6ED3"/>
    <w:rsid w:val="004C6EF9"/>
    <w:rsid w:val="004D01E2"/>
    <w:rsid w:val="004D1DC9"/>
    <w:rsid w:val="004D2C3D"/>
    <w:rsid w:val="004D353B"/>
    <w:rsid w:val="004D51DB"/>
    <w:rsid w:val="004D5A5D"/>
    <w:rsid w:val="004D6433"/>
    <w:rsid w:val="004D6BFA"/>
    <w:rsid w:val="004D6D5A"/>
    <w:rsid w:val="004D7079"/>
    <w:rsid w:val="004D7C3F"/>
    <w:rsid w:val="004E0935"/>
    <w:rsid w:val="004E16E9"/>
    <w:rsid w:val="004E3043"/>
    <w:rsid w:val="004E405E"/>
    <w:rsid w:val="004E4C4A"/>
    <w:rsid w:val="004E72C4"/>
    <w:rsid w:val="004E7B6D"/>
    <w:rsid w:val="004F00A2"/>
    <w:rsid w:val="004F144E"/>
    <w:rsid w:val="004F2169"/>
    <w:rsid w:val="004F2FE4"/>
    <w:rsid w:val="004F329E"/>
    <w:rsid w:val="004F5C6C"/>
    <w:rsid w:val="004F5D97"/>
    <w:rsid w:val="0050080F"/>
    <w:rsid w:val="00501A85"/>
    <w:rsid w:val="00501FB8"/>
    <w:rsid w:val="00503CEE"/>
    <w:rsid w:val="00503F27"/>
    <w:rsid w:val="00505CB1"/>
    <w:rsid w:val="00505D7D"/>
    <w:rsid w:val="00507120"/>
    <w:rsid w:val="00511DFC"/>
    <w:rsid w:val="00511F9F"/>
    <w:rsid w:val="00512911"/>
    <w:rsid w:val="00512C39"/>
    <w:rsid w:val="00512F2D"/>
    <w:rsid w:val="005134D0"/>
    <w:rsid w:val="00513A57"/>
    <w:rsid w:val="005200AA"/>
    <w:rsid w:val="005231DB"/>
    <w:rsid w:val="00523CCB"/>
    <w:rsid w:val="00524AAE"/>
    <w:rsid w:val="00524AEA"/>
    <w:rsid w:val="00525CB3"/>
    <w:rsid w:val="0053104B"/>
    <w:rsid w:val="0053191D"/>
    <w:rsid w:val="005324DC"/>
    <w:rsid w:val="005333DD"/>
    <w:rsid w:val="005364B9"/>
    <w:rsid w:val="0053716A"/>
    <w:rsid w:val="005408D0"/>
    <w:rsid w:val="00541278"/>
    <w:rsid w:val="005423DD"/>
    <w:rsid w:val="00542C19"/>
    <w:rsid w:val="00542DF6"/>
    <w:rsid w:val="005437AA"/>
    <w:rsid w:val="00543906"/>
    <w:rsid w:val="00544933"/>
    <w:rsid w:val="00545A36"/>
    <w:rsid w:val="005468A9"/>
    <w:rsid w:val="00546F97"/>
    <w:rsid w:val="00547020"/>
    <w:rsid w:val="0054720A"/>
    <w:rsid w:val="00547F08"/>
    <w:rsid w:val="00551A74"/>
    <w:rsid w:val="00553507"/>
    <w:rsid w:val="005538BF"/>
    <w:rsid w:val="00553C7E"/>
    <w:rsid w:val="005602C5"/>
    <w:rsid w:val="005617C3"/>
    <w:rsid w:val="0056283B"/>
    <w:rsid w:val="005642FC"/>
    <w:rsid w:val="005657C5"/>
    <w:rsid w:val="00567F12"/>
    <w:rsid w:val="00570290"/>
    <w:rsid w:val="005714C3"/>
    <w:rsid w:val="00575A38"/>
    <w:rsid w:val="0057611C"/>
    <w:rsid w:val="00583DD9"/>
    <w:rsid w:val="0058590A"/>
    <w:rsid w:val="0059160A"/>
    <w:rsid w:val="00591D14"/>
    <w:rsid w:val="0059241C"/>
    <w:rsid w:val="00593103"/>
    <w:rsid w:val="0059312D"/>
    <w:rsid w:val="005939A7"/>
    <w:rsid w:val="0059436B"/>
    <w:rsid w:val="00595CEE"/>
    <w:rsid w:val="00595EE6"/>
    <w:rsid w:val="00597F1B"/>
    <w:rsid w:val="005A04D7"/>
    <w:rsid w:val="005A0D88"/>
    <w:rsid w:val="005A2235"/>
    <w:rsid w:val="005A2333"/>
    <w:rsid w:val="005A2A9C"/>
    <w:rsid w:val="005A3490"/>
    <w:rsid w:val="005A504D"/>
    <w:rsid w:val="005A64BD"/>
    <w:rsid w:val="005B1D22"/>
    <w:rsid w:val="005B202C"/>
    <w:rsid w:val="005B3689"/>
    <w:rsid w:val="005B3C19"/>
    <w:rsid w:val="005B57E5"/>
    <w:rsid w:val="005B6710"/>
    <w:rsid w:val="005C0E21"/>
    <w:rsid w:val="005C1C7F"/>
    <w:rsid w:val="005C3074"/>
    <w:rsid w:val="005C43C0"/>
    <w:rsid w:val="005C6108"/>
    <w:rsid w:val="005D0570"/>
    <w:rsid w:val="005D0800"/>
    <w:rsid w:val="005E065F"/>
    <w:rsid w:val="005E1FAC"/>
    <w:rsid w:val="005E4300"/>
    <w:rsid w:val="005E4378"/>
    <w:rsid w:val="005E4B45"/>
    <w:rsid w:val="005E5A82"/>
    <w:rsid w:val="005E66D1"/>
    <w:rsid w:val="005E6A4E"/>
    <w:rsid w:val="005E7CD7"/>
    <w:rsid w:val="005F0A0C"/>
    <w:rsid w:val="005F0D91"/>
    <w:rsid w:val="005F0DD5"/>
    <w:rsid w:val="005F1717"/>
    <w:rsid w:val="005F1E8A"/>
    <w:rsid w:val="005F425D"/>
    <w:rsid w:val="005F4454"/>
    <w:rsid w:val="005F6259"/>
    <w:rsid w:val="005F71DB"/>
    <w:rsid w:val="005F77B3"/>
    <w:rsid w:val="005F79D5"/>
    <w:rsid w:val="0060069A"/>
    <w:rsid w:val="00601567"/>
    <w:rsid w:val="0060552F"/>
    <w:rsid w:val="00605644"/>
    <w:rsid w:val="00605F76"/>
    <w:rsid w:val="00605F9F"/>
    <w:rsid w:val="006069BA"/>
    <w:rsid w:val="00606B1E"/>
    <w:rsid w:val="00606FDE"/>
    <w:rsid w:val="006075AC"/>
    <w:rsid w:val="006114CB"/>
    <w:rsid w:val="00613172"/>
    <w:rsid w:val="00613CFE"/>
    <w:rsid w:val="0061432C"/>
    <w:rsid w:val="00614F11"/>
    <w:rsid w:val="006153DF"/>
    <w:rsid w:val="0061558C"/>
    <w:rsid w:val="0061605F"/>
    <w:rsid w:val="0062041F"/>
    <w:rsid w:val="00620851"/>
    <w:rsid w:val="00620916"/>
    <w:rsid w:val="006220E2"/>
    <w:rsid w:val="00623608"/>
    <w:rsid w:val="00625569"/>
    <w:rsid w:val="00627D91"/>
    <w:rsid w:val="00631C3B"/>
    <w:rsid w:val="00634698"/>
    <w:rsid w:val="00636010"/>
    <w:rsid w:val="006374D0"/>
    <w:rsid w:val="00641098"/>
    <w:rsid w:val="00642FE6"/>
    <w:rsid w:val="00646950"/>
    <w:rsid w:val="00651C61"/>
    <w:rsid w:val="00652AFF"/>
    <w:rsid w:val="006550D0"/>
    <w:rsid w:val="00655A1D"/>
    <w:rsid w:val="006566B5"/>
    <w:rsid w:val="00656F59"/>
    <w:rsid w:val="006604E8"/>
    <w:rsid w:val="00661D84"/>
    <w:rsid w:val="00663336"/>
    <w:rsid w:val="00663338"/>
    <w:rsid w:val="00663BE2"/>
    <w:rsid w:val="00664AE0"/>
    <w:rsid w:val="006667C2"/>
    <w:rsid w:val="006704D9"/>
    <w:rsid w:val="00670656"/>
    <w:rsid w:val="00671A1D"/>
    <w:rsid w:val="00674534"/>
    <w:rsid w:val="00674CB1"/>
    <w:rsid w:val="00675218"/>
    <w:rsid w:val="00675BA7"/>
    <w:rsid w:val="00676B18"/>
    <w:rsid w:val="00676B56"/>
    <w:rsid w:val="006778A5"/>
    <w:rsid w:val="00677B9C"/>
    <w:rsid w:val="0068138F"/>
    <w:rsid w:val="006813B9"/>
    <w:rsid w:val="00681BB2"/>
    <w:rsid w:val="00682329"/>
    <w:rsid w:val="00682B1B"/>
    <w:rsid w:val="00690840"/>
    <w:rsid w:val="006918E7"/>
    <w:rsid w:val="00692B75"/>
    <w:rsid w:val="00695257"/>
    <w:rsid w:val="00695D05"/>
    <w:rsid w:val="0069723A"/>
    <w:rsid w:val="00697572"/>
    <w:rsid w:val="006A108C"/>
    <w:rsid w:val="006A2E30"/>
    <w:rsid w:val="006A2EFA"/>
    <w:rsid w:val="006A4FA2"/>
    <w:rsid w:val="006A70A0"/>
    <w:rsid w:val="006B1B33"/>
    <w:rsid w:val="006B1C9A"/>
    <w:rsid w:val="006B30E0"/>
    <w:rsid w:val="006B555A"/>
    <w:rsid w:val="006B5E1B"/>
    <w:rsid w:val="006B61CA"/>
    <w:rsid w:val="006C1D90"/>
    <w:rsid w:val="006C377F"/>
    <w:rsid w:val="006C3979"/>
    <w:rsid w:val="006C5896"/>
    <w:rsid w:val="006D023D"/>
    <w:rsid w:val="006D1DAC"/>
    <w:rsid w:val="006D369A"/>
    <w:rsid w:val="006D7A40"/>
    <w:rsid w:val="006D7A71"/>
    <w:rsid w:val="006E2F9F"/>
    <w:rsid w:val="006E314A"/>
    <w:rsid w:val="006E325A"/>
    <w:rsid w:val="006E3B6C"/>
    <w:rsid w:val="006E3FF2"/>
    <w:rsid w:val="006E54DC"/>
    <w:rsid w:val="006F155C"/>
    <w:rsid w:val="006F189E"/>
    <w:rsid w:val="006F1CC8"/>
    <w:rsid w:val="006F518F"/>
    <w:rsid w:val="006F5903"/>
    <w:rsid w:val="006F6208"/>
    <w:rsid w:val="006F65CE"/>
    <w:rsid w:val="00701992"/>
    <w:rsid w:val="00701AAC"/>
    <w:rsid w:val="00701EB8"/>
    <w:rsid w:val="007053F3"/>
    <w:rsid w:val="00706CC5"/>
    <w:rsid w:val="00706E5D"/>
    <w:rsid w:val="0070787F"/>
    <w:rsid w:val="00707EE6"/>
    <w:rsid w:val="00711EFA"/>
    <w:rsid w:val="00720F6B"/>
    <w:rsid w:val="00723425"/>
    <w:rsid w:val="007235A7"/>
    <w:rsid w:val="007236C3"/>
    <w:rsid w:val="00724EC4"/>
    <w:rsid w:val="00727519"/>
    <w:rsid w:val="00732C40"/>
    <w:rsid w:val="00732DB8"/>
    <w:rsid w:val="0073327B"/>
    <w:rsid w:val="007346EC"/>
    <w:rsid w:val="007347E2"/>
    <w:rsid w:val="00735BB7"/>
    <w:rsid w:val="00736071"/>
    <w:rsid w:val="00736090"/>
    <w:rsid w:val="0073667C"/>
    <w:rsid w:val="00736B17"/>
    <w:rsid w:val="00737544"/>
    <w:rsid w:val="007377FC"/>
    <w:rsid w:val="00737DC6"/>
    <w:rsid w:val="0074044F"/>
    <w:rsid w:val="00742A8E"/>
    <w:rsid w:val="00743D40"/>
    <w:rsid w:val="007440CE"/>
    <w:rsid w:val="00744499"/>
    <w:rsid w:val="0074725D"/>
    <w:rsid w:val="00747764"/>
    <w:rsid w:val="007500A3"/>
    <w:rsid w:val="00751E5E"/>
    <w:rsid w:val="00752167"/>
    <w:rsid w:val="0075267F"/>
    <w:rsid w:val="00752C6A"/>
    <w:rsid w:val="0075354C"/>
    <w:rsid w:val="00755A70"/>
    <w:rsid w:val="00757425"/>
    <w:rsid w:val="00761085"/>
    <w:rsid w:val="007630FC"/>
    <w:rsid w:val="00763E50"/>
    <w:rsid w:val="007646D6"/>
    <w:rsid w:val="0076488C"/>
    <w:rsid w:val="00767383"/>
    <w:rsid w:val="0077136F"/>
    <w:rsid w:val="00771EF7"/>
    <w:rsid w:val="0077234B"/>
    <w:rsid w:val="007726C7"/>
    <w:rsid w:val="00772F4B"/>
    <w:rsid w:val="007734EF"/>
    <w:rsid w:val="007772B0"/>
    <w:rsid w:val="00777D22"/>
    <w:rsid w:val="007802D6"/>
    <w:rsid w:val="007817C5"/>
    <w:rsid w:val="0078223E"/>
    <w:rsid w:val="00782BE9"/>
    <w:rsid w:val="007839BA"/>
    <w:rsid w:val="00783F6C"/>
    <w:rsid w:val="00784B1B"/>
    <w:rsid w:val="00785050"/>
    <w:rsid w:val="0078562A"/>
    <w:rsid w:val="00791E95"/>
    <w:rsid w:val="00792606"/>
    <w:rsid w:val="00793447"/>
    <w:rsid w:val="00793BFD"/>
    <w:rsid w:val="00795605"/>
    <w:rsid w:val="00796A33"/>
    <w:rsid w:val="007A0747"/>
    <w:rsid w:val="007A0959"/>
    <w:rsid w:val="007A186F"/>
    <w:rsid w:val="007A24F8"/>
    <w:rsid w:val="007A3EF1"/>
    <w:rsid w:val="007A40B8"/>
    <w:rsid w:val="007A50A6"/>
    <w:rsid w:val="007A661D"/>
    <w:rsid w:val="007B012C"/>
    <w:rsid w:val="007B254B"/>
    <w:rsid w:val="007B367F"/>
    <w:rsid w:val="007B4A2D"/>
    <w:rsid w:val="007B4AFE"/>
    <w:rsid w:val="007B60CB"/>
    <w:rsid w:val="007B6D28"/>
    <w:rsid w:val="007B6F60"/>
    <w:rsid w:val="007B73D7"/>
    <w:rsid w:val="007C15FC"/>
    <w:rsid w:val="007C1C33"/>
    <w:rsid w:val="007C55B9"/>
    <w:rsid w:val="007C5A23"/>
    <w:rsid w:val="007C5C69"/>
    <w:rsid w:val="007C7776"/>
    <w:rsid w:val="007D163B"/>
    <w:rsid w:val="007D1A40"/>
    <w:rsid w:val="007D4260"/>
    <w:rsid w:val="007D5A7A"/>
    <w:rsid w:val="007D6BDB"/>
    <w:rsid w:val="007D77DD"/>
    <w:rsid w:val="007D7B2E"/>
    <w:rsid w:val="007E070D"/>
    <w:rsid w:val="007E0AAC"/>
    <w:rsid w:val="007E1939"/>
    <w:rsid w:val="007E2298"/>
    <w:rsid w:val="007E3FA3"/>
    <w:rsid w:val="007E424B"/>
    <w:rsid w:val="007E5259"/>
    <w:rsid w:val="007E59AC"/>
    <w:rsid w:val="007E6790"/>
    <w:rsid w:val="007E7DB4"/>
    <w:rsid w:val="007F0619"/>
    <w:rsid w:val="007F1592"/>
    <w:rsid w:val="007F2778"/>
    <w:rsid w:val="007F30DB"/>
    <w:rsid w:val="007F398C"/>
    <w:rsid w:val="007F74E7"/>
    <w:rsid w:val="00800159"/>
    <w:rsid w:val="00806405"/>
    <w:rsid w:val="0080674D"/>
    <w:rsid w:val="00806794"/>
    <w:rsid w:val="0080798E"/>
    <w:rsid w:val="00807B12"/>
    <w:rsid w:val="008114ED"/>
    <w:rsid w:val="0081154E"/>
    <w:rsid w:val="00813D6E"/>
    <w:rsid w:val="0081571D"/>
    <w:rsid w:val="00816FD9"/>
    <w:rsid w:val="00817031"/>
    <w:rsid w:val="00817552"/>
    <w:rsid w:val="00817F18"/>
    <w:rsid w:val="008181A2"/>
    <w:rsid w:val="00821418"/>
    <w:rsid w:val="00822A77"/>
    <w:rsid w:val="00823F6B"/>
    <w:rsid w:val="008242B5"/>
    <w:rsid w:val="00830060"/>
    <w:rsid w:val="008344D1"/>
    <w:rsid w:val="00834FD5"/>
    <w:rsid w:val="008375A5"/>
    <w:rsid w:val="008403D9"/>
    <w:rsid w:val="00840872"/>
    <w:rsid w:val="00840DB6"/>
    <w:rsid w:val="00841738"/>
    <w:rsid w:val="00841EEC"/>
    <w:rsid w:val="0084212C"/>
    <w:rsid w:val="00842E47"/>
    <w:rsid w:val="008452D6"/>
    <w:rsid w:val="00846A8B"/>
    <w:rsid w:val="00847D56"/>
    <w:rsid w:val="00851D07"/>
    <w:rsid w:val="008539CA"/>
    <w:rsid w:val="0085435E"/>
    <w:rsid w:val="008555CE"/>
    <w:rsid w:val="00857593"/>
    <w:rsid w:val="00860A1F"/>
    <w:rsid w:val="0086215C"/>
    <w:rsid w:val="0086226C"/>
    <w:rsid w:val="00863091"/>
    <w:rsid w:val="008630DF"/>
    <w:rsid w:val="008631D5"/>
    <w:rsid w:val="00864EFB"/>
    <w:rsid w:val="00867D90"/>
    <w:rsid w:val="0087185B"/>
    <w:rsid w:val="00871E41"/>
    <w:rsid w:val="00873665"/>
    <w:rsid w:val="00875646"/>
    <w:rsid w:val="008765D3"/>
    <w:rsid w:val="00876A03"/>
    <w:rsid w:val="008770DB"/>
    <w:rsid w:val="00877BDC"/>
    <w:rsid w:val="00881E67"/>
    <w:rsid w:val="00882EBD"/>
    <w:rsid w:val="008842CD"/>
    <w:rsid w:val="0088439F"/>
    <w:rsid w:val="00886025"/>
    <w:rsid w:val="00887792"/>
    <w:rsid w:val="008910AF"/>
    <w:rsid w:val="008922A5"/>
    <w:rsid w:val="008929A5"/>
    <w:rsid w:val="00892B15"/>
    <w:rsid w:val="008931B4"/>
    <w:rsid w:val="0089366B"/>
    <w:rsid w:val="00893ACD"/>
    <w:rsid w:val="008A0365"/>
    <w:rsid w:val="008A1191"/>
    <w:rsid w:val="008A168C"/>
    <w:rsid w:val="008A3F4A"/>
    <w:rsid w:val="008A438F"/>
    <w:rsid w:val="008A4C51"/>
    <w:rsid w:val="008A5E76"/>
    <w:rsid w:val="008A72FD"/>
    <w:rsid w:val="008A7B3C"/>
    <w:rsid w:val="008B0202"/>
    <w:rsid w:val="008B05D4"/>
    <w:rsid w:val="008B0BBD"/>
    <w:rsid w:val="008B0D97"/>
    <w:rsid w:val="008B3A0F"/>
    <w:rsid w:val="008B68E3"/>
    <w:rsid w:val="008C03B0"/>
    <w:rsid w:val="008C03E2"/>
    <w:rsid w:val="008C1917"/>
    <w:rsid w:val="008C27F6"/>
    <w:rsid w:val="008C2A06"/>
    <w:rsid w:val="008C2E03"/>
    <w:rsid w:val="008C2EF8"/>
    <w:rsid w:val="008C302F"/>
    <w:rsid w:val="008C544E"/>
    <w:rsid w:val="008C556C"/>
    <w:rsid w:val="008C58E1"/>
    <w:rsid w:val="008D0543"/>
    <w:rsid w:val="008D1C44"/>
    <w:rsid w:val="008D1E35"/>
    <w:rsid w:val="008D27CC"/>
    <w:rsid w:val="008D7795"/>
    <w:rsid w:val="008E0031"/>
    <w:rsid w:val="008E01C0"/>
    <w:rsid w:val="008E04B1"/>
    <w:rsid w:val="008E0CB0"/>
    <w:rsid w:val="008E1B53"/>
    <w:rsid w:val="008E3E65"/>
    <w:rsid w:val="008E58E0"/>
    <w:rsid w:val="008E6119"/>
    <w:rsid w:val="008E6E1A"/>
    <w:rsid w:val="008F0CE7"/>
    <w:rsid w:val="008F336B"/>
    <w:rsid w:val="008F425B"/>
    <w:rsid w:val="008F5ACF"/>
    <w:rsid w:val="008F5B14"/>
    <w:rsid w:val="008F7779"/>
    <w:rsid w:val="00904523"/>
    <w:rsid w:val="00905A7F"/>
    <w:rsid w:val="009075AE"/>
    <w:rsid w:val="009110F6"/>
    <w:rsid w:val="0091186B"/>
    <w:rsid w:val="00914F93"/>
    <w:rsid w:val="00915760"/>
    <w:rsid w:val="00916DD6"/>
    <w:rsid w:val="00917A12"/>
    <w:rsid w:val="00921034"/>
    <w:rsid w:val="0092144C"/>
    <w:rsid w:val="00922C91"/>
    <w:rsid w:val="00923D1C"/>
    <w:rsid w:val="00923D23"/>
    <w:rsid w:val="0093054A"/>
    <w:rsid w:val="00930799"/>
    <w:rsid w:val="0093374D"/>
    <w:rsid w:val="009349C5"/>
    <w:rsid w:val="00940C80"/>
    <w:rsid w:val="009410A9"/>
    <w:rsid w:val="00941E4C"/>
    <w:rsid w:val="009441C2"/>
    <w:rsid w:val="009442A5"/>
    <w:rsid w:val="00946819"/>
    <w:rsid w:val="009477BF"/>
    <w:rsid w:val="0094785F"/>
    <w:rsid w:val="009500C5"/>
    <w:rsid w:val="00952B84"/>
    <w:rsid w:val="0095382C"/>
    <w:rsid w:val="009544E7"/>
    <w:rsid w:val="0095476E"/>
    <w:rsid w:val="00954EEF"/>
    <w:rsid w:val="0095646A"/>
    <w:rsid w:val="009568A8"/>
    <w:rsid w:val="00961040"/>
    <w:rsid w:val="00962C06"/>
    <w:rsid w:val="0096353C"/>
    <w:rsid w:val="00965A30"/>
    <w:rsid w:val="009660C6"/>
    <w:rsid w:val="009660D1"/>
    <w:rsid w:val="0096636C"/>
    <w:rsid w:val="009667FB"/>
    <w:rsid w:val="00967839"/>
    <w:rsid w:val="00967DD8"/>
    <w:rsid w:val="00967E6D"/>
    <w:rsid w:val="0097026C"/>
    <w:rsid w:val="009713D5"/>
    <w:rsid w:val="00972531"/>
    <w:rsid w:val="00972DDC"/>
    <w:rsid w:val="00973C17"/>
    <w:rsid w:val="00981DEF"/>
    <w:rsid w:val="00982909"/>
    <w:rsid w:val="009833CE"/>
    <w:rsid w:val="00983423"/>
    <w:rsid w:val="00983F18"/>
    <w:rsid w:val="00985BC8"/>
    <w:rsid w:val="00987DC9"/>
    <w:rsid w:val="00990BB6"/>
    <w:rsid w:val="00991E72"/>
    <w:rsid w:val="00992EA2"/>
    <w:rsid w:val="00993101"/>
    <w:rsid w:val="009950B3"/>
    <w:rsid w:val="00996D36"/>
    <w:rsid w:val="00996EC3"/>
    <w:rsid w:val="009973B0"/>
    <w:rsid w:val="009A4B9C"/>
    <w:rsid w:val="009A67D7"/>
    <w:rsid w:val="009B05D6"/>
    <w:rsid w:val="009B0BA5"/>
    <w:rsid w:val="009B1E13"/>
    <w:rsid w:val="009B42EA"/>
    <w:rsid w:val="009B6095"/>
    <w:rsid w:val="009B6570"/>
    <w:rsid w:val="009C1C00"/>
    <w:rsid w:val="009C2E99"/>
    <w:rsid w:val="009C37A3"/>
    <w:rsid w:val="009C459C"/>
    <w:rsid w:val="009C60EB"/>
    <w:rsid w:val="009C74CA"/>
    <w:rsid w:val="009D1A9D"/>
    <w:rsid w:val="009D2CBD"/>
    <w:rsid w:val="009D2DD1"/>
    <w:rsid w:val="009D2DD8"/>
    <w:rsid w:val="009D51BC"/>
    <w:rsid w:val="009D5EDC"/>
    <w:rsid w:val="009D65BD"/>
    <w:rsid w:val="009D7824"/>
    <w:rsid w:val="009D78D8"/>
    <w:rsid w:val="009E004D"/>
    <w:rsid w:val="009E197F"/>
    <w:rsid w:val="009E1F50"/>
    <w:rsid w:val="009E309C"/>
    <w:rsid w:val="009E5E2C"/>
    <w:rsid w:val="009F092A"/>
    <w:rsid w:val="009F0BD4"/>
    <w:rsid w:val="009F5B6C"/>
    <w:rsid w:val="009F5DF8"/>
    <w:rsid w:val="009F6B45"/>
    <w:rsid w:val="009F736B"/>
    <w:rsid w:val="00A0054E"/>
    <w:rsid w:val="00A01EC3"/>
    <w:rsid w:val="00A02EA9"/>
    <w:rsid w:val="00A05967"/>
    <w:rsid w:val="00A07A5A"/>
    <w:rsid w:val="00A10442"/>
    <w:rsid w:val="00A1088E"/>
    <w:rsid w:val="00A12B8C"/>
    <w:rsid w:val="00A137E6"/>
    <w:rsid w:val="00A14295"/>
    <w:rsid w:val="00A1730B"/>
    <w:rsid w:val="00A21FF2"/>
    <w:rsid w:val="00A227C1"/>
    <w:rsid w:val="00A23605"/>
    <w:rsid w:val="00A24BA8"/>
    <w:rsid w:val="00A24CA2"/>
    <w:rsid w:val="00A261D8"/>
    <w:rsid w:val="00A30DFE"/>
    <w:rsid w:val="00A31AF4"/>
    <w:rsid w:val="00A31E82"/>
    <w:rsid w:val="00A322A9"/>
    <w:rsid w:val="00A32B3B"/>
    <w:rsid w:val="00A34ED5"/>
    <w:rsid w:val="00A351B1"/>
    <w:rsid w:val="00A35F65"/>
    <w:rsid w:val="00A3E26E"/>
    <w:rsid w:val="00A411B3"/>
    <w:rsid w:val="00A44936"/>
    <w:rsid w:val="00A451F3"/>
    <w:rsid w:val="00A47178"/>
    <w:rsid w:val="00A47780"/>
    <w:rsid w:val="00A522A4"/>
    <w:rsid w:val="00A52D03"/>
    <w:rsid w:val="00A5375A"/>
    <w:rsid w:val="00A54F00"/>
    <w:rsid w:val="00A5508D"/>
    <w:rsid w:val="00A559DB"/>
    <w:rsid w:val="00A56BD1"/>
    <w:rsid w:val="00A574C9"/>
    <w:rsid w:val="00A57AD9"/>
    <w:rsid w:val="00A607AD"/>
    <w:rsid w:val="00A608E4"/>
    <w:rsid w:val="00A616E5"/>
    <w:rsid w:val="00A62B63"/>
    <w:rsid w:val="00A657B9"/>
    <w:rsid w:val="00A6765F"/>
    <w:rsid w:val="00A67731"/>
    <w:rsid w:val="00A7002B"/>
    <w:rsid w:val="00A7073D"/>
    <w:rsid w:val="00A71B8F"/>
    <w:rsid w:val="00A727A6"/>
    <w:rsid w:val="00A73B02"/>
    <w:rsid w:val="00A7415A"/>
    <w:rsid w:val="00A752CA"/>
    <w:rsid w:val="00A81312"/>
    <w:rsid w:val="00A823C5"/>
    <w:rsid w:val="00A837CB"/>
    <w:rsid w:val="00A858CC"/>
    <w:rsid w:val="00A85F7A"/>
    <w:rsid w:val="00A864A2"/>
    <w:rsid w:val="00A86CCE"/>
    <w:rsid w:val="00A900B6"/>
    <w:rsid w:val="00A90F74"/>
    <w:rsid w:val="00A9159F"/>
    <w:rsid w:val="00A91D40"/>
    <w:rsid w:val="00A93E08"/>
    <w:rsid w:val="00A942B3"/>
    <w:rsid w:val="00A94406"/>
    <w:rsid w:val="00A966A7"/>
    <w:rsid w:val="00A977A6"/>
    <w:rsid w:val="00A97B91"/>
    <w:rsid w:val="00AA0698"/>
    <w:rsid w:val="00AA0780"/>
    <w:rsid w:val="00AA0A64"/>
    <w:rsid w:val="00AA35B4"/>
    <w:rsid w:val="00AA384A"/>
    <w:rsid w:val="00AA3C51"/>
    <w:rsid w:val="00AA4BF1"/>
    <w:rsid w:val="00AA675E"/>
    <w:rsid w:val="00AA68E7"/>
    <w:rsid w:val="00AA78E9"/>
    <w:rsid w:val="00AB1308"/>
    <w:rsid w:val="00AB3F56"/>
    <w:rsid w:val="00AB418A"/>
    <w:rsid w:val="00AB42C4"/>
    <w:rsid w:val="00AB5734"/>
    <w:rsid w:val="00AB5B95"/>
    <w:rsid w:val="00AC17E0"/>
    <w:rsid w:val="00AC2998"/>
    <w:rsid w:val="00AC2CBD"/>
    <w:rsid w:val="00AC4A0D"/>
    <w:rsid w:val="00AD0459"/>
    <w:rsid w:val="00AD31C4"/>
    <w:rsid w:val="00AD430D"/>
    <w:rsid w:val="00AD4AEA"/>
    <w:rsid w:val="00AD52FF"/>
    <w:rsid w:val="00AD5ACE"/>
    <w:rsid w:val="00AD5F2F"/>
    <w:rsid w:val="00AD6949"/>
    <w:rsid w:val="00AE2E28"/>
    <w:rsid w:val="00AE4EF6"/>
    <w:rsid w:val="00AE6328"/>
    <w:rsid w:val="00AE6611"/>
    <w:rsid w:val="00AE6A21"/>
    <w:rsid w:val="00AF4DE4"/>
    <w:rsid w:val="00AF6455"/>
    <w:rsid w:val="00AF66D9"/>
    <w:rsid w:val="00AF77BB"/>
    <w:rsid w:val="00B0197E"/>
    <w:rsid w:val="00B029BD"/>
    <w:rsid w:val="00B03559"/>
    <w:rsid w:val="00B03F76"/>
    <w:rsid w:val="00B07527"/>
    <w:rsid w:val="00B10942"/>
    <w:rsid w:val="00B118A2"/>
    <w:rsid w:val="00B12933"/>
    <w:rsid w:val="00B12BB5"/>
    <w:rsid w:val="00B1336C"/>
    <w:rsid w:val="00B13474"/>
    <w:rsid w:val="00B136A2"/>
    <w:rsid w:val="00B15D11"/>
    <w:rsid w:val="00B17B39"/>
    <w:rsid w:val="00B20115"/>
    <w:rsid w:val="00B20C46"/>
    <w:rsid w:val="00B2105A"/>
    <w:rsid w:val="00B21695"/>
    <w:rsid w:val="00B21EC1"/>
    <w:rsid w:val="00B22749"/>
    <w:rsid w:val="00B234C5"/>
    <w:rsid w:val="00B2414F"/>
    <w:rsid w:val="00B24881"/>
    <w:rsid w:val="00B25F32"/>
    <w:rsid w:val="00B32A82"/>
    <w:rsid w:val="00B32DF4"/>
    <w:rsid w:val="00B3398C"/>
    <w:rsid w:val="00B33F7C"/>
    <w:rsid w:val="00B34C85"/>
    <w:rsid w:val="00B35A42"/>
    <w:rsid w:val="00B36745"/>
    <w:rsid w:val="00B36BF4"/>
    <w:rsid w:val="00B36F52"/>
    <w:rsid w:val="00B37CAF"/>
    <w:rsid w:val="00B37F19"/>
    <w:rsid w:val="00B43EE7"/>
    <w:rsid w:val="00B455DD"/>
    <w:rsid w:val="00B46649"/>
    <w:rsid w:val="00B52235"/>
    <w:rsid w:val="00B54C00"/>
    <w:rsid w:val="00B5515B"/>
    <w:rsid w:val="00B564BB"/>
    <w:rsid w:val="00B61586"/>
    <w:rsid w:val="00B61ED2"/>
    <w:rsid w:val="00B6271F"/>
    <w:rsid w:val="00B71A93"/>
    <w:rsid w:val="00B73466"/>
    <w:rsid w:val="00B73821"/>
    <w:rsid w:val="00B74B6E"/>
    <w:rsid w:val="00B751DF"/>
    <w:rsid w:val="00B764FC"/>
    <w:rsid w:val="00B805EA"/>
    <w:rsid w:val="00B80E42"/>
    <w:rsid w:val="00B818CC"/>
    <w:rsid w:val="00B81C28"/>
    <w:rsid w:val="00B821BC"/>
    <w:rsid w:val="00B840AB"/>
    <w:rsid w:val="00B849F9"/>
    <w:rsid w:val="00B87DC8"/>
    <w:rsid w:val="00B90D33"/>
    <w:rsid w:val="00B91405"/>
    <w:rsid w:val="00B91C1B"/>
    <w:rsid w:val="00B921EB"/>
    <w:rsid w:val="00B92788"/>
    <w:rsid w:val="00B96110"/>
    <w:rsid w:val="00B96619"/>
    <w:rsid w:val="00B967FF"/>
    <w:rsid w:val="00B96C1C"/>
    <w:rsid w:val="00B9719A"/>
    <w:rsid w:val="00B9740F"/>
    <w:rsid w:val="00BA2383"/>
    <w:rsid w:val="00BA6DE0"/>
    <w:rsid w:val="00BA7965"/>
    <w:rsid w:val="00BB1B7C"/>
    <w:rsid w:val="00BB1BF0"/>
    <w:rsid w:val="00BB22A1"/>
    <w:rsid w:val="00BB3C6F"/>
    <w:rsid w:val="00BB5861"/>
    <w:rsid w:val="00BB65A3"/>
    <w:rsid w:val="00BC09F7"/>
    <w:rsid w:val="00BC0C16"/>
    <w:rsid w:val="00BC0CE3"/>
    <w:rsid w:val="00BC107D"/>
    <w:rsid w:val="00BC198F"/>
    <w:rsid w:val="00BC2132"/>
    <w:rsid w:val="00BC2749"/>
    <w:rsid w:val="00BC2BB7"/>
    <w:rsid w:val="00BC2D29"/>
    <w:rsid w:val="00BC6B5F"/>
    <w:rsid w:val="00BC7263"/>
    <w:rsid w:val="00BC75A6"/>
    <w:rsid w:val="00BC7EFB"/>
    <w:rsid w:val="00BD0331"/>
    <w:rsid w:val="00BD0995"/>
    <w:rsid w:val="00BD0E60"/>
    <w:rsid w:val="00BD509B"/>
    <w:rsid w:val="00BD58D9"/>
    <w:rsid w:val="00BD59A7"/>
    <w:rsid w:val="00BD62C8"/>
    <w:rsid w:val="00BD6368"/>
    <w:rsid w:val="00BD6AB6"/>
    <w:rsid w:val="00BE0B1C"/>
    <w:rsid w:val="00BE0B3B"/>
    <w:rsid w:val="00BE4105"/>
    <w:rsid w:val="00BE4E04"/>
    <w:rsid w:val="00BE507E"/>
    <w:rsid w:val="00BE559A"/>
    <w:rsid w:val="00BE6401"/>
    <w:rsid w:val="00BF03E8"/>
    <w:rsid w:val="00BF2E2B"/>
    <w:rsid w:val="00BF2EB9"/>
    <w:rsid w:val="00BF4469"/>
    <w:rsid w:val="00BF4AE2"/>
    <w:rsid w:val="00BF4D42"/>
    <w:rsid w:val="00C0356E"/>
    <w:rsid w:val="00C03764"/>
    <w:rsid w:val="00C05BF0"/>
    <w:rsid w:val="00C07B27"/>
    <w:rsid w:val="00C10015"/>
    <w:rsid w:val="00C10266"/>
    <w:rsid w:val="00C103EF"/>
    <w:rsid w:val="00C105A7"/>
    <w:rsid w:val="00C10D29"/>
    <w:rsid w:val="00C125B2"/>
    <w:rsid w:val="00C126BB"/>
    <w:rsid w:val="00C14C09"/>
    <w:rsid w:val="00C155CF"/>
    <w:rsid w:val="00C158FE"/>
    <w:rsid w:val="00C16D64"/>
    <w:rsid w:val="00C172DF"/>
    <w:rsid w:val="00C17A3F"/>
    <w:rsid w:val="00C20475"/>
    <w:rsid w:val="00C22056"/>
    <w:rsid w:val="00C24A27"/>
    <w:rsid w:val="00C25C6A"/>
    <w:rsid w:val="00C25D93"/>
    <w:rsid w:val="00C266EF"/>
    <w:rsid w:val="00C26759"/>
    <w:rsid w:val="00C26E25"/>
    <w:rsid w:val="00C3068F"/>
    <w:rsid w:val="00C30D8D"/>
    <w:rsid w:val="00C3280F"/>
    <w:rsid w:val="00C35CA3"/>
    <w:rsid w:val="00C36804"/>
    <w:rsid w:val="00C36FBA"/>
    <w:rsid w:val="00C43620"/>
    <w:rsid w:val="00C45722"/>
    <w:rsid w:val="00C45EAB"/>
    <w:rsid w:val="00C46A26"/>
    <w:rsid w:val="00C46C24"/>
    <w:rsid w:val="00C46D7A"/>
    <w:rsid w:val="00C506AF"/>
    <w:rsid w:val="00C54D3C"/>
    <w:rsid w:val="00C56D10"/>
    <w:rsid w:val="00C579A2"/>
    <w:rsid w:val="00C57A17"/>
    <w:rsid w:val="00C62461"/>
    <w:rsid w:val="00C62D56"/>
    <w:rsid w:val="00C63970"/>
    <w:rsid w:val="00C678B0"/>
    <w:rsid w:val="00C67DDC"/>
    <w:rsid w:val="00C70EAC"/>
    <w:rsid w:val="00C715A9"/>
    <w:rsid w:val="00C73188"/>
    <w:rsid w:val="00C7372D"/>
    <w:rsid w:val="00C737AF"/>
    <w:rsid w:val="00C73E6D"/>
    <w:rsid w:val="00C740D8"/>
    <w:rsid w:val="00C74121"/>
    <w:rsid w:val="00C74471"/>
    <w:rsid w:val="00C75CD8"/>
    <w:rsid w:val="00C77041"/>
    <w:rsid w:val="00C77D4F"/>
    <w:rsid w:val="00C8024C"/>
    <w:rsid w:val="00C81363"/>
    <w:rsid w:val="00C819D9"/>
    <w:rsid w:val="00C81BE7"/>
    <w:rsid w:val="00C828B0"/>
    <w:rsid w:val="00C83BB1"/>
    <w:rsid w:val="00C83D06"/>
    <w:rsid w:val="00C83E39"/>
    <w:rsid w:val="00C84084"/>
    <w:rsid w:val="00C84AED"/>
    <w:rsid w:val="00C85BAC"/>
    <w:rsid w:val="00C90A7A"/>
    <w:rsid w:val="00C90D90"/>
    <w:rsid w:val="00C91C27"/>
    <w:rsid w:val="00C92075"/>
    <w:rsid w:val="00C924FE"/>
    <w:rsid w:val="00C929DC"/>
    <w:rsid w:val="00C93194"/>
    <w:rsid w:val="00C93BE1"/>
    <w:rsid w:val="00C94A64"/>
    <w:rsid w:val="00C9697E"/>
    <w:rsid w:val="00C96D64"/>
    <w:rsid w:val="00C971A5"/>
    <w:rsid w:val="00CA05AF"/>
    <w:rsid w:val="00CA0EA9"/>
    <w:rsid w:val="00CA22E8"/>
    <w:rsid w:val="00CA2FC1"/>
    <w:rsid w:val="00CA59D2"/>
    <w:rsid w:val="00CA7BC5"/>
    <w:rsid w:val="00CB069D"/>
    <w:rsid w:val="00CB075E"/>
    <w:rsid w:val="00CB0778"/>
    <w:rsid w:val="00CB0AC9"/>
    <w:rsid w:val="00CB0D68"/>
    <w:rsid w:val="00CB3660"/>
    <w:rsid w:val="00CB39D2"/>
    <w:rsid w:val="00CB3A98"/>
    <w:rsid w:val="00CB3D7B"/>
    <w:rsid w:val="00CB44DB"/>
    <w:rsid w:val="00CB5182"/>
    <w:rsid w:val="00CB7112"/>
    <w:rsid w:val="00CC10BF"/>
    <w:rsid w:val="00CC1762"/>
    <w:rsid w:val="00CC4A2F"/>
    <w:rsid w:val="00CC5E89"/>
    <w:rsid w:val="00CC608A"/>
    <w:rsid w:val="00CD1B9D"/>
    <w:rsid w:val="00CD5454"/>
    <w:rsid w:val="00CD593A"/>
    <w:rsid w:val="00CD5AEE"/>
    <w:rsid w:val="00CD5F17"/>
    <w:rsid w:val="00CE0CDD"/>
    <w:rsid w:val="00CE3156"/>
    <w:rsid w:val="00CE3720"/>
    <w:rsid w:val="00CE6291"/>
    <w:rsid w:val="00CE66A1"/>
    <w:rsid w:val="00CE7DA9"/>
    <w:rsid w:val="00CF70C8"/>
    <w:rsid w:val="00CF7700"/>
    <w:rsid w:val="00D0687F"/>
    <w:rsid w:val="00D07C9D"/>
    <w:rsid w:val="00D118C4"/>
    <w:rsid w:val="00D12397"/>
    <w:rsid w:val="00D1347F"/>
    <w:rsid w:val="00D13872"/>
    <w:rsid w:val="00D15F4A"/>
    <w:rsid w:val="00D161FF"/>
    <w:rsid w:val="00D22796"/>
    <w:rsid w:val="00D26E1B"/>
    <w:rsid w:val="00D2798F"/>
    <w:rsid w:val="00D330EB"/>
    <w:rsid w:val="00D332F3"/>
    <w:rsid w:val="00D364F9"/>
    <w:rsid w:val="00D36654"/>
    <w:rsid w:val="00D36AD6"/>
    <w:rsid w:val="00D373BD"/>
    <w:rsid w:val="00D37D59"/>
    <w:rsid w:val="00D41716"/>
    <w:rsid w:val="00D41D31"/>
    <w:rsid w:val="00D44CEF"/>
    <w:rsid w:val="00D456CA"/>
    <w:rsid w:val="00D46363"/>
    <w:rsid w:val="00D46474"/>
    <w:rsid w:val="00D46BAD"/>
    <w:rsid w:val="00D47F18"/>
    <w:rsid w:val="00D5128A"/>
    <w:rsid w:val="00D51E83"/>
    <w:rsid w:val="00D52037"/>
    <w:rsid w:val="00D5203C"/>
    <w:rsid w:val="00D52A17"/>
    <w:rsid w:val="00D5361E"/>
    <w:rsid w:val="00D53842"/>
    <w:rsid w:val="00D55C93"/>
    <w:rsid w:val="00D600E9"/>
    <w:rsid w:val="00D6313D"/>
    <w:rsid w:val="00D63B48"/>
    <w:rsid w:val="00D64BC8"/>
    <w:rsid w:val="00D66997"/>
    <w:rsid w:val="00D669F4"/>
    <w:rsid w:val="00D66C9C"/>
    <w:rsid w:val="00D7057D"/>
    <w:rsid w:val="00D7187A"/>
    <w:rsid w:val="00D756F8"/>
    <w:rsid w:val="00D75789"/>
    <w:rsid w:val="00D75CDC"/>
    <w:rsid w:val="00D771E9"/>
    <w:rsid w:val="00D80B7D"/>
    <w:rsid w:val="00D81E5C"/>
    <w:rsid w:val="00D81ED6"/>
    <w:rsid w:val="00D836DB"/>
    <w:rsid w:val="00D83F97"/>
    <w:rsid w:val="00D842EB"/>
    <w:rsid w:val="00D85B14"/>
    <w:rsid w:val="00D86EB2"/>
    <w:rsid w:val="00D8707E"/>
    <w:rsid w:val="00D87258"/>
    <w:rsid w:val="00D875D9"/>
    <w:rsid w:val="00D920B2"/>
    <w:rsid w:val="00D94896"/>
    <w:rsid w:val="00D9515E"/>
    <w:rsid w:val="00D96714"/>
    <w:rsid w:val="00DA3852"/>
    <w:rsid w:val="00DA4109"/>
    <w:rsid w:val="00DA5381"/>
    <w:rsid w:val="00DA7C7D"/>
    <w:rsid w:val="00DA7F8A"/>
    <w:rsid w:val="00DB0228"/>
    <w:rsid w:val="00DB0B35"/>
    <w:rsid w:val="00DB1276"/>
    <w:rsid w:val="00DB44F6"/>
    <w:rsid w:val="00DB44FD"/>
    <w:rsid w:val="00DB572E"/>
    <w:rsid w:val="00DB58A0"/>
    <w:rsid w:val="00DB592F"/>
    <w:rsid w:val="00DB679D"/>
    <w:rsid w:val="00DB68EC"/>
    <w:rsid w:val="00DB7728"/>
    <w:rsid w:val="00DC1156"/>
    <w:rsid w:val="00DC15AF"/>
    <w:rsid w:val="00DC2D10"/>
    <w:rsid w:val="00DC3086"/>
    <w:rsid w:val="00DC4EB1"/>
    <w:rsid w:val="00DC73E1"/>
    <w:rsid w:val="00DD175C"/>
    <w:rsid w:val="00DD2FCE"/>
    <w:rsid w:val="00DD401E"/>
    <w:rsid w:val="00DD4BA0"/>
    <w:rsid w:val="00DD5405"/>
    <w:rsid w:val="00DD5511"/>
    <w:rsid w:val="00DD7F67"/>
    <w:rsid w:val="00DE0F91"/>
    <w:rsid w:val="00DE1AA9"/>
    <w:rsid w:val="00DE2C71"/>
    <w:rsid w:val="00DE3D0F"/>
    <w:rsid w:val="00DE47DC"/>
    <w:rsid w:val="00DE4B0B"/>
    <w:rsid w:val="00DE5264"/>
    <w:rsid w:val="00DE527E"/>
    <w:rsid w:val="00DE5C17"/>
    <w:rsid w:val="00DE5FA4"/>
    <w:rsid w:val="00DE6ECA"/>
    <w:rsid w:val="00DF093E"/>
    <w:rsid w:val="00DF2643"/>
    <w:rsid w:val="00DF2F8A"/>
    <w:rsid w:val="00DF4058"/>
    <w:rsid w:val="00DF4383"/>
    <w:rsid w:val="00DF544C"/>
    <w:rsid w:val="00DF6048"/>
    <w:rsid w:val="00DF61D9"/>
    <w:rsid w:val="00DF6580"/>
    <w:rsid w:val="00DF6615"/>
    <w:rsid w:val="00DF7B63"/>
    <w:rsid w:val="00E00AD9"/>
    <w:rsid w:val="00E01580"/>
    <w:rsid w:val="00E01905"/>
    <w:rsid w:val="00E022A3"/>
    <w:rsid w:val="00E045A7"/>
    <w:rsid w:val="00E0638F"/>
    <w:rsid w:val="00E100BF"/>
    <w:rsid w:val="00E1052B"/>
    <w:rsid w:val="00E11F2D"/>
    <w:rsid w:val="00E12869"/>
    <w:rsid w:val="00E1288A"/>
    <w:rsid w:val="00E21513"/>
    <w:rsid w:val="00E252C2"/>
    <w:rsid w:val="00E25E73"/>
    <w:rsid w:val="00E26E85"/>
    <w:rsid w:val="00E318F0"/>
    <w:rsid w:val="00E33DEB"/>
    <w:rsid w:val="00E3420A"/>
    <w:rsid w:val="00E35EA2"/>
    <w:rsid w:val="00E367C3"/>
    <w:rsid w:val="00E36EA9"/>
    <w:rsid w:val="00E370AE"/>
    <w:rsid w:val="00E3E5A6"/>
    <w:rsid w:val="00E4027B"/>
    <w:rsid w:val="00E40E06"/>
    <w:rsid w:val="00E427AB"/>
    <w:rsid w:val="00E44D53"/>
    <w:rsid w:val="00E45CAC"/>
    <w:rsid w:val="00E5163F"/>
    <w:rsid w:val="00E52F19"/>
    <w:rsid w:val="00E5332D"/>
    <w:rsid w:val="00E53EBF"/>
    <w:rsid w:val="00E5482D"/>
    <w:rsid w:val="00E60685"/>
    <w:rsid w:val="00E6230A"/>
    <w:rsid w:val="00E63E1C"/>
    <w:rsid w:val="00E644BD"/>
    <w:rsid w:val="00E65E94"/>
    <w:rsid w:val="00E66F97"/>
    <w:rsid w:val="00E717FB"/>
    <w:rsid w:val="00E71884"/>
    <w:rsid w:val="00E71A45"/>
    <w:rsid w:val="00E73B3D"/>
    <w:rsid w:val="00E740AA"/>
    <w:rsid w:val="00E74DB3"/>
    <w:rsid w:val="00E768B5"/>
    <w:rsid w:val="00E76FD0"/>
    <w:rsid w:val="00E779C5"/>
    <w:rsid w:val="00E806E9"/>
    <w:rsid w:val="00E82657"/>
    <w:rsid w:val="00E82F34"/>
    <w:rsid w:val="00E85474"/>
    <w:rsid w:val="00E85A18"/>
    <w:rsid w:val="00E8692B"/>
    <w:rsid w:val="00E90685"/>
    <w:rsid w:val="00E93100"/>
    <w:rsid w:val="00E94283"/>
    <w:rsid w:val="00E94BDA"/>
    <w:rsid w:val="00E959F0"/>
    <w:rsid w:val="00E95B3E"/>
    <w:rsid w:val="00E96394"/>
    <w:rsid w:val="00EA0195"/>
    <w:rsid w:val="00EA3560"/>
    <w:rsid w:val="00EA3C97"/>
    <w:rsid w:val="00EA529E"/>
    <w:rsid w:val="00EA576E"/>
    <w:rsid w:val="00EA6007"/>
    <w:rsid w:val="00EA7BAD"/>
    <w:rsid w:val="00EA7DCB"/>
    <w:rsid w:val="00EB03B5"/>
    <w:rsid w:val="00EB1578"/>
    <w:rsid w:val="00EB287F"/>
    <w:rsid w:val="00EB34FA"/>
    <w:rsid w:val="00EB3AEC"/>
    <w:rsid w:val="00EB4FB0"/>
    <w:rsid w:val="00EB5E54"/>
    <w:rsid w:val="00EB60AC"/>
    <w:rsid w:val="00EB7A78"/>
    <w:rsid w:val="00EC0F64"/>
    <w:rsid w:val="00EC21D1"/>
    <w:rsid w:val="00EC245A"/>
    <w:rsid w:val="00EC2D5B"/>
    <w:rsid w:val="00EC30B2"/>
    <w:rsid w:val="00ED0C37"/>
    <w:rsid w:val="00ED1747"/>
    <w:rsid w:val="00ED1789"/>
    <w:rsid w:val="00ED18CD"/>
    <w:rsid w:val="00ED2E59"/>
    <w:rsid w:val="00ED3D2C"/>
    <w:rsid w:val="00ED792A"/>
    <w:rsid w:val="00ED7B9A"/>
    <w:rsid w:val="00EE097B"/>
    <w:rsid w:val="00EE131E"/>
    <w:rsid w:val="00EE241A"/>
    <w:rsid w:val="00EE2820"/>
    <w:rsid w:val="00EE2892"/>
    <w:rsid w:val="00EE3BFE"/>
    <w:rsid w:val="00EE47D1"/>
    <w:rsid w:val="00EE5739"/>
    <w:rsid w:val="00EE6C76"/>
    <w:rsid w:val="00EE712E"/>
    <w:rsid w:val="00EF043D"/>
    <w:rsid w:val="00EF16B1"/>
    <w:rsid w:val="00EF199A"/>
    <w:rsid w:val="00EF1F63"/>
    <w:rsid w:val="00EF2547"/>
    <w:rsid w:val="00EF3E73"/>
    <w:rsid w:val="00EF4D82"/>
    <w:rsid w:val="00EF5F19"/>
    <w:rsid w:val="00F01A73"/>
    <w:rsid w:val="00F02930"/>
    <w:rsid w:val="00F03AD4"/>
    <w:rsid w:val="00F044D6"/>
    <w:rsid w:val="00F049A6"/>
    <w:rsid w:val="00F06E74"/>
    <w:rsid w:val="00F10E86"/>
    <w:rsid w:val="00F11A3A"/>
    <w:rsid w:val="00F12BD7"/>
    <w:rsid w:val="00F15690"/>
    <w:rsid w:val="00F164AC"/>
    <w:rsid w:val="00F166E3"/>
    <w:rsid w:val="00F17867"/>
    <w:rsid w:val="00F178FE"/>
    <w:rsid w:val="00F20263"/>
    <w:rsid w:val="00F206F9"/>
    <w:rsid w:val="00F20EA2"/>
    <w:rsid w:val="00F2142D"/>
    <w:rsid w:val="00F21540"/>
    <w:rsid w:val="00F221F6"/>
    <w:rsid w:val="00F24279"/>
    <w:rsid w:val="00F24CB6"/>
    <w:rsid w:val="00F27063"/>
    <w:rsid w:val="00F27BE5"/>
    <w:rsid w:val="00F302FA"/>
    <w:rsid w:val="00F30A80"/>
    <w:rsid w:val="00F328C1"/>
    <w:rsid w:val="00F33865"/>
    <w:rsid w:val="00F34010"/>
    <w:rsid w:val="00F35B88"/>
    <w:rsid w:val="00F40164"/>
    <w:rsid w:val="00F40CC2"/>
    <w:rsid w:val="00F4221D"/>
    <w:rsid w:val="00F43182"/>
    <w:rsid w:val="00F45A7E"/>
    <w:rsid w:val="00F5588A"/>
    <w:rsid w:val="00F57DC7"/>
    <w:rsid w:val="00F600AA"/>
    <w:rsid w:val="00F6078E"/>
    <w:rsid w:val="00F62D0F"/>
    <w:rsid w:val="00F631D2"/>
    <w:rsid w:val="00F641D5"/>
    <w:rsid w:val="00F70B4F"/>
    <w:rsid w:val="00F723BB"/>
    <w:rsid w:val="00F731E9"/>
    <w:rsid w:val="00F7367E"/>
    <w:rsid w:val="00F7467D"/>
    <w:rsid w:val="00F75C13"/>
    <w:rsid w:val="00F76D29"/>
    <w:rsid w:val="00F77A9E"/>
    <w:rsid w:val="00F812CB"/>
    <w:rsid w:val="00F8196C"/>
    <w:rsid w:val="00F81E68"/>
    <w:rsid w:val="00F83A56"/>
    <w:rsid w:val="00F84076"/>
    <w:rsid w:val="00F8523E"/>
    <w:rsid w:val="00F856C3"/>
    <w:rsid w:val="00F8630C"/>
    <w:rsid w:val="00F9141B"/>
    <w:rsid w:val="00F91C05"/>
    <w:rsid w:val="00F91EC1"/>
    <w:rsid w:val="00F93F5B"/>
    <w:rsid w:val="00F945DB"/>
    <w:rsid w:val="00FA02E7"/>
    <w:rsid w:val="00FA2C65"/>
    <w:rsid w:val="00FA2F0E"/>
    <w:rsid w:val="00FA3211"/>
    <w:rsid w:val="00FA355A"/>
    <w:rsid w:val="00FA46A0"/>
    <w:rsid w:val="00FA6235"/>
    <w:rsid w:val="00FA629B"/>
    <w:rsid w:val="00FA7350"/>
    <w:rsid w:val="00FB359A"/>
    <w:rsid w:val="00FB3845"/>
    <w:rsid w:val="00FB59EA"/>
    <w:rsid w:val="00FB66F1"/>
    <w:rsid w:val="00FC05C0"/>
    <w:rsid w:val="00FC090A"/>
    <w:rsid w:val="00FC0E3D"/>
    <w:rsid w:val="00FC103A"/>
    <w:rsid w:val="00FC1217"/>
    <w:rsid w:val="00FC2504"/>
    <w:rsid w:val="00FC2FEF"/>
    <w:rsid w:val="00FC36BC"/>
    <w:rsid w:val="00FC388E"/>
    <w:rsid w:val="00FC5929"/>
    <w:rsid w:val="00FC6953"/>
    <w:rsid w:val="00FD25CE"/>
    <w:rsid w:val="00FD347F"/>
    <w:rsid w:val="00FD3CFD"/>
    <w:rsid w:val="00FD78C7"/>
    <w:rsid w:val="00FE0110"/>
    <w:rsid w:val="00FE525A"/>
    <w:rsid w:val="00FE59C3"/>
    <w:rsid w:val="00FE605B"/>
    <w:rsid w:val="00FF1BC3"/>
    <w:rsid w:val="00FF1D6B"/>
    <w:rsid w:val="00FF2BB1"/>
    <w:rsid w:val="00FF6B5A"/>
    <w:rsid w:val="00FF6BC1"/>
    <w:rsid w:val="010ED476"/>
    <w:rsid w:val="0122BCE4"/>
    <w:rsid w:val="01276D85"/>
    <w:rsid w:val="015300A5"/>
    <w:rsid w:val="01E048F9"/>
    <w:rsid w:val="021BB512"/>
    <w:rsid w:val="021EE9D1"/>
    <w:rsid w:val="029C21D3"/>
    <w:rsid w:val="029D5B77"/>
    <w:rsid w:val="029E7883"/>
    <w:rsid w:val="032290F8"/>
    <w:rsid w:val="036227AF"/>
    <w:rsid w:val="0375B103"/>
    <w:rsid w:val="040C06B0"/>
    <w:rsid w:val="044F3E9D"/>
    <w:rsid w:val="0461E74C"/>
    <w:rsid w:val="04A2A9DF"/>
    <w:rsid w:val="0580AD81"/>
    <w:rsid w:val="05EB0EFE"/>
    <w:rsid w:val="06488E40"/>
    <w:rsid w:val="06C0C6F2"/>
    <w:rsid w:val="06D889D2"/>
    <w:rsid w:val="06EE971F"/>
    <w:rsid w:val="07D9ACF1"/>
    <w:rsid w:val="080BFFDD"/>
    <w:rsid w:val="085B9B34"/>
    <w:rsid w:val="087185DC"/>
    <w:rsid w:val="089A6498"/>
    <w:rsid w:val="09368F9A"/>
    <w:rsid w:val="094E7DCF"/>
    <w:rsid w:val="0984ECE6"/>
    <w:rsid w:val="099EC785"/>
    <w:rsid w:val="09F51F20"/>
    <w:rsid w:val="0A44F758"/>
    <w:rsid w:val="0A5DD923"/>
    <w:rsid w:val="0A729D14"/>
    <w:rsid w:val="0AA3CE8E"/>
    <w:rsid w:val="0AE786AF"/>
    <w:rsid w:val="0B2977F0"/>
    <w:rsid w:val="0B2F7240"/>
    <w:rsid w:val="0B384704"/>
    <w:rsid w:val="0C8224D6"/>
    <w:rsid w:val="0D1DACCA"/>
    <w:rsid w:val="0D232E71"/>
    <w:rsid w:val="0D375E84"/>
    <w:rsid w:val="0D397017"/>
    <w:rsid w:val="0D8773CD"/>
    <w:rsid w:val="0DD950EA"/>
    <w:rsid w:val="0DF108DF"/>
    <w:rsid w:val="0E257AF7"/>
    <w:rsid w:val="0E30959F"/>
    <w:rsid w:val="0EA0E011"/>
    <w:rsid w:val="0ECFEDB3"/>
    <w:rsid w:val="0EE308F6"/>
    <w:rsid w:val="0F253406"/>
    <w:rsid w:val="0F53D2A5"/>
    <w:rsid w:val="0F9B8A41"/>
    <w:rsid w:val="103438CB"/>
    <w:rsid w:val="1044D126"/>
    <w:rsid w:val="10C5F48B"/>
    <w:rsid w:val="10CD497C"/>
    <w:rsid w:val="10EFED7F"/>
    <w:rsid w:val="10F7A51A"/>
    <w:rsid w:val="1118E03B"/>
    <w:rsid w:val="113844E9"/>
    <w:rsid w:val="11C69702"/>
    <w:rsid w:val="11CA7DF1"/>
    <w:rsid w:val="11EC3F3E"/>
    <w:rsid w:val="1264349B"/>
    <w:rsid w:val="12BAF996"/>
    <w:rsid w:val="12CDC31E"/>
    <w:rsid w:val="12D0F0AD"/>
    <w:rsid w:val="133B5705"/>
    <w:rsid w:val="134B6D9A"/>
    <w:rsid w:val="13822962"/>
    <w:rsid w:val="13D40CE5"/>
    <w:rsid w:val="13FA9B88"/>
    <w:rsid w:val="146E0937"/>
    <w:rsid w:val="14827224"/>
    <w:rsid w:val="149A17DC"/>
    <w:rsid w:val="14FD0BA4"/>
    <w:rsid w:val="151EB3BF"/>
    <w:rsid w:val="155C2BC0"/>
    <w:rsid w:val="15D066C9"/>
    <w:rsid w:val="1634E7F2"/>
    <w:rsid w:val="163FF359"/>
    <w:rsid w:val="167572C8"/>
    <w:rsid w:val="167C01DE"/>
    <w:rsid w:val="174A35B7"/>
    <w:rsid w:val="178B03ED"/>
    <w:rsid w:val="17ADCD0F"/>
    <w:rsid w:val="1834BFE0"/>
    <w:rsid w:val="1851FC23"/>
    <w:rsid w:val="18FFE357"/>
    <w:rsid w:val="190CE5F7"/>
    <w:rsid w:val="19191A48"/>
    <w:rsid w:val="19988E3D"/>
    <w:rsid w:val="199A175B"/>
    <w:rsid w:val="19D8ECA3"/>
    <w:rsid w:val="1A086622"/>
    <w:rsid w:val="1A136E20"/>
    <w:rsid w:val="1A2957EB"/>
    <w:rsid w:val="1A3BDC20"/>
    <w:rsid w:val="1A6444A9"/>
    <w:rsid w:val="1A69AA3B"/>
    <w:rsid w:val="1AE521AF"/>
    <w:rsid w:val="1B6827B6"/>
    <w:rsid w:val="1B83C205"/>
    <w:rsid w:val="1C146D69"/>
    <w:rsid w:val="1C1FCA90"/>
    <w:rsid w:val="1C2D3174"/>
    <w:rsid w:val="1C37DB59"/>
    <w:rsid w:val="1D071648"/>
    <w:rsid w:val="1DA0398E"/>
    <w:rsid w:val="1DA28649"/>
    <w:rsid w:val="1DFCA278"/>
    <w:rsid w:val="1E37CED8"/>
    <w:rsid w:val="1E5D3B2A"/>
    <w:rsid w:val="1EB8B8AD"/>
    <w:rsid w:val="1F4B61D8"/>
    <w:rsid w:val="1F4C30ED"/>
    <w:rsid w:val="1F826E01"/>
    <w:rsid w:val="1F877A00"/>
    <w:rsid w:val="1F90CD90"/>
    <w:rsid w:val="1F96DA37"/>
    <w:rsid w:val="1FB1CE7F"/>
    <w:rsid w:val="203DB15C"/>
    <w:rsid w:val="20E687A3"/>
    <w:rsid w:val="210E2447"/>
    <w:rsid w:val="2110F8E7"/>
    <w:rsid w:val="218AEEAF"/>
    <w:rsid w:val="22473989"/>
    <w:rsid w:val="227FDAF7"/>
    <w:rsid w:val="2301DA34"/>
    <w:rsid w:val="237E9BB9"/>
    <w:rsid w:val="239617B0"/>
    <w:rsid w:val="23F21FD0"/>
    <w:rsid w:val="24497307"/>
    <w:rsid w:val="249662FE"/>
    <w:rsid w:val="24AC977D"/>
    <w:rsid w:val="256DCB19"/>
    <w:rsid w:val="25F38FE8"/>
    <w:rsid w:val="262B90D6"/>
    <w:rsid w:val="26866FD1"/>
    <w:rsid w:val="26901F25"/>
    <w:rsid w:val="269B8F0B"/>
    <w:rsid w:val="26C1995A"/>
    <w:rsid w:val="274A9402"/>
    <w:rsid w:val="2789971C"/>
    <w:rsid w:val="27A54B9F"/>
    <w:rsid w:val="27F29E35"/>
    <w:rsid w:val="2847EF85"/>
    <w:rsid w:val="284D8579"/>
    <w:rsid w:val="2877174C"/>
    <w:rsid w:val="288E149A"/>
    <w:rsid w:val="28DEDE79"/>
    <w:rsid w:val="28F63968"/>
    <w:rsid w:val="29487C68"/>
    <w:rsid w:val="298A603F"/>
    <w:rsid w:val="29CCF4DF"/>
    <w:rsid w:val="29E712F2"/>
    <w:rsid w:val="29EBF789"/>
    <w:rsid w:val="2A1BBF63"/>
    <w:rsid w:val="2A3C9653"/>
    <w:rsid w:val="2A54CE92"/>
    <w:rsid w:val="2A60B256"/>
    <w:rsid w:val="2AB6D283"/>
    <w:rsid w:val="2B29A816"/>
    <w:rsid w:val="2BC5CA2C"/>
    <w:rsid w:val="2BD297F7"/>
    <w:rsid w:val="2BEEE9A0"/>
    <w:rsid w:val="2BFD27C6"/>
    <w:rsid w:val="2C072B05"/>
    <w:rsid w:val="2C148EF6"/>
    <w:rsid w:val="2CC598A7"/>
    <w:rsid w:val="2D37C12B"/>
    <w:rsid w:val="2EA6E83B"/>
    <w:rsid w:val="2ECAC421"/>
    <w:rsid w:val="2EE23087"/>
    <w:rsid w:val="2F41361D"/>
    <w:rsid w:val="2F6F2C16"/>
    <w:rsid w:val="300AB0E2"/>
    <w:rsid w:val="3011DA22"/>
    <w:rsid w:val="3041423A"/>
    <w:rsid w:val="3053EF62"/>
    <w:rsid w:val="305FB443"/>
    <w:rsid w:val="30935BC4"/>
    <w:rsid w:val="30CD4467"/>
    <w:rsid w:val="30F75761"/>
    <w:rsid w:val="313BD718"/>
    <w:rsid w:val="3141A7BD"/>
    <w:rsid w:val="314C28FE"/>
    <w:rsid w:val="3283F8B6"/>
    <w:rsid w:val="328E5AA1"/>
    <w:rsid w:val="32C2FCFD"/>
    <w:rsid w:val="3331F234"/>
    <w:rsid w:val="33B4B102"/>
    <w:rsid w:val="33F198FC"/>
    <w:rsid w:val="33F7DD5A"/>
    <w:rsid w:val="33FD1E58"/>
    <w:rsid w:val="347C0F7C"/>
    <w:rsid w:val="34FE761F"/>
    <w:rsid w:val="35209A5C"/>
    <w:rsid w:val="3555CD25"/>
    <w:rsid w:val="358118DF"/>
    <w:rsid w:val="364796DF"/>
    <w:rsid w:val="3677FC8D"/>
    <w:rsid w:val="367CC5CB"/>
    <w:rsid w:val="3684CF27"/>
    <w:rsid w:val="368DEE94"/>
    <w:rsid w:val="37C65AEC"/>
    <w:rsid w:val="37E8E53B"/>
    <w:rsid w:val="380BBC4B"/>
    <w:rsid w:val="3861E98A"/>
    <w:rsid w:val="389074D5"/>
    <w:rsid w:val="38B5A64C"/>
    <w:rsid w:val="3919EE47"/>
    <w:rsid w:val="392B6A24"/>
    <w:rsid w:val="394367FB"/>
    <w:rsid w:val="39586BD0"/>
    <w:rsid w:val="3961A6A1"/>
    <w:rsid w:val="39967956"/>
    <w:rsid w:val="39C7ED03"/>
    <w:rsid w:val="39EDAD90"/>
    <w:rsid w:val="3A020846"/>
    <w:rsid w:val="3A720BD9"/>
    <w:rsid w:val="3B3CBE9B"/>
    <w:rsid w:val="3B7D0796"/>
    <w:rsid w:val="3B938F41"/>
    <w:rsid w:val="3BA1E185"/>
    <w:rsid w:val="3BB6BCA2"/>
    <w:rsid w:val="3C5304D3"/>
    <w:rsid w:val="3C6B8880"/>
    <w:rsid w:val="3CAE218F"/>
    <w:rsid w:val="3CF4CCE0"/>
    <w:rsid w:val="3D069CCA"/>
    <w:rsid w:val="3D2A5D29"/>
    <w:rsid w:val="3D68341D"/>
    <w:rsid w:val="3D7685E2"/>
    <w:rsid w:val="3DA3A036"/>
    <w:rsid w:val="3DFE9759"/>
    <w:rsid w:val="3E890DEC"/>
    <w:rsid w:val="3E8C19A2"/>
    <w:rsid w:val="3EC88EAC"/>
    <w:rsid w:val="3F3392F1"/>
    <w:rsid w:val="3F7A1C18"/>
    <w:rsid w:val="3FF1C334"/>
    <w:rsid w:val="403300B9"/>
    <w:rsid w:val="4040596D"/>
    <w:rsid w:val="40F20AC0"/>
    <w:rsid w:val="40F4AC32"/>
    <w:rsid w:val="412FD3F0"/>
    <w:rsid w:val="4225B853"/>
    <w:rsid w:val="42372E5F"/>
    <w:rsid w:val="4258943E"/>
    <w:rsid w:val="4290232F"/>
    <w:rsid w:val="42971EEB"/>
    <w:rsid w:val="42D8E2D9"/>
    <w:rsid w:val="42E0CB0D"/>
    <w:rsid w:val="43034B98"/>
    <w:rsid w:val="43088CAC"/>
    <w:rsid w:val="430B5A90"/>
    <w:rsid w:val="4359CFA4"/>
    <w:rsid w:val="436FB912"/>
    <w:rsid w:val="43894B76"/>
    <w:rsid w:val="43920420"/>
    <w:rsid w:val="43BDBCD5"/>
    <w:rsid w:val="445D34B4"/>
    <w:rsid w:val="44C0F702"/>
    <w:rsid w:val="44CE5260"/>
    <w:rsid w:val="452B34CF"/>
    <w:rsid w:val="45360A08"/>
    <w:rsid w:val="45411A5A"/>
    <w:rsid w:val="45AD8DDF"/>
    <w:rsid w:val="45ADF286"/>
    <w:rsid w:val="469C7EE4"/>
    <w:rsid w:val="46A1134D"/>
    <w:rsid w:val="47411E21"/>
    <w:rsid w:val="4754B043"/>
    <w:rsid w:val="477A1835"/>
    <w:rsid w:val="4794A36F"/>
    <w:rsid w:val="47A7FBEA"/>
    <w:rsid w:val="47AAC464"/>
    <w:rsid w:val="480CA972"/>
    <w:rsid w:val="485C701B"/>
    <w:rsid w:val="4876E707"/>
    <w:rsid w:val="48886EF8"/>
    <w:rsid w:val="48EF58CC"/>
    <w:rsid w:val="4949861E"/>
    <w:rsid w:val="497D8CE4"/>
    <w:rsid w:val="498FFEEF"/>
    <w:rsid w:val="49D6679C"/>
    <w:rsid w:val="49DDA6A9"/>
    <w:rsid w:val="49EB6EE0"/>
    <w:rsid w:val="49F9CA3E"/>
    <w:rsid w:val="4A1ACAAF"/>
    <w:rsid w:val="4A4A583D"/>
    <w:rsid w:val="4A88FD9B"/>
    <w:rsid w:val="4A8B292D"/>
    <w:rsid w:val="4AB1EDF8"/>
    <w:rsid w:val="4ACC9046"/>
    <w:rsid w:val="4AD55795"/>
    <w:rsid w:val="4AD6ABE1"/>
    <w:rsid w:val="4B097BDA"/>
    <w:rsid w:val="4B8619B2"/>
    <w:rsid w:val="4B8EF807"/>
    <w:rsid w:val="4BBCDB62"/>
    <w:rsid w:val="4C0DD131"/>
    <w:rsid w:val="4C2AA300"/>
    <w:rsid w:val="4C2C5663"/>
    <w:rsid w:val="4C6566F2"/>
    <w:rsid w:val="4CA8568C"/>
    <w:rsid w:val="4CC0E88A"/>
    <w:rsid w:val="4CF08892"/>
    <w:rsid w:val="4D2BDD92"/>
    <w:rsid w:val="4DA6B71A"/>
    <w:rsid w:val="4DCE599F"/>
    <w:rsid w:val="4DD3FD44"/>
    <w:rsid w:val="4DDB1458"/>
    <w:rsid w:val="4E172299"/>
    <w:rsid w:val="4E9EDDC7"/>
    <w:rsid w:val="4EAD839F"/>
    <w:rsid w:val="4F319A7C"/>
    <w:rsid w:val="4F5CA32B"/>
    <w:rsid w:val="4FFFDA06"/>
    <w:rsid w:val="50249FD8"/>
    <w:rsid w:val="50B0A7CF"/>
    <w:rsid w:val="50D2B773"/>
    <w:rsid w:val="50E14254"/>
    <w:rsid w:val="51EB588C"/>
    <w:rsid w:val="51FE398B"/>
    <w:rsid w:val="52010FE5"/>
    <w:rsid w:val="52051ECD"/>
    <w:rsid w:val="52AA6348"/>
    <w:rsid w:val="5305F0C0"/>
    <w:rsid w:val="53B12922"/>
    <w:rsid w:val="53B5E616"/>
    <w:rsid w:val="53BC0628"/>
    <w:rsid w:val="5409B704"/>
    <w:rsid w:val="5430AF9B"/>
    <w:rsid w:val="54314C7A"/>
    <w:rsid w:val="544A04E0"/>
    <w:rsid w:val="5454911B"/>
    <w:rsid w:val="545C67CD"/>
    <w:rsid w:val="54A2727E"/>
    <w:rsid w:val="54C61B83"/>
    <w:rsid w:val="54CA76B5"/>
    <w:rsid w:val="54D54CD8"/>
    <w:rsid w:val="55271F7C"/>
    <w:rsid w:val="555F2333"/>
    <w:rsid w:val="5627A72E"/>
    <w:rsid w:val="5639E39F"/>
    <w:rsid w:val="565EA56F"/>
    <w:rsid w:val="567FC70D"/>
    <w:rsid w:val="56E4819A"/>
    <w:rsid w:val="56FAC583"/>
    <w:rsid w:val="5717D08D"/>
    <w:rsid w:val="573F3CED"/>
    <w:rsid w:val="575205D9"/>
    <w:rsid w:val="57A6B59E"/>
    <w:rsid w:val="57D0C6A8"/>
    <w:rsid w:val="582B717F"/>
    <w:rsid w:val="588B9C23"/>
    <w:rsid w:val="58B68CE5"/>
    <w:rsid w:val="58BA8EDE"/>
    <w:rsid w:val="58CC9778"/>
    <w:rsid w:val="5901952B"/>
    <w:rsid w:val="59146F84"/>
    <w:rsid w:val="59ABF66D"/>
    <w:rsid w:val="59DBD82C"/>
    <w:rsid w:val="59F02313"/>
    <w:rsid w:val="59F57748"/>
    <w:rsid w:val="5A1313DD"/>
    <w:rsid w:val="5A15C0CF"/>
    <w:rsid w:val="5A7D9C2A"/>
    <w:rsid w:val="5AF348DF"/>
    <w:rsid w:val="5B25CB53"/>
    <w:rsid w:val="5B3A45BC"/>
    <w:rsid w:val="5B3C8893"/>
    <w:rsid w:val="5B994824"/>
    <w:rsid w:val="5BBC8A91"/>
    <w:rsid w:val="5C369B78"/>
    <w:rsid w:val="5CA5078E"/>
    <w:rsid w:val="5CB44D51"/>
    <w:rsid w:val="5D1B266A"/>
    <w:rsid w:val="5DD27A8D"/>
    <w:rsid w:val="5E8D9BB9"/>
    <w:rsid w:val="5E952194"/>
    <w:rsid w:val="5EED0FC3"/>
    <w:rsid w:val="5EF23287"/>
    <w:rsid w:val="5F49915D"/>
    <w:rsid w:val="5F5FE69C"/>
    <w:rsid w:val="5FF34B9D"/>
    <w:rsid w:val="6003ADF2"/>
    <w:rsid w:val="601AB891"/>
    <w:rsid w:val="6071A21D"/>
    <w:rsid w:val="618A678B"/>
    <w:rsid w:val="61962C96"/>
    <w:rsid w:val="61BFF8E9"/>
    <w:rsid w:val="61C14559"/>
    <w:rsid w:val="61D568A8"/>
    <w:rsid w:val="6253DE2D"/>
    <w:rsid w:val="627F9AE1"/>
    <w:rsid w:val="629B2405"/>
    <w:rsid w:val="62D9CC55"/>
    <w:rsid w:val="636F7EAA"/>
    <w:rsid w:val="63BD9186"/>
    <w:rsid w:val="63F1B910"/>
    <w:rsid w:val="65409CBE"/>
    <w:rsid w:val="65672477"/>
    <w:rsid w:val="6579DA5F"/>
    <w:rsid w:val="65852159"/>
    <w:rsid w:val="6594B924"/>
    <w:rsid w:val="65B2996D"/>
    <w:rsid w:val="65CCDBA2"/>
    <w:rsid w:val="65E8A619"/>
    <w:rsid w:val="660764FD"/>
    <w:rsid w:val="66221B2F"/>
    <w:rsid w:val="665D1F6F"/>
    <w:rsid w:val="66886EA3"/>
    <w:rsid w:val="66B3C121"/>
    <w:rsid w:val="66DB7F83"/>
    <w:rsid w:val="67472702"/>
    <w:rsid w:val="676E9528"/>
    <w:rsid w:val="677F7B28"/>
    <w:rsid w:val="67E7E10B"/>
    <w:rsid w:val="67FB9787"/>
    <w:rsid w:val="68849E18"/>
    <w:rsid w:val="68C932BE"/>
    <w:rsid w:val="68D72B34"/>
    <w:rsid w:val="68FD26C6"/>
    <w:rsid w:val="6909EE51"/>
    <w:rsid w:val="69379FCD"/>
    <w:rsid w:val="69887304"/>
    <w:rsid w:val="69AF1599"/>
    <w:rsid w:val="6A3CFFE5"/>
    <w:rsid w:val="6A9770FE"/>
    <w:rsid w:val="6AF565FF"/>
    <w:rsid w:val="6B015252"/>
    <w:rsid w:val="6B4C2D78"/>
    <w:rsid w:val="6BC17101"/>
    <w:rsid w:val="6BC516A5"/>
    <w:rsid w:val="6BE60589"/>
    <w:rsid w:val="6CED6130"/>
    <w:rsid w:val="6D2C2BD7"/>
    <w:rsid w:val="6E306F4B"/>
    <w:rsid w:val="6E8C5E27"/>
    <w:rsid w:val="6E95C0F7"/>
    <w:rsid w:val="6EB350D2"/>
    <w:rsid w:val="6F12E477"/>
    <w:rsid w:val="6F13E393"/>
    <w:rsid w:val="6FDB51FA"/>
    <w:rsid w:val="700815E1"/>
    <w:rsid w:val="700B8176"/>
    <w:rsid w:val="7057DA0A"/>
    <w:rsid w:val="70672101"/>
    <w:rsid w:val="711185F7"/>
    <w:rsid w:val="71BF7E32"/>
    <w:rsid w:val="71BF9ED6"/>
    <w:rsid w:val="725DCCE2"/>
    <w:rsid w:val="7286A28C"/>
    <w:rsid w:val="72ADE0CE"/>
    <w:rsid w:val="72C2722A"/>
    <w:rsid w:val="72F0A4D4"/>
    <w:rsid w:val="73219AF5"/>
    <w:rsid w:val="73302B4E"/>
    <w:rsid w:val="7365E9CD"/>
    <w:rsid w:val="7416556A"/>
    <w:rsid w:val="7481F73D"/>
    <w:rsid w:val="74FF341C"/>
    <w:rsid w:val="7545E8DD"/>
    <w:rsid w:val="7587C5C8"/>
    <w:rsid w:val="75A5C4B3"/>
    <w:rsid w:val="760B2C74"/>
    <w:rsid w:val="76422FD3"/>
    <w:rsid w:val="76444B70"/>
    <w:rsid w:val="7660A3BE"/>
    <w:rsid w:val="7682F3ED"/>
    <w:rsid w:val="76AC2B87"/>
    <w:rsid w:val="77242E72"/>
    <w:rsid w:val="77528BDA"/>
    <w:rsid w:val="779AF03C"/>
    <w:rsid w:val="7845F7BC"/>
    <w:rsid w:val="785F5388"/>
    <w:rsid w:val="787DD8BA"/>
    <w:rsid w:val="78969899"/>
    <w:rsid w:val="78C6EAFD"/>
    <w:rsid w:val="78D23968"/>
    <w:rsid w:val="79811EED"/>
    <w:rsid w:val="7A11D21C"/>
    <w:rsid w:val="7ACB134C"/>
    <w:rsid w:val="7AE2D79E"/>
    <w:rsid w:val="7AE800C5"/>
    <w:rsid w:val="7B037569"/>
    <w:rsid w:val="7B4932D3"/>
    <w:rsid w:val="7B70F189"/>
    <w:rsid w:val="7B85C13E"/>
    <w:rsid w:val="7BA9CF28"/>
    <w:rsid w:val="7BD603EC"/>
    <w:rsid w:val="7BD91621"/>
    <w:rsid w:val="7C06BA16"/>
    <w:rsid w:val="7C2A1E5E"/>
    <w:rsid w:val="7C5EE3F4"/>
    <w:rsid w:val="7C61F1B5"/>
    <w:rsid w:val="7C7FABAA"/>
    <w:rsid w:val="7CD32111"/>
    <w:rsid w:val="7CF9D51D"/>
    <w:rsid w:val="7D32C4AB"/>
    <w:rsid w:val="7D63481D"/>
    <w:rsid w:val="7D747727"/>
    <w:rsid w:val="7D8014ED"/>
    <w:rsid w:val="7DDFFD18"/>
    <w:rsid w:val="7DE2C083"/>
    <w:rsid w:val="7E442BA3"/>
    <w:rsid w:val="7E77E15A"/>
    <w:rsid w:val="7EBCD849"/>
    <w:rsid w:val="7EC63EEB"/>
    <w:rsid w:val="7EC646A9"/>
    <w:rsid w:val="7F1E818E"/>
    <w:rsid w:val="7F5F9E5A"/>
    <w:rsid w:val="7FCC72FC"/>
    <w:rsid w:val="7FD897B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9BF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7D1"/>
  </w:style>
  <w:style w:type="paragraph" w:styleId="Heading1">
    <w:name w:val="heading 1"/>
    <w:basedOn w:val="Normal"/>
    <w:next w:val="BTBodyText"/>
    <w:link w:val="Heading1Char"/>
    <w:uiPriority w:val="33"/>
    <w:rsid w:val="00887792"/>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33"/>
    <w:unhideWhenUsed/>
    <w:rsid w:val="00887792"/>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33"/>
    <w:unhideWhenUsed/>
    <w:rsid w:val="00887792"/>
    <w:pPr>
      <w:keepNext/>
      <w:keepLines/>
      <w:outlineLvl w:val="2"/>
    </w:pPr>
    <w:rPr>
      <w:rFonts w:eastAsiaTheme="majorEastAsia" w:cstheme="majorBidi"/>
      <w:b/>
    </w:rPr>
  </w:style>
  <w:style w:type="paragraph" w:styleId="Heading4">
    <w:name w:val="heading 4"/>
    <w:basedOn w:val="Normal"/>
    <w:next w:val="BTBodyText"/>
    <w:link w:val="Heading4Char"/>
    <w:uiPriority w:val="33"/>
    <w:unhideWhenUsed/>
    <w:rsid w:val="00887792"/>
    <w:pPr>
      <w:keepNext/>
      <w:keepLines/>
      <w:outlineLvl w:val="3"/>
    </w:pPr>
    <w:rPr>
      <w:rFonts w:eastAsiaTheme="majorEastAsia" w:cstheme="majorBidi"/>
      <w:iCs/>
      <w:u w:val="single"/>
    </w:rPr>
  </w:style>
  <w:style w:type="paragraph" w:styleId="Heading5">
    <w:name w:val="heading 5"/>
    <w:basedOn w:val="Normal"/>
    <w:next w:val="BTBodyText"/>
    <w:link w:val="Heading5Char"/>
    <w:uiPriority w:val="33"/>
    <w:unhideWhenUsed/>
    <w:rsid w:val="00887792"/>
    <w:pPr>
      <w:keepNext/>
      <w:keepLines/>
      <w:outlineLvl w:val="4"/>
    </w:pPr>
    <w:rPr>
      <w:rFonts w:eastAsiaTheme="majorEastAsia" w:cstheme="majorBidi"/>
      <w:i/>
    </w:rPr>
  </w:style>
  <w:style w:type="paragraph" w:styleId="Heading6">
    <w:name w:val="heading 6"/>
    <w:basedOn w:val="Normal"/>
    <w:next w:val="BTBodyText"/>
    <w:link w:val="Heading6Char"/>
    <w:uiPriority w:val="33"/>
    <w:unhideWhenUsed/>
    <w:rsid w:val="00887792"/>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rsid w:val="00887792"/>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rsid w:val="00887792"/>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rsid w:val="00887792"/>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A06"/>
    <w:rPr>
      <w:rFonts w:ascii="Segoe UI" w:hAnsi="Segoe UI" w:cs="Segoe UI"/>
      <w:sz w:val="18"/>
      <w:szCs w:val="18"/>
    </w:rPr>
  </w:style>
  <w:style w:type="paragraph" w:customStyle="1" w:styleId="BTBodyText">
    <w:name w:val="[BT] Body Text"/>
    <w:basedOn w:val="Normal"/>
    <w:link w:val="BTBodyTextChar"/>
    <w:uiPriority w:val="2"/>
    <w:qFormat/>
    <w:rsid w:val="00354A06"/>
  </w:style>
  <w:style w:type="paragraph" w:customStyle="1" w:styleId="BTIBodyTextIndented">
    <w:name w:val="[BTI] Body Text Indented"/>
    <w:basedOn w:val="BTBodyText"/>
    <w:link w:val="BTIBodyTextIndentedChar"/>
    <w:uiPriority w:val="2"/>
    <w:qFormat/>
    <w:rsid w:val="00354A06"/>
    <w:pPr>
      <w:ind w:left="851"/>
    </w:pPr>
  </w:style>
  <w:style w:type="character" w:customStyle="1" w:styleId="BTBodyTextChar">
    <w:name w:val="[BT] Body Text Char"/>
    <w:basedOn w:val="DefaultParagraphFont"/>
    <w:link w:val="BTBodyText"/>
    <w:uiPriority w:val="2"/>
    <w:rsid w:val="00AD0459"/>
  </w:style>
  <w:style w:type="paragraph" w:customStyle="1" w:styleId="BTIIBodyTextTwiceIndented">
    <w:name w:val="[BTII] Body Text Twice Indented"/>
    <w:basedOn w:val="BTBodyText"/>
    <w:link w:val="BTIIBodyTextTwiceIndentedChar"/>
    <w:uiPriority w:val="2"/>
    <w:qFormat/>
    <w:rsid w:val="00354A06"/>
    <w:pPr>
      <w:ind w:left="1702"/>
    </w:pPr>
  </w:style>
  <w:style w:type="character" w:customStyle="1" w:styleId="BTIBodyTextIndentedChar">
    <w:name w:val="[BTI] Body Text Indented Char"/>
    <w:basedOn w:val="BTBodyTextChar"/>
    <w:link w:val="BTIBodyTextIndented"/>
    <w:uiPriority w:val="2"/>
    <w:rsid w:val="00AD0459"/>
  </w:style>
  <w:style w:type="paragraph" w:styleId="ListParagraph">
    <w:name w:val="List Paragraph"/>
    <w:basedOn w:val="Normal"/>
    <w:uiPriority w:val="34"/>
    <w:qFormat/>
    <w:rsid w:val="003A10EE"/>
    <w:pPr>
      <w:ind w:left="851"/>
    </w:pPr>
  </w:style>
  <w:style w:type="character" w:customStyle="1" w:styleId="BTIIBodyTextTwiceIndentedChar">
    <w:name w:val="[BTII] Body Text Twice Indented Char"/>
    <w:basedOn w:val="BTBodyTextChar"/>
    <w:link w:val="BTIIBodyTextTwiceIndented"/>
    <w:uiPriority w:val="2"/>
    <w:rsid w:val="00AD0459"/>
  </w:style>
  <w:style w:type="paragraph" w:styleId="NoSpacing">
    <w:name w:val="No Spacing"/>
    <w:link w:val="NoSpacingChar"/>
    <w:uiPriority w:val="1"/>
    <w:rsid w:val="001F46B7"/>
    <w:pPr>
      <w:spacing w:after="0" w:line="240" w:lineRule="auto"/>
    </w:pPr>
  </w:style>
  <w:style w:type="paragraph" w:customStyle="1" w:styleId="BTNSBodyTextNoSpacing">
    <w:name w:val="[BTNS] Body Text No Spacing"/>
    <w:basedOn w:val="NoSpacing"/>
    <w:link w:val="BTNSBodyTextNoSpacingChar"/>
    <w:uiPriority w:val="2"/>
    <w:qFormat/>
    <w:rsid w:val="001F46B7"/>
  </w:style>
  <w:style w:type="paragraph" w:customStyle="1" w:styleId="BTNSSBodyTextNoSpacingSmall">
    <w:name w:val="[BTNSS] Body Text No Spacing Small"/>
    <w:basedOn w:val="BTNSBodyTextNoSpacing"/>
    <w:link w:val="BTNSSBodyTextNoSpacingSmallChar"/>
    <w:uiPriority w:val="2"/>
    <w:rsid w:val="001F46B7"/>
    <w:rPr>
      <w:sz w:val="8"/>
      <w:szCs w:val="8"/>
    </w:rPr>
  </w:style>
  <w:style w:type="character" w:customStyle="1" w:styleId="NoSpacingChar">
    <w:name w:val="No Spacing Char"/>
    <w:basedOn w:val="DefaultParagraphFont"/>
    <w:link w:val="NoSpacing"/>
    <w:uiPriority w:val="1"/>
    <w:rsid w:val="001F46B7"/>
  </w:style>
  <w:style w:type="character" w:customStyle="1" w:styleId="BTNSBodyTextNoSpacingChar">
    <w:name w:val="[BTNS] Body Text No Spacing Char"/>
    <w:basedOn w:val="NoSpacingChar"/>
    <w:link w:val="BTNSBodyTextNoSpacing"/>
    <w:uiPriority w:val="2"/>
    <w:rsid w:val="00B10942"/>
  </w:style>
  <w:style w:type="character" w:customStyle="1" w:styleId="BTNSSBodyTextNoSpacingSmallChar">
    <w:name w:val="[BTNSS] Body Text No Spacing Small Char"/>
    <w:basedOn w:val="BTNSBodyTextNoSpacingChar"/>
    <w:link w:val="BTNSSBodyTextNoSpacingSmall"/>
    <w:uiPriority w:val="2"/>
    <w:rsid w:val="00B10942"/>
    <w:rPr>
      <w:sz w:val="8"/>
      <w:szCs w:val="8"/>
    </w:rPr>
  </w:style>
  <w:style w:type="paragraph" w:customStyle="1" w:styleId="P1-N1Paragraph1-Number1">
    <w:name w:val="[P1-N1] Paragraph 1 - Number 1"/>
    <w:basedOn w:val="BTBodyText"/>
    <w:link w:val="P1-N1Paragraph1-Number1Char"/>
    <w:uiPriority w:val="6"/>
    <w:qFormat/>
    <w:rsid w:val="006F189E"/>
    <w:pPr>
      <w:numPr>
        <w:numId w:val="1"/>
      </w:numPr>
    </w:pPr>
  </w:style>
  <w:style w:type="paragraph" w:customStyle="1" w:styleId="P2-B1Paragraph2-Bullet1">
    <w:name w:val="[P2-B1] Paragraph 2 - Bullet 1"/>
    <w:basedOn w:val="BTBodyText"/>
    <w:link w:val="P2-B1Paragraph2-Bullet1Char"/>
    <w:uiPriority w:val="6"/>
    <w:qFormat/>
    <w:rsid w:val="00C45722"/>
    <w:pPr>
      <w:numPr>
        <w:ilvl w:val="1"/>
        <w:numId w:val="1"/>
      </w:numPr>
      <w:spacing w:after="120"/>
    </w:pPr>
  </w:style>
  <w:style w:type="character" w:customStyle="1" w:styleId="P1-N1Paragraph1-Number1Char">
    <w:name w:val="[P1-N1] Paragraph 1 - Number 1 Char"/>
    <w:basedOn w:val="BTBodyTextChar"/>
    <w:link w:val="P1-N1Paragraph1-Number1"/>
    <w:uiPriority w:val="6"/>
    <w:rsid w:val="002603E6"/>
  </w:style>
  <w:style w:type="paragraph" w:customStyle="1" w:styleId="P3-B2Paragraph3-Bullet2">
    <w:name w:val="[P3-B2] Paragraph 3 - Bullet 2"/>
    <w:basedOn w:val="BTBodyText"/>
    <w:link w:val="P3-B2Paragraph3-Bullet2Char"/>
    <w:uiPriority w:val="6"/>
    <w:qFormat/>
    <w:rsid w:val="00C45722"/>
    <w:pPr>
      <w:numPr>
        <w:ilvl w:val="2"/>
        <w:numId w:val="1"/>
      </w:numPr>
      <w:spacing w:after="120"/>
    </w:pPr>
  </w:style>
  <w:style w:type="character" w:customStyle="1" w:styleId="P2-B1Paragraph2-Bullet1Char">
    <w:name w:val="[P2-B1] Paragraph 2 - Bullet 1 Char"/>
    <w:basedOn w:val="BTBodyTextChar"/>
    <w:link w:val="P2-B1Paragraph2-Bullet1"/>
    <w:uiPriority w:val="6"/>
    <w:rsid w:val="00C45722"/>
  </w:style>
  <w:style w:type="paragraph" w:customStyle="1" w:styleId="P4-B3Paragraph4-Bullet3">
    <w:name w:val="[P4-B3] Paragraph 4 - Bullet 3"/>
    <w:basedOn w:val="BTBodyText"/>
    <w:link w:val="P4-B3Paragraph4-Bullet3Char"/>
    <w:uiPriority w:val="6"/>
    <w:rsid w:val="00C45722"/>
    <w:pPr>
      <w:numPr>
        <w:ilvl w:val="3"/>
        <w:numId w:val="1"/>
      </w:numPr>
      <w:tabs>
        <w:tab w:val="clear" w:pos="3402"/>
      </w:tabs>
      <w:spacing w:after="120"/>
      <w:ind w:left="3403" w:hanging="851"/>
    </w:pPr>
  </w:style>
  <w:style w:type="character" w:customStyle="1" w:styleId="P3-B2Paragraph3-Bullet2Char">
    <w:name w:val="[P3-B2] Paragraph 3 - Bullet 2 Char"/>
    <w:basedOn w:val="BTBodyTextChar"/>
    <w:link w:val="P3-B2Paragraph3-Bullet2"/>
    <w:uiPriority w:val="6"/>
    <w:rsid w:val="00C45722"/>
  </w:style>
  <w:style w:type="paragraph" w:customStyle="1" w:styleId="P5-B4Paragraph5-Bullet4">
    <w:name w:val="[P5-B4] Paragraph 5 - Bullet 4"/>
    <w:basedOn w:val="BTBodyText"/>
    <w:link w:val="P5-B4Paragraph5-Bullet4Char"/>
    <w:uiPriority w:val="6"/>
    <w:rsid w:val="00C45722"/>
    <w:pPr>
      <w:numPr>
        <w:ilvl w:val="4"/>
        <w:numId w:val="1"/>
      </w:numPr>
      <w:tabs>
        <w:tab w:val="clear" w:pos="4253"/>
      </w:tabs>
      <w:spacing w:after="120"/>
      <w:ind w:left="3600" w:hanging="360"/>
    </w:pPr>
  </w:style>
  <w:style w:type="character" w:customStyle="1" w:styleId="P4-B3Paragraph4-Bullet3Char">
    <w:name w:val="[P4-B3] Paragraph 4 - Bullet 3 Char"/>
    <w:basedOn w:val="BTBodyTextChar"/>
    <w:link w:val="P4-B3Paragraph4-Bullet3"/>
    <w:uiPriority w:val="6"/>
    <w:rsid w:val="00C45722"/>
  </w:style>
  <w:style w:type="paragraph" w:customStyle="1" w:styleId="P6-B5Paragraph6-Bullet5">
    <w:name w:val="[P6-B5] Paragraph 6 - Bullet 5"/>
    <w:basedOn w:val="BTBodyText"/>
    <w:link w:val="P6-B5Paragraph6-Bullet5Char"/>
    <w:uiPriority w:val="6"/>
    <w:rsid w:val="00C45722"/>
    <w:pPr>
      <w:numPr>
        <w:ilvl w:val="5"/>
        <w:numId w:val="1"/>
      </w:numPr>
      <w:tabs>
        <w:tab w:val="clear" w:pos="5103"/>
      </w:tabs>
      <w:spacing w:after="120"/>
      <w:ind w:left="5104" w:hanging="851"/>
    </w:pPr>
  </w:style>
  <w:style w:type="character" w:customStyle="1" w:styleId="P5-B4Paragraph5-Bullet4Char">
    <w:name w:val="[P5-B4] Paragraph 5 - Bullet 4 Char"/>
    <w:basedOn w:val="BTBodyTextChar"/>
    <w:link w:val="P5-B4Paragraph5-Bullet4"/>
    <w:uiPriority w:val="6"/>
    <w:rsid w:val="00C45722"/>
  </w:style>
  <w:style w:type="paragraph" w:customStyle="1" w:styleId="P7-B6Paragraph7-Bullet6">
    <w:name w:val="[P7-B6] Paragraph 7 - Bullet 6"/>
    <w:basedOn w:val="BTBodyText"/>
    <w:link w:val="P7-B6Paragraph7-Bullet6Char"/>
    <w:uiPriority w:val="6"/>
    <w:semiHidden/>
    <w:rsid w:val="00C45722"/>
    <w:pPr>
      <w:numPr>
        <w:ilvl w:val="6"/>
        <w:numId w:val="1"/>
      </w:numPr>
      <w:tabs>
        <w:tab w:val="clear" w:pos="5954"/>
      </w:tabs>
      <w:spacing w:after="120"/>
      <w:ind w:left="5040" w:hanging="360"/>
    </w:pPr>
  </w:style>
  <w:style w:type="character" w:customStyle="1" w:styleId="P6-B5Paragraph6-Bullet5Char">
    <w:name w:val="[P6-B5] Paragraph 6 - Bullet 5 Char"/>
    <w:basedOn w:val="BTBodyTextChar"/>
    <w:link w:val="P6-B5Paragraph6-Bullet5"/>
    <w:uiPriority w:val="6"/>
    <w:rsid w:val="00C45722"/>
  </w:style>
  <w:style w:type="paragraph" w:customStyle="1" w:styleId="P8-B7Paragraph8-Bullet7">
    <w:name w:val="[P8-B7] Paragraph 8 - Bullet 7"/>
    <w:basedOn w:val="BTBodyText"/>
    <w:link w:val="P8-B7Paragraph8-Bullet7Char"/>
    <w:uiPriority w:val="6"/>
    <w:semiHidden/>
    <w:rsid w:val="00C45722"/>
    <w:pPr>
      <w:numPr>
        <w:ilvl w:val="7"/>
        <w:numId w:val="1"/>
      </w:numPr>
      <w:tabs>
        <w:tab w:val="clear" w:pos="6804"/>
      </w:tabs>
      <w:spacing w:after="120"/>
      <w:ind w:left="6805" w:hanging="851"/>
    </w:pPr>
  </w:style>
  <w:style w:type="character" w:customStyle="1" w:styleId="P7-B6Paragraph7-Bullet6Char">
    <w:name w:val="[P7-B6] Paragraph 7 - Bullet 6 Char"/>
    <w:basedOn w:val="BTBodyTextChar"/>
    <w:link w:val="P7-B6Paragraph7-Bullet6"/>
    <w:uiPriority w:val="6"/>
    <w:semiHidden/>
    <w:rsid w:val="00C45722"/>
  </w:style>
  <w:style w:type="paragraph" w:customStyle="1" w:styleId="P9-B8Paragraph9-Bullet8">
    <w:name w:val="[P9-B8] Paragraph 9 - Bullet 8"/>
    <w:basedOn w:val="BTBodyText"/>
    <w:link w:val="P9-B8Paragraph9-Bullet8Char"/>
    <w:uiPriority w:val="6"/>
    <w:semiHidden/>
    <w:rsid w:val="00C45722"/>
    <w:pPr>
      <w:numPr>
        <w:ilvl w:val="8"/>
        <w:numId w:val="1"/>
      </w:numPr>
      <w:tabs>
        <w:tab w:val="clear" w:pos="7655"/>
      </w:tabs>
      <w:spacing w:after="120"/>
      <w:ind w:left="6480" w:hanging="360"/>
    </w:pPr>
  </w:style>
  <w:style w:type="character" w:customStyle="1" w:styleId="P8-B7Paragraph8-Bullet7Char">
    <w:name w:val="[P8-B7] Paragraph 8 - Bullet 7 Char"/>
    <w:basedOn w:val="BTBodyTextChar"/>
    <w:link w:val="P8-B7Paragraph8-Bullet7"/>
    <w:uiPriority w:val="6"/>
    <w:semiHidden/>
    <w:rsid w:val="00C45722"/>
  </w:style>
  <w:style w:type="paragraph" w:customStyle="1" w:styleId="QQuotation">
    <w:name w:val="[Q] Quotation"/>
    <w:basedOn w:val="BTIBodyTextIndented"/>
    <w:next w:val="P1-N1Paragraph1-Number1"/>
    <w:link w:val="QQuotationChar"/>
    <w:uiPriority w:val="8"/>
    <w:qFormat/>
    <w:rsid w:val="00EF4D82"/>
    <w:pPr>
      <w:spacing w:after="240" w:line="276" w:lineRule="auto"/>
    </w:pPr>
    <w:rPr>
      <w:sz w:val="22"/>
    </w:rPr>
  </w:style>
  <w:style w:type="character" w:customStyle="1" w:styleId="P9-B8Paragraph9-Bullet8Char">
    <w:name w:val="[P9-B8] Paragraph 9 - Bullet 8 Char"/>
    <w:basedOn w:val="BTBodyTextChar"/>
    <w:link w:val="P9-B8Paragraph9-Bullet8"/>
    <w:uiPriority w:val="6"/>
    <w:semiHidden/>
    <w:rsid w:val="00C45722"/>
  </w:style>
  <w:style w:type="character" w:customStyle="1" w:styleId="Heading1Char">
    <w:name w:val="Heading 1 Char"/>
    <w:basedOn w:val="DefaultParagraphFont"/>
    <w:link w:val="Heading1"/>
    <w:uiPriority w:val="33"/>
    <w:rsid w:val="002603E6"/>
    <w:rPr>
      <w:rFonts w:eastAsiaTheme="majorEastAsia" w:cstheme="majorBidi"/>
      <w:b/>
      <w:caps/>
      <w:sz w:val="28"/>
      <w:szCs w:val="32"/>
    </w:rPr>
  </w:style>
  <w:style w:type="character" w:customStyle="1" w:styleId="QQuotationChar">
    <w:name w:val="[Q] Quotation Char"/>
    <w:basedOn w:val="BTIBodyTextIndentedChar"/>
    <w:link w:val="QQuotation"/>
    <w:uiPriority w:val="8"/>
    <w:rsid w:val="00EF4D82"/>
    <w:rPr>
      <w:sz w:val="22"/>
    </w:rPr>
  </w:style>
  <w:style w:type="character" w:customStyle="1" w:styleId="Heading2Char">
    <w:name w:val="Heading 2 Char"/>
    <w:basedOn w:val="DefaultParagraphFont"/>
    <w:link w:val="Heading2"/>
    <w:uiPriority w:val="33"/>
    <w:rsid w:val="002603E6"/>
    <w:rPr>
      <w:rFonts w:eastAsiaTheme="majorEastAsia" w:cstheme="majorBidi"/>
      <w:b/>
      <w:smallCaps/>
      <w:sz w:val="28"/>
      <w:szCs w:val="26"/>
    </w:rPr>
  </w:style>
  <w:style w:type="character" w:customStyle="1" w:styleId="Heading3Char">
    <w:name w:val="Heading 3 Char"/>
    <w:basedOn w:val="DefaultParagraphFont"/>
    <w:link w:val="Heading3"/>
    <w:uiPriority w:val="33"/>
    <w:rsid w:val="002603E6"/>
    <w:rPr>
      <w:rFonts w:eastAsiaTheme="majorEastAsia" w:cstheme="majorBidi"/>
      <w:b/>
    </w:rPr>
  </w:style>
  <w:style w:type="character" w:customStyle="1" w:styleId="Heading4Char">
    <w:name w:val="Heading 4 Char"/>
    <w:basedOn w:val="DefaultParagraphFont"/>
    <w:link w:val="Heading4"/>
    <w:uiPriority w:val="33"/>
    <w:rsid w:val="002603E6"/>
    <w:rPr>
      <w:rFonts w:eastAsiaTheme="majorEastAsia" w:cstheme="majorBidi"/>
      <w:iCs/>
      <w:u w:val="single"/>
    </w:rPr>
  </w:style>
  <w:style w:type="character" w:customStyle="1" w:styleId="Heading5Char">
    <w:name w:val="Heading 5 Char"/>
    <w:basedOn w:val="DefaultParagraphFont"/>
    <w:link w:val="Heading5"/>
    <w:uiPriority w:val="33"/>
    <w:rsid w:val="002603E6"/>
    <w:rPr>
      <w:rFonts w:eastAsiaTheme="majorEastAsia" w:cstheme="majorBidi"/>
      <w:i/>
    </w:rPr>
  </w:style>
  <w:style w:type="character" w:customStyle="1" w:styleId="Heading6Char">
    <w:name w:val="Heading 6 Char"/>
    <w:basedOn w:val="DefaultParagraphFont"/>
    <w:link w:val="Heading6"/>
    <w:uiPriority w:val="33"/>
    <w:rsid w:val="002603E6"/>
    <w:rPr>
      <w:rFonts w:eastAsiaTheme="majorEastAsia" w:cstheme="majorBidi"/>
      <w:u w:val="single"/>
    </w:rPr>
  </w:style>
  <w:style w:type="character" w:customStyle="1" w:styleId="Heading7Char">
    <w:name w:val="Heading 7 Char"/>
    <w:basedOn w:val="DefaultParagraphFont"/>
    <w:link w:val="Heading7"/>
    <w:uiPriority w:val="33"/>
    <w:rsid w:val="002603E6"/>
    <w:rPr>
      <w:rFonts w:eastAsiaTheme="majorEastAsia" w:cstheme="majorBidi"/>
      <w:i/>
      <w:iCs/>
    </w:rPr>
  </w:style>
  <w:style w:type="character" w:customStyle="1" w:styleId="Heading8Char">
    <w:name w:val="Heading 8 Char"/>
    <w:basedOn w:val="DefaultParagraphFont"/>
    <w:link w:val="Heading8"/>
    <w:uiPriority w:val="33"/>
    <w:rsid w:val="002603E6"/>
    <w:rPr>
      <w:rFonts w:eastAsiaTheme="majorEastAsia" w:cstheme="majorBidi"/>
      <w:szCs w:val="21"/>
      <w:u w:val="single"/>
    </w:rPr>
  </w:style>
  <w:style w:type="character" w:customStyle="1" w:styleId="Heading9Char">
    <w:name w:val="Heading 9 Char"/>
    <w:basedOn w:val="DefaultParagraphFont"/>
    <w:link w:val="Heading9"/>
    <w:uiPriority w:val="33"/>
    <w:rsid w:val="002603E6"/>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rsid w:val="00B9740F"/>
    <w:pPr>
      <w:numPr>
        <w:numId w:val="2"/>
      </w:numPr>
    </w:pPr>
  </w:style>
  <w:style w:type="paragraph" w:customStyle="1" w:styleId="HL2HeadingLevel2">
    <w:name w:val="[HL2] Heading Level 2"/>
    <w:basedOn w:val="Heading2"/>
    <w:next w:val="P1-N1Paragraph1-Number1"/>
    <w:link w:val="HL2HeadingLevel2Char"/>
    <w:uiPriority w:val="4"/>
    <w:qFormat/>
    <w:rsid w:val="00B9740F"/>
    <w:pPr>
      <w:numPr>
        <w:ilvl w:val="1"/>
        <w:numId w:val="2"/>
      </w:numPr>
    </w:pPr>
  </w:style>
  <w:style w:type="character" w:customStyle="1" w:styleId="HL1HeadingLevel1Char">
    <w:name w:val="[HL1] Heading Level 1 Char"/>
    <w:basedOn w:val="BTBodyTextChar"/>
    <w:link w:val="HL1HeadingLevel1"/>
    <w:uiPriority w:val="4"/>
    <w:rsid w:val="002603E6"/>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rsid w:val="00B9740F"/>
    <w:pPr>
      <w:numPr>
        <w:ilvl w:val="2"/>
        <w:numId w:val="2"/>
      </w:numPr>
    </w:pPr>
  </w:style>
  <w:style w:type="character" w:customStyle="1" w:styleId="HL2HeadingLevel2Char">
    <w:name w:val="[HL2] Heading Level 2 Char"/>
    <w:basedOn w:val="BTBodyTextChar"/>
    <w:link w:val="HL2HeadingLevel2"/>
    <w:uiPriority w:val="4"/>
    <w:rsid w:val="002603E6"/>
    <w:rPr>
      <w:rFonts w:eastAsiaTheme="majorEastAsia" w:cstheme="majorBidi"/>
      <w:b/>
      <w:smallCaps/>
      <w:sz w:val="28"/>
      <w:szCs w:val="26"/>
    </w:rPr>
  </w:style>
  <w:style w:type="paragraph" w:customStyle="1" w:styleId="HL4HeadingLevel4">
    <w:name w:val="[HL4] Heading Level 4"/>
    <w:basedOn w:val="Heading4"/>
    <w:next w:val="P1-N1Paragraph1-Number1"/>
    <w:link w:val="HL4HeadingLevel4Char"/>
    <w:uiPriority w:val="4"/>
    <w:qFormat/>
    <w:rsid w:val="00B9740F"/>
    <w:pPr>
      <w:numPr>
        <w:ilvl w:val="3"/>
        <w:numId w:val="2"/>
      </w:numPr>
    </w:pPr>
  </w:style>
  <w:style w:type="character" w:customStyle="1" w:styleId="HL3HeadingLevel3Char">
    <w:name w:val="[HL3] Heading Level 3 Char"/>
    <w:basedOn w:val="BTBodyTextChar"/>
    <w:link w:val="HL3HeadingLevel3"/>
    <w:uiPriority w:val="4"/>
    <w:rsid w:val="002603E6"/>
    <w:rPr>
      <w:rFonts w:eastAsiaTheme="majorEastAsia" w:cstheme="majorBidi"/>
      <w:b/>
    </w:rPr>
  </w:style>
  <w:style w:type="paragraph" w:customStyle="1" w:styleId="HL5HeadingLevel5">
    <w:name w:val="[HL5] Heading Level 5"/>
    <w:basedOn w:val="Heading5"/>
    <w:next w:val="P1-N1Paragraph1-Number1"/>
    <w:link w:val="HL5HeadingLevel5Char"/>
    <w:uiPriority w:val="4"/>
    <w:qFormat/>
    <w:rsid w:val="00B9740F"/>
    <w:pPr>
      <w:numPr>
        <w:ilvl w:val="4"/>
        <w:numId w:val="2"/>
      </w:numPr>
    </w:pPr>
  </w:style>
  <w:style w:type="character" w:customStyle="1" w:styleId="HL4HeadingLevel4Char">
    <w:name w:val="[HL4] Heading Level 4 Char"/>
    <w:basedOn w:val="BTBodyTextChar"/>
    <w:link w:val="HL4HeadingLevel4"/>
    <w:uiPriority w:val="4"/>
    <w:rsid w:val="002603E6"/>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rsid w:val="00B9740F"/>
    <w:pPr>
      <w:numPr>
        <w:ilvl w:val="5"/>
        <w:numId w:val="2"/>
      </w:numPr>
    </w:pPr>
  </w:style>
  <w:style w:type="character" w:customStyle="1" w:styleId="HL5HeadingLevel5Char">
    <w:name w:val="[HL5] Heading Level 5 Char"/>
    <w:basedOn w:val="BTBodyTextChar"/>
    <w:link w:val="HL5HeadingLevel5"/>
    <w:uiPriority w:val="4"/>
    <w:rsid w:val="002603E6"/>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rsid w:val="00B9740F"/>
    <w:pPr>
      <w:numPr>
        <w:ilvl w:val="6"/>
        <w:numId w:val="2"/>
      </w:numPr>
    </w:pPr>
  </w:style>
  <w:style w:type="character" w:customStyle="1" w:styleId="HL6HeadingLevel6Char">
    <w:name w:val="[HL6] Heading Level 6 Char"/>
    <w:basedOn w:val="BTBodyTextChar"/>
    <w:link w:val="HL6HeadingLevel6"/>
    <w:uiPriority w:val="4"/>
    <w:semiHidden/>
    <w:rsid w:val="00C74121"/>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rsid w:val="00B9740F"/>
    <w:pPr>
      <w:numPr>
        <w:ilvl w:val="7"/>
        <w:numId w:val="2"/>
      </w:numPr>
    </w:pPr>
  </w:style>
  <w:style w:type="character" w:customStyle="1" w:styleId="HL7HeadingLevel7Char">
    <w:name w:val="[HL7] Heading Level 7 Char"/>
    <w:basedOn w:val="BTBodyTextChar"/>
    <w:link w:val="HL7HeadingLevel7"/>
    <w:uiPriority w:val="4"/>
    <w:semiHidden/>
    <w:rsid w:val="00C74121"/>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rsid w:val="00B9740F"/>
    <w:pPr>
      <w:numPr>
        <w:ilvl w:val="8"/>
        <w:numId w:val="2"/>
      </w:numPr>
    </w:pPr>
  </w:style>
  <w:style w:type="character" w:customStyle="1" w:styleId="HL8HeadingLevel8Char">
    <w:name w:val="[HL8] Heading Level 8 Char"/>
    <w:basedOn w:val="BTBodyTextChar"/>
    <w:link w:val="HL8HeadingLevel8"/>
    <w:uiPriority w:val="4"/>
    <w:semiHidden/>
    <w:rsid w:val="00C74121"/>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rsid w:val="002F433F"/>
    <w:pPr>
      <w:spacing w:before="240" w:after="0"/>
      <w:jc w:val="center"/>
    </w:pPr>
    <w:rPr>
      <w:sz w:val="24"/>
    </w:rPr>
  </w:style>
  <w:style w:type="character" w:customStyle="1" w:styleId="HL9HeadingLevel9Char">
    <w:name w:val="[HL9] Heading Level 9 Char"/>
    <w:basedOn w:val="BTBodyTextChar"/>
    <w:link w:val="HL9HeadingLevel9"/>
    <w:uiPriority w:val="4"/>
    <w:semiHidden/>
    <w:rsid w:val="00C74121"/>
    <w:rPr>
      <w:rFonts w:eastAsiaTheme="majorEastAsia" w:cstheme="majorBidi"/>
      <w:i/>
      <w:iCs/>
      <w:szCs w:val="21"/>
    </w:rPr>
  </w:style>
  <w:style w:type="paragraph" w:styleId="TOCHeading">
    <w:name w:val="TOC Heading"/>
    <w:basedOn w:val="Normal"/>
    <w:next w:val="Normal"/>
    <w:uiPriority w:val="39"/>
    <w:unhideWhenUsed/>
    <w:rsid w:val="00AC4A0D"/>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2F433F"/>
    <w:rPr>
      <w:rFonts w:eastAsiaTheme="majorEastAsia" w:cstheme="majorBidi"/>
      <w:b/>
      <w:caps/>
      <w:sz w:val="28"/>
      <w:szCs w:val="32"/>
    </w:rPr>
  </w:style>
  <w:style w:type="paragraph" w:styleId="TOC1">
    <w:name w:val="toc 1"/>
    <w:basedOn w:val="Normal"/>
    <w:next w:val="Normal"/>
    <w:autoRedefine/>
    <w:uiPriority w:val="39"/>
    <w:unhideWhenUsed/>
    <w:rsid w:val="001D6DB3"/>
    <w:pPr>
      <w:tabs>
        <w:tab w:val="left" w:pos="851"/>
        <w:tab w:val="right" w:leader="dot" w:pos="9060"/>
      </w:tabs>
      <w:spacing w:before="180" w:after="100" w:line="240" w:lineRule="auto"/>
    </w:pPr>
    <w:rPr>
      <w:b/>
      <w:caps/>
    </w:rPr>
  </w:style>
  <w:style w:type="paragraph" w:styleId="TOC2">
    <w:name w:val="toc 2"/>
    <w:basedOn w:val="Normal"/>
    <w:next w:val="Normal"/>
    <w:autoRedefine/>
    <w:uiPriority w:val="39"/>
    <w:unhideWhenUsed/>
    <w:rsid w:val="00380795"/>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rsid w:val="00380795"/>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sid w:val="00D47F18"/>
    <w:rPr>
      <w:color w:val="0563C1" w:themeColor="hyperlink"/>
      <w:u w:val="single"/>
    </w:rPr>
  </w:style>
  <w:style w:type="paragraph" w:styleId="TOC4">
    <w:name w:val="toc 4"/>
    <w:basedOn w:val="Normal"/>
    <w:next w:val="Normal"/>
    <w:autoRedefine/>
    <w:uiPriority w:val="39"/>
    <w:unhideWhenUsed/>
    <w:rsid w:val="00380795"/>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rsid w:val="00380795"/>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rsid w:val="00380795"/>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rsid w:val="00380795"/>
    <w:pPr>
      <w:spacing w:before="120" w:after="100" w:line="240" w:lineRule="auto"/>
      <w:ind w:left="3403" w:hanging="851"/>
    </w:pPr>
  </w:style>
  <w:style w:type="paragraph" w:styleId="TOC8">
    <w:name w:val="toc 8"/>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rsid w:val="00EE47D1"/>
    <w:pPr>
      <w:keepNext/>
      <w:numPr>
        <w:numId w:val="4"/>
      </w:numPr>
      <w:spacing w:before="240" w:after="0"/>
      <w:jc w:val="center"/>
      <w:outlineLvl w:val="7"/>
    </w:pPr>
    <w:rPr>
      <w:b/>
    </w:rPr>
  </w:style>
  <w:style w:type="character" w:customStyle="1" w:styleId="FCFigureCaptionChar">
    <w:name w:val="[FC] Figure Caption Char"/>
    <w:basedOn w:val="BTBodyTextChar"/>
    <w:link w:val="FCFigureCaption"/>
    <w:uiPriority w:val="10"/>
    <w:rsid w:val="00EE47D1"/>
    <w:rPr>
      <w:b/>
    </w:rPr>
  </w:style>
  <w:style w:type="paragraph" w:customStyle="1" w:styleId="TCTableCaption">
    <w:name w:val="[TC] Table Caption"/>
    <w:basedOn w:val="FCFigureCaption"/>
    <w:next w:val="BTBodyText"/>
    <w:link w:val="TCTableCaptionChar"/>
    <w:uiPriority w:val="10"/>
    <w:qFormat/>
    <w:rsid w:val="00ED1747"/>
    <w:pPr>
      <w:numPr>
        <w:numId w:val="5"/>
      </w:numPr>
      <w:outlineLvl w:val="8"/>
    </w:pPr>
  </w:style>
  <w:style w:type="table" w:styleId="TableGrid">
    <w:name w:val="Table Grid"/>
    <w:basedOn w:val="TableNormal"/>
    <w:uiPriority w:val="39"/>
    <w:rsid w:val="006F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sid w:val="00093175"/>
    <w:rPr>
      <w:b/>
    </w:rPr>
  </w:style>
  <w:style w:type="paragraph" w:customStyle="1" w:styleId="TTTableText">
    <w:name w:val="[TT] Table Text"/>
    <w:basedOn w:val="BTBodyText"/>
    <w:link w:val="TTTableTextChar"/>
    <w:uiPriority w:val="19"/>
    <w:qFormat/>
    <w:rsid w:val="008E0031"/>
    <w:pPr>
      <w:spacing w:before="40" w:after="40" w:line="240" w:lineRule="auto"/>
      <w:jc w:val="left"/>
    </w:pPr>
  </w:style>
  <w:style w:type="paragraph" w:customStyle="1" w:styleId="THTableHeading">
    <w:name w:val="[TH] Table Heading"/>
    <w:basedOn w:val="TTTableText"/>
    <w:link w:val="THTableHeadingChar"/>
    <w:uiPriority w:val="19"/>
    <w:qFormat/>
    <w:rsid w:val="008E0031"/>
    <w:rPr>
      <w:b/>
    </w:rPr>
  </w:style>
  <w:style w:type="character" w:customStyle="1" w:styleId="TTTableTextChar">
    <w:name w:val="[TT] Table Text Char"/>
    <w:basedOn w:val="BTBodyTextChar"/>
    <w:link w:val="TTTableText"/>
    <w:uiPriority w:val="19"/>
    <w:rsid w:val="00093175"/>
  </w:style>
  <w:style w:type="paragraph" w:customStyle="1" w:styleId="AHL1AnnexHeadingLevel1">
    <w:name w:val="[AHL1] Annex Heading Level 1"/>
    <w:basedOn w:val="Heading1"/>
    <w:next w:val="P1-N1Paragraph1-Number1"/>
    <w:link w:val="AHL1AnnexHeadingLevel1Char"/>
    <w:uiPriority w:val="15"/>
    <w:qFormat/>
    <w:rsid w:val="006C1D90"/>
    <w:pPr>
      <w:numPr>
        <w:numId w:val="6"/>
      </w:numPr>
    </w:pPr>
    <w:rPr>
      <w:caps w:val="0"/>
      <w:sz w:val="24"/>
    </w:rPr>
  </w:style>
  <w:style w:type="character" w:customStyle="1" w:styleId="THTableHeadingChar">
    <w:name w:val="[TH] Table Heading Char"/>
    <w:basedOn w:val="TTTableTextChar"/>
    <w:link w:val="THTableHeading"/>
    <w:uiPriority w:val="19"/>
    <w:rsid w:val="00093175"/>
    <w:rPr>
      <w:b/>
    </w:rPr>
  </w:style>
  <w:style w:type="paragraph" w:customStyle="1" w:styleId="AHL2AnnexHeadingLevel2">
    <w:name w:val="[AHL2] Annex Heading Level 2"/>
    <w:basedOn w:val="Heading2"/>
    <w:next w:val="P1-N1Paragraph1-Number1"/>
    <w:link w:val="AHL2AnnexHeadingLevel2Char"/>
    <w:uiPriority w:val="15"/>
    <w:qFormat/>
    <w:rsid w:val="006C1D90"/>
    <w:pPr>
      <w:numPr>
        <w:ilvl w:val="1"/>
        <w:numId w:val="6"/>
      </w:numPr>
    </w:pPr>
    <w:rPr>
      <w:sz w:val="24"/>
    </w:rPr>
  </w:style>
  <w:style w:type="character" w:customStyle="1" w:styleId="AHL1AnnexHeadingLevel1Char">
    <w:name w:val="[AHL1] Annex Heading Level 1 Char"/>
    <w:basedOn w:val="BTBodyTextChar"/>
    <w:link w:val="AHL1AnnexHeadingLevel1"/>
    <w:uiPriority w:val="15"/>
    <w:rsid w:val="00D456CA"/>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rsid w:val="0093054A"/>
    <w:pPr>
      <w:numPr>
        <w:ilvl w:val="2"/>
        <w:numId w:val="6"/>
      </w:numPr>
    </w:pPr>
  </w:style>
  <w:style w:type="character" w:customStyle="1" w:styleId="AHL2AnnexHeadingLevel2Char">
    <w:name w:val="[AHL2] Annex Heading Level 2 Char"/>
    <w:basedOn w:val="BTBodyTextChar"/>
    <w:link w:val="AHL2AnnexHeadingLevel2"/>
    <w:uiPriority w:val="15"/>
    <w:rsid w:val="00D456CA"/>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rsid w:val="0093054A"/>
    <w:pPr>
      <w:numPr>
        <w:ilvl w:val="3"/>
        <w:numId w:val="6"/>
      </w:numPr>
    </w:pPr>
  </w:style>
  <w:style w:type="character" w:customStyle="1" w:styleId="AHL3AnnexHeadingLevel3Char">
    <w:name w:val="[AHL3] Annex Heading Level 3 Char"/>
    <w:basedOn w:val="BTBodyTextChar"/>
    <w:link w:val="AHL3AnnexHeadingLevel3"/>
    <w:uiPriority w:val="15"/>
    <w:rsid w:val="00D456CA"/>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rsid w:val="006C1D90"/>
    <w:pPr>
      <w:numPr>
        <w:ilvl w:val="4"/>
        <w:numId w:val="6"/>
      </w:numPr>
    </w:pPr>
    <w:rPr>
      <w:b/>
      <w:i w:val="0"/>
    </w:rPr>
  </w:style>
  <w:style w:type="character" w:customStyle="1" w:styleId="AHL4AnnexHeadingLevel4Char">
    <w:name w:val="[AHL4] Annex Heading Level 4 Char"/>
    <w:basedOn w:val="BTBodyTextChar"/>
    <w:link w:val="AHL4AnnexHeadingLevel4"/>
    <w:uiPriority w:val="15"/>
    <w:semiHidden/>
    <w:rsid w:val="00D456CA"/>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rsid w:val="0093054A"/>
    <w:pPr>
      <w:numPr>
        <w:ilvl w:val="5"/>
        <w:numId w:val="6"/>
      </w:numPr>
    </w:pPr>
  </w:style>
  <w:style w:type="character" w:customStyle="1" w:styleId="AHL5AnnexHeadingLevel5Char">
    <w:name w:val="[AHL5] Annex Heading Level 5 Char"/>
    <w:basedOn w:val="BTBodyTextChar"/>
    <w:link w:val="AHL5AnnexHeadingLevel5"/>
    <w:uiPriority w:val="15"/>
    <w:semiHidden/>
    <w:rsid w:val="00D456CA"/>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rsid w:val="0093054A"/>
    <w:pPr>
      <w:numPr>
        <w:ilvl w:val="6"/>
        <w:numId w:val="6"/>
      </w:numPr>
    </w:pPr>
  </w:style>
  <w:style w:type="character" w:customStyle="1" w:styleId="AHL6AnnexHeadingLevel6Char">
    <w:name w:val="[AHL6] Annex Heading Level 6 Char"/>
    <w:basedOn w:val="BTBodyTextChar"/>
    <w:link w:val="AHL6AnnexHeadingLevel6"/>
    <w:uiPriority w:val="15"/>
    <w:semiHidden/>
    <w:rsid w:val="00D456CA"/>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rsid w:val="0093054A"/>
    <w:pPr>
      <w:numPr>
        <w:ilvl w:val="7"/>
        <w:numId w:val="6"/>
      </w:numPr>
    </w:pPr>
  </w:style>
  <w:style w:type="character" w:customStyle="1" w:styleId="AHL7AnnexHeadingLevel7Char">
    <w:name w:val="[AHL7] Annex Heading Level 7 Char"/>
    <w:basedOn w:val="BTBodyTextChar"/>
    <w:link w:val="AHL7AnnexHeadingLevel7"/>
    <w:uiPriority w:val="15"/>
    <w:semiHidden/>
    <w:rsid w:val="00D456CA"/>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rsid w:val="0093054A"/>
    <w:pPr>
      <w:numPr>
        <w:ilvl w:val="8"/>
        <w:numId w:val="6"/>
      </w:numPr>
    </w:pPr>
  </w:style>
  <w:style w:type="character" w:customStyle="1" w:styleId="AHL8AnnexHeadingLevel8Char">
    <w:name w:val="[AHL8] Annex Heading Level 8 Char"/>
    <w:basedOn w:val="BTBodyTextChar"/>
    <w:link w:val="AHL8AnnexHeadingLevel8"/>
    <w:uiPriority w:val="15"/>
    <w:semiHidden/>
    <w:rsid w:val="00D456CA"/>
    <w:rPr>
      <w:rFonts w:eastAsiaTheme="majorEastAsia" w:cstheme="majorBidi"/>
      <w:szCs w:val="21"/>
      <w:u w:val="single"/>
    </w:rPr>
  </w:style>
  <w:style w:type="paragraph" w:styleId="Header">
    <w:name w:val="header"/>
    <w:basedOn w:val="Normal"/>
    <w:link w:val="HeaderChar"/>
    <w:uiPriority w:val="99"/>
    <w:unhideWhenUsed/>
    <w:rsid w:val="00006269"/>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sid w:val="00D456CA"/>
    <w:rPr>
      <w:rFonts w:eastAsiaTheme="majorEastAsia" w:cstheme="majorBidi"/>
      <w:i/>
      <w:iCs/>
      <w:szCs w:val="21"/>
    </w:rPr>
  </w:style>
  <w:style w:type="character" w:customStyle="1" w:styleId="HeaderChar">
    <w:name w:val="Header Char"/>
    <w:basedOn w:val="DefaultParagraphFont"/>
    <w:link w:val="Header"/>
    <w:uiPriority w:val="99"/>
    <w:rsid w:val="00006269"/>
    <w:rPr>
      <w:sz w:val="22"/>
    </w:rPr>
  </w:style>
  <w:style w:type="paragraph" w:styleId="Footer">
    <w:name w:val="footer"/>
    <w:basedOn w:val="Normal"/>
    <w:link w:val="FooterChar"/>
    <w:uiPriority w:val="99"/>
    <w:unhideWhenUsed/>
    <w:rsid w:val="00006269"/>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006269"/>
    <w:rPr>
      <w:sz w:val="22"/>
    </w:rPr>
  </w:style>
  <w:style w:type="paragraph" w:styleId="FootnoteText">
    <w:name w:val="footnote text"/>
    <w:basedOn w:val="Normal"/>
    <w:link w:val="FootnoteTextChar"/>
    <w:uiPriority w:val="99"/>
    <w:rsid w:val="00EE47D1"/>
    <w:pPr>
      <w:spacing w:after="0" w:line="240" w:lineRule="auto"/>
    </w:pPr>
    <w:rPr>
      <w:sz w:val="18"/>
      <w:szCs w:val="20"/>
    </w:rPr>
  </w:style>
  <w:style w:type="character" w:customStyle="1" w:styleId="FootnoteTextChar">
    <w:name w:val="Footnote Text Char"/>
    <w:basedOn w:val="DefaultParagraphFont"/>
    <w:link w:val="FootnoteText"/>
    <w:uiPriority w:val="99"/>
    <w:rsid w:val="00EE47D1"/>
    <w:rPr>
      <w:sz w:val="18"/>
      <w:szCs w:val="20"/>
    </w:rPr>
  </w:style>
  <w:style w:type="character" w:styleId="FootnoteReference">
    <w:name w:val="footnote reference"/>
    <w:basedOn w:val="DefaultParagraphFont"/>
    <w:uiPriority w:val="99"/>
    <w:rsid w:val="00BD0E60"/>
    <w:rPr>
      <w:rFonts w:ascii="Calibri" w:hAnsi="Calibri"/>
      <w:vertAlign w:val="superscript"/>
    </w:rPr>
  </w:style>
  <w:style w:type="character" w:styleId="UnresolvedMention">
    <w:name w:val="Unresolved Mention"/>
    <w:basedOn w:val="DefaultParagraphFont"/>
    <w:uiPriority w:val="99"/>
    <w:semiHidden/>
    <w:unhideWhenUsed/>
    <w:rsid w:val="00030A32"/>
    <w:rPr>
      <w:color w:val="605E5C"/>
      <w:shd w:val="clear" w:color="auto" w:fill="E1DFDD"/>
    </w:rPr>
  </w:style>
  <w:style w:type="paragraph" w:customStyle="1" w:styleId="WTODTWTODisputeTitle">
    <w:name w:val="[WTODT] WTO Dispute Title"/>
    <w:basedOn w:val="BTBodyText"/>
    <w:link w:val="WTODTWTODisputeTitleChar"/>
    <w:uiPriority w:val="27"/>
    <w:rsid w:val="00DA5381"/>
    <w:pPr>
      <w:spacing w:line="240" w:lineRule="auto"/>
      <w:jc w:val="center"/>
    </w:pPr>
    <w:rPr>
      <w:b/>
      <w:bCs/>
      <w:smallCaps/>
      <w:sz w:val="40"/>
      <w:szCs w:val="40"/>
    </w:rPr>
  </w:style>
  <w:style w:type="paragraph" w:customStyle="1" w:styleId="DSNDSNumber">
    <w:name w:val="[DSN] DS Number"/>
    <w:basedOn w:val="BTBodyText"/>
    <w:link w:val="DSNDSNumberChar"/>
    <w:uiPriority w:val="27"/>
    <w:rsid w:val="00DA5381"/>
    <w:pPr>
      <w:spacing w:line="240" w:lineRule="auto"/>
      <w:jc w:val="center"/>
    </w:pPr>
  </w:style>
  <w:style w:type="character" w:customStyle="1" w:styleId="WTODTWTODisputeTitleChar">
    <w:name w:val="[WTODT] WTO Dispute Title Char"/>
    <w:basedOn w:val="BTBodyTextChar"/>
    <w:link w:val="WTODTWTODisputeTitle"/>
    <w:uiPriority w:val="27"/>
    <w:rsid w:val="0026128E"/>
    <w:rPr>
      <w:b/>
      <w:bCs/>
      <w:smallCaps/>
      <w:sz w:val="40"/>
      <w:szCs w:val="40"/>
    </w:rPr>
  </w:style>
  <w:style w:type="paragraph" w:customStyle="1" w:styleId="DTDocumentTitle">
    <w:name w:val="[DT] Document Title"/>
    <w:basedOn w:val="BTBodyText"/>
    <w:link w:val="DTDocumentTitleChar"/>
    <w:uiPriority w:val="27"/>
    <w:rsid w:val="00DA5381"/>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26128E"/>
  </w:style>
  <w:style w:type="paragraph" w:customStyle="1" w:styleId="DDDocumentDate">
    <w:name w:val="[DD] Document Date"/>
    <w:basedOn w:val="BTBodyText"/>
    <w:link w:val="DDDocumentDateChar"/>
    <w:uiPriority w:val="27"/>
    <w:rsid w:val="00DA5381"/>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26128E"/>
    <w:rPr>
      <w:b/>
      <w:bCs/>
      <w:smallCaps/>
      <w:sz w:val="36"/>
      <w:szCs w:val="36"/>
    </w:rPr>
  </w:style>
  <w:style w:type="character" w:customStyle="1" w:styleId="DDDocumentDateChar">
    <w:name w:val="[DD] Document Date Char"/>
    <w:basedOn w:val="BTBodyTextChar"/>
    <w:link w:val="DDDocumentDate"/>
    <w:uiPriority w:val="27"/>
    <w:rsid w:val="0026128E"/>
    <w:rPr>
      <w:sz w:val="32"/>
      <w:szCs w:val="32"/>
    </w:rPr>
  </w:style>
  <w:style w:type="character" w:styleId="PlaceholderText">
    <w:name w:val="Placeholder Text"/>
    <w:basedOn w:val="DefaultParagraphFont"/>
    <w:uiPriority w:val="99"/>
    <w:semiHidden/>
    <w:rsid w:val="00D52A17"/>
    <w:rPr>
      <w:color w:val="808080"/>
    </w:rPr>
  </w:style>
  <w:style w:type="character" w:styleId="CommentReference">
    <w:name w:val="annotation reference"/>
    <w:basedOn w:val="DefaultParagraphFont"/>
    <w:uiPriority w:val="99"/>
    <w:semiHidden/>
    <w:unhideWhenUsed/>
    <w:rsid w:val="00BC2132"/>
    <w:rPr>
      <w:sz w:val="16"/>
      <w:szCs w:val="16"/>
    </w:rPr>
  </w:style>
  <w:style w:type="paragraph" w:styleId="CommentText">
    <w:name w:val="annotation text"/>
    <w:basedOn w:val="Normal"/>
    <w:link w:val="CommentTextChar"/>
    <w:uiPriority w:val="99"/>
    <w:unhideWhenUsed/>
    <w:rsid w:val="00BC2132"/>
    <w:pPr>
      <w:spacing w:line="240" w:lineRule="auto"/>
    </w:pPr>
    <w:rPr>
      <w:sz w:val="20"/>
      <w:szCs w:val="20"/>
    </w:rPr>
  </w:style>
  <w:style w:type="character" w:customStyle="1" w:styleId="CommentTextChar">
    <w:name w:val="Comment Text Char"/>
    <w:basedOn w:val="DefaultParagraphFont"/>
    <w:link w:val="CommentText"/>
    <w:uiPriority w:val="99"/>
    <w:rsid w:val="00BC2132"/>
    <w:rPr>
      <w:sz w:val="20"/>
      <w:szCs w:val="20"/>
    </w:rPr>
  </w:style>
  <w:style w:type="paragraph" w:styleId="CommentSubject">
    <w:name w:val="annotation subject"/>
    <w:basedOn w:val="CommentText"/>
    <w:next w:val="CommentText"/>
    <w:link w:val="CommentSubjectChar"/>
    <w:uiPriority w:val="99"/>
    <w:semiHidden/>
    <w:unhideWhenUsed/>
    <w:rsid w:val="00BC2132"/>
    <w:rPr>
      <w:b/>
      <w:bCs/>
    </w:rPr>
  </w:style>
  <w:style w:type="character" w:customStyle="1" w:styleId="CommentSubjectChar">
    <w:name w:val="Comment Subject Char"/>
    <w:basedOn w:val="CommentTextChar"/>
    <w:link w:val="CommentSubject"/>
    <w:uiPriority w:val="99"/>
    <w:semiHidden/>
    <w:rsid w:val="00BC2132"/>
    <w:rPr>
      <w:b/>
      <w:bCs/>
      <w:sz w:val="20"/>
      <w:szCs w:val="20"/>
    </w:rPr>
  </w:style>
  <w:style w:type="character" w:customStyle="1" w:styleId="ui-provider">
    <w:name w:val="ui-provider"/>
    <w:basedOn w:val="DefaultParagraphFont"/>
    <w:rsid w:val="00EC2D5B"/>
  </w:style>
  <w:style w:type="numbering" w:customStyle="1" w:styleId="CurrentList1">
    <w:name w:val="Current List1"/>
    <w:uiPriority w:val="99"/>
    <w:rsid w:val="00F8196C"/>
    <w:pPr>
      <w:numPr>
        <w:numId w:val="24"/>
      </w:numPr>
    </w:pPr>
  </w:style>
  <w:style w:type="paragraph" w:styleId="NormalWeb">
    <w:name w:val="Normal (Web)"/>
    <w:basedOn w:val="Normal"/>
    <w:uiPriority w:val="99"/>
    <w:semiHidden/>
    <w:unhideWhenUsed/>
    <w:rsid w:val="00FF6B5A"/>
    <w:pPr>
      <w:spacing w:before="100" w:beforeAutospacing="1" w:after="100" w:afterAutospacing="1" w:line="240" w:lineRule="auto"/>
      <w:jc w:val="left"/>
    </w:pPr>
    <w:rPr>
      <w:rFonts w:ascii="Times New Roman" w:eastAsia="Times New Roman" w:hAnsi="Times New Roman" w:cs="Times New Roman"/>
      <w:lang w:eastAsia="en-AU"/>
    </w:rPr>
  </w:style>
  <w:style w:type="paragraph" w:styleId="Revision">
    <w:name w:val="Revision"/>
    <w:hidden/>
    <w:uiPriority w:val="99"/>
    <w:semiHidden/>
    <w:rsid w:val="00695257"/>
    <w:pPr>
      <w:spacing w:after="0" w:line="240" w:lineRule="auto"/>
      <w:jc w:val="left"/>
    </w:pPr>
  </w:style>
  <w:style w:type="character" w:styleId="Mention">
    <w:name w:val="Mention"/>
    <w:basedOn w:val="DefaultParagraphFont"/>
    <w:uiPriority w:val="99"/>
    <w:unhideWhenUsed/>
    <w:rsid w:val="00336853"/>
    <w:rPr>
      <w:color w:val="2B579A"/>
      <w:shd w:val="clear" w:color="auto" w:fill="E1DFDD"/>
    </w:rPr>
  </w:style>
  <w:style w:type="character" w:styleId="FollowedHyperlink">
    <w:name w:val="FollowedHyperlink"/>
    <w:basedOn w:val="DefaultParagraphFont"/>
    <w:uiPriority w:val="99"/>
    <w:semiHidden/>
    <w:unhideWhenUsed/>
    <w:rsid w:val="001D6D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11876">
      <w:bodyDiv w:val="1"/>
      <w:marLeft w:val="0"/>
      <w:marRight w:val="0"/>
      <w:marTop w:val="0"/>
      <w:marBottom w:val="0"/>
      <w:divBdr>
        <w:top w:val="none" w:sz="0" w:space="0" w:color="auto"/>
        <w:left w:val="none" w:sz="0" w:space="0" w:color="auto"/>
        <w:bottom w:val="none" w:sz="0" w:space="0" w:color="auto"/>
        <w:right w:val="none" w:sz="0" w:space="0" w:color="auto"/>
      </w:divBdr>
    </w:div>
    <w:div w:id="452333274">
      <w:bodyDiv w:val="1"/>
      <w:marLeft w:val="0"/>
      <w:marRight w:val="0"/>
      <w:marTop w:val="0"/>
      <w:marBottom w:val="0"/>
      <w:divBdr>
        <w:top w:val="none" w:sz="0" w:space="0" w:color="auto"/>
        <w:left w:val="none" w:sz="0" w:space="0" w:color="auto"/>
        <w:bottom w:val="none" w:sz="0" w:space="0" w:color="auto"/>
        <w:right w:val="none" w:sz="0" w:space="0" w:color="auto"/>
      </w:divBdr>
    </w:div>
    <w:div w:id="635647813">
      <w:bodyDiv w:val="1"/>
      <w:marLeft w:val="0"/>
      <w:marRight w:val="0"/>
      <w:marTop w:val="0"/>
      <w:marBottom w:val="0"/>
      <w:divBdr>
        <w:top w:val="none" w:sz="0" w:space="0" w:color="auto"/>
        <w:left w:val="none" w:sz="0" w:space="0" w:color="auto"/>
        <w:bottom w:val="none" w:sz="0" w:space="0" w:color="auto"/>
        <w:right w:val="none" w:sz="0" w:space="0" w:color="auto"/>
      </w:divBdr>
    </w:div>
    <w:div w:id="851917331">
      <w:bodyDiv w:val="1"/>
      <w:marLeft w:val="0"/>
      <w:marRight w:val="0"/>
      <w:marTop w:val="0"/>
      <w:marBottom w:val="0"/>
      <w:divBdr>
        <w:top w:val="none" w:sz="0" w:space="0" w:color="auto"/>
        <w:left w:val="none" w:sz="0" w:space="0" w:color="auto"/>
        <w:bottom w:val="none" w:sz="0" w:space="0" w:color="auto"/>
        <w:right w:val="none" w:sz="0" w:space="0" w:color="auto"/>
      </w:divBdr>
    </w:div>
    <w:div w:id="925310508">
      <w:bodyDiv w:val="1"/>
      <w:marLeft w:val="0"/>
      <w:marRight w:val="0"/>
      <w:marTop w:val="0"/>
      <w:marBottom w:val="0"/>
      <w:divBdr>
        <w:top w:val="none" w:sz="0" w:space="0" w:color="auto"/>
        <w:left w:val="none" w:sz="0" w:space="0" w:color="auto"/>
        <w:bottom w:val="none" w:sz="0" w:space="0" w:color="auto"/>
        <w:right w:val="none" w:sz="0" w:space="0" w:color="auto"/>
      </w:divBdr>
    </w:div>
    <w:div w:id="1255088432">
      <w:bodyDiv w:val="1"/>
      <w:marLeft w:val="0"/>
      <w:marRight w:val="0"/>
      <w:marTop w:val="0"/>
      <w:marBottom w:val="0"/>
      <w:divBdr>
        <w:top w:val="none" w:sz="0" w:space="0" w:color="auto"/>
        <w:left w:val="none" w:sz="0" w:space="0" w:color="auto"/>
        <w:bottom w:val="none" w:sz="0" w:space="0" w:color="auto"/>
        <w:right w:val="none" w:sz="0" w:space="0" w:color="auto"/>
      </w:divBdr>
    </w:div>
    <w:div w:id="1283152075">
      <w:bodyDiv w:val="1"/>
      <w:marLeft w:val="0"/>
      <w:marRight w:val="0"/>
      <w:marTop w:val="0"/>
      <w:marBottom w:val="0"/>
      <w:divBdr>
        <w:top w:val="none" w:sz="0" w:space="0" w:color="auto"/>
        <w:left w:val="none" w:sz="0" w:space="0" w:color="auto"/>
        <w:bottom w:val="none" w:sz="0" w:space="0" w:color="auto"/>
        <w:right w:val="none" w:sz="0" w:space="0" w:color="auto"/>
      </w:divBdr>
    </w:div>
    <w:div w:id="1582176033">
      <w:bodyDiv w:val="1"/>
      <w:marLeft w:val="0"/>
      <w:marRight w:val="0"/>
      <w:marTop w:val="0"/>
      <w:marBottom w:val="0"/>
      <w:divBdr>
        <w:top w:val="none" w:sz="0" w:space="0" w:color="auto"/>
        <w:left w:val="none" w:sz="0" w:space="0" w:color="auto"/>
        <w:bottom w:val="none" w:sz="0" w:space="0" w:color="auto"/>
        <w:right w:val="none" w:sz="0" w:space="0" w:color="auto"/>
      </w:divBdr>
    </w:div>
    <w:div w:id="195188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6858</Words>
  <Characters>37057</Characters>
  <Application>Microsoft Office Word</Application>
  <DocSecurity>0</DocSecurity>
  <Lines>679</Lines>
  <Paragraphs>195</Paragraphs>
  <ScaleCrop>false</ScaleCrop>
  <HeadingPairs>
    <vt:vector size="2" baseType="variant">
      <vt:variant>
        <vt:lpstr>Title</vt:lpstr>
      </vt:variant>
      <vt:variant>
        <vt:i4>1</vt:i4>
      </vt:variant>
    </vt:vector>
  </HeadingPairs>
  <TitlesOfParts>
    <vt:vector size="1" baseType="lpstr">
      <vt:lpstr>CHINA – MEASURES CONCERNING TRADE IN GOODS -</vt:lpstr>
    </vt:vector>
  </TitlesOfParts>
  <Company/>
  <LinksUpToDate>false</LinksUpToDate>
  <CharactersWithSpaces>43868</CharactersWithSpaces>
  <SharedDoc>false</SharedDoc>
  <HLinks>
    <vt:vector size="96" baseType="variant">
      <vt:variant>
        <vt:i4>1507380</vt:i4>
      </vt:variant>
      <vt:variant>
        <vt:i4>74</vt:i4>
      </vt:variant>
      <vt:variant>
        <vt:i4>0</vt:i4>
      </vt:variant>
      <vt:variant>
        <vt:i4>5</vt:i4>
      </vt:variant>
      <vt:variant>
        <vt:lpwstr/>
      </vt:variant>
      <vt:variant>
        <vt:lpwstr>_Toc150438690</vt:lpwstr>
      </vt:variant>
      <vt:variant>
        <vt:i4>1441844</vt:i4>
      </vt:variant>
      <vt:variant>
        <vt:i4>68</vt:i4>
      </vt:variant>
      <vt:variant>
        <vt:i4>0</vt:i4>
      </vt:variant>
      <vt:variant>
        <vt:i4>5</vt:i4>
      </vt:variant>
      <vt:variant>
        <vt:lpwstr/>
      </vt:variant>
      <vt:variant>
        <vt:lpwstr>_Toc150438689</vt:lpwstr>
      </vt:variant>
      <vt:variant>
        <vt:i4>1441844</vt:i4>
      </vt:variant>
      <vt:variant>
        <vt:i4>62</vt:i4>
      </vt:variant>
      <vt:variant>
        <vt:i4>0</vt:i4>
      </vt:variant>
      <vt:variant>
        <vt:i4>5</vt:i4>
      </vt:variant>
      <vt:variant>
        <vt:lpwstr/>
      </vt:variant>
      <vt:variant>
        <vt:lpwstr>_Toc150438688</vt:lpwstr>
      </vt:variant>
      <vt:variant>
        <vt:i4>1441844</vt:i4>
      </vt:variant>
      <vt:variant>
        <vt:i4>56</vt:i4>
      </vt:variant>
      <vt:variant>
        <vt:i4>0</vt:i4>
      </vt:variant>
      <vt:variant>
        <vt:i4>5</vt:i4>
      </vt:variant>
      <vt:variant>
        <vt:lpwstr/>
      </vt:variant>
      <vt:variant>
        <vt:lpwstr>_Toc150438687</vt:lpwstr>
      </vt:variant>
      <vt:variant>
        <vt:i4>1441844</vt:i4>
      </vt:variant>
      <vt:variant>
        <vt:i4>50</vt:i4>
      </vt:variant>
      <vt:variant>
        <vt:i4>0</vt:i4>
      </vt:variant>
      <vt:variant>
        <vt:i4>5</vt:i4>
      </vt:variant>
      <vt:variant>
        <vt:lpwstr/>
      </vt:variant>
      <vt:variant>
        <vt:lpwstr>_Toc150438686</vt:lpwstr>
      </vt:variant>
      <vt:variant>
        <vt:i4>1441844</vt:i4>
      </vt:variant>
      <vt:variant>
        <vt:i4>44</vt:i4>
      </vt:variant>
      <vt:variant>
        <vt:i4>0</vt:i4>
      </vt:variant>
      <vt:variant>
        <vt:i4>5</vt:i4>
      </vt:variant>
      <vt:variant>
        <vt:lpwstr/>
      </vt:variant>
      <vt:variant>
        <vt:lpwstr>_Toc150438685</vt:lpwstr>
      </vt:variant>
      <vt:variant>
        <vt:i4>1441844</vt:i4>
      </vt:variant>
      <vt:variant>
        <vt:i4>38</vt:i4>
      </vt:variant>
      <vt:variant>
        <vt:i4>0</vt:i4>
      </vt:variant>
      <vt:variant>
        <vt:i4>5</vt:i4>
      </vt:variant>
      <vt:variant>
        <vt:lpwstr/>
      </vt:variant>
      <vt:variant>
        <vt:lpwstr>_Toc150438684</vt:lpwstr>
      </vt:variant>
      <vt:variant>
        <vt:i4>1441844</vt:i4>
      </vt:variant>
      <vt:variant>
        <vt:i4>32</vt:i4>
      </vt:variant>
      <vt:variant>
        <vt:i4>0</vt:i4>
      </vt:variant>
      <vt:variant>
        <vt:i4>5</vt:i4>
      </vt:variant>
      <vt:variant>
        <vt:lpwstr/>
      </vt:variant>
      <vt:variant>
        <vt:lpwstr>_Toc150438683</vt:lpwstr>
      </vt:variant>
      <vt:variant>
        <vt:i4>1441844</vt:i4>
      </vt:variant>
      <vt:variant>
        <vt:i4>26</vt:i4>
      </vt:variant>
      <vt:variant>
        <vt:i4>0</vt:i4>
      </vt:variant>
      <vt:variant>
        <vt:i4>5</vt:i4>
      </vt:variant>
      <vt:variant>
        <vt:lpwstr/>
      </vt:variant>
      <vt:variant>
        <vt:lpwstr>_Toc150438682</vt:lpwstr>
      </vt:variant>
      <vt:variant>
        <vt:i4>1441844</vt:i4>
      </vt:variant>
      <vt:variant>
        <vt:i4>20</vt:i4>
      </vt:variant>
      <vt:variant>
        <vt:i4>0</vt:i4>
      </vt:variant>
      <vt:variant>
        <vt:i4>5</vt:i4>
      </vt:variant>
      <vt:variant>
        <vt:lpwstr/>
      </vt:variant>
      <vt:variant>
        <vt:lpwstr>_Toc150438681</vt:lpwstr>
      </vt:variant>
      <vt:variant>
        <vt:i4>1441844</vt:i4>
      </vt:variant>
      <vt:variant>
        <vt:i4>14</vt:i4>
      </vt:variant>
      <vt:variant>
        <vt:i4>0</vt:i4>
      </vt:variant>
      <vt:variant>
        <vt:i4>5</vt:i4>
      </vt:variant>
      <vt:variant>
        <vt:lpwstr/>
      </vt:variant>
      <vt:variant>
        <vt:lpwstr>_Toc150438680</vt:lpwstr>
      </vt:variant>
      <vt:variant>
        <vt:i4>1638452</vt:i4>
      </vt:variant>
      <vt:variant>
        <vt:i4>8</vt:i4>
      </vt:variant>
      <vt:variant>
        <vt:i4>0</vt:i4>
      </vt:variant>
      <vt:variant>
        <vt:i4>5</vt:i4>
      </vt:variant>
      <vt:variant>
        <vt:lpwstr/>
      </vt:variant>
      <vt:variant>
        <vt:lpwstr>_Toc150438679</vt:lpwstr>
      </vt:variant>
      <vt:variant>
        <vt:i4>1638452</vt:i4>
      </vt:variant>
      <vt:variant>
        <vt:i4>2</vt:i4>
      </vt:variant>
      <vt:variant>
        <vt:i4>0</vt:i4>
      </vt:variant>
      <vt:variant>
        <vt:i4>5</vt:i4>
      </vt:variant>
      <vt:variant>
        <vt:lpwstr/>
      </vt:variant>
      <vt:variant>
        <vt:lpwstr>_Toc150438678</vt:lpwstr>
      </vt:variant>
      <vt:variant>
        <vt:i4>6226021</vt:i4>
      </vt:variant>
      <vt:variant>
        <vt:i4>6</vt:i4>
      </vt:variant>
      <vt:variant>
        <vt:i4>0</vt:i4>
      </vt:variant>
      <vt:variant>
        <vt:i4>5</vt:i4>
      </vt:variant>
      <vt:variant>
        <vt:lpwstr>mailto:Melanie.McKernan@dfat.gov.au</vt:lpwstr>
      </vt:variant>
      <vt:variant>
        <vt:lpwstr/>
      </vt:variant>
      <vt:variant>
        <vt:i4>6226021</vt:i4>
      </vt:variant>
      <vt:variant>
        <vt:i4>3</vt:i4>
      </vt:variant>
      <vt:variant>
        <vt:i4>0</vt:i4>
      </vt:variant>
      <vt:variant>
        <vt:i4>5</vt:i4>
      </vt:variant>
      <vt:variant>
        <vt:lpwstr>mailto:Melanie.McKernan@dfat.gov.au</vt:lpwstr>
      </vt:variant>
      <vt:variant>
        <vt:lpwstr/>
      </vt:variant>
      <vt:variant>
        <vt:i4>3538955</vt:i4>
      </vt:variant>
      <vt:variant>
        <vt:i4>0</vt:i4>
      </vt:variant>
      <vt:variant>
        <vt:i4>0</vt:i4>
      </vt:variant>
      <vt:variant>
        <vt:i4>5</vt:i4>
      </vt:variant>
      <vt:variant>
        <vt:lpwstr>mailto:Isobel.Pino@dfat.gov.au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 MEASURES CONCERNING TRADE IN GOODS - THIRD PARTY WRITTEN SUBMISSION OF AUSTRALIA</dc:title>
  <dc:subject/>
  <dc:creator/>
  <cp:keywords>[SEC=OFFICIAL]</cp:keywords>
  <dc:description/>
  <cp:lastModifiedBy/>
  <cp:revision>1</cp:revision>
  <dcterms:created xsi:type="dcterms:W3CDTF">2024-05-06T23:45:00Z</dcterms:created>
  <dcterms:modified xsi:type="dcterms:W3CDTF">2024-05-14T01:42:00Z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v=2022.1;a=SHA256;h=F59892197F764C3B94FB1B46702E57F9B34DFFFD6826B3B673395EC69F879FBD</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2024-05-14T01:42:18Z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D9F6E5C82DFAF7AB6E3D596D48DD43C72EDFDAB4</vt:lpwstr>
  </property>
  <property fmtid="{D5CDD505-2E9C-101B-9397-08002B2CF9AE}" pid="14" name="PM_DisplayValueSecClassificationWithQualifier">
    <vt:lpwstr>OFFICIAL</vt:lpwstr>
  </property>
  <property fmtid="{D5CDD505-2E9C-101B-9397-08002B2CF9AE}" pid="15" name="PM_Originating_FileId">
    <vt:lpwstr>FD85C5A46EBA4F2D880B2FCF04545AF7</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3E9DB5AB808CA91EB3E8EC398CDB7F67B110581D6BB28BC88565729DCE387350</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78CCF6F4E30B4BD2C3632754F1A8AA11</vt:lpwstr>
  </property>
  <property fmtid="{D5CDD505-2E9C-101B-9397-08002B2CF9AE}" pid="25" name="PM_Hash_Salt">
    <vt:lpwstr>78CCF6F4E30B4BD2C3632754F1A8AA11</vt:lpwstr>
  </property>
  <property fmtid="{D5CDD505-2E9C-101B-9397-08002B2CF9AE}" pid="26" name="PM_Hash_SHA1">
    <vt:lpwstr>CF00DBBBCA8852A3834570C9FB21FE49BB1B83DE</vt:lpwstr>
  </property>
</Properties>
</file>