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226E" w14:textId="6761D40E" w:rsidR="008C7954" w:rsidRPr="005411BA" w:rsidRDefault="00D36DA5" w:rsidP="32530C1B">
      <w:pPr>
        <w:pStyle w:val="Heading1"/>
        <w:rPr>
          <w:sz w:val="32"/>
          <w:szCs w:val="32"/>
        </w:rPr>
      </w:pPr>
      <w:r w:rsidRPr="32530C1B">
        <w:rPr>
          <w:sz w:val="32"/>
          <w:szCs w:val="32"/>
        </w:rPr>
        <w:t>TIER 2 INDICATOR TECHNICAL NOTE</w:t>
      </w:r>
    </w:p>
    <w:p w14:paraId="374ACE63" w14:textId="6BEF0094" w:rsidR="003324F2" w:rsidRPr="005411BA" w:rsidRDefault="007D59BA" w:rsidP="005411BA">
      <w:pPr>
        <w:pStyle w:val="Heading2"/>
        <w:rPr>
          <w:i/>
          <w:iCs/>
        </w:rPr>
      </w:pPr>
      <w:r w:rsidRPr="005411BA">
        <w:rPr>
          <w:i/>
          <w:iCs/>
        </w:rPr>
        <w:t>Additional private funds leveraged to support sustainable development</w:t>
      </w:r>
      <w:r w:rsidR="003324F2" w:rsidRPr="005411BA">
        <w:rPr>
          <w:i/>
          <w:iCs/>
        </w:rPr>
        <w:t>.</w:t>
      </w:r>
    </w:p>
    <w:p w14:paraId="03BFDEE3" w14:textId="73AC3089" w:rsidR="003324F2" w:rsidRPr="00BA4809" w:rsidRDefault="003324F2" w:rsidP="32530C1B">
      <w:pPr>
        <w:pStyle w:val="PublicationDate"/>
        <w:spacing w:before="120" w:after="120" w:line="240" w:lineRule="auto"/>
        <w:rPr>
          <w:rFonts w:asciiTheme="majorHAnsi" w:eastAsiaTheme="majorEastAsia" w:hAnsiTheme="majorHAnsi" w:cstheme="majorBidi"/>
          <w:b/>
          <w:bCs/>
          <w:color w:val="44546A" w:themeColor="text2"/>
          <w:sz w:val="22"/>
          <w:szCs w:val="22"/>
        </w:rPr>
      </w:pPr>
      <w:r w:rsidRPr="32530C1B">
        <w:rPr>
          <w:rFonts w:asciiTheme="majorHAnsi" w:eastAsiaTheme="majorEastAsia" w:hAnsiTheme="majorHAnsi" w:cstheme="majorBidi"/>
          <w:b/>
          <w:bCs/>
          <w:color w:val="44546A" w:themeColor="text2"/>
          <w:sz w:val="22"/>
          <w:szCs w:val="22"/>
        </w:rPr>
        <w:t xml:space="preserve">Last updated: </w:t>
      </w:r>
      <w:r w:rsidR="00AE603B" w:rsidRPr="32530C1B">
        <w:rPr>
          <w:rFonts w:asciiTheme="majorHAnsi" w:eastAsiaTheme="majorEastAsia" w:hAnsiTheme="majorHAnsi" w:cstheme="majorBidi"/>
          <w:b/>
          <w:bCs/>
          <w:color w:val="44546A" w:themeColor="text2"/>
          <w:sz w:val="22"/>
          <w:szCs w:val="22"/>
        </w:rPr>
        <w:t xml:space="preserve">August </w:t>
      </w:r>
      <w:r w:rsidRPr="32530C1B">
        <w:rPr>
          <w:rFonts w:asciiTheme="majorHAnsi" w:eastAsiaTheme="majorEastAsia" w:hAnsiTheme="majorHAnsi" w:cstheme="majorBidi"/>
          <w:b/>
          <w:bCs/>
          <w:color w:val="44546A" w:themeColor="text2"/>
          <w:sz w:val="22"/>
          <w:szCs w:val="22"/>
        </w:rPr>
        <w:t>202</w:t>
      </w:r>
      <w:r w:rsidR="00536015" w:rsidRPr="32530C1B">
        <w:rPr>
          <w:rFonts w:asciiTheme="majorHAnsi" w:eastAsiaTheme="majorEastAsia" w:hAnsiTheme="majorHAnsi" w:cstheme="majorBidi"/>
          <w:b/>
          <w:bCs/>
          <w:color w:val="44546A" w:themeColor="text2"/>
          <w:sz w:val="22"/>
          <w:szCs w:val="22"/>
        </w:rPr>
        <w:t>3</w:t>
      </w:r>
    </w:p>
    <w:p w14:paraId="24E757D6" w14:textId="77777777" w:rsidR="003324F2" w:rsidRPr="006C2479" w:rsidRDefault="003324F2" w:rsidP="00332974">
      <w:pPr>
        <w:pStyle w:val="Heading2"/>
        <w:jc w:val="both"/>
      </w:pPr>
      <w:r w:rsidRPr="006C2479">
        <w:t>Definitions</w:t>
      </w:r>
    </w:p>
    <w:p w14:paraId="6CB2AC0D" w14:textId="63B365BE" w:rsidR="003324F2" w:rsidRPr="00AE603B" w:rsidRDefault="003324F2" w:rsidP="00332974">
      <w:pPr>
        <w:pStyle w:val="BodyText"/>
        <w:jc w:val="both"/>
        <w:rPr>
          <w:rFonts w:asciiTheme="majorHAnsi" w:hAnsiTheme="majorHAnsi"/>
          <w:bCs/>
        </w:rPr>
      </w:pPr>
      <w:r w:rsidRPr="00AE603B">
        <w:rPr>
          <w:rFonts w:asciiTheme="majorHAnsi" w:hAnsiTheme="majorHAnsi"/>
          <w:b/>
        </w:rPr>
        <w:t>Private f</w:t>
      </w:r>
      <w:r w:rsidR="00BB4EDF" w:rsidRPr="00AE603B">
        <w:rPr>
          <w:rFonts w:asciiTheme="majorHAnsi" w:hAnsiTheme="majorHAnsi"/>
          <w:b/>
        </w:rPr>
        <w:t>unds</w:t>
      </w:r>
      <w:r w:rsidRPr="00AE603B">
        <w:rPr>
          <w:rFonts w:asciiTheme="majorHAnsi" w:hAnsiTheme="majorHAnsi"/>
          <w:b/>
        </w:rPr>
        <w:t xml:space="preserve"> </w:t>
      </w:r>
      <w:proofErr w:type="gramStart"/>
      <w:r w:rsidRPr="00AE603B">
        <w:rPr>
          <w:rFonts w:asciiTheme="majorHAnsi" w:hAnsiTheme="majorHAnsi"/>
          <w:bCs/>
        </w:rPr>
        <w:t>means</w:t>
      </w:r>
      <w:proofErr w:type="gramEnd"/>
      <w:r w:rsidRPr="00AE603B">
        <w:rPr>
          <w:rFonts w:asciiTheme="majorHAnsi" w:hAnsiTheme="majorHAnsi"/>
          <w:bCs/>
        </w:rPr>
        <w:t xml:space="preserve"> any non-government source of finance. </w:t>
      </w:r>
      <w:r w:rsidR="007F11D2" w:rsidRPr="00AE603B">
        <w:rPr>
          <w:rFonts w:asciiTheme="majorHAnsi" w:hAnsiTheme="majorHAnsi"/>
          <w:bCs/>
        </w:rPr>
        <w:t>This i</w:t>
      </w:r>
      <w:r w:rsidRPr="00AE603B">
        <w:rPr>
          <w:rFonts w:asciiTheme="majorHAnsi" w:hAnsiTheme="majorHAnsi"/>
          <w:bCs/>
        </w:rPr>
        <w:t>nclud</w:t>
      </w:r>
      <w:r w:rsidR="007F11D2" w:rsidRPr="00AE603B">
        <w:rPr>
          <w:rFonts w:asciiTheme="majorHAnsi" w:hAnsiTheme="majorHAnsi"/>
          <w:bCs/>
        </w:rPr>
        <w:t>es</w:t>
      </w:r>
      <w:r w:rsidRPr="00AE603B">
        <w:rPr>
          <w:rFonts w:asciiTheme="majorHAnsi" w:hAnsiTheme="majorHAnsi"/>
          <w:bCs/>
        </w:rPr>
        <w:t xml:space="preserve"> investment</w:t>
      </w:r>
      <w:r w:rsidR="007F11D2" w:rsidRPr="00AE603B">
        <w:rPr>
          <w:rFonts w:asciiTheme="majorHAnsi" w:hAnsiTheme="majorHAnsi"/>
          <w:bCs/>
        </w:rPr>
        <w:t xml:space="preserve"> or grants</w:t>
      </w:r>
      <w:r w:rsidRPr="00AE603B">
        <w:rPr>
          <w:rFonts w:asciiTheme="majorHAnsi" w:hAnsiTheme="majorHAnsi"/>
          <w:bCs/>
        </w:rPr>
        <w:t xml:space="preserve"> from corporat</w:t>
      </w:r>
      <w:r w:rsidR="007F11D2" w:rsidRPr="00AE603B">
        <w:rPr>
          <w:rFonts w:asciiTheme="majorHAnsi" w:hAnsiTheme="majorHAnsi"/>
          <w:bCs/>
        </w:rPr>
        <w:t>ions</w:t>
      </w:r>
      <w:r w:rsidRPr="00AE603B">
        <w:rPr>
          <w:rFonts w:asciiTheme="majorHAnsi" w:hAnsiTheme="majorHAnsi"/>
          <w:bCs/>
        </w:rPr>
        <w:t>, asset manage</w:t>
      </w:r>
      <w:r w:rsidR="007F11D2" w:rsidRPr="00AE603B">
        <w:rPr>
          <w:rFonts w:asciiTheme="majorHAnsi" w:hAnsiTheme="majorHAnsi"/>
          <w:bCs/>
        </w:rPr>
        <w:t>rs</w:t>
      </w:r>
      <w:r w:rsidRPr="00AE603B">
        <w:rPr>
          <w:rFonts w:asciiTheme="majorHAnsi" w:hAnsiTheme="majorHAnsi"/>
          <w:bCs/>
        </w:rPr>
        <w:t>, institutional investors</w:t>
      </w:r>
      <w:r w:rsidR="007F11D2" w:rsidRPr="00AE603B">
        <w:rPr>
          <w:rFonts w:asciiTheme="majorHAnsi" w:hAnsiTheme="majorHAnsi"/>
          <w:bCs/>
        </w:rPr>
        <w:t xml:space="preserve"> (investment banks, pension funds, insurance companies)</w:t>
      </w:r>
      <w:r w:rsidRPr="00AE603B">
        <w:rPr>
          <w:rFonts w:asciiTheme="majorHAnsi" w:hAnsiTheme="majorHAnsi"/>
          <w:bCs/>
        </w:rPr>
        <w:t xml:space="preserve"> and philanthropic investors</w:t>
      </w:r>
      <w:r w:rsidR="007F11D2" w:rsidRPr="00AE603B">
        <w:rPr>
          <w:rFonts w:asciiTheme="majorHAnsi" w:hAnsiTheme="majorHAnsi"/>
          <w:bCs/>
        </w:rPr>
        <w:t xml:space="preserve"> (foundations and family offices)</w:t>
      </w:r>
      <w:r w:rsidRPr="00AE603B">
        <w:rPr>
          <w:rFonts w:asciiTheme="majorHAnsi" w:hAnsiTheme="majorHAnsi"/>
          <w:bCs/>
        </w:rPr>
        <w:t>. This does not include</w:t>
      </w:r>
      <w:r w:rsidR="007F11D2" w:rsidRPr="00AE603B">
        <w:rPr>
          <w:rFonts w:asciiTheme="majorHAnsi" w:hAnsiTheme="majorHAnsi"/>
          <w:bCs/>
        </w:rPr>
        <w:t xml:space="preserve"> development finance institutions,</w:t>
      </w:r>
      <w:r w:rsidR="00536015" w:rsidRPr="00AE603B">
        <w:rPr>
          <w:rFonts w:asciiTheme="majorHAnsi" w:hAnsiTheme="majorHAnsi"/>
          <w:bCs/>
        </w:rPr>
        <w:t xml:space="preserve"> state owned enterprises,</w:t>
      </w:r>
      <w:r w:rsidR="007F11D2" w:rsidRPr="00AE603B">
        <w:rPr>
          <w:rFonts w:asciiTheme="majorHAnsi" w:hAnsiTheme="majorHAnsi"/>
          <w:bCs/>
        </w:rPr>
        <w:t xml:space="preserve"> international finance institutions (IFC, ADB, GFC) or sovereign wealth funds.  </w:t>
      </w:r>
      <w:r w:rsidRPr="00AE603B">
        <w:rPr>
          <w:rFonts w:asciiTheme="majorHAnsi" w:hAnsiTheme="majorHAnsi"/>
          <w:bCs/>
        </w:rPr>
        <w:t xml:space="preserve"> </w:t>
      </w:r>
    </w:p>
    <w:p w14:paraId="32003B2E" w14:textId="52235D70" w:rsidR="003324F2" w:rsidRPr="004B7A13" w:rsidRDefault="007F11D2" w:rsidP="00332974">
      <w:pPr>
        <w:pStyle w:val="BodyText"/>
        <w:jc w:val="both"/>
        <w:rPr>
          <w:rFonts w:asciiTheme="majorHAnsi" w:hAnsiTheme="majorHAnsi"/>
        </w:rPr>
      </w:pPr>
      <w:r w:rsidRPr="23BB50E8">
        <w:rPr>
          <w:rFonts w:asciiTheme="majorHAnsi" w:hAnsiTheme="majorHAnsi"/>
          <w:b/>
          <w:bCs/>
        </w:rPr>
        <w:t xml:space="preserve">Private finance </w:t>
      </w:r>
      <w:r w:rsidR="007D59BA">
        <w:rPr>
          <w:rFonts w:asciiTheme="majorHAnsi" w:hAnsiTheme="majorHAnsi"/>
          <w:b/>
          <w:bCs/>
        </w:rPr>
        <w:t xml:space="preserve">leveraged </w:t>
      </w:r>
      <w:r w:rsidR="004B7A13" w:rsidRPr="23BB50E8">
        <w:rPr>
          <w:rFonts w:asciiTheme="majorHAnsi" w:hAnsiTheme="majorHAnsi"/>
        </w:rPr>
        <w:t xml:space="preserve">refers to the ways in which specific development programs stimulate the allocation of additional private financial resources to </w:t>
      </w:r>
      <w:r w:rsidR="00582E27" w:rsidRPr="23BB50E8">
        <w:rPr>
          <w:rFonts w:asciiTheme="majorHAnsi" w:hAnsiTheme="majorHAnsi"/>
        </w:rPr>
        <w:t>development</w:t>
      </w:r>
      <w:r w:rsidR="004B7A13" w:rsidRPr="23BB50E8">
        <w:rPr>
          <w:rFonts w:asciiTheme="majorHAnsi" w:hAnsiTheme="majorHAnsi"/>
        </w:rPr>
        <w:t xml:space="preserve"> objectives</w:t>
      </w:r>
      <w:r w:rsidR="6F71A27F" w:rsidRPr="23BB50E8">
        <w:rPr>
          <w:rFonts w:asciiTheme="majorHAnsi" w:hAnsiTheme="majorHAnsi"/>
        </w:rPr>
        <w:t>.</w:t>
      </w:r>
      <w:r w:rsidR="00BB4EDF">
        <w:rPr>
          <w:rFonts w:asciiTheme="majorHAnsi" w:hAnsiTheme="majorHAnsi"/>
        </w:rPr>
        <w:t xml:space="preserve"> This is calculated based on the below methodology. </w:t>
      </w:r>
      <w:r w:rsidR="00FD74FB" w:rsidRPr="23BB50E8">
        <w:rPr>
          <w:rFonts w:asciiTheme="majorHAnsi" w:hAnsiTheme="majorHAnsi"/>
        </w:rPr>
        <w:t xml:space="preserve"> </w:t>
      </w:r>
    </w:p>
    <w:p w14:paraId="3C8AED4B" w14:textId="34EF7488" w:rsidR="00313E96" w:rsidRDefault="003324F2" w:rsidP="00332974">
      <w:pPr>
        <w:pStyle w:val="BodyText"/>
        <w:tabs>
          <w:tab w:val="left" w:pos="3270"/>
        </w:tabs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Sustainable development</w:t>
      </w:r>
      <w:r w:rsidR="008854D8">
        <w:rPr>
          <w:rFonts w:asciiTheme="majorHAnsi" w:hAnsiTheme="majorHAnsi"/>
          <w:b/>
        </w:rPr>
        <w:t xml:space="preserve"> </w:t>
      </w:r>
      <w:r w:rsidR="00051363" w:rsidRPr="00051363">
        <w:rPr>
          <w:rFonts w:asciiTheme="majorHAnsi" w:hAnsiTheme="majorHAnsi"/>
          <w:bCs/>
        </w:rPr>
        <w:t>refers</w:t>
      </w:r>
      <w:r w:rsidR="00051363">
        <w:rPr>
          <w:rFonts w:asciiTheme="majorHAnsi" w:hAnsiTheme="majorHAnsi"/>
          <w:bCs/>
        </w:rPr>
        <w:t xml:space="preserve"> to activities which seek to support one </w:t>
      </w:r>
      <w:r w:rsidR="0008514F">
        <w:rPr>
          <w:rFonts w:asciiTheme="majorHAnsi" w:hAnsiTheme="majorHAnsi"/>
          <w:bCs/>
        </w:rPr>
        <w:t xml:space="preserve">or more of the sustainable development goals. </w:t>
      </w:r>
    </w:p>
    <w:p w14:paraId="7DFF9EC8" w14:textId="58F44C3E" w:rsidR="00313E96" w:rsidRDefault="00313E96" w:rsidP="00332974">
      <w:pPr>
        <w:pStyle w:val="BodyText"/>
        <w:tabs>
          <w:tab w:val="left" w:pos="3270"/>
        </w:tabs>
        <w:jc w:val="both"/>
        <w:rPr>
          <w:rFonts w:asciiTheme="majorHAnsi" w:hAnsiTheme="majorHAnsi"/>
        </w:rPr>
      </w:pPr>
      <w:r w:rsidRPr="003F079D">
        <w:rPr>
          <w:rFonts w:asciiTheme="majorHAnsi" w:hAnsiTheme="majorHAnsi"/>
          <w:b/>
          <w:bCs/>
        </w:rPr>
        <w:t>Guarantees</w:t>
      </w:r>
      <w:r>
        <w:rPr>
          <w:rFonts w:asciiTheme="majorHAnsi" w:hAnsiTheme="majorHAnsi"/>
        </w:rPr>
        <w:t xml:space="preserve"> </w:t>
      </w:r>
      <w:r w:rsidR="00D57803">
        <w:rPr>
          <w:rFonts w:asciiTheme="majorHAnsi" w:hAnsiTheme="majorHAnsi"/>
        </w:rPr>
        <w:t xml:space="preserve">refer to legally binding agreements under which the guarantor agrees to pay part or the entire amount dure on a loan, </w:t>
      </w:r>
      <w:proofErr w:type="gramStart"/>
      <w:r w:rsidR="00D57803">
        <w:rPr>
          <w:rFonts w:asciiTheme="majorHAnsi" w:hAnsiTheme="majorHAnsi"/>
        </w:rPr>
        <w:t>equity</w:t>
      </w:r>
      <w:proofErr w:type="gramEnd"/>
      <w:r w:rsidR="00D57803">
        <w:rPr>
          <w:rFonts w:asciiTheme="majorHAnsi" w:hAnsiTheme="majorHAnsi"/>
        </w:rPr>
        <w:t xml:space="preserve"> or other instrument in the event of non-payment by the obligor or loss of value in case of investment. </w:t>
      </w:r>
    </w:p>
    <w:p w14:paraId="6FD4BE46" w14:textId="20C7B10F" w:rsidR="00313E96" w:rsidRDefault="00313E96" w:rsidP="00332974">
      <w:pPr>
        <w:pStyle w:val="BodyText"/>
        <w:tabs>
          <w:tab w:val="left" w:pos="3270"/>
        </w:tabs>
        <w:jc w:val="both"/>
        <w:rPr>
          <w:rFonts w:asciiTheme="majorHAnsi" w:hAnsiTheme="majorHAnsi"/>
        </w:rPr>
      </w:pPr>
      <w:r w:rsidRPr="00163AC5">
        <w:rPr>
          <w:rFonts w:asciiTheme="majorHAnsi" w:hAnsiTheme="majorHAnsi"/>
          <w:b/>
          <w:bCs/>
        </w:rPr>
        <w:t>Syndicated loans</w:t>
      </w:r>
      <w:r>
        <w:rPr>
          <w:rFonts w:asciiTheme="majorHAnsi" w:hAnsiTheme="majorHAnsi"/>
        </w:rPr>
        <w:t xml:space="preserve"> </w:t>
      </w:r>
      <w:r w:rsidR="003F079D">
        <w:rPr>
          <w:rFonts w:asciiTheme="majorHAnsi" w:hAnsiTheme="majorHAnsi"/>
        </w:rPr>
        <w:t>are de</w:t>
      </w:r>
      <w:r w:rsidR="00D519F5">
        <w:rPr>
          <w:rFonts w:asciiTheme="majorHAnsi" w:hAnsiTheme="majorHAnsi"/>
        </w:rPr>
        <w:t>f</w:t>
      </w:r>
      <w:r w:rsidR="003F079D">
        <w:rPr>
          <w:rFonts w:asciiTheme="majorHAnsi" w:hAnsiTheme="majorHAnsi"/>
        </w:rPr>
        <w:t>ined as loans provided by a group of lenders (called a syndicate) who work together to provide funds for a single bo</w:t>
      </w:r>
      <w:r w:rsidR="00D519F5">
        <w:rPr>
          <w:rFonts w:asciiTheme="majorHAnsi" w:hAnsiTheme="majorHAnsi"/>
        </w:rPr>
        <w:t xml:space="preserve">rrower. </w:t>
      </w:r>
    </w:p>
    <w:p w14:paraId="45F523A7" w14:textId="154BEE5B" w:rsidR="00313E96" w:rsidRDefault="00313E96" w:rsidP="00332974">
      <w:pPr>
        <w:pStyle w:val="BodyText"/>
        <w:tabs>
          <w:tab w:val="left" w:pos="3270"/>
        </w:tabs>
        <w:jc w:val="both"/>
        <w:rPr>
          <w:rFonts w:asciiTheme="majorHAnsi" w:hAnsiTheme="majorHAnsi"/>
        </w:rPr>
      </w:pPr>
      <w:r w:rsidRPr="008C01F6">
        <w:rPr>
          <w:rFonts w:asciiTheme="majorHAnsi" w:hAnsiTheme="majorHAnsi"/>
          <w:b/>
          <w:bCs/>
        </w:rPr>
        <w:t>Shares in collective investment vehicles</w:t>
      </w:r>
      <w:r w:rsidR="00666916" w:rsidRPr="008C01F6">
        <w:rPr>
          <w:rFonts w:asciiTheme="majorHAnsi" w:hAnsiTheme="majorHAnsi"/>
          <w:b/>
          <w:bCs/>
        </w:rPr>
        <w:t xml:space="preserve"> (CIVs)</w:t>
      </w:r>
      <w:r w:rsidR="00666916">
        <w:rPr>
          <w:rFonts w:asciiTheme="majorHAnsi" w:hAnsiTheme="majorHAnsi"/>
        </w:rPr>
        <w:t xml:space="preserve"> are those invested in entities that allow investors to pool their money and jointly invest in </w:t>
      </w:r>
      <w:r w:rsidR="008C01F6">
        <w:rPr>
          <w:rFonts w:asciiTheme="majorHAnsi" w:hAnsiTheme="majorHAnsi"/>
        </w:rPr>
        <w:t>a portfolio companies.</w:t>
      </w:r>
      <w:r w:rsidR="00E83B4C">
        <w:rPr>
          <w:rFonts w:asciiTheme="majorHAnsi" w:hAnsiTheme="majorHAnsi"/>
        </w:rPr>
        <w:t xml:space="preserve"> Investment typically consists of or can combine the following instruments: equity, mezzanine finance or senior loans.</w:t>
      </w:r>
      <w:r w:rsidR="0066691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</w:p>
    <w:p w14:paraId="7FDBDD81" w14:textId="65239806" w:rsidR="00313E96" w:rsidRDefault="00313E96" w:rsidP="00332974">
      <w:pPr>
        <w:pStyle w:val="BodyText"/>
        <w:tabs>
          <w:tab w:val="left" w:pos="3270"/>
        </w:tabs>
        <w:jc w:val="both"/>
        <w:rPr>
          <w:rFonts w:asciiTheme="majorHAnsi" w:hAnsiTheme="majorHAnsi"/>
        </w:rPr>
      </w:pPr>
      <w:r w:rsidRPr="00E83B4C">
        <w:rPr>
          <w:rFonts w:asciiTheme="majorHAnsi" w:hAnsiTheme="majorHAnsi"/>
          <w:b/>
          <w:bCs/>
        </w:rPr>
        <w:t>Direct investment in companies</w:t>
      </w:r>
      <w:r w:rsidR="008C01F6" w:rsidRPr="00E83B4C">
        <w:rPr>
          <w:rFonts w:asciiTheme="majorHAnsi" w:hAnsiTheme="majorHAnsi"/>
          <w:b/>
          <w:bCs/>
        </w:rPr>
        <w:t xml:space="preserve"> </w:t>
      </w:r>
      <w:r w:rsidR="0074500C" w:rsidRPr="00E83B4C">
        <w:rPr>
          <w:rFonts w:asciiTheme="majorHAnsi" w:hAnsiTheme="majorHAnsi"/>
          <w:b/>
          <w:bCs/>
        </w:rPr>
        <w:t>refers</w:t>
      </w:r>
      <w:r w:rsidR="0074500C">
        <w:rPr>
          <w:rFonts w:asciiTheme="majorHAnsi" w:hAnsiTheme="majorHAnsi"/>
        </w:rPr>
        <w:t xml:space="preserve"> to on-balance sheet investments in corporate entities</w:t>
      </w:r>
      <w:r w:rsidR="00FE2CAA">
        <w:rPr>
          <w:rFonts w:asciiTheme="majorHAnsi" w:hAnsiTheme="majorHAnsi"/>
        </w:rPr>
        <w:t xml:space="preserve"> (including Special Purpose Vehicles)</w:t>
      </w:r>
      <w:r w:rsidR="0074500C">
        <w:rPr>
          <w:rFonts w:asciiTheme="majorHAnsi" w:hAnsiTheme="majorHAnsi"/>
        </w:rPr>
        <w:t xml:space="preserve"> which are </w:t>
      </w:r>
      <w:r w:rsidR="00E83B4C">
        <w:rPr>
          <w:rFonts w:asciiTheme="majorHAnsi" w:hAnsiTheme="majorHAnsi"/>
        </w:rPr>
        <w:t>conducted</w:t>
      </w:r>
      <w:r w:rsidR="0074500C">
        <w:rPr>
          <w:rFonts w:asciiTheme="majorHAnsi" w:hAnsiTheme="majorHAnsi"/>
        </w:rPr>
        <w:t xml:space="preserve"> without any intermediary (</w:t>
      </w:r>
      <w:proofErr w:type="gramStart"/>
      <w:r w:rsidR="0074500C">
        <w:rPr>
          <w:rFonts w:asciiTheme="majorHAnsi" w:hAnsiTheme="majorHAnsi"/>
        </w:rPr>
        <w:t>e.g.</w:t>
      </w:r>
      <w:proofErr w:type="gramEnd"/>
      <w:r w:rsidR="0074500C">
        <w:rPr>
          <w:rFonts w:asciiTheme="majorHAnsi" w:hAnsiTheme="majorHAnsi"/>
        </w:rPr>
        <w:t xml:space="preserve"> collective investment vehicle) an which </w:t>
      </w:r>
      <w:r w:rsidR="0073412A">
        <w:rPr>
          <w:rFonts w:asciiTheme="majorHAnsi" w:hAnsiTheme="majorHAnsi"/>
        </w:rPr>
        <w:t>typically consist of or can combine the following instruments: equity, mezzanine finance or senior loans.</w:t>
      </w:r>
      <w:r>
        <w:rPr>
          <w:rFonts w:asciiTheme="majorHAnsi" w:hAnsiTheme="majorHAnsi"/>
        </w:rPr>
        <w:t xml:space="preserve"> </w:t>
      </w:r>
    </w:p>
    <w:p w14:paraId="39C2ED61" w14:textId="0F8DA390" w:rsidR="00313E96" w:rsidRDefault="00313E96" w:rsidP="00332974">
      <w:pPr>
        <w:pStyle w:val="BodyText"/>
        <w:tabs>
          <w:tab w:val="left" w:pos="3270"/>
        </w:tabs>
        <w:jc w:val="both"/>
        <w:rPr>
          <w:rFonts w:asciiTheme="majorHAnsi" w:hAnsiTheme="majorHAnsi"/>
        </w:rPr>
      </w:pPr>
      <w:r w:rsidRPr="005A0CE6">
        <w:rPr>
          <w:rFonts w:asciiTheme="majorHAnsi" w:hAnsiTheme="majorHAnsi"/>
          <w:b/>
          <w:bCs/>
        </w:rPr>
        <w:t>Credit lines</w:t>
      </w:r>
      <w:r w:rsidR="005A0CE6">
        <w:rPr>
          <w:rFonts w:asciiTheme="majorHAnsi" w:hAnsiTheme="majorHAnsi"/>
        </w:rPr>
        <w:t xml:space="preserve"> refers to a standing credit amount which can be drawn upon at any time, up to a specific amount and within a given period. </w:t>
      </w:r>
      <w:r>
        <w:rPr>
          <w:rFonts w:asciiTheme="majorHAnsi" w:hAnsiTheme="majorHAnsi"/>
        </w:rPr>
        <w:t xml:space="preserve"> </w:t>
      </w:r>
      <w:r w:rsidR="00F66121" w:rsidRPr="00F66121">
        <w:rPr>
          <w:rFonts w:asciiTheme="majorHAnsi" w:hAnsiTheme="majorHAnsi"/>
        </w:rPr>
        <w:t xml:space="preserve">In the context of development finance, the main objective of credit lines is to support the private sector through the intermediation of </w:t>
      </w:r>
      <w:r w:rsidR="00F66121">
        <w:rPr>
          <w:rFonts w:asciiTheme="majorHAnsi" w:hAnsiTheme="majorHAnsi"/>
        </w:rPr>
        <w:t>a local financial institution (LFI)</w:t>
      </w:r>
      <w:r w:rsidR="00F66121" w:rsidRPr="00F66121">
        <w:rPr>
          <w:rFonts w:asciiTheme="majorHAnsi" w:hAnsiTheme="majorHAnsi"/>
        </w:rPr>
        <w:t>.</w:t>
      </w:r>
    </w:p>
    <w:p w14:paraId="1010B41C" w14:textId="40793097" w:rsidR="003324F2" w:rsidRPr="0035379B" w:rsidRDefault="00313E96" w:rsidP="32530C1B">
      <w:pPr>
        <w:pStyle w:val="BodyText"/>
        <w:tabs>
          <w:tab w:val="left" w:pos="3270"/>
        </w:tabs>
        <w:jc w:val="both"/>
        <w:rPr>
          <w:rFonts w:asciiTheme="majorHAnsi" w:hAnsiTheme="majorHAnsi"/>
        </w:rPr>
      </w:pPr>
      <w:r w:rsidRPr="32530C1B">
        <w:rPr>
          <w:rFonts w:asciiTheme="majorHAnsi" w:hAnsiTheme="majorHAnsi"/>
          <w:b/>
          <w:bCs/>
        </w:rPr>
        <w:t>Simple co-financing arrangements</w:t>
      </w:r>
      <w:r w:rsidR="00003B04" w:rsidRPr="32530C1B">
        <w:rPr>
          <w:rFonts w:asciiTheme="majorHAnsi" w:hAnsiTheme="majorHAnsi"/>
        </w:rPr>
        <w:t xml:space="preserve"> refer to various </w:t>
      </w:r>
      <w:r w:rsidR="002A558F" w:rsidRPr="32530C1B">
        <w:rPr>
          <w:rFonts w:asciiTheme="majorHAnsi" w:hAnsiTheme="majorHAnsi"/>
        </w:rPr>
        <w:t xml:space="preserve">development program partnerships with </w:t>
      </w:r>
      <w:r w:rsidR="005754A3" w:rsidRPr="32530C1B">
        <w:rPr>
          <w:rFonts w:asciiTheme="majorHAnsi" w:hAnsiTheme="majorHAnsi"/>
        </w:rPr>
        <w:t>a private company to</w:t>
      </w:r>
      <w:r w:rsidR="004B635F" w:rsidRPr="32530C1B">
        <w:rPr>
          <w:rFonts w:asciiTheme="majorHAnsi" w:hAnsiTheme="majorHAnsi"/>
        </w:rPr>
        <w:t xml:space="preserve"> co-finance a project or activity.</w:t>
      </w:r>
    </w:p>
    <w:p w14:paraId="021B020B" w14:textId="77777777" w:rsidR="003324F2" w:rsidRPr="006C2479" w:rsidRDefault="003324F2" w:rsidP="00332974">
      <w:pPr>
        <w:pStyle w:val="Heading2"/>
        <w:jc w:val="both"/>
      </w:pPr>
      <w:r w:rsidRPr="006C2479">
        <w:t>Scope</w:t>
      </w:r>
    </w:p>
    <w:p w14:paraId="612A1CC3" w14:textId="77777777" w:rsidR="003324F2" w:rsidRDefault="003324F2" w:rsidP="00332974">
      <w:pPr>
        <w:pStyle w:val="Heading2"/>
        <w:jc w:val="both"/>
        <w:rPr>
          <w:rStyle w:val="IntenseEmphasis"/>
          <w:b/>
          <w:bCs/>
          <w:i w:val="0"/>
          <w:iCs w:val="0"/>
          <w:sz w:val="24"/>
          <w:szCs w:val="24"/>
        </w:rPr>
      </w:pPr>
      <w:r>
        <w:rPr>
          <w:rStyle w:val="IntenseEmphasis"/>
          <w:sz w:val="24"/>
          <w:szCs w:val="24"/>
        </w:rPr>
        <w:t>Includes:</w:t>
      </w:r>
    </w:p>
    <w:p w14:paraId="46EF7C3A" w14:textId="473C60E5" w:rsidR="003324F2" w:rsidRPr="00904130" w:rsidRDefault="003324F2" w:rsidP="00332974">
      <w:pPr>
        <w:pStyle w:val="BodyText"/>
        <w:numPr>
          <w:ilvl w:val="0"/>
          <w:numId w:val="3"/>
        </w:numPr>
        <w:jc w:val="both"/>
        <w:rPr>
          <w:rFonts w:asciiTheme="majorHAnsi" w:hAnsiTheme="majorHAnsi"/>
          <w:bCs/>
        </w:rPr>
      </w:pPr>
      <w:r w:rsidRPr="00904130">
        <w:rPr>
          <w:rFonts w:asciiTheme="majorHAnsi" w:hAnsiTheme="majorHAnsi"/>
          <w:bCs/>
        </w:rPr>
        <w:t>Private finance which Australian development programs have mobilised as per the OECD methodology.</w:t>
      </w:r>
    </w:p>
    <w:p w14:paraId="28E27215" w14:textId="36937508" w:rsidR="00124940" w:rsidRPr="00124940" w:rsidRDefault="00124940" w:rsidP="00332974">
      <w:pPr>
        <w:pStyle w:val="BodyText"/>
        <w:numPr>
          <w:ilvl w:val="0"/>
          <w:numId w:val="3"/>
        </w:num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Projects and programs that can demonstrate a direct</w:t>
      </w:r>
      <w:r w:rsidRPr="004B7A13">
        <w:rPr>
          <w:rFonts w:asciiTheme="majorHAnsi" w:hAnsiTheme="majorHAnsi"/>
          <w:bCs/>
        </w:rPr>
        <w:t xml:space="preserve"> causal link between </w:t>
      </w:r>
      <w:r w:rsidR="00904130">
        <w:rPr>
          <w:rFonts w:asciiTheme="majorHAnsi" w:hAnsiTheme="majorHAnsi"/>
          <w:bCs/>
        </w:rPr>
        <w:t xml:space="preserve">private </w:t>
      </w:r>
      <w:r w:rsidRPr="004B7A13">
        <w:rPr>
          <w:rFonts w:asciiTheme="majorHAnsi" w:hAnsiTheme="majorHAnsi"/>
          <w:bCs/>
        </w:rPr>
        <w:t>finance made available for a specific project</w:t>
      </w:r>
      <w:r>
        <w:rPr>
          <w:rFonts w:asciiTheme="majorHAnsi" w:hAnsiTheme="majorHAnsi"/>
          <w:bCs/>
        </w:rPr>
        <w:t xml:space="preserve"> or fund</w:t>
      </w:r>
      <w:r w:rsidRPr="004B7A13">
        <w:rPr>
          <w:rFonts w:asciiTheme="majorHAnsi" w:hAnsiTheme="majorHAnsi"/>
          <w:bCs/>
        </w:rPr>
        <w:t xml:space="preserve"> and the leveraging instrument used</w:t>
      </w:r>
      <w:r w:rsidR="00904130">
        <w:rPr>
          <w:rFonts w:asciiTheme="majorHAnsi" w:hAnsiTheme="majorHAnsi"/>
          <w:bCs/>
        </w:rPr>
        <w:t xml:space="preserve"> by the program</w:t>
      </w:r>
      <w:r>
        <w:rPr>
          <w:rFonts w:asciiTheme="majorHAnsi" w:hAnsiTheme="majorHAnsi"/>
          <w:bCs/>
        </w:rPr>
        <w:t xml:space="preserve"> (grant or non-grant ODA)</w:t>
      </w:r>
      <w:r w:rsidRPr="004B7A13">
        <w:rPr>
          <w:rFonts w:asciiTheme="majorHAnsi" w:hAnsiTheme="majorHAnsi"/>
          <w:bCs/>
        </w:rPr>
        <w:t>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Cs/>
        </w:rPr>
        <w:t xml:space="preserve">    </w:t>
      </w:r>
    </w:p>
    <w:p w14:paraId="26AD7FC5" w14:textId="558DD26D" w:rsidR="00150D46" w:rsidRPr="00BF74E8" w:rsidRDefault="00BF74E8" w:rsidP="00332974">
      <w:pPr>
        <w:pStyle w:val="BodyText"/>
        <w:numPr>
          <w:ilvl w:val="0"/>
          <w:numId w:val="3"/>
        </w:num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lastRenderedPageBreak/>
        <w:t>B</w:t>
      </w:r>
      <w:r w:rsidR="003324F2" w:rsidRPr="00BF74E8">
        <w:rPr>
          <w:rFonts w:asciiTheme="majorHAnsi" w:hAnsiTheme="majorHAnsi"/>
          <w:bCs/>
        </w:rPr>
        <w:t xml:space="preserve">oth </w:t>
      </w:r>
      <w:r w:rsidR="00FD6C96" w:rsidRPr="00BF74E8">
        <w:rPr>
          <w:rFonts w:asciiTheme="majorHAnsi" w:hAnsiTheme="majorHAnsi"/>
          <w:bCs/>
        </w:rPr>
        <w:t xml:space="preserve">ODA </w:t>
      </w:r>
      <w:r w:rsidR="003324F2" w:rsidRPr="00BF74E8">
        <w:rPr>
          <w:rFonts w:asciiTheme="majorHAnsi" w:hAnsiTheme="majorHAnsi"/>
          <w:bCs/>
        </w:rPr>
        <w:t>grant financing and ODA non-grant financing</w:t>
      </w:r>
      <w:r w:rsidRPr="00BF74E8">
        <w:rPr>
          <w:rFonts w:asciiTheme="majorHAnsi" w:hAnsiTheme="majorHAnsi"/>
          <w:bCs/>
        </w:rPr>
        <w:t xml:space="preserve"> applied to the following</w:t>
      </w:r>
      <w:r>
        <w:rPr>
          <w:rFonts w:asciiTheme="majorHAnsi" w:hAnsiTheme="majorHAnsi"/>
          <w:bCs/>
        </w:rPr>
        <w:t xml:space="preserve"> m</w:t>
      </w:r>
      <w:r w:rsidR="003F44E3" w:rsidRPr="00BF74E8">
        <w:rPr>
          <w:rFonts w:asciiTheme="majorHAnsi" w:hAnsiTheme="majorHAnsi"/>
          <w:bCs/>
        </w:rPr>
        <w:t>obilisation</w:t>
      </w:r>
      <w:r w:rsidR="00F25A60" w:rsidRPr="00BF74E8">
        <w:rPr>
          <w:rFonts w:asciiTheme="majorHAnsi" w:hAnsiTheme="majorHAnsi"/>
          <w:bCs/>
        </w:rPr>
        <w:t xml:space="preserve"> </w:t>
      </w:r>
      <w:proofErr w:type="gramStart"/>
      <w:r w:rsidR="0063239D" w:rsidRPr="00BF74E8">
        <w:rPr>
          <w:rFonts w:asciiTheme="majorHAnsi" w:hAnsiTheme="majorHAnsi"/>
          <w:bCs/>
        </w:rPr>
        <w:t>instruments</w:t>
      </w:r>
      <w:r w:rsidR="003F44E3" w:rsidRPr="00BF74E8">
        <w:rPr>
          <w:rFonts w:asciiTheme="majorHAnsi" w:hAnsiTheme="majorHAnsi"/>
          <w:bCs/>
        </w:rPr>
        <w:t>:</w:t>
      </w:r>
      <w:proofErr w:type="gramEnd"/>
      <w:r w:rsidR="003F44E3" w:rsidRPr="00BF74E8">
        <w:rPr>
          <w:rFonts w:asciiTheme="majorHAnsi" w:hAnsiTheme="majorHAnsi"/>
          <w:bCs/>
        </w:rPr>
        <w:t xml:space="preserve"> </w:t>
      </w:r>
      <w:r w:rsidR="00F25A60" w:rsidRPr="00BF74E8">
        <w:rPr>
          <w:rFonts w:asciiTheme="majorHAnsi" w:hAnsiTheme="majorHAnsi"/>
          <w:bCs/>
        </w:rPr>
        <w:t xml:space="preserve">guarantees, syndicated loans, shares in collective investment vehicles, direct investment in companies, credit lines and simple co-financing arrangements. </w:t>
      </w:r>
    </w:p>
    <w:p w14:paraId="705A7667" w14:textId="77777777" w:rsidR="003324F2" w:rsidRDefault="003324F2" w:rsidP="00332974">
      <w:pPr>
        <w:pStyle w:val="Heading2"/>
        <w:jc w:val="both"/>
        <w:rPr>
          <w:rStyle w:val="IntenseEmphasis"/>
          <w:sz w:val="24"/>
          <w:szCs w:val="24"/>
        </w:rPr>
      </w:pPr>
      <w:r>
        <w:rPr>
          <w:rStyle w:val="IntenseEmphasis"/>
          <w:sz w:val="24"/>
          <w:szCs w:val="24"/>
        </w:rPr>
        <w:t>Excludes:</w:t>
      </w:r>
    </w:p>
    <w:p w14:paraId="2402CEBC" w14:textId="13D5B4C9" w:rsidR="00F25A60" w:rsidRPr="00904130" w:rsidRDefault="00F25A60" w:rsidP="00332974">
      <w:pPr>
        <w:pStyle w:val="BodyText"/>
        <w:numPr>
          <w:ilvl w:val="0"/>
          <w:numId w:val="4"/>
        </w:numPr>
        <w:jc w:val="both"/>
        <w:rPr>
          <w:rFonts w:asciiTheme="majorHAnsi" w:hAnsiTheme="majorHAnsi"/>
          <w:bCs/>
        </w:rPr>
      </w:pPr>
      <w:r w:rsidRPr="00904130">
        <w:rPr>
          <w:rFonts w:asciiTheme="majorHAnsi" w:hAnsiTheme="majorHAnsi"/>
          <w:bCs/>
        </w:rPr>
        <w:t xml:space="preserve">Does not include </w:t>
      </w:r>
      <w:r w:rsidR="007856BE" w:rsidRPr="00904130">
        <w:rPr>
          <w:rFonts w:asciiTheme="majorHAnsi" w:hAnsiTheme="majorHAnsi"/>
          <w:bCs/>
        </w:rPr>
        <w:t>private finance mobilised through the deployment of</w:t>
      </w:r>
      <w:r w:rsidR="00FD6C96" w:rsidRPr="00904130">
        <w:rPr>
          <w:rFonts w:asciiTheme="majorHAnsi" w:hAnsiTheme="majorHAnsi"/>
          <w:bCs/>
        </w:rPr>
        <w:t xml:space="preserve"> general</w:t>
      </w:r>
      <w:r w:rsidR="007856BE" w:rsidRPr="00904130">
        <w:rPr>
          <w:rFonts w:asciiTheme="majorHAnsi" w:hAnsiTheme="majorHAnsi"/>
          <w:bCs/>
        </w:rPr>
        <w:t xml:space="preserve"> technical assistance, design support</w:t>
      </w:r>
      <w:r w:rsidR="00E440E4" w:rsidRPr="00904130">
        <w:rPr>
          <w:rFonts w:asciiTheme="majorHAnsi" w:hAnsiTheme="majorHAnsi"/>
          <w:bCs/>
        </w:rPr>
        <w:t xml:space="preserve"> or</w:t>
      </w:r>
      <w:r w:rsidR="007856BE" w:rsidRPr="00904130">
        <w:rPr>
          <w:rFonts w:asciiTheme="majorHAnsi" w:hAnsiTheme="majorHAnsi"/>
          <w:bCs/>
        </w:rPr>
        <w:t xml:space="preserve"> core funding </w:t>
      </w:r>
      <w:r w:rsidR="00E440E4" w:rsidRPr="00904130">
        <w:rPr>
          <w:rFonts w:asciiTheme="majorHAnsi" w:hAnsiTheme="majorHAnsi"/>
          <w:bCs/>
        </w:rPr>
        <w:t>to organisations</w:t>
      </w:r>
      <w:r w:rsidR="00996AE5" w:rsidRPr="00904130">
        <w:rPr>
          <w:rFonts w:asciiTheme="majorHAnsi" w:hAnsiTheme="majorHAnsi"/>
          <w:bCs/>
        </w:rPr>
        <w:t xml:space="preserve"> or Governments</w:t>
      </w:r>
      <w:r w:rsidR="001940EA" w:rsidRPr="00904130">
        <w:rPr>
          <w:rFonts w:asciiTheme="majorHAnsi" w:hAnsiTheme="majorHAnsi"/>
          <w:bCs/>
        </w:rPr>
        <w:t xml:space="preserve">.  </w:t>
      </w:r>
    </w:p>
    <w:p w14:paraId="32EA4E9E" w14:textId="77777777" w:rsidR="003324F2" w:rsidRPr="006C2479" w:rsidRDefault="003324F2" w:rsidP="00332974">
      <w:pPr>
        <w:pStyle w:val="Heading2"/>
        <w:jc w:val="both"/>
      </w:pPr>
      <w:r w:rsidRPr="006C2479">
        <w:t>REPORTING</w:t>
      </w:r>
    </w:p>
    <w:p w14:paraId="61D6E242" w14:textId="5B1C7923" w:rsidR="003324F2" w:rsidRPr="00904130" w:rsidRDefault="003324F2" w:rsidP="00332974">
      <w:pPr>
        <w:pStyle w:val="BodyText"/>
        <w:jc w:val="both"/>
        <w:rPr>
          <w:rFonts w:asciiTheme="majorHAnsi" w:hAnsiTheme="majorHAnsi"/>
          <w:bCs/>
        </w:rPr>
      </w:pPr>
      <w:r w:rsidRPr="00904130">
        <w:rPr>
          <w:rFonts w:asciiTheme="majorHAnsi" w:hAnsiTheme="majorHAnsi"/>
          <w:bCs/>
        </w:rPr>
        <w:t xml:space="preserve">Results under this indicator may be reported by bilateral, regional, </w:t>
      </w:r>
      <w:proofErr w:type="gramStart"/>
      <w:r w:rsidRPr="00904130">
        <w:rPr>
          <w:rFonts w:asciiTheme="majorHAnsi" w:hAnsiTheme="majorHAnsi"/>
          <w:bCs/>
        </w:rPr>
        <w:t>global</w:t>
      </w:r>
      <w:proofErr w:type="gramEnd"/>
      <w:r w:rsidRPr="00904130">
        <w:rPr>
          <w:rFonts w:asciiTheme="majorHAnsi" w:hAnsiTheme="majorHAnsi"/>
          <w:bCs/>
        </w:rPr>
        <w:t xml:space="preserve"> or multilateral programs.</w:t>
      </w:r>
      <w:r w:rsidR="00942AA9" w:rsidRPr="00904130">
        <w:rPr>
          <w:rFonts w:asciiTheme="majorHAnsi" w:hAnsiTheme="majorHAnsi"/>
          <w:bCs/>
        </w:rPr>
        <w:t xml:space="preserve"> For either grant or non-grant f</w:t>
      </w:r>
      <w:r w:rsidR="00B23F7D" w:rsidRPr="00904130">
        <w:rPr>
          <w:rFonts w:asciiTheme="majorHAnsi" w:hAnsiTheme="majorHAnsi"/>
          <w:bCs/>
        </w:rPr>
        <w:t>inanced ODA programs.</w:t>
      </w:r>
      <w:r w:rsidRPr="00904130">
        <w:rPr>
          <w:rFonts w:asciiTheme="majorHAnsi" w:hAnsiTheme="majorHAnsi"/>
          <w:bCs/>
        </w:rPr>
        <w:t xml:space="preserve"> </w:t>
      </w:r>
    </w:p>
    <w:p w14:paraId="0BB2D62C" w14:textId="77777777" w:rsidR="003324F2" w:rsidRPr="006C2479" w:rsidRDefault="003324F2" w:rsidP="00332974">
      <w:pPr>
        <w:pStyle w:val="Heading2"/>
        <w:jc w:val="both"/>
      </w:pPr>
      <w:r w:rsidRPr="006C2479">
        <w:t>Calculations</w:t>
      </w:r>
    </w:p>
    <w:p w14:paraId="0760DC0A" w14:textId="2949A4D0" w:rsidR="00B23F7D" w:rsidRDefault="00B12644" w:rsidP="00332974">
      <w:pPr>
        <w:pStyle w:val="BodyTex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For detailed explanation</w:t>
      </w:r>
      <w:r w:rsidR="0073686D">
        <w:rPr>
          <w:rFonts w:asciiTheme="majorHAnsi" w:hAnsiTheme="majorHAnsi"/>
        </w:rPr>
        <w:t xml:space="preserve"> and examples</w:t>
      </w:r>
      <w:r>
        <w:rPr>
          <w:rFonts w:asciiTheme="majorHAnsi" w:hAnsiTheme="majorHAnsi"/>
        </w:rPr>
        <w:t xml:space="preserve"> on how to calculate private finance mobilisation</w:t>
      </w:r>
      <w:r w:rsidR="00BF74E8">
        <w:rPr>
          <w:rFonts w:asciiTheme="majorHAnsi" w:hAnsiTheme="majorHAnsi"/>
        </w:rPr>
        <w:t xml:space="preserve"> for each instrument</w:t>
      </w:r>
      <w:r>
        <w:rPr>
          <w:rFonts w:asciiTheme="majorHAnsi" w:hAnsiTheme="majorHAnsi"/>
        </w:rPr>
        <w:t>, s</w:t>
      </w:r>
      <w:r w:rsidR="00B23F7D">
        <w:rPr>
          <w:rFonts w:asciiTheme="majorHAnsi" w:hAnsiTheme="majorHAnsi"/>
        </w:rPr>
        <w:t xml:space="preserve">ee OECD methodology </w:t>
      </w:r>
      <w:hyperlink r:id="rId11" w:history="1">
        <w:r w:rsidRPr="00B12644">
          <w:rPr>
            <w:rStyle w:val="Hyperlink"/>
            <w:rFonts w:asciiTheme="majorHAnsi" w:hAnsiTheme="majorHAnsi"/>
          </w:rPr>
          <w:t>here.</w:t>
        </w:r>
      </w:hyperlink>
    </w:p>
    <w:p w14:paraId="29265253" w14:textId="08C6C71A" w:rsidR="00E76A53" w:rsidRDefault="00E76A53" w:rsidP="00332974">
      <w:pPr>
        <w:pStyle w:val="BodyText"/>
        <w:jc w:val="both"/>
        <w:rPr>
          <w:rFonts w:asciiTheme="majorHAnsi" w:hAnsiTheme="majorHAnsi"/>
        </w:rPr>
      </w:pPr>
      <w:r w:rsidRPr="23BB50E8">
        <w:rPr>
          <w:rFonts w:asciiTheme="majorHAnsi" w:hAnsiTheme="majorHAnsi"/>
          <w:b/>
          <w:bCs/>
        </w:rPr>
        <w:t>Guarantees</w:t>
      </w:r>
      <w:r w:rsidR="008D46D7" w:rsidRPr="23BB50E8">
        <w:rPr>
          <w:rFonts w:asciiTheme="majorHAnsi" w:hAnsiTheme="majorHAnsi"/>
          <w:b/>
          <w:bCs/>
        </w:rPr>
        <w:t xml:space="preserve"> </w:t>
      </w:r>
      <w:r w:rsidR="008D46D7" w:rsidRPr="23BB50E8">
        <w:rPr>
          <w:rFonts w:asciiTheme="majorHAnsi" w:hAnsiTheme="majorHAnsi"/>
        </w:rPr>
        <w:t xml:space="preserve">– the implicit assumption is that the private investor would not have provided the loan, </w:t>
      </w:r>
      <w:proofErr w:type="gramStart"/>
      <w:r w:rsidR="008D46D7" w:rsidRPr="23BB50E8">
        <w:rPr>
          <w:rFonts w:asciiTheme="majorHAnsi" w:hAnsiTheme="majorHAnsi"/>
        </w:rPr>
        <w:t>equity</w:t>
      </w:r>
      <w:proofErr w:type="gramEnd"/>
      <w:r w:rsidR="008D46D7" w:rsidRPr="23BB50E8">
        <w:rPr>
          <w:rFonts w:asciiTheme="majorHAnsi" w:hAnsiTheme="majorHAnsi"/>
        </w:rPr>
        <w:t xml:space="preserve"> or other finance without the official guarantee. The amount mobilised by a guarantee is the face value of the instrument covered by the guarantee, irrespective of the exposure value of the guarantee.</w:t>
      </w:r>
      <w:r w:rsidR="0073686D" w:rsidRPr="23BB50E8">
        <w:rPr>
          <w:rFonts w:asciiTheme="majorHAnsi" w:hAnsiTheme="majorHAnsi"/>
        </w:rPr>
        <w:t xml:space="preserve"> In the case of co-guarantees, the private finance mobilised is attributed to all official guarantors, pro-rata according to the amount guaranteed by each. The role played by sub-guarantors is out of scope of the measure.</w:t>
      </w:r>
    </w:p>
    <w:p w14:paraId="4C7243C8" w14:textId="02289010" w:rsidR="00CE1AE2" w:rsidRDefault="00E76A53" w:rsidP="00332974">
      <w:pPr>
        <w:pStyle w:val="BodyText"/>
        <w:jc w:val="both"/>
        <w:rPr>
          <w:rFonts w:asciiTheme="majorHAnsi" w:hAnsiTheme="majorHAnsi"/>
        </w:rPr>
      </w:pPr>
      <w:r w:rsidRPr="23BB50E8">
        <w:rPr>
          <w:rFonts w:asciiTheme="majorHAnsi" w:hAnsiTheme="majorHAnsi"/>
          <w:b/>
          <w:bCs/>
        </w:rPr>
        <w:t>Syndicated</w:t>
      </w:r>
      <w:r w:rsidRPr="23BB50E8">
        <w:rPr>
          <w:rFonts w:asciiTheme="majorHAnsi" w:hAnsiTheme="majorHAnsi"/>
        </w:rPr>
        <w:t xml:space="preserve"> </w:t>
      </w:r>
      <w:r w:rsidRPr="23BB50E8">
        <w:rPr>
          <w:rFonts w:asciiTheme="majorHAnsi" w:hAnsiTheme="majorHAnsi"/>
          <w:b/>
          <w:bCs/>
        </w:rPr>
        <w:t>loans</w:t>
      </w:r>
      <w:r w:rsidR="00AD2188" w:rsidRPr="23BB50E8">
        <w:rPr>
          <w:rFonts w:asciiTheme="majorHAnsi" w:hAnsiTheme="majorHAnsi"/>
        </w:rPr>
        <w:t xml:space="preserve"> –</w:t>
      </w:r>
      <w:r w:rsidR="00690AB5">
        <w:rPr>
          <w:rFonts w:asciiTheme="majorHAnsi" w:hAnsiTheme="majorHAnsi"/>
        </w:rPr>
        <w:t xml:space="preserve"> </w:t>
      </w:r>
      <w:r w:rsidR="00AD2188" w:rsidRPr="23BB50E8">
        <w:rPr>
          <w:rFonts w:asciiTheme="majorHAnsi" w:hAnsiTheme="majorHAnsi"/>
        </w:rPr>
        <w:t xml:space="preserve">The implicit assumption is that the private investor would not have provided the loan without the official sector involvement as an arranger or as a participant. The amount mobilised is attributed to the arranger and the participant(s) as follows: </w:t>
      </w:r>
    </w:p>
    <w:p w14:paraId="2A714276" w14:textId="57EEE1A8" w:rsidR="00CE1AE2" w:rsidRDefault="00AD2188" w:rsidP="00332974">
      <w:pPr>
        <w:pStyle w:val="BodyText"/>
        <w:numPr>
          <w:ilvl w:val="0"/>
          <w:numId w:val="2"/>
        </w:numPr>
        <w:jc w:val="both"/>
        <w:rPr>
          <w:rFonts w:asciiTheme="majorHAnsi" w:hAnsiTheme="majorHAnsi"/>
        </w:rPr>
      </w:pPr>
      <w:r w:rsidRPr="00AD2188">
        <w:rPr>
          <w:rFonts w:asciiTheme="majorHAnsi" w:hAnsiTheme="majorHAnsi"/>
        </w:rPr>
        <w:t xml:space="preserve">50% to the official </w:t>
      </w:r>
      <w:proofErr w:type="gramStart"/>
      <w:r w:rsidRPr="00AD2188">
        <w:rPr>
          <w:rFonts w:asciiTheme="majorHAnsi" w:hAnsiTheme="majorHAnsi"/>
        </w:rPr>
        <w:t>arranger;</w:t>
      </w:r>
      <w:proofErr w:type="gramEnd"/>
      <w:r w:rsidRPr="00AD2188">
        <w:rPr>
          <w:rFonts w:asciiTheme="majorHAnsi" w:hAnsiTheme="majorHAnsi"/>
        </w:rPr>
        <w:t xml:space="preserve"> </w:t>
      </w:r>
    </w:p>
    <w:p w14:paraId="3E7A9803" w14:textId="5ACAA037" w:rsidR="00E76A53" w:rsidRPr="00AD2188" w:rsidRDefault="00AD2188" w:rsidP="00332974">
      <w:pPr>
        <w:pStyle w:val="BodyText"/>
        <w:numPr>
          <w:ilvl w:val="0"/>
          <w:numId w:val="2"/>
        </w:numPr>
        <w:jc w:val="both"/>
        <w:rPr>
          <w:rFonts w:asciiTheme="majorHAnsi" w:hAnsiTheme="majorHAnsi"/>
        </w:rPr>
      </w:pPr>
      <w:r w:rsidRPr="00AD2188">
        <w:rPr>
          <w:rFonts w:asciiTheme="majorHAnsi" w:hAnsiTheme="majorHAnsi"/>
        </w:rPr>
        <w:t>The remainder 50% to all Participant(s), to all official participant(s), pro-rata to their respective financing share in the syndication.</w:t>
      </w:r>
    </w:p>
    <w:p w14:paraId="1132A14F" w14:textId="408A3808" w:rsidR="00E67B86" w:rsidRDefault="00E67B86" w:rsidP="00332974">
      <w:pPr>
        <w:pStyle w:val="BodyText"/>
        <w:jc w:val="both"/>
        <w:rPr>
          <w:rFonts w:asciiTheme="majorHAnsi" w:hAnsiTheme="majorHAnsi"/>
        </w:rPr>
      </w:pPr>
      <w:r w:rsidRPr="00E67B86">
        <w:rPr>
          <w:rFonts w:asciiTheme="majorHAnsi" w:hAnsiTheme="majorHAnsi"/>
        </w:rPr>
        <w:t>In the case of a private arranger, 100% of the amount mobilised is attributed to the official participants</w:t>
      </w:r>
      <w:r w:rsidR="00915266">
        <w:rPr>
          <w:rFonts w:asciiTheme="majorHAnsi" w:hAnsiTheme="majorHAnsi"/>
        </w:rPr>
        <w:t xml:space="preserve"> on a pro rata basis</w:t>
      </w:r>
      <w:r w:rsidRPr="00E67B86">
        <w:rPr>
          <w:rFonts w:asciiTheme="majorHAnsi" w:hAnsiTheme="majorHAnsi"/>
        </w:rPr>
        <w:t>.</w:t>
      </w:r>
    </w:p>
    <w:p w14:paraId="29112D26" w14:textId="069331EC" w:rsidR="00477028" w:rsidRDefault="00E76A53" w:rsidP="00332974">
      <w:pPr>
        <w:pStyle w:val="BodyText"/>
        <w:jc w:val="both"/>
        <w:rPr>
          <w:rFonts w:asciiTheme="majorHAnsi" w:hAnsiTheme="majorHAnsi"/>
        </w:rPr>
      </w:pPr>
      <w:r w:rsidRPr="00EC61A3">
        <w:rPr>
          <w:rFonts w:asciiTheme="majorHAnsi" w:hAnsiTheme="majorHAnsi"/>
          <w:b/>
          <w:bCs/>
        </w:rPr>
        <w:t>Shares in collective investment vehicles</w:t>
      </w:r>
      <w:r w:rsidR="00EC61A3" w:rsidRPr="00EC61A3">
        <w:rPr>
          <w:rFonts w:asciiTheme="majorHAnsi" w:hAnsiTheme="majorHAnsi"/>
          <w:b/>
          <w:bCs/>
        </w:rPr>
        <w:t xml:space="preserve"> (CIVs)</w:t>
      </w:r>
      <w:r w:rsidR="00E67B86" w:rsidRPr="00EC61A3">
        <w:rPr>
          <w:rFonts w:asciiTheme="majorHAnsi" w:hAnsiTheme="majorHAnsi"/>
          <w:b/>
          <w:bCs/>
        </w:rPr>
        <w:t xml:space="preserve"> </w:t>
      </w:r>
      <w:r w:rsidR="00EC61A3" w:rsidRPr="00EC61A3">
        <w:rPr>
          <w:rFonts w:asciiTheme="majorHAnsi" w:hAnsiTheme="majorHAnsi"/>
          <w:b/>
          <w:bCs/>
        </w:rPr>
        <w:t>–</w:t>
      </w:r>
      <w:r w:rsidR="00EC61A3" w:rsidRPr="00EC61A3">
        <w:rPr>
          <w:rFonts w:asciiTheme="majorHAnsi" w:hAnsiTheme="majorHAnsi"/>
        </w:rPr>
        <w:t xml:space="preserve">The amount mobilised through CIVs is defined as the total private investment committed during the fund-raising period. When multiple official institutions invest in CIVs, a pro-rata attribution of the amounts mobilised is needed. The calculation method therefore </w:t>
      </w:r>
      <w:proofErr w:type="gramStart"/>
      <w:r w:rsidR="00EC61A3" w:rsidRPr="00EC61A3">
        <w:rPr>
          <w:rFonts w:asciiTheme="majorHAnsi" w:hAnsiTheme="majorHAnsi"/>
        </w:rPr>
        <w:t>takes into account</w:t>
      </w:r>
      <w:proofErr w:type="gramEnd"/>
      <w:r w:rsidR="00EC61A3" w:rsidRPr="00EC61A3">
        <w:rPr>
          <w:rFonts w:asciiTheme="majorHAnsi" w:hAnsiTheme="majorHAnsi"/>
        </w:rPr>
        <w:t xml:space="preserve"> the number of official investors involved in the CIV: </w:t>
      </w:r>
    </w:p>
    <w:p w14:paraId="7DDBDA2A" w14:textId="4BCC4C94" w:rsidR="00477028" w:rsidRDefault="00EC61A3" w:rsidP="00332974">
      <w:pPr>
        <w:pStyle w:val="BodyText"/>
        <w:numPr>
          <w:ilvl w:val="0"/>
          <w:numId w:val="2"/>
        </w:numPr>
        <w:jc w:val="both"/>
        <w:rPr>
          <w:rFonts w:asciiTheme="majorHAnsi" w:hAnsiTheme="majorHAnsi"/>
        </w:rPr>
      </w:pPr>
      <w:r w:rsidRPr="00EC61A3">
        <w:rPr>
          <w:rFonts w:asciiTheme="majorHAnsi" w:hAnsiTheme="majorHAnsi"/>
        </w:rPr>
        <w:t xml:space="preserve">50% of the amounts mobilised are attributed to each official participant in the riskiest </w:t>
      </w:r>
      <w:proofErr w:type="gramStart"/>
      <w:r w:rsidRPr="00EC61A3">
        <w:rPr>
          <w:rFonts w:asciiTheme="majorHAnsi" w:hAnsiTheme="majorHAnsi"/>
        </w:rPr>
        <w:t>tranche</w:t>
      </w:r>
      <w:r w:rsidR="00477028">
        <w:rPr>
          <w:rFonts w:asciiTheme="majorHAnsi" w:hAnsiTheme="majorHAnsi"/>
        </w:rPr>
        <w:t xml:space="preserve"> </w:t>
      </w:r>
      <w:r w:rsidRPr="00EC61A3">
        <w:rPr>
          <w:rFonts w:asciiTheme="majorHAnsi" w:hAnsiTheme="majorHAnsi"/>
        </w:rPr>
        <w:t xml:space="preserve"> of</w:t>
      </w:r>
      <w:proofErr w:type="gramEnd"/>
      <w:r w:rsidRPr="00EC61A3">
        <w:rPr>
          <w:rFonts w:asciiTheme="majorHAnsi" w:hAnsiTheme="majorHAnsi"/>
        </w:rPr>
        <w:t xml:space="preserve"> the CIV equally. The rationale here is that first-loss investors, or investors that otherwise carry higher risks than other equity or more senior investors, have the highest impact on the mobilisation of private investors. </w:t>
      </w:r>
    </w:p>
    <w:p w14:paraId="03B16502" w14:textId="30476E08" w:rsidR="00EC61A3" w:rsidRDefault="00EC61A3" w:rsidP="00332974">
      <w:pPr>
        <w:pStyle w:val="BodyText"/>
        <w:numPr>
          <w:ilvl w:val="0"/>
          <w:numId w:val="2"/>
        </w:numPr>
        <w:jc w:val="both"/>
        <w:rPr>
          <w:rFonts w:asciiTheme="majorHAnsi" w:hAnsiTheme="majorHAnsi"/>
        </w:rPr>
      </w:pPr>
      <w:r w:rsidRPr="00EC61A3">
        <w:rPr>
          <w:rFonts w:asciiTheme="majorHAnsi" w:hAnsiTheme="majorHAnsi"/>
        </w:rPr>
        <w:t>The remaining 50% are attributed to all official participants pro-rata to the official financiers’ investment share in the CIV at the moment of the private investment, regardless of the risk taken (</w:t>
      </w:r>
      <w:proofErr w:type="gramStart"/>
      <w:r w:rsidRPr="00EC61A3">
        <w:rPr>
          <w:rFonts w:asciiTheme="majorHAnsi" w:hAnsiTheme="majorHAnsi"/>
        </w:rPr>
        <w:t>i.e.</w:t>
      </w:r>
      <w:proofErr w:type="gramEnd"/>
      <w:r w:rsidRPr="00EC61A3">
        <w:rPr>
          <w:rFonts w:asciiTheme="majorHAnsi" w:hAnsiTheme="majorHAnsi"/>
        </w:rPr>
        <w:t xml:space="preserve"> including investors in both the riskiest and mezzanine/senior tranche). For practical reasons, the maximum fund-raising period during which official investments in both close- and open</w:t>
      </w:r>
      <w:r w:rsidR="007A07C5">
        <w:rPr>
          <w:rFonts w:asciiTheme="majorHAnsi" w:hAnsiTheme="majorHAnsi"/>
        </w:rPr>
        <w:t xml:space="preserve"> </w:t>
      </w:r>
      <w:r w:rsidRPr="00EC61A3">
        <w:rPr>
          <w:rFonts w:asciiTheme="majorHAnsi" w:hAnsiTheme="majorHAnsi"/>
        </w:rPr>
        <w:t>ended CIVs can claim to have mobilised private investments is five years.</w:t>
      </w:r>
    </w:p>
    <w:p w14:paraId="216C2448" w14:textId="77777777" w:rsidR="00996AE5" w:rsidRDefault="00E76A53" w:rsidP="00332974">
      <w:pPr>
        <w:pStyle w:val="BodyText"/>
        <w:jc w:val="both"/>
        <w:rPr>
          <w:rFonts w:asciiTheme="majorHAnsi" w:hAnsiTheme="majorHAnsi"/>
        </w:rPr>
      </w:pPr>
      <w:r w:rsidRPr="00996AE5">
        <w:rPr>
          <w:rFonts w:asciiTheme="majorHAnsi" w:hAnsiTheme="majorHAnsi"/>
          <w:b/>
          <w:bCs/>
        </w:rPr>
        <w:t>Direct investment in companies</w:t>
      </w:r>
      <w:r w:rsidR="00996AE5">
        <w:rPr>
          <w:rFonts w:asciiTheme="majorHAnsi" w:hAnsiTheme="majorHAnsi"/>
        </w:rPr>
        <w:t xml:space="preserve"> - </w:t>
      </w:r>
      <w:r w:rsidR="00996AE5" w:rsidRPr="00996AE5">
        <w:rPr>
          <w:rFonts w:asciiTheme="majorHAnsi" w:hAnsiTheme="majorHAnsi"/>
        </w:rPr>
        <w:t xml:space="preserve">The general assumption is that the private sector would not have invested </w:t>
      </w:r>
      <w:proofErr w:type="gramStart"/>
      <w:r w:rsidR="00996AE5" w:rsidRPr="00996AE5">
        <w:rPr>
          <w:rFonts w:asciiTheme="majorHAnsi" w:hAnsiTheme="majorHAnsi"/>
        </w:rPr>
        <w:t>in a given</w:t>
      </w:r>
      <w:proofErr w:type="gramEnd"/>
      <w:r w:rsidR="00996AE5" w:rsidRPr="00996AE5">
        <w:rPr>
          <w:rFonts w:asciiTheme="majorHAnsi" w:hAnsiTheme="majorHAnsi"/>
        </w:rPr>
        <w:t xml:space="preserve"> company in a developing country without the official sector involvement. It is further </w:t>
      </w:r>
      <w:r w:rsidR="00996AE5" w:rsidRPr="00996AE5">
        <w:rPr>
          <w:rFonts w:asciiTheme="majorHAnsi" w:hAnsiTheme="majorHAnsi"/>
        </w:rPr>
        <w:lastRenderedPageBreak/>
        <w:t xml:space="preserve">assumed that equity investors, </w:t>
      </w:r>
      <w:proofErr w:type="gramStart"/>
      <w:r w:rsidR="00996AE5" w:rsidRPr="00996AE5">
        <w:rPr>
          <w:rFonts w:asciiTheme="majorHAnsi" w:hAnsiTheme="majorHAnsi"/>
        </w:rPr>
        <w:t>regardless</w:t>
      </w:r>
      <w:proofErr w:type="gramEnd"/>
      <w:r w:rsidR="00996AE5" w:rsidRPr="00996AE5">
        <w:rPr>
          <w:rFonts w:asciiTheme="majorHAnsi" w:hAnsiTheme="majorHAnsi"/>
        </w:rPr>
        <w:t xml:space="preserve"> whether they represent official or private entities, are exposed to higher risk than mezzanine and debt investors. Building on the above general assumption, it is further assumed that: </w:t>
      </w:r>
    </w:p>
    <w:p w14:paraId="10D39F79" w14:textId="77777777" w:rsidR="00996AE5" w:rsidRDefault="00996AE5" w:rsidP="00332974">
      <w:pPr>
        <w:pStyle w:val="BodyTex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Pr="00996AE5">
        <w:rPr>
          <w:rFonts w:asciiTheme="majorHAnsi" w:hAnsiTheme="majorHAnsi"/>
        </w:rPr>
        <w:t xml:space="preserve">fficial investment in equity has a higher mobilisation impact on private finance than official investment in mezzanine or senior debt. </w:t>
      </w:r>
    </w:p>
    <w:p w14:paraId="7E993DB7" w14:textId="77777777" w:rsidR="00996AE5" w:rsidRDefault="00996AE5" w:rsidP="00332974">
      <w:pPr>
        <w:pStyle w:val="BodyText"/>
        <w:numPr>
          <w:ilvl w:val="0"/>
          <w:numId w:val="2"/>
        </w:numPr>
        <w:jc w:val="both"/>
        <w:rPr>
          <w:rFonts w:asciiTheme="majorHAnsi" w:hAnsiTheme="majorHAnsi"/>
        </w:rPr>
      </w:pPr>
      <w:r w:rsidRPr="00996AE5">
        <w:rPr>
          <w:rFonts w:asciiTheme="majorHAnsi" w:hAnsiTheme="majorHAnsi"/>
        </w:rPr>
        <w:t xml:space="preserve">Mezzanine and senior debt investors are exposed to the same level of risk, regardless of the presence of equity providers, </w:t>
      </w:r>
      <w:proofErr w:type="gramStart"/>
      <w:r w:rsidRPr="00996AE5">
        <w:rPr>
          <w:rFonts w:asciiTheme="majorHAnsi" w:hAnsiTheme="majorHAnsi"/>
        </w:rPr>
        <w:t>i.e.</w:t>
      </w:r>
      <w:proofErr w:type="gramEnd"/>
      <w:r w:rsidRPr="00996AE5">
        <w:rPr>
          <w:rFonts w:asciiTheme="majorHAnsi" w:hAnsiTheme="majorHAnsi"/>
        </w:rPr>
        <w:t xml:space="preserve"> they are assumed to have the same probability of default</w:t>
      </w:r>
      <w:r>
        <w:rPr>
          <w:rFonts w:asciiTheme="majorHAnsi" w:hAnsiTheme="majorHAnsi"/>
        </w:rPr>
        <w:t xml:space="preserve">. </w:t>
      </w:r>
    </w:p>
    <w:p w14:paraId="66970432" w14:textId="77777777" w:rsidR="00996AE5" w:rsidRDefault="00996AE5" w:rsidP="00332974">
      <w:pPr>
        <w:pStyle w:val="BodyText"/>
        <w:jc w:val="both"/>
        <w:rPr>
          <w:rFonts w:asciiTheme="majorHAnsi" w:hAnsiTheme="majorHAnsi"/>
        </w:rPr>
      </w:pPr>
      <w:r w:rsidRPr="00996AE5">
        <w:rPr>
          <w:rFonts w:asciiTheme="majorHAnsi" w:hAnsiTheme="majorHAnsi"/>
        </w:rPr>
        <w:t xml:space="preserve">Consequently: </w:t>
      </w:r>
    </w:p>
    <w:p w14:paraId="47E86D4F" w14:textId="5FD030DA" w:rsidR="00996AE5" w:rsidRDefault="00996AE5" w:rsidP="00332974">
      <w:pPr>
        <w:pStyle w:val="BodyText"/>
        <w:numPr>
          <w:ilvl w:val="0"/>
          <w:numId w:val="2"/>
        </w:numPr>
        <w:jc w:val="both"/>
        <w:rPr>
          <w:rFonts w:asciiTheme="majorHAnsi" w:hAnsiTheme="majorHAnsi"/>
        </w:rPr>
      </w:pPr>
      <w:r w:rsidRPr="00996AE5">
        <w:rPr>
          <w:rFonts w:asciiTheme="majorHAnsi" w:hAnsiTheme="majorHAnsi"/>
        </w:rPr>
        <w:t xml:space="preserve">50% of the amounts mobilised from the private sector are attributed, equally, to official investors according to the risk taken, </w:t>
      </w:r>
      <w:proofErr w:type="gramStart"/>
      <w:r w:rsidRPr="00996AE5">
        <w:rPr>
          <w:rFonts w:asciiTheme="majorHAnsi" w:hAnsiTheme="majorHAnsi"/>
        </w:rPr>
        <w:t>i.e.</w:t>
      </w:r>
      <w:proofErr w:type="gramEnd"/>
      <w:r w:rsidRPr="00996AE5">
        <w:rPr>
          <w:rFonts w:asciiTheme="majorHAnsi" w:hAnsiTheme="majorHAnsi"/>
        </w:rPr>
        <w:t xml:space="preserve"> to the official investors exposed to higher risk. Therefore, in cases where several official actors take different level of risk – </w:t>
      </w:r>
      <w:proofErr w:type="gramStart"/>
      <w:r w:rsidRPr="00996AE5">
        <w:rPr>
          <w:rFonts w:asciiTheme="majorHAnsi" w:hAnsiTheme="majorHAnsi"/>
        </w:rPr>
        <w:t>i.e.</w:t>
      </w:r>
      <w:proofErr w:type="gramEnd"/>
      <w:r w:rsidRPr="00996AE5">
        <w:rPr>
          <w:rFonts w:asciiTheme="majorHAnsi" w:hAnsiTheme="majorHAnsi"/>
        </w:rPr>
        <w:t xml:space="preserve"> by investing in both equity and mezzanine/senior debt – these 50% are attributed to equity investors only</w:t>
      </w:r>
      <w:r>
        <w:rPr>
          <w:rFonts w:asciiTheme="majorHAnsi" w:hAnsiTheme="majorHAnsi"/>
        </w:rPr>
        <w:t>.</w:t>
      </w:r>
    </w:p>
    <w:p w14:paraId="2E1B97E5" w14:textId="7C7C4ED0" w:rsidR="00E76A53" w:rsidRDefault="00996AE5" w:rsidP="00332974">
      <w:pPr>
        <w:pStyle w:val="BodyText"/>
        <w:numPr>
          <w:ilvl w:val="0"/>
          <w:numId w:val="2"/>
        </w:numPr>
        <w:jc w:val="both"/>
        <w:rPr>
          <w:rFonts w:asciiTheme="majorHAnsi" w:hAnsiTheme="majorHAnsi"/>
        </w:rPr>
      </w:pPr>
      <w:r w:rsidRPr="00996AE5">
        <w:rPr>
          <w:rFonts w:asciiTheme="majorHAnsi" w:hAnsiTheme="majorHAnsi"/>
        </w:rPr>
        <w:t>The remaining 50% are attributed among all official investors pro-rata to the official financiers’ investment share in the company, at the time when the private sector is investing, and regardless of the risk profile of the investment.</w:t>
      </w:r>
    </w:p>
    <w:p w14:paraId="63B3718E" w14:textId="2BB45E8C" w:rsidR="00996AE5" w:rsidRPr="00996AE5" w:rsidRDefault="00996AE5" w:rsidP="00332974">
      <w:pPr>
        <w:pStyle w:val="BodyTex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Pr="009C4CC7">
        <w:rPr>
          <w:rFonts w:asciiTheme="majorHAnsi" w:hAnsiTheme="majorHAnsi"/>
        </w:rPr>
        <w:t>obilisation is counted for the fundraising event in which the Australian development program is par</w:t>
      </w:r>
      <w:r>
        <w:rPr>
          <w:rFonts w:asciiTheme="majorHAnsi" w:hAnsiTheme="majorHAnsi"/>
        </w:rPr>
        <w:t xml:space="preserve">ticipating and the subsequent fundraising event. Private finance mobilisation is not reportable beyond this. For example, if a development program participates in a seed funding stage for a company, then private finance mobilised can be reported for the seed fundraising and subsequent series A round. And not for any further fundraising events (for example series B or C).  </w:t>
      </w:r>
      <w:r w:rsidRPr="009C4CC7">
        <w:rPr>
          <w:rFonts w:asciiTheme="majorHAnsi" w:hAnsiTheme="majorHAnsi"/>
        </w:rPr>
        <w:t xml:space="preserve"> </w:t>
      </w:r>
    </w:p>
    <w:p w14:paraId="577006BA" w14:textId="6C2B5228" w:rsidR="00E76A53" w:rsidRDefault="00E76A53" w:rsidP="00332974">
      <w:pPr>
        <w:pStyle w:val="BodyText"/>
        <w:jc w:val="both"/>
        <w:rPr>
          <w:rFonts w:asciiTheme="majorHAnsi" w:hAnsiTheme="majorHAnsi"/>
        </w:rPr>
      </w:pPr>
      <w:r w:rsidRPr="00110656">
        <w:rPr>
          <w:rFonts w:asciiTheme="majorHAnsi" w:hAnsiTheme="majorHAnsi"/>
          <w:b/>
          <w:bCs/>
        </w:rPr>
        <w:t xml:space="preserve">Credit lines </w:t>
      </w:r>
      <w:r w:rsidR="003618CB" w:rsidRPr="00110656">
        <w:rPr>
          <w:rFonts w:asciiTheme="majorHAnsi" w:hAnsiTheme="majorHAnsi"/>
          <w:b/>
          <w:bCs/>
        </w:rPr>
        <w:t>-</w:t>
      </w:r>
      <w:r w:rsidR="003618CB">
        <w:rPr>
          <w:rFonts w:asciiTheme="majorHAnsi" w:hAnsiTheme="majorHAnsi"/>
        </w:rPr>
        <w:t xml:space="preserve"> </w:t>
      </w:r>
      <w:r w:rsidR="0051045B" w:rsidRPr="00110656">
        <w:rPr>
          <w:rFonts w:asciiTheme="majorHAnsi" w:hAnsiTheme="majorHAnsi"/>
        </w:rPr>
        <w:t>I</w:t>
      </w:r>
      <w:r w:rsidR="003618CB" w:rsidRPr="00110656">
        <w:rPr>
          <w:rFonts w:asciiTheme="majorHAnsi" w:hAnsiTheme="majorHAnsi"/>
        </w:rPr>
        <w:t>t is assumed that the private sector (</w:t>
      </w:r>
      <w:proofErr w:type="gramStart"/>
      <w:r w:rsidR="003618CB" w:rsidRPr="00110656">
        <w:rPr>
          <w:rFonts w:asciiTheme="majorHAnsi" w:hAnsiTheme="majorHAnsi"/>
        </w:rPr>
        <w:t>i.e.</w:t>
      </w:r>
      <w:proofErr w:type="gramEnd"/>
      <w:r w:rsidR="003618CB" w:rsidRPr="00110656">
        <w:rPr>
          <w:rFonts w:asciiTheme="majorHAnsi" w:hAnsiTheme="majorHAnsi"/>
        </w:rPr>
        <w:t xml:space="preserve"> top-up financing by private LFIs</w:t>
      </w:r>
      <w:r w:rsidR="00996BA3">
        <w:rPr>
          <w:rFonts w:asciiTheme="majorHAnsi" w:hAnsiTheme="majorHAnsi"/>
        </w:rPr>
        <w:t xml:space="preserve"> (Local Finance Institution)</w:t>
      </w:r>
      <w:r w:rsidR="003618CB" w:rsidRPr="00110656">
        <w:rPr>
          <w:rFonts w:asciiTheme="majorHAnsi" w:hAnsiTheme="majorHAnsi"/>
        </w:rPr>
        <w:t xml:space="preserve">, whether originating as well as private end-borrowers’ equity) would not </w:t>
      </w:r>
      <w:r w:rsidR="0051045B" w:rsidRPr="00110656">
        <w:rPr>
          <w:rFonts w:asciiTheme="majorHAnsi" w:hAnsiTheme="majorHAnsi"/>
        </w:rPr>
        <w:t>be</w:t>
      </w:r>
      <w:r w:rsidR="003618CB" w:rsidRPr="00110656">
        <w:rPr>
          <w:rFonts w:asciiTheme="majorHAnsi" w:hAnsiTheme="majorHAnsi"/>
        </w:rPr>
        <w:t xml:space="preserve"> invested without the credit line provided by the official sector. </w:t>
      </w:r>
      <w:r w:rsidR="00763D56">
        <w:rPr>
          <w:rFonts w:asciiTheme="majorHAnsi" w:hAnsiTheme="majorHAnsi"/>
        </w:rPr>
        <w:t>T</w:t>
      </w:r>
      <w:r w:rsidR="003618CB" w:rsidRPr="00110656">
        <w:rPr>
          <w:rFonts w:asciiTheme="majorHAnsi" w:hAnsiTheme="majorHAnsi"/>
        </w:rPr>
        <w:t>he total private finance mobilised is composed of</w:t>
      </w:r>
      <w:r w:rsidR="005F10B4">
        <w:rPr>
          <w:rFonts w:asciiTheme="majorHAnsi" w:hAnsiTheme="majorHAnsi"/>
        </w:rPr>
        <w:t xml:space="preserve"> the addition of</w:t>
      </w:r>
      <w:r w:rsidR="003618CB" w:rsidRPr="00110656">
        <w:rPr>
          <w:rFonts w:asciiTheme="majorHAnsi" w:hAnsiTheme="majorHAnsi"/>
        </w:rPr>
        <w:t>:</w:t>
      </w:r>
    </w:p>
    <w:p w14:paraId="0371C8E5" w14:textId="032E06EB" w:rsidR="00110656" w:rsidRPr="00110656" w:rsidRDefault="00110656" w:rsidP="00332974">
      <w:pPr>
        <w:pStyle w:val="BodyText"/>
        <w:numPr>
          <w:ilvl w:val="0"/>
          <w:numId w:val="2"/>
        </w:numPr>
        <w:jc w:val="both"/>
        <w:rPr>
          <w:rFonts w:asciiTheme="majorHAnsi" w:hAnsiTheme="majorHAnsi"/>
        </w:rPr>
      </w:pPr>
      <w:r w:rsidRPr="00110656">
        <w:rPr>
          <w:rFonts w:asciiTheme="majorHAnsi" w:hAnsiTheme="majorHAnsi"/>
        </w:rPr>
        <w:t xml:space="preserve">Top-up funds from the LFI (in the case of a private LFI), including additional/external private funds raised by the LFI, and first level of </w:t>
      </w:r>
      <w:r w:rsidR="007F3B0E" w:rsidRPr="00110656">
        <w:rPr>
          <w:rFonts w:asciiTheme="majorHAnsi" w:hAnsiTheme="majorHAnsi"/>
        </w:rPr>
        <w:t>mobilisation.</w:t>
      </w:r>
      <w:r w:rsidRPr="00110656">
        <w:rPr>
          <w:rFonts w:asciiTheme="majorHAnsi" w:hAnsiTheme="majorHAnsi"/>
        </w:rPr>
        <w:t xml:space="preserve"> </w:t>
      </w:r>
    </w:p>
    <w:p w14:paraId="7981836C" w14:textId="0689F532" w:rsidR="00BA0731" w:rsidRDefault="005F10B4" w:rsidP="00332974">
      <w:pPr>
        <w:pStyle w:val="BodyTex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110656" w:rsidRPr="00110656">
        <w:rPr>
          <w:rFonts w:asciiTheme="majorHAnsi" w:hAnsiTheme="majorHAnsi"/>
        </w:rPr>
        <w:t>quity investments by the private end-borrowers, calculated using the average end-borrowers’ equity.</w:t>
      </w:r>
    </w:p>
    <w:p w14:paraId="08B723DB" w14:textId="175C148A" w:rsidR="00BA0731" w:rsidRDefault="004F2C10" w:rsidP="00332974">
      <w:pPr>
        <w:pStyle w:val="BodyText"/>
        <w:jc w:val="both"/>
        <w:rPr>
          <w:rFonts w:asciiTheme="majorHAnsi" w:hAnsiTheme="majorHAnsi"/>
        </w:rPr>
      </w:pPr>
      <w:r w:rsidRPr="004F2C10">
        <w:rPr>
          <w:rFonts w:asciiTheme="majorHAnsi" w:hAnsiTheme="majorHAnsi"/>
        </w:rPr>
        <w:t>The private finance mobilised</w:t>
      </w:r>
      <w:r>
        <w:rPr>
          <w:rFonts w:asciiTheme="majorHAnsi" w:hAnsiTheme="majorHAnsi"/>
        </w:rPr>
        <w:t xml:space="preserve"> for each official </w:t>
      </w:r>
      <w:r w:rsidR="007723C7">
        <w:rPr>
          <w:rFonts w:asciiTheme="majorHAnsi" w:hAnsiTheme="majorHAnsi"/>
        </w:rPr>
        <w:t xml:space="preserve">creditor </w:t>
      </w:r>
      <w:r w:rsidRPr="004F2C10">
        <w:rPr>
          <w:rFonts w:asciiTheme="majorHAnsi" w:hAnsiTheme="majorHAnsi"/>
        </w:rPr>
        <w:t>is attributed pro-rata to the financial share of</w:t>
      </w:r>
      <w:r w:rsidR="007723C7">
        <w:rPr>
          <w:rFonts w:asciiTheme="majorHAnsi" w:hAnsiTheme="majorHAnsi"/>
        </w:rPr>
        <w:t xml:space="preserve"> all</w:t>
      </w:r>
      <w:r w:rsidRPr="004F2C10">
        <w:rPr>
          <w:rFonts w:asciiTheme="majorHAnsi" w:hAnsiTheme="majorHAnsi"/>
        </w:rPr>
        <w:t xml:space="preserve"> official credit</w:t>
      </w:r>
      <w:r>
        <w:rPr>
          <w:rFonts w:asciiTheme="majorHAnsi" w:hAnsiTheme="majorHAnsi"/>
        </w:rPr>
        <w:t xml:space="preserve">. </w:t>
      </w:r>
    </w:p>
    <w:p w14:paraId="3D929072" w14:textId="77777777" w:rsidR="00054AF6" w:rsidRDefault="00E76A53" w:rsidP="00332974">
      <w:pPr>
        <w:pStyle w:val="BodyText"/>
        <w:jc w:val="both"/>
        <w:rPr>
          <w:rFonts w:asciiTheme="majorHAnsi" w:hAnsiTheme="majorHAnsi"/>
        </w:rPr>
      </w:pPr>
      <w:r w:rsidRPr="003C0066">
        <w:rPr>
          <w:rFonts w:asciiTheme="majorHAnsi" w:hAnsiTheme="majorHAnsi"/>
          <w:b/>
          <w:bCs/>
        </w:rPr>
        <w:t>Simple co-financing arrangements</w:t>
      </w:r>
      <w:r w:rsidR="00054AF6">
        <w:rPr>
          <w:rFonts w:asciiTheme="majorHAnsi" w:hAnsiTheme="majorHAnsi"/>
        </w:rPr>
        <w:t xml:space="preserve"> - </w:t>
      </w:r>
      <w:r w:rsidR="00054AF6" w:rsidRPr="00054AF6">
        <w:rPr>
          <w:rFonts w:asciiTheme="majorHAnsi" w:hAnsiTheme="majorHAnsi"/>
        </w:rPr>
        <w:t>A causal link between a standard grant or loan and a private co-investment is established only if it can be demonstrated (</w:t>
      </w:r>
      <w:proofErr w:type="gramStart"/>
      <w:r w:rsidR="00054AF6" w:rsidRPr="00054AF6">
        <w:rPr>
          <w:rFonts w:asciiTheme="majorHAnsi" w:hAnsiTheme="majorHAnsi"/>
        </w:rPr>
        <w:t>e.g.</w:t>
      </w:r>
      <w:proofErr w:type="gramEnd"/>
      <w:r w:rsidR="00054AF6" w:rsidRPr="00054AF6">
        <w:rPr>
          <w:rFonts w:asciiTheme="majorHAnsi" w:hAnsiTheme="majorHAnsi"/>
        </w:rPr>
        <w:t xml:space="preserve"> through contractual/financial agreement, project documentation) that the provision of official funds are conditioned to: </w:t>
      </w:r>
    </w:p>
    <w:p w14:paraId="614B2E94" w14:textId="77777777" w:rsidR="00054AF6" w:rsidRDefault="00054AF6" w:rsidP="00332974">
      <w:pPr>
        <w:pStyle w:val="BodyText"/>
        <w:numPr>
          <w:ilvl w:val="0"/>
          <w:numId w:val="2"/>
        </w:numPr>
        <w:jc w:val="both"/>
        <w:rPr>
          <w:rFonts w:asciiTheme="majorHAnsi" w:hAnsiTheme="majorHAnsi"/>
        </w:rPr>
      </w:pPr>
      <w:r w:rsidRPr="00054AF6">
        <w:rPr>
          <w:rFonts w:asciiTheme="majorHAnsi" w:hAnsiTheme="majorHAnsi"/>
        </w:rPr>
        <w:t xml:space="preserve">Private sector co-financing, or </w:t>
      </w:r>
    </w:p>
    <w:p w14:paraId="6254A46D" w14:textId="77777777" w:rsidR="00054AF6" w:rsidRDefault="00054AF6" w:rsidP="00332974">
      <w:pPr>
        <w:pStyle w:val="BodyText"/>
        <w:numPr>
          <w:ilvl w:val="0"/>
          <w:numId w:val="2"/>
        </w:numPr>
        <w:jc w:val="both"/>
        <w:rPr>
          <w:rFonts w:asciiTheme="majorHAnsi" w:hAnsiTheme="majorHAnsi"/>
        </w:rPr>
      </w:pPr>
      <w:r w:rsidRPr="00054AF6">
        <w:rPr>
          <w:rFonts w:asciiTheme="majorHAnsi" w:hAnsiTheme="majorHAnsi"/>
        </w:rPr>
        <w:t xml:space="preserve">Specific outcomes of private sector investment (in the case of result-based financing mechanisms). </w:t>
      </w:r>
    </w:p>
    <w:p w14:paraId="3968B314" w14:textId="29A35E14" w:rsidR="00E76A53" w:rsidRPr="00054AF6" w:rsidRDefault="00054AF6" w:rsidP="00332974">
      <w:pPr>
        <w:pStyle w:val="BodyText"/>
        <w:jc w:val="both"/>
        <w:rPr>
          <w:rFonts w:asciiTheme="majorHAnsi" w:hAnsiTheme="majorHAnsi"/>
        </w:rPr>
      </w:pPr>
      <w:r w:rsidRPr="00054AF6">
        <w:rPr>
          <w:rFonts w:asciiTheme="majorHAnsi" w:hAnsiTheme="majorHAnsi"/>
        </w:rPr>
        <w:t xml:space="preserve">In either case, the total project costs </w:t>
      </w:r>
      <w:r w:rsidR="007F3B0E" w:rsidRPr="00054AF6">
        <w:rPr>
          <w:rFonts w:asciiTheme="majorHAnsi" w:hAnsiTheme="majorHAnsi"/>
        </w:rPr>
        <w:t>must</w:t>
      </w:r>
      <w:r w:rsidRPr="00054AF6">
        <w:rPr>
          <w:rFonts w:asciiTheme="majorHAnsi" w:hAnsiTheme="majorHAnsi"/>
        </w:rPr>
        <w:t xml:space="preserve"> exceed the amount provided by the official agency.</w:t>
      </w:r>
    </w:p>
    <w:p w14:paraId="30A38433" w14:textId="02B5CB7F" w:rsidR="00E76A53" w:rsidRDefault="00C7259D" w:rsidP="00332974">
      <w:pPr>
        <w:pStyle w:val="BodyText"/>
        <w:jc w:val="both"/>
        <w:rPr>
          <w:rFonts w:asciiTheme="majorHAnsi" w:hAnsiTheme="majorHAnsi"/>
        </w:rPr>
      </w:pPr>
      <w:r w:rsidRPr="00C7259D">
        <w:rPr>
          <w:rFonts w:asciiTheme="majorHAnsi" w:hAnsiTheme="majorHAnsi"/>
        </w:rPr>
        <w:t xml:space="preserve">Private finance mobilised through a simple co-financing arrangement is attributed to official </w:t>
      </w:r>
      <w:proofErr w:type="gramStart"/>
      <w:r w:rsidRPr="00C7259D">
        <w:rPr>
          <w:rFonts w:asciiTheme="majorHAnsi" w:hAnsiTheme="majorHAnsi"/>
        </w:rPr>
        <w:t>actors</w:t>
      </w:r>
      <w:proofErr w:type="gramEnd"/>
      <w:r w:rsidRPr="00C7259D">
        <w:rPr>
          <w:rFonts w:asciiTheme="majorHAnsi" w:hAnsiTheme="majorHAnsi"/>
        </w:rPr>
        <w:t xml:space="preserve"> pro-rata to their respective financial share in the deal.</w:t>
      </w:r>
    </w:p>
    <w:p w14:paraId="2E773361" w14:textId="77777777" w:rsidR="003324F2" w:rsidRPr="006C2479" w:rsidRDefault="003324F2" w:rsidP="00332974">
      <w:pPr>
        <w:pStyle w:val="Heading2"/>
        <w:jc w:val="both"/>
      </w:pPr>
      <w:r w:rsidRPr="006C2479">
        <w:t>DAC codes</w:t>
      </w:r>
    </w:p>
    <w:p w14:paraId="4DA284D2" w14:textId="6E30D480" w:rsidR="003324F2" w:rsidRPr="00F62DE6" w:rsidRDefault="00D72F51" w:rsidP="00332974">
      <w:pPr>
        <w:pStyle w:val="BodyTex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DAC codes will vary based on the</w:t>
      </w:r>
      <w:r w:rsidR="000C15FC">
        <w:rPr>
          <w:rFonts w:asciiTheme="majorHAnsi" w:hAnsiTheme="majorHAnsi"/>
        </w:rPr>
        <w:t>ir relevant</w:t>
      </w:r>
      <w:r>
        <w:rPr>
          <w:rFonts w:asciiTheme="majorHAnsi" w:hAnsiTheme="majorHAnsi"/>
        </w:rPr>
        <w:t xml:space="preserve"> sector</w:t>
      </w:r>
      <w:r w:rsidR="000C15FC">
        <w:rPr>
          <w:rFonts w:asciiTheme="majorHAnsi" w:hAnsiTheme="majorHAnsi"/>
        </w:rPr>
        <w:t xml:space="preserve">s. For instance, </w:t>
      </w:r>
      <w:r w:rsidR="00846260">
        <w:rPr>
          <w:rFonts w:asciiTheme="majorHAnsi" w:hAnsiTheme="majorHAnsi"/>
        </w:rPr>
        <w:t xml:space="preserve">investment in energy generation should </w:t>
      </w:r>
      <w:r w:rsidR="00375AFA">
        <w:rPr>
          <w:rFonts w:asciiTheme="majorHAnsi" w:hAnsiTheme="majorHAnsi"/>
        </w:rPr>
        <w:t>be coded</w:t>
      </w:r>
      <w:r w:rsidR="007F14EB">
        <w:rPr>
          <w:rFonts w:asciiTheme="majorHAnsi" w:hAnsiTheme="majorHAnsi"/>
        </w:rPr>
        <w:t>:</w:t>
      </w:r>
      <w:r w:rsidR="00375AFA">
        <w:rPr>
          <w:rFonts w:asciiTheme="majorHAnsi" w:hAnsiTheme="majorHAnsi"/>
        </w:rPr>
        <w:t xml:space="preserve"> 232</w:t>
      </w:r>
      <w:r w:rsidR="007F14EB">
        <w:rPr>
          <w:rFonts w:asciiTheme="majorHAnsi" w:hAnsiTheme="majorHAnsi"/>
        </w:rPr>
        <w:t xml:space="preserve">10. Investments related to general financial inclusion should be coded: </w:t>
      </w:r>
      <w:proofErr w:type="gramStart"/>
      <w:r w:rsidR="00F62DE6">
        <w:rPr>
          <w:rFonts w:asciiTheme="majorHAnsi" w:hAnsiTheme="majorHAnsi"/>
        </w:rPr>
        <w:t>24030</w:t>
      </w:r>
      <w:proofErr w:type="gramEnd"/>
      <w:r w:rsidR="007F14EB">
        <w:rPr>
          <w:rFonts w:asciiTheme="majorHAnsi" w:hAnsiTheme="majorHAnsi"/>
        </w:rPr>
        <w:t xml:space="preserve"> </w:t>
      </w:r>
      <w:r w:rsidR="00375AFA">
        <w:rPr>
          <w:rFonts w:asciiTheme="majorHAnsi" w:hAnsiTheme="majorHAnsi"/>
        </w:rPr>
        <w:t xml:space="preserve"> </w:t>
      </w:r>
    </w:p>
    <w:sectPr w:rsidR="003324F2" w:rsidRPr="00F62DE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34C9" w14:textId="77777777" w:rsidR="00B53625" w:rsidRDefault="00B53625" w:rsidP="007F11D2">
      <w:pPr>
        <w:spacing w:after="0" w:line="240" w:lineRule="auto"/>
      </w:pPr>
      <w:r>
        <w:separator/>
      </w:r>
    </w:p>
  </w:endnote>
  <w:endnote w:type="continuationSeparator" w:id="0">
    <w:p w14:paraId="2E64322E" w14:textId="77777777" w:rsidR="00B53625" w:rsidRDefault="00B53625" w:rsidP="007F11D2">
      <w:pPr>
        <w:spacing w:after="0" w:line="240" w:lineRule="auto"/>
      </w:pPr>
      <w:r>
        <w:continuationSeparator/>
      </w:r>
    </w:p>
  </w:endnote>
  <w:endnote w:type="continuationNotice" w:id="1">
    <w:p w14:paraId="12006771" w14:textId="77777777" w:rsidR="00B53625" w:rsidRDefault="00B536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23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F8BDF" w14:textId="5F653101" w:rsidR="007B6F50" w:rsidRDefault="007B6F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8F6C5C" w14:textId="77777777" w:rsidR="00332974" w:rsidRDefault="00332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8CD1" w14:textId="77777777" w:rsidR="00B53625" w:rsidRDefault="00B53625" w:rsidP="007F11D2">
      <w:pPr>
        <w:spacing w:after="0" w:line="240" w:lineRule="auto"/>
      </w:pPr>
      <w:r>
        <w:separator/>
      </w:r>
    </w:p>
  </w:footnote>
  <w:footnote w:type="continuationSeparator" w:id="0">
    <w:p w14:paraId="5B1DFB27" w14:textId="77777777" w:rsidR="00B53625" w:rsidRDefault="00B53625" w:rsidP="007F11D2">
      <w:pPr>
        <w:spacing w:after="0" w:line="240" w:lineRule="auto"/>
      </w:pPr>
      <w:r>
        <w:continuationSeparator/>
      </w:r>
    </w:p>
  </w:footnote>
  <w:footnote w:type="continuationNotice" w:id="1">
    <w:p w14:paraId="2DC5C5BB" w14:textId="77777777" w:rsidR="00B53625" w:rsidRDefault="00B536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CD2A" w14:textId="186F2C27" w:rsidR="00980CE4" w:rsidRDefault="00980CE4">
    <w:pPr>
      <w:pStyle w:val="Header"/>
    </w:pPr>
    <w:r>
      <w:rPr>
        <w:noProof/>
      </w:rPr>
      <w:drawing>
        <wp:inline distT="0" distB="0" distL="0" distR="0" wp14:anchorId="7BFD8DC9" wp14:editId="3073A470">
          <wp:extent cx="3584575" cy="628015"/>
          <wp:effectExtent l="0" t="0" r="0" b="635"/>
          <wp:docPr id="1" name="Picture 1" descr="Australian Government - Department of Foreign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- Department of Foreign Affairs and 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C33"/>
    <w:multiLevelType w:val="hybridMultilevel"/>
    <w:tmpl w:val="9C6EA7C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position w:val="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70010"/>
    <w:multiLevelType w:val="hybridMultilevel"/>
    <w:tmpl w:val="E1AE8AD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position w:val="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82D4C"/>
    <w:multiLevelType w:val="hybridMultilevel"/>
    <w:tmpl w:val="1AF45836"/>
    <w:lvl w:ilvl="0" w:tplc="A7DAE71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A528B"/>
    <w:multiLevelType w:val="hybridMultilevel"/>
    <w:tmpl w:val="A4421A98"/>
    <w:lvl w:ilvl="0" w:tplc="7B640FF6">
      <w:start w:val="1"/>
      <w:numFmt w:val="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152917">
    <w:abstractNumId w:val="3"/>
  </w:num>
  <w:num w:numId="2" w16cid:durableId="445806535">
    <w:abstractNumId w:val="2"/>
  </w:num>
  <w:num w:numId="3" w16cid:durableId="2084327991">
    <w:abstractNumId w:val="0"/>
  </w:num>
  <w:num w:numId="4" w16cid:durableId="62072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F2"/>
    <w:rsid w:val="00003B04"/>
    <w:rsid w:val="00051363"/>
    <w:rsid w:val="00054AF6"/>
    <w:rsid w:val="0008514F"/>
    <w:rsid w:val="000C15FC"/>
    <w:rsid w:val="00110656"/>
    <w:rsid w:val="00124940"/>
    <w:rsid w:val="00134B0E"/>
    <w:rsid w:val="00150D46"/>
    <w:rsid w:val="00156684"/>
    <w:rsid w:val="00163AC5"/>
    <w:rsid w:val="00191C89"/>
    <w:rsid w:val="001940EA"/>
    <w:rsid w:val="001A247C"/>
    <w:rsid w:val="001A7468"/>
    <w:rsid w:val="001D14DB"/>
    <w:rsid w:val="00205F2F"/>
    <w:rsid w:val="002957C3"/>
    <w:rsid w:val="002A558F"/>
    <w:rsid w:val="00313E96"/>
    <w:rsid w:val="003324F2"/>
    <w:rsid w:val="00332974"/>
    <w:rsid w:val="0035379B"/>
    <w:rsid w:val="003618CB"/>
    <w:rsid w:val="00375AFA"/>
    <w:rsid w:val="003A1ADC"/>
    <w:rsid w:val="003A2FFF"/>
    <w:rsid w:val="003C0066"/>
    <w:rsid w:val="003E4995"/>
    <w:rsid w:val="003F079D"/>
    <w:rsid w:val="003F44E3"/>
    <w:rsid w:val="00474207"/>
    <w:rsid w:val="00477028"/>
    <w:rsid w:val="004A0314"/>
    <w:rsid w:val="004A31E2"/>
    <w:rsid w:val="004B635F"/>
    <w:rsid w:val="004B7A13"/>
    <w:rsid w:val="004C4218"/>
    <w:rsid w:val="004F2C10"/>
    <w:rsid w:val="0051045B"/>
    <w:rsid w:val="00521FDA"/>
    <w:rsid w:val="005224D7"/>
    <w:rsid w:val="00536015"/>
    <w:rsid w:val="005411BA"/>
    <w:rsid w:val="005754A3"/>
    <w:rsid w:val="00582E27"/>
    <w:rsid w:val="005A0CE6"/>
    <w:rsid w:val="005F10B4"/>
    <w:rsid w:val="0061487E"/>
    <w:rsid w:val="00614D3D"/>
    <w:rsid w:val="00616F86"/>
    <w:rsid w:val="0063239D"/>
    <w:rsid w:val="006577EE"/>
    <w:rsid w:val="00666916"/>
    <w:rsid w:val="00684DB7"/>
    <w:rsid w:val="00690AB5"/>
    <w:rsid w:val="006C2479"/>
    <w:rsid w:val="006F47A2"/>
    <w:rsid w:val="0073412A"/>
    <w:rsid w:val="0073686D"/>
    <w:rsid w:val="0074500C"/>
    <w:rsid w:val="00763D56"/>
    <w:rsid w:val="00766AF4"/>
    <w:rsid w:val="007723C7"/>
    <w:rsid w:val="00783E28"/>
    <w:rsid w:val="007856BE"/>
    <w:rsid w:val="007871BC"/>
    <w:rsid w:val="007A07C5"/>
    <w:rsid w:val="007B6F50"/>
    <w:rsid w:val="007D59BA"/>
    <w:rsid w:val="007F11D2"/>
    <w:rsid w:val="007F14EB"/>
    <w:rsid w:val="007F3B0E"/>
    <w:rsid w:val="00846260"/>
    <w:rsid w:val="008854D8"/>
    <w:rsid w:val="008C01F6"/>
    <w:rsid w:val="008C5BD5"/>
    <w:rsid w:val="008C7954"/>
    <w:rsid w:val="008D39D9"/>
    <w:rsid w:val="008D46D7"/>
    <w:rsid w:val="00904130"/>
    <w:rsid w:val="00915266"/>
    <w:rsid w:val="00925C91"/>
    <w:rsid w:val="00942AA9"/>
    <w:rsid w:val="00955CEE"/>
    <w:rsid w:val="00980CE4"/>
    <w:rsid w:val="0098103B"/>
    <w:rsid w:val="00996AE5"/>
    <w:rsid w:val="00996BA3"/>
    <w:rsid w:val="009A1F5A"/>
    <w:rsid w:val="009C4CC7"/>
    <w:rsid w:val="009E2C0C"/>
    <w:rsid w:val="009F4D92"/>
    <w:rsid w:val="00A005CD"/>
    <w:rsid w:val="00AB736C"/>
    <w:rsid w:val="00AD2188"/>
    <w:rsid w:val="00AE603B"/>
    <w:rsid w:val="00B12644"/>
    <w:rsid w:val="00B23F7D"/>
    <w:rsid w:val="00B53625"/>
    <w:rsid w:val="00B94292"/>
    <w:rsid w:val="00BA0731"/>
    <w:rsid w:val="00BA4809"/>
    <w:rsid w:val="00BB4EDF"/>
    <w:rsid w:val="00BF558E"/>
    <w:rsid w:val="00BF74E8"/>
    <w:rsid w:val="00C31DE9"/>
    <w:rsid w:val="00C7259D"/>
    <w:rsid w:val="00C9576C"/>
    <w:rsid w:val="00CC440C"/>
    <w:rsid w:val="00CE1AE2"/>
    <w:rsid w:val="00D15BB1"/>
    <w:rsid w:val="00D24590"/>
    <w:rsid w:val="00D36DA5"/>
    <w:rsid w:val="00D519F5"/>
    <w:rsid w:val="00D57803"/>
    <w:rsid w:val="00D72F51"/>
    <w:rsid w:val="00DE2CFA"/>
    <w:rsid w:val="00E440E4"/>
    <w:rsid w:val="00E52EC7"/>
    <w:rsid w:val="00E67B86"/>
    <w:rsid w:val="00E76A53"/>
    <w:rsid w:val="00E83B4C"/>
    <w:rsid w:val="00EC61A3"/>
    <w:rsid w:val="00ED761C"/>
    <w:rsid w:val="00F07BF7"/>
    <w:rsid w:val="00F14724"/>
    <w:rsid w:val="00F25A60"/>
    <w:rsid w:val="00F62DE6"/>
    <w:rsid w:val="00F66121"/>
    <w:rsid w:val="00FD6C96"/>
    <w:rsid w:val="00FD74FB"/>
    <w:rsid w:val="00FE2CAA"/>
    <w:rsid w:val="037410F2"/>
    <w:rsid w:val="1E9A10B9"/>
    <w:rsid w:val="23BB50E8"/>
    <w:rsid w:val="32530C1B"/>
    <w:rsid w:val="67D8DC6D"/>
    <w:rsid w:val="6F71A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681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479"/>
    <w:pPr>
      <w:keepNext/>
      <w:keepLines/>
      <w:suppressAutoHyphens/>
      <w:spacing w:before="480" w:after="120" w:line="380" w:lineRule="exact"/>
      <w:contextualSpacing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36"/>
      <w:szCs w:val="36"/>
      <w:lang w:val="en-GB"/>
    </w:rPr>
  </w:style>
  <w:style w:type="paragraph" w:styleId="Heading2">
    <w:name w:val="heading 2"/>
    <w:basedOn w:val="Style5"/>
    <w:next w:val="Normal"/>
    <w:link w:val="Heading2Char"/>
    <w:unhideWhenUsed/>
    <w:qFormat/>
    <w:rsid w:val="006C2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C2479"/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3324F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324F2"/>
    <w:rPr>
      <w:color w:val="44546A" w:themeColor="text2"/>
      <w:lang w:val="en-GB"/>
    </w:rPr>
  </w:style>
  <w:style w:type="paragraph" w:styleId="ListBullet">
    <w:name w:val="List Bullet"/>
    <w:basedOn w:val="BodyText"/>
    <w:semiHidden/>
    <w:unhideWhenUsed/>
    <w:qFormat/>
    <w:rsid w:val="003324F2"/>
    <w:pPr>
      <w:suppressAutoHyphens w:val="0"/>
      <w:spacing w:before="80" w:after="120" w:line="360" w:lineRule="auto"/>
      <w:ind w:left="360" w:hanging="360"/>
    </w:pPr>
    <w:rPr>
      <w:rFonts w:ascii="Franklin Gothic Book" w:eastAsia="Times New Roman" w:hAnsi="Franklin Gothic Book" w:cs="Times New Roman"/>
      <w:color w:val="auto"/>
      <w:sz w:val="21"/>
      <w:szCs w:val="24"/>
      <w:lang w:val="en-AU" w:eastAsia="en-AU"/>
    </w:rPr>
  </w:style>
  <w:style w:type="paragraph" w:customStyle="1" w:styleId="PublicationDate">
    <w:name w:val="Publication Date"/>
    <w:next w:val="Heading1"/>
    <w:rsid w:val="003324F2"/>
    <w:pPr>
      <w:spacing w:after="360" w:line="276" w:lineRule="auto"/>
    </w:pPr>
    <w:rPr>
      <w:rFonts w:ascii="Helvetica" w:eastAsia="Times New Roman" w:hAnsi="Helvetica" w:cs="Times New Roman"/>
      <w:color w:val="A8A5A8"/>
      <w:spacing w:val="-10"/>
      <w:kern w:val="24"/>
      <w:sz w:val="24"/>
      <w:szCs w:val="28"/>
      <w:lang w:eastAsia="en-AU"/>
    </w:rPr>
  </w:style>
  <w:style w:type="character" w:customStyle="1" w:styleId="Style3Char">
    <w:name w:val="Style3 Char"/>
    <w:basedOn w:val="Heading2Char"/>
    <w:link w:val="Style3"/>
    <w:locked/>
    <w:rsid w:val="003324F2"/>
    <w:rPr>
      <w:rFonts w:asciiTheme="majorHAnsi" w:eastAsiaTheme="majorEastAsia" w:hAnsiTheme="majorHAnsi" w:cstheme="majorBidi"/>
      <w:b w:val="0"/>
      <w:caps/>
      <w:color w:val="44546A" w:themeColor="text2"/>
      <w:sz w:val="36"/>
      <w:szCs w:val="36"/>
      <w:lang w:val="en-GB"/>
    </w:rPr>
  </w:style>
  <w:style w:type="paragraph" w:customStyle="1" w:styleId="Style3">
    <w:name w:val="Style3"/>
    <w:basedOn w:val="Heading2"/>
    <w:link w:val="Style3Char"/>
    <w:qFormat/>
    <w:rsid w:val="003324F2"/>
    <w:rPr>
      <w:b w:val="0"/>
      <w:sz w:val="36"/>
      <w:szCs w:val="36"/>
    </w:rPr>
  </w:style>
  <w:style w:type="character" w:customStyle="1" w:styleId="Style5Char">
    <w:name w:val="Style5 Char"/>
    <w:basedOn w:val="DefaultParagraphFont"/>
    <w:link w:val="Style5"/>
    <w:locked/>
    <w:rsid w:val="003324F2"/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32"/>
      <w:lang w:val="en-GB"/>
    </w:rPr>
  </w:style>
  <w:style w:type="paragraph" w:customStyle="1" w:styleId="Style5">
    <w:name w:val="Style5"/>
    <w:basedOn w:val="Normal"/>
    <w:link w:val="Style5Char"/>
    <w:qFormat/>
    <w:rsid w:val="003324F2"/>
    <w:pPr>
      <w:keepNext/>
      <w:keepLines/>
      <w:suppressAutoHyphens/>
      <w:spacing w:before="360" w:after="120" w:line="260" w:lineRule="exact"/>
      <w:contextualSpacing/>
      <w:outlineLvl w:val="1"/>
    </w:pPr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32"/>
      <w:lang w:val="en-GB"/>
    </w:rPr>
  </w:style>
  <w:style w:type="character" w:styleId="IntenseEmphasis">
    <w:name w:val="Intense Emphasis"/>
    <w:basedOn w:val="DefaultParagraphFont"/>
    <w:uiPriority w:val="21"/>
    <w:qFormat/>
    <w:rsid w:val="003324F2"/>
    <w:rPr>
      <w:b/>
      <w:bCs w:val="0"/>
      <w:i/>
      <w:iCs/>
      <w:color w:val="44546A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6C2479"/>
    <w:rPr>
      <w:rFonts w:asciiTheme="majorHAnsi" w:eastAsiaTheme="majorEastAsia" w:hAnsiTheme="majorHAnsi" w:cstheme="majorBidi"/>
      <w:b/>
      <w:caps/>
      <w:color w:val="44546A" w:themeColor="text2"/>
      <w:sz w:val="36"/>
      <w:szCs w:val="36"/>
      <w:lang w:val="en-GB"/>
    </w:rPr>
  </w:style>
  <w:style w:type="character" w:styleId="Hyperlink">
    <w:name w:val="Hyperlink"/>
    <w:basedOn w:val="DefaultParagraphFont"/>
    <w:uiPriority w:val="99"/>
    <w:unhideWhenUsed/>
    <w:rsid w:val="00B12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6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1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3B"/>
  </w:style>
  <w:style w:type="paragraph" w:styleId="Footer">
    <w:name w:val="footer"/>
    <w:basedOn w:val="Normal"/>
    <w:link w:val="FooterChar"/>
    <w:uiPriority w:val="99"/>
    <w:unhideWhenUsed/>
    <w:rsid w:val="00981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3B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224D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2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ecd.org/dac/financing-sustainable-development/development-finance-standards/DAC-Methodologies-on-Mobilisation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7DD4E9CB4934BBB0A4D2E9ADAB25F" ma:contentTypeVersion="5" ma:contentTypeDescription="Create a new document." ma:contentTypeScope="" ma:versionID="ba4897ce409b1299a66540d0c0005b59">
  <xsd:schema xmlns:xsd="http://www.w3.org/2001/XMLSchema" xmlns:xs="http://www.w3.org/2001/XMLSchema" xmlns:p="http://schemas.microsoft.com/office/2006/metadata/properties" xmlns:ns2="e7c2167f-7f62-42c8-b17f-4fb54f1eb712" targetNamespace="http://schemas.microsoft.com/office/2006/metadata/properties" ma:root="true" ma:fieldsID="63ab0f6317e205a4e62fc752498a359d" ns2:_="">
    <xsd:import namespace="e7c2167f-7f62-42c8-b17f-4fb54f1eb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2167f-7f62-42c8-b17f-4fb54f1eb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9A0F3-68F2-4AD2-BFF2-5EF6992542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08CCA7-5005-437E-8CBF-530AE93CE5C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e7c2167f-7f62-42c8-b17f-4fb54f1eb71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DF59A9-4377-47F8-B821-09244944F5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5F14B-1F63-48C7-81F3-6C03676E6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2167f-7f62-42c8-b17f-4fb54f1eb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1366</Words>
  <Characters>7799</Characters>
  <Application>Microsoft Office Word</Application>
  <DocSecurity>0</DocSecurity>
  <Lines>122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2 Technical Note – Economic Policy (private funds leveraged)</dc:title>
  <dc:subject/>
  <dc:creator/>
  <cp:keywords>[SEC=OFFICIAL]</cp:keywords>
  <dc:description/>
  <cp:lastModifiedBy/>
  <cp:revision>2</cp:revision>
  <dcterms:created xsi:type="dcterms:W3CDTF">2023-09-13T23:39:00Z</dcterms:created>
  <dcterms:modified xsi:type="dcterms:W3CDTF">2024-06-19T06:23:00Z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v=2022.1;a=SHA256;h=53D65413EC4475161621244FE350B4A2664D724E52853431B67D7691B0DFF395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2023-08-01T00:31:50Z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899E4EA469A04FB023F4432B63374BB33589BF8A</vt:lpwstr>
  </property>
  <property fmtid="{D5CDD505-2E9C-101B-9397-08002B2CF9AE}" pid="13" name="PM_DisplayValueSecClassificationWithQualifier">
    <vt:lpwstr>OFFICIAL</vt:lpwstr>
  </property>
  <property fmtid="{D5CDD505-2E9C-101B-9397-08002B2CF9AE}" pid="14" name="PM_ProtectiveMarkingValue_Footer">
    <vt:lpwstr>OFFICIAL</vt:lpwstr>
  </property>
  <property fmtid="{D5CDD505-2E9C-101B-9397-08002B2CF9AE}" pid="15" name="PM_Originating_FileId">
    <vt:lpwstr>A14B644433CA42258D46C3DC9D1756FC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290C9CFCFE70E139C4500567FB5830ACF9049F26A1998DDACA65669D45D5D2AD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Hash_Salt_Prev">
    <vt:lpwstr>CB4437E6E524B3F1AC12A3F9F1146C45</vt:lpwstr>
  </property>
  <property fmtid="{D5CDD505-2E9C-101B-9397-08002B2CF9AE}" pid="24" name="PM_Hash_Salt">
    <vt:lpwstr>670894F5891386DB6686F5D7C923978B</vt:lpwstr>
  </property>
  <property fmtid="{D5CDD505-2E9C-101B-9397-08002B2CF9AE}" pid="25" name="PM_Hash_SHA1">
    <vt:lpwstr>FFC49708E03180F883EA13F395AD537F64CA1A47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  <property fmtid="{D5CDD505-2E9C-101B-9397-08002B2CF9AE}" pid="29" name="ContentTypeId">
    <vt:lpwstr>0x01010002B7DD4E9CB4934BBB0A4D2E9ADAB25F</vt:lpwstr>
  </property>
  <property fmtid="{D5CDD505-2E9C-101B-9397-08002B2CF9AE}" pid="30" name="MediaServiceImageTags">
    <vt:lpwstr/>
  </property>
</Properties>
</file>