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28BB3" w14:textId="2963670F" w:rsidR="00C4292B" w:rsidRPr="007F16F1" w:rsidRDefault="00C4292B" w:rsidP="32F60554">
      <w:pPr>
        <w:pStyle w:val="Heading1"/>
        <w:jc w:val="left"/>
        <w:rPr>
          <w:rFonts w:asciiTheme="majorHAnsi" w:hAnsiTheme="majorHAnsi" w:cstheme="majorBidi"/>
          <w:sz w:val="32"/>
          <w:szCs w:val="32"/>
        </w:rPr>
      </w:pPr>
      <w:bookmarkStart w:id="0" w:name="_Toc441151562"/>
      <w:r w:rsidRPr="32F60554">
        <w:rPr>
          <w:rFonts w:asciiTheme="majorHAnsi" w:hAnsiTheme="majorHAnsi" w:cstheme="majorBidi"/>
          <w:sz w:val="32"/>
          <w:szCs w:val="32"/>
        </w:rPr>
        <w:t>TIER 2 INDICATOR Technical Note</w:t>
      </w:r>
      <w:r w:rsidR="00394B29" w:rsidRPr="32F60554">
        <w:rPr>
          <w:rFonts w:asciiTheme="majorHAnsi" w:hAnsiTheme="majorHAnsi" w:cstheme="majorBidi"/>
          <w:sz w:val="32"/>
          <w:szCs w:val="32"/>
        </w:rPr>
        <w:t xml:space="preserve"> </w:t>
      </w:r>
    </w:p>
    <w:p w14:paraId="655D8937" w14:textId="167F0025" w:rsidR="00BC6B72" w:rsidRPr="007F16F1" w:rsidRDefault="286BF801" w:rsidP="32F60554">
      <w:pPr>
        <w:pStyle w:val="Heading2"/>
        <w:spacing w:line="276" w:lineRule="auto"/>
        <w:rPr>
          <w:rFonts w:asciiTheme="majorHAnsi" w:hAnsiTheme="majorHAnsi" w:cstheme="majorBidi"/>
          <w:i/>
          <w:iCs/>
        </w:rPr>
      </w:pPr>
      <w:r w:rsidRPr="32F60554">
        <w:rPr>
          <w:rFonts w:asciiTheme="majorHAnsi" w:hAnsiTheme="majorHAnsi" w:cstheme="majorBidi"/>
          <w:i/>
          <w:iCs/>
        </w:rPr>
        <w:t>Education learning quality</w:t>
      </w:r>
    </w:p>
    <w:p w14:paraId="5E0C8EC0" w14:textId="79DF77F5" w:rsidR="00BC6B72" w:rsidRPr="007F16F1" w:rsidRDefault="00BC6B72" w:rsidP="32F60554">
      <w:pPr>
        <w:pStyle w:val="Heading2"/>
        <w:spacing w:line="276" w:lineRule="auto"/>
        <w:rPr>
          <w:rFonts w:asciiTheme="majorHAnsi" w:hAnsiTheme="majorHAnsi" w:cstheme="majorBidi"/>
          <w:i/>
          <w:iCs/>
        </w:rPr>
      </w:pPr>
      <w:bookmarkStart w:id="1" w:name="_Hlk95377738"/>
      <w:bookmarkEnd w:id="0"/>
      <w:r w:rsidRPr="32F60554">
        <w:rPr>
          <w:rFonts w:asciiTheme="majorHAnsi" w:hAnsiTheme="majorHAnsi" w:cstheme="majorBidi"/>
          <w:i/>
          <w:iCs/>
        </w:rPr>
        <w:t>proportion of</w:t>
      </w:r>
      <w:r w:rsidR="00F4631A" w:rsidRPr="32F60554">
        <w:rPr>
          <w:rFonts w:asciiTheme="majorHAnsi" w:hAnsiTheme="majorHAnsi" w:cstheme="majorBidi"/>
          <w:i/>
          <w:iCs/>
        </w:rPr>
        <w:t xml:space="preserve"> children and young people achieving </w:t>
      </w:r>
      <w:r w:rsidR="00C22119" w:rsidRPr="32F60554">
        <w:rPr>
          <w:rFonts w:asciiTheme="majorHAnsi" w:hAnsiTheme="majorHAnsi" w:cstheme="majorBidi"/>
          <w:i/>
          <w:iCs/>
        </w:rPr>
        <w:t>at least minimum proficiency in reading and mathematics</w:t>
      </w:r>
      <w:r w:rsidR="00433CE5" w:rsidRPr="32F60554">
        <w:rPr>
          <w:rFonts w:asciiTheme="majorHAnsi" w:hAnsiTheme="majorHAnsi" w:cstheme="majorBidi"/>
          <w:i/>
          <w:iCs/>
        </w:rPr>
        <w:t>, with australian support</w:t>
      </w:r>
      <w:r w:rsidRPr="32F60554">
        <w:rPr>
          <w:rFonts w:asciiTheme="majorHAnsi" w:hAnsiTheme="majorHAnsi" w:cstheme="majorBidi"/>
          <w:i/>
          <w:iCs/>
        </w:rPr>
        <w:t xml:space="preserve"> </w:t>
      </w:r>
    </w:p>
    <w:bookmarkEnd w:id="1"/>
    <w:p w14:paraId="1008108A" w14:textId="247AF815" w:rsidR="00C4292B" w:rsidRPr="0000426E" w:rsidRDefault="00C4292B" w:rsidP="3394A6C1">
      <w:pPr>
        <w:pStyle w:val="PublicationDate"/>
        <w:spacing w:before="120" w:after="120" w:line="240" w:lineRule="auto"/>
        <w:rPr>
          <w:rFonts w:asciiTheme="majorHAnsi" w:eastAsiaTheme="majorEastAsia" w:hAnsiTheme="majorHAnsi" w:cstheme="majorBidi"/>
          <w:b/>
          <w:bCs/>
          <w:color w:val="44546A" w:themeColor="text2"/>
          <w:sz w:val="22"/>
          <w:szCs w:val="22"/>
        </w:rPr>
      </w:pPr>
      <w:r w:rsidRPr="32F60554">
        <w:rPr>
          <w:rFonts w:asciiTheme="majorHAnsi" w:eastAsiaTheme="majorEastAsia" w:hAnsiTheme="majorHAnsi" w:cstheme="majorBidi"/>
          <w:b/>
          <w:bCs/>
          <w:color w:val="445369"/>
          <w:sz w:val="22"/>
          <w:szCs w:val="22"/>
        </w:rPr>
        <w:t>Last updated:</w:t>
      </w:r>
      <w:r w:rsidR="01456672" w:rsidRPr="32F60554">
        <w:rPr>
          <w:rFonts w:asciiTheme="majorHAnsi" w:eastAsiaTheme="majorEastAsia" w:hAnsiTheme="majorHAnsi" w:cstheme="majorBidi"/>
          <w:b/>
          <w:bCs/>
          <w:color w:val="445369"/>
          <w:sz w:val="22"/>
          <w:szCs w:val="22"/>
        </w:rPr>
        <w:t xml:space="preserve"> </w:t>
      </w:r>
      <w:r w:rsidR="00303BD7" w:rsidRPr="32F60554">
        <w:rPr>
          <w:rFonts w:asciiTheme="majorHAnsi" w:eastAsiaTheme="majorEastAsia" w:hAnsiTheme="majorHAnsi" w:cstheme="majorBidi"/>
          <w:b/>
          <w:bCs/>
          <w:color w:val="445369"/>
          <w:sz w:val="22"/>
          <w:szCs w:val="22"/>
        </w:rPr>
        <w:t>August</w:t>
      </w:r>
      <w:r w:rsidR="0081599C" w:rsidRPr="32F60554">
        <w:rPr>
          <w:rFonts w:asciiTheme="majorHAnsi" w:eastAsiaTheme="majorEastAsia" w:hAnsiTheme="majorHAnsi" w:cstheme="majorBidi"/>
          <w:b/>
          <w:bCs/>
          <w:color w:val="445369"/>
          <w:sz w:val="22"/>
          <w:szCs w:val="22"/>
        </w:rPr>
        <w:t xml:space="preserve"> 2023</w:t>
      </w:r>
    </w:p>
    <w:p w14:paraId="64E31E70" w14:textId="180CBCB5" w:rsidR="00C4292B" w:rsidRPr="007F16F1" w:rsidRDefault="00C4292B" w:rsidP="32F60554">
      <w:pPr>
        <w:pStyle w:val="Heading2"/>
        <w:rPr>
          <w:rFonts w:asciiTheme="majorHAnsi" w:hAnsiTheme="majorHAnsi" w:cstheme="majorBidi"/>
        </w:rPr>
      </w:pPr>
      <w:r w:rsidRPr="32F60554">
        <w:rPr>
          <w:rFonts w:asciiTheme="majorHAnsi" w:hAnsiTheme="majorHAnsi" w:cstheme="majorBidi"/>
        </w:rPr>
        <w:t>Definition</w:t>
      </w:r>
      <w:r w:rsidR="007F2888" w:rsidRPr="32F60554">
        <w:rPr>
          <w:rFonts w:asciiTheme="majorHAnsi" w:hAnsiTheme="majorHAnsi" w:cstheme="majorBidi"/>
        </w:rPr>
        <w:t>s</w:t>
      </w:r>
    </w:p>
    <w:p w14:paraId="4FE1A46B" w14:textId="0ABA7B36" w:rsidR="00305E09" w:rsidRPr="0000426E" w:rsidRDefault="00305E09" w:rsidP="3394A6C1">
      <w:pPr>
        <w:pStyle w:val="BodyText"/>
        <w:spacing w:after="120"/>
        <w:jc w:val="both"/>
        <w:rPr>
          <w:rFonts w:asciiTheme="majorHAnsi" w:eastAsiaTheme="majorEastAsia" w:hAnsiTheme="majorHAnsi" w:cstheme="majorBidi"/>
        </w:rPr>
      </w:pPr>
      <w:r w:rsidRPr="3394A6C1">
        <w:rPr>
          <w:rFonts w:asciiTheme="majorHAnsi" w:eastAsiaTheme="majorEastAsia" w:hAnsiTheme="majorHAnsi" w:cstheme="majorBidi"/>
        </w:rPr>
        <w:t>This indicator aims to capture evidence of</w:t>
      </w:r>
      <w:r w:rsidR="00F05A45" w:rsidRPr="3394A6C1">
        <w:rPr>
          <w:rFonts w:asciiTheme="majorHAnsi" w:eastAsiaTheme="majorEastAsia" w:hAnsiTheme="majorHAnsi" w:cstheme="majorBidi"/>
        </w:rPr>
        <w:t xml:space="preserve"> </w:t>
      </w:r>
      <w:r w:rsidR="002240C5" w:rsidRPr="3394A6C1">
        <w:rPr>
          <w:rFonts w:asciiTheme="majorHAnsi" w:eastAsiaTheme="majorEastAsia" w:hAnsiTheme="majorHAnsi" w:cstheme="majorBidi"/>
        </w:rPr>
        <w:t>Australia’s contribution to</w:t>
      </w:r>
      <w:r w:rsidR="00FA38BB" w:rsidRPr="3394A6C1">
        <w:rPr>
          <w:rFonts w:asciiTheme="majorHAnsi" w:eastAsiaTheme="majorEastAsia" w:hAnsiTheme="majorHAnsi" w:cstheme="majorBidi"/>
        </w:rPr>
        <w:t>wards</w:t>
      </w:r>
      <w:r w:rsidR="002240C5" w:rsidRPr="3394A6C1">
        <w:rPr>
          <w:rFonts w:asciiTheme="majorHAnsi" w:eastAsiaTheme="majorEastAsia" w:hAnsiTheme="majorHAnsi" w:cstheme="majorBidi"/>
        </w:rPr>
        <w:t xml:space="preserve"> </w:t>
      </w:r>
      <w:r w:rsidR="00F05A45" w:rsidRPr="3394A6C1">
        <w:rPr>
          <w:rFonts w:asciiTheme="majorHAnsi" w:eastAsiaTheme="majorEastAsia" w:hAnsiTheme="majorHAnsi" w:cstheme="majorBidi"/>
        </w:rPr>
        <w:t>improv</w:t>
      </w:r>
      <w:r w:rsidR="002240C5" w:rsidRPr="3394A6C1">
        <w:rPr>
          <w:rFonts w:asciiTheme="majorHAnsi" w:eastAsiaTheme="majorEastAsia" w:hAnsiTheme="majorHAnsi" w:cstheme="majorBidi"/>
        </w:rPr>
        <w:t>ing</w:t>
      </w:r>
      <w:r w:rsidR="008507E0" w:rsidRPr="3394A6C1">
        <w:rPr>
          <w:rFonts w:asciiTheme="majorHAnsi" w:eastAsiaTheme="majorEastAsia" w:hAnsiTheme="majorHAnsi" w:cstheme="majorBidi"/>
        </w:rPr>
        <w:t xml:space="preserve"> basic education</w:t>
      </w:r>
      <w:r w:rsidRPr="3394A6C1">
        <w:rPr>
          <w:rFonts w:asciiTheme="majorHAnsi" w:eastAsiaTheme="majorEastAsia" w:hAnsiTheme="majorHAnsi" w:cstheme="majorBidi"/>
        </w:rPr>
        <w:t xml:space="preserve"> learning outcomes</w:t>
      </w:r>
      <w:r w:rsidR="00207DAE" w:rsidRPr="3394A6C1">
        <w:rPr>
          <w:rFonts w:asciiTheme="majorHAnsi" w:eastAsiaTheme="majorEastAsia" w:hAnsiTheme="majorHAnsi" w:cstheme="majorBidi"/>
        </w:rPr>
        <w:t>,</w:t>
      </w:r>
      <w:r w:rsidR="001C1C20" w:rsidRPr="3394A6C1">
        <w:rPr>
          <w:rFonts w:asciiTheme="majorHAnsi" w:eastAsiaTheme="majorEastAsia" w:hAnsiTheme="majorHAnsi" w:cstheme="majorBidi"/>
        </w:rPr>
        <w:t xml:space="preserve"> in reading and mathematics</w:t>
      </w:r>
      <w:r w:rsidR="00207DAE" w:rsidRPr="3394A6C1">
        <w:rPr>
          <w:rFonts w:asciiTheme="majorHAnsi" w:eastAsiaTheme="majorEastAsia" w:hAnsiTheme="majorHAnsi" w:cstheme="majorBidi"/>
        </w:rPr>
        <w:t>,</w:t>
      </w:r>
      <w:r w:rsidR="009B2AE1" w:rsidRPr="3394A6C1">
        <w:rPr>
          <w:rFonts w:asciiTheme="majorHAnsi" w:eastAsiaTheme="majorEastAsia" w:hAnsiTheme="majorHAnsi" w:cstheme="majorBidi"/>
        </w:rPr>
        <w:t xml:space="preserve"> </w:t>
      </w:r>
      <w:r w:rsidR="00982C70" w:rsidRPr="3394A6C1">
        <w:rPr>
          <w:rFonts w:asciiTheme="majorHAnsi" w:eastAsiaTheme="majorEastAsia" w:hAnsiTheme="majorHAnsi" w:cstheme="majorBidi"/>
        </w:rPr>
        <w:t xml:space="preserve">in </w:t>
      </w:r>
      <w:r w:rsidR="001951CF" w:rsidRPr="3394A6C1">
        <w:rPr>
          <w:rFonts w:asciiTheme="majorHAnsi" w:eastAsiaTheme="majorEastAsia" w:hAnsiTheme="majorHAnsi" w:cstheme="majorBidi"/>
        </w:rPr>
        <w:t>a) Grade 2</w:t>
      </w:r>
      <w:r w:rsidR="00134A21" w:rsidRPr="3394A6C1">
        <w:rPr>
          <w:rFonts w:asciiTheme="majorHAnsi" w:eastAsiaTheme="majorEastAsia" w:hAnsiTheme="majorHAnsi" w:cstheme="majorBidi"/>
        </w:rPr>
        <w:t>,</w:t>
      </w:r>
      <w:r w:rsidR="001951CF" w:rsidRPr="3394A6C1">
        <w:rPr>
          <w:rFonts w:asciiTheme="majorHAnsi" w:eastAsiaTheme="majorEastAsia" w:hAnsiTheme="majorHAnsi" w:cstheme="majorBidi"/>
        </w:rPr>
        <w:t xml:space="preserve"> 3</w:t>
      </w:r>
      <w:r w:rsidR="00943CAB" w:rsidRPr="3394A6C1">
        <w:rPr>
          <w:rFonts w:asciiTheme="majorHAnsi" w:eastAsiaTheme="majorEastAsia" w:hAnsiTheme="majorHAnsi" w:cstheme="majorBidi"/>
        </w:rPr>
        <w:t xml:space="preserve"> or 4</w:t>
      </w:r>
      <w:r w:rsidR="001951CF" w:rsidRPr="3394A6C1">
        <w:rPr>
          <w:rFonts w:asciiTheme="majorHAnsi" w:eastAsiaTheme="majorEastAsia" w:hAnsiTheme="majorHAnsi" w:cstheme="majorBidi"/>
        </w:rPr>
        <w:t xml:space="preserve">; b) </w:t>
      </w:r>
      <w:r w:rsidR="008071B0" w:rsidRPr="3394A6C1">
        <w:rPr>
          <w:rFonts w:asciiTheme="majorHAnsi" w:eastAsiaTheme="majorEastAsia" w:hAnsiTheme="majorHAnsi" w:cstheme="majorBidi"/>
        </w:rPr>
        <w:t>the end of primary school; and/or c) the end of lower secondary school</w:t>
      </w:r>
      <w:r w:rsidRPr="3394A6C1">
        <w:rPr>
          <w:rFonts w:asciiTheme="majorHAnsi" w:eastAsiaTheme="majorEastAsia" w:hAnsiTheme="majorHAnsi" w:cstheme="majorBidi"/>
        </w:rPr>
        <w:t>.</w:t>
      </w:r>
      <w:r w:rsidR="00ED5AEC" w:rsidRPr="3394A6C1">
        <w:rPr>
          <w:rStyle w:val="FootnoteReference"/>
          <w:rFonts w:asciiTheme="majorHAnsi" w:eastAsiaTheme="majorEastAsia" w:hAnsiTheme="majorHAnsi" w:cstheme="majorBidi"/>
        </w:rPr>
        <w:footnoteReference w:id="1"/>
      </w:r>
      <w:r w:rsidR="008443D6" w:rsidRPr="3394A6C1">
        <w:rPr>
          <w:rFonts w:asciiTheme="majorHAnsi" w:eastAsiaTheme="majorEastAsia" w:hAnsiTheme="majorHAnsi" w:cstheme="majorBidi"/>
        </w:rPr>
        <w:t xml:space="preserve">  </w:t>
      </w:r>
      <w:r w:rsidR="00AC5F1A" w:rsidRPr="3394A6C1">
        <w:rPr>
          <w:rFonts w:asciiTheme="majorHAnsi" w:eastAsiaTheme="majorEastAsia" w:hAnsiTheme="majorHAnsi" w:cstheme="majorBidi"/>
        </w:rPr>
        <w:t xml:space="preserve">Data </w:t>
      </w:r>
      <w:r w:rsidR="00532599" w:rsidRPr="3394A6C1">
        <w:rPr>
          <w:rFonts w:asciiTheme="majorHAnsi" w:eastAsiaTheme="majorEastAsia" w:hAnsiTheme="majorHAnsi" w:cstheme="majorBidi"/>
        </w:rPr>
        <w:t>can</w:t>
      </w:r>
      <w:r w:rsidR="00AC5F1A" w:rsidRPr="3394A6C1">
        <w:rPr>
          <w:rFonts w:asciiTheme="majorHAnsi" w:eastAsiaTheme="majorEastAsia" w:hAnsiTheme="majorHAnsi" w:cstheme="majorBidi"/>
        </w:rPr>
        <w:t xml:space="preserve"> be drawn from </w:t>
      </w:r>
      <w:r w:rsidR="00532599" w:rsidRPr="3394A6C1">
        <w:rPr>
          <w:rFonts w:asciiTheme="majorHAnsi" w:eastAsiaTheme="majorEastAsia" w:hAnsiTheme="majorHAnsi" w:cstheme="majorBidi"/>
        </w:rPr>
        <w:t xml:space="preserve">a range of </w:t>
      </w:r>
      <w:r w:rsidR="00AC5F1A" w:rsidRPr="3394A6C1">
        <w:rPr>
          <w:rFonts w:asciiTheme="majorHAnsi" w:eastAsiaTheme="majorEastAsia" w:hAnsiTheme="majorHAnsi" w:cstheme="majorBidi"/>
        </w:rPr>
        <w:t xml:space="preserve">existing program, national and/or regional level education reporting. </w:t>
      </w:r>
      <w:r w:rsidR="008443D6" w:rsidRPr="3394A6C1">
        <w:rPr>
          <w:rFonts w:asciiTheme="majorHAnsi" w:eastAsiaTheme="majorEastAsia" w:hAnsiTheme="majorHAnsi" w:cstheme="majorBidi"/>
        </w:rPr>
        <w:t>This technical note will support</w:t>
      </w:r>
      <w:r w:rsidR="00BA22DF" w:rsidRPr="3394A6C1">
        <w:rPr>
          <w:rFonts w:asciiTheme="majorHAnsi" w:eastAsiaTheme="majorEastAsia" w:hAnsiTheme="majorHAnsi" w:cstheme="majorBidi"/>
        </w:rPr>
        <w:t xml:space="preserve"> program areas to</w:t>
      </w:r>
      <w:r w:rsidR="007B2E16" w:rsidRPr="3394A6C1">
        <w:rPr>
          <w:rFonts w:asciiTheme="majorHAnsi" w:eastAsiaTheme="majorEastAsia" w:hAnsiTheme="majorHAnsi" w:cstheme="majorBidi"/>
        </w:rPr>
        <w:t xml:space="preserve"> use the </w:t>
      </w:r>
      <w:proofErr w:type="spellStart"/>
      <w:r w:rsidR="007B2E16" w:rsidRPr="3394A6C1">
        <w:rPr>
          <w:rFonts w:asciiTheme="majorHAnsi" w:eastAsiaTheme="majorEastAsia" w:hAnsiTheme="majorHAnsi" w:cstheme="majorBidi"/>
        </w:rPr>
        <w:t>Aidworks</w:t>
      </w:r>
      <w:proofErr w:type="spellEnd"/>
      <w:r w:rsidR="007B2E16" w:rsidRPr="3394A6C1">
        <w:rPr>
          <w:rFonts w:asciiTheme="majorHAnsi" w:eastAsiaTheme="majorEastAsia" w:hAnsiTheme="majorHAnsi" w:cstheme="majorBidi"/>
        </w:rPr>
        <w:t xml:space="preserve"> questionnaire to</w:t>
      </w:r>
      <w:r w:rsidR="00BA22DF" w:rsidRPr="3394A6C1">
        <w:rPr>
          <w:rFonts w:asciiTheme="majorHAnsi" w:eastAsiaTheme="majorEastAsia" w:hAnsiTheme="majorHAnsi" w:cstheme="majorBidi"/>
        </w:rPr>
        <w:t xml:space="preserve"> report </w:t>
      </w:r>
      <w:r w:rsidR="009A53B6" w:rsidRPr="3394A6C1">
        <w:rPr>
          <w:rFonts w:asciiTheme="majorHAnsi" w:eastAsiaTheme="majorEastAsia" w:hAnsiTheme="majorHAnsi" w:cstheme="majorBidi"/>
        </w:rPr>
        <w:t>their</w:t>
      </w:r>
      <w:r w:rsidR="00BA22DF" w:rsidRPr="3394A6C1">
        <w:rPr>
          <w:rFonts w:asciiTheme="majorHAnsi" w:eastAsiaTheme="majorEastAsia" w:hAnsiTheme="majorHAnsi" w:cstheme="majorBidi"/>
        </w:rPr>
        <w:t xml:space="preserve"> Tier 2 </w:t>
      </w:r>
      <w:r w:rsidR="009A53B6" w:rsidRPr="3394A6C1">
        <w:rPr>
          <w:rFonts w:asciiTheme="majorHAnsi" w:eastAsiaTheme="majorEastAsia" w:hAnsiTheme="majorHAnsi" w:cstheme="majorBidi"/>
        </w:rPr>
        <w:t>data</w:t>
      </w:r>
      <w:r w:rsidR="00902040" w:rsidRPr="3394A6C1">
        <w:rPr>
          <w:rFonts w:asciiTheme="majorHAnsi" w:eastAsiaTheme="majorEastAsia" w:hAnsiTheme="majorHAnsi" w:cstheme="majorBidi"/>
        </w:rPr>
        <w:t xml:space="preserve"> for this indicato</w:t>
      </w:r>
      <w:r w:rsidR="007B2E16" w:rsidRPr="3394A6C1">
        <w:rPr>
          <w:rFonts w:asciiTheme="majorHAnsi" w:eastAsiaTheme="majorEastAsia" w:hAnsiTheme="majorHAnsi" w:cstheme="majorBidi"/>
        </w:rPr>
        <w:t>r.</w:t>
      </w:r>
    </w:p>
    <w:p w14:paraId="13B7A278" w14:textId="179F2881" w:rsidR="00F37564" w:rsidRPr="0000426E" w:rsidRDefault="00CA1F88" w:rsidP="3394A6C1">
      <w:pPr>
        <w:pStyle w:val="BodyText"/>
        <w:spacing w:after="0"/>
        <w:jc w:val="both"/>
        <w:rPr>
          <w:rFonts w:asciiTheme="majorHAnsi" w:eastAsiaTheme="majorEastAsia" w:hAnsiTheme="majorHAnsi" w:cstheme="majorBidi"/>
        </w:rPr>
      </w:pPr>
      <w:r w:rsidRPr="3394A6C1">
        <w:rPr>
          <w:rFonts w:asciiTheme="majorHAnsi" w:eastAsiaTheme="majorEastAsia" w:hAnsiTheme="majorHAnsi" w:cstheme="majorBidi"/>
          <w:b/>
          <w:bCs/>
        </w:rPr>
        <w:t xml:space="preserve">Children </w:t>
      </w:r>
      <w:r w:rsidRPr="3394A6C1">
        <w:rPr>
          <w:rFonts w:asciiTheme="majorHAnsi" w:eastAsiaTheme="majorEastAsia" w:hAnsiTheme="majorHAnsi" w:cstheme="majorBidi"/>
        </w:rPr>
        <w:t>are girls and boys aged 0 to 18 years.</w:t>
      </w:r>
      <w:r w:rsidR="001677D4" w:rsidRPr="3394A6C1">
        <w:rPr>
          <w:rStyle w:val="FootnoteReference"/>
          <w:rFonts w:asciiTheme="majorHAnsi" w:eastAsiaTheme="majorEastAsia" w:hAnsiTheme="majorHAnsi" w:cstheme="majorBidi"/>
        </w:rPr>
        <w:footnoteReference w:id="2"/>
      </w:r>
      <w:r w:rsidRPr="3394A6C1">
        <w:rPr>
          <w:rFonts w:asciiTheme="majorHAnsi" w:eastAsiaTheme="majorEastAsia" w:hAnsiTheme="majorHAnsi" w:cstheme="majorBidi"/>
        </w:rPr>
        <w:t xml:space="preserve">  </w:t>
      </w:r>
      <w:r w:rsidRPr="3394A6C1">
        <w:rPr>
          <w:rFonts w:asciiTheme="majorHAnsi" w:eastAsiaTheme="majorEastAsia" w:hAnsiTheme="majorHAnsi" w:cstheme="majorBidi"/>
          <w:b/>
          <w:bCs/>
        </w:rPr>
        <w:t>Young people</w:t>
      </w:r>
      <w:r w:rsidRPr="3394A6C1">
        <w:rPr>
          <w:rFonts w:asciiTheme="majorHAnsi" w:eastAsiaTheme="majorEastAsia" w:hAnsiTheme="majorHAnsi" w:cstheme="majorBidi"/>
        </w:rPr>
        <w:t xml:space="preserve"> are</w:t>
      </w:r>
      <w:r w:rsidRPr="3394A6C1">
        <w:rPr>
          <w:rFonts w:asciiTheme="majorHAnsi" w:eastAsiaTheme="majorEastAsia" w:hAnsiTheme="majorHAnsi" w:cstheme="majorBidi"/>
          <w:b/>
          <w:bCs/>
        </w:rPr>
        <w:t xml:space="preserve"> </w:t>
      </w:r>
      <w:r w:rsidRPr="3394A6C1">
        <w:rPr>
          <w:rFonts w:asciiTheme="majorHAnsi" w:eastAsiaTheme="majorEastAsia" w:hAnsiTheme="majorHAnsi" w:cstheme="majorBidi"/>
        </w:rPr>
        <w:t>aged 1</w:t>
      </w:r>
      <w:r w:rsidR="00217E52" w:rsidRPr="3394A6C1">
        <w:rPr>
          <w:rFonts w:asciiTheme="majorHAnsi" w:eastAsiaTheme="majorEastAsia" w:hAnsiTheme="majorHAnsi" w:cstheme="majorBidi"/>
        </w:rPr>
        <w:t>5</w:t>
      </w:r>
      <w:r w:rsidRPr="3394A6C1">
        <w:rPr>
          <w:rFonts w:asciiTheme="majorHAnsi" w:eastAsiaTheme="majorEastAsia" w:hAnsiTheme="majorHAnsi" w:cstheme="majorBidi"/>
        </w:rPr>
        <w:t>-24 years</w:t>
      </w:r>
      <w:r w:rsidR="00F655C6" w:rsidRPr="3394A6C1">
        <w:rPr>
          <w:rFonts w:asciiTheme="majorHAnsi" w:eastAsiaTheme="majorEastAsia" w:hAnsiTheme="majorHAnsi" w:cstheme="majorBidi"/>
        </w:rPr>
        <w:t>.</w:t>
      </w:r>
      <w:r w:rsidRPr="3394A6C1">
        <w:rPr>
          <w:rStyle w:val="FootnoteReference"/>
          <w:rFonts w:asciiTheme="majorHAnsi" w:eastAsiaTheme="majorEastAsia" w:hAnsiTheme="majorHAnsi" w:cstheme="majorBidi"/>
        </w:rPr>
        <w:footnoteReference w:id="3"/>
      </w:r>
    </w:p>
    <w:p w14:paraId="2C9975C6" w14:textId="5159ADE7" w:rsidR="00CA1F88" w:rsidRPr="0000426E" w:rsidRDefault="00CA1F88" w:rsidP="3394A6C1">
      <w:pPr>
        <w:pStyle w:val="BodyText"/>
        <w:spacing w:after="0"/>
        <w:jc w:val="both"/>
        <w:rPr>
          <w:rFonts w:asciiTheme="majorHAnsi" w:eastAsiaTheme="majorEastAsia" w:hAnsiTheme="majorHAnsi" w:cstheme="majorBidi"/>
        </w:rPr>
      </w:pPr>
      <w:r w:rsidRPr="3394A6C1">
        <w:rPr>
          <w:rFonts w:asciiTheme="majorHAnsi" w:eastAsiaTheme="majorEastAsia" w:hAnsiTheme="majorHAnsi" w:cstheme="majorBidi"/>
          <w:b/>
          <w:bCs/>
        </w:rPr>
        <w:t>Girls/Boys</w:t>
      </w:r>
      <w:r w:rsidR="00F37564" w:rsidRPr="3394A6C1">
        <w:rPr>
          <w:rFonts w:asciiTheme="majorHAnsi" w:eastAsiaTheme="majorEastAsia" w:hAnsiTheme="majorHAnsi" w:cstheme="majorBidi"/>
          <w:b/>
          <w:bCs/>
        </w:rPr>
        <w:t xml:space="preserve"> </w:t>
      </w:r>
      <w:r w:rsidR="00F37564" w:rsidRPr="3394A6C1">
        <w:rPr>
          <w:rFonts w:asciiTheme="majorHAnsi" w:eastAsiaTheme="majorEastAsia" w:hAnsiTheme="majorHAnsi" w:cstheme="majorBidi"/>
        </w:rPr>
        <w:t>i</w:t>
      </w:r>
      <w:r w:rsidRPr="3394A6C1">
        <w:rPr>
          <w:rFonts w:asciiTheme="majorHAnsi" w:eastAsiaTheme="majorEastAsia" w:hAnsiTheme="majorHAnsi" w:cstheme="majorBidi"/>
        </w:rPr>
        <w:t>nclude all learners enrolled in basic education, regardless of age</w:t>
      </w:r>
      <w:r w:rsidR="00F37564" w:rsidRPr="3394A6C1">
        <w:rPr>
          <w:rFonts w:asciiTheme="majorHAnsi" w:eastAsiaTheme="majorEastAsia" w:hAnsiTheme="majorHAnsi" w:cstheme="majorBidi"/>
        </w:rPr>
        <w:t>.</w:t>
      </w:r>
    </w:p>
    <w:p w14:paraId="60223450" w14:textId="6775A4E6" w:rsidR="00CA1F88" w:rsidRPr="0000426E" w:rsidRDefault="00CA1F88" w:rsidP="3394A6C1">
      <w:pPr>
        <w:pStyle w:val="BodyText"/>
        <w:spacing w:after="0"/>
        <w:jc w:val="both"/>
        <w:rPr>
          <w:rFonts w:asciiTheme="majorHAnsi" w:eastAsiaTheme="majorEastAsia" w:hAnsiTheme="majorHAnsi" w:cstheme="majorBidi"/>
        </w:rPr>
      </w:pPr>
      <w:r w:rsidRPr="3394A6C1">
        <w:rPr>
          <w:rFonts w:asciiTheme="majorHAnsi" w:eastAsiaTheme="majorEastAsia" w:hAnsiTheme="majorHAnsi" w:cstheme="majorBidi"/>
          <w:b/>
          <w:bCs/>
        </w:rPr>
        <w:t>Proportion</w:t>
      </w:r>
      <w:r w:rsidR="00F37564" w:rsidRPr="3394A6C1">
        <w:rPr>
          <w:rFonts w:asciiTheme="majorHAnsi" w:eastAsiaTheme="majorEastAsia" w:hAnsiTheme="majorHAnsi" w:cstheme="majorBidi"/>
          <w:b/>
          <w:bCs/>
        </w:rPr>
        <w:t xml:space="preserve"> </w:t>
      </w:r>
      <w:r w:rsidR="00F37564" w:rsidRPr="3394A6C1">
        <w:rPr>
          <w:rFonts w:asciiTheme="majorHAnsi" w:eastAsiaTheme="majorEastAsia" w:hAnsiTheme="majorHAnsi" w:cstheme="majorBidi"/>
        </w:rPr>
        <w:t>is the p</w:t>
      </w:r>
      <w:r w:rsidRPr="3394A6C1">
        <w:rPr>
          <w:rFonts w:asciiTheme="majorHAnsi" w:eastAsiaTheme="majorEastAsia" w:hAnsiTheme="majorHAnsi" w:cstheme="majorBidi"/>
        </w:rPr>
        <w:t xml:space="preserve">ercentage of learners achieving minimum proficiency compared </w:t>
      </w:r>
      <w:r w:rsidR="00765979" w:rsidRPr="3394A6C1">
        <w:rPr>
          <w:rFonts w:asciiTheme="majorHAnsi" w:eastAsiaTheme="majorEastAsia" w:hAnsiTheme="majorHAnsi" w:cstheme="majorBidi"/>
        </w:rPr>
        <w:t>with</w:t>
      </w:r>
      <w:r w:rsidRPr="3394A6C1">
        <w:rPr>
          <w:rFonts w:asciiTheme="majorHAnsi" w:eastAsiaTheme="majorEastAsia" w:hAnsiTheme="majorHAnsi" w:cstheme="majorBidi"/>
        </w:rPr>
        <w:t xml:space="preserve"> the whole student population.</w:t>
      </w:r>
    </w:p>
    <w:p w14:paraId="2ABC3BA4" w14:textId="1067E678" w:rsidR="00CA1F88" w:rsidRPr="0000426E" w:rsidRDefault="00CA1F88" w:rsidP="3394A6C1">
      <w:pPr>
        <w:pStyle w:val="BodyText"/>
        <w:spacing w:after="0"/>
        <w:jc w:val="both"/>
        <w:rPr>
          <w:rFonts w:asciiTheme="majorHAnsi" w:eastAsiaTheme="majorEastAsia" w:hAnsiTheme="majorHAnsi" w:cstheme="majorBidi"/>
        </w:rPr>
      </w:pPr>
      <w:r w:rsidRPr="3394A6C1">
        <w:rPr>
          <w:rFonts w:asciiTheme="majorHAnsi" w:eastAsiaTheme="majorEastAsia" w:hAnsiTheme="majorHAnsi" w:cstheme="majorBidi"/>
          <w:b/>
          <w:bCs/>
        </w:rPr>
        <w:t>School</w:t>
      </w:r>
      <w:r w:rsidR="00EF6D68" w:rsidRPr="3394A6C1">
        <w:rPr>
          <w:rFonts w:asciiTheme="majorHAnsi" w:eastAsiaTheme="majorEastAsia" w:hAnsiTheme="majorHAnsi" w:cstheme="majorBidi"/>
          <w:b/>
          <w:bCs/>
        </w:rPr>
        <w:t>s</w:t>
      </w:r>
      <w:r w:rsidR="00EF6D68" w:rsidRPr="3394A6C1">
        <w:rPr>
          <w:rFonts w:asciiTheme="majorHAnsi" w:eastAsiaTheme="majorEastAsia" w:hAnsiTheme="majorHAnsi" w:cstheme="majorBidi"/>
        </w:rPr>
        <w:t xml:space="preserve"> are p</w:t>
      </w:r>
      <w:r w:rsidRPr="3394A6C1">
        <w:rPr>
          <w:rFonts w:asciiTheme="majorHAnsi" w:eastAsiaTheme="majorEastAsia" w:hAnsiTheme="majorHAnsi" w:cstheme="majorBidi"/>
        </w:rPr>
        <w:t>rovide</w:t>
      </w:r>
      <w:r w:rsidR="00666BD4" w:rsidRPr="3394A6C1">
        <w:rPr>
          <w:rFonts w:asciiTheme="majorHAnsi" w:eastAsiaTheme="majorEastAsia" w:hAnsiTheme="majorHAnsi" w:cstheme="majorBidi"/>
        </w:rPr>
        <w:t>r</w:t>
      </w:r>
      <w:r w:rsidR="00EF6D68" w:rsidRPr="3394A6C1">
        <w:rPr>
          <w:rFonts w:asciiTheme="majorHAnsi" w:eastAsiaTheme="majorEastAsia" w:hAnsiTheme="majorHAnsi" w:cstheme="majorBidi"/>
        </w:rPr>
        <w:t>s</w:t>
      </w:r>
      <w:r w:rsidRPr="3394A6C1">
        <w:rPr>
          <w:rFonts w:asciiTheme="majorHAnsi" w:eastAsiaTheme="majorEastAsia" w:hAnsiTheme="majorHAnsi" w:cstheme="majorBidi"/>
        </w:rPr>
        <w:t xml:space="preserve"> of basic education, as defined by partner government</w:t>
      </w:r>
      <w:r w:rsidR="00EF6D68" w:rsidRPr="3394A6C1">
        <w:rPr>
          <w:rFonts w:asciiTheme="majorHAnsi" w:eastAsiaTheme="majorEastAsia" w:hAnsiTheme="majorHAnsi" w:cstheme="majorBidi"/>
        </w:rPr>
        <w:t>s</w:t>
      </w:r>
      <w:r w:rsidR="6710DD32" w:rsidRPr="3394A6C1">
        <w:rPr>
          <w:rFonts w:asciiTheme="majorHAnsi" w:eastAsiaTheme="majorEastAsia" w:hAnsiTheme="majorHAnsi" w:cstheme="majorBidi"/>
        </w:rPr>
        <w:t xml:space="preserve">. </w:t>
      </w:r>
      <w:r w:rsidR="00A0222E" w:rsidRPr="3394A6C1">
        <w:rPr>
          <w:rFonts w:asciiTheme="majorHAnsi" w:eastAsiaTheme="majorEastAsia" w:hAnsiTheme="majorHAnsi" w:cstheme="majorBidi"/>
        </w:rPr>
        <w:t>May include formal</w:t>
      </w:r>
      <w:r w:rsidR="0047793A" w:rsidRPr="3394A6C1">
        <w:rPr>
          <w:rFonts w:asciiTheme="majorHAnsi" w:eastAsiaTheme="majorEastAsia" w:hAnsiTheme="majorHAnsi" w:cstheme="majorBidi"/>
        </w:rPr>
        <w:t xml:space="preserve"> schools (</w:t>
      </w:r>
      <w:r w:rsidR="00F12773" w:rsidRPr="3394A6C1">
        <w:rPr>
          <w:rFonts w:asciiTheme="majorHAnsi" w:eastAsiaTheme="majorEastAsia" w:hAnsiTheme="majorHAnsi" w:cstheme="majorBidi"/>
        </w:rPr>
        <w:t>government or private</w:t>
      </w:r>
      <w:r w:rsidR="0047793A" w:rsidRPr="3394A6C1">
        <w:rPr>
          <w:rFonts w:asciiTheme="majorHAnsi" w:eastAsiaTheme="majorEastAsia" w:hAnsiTheme="majorHAnsi" w:cstheme="majorBidi"/>
        </w:rPr>
        <w:t xml:space="preserve">) </w:t>
      </w:r>
      <w:r w:rsidR="00A0222E" w:rsidRPr="3394A6C1">
        <w:rPr>
          <w:rFonts w:asciiTheme="majorHAnsi" w:eastAsiaTheme="majorEastAsia" w:hAnsiTheme="majorHAnsi" w:cstheme="majorBidi"/>
        </w:rPr>
        <w:t>and non-formal schools</w:t>
      </w:r>
      <w:r w:rsidR="0047793A" w:rsidRPr="3394A6C1">
        <w:rPr>
          <w:rFonts w:asciiTheme="majorHAnsi" w:eastAsiaTheme="majorEastAsia" w:hAnsiTheme="majorHAnsi" w:cstheme="majorBidi"/>
        </w:rPr>
        <w:t xml:space="preserve"> (</w:t>
      </w:r>
      <w:r w:rsidR="00A0222E" w:rsidRPr="3394A6C1">
        <w:rPr>
          <w:rFonts w:asciiTheme="majorHAnsi" w:eastAsiaTheme="majorEastAsia" w:hAnsiTheme="majorHAnsi" w:cstheme="majorBidi"/>
        </w:rPr>
        <w:t>particularly in emergency or humanitarian contexts</w:t>
      </w:r>
      <w:r w:rsidR="0047793A" w:rsidRPr="3394A6C1">
        <w:rPr>
          <w:rFonts w:asciiTheme="majorHAnsi" w:eastAsiaTheme="majorEastAsia" w:hAnsiTheme="majorHAnsi" w:cstheme="majorBidi"/>
        </w:rPr>
        <w:t>)</w:t>
      </w:r>
      <w:r w:rsidR="00F12773" w:rsidRPr="3394A6C1">
        <w:rPr>
          <w:rFonts w:asciiTheme="majorHAnsi" w:eastAsiaTheme="majorEastAsia" w:hAnsiTheme="majorHAnsi" w:cstheme="majorBidi"/>
        </w:rPr>
        <w:t>.</w:t>
      </w:r>
    </w:p>
    <w:p w14:paraId="6E17AF6D" w14:textId="015DB48E" w:rsidR="00E542A6" w:rsidRPr="0000426E" w:rsidRDefault="00CA1F88" w:rsidP="3394A6C1">
      <w:pPr>
        <w:pStyle w:val="BodyText"/>
        <w:spacing w:after="0"/>
        <w:jc w:val="both"/>
        <w:rPr>
          <w:rFonts w:asciiTheme="majorHAnsi" w:eastAsiaTheme="majorEastAsia" w:hAnsiTheme="majorHAnsi" w:cstheme="majorBidi"/>
        </w:rPr>
      </w:pPr>
      <w:r w:rsidRPr="3394A6C1">
        <w:rPr>
          <w:rFonts w:asciiTheme="majorHAnsi" w:eastAsiaTheme="majorEastAsia" w:hAnsiTheme="majorHAnsi" w:cstheme="majorBidi"/>
          <w:b/>
          <w:bCs/>
        </w:rPr>
        <w:t>Basic education</w:t>
      </w:r>
      <w:r w:rsidR="00EF6D68" w:rsidRPr="3394A6C1">
        <w:rPr>
          <w:rFonts w:asciiTheme="majorHAnsi" w:eastAsiaTheme="majorEastAsia" w:hAnsiTheme="majorHAnsi" w:cstheme="majorBidi"/>
          <w:b/>
          <w:bCs/>
        </w:rPr>
        <w:t xml:space="preserve"> </w:t>
      </w:r>
      <w:r w:rsidR="00EF6D68" w:rsidRPr="3394A6C1">
        <w:rPr>
          <w:rFonts w:asciiTheme="majorHAnsi" w:eastAsiaTheme="majorEastAsia" w:hAnsiTheme="majorHAnsi" w:cstheme="majorBidi"/>
        </w:rPr>
        <w:t>co</w:t>
      </w:r>
      <w:r w:rsidRPr="3394A6C1">
        <w:rPr>
          <w:rFonts w:asciiTheme="majorHAnsi" w:eastAsiaTheme="majorEastAsia" w:hAnsiTheme="majorHAnsi" w:cstheme="majorBidi"/>
        </w:rPr>
        <w:t>mprises primary education (first stage of basic education) plus lower secondary education (second stage of basic education)</w:t>
      </w:r>
      <w:r w:rsidR="00666BD4" w:rsidRPr="3394A6C1">
        <w:rPr>
          <w:rFonts w:asciiTheme="majorHAnsi" w:eastAsiaTheme="majorEastAsia" w:hAnsiTheme="majorHAnsi" w:cstheme="majorBidi"/>
        </w:rPr>
        <w:t>;</w:t>
      </w:r>
      <w:r w:rsidR="00134A4F" w:rsidRPr="3394A6C1">
        <w:rPr>
          <w:rFonts w:asciiTheme="majorHAnsi" w:eastAsiaTheme="majorEastAsia" w:hAnsiTheme="majorHAnsi" w:cstheme="majorBidi"/>
        </w:rPr>
        <w:t xml:space="preserve"> usually </w:t>
      </w:r>
      <w:r w:rsidRPr="3394A6C1">
        <w:rPr>
          <w:rFonts w:asciiTheme="majorHAnsi" w:eastAsiaTheme="majorEastAsia" w:hAnsiTheme="majorHAnsi" w:cstheme="majorBidi"/>
        </w:rPr>
        <w:t xml:space="preserve">nine </w:t>
      </w:r>
      <w:r w:rsidR="064B2861" w:rsidRPr="3394A6C1">
        <w:rPr>
          <w:rFonts w:asciiTheme="majorHAnsi" w:eastAsiaTheme="majorEastAsia" w:hAnsiTheme="majorHAnsi" w:cstheme="majorBidi"/>
        </w:rPr>
        <w:t>years</w:t>
      </w:r>
      <w:r w:rsidRPr="3394A6C1">
        <w:rPr>
          <w:rFonts w:asciiTheme="majorHAnsi" w:eastAsiaTheme="majorEastAsia" w:hAnsiTheme="majorHAnsi" w:cstheme="majorBidi"/>
        </w:rPr>
        <w:t xml:space="preserve"> of schooling</w:t>
      </w:r>
      <w:r w:rsidR="00134A4F" w:rsidRPr="3394A6C1">
        <w:rPr>
          <w:rFonts w:asciiTheme="majorHAnsi" w:eastAsiaTheme="majorEastAsia" w:hAnsiTheme="majorHAnsi" w:cstheme="majorBidi"/>
        </w:rPr>
        <w:t>.</w:t>
      </w:r>
      <w:r w:rsidR="00C8574A" w:rsidRPr="3394A6C1">
        <w:rPr>
          <w:rFonts w:asciiTheme="majorHAnsi" w:eastAsiaTheme="majorEastAsia" w:hAnsiTheme="majorHAnsi" w:cstheme="majorBidi"/>
        </w:rPr>
        <w:t xml:space="preserve">  Kindergarten, senior secondary </w:t>
      </w:r>
      <w:r w:rsidR="415821B1" w:rsidRPr="3394A6C1">
        <w:rPr>
          <w:rFonts w:asciiTheme="majorHAnsi" w:eastAsiaTheme="majorEastAsia" w:hAnsiTheme="majorHAnsi" w:cstheme="majorBidi"/>
        </w:rPr>
        <w:t>school,</w:t>
      </w:r>
      <w:r w:rsidR="00C8574A" w:rsidRPr="3394A6C1">
        <w:rPr>
          <w:rFonts w:asciiTheme="majorHAnsi" w:eastAsiaTheme="majorEastAsia" w:hAnsiTheme="majorHAnsi" w:cstheme="majorBidi"/>
        </w:rPr>
        <w:t xml:space="preserve"> and non-formal/alternative education provisions may also be included, if the partner government includes them in its basic education definition.</w:t>
      </w:r>
    </w:p>
    <w:p w14:paraId="37E77D57" w14:textId="017D0414" w:rsidR="00CA1F88" w:rsidRPr="0000426E" w:rsidRDefault="00CA1F88" w:rsidP="3394A6C1">
      <w:pPr>
        <w:pStyle w:val="BodyText"/>
        <w:spacing w:after="120"/>
        <w:jc w:val="both"/>
        <w:rPr>
          <w:rFonts w:asciiTheme="majorHAnsi" w:eastAsiaTheme="majorEastAsia" w:hAnsiTheme="majorHAnsi" w:cstheme="majorBidi"/>
        </w:rPr>
      </w:pPr>
      <w:r w:rsidRPr="3394A6C1">
        <w:rPr>
          <w:rFonts w:asciiTheme="majorHAnsi" w:eastAsiaTheme="majorEastAsia" w:hAnsiTheme="majorHAnsi" w:cstheme="majorBidi"/>
          <w:b/>
          <w:bCs/>
        </w:rPr>
        <w:t>School and grade levels</w:t>
      </w:r>
      <w:r w:rsidRPr="3394A6C1">
        <w:rPr>
          <w:rStyle w:val="FootnoteReference"/>
          <w:rFonts w:asciiTheme="majorHAnsi" w:eastAsiaTheme="majorEastAsia" w:hAnsiTheme="majorHAnsi" w:cstheme="majorBidi"/>
        </w:rPr>
        <w:footnoteReference w:id="4"/>
      </w:r>
      <w:r w:rsidR="00753E84" w:rsidRPr="3394A6C1">
        <w:rPr>
          <w:rFonts w:asciiTheme="majorHAnsi" w:eastAsiaTheme="majorEastAsia" w:hAnsiTheme="majorHAnsi" w:cstheme="majorBidi"/>
          <w:b/>
          <w:bCs/>
        </w:rPr>
        <w:t xml:space="preserve">: </w:t>
      </w:r>
      <w:r w:rsidRPr="3394A6C1">
        <w:rPr>
          <w:rFonts w:asciiTheme="majorHAnsi" w:eastAsiaTheme="majorEastAsia" w:hAnsiTheme="majorHAnsi" w:cstheme="majorBidi"/>
        </w:rPr>
        <w:t>Grades 2</w:t>
      </w:r>
      <w:r w:rsidR="00943CAB" w:rsidRPr="3394A6C1">
        <w:rPr>
          <w:rFonts w:asciiTheme="majorHAnsi" w:eastAsiaTheme="majorEastAsia" w:hAnsiTheme="majorHAnsi" w:cstheme="majorBidi"/>
        </w:rPr>
        <w:t>,</w:t>
      </w:r>
      <w:r w:rsidRPr="3394A6C1">
        <w:rPr>
          <w:rFonts w:asciiTheme="majorHAnsi" w:eastAsiaTheme="majorEastAsia" w:hAnsiTheme="majorHAnsi" w:cstheme="majorBidi"/>
        </w:rPr>
        <w:t xml:space="preserve"> 3</w:t>
      </w:r>
      <w:r w:rsidR="00720D92" w:rsidRPr="3394A6C1">
        <w:rPr>
          <w:rFonts w:asciiTheme="majorHAnsi" w:eastAsiaTheme="majorEastAsia" w:hAnsiTheme="majorHAnsi" w:cstheme="majorBidi"/>
        </w:rPr>
        <w:t xml:space="preserve"> and 4</w:t>
      </w:r>
      <w:r w:rsidR="00943CAB" w:rsidRPr="3394A6C1">
        <w:rPr>
          <w:rFonts w:asciiTheme="majorHAnsi" w:eastAsiaTheme="majorEastAsia" w:hAnsiTheme="majorHAnsi" w:cstheme="majorBidi"/>
        </w:rPr>
        <w:t xml:space="preserve"> and</w:t>
      </w:r>
      <w:r w:rsidRPr="3394A6C1">
        <w:rPr>
          <w:rFonts w:asciiTheme="majorHAnsi" w:eastAsiaTheme="majorEastAsia" w:hAnsiTheme="majorHAnsi" w:cstheme="majorBidi"/>
        </w:rPr>
        <w:t xml:space="preserve"> are usually the second</w:t>
      </w:r>
      <w:r w:rsidR="00943CAB" w:rsidRPr="3394A6C1">
        <w:rPr>
          <w:rFonts w:asciiTheme="majorHAnsi" w:eastAsiaTheme="majorEastAsia" w:hAnsiTheme="majorHAnsi" w:cstheme="majorBidi"/>
        </w:rPr>
        <w:t>,</w:t>
      </w:r>
      <w:r w:rsidRPr="3394A6C1">
        <w:rPr>
          <w:rFonts w:asciiTheme="majorHAnsi" w:eastAsiaTheme="majorEastAsia" w:hAnsiTheme="majorHAnsi" w:cstheme="majorBidi"/>
        </w:rPr>
        <w:t xml:space="preserve"> third</w:t>
      </w:r>
      <w:r w:rsidR="00720D92" w:rsidRPr="3394A6C1">
        <w:rPr>
          <w:rFonts w:asciiTheme="majorHAnsi" w:eastAsiaTheme="majorEastAsia" w:hAnsiTheme="majorHAnsi" w:cstheme="majorBidi"/>
        </w:rPr>
        <w:t xml:space="preserve"> and</w:t>
      </w:r>
      <w:r w:rsidR="00943CAB" w:rsidRPr="3394A6C1">
        <w:rPr>
          <w:rFonts w:asciiTheme="majorHAnsi" w:eastAsiaTheme="majorEastAsia" w:hAnsiTheme="majorHAnsi" w:cstheme="majorBidi"/>
        </w:rPr>
        <w:t xml:space="preserve"> fourth</w:t>
      </w:r>
      <w:r w:rsidRPr="3394A6C1">
        <w:rPr>
          <w:rFonts w:asciiTheme="majorHAnsi" w:eastAsiaTheme="majorEastAsia" w:hAnsiTheme="majorHAnsi" w:cstheme="majorBidi"/>
        </w:rPr>
        <w:t xml:space="preserve"> years of primary school</w:t>
      </w:r>
      <w:r w:rsidR="00753E84" w:rsidRPr="3394A6C1">
        <w:rPr>
          <w:rFonts w:asciiTheme="majorHAnsi" w:eastAsiaTheme="majorEastAsia" w:hAnsiTheme="majorHAnsi" w:cstheme="majorBidi"/>
        </w:rPr>
        <w:t>; e</w:t>
      </w:r>
      <w:r w:rsidRPr="3394A6C1">
        <w:rPr>
          <w:rFonts w:asciiTheme="majorHAnsi" w:eastAsiaTheme="majorEastAsia" w:hAnsiTheme="majorHAnsi" w:cstheme="majorBidi"/>
        </w:rPr>
        <w:t>nd of primary school is usually the</w:t>
      </w:r>
      <w:r w:rsidR="00E452AD" w:rsidRPr="3394A6C1">
        <w:rPr>
          <w:rFonts w:asciiTheme="majorHAnsi" w:eastAsiaTheme="majorEastAsia" w:hAnsiTheme="majorHAnsi" w:cstheme="majorBidi"/>
        </w:rPr>
        <w:t xml:space="preserve"> fifth or</w:t>
      </w:r>
      <w:r w:rsidRPr="3394A6C1">
        <w:rPr>
          <w:rFonts w:asciiTheme="majorHAnsi" w:eastAsiaTheme="majorEastAsia" w:hAnsiTheme="majorHAnsi" w:cstheme="majorBidi"/>
        </w:rPr>
        <w:t xml:space="preserve"> sixth year of primary school</w:t>
      </w:r>
      <w:r w:rsidR="00753E84" w:rsidRPr="3394A6C1">
        <w:rPr>
          <w:rFonts w:asciiTheme="majorHAnsi" w:eastAsiaTheme="majorEastAsia" w:hAnsiTheme="majorHAnsi" w:cstheme="majorBidi"/>
        </w:rPr>
        <w:t>; e</w:t>
      </w:r>
      <w:r w:rsidRPr="3394A6C1">
        <w:rPr>
          <w:rFonts w:asciiTheme="majorHAnsi" w:eastAsiaTheme="majorEastAsia" w:hAnsiTheme="majorHAnsi" w:cstheme="majorBidi"/>
        </w:rPr>
        <w:t xml:space="preserve">nd of lower secondary school is usually </w:t>
      </w:r>
      <w:r w:rsidR="00AF7F78" w:rsidRPr="3394A6C1">
        <w:rPr>
          <w:rFonts w:asciiTheme="majorHAnsi" w:eastAsiaTheme="majorEastAsia" w:hAnsiTheme="majorHAnsi" w:cstheme="majorBidi"/>
        </w:rPr>
        <w:t xml:space="preserve">the eighth or </w:t>
      </w:r>
      <w:r w:rsidRPr="3394A6C1">
        <w:rPr>
          <w:rFonts w:asciiTheme="majorHAnsi" w:eastAsiaTheme="majorEastAsia" w:hAnsiTheme="majorHAnsi" w:cstheme="majorBidi"/>
        </w:rPr>
        <w:t>ninth year of basic education</w:t>
      </w:r>
      <w:r w:rsidR="00753E84" w:rsidRPr="3394A6C1">
        <w:rPr>
          <w:rFonts w:asciiTheme="majorHAnsi" w:eastAsiaTheme="majorEastAsia" w:hAnsiTheme="majorHAnsi" w:cstheme="majorBidi"/>
        </w:rPr>
        <w:t xml:space="preserve">.  </w:t>
      </w:r>
      <w:r w:rsidRPr="3394A6C1">
        <w:rPr>
          <w:rFonts w:asciiTheme="majorHAnsi" w:eastAsiaTheme="majorEastAsia" w:hAnsiTheme="majorHAnsi" w:cstheme="majorBidi"/>
        </w:rPr>
        <w:t>Children of varying ages might be in the same grade/year levels.</w:t>
      </w:r>
    </w:p>
    <w:p w14:paraId="57F41F32" w14:textId="4801489A" w:rsidR="005B77FC" w:rsidRPr="0000426E" w:rsidRDefault="001E3651" w:rsidP="3394A6C1">
      <w:pPr>
        <w:pStyle w:val="BodyText"/>
        <w:spacing w:after="120"/>
        <w:jc w:val="both"/>
        <w:rPr>
          <w:rFonts w:asciiTheme="majorHAnsi" w:eastAsiaTheme="majorEastAsia" w:hAnsiTheme="majorHAnsi" w:cstheme="majorBidi"/>
        </w:rPr>
      </w:pPr>
      <w:r w:rsidRPr="3394A6C1">
        <w:rPr>
          <w:rFonts w:asciiTheme="majorHAnsi" w:eastAsiaTheme="majorEastAsia" w:hAnsiTheme="majorHAnsi" w:cstheme="majorBidi"/>
          <w:b/>
          <w:bCs/>
        </w:rPr>
        <w:t xml:space="preserve">Learning outcomes </w:t>
      </w:r>
      <w:r w:rsidRPr="3394A6C1">
        <w:rPr>
          <w:rFonts w:asciiTheme="majorHAnsi" w:eastAsiaTheme="majorEastAsia" w:hAnsiTheme="majorHAnsi" w:cstheme="majorBidi"/>
        </w:rPr>
        <w:t>are</w:t>
      </w:r>
      <w:r w:rsidR="002C5322" w:rsidRPr="3394A6C1">
        <w:rPr>
          <w:rFonts w:asciiTheme="majorHAnsi" w:eastAsiaTheme="majorEastAsia" w:hAnsiTheme="majorHAnsi" w:cstheme="majorBidi"/>
        </w:rPr>
        <w:t xml:space="preserve"> measurable achievements </w:t>
      </w:r>
      <w:r w:rsidR="000B46DB" w:rsidRPr="3394A6C1">
        <w:rPr>
          <w:rFonts w:asciiTheme="majorHAnsi" w:eastAsiaTheme="majorEastAsia" w:hAnsiTheme="majorHAnsi" w:cstheme="majorBidi"/>
        </w:rPr>
        <w:t xml:space="preserve">in literacy (reading), </w:t>
      </w:r>
      <w:r w:rsidR="00AD38A0" w:rsidRPr="3394A6C1">
        <w:rPr>
          <w:rFonts w:asciiTheme="majorHAnsi" w:eastAsiaTheme="majorEastAsia" w:hAnsiTheme="majorHAnsi" w:cstheme="majorBidi"/>
        </w:rPr>
        <w:t xml:space="preserve">numeracy (mathematics) and/or other domains such as science or social studies.  </w:t>
      </w:r>
    </w:p>
    <w:p w14:paraId="44624B7F" w14:textId="2CCD837E" w:rsidR="00CA1F88" w:rsidRPr="0000426E" w:rsidRDefault="00CA1F88" w:rsidP="3394A6C1">
      <w:pPr>
        <w:pStyle w:val="BodyText"/>
        <w:spacing w:before="0" w:after="0"/>
        <w:jc w:val="both"/>
        <w:rPr>
          <w:rFonts w:asciiTheme="majorHAnsi" w:eastAsiaTheme="majorEastAsia" w:hAnsiTheme="majorHAnsi" w:cstheme="majorBidi"/>
        </w:rPr>
      </w:pPr>
      <w:r w:rsidRPr="3394A6C1">
        <w:rPr>
          <w:rFonts w:asciiTheme="majorHAnsi" w:eastAsiaTheme="majorEastAsia" w:hAnsiTheme="majorHAnsi" w:cstheme="majorBidi"/>
          <w:b/>
          <w:bCs/>
        </w:rPr>
        <w:t>Learning assessment</w:t>
      </w:r>
      <w:r w:rsidR="00F135F9" w:rsidRPr="3394A6C1">
        <w:rPr>
          <w:rFonts w:asciiTheme="majorHAnsi" w:eastAsiaTheme="majorEastAsia" w:hAnsiTheme="majorHAnsi" w:cstheme="majorBidi"/>
          <w:b/>
          <w:bCs/>
        </w:rPr>
        <w:t xml:space="preserve">s </w:t>
      </w:r>
      <w:r w:rsidR="00F135F9" w:rsidRPr="3394A6C1">
        <w:rPr>
          <w:rFonts w:asciiTheme="majorHAnsi" w:eastAsiaTheme="majorEastAsia" w:hAnsiTheme="majorHAnsi" w:cstheme="majorBidi"/>
        </w:rPr>
        <w:t>m</w:t>
      </w:r>
      <w:r w:rsidRPr="3394A6C1">
        <w:rPr>
          <w:rFonts w:asciiTheme="majorHAnsi" w:eastAsiaTheme="majorEastAsia" w:hAnsiTheme="majorHAnsi" w:cstheme="majorBidi"/>
        </w:rPr>
        <w:t>easur</w:t>
      </w:r>
      <w:r w:rsidR="00F135F9" w:rsidRPr="3394A6C1">
        <w:rPr>
          <w:rFonts w:asciiTheme="majorHAnsi" w:eastAsiaTheme="majorEastAsia" w:hAnsiTheme="majorHAnsi" w:cstheme="majorBidi"/>
        </w:rPr>
        <w:t>e</w:t>
      </w:r>
      <w:r w:rsidRPr="3394A6C1">
        <w:rPr>
          <w:rFonts w:asciiTheme="majorHAnsi" w:eastAsiaTheme="majorEastAsia" w:hAnsiTheme="majorHAnsi" w:cstheme="majorBidi"/>
        </w:rPr>
        <w:t xml:space="preserve"> learning </w:t>
      </w:r>
      <w:r w:rsidR="0012735F" w:rsidRPr="3394A6C1">
        <w:rPr>
          <w:rFonts w:asciiTheme="majorHAnsi" w:eastAsiaTheme="majorEastAsia" w:hAnsiTheme="majorHAnsi" w:cstheme="majorBidi"/>
        </w:rPr>
        <w:t>outcomes</w:t>
      </w:r>
      <w:r w:rsidR="00F135F9" w:rsidRPr="3394A6C1">
        <w:rPr>
          <w:rFonts w:asciiTheme="majorHAnsi" w:eastAsiaTheme="majorEastAsia" w:hAnsiTheme="majorHAnsi" w:cstheme="majorBidi"/>
        </w:rPr>
        <w:t xml:space="preserve">.  </w:t>
      </w:r>
      <w:r w:rsidRPr="3394A6C1">
        <w:rPr>
          <w:rFonts w:asciiTheme="majorHAnsi" w:eastAsiaTheme="majorEastAsia" w:hAnsiTheme="majorHAnsi" w:cstheme="majorBidi"/>
        </w:rPr>
        <w:t xml:space="preserve">Knowledge level may be tested using a variety of modalities, </w:t>
      </w:r>
      <w:r w:rsidR="3EFD7897" w:rsidRPr="3394A6C1">
        <w:rPr>
          <w:rFonts w:asciiTheme="majorHAnsi" w:eastAsiaTheme="majorEastAsia" w:hAnsiTheme="majorHAnsi" w:cstheme="majorBidi"/>
        </w:rPr>
        <w:t>including</w:t>
      </w:r>
      <w:r w:rsidRPr="3394A6C1">
        <w:rPr>
          <w:rFonts w:asciiTheme="majorHAnsi" w:eastAsiaTheme="majorEastAsia" w:hAnsiTheme="majorHAnsi" w:cstheme="majorBidi"/>
        </w:rPr>
        <w:t xml:space="preserve"> multiple choice</w:t>
      </w:r>
      <w:r w:rsidR="00016C78" w:rsidRPr="3394A6C1">
        <w:rPr>
          <w:rFonts w:asciiTheme="majorHAnsi" w:eastAsiaTheme="majorEastAsia" w:hAnsiTheme="majorHAnsi" w:cstheme="majorBidi"/>
        </w:rPr>
        <w:t>;</w:t>
      </w:r>
      <w:r w:rsidRPr="3394A6C1">
        <w:rPr>
          <w:rFonts w:asciiTheme="majorHAnsi" w:eastAsiaTheme="majorEastAsia" w:hAnsiTheme="majorHAnsi" w:cstheme="majorBidi"/>
        </w:rPr>
        <w:t xml:space="preserve"> constructed questions (free text/short answer questions)</w:t>
      </w:r>
      <w:r w:rsidR="00016C78" w:rsidRPr="3394A6C1">
        <w:rPr>
          <w:rFonts w:asciiTheme="majorHAnsi" w:eastAsiaTheme="majorEastAsia" w:hAnsiTheme="majorHAnsi" w:cstheme="majorBidi"/>
        </w:rPr>
        <w:t>;</w:t>
      </w:r>
      <w:r w:rsidRPr="3394A6C1">
        <w:rPr>
          <w:rFonts w:asciiTheme="majorHAnsi" w:eastAsiaTheme="majorEastAsia" w:hAnsiTheme="majorHAnsi" w:cstheme="majorBidi"/>
        </w:rPr>
        <w:t xml:space="preserve"> and verbal</w:t>
      </w:r>
      <w:r w:rsidR="00016C78" w:rsidRPr="3394A6C1">
        <w:rPr>
          <w:rFonts w:asciiTheme="majorHAnsi" w:eastAsiaTheme="majorEastAsia" w:hAnsiTheme="majorHAnsi" w:cstheme="majorBidi"/>
        </w:rPr>
        <w:t xml:space="preserve"> assessments</w:t>
      </w:r>
      <w:r w:rsidRPr="3394A6C1">
        <w:rPr>
          <w:rFonts w:asciiTheme="majorHAnsi" w:eastAsiaTheme="majorEastAsia" w:hAnsiTheme="majorHAnsi" w:cstheme="majorBidi"/>
        </w:rPr>
        <w:t>.</w:t>
      </w:r>
      <w:r w:rsidR="00016C78" w:rsidRPr="3394A6C1">
        <w:rPr>
          <w:rFonts w:asciiTheme="majorHAnsi" w:eastAsiaTheme="majorEastAsia" w:hAnsiTheme="majorHAnsi" w:cstheme="majorBidi"/>
        </w:rPr>
        <w:t xml:space="preserve">  </w:t>
      </w:r>
      <w:r w:rsidR="00513D13" w:rsidRPr="3394A6C1">
        <w:rPr>
          <w:rFonts w:asciiTheme="majorHAnsi" w:eastAsiaTheme="majorEastAsia" w:hAnsiTheme="majorHAnsi" w:cstheme="majorBidi"/>
        </w:rPr>
        <w:t>L</w:t>
      </w:r>
      <w:r w:rsidRPr="3394A6C1">
        <w:rPr>
          <w:rFonts w:asciiTheme="majorHAnsi" w:eastAsiaTheme="majorEastAsia" w:hAnsiTheme="majorHAnsi" w:cstheme="majorBidi"/>
        </w:rPr>
        <w:t>earning assessments may be population-based (all students in a specific grade at all schools) or sample-based (a representative sample of students from a particular grade).</w:t>
      </w:r>
      <w:r w:rsidR="00513D13" w:rsidRPr="3394A6C1">
        <w:rPr>
          <w:rFonts w:asciiTheme="majorHAnsi" w:eastAsiaTheme="majorEastAsia" w:hAnsiTheme="majorHAnsi" w:cstheme="majorBidi"/>
        </w:rPr>
        <w:t xml:space="preserve">  </w:t>
      </w:r>
      <w:r w:rsidR="004B055B" w:rsidRPr="3394A6C1">
        <w:rPr>
          <w:rFonts w:asciiTheme="majorHAnsi" w:eastAsiaTheme="majorEastAsia" w:hAnsiTheme="majorHAnsi" w:cstheme="majorBidi"/>
        </w:rPr>
        <w:t xml:space="preserve">Learning </w:t>
      </w:r>
      <w:r w:rsidR="004B055B" w:rsidRPr="3394A6C1">
        <w:rPr>
          <w:rFonts w:asciiTheme="majorHAnsi" w:eastAsiaTheme="majorEastAsia" w:hAnsiTheme="majorHAnsi" w:cstheme="majorBidi"/>
        </w:rPr>
        <w:lastRenderedPageBreak/>
        <w:t xml:space="preserve">assessments may </w:t>
      </w:r>
      <w:r w:rsidR="00AF04AA" w:rsidRPr="3394A6C1">
        <w:rPr>
          <w:rFonts w:asciiTheme="majorHAnsi" w:eastAsiaTheme="majorEastAsia" w:hAnsiTheme="majorHAnsi" w:cstheme="majorBidi"/>
        </w:rPr>
        <w:t xml:space="preserve">be </w:t>
      </w:r>
      <w:r w:rsidR="001723BA" w:rsidRPr="3394A6C1">
        <w:rPr>
          <w:rFonts w:asciiTheme="majorHAnsi" w:eastAsiaTheme="majorEastAsia" w:hAnsiTheme="majorHAnsi" w:cstheme="majorBidi"/>
        </w:rPr>
        <w:t>conducted at regional, national or program level</w:t>
      </w:r>
      <w:r w:rsidR="00AF04AA" w:rsidRPr="3394A6C1">
        <w:rPr>
          <w:rFonts w:asciiTheme="majorHAnsi" w:eastAsiaTheme="majorEastAsia" w:hAnsiTheme="majorHAnsi" w:cstheme="majorBidi"/>
        </w:rPr>
        <w:t>s</w:t>
      </w:r>
      <w:r w:rsidR="00C82236" w:rsidRPr="3394A6C1">
        <w:rPr>
          <w:rFonts w:asciiTheme="majorHAnsi" w:eastAsiaTheme="majorEastAsia" w:hAnsiTheme="majorHAnsi" w:cstheme="majorBidi"/>
        </w:rPr>
        <w:t xml:space="preserve"> (additional </w:t>
      </w:r>
      <w:r w:rsidR="00287319" w:rsidRPr="3394A6C1">
        <w:rPr>
          <w:rFonts w:asciiTheme="majorHAnsi" w:eastAsiaTheme="majorEastAsia" w:hAnsiTheme="majorHAnsi" w:cstheme="majorBidi"/>
        </w:rPr>
        <w:t xml:space="preserve">detail under </w:t>
      </w:r>
      <w:r w:rsidR="00287319" w:rsidRPr="3394A6C1">
        <w:rPr>
          <w:rFonts w:asciiTheme="majorHAnsi" w:eastAsiaTheme="majorEastAsia" w:hAnsiTheme="majorHAnsi" w:cstheme="majorBidi"/>
          <w:i/>
          <w:iCs/>
        </w:rPr>
        <w:t>Data Sources</w:t>
      </w:r>
      <w:r w:rsidR="00287319" w:rsidRPr="3394A6C1">
        <w:rPr>
          <w:rFonts w:asciiTheme="majorHAnsi" w:eastAsiaTheme="majorEastAsia" w:hAnsiTheme="majorHAnsi" w:cstheme="majorBidi"/>
        </w:rPr>
        <w:t xml:space="preserve"> below)</w:t>
      </w:r>
      <w:r w:rsidR="00244608" w:rsidRPr="3394A6C1">
        <w:rPr>
          <w:rFonts w:asciiTheme="majorHAnsi" w:eastAsiaTheme="majorEastAsia" w:hAnsiTheme="majorHAnsi" w:cstheme="majorBidi"/>
        </w:rPr>
        <w:t xml:space="preserve">.  </w:t>
      </w:r>
      <w:r w:rsidR="00513D13" w:rsidRPr="3394A6C1">
        <w:rPr>
          <w:rFonts w:asciiTheme="majorHAnsi" w:eastAsiaTheme="majorEastAsia" w:hAnsiTheme="majorHAnsi" w:cstheme="majorBidi"/>
        </w:rPr>
        <w:t xml:space="preserve">Language/s of assessment should be included as contextual information in reporting as it may be different to the learner’s mother tongue. </w:t>
      </w:r>
    </w:p>
    <w:p w14:paraId="21DCD5C0" w14:textId="7BD14F5D" w:rsidR="003F7FF4" w:rsidRPr="0000426E" w:rsidRDefault="00CA1F88" w:rsidP="3394A6C1">
      <w:pPr>
        <w:pStyle w:val="BodyText"/>
        <w:spacing w:after="0"/>
        <w:jc w:val="both"/>
        <w:rPr>
          <w:rFonts w:asciiTheme="majorHAnsi" w:eastAsiaTheme="majorEastAsia" w:hAnsiTheme="majorHAnsi" w:cstheme="majorBidi"/>
        </w:rPr>
      </w:pPr>
      <w:r w:rsidRPr="3394A6C1">
        <w:rPr>
          <w:rFonts w:asciiTheme="majorHAnsi" w:eastAsiaTheme="majorEastAsia" w:hAnsiTheme="majorHAnsi" w:cstheme="majorBidi"/>
          <w:b/>
          <w:bCs/>
        </w:rPr>
        <w:t>Minimum Proficiency Level (MPL)</w:t>
      </w:r>
      <w:r w:rsidR="00A03DA0" w:rsidRPr="3394A6C1">
        <w:rPr>
          <w:rFonts w:asciiTheme="majorHAnsi" w:eastAsiaTheme="majorEastAsia" w:hAnsiTheme="majorHAnsi" w:cstheme="majorBidi"/>
          <w:b/>
          <w:bCs/>
        </w:rPr>
        <w:t xml:space="preserve"> </w:t>
      </w:r>
      <w:r w:rsidRPr="3394A6C1">
        <w:rPr>
          <w:rFonts w:asciiTheme="majorHAnsi" w:eastAsiaTheme="majorEastAsia" w:hAnsiTheme="majorHAnsi" w:cstheme="majorBidi"/>
        </w:rPr>
        <w:t>is the benchmark of basic knowledge in a domain (</w:t>
      </w:r>
      <w:r w:rsidR="00405D90" w:rsidRPr="3394A6C1">
        <w:rPr>
          <w:rFonts w:asciiTheme="majorHAnsi" w:eastAsiaTheme="majorEastAsia" w:hAnsiTheme="majorHAnsi" w:cstheme="majorBidi"/>
        </w:rPr>
        <w:t>such as</w:t>
      </w:r>
      <w:r w:rsidRPr="3394A6C1">
        <w:rPr>
          <w:rFonts w:asciiTheme="majorHAnsi" w:eastAsiaTheme="majorEastAsia" w:hAnsiTheme="majorHAnsi" w:cstheme="majorBidi"/>
        </w:rPr>
        <w:t xml:space="preserve"> mathematics</w:t>
      </w:r>
      <w:r w:rsidR="00432558" w:rsidRPr="3394A6C1">
        <w:rPr>
          <w:rFonts w:asciiTheme="majorHAnsi" w:eastAsiaTheme="majorEastAsia" w:hAnsiTheme="majorHAnsi" w:cstheme="majorBidi"/>
        </w:rPr>
        <w:t xml:space="preserve"> or</w:t>
      </w:r>
      <w:r w:rsidRPr="3394A6C1">
        <w:rPr>
          <w:rFonts w:asciiTheme="majorHAnsi" w:eastAsiaTheme="majorEastAsia" w:hAnsiTheme="majorHAnsi" w:cstheme="majorBidi"/>
        </w:rPr>
        <w:t xml:space="preserve"> reading) at a given age/grade</w:t>
      </w:r>
      <w:r w:rsidR="00647D5F" w:rsidRPr="3394A6C1">
        <w:rPr>
          <w:rFonts w:asciiTheme="majorHAnsi" w:eastAsiaTheme="majorEastAsia" w:hAnsiTheme="majorHAnsi" w:cstheme="majorBidi"/>
        </w:rPr>
        <w:t xml:space="preserve"> (</w:t>
      </w:r>
      <w:r w:rsidR="008B090A" w:rsidRPr="3394A6C1">
        <w:rPr>
          <w:rFonts w:asciiTheme="majorHAnsi" w:eastAsiaTheme="majorEastAsia" w:hAnsiTheme="majorHAnsi" w:cstheme="majorBidi"/>
        </w:rPr>
        <w:t>for example, in</w:t>
      </w:r>
      <w:r w:rsidR="00647D5F" w:rsidRPr="3394A6C1">
        <w:rPr>
          <w:rFonts w:asciiTheme="majorHAnsi" w:eastAsiaTheme="majorEastAsia" w:hAnsiTheme="majorHAnsi" w:cstheme="majorBidi"/>
        </w:rPr>
        <w:t xml:space="preserve"> Grade 2 or 3, end of primary school, and end of </w:t>
      </w:r>
      <w:r w:rsidR="00E63456" w:rsidRPr="3394A6C1">
        <w:rPr>
          <w:rFonts w:asciiTheme="majorHAnsi" w:eastAsiaTheme="majorEastAsia" w:hAnsiTheme="majorHAnsi" w:cstheme="majorBidi"/>
        </w:rPr>
        <w:t>lower secondary school)</w:t>
      </w:r>
      <w:r w:rsidRPr="3394A6C1">
        <w:rPr>
          <w:rFonts w:asciiTheme="majorHAnsi" w:eastAsiaTheme="majorEastAsia" w:hAnsiTheme="majorHAnsi" w:cstheme="majorBidi"/>
        </w:rPr>
        <w:t xml:space="preserve"> as measured through learning assessments.</w:t>
      </w:r>
      <w:r w:rsidR="00097098" w:rsidRPr="3394A6C1">
        <w:rPr>
          <w:rFonts w:asciiTheme="majorHAnsi" w:eastAsiaTheme="majorEastAsia" w:hAnsiTheme="majorHAnsi" w:cstheme="majorBidi"/>
        </w:rPr>
        <w:t xml:space="preserve">  </w:t>
      </w:r>
      <w:r w:rsidR="0098618C" w:rsidRPr="3394A6C1">
        <w:rPr>
          <w:rFonts w:asciiTheme="majorHAnsi" w:eastAsiaTheme="majorEastAsia" w:hAnsiTheme="majorHAnsi" w:cstheme="majorBidi"/>
        </w:rPr>
        <w:t xml:space="preserve">Learners with a </w:t>
      </w:r>
      <w:r w:rsidR="00526DA9" w:rsidRPr="3394A6C1">
        <w:rPr>
          <w:rFonts w:asciiTheme="majorHAnsi" w:eastAsiaTheme="majorEastAsia" w:hAnsiTheme="majorHAnsi" w:cstheme="majorBidi"/>
        </w:rPr>
        <w:t>MPL in reading/mathematics</w:t>
      </w:r>
      <w:r w:rsidR="0098618C" w:rsidRPr="3394A6C1">
        <w:rPr>
          <w:rFonts w:asciiTheme="majorHAnsi" w:eastAsiaTheme="majorEastAsia" w:hAnsiTheme="majorHAnsi" w:cstheme="majorBidi"/>
        </w:rPr>
        <w:t xml:space="preserve"> have demonstrated</w:t>
      </w:r>
      <w:r w:rsidR="00526DA9" w:rsidRPr="3394A6C1">
        <w:rPr>
          <w:rFonts w:asciiTheme="majorHAnsi" w:eastAsiaTheme="majorEastAsia" w:hAnsiTheme="majorHAnsi" w:cstheme="majorBidi"/>
        </w:rPr>
        <w:t xml:space="preserve"> sufficient knowledge and skills to successfully complete the most basic grade-level tasks in reading/numeracy.</w:t>
      </w:r>
      <w:r w:rsidR="00526DA9" w:rsidRPr="3394A6C1">
        <w:rPr>
          <w:rStyle w:val="FootnoteReference"/>
          <w:rFonts w:asciiTheme="majorHAnsi" w:eastAsiaTheme="majorEastAsia" w:hAnsiTheme="majorHAnsi" w:cstheme="majorBidi"/>
        </w:rPr>
        <w:footnoteReference w:id="5"/>
      </w:r>
      <w:r w:rsidR="00526DA9" w:rsidRPr="3394A6C1">
        <w:rPr>
          <w:rFonts w:asciiTheme="majorHAnsi" w:eastAsiaTheme="majorEastAsia" w:hAnsiTheme="majorHAnsi" w:cstheme="majorBidi"/>
        </w:rPr>
        <w:t xml:space="preserve">  </w:t>
      </w:r>
      <w:r w:rsidR="003F7FF4" w:rsidRPr="3394A6C1">
        <w:rPr>
          <w:rFonts w:asciiTheme="majorHAnsi" w:eastAsiaTheme="majorEastAsia" w:hAnsiTheme="majorHAnsi" w:cstheme="majorBidi"/>
        </w:rPr>
        <w:t xml:space="preserve">MPLs for national/regional/international learning assessments </w:t>
      </w:r>
      <w:r w:rsidR="00797570" w:rsidRPr="3394A6C1">
        <w:rPr>
          <w:rFonts w:asciiTheme="majorHAnsi" w:eastAsiaTheme="majorEastAsia" w:hAnsiTheme="majorHAnsi" w:cstheme="majorBidi"/>
        </w:rPr>
        <w:t>should,</w:t>
      </w:r>
      <w:r w:rsidR="003F7FF4" w:rsidRPr="3394A6C1">
        <w:rPr>
          <w:rFonts w:asciiTheme="majorHAnsi" w:eastAsiaTheme="majorEastAsia" w:hAnsiTheme="majorHAnsi" w:cstheme="majorBidi"/>
        </w:rPr>
        <w:t xml:space="preserve"> </w:t>
      </w:r>
      <w:r w:rsidR="008A5A92" w:rsidRPr="3394A6C1">
        <w:rPr>
          <w:rFonts w:asciiTheme="majorHAnsi" w:eastAsiaTheme="majorEastAsia" w:hAnsiTheme="majorHAnsi" w:cstheme="majorBidi"/>
        </w:rPr>
        <w:t>ideally</w:t>
      </w:r>
      <w:r w:rsidR="00797570" w:rsidRPr="3394A6C1">
        <w:rPr>
          <w:rFonts w:asciiTheme="majorHAnsi" w:eastAsiaTheme="majorEastAsia" w:hAnsiTheme="majorHAnsi" w:cstheme="majorBidi"/>
        </w:rPr>
        <w:t>, be</w:t>
      </w:r>
      <w:r w:rsidR="008A5A92" w:rsidRPr="3394A6C1">
        <w:rPr>
          <w:rFonts w:asciiTheme="majorHAnsi" w:eastAsiaTheme="majorEastAsia" w:hAnsiTheme="majorHAnsi" w:cstheme="majorBidi"/>
        </w:rPr>
        <w:t xml:space="preserve"> </w:t>
      </w:r>
      <w:r w:rsidR="005A4B50" w:rsidRPr="3394A6C1">
        <w:rPr>
          <w:rFonts w:asciiTheme="majorHAnsi" w:eastAsiaTheme="majorEastAsia" w:hAnsiTheme="majorHAnsi" w:cstheme="majorBidi"/>
        </w:rPr>
        <w:t>linked to the Global Minimum Proficiency Framework to support reporting against SDG 4.1.1</w:t>
      </w:r>
      <w:r w:rsidR="00B70613" w:rsidRPr="3394A6C1">
        <w:rPr>
          <w:rStyle w:val="FootnoteReference"/>
          <w:rFonts w:asciiTheme="majorHAnsi" w:eastAsiaTheme="majorEastAsia" w:hAnsiTheme="majorHAnsi" w:cstheme="majorBidi"/>
        </w:rPr>
        <w:footnoteReference w:id="6"/>
      </w:r>
      <w:r w:rsidR="008A5A92" w:rsidRPr="3394A6C1">
        <w:rPr>
          <w:rFonts w:asciiTheme="majorHAnsi" w:eastAsiaTheme="majorEastAsia" w:hAnsiTheme="majorHAnsi" w:cstheme="majorBidi"/>
        </w:rPr>
        <w:t xml:space="preserve"> . </w:t>
      </w:r>
      <w:r w:rsidR="0042781B" w:rsidRPr="3394A6C1">
        <w:rPr>
          <w:rFonts w:asciiTheme="majorHAnsi" w:eastAsiaTheme="majorEastAsia" w:hAnsiTheme="majorHAnsi" w:cstheme="majorBidi"/>
        </w:rPr>
        <w:t xml:space="preserve"> MPLs of learning assessments</w:t>
      </w:r>
      <w:r w:rsidR="001E5993" w:rsidRPr="3394A6C1">
        <w:rPr>
          <w:rFonts w:asciiTheme="majorHAnsi" w:eastAsiaTheme="majorEastAsia" w:hAnsiTheme="majorHAnsi" w:cstheme="majorBidi"/>
        </w:rPr>
        <w:t xml:space="preserve"> </w:t>
      </w:r>
      <w:r w:rsidR="008A5A92" w:rsidRPr="3394A6C1">
        <w:rPr>
          <w:rFonts w:asciiTheme="majorHAnsi" w:eastAsiaTheme="majorEastAsia" w:hAnsiTheme="majorHAnsi" w:cstheme="majorBidi"/>
        </w:rPr>
        <w:t xml:space="preserve">that are not benchmarked with the Global Minimum Proficiency Framework </w:t>
      </w:r>
      <w:r w:rsidR="001E5993" w:rsidRPr="3394A6C1">
        <w:rPr>
          <w:rFonts w:asciiTheme="majorHAnsi" w:eastAsiaTheme="majorEastAsia" w:hAnsiTheme="majorHAnsi" w:cstheme="majorBidi"/>
        </w:rPr>
        <w:t>are not necessarily</w:t>
      </w:r>
      <w:r w:rsidR="006E4667" w:rsidRPr="3394A6C1">
        <w:rPr>
          <w:rFonts w:asciiTheme="majorHAnsi" w:eastAsiaTheme="majorEastAsia" w:hAnsiTheme="majorHAnsi" w:cstheme="majorBidi"/>
        </w:rPr>
        <w:t xml:space="preserve"> comparable with </w:t>
      </w:r>
      <w:r w:rsidR="001E5993" w:rsidRPr="3394A6C1">
        <w:rPr>
          <w:rFonts w:asciiTheme="majorHAnsi" w:eastAsiaTheme="majorEastAsia" w:hAnsiTheme="majorHAnsi" w:cstheme="majorBidi"/>
        </w:rPr>
        <w:t>each other</w:t>
      </w:r>
      <w:r w:rsidR="00C030F9" w:rsidRPr="3394A6C1">
        <w:rPr>
          <w:rFonts w:asciiTheme="majorHAnsi" w:eastAsiaTheme="majorEastAsia" w:hAnsiTheme="majorHAnsi" w:cstheme="majorBidi"/>
        </w:rPr>
        <w:t>.</w:t>
      </w:r>
    </w:p>
    <w:p w14:paraId="27F776B8" w14:textId="296EF8B3" w:rsidR="00C4292B" w:rsidRPr="007F16F1" w:rsidRDefault="00C4292B" w:rsidP="32F60554">
      <w:pPr>
        <w:pStyle w:val="Heading2"/>
        <w:rPr>
          <w:rFonts w:asciiTheme="majorHAnsi" w:hAnsiTheme="majorHAnsi" w:cstheme="majorBidi"/>
        </w:rPr>
      </w:pPr>
      <w:r w:rsidRPr="32F60554">
        <w:rPr>
          <w:rFonts w:asciiTheme="majorHAnsi" w:hAnsiTheme="majorHAnsi" w:cstheme="majorBidi"/>
        </w:rPr>
        <w:t>Scope</w:t>
      </w:r>
    </w:p>
    <w:p w14:paraId="5B9226A4" w14:textId="1814C53F" w:rsidR="00C4292B" w:rsidRPr="0000426E" w:rsidRDefault="00C4292B" w:rsidP="3394A6C1">
      <w:pPr>
        <w:pStyle w:val="Heading2"/>
        <w:jc w:val="both"/>
        <w:rPr>
          <w:rStyle w:val="IntenseEmphasis"/>
          <w:rFonts w:asciiTheme="majorHAnsi" w:hAnsiTheme="majorHAnsi" w:cstheme="majorBidi"/>
          <w:sz w:val="22"/>
          <w:szCs w:val="22"/>
        </w:rPr>
      </w:pPr>
      <w:r w:rsidRPr="3394A6C1">
        <w:rPr>
          <w:rStyle w:val="IntenseEmphasis"/>
          <w:sz w:val="24"/>
          <w:szCs w:val="24"/>
        </w:rPr>
        <w:t>I</w:t>
      </w:r>
      <w:r w:rsidRPr="3394A6C1">
        <w:rPr>
          <w:rStyle w:val="IntenseEmphasis"/>
          <w:rFonts w:asciiTheme="majorHAnsi" w:hAnsiTheme="majorHAnsi" w:cstheme="majorBidi"/>
          <w:sz w:val="22"/>
          <w:szCs w:val="22"/>
        </w:rPr>
        <w:t>ncludes:</w:t>
      </w:r>
    </w:p>
    <w:p w14:paraId="1F2C25A3" w14:textId="06D15421" w:rsidR="0070798E" w:rsidRPr="0000426E" w:rsidRDefault="0028396E" w:rsidP="3394A6C1">
      <w:pPr>
        <w:pStyle w:val="ListBullet"/>
        <w:numPr>
          <w:ilvl w:val="0"/>
          <w:numId w:val="5"/>
        </w:numPr>
        <w:tabs>
          <w:tab w:val="left" w:pos="284"/>
        </w:tabs>
        <w:spacing w:before="0" w:after="0" w:line="280" w:lineRule="exact"/>
        <w:ind w:left="284" w:hanging="284"/>
        <w:jc w:val="both"/>
        <w:rPr>
          <w:rFonts w:asciiTheme="majorHAnsi" w:eastAsiaTheme="majorEastAsia" w:hAnsiTheme="majorHAnsi" w:cstheme="majorBidi"/>
          <w:color w:val="44546A" w:themeColor="text2"/>
          <w:sz w:val="22"/>
          <w:szCs w:val="22"/>
        </w:rPr>
      </w:pPr>
      <w:r w:rsidRPr="3394A6C1">
        <w:rPr>
          <w:rFonts w:asciiTheme="majorHAnsi" w:eastAsiaTheme="majorEastAsia" w:hAnsiTheme="majorHAnsi" w:cstheme="majorBidi"/>
          <w:color w:val="44546A" w:themeColor="text2"/>
          <w:sz w:val="22"/>
          <w:szCs w:val="22"/>
        </w:rPr>
        <w:t>Reading and mathematics learning outcomes data for children and young people, regardless of age</w:t>
      </w:r>
      <w:r w:rsidR="001730E8" w:rsidRPr="3394A6C1">
        <w:rPr>
          <w:rFonts w:asciiTheme="majorHAnsi" w:eastAsiaTheme="majorEastAsia" w:hAnsiTheme="majorHAnsi" w:cstheme="majorBidi"/>
          <w:color w:val="44546A" w:themeColor="text2"/>
          <w:sz w:val="22"/>
          <w:szCs w:val="22"/>
        </w:rPr>
        <w:t>,</w:t>
      </w:r>
      <w:r w:rsidRPr="3394A6C1">
        <w:rPr>
          <w:rFonts w:asciiTheme="majorHAnsi" w:eastAsiaTheme="majorEastAsia" w:hAnsiTheme="majorHAnsi" w:cstheme="majorBidi"/>
          <w:color w:val="44546A" w:themeColor="text2"/>
          <w:sz w:val="22"/>
          <w:szCs w:val="22"/>
        </w:rPr>
        <w:t xml:space="preserve"> who participated in learning assessments </w:t>
      </w:r>
      <w:r w:rsidR="001730E8" w:rsidRPr="3394A6C1">
        <w:rPr>
          <w:rFonts w:asciiTheme="majorHAnsi" w:eastAsiaTheme="majorEastAsia" w:hAnsiTheme="majorHAnsi" w:cstheme="majorBidi"/>
          <w:color w:val="44546A" w:themeColor="text2"/>
          <w:sz w:val="22"/>
          <w:szCs w:val="22"/>
        </w:rPr>
        <w:t>in</w:t>
      </w:r>
      <w:r w:rsidR="00FA7698" w:rsidRPr="3394A6C1">
        <w:rPr>
          <w:rFonts w:asciiTheme="majorHAnsi" w:eastAsiaTheme="majorEastAsia" w:hAnsiTheme="majorHAnsi" w:cstheme="majorBidi"/>
          <w:color w:val="44546A" w:themeColor="text2"/>
          <w:sz w:val="22"/>
          <w:szCs w:val="22"/>
        </w:rPr>
        <w:t>:</w:t>
      </w:r>
      <w:r w:rsidR="001730E8" w:rsidRPr="3394A6C1">
        <w:rPr>
          <w:rFonts w:asciiTheme="majorHAnsi" w:eastAsiaTheme="majorEastAsia" w:hAnsiTheme="majorHAnsi" w:cstheme="majorBidi"/>
          <w:color w:val="44546A" w:themeColor="text2"/>
          <w:sz w:val="22"/>
          <w:szCs w:val="22"/>
        </w:rPr>
        <w:t xml:space="preserve"> </w:t>
      </w:r>
      <w:r w:rsidRPr="3394A6C1">
        <w:rPr>
          <w:rFonts w:asciiTheme="majorHAnsi" w:eastAsiaTheme="majorEastAsia" w:hAnsiTheme="majorHAnsi" w:cstheme="majorBidi"/>
          <w:color w:val="44546A" w:themeColor="text2"/>
          <w:sz w:val="22"/>
          <w:szCs w:val="22"/>
        </w:rPr>
        <w:t>Grade 2</w:t>
      </w:r>
      <w:r w:rsidR="001E7EF0" w:rsidRPr="3394A6C1">
        <w:rPr>
          <w:rFonts w:asciiTheme="majorHAnsi" w:eastAsiaTheme="majorEastAsia" w:hAnsiTheme="majorHAnsi" w:cstheme="majorBidi"/>
          <w:color w:val="44546A" w:themeColor="text2"/>
          <w:sz w:val="22"/>
          <w:szCs w:val="22"/>
        </w:rPr>
        <w:t>,</w:t>
      </w:r>
      <w:r w:rsidRPr="3394A6C1">
        <w:rPr>
          <w:rFonts w:asciiTheme="majorHAnsi" w:eastAsiaTheme="majorEastAsia" w:hAnsiTheme="majorHAnsi" w:cstheme="majorBidi"/>
          <w:color w:val="44546A" w:themeColor="text2"/>
          <w:sz w:val="22"/>
          <w:szCs w:val="22"/>
        </w:rPr>
        <w:t xml:space="preserve"> 3</w:t>
      </w:r>
      <w:r w:rsidR="001E7EF0" w:rsidRPr="3394A6C1">
        <w:rPr>
          <w:rFonts w:asciiTheme="majorHAnsi" w:eastAsiaTheme="majorEastAsia" w:hAnsiTheme="majorHAnsi" w:cstheme="majorBidi"/>
          <w:color w:val="44546A" w:themeColor="text2"/>
          <w:sz w:val="22"/>
          <w:szCs w:val="22"/>
        </w:rPr>
        <w:t xml:space="preserve"> or 4</w:t>
      </w:r>
      <w:r w:rsidR="00224D4A" w:rsidRPr="3394A6C1">
        <w:rPr>
          <w:rStyle w:val="FootnoteReference"/>
          <w:rFonts w:asciiTheme="majorHAnsi" w:eastAsiaTheme="majorEastAsia" w:hAnsiTheme="majorHAnsi" w:cstheme="majorBidi"/>
          <w:color w:val="44546A" w:themeColor="text2"/>
          <w:sz w:val="22"/>
          <w:szCs w:val="22"/>
        </w:rPr>
        <w:footnoteReference w:id="7"/>
      </w:r>
      <w:r w:rsidR="001E7EF0" w:rsidRPr="3394A6C1">
        <w:rPr>
          <w:rFonts w:asciiTheme="majorHAnsi" w:eastAsiaTheme="majorEastAsia" w:hAnsiTheme="majorHAnsi" w:cstheme="majorBidi"/>
          <w:color w:val="44546A" w:themeColor="text2"/>
          <w:sz w:val="22"/>
          <w:szCs w:val="22"/>
        </w:rPr>
        <w:t>;</w:t>
      </w:r>
      <w:r w:rsidR="001730E8" w:rsidRPr="3394A6C1">
        <w:rPr>
          <w:rFonts w:asciiTheme="majorHAnsi" w:eastAsiaTheme="majorEastAsia" w:hAnsiTheme="majorHAnsi" w:cstheme="majorBidi"/>
          <w:color w:val="44546A" w:themeColor="text2"/>
          <w:sz w:val="22"/>
          <w:szCs w:val="22"/>
        </w:rPr>
        <w:t xml:space="preserve"> </w:t>
      </w:r>
      <w:r w:rsidR="00FA7698" w:rsidRPr="3394A6C1">
        <w:rPr>
          <w:rFonts w:asciiTheme="majorHAnsi" w:eastAsiaTheme="majorEastAsia" w:hAnsiTheme="majorHAnsi" w:cstheme="majorBidi"/>
          <w:color w:val="44546A" w:themeColor="text2"/>
          <w:sz w:val="22"/>
          <w:szCs w:val="22"/>
        </w:rPr>
        <w:t xml:space="preserve">at </w:t>
      </w:r>
      <w:r w:rsidRPr="3394A6C1">
        <w:rPr>
          <w:rFonts w:asciiTheme="majorHAnsi" w:eastAsiaTheme="majorEastAsia" w:hAnsiTheme="majorHAnsi" w:cstheme="majorBidi"/>
          <w:color w:val="44546A" w:themeColor="text2"/>
          <w:sz w:val="22"/>
          <w:szCs w:val="22"/>
        </w:rPr>
        <w:t>the end of primary school</w:t>
      </w:r>
      <w:r w:rsidR="001730E8" w:rsidRPr="3394A6C1">
        <w:rPr>
          <w:rFonts w:asciiTheme="majorHAnsi" w:eastAsiaTheme="majorEastAsia" w:hAnsiTheme="majorHAnsi" w:cstheme="majorBidi"/>
          <w:color w:val="44546A" w:themeColor="text2"/>
          <w:sz w:val="22"/>
          <w:szCs w:val="22"/>
        </w:rPr>
        <w:t>;</w:t>
      </w:r>
      <w:r w:rsidRPr="3394A6C1">
        <w:rPr>
          <w:rFonts w:asciiTheme="majorHAnsi" w:eastAsiaTheme="majorEastAsia" w:hAnsiTheme="majorHAnsi" w:cstheme="majorBidi"/>
          <w:color w:val="44546A" w:themeColor="text2"/>
          <w:sz w:val="22"/>
          <w:szCs w:val="22"/>
        </w:rPr>
        <w:t xml:space="preserve"> and/or</w:t>
      </w:r>
      <w:r w:rsidR="00F03B84" w:rsidRPr="3394A6C1">
        <w:rPr>
          <w:rFonts w:asciiTheme="majorHAnsi" w:eastAsiaTheme="majorEastAsia" w:hAnsiTheme="majorHAnsi" w:cstheme="majorBidi"/>
          <w:color w:val="44546A" w:themeColor="text2"/>
          <w:sz w:val="22"/>
          <w:szCs w:val="22"/>
        </w:rPr>
        <w:t xml:space="preserve"> </w:t>
      </w:r>
      <w:r w:rsidRPr="3394A6C1">
        <w:rPr>
          <w:rFonts w:asciiTheme="majorHAnsi" w:eastAsiaTheme="majorEastAsia" w:hAnsiTheme="majorHAnsi" w:cstheme="majorBidi"/>
          <w:color w:val="44546A" w:themeColor="text2"/>
          <w:sz w:val="22"/>
          <w:szCs w:val="22"/>
        </w:rPr>
        <w:t xml:space="preserve">the end of lower secondary school.  </w:t>
      </w:r>
      <w:r w:rsidR="0070798E" w:rsidRPr="3394A6C1">
        <w:rPr>
          <w:rFonts w:asciiTheme="majorHAnsi" w:eastAsiaTheme="majorEastAsia" w:hAnsiTheme="majorHAnsi" w:cstheme="majorBidi"/>
          <w:color w:val="44546A" w:themeColor="text2"/>
          <w:sz w:val="22"/>
          <w:szCs w:val="22"/>
        </w:rPr>
        <w:t>Learning assessment participants might be from</w:t>
      </w:r>
      <w:r w:rsidR="00FA7698" w:rsidRPr="3394A6C1">
        <w:rPr>
          <w:rFonts w:asciiTheme="majorHAnsi" w:eastAsiaTheme="majorEastAsia" w:hAnsiTheme="majorHAnsi" w:cstheme="majorBidi"/>
          <w:color w:val="44546A" w:themeColor="text2"/>
          <w:sz w:val="22"/>
          <w:szCs w:val="22"/>
        </w:rPr>
        <w:t>:</w:t>
      </w:r>
    </w:p>
    <w:p w14:paraId="7BAC8E8A" w14:textId="2B5CF501" w:rsidR="0070798E" w:rsidRPr="0000426E" w:rsidRDefault="0070798E" w:rsidP="3394A6C1">
      <w:pPr>
        <w:pStyle w:val="BodyText"/>
        <w:numPr>
          <w:ilvl w:val="0"/>
          <w:numId w:val="1"/>
        </w:numPr>
        <w:spacing w:before="0" w:after="0"/>
        <w:jc w:val="both"/>
        <w:rPr>
          <w:rFonts w:asciiTheme="majorHAnsi" w:eastAsiaTheme="majorEastAsia" w:hAnsiTheme="majorHAnsi" w:cstheme="majorBidi"/>
        </w:rPr>
      </w:pPr>
      <w:r w:rsidRPr="3394A6C1">
        <w:rPr>
          <w:rFonts w:asciiTheme="majorHAnsi" w:eastAsiaTheme="majorEastAsia" w:hAnsiTheme="majorHAnsi" w:cstheme="majorBidi"/>
        </w:rPr>
        <w:t>Primary or secondary schools, including other grade levels</w:t>
      </w:r>
      <w:r w:rsidR="00C5653B" w:rsidRPr="3394A6C1">
        <w:rPr>
          <w:rFonts w:asciiTheme="majorHAnsi" w:eastAsiaTheme="majorEastAsia" w:hAnsiTheme="majorHAnsi" w:cstheme="majorBidi"/>
        </w:rPr>
        <w:t>.  F</w:t>
      </w:r>
      <w:r w:rsidRPr="3394A6C1">
        <w:rPr>
          <w:rFonts w:asciiTheme="majorHAnsi" w:eastAsiaTheme="majorEastAsia" w:hAnsiTheme="majorHAnsi" w:cstheme="majorBidi"/>
        </w:rPr>
        <w:t xml:space="preserve">or example, a child nominally enrolled in Grade 1 might participate in </w:t>
      </w:r>
      <w:r w:rsidR="00C90C16" w:rsidRPr="3394A6C1">
        <w:rPr>
          <w:rFonts w:asciiTheme="majorHAnsi" w:eastAsiaTheme="majorEastAsia" w:hAnsiTheme="majorHAnsi" w:cstheme="majorBidi"/>
        </w:rPr>
        <w:t>a</w:t>
      </w:r>
      <w:r w:rsidRPr="3394A6C1">
        <w:rPr>
          <w:rFonts w:asciiTheme="majorHAnsi" w:eastAsiaTheme="majorEastAsia" w:hAnsiTheme="majorHAnsi" w:cstheme="majorBidi"/>
        </w:rPr>
        <w:t xml:space="preserve"> Grade 2 or 3 learning assessment</w:t>
      </w:r>
      <w:r w:rsidR="00C5653B" w:rsidRPr="3394A6C1">
        <w:rPr>
          <w:rFonts w:asciiTheme="majorHAnsi" w:eastAsiaTheme="majorEastAsia" w:hAnsiTheme="majorHAnsi" w:cstheme="majorBidi"/>
        </w:rPr>
        <w:t>.</w:t>
      </w:r>
    </w:p>
    <w:p w14:paraId="25E54A68" w14:textId="77777777" w:rsidR="0070798E" w:rsidRPr="0000426E" w:rsidRDefault="0070798E" w:rsidP="3394A6C1">
      <w:pPr>
        <w:pStyle w:val="BodyText"/>
        <w:numPr>
          <w:ilvl w:val="0"/>
          <w:numId w:val="1"/>
        </w:numPr>
        <w:spacing w:before="0" w:after="0"/>
        <w:jc w:val="both"/>
        <w:rPr>
          <w:rFonts w:asciiTheme="majorHAnsi" w:eastAsiaTheme="majorEastAsia" w:hAnsiTheme="majorHAnsi" w:cstheme="majorBidi"/>
        </w:rPr>
      </w:pPr>
      <w:r w:rsidRPr="3394A6C1">
        <w:rPr>
          <w:rFonts w:asciiTheme="majorHAnsi" w:eastAsiaTheme="majorEastAsia" w:hAnsiTheme="majorHAnsi" w:cstheme="majorBidi"/>
        </w:rPr>
        <w:t>Alternative education providers, such as disability inclusive or special education schools, and/or</w:t>
      </w:r>
    </w:p>
    <w:p w14:paraId="3375EF37" w14:textId="60CDD83B" w:rsidR="0028396E" w:rsidRPr="0000426E" w:rsidRDefault="0070798E" w:rsidP="3394A6C1">
      <w:pPr>
        <w:pStyle w:val="BodyText"/>
        <w:numPr>
          <w:ilvl w:val="0"/>
          <w:numId w:val="1"/>
        </w:numPr>
        <w:spacing w:after="0"/>
        <w:contextualSpacing/>
        <w:jc w:val="both"/>
        <w:rPr>
          <w:rFonts w:asciiTheme="majorHAnsi" w:eastAsiaTheme="majorEastAsia" w:hAnsiTheme="majorHAnsi" w:cstheme="majorBidi"/>
        </w:rPr>
      </w:pPr>
      <w:r w:rsidRPr="3394A6C1">
        <w:rPr>
          <w:rFonts w:asciiTheme="majorHAnsi" w:eastAsiaTheme="majorEastAsia" w:hAnsiTheme="majorHAnsi" w:cstheme="majorBidi"/>
        </w:rPr>
        <w:t>Non-formal schools, particularly when formal school options are limited, including in emergencies or humanitarian contexts.</w:t>
      </w:r>
    </w:p>
    <w:p w14:paraId="5C530DFD" w14:textId="352DC146" w:rsidR="00BC5341" w:rsidRPr="007F16F1" w:rsidRDefault="001F4109" w:rsidP="3394A6C1">
      <w:pPr>
        <w:pStyle w:val="ListBullet"/>
        <w:numPr>
          <w:ilvl w:val="0"/>
          <w:numId w:val="5"/>
        </w:numPr>
        <w:tabs>
          <w:tab w:val="left" w:pos="284"/>
        </w:tabs>
        <w:spacing w:before="0" w:after="0" w:line="280" w:lineRule="exact"/>
        <w:ind w:left="284" w:hanging="284"/>
        <w:jc w:val="both"/>
        <w:rPr>
          <w:rStyle w:val="IntenseEmphasis"/>
          <w:rFonts w:asciiTheme="majorHAnsi" w:eastAsiaTheme="majorEastAsia" w:hAnsiTheme="majorHAnsi" w:cstheme="majorBidi"/>
          <w:b w:val="0"/>
          <w:i w:val="0"/>
          <w:iCs w:val="0"/>
          <w:sz w:val="22"/>
          <w:szCs w:val="22"/>
        </w:rPr>
      </w:pPr>
      <w:r w:rsidRPr="3394A6C1">
        <w:rPr>
          <w:rFonts w:asciiTheme="majorHAnsi" w:eastAsiaTheme="majorEastAsia" w:hAnsiTheme="majorHAnsi" w:cstheme="majorBidi"/>
          <w:color w:val="44546A" w:themeColor="text2"/>
          <w:sz w:val="22"/>
          <w:szCs w:val="22"/>
        </w:rPr>
        <w:t xml:space="preserve">Learning </w:t>
      </w:r>
      <w:r w:rsidR="0028396E" w:rsidRPr="3394A6C1">
        <w:rPr>
          <w:rFonts w:asciiTheme="majorHAnsi" w:eastAsiaTheme="majorEastAsia" w:hAnsiTheme="majorHAnsi" w:cstheme="majorBidi"/>
          <w:color w:val="44546A" w:themeColor="text2"/>
          <w:sz w:val="22"/>
          <w:szCs w:val="22"/>
        </w:rPr>
        <w:t>outcomes</w:t>
      </w:r>
      <w:r w:rsidRPr="3394A6C1">
        <w:rPr>
          <w:rFonts w:asciiTheme="majorHAnsi" w:eastAsiaTheme="majorEastAsia" w:hAnsiTheme="majorHAnsi" w:cstheme="majorBidi"/>
          <w:color w:val="44546A" w:themeColor="text2"/>
          <w:sz w:val="22"/>
          <w:szCs w:val="22"/>
        </w:rPr>
        <w:t xml:space="preserve"> d</w:t>
      </w:r>
      <w:r w:rsidR="00A21247" w:rsidRPr="3394A6C1">
        <w:rPr>
          <w:rFonts w:asciiTheme="majorHAnsi" w:eastAsiaTheme="majorEastAsia" w:hAnsiTheme="majorHAnsi" w:cstheme="majorBidi"/>
          <w:color w:val="44546A" w:themeColor="text2"/>
          <w:sz w:val="22"/>
          <w:szCs w:val="22"/>
        </w:rPr>
        <w:t>ata derived from</w:t>
      </w:r>
      <w:r w:rsidR="003D64C1" w:rsidRPr="3394A6C1">
        <w:rPr>
          <w:rFonts w:asciiTheme="majorHAnsi" w:eastAsiaTheme="majorEastAsia" w:hAnsiTheme="majorHAnsi" w:cstheme="majorBidi"/>
          <w:color w:val="44546A" w:themeColor="text2"/>
          <w:sz w:val="22"/>
          <w:szCs w:val="22"/>
        </w:rPr>
        <w:t xml:space="preserve"> standardised</w:t>
      </w:r>
      <w:r w:rsidR="00A21247" w:rsidRPr="3394A6C1">
        <w:rPr>
          <w:rFonts w:asciiTheme="majorHAnsi" w:eastAsiaTheme="majorEastAsia" w:hAnsiTheme="majorHAnsi" w:cstheme="majorBidi"/>
          <w:color w:val="44546A" w:themeColor="text2"/>
          <w:sz w:val="22"/>
          <w:szCs w:val="22"/>
        </w:rPr>
        <w:t xml:space="preserve"> program, national</w:t>
      </w:r>
      <w:r w:rsidR="00FA7698" w:rsidRPr="3394A6C1">
        <w:rPr>
          <w:rFonts w:asciiTheme="majorHAnsi" w:eastAsiaTheme="majorEastAsia" w:hAnsiTheme="majorHAnsi" w:cstheme="majorBidi"/>
          <w:color w:val="44546A" w:themeColor="text2"/>
          <w:sz w:val="22"/>
          <w:szCs w:val="22"/>
        </w:rPr>
        <w:t xml:space="preserve"> </w:t>
      </w:r>
      <w:r w:rsidR="00A21247" w:rsidRPr="3394A6C1">
        <w:rPr>
          <w:rFonts w:asciiTheme="majorHAnsi" w:eastAsiaTheme="majorEastAsia" w:hAnsiTheme="majorHAnsi" w:cstheme="majorBidi"/>
          <w:color w:val="44546A" w:themeColor="text2"/>
          <w:sz w:val="22"/>
          <w:szCs w:val="22"/>
        </w:rPr>
        <w:t xml:space="preserve">or regional-level learning assessments that </w:t>
      </w:r>
      <w:r w:rsidR="00963539" w:rsidRPr="3394A6C1">
        <w:rPr>
          <w:rFonts w:asciiTheme="majorHAnsi" w:eastAsiaTheme="majorEastAsia" w:hAnsiTheme="majorHAnsi" w:cstheme="majorBidi"/>
          <w:color w:val="44546A" w:themeColor="text2"/>
          <w:sz w:val="22"/>
          <w:szCs w:val="22"/>
        </w:rPr>
        <w:t>align</w:t>
      </w:r>
      <w:r w:rsidR="00A21247" w:rsidRPr="3394A6C1">
        <w:rPr>
          <w:rFonts w:asciiTheme="majorHAnsi" w:eastAsiaTheme="majorEastAsia" w:hAnsiTheme="majorHAnsi" w:cstheme="majorBidi"/>
          <w:color w:val="44546A" w:themeColor="text2"/>
          <w:sz w:val="22"/>
          <w:szCs w:val="22"/>
        </w:rPr>
        <w:t xml:space="preserve"> with global MPL definitions</w:t>
      </w:r>
      <w:r w:rsidR="00A21247" w:rsidRPr="3394A6C1">
        <w:rPr>
          <w:rStyle w:val="FootnoteReference"/>
          <w:rFonts w:asciiTheme="majorHAnsi" w:eastAsiaTheme="majorEastAsia" w:hAnsiTheme="majorHAnsi" w:cstheme="majorBidi"/>
          <w:color w:val="44546A" w:themeColor="text2"/>
          <w:sz w:val="22"/>
          <w:szCs w:val="22"/>
        </w:rPr>
        <w:footnoteReference w:id="8"/>
      </w:r>
      <w:r w:rsidR="001A0641" w:rsidRPr="3394A6C1">
        <w:rPr>
          <w:rFonts w:asciiTheme="majorHAnsi" w:eastAsiaTheme="majorEastAsia" w:hAnsiTheme="majorHAnsi" w:cstheme="majorBidi"/>
          <w:color w:val="44546A" w:themeColor="text2"/>
          <w:sz w:val="22"/>
          <w:szCs w:val="22"/>
        </w:rPr>
        <w:t xml:space="preserve">.  </w:t>
      </w:r>
      <w:r w:rsidR="00FF3EAD" w:rsidRPr="3394A6C1">
        <w:rPr>
          <w:rFonts w:asciiTheme="majorHAnsi" w:eastAsiaTheme="majorEastAsia" w:hAnsiTheme="majorHAnsi" w:cstheme="majorBidi"/>
          <w:color w:val="44546A" w:themeColor="text2"/>
          <w:sz w:val="22"/>
          <w:szCs w:val="22"/>
        </w:rPr>
        <w:t>Please see the Data Sources section below for d</w:t>
      </w:r>
      <w:r w:rsidR="001A0641" w:rsidRPr="3394A6C1">
        <w:rPr>
          <w:rFonts w:asciiTheme="majorHAnsi" w:eastAsiaTheme="majorEastAsia" w:hAnsiTheme="majorHAnsi" w:cstheme="majorBidi"/>
          <w:color w:val="44546A" w:themeColor="text2"/>
          <w:sz w:val="22"/>
          <w:szCs w:val="22"/>
        </w:rPr>
        <w:t>etails and examples of</w:t>
      </w:r>
      <w:r w:rsidR="00FF3EAD" w:rsidRPr="3394A6C1">
        <w:rPr>
          <w:rFonts w:asciiTheme="majorHAnsi" w:eastAsiaTheme="majorEastAsia" w:hAnsiTheme="majorHAnsi" w:cstheme="majorBidi"/>
          <w:color w:val="44546A" w:themeColor="text2"/>
          <w:sz w:val="22"/>
          <w:szCs w:val="22"/>
        </w:rPr>
        <w:t xml:space="preserve"> acceptable</w:t>
      </w:r>
      <w:r w:rsidR="001A0641" w:rsidRPr="3394A6C1">
        <w:rPr>
          <w:rFonts w:asciiTheme="majorHAnsi" w:eastAsiaTheme="majorEastAsia" w:hAnsiTheme="majorHAnsi" w:cstheme="majorBidi"/>
          <w:color w:val="44546A" w:themeColor="text2"/>
          <w:sz w:val="22"/>
          <w:szCs w:val="22"/>
        </w:rPr>
        <w:t xml:space="preserve"> </w:t>
      </w:r>
      <w:r w:rsidR="007F4E43" w:rsidRPr="3394A6C1">
        <w:rPr>
          <w:rFonts w:asciiTheme="majorHAnsi" w:eastAsiaTheme="majorEastAsia" w:hAnsiTheme="majorHAnsi" w:cstheme="majorBidi"/>
          <w:color w:val="44546A" w:themeColor="text2"/>
          <w:sz w:val="22"/>
          <w:szCs w:val="22"/>
        </w:rPr>
        <w:t>learning outcomes data from program, national</w:t>
      </w:r>
      <w:r w:rsidR="00966EA1" w:rsidRPr="3394A6C1">
        <w:rPr>
          <w:rFonts w:asciiTheme="majorHAnsi" w:eastAsiaTheme="majorEastAsia" w:hAnsiTheme="majorHAnsi" w:cstheme="majorBidi"/>
          <w:color w:val="44546A" w:themeColor="text2"/>
          <w:sz w:val="22"/>
          <w:szCs w:val="22"/>
        </w:rPr>
        <w:t xml:space="preserve"> and regional-level learning assessments</w:t>
      </w:r>
      <w:r w:rsidR="00FF3EAD" w:rsidRPr="3394A6C1">
        <w:rPr>
          <w:rFonts w:asciiTheme="majorHAnsi" w:eastAsiaTheme="majorEastAsia" w:hAnsiTheme="majorHAnsi" w:cstheme="majorBidi"/>
          <w:color w:val="44546A" w:themeColor="text2"/>
          <w:sz w:val="22"/>
          <w:szCs w:val="22"/>
        </w:rPr>
        <w:t>.</w:t>
      </w:r>
    </w:p>
    <w:p w14:paraId="34953A88" w14:textId="04DFF907" w:rsidR="00C4292B" w:rsidRPr="0000426E" w:rsidRDefault="00C4292B" w:rsidP="3394A6C1">
      <w:pPr>
        <w:pStyle w:val="Heading2"/>
        <w:jc w:val="both"/>
        <w:rPr>
          <w:rStyle w:val="IntenseEmphasis"/>
          <w:rFonts w:asciiTheme="majorHAnsi" w:hAnsiTheme="majorHAnsi" w:cstheme="majorBidi"/>
          <w:sz w:val="22"/>
          <w:szCs w:val="22"/>
        </w:rPr>
      </w:pPr>
      <w:r w:rsidRPr="3394A6C1">
        <w:rPr>
          <w:rStyle w:val="IntenseEmphasis"/>
          <w:rFonts w:asciiTheme="majorHAnsi" w:hAnsiTheme="majorHAnsi" w:cstheme="majorBidi"/>
          <w:sz w:val="22"/>
          <w:szCs w:val="22"/>
        </w:rPr>
        <w:t>Excludes:</w:t>
      </w:r>
    </w:p>
    <w:p w14:paraId="5F91EAC3" w14:textId="55E856D3" w:rsidR="009F3029" w:rsidRPr="0000426E" w:rsidRDefault="00DC20AD" w:rsidP="3394A6C1">
      <w:pPr>
        <w:pStyle w:val="ListBullet"/>
        <w:numPr>
          <w:ilvl w:val="0"/>
          <w:numId w:val="5"/>
        </w:numPr>
        <w:tabs>
          <w:tab w:val="left" w:pos="284"/>
        </w:tabs>
        <w:spacing w:before="0" w:after="0" w:line="260" w:lineRule="atLeast"/>
        <w:jc w:val="both"/>
        <w:rPr>
          <w:rFonts w:asciiTheme="majorHAnsi" w:eastAsiaTheme="majorEastAsia" w:hAnsiTheme="majorHAnsi" w:cstheme="majorBidi"/>
          <w:color w:val="44546A" w:themeColor="text2"/>
          <w:sz w:val="22"/>
          <w:szCs w:val="22"/>
        </w:rPr>
      </w:pPr>
      <w:r w:rsidRPr="3394A6C1">
        <w:rPr>
          <w:rFonts w:asciiTheme="majorHAnsi" w:eastAsiaTheme="majorEastAsia" w:hAnsiTheme="majorHAnsi" w:cstheme="majorBidi"/>
          <w:color w:val="44546A" w:themeColor="text2"/>
          <w:sz w:val="22"/>
          <w:szCs w:val="22"/>
        </w:rPr>
        <w:t>Learning outcomes data from d</w:t>
      </w:r>
      <w:r w:rsidR="009F3029" w:rsidRPr="3394A6C1">
        <w:rPr>
          <w:rFonts w:asciiTheme="majorHAnsi" w:eastAsiaTheme="majorEastAsia" w:hAnsiTheme="majorHAnsi" w:cstheme="majorBidi"/>
          <w:color w:val="44546A" w:themeColor="text2"/>
          <w:sz w:val="22"/>
          <w:szCs w:val="22"/>
        </w:rPr>
        <w:t xml:space="preserve">omains other than </w:t>
      </w:r>
      <w:r w:rsidR="00785DE0" w:rsidRPr="3394A6C1">
        <w:rPr>
          <w:rFonts w:asciiTheme="majorHAnsi" w:eastAsiaTheme="majorEastAsia" w:hAnsiTheme="majorHAnsi" w:cstheme="majorBidi"/>
          <w:color w:val="44546A" w:themeColor="text2"/>
          <w:sz w:val="22"/>
          <w:szCs w:val="22"/>
        </w:rPr>
        <w:t>reading</w:t>
      </w:r>
      <w:r w:rsidR="009F3029" w:rsidRPr="3394A6C1">
        <w:rPr>
          <w:rFonts w:asciiTheme="majorHAnsi" w:eastAsiaTheme="majorEastAsia" w:hAnsiTheme="majorHAnsi" w:cstheme="majorBidi"/>
          <w:color w:val="44546A" w:themeColor="text2"/>
          <w:sz w:val="22"/>
          <w:szCs w:val="22"/>
        </w:rPr>
        <w:t xml:space="preserve"> and </w:t>
      </w:r>
      <w:r w:rsidR="00785DE0" w:rsidRPr="3394A6C1">
        <w:rPr>
          <w:rFonts w:asciiTheme="majorHAnsi" w:eastAsiaTheme="majorEastAsia" w:hAnsiTheme="majorHAnsi" w:cstheme="majorBidi"/>
          <w:color w:val="44546A" w:themeColor="text2"/>
          <w:sz w:val="22"/>
          <w:szCs w:val="22"/>
        </w:rPr>
        <w:t>mathematics</w:t>
      </w:r>
      <w:r w:rsidR="009F3029" w:rsidRPr="3394A6C1">
        <w:rPr>
          <w:rFonts w:asciiTheme="majorHAnsi" w:eastAsiaTheme="majorEastAsia" w:hAnsiTheme="majorHAnsi" w:cstheme="majorBidi"/>
          <w:color w:val="44546A" w:themeColor="text2"/>
          <w:sz w:val="22"/>
          <w:szCs w:val="22"/>
        </w:rPr>
        <w:t>, such as science or social studies</w:t>
      </w:r>
      <w:r w:rsidR="00FA7698" w:rsidRPr="3394A6C1">
        <w:rPr>
          <w:rFonts w:asciiTheme="majorHAnsi" w:eastAsiaTheme="majorEastAsia" w:hAnsiTheme="majorHAnsi" w:cstheme="majorBidi"/>
          <w:color w:val="44546A" w:themeColor="text2"/>
          <w:sz w:val="22"/>
          <w:szCs w:val="22"/>
        </w:rPr>
        <w:t>.</w:t>
      </w:r>
    </w:p>
    <w:p w14:paraId="7B41F73F" w14:textId="37D01F28" w:rsidR="00111BDF" w:rsidRPr="0000426E" w:rsidRDefault="000F5F73" w:rsidP="3394A6C1">
      <w:pPr>
        <w:pStyle w:val="ListBullet"/>
        <w:numPr>
          <w:ilvl w:val="0"/>
          <w:numId w:val="5"/>
        </w:numPr>
        <w:tabs>
          <w:tab w:val="left" w:pos="284"/>
        </w:tabs>
        <w:spacing w:before="0" w:after="0" w:line="260" w:lineRule="atLeast"/>
        <w:jc w:val="both"/>
        <w:rPr>
          <w:rFonts w:asciiTheme="majorHAnsi" w:eastAsiaTheme="majorEastAsia" w:hAnsiTheme="majorHAnsi" w:cstheme="majorBidi"/>
          <w:color w:val="44546A" w:themeColor="text2"/>
          <w:sz w:val="22"/>
          <w:szCs w:val="22"/>
        </w:rPr>
      </w:pPr>
      <w:r w:rsidRPr="3394A6C1">
        <w:rPr>
          <w:rFonts w:asciiTheme="majorHAnsi" w:eastAsiaTheme="majorEastAsia" w:hAnsiTheme="majorHAnsi" w:cstheme="majorBidi"/>
          <w:color w:val="44546A" w:themeColor="text2"/>
          <w:sz w:val="22"/>
          <w:szCs w:val="22"/>
        </w:rPr>
        <w:t>L</w:t>
      </w:r>
      <w:r w:rsidR="00785DE0" w:rsidRPr="3394A6C1">
        <w:rPr>
          <w:rFonts w:asciiTheme="majorHAnsi" w:eastAsiaTheme="majorEastAsia" w:hAnsiTheme="majorHAnsi" w:cstheme="majorBidi"/>
          <w:color w:val="44546A" w:themeColor="text2"/>
          <w:sz w:val="22"/>
          <w:szCs w:val="22"/>
        </w:rPr>
        <w:t xml:space="preserve">earning </w:t>
      </w:r>
      <w:r w:rsidR="00111BDF" w:rsidRPr="3394A6C1">
        <w:rPr>
          <w:rFonts w:asciiTheme="majorHAnsi" w:eastAsiaTheme="majorEastAsia" w:hAnsiTheme="majorHAnsi" w:cstheme="majorBidi"/>
          <w:color w:val="44546A" w:themeColor="text2"/>
          <w:sz w:val="22"/>
          <w:szCs w:val="22"/>
        </w:rPr>
        <w:t>outcomes data</w:t>
      </w:r>
      <w:r w:rsidR="00785DE0" w:rsidRPr="3394A6C1">
        <w:rPr>
          <w:rFonts w:asciiTheme="majorHAnsi" w:eastAsiaTheme="majorEastAsia" w:hAnsiTheme="majorHAnsi" w:cstheme="majorBidi"/>
          <w:color w:val="44546A" w:themeColor="text2"/>
          <w:sz w:val="22"/>
          <w:szCs w:val="22"/>
        </w:rPr>
        <w:t xml:space="preserve"> from </w:t>
      </w:r>
      <w:r w:rsidR="00111BDF" w:rsidRPr="3394A6C1">
        <w:rPr>
          <w:rFonts w:asciiTheme="majorHAnsi" w:eastAsiaTheme="majorEastAsia" w:hAnsiTheme="majorHAnsi" w:cstheme="majorBidi"/>
          <w:color w:val="44546A" w:themeColor="text2"/>
          <w:sz w:val="22"/>
          <w:szCs w:val="22"/>
        </w:rPr>
        <w:t xml:space="preserve">assessments </w:t>
      </w:r>
      <w:r w:rsidR="00633624" w:rsidRPr="3394A6C1">
        <w:rPr>
          <w:rFonts w:asciiTheme="majorHAnsi" w:eastAsiaTheme="majorEastAsia" w:hAnsiTheme="majorHAnsi" w:cstheme="majorBidi"/>
          <w:color w:val="44546A" w:themeColor="text2"/>
          <w:sz w:val="22"/>
          <w:szCs w:val="22"/>
        </w:rPr>
        <w:t>for</w:t>
      </w:r>
      <w:r w:rsidR="00111BDF" w:rsidRPr="3394A6C1">
        <w:rPr>
          <w:rFonts w:asciiTheme="majorHAnsi" w:eastAsiaTheme="majorEastAsia" w:hAnsiTheme="majorHAnsi" w:cstheme="majorBidi"/>
          <w:color w:val="44546A" w:themeColor="text2"/>
          <w:sz w:val="22"/>
          <w:szCs w:val="22"/>
        </w:rPr>
        <w:t xml:space="preserve"> </w:t>
      </w:r>
      <w:r w:rsidR="00785DE0" w:rsidRPr="3394A6C1">
        <w:rPr>
          <w:rFonts w:asciiTheme="majorHAnsi" w:eastAsiaTheme="majorEastAsia" w:hAnsiTheme="majorHAnsi" w:cstheme="majorBidi"/>
          <w:color w:val="44546A" w:themeColor="text2"/>
          <w:sz w:val="22"/>
          <w:szCs w:val="22"/>
        </w:rPr>
        <w:t>other grade levels</w:t>
      </w:r>
      <w:r w:rsidR="00111BDF" w:rsidRPr="3394A6C1">
        <w:rPr>
          <w:rFonts w:asciiTheme="majorHAnsi" w:eastAsiaTheme="majorEastAsia" w:hAnsiTheme="majorHAnsi" w:cstheme="majorBidi"/>
          <w:color w:val="44546A" w:themeColor="text2"/>
          <w:sz w:val="22"/>
          <w:szCs w:val="22"/>
        </w:rPr>
        <w:t>, such as assessments for end of senior secondary</w:t>
      </w:r>
      <w:r w:rsidR="00633624" w:rsidRPr="3394A6C1">
        <w:rPr>
          <w:rFonts w:asciiTheme="majorHAnsi" w:eastAsiaTheme="majorEastAsia" w:hAnsiTheme="majorHAnsi" w:cstheme="majorBidi"/>
          <w:color w:val="44546A" w:themeColor="text2"/>
          <w:sz w:val="22"/>
          <w:szCs w:val="22"/>
        </w:rPr>
        <w:t xml:space="preserve"> school</w:t>
      </w:r>
      <w:r w:rsidR="00FA7698" w:rsidRPr="3394A6C1">
        <w:rPr>
          <w:rFonts w:asciiTheme="majorHAnsi" w:eastAsiaTheme="majorEastAsia" w:hAnsiTheme="majorHAnsi" w:cstheme="majorBidi"/>
          <w:color w:val="44546A" w:themeColor="text2"/>
          <w:sz w:val="22"/>
          <w:szCs w:val="22"/>
        </w:rPr>
        <w:t>.</w:t>
      </w:r>
    </w:p>
    <w:p w14:paraId="7F49BFF8" w14:textId="46480365" w:rsidR="00410DB3" w:rsidRPr="0000426E" w:rsidRDefault="00111BDF" w:rsidP="3394A6C1">
      <w:pPr>
        <w:pStyle w:val="ListBullet"/>
        <w:numPr>
          <w:ilvl w:val="0"/>
          <w:numId w:val="5"/>
        </w:numPr>
        <w:tabs>
          <w:tab w:val="left" w:pos="284"/>
        </w:tabs>
        <w:spacing w:before="0" w:after="0" w:line="260" w:lineRule="atLeast"/>
        <w:jc w:val="both"/>
        <w:rPr>
          <w:rFonts w:asciiTheme="majorHAnsi" w:eastAsiaTheme="majorEastAsia" w:hAnsiTheme="majorHAnsi" w:cstheme="majorBidi"/>
          <w:color w:val="44546A" w:themeColor="text2"/>
          <w:sz w:val="22"/>
          <w:szCs w:val="22"/>
        </w:rPr>
      </w:pPr>
      <w:r w:rsidRPr="3394A6C1">
        <w:rPr>
          <w:rFonts w:asciiTheme="majorHAnsi" w:eastAsiaTheme="majorEastAsia" w:hAnsiTheme="majorHAnsi" w:cstheme="majorBidi"/>
          <w:color w:val="44546A" w:themeColor="text2"/>
          <w:sz w:val="22"/>
          <w:szCs w:val="22"/>
        </w:rPr>
        <w:t>Learning outcomes data from</w:t>
      </w:r>
      <w:r w:rsidR="006D31F0" w:rsidRPr="3394A6C1">
        <w:rPr>
          <w:rFonts w:asciiTheme="majorHAnsi" w:eastAsiaTheme="majorEastAsia" w:hAnsiTheme="majorHAnsi" w:cstheme="majorBidi"/>
          <w:color w:val="44546A" w:themeColor="text2"/>
          <w:sz w:val="22"/>
          <w:szCs w:val="22"/>
        </w:rPr>
        <w:t xml:space="preserve"> assessments for</w:t>
      </w:r>
      <w:r w:rsidRPr="3394A6C1">
        <w:rPr>
          <w:rFonts w:asciiTheme="majorHAnsi" w:eastAsiaTheme="majorEastAsia" w:hAnsiTheme="majorHAnsi" w:cstheme="majorBidi"/>
          <w:color w:val="44546A" w:themeColor="text2"/>
          <w:sz w:val="22"/>
          <w:szCs w:val="22"/>
        </w:rPr>
        <w:t xml:space="preserve"> other</w:t>
      </w:r>
      <w:r w:rsidR="00410DB3" w:rsidRPr="3394A6C1">
        <w:rPr>
          <w:rFonts w:asciiTheme="majorHAnsi" w:eastAsiaTheme="majorEastAsia" w:hAnsiTheme="majorHAnsi" w:cstheme="majorBidi"/>
          <w:color w:val="44546A" w:themeColor="text2"/>
          <w:sz w:val="22"/>
          <w:szCs w:val="22"/>
        </w:rPr>
        <w:t xml:space="preserve"> institutions</w:t>
      </w:r>
      <w:r w:rsidR="00785DE0" w:rsidRPr="3394A6C1">
        <w:rPr>
          <w:rFonts w:asciiTheme="majorHAnsi" w:eastAsiaTheme="majorEastAsia" w:hAnsiTheme="majorHAnsi" w:cstheme="majorBidi"/>
          <w:color w:val="44546A" w:themeColor="text2"/>
          <w:sz w:val="22"/>
          <w:szCs w:val="22"/>
        </w:rPr>
        <w:t>, such as assessments for technical and vocational education</w:t>
      </w:r>
      <w:r w:rsidR="00410DB3" w:rsidRPr="3394A6C1">
        <w:rPr>
          <w:rFonts w:asciiTheme="majorHAnsi" w:eastAsiaTheme="majorEastAsia" w:hAnsiTheme="majorHAnsi" w:cstheme="majorBidi"/>
          <w:color w:val="44546A" w:themeColor="text2"/>
          <w:sz w:val="22"/>
          <w:szCs w:val="22"/>
        </w:rPr>
        <w:t xml:space="preserve"> training</w:t>
      </w:r>
      <w:r w:rsidR="00FA7698" w:rsidRPr="3394A6C1">
        <w:rPr>
          <w:rFonts w:asciiTheme="majorHAnsi" w:eastAsiaTheme="majorEastAsia" w:hAnsiTheme="majorHAnsi" w:cstheme="majorBidi"/>
          <w:color w:val="44546A" w:themeColor="text2"/>
          <w:sz w:val="22"/>
          <w:szCs w:val="22"/>
        </w:rPr>
        <w:t>.</w:t>
      </w:r>
    </w:p>
    <w:p w14:paraId="4AB908CF" w14:textId="58B9E01C" w:rsidR="00995558" w:rsidRPr="0000426E" w:rsidRDefault="000F5F73" w:rsidP="3394A6C1">
      <w:pPr>
        <w:pStyle w:val="ListBullet"/>
        <w:numPr>
          <w:ilvl w:val="0"/>
          <w:numId w:val="5"/>
        </w:numPr>
        <w:tabs>
          <w:tab w:val="left" w:pos="284"/>
        </w:tabs>
        <w:spacing w:before="0" w:after="60" w:line="260" w:lineRule="atLeast"/>
        <w:jc w:val="both"/>
        <w:rPr>
          <w:rFonts w:asciiTheme="majorHAnsi" w:eastAsiaTheme="majorEastAsia" w:hAnsiTheme="majorHAnsi" w:cstheme="majorBidi"/>
          <w:color w:val="44546A" w:themeColor="text2"/>
          <w:sz w:val="22"/>
          <w:szCs w:val="22"/>
        </w:rPr>
      </w:pPr>
      <w:r w:rsidRPr="3394A6C1">
        <w:rPr>
          <w:rFonts w:asciiTheme="majorHAnsi" w:eastAsiaTheme="majorEastAsia" w:hAnsiTheme="majorHAnsi" w:cstheme="majorBidi"/>
          <w:color w:val="44546A" w:themeColor="text2"/>
          <w:sz w:val="22"/>
          <w:szCs w:val="22"/>
        </w:rPr>
        <w:t>N</w:t>
      </w:r>
      <w:r w:rsidR="000452A1" w:rsidRPr="3394A6C1">
        <w:rPr>
          <w:rFonts w:asciiTheme="majorHAnsi" w:eastAsiaTheme="majorEastAsia" w:hAnsiTheme="majorHAnsi" w:cstheme="majorBidi"/>
          <w:color w:val="44546A" w:themeColor="text2"/>
          <w:sz w:val="22"/>
          <w:szCs w:val="22"/>
        </w:rPr>
        <w:t xml:space="preserve">on-standardised </w:t>
      </w:r>
      <w:r w:rsidR="00410DB3" w:rsidRPr="3394A6C1">
        <w:rPr>
          <w:rFonts w:asciiTheme="majorHAnsi" w:eastAsiaTheme="majorEastAsia" w:hAnsiTheme="majorHAnsi" w:cstheme="majorBidi"/>
          <w:color w:val="44546A" w:themeColor="text2"/>
          <w:sz w:val="22"/>
          <w:szCs w:val="22"/>
        </w:rPr>
        <w:t>learning assessment</w:t>
      </w:r>
      <w:r w:rsidR="006D31F0" w:rsidRPr="3394A6C1">
        <w:rPr>
          <w:rFonts w:asciiTheme="majorHAnsi" w:eastAsiaTheme="majorEastAsia" w:hAnsiTheme="majorHAnsi" w:cstheme="majorBidi"/>
          <w:color w:val="44546A" w:themeColor="text2"/>
          <w:sz w:val="22"/>
          <w:szCs w:val="22"/>
        </w:rPr>
        <w:t xml:space="preserve"> data that does not have</w:t>
      </w:r>
      <w:r w:rsidR="000452A1" w:rsidRPr="3394A6C1">
        <w:rPr>
          <w:rFonts w:asciiTheme="majorHAnsi" w:eastAsiaTheme="majorEastAsia" w:hAnsiTheme="majorHAnsi" w:cstheme="majorBidi"/>
          <w:color w:val="44546A" w:themeColor="text2"/>
          <w:sz w:val="22"/>
          <w:szCs w:val="22"/>
        </w:rPr>
        <w:t xml:space="preserve"> an established minimum proficiency level</w:t>
      </w:r>
      <w:r w:rsidR="00995558" w:rsidRPr="3394A6C1">
        <w:rPr>
          <w:rFonts w:asciiTheme="majorHAnsi" w:eastAsiaTheme="majorEastAsia" w:hAnsiTheme="majorHAnsi" w:cstheme="majorBidi"/>
          <w:color w:val="44546A" w:themeColor="text2"/>
          <w:sz w:val="22"/>
          <w:szCs w:val="22"/>
        </w:rPr>
        <w:t>.</w:t>
      </w:r>
    </w:p>
    <w:p w14:paraId="5FEDE0BD" w14:textId="77777777" w:rsidR="0096617F" w:rsidRPr="007F16F1" w:rsidRDefault="0096617F" w:rsidP="32F60554">
      <w:pPr>
        <w:pStyle w:val="Heading2"/>
        <w:rPr>
          <w:rFonts w:asciiTheme="majorHAnsi" w:hAnsiTheme="majorHAnsi" w:cstheme="majorBidi"/>
        </w:rPr>
      </w:pPr>
      <w:r w:rsidRPr="32F60554">
        <w:rPr>
          <w:rFonts w:asciiTheme="majorHAnsi" w:hAnsiTheme="majorHAnsi" w:cstheme="majorBidi"/>
        </w:rPr>
        <w:lastRenderedPageBreak/>
        <w:t>calculation method</w:t>
      </w:r>
    </w:p>
    <w:p w14:paraId="6BA17AFC" w14:textId="0CAEA449" w:rsidR="00490C54" w:rsidRPr="0000426E" w:rsidRDefault="00490C54" w:rsidP="3394A6C1">
      <w:pPr>
        <w:pStyle w:val="BodyText"/>
        <w:spacing w:after="120"/>
        <w:jc w:val="both"/>
        <w:rPr>
          <w:rStyle w:val="IntenseEmphasis"/>
          <w:rFonts w:asciiTheme="majorHAnsi" w:eastAsiaTheme="majorEastAsia" w:hAnsiTheme="majorHAnsi" w:cstheme="majorBidi"/>
          <w:i w:val="0"/>
          <w:iCs w:val="0"/>
          <w:u w:val="single"/>
        </w:rPr>
      </w:pPr>
      <w:r w:rsidRPr="3394A6C1">
        <w:rPr>
          <w:rFonts w:asciiTheme="majorHAnsi" w:eastAsiaTheme="majorEastAsia" w:hAnsiTheme="majorHAnsi" w:cstheme="majorBidi"/>
        </w:rPr>
        <w:t>Improved learning outcomes depend on a multitude of factors, not only those supported by Australia’s interventions</w:t>
      </w:r>
      <w:r w:rsidR="050834FD" w:rsidRPr="3394A6C1">
        <w:rPr>
          <w:rFonts w:asciiTheme="majorHAnsi" w:eastAsiaTheme="majorEastAsia" w:hAnsiTheme="majorHAnsi" w:cstheme="majorBidi"/>
        </w:rPr>
        <w:t xml:space="preserve">. </w:t>
      </w:r>
      <w:r w:rsidRPr="3394A6C1">
        <w:rPr>
          <w:rFonts w:asciiTheme="majorHAnsi" w:eastAsiaTheme="majorEastAsia" w:hAnsiTheme="majorHAnsi" w:cstheme="majorBidi"/>
        </w:rPr>
        <w:t>For this r</w:t>
      </w:r>
      <w:r w:rsidR="00D70641" w:rsidRPr="3394A6C1">
        <w:rPr>
          <w:rFonts w:asciiTheme="majorHAnsi" w:eastAsiaTheme="majorEastAsia" w:hAnsiTheme="majorHAnsi" w:cstheme="majorBidi"/>
        </w:rPr>
        <w:t xml:space="preserve">eason, </w:t>
      </w:r>
      <w:r w:rsidRPr="3394A6C1">
        <w:rPr>
          <w:rFonts w:asciiTheme="majorHAnsi" w:eastAsiaTheme="majorEastAsia" w:hAnsiTheme="majorHAnsi" w:cstheme="majorBidi"/>
        </w:rPr>
        <w:t xml:space="preserve">Australia will only claim contribution </w:t>
      </w:r>
      <w:r w:rsidR="00FA7698" w:rsidRPr="3394A6C1">
        <w:rPr>
          <w:rFonts w:asciiTheme="majorHAnsi" w:eastAsiaTheme="majorEastAsia" w:hAnsiTheme="majorHAnsi" w:cstheme="majorBidi"/>
        </w:rPr>
        <w:t xml:space="preserve">to </w:t>
      </w:r>
      <w:r w:rsidRPr="3394A6C1">
        <w:rPr>
          <w:rFonts w:asciiTheme="majorHAnsi" w:eastAsiaTheme="majorEastAsia" w:hAnsiTheme="majorHAnsi" w:cstheme="majorBidi"/>
        </w:rPr>
        <w:t>this indicator, not full attribution</w:t>
      </w:r>
      <w:r w:rsidR="005B58FF" w:rsidRPr="3394A6C1">
        <w:rPr>
          <w:rFonts w:asciiTheme="majorHAnsi" w:eastAsiaTheme="majorEastAsia" w:hAnsiTheme="majorHAnsi" w:cstheme="majorBidi"/>
        </w:rPr>
        <w:t xml:space="preserve">. </w:t>
      </w:r>
      <w:r w:rsidR="001D739C" w:rsidRPr="3394A6C1">
        <w:rPr>
          <w:rFonts w:asciiTheme="majorHAnsi" w:eastAsiaTheme="majorEastAsia" w:hAnsiTheme="majorHAnsi" w:cstheme="majorBidi"/>
        </w:rPr>
        <w:t>This means f</w:t>
      </w:r>
      <w:r w:rsidR="005B58FF" w:rsidRPr="3394A6C1">
        <w:rPr>
          <w:rFonts w:asciiTheme="majorHAnsi" w:eastAsiaTheme="majorEastAsia" w:hAnsiTheme="majorHAnsi" w:cstheme="majorBidi"/>
        </w:rPr>
        <w:t>urther calculations beyond the raw percentage of learners achieving minimum proficiency are not required.</w:t>
      </w:r>
      <w:r w:rsidR="4DD3CB47" w:rsidRPr="3394A6C1">
        <w:rPr>
          <w:rFonts w:asciiTheme="majorHAnsi" w:eastAsiaTheme="majorEastAsia" w:hAnsiTheme="majorHAnsi" w:cstheme="majorBidi"/>
        </w:rPr>
        <w:t xml:space="preserve"> </w:t>
      </w:r>
      <w:r w:rsidR="00C72577" w:rsidRPr="3394A6C1">
        <w:rPr>
          <w:rFonts w:asciiTheme="majorHAnsi" w:eastAsiaTheme="majorEastAsia" w:hAnsiTheme="majorHAnsi" w:cstheme="majorBidi"/>
        </w:rPr>
        <w:t>Instead</w:t>
      </w:r>
      <w:r w:rsidR="005B58FF" w:rsidRPr="3394A6C1">
        <w:rPr>
          <w:rFonts w:asciiTheme="majorHAnsi" w:eastAsiaTheme="majorEastAsia" w:hAnsiTheme="majorHAnsi" w:cstheme="majorBidi"/>
        </w:rPr>
        <w:t>, case study</w:t>
      </w:r>
      <w:r w:rsidR="00106E98" w:rsidRPr="3394A6C1">
        <w:rPr>
          <w:rFonts w:asciiTheme="majorHAnsi" w:eastAsiaTheme="majorEastAsia" w:hAnsiTheme="majorHAnsi" w:cstheme="majorBidi"/>
        </w:rPr>
        <w:t xml:space="preserve"> narratives</w:t>
      </w:r>
      <w:r w:rsidR="005B58FF" w:rsidRPr="3394A6C1">
        <w:rPr>
          <w:rFonts w:asciiTheme="majorHAnsi" w:eastAsiaTheme="majorEastAsia" w:hAnsiTheme="majorHAnsi" w:cstheme="majorBidi"/>
        </w:rPr>
        <w:t xml:space="preserve"> </w:t>
      </w:r>
      <w:r w:rsidR="00106E98" w:rsidRPr="3394A6C1">
        <w:rPr>
          <w:rFonts w:asciiTheme="majorHAnsi" w:eastAsiaTheme="majorEastAsia" w:hAnsiTheme="majorHAnsi" w:cstheme="majorBidi"/>
        </w:rPr>
        <w:t>are requested</w:t>
      </w:r>
      <w:r w:rsidR="005B58FF" w:rsidRPr="3394A6C1">
        <w:rPr>
          <w:rFonts w:asciiTheme="majorHAnsi" w:eastAsiaTheme="majorEastAsia" w:hAnsiTheme="majorHAnsi" w:cstheme="majorBidi"/>
        </w:rPr>
        <w:t xml:space="preserve"> to help demonstrate how Australian support contributed to improved learning outcomes.</w:t>
      </w:r>
    </w:p>
    <w:p w14:paraId="6CD33C26" w14:textId="5D8BD6C7" w:rsidR="001B2967" w:rsidRPr="0000426E" w:rsidRDefault="001B2967" w:rsidP="3394A6C1">
      <w:pPr>
        <w:pStyle w:val="BodyText"/>
        <w:spacing w:before="0" w:after="120"/>
        <w:jc w:val="both"/>
        <w:rPr>
          <w:rFonts w:asciiTheme="majorHAnsi" w:eastAsiaTheme="majorEastAsia" w:hAnsiTheme="majorHAnsi" w:cstheme="majorBidi"/>
        </w:rPr>
      </w:pPr>
      <w:r w:rsidRPr="3394A6C1">
        <w:rPr>
          <w:rFonts w:asciiTheme="majorHAnsi" w:eastAsiaTheme="majorEastAsia" w:hAnsiTheme="majorHAnsi" w:cstheme="majorBidi"/>
        </w:rPr>
        <w:t>Case study narratives</w:t>
      </w:r>
      <w:r w:rsidR="00E93CC5" w:rsidRPr="3394A6C1">
        <w:rPr>
          <w:rFonts w:asciiTheme="majorHAnsi" w:eastAsiaTheme="majorEastAsia" w:hAnsiTheme="majorHAnsi" w:cstheme="majorBidi"/>
        </w:rPr>
        <w:t xml:space="preserve"> (100 words maximum)</w:t>
      </w:r>
      <w:r w:rsidRPr="3394A6C1">
        <w:rPr>
          <w:rFonts w:asciiTheme="majorHAnsi" w:eastAsiaTheme="majorEastAsia" w:hAnsiTheme="majorHAnsi" w:cstheme="majorBidi"/>
        </w:rPr>
        <w:t xml:space="preserve"> should include: investment value</w:t>
      </w:r>
      <w:r w:rsidR="00E93CC5" w:rsidRPr="3394A6C1">
        <w:rPr>
          <w:rFonts w:asciiTheme="majorHAnsi" w:eastAsiaTheme="majorEastAsia" w:hAnsiTheme="majorHAnsi" w:cstheme="majorBidi"/>
        </w:rPr>
        <w:t xml:space="preserve">; </w:t>
      </w:r>
      <w:r w:rsidRPr="3394A6C1">
        <w:rPr>
          <w:rFonts w:asciiTheme="majorHAnsi" w:eastAsiaTheme="majorEastAsia" w:hAnsiTheme="majorHAnsi" w:cstheme="majorBidi"/>
        </w:rPr>
        <w:t>key outcomes/achievements;</w:t>
      </w:r>
      <w:r w:rsidR="00E93CC5" w:rsidRPr="3394A6C1">
        <w:rPr>
          <w:rFonts w:asciiTheme="majorHAnsi" w:eastAsiaTheme="majorEastAsia" w:hAnsiTheme="majorHAnsi" w:cstheme="majorBidi"/>
        </w:rPr>
        <w:t xml:space="preserve"> and</w:t>
      </w:r>
      <w:r w:rsidR="00015405" w:rsidRPr="3394A6C1">
        <w:rPr>
          <w:rFonts w:asciiTheme="majorHAnsi" w:eastAsiaTheme="majorEastAsia" w:hAnsiTheme="majorHAnsi" w:cstheme="majorBidi"/>
        </w:rPr>
        <w:t xml:space="preserve"> co-contributors, such as partner governments,</w:t>
      </w:r>
      <w:r w:rsidR="000E2158" w:rsidRPr="3394A6C1">
        <w:rPr>
          <w:rFonts w:asciiTheme="majorHAnsi" w:eastAsiaTheme="majorEastAsia" w:hAnsiTheme="majorHAnsi" w:cstheme="majorBidi"/>
        </w:rPr>
        <w:t xml:space="preserve"> other </w:t>
      </w:r>
      <w:r w:rsidR="00FA7698" w:rsidRPr="3394A6C1">
        <w:rPr>
          <w:rFonts w:asciiTheme="majorHAnsi" w:eastAsiaTheme="majorEastAsia" w:hAnsiTheme="majorHAnsi" w:cstheme="majorBidi"/>
        </w:rPr>
        <w:t>development partners</w:t>
      </w:r>
      <w:r w:rsidR="000E2158" w:rsidRPr="3394A6C1">
        <w:rPr>
          <w:rFonts w:asciiTheme="majorHAnsi" w:eastAsiaTheme="majorEastAsia" w:hAnsiTheme="majorHAnsi" w:cstheme="majorBidi"/>
        </w:rPr>
        <w:t xml:space="preserve">, </w:t>
      </w:r>
      <w:r w:rsidR="001027C4" w:rsidRPr="3394A6C1">
        <w:rPr>
          <w:rFonts w:asciiTheme="majorHAnsi" w:eastAsiaTheme="majorEastAsia" w:hAnsiTheme="majorHAnsi" w:cstheme="majorBidi"/>
        </w:rPr>
        <w:t>multilateral</w:t>
      </w:r>
      <w:r w:rsidR="00561034" w:rsidRPr="3394A6C1">
        <w:rPr>
          <w:rFonts w:asciiTheme="majorHAnsi" w:eastAsiaTheme="majorEastAsia" w:hAnsiTheme="majorHAnsi" w:cstheme="majorBidi"/>
        </w:rPr>
        <w:t xml:space="preserve"> organisations or other Australian Government departments and agencies</w:t>
      </w:r>
      <w:r w:rsidR="54C20FFE" w:rsidRPr="3394A6C1">
        <w:rPr>
          <w:rFonts w:asciiTheme="majorHAnsi" w:eastAsiaTheme="majorEastAsia" w:hAnsiTheme="majorHAnsi" w:cstheme="majorBidi"/>
        </w:rPr>
        <w:t xml:space="preserve">. </w:t>
      </w:r>
    </w:p>
    <w:p w14:paraId="691050EA" w14:textId="6EE0BB91" w:rsidR="00E93CC5" w:rsidRPr="0000426E" w:rsidRDefault="00E93CC5" w:rsidP="3394A6C1">
      <w:pPr>
        <w:pStyle w:val="BodyText"/>
        <w:spacing w:before="0" w:after="120"/>
        <w:jc w:val="both"/>
        <w:rPr>
          <w:rFonts w:asciiTheme="majorHAnsi" w:eastAsiaTheme="majorEastAsia" w:hAnsiTheme="majorHAnsi" w:cstheme="majorBidi"/>
        </w:rPr>
      </w:pPr>
      <w:r w:rsidRPr="3394A6C1">
        <w:rPr>
          <w:rFonts w:asciiTheme="majorHAnsi" w:eastAsiaTheme="majorEastAsia" w:hAnsiTheme="majorHAnsi" w:cstheme="majorBidi"/>
        </w:rPr>
        <w:t xml:space="preserve">All case studies must be </w:t>
      </w:r>
      <w:r w:rsidR="00FA7698" w:rsidRPr="3394A6C1">
        <w:rPr>
          <w:rFonts w:asciiTheme="majorHAnsi" w:eastAsiaTheme="majorEastAsia" w:hAnsiTheme="majorHAnsi" w:cstheme="majorBidi"/>
        </w:rPr>
        <w:t xml:space="preserve">approved by the relevant </w:t>
      </w:r>
      <w:r w:rsidRPr="3394A6C1">
        <w:rPr>
          <w:rFonts w:asciiTheme="majorHAnsi" w:eastAsiaTheme="majorEastAsia" w:hAnsiTheme="majorHAnsi" w:cstheme="majorBidi"/>
        </w:rPr>
        <w:t>AS for possible public reporting.</w:t>
      </w:r>
    </w:p>
    <w:p w14:paraId="5E03DAEC" w14:textId="06233205" w:rsidR="001A3142" w:rsidRPr="007F16F1" w:rsidRDefault="001A3142" w:rsidP="32F60554">
      <w:pPr>
        <w:pStyle w:val="Heading2"/>
        <w:rPr>
          <w:rFonts w:asciiTheme="majorHAnsi" w:hAnsiTheme="majorHAnsi" w:cstheme="majorBidi"/>
        </w:rPr>
      </w:pPr>
      <w:r w:rsidRPr="32F60554">
        <w:rPr>
          <w:rFonts w:asciiTheme="majorHAnsi" w:hAnsiTheme="majorHAnsi" w:cstheme="majorBidi"/>
        </w:rPr>
        <w:t>data sources</w:t>
      </w:r>
    </w:p>
    <w:p w14:paraId="7BB8A3F3" w14:textId="125193A1" w:rsidR="00EB0DFA" w:rsidRPr="0000426E" w:rsidRDefault="001D7954" w:rsidP="3394A6C1">
      <w:pPr>
        <w:pStyle w:val="BodyText"/>
        <w:spacing w:after="120"/>
        <w:jc w:val="both"/>
        <w:rPr>
          <w:rFonts w:asciiTheme="majorHAnsi" w:eastAsiaTheme="majorEastAsia" w:hAnsiTheme="majorHAnsi" w:cstheme="majorBidi"/>
        </w:rPr>
      </w:pPr>
      <w:r w:rsidRPr="3394A6C1">
        <w:rPr>
          <w:rFonts w:asciiTheme="majorHAnsi" w:eastAsiaTheme="majorEastAsia" w:hAnsiTheme="majorHAnsi" w:cstheme="majorBidi"/>
        </w:rPr>
        <w:t xml:space="preserve">This indicator seeks to optimise opportunities for program areas to share learning outcomes data.  Different investments will prioritise different grade levels and be at </w:t>
      </w:r>
      <w:bookmarkStart w:id="2" w:name="_Int_5JTyUuHJ"/>
      <w:r w:rsidRPr="3394A6C1">
        <w:rPr>
          <w:rFonts w:asciiTheme="majorHAnsi" w:eastAsiaTheme="majorEastAsia" w:hAnsiTheme="majorHAnsi" w:cstheme="majorBidi"/>
        </w:rPr>
        <w:t>different stages</w:t>
      </w:r>
      <w:bookmarkEnd w:id="2"/>
      <w:r w:rsidRPr="3394A6C1">
        <w:rPr>
          <w:rFonts w:asciiTheme="majorHAnsi" w:eastAsiaTheme="majorEastAsia" w:hAnsiTheme="majorHAnsi" w:cstheme="majorBidi"/>
        </w:rPr>
        <w:t xml:space="preserve"> with respect to measuring learning outcomes</w:t>
      </w:r>
      <w:r w:rsidR="55D87916" w:rsidRPr="3394A6C1">
        <w:rPr>
          <w:rFonts w:asciiTheme="majorHAnsi" w:eastAsiaTheme="majorEastAsia" w:hAnsiTheme="majorHAnsi" w:cstheme="majorBidi"/>
        </w:rPr>
        <w:t xml:space="preserve">. </w:t>
      </w:r>
      <w:r w:rsidRPr="3394A6C1">
        <w:rPr>
          <w:rFonts w:asciiTheme="majorHAnsi" w:eastAsiaTheme="majorEastAsia" w:hAnsiTheme="majorHAnsi" w:cstheme="majorBidi"/>
        </w:rPr>
        <w:t>Learning outcome</w:t>
      </w:r>
      <w:r w:rsidR="00FA7698" w:rsidRPr="3394A6C1">
        <w:rPr>
          <w:rFonts w:asciiTheme="majorHAnsi" w:eastAsiaTheme="majorEastAsia" w:hAnsiTheme="majorHAnsi" w:cstheme="majorBidi"/>
        </w:rPr>
        <w:t>s</w:t>
      </w:r>
      <w:r w:rsidRPr="3394A6C1">
        <w:rPr>
          <w:rFonts w:asciiTheme="majorHAnsi" w:eastAsiaTheme="majorEastAsia" w:hAnsiTheme="majorHAnsi" w:cstheme="majorBidi"/>
        </w:rPr>
        <w:t xml:space="preserve"> data availability will also change every year.  For these reasons, it is unlikely any program will be able to </w:t>
      </w:r>
      <w:r w:rsidR="001C57FD" w:rsidRPr="3394A6C1">
        <w:rPr>
          <w:rFonts w:asciiTheme="majorHAnsi" w:eastAsiaTheme="majorEastAsia" w:hAnsiTheme="majorHAnsi" w:cstheme="majorBidi"/>
        </w:rPr>
        <w:t>respond to</w:t>
      </w:r>
      <w:r w:rsidRPr="3394A6C1">
        <w:rPr>
          <w:rFonts w:asciiTheme="majorHAnsi" w:eastAsiaTheme="majorEastAsia" w:hAnsiTheme="majorHAnsi" w:cstheme="majorBidi"/>
        </w:rPr>
        <w:t xml:space="preserve"> all parts of the </w:t>
      </w:r>
      <w:proofErr w:type="spellStart"/>
      <w:r w:rsidRPr="3394A6C1">
        <w:rPr>
          <w:rFonts w:asciiTheme="majorHAnsi" w:eastAsiaTheme="majorEastAsia" w:hAnsiTheme="majorHAnsi" w:cstheme="majorBidi"/>
        </w:rPr>
        <w:t>Aidworks</w:t>
      </w:r>
      <w:proofErr w:type="spellEnd"/>
      <w:r w:rsidRPr="3394A6C1">
        <w:rPr>
          <w:rFonts w:asciiTheme="majorHAnsi" w:eastAsiaTheme="majorEastAsia" w:hAnsiTheme="majorHAnsi" w:cstheme="majorBidi"/>
        </w:rPr>
        <w:t xml:space="preserve"> questionnaire in full, but we encourage </w:t>
      </w:r>
      <w:r w:rsidR="00FA7698" w:rsidRPr="3394A6C1">
        <w:rPr>
          <w:rFonts w:asciiTheme="majorHAnsi" w:eastAsiaTheme="majorEastAsia" w:hAnsiTheme="majorHAnsi" w:cstheme="majorBidi"/>
        </w:rPr>
        <w:t xml:space="preserve">program areas </w:t>
      </w:r>
      <w:r w:rsidRPr="3394A6C1">
        <w:rPr>
          <w:rFonts w:asciiTheme="majorHAnsi" w:eastAsiaTheme="majorEastAsia" w:hAnsiTheme="majorHAnsi" w:cstheme="majorBidi"/>
        </w:rPr>
        <w:t xml:space="preserve">to complete as much as </w:t>
      </w:r>
      <w:r w:rsidR="00FA7698" w:rsidRPr="3394A6C1">
        <w:rPr>
          <w:rFonts w:asciiTheme="majorHAnsi" w:eastAsiaTheme="majorEastAsia" w:hAnsiTheme="majorHAnsi" w:cstheme="majorBidi"/>
        </w:rPr>
        <w:t xml:space="preserve">they </w:t>
      </w:r>
      <w:r w:rsidRPr="3394A6C1">
        <w:rPr>
          <w:rFonts w:asciiTheme="majorHAnsi" w:eastAsiaTheme="majorEastAsia" w:hAnsiTheme="majorHAnsi" w:cstheme="majorBidi"/>
        </w:rPr>
        <w:t>can.  If requested data is unavailable or unknown, simply enter “</w:t>
      </w:r>
      <w:r w:rsidR="00D62A41" w:rsidRPr="3394A6C1">
        <w:rPr>
          <w:rFonts w:asciiTheme="majorHAnsi" w:eastAsiaTheme="majorEastAsia" w:hAnsiTheme="majorHAnsi" w:cstheme="majorBidi"/>
        </w:rPr>
        <w:t>NA” (</w:t>
      </w:r>
      <w:r w:rsidRPr="3394A6C1">
        <w:rPr>
          <w:rFonts w:asciiTheme="majorHAnsi" w:eastAsiaTheme="majorEastAsia" w:hAnsiTheme="majorHAnsi" w:cstheme="majorBidi"/>
        </w:rPr>
        <w:t>not applicable) and move to the next question.</w:t>
      </w:r>
    </w:p>
    <w:p w14:paraId="1966646D" w14:textId="0CB03412" w:rsidR="0054071D" w:rsidRPr="0000426E" w:rsidRDefault="00EB0DFA" w:rsidP="3394A6C1">
      <w:pPr>
        <w:pStyle w:val="BodyText"/>
        <w:jc w:val="both"/>
        <w:rPr>
          <w:rFonts w:asciiTheme="majorHAnsi" w:eastAsiaTheme="majorEastAsia" w:hAnsiTheme="majorHAnsi" w:cstheme="majorBidi"/>
        </w:rPr>
      </w:pPr>
      <w:r w:rsidRPr="3394A6C1">
        <w:rPr>
          <w:rFonts w:asciiTheme="majorHAnsi" w:eastAsiaTheme="majorEastAsia" w:hAnsiTheme="majorHAnsi" w:cstheme="majorBidi"/>
        </w:rPr>
        <w:t xml:space="preserve">Data sources for reporting against this indicator will ideally include program, national </w:t>
      </w:r>
      <w:r w:rsidRPr="3394A6C1">
        <w:rPr>
          <w:rFonts w:asciiTheme="majorHAnsi" w:eastAsiaTheme="majorEastAsia" w:hAnsiTheme="majorHAnsi" w:cstheme="majorBidi"/>
          <w:i/>
          <w:iCs/>
        </w:rPr>
        <w:t>and</w:t>
      </w:r>
      <w:r w:rsidRPr="3394A6C1">
        <w:rPr>
          <w:rFonts w:asciiTheme="majorHAnsi" w:eastAsiaTheme="majorEastAsia" w:hAnsiTheme="majorHAnsi" w:cstheme="majorBidi"/>
        </w:rPr>
        <w:t xml:space="preserve"> regional-level data, but we anticipate most programs will only be able to report at one or two levels in any given year</w:t>
      </w:r>
      <w:r w:rsidR="00FA7698" w:rsidRPr="3394A6C1">
        <w:rPr>
          <w:rFonts w:asciiTheme="majorHAnsi" w:eastAsiaTheme="majorEastAsia" w:hAnsiTheme="majorHAnsi" w:cstheme="majorBidi"/>
        </w:rPr>
        <w:t>.</w:t>
      </w:r>
    </w:p>
    <w:p w14:paraId="3290D7F5" w14:textId="48BA4CBB" w:rsidR="00FF3EAD" w:rsidRPr="0000426E" w:rsidRDefault="00FF3EAD" w:rsidP="3394A6C1">
      <w:pPr>
        <w:pStyle w:val="BodyText"/>
        <w:numPr>
          <w:ilvl w:val="0"/>
          <w:numId w:val="5"/>
        </w:numPr>
        <w:jc w:val="both"/>
        <w:rPr>
          <w:rFonts w:asciiTheme="majorHAnsi" w:eastAsiaTheme="majorEastAsia" w:hAnsiTheme="majorHAnsi" w:cstheme="majorBidi"/>
        </w:rPr>
      </w:pPr>
      <w:r w:rsidRPr="3394A6C1">
        <w:rPr>
          <w:rFonts w:asciiTheme="majorHAnsi" w:eastAsiaTheme="majorEastAsia" w:hAnsiTheme="majorHAnsi" w:cstheme="majorBidi"/>
          <w:b/>
          <w:bCs/>
        </w:rPr>
        <w:t xml:space="preserve">Program-level </w:t>
      </w:r>
      <w:r w:rsidRPr="3394A6C1">
        <w:rPr>
          <w:rFonts w:asciiTheme="majorHAnsi" w:eastAsiaTheme="majorEastAsia" w:hAnsiTheme="majorHAnsi" w:cstheme="majorBidi"/>
        </w:rPr>
        <w:t xml:space="preserve">learning assessment data, sometimes called sample-based learning assessment data, measures and reports learning outcomes </w:t>
      </w:r>
      <w:bookmarkStart w:id="3" w:name="_Int_zykbSFsR"/>
      <w:r w:rsidRPr="3394A6C1">
        <w:rPr>
          <w:rFonts w:asciiTheme="majorHAnsi" w:eastAsiaTheme="majorEastAsia" w:hAnsiTheme="majorHAnsi" w:cstheme="majorBidi"/>
        </w:rPr>
        <w:t>directly related</w:t>
      </w:r>
      <w:bookmarkEnd w:id="3"/>
      <w:r w:rsidRPr="3394A6C1">
        <w:rPr>
          <w:rFonts w:asciiTheme="majorHAnsi" w:eastAsiaTheme="majorEastAsia" w:hAnsiTheme="majorHAnsi" w:cstheme="majorBidi"/>
        </w:rPr>
        <w:t xml:space="preserve"> to the investment.  Program-level data may be collected annually or through baseline, midline and/or endline learning assessments</w:t>
      </w:r>
      <w:r w:rsidR="5308DFA1" w:rsidRPr="3394A6C1">
        <w:rPr>
          <w:rFonts w:asciiTheme="majorHAnsi" w:eastAsiaTheme="majorEastAsia" w:hAnsiTheme="majorHAnsi" w:cstheme="majorBidi"/>
        </w:rPr>
        <w:t xml:space="preserve">. </w:t>
      </w:r>
      <w:r w:rsidRPr="3394A6C1">
        <w:rPr>
          <w:rFonts w:asciiTheme="majorHAnsi" w:eastAsiaTheme="majorEastAsia" w:hAnsiTheme="majorHAnsi" w:cstheme="majorBidi"/>
        </w:rPr>
        <w:t>Compared to other forms of data, program level data provides more granular and longitudinal evidence of the effectiveness of specific Australian support/interventions, particularly when national/regional data is less reflective of Australia’s investment or in years when national/regional data is unavailable.</w:t>
      </w:r>
      <w:r w:rsidR="00FF1A37" w:rsidRPr="3394A6C1">
        <w:rPr>
          <w:rFonts w:asciiTheme="majorHAnsi" w:eastAsiaTheme="majorEastAsia" w:hAnsiTheme="majorHAnsi" w:cstheme="majorBidi"/>
        </w:rPr>
        <w:t xml:space="preserve">  </w:t>
      </w:r>
      <w:r w:rsidR="0009058C" w:rsidRPr="3394A6C1">
        <w:rPr>
          <w:rFonts w:asciiTheme="majorHAnsi" w:eastAsiaTheme="majorEastAsia" w:hAnsiTheme="majorHAnsi" w:cstheme="majorBidi"/>
        </w:rPr>
        <w:t xml:space="preserve">For </w:t>
      </w:r>
      <w:r w:rsidR="0393ADF3" w:rsidRPr="3394A6C1">
        <w:rPr>
          <w:rFonts w:asciiTheme="majorHAnsi" w:eastAsiaTheme="majorEastAsia" w:hAnsiTheme="majorHAnsi" w:cstheme="majorBidi"/>
        </w:rPr>
        <w:t>example,</w:t>
      </w:r>
    </w:p>
    <w:p w14:paraId="07E4A089" w14:textId="32EB5BC0" w:rsidR="00FF1A37" w:rsidRPr="0000426E" w:rsidRDefault="0009058C" w:rsidP="3394A6C1">
      <w:pPr>
        <w:pStyle w:val="BodyText"/>
        <w:numPr>
          <w:ilvl w:val="0"/>
          <w:numId w:val="13"/>
        </w:numPr>
        <w:spacing w:after="120"/>
        <w:ind w:left="714" w:hanging="357"/>
        <w:jc w:val="both"/>
        <w:rPr>
          <w:rStyle w:val="IntenseEmphasis"/>
          <w:rFonts w:asciiTheme="majorHAnsi" w:eastAsiaTheme="majorEastAsia" w:hAnsiTheme="majorHAnsi" w:cstheme="majorBidi"/>
          <w:b w:val="0"/>
          <w:i w:val="0"/>
          <w:iCs w:val="0"/>
        </w:rPr>
      </w:pPr>
      <w:r w:rsidRPr="3394A6C1">
        <w:rPr>
          <w:rFonts w:asciiTheme="majorHAnsi" w:eastAsiaTheme="majorEastAsia" w:hAnsiTheme="majorHAnsi" w:cstheme="majorBidi"/>
        </w:rPr>
        <w:t>The Papua New Guinea Partnerships in Education program uses the Early Grade Reading Assessment (EGRA) and Early Grade Mathematics Assessment (EGMA) tools for baseline, midline and endline learning assessments.  This data</w:t>
      </w:r>
      <w:r w:rsidR="00381AC0" w:rsidRPr="3394A6C1">
        <w:rPr>
          <w:rFonts w:asciiTheme="majorHAnsi" w:eastAsiaTheme="majorEastAsia" w:hAnsiTheme="majorHAnsi" w:cstheme="majorBidi"/>
        </w:rPr>
        <w:t xml:space="preserve"> reflects the program’s targeted support to early grades and its Grade 2 learning outcome</w:t>
      </w:r>
      <w:r w:rsidR="00D73748" w:rsidRPr="3394A6C1">
        <w:rPr>
          <w:rFonts w:asciiTheme="majorHAnsi" w:eastAsiaTheme="majorEastAsia" w:hAnsiTheme="majorHAnsi" w:cstheme="majorBidi"/>
        </w:rPr>
        <w:t>s</w:t>
      </w:r>
      <w:r w:rsidR="00381AC0" w:rsidRPr="3394A6C1">
        <w:rPr>
          <w:rFonts w:asciiTheme="majorHAnsi" w:eastAsiaTheme="majorEastAsia" w:hAnsiTheme="majorHAnsi" w:cstheme="majorBidi"/>
        </w:rPr>
        <w:t xml:space="preserve"> data</w:t>
      </w:r>
      <w:r w:rsidRPr="3394A6C1">
        <w:rPr>
          <w:rFonts w:asciiTheme="majorHAnsi" w:eastAsiaTheme="majorEastAsia" w:hAnsiTheme="majorHAnsi" w:cstheme="majorBidi"/>
        </w:rPr>
        <w:t xml:space="preserve"> can be reported</w:t>
      </w:r>
      <w:r w:rsidR="00D73748" w:rsidRPr="3394A6C1">
        <w:rPr>
          <w:rFonts w:asciiTheme="majorHAnsi" w:eastAsiaTheme="majorEastAsia" w:hAnsiTheme="majorHAnsi" w:cstheme="majorBidi"/>
        </w:rPr>
        <w:t xml:space="preserve"> against this indicator</w:t>
      </w:r>
      <w:r w:rsidRPr="3394A6C1">
        <w:rPr>
          <w:rFonts w:asciiTheme="majorHAnsi" w:eastAsiaTheme="majorEastAsia" w:hAnsiTheme="majorHAnsi" w:cstheme="majorBidi"/>
        </w:rPr>
        <w:t xml:space="preserve"> </w:t>
      </w:r>
      <w:r w:rsidR="00257A8C" w:rsidRPr="3394A6C1">
        <w:rPr>
          <w:rFonts w:asciiTheme="majorHAnsi" w:eastAsiaTheme="majorEastAsia" w:hAnsiTheme="majorHAnsi" w:cstheme="majorBidi"/>
        </w:rPr>
        <w:t>at the</w:t>
      </w:r>
      <w:r w:rsidRPr="3394A6C1">
        <w:rPr>
          <w:rFonts w:asciiTheme="majorHAnsi" w:eastAsiaTheme="majorEastAsia" w:hAnsiTheme="majorHAnsi" w:cstheme="majorBidi"/>
        </w:rPr>
        <w:t xml:space="preserve"> program-level. </w:t>
      </w:r>
    </w:p>
    <w:p w14:paraId="79B9A1CD" w14:textId="531EACA5" w:rsidR="00FF3EAD" w:rsidRPr="0000426E" w:rsidRDefault="00FF3EAD" w:rsidP="3394A6C1">
      <w:pPr>
        <w:pStyle w:val="BodyText"/>
        <w:numPr>
          <w:ilvl w:val="0"/>
          <w:numId w:val="5"/>
        </w:numPr>
        <w:jc w:val="both"/>
        <w:rPr>
          <w:rFonts w:asciiTheme="majorHAnsi" w:eastAsiaTheme="majorEastAsia" w:hAnsiTheme="majorHAnsi" w:cstheme="majorBidi"/>
        </w:rPr>
      </w:pPr>
      <w:r w:rsidRPr="3394A6C1">
        <w:rPr>
          <w:rFonts w:asciiTheme="majorHAnsi" w:eastAsiaTheme="majorEastAsia" w:hAnsiTheme="majorHAnsi" w:cstheme="majorBidi"/>
          <w:b/>
          <w:bCs/>
        </w:rPr>
        <w:t>National-level</w:t>
      </w:r>
      <w:r w:rsidRPr="3394A6C1">
        <w:rPr>
          <w:rFonts w:asciiTheme="majorHAnsi" w:eastAsiaTheme="majorEastAsia" w:hAnsiTheme="majorHAnsi" w:cstheme="majorBidi"/>
        </w:rPr>
        <w:t xml:space="preserve"> learning assessment data</w:t>
      </w:r>
      <w:r w:rsidR="00CA033A" w:rsidRPr="3394A6C1">
        <w:rPr>
          <w:rFonts w:asciiTheme="majorHAnsi" w:eastAsiaTheme="majorEastAsia" w:hAnsiTheme="majorHAnsi" w:cstheme="majorBidi"/>
        </w:rPr>
        <w:t xml:space="preserve">, </w:t>
      </w:r>
      <w:r w:rsidR="004C02FA" w:rsidRPr="3394A6C1">
        <w:rPr>
          <w:rFonts w:asciiTheme="majorHAnsi" w:eastAsiaTheme="majorEastAsia" w:hAnsiTheme="majorHAnsi" w:cstheme="majorBidi"/>
        </w:rPr>
        <w:t>specific to individual countries,</w:t>
      </w:r>
      <w:r w:rsidRPr="3394A6C1">
        <w:rPr>
          <w:rFonts w:asciiTheme="majorHAnsi" w:eastAsiaTheme="majorEastAsia" w:hAnsiTheme="majorHAnsi" w:cstheme="majorBidi"/>
        </w:rPr>
        <w:t xml:space="preserve"> may be used at program level to show the effectiveness of Australia’s support, particularly when Australia has invested in national education system strengthening, including Teacher Professional Development Systems and/or curriculum development</w:t>
      </w:r>
      <w:r w:rsidR="5C3F0F7A" w:rsidRPr="3394A6C1">
        <w:rPr>
          <w:rFonts w:asciiTheme="majorHAnsi" w:eastAsiaTheme="majorEastAsia" w:hAnsiTheme="majorHAnsi" w:cstheme="majorBidi"/>
        </w:rPr>
        <w:t xml:space="preserve">. </w:t>
      </w:r>
      <w:r w:rsidRPr="3394A6C1">
        <w:rPr>
          <w:rFonts w:asciiTheme="majorHAnsi" w:eastAsiaTheme="majorEastAsia" w:hAnsiTheme="majorHAnsi" w:cstheme="majorBidi"/>
        </w:rPr>
        <w:t>National learning assessment data is sometimes disaggregated at the sub-national level, which can be particularly helpful when Australia has provided targeted support for subnational regions or provinces.</w:t>
      </w:r>
      <w:r w:rsidR="00C72C3F" w:rsidRPr="3394A6C1">
        <w:rPr>
          <w:rFonts w:asciiTheme="majorHAnsi" w:eastAsiaTheme="majorEastAsia" w:hAnsiTheme="majorHAnsi" w:cstheme="majorBidi"/>
        </w:rPr>
        <w:t xml:space="preserve"> For example</w:t>
      </w:r>
      <w:r w:rsidR="00AB7ED8" w:rsidRPr="3394A6C1">
        <w:rPr>
          <w:rFonts w:asciiTheme="majorHAnsi" w:eastAsiaTheme="majorEastAsia" w:hAnsiTheme="majorHAnsi" w:cstheme="majorBidi"/>
        </w:rPr>
        <w:t>:</w:t>
      </w:r>
    </w:p>
    <w:p w14:paraId="04367483" w14:textId="722862E7" w:rsidR="00C72C3F" w:rsidRPr="0000426E" w:rsidRDefault="7E04BCA3" w:rsidP="3394A6C1">
      <w:pPr>
        <w:pStyle w:val="BodyText"/>
        <w:numPr>
          <w:ilvl w:val="0"/>
          <w:numId w:val="13"/>
        </w:numPr>
        <w:spacing w:after="120"/>
        <w:ind w:left="714" w:hanging="357"/>
        <w:jc w:val="both"/>
        <w:rPr>
          <w:rFonts w:asciiTheme="majorHAnsi" w:eastAsiaTheme="majorEastAsia" w:hAnsiTheme="majorHAnsi" w:cstheme="majorBidi"/>
        </w:rPr>
      </w:pPr>
      <w:r w:rsidRPr="3394A6C1">
        <w:rPr>
          <w:rFonts w:asciiTheme="majorHAnsi" w:eastAsiaTheme="majorEastAsia" w:hAnsiTheme="majorHAnsi" w:cstheme="majorBidi"/>
        </w:rPr>
        <w:t>Several Pacific Island</w:t>
      </w:r>
      <w:r w:rsidR="00C72C3F" w:rsidRPr="3394A6C1">
        <w:rPr>
          <w:rFonts w:asciiTheme="majorHAnsi" w:eastAsiaTheme="majorEastAsia" w:hAnsiTheme="majorHAnsi" w:cstheme="majorBidi"/>
        </w:rPr>
        <w:t xml:space="preserve"> countries conduct national-level learning assessments, typically every second or third year in alternation with </w:t>
      </w:r>
      <w:r w:rsidR="00FA7698" w:rsidRPr="3394A6C1">
        <w:rPr>
          <w:rFonts w:asciiTheme="majorHAnsi" w:eastAsiaTheme="majorEastAsia" w:hAnsiTheme="majorHAnsi" w:cstheme="majorBidi"/>
        </w:rPr>
        <w:t>the Pacific Islands Literacy and Numeracy Assessment (</w:t>
      </w:r>
      <w:r w:rsidR="00C72C3F" w:rsidRPr="3394A6C1">
        <w:rPr>
          <w:rFonts w:asciiTheme="majorHAnsi" w:eastAsiaTheme="majorEastAsia" w:hAnsiTheme="majorHAnsi" w:cstheme="majorBidi"/>
        </w:rPr>
        <w:t>PILNA</w:t>
      </w:r>
      <w:r w:rsidR="00FA7698" w:rsidRPr="3394A6C1">
        <w:rPr>
          <w:rFonts w:asciiTheme="majorHAnsi" w:eastAsiaTheme="majorEastAsia" w:hAnsiTheme="majorHAnsi" w:cstheme="majorBidi"/>
        </w:rPr>
        <w:t>)</w:t>
      </w:r>
      <w:r w:rsidR="00C72C3F" w:rsidRPr="3394A6C1">
        <w:rPr>
          <w:rFonts w:asciiTheme="majorHAnsi" w:eastAsiaTheme="majorEastAsia" w:hAnsiTheme="majorHAnsi" w:cstheme="majorBidi"/>
        </w:rPr>
        <w:t xml:space="preserve">. These include: </w:t>
      </w:r>
      <w:r w:rsidR="001554CF" w:rsidRPr="3394A6C1">
        <w:rPr>
          <w:rFonts w:asciiTheme="majorHAnsi" w:eastAsiaTheme="majorEastAsia" w:hAnsiTheme="majorHAnsi" w:cstheme="majorBidi"/>
        </w:rPr>
        <w:t xml:space="preserve">the </w:t>
      </w:r>
      <w:r w:rsidR="00613D96" w:rsidRPr="3394A6C1">
        <w:rPr>
          <w:rFonts w:asciiTheme="majorHAnsi" w:eastAsiaTheme="majorEastAsia" w:hAnsiTheme="majorHAnsi" w:cstheme="majorBidi"/>
        </w:rPr>
        <w:t>Vanuat</w:t>
      </w:r>
      <w:r w:rsidR="00EB2140" w:rsidRPr="3394A6C1">
        <w:rPr>
          <w:rFonts w:asciiTheme="majorHAnsi" w:eastAsiaTheme="majorEastAsia" w:hAnsiTheme="majorHAnsi" w:cstheme="majorBidi"/>
        </w:rPr>
        <w:t>u Standardized Test of Achievement (</w:t>
      </w:r>
      <w:r w:rsidR="00C72C3F" w:rsidRPr="3394A6C1">
        <w:rPr>
          <w:rFonts w:asciiTheme="majorHAnsi" w:eastAsiaTheme="majorEastAsia" w:hAnsiTheme="majorHAnsi" w:cstheme="majorBidi"/>
        </w:rPr>
        <w:t>VANSTA</w:t>
      </w:r>
      <w:r w:rsidR="00EB2140" w:rsidRPr="3394A6C1">
        <w:rPr>
          <w:rFonts w:asciiTheme="majorHAnsi" w:eastAsiaTheme="majorEastAsia" w:hAnsiTheme="majorHAnsi" w:cstheme="majorBidi"/>
        </w:rPr>
        <w:t>)</w:t>
      </w:r>
      <w:r w:rsidR="00C72C3F" w:rsidRPr="3394A6C1">
        <w:rPr>
          <w:rFonts w:asciiTheme="majorHAnsi" w:eastAsiaTheme="majorEastAsia" w:hAnsiTheme="majorHAnsi" w:cstheme="majorBidi"/>
        </w:rPr>
        <w:t>;</w:t>
      </w:r>
      <w:r w:rsidR="00C40765" w:rsidRPr="3394A6C1">
        <w:rPr>
          <w:rFonts w:asciiTheme="majorHAnsi" w:eastAsiaTheme="majorEastAsia" w:hAnsiTheme="majorHAnsi" w:cstheme="majorBidi"/>
        </w:rPr>
        <w:t xml:space="preserve"> </w:t>
      </w:r>
      <w:r w:rsidR="001554CF" w:rsidRPr="3394A6C1">
        <w:rPr>
          <w:rFonts w:asciiTheme="majorHAnsi" w:eastAsiaTheme="majorEastAsia" w:hAnsiTheme="majorHAnsi" w:cstheme="majorBidi"/>
        </w:rPr>
        <w:t xml:space="preserve">the </w:t>
      </w:r>
      <w:r w:rsidR="00C40765" w:rsidRPr="3394A6C1">
        <w:rPr>
          <w:rFonts w:asciiTheme="majorHAnsi" w:eastAsiaTheme="majorEastAsia" w:hAnsiTheme="majorHAnsi" w:cstheme="majorBidi"/>
        </w:rPr>
        <w:t>Solomon Islands Standardised Tests of Achievement</w:t>
      </w:r>
      <w:r w:rsidR="00C72C3F" w:rsidRPr="3394A6C1">
        <w:rPr>
          <w:rFonts w:asciiTheme="majorHAnsi" w:eastAsiaTheme="majorEastAsia" w:hAnsiTheme="majorHAnsi" w:cstheme="majorBidi"/>
        </w:rPr>
        <w:t xml:space="preserve"> </w:t>
      </w:r>
      <w:r w:rsidR="00C40765" w:rsidRPr="3394A6C1">
        <w:rPr>
          <w:rFonts w:asciiTheme="majorHAnsi" w:eastAsiaTheme="majorEastAsia" w:hAnsiTheme="majorHAnsi" w:cstheme="majorBidi"/>
        </w:rPr>
        <w:t>(</w:t>
      </w:r>
      <w:r w:rsidR="00C72C3F" w:rsidRPr="3394A6C1">
        <w:rPr>
          <w:rFonts w:asciiTheme="majorHAnsi" w:eastAsiaTheme="majorEastAsia" w:hAnsiTheme="majorHAnsi" w:cstheme="majorBidi"/>
        </w:rPr>
        <w:t>SISTA</w:t>
      </w:r>
      <w:r w:rsidR="00C40765" w:rsidRPr="3394A6C1">
        <w:rPr>
          <w:rFonts w:asciiTheme="majorHAnsi" w:eastAsiaTheme="majorEastAsia" w:hAnsiTheme="majorHAnsi" w:cstheme="majorBidi"/>
        </w:rPr>
        <w:t>)</w:t>
      </w:r>
      <w:r w:rsidR="00C72C3F" w:rsidRPr="3394A6C1">
        <w:rPr>
          <w:rFonts w:asciiTheme="majorHAnsi" w:eastAsiaTheme="majorEastAsia" w:hAnsiTheme="majorHAnsi" w:cstheme="majorBidi"/>
        </w:rPr>
        <w:t>;</w:t>
      </w:r>
      <w:r w:rsidR="001554CF" w:rsidRPr="3394A6C1">
        <w:rPr>
          <w:rFonts w:asciiTheme="majorHAnsi" w:eastAsiaTheme="majorEastAsia" w:hAnsiTheme="majorHAnsi" w:cstheme="majorBidi"/>
        </w:rPr>
        <w:t xml:space="preserve"> and the Standardised Test of Achievement in Kiribati</w:t>
      </w:r>
      <w:r w:rsidR="00C72C3F" w:rsidRPr="3394A6C1">
        <w:rPr>
          <w:rFonts w:asciiTheme="majorHAnsi" w:eastAsiaTheme="majorEastAsia" w:hAnsiTheme="majorHAnsi" w:cstheme="majorBidi"/>
        </w:rPr>
        <w:t xml:space="preserve"> </w:t>
      </w:r>
      <w:r w:rsidR="001554CF" w:rsidRPr="3394A6C1">
        <w:rPr>
          <w:rFonts w:asciiTheme="majorHAnsi" w:eastAsiaTheme="majorEastAsia" w:hAnsiTheme="majorHAnsi" w:cstheme="majorBidi"/>
        </w:rPr>
        <w:t>(</w:t>
      </w:r>
      <w:proofErr w:type="spellStart"/>
      <w:r w:rsidR="00C72C3F" w:rsidRPr="3394A6C1">
        <w:rPr>
          <w:rFonts w:asciiTheme="majorHAnsi" w:eastAsiaTheme="majorEastAsia" w:hAnsiTheme="majorHAnsi" w:cstheme="majorBidi"/>
        </w:rPr>
        <w:t>STAK</w:t>
      </w:r>
      <w:r w:rsidR="001554CF" w:rsidRPr="3394A6C1">
        <w:rPr>
          <w:rFonts w:asciiTheme="majorHAnsi" w:eastAsiaTheme="majorEastAsia" w:hAnsiTheme="majorHAnsi" w:cstheme="majorBidi"/>
        </w:rPr>
        <w:t>i</w:t>
      </w:r>
      <w:proofErr w:type="spellEnd"/>
      <w:r w:rsidR="001554CF" w:rsidRPr="3394A6C1">
        <w:rPr>
          <w:rFonts w:asciiTheme="majorHAnsi" w:eastAsiaTheme="majorEastAsia" w:hAnsiTheme="majorHAnsi" w:cstheme="majorBidi"/>
        </w:rPr>
        <w:t>)</w:t>
      </w:r>
      <w:r w:rsidR="00C72C3F" w:rsidRPr="3394A6C1">
        <w:rPr>
          <w:rFonts w:asciiTheme="majorHAnsi" w:eastAsiaTheme="majorEastAsia" w:hAnsiTheme="majorHAnsi" w:cstheme="majorBidi"/>
        </w:rPr>
        <w:t xml:space="preserve">.  </w:t>
      </w:r>
    </w:p>
    <w:p w14:paraId="7D83CA5D" w14:textId="25B705E0" w:rsidR="00C72C3F" w:rsidRPr="0000426E" w:rsidRDefault="00C72C3F" w:rsidP="3394A6C1">
      <w:pPr>
        <w:pStyle w:val="BodyText"/>
        <w:numPr>
          <w:ilvl w:val="0"/>
          <w:numId w:val="13"/>
        </w:numPr>
        <w:spacing w:after="120"/>
        <w:ind w:left="714" w:hanging="357"/>
        <w:jc w:val="both"/>
        <w:rPr>
          <w:rFonts w:asciiTheme="majorHAnsi" w:eastAsiaTheme="majorEastAsia" w:hAnsiTheme="majorHAnsi" w:cstheme="majorBidi"/>
          <w:b/>
          <w:bCs/>
        </w:rPr>
      </w:pPr>
      <w:r w:rsidRPr="3394A6C1">
        <w:rPr>
          <w:rFonts w:asciiTheme="majorHAnsi" w:eastAsiaTheme="majorEastAsia" w:hAnsiTheme="majorHAnsi" w:cstheme="majorBidi"/>
        </w:rPr>
        <w:t>Indonesia has recently introduced a Minimum Competency Assessment (AKM) which will support national-level reporting of lower secondary school learning outcomes.</w:t>
      </w:r>
    </w:p>
    <w:p w14:paraId="0F82E676" w14:textId="0FAB5D57" w:rsidR="00423813" w:rsidRPr="0000426E" w:rsidRDefault="00FF3EAD" w:rsidP="3394A6C1">
      <w:pPr>
        <w:pStyle w:val="BodyText"/>
        <w:numPr>
          <w:ilvl w:val="0"/>
          <w:numId w:val="5"/>
        </w:numPr>
        <w:jc w:val="both"/>
        <w:rPr>
          <w:rFonts w:asciiTheme="majorHAnsi" w:eastAsiaTheme="majorEastAsia" w:hAnsiTheme="majorHAnsi" w:cstheme="majorBidi"/>
        </w:rPr>
      </w:pPr>
      <w:r w:rsidRPr="3394A6C1">
        <w:rPr>
          <w:rFonts w:asciiTheme="majorHAnsi" w:eastAsiaTheme="majorEastAsia" w:hAnsiTheme="majorHAnsi" w:cstheme="majorBidi"/>
          <w:b/>
          <w:bCs/>
        </w:rPr>
        <w:lastRenderedPageBreak/>
        <w:t>Regional-level</w:t>
      </w:r>
      <w:r w:rsidRPr="3394A6C1">
        <w:rPr>
          <w:rFonts w:asciiTheme="majorHAnsi" w:eastAsiaTheme="majorEastAsia" w:hAnsiTheme="majorHAnsi" w:cstheme="majorBidi"/>
        </w:rPr>
        <w:t xml:space="preserve"> learning assessment data is collected using standardised methodologies</w:t>
      </w:r>
      <w:r w:rsidR="002B440C" w:rsidRPr="3394A6C1">
        <w:rPr>
          <w:rFonts w:asciiTheme="majorHAnsi" w:eastAsiaTheme="majorEastAsia" w:hAnsiTheme="majorHAnsi" w:cstheme="majorBidi"/>
        </w:rPr>
        <w:t xml:space="preserve"> </w:t>
      </w:r>
      <w:r w:rsidR="00F001CD" w:rsidRPr="3394A6C1">
        <w:rPr>
          <w:rFonts w:asciiTheme="majorHAnsi" w:eastAsiaTheme="majorEastAsia" w:hAnsiTheme="majorHAnsi" w:cstheme="majorBidi"/>
        </w:rPr>
        <w:t xml:space="preserve">and </w:t>
      </w:r>
      <w:r w:rsidR="00AB02C3" w:rsidRPr="3394A6C1">
        <w:rPr>
          <w:rFonts w:asciiTheme="majorHAnsi" w:eastAsiaTheme="majorEastAsia" w:hAnsiTheme="majorHAnsi" w:cstheme="majorBidi"/>
        </w:rPr>
        <w:t>can be</w:t>
      </w:r>
      <w:r w:rsidR="00F001CD" w:rsidRPr="3394A6C1">
        <w:rPr>
          <w:rFonts w:asciiTheme="majorHAnsi" w:eastAsiaTheme="majorEastAsia" w:hAnsiTheme="majorHAnsi" w:cstheme="majorBidi"/>
        </w:rPr>
        <w:t xml:space="preserve"> useful for both country level reporting and aggregated regional reporting</w:t>
      </w:r>
      <w:r w:rsidR="00AB02C3" w:rsidRPr="3394A6C1">
        <w:rPr>
          <w:rFonts w:asciiTheme="majorHAnsi" w:eastAsiaTheme="majorEastAsia" w:hAnsiTheme="majorHAnsi" w:cstheme="majorBidi"/>
        </w:rPr>
        <w:t>.  Re</w:t>
      </w:r>
      <w:r w:rsidR="00F001CD" w:rsidRPr="3394A6C1">
        <w:rPr>
          <w:rFonts w:asciiTheme="majorHAnsi" w:eastAsiaTheme="majorEastAsia" w:hAnsiTheme="majorHAnsi" w:cstheme="majorBidi"/>
        </w:rPr>
        <w:t xml:space="preserve">gional learning </w:t>
      </w:r>
      <w:r w:rsidR="000034D4" w:rsidRPr="3394A6C1">
        <w:rPr>
          <w:rFonts w:asciiTheme="majorHAnsi" w:eastAsiaTheme="majorEastAsia" w:hAnsiTheme="majorHAnsi" w:cstheme="majorBidi"/>
        </w:rPr>
        <w:t xml:space="preserve">assessments </w:t>
      </w:r>
      <w:r w:rsidR="00A92725" w:rsidRPr="3394A6C1">
        <w:rPr>
          <w:rFonts w:asciiTheme="majorHAnsi" w:eastAsiaTheme="majorEastAsia" w:hAnsiTheme="majorHAnsi" w:cstheme="majorBidi"/>
        </w:rPr>
        <w:t>have been</w:t>
      </w:r>
      <w:r w:rsidR="002B440C" w:rsidRPr="3394A6C1">
        <w:rPr>
          <w:rFonts w:asciiTheme="majorHAnsi" w:eastAsiaTheme="majorEastAsia" w:hAnsiTheme="majorHAnsi" w:cstheme="majorBidi"/>
        </w:rPr>
        <w:t xml:space="preserve"> mapped </w:t>
      </w:r>
      <w:r w:rsidR="00A06B12" w:rsidRPr="3394A6C1">
        <w:rPr>
          <w:rFonts w:asciiTheme="majorHAnsi" w:eastAsiaTheme="majorEastAsia" w:hAnsiTheme="majorHAnsi" w:cstheme="majorBidi"/>
        </w:rPr>
        <w:t>and aligned with</w:t>
      </w:r>
      <w:r w:rsidR="002B440C" w:rsidRPr="3394A6C1">
        <w:rPr>
          <w:rFonts w:asciiTheme="majorHAnsi" w:eastAsiaTheme="majorEastAsia" w:hAnsiTheme="majorHAnsi" w:cstheme="majorBidi"/>
        </w:rPr>
        <w:t xml:space="preserve"> SDG 4.1.1</w:t>
      </w:r>
      <w:r w:rsidR="00AA6433" w:rsidRPr="3394A6C1">
        <w:rPr>
          <w:rFonts w:asciiTheme="majorHAnsi" w:eastAsiaTheme="majorEastAsia" w:hAnsiTheme="majorHAnsi" w:cstheme="majorBidi"/>
        </w:rPr>
        <w:t>.</w:t>
      </w:r>
      <w:r w:rsidR="00CC6DD3" w:rsidRPr="3394A6C1">
        <w:rPr>
          <w:rFonts w:asciiTheme="majorHAnsi" w:eastAsiaTheme="majorEastAsia" w:hAnsiTheme="majorHAnsi" w:cstheme="majorBidi"/>
        </w:rPr>
        <w:t xml:space="preserve">  For example</w:t>
      </w:r>
      <w:r w:rsidR="00AB7ED8" w:rsidRPr="3394A6C1">
        <w:rPr>
          <w:rFonts w:asciiTheme="majorHAnsi" w:eastAsiaTheme="majorEastAsia" w:hAnsiTheme="majorHAnsi" w:cstheme="majorBidi"/>
        </w:rPr>
        <w:t>:</w:t>
      </w:r>
    </w:p>
    <w:p w14:paraId="256978B8" w14:textId="13D0B2BF" w:rsidR="00496049" w:rsidRPr="0000426E" w:rsidRDefault="00755490" w:rsidP="3394A6C1">
      <w:pPr>
        <w:pStyle w:val="BodyText"/>
        <w:numPr>
          <w:ilvl w:val="0"/>
          <w:numId w:val="13"/>
        </w:numPr>
        <w:spacing w:after="120"/>
        <w:ind w:left="714" w:hanging="357"/>
        <w:jc w:val="both"/>
        <w:rPr>
          <w:rFonts w:asciiTheme="majorHAnsi" w:eastAsiaTheme="majorEastAsia" w:hAnsiTheme="majorHAnsi" w:cstheme="majorBidi"/>
        </w:rPr>
      </w:pPr>
      <w:r w:rsidRPr="3394A6C1">
        <w:rPr>
          <w:rFonts w:asciiTheme="majorHAnsi" w:eastAsiaTheme="majorEastAsia" w:hAnsiTheme="majorHAnsi" w:cstheme="majorBidi"/>
        </w:rPr>
        <w:t xml:space="preserve">The </w:t>
      </w:r>
      <w:r w:rsidR="006B3C8D" w:rsidRPr="3394A6C1">
        <w:rPr>
          <w:rFonts w:asciiTheme="majorHAnsi" w:eastAsiaTheme="majorEastAsia" w:hAnsiTheme="majorHAnsi" w:cstheme="majorBidi"/>
        </w:rPr>
        <w:t>PILNA</w:t>
      </w:r>
      <w:r w:rsidR="006B3C8D" w:rsidRPr="3394A6C1">
        <w:rPr>
          <w:rFonts w:asciiTheme="majorHAnsi" w:eastAsiaTheme="majorEastAsia" w:hAnsiTheme="majorHAnsi" w:cstheme="majorBidi"/>
          <w:vertAlign w:val="superscript"/>
        </w:rPr>
        <w:footnoteReference w:id="9"/>
      </w:r>
      <w:r w:rsidRPr="3394A6C1">
        <w:rPr>
          <w:rFonts w:asciiTheme="majorHAnsi" w:eastAsiaTheme="majorEastAsia" w:hAnsiTheme="majorHAnsi" w:cstheme="majorBidi"/>
        </w:rPr>
        <w:t xml:space="preserve"> is</w:t>
      </w:r>
      <w:r w:rsidR="006B3C8D" w:rsidRPr="3394A6C1">
        <w:rPr>
          <w:rFonts w:asciiTheme="majorHAnsi" w:eastAsiaTheme="majorEastAsia" w:hAnsiTheme="majorHAnsi" w:cstheme="majorBidi"/>
        </w:rPr>
        <w:t xml:space="preserve"> administered by</w:t>
      </w:r>
      <w:r w:rsidR="00004FDF" w:rsidRPr="3394A6C1">
        <w:rPr>
          <w:rFonts w:asciiTheme="majorHAnsi" w:eastAsiaTheme="majorEastAsia" w:hAnsiTheme="majorHAnsi" w:cstheme="majorBidi"/>
        </w:rPr>
        <w:t xml:space="preserve"> the</w:t>
      </w:r>
      <w:r w:rsidR="006B3C8D" w:rsidRPr="3394A6C1">
        <w:rPr>
          <w:rFonts w:asciiTheme="majorHAnsi" w:eastAsiaTheme="majorEastAsia" w:hAnsiTheme="majorHAnsi" w:cstheme="majorBidi"/>
        </w:rPr>
        <w:t xml:space="preserve"> Pacific Community’s Educational Quality and Assessment Programme</w:t>
      </w:r>
      <w:r w:rsidR="00004FDF" w:rsidRPr="3394A6C1">
        <w:rPr>
          <w:rFonts w:asciiTheme="majorHAnsi" w:eastAsiaTheme="majorEastAsia" w:hAnsiTheme="majorHAnsi" w:cstheme="majorBidi"/>
        </w:rPr>
        <w:t xml:space="preserve"> (EQAP)</w:t>
      </w:r>
      <w:r w:rsidR="006B3C8D" w:rsidRPr="3394A6C1">
        <w:rPr>
          <w:rFonts w:asciiTheme="majorHAnsi" w:eastAsiaTheme="majorEastAsia" w:hAnsiTheme="majorHAnsi" w:cstheme="majorBidi"/>
          <w:vertAlign w:val="superscript"/>
        </w:rPr>
        <w:footnoteReference w:id="10"/>
      </w:r>
      <w:r w:rsidR="006B3C8D" w:rsidRPr="3394A6C1">
        <w:rPr>
          <w:rFonts w:asciiTheme="majorHAnsi" w:eastAsiaTheme="majorEastAsia" w:hAnsiTheme="majorHAnsi" w:cstheme="majorBidi"/>
        </w:rPr>
        <w:t xml:space="preserve"> </w:t>
      </w:r>
      <w:r w:rsidR="004272ED" w:rsidRPr="3394A6C1">
        <w:rPr>
          <w:rFonts w:asciiTheme="majorHAnsi" w:eastAsiaTheme="majorEastAsia" w:hAnsiTheme="majorHAnsi" w:cstheme="majorBidi"/>
        </w:rPr>
        <w:t xml:space="preserve">to </w:t>
      </w:r>
      <w:r w:rsidR="00AD6107" w:rsidRPr="3394A6C1">
        <w:rPr>
          <w:rFonts w:asciiTheme="majorHAnsi" w:eastAsiaTheme="majorEastAsia" w:hAnsiTheme="majorHAnsi" w:cstheme="majorBidi"/>
        </w:rPr>
        <w:t>Grade</w:t>
      </w:r>
      <w:r w:rsidR="004272ED" w:rsidRPr="3394A6C1">
        <w:rPr>
          <w:rFonts w:asciiTheme="majorHAnsi" w:eastAsiaTheme="majorEastAsia" w:hAnsiTheme="majorHAnsi" w:cstheme="majorBidi"/>
        </w:rPr>
        <w:t xml:space="preserve"> 4 and </w:t>
      </w:r>
      <w:r w:rsidR="00AD6107" w:rsidRPr="3394A6C1">
        <w:rPr>
          <w:rFonts w:asciiTheme="majorHAnsi" w:eastAsiaTheme="majorEastAsia" w:hAnsiTheme="majorHAnsi" w:cstheme="majorBidi"/>
        </w:rPr>
        <w:t>Grade</w:t>
      </w:r>
      <w:r w:rsidR="004272ED" w:rsidRPr="3394A6C1">
        <w:rPr>
          <w:rFonts w:asciiTheme="majorHAnsi" w:eastAsiaTheme="majorEastAsia" w:hAnsiTheme="majorHAnsi" w:cstheme="majorBidi"/>
        </w:rPr>
        <w:t xml:space="preserve"> 6 students </w:t>
      </w:r>
      <w:r w:rsidR="006B3C8D" w:rsidRPr="3394A6C1">
        <w:rPr>
          <w:rFonts w:asciiTheme="majorHAnsi" w:eastAsiaTheme="majorEastAsia" w:hAnsiTheme="majorHAnsi" w:cstheme="majorBidi"/>
        </w:rPr>
        <w:t>every three years</w:t>
      </w:r>
      <w:r w:rsidR="147D5E48" w:rsidRPr="3394A6C1">
        <w:rPr>
          <w:rFonts w:asciiTheme="majorHAnsi" w:eastAsiaTheme="majorEastAsia" w:hAnsiTheme="majorHAnsi" w:cstheme="majorBidi"/>
        </w:rPr>
        <w:t xml:space="preserve">. </w:t>
      </w:r>
      <w:r w:rsidR="006B3C8D" w:rsidRPr="3394A6C1">
        <w:rPr>
          <w:rFonts w:asciiTheme="majorHAnsi" w:eastAsiaTheme="majorEastAsia" w:hAnsiTheme="majorHAnsi" w:cstheme="majorBidi"/>
        </w:rPr>
        <w:t>PILNA results may not be comparable with other regional/national learning assessments but can be compared against PILNA 2021 baseline</w:t>
      </w:r>
      <w:r w:rsidR="007279FD" w:rsidRPr="3394A6C1">
        <w:rPr>
          <w:rFonts w:asciiTheme="majorHAnsi" w:eastAsiaTheme="majorEastAsia" w:hAnsiTheme="majorHAnsi" w:cstheme="majorBidi"/>
        </w:rPr>
        <w:t xml:space="preserve"> results</w:t>
      </w:r>
      <w:r w:rsidR="008646AD" w:rsidRPr="3394A6C1">
        <w:rPr>
          <w:rFonts w:asciiTheme="majorHAnsi" w:eastAsiaTheme="majorEastAsia" w:hAnsiTheme="majorHAnsi" w:cstheme="majorBidi"/>
        </w:rPr>
        <w:t xml:space="preserve">. </w:t>
      </w:r>
      <w:r w:rsidR="00496049" w:rsidRPr="3394A6C1">
        <w:rPr>
          <w:rFonts w:asciiTheme="majorHAnsi" w:eastAsiaTheme="majorEastAsia" w:hAnsiTheme="majorHAnsi" w:cstheme="majorBidi"/>
        </w:rPr>
        <w:t>PILNA Grade 4 learning assessment data is used for SDG 4.1.1 reporting</w:t>
      </w:r>
      <w:r w:rsidR="00865AE6" w:rsidRPr="3394A6C1">
        <w:rPr>
          <w:rFonts w:asciiTheme="majorHAnsi" w:eastAsiaTheme="majorEastAsia" w:hAnsiTheme="majorHAnsi" w:cstheme="majorBidi"/>
        </w:rPr>
        <w:t xml:space="preserve"> for Grades 2 and 3</w:t>
      </w:r>
      <w:r w:rsidR="00496049" w:rsidRPr="3394A6C1">
        <w:rPr>
          <w:rFonts w:asciiTheme="majorHAnsi" w:eastAsiaTheme="majorEastAsia" w:hAnsiTheme="majorHAnsi" w:cstheme="majorBidi"/>
        </w:rPr>
        <w:t>.</w:t>
      </w:r>
    </w:p>
    <w:p w14:paraId="4212D154" w14:textId="18E2EB49" w:rsidR="00E120C8" w:rsidRPr="0000426E" w:rsidRDefault="00E120C8" w:rsidP="3394A6C1">
      <w:pPr>
        <w:pStyle w:val="BodyText"/>
        <w:numPr>
          <w:ilvl w:val="0"/>
          <w:numId w:val="13"/>
        </w:numPr>
        <w:spacing w:after="120"/>
        <w:ind w:left="714" w:hanging="357"/>
        <w:jc w:val="both"/>
        <w:rPr>
          <w:rFonts w:asciiTheme="majorHAnsi" w:eastAsiaTheme="majorEastAsia" w:hAnsiTheme="majorHAnsi" w:cstheme="majorBidi"/>
        </w:rPr>
      </w:pPr>
      <w:r w:rsidRPr="3394A6C1">
        <w:rPr>
          <w:rFonts w:asciiTheme="majorHAnsi" w:eastAsiaTheme="majorEastAsia" w:hAnsiTheme="majorHAnsi" w:cstheme="majorBidi"/>
        </w:rPr>
        <w:t>The South-East Asia Primary Learning Metrics (SEA-PLM)</w:t>
      </w:r>
      <w:r w:rsidRPr="3394A6C1">
        <w:rPr>
          <w:rFonts w:asciiTheme="majorHAnsi" w:eastAsiaTheme="majorEastAsia" w:hAnsiTheme="majorHAnsi" w:cstheme="majorBidi"/>
          <w:vertAlign w:val="superscript"/>
        </w:rPr>
        <w:footnoteReference w:id="11"/>
      </w:r>
      <w:r w:rsidRPr="3394A6C1">
        <w:rPr>
          <w:rFonts w:asciiTheme="majorHAnsi" w:eastAsiaTheme="majorEastAsia" w:hAnsiTheme="majorHAnsi" w:cstheme="majorBidi"/>
        </w:rPr>
        <w:t xml:space="preserve"> is a sample-based regional learning assessment conducted for Grade 5 students</w:t>
      </w:r>
      <w:r w:rsidRPr="3394A6C1">
        <w:rPr>
          <w:rFonts w:asciiTheme="majorHAnsi" w:eastAsiaTheme="majorEastAsia" w:hAnsiTheme="majorHAnsi" w:cstheme="majorBidi"/>
          <w:vertAlign w:val="superscript"/>
        </w:rPr>
        <w:footnoteReference w:id="12"/>
      </w:r>
      <w:r w:rsidRPr="3394A6C1">
        <w:rPr>
          <w:rFonts w:asciiTheme="majorHAnsi" w:eastAsiaTheme="majorEastAsia" w:hAnsiTheme="majorHAnsi" w:cstheme="majorBidi"/>
        </w:rPr>
        <w:t xml:space="preserve"> every three to four years.</w:t>
      </w:r>
    </w:p>
    <w:p w14:paraId="2FBAFF5E" w14:textId="1E08AEFB" w:rsidR="00FF3EAD" w:rsidRPr="0000426E" w:rsidRDefault="00200BE3" w:rsidP="3394A6C1">
      <w:pPr>
        <w:pStyle w:val="BodyText"/>
        <w:numPr>
          <w:ilvl w:val="0"/>
          <w:numId w:val="13"/>
        </w:numPr>
        <w:spacing w:after="120"/>
        <w:ind w:left="714" w:hanging="357"/>
        <w:jc w:val="both"/>
        <w:rPr>
          <w:rFonts w:asciiTheme="majorHAnsi" w:eastAsiaTheme="majorEastAsia" w:hAnsiTheme="majorHAnsi" w:cstheme="majorBidi"/>
        </w:rPr>
      </w:pPr>
      <w:r w:rsidRPr="3394A6C1">
        <w:rPr>
          <w:rFonts w:asciiTheme="majorHAnsi" w:eastAsiaTheme="majorEastAsia" w:hAnsiTheme="majorHAnsi" w:cstheme="majorBidi"/>
        </w:rPr>
        <w:t xml:space="preserve">The </w:t>
      </w:r>
      <w:r w:rsidR="006B3C8D" w:rsidRPr="3394A6C1">
        <w:rPr>
          <w:rFonts w:asciiTheme="majorHAnsi" w:eastAsiaTheme="majorEastAsia" w:hAnsiTheme="majorHAnsi" w:cstheme="majorBidi"/>
        </w:rPr>
        <w:t>Programme for International Student Assessment (PISA)</w:t>
      </w:r>
      <w:r w:rsidR="006B3C8D" w:rsidRPr="3394A6C1">
        <w:rPr>
          <w:rFonts w:asciiTheme="majorHAnsi" w:eastAsiaTheme="majorEastAsia" w:hAnsiTheme="majorHAnsi" w:cstheme="majorBidi"/>
          <w:vertAlign w:val="superscript"/>
        </w:rPr>
        <w:footnoteReference w:id="13"/>
      </w:r>
      <w:r w:rsidR="006B3C8D" w:rsidRPr="3394A6C1">
        <w:rPr>
          <w:rFonts w:asciiTheme="majorHAnsi" w:eastAsiaTheme="majorEastAsia" w:hAnsiTheme="majorHAnsi" w:cstheme="majorBidi"/>
        </w:rPr>
        <w:t xml:space="preserve"> </w:t>
      </w:r>
      <w:r w:rsidR="00154DA6" w:rsidRPr="3394A6C1">
        <w:rPr>
          <w:rFonts w:asciiTheme="majorHAnsi" w:eastAsiaTheme="majorEastAsia" w:hAnsiTheme="majorHAnsi" w:cstheme="majorBidi"/>
        </w:rPr>
        <w:t>is an international-level learning assessment</w:t>
      </w:r>
      <w:r w:rsidR="580EA190" w:rsidRPr="3394A6C1">
        <w:rPr>
          <w:rFonts w:asciiTheme="majorHAnsi" w:eastAsiaTheme="majorEastAsia" w:hAnsiTheme="majorHAnsi" w:cstheme="majorBidi"/>
        </w:rPr>
        <w:t xml:space="preserve">. </w:t>
      </w:r>
      <w:r w:rsidR="0065330A" w:rsidRPr="3394A6C1">
        <w:rPr>
          <w:rFonts w:asciiTheme="majorHAnsi" w:eastAsiaTheme="majorEastAsia" w:hAnsiTheme="majorHAnsi" w:cstheme="majorBidi"/>
        </w:rPr>
        <w:t>B</w:t>
      </w:r>
      <w:r w:rsidR="00154DA6" w:rsidRPr="3394A6C1">
        <w:rPr>
          <w:rFonts w:asciiTheme="majorHAnsi" w:eastAsiaTheme="majorEastAsia" w:hAnsiTheme="majorHAnsi" w:cstheme="majorBidi"/>
        </w:rPr>
        <w:t xml:space="preserve">ut for the purposes of </w:t>
      </w:r>
      <w:r w:rsidR="002F3C9A" w:rsidRPr="3394A6C1">
        <w:rPr>
          <w:rFonts w:asciiTheme="majorHAnsi" w:eastAsiaTheme="majorEastAsia" w:hAnsiTheme="majorHAnsi" w:cstheme="majorBidi"/>
        </w:rPr>
        <w:t xml:space="preserve">reporting </w:t>
      </w:r>
      <w:r w:rsidR="0065330A" w:rsidRPr="3394A6C1">
        <w:rPr>
          <w:rFonts w:asciiTheme="majorHAnsi" w:eastAsiaTheme="majorEastAsia" w:hAnsiTheme="majorHAnsi" w:cstheme="majorBidi"/>
        </w:rPr>
        <w:t>against</w:t>
      </w:r>
      <w:r w:rsidR="002F3C9A" w:rsidRPr="3394A6C1">
        <w:rPr>
          <w:rFonts w:asciiTheme="majorHAnsi" w:eastAsiaTheme="majorEastAsia" w:hAnsiTheme="majorHAnsi" w:cstheme="majorBidi"/>
        </w:rPr>
        <w:t xml:space="preserve"> this indicator</w:t>
      </w:r>
      <w:r w:rsidR="0065330A" w:rsidRPr="3394A6C1">
        <w:rPr>
          <w:rFonts w:asciiTheme="majorHAnsi" w:eastAsiaTheme="majorEastAsia" w:hAnsiTheme="majorHAnsi" w:cstheme="majorBidi"/>
        </w:rPr>
        <w:t xml:space="preserve">, PISA </w:t>
      </w:r>
      <w:r w:rsidR="006A3429" w:rsidRPr="3394A6C1">
        <w:rPr>
          <w:rFonts w:asciiTheme="majorHAnsi" w:eastAsiaTheme="majorEastAsia" w:hAnsiTheme="majorHAnsi" w:cstheme="majorBidi"/>
        </w:rPr>
        <w:t xml:space="preserve">lower secondary school learning outcomes </w:t>
      </w:r>
      <w:r w:rsidR="001F254D" w:rsidRPr="3394A6C1">
        <w:rPr>
          <w:rFonts w:asciiTheme="majorHAnsi" w:eastAsiaTheme="majorEastAsia" w:hAnsiTheme="majorHAnsi" w:cstheme="majorBidi"/>
        </w:rPr>
        <w:t xml:space="preserve">data </w:t>
      </w:r>
      <w:r w:rsidR="006A3429" w:rsidRPr="3394A6C1">
        <w:rPr>
          <w:rFonts w:asciiTheme="majorHAnsi" w:eastAsiaTheme="majorEastAsia" w:hAnsiTheme="majorHAnsi" w:cstheme="majorBidi"/>
        </w:rPr>
        <w:t>can be reported under the regional-level heading</w:t>
      </w:r>
      <w:r w:rsidRPr="3394A6C1">
        <w:rPr>
          <w:rFonts w:asciiTheme="majorHAnsi" w:eastAsiaTheme="majorEastAsia" w:hAnsiTheme="majorHAnsi" w:cstheme="majorBidi"/>
        </w:rPr>
        <w:t>.</w:t>
      </w:r>
    </w:p>
    <w:p w14:paraId="10F7B0B6" w14:textId="7C41C686" w:rsidR="001A3142" w:rsidRPr="007F16F1" w:rsidRDefault="001A3142" w:rsidP="32F60554">
      <w:pPr>
        <w:pStyle w:val="Heading2"/>
        <w:rPr>
          <w:rFonts w:asciiTheme="majorHAnsi" w:hAnsiTheme="majorHAnsi" w:cstheme="majorBidi"/>
        </w:rPr>
      </w:pPr>
      <w:r w:rsidRPr="32F60554">
        <w:rPr>
          <w:rFonts w:asciiTheme="majorHAnsi" w:hAnsiTheme="majorHAnsi" w:cstheme="majorBidi"/>
        </w:rPr>
        <w:t>disaggregation</w:t>
      </w:r>
    </w:p>
    <w:p w14:paraId="6FD4DF47" w14:textId="3132BB9F" w:rsidR="00144624" w:rsidRPr="0000426E" w:rsidRDefault="006F26DA" w:rsidP="5F05D089">
      <w:pPr>
        <w:pStyle w:val="ListBullet"/>
        <w:tabs>
          <w:tab w:val="left" w:pos="284"/>
        </w:tabs>
        <w:spacing w:before="0" w:after="0" w:line="280" w:lineRule="exact"/>
        <w:ind w:left="0" w:firstLine="0"/>
        <w:jc w:val="both"/>
        <w:rPr>
          <w:rFonts w:asciiTheme="majorHAnsi" w:eastAsiaTheme="majorEastAsia" w:hAnsiTheme="majorHAnsi" w:cstheme="majorBidi"/>
          <w:color w:val="44546A" w:themeColor="text2"/>
          <w:sz w:val="22"/>
          <w:szCs w:val="22"/>
          <w:lang w:val="en-GB" w:eastAsia="en-US"/>
        </w:rPr>
      </w:pPr>
      <w:r w:rsidRPr="32F60554">
        <w:rPr>
          <w:rFonts w:asciiTheme="majorHAnsi" w:eastAsiaTheme="majorEastAsia" w:hAnsiTheme="majorHAnsi" w:cstheme="majorBidi"/>
          <w:color w:val="445369"/>
          <w:sz w:val="22"/>
          <w:szCs w:val="22"/>
          <w:lang w:val="en-GB" w:eastAsia="en-US"/>
        </w:rPr>
        <w:t xml:space="preserve">Sex and disability disaggregated learning outcomes data should be reported under this indicator if available.  If disaggregated data is unavailable or </w:t>
      </w:r>
      <w:r w:rsidR="00AB7ED8" w:rsidRPr="32F60554">
        <w:rPr>
          <w:rFonts w:asciiTheme="majorHAnsi" w:eastAsiaTheme="majorEastAsia" w:hAnsiTheme="majorHAnsi" w:cstheme="majorBidi"/>
          <w:color w:val="445369"/>
          <w:sz w:val="22"/>
          <w:szCs w:val="22"/>
          <w:lang w:val="en-GB" w:eastAsia="en-US"/>
        </w:rPr>
        <w:t>unknown,</w:t>
      </w:r>
      <w:r w:rsidRPr="32F60554">
        <w:rPr>
          <w:rFonts w:asciiTheme="majorHAnsi" w:eastAsiaTheme="majorEastAsia" w:hAnsiTheme="majorHAnsi" w:cstheme="majorBidi"/>
          <w:color w:val="445369"/>
          <w:sz w:val="22"/>
          <w:szCs w:val="22"/>
          <w:lang w:val="en-GB" w:eastAsia="en-US"/>
        </w:rPr>
        <w:t xml:space="preserve"> please enter “NA” (not applicable) and move</w:t>
      </w:r>
      <w:r w:rsidR="00AB7ED8" w:rsidRPr="32F60554">
        <w:rPr>
          <w:rFonts w:asciiTheme="majorHAnsi" w:eastAsiaTheme="majorEastAsia" w:hAnsiTheme="majorHAnsi" w:cstheme="majorBidi"/>
          <w:color w:val="445369"/>
          <w:sz w:val="22"/>
          <w:szCs w:val="22"/>
          <w:lang w:val="en-GB" w:eastAsia="en-US"/>
        </w:rPr>
        <w:t xml:space="preserve"> </w:t>
      </w:r>
      <w:r w:rsidRPr="32F60554">
        <w:rPr>
          <w:rFonts w:asciiTheme="majorHAnsi" w:eastAsiaTheme="majorEastAsia" w:hAnsiTheme="majorHAnsi" w:cstheme="majorBidi"/>
          <w:color w:val="445369"/>
          <w:sz w:val="22"/>
          <w:szCs w:val="22"/>
          <w:lang w:val="en-GB" w:eastAsia="en-US"/>
        </w:rPr>
        <w:t xml:space="preserve">to the next question.  </w:t>
      </w:r>
      <w:r w:rsidR="0056305B" w:rsidRPr="32F60554">
        <w:rPr>
          <w:rFonts w:asciiTheme="majorHAnsi" w:eastAsiaTheme="majorEastAsia" w:hAnsiTheme="majorHAnsi" w:cstheme="majorBidi"/>
          <w:color w:val="445369"/>
          <w:sz w:val="22"/>
          <w:szCs w:val="22"/>
          <w:lang w:val="en-GB" w:eastAsia="en-US"/>
        </w:rPr>
        <w:t>Because s</w:t>
      </w:r>
      <w:r w:rsidR="00C276C2" w:rsidRPr="32F60554">
        <w:rPr>
          <w:rFonts w:asciiTheme="majorHAnsi" w:eastAsiaTheme="majorEastAsia" w:hAnsiTheme="majorHAnsi" w:cstheme="majorBidi"/>
          <w:color w:val="445369"/>
          <w:sz w:val="22"/>
          <w:szCs w:val="22"/>
          <w:lang w:val="en-GB" w:eastAsia="en-US"/>
        </w:rPr>
        <w:t xml:space="preserve">ex </w:t>
      </w:r>
      <w:r w:rsidR="00DA524D" w:rsidRPr="32F60554">
        <w:rPr>
          <w:rFonts w:asciiTheme="majorHAnsi" w:eastAsiaTheme="majorEastAsia" w:hAnsiTheme="majorHAnsi" w:cstheme="majorBidi"/>
          <w:color w:val="445369"/>
          <w:sz w:val="22"/>
          <w:szCs w:val="22"/>
          <w:lang w:val="en-GB" w:eastAsia="en-US"/>
        </w:rPr>
        <w:t xml:space="preserve">and disability </w:t>
      </w:r>
      <w:r w:rsidR="00C276C2" w:rsidRPr="32F60554">
        <w:rPr>
          <w:rFonts w:asciiTheme="majorHAnsi" w:eastAsiaTheme="majorEastAsia" w:hAnsiTheme="majorHAnsi" w:cstheme="majorBidi"/>
          <w:color w:val="445369"/>
          <w:sz w:val="22"/>
          <w:szCs w:val="22"/>
          <w:lang w:val="en-GB" w:eastAsia="en-US"/>
        </w:rPr>
        <w:t>disaggregat</w:t>
      </w:r>
      <w:r w:rsidR="002825B6" w:rsidRPr="32F60554">
        <w:rPr>
          <w:rFonts w:asciiTheme="majorHAnsi" w:eastAsiaTheme="majorEastAsia" w:hAnsiTheme="majorHAnsi" w:cstheme="majorBidi"/>
          <w:color w:val="445369"/>
          <w:sz w:val="22"/>
          <w:szCs w:val="22"/>
          <w:lang w:val="en-GB" w:eastAsia="en-US"/>
        </w:rPr>
        <w:t>ed</w:t>
      </w:r>
      <w:r w:rsidR="00C276C2" w:rsidRPr="32F60554">
        <w:rPr>
          <w:rFonts w:asciiTheme="majorHAnsi" w:eastAsiaTheme="majorEastAsia" w:hAnsiTheme="majorHAnsi" w:cstheme="majorBidi"/>
          <w:color w:val="445369"/>
          <w:sz w:val="22"/>
          <w:szCs w:val="22"/>
          <w:lang w:val="en-GB" w:eastAsia="en-US"/>
        </w:rPr>
        <w:t xml:space="preserve"> data </w:t>
      </w:r>
      <w:r w:rsidR="00DC172D" w:rsidRPr="32F60554">
        <w:rPr>
          <w:rFonts w:asciiTheme="majorHAnsi" w:eastAsiaTheme="majorEastAsia" w:hAnsiTheme="majorHAnsi" w:cstheme="majorBidi"/>
          <w:color w:val="445369"/>
          <w:sz w:val="22"/>
          <w:szCs w:val="22"/>
          <w:lang w:val="en-GB" w:eastAsia="en-US"/>
        </w:rPr>
        <w:t>shows</w:t>
      </w:r>
      <w:r w:rsidR="00C276C2" w:rsidRPr="32F60554">
        <w:rPr>
          <w:rFonts w:asciiTheme="majorHAnsi" w:eastAsiaTheme="majorEastAsia" w:hAnsiTheme="majorHAnsi" w:cstheme="majorBidi"/>
          <w:color w:val="445369"/>
          <w:sz w:val="22"/>
          <w:szCs w:val="22"/>
          <w:lang w:val="en-GB" w:eastAsia="en-US"/>
        </w:rPr>
        <w:t xml:space="preserve"> how effectively Australian aid investments are benefiting girls</w:t>
      </w:r>
      <w:r w:rsidR="00DA524D" w:rsidRPr="32F60554">
        <w:rPr>
          <w:rFonts w:asciiTheme="majorHAnsi" w:eastAsiaTheme="majorEastAsia" w:hAnsiTheme="majorHAnsi" w:cstheme="majorBidi"/>
          <w:color w:val="445369"/>
          <w:sz w:val="22"/>
          <w:szCs w:val="22"/>
          <w:lang w:val="en-GB" w:eastAsia="en-US"/>
        </w:rPr>
        <w:t>,</w:t>
      </w:r>
      <w:r w:rsidR="00C276C2" w:rsidRPr="32F60554">
        <w:rPr>
          <w:rFonts w:asciiTheme="majorHAnsi" w:eastAsiaTheme="majorEastAsia" w:hAnsiTheme="majorHAnsi" w:cstheme="majorBidi"/>
          <w:color w:val="445369"/>
          <w:sz w:val="22"/>
          <w:szCs w:val="22"/>
          <w:lang w:val="en-GB" w:eastAsia="en-US"/>
        </w:rPr>
        <w:t xml:space="preserve"> boys</w:t>
      </w:r>
      <w:r w:rsidR="00DA524D" w:rsidRPr="32F60554">
        <w:rPr>
          <w:rFonts w:asciiTheme="majorHAnsi" w:eastAsiaTheme="majorEastAsia" w:hAnsiTheme="majorHAnsi" w:cstheme="majorBidi"/>
          <w:color w:val="445369"/>
          <w:sz w:val="22"/>
          <w:szCs w:val="22"/>
          <w:lang w:val="en-GB" w:eastAsia="en-US"/>
        </w:rPr>
        <w:t xml:space="preserve"> and children with disabilities</w:t>
      </w:r>
      <w:r w:rsidR="00C276C2" w:rsidRPr="32F60554">
        <w:rPr>
          <w:rFonts w:asciiTheme="majorHAnsi" w:eastAsiaTheme="majorEastAsia" w:hAnsiTheme="majorHAnsi" w:cstheme="majorBidi"/>
          <w:color w:val="445369"/>
          <w:sz w:val="22"/>
          <w:szCs w:val="22"/>
          <w:lang w:val="en-GB" w:eastAsia="en-US"/>
        </w:rPr>
        <w:t xml:space="preserve"> compared to their representation in the broader population</w:t>
      </w:r>
      <w:r w:rsidR="00DC172D" w:rsidRPr="32F60554">
        <w:rPr>
          <w:rFonts w:asciiTheme="majorHAnsi" w:eastAsiaTheme="majorEastAsia" w:hAnsiTheme="majorHAnsi" w:cstheme="majorBidi"/>
          <w:color w:val="445369"/>
          <w:sz w:val="22"/>
          <w:szCs w:val="22"/>
          <w:lang w:val="en-GB" w:eastAsia="en-US"/>
        </w:rPr>
        <w:t>, estimating</w:t>
      </w:r>
      <w:r w:rsidR="00144624" w:rsidRPr="32F60554">
        <w:rPr>
          <w:rFonts w:asciiTheme="majorHAnsi" w:eastAsiaTheme="majorEastAsia" w:hAnsiTheme="majorHAnsi" w:cstheme="majorBidi"/>
          <w:color w:val="445369"/>
          <w:sz w:val="22"/>
          <w:szCs w:val="22"/>
          <w:lang w:val="en-GB" w:eastAsia="en-US"/>
        </w:rPr>
        <w:t xml:space="preserve"> disaggregation by extr</w:t>
      </w:r>
      <w:r w:rsidR="002642CF" w:rsidRPr="32F60554">
        <w:rPr>
          <w:rFonts w:asciiTheme="majorHAnsi" w:eastAsiaTheme="majorEastAsia" w:hAnsiTheme="majorHAnsi" w:cstheme="majorBidi"/>
          <w:color w:val="445369"/>
          <w:sz w:val="22"/>
          <w:szCs w:val="22"/>
          <w:lang w:val="en-GB" w:eastAsia="en-US"/>
        </w:rPr>
        <w:t>apolating</w:t>
      </w:r>
      <w:r w:rsidR="003C63EC" w:rsidRPr="32F60554">
        <w:rPr>
          <w:rFonts w:asciiTheme="majorHAnsi" w:eastAsiaTheme="majorEastAsia" w:hAnsiTheme="majorHAnsi" w:cstheme="majorBidi"/>
          <w:color w:val="445369"/>
          <w:sz w:val="22"/>
          <w:szCs w:val="22"/>
          <w:lang w:val="en-GB" w:eastAsia="en-US"/>
        </w:rPr>
        <w:t xml:space="preserve"> from</w:t>
      </w:r>
      <w:r w:rsidR="002642CF" w:rsidRPr="32F60554">
        <w:rPr>
          <w:rFonts w:asciiTheme="majorHAnsi" w:eastAsiaTheme="majorEastAsia" w:hAnsiTheme="majorHAnsi" w:cstheme="majorBidi"/>
          <w:color w:val="445369"/>
          <w:sz w:val="22"/>
          <w:szCs w:val="22"/>
          <w:lang w:val="en-GB" w:eastAsia="en-US"/>
        </w:rPr>
        <w:t xml:space="preserve"> numbers of girls, </w:t>
      </w:r>
      <w:proofErr w:type="gramStart"/>
      <w:r w:rsidR="002642CF" w:rsidRPr="32F60554">
        <w:rPr>
          <w:rFonts w:asciiTheme="majorHAnsi" w:eastAsiaTheme="majorEastAsia" w:hAnsiTheme="majorHAnsi" w:cstheme="majorBidi"/>
          <w:color w:val="445369"/>
          <w:sz w:val="22"/>
          <w:szCs w:val="22"/>
          <w:lang w:val="en-GB" w:eastAsia="en-US"/>
        </w:rPr>
        <w:t>boys</w:t>
      </w:r>
      <w:proofErr w:type="gramEnd"/>
      <w:r w:rsidR="002642CF" w:rsidRPr="32F60554">
        <w:rPr>
          <w:rFonts w:asciiTheme="majorHAnsi" w:eastAsiaTheme="majorEastAsia" w:hAnsiTheme="majorHAnsi" w:cstheme="majorBidi"/>
          <w:color w:val="445369"/>
          <w:sz w:val="22"/>
          <w:szCs w:val="22"/>
          <w:lang w:val="en-GB" w:eastAsia="en-US"/>
        </w:rPr>
        <w:t xml:space="preserve"> and children with disability in the general population</w:t>
      </w:r>
      <w:r w:rsidR="00A808E9" w:rsidRPr="32F60554">
        <w:rPr>
          <w:rFonts w:asciiTheme="majorHAnsi" w:eastAsiaTheme="majorEastAsia" w:hAnsiTheme="majorHAnsi" w:cstheme="majorBidi"/>
          <w:color w:val="445369"/>
          <w:sz w:val="22"/>
          <w:szCs w:val="22"/>
          <w:lang w:val="en-GB" w:eastAsia="en-US"/>
        </w:rPr>
        <w:t xml:space="preserve"> </w:t>
      </w:r>
      <w:r w:rsidR="00DC172D" w:rsidRPr="32F60554">
        <w:rPr>
          <w:rFonts w:asciiTheme="majorHAnsi" w:eastAsiaTheme="majorEastAsia" w:hAnsiTheme="majorHAnsi" w:cstheme="majorBidi"/>
          <w:color w:val="445369"/>
          <w:sz w:val="22"/>
          <w:szCs w:val="22"/>
          <w:lang w:val="en-GB" w:eastAsia="en-US"/>
        </w:rPr>
        <w:t>is inappropriate</w:t>
      </w:r>
      <w:r w:rsidR="002642CF" w:rsidRPr="32F60554">
        <w:rPr>
          <w:rFonts w:asciiTheme="majorHAnsi" w:eastAsiaTheme="majorEastAsia" w:hAnsiTheme="majorHAnsi" w:cstheme="majorBidi"/>
          <w:color w:val="445369"/>
          <w:sz w:val="22"/>
          <w:szCs w:val="22"/>
          <w:lang w:val="en-GB" w:eastAsia="en-US"/>
        </w:rPr>
        <w:t>.</w:t>
      </w:r>
    </w:p>
    <w:p w14:paraId="4270435C" w14:textId="0A6DCD3E" w:rsidR="006053DE" w:rsidRPr="007F16F1" w:rsidRDefault="008D15F3" w:rsidP="32F60554">
      <w:pPr>
        <w:pStyle w:val="Heading2"/>
        <w:rPr>
          <w:rFonts w:asciiTheme="majorHAnsi" w:hAnsiTheme="majorHAnsi" w:cstheme="majorBidi"/>
        </w:rPr>
      </w:pPr>
      <w:r w:rsidRPr="32F60554">
        <w:rPr>
          <w:rFonts w:asciiTheme="majorHAnsi" w:hAnsiTheme="majorHAnsi" w:cstheme="majorBidi"/>
        </w:rPr>
        <w:t>Worked example</w:t>
      </w:r>
    </w:p>
    <w:p w14:paraId="2D94B1F8" w14:textId="3D25CBCE" w:rsidR="002C0D9D" w:rsidRPr="0000426E" w:rsidRDefault="009314A4" w:rsidP="3394A6C1">
      <w:pPr>
        <w:pStyle w:val="ListBullet"/>
        <w:tabs>
          <w:tab w:val="left" w:pos="284"/>
        </w:tabs>
        <w:spacing w:before="0" w:line="280" w:lineRule="exact"/>
        <w:ind w:left="0" w:firstLine="0"/>
        <w:jc w:val="both"/>
        <w:rPr>
          <w:rFonts w:asciiTheme="majorHAnsi" w:eastAsiaTheme="majorEastAsia" w:hAnsiTheme="majorHAnsi" w:cstheme="majorBidi"/>
          <w:b/>
          <w:bCs/>
          <w:color w:val="44546A" w:themeColor="text2"/>
          <w:sz w:val="22"/>
          <w:szCs w:val="22"/>
          <w:lang w:val="en-GB" w:eastAsia="en-US"/>
        </w:rPr>
      </w:pPr>
      <w:r w:rsidRPr="3394A6C1">
        <w:rPr>
          <w:rFonts w:asciiTheme="majorHAnsi" w:eastAsiaTheme="majorEastAsia" w:hAnsiTheme="majorHAnsi" w:cstheme="majorBidi"/>
          <w:b/>
          <w:bCs/>
          <w:color w:val="44546A" w:themeColor="text2"/>
          <w:sz w:val="22"/>
          <w:szCs w:val="22"/>
          <w:lang w:val="en-GB" w:eastAsia="en-US"/>
        </w:rPr>
        <w:t>P</w:t>
      </w:r>
      <w:r w:rsidR="003B336E" w:rsidRPr="3394A6C1">
        <w:rPr>
          <w:rFonts w:asciiTheme="majorHAnsi" w:eastAsiaTheme="majorEastAsia" w:hAnsiTheme="majorHAnsi" w:cstheme="majorBidi"/>
          <w:b/>
          <w:bCs/>
          <w:color w:val="44546A" w:themeColor="text2"/>
          <w:sz w:val="22"/>
          <w:szCs w:val="22"/>
          <w:lang w:val="en-GB" w:eastAsia="en-US"/>
        </w:rPr>
        <w:t>apua New Guinea</w:t>
      </w:r>
    </w:p>
    <w:p w14:paraId="3A13B6AE" w14:textId="1E2DAC8E" w:rsidR="00575ECC" w:rsidRPr="0000426E" w:rsidRDefault="003B336E" w:rsidP="3394A6C1">
      <w:pPr>
        <w:pStyle w:val="ListBullet"/>
        <w:tabs>
          <w:tab w:val="left" w:pos="284"/>
        </w:tabs>
        <w:spacing w:before="0" w:after="0" w:line="280" w:lineRule="exact"/>
        <w:ind w:left="0" w:firstLine="0"/>
        <w:jc w:val="both"/>
        <w:rPr>
          <w:rFonts w:asciiTheme="majorHAnsi" w:eastAsiaTheme="majorEastAsia" w:hAnsiTheme="majorHAnsi" w:cstheme="majorBidi"/>
          <w:color w:val="44546A" w:themeColor="text2"/>
          <w:sz w:val="22"/>
          <w:szCs w:val="22"/>
          <w:lang w:val="en-GB" w:eastAsia="en-US"/>
        </w:rPr>
      </w:pPr>
      <w:r w:rsidRPr="3394A6C1">
        <w:rPr>
          <w:rFonts w:asciiTheme="majorHAnsi" w:eastAsiaTheme="majorEastAsia" w:hAnsiTheme="majorHAnsi" w:cstheme="majorBidi"/>
          <w:color w:val="44546A" w:themeColor="text2"/>
          <w:sz w:val="22"/>
          <w:szCs w:val="22"/>
          <w:lang w:val="en-GB" w:eastAsia="en-US"/>
        </w:rPr>
        <w:t>Children and young people in Papua New Guinea</w:t>
      </w:r>
      <w:r w:rsidR="002862B8" w:rsidRPr="3394A6C1">
        <w:rPr>
          <w:rFonts w:asciiTheme="majorHAnsi" w:eastAsiaTheme="majorEastAsia" w:hAnsiTheme="majorHAnsi" w:cstheme="majorBidi"/>
          <w:color w:val="44546A" w:themeColor="text2"/>
          <w:sz w:val="22"/>
          <w:szCs w:val="22"/>
          <w:lang w:val="en-GB" w:eastAsia="en-US"/>
        </w:rPr>
        <w:t xml:space="preserve"> </w:t>
      </w:r>
      <w:r w:rsidR="003B65CA" w:rsidRPr="3394A6C1">
        <w:rPr>
          <w:rFonts w:asciiTheme="majorHAnsi" w:eastAsiaTheme="majorEastAsia" w:hAnsiTheme="majorHAnsi" w:cstheme="majorBidi"/>
          <w:color w:val="44546A" w:themeColor="text2"/>
          <w:sz w:val="22"/>
          <w:szCs w:val="22"/>
          <w:lang w:val="en-GB" w:eastAsia="en-US"/>
        </w:rPr>
        <w:t>(PNG)</w:t>
      </w:r>
      <w:r w:rsidRPr="3394A6C1">
        <w:rPr>
          <w:rFonts w:asciiTheme="majorHAnsi" w:eastAsiaTheme="majorEastAsia" w:hAnsiTheme="majorHAnsi" w:cstheme="majorBidi"/>
          <w:color w:val="44546A" w:themeColor="text2"/>
          <w:sz w:val="22"/>
          <w:szCs w:val="22"/>
          <w:lang w:val="en-GB" w:eastAsia="en-US"/>
        </w:rPr>
        <w:t xml:space="preserve"> </w:t>
      </w:r>
      <w:r w:rsidR="000D3ED2" w:rsidRPr="3394A6C1">
        <w:rPr>
          <w:rFonts w:asciiTheme="majorHAnsi" w:eastAsiaTheme="majorEastAsia" w:hAnsiTheme="majorHAnsi" w:cstheme="majorBidi"/>
          <w:color w:val="44546A" w:themeColor="text2"/>
          <w:sz w:val="22"/>
          <w:szCs w:val="22"/>
          <w:lang w:val="en-GB" w:eastAsia="en-US"/>
        </w:rPr>
        <w:t xml:space="preserve">participate in </w:t>
      </w:r>
      <w:r w:rsidR="008E2979" w:rsidRPr="3394A6C1">
        <w:rPr>
          <w:rFonts w:asciiTheme="majorHAnsi" w:eastAsiaTheme="majorEastAsia" w:hAnsiTheme="majorHAnsi" w:cstheme="majorBidi"/>
          <w:color w:val="44546A" w:themeColor="text2"/>
          <w:sz w:val="22"/>
          <w:szCs w:val="22"/>
          <w:lang w:val="en-GB" w:eastAsia="en-US"/>
        </w:rPr>
        <w:t>two levels of learning assessment</w:t>
      </w:r>
      <w:r w:rsidR="0AE1AD46" w:rsidRPr="3394A6C1">
        <w:rPr>
          <w:rFonts w:asciiTheme="majorHAnsi" w:eastAsiaTheme="majorEastAsia" w:hAnsiTheme="majorHAnsi" w:cstheme="majorBidi"/>
          <w:color w:val="44546A" w:themeColor="text2"/>
          <w:sz w:val="22"/>
          <w:szCs w:val="22"/>
          <w:lang w:val="en-GB" w:eastAsia="en-US"/>
        </w:rPr>
        <w:t xml:space="preserve">. </w:t>
      </w:r>
      <w:r w:rsidR="008E2979" w:rsidRPr="3394A6C1">
        <w:rPr>
          <w:rFonts w:asciiTheme="majorHAnsi" w:eastAsiaTheme="majorEastAsia" w:hAnsiTheme="majorHAnsi" w:cstheme="majorBidi"/>
          <w:color w:val="44546A" w:themeColor="text2"/>
          <w:sz w:val="22"/>
          <w:szCs w:val="22"/>
          <w:lang w:val="en-GB" w:eastAsia="en-US"/>
        </w:rPr>
        <w:t>Grade 4 and Grade 6 learners participate in a</w:t>
      </w:r>
      <w:r w:rsidR="000D3ED2" w:rsidRPr="3394A6C1">
        <w:rPr>
          <w:rFonts w:asciiTheme="majorHAnsi" w:eastAsiaTheme="majorEastAsia" w:hAnsiTheme="majorHAnsi" w:cstheme="majorBidi"/>
          <w:color w:val="44546A" w:themeColor="text2"/>
          <w:sz w:val="22"/>
          <w:szCs w:val="22"/>
          <w:lang w:val="en-GB" w:eastAsia="en-US"/>
        </w:rPr>
        <w:t xml:space="preserve"> regional</w:t>
      </w:r>
      <w:r w:rsidR="000D638D" w:rsidRPr="3394A6C1">
        <w:rPr>
          <w:rFonts w:asciiTheme="majorHAnsi" w:eastAsiaTheme="majorEastAsia" w:hAnsiTheme="majorHAnsi" w:cstheme="majorBidi"/>
          <w:color w:val="44546A" w:themeColor="text2"/>
          <w:sz w:val="22"/>
          <w:szCs w:val="22"/>
          <w:lang w:val="en-GB" w:eastAsia="en-US"/>
        </w:rPr>
        <w:t>-level</w:t>
      </w:r>
      <w:r w:rsidR="00C1672C" w:rsidRPr="3394A6C1">
        <w:rPr>
          <w:rFonts w:asciiTheme="majorHAnsi" w:eastAsiaTheme="majorEastAsia" w:hAnsiTheme="majorHAnsi" w:cstheme="majorBidi"/>
          <w:color w:val="44546A" w:themeColor="text2"/>
          <w:sz w:val="22"/>
          <w:szCs w:val="22"/>
          <w:lang w:val="en-GB" w:eastAsia="en-US"/>
        </w:rPr>
        <w:t xml:space="preserve"> learning</w:t>
      </w:r>
      <w:r w:rsidR="000D3ED2" w:rsidRPr="3394A6C1">
        <w:rPr>
          <w:rFonts w:asciiTheme="majorHAnsi" w:eastAsiaTheme="majorEastAsia" w:hAnsiTheme="majorHAnsi" w:cstheme="majorBidi"/>
          <w:color w:val="44546A" w:themeColor="text2"/>
          <w:sz w:val="22"/>
          <w:szCs w:val="22"/>
          <w:lang w:val="en-GB" w:eastAsia="en-US"/>
        </w:rPr>
        <w:t xml:space="preserve"> assessment</w:t>
      </w:r>
      <w:r w:rsidR="00BC7502" w:rsidRPr="3394A6C1">
        <w:rPr>
          <w:rFonts w:asciiTheme="majorHAnsi" w:eastAsiaTheme="majorEastAsia" w:hAnsiTheme="majorHAnsi" w:cstheme="majorBidi"/>
          <w:color w:val="44546A" w:themeColor="text2"/>
          <w:sz w:val="22"/>
          <w:szCs w:val="22"/>
          <w:lang w:val="en-GB" w:eastAsia="en-US"/>
        </w:rPr>
        <w:t xml:space="preserve"> (PILNA) every three years</w:t>
      </w:r>
      <w:r w:rsidR="000D638D" w:rsidRPr="3394A6C1">
        <w:rPr>
          <w:rFonts w:asciiTheme="majorHAnsi" w:eastAsiaTheme="majorEastAsia" w:hAnsiTheme="majorHAnsi" w:cstheme="majorBidi"/>
          <w:color w:val="44546A" w:themeColor="text2"/>
          <w:sz w:val="22"/>
          <w:szCs w:val="22"/>
          <w:lang w:val="en-GB" w:eastAsia="en-US"/>
        </w:rPr>
        <w:t xml:space="preserve">, and Grade 2 learners participate in a </w:t>
      </w:r>
      <w:r w:rsidR="00BC7502" w:rsidRPr="3394A6C1">
        <w:rPr>
          <w:rFonts w:asciiTheme="majorHAnsi" w:eastAsiaTheme="majorEastAsia" w:hAnsiTheme="majorHAnsi" w:cstheme="majorBidi"/>
          <w:color w:val="44546A" w:themeColor="text2"/>
          <w:sz w:val="22"/>
          <w:szCs w:val="22"/>
          <w:lang w:val="en-GB" w:eastAsia="en-US"/>
        </w:rPr>
        <w:t>program-level</w:t>
      </w:r>
      <w:r w:rsidR="000D638D" w:rsidRPr="3394A6C1">
        <w:rPr>
          <w:rFonts w:asciiTheme="majorHAnsi" w:eastAsiaTheme="majorEastAsia" w:hAnsiTheme="majorHAnsi" w:cstheme="majorBidi"/>
          <w:color w:val="44546A" w:themeColor="text2"/>
          <w:sz w:val="22"/>
          <w:szCs w:val="22"/>
          <w:lang w:val="en-GB" w:eastAsia="en-US"/>
        </w:rPr>
        <w:t xml:space="preserve"> learning</w:t>
      </w:r>
      <w:r w:rsidR="00BC7502" w:rsidRPr="3394A6C1">
        <w:rPr>
          <w:rFonts w:asciiTheme="majorHAnsi" w:eastAsiaTheme="majorEastAsia" w:hAnsiTheme="majorHAnsi" w:cstheme="majorBidi"/>
          <w:color w:val="44546A" w:themeColor="text2"/>
          <w:sz w:val="22"/>
          <w:szCs w:val="22"/>
          <w:lang w:val="en-GB" w:eastAsia="en-US"/>
        </w:rPr>
        <w:t xml:space="preserve"> assessment linked to Australia’s education investments </w:t>
      </w:r>
      <w:r w:rsidR="0031631B" w:rsidRPr="3394A6C1">
        <w:rPr>
          <w:rFonts w:asciiTheme="majorHAnsi" w:eastAsiaTheme="majorEastAsia" w:hAnsiTheme="majorHAnsi" w:cstheme="majorBidi"/>
          <w:color w:val="44546A" w:themeColor="text2"/>
          <w:sz w:val="22"/>
          <w:szCs w:val="22"/>
          <w:lang w:val="en-GB" w:eastAsia="en-US"/>
        </w:rPr>
        <w:t>at key stages in the investment period</w:t>
      </w:r>
      <w:r w:rsidR="00BC7502" w:rsidRPr="3394A6C1">
        <w:rPr>
          <w:rFonts w:asciiTheme="majorHAnsi" w:eastAsiaTheme="majorEastAsia" w:hAnsiTheme="majorHAnsi" w:cstheme="majorBidi"/>
          <w:color w:val="44546A" w:themeColor="text2"/>
          <w:sz w:val="22"/>
          <w:szCs w:val="22"/>
          <w:lang w:val="en-GB" w:eastAsia="en-US"/>
        </w:rPr>
        <w:t>.</w:t>
      </w:r>
      <w:r w:rsidR="002862B8" w:rsidRPr="3394A6C1">
        <w:rPr>
          <w:rFonts w:asciiTheme="majorHAnsi" w:eastAsiaTheme="majorEastAsia" w:hAnsiTheme="majorHAnsi" w:cstheme="majorBidi"/>
          <w:color w:val="44546A" w:themeColor="text2"/>
          <w:sz w:val="22"/>
          <w:szCs w:val="22"/>
          <w:lang w:val="en-GB" w:eastAsia="en-US"/>
        </w:rPr>
        <w:t xml:space="preserve"> There is </w:t>
      </w:r>
      <w:r w:rsidR="0031631B" w:rsidRPr="3394A6C1">
        <w:rPr>
          <w:rFonts w:asciiTheme="majorHAnsi" w:eastAsiaTheme="majorEastAsia" w:hAnsiTheme="majorHAnsi" w:cstheme="majorBidi"/>
          <w:color w:val="44546A" w:themeColor="text2"/>
          <w:sz w:val="22"/>
          <w:szCs w:val="22"/>
          <w:lang w:val="en-GB" w:eastAsia="en-US"/>
        </w:rPr>
        <w:t xml:space="preserve">currently </w:t>
      </w:r>
      <w:r w:rsidR="002862B8" w:rsidRPr="3394A6C1">
        <w:rPr>
          <w:rFonts w:asciiTheme="majorHAnsi" w:eastAsiaTheme="majorEastAsia" w:hAnsiTheme="majorHAnsi" w:cstheme="majorBidi"/>
          <w:color w:val="44546A" w:themeColor="text2"/>
          <w:sz w:val="22"/>
          <w:szCs w:val="22"/>
          <w:lang w:val="en-GB" w:eastAsia="en-US"/>
        </w:rPr>
        <w:t>no national</w:t>
      </w:r>
      <w:r w:rsidR="00ED5AEC" w:rsidRPr="3394A6C1">
        <w:rPr>
          <w:rFonts w:asciiTheme="majorHAnsi" w:eastAsiaTheme="majorEastAsia" w:hAnsiTheme="majorHAnsi" w:cstheme="majorBidi"/>
          <w:color w:val="44546A" w:themeColor="text2"/>
          <w:sz w:val="22"/>
          <w:szCs w:val="22"/>
          <w:lang w:val="en-GB" w:eastAsia="en-US"/>
        </w:rPr>
        <w:t>-level</w:t>
      </w:r>
      <w:r w:rsidR="002862B8" w:rsidRPr="3394A6C1">
        <w:rPr>
          <w:rFonts w:asciiTheme="majorHAnsi" w:eastAsiaTheme="majorEastAsia" w:hAnsiTheme="majorHAnsi" w:cstheme="majorBidi"/>
          <w:color w:val="44546A" w:themeColor="text2"/>
          <w:sz w:val="22"/>
          <w:szCs w:val="22"/>
          <w:lang w:val="en-GB" w:eastAsia="en-US"/>
        </w:rPr>
        <w:t xml:space="preserve"> learning</w:t>
      </w:r>
      <w:r w:rsidR="00ED5AEC" w:rsidRPr="3394A6C1">
        <w:rPr>
          <w:rFonts w:asciiTheme="majorHAnsi" w:eastAsiaTheme="majorEastAsia" w:hAnsiTheme="majorHAnsi" w:cstheme="majorBidi"/>
          <w:color w:val="44546A" w:themeColor="text2"/>
          <w:sz w:val="22"/>
          <w:szCs w:val="22"/>
          <w:lang w:val="en-GB" w:eastAsia="en-US"/>
        </w:rPr>
        <w:t xml:space="preserve"> assessment in PNG</w:t>
      </w:r>
      <w:r w:rsidR="002862B8" w:rsidRPr="3394A6C1">
        <w:rPr>
          <w:rFonts w:asciiTheme="majorHAnsi" w:eastAsiaTheme="majorEastAsia" w:hAnsiTheme="majorHAnsi" w:cstheme="majorBidi"/>
          <w:color w:val="44546A" w:themeColor="text2"/>
          <w:sz w:val="22"/>
          <w:szCs w:val="22"/>
          <w:lang w:val="en-GB" w:eastAsia="en-US"/>
        </w:rPr>
        <w:t xml:space="preserve">. </w:t>
      </w:r>
    </w:p>
    <w:p w14:paraId="2F38EEE8" w14:textId="77777777" w:rsidR="00575ECC" w:rsidRPr="0000426E" w:rsidRDefault="00575ECC" w:rsidP="3394A6C1">
      <w:pPr>
        <w:pStyle w:val="ListBullet"/>
        <w:tabs>
          <w:tab w:val="left" w:pos="284"/>
        </w:tabs>
        <w:spacing w:before="0" w:after="0" w:line="280" w:lineRule="exact"/>
        <w:ind w:left="0" w:firstLine="0"/>
        <w:jc w:val="both"/>
        <w:rPr>
          <w:rFonts w:asciiTheme="majorHAnsi" w:eastAsiaTheme="majorEastAsia" w:hAnsiTheme="majorHAnsi" w:cstheme="majorBidi"/>
          <w:color w:val="44546A" w:themeColor="text2"/>
          <w:sz w:val="22"/>
          <w:szCs w:val="22"/>
          <w:lang w:val="en-GB" w:eastAsia="en-US"/>
        </w:rPr>
      </w:pPr>
    </w:p>
    <w:p w14:paraId="3D801898" w14:textId="3159909C" w:rsidR="002C4EDB" w:rsidRPr="0000426E" w:rsidRDefault="002862B8" w:rsidP="3394A6C1">
      <w:pPr>
        <w:pStyle w:val="ListBullet"/>
        <w:tabs>
          <w:tab w:val="left" w:pos="284"/>
        </w:tabs>
        <w:spacing w:before="0" w:after="0" w:line="280" w:lineRule="exact"/>
        <w:ind w:left="0" w:firstLine="0"/>
        <w:jc w:val="both"/>
        <w:rPr>
          <w:rFonts w:asciiTheme="majorHAnsi" w:eastAsiaTheme="majorEastAsia" w:hAnsiTheme="majorHAnsi" w:cstheme="majorBidi"/>
          <w:color w:val="44546A" w:themeColor="text2"/>
          <w:sz w:val="22"/>
          <w:szCs w:val="22"/>
          <w:lang w:val="en-GB" w:eastAsia="en-US"/>
        </w:rPr>
      </w:pPr>
      <w:r w:rsidRPr="3394A6C1">
        <w:rPr>
          <w:rFonts w:asciiTheme="majorHAnsi" w:eastAsiaTheme="majorEastAsia" w:hAnsiTheme="majorHAnsi" w:cstheme="majorBidi"/>
          <w:color w:val="44546A" w:themeColor="text2"/>
          <w:sz w:val="22"/>
          <w:szCs w:val="22"/>
          <w:lang w:val="en-GB" w:eastAsia="en-US"/>
        </w:rPr>
        <w:t xml:space="preserve">This means that </w:t>
      </w:r>
      <w:r w:rsidR="000C21DB" w:rsidRPr="3394A6C1">
        <w:rPr>
          <w:rFonts w:asciiTheme="majorHAnsi" w:eastAsiaTheme="majorEastAsia" w:hAnsiTheme="majorHAnsi" w:cstheme="majorBidi"/>
          <w:color w:val="44546A" w:themeColor="text2"/>
          <w:sz w:val="22"/>
          <w:szCs w:val="22"/>
          <w:lang w:val="en-GB" w:eastAsia="en-US"/>
        </w:rPr>
        <w:t xml:space="preserve">the PNG program </w:t>
      </w:r>
      <w:r w:rsidR="002C4EDB" w:rsidRPr="3394A6C1">
        <w:rPr>
          <w:rFonts w:asciiTheme="majorHAnsi" w:eastAsiaTheme="majorEastAsia" w:hAnsiTheme="majorHAnsi" w:cstheme="majorBidi"/>
          <w:color w:val="44546A" w:themeColor="text2"/>
          <w:sz w:val="22"/>
          <w:szCs w:val="22"/>
          <w:lang w:val="en-GB" w:eastAsia="en-US"/>
        </w:rPr>
        <w:t>may</w:t>
      </w:r>
      <w:r w:rsidR="000C21DB" w:rsidRPr="3394A6C1">
        <w:rPr>
          <w:rFonts w:asciiTheme="majorHAnsi" w:eastAsiaTheme="majorEastAsia" w:hAnsiTheme="majorHAnsi" w:cstheme="majorBidi"/>
          <w:color w:val="44546A" w:themeColor="text2"/>
          <w:sz w:val="22"/>
          <w:szCs w:val="22"/>
          <w:lang w:val="en-GB" w:eastAsia="en-US"/>
        </w:rPr>
        <w:t xml:space="preserve"> report </w:t>
      </w:r>
      <w:r w:rsidR="00ED5AEC" w:rsidRPr="3394A6C1">
        <w:rPr>
          <w:rFonts w:asciiTheme="majorHAnsi" w:eastAsiaTheme="majorEastAsia" w:hAnsiTheme="majorHAnsi" w:cstheme="majorBidi"/>
          <w:color w:val="44546A" w:themeColor="text2"/>
          <w:sz w:val="22"/>
          <w:szCs w:val="22"/>
          <w:lang w:val="en-GB" w:eastAsia="en-US"/>
        </w:rPr>
        <w:t>reading and mathematics</w:t>
      </w:r>
      <w:r w:rsidR="00AB7ED8" w:rsidRPr="3394A6C1">
        <w:rPr>
          <w:rFonts w:asciiTheme="majorHAnsi" w:eastAsiaTheme="majorEastAsia" w:hAnsiTheme="majorHAnsi" w:cstheme="majorBidi"/>
          <w:color w:val="44546A" w:themeColor="text2"/>
          <w:sz w:val="22"/>
          <w:szCs w:val="22"/>
          <w:lang w:val="en-GB" w:eastAsia="en-US"/>
        </w:rPr>
        <w:t>:</w:t>
      </w:r>
    </w:p>
    <w:p w14:paraId="013BCD63" w14:textId="6A0FD999" w:rsidR="00095431" w:rsidRPr="0000426E" w:rsidRDefault="0054653D" w:rsidP="3394A6C1">
      <w:pPr>
        <w:pStyle w:val="BodyText"/>
        <w:numPr>
          <w:ilvl w:val="0"/>
          <w:numId w:val="5"/>
        </w:numPr>
        <w:spacing w:before="0" w:after="0"/>
        <w:jc w:val="both"/>
        <w:rPr>
          <w:rFonts w:asciiTheme="majorHAnsi" w:eastAsiaTheme="majorEastAsia" w:hAnsiTheme="majorHAnsi" w:cstheme="majorBidi"/>
        </w:rPr>
      </w:pPr>
      <w:r w:rsidRPr="3394A6C1">
        <w:rPr>
          <w:rFonts w:asciiTheme="majorHAnsi" w:eastAsiaTheme="majorEastAsia" w:hAnsiTheme="majorHAnsi" w:cstheme="majorBidi"/>
        </w:rPr>
        <w:t>R</w:t>
      </w:r>
      <w:r w:rsidR="000C21DB" w:rsidRPr="3394A6C1">
        <w:rPr>
          <w:rFonts w:asciiTheme="majorHAnsi" w:eastAsiaTheme="majorEastAsia" w:hAnsiTheme="majorHAnsi" w:cstheme="majorBidi"/>
        </w:rPr>
        <w:t>egional</w:t>
      </w:r>
      <w:r w:rsidRPr="3394A6C1">
        <w:rPr>
          <w:rFonts w:asciiTheme="majorHAnsi" w:eastAsiaTheme="majorEastAsia" w:hAnsiTheme="majorHAnsi" w:cstheme="majorBidi"/>
        </w:rPr>
        <w:t>-</w:t>
      </w:r>
      <w:r w:rsidR="000C21DB" w:rsidRPr="3394A6C1">
        <w:rPr>
          <w:rFonts w:asciiTheme="majorHAnsi" w:eastAsiaTheme="majorEastAsia" w:hAnsiTheme="majorHAnsi" w:cstheme="majorBidi"/>
        </w:rPr>
        <w:t>level</w:t>
      </w:r>
      <w:r w:rsidR="00575ECC" w:rsidRPr="3394A6C1">
        <w:rPr>
          <w:rFonts w:asciiTheme="majorHAnsi" w:eastAsiaTheme="majorEastAsia" w:hAnsiTheme="majorHAnsi" w:cstheme="majorBidi"/>
        </w:rPr>
        <w:t xml:space="preserve"> </w:t>
      </w:r>
      <w:r w:rsidR="00007919" w:rsidRPr="3394A6C1">
        <w:rPr>
          <w:rFonts w:asciiTheme="majorHAnsi" w:eastAsiaTheme="majorEastAsia" w:hAnsiTheme="majorHAnsi" w:cstheme="majorBidi"/>
        </w:rPr>
        <w:t>learning outcome</w:t>
      </w:r>
      <w:r w:rsidR="00014440" w:rsidRPr="3394A6C1">
        <w:rPr>
          <w:rFonts w:asciiTheme="majorHAnsi" w:eastAsiaTheme="majorEastAsia" w:hAnsiTheme="majorHAnsi" w:cstheme="majorBidi"/>
        </w:rPr>
        <w:t>s</w:t>
      </w:r>
      <w:r w:rsidR="00575ECC" w:rsidRPr="3394A6C1">
        <w:rPr>
          <w:rFonts w:asciiTheme="majorHAnsi" w:eastAsiaTheme="majorEastAsia" w:hAnsiTheme="majorHAnsi" w:cstheme="majorBidi"/>
        </w:rPr>
        <w:t xml:space="preserve"> data</w:t>
      </w:r>
      <w:r w:rsidR="000C21DB" w:rsidRPr="3394A6C1">
        <w:rPr>
          <w:rFonts w:asciiTheme="majorHAnsi" w:eastAsiaTheme="majorEastAsia" w:hAnsiTheme="majorHAnsi" w:cstheme="majorBidi"/>
        </w:rPr>
        <w:t xml:space="preserve"> </w:t>
      </w:r>
      <w:r w:rsidR="0031631B" w:rsidRPr="3394A6C1">
        <w:rPr>
          <w:rFonts w:asciiTheme="majorHAnsi" w:eastAsiaTheme="majorEastAsia" w:hAnsiTheme="majorHAnsi" w:cstheme="majorBidi"/>
        </w:rPr>
        <w:t xml:space="preserve">from PILNA </w:t>
      </w:r>
      <w:r w:rsidR="003435D5" w:rsidRPr="3394A6C1">
        <w:rPr>
          <w:rFonts w:asciiTheme="majorHAnsi" w:eastAsiaTheme="majorEastAsia" w:hAnsiTheme="majorHAnsi" w:cstheme="majorBidi"/>
        </w:rPr>
        <w:t xml:space="preserve">for children and young people </w:t>
      </w:r>
      <w:r w:rsidR="006D280D" w:rsidRPr="3394A6C1">
        <w:rPr>
          <w:rFonts w:asciiTheme="majorHAnsi" w:eastAsiaTheme="majorEastAsia" w:hAnsiTheme="majorHAnsi" w:cstheme="majorBidi"/>
        </w:rPr>
        <w:t>every three years</w:t>
      </w:r>
    </w:p>
    <w:p w14:paraId="316E95E7" w14:textId="360D9230" w:rsidR="00095431" w:rsidRPr="0000426E" w:rsidRDefault="0076025C" w:rsidP="3394A6C1">
      <w:pPr>
        <w:pStyle w:val="BodyText"/>
        <w:numPr>
          <w:ilvl w:val="0"/>
          <w:numId w:val="13"/>
        </w:numPr>
        <w:spacing w:before="0" w:after="0"/>
        <w:ind w:left="714" w:hanging="357"/>
        <w:jc w:val="both"/>
        <w:rPr>
          <w:rFonts w:asciiTheme="majorHAnsi" w:eastAsiaTheme="majorEastAsia" w:hAnsiTheme="majorHAnsi" w:cstheme="majorBidi"/>
        </w:rPr>
      </w:pPr>
      <w:r w:rsidRPr="3394A6C1">
        <w:rPr>
          <w:rFonts w:asciiTheme="majorHAnsi" w:eastAsiaTheme="majorEastAsia" w:hAnsiTheme="majorHAnsi" w:cstheme="majorBidi"/>
        </w:rPr>
        <w:t>at</w:t>
      </w:r>
      <w:r w:rsidR="00095431" w:rsidRPr="3394A6C1">
        <w:rPr>
          <w:rFonts w:asciiTheme="majorHAnsi" w:eastAsiaTheme="majorEastAsia" w:hAnsiTheme="majorHAnsi" w:cstheme="majorBidi"/>
        </w:rPr>
        <w:t xml:space="preserve"> Grade 4</w:t>
      </w:r>
      <w:r w:rsidRPr="3394A6C1">
        <w:rPr>
          <w:rFonts w:asciiTheme="majorHAnsi" w:eastAsiaTheme="majorEastAsia" w:hAnsiTheme="majorHAnsi" w:cstheme="majorBidi"/>
        </w:rPr>
        <w:t xml:space="preserve"> level</w:t>
      </w:r>
      <w:r w:rsidR="00237D70" w:rsidRPr="3394A6C1">
        <w:rPr>
          <w:rFonts w:asciiTheme="majorHAnsi" w:eastAsiaTheme="majorEastAsia" w:hAnsiTheme="majorHAnsi" w:cstheme="majorBidi"/>
        </w:rPr>
        <w:t xml:space="preserve">; and </w:t>
      </w:r>
    </w:p>
    <w:p w14:paraId="50E46061" w14:textId="4E0BB925" w:rsidR="002862B8" w:rsidRPr="0000426E" w:rsidRDefault="003435D5" w:rsidP="3394A6C1">
      <w:pPr>
        <w:pStyle w:val="BodyText"/>
        <w:numPr>
          <w:ilvl w:val="0"/>
          <w:numId w:val="13"/>
        </w:numPr>
        <w:spacing w:before="0" w:after="0"/>
        <w:ind w:left="714" w:hanging="357"/>
        <w:jc w:val="both"/>
        <w:rPr>
          <w:rFonts w:asciiTheme="majorHAnsi" w:eastAsiaTheme="majorEastAsia" w:hAnsiTheme="majorHAnsi" w:cstheme="majorBidi"/>
        </w:rPr>
      </w:pPr>
      <w:r w:rsidRPr="3394A6C1">
        <w:rPr>
          <w:rFonts w:asciiTheme="majorHAnsi" w:eastAsiaTheme="majorEastAsia" w:hAnsiTheme="majorHAnsi" w:cstheme="majorBidi"/>
        </w:rPr>
        <w:t>at the end of primary school</w:t>
      </w:r>
      <w:r w:rsidR="00095431" w:rsidRPr="3394A6C1">
        <w:rPr>
          <w:rFonts w:asciiTheme="majorHAnsi" w:eastAsiaTheme="majorEastAsia" w:hAnsiTheme="majorHAnsi" w:cstheme="majorBidi"/>
        </w:rPr>
        <w:t xml:space="preserve"> </w:t>
      </w:r>
      <w:r w:rsidR="00237D70" w:rsidRPr="3394A6C1">
        <w:rPr>
          <w:rFonts w:asciiTheme="majorHAnsi" w:eastAsiaTheme="majorEastAsia" w:hAnsiTheme="majorHAnsi" w:cstheme="majorBidi"/>
        </w:rPr>
        <w:t>[</w:t>
      </w:r>
      <w:r w:rsidR="00095431" w:rsidRPr="3394A6C1">
        <w:rPr>
          <w:rFonts w:asciiTheme="majorHAnsi" w:eastAsiaTheme="majorEastAsia" w:hAnsiTheme="majorHAnsi" w:cstheme="majorBidi"/>
        </w:rPr>
        <w:t>Grade 6</w:t>
      </w:r>
      <w:r w:rsidR="00237D70" w:rsidRPr="3394A6C1">
        <w:rPr>
          <w:rFonts w:asciiTheme="majorHAnsi" w:eastAsiaTheme="majorEastAsia" w:hAnsiTheme="majorHAnsi" w:cstheme="majorBidi"/>
        </w:rPr>
        <w:t>]</w:t>
      </w:r>
    </w:p>
    <w:p w14:paraId="506A6660" w14:textId="77A8630B" w:rsidR="0076025C" w:rsidRPr="00DE7EDA" w:rsidRDefault="008D198D" w:rsidP="3394A6C1">
      <w:pPr>
        <w:pStyle w:val="BodyText"/>
        <w:numPr>
          <w:ilvl w:val="0"/>
          <w:numId w:val="5"/>
        </w:numPr>
        <w:spacing w:before="0"/>
        <w:jc w:val="both"/>
        <w:rPr>
          <w:rFonts w:asciiTheme="majorHAnsi" w:eastAsiaTheme="majorEastAsia" w:hAnsiTheme="majorHAnsi" w:cstheme="majorBidi"/>
        </w:rPr>
      </w:pPr>
      <w:r w:rsidRPr="3394A6C1">
        <w:rPr>
          <w:rFonts w:asciiTheme="majorHAnsi" w:eastAsiaTheme="majorEastAsia" w:hAnsiTheme="majorHAnsi" w:cstheme="majorBidi"/>
        </w:rPr>
        <w:t>P</w:t>
      </w:r>
      <w:r w:rsidR="002C4EDB" w:rsidRPr="3394A6C1">
        <w:rPr>
          <w:rFonts w:asciiTheme="majorHAnsi" w:eastAsiaTheme="majorEastAsia" w:hAnsiTheme="majorHAnsi" w:cstheme="majorBidi"/>
        </w:rPr>
        <w:t xml:space="preserve">rogram-level </w:t>
      </w:r>
      <w:r w:rsidR="00014440" w:rsidRPr="3394A6C1">
        <w:rPr>
          <w:rFonts w:asciiTheme="majorHAnsi" w:eastAsiaTheme="majorEastAsia" w:hAnsiTheme="majorHAnsi" w:cstheme="majorBidi"/>
        </w:rPr>
        <w:t>learning outcomes</w:t>
      </w:r>
      <w:r w:rsidR="002C4EDB" w:rsidRPr="3394A6C1">
        <w:rPr>
          <w:rFonts w:asciiTheme="majorHAnsi" w:eastAsiaTheme="majorEastAsia" w:hAnsiTheme="majorHAnsi" w:cstheme="majorBidi"/>
        </w:rPr>
        <w:t xml:space="preserve"> data for children and young people</w:t>
      </w:r>
      <w:r w:rsidR="00D10DD9" w:rsidRPr="3394A6C1">
        <w:rPr>
          <w:rFonts w:asciiTheme="majorHAnsi" w:eastAsiaTheme="majorEastAsia" w:hAnsiTheme="majorHAnsi" w:cstheme="majorBidi"/>
        </w:rPr>
        <w:t xml:space="preserve"> </w:t>
      </w:r>
      <w:r w:rsidR="0076025C" w:rsidRPr="3394A6C1">
        <w:rPr>
          <w:rFonts w:asciiTheme="majorHAnsi" w:eastAsiaTheme="majorEastAsia" w:hAnsiTheme="majorHAnsi" w:cstheme="majorBidi"/>
        </w:rPr>
        <w:t>at Grade</w:t>
      </w:r>
      <w:r w:rsidR="004103A0" w:rsidRPr="3394A6C1">
        <w:rPr>
          <w:rFonts w:asciiTheme="majorHAnsi" w:eastAsiaTheme="majorEastAsia" w:hAnsiTheme="majorHAnsi" w:cstheme="majorBidi"/>
        </w:rPr>
        <w:t xml:space="preserve"> 2</w:t>
      </w:r>
      <w:r w:rsidR="0076025C" w:rsidRPr="3394A6C1">
        <w:rPr>
          <w:rFonts w:asciiTheme="majorHAnsi" w:eastAsiaTheme="majorEastAsia" w:hAnsiTheme="majorHAnsi" w:cstheme="majorBidi"/>
        </w:rPr>
        <w:t xml:space="preserve"> level</w:t>
      </w:r>
      <w:r w:rsidRPr="3394A6C1">
        <w:rPr>
          <w:rFonts w:asciiTheme="majorHAnsi" w:eastAsiaTheme="majorEastAsia" w:hAnsiTheme="majorHAnsi" w:cstheme="majorBidi"/>
        </w:rPr>
        <w:t xml:space="preserve"> </w:t>
      </w:r>
      <w:r w:rsidR="006D280D" w:rsidRPr="3394A6C1">
        <w:rPr>
          <w:rFonts w:asciiTheme="majorHAnsi" w:eastAsiaTheme="majorEastAsia" w:hAnsiTheme="majorHAnsi" w:cstheme="majorBidi"/>
        </w:rPr>
        <w:t>in years when this learning assessment is conducted</w:t>
      </w:r>
      <w:r w:rsidR="004103A0" w:rsidRPr="3394A6C1">
        <w:rPr>
          <w:rFonts w:asciiTheme="majorHAnsi" w:eastAsiaTheme="majorEastAsia" w:hAnsiTheme="majorHAnsi" w:cstheme="majorBidi"/>
        </w:rPr>
        <w:t>.</w:t>
      </w:r>
    </w:p>
    <w:p w14:paraId="02814CCA" w14:textId="53C8E9D0" w:rsidR="005A4915" w:rsidRPr="00F11E52" w:rsidRDefault="0076025C" w:rsidP="3394A6C1">
      <w:pPr>
        <w:pStyle w:val="ListBullet"/>
        <w:tabs>
          <w:tab w:val="left" w:pos="284"/>
        </w:tabs>
        <w:spacing w:before="0" w:after="0" w:line="280" w:lineRule="exact"/>
        <w:ind w:left="0" w:firstLine="0"/>
        <w:jc w:val="both"/>
        <w:rPr>
          <w:rFonts w:asciiTheme="majorHAnsi" w:eastAsiaTheme="majorEastAsia" w:hAnsiTheme="majorHAnsi" w:cstheme="majorBidi"/>
          <w:color w:val="44546A" w:themeColor="text2"/>
          <w:sz w:val="22"/>
          <w:szCs w:val="22"/>
          <w:lang w:val="en-GB" w:eastAsia="en-US"/>
        </w:rPr>
      </w:pPr>
      <w:r w:rsidRPr="3394A6C1">
        <w:rPr>
          <w:rFonts w:asciiTheme="majorHAnsi" w:eastAsiaTheme="majorEastAsia" w:hAnsiTheme="majorHAnsi" w:cstheme="majorBidi"/>
          <w:color w:val="44546A" w:themeColor="text2"/>
          <w:sz w:val="22"/>
          <w:szCs w:val="22"/>
          <w:lang w:val="en-GB" w:eastAsia="en-US"/>
        </w:rPr>
        <w:t xml:space="preserve">The PNG </w:t>
      </w:r>
      <w:r w:rsidR="002A7A01" w:rsidRPr="3394A6C1">
        <w:rPr>
          <w:rFonts w:asciiTheme="majorHAnsi" w:eastAsiaTheme="majorEastAsia" w:hAnsiTheme="majorHAnsi" w:cstheme="majorBidi"/>
          <w:color w:val="44546A" w:themeColor="text2"/>
          <w:sz w:val="22"/>
          <w:szCs w:val="22"/>
          <w:lang w:val="en-GB" w:eastAsia="en-US"/>
        </w:rPr>
        <w:t>program will not report national-level learning outcomes unless a national learning assessment for PNG becomes available in the future.</w:t>
      </w:r>
    </w:p>
    <w:sectPr w:rsidR="005A4915" w:rsidRPr="00F11E5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D03BB" w14:textId="77777777" w:rsidR="00DE12C9" w:rsidRDefault="00DE12C9" w:rsidP="001A3142">
      <w:r>
        <w:separator/>
      </w:r>
    </w:p>
  </w:endnote>
  <w:endnote w:type="continuationSeparator" w:id="0">
    <w:p w14:paraId="04D3E3E2" w14:textId="77777777" w:rsidR="00DE12C9" w:rsidRDefault="00DE12C9" w:rsidP="001A3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317178"/>
      <w:docPartObj>
        <w:docPartGallery w:val="Page Numbers (Bottom of Page)"/>
        <w:docPartUnique/>
      </w:docPartObj>
    </w:sdtPr>
    <w:sdtEndPr>
      <w:rPr>
        <w:noProof/>
      </w:rPr>
    </w:sdtEndPr>
    <w:sdtContent>
      <w:p w14:paraId="35CBECB3" w14:textId="3AFC185F" w:rsidR="00D908BC" w:rsidRDefault="00D908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5A9A25" w14:textId="77777777" w:rsidR="00D908BC" w:rsidRDefault="00D90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673E6" w14:textId="77777777" w:rsidR="00DE12C9" w:rsidRDefault="00DE12C9" w:rsidP="001A3142">
      <w:r>
        <w:separator/>
      </w:r>
    </w:p>
  </w:footnote>
  <w:footnote w:type="continuationSeparator" w:id="0">
    <w:p w14:paraId="151C3F9F" w14:textId="77777777" w:rsidR="00DE12C9" w:rsidRDefault="00DE12C9" w:rsidP="001A3142">
      <w:r>
        <w:continuationSeparator/>
      </w:r>
    </w:p>
  </w:footnote>
  <w:footnote w:id="1">
    <w:p w14:paraId="0388D91D" w14:textId="76F6575F" w:rsidR="00ED5AEC" w:rsidRPr="00ED5AEC" w:rsidRDefault="00ED5AEC">
      <w:pPr>
        <w:pStyle w:val="FootnoteText"/>
        <w:rPr>
          <w:lang w:val="en-AU"/>
        </w:rPr>
      </w:pPr>
      <w:r>
        <w:rPr>
          <w:rStyle w:val="FootnoteReference"/>
        </w:rPr>
        <w:footnoteRef/>
      </w:r>
      <w:r>
        <w:t xml:space="preserve"> These levels align with global reporting for SDG 4.1.1</w:t>
      </w:r>
    </w:p>
  </w:footnote>
  <w:footnote w:id="2">
    <w:p w14:paraId="4F4219FC" w14:textId="77777777" w:rsidR="001677D4" w:rsidRPr="001175E1" w:rsidRDefault="001677D4" w:rsidP="001677D4">
      <w:pPr>
        <w:pStyle w:val="FootnoteText"/>
        <w:rPr>
          <w:lang w:val="en-AU"/>
        </w:rPr>
      </w:pPr>
      <w:r>
        <w:rPr>
          <w:rStyle w:val="FootnoteReference"/>
        </w:rPr>
        <w:footnoteRef/>
      </w:r>
      <w:r>
        <w:t xml:space="preserve"> </w:t>
      </w:r>
      <w:hyperlink r:id="rId1" w:history="1">
        <w:r w:rsidRPr="005F04C8">
          <w:rPr>
            <w:rStyle w:val="Hyperlink"/>
          </w:rPr>
          <w:t>https://uis.unesco.org/node/3079800</w:t>
        </w:r>
      </w:hyperlink>
      <w:r>
        <w:t xml:space="preserve"> </w:t>
      </w:r>
    </w:p>
  </w:footnote>
  <w:footnote w:id="3">
    <w:p w14:paraId="57CD59E3" w14:textId="2319DA5E" w:rsidR="00CA1F88" w:rsidRPr="00052530" w:rsidRDefault="00CA1F88" w:rsidP="00CA1F88">
      <w:pPr>
        <w:pStyle w:val="FootnoteText"/>
        <w:rPr>
          <w:lang w:val="en-AU"/>
        </w:rPr>
      </w:pPr>
      <w:r>
        <w:rPr>
          <w:rStyle w:val="FootnoteReference"/>
        </w:rPr>
        <w:footnoteRef/>
      </w:r>
      <w:r>
        <w:t xml:space="preserve"> </w:t>
      </w:r>
      <w:hyperlink r:id="rId2" w:history="1">
        <w:r w:rsidR="00D92723" w:rsidRPr="005F04C8">
          <w:rPr>
            <w:rStyle w:val="Hyperlink"/>
          </w:rPr>
          <w:t>https://www.unesco.org/en/youth</w:t>
        </w:r>
      </w:hyperlink>
      <w:r w:rsidR="00D92723">
        <w:t xml:space="preserve"> </w:t>
      </w:r>
    </w:p>
  </w:footnote>
  <w:footnote w:id="4">
    <w:p w14:paraId="0C75A8F6" w14:textId="77777777" w:rsidR="00CA1F88" w:rsidRPr="0020114D" w:rsidRDefault="00CA1F88" w:rsidP="00CA1F88">
      <w:pPr>
        <w:pStyle w:val="FootnoteText"/>
        <w:rPr>
          <w:lang w:val="en-AU"/>
        </w:rPr>
      </w:pPr>
      <w:r>
        <w:rPr>
          <w:rStyle w:val="FootnoteReference"/>
        </w:rPr>
        <w:footnoteRef/>
      </w:r>
      <w:r>
        <w:t xml:space="preserve"> </w:t>
      </w:r>
      <w:r w:rsidRPr="003A17FF">
        <w:rPr>
          <w:rFonts w:asciiTheme="majorHAnsi" w:hAnsiTheme="majorHAnsi"/>
          <w:bCs/>
        </w:rPr>
        <w:t xml:space="preserve">May include additional grades/ages, depending on partner government’s </w:t>
      </w:r>
      <w:r>
        <w:rPr>
          <w:rFonts w:asciiTheme="majorHAnsi" w:hAnsiTheme="majorHAnsi"/>
          <w:bCs/>
        </w:rPr>
        <w:t xml:space="preserve">basic education </w:t>
      </w:r>
      <w:proofErr w:type="gramStart"/>
      <w:r w:rsidRPr="003A17FF">
        <w:rPr>
          <w:rFonts w:asciiTheme="majorHAnsi" w:hAnsiTheme="majorHAnsi"/>
          <w:bCs/>
        </w:rPr>
        <w:t>definition</w:t>
      </w:r>
      <w:proofErr w:type="gramEnd"/>
    </w:p>
  </w:footnote>
  <w:footnote w:id="5">
    <w:p w14:paraId="25FC9271" w14:textId="77777777" w:rsidR="00526DA9" w:rsidRPr="00B4713B" w:rsidRDefault="00526DA9" w:rsidP="00526DA9">
      <w:pPr>
        <w:pStyle w:val="FootnoteText"/>
        <w:rPr>
          <w:lang w:val="en-AU"/>
        </w:rPr>
      </w:pPr>
      <w:r>
        <w:rPr>
          <w:rStyle w:val="FootnoteReference"/>
        </w:rPr>
        <w:footnoteRef/>
      </w:r>
      <w:r>
        <w:t xml:space="preserve"> </w:t>
      </w:r>
      <w:hyperlink r:id="rId3" w:history="1">
        <w:r>
          <w:rPr>
            <w:rStyle w:val="Hyperlink"/>
          </w:rPr>
          <w:t>https://gaml.uis.unesco.org/wp-content/uploads/sites/2/2023/05/Countrys-reporting-option_Zambia_2023.05.15_FINAL.pdf</w:t>
        </w:r>
      </w:hyperlink>
    </w:p>
  </w:footnote>
  <w:footnote w:id="6">
    <w:p w14:paraId="715AD952" w14:textId="02687483" w:rsidR="00B70613" w:rsidRPr="00B70613" w:rsidRDefault="00B70613">
      <w:pPr>
        <w:pStyle w:val="FootnoteText"/>
        <w:rPr>
          <w:lang w:val="en-AU"/>
        </w:rPr>
      </w:pPr>
      <w:r>
        <w:rPr>
          <w:rStyle w:val="FootnoteReference"/>
        </w:rPr>
        <w:footnoteRef/>
      </w:r>
      <w:r>
        <w:t xml:space="preserve"> </w:t>
      </w:r>
      <w:hyperlink r:id="rId4" w:anchor=":~:text=grade%2Dlevel%20tasks.-,Meets%20Global%20Minimum%20Proficiency,complete%20complex%20grade%2Dlevel%20tasks" w:history="1">
        <w:r w:rsidRPr="00EE0B74">
          <w:rPr>
            <w:rStyle w:val="Hyperlink"/>
          </w:rPr>
          <w:t>https://milo.uis.unesco.org/mpl/#:~:text=grade%2Dlevel%20tasks.-,Meets%20Global%20Minimum%20Proficiency,complete%20complex%20grade%2Dlevel%20tasks</w:t>
        </w:r>
      </w:hyperlink>
      <w:r w:rsidRPr="00B70613">
        <w:t>.</w:t>
      </w:r>
      <w:r>
        <w:t xml:space="preserve"> </w:t>
      </w:r>
    </w:p>
  </w:footnote>
  <w:footnote w:id="7">
    <w:p w14:paraId="7552B23B" w14:textId="32A83339" w:rsidR="00224D4A" w:rsidRPr="00224D4A" w:rsidRDefault="00224D4A">
      <w:pPr>
        <w:pStyle w:val="FootnoteText"/>
        <w:rPr>
          <w:lang w:val="en-AU"/>
        </w:rPr>
      </w:pPr>
      <w:r>
        <w:rPr>
          <w:rStyle w:val="FootnoteReference"/>
        </w:rPr>
        <w:footnoteRef/>
      </w:r>
      <w:r>
        <w:t xml:space="preserve"> </w:t>
      </w:r>
      <w:r w:rsidR="00CB0F31" w:rsidRPr="0009619E">
        <w:rPr>
          <w:rFonts w:cstheme="minorHAnsi"/>
        </w:rPr>
        <w:t>Pacific Islands Literacy and Numeracy Assessment (PILNA</w:t>
      </w:r>
      <w:r w:rsidR="00CB0F31">
        <w:rPr>
          <w:rFonts w:cstheme="minorHAnsi"/>
        </w:rPr>
        <w:t>)</w:t>
      </w:r>
      <w:r w:rsidR="0073626F">
        <w:rPr>
          <w:rFonts w:cstheme="minorHAnsi"/>
        </w:rPr>
        <w:t xml:space="preserve"> Grade 4 learning assessment data</w:t>
      </w:r>
      <w:r w:rsidR="005740E6">
        <w:rPr>
          <w:rFonts w:cstheme="minorHAnsi"/>
        </w:rPr>
        <w:t xml:space="preserve"> is used for SDG 4.1.1 reporting, that nominally seeks </w:t>
      </w:r>
      <w:r w:rsidR="004C6CA7">
        <w:rPr>
          <w:rFonts w:cstheme="minorHAnsi"/>
        </w:rPr>
        <w:t xml:space="preserve">data from </w:t>
      </w:r>
      <w:r w:rsidR="005740E6">
        <w:rPr>
          <w:rFonts w:cstheme="minorHAnsi"/>
        </w:rPr>
        <w:t>Grade 2 and 3 levels, so Grad</w:t>
      </w:r>
      <w:r w:rsidR="005801B1">
        <w:rPr>
          <w:rFonts w:cstheme="minorHAnsi"/>
        </w:rPr>
        <w:t xml:space="preserve">e </w:t>
      </w:r>
      <w:proofErr w:type="gramStart"/>
      <w:r w:rsidR="005801B1">
        <w:rPr>
          <w:rFonts w:cstheme="minorHAnsi"/>
        </w:rPr>
        <w:t>4  PILNA</w:t>
      </w:r>
      <w:proofErr w:type="gramEnd"/>
      <w:r w:rsidR="005801B1">
        <w:rPr>
          <w:rFonts w:cstheme="minorHAnsi"/>
        </w:rPr>
        <w:t xml:space="preserve"> data may be reported for this Tier 2 indicator too.</w:t>
      </w:r>
    </w:p>
  </w:footnote>
  <w:footnote w:id="8">
    <w:p w14:paraId="0B1C54A9" w14:textId="77777777" w:rsidR="00A21247" w:rsidRPr="007817E8" w:rsidRDefault="00A21247" w:rsidP="00A21247">
      <w:pPr>
        <w:pStyle w:val="FootnoteText"/>
        <w:rPr>
          <w:lang w:val="en-AU"/>
        </w:rPr>
      </w:pPr>
      <w:r>
        <w:rPr>
          <w:rStyle w:val="FootnoteReference"/>
        </w:rPr>
        <w:footnoteRef/>
      </w:r>
      <w:r>
        <w:t xml:space="preserve"> Global MPL definitions here: </w:t>
      </w:r>
      <w:hyperlink r:id="rId5" w:history="1">
        <w:r>
          <w:rPr>
            <w:rStyle w:val="Hyperlink"/>
          </w:rPr>
          <w:t>https://gaml.uis.unesco.org/wp-content/uploads/sites/2/2023/05/Countrys-reporting-option_Zambia_2023.05.15_FINAL.pdf</w:t>
        </w:r>
      </w:hyperlink>
    </w:p>
  </w:footnote>
  <w:footnote w:id="9">
    <w:p w14:paraId="49D30DAA" w14:textId="77777777" w:rsidR="006B3C8D" w:rsidRPr="005773B1" w:rsidRDefault="006B3C8D" w:rsidP="006B3C8D">
      <w:pPr>
        <w:pStyle w:val="FootnoteText"/>
        <w:rPr>
          <w:lang w:val="en-AU"/>
        </w:rPr>
      </w:pPr>
      <w:r>
        <w:rPr>
          <w:rStyle w:val="FootnoteReference"/>
        </w:rPr>
        <w:footnoteRef/>
      </w:r>
      <w:r>
        <w:t xml:space="preserve"> </w:t>
      </w:r>
      <w:hyperlink r:id="rId6" w:history="1">
        <w:r>
          <w:rPr>
            <w:rStyle w:val="Hyperlink"/>
            <w:lang w:val="en-AU"/>
          </w:rPr>
          <w:t>https://eqap.spc.int/PILNA</w:t>
        </w:r>
      </w:hyperlink>
      <w:r>
        <w:rPr>
          <w:lang w:val="en-AU"/>
        </w:rPr>
        <w:t xml:space="preserve"> </w:t>
      </w:r>
    </w:p>
  </w:footnote>
  <w:footnote w:id="10">
    <w:p w14:paraId="40BFFE10" w14:textId="77777777" w:rsidR="006B3C8D" w:rsidRPr="00256242" w:rsidRDefault="006B3C8D" w:rsidP="006B3C8D">
      <w:pPr>
        <w:pStyle w:val="FootnoteText"/>
        <w:rPr>
          <w:lang w:val="en-AU"/>
        </w:rPr>
      </w:pPr>
      <w:r>
        <w:rPr>
          <w:rStyle w:val="FootnoteReference"/>
        </w:rPr>
        <w:footnoteRef/>
      </w:r>
      <w:r>
        <w:t xml:space="preserve"> </w:t>
      </w:r>
      <w:hyperlink r:id="rId7" w:history="1">
        <w:r w:rsidRPr="00D37874">
          <w:rPr>
            <w:rStyle w:val="Hyperlink"/>
          </w:rPr>
          <w:t>Status of Pacific Education Report 2022 (PILNA regional report)</w:t>
        </w:r>
      </w:hyperlink>
      <w:r>
        <w:t xml:space="preserve"> (pdf)</w:t>
      </w:r>
    </w:p>
  </w:footnote>
  <w:footnote w:id="11">
    <w:p w14:paraId="6FF9A77C" w14:textId="77777777" w:rsidR="00E120C8" w:rsidRPr="00256242" w:rsidRDefault="00E120C8" w:rsidP="00E120C8">
      <w:pPr>
        <w:pStyle w:val="FootnoteText"/>
        <w:rPr>
          <w:lang w:val="en-AU"/>
        </w:rPr>
      </w:pPr>
      <w:r>
        <w:rPr>
          <w:rStyle w:val="FootnoteReference"/>
        </w:rPr>
        <w:footnoteRef/>
      </w:r>
      <w:r>
        <w:t xml:space="preserve"> </w:t>
      </w:r>
      <w:hyperlink r:id="rId8" w:history="1">
        <w:r>
          <w:rPr>
            <w:rStyle w:val="Hyperlink"/>
          </w:rPr>
          <w:t>https://www.seaplm.org/index.php?option=com_content&amp;view=article&amp;id=56&amp;Itemid=441&amp;lang=en</w:t>
        </w:r>
      </w:hyperlink>
      <w:r>
        <w:t xml:space="preserve"> </w:t>
      </w:r>
    </w:p>
  </w:footnote>
  <w:footnote w:id="12">
    <w:p w14:paraId="579B2D84" w14:textId="77777777" w:rsidR="00E120C8" w:rsidRPr="00A10008" w:rsidRDefault="00E120C8" w:rsidP="00E120C8">
      <w:pPr>
        <w:pStyle w:val="FootnoteText"/>
        <w:rPr>
          <w:lang w:val="en-AU"/>
        </w:rPr>
      </w:pPr>
      <w:r>
        <w:rPr>
          <w:rStyle w:val="FootnoteReference"/>
        </w:rPr>
        <w:footnoteRef/>
      </w:r>
      <w:r>
        <w:t xml:space="preserve"> </w:t>
      </w:r>
      <w:hyperlink r:id="rId9" w:history="1">
        <w:r>
          <w:rPr>
            <w:rStyle w:val="Hyperlink"/>
          </w:rPr>
          <w:t>https://www.seaplm.org/PUBLICATIONS/regional%20results/SEA-PLM%202019%20Main%20Regional%20Report%20Summary.pdf</w:t>
        </w:r>
      </w:hyperlink>
    </w:p>
  </w:footnote>
  <w:footnote w:id="13">
    <w:p w14:paraId="20827458" w14:textId="77777777" w:rsidR="006B3C8D" w:rsidRPr="000262ED" w:rsidRDefault="006B3C8D" w:rsidP="006B3C8D">
      <w:pPr>
        <w:pStyle w:val="FootnoteText"/>
        <w:rPr>
          <w:lang w:val="en-AU"/>
        </w:rPr>
      </w:pPr>
      <w:r>
        <w:rPr>
          <w:rStyle w:val="FootnoteReference"/>
        </w:rPr>
        <w:footnoteRef/>
      </w:r>
      <w:r>
        <w:t xml:space="preserve"> </w:t>
      </w:r>
      <w:hyperlink r:id="rId10" w:history="1">
        <w:r>
          <w:rPr>
            <w:rStyle w:val="Hyperlink"/>
            <w:lang w:val="en-AU"/>
          </w:rPr>
          <w:t>https://www.oecd.org/pisa/</w:t>
        </w:r>
      </w:hyperlink>
      <w:r>
        <w:rPr>
          <w:lang w:val="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B9C6" w14:textId="05AA5256" w:rsidR="5F05D089" w:rsidRDefault="5F05D089" w:rsidP="5F05D089">
    <w:pPr>
      <w:pStyle w:val="Header"/>
    </w:pPr>
    <w:r>
      <w:rPr>
        <w:noProof/>
      </w:rPr>
      <w:drawing>
        <wp:inline distT="0" distB="0" distL="0" distR="0" wp14:anchorId="4EEAF011" wp14:editId="5DD19242">
          <wp:extent cx="3581400" cy="619125"/>
          <wp:effectExtent l="0" t="0" r="0" b="0"/>
          <wp:docPr id="293560662" name="Picture 293560662" descr="Australian Government - 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560662" name="Picture 293560662" descr="Australian Government - Department of Foreign Affairs and Trade"/>
                  <pic:cNvPicPr/>
                </pic:nvPicPr>
                <pic:blipFill>
                  <a:blip r:embed="rId1">
                    <a:extLst>
                      <a:ext uri="{28A0092B-C50C-407E-A947-70E740481C1C}">
                        <a14:useLocalDpi xmlns:a14="http://schemas.microsoft.com/office/drawing/2010/main" val="0"/>
                      </a:ext>
                    </a:extLst>
                  </a:blip>
                  <a:stretch>
                    <a:fillRect/>
                  </a:stretch>
                </pic:blipFill>
                <pic:spPr>
                  <a:xfrm>
                    <a:off x="0" y="0"/>
                    <a:ext cx="3581400" cy="619125"/>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64E67"/>
    <w:multiLevelType w:val="hybridMultilevel"/>
    <w:tmpl w:val="0F1854B8"/>
    <w:lvl w:ilvl="0" w:tplc="08090005">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24075CC6"/>
    <w:multiLevelType w:val="hybridMultilevel"/>
    <w:tmpl w:val="0C84A804"/>
    <w:lvl w:ilvl="0" w:tplc="FFFFFFFF">
      <w:start w:val="1"/>
      <w:numFmt w:val="bullet"/>
      <w:lvlText w:val="▫"/>
      <w:lvlJc w:val="left"/>
      <w:pPr>
        <w:ind w:left="720" w:hanging="360"/>
      </w:pPr>
      <w:rPr>
        <w:rFonts w:ascii="Courier New" w:hAnsi="Courier New"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FF062C"/>
    <w:multiLevelType w:val="hybridMultilevel"/>
    <w:tmpl w:val="12B4EE6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37D109A5"/>
    <w:multiLevelType w:val="hybridMultilevel"/>
    <w:tmpl w:val="731A17EC"/>
    <w:lvl w:ilvl="0" w:tplc="9BC8B78E">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A906C0F"/>
    <w:multiLevelType w:val="hybridMultilevel"/>
    <w:tmpl w:val="A24AA00E"/>
    <w:lvl w:ilvl="0" w:tplc="81CAB712">
      <w:start w:val="2"/>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53B2BE1"/>
    <w:multiLevelType w:val="hybridMultilevel"/>
    <w:tmpl w:val="AF64460C"/>
    <w:lvl w:ilvl="0" w:tplc="FFFFFFFF">
      <w:start w:val="1"/>
      <w:numFmt w:val="bullet"/>
      <w:lvlText w:val=""/>
      <w:lvlJc w:val="left"/>
      <w:pPr>
        <w:ind w:left="360" w:hanging="360"/>
      </w:pPr>
      <w:rPr>
        <w:rFonts w:ascii="Symbol" w:hAnsi="Symbol"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FB6AE1"/>
    <w:multiLevelType w:val="hybridMultilevel"/>
    <w:tmpl w:val="6E96FB3A"/>
    <w:lvl w:ilvl="0" w:tplc="869C87FE">
      <w:start w:val="1"/>
      <w:numFmt w:val="decimal"/>
      <w:lvlText w:val="%1."/>
      <w:lvlJc w:val="left"/>
      <w:pPr>
        <w:ind w:left="720"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D905FCE"/>
    <w:multiLevelType w:val="hybridMultilevel"/>
    <w:tmpl w:val="ED48A11C"/>
    <w:lvl w:ilvl="0" w:tplc="53323F98">
      <w:start w:val="1"/>
      <w:numFmt w:val="bullet"/>
      <w:lvlText w:val="▫"/>
      <w:lvlJc w:val="left"/>
      <w:pPr>
        <w:ind w:left="720" w:hanging="360"/>
      </w:pPr>
      <w:rPr>
        <w:rFonts w:ascii="Courier New" w:hAnsi="Courier New" w:hint="default"/>
      </w:rPr>
    </w:lvl>
    <w:lvl w:ilvl="1" w:tplc="0E7C2B5E">
      <w:start w:val="1"/>
      <w:numFmt w:val="bullet"/>
      <w:lvlText w:val="o"/>
      <w:lvlJc w:val="left"/>
      <w:pPr>
        <w:ind w:left="1440" w:hanging="360"/>
      </w:pPr>
      <w:rPr>
        <w:rFonts w:ascii="Courier New" w:hAnsi="Courier New" w:hint="default"/>
      </w:rPr>
    </w:lvl>
    <w:lvl w:ilvl="2" w:tplc="279E423A">
      <w:start w:val="1"/>
      <w:numFmt w:val="bullet"/>
      <w:lvlText w:val=""/>
      <w:lvlJc w:val="left"/>
      <w:pPr>
        <w:ind w:left="2160" w:hanging="360"/>
      </w:pPr>
      <w:rPr>
        <w:rFonts w:ascii="Wingdings" w:hAnsi="Wingdings" w:hint="default"/>
      </w:rPr>
    </w:lvl>
    <w:lvl w:ilvl="3" w:tplc="3BF4794C">
      <w:start w:val="1"/>
      <w:numFmt w:val="bullet"/>
      <w:lvlText w:val=""/>
      <w:lvlJc w:val="left"/>
      <w:pPr>
        <w:ind w:left="2880" w:hanging="360"/>
      </w:pPr>
      <w:rPr>
        <w:rFonts w:ascii="Symbol" w:hAnsi="Symbol" w:hint="default"/>
      </w:rPr>
    </w:lvl>
    <w:lvl w:ilvl="4" w:tplc="F0B62718">
      <w:start w:val="1"/>
      <w:numFmt w:val="bullet"/>
      <w:lvlText w:val="o"/>
      <w:lvlJc w:val="left"/>
      <w:pPr>
        <w:ind w:left="3600" w:hanging="360"/>
      </w:pPr>
      <w:rPr>
        <w:rFonts w:ascii="Courier New" w:hAnsi="Courier New" w:hint="default"/>
      </w:rPr>
    </w:lvl>
    <w:lvl w:ilvl="5" w:tplc="43BAC2B4">
      <w:start w:val="1"/>
      <w:numFmt w:val="bullet"/>
      <w:lvlText w:val=""/>
      <w:lvlJc w:val="left"/>
      <w:pPr>
        <w:ind w:left="4320" w:hanging="360"/>
      </w:pPr>
      <w:rPr>
        <w:rFonts w:ascii="Wingdings" w:hAnsi="Wingdings" w:hint="default"/>
      </w:rPr>
    </w:lvl>
    <w:lvl w:ilvl="6" w:tplc="0A4A3406">
      <w:start w:val="1"/>
      <w:numFmt w:val="bullet"/>
      <w:lvlText w:val=""/>
      <w:lvlJc w:val="left"/>
      <w:pPr>
        <w:ind w:left="5040" w:hanging="360"/>
      </w:pPr>
      <w:rPr>
        <w:rFonts w:ascii="Symbol" w:hAnsi="Symbol" w:hint="default"/>
      </w:rPr>
    </w:lvl>
    <w:lvl w:ilvl="7" w:tplc="11C299F2">
      <w:start w:val="1"/>
      <w:numFmt w:val="bullet"/>
      <w:lvlText w:val="o"/>
      <w:lvlJc w:val="left"/>
      <w:pPr>
        <w:ind w:left="5760" w:hanging="360"/>
      </w:pPr>
      <w:rPr>
        <w:rFonts w:ascii="Courier New" w:hAnsi="Courier New" w:hint="default"/>
      </w:rPr>
    </w:lvl>
    <w:lvl w:ilvl="8" w:tplc="4808B34C">
      <w:start w:val="1"/>
      <w:numFmt w:val="bullet"/>
      <w:lvlText w:val=""/>
      <w:lvlJc w:val="left"/>
      <w:pPr>
        <w:ind w:left="6480" w:hanging="360"/>
      </w:pPr>
      <w:rPr>
        <w:rFonts w:ascii="Wingdings" w:hAnsi="Wingdings" w:hint="default"/>
      </w:rPr>
    </w:lvl>
  </w:abstractNum>
  <w:abstractNum w:abstractNumId="8" w15:restartNumberingAfterBreak="0">
    <w:nsid w:val="6F4E62E4"/>
    <w:multiLevelType w:val="hybridMultilevel"/>
    <w:tmpl w:val="F392D3DC"/>
    <w:lvl w:ilvl="0" w:tplc="CFA81092">
      <w:start w:val="7"/>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4C169F3"/>
    <w:multiLevelType w:val="hybridMultilevel"/>
    <w:tmpl w:val="AA10D096"/>
    <w:lvl w:ilvl="0" w:tplc="9BC8B78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B861028"/>
    <w:multiLevelType w:val="hybridMultilevel"/>
    <w:tmpl w:val="7BF26F7E"/>
    <w:lvl w:ilvl="0" w:tplc="9BC8B78E">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9BC8B78E">
      <w:numFmt w:val="bullet"/>
      <w:lvlText w:val="-"/>
      <w:lvlJc w:val="left"/>
      <w:pPr>
        <w:ind w:left="3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F7A528B"/>
    <w:multiLevelType w:val="hybridMultilevel"/>
    <w:tmpl w:val="A4421A98"/>
    <w:lvl w:ilvl="0" w:tplc="7B640FF6">
      <w:start w:val="1"/>
      <w:numFmt w:val="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309093961">
    <w:abstractNumId w:val="7"/>
  </w:num>
  <w:num w:numId="2" w16cid:durableId="418716074">
    <w:abstractNumId w:val="3"/>
  </w:num>
  <w:num w:numId="3" w16cid:durableId="266470466">
    <w:abstractNumId w:val="11"/>
  </w:num>
  <w:num w:numId="4" w16cid:durableId="634988942">
    <w:abstractNumId w:val="4"/>
  </w:num>
  <w:num w:numId="5" w16cid:durableId="118038895">
    <w:abstractNumId w:val="5"/>
  </w:num>
  <w:num w:numId="6" w16cid:durableId="994146239">
    <w:abstractNumId w:val="0"/>
  </w:num>
  <w:num w:numId="7" w16cid:durableId="1095859111">
    <w:abstractNumId w:val="10"/>
  </w:num>
  <w:num w:numId="8" w16cid:durableId="473986274">
    <w:abstractNumId w:val="9"/>
  </w:num>
  <w:num w:numId="9" w16cid:durableId="1737313667">
    <w:abstractNumId w:val="6"/>
  </w:num>
  <w:num w:numId="10" w16cid:durableId="758868956">
    <w:abstractNumId w:val="2"/>
  </w:num>
  <w:num w:numId="11" w16cid:durableId="1715957360">
    <w:abstractNumId w:val="2"/>
  </w:num>
  <w:num w:numId="12" w16cid:durableId="1173034227">
    <w:abstractNumId w:val="8"/>
  </w:num>
  <w:num w:numId="13" w16cid:durableId="365524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92B"/>
    <w:rsid w:val="0000101C"/>
    <w:rsid w:val="0000196B"/>
    <w:rsid w:val="000034D4"/>
    <w:rsid w:val="0000426E"/>
    <w:rsid w:val="00004F5C"/>
    <w:rsid w:val="00004FDF"/>
    <w:rsid w:val="00007919"/>
    <w:rsid w:val="00010803"/>
    <w:rsid w:val="00014440"/>
    <w:rsid w:val="00015405"/>
    <w:rsid w:val="00016C78"/>
    <w:rsid w:val="00020C96"/>
    <w:rsid w:val="00030E88"/>
    <w:rsid w:val="0003683F"/>
    <w:rsid w:val="00036A0F"/>
    <w:rsid w:val="00041D22"/>
    <w:rsid w:val="000452A1"/>
    <w:rsid w:val="00046202"/>
    <w:rsid w:val="00046AA4"/>
    <w:rsid w:val="000563B1"/>
    <w:rsid w:val="0006179A"/>
    <w:rsid w:val="000618DF"/>
    <w:rsid w:val="000673B8"/>
    <w:rsid w:val="0007007F"/>
    <w:rsid w:val="000700D8"/>
    <w:rsid w:val="00075686"/>
    <w:rsid w:val="00075A31"/>
    <w:rsid w:val="00077B9A"/>
    <w:rsid w:val="00081114"/>
    <w:rsid w:val="000816AE"/>
    <w:rsid w:val="000836C1"/>
    <w:rsid w:val="00084461"/>
    <w:rsid w:val="00085F8C"/>
    <w:rsid w:val="0009058C"/>
    <w:rsid w:val="000941DC"/>
    <w:rsid w:val="00095431"/>
    <w:rsid w:val="0009619E"/>
    <w:rsid w:val="000969D9"/>
    <w:rsid w:val="00096E7F"/>
    <w:rsid w:val="00097098"/>
    <w:rsid w:val="000A0F08"/>
    <w:rsid w:val="000A7ACC"/>
    <w:rsid w:val="000B23F2"/>
    <w:rsid w:val="000B46DB"/>
    <w:rsid w:val="000B5E7B"/>
    <w:rsid w:val="000B5EBB"/>
    <w:rsid w:val="000B72ED"/>
    <w:rsid w:val="000C17BF"/>
    <w:rsid w:val="000C21DB"/>
    <w:rsid w:val="000C314D"/>
    <w:rsid w:val="000C3B61"/>
    <w:rsid w:val="000C6D82"/>
    <w:rsid w:val="000C75A3"/>
    <w:rsid w:val="000D28F2"/>
    <w:rsid w:val="000D3ED2"/>
    <w:rsid w:val="000D638D"/>
    <w:rsid w:val="000D6B7B"/>
    <w:rsid w:val="000E2158"/>
    <w:rsid w:val="000E32C0"/>
    <w:rsid w:val="000F0062"/>
    <w:rsid w:val="000F58C1"/>
    <w:rsid w:val="000F5F73"/>
    <w:rsid w:val="00102499"/>
    <w:rsid w:val="001027C4"/>
    <w:rsid w:val="00106E98"/>
    <w:rsid w:val="0011122C"/>
    <w:rsid w:val="00111BDF"/>
    <w:rsid w:val="00114528"/>
    <w:rsid w:val="001175E1"/>
    <w:rsid w:val="0012359B"/>
    <w:rsid w:val="0012385D"/>
    <w:rsid w:val="001251A3"/>
    <w:rsid w:val="00126ADB"/>
    <w:rsid w:val="0012735F"/>
    <w:rsid w:val="00134A21"/>
    <w:rsid w:val="00134A4F"/>
    <w:rsid w:val="00140E6F"/>
    <w:rsid w:val="00144624"/>
    <w:rsid w:val="00146AA9"/>
    <w:rsid w:val="001543BB"/>
    <w:rsid w:val="00154DA6"/>
    <w:rsid w:val="0015519D"/>
    <w:rsid w:val="001554CF"/>
    <w:rsid w:val="001570EC"/>
    <w:rsid w:val="001677D4"/>
    <w:rsid w:val="001723BA"/>
    <w:rsid w:val="001730E8"/>
    <w:rsid w:val="00174C1C"/>
    <w:rsid w:val="00175C36"/>
    <w:rsid w:val="00176F13"/>
    <w:rsid w:val="00180165"/>
    <w:rsid w:val="00184C1B"/>
    <w:rsid w:val="0019145E"/>
    <w:rsid w:val="00194A62"/>
    <w:rsid w:val="001951CF"/>
    <w:rsid w:val="001A0641"/>
    <w:rsid w:val="001A0D4E"/>
    <w:rsid w:val="001A2337"/>
    <w:rsid w:val="001A3142"/>
    <w:rsid w:val="001A69D4"/>
    <w:rsid w:val="001A7779"/>
    <w:rsid w:val="001B1BE2"/>
    <w:rsid w:val="001B2967"/>
    <w:rsid w:val="001C1C20"/>
    <w:rsid w:val="001C57FD"/>
    <w:rsid w:val="001C7AE8"/>
    <w:rsid w:val="001D009C"/>
    <w:rsid w:val="001D22C0"/>
    <w:rsid w:val="001D4E46"/>
    <w:rsid w:val="001D4ED3"/>
    <w:rsid w:val="001D739C"/>
    <w:rsid w:val="001D7954"/>
    <w:rsid w:val="001E037B"/>
    <w:rsid w:val="001E127F"/>
    <w:rsid w:val="001E3651"/>
    <w:rsid w:val="001E4B84"/>
    <w:rsid w:val="001E4C57"/>
    <w:rsid w:val="001E4FA0"/>
    <w:rsid w:val="001E5993"/>
    <w:rsid w:val="001E7EF0"/>
    <w:rsid w:val="001F254D"/>
    <w:rsid w:val="001F4109"/>
    <w:rsid w:val="00200BE3"/>
    <w:rsid w:val="002019CC"/>
    <w:rsid w:val="00207DAE"/>
    <w:rsid w:val="00217E52"/>
    <w:rsid w:val="002223E6"/>
    <w:rsid w:val="002240C5"/>
    <w:rsid w:val="00224D4A"/>
    <w:rsid w:val="002266E2"/>
    <w:rsid w:val="00233B97"/>
    <w:rsid w:val="002349EE"/>
    <w:rsid w:val="00237D70"/>
    <w:rsid w:val="00243277"/>
    <w:rsid w:val="00244608"/>
    <w:rsid w:val="00246B2D"/>
    <w:rsid w:val="00246E3A"/>
    <w:rsid w:val="0024780B"/>
    <w:rsid w:val="00250DFB"/>
    <w:rsid w:val="0025476E"/>
    <w:rsid w:val="0025497D"/>
    <w:rsid w:val="00257A8C"/>
    <w:rsid w:val="002621A9"/>
    <w:rsid w:val="002642CF"/>
    <w:rsid w:val="00267EBA"/>
    <w:rsid w:val="002758C0"/>
    <w:rsid w:val="00277DAA"/>
    <w:rsid w:val="002825B6"/>
    <w:rsid w:val="0028396E"/>
    <w:rsid w:val="002862B8"/>
    <w:rsid w:val="00287319"/>
    <w:rsid w:val="00292848"/>
    <w:rsid w:val="00292C07"/>
    <w:rsid w:val="00293F32"/>
    <w:rsid w:val="002A0CCF"/>
    <w:rsid w:val="002A7A01"/>
    <w:rsid w:val="002B034D"/>
    <w:rsid w:val="002B29AD"/>
    <w:rsid w:val="002B4159"/>
    <w:rsid w:val="002B440C"/>
    <w:rsid w:val="002B4944"/>
    <w:rsid w:val="002B58DB"/>
    <w:rsid w:val="002C0D9D"/>
    <w:rsid w:val="002C202D"/>
    <w:rsid w:val="002C4EDB"/>
    <w:rsid w:val="002C5322"/>
    <w:rsid w:val="002C7E42"/>
    <w:rsid w:val="002D1509"/>
    <w:rsid w:val="002D385C"/>
    <w:rsid w:val="002D38C0"/>
    <w:rsid w:val="002D556C"/>
    <w:rsid w:val="002E0A3F"/>
    <w:rsid w:val="002E3233"/>
    <w:rsid w:val="002E3270"/>
    <w:rsid w:val="002E3BE3"/>
    <w:rsid w:val="002E458E"/>
    <w:rsid w:val="002E7718"/>
    <w:rsid w:val="002E7D9A"/>
    <w:rsid w:val="002F3C9A"/>
    <w:rsid w:val="002F4BD2"/>
    <w:rsid w:val="002F5DF3"/>
    <w:rsid w:val="002F6020"/>
    <w:rsid w:val="00303BD7"/>
    <w:rsid w:val="00305631"/>
    <w:rsid w:val="00305E09"/>
    <w:rsid w:val="00307F9E"/>
    <w:rsid w:val="00311794"/>
    <w:rsid w:val="0031631B"/>
    <w:rsid w:val="00321C53"/>
    <w:rsid w:val="0032289F"/>
    <w:rsid w:val="00330904"/>
    <w:rsid w:val="003429EB"/>
    <w:rsid w:val="003435D5"/>
    <w:rsid w:val="00343D87"/>
    <w:rsid w:val="003443A1"/>
    <w:rsid w:val="00357272"/>
    <w:rsid w:val="00361BD4"/>
    <w:rsid w:val="00366C2F"/>
    <w:rsid w:val="00375943"/>
    <w:rsid w:val="00376FE0"/>
    <w:rsid w:val="00381AC0"/>
    <w:rsid w:val="00393269"/>
    <w:rsid w:val="00394B29"/>
    <w:rsid w:val="00397088"/>
    <w:rsid w:val="003A1635"/>
    <w:rsid w:val="003A2397"/>
    <w:rsid w:val="003A44A0"/>
    <w:rsid w:val="003A6261"/>
    <w:rsid w:val="003A7447"/>
    <w:rsid w:val="003B3065"/>
    <w:rsid w:val="003B336E"/>
    <w:rsid w:val="003B4648"/>
    <w:rsid w:val="003B4DEE"/>
    <w:rsid w:val="003B51D6"/>
    <w:rsid w:val="003B65CA"/>
    <w:rsid w:val="003C168E"/>
    <w:rsid w:val="003C63EC"/>
    <w:rsid w:val="003C67A0"/>
    <w:rsid w:val="003D2139"/>
    <w:rsid w:val="003D21CD"/>
    <w:rsid w:val="003D330E"/>
    <w:rsid w:val="003D64C1"/>
    <w:rsid w:val="003E3398"/>
    <w:rsid w:val="003F6AA8"/>
    <w:rsid w:val="003F7FF4"/>
    <w:rsid w:val="004039B9"/>
    <w:rsid w:val="00405D90"/>
    <w:rsid w:val="004103A0"/>
    <w:rsid w:val="00410DB3"/>
    <w:rsid w:val="00412901"/>
    <w:rsid w:val="004148EA"/>
    <w:rsid w:val="00414F93"/>
    <w:rsid w:val="004168DD"/>
    <w:rsid w:val="00420369"/>
    <w:rsid w:val="004223E2"/>
    <w:rsid w:val="00423813"/>
    <w:rsid w:val="004272ED"/>
    <w:rsid w:val="0042781B"/>
    <w:rsid w:val="004301C7"/>
    <w:rsid w:val="00432558"/>
    <w:rsid w:val="00433CE5"/>
    <w:rsid w:val="004500DA"/>
    <w:rsid w:val="00453897"/>
    <w:rsid w:val="0046341A"/>
    <w:rsid w:val="004661DA"/>
    <w:rsid w:val="00475D46"/>
    <w:rsid w:val="0047793A"/>
    <w:rsid w:val="0048092B"/>
    <w:rsid w:val="004851C8"/>
    <w:rsid w:val="00486A01"/>
    <w:rsid w:val="0048793C"/>
    <w:rsid w:val="00490C54"/>
    <w:rsid w:val="004912EA"/>
    <w:rsid w:val="00492861"/>
    <w:rsid w:val="00494CEC"/>
    <w:rsid w:val="00496049"/>
    <w:rsid w:val="004B055B"/>
    <w:rsid w:val="004B3CD5"/>
    <w:rsid w:val="004B51AB"/>
    <w:rsid w:val="004C02FA"/>
    <w:rsid w:val="004C08CA"/>
    <w:rsid w:val="004C0977"/>
    <w:rsid w:val="004C6CA7"/>
    <w:rsid w:val="004D2B8D"/>
    <w:rsid w:val="004D4E7A"/>
    <w:rsid w:val="004D5832"/>
    <w:rsid w:val="004D65AC"/>
    <w:rsid w:val="004D7AC1"/>
    <w:rsid w:val="00501D70"/>
    <w:rsid w:val="00512526"/>
    <w:rsid w:val="00513D13"/>
    <w:rsid w:val="005164E9"/>
    <w:rsid w:val="00526DA9"/>
    <w:rsid w:val="00531CBA"/>
    <w:rsid w:val="00532599"/>
    <w:rsid w:val="0053308D"/>
    <w:rsid w:val="00533769"/>
    <w:rsid w:val="00534D47"/>
    <w:rsid w:val="0054071D"/>
    <w:rsid w:val="005417F4"/>
    <w:rsid w:val="00542204"/>
    <w:rsid w:val="0054653D"/>
    <w:rsid w:val="00546D38"/>
    <w:rsid w:val="00556685"/>
    <w:rsid w:val="005569C9"/>
    <w:rsid w:val="00561034"/>
    <w:rsid w:val="005625FF"/>
    <w:rsid w:val="0056305B"/>
    <w:rsid w:val="00564861"/>
    <w:rsid w:val="005729D7"/>
    <w:rsid w:val="00572CBC"/>
    <w:rsid w:val="0057314D"/>
    <w:rsid w:val="005740E6"/>
    <w:rsid w:val="00575ECC"/>
    <w:rsid w:val="00577B84"/>
    <w:rsid w:val="005801B1"/>
    <w:rsid w:val="005806DA"/>
    <w:rsid w:val="00585540"/>
    <w:rsid w:val="00596A79"/>
    <w:rsid w:val="00596C08"/>
    <w:rsid w:val="00597F1D"/>
    <w:rsid w:val="005A285B"/>
    <w:rsid w:val="005A39C9"/>
    <w:rsid w:val="005A4915"/>
    <w:rsid w:val="005A4B50"/>
    <w:rsid w:val="005B143B"/>
    <w:rsid w:val="005B4662"/>
    <w:rsid w:val="005B58FF"/>
    <w:rsid w:val="005B7100"/>
    <w:rsid w:val="005B77FC"/>
    <w:rsid w:val="005C651F"/>
    <w:rsid w:val="005D30D3"/>
    <w:rsid w:val="005D3926"/>
    <w:rsid w:val="005D6B0D"/>
    <w:rsid w:val="005D73CE"/>
    <w:rsid w:val="005E3073"/>
    <w:rsid w:val="005F0F95"/>
    <w:rsid w:val="005F4026"/>
    <w:rsid w:val="00600EE0"/>
    <w:rsid w:val="00601FC7"/>
    <w:rsid w:val="006053DE"/>
    <w:rsid w:val="00613D96"/>
    <w:rsid w:val="00615587"/>
    <w:rsid w:val="00621724"/>
    <w:rsid w:val="0062267A"/>
    <w:rsid w:val="006264FB"/>
    <w:rsid w:val="006306AA"/>
    <w:rsid w:val="00633624"/>
    <w:rsid w:val="00645C0E"/>
    <w:rsid w:val="00647D5F"/>
    <w:rsid w:val="0065166C"/>
    <w:rsid w:val="0065330A"/>
    <w:rsid w:val="00655962"/>
    <w:rsid w:val="0066237A"/>
    <w:rsid w:val="00666BD4"/>
    <w:rsid w:val="006739D1"/>
    <w:rsid w:val="00677333"/>
    <w:rsid w:val="006825EC"/>
    <w:rsid w:val="0068484E"/>
    <w:rsid w:val="00686E75"/>
    <w:rsid w:val="00691D11"/>
    <w:rsid w:val="00691DC4"/>
    <w:rsid w:val="00696048"/>
    <w:rsid w:val="00697D86"/>
    <w:rsid w:val="006A3429"/>
    <w:rsid w:val="006A53E7"/>
    <w:rsid w:val="006A7791"/>
    <w:rsid w:val="006B1671"/>
    <w:rsid w:val="006B25FE"/>
    <w:rsid w:val="006B3C8D"/>
    <w:rsid w:val="006B6E5B"/>
    <w:rsid w:val="006C5804"/>
    <w:rsid w:val="006D280D"/>
    <w:rsid w:val="006D31F0"/>
    <w:rsid w:val="006D5443"/>
    <w:rsid w:val="006E0D2E"/>
    <w:rsid w:val="006E1E24"/>
    <w:rsid w:val="006E4667"/>
    <w:rsid w:val="006E639E"/>
    <w:rsid w:val="006F02AC"/>
    <w:rsid w:val="006F26DA"/>
    <w:rsid w:val="006F4E5E"/>
    <w:rsid w:val="00702CE3"/>
    <w:rsid w:val="0070798E"/>
    <w:rsid w:val="007151E2"/>
    <w:rsid w:val="00717EB8"/>
    <w:rsid w:val="00720D92"/>
    <w:rsid w:val="00726412"/>
    <w:rsid w:val="007279FD"/>
    <w:rsid w:val="00731901"/>
    <w:rsid w:val="0073626F"/>
    <w:rsid w:val="007379C8"/>
    <w:rsid w:val="007440F1"/>
    <w:rsid w:val="007519FD"/>
    <w:rsid w:val="00753E84"/>
    <w:rsid w:val="00755490"/>
    <w:rsid w:val="0076025C"/>
    <w:rsid w:val="00760E18"/>
    <w:rsid w:val="00765979"/>
    <w:rsid w:val="007679F6"/>
    <w:rsid w:val="00773876"/>
    <w:rsid w:val="00774892"/>
    <w:rsid w:val="00777844"/>
    <w:rsid w:val="0078029D"/>
    <w:rsid w:val="00780A1F"/>
    <w:rsid w:val="007841A6"/>
    <w:rsid w:val="00785D69"/>
    <w:rsid w:val="00785DE0"/>
    <w:rsid w:val="0078738D"/>
    <w:rsid w:val="00787CCF"/>
    <w:rsid w:val="00793DBC"/>
    <w:rsid w:val="00794919"/>
    <w:rsid w:val="00796AAA"/>
    <w:rsid w:val="00797570"/>
    <w:rsid w:val="007A1FB3"/>
    <w:rsid w:val="007A4138"/>
    <w:rsid w:val="007B2E16"/>
    <w:rsid w:val="007B61D7"/>
    <w:rsid w:val="007B6636"/>
    <w:rsid w:val="007B6BEE"/>
    <w:rsid w:val="007C4210"/>
    <w:rsid w:val="007C6E79"/>
    <w:rsid w:val="007C7D50"/>
    <w:rsid w:val="007D7238"/>
    <w:rsid w:val="007E3059"/>
    <w:rsid w:val="007E5D6E"/>
    <w:rsid w:val="007F163B"/>
    <w:rsid w:val="007F16F1"/>
    <w:rsid w:val="007F2888"/>
    <w:rsid w:val="007F440C"/>
    <w:rsid w:val="007F4E43"/>
    <w:rsid w:val="007F79CE"/>
    <w:rsid w:val="008071B0"/>
    <w:rsid w:val="00807941"/>
    <w:rsid w:val="0081599C"/>
    <w:rsid w:val="00823634"/>
    <w:rsid w:val="0083427C"/>
    <w:rsid w:val="00835347"/>
    <w:rsid w:val="00837EBF"/>
    <w:rsid w:val="00841184"/>
    <w:rsid w:val="008443D6"/>
    <w:rsid w:val="008507E0"/>
    <w:rsid w:val="008646AD"/>
    <w:rsid w:val="00865AE6"/>
    <w:rsid w:val="0088218D"/>
    <w:rsid w:val="00890875"/>
    <w:rsid w:val="008916D0"/>
    <w:rsid w:val="00891903"/>
    <w:rsid w:val="008926DF"/>
    <w:rsid w:val="008A2995"/>
    <w:rsid w:val="008A5A92"/>
    <w:rsid w:val="008B090A"/>
    <w:rsid w:val="008B36FF"/>
    <w:rsid w:val="008B4104"/>
    <w:rsid w:val="008B5753"/>
    <w:rsid w:val="008C1599"/>
    <w:rsid w:val="008C4DB1"/>
    <w:rsid w:val="008D0F7D"/>
    <w:rsid w:val="008D15F3"/>
    <w:rsid w:val="008D198D"/>
    <w:rsid w:val="008D4587"/>
    <w:rsid w:val="008E2979"/>
    <w:rsid w:val="008E74E4"/>
    <w:rsid w:val="008F0039"/>
    <w:rsid w:val="008F2C20"/>
    <w:rsid w:val="008F3CB3"/>
    <w:rsid w:val="00902040"/>
    <w:rsid w:val="00905F3C"/>
    <w:rsid w:val="00906787"/>
    <w:rsid w:val="00906993"/>
    <w:rsid w:val="009123F9"/>
    <w:rsid w:val="00916445"/>
    <w:rsid w:val="00916455"/>
    <w:rsid w:val="009225BA"/>
    <w:rsid w:val="0092445B"/>
    <w:rsid w:val="00924D34"/>
    <w:rsid w:val="00930534"/>
    <w:rsid w:val="009314A4"/>
    <w:rsid w:val="00934AC3"/>
    <w:rsid w:val="009357A6"/>
    <w:rsid w:val="00940C76"/>
    <w:rsid w:val="00942CDD"/>
    <w:rsid w:val="009438A2"/>
    <w:rsid w:val="00943CAB"/>
    <w:rsid w:val="009467E8"/>
    <w:rsid w:val="0096126B"/>
    <w:rsid w:val="00963539"/>
    <w:rsid w:val="009644D1"/>
    <w:rsid w:val="0096617F"/>
    <w:rsid w:val="00966EA1"/>
    <w:rsid w:val="009728F4"/>
    <w:rsid w:val="009754AB"/>
    <w:rsid w:val="00982C70"/>
    <w:rsid w:val="0098618C"/>
    <w:rsid w:val="009931C4"/>
    <w:rsid w:val="00995558"/>
    <w:rsid w:val="00997317"/>
    <w:rsid w:val="009A03C5"/>
    <w:rsid w:val="009A150B"/>
    <w:rsid w:val="009A24A4"/>
    <w:rsid w:val="009A53B6"/>
    <w:rsid w:val="009A5414"/>
    <w:rsid w:val="009A7912"/>
    <w:rsid w:val="009B2AE1"/>
    <w:rsid w:val="009C44D6"/>
    <w:rsid w:val="009C5D0E"/>
    <w:rsid w:val="009C6172"/>
    <w:rsid w:val="009D2E55"/>
    <w:rsid w:val="009D60B4"/>
    <w:rsid w:val="009D785B"/>
    <w:rsid w:val="009E140F"/>
    <w:rsid w:val="009F3029"/>
    <w:rsid w:val="009F79F5"/>
    <w:rsid w:val="00A0222E"/>
    <w:rsid w:val="00A03DA0"/>
    <w:rsid w:val="00A06B12"/>
    <w:rsid w:val="00A11D86"/>
    <w:rsid w:val="00A11E98"/>
    <w:rsid w:val="00A21247"/>
    <w:rsid w:val="00A27D61"/>
    <w:rsid w:val="00A27DFA"/>
    <w:rsid w:val="00A36E7B"/>
    <w:rsid w:val="00A40BFF"/>
    <w:rsid w:val="00A4314F"/>
    <w:rsid w:val="00A45941"/>
    <w:rsid w:val="00A51478"/>
    <w:rsid w:val="00A52EDA"/>
    <w:rsid w:val="00A54488"/>
    <w:rsid w:val="00A5622F"/>
    <w:rsid w:val="00A63C58"/>
    <w:rsid w:val="00A705D4"/>
    <w:rsid w:val="00A76073"/>
    <w:rsid w:val="00A7797B"/>
    <w:rsid w:val="00A808E9"/>
    <w:rsid w:val="00A8370E"/>
    <w:rsid w:val="00A85A05"/>
    <w:rsid w:val="00A87E14"/>
    <w:rsid w:val="00A92725"/>
    <w:rsid w:val="00A92C93"/>
    <w:rsid w:val="00A94413"/>
    <w:rsid w:val="00AA6433"/>
    <w:rsid w:val="00AB02C3"/>
    <w:rsid w:val="00AB0D1B"/>
    <w:rsid w:val="00AB396D"/>
    <w:rsid w:val="00AB7ED8"/>
    <w:rsid w:val="00AC1A35"/>
    <w:rsid w:val="00AC1E32"/>
    <w:rsid w:val="00AC5F1A"/>
    <w:rsid w:val="00AD29EA"/>
    <w:rsid w:val="00AD38A0"/>
    <w:rsid w:val="00AD6107"/>
    <w:rsid w:val="00AE10D9"/>
    <w:rsid w:val="00AF04AA"/>
    <w:rsid w:val="00AF1D23"/>
    <w:rsid w:val="00AF278A"/>
    <w:rsid w:val="00AF39FE"/>
    <w:rsid w:val="00AF5E48"/>
    <w:rsid w:val="00AF7F78"/>
    <w:rsid w:val="00B00316"/>
    <w:rsid w:val="00B0196B"/>
    <w:rsid w:val="00B02FF2"/>
    <w:rsid w:val="00B04B4B"/>
    <w:rsid w:val="00B16C1D"/>
    <w:rsid w:val="00B16E3C"/>
    <w:rsid w:val="00B20AEC"/>
    <w:rsid w:val="00B26051"/>
    <w:rsid w:val="00B34BA1"/>
    <w:rsid w:val="00B3633F"/>
    <w:rsid w:val="00B372AE"/>
    <w:rsid w:val="00B41ABA"/>
    <w:rsid w:val="00B47194"/>
    <w:rsid w:val="00B50953"/>
    <w:rsid w:val="00B62058"/>
    <w:rsid w:val="00B643FD"/>
    <w:rsid w:val="00B66C65"/>
    <w:rsid w:val="00B70613"/>
    <w:rsid w:val="00B71E80"/>
    <w:rsid w:val="00B725FC"/>
    <w:rsid w:val="00B7688F"/>
    <w:rsid w:val="00B86269"/>
    <w:rsid w:val="00B909B1"/>
    <w:rsid w:val="00B97344"/>
    <w:rsid w:val="00BA22DF"/>
    <w:rsid w:val="00BB1A18"/>
    <w:rsid w:val="00BB6150"/>
    <w:rsid w:val="00BB6430"/>
    <w:rsid w:val="00BC3115"/>
    <w:rsid w:val="00BC5341"/>
    <w:rsid w:val="00BC5AF0"/>
    <w:rsid w:val="00BC6B72"/>
    <w:rsid w:val="00BC7502"/>
    <w:rsid w:val="00BD1E86"/>
    <w:rsid w:val="00BE0ADB"/>
    <w:rsid w:val="00BF0771"/>
    <w:rsid w:val="00BF256D"/>
    <w:rsid w:val="00BF279D"/>
    <w:rsid w:val="00BF45FB"/>
    <w:rsid w:val="00C030F9"/>
    <w:rsid w:val="00C03D1C"/>
    <w:rsid w:val="00C1672C"/>
    <w:rsid w:val="00C217FA"/>
    <w:rsid w:val="00C21F62"/>
    <w:rsid w:val="00C22119"/>
    <w:rsid w:val="00C25952"/>
    <w:rsid w:val="00C276C2"/>
    <w:rsid w:val="00C40765"/>
    <w:rsid w:val="00C4292B"/>
    <w:rsid w:val="00C55BAD"/>
    <w:rsid w:val="00C5653B"/>
    <w:rsid w:val="00C64474"/>
    <w:rsid w:val="00C7002A"/>
    <w:rsid w:val="00C72577"/>
    <w:rsid w:val="00C72C3F"/>
    <w:rsid w:val="00C75CD3"/>
    <w:rsid w:val="00C7697A"/>
    <w:rsid w:val="00C82236"/>
    <w:rsid w:val="00C8574A"/>
    <w:rsid w:val="00C8614A"/>
    <w:rsid w:val="00C90C16"/>
    <w:rsid w:val="00C94054"/>
    <w:rsid w:val="00CA033A"/>
    <w:rsid w:val="00CA1F88"/>
    <w:rsid w:val="00CA2A75"/>
    <w:rsid w:val="00CA3C20"/>
    <w:rsid w:val="00CB0F31"/>
    <w:rsid w:val="00CB4422"/>
    <w:rsid w:val="00CB7B9C"/>
    <w:rsid w:val="00CC6615"/>
    <w:rsid w:val="00CC6DD3"/>
    <w:rsid w:val="00CD5256"/>
    <w:rsid w:val="00CD6FF9"/>
    <w:rsid w:val="00CE61A9"/>
    <w:rsid w:val="00D0036F"/>
    <w:rsid w:val="00D02B57"/>
    <w:rsid w:val="00D05AB1"/>
    <w:rsid w:val="00D10DD9"/>
    <w:rsid w:val="00D16E6F"/>
    <w:rsid w:val="00D1714E"/>
    <w:rsid w:val="00D17370"/>
    <w:rsid w:val="00D17C58"/>
    <w:rsid w:val="00D24B88"/>
    <w:rsid w:val="00D279E9"/>
    <w:rsid w:val="00D32322"/>
    <w:rsid w:val="00D62A41"/>
    <w:rsid w:val="00D66100"/>
    <w:rsid w:val="00D668DD"/>
    <w:rsid w:val="00D67F47"/>
    <w:rsid w:val="00D70641"/>
    <w:rsid w:val="00D734E3"/>
    <w:rsid w:val="00D73748"/>
    <w:rsid w:val="00D73F6B"/>
    <w:rsid w:val="00D777C0"/>
    <w:rsid w:val="00D908BC"/>
    <w:rsid w:val="00D9192C"/>
    <w:rsid w:val="00D92723"/>
    <w:rsid w:val="00D94C2B"/>
    <w:rsid w:val="00D95705"/>
    <w:rsid w:val="00D9573F"/>
    <w:rsid w:val="00D960C5"/>
    <w:rsid w:val="00DA524D"/>
    <w:rsid w:val="00DB1215"/>
    <w:rsid w:val="00DC172D"/>
    <w:rsid w:val="00DC20AD"/>
    <w:rsid w:val="00DC6042"/>
    <w:rsid w:val="00DD63E6"/>
    <w:rsid w:val="00DE12C9"/>
    <w:rsid w:val="00DE2723"/>
    <w:rsid w:val="00DE5BC0"/>
    <w:rsid w:val="00DE7EDA"/>
    <w:rsid w:val="00DF1BB3"/>
    <w:rsid w:val="00E00C54"/>
    <w:rsid w:val="00E04C84"/>
    <w:rsid w:val="00E07194"/>
    <w:rsid w:val="00E120C8"/>
    <w:rsid w:val="00E131B1"/>
    <w:rsid w:val="00E139AB"/>
    <w:rsid w:val="00E265BA"/>
    <w:rsid w:val="00E34C3E"/>
    <w:rsid w:val="00E364E8"/>
    <w:rsid w:val="00E452AD"/>
    <w:rsid w:val="00E542A6"/>
    <w:rsid w:val="00E555FD"/>
    <w:rsid w:val="00E56C8F"/>
    <w:rsid w:val="00E62CD5"/>
    <w:rsid w:val="00E63456"/>
    <w:rsid w:val="00E67525"/>
    <w:rsid w:val="00E67C23"/>
    <w:rsid w:val="00E73360"/>
    <w:rsid w:val="00E73B36"/>
    <w:rsid w:val="00E747BD"/>
    <w:rsid w:val="00E775E4"/>
    <w:rsid w:val="00E85489"/>
    <w:rsid w:val="00E86F5D"/>
    <w:rsid w:val="00E91558"/>
    <w:rsid w:val="00E91FC0"/>
    <w:rsid w:val="00E93CC5"/>
    <w:rsid w:val="00E96CD5"/>
    <w:rsid w:val="00E96EBD"/>
    <w:rsid w:val="00EA3A6B"/>
    <w:rsid w:val="00EB05EC"/>
    <w:rsid w:val="00EB0DFA"/>
    <w:rsid w:val="00EB1E40"/>
    <w:rsid w:val="00EB2140"/>
    <w:rsid w:val="00EB6354"/>
    <w:rsid w:val="00EC10C1"/>
    <w:rsid w:val="00EC7B24"/>
    <w:rsid w:val="00EC7C34"/>
    <w:rsid w:val="00ED5AEC"/>
    <w:rsid w:val="00ED65D1"/>
    <w:rsid w:val="00EF1A08"/>
    <w:rsid w:val="00EF463F"/>
    <w:rsid w:val="00EF6276"/>
    <w:rsid w:val="00EF6D68"/>
    <w:rsid w:val="00F001CD"/>
    <w:rsid w:val="00F03B84"/>
    <w:rsid w:val="00F05A45"/>
    <w:rsid w:val="00F11D9F"/>
    <w:rsid w:val="00F11E52"/>
    <w:rsid w:val="00F12773"/>
    <w:rsid w:val="00F135F9"/>
    <w:rsid w:val="00F20175"/>
    <w:rsid w:val="00F20DF6"/>
    <w:rsid w:val="00F23363"/>
    <w:rsid w:val="00F2446E"/>
    <w:rsid w:val="00F27927"/>
    <w:rsid w:val="00F30D41"/>
    <w:rsid w:val="00F311C2"/>
    <w:rsid w:val="00F37564"/>
    <w:rsid w:val="00F4358A"/>
    <w:rsid w:val="00F4631A"/>
    <w:rsid w:val="00F47FF3"/>
    <w:rsid w:val="00F655C6"/>
    <w:rsid w:val="00F752F7"/>
    <w:rsid w:val="00F76833"/>
    <w:rsid w:val="00F8337A"/>
    <w:rsid w:val="00F9350F"/>
    <w:rsid w:val="00F97B40"/>
    <w:rsid w:val="00FA009D"/>
    <w:rsid w:val="00FA0694"/>
    <w:rsid w:val="00FA38BB"/>
    <w:rsid w:val="00FA4FC6"/>
    <w:rsid w:val="00FA7698"/>
    <w:rsid w:val="00FA7AA4"/>
    <w:rsid w:val="00FB6635"/>
    <w:rsid w:val="00FC0D64"/>
    <w:rsid w:val="00FC2C69"/>
    <w:rsid w:val="00FD712E"/>
    <w:rsid w:val="00FE2B52"/>
    <w:rsid w:val="00FE70C7"/>
    <w:rsid w:val="00FF1A37"/>
    <w:rsid w:val="00FF3339"/>
    <w:rsid w:val="00FF3435"/>
    <w:rsid w:val="00FF3D3D"/>
    <w:rsid w:val="00FF3EAD"/>
    <w:rsid w:val="01456672"/>
    <w:rsid w:val="0393ADF3"/>
    <w:rsid w:val="050834FD"/>
    <w:rsid w:val="064B2861"/>
    <w:rsid w:val="0AE1AD46"/>
    <w:rsid w:val="147D5E48"/>
    <w:rsid w:val="286BF801"/>
    <w:rsid w:val="2A813376"/>
    <w:rsid w:val="32F60554"/>
    <w:rsid w:val="3394A6C1"/>
    <w:rsid w:val="34FAC2CC"/>
    <w:rsid w:val="3EFD7897"/>
    <w:rsid w:val="415821B1"/>
    <w:rsid w:val="4B6EED43"/>
    <w:rsid w:val="4DD3CB47"/>
    <w:rsid w:val="5308DFA1"/>
    <w:rsid w:val="54C20FFE"/>
    <w:rsid w:val="55D87916"/>
    <w:rsid w:val="580EA190"/>
    <w:rsid w:val="5C3F0F7A"/>
    <w:rsid w:val="5F05D089"/>
    <w:rsid w:val="614C4523"/>
    <w:rsid w:val="6483E5E5"/>
    <w:rsid w:val="6710DD32"/>
    <w:rsid w:val="6BE6EA5C"/>
    <w:rsid w:val="76249F39"/>
    <w:rsid w:val="77C06F9A"/>
    <w:rsid w:val="7AF8105C"/>
    <w:rsid w:val="7E04BCA3"/>
    <w:rsid w:val="7FCB81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8D8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92B"/>
    <w:pPr>
      <w:spacing w:after="0" w:line="240" w:lineRule="auto"/>
    </w:pPr>
    <w:rPr>
      <w:rFonts w:ascii="Calibri" w:hAnsi="Calibri" w:cs="Calibri"/>
    </w:rPr>
  </w:style>
  <w:style w:type="paragraph" w:styleId="Heading1">
    <w:name w:val="heading 1"/>
    <w:basedOn w:val="Normal"/>
    <w:next w:val="Normal"/>
    <w:link w:val="Heading1Char"/>
    <w:qFormat/>
    <w:rsid w:val="007F16F1"/>
    <w:pPr>
      <w:keepNext/>
      <w:keepLines/>
      <w:suppressAutoHyphens/>
      <w:spacing w:before="480" w:after="120" w:line="380" w:lineRule="exact"/>
      <w:contextualSpacing/>
      <w:jc w:val="center"/>
      <w:outlineLvl w:val="0"/>
    </w:pPr>
    <w:rPr>
      <w:rFonts w:asciiTheme="minorHAnsi" w:eastAsiaTheme="majorEastAsia" w:hAnsiTheme="minorHAnsi" w:cstheme="minorHAnsi"/>
      <w:b/>
      <w:caps/>
      <w:color w:val="44546A" w:themeColor="text2"/>
      <w:sz w:val="40"/>
      <w:szCs w:val="40"/>
      <w:lang w:val="en-GB"/>
    </w:rPr>
  </w:style>
  <w:style w:type="paragraph" w:styleId="Heading2">
    <w:name w:val="heading 2"/>
    <w:basedOn w:val="Style5"/>
    <w:next w:val="Normal"/>
    <w:link w:val="Heading2Char"/>
    <w:unhideWhenUsed/>
    <w:qFormat/>
    <w:rsid w:val="007F16F1"/>
    <w:rPr>
      <w:rFonts w:asciiTheme="minorHAnsi" w:hAnsiTheme="minorHAnsi"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92B"/>
    <w:pPr>
      <w:ind w:left="720"/>
    </w:pPr>
  </w:style>
  <w:style w:type="character" w:styleId="Hyperlink">
    <w:name w:val="Hyperlink"/>
    <w:basedOn w:val="DefaultParagraphFont"/>
    <w:uiPriority w:val="99"/>
    <w:unhideWhenUsed/>
    <w:rsid w:val="00C4292B"/>
    <w:rPr>
      <w:color w:val="0563C1" w:themeColor="hyperlink"/>
      <w:u w:val="single"/>
    </w:rPr>
  </w:style>
  <w:style w:type="character" w:styleId="UnresolvedMention">
    <w:name w:val="Unresolved Mention"/>
    <w:basedOn w:val="DefaultParagraphFont"/>
    <w:uiPriority w:val="99"/>
    <w:semiHidden/>
    <w:unhideWhenUsed/>
    <w:rsid w:val="00C4292B"/>
    <w:rPr>
      <w:color w:val="605E5C"/>
      <w:shd w:val="clear" w:color="auto" w:fill="E1DFDD"/>
    </w:rPr>
  </w:style>
  <w:style w:type="character" w:customStyle="1" w:styleId="Heading1Char">
    <w:name w:val="Heading 1 Char"/>
    <w:basedOn w:val="DefaultParagraphFont"/>
    <w:link w:val="Heading1"/>
    <w:rsid w:val="007F16F1"/>
    <w:rPr>
      <w:rFonts w:eastAsiaTheme="majorEastAsia" w:cstheme="minorHAnsi"/>
      <w:b/>
      <w:caps/>
      <w:color w:val="44546A" w:themeColor="text2"/>
      <w:sz w:val="40"/>
      <w:szCs w:val="40"/>
      <w:lang w:val="en-GB"/>
    </w:rPr>
  </w:style>
  <w:style w:type="character" w:customStyle="1" w:styleId="Heading2Char">
    <w:name w:val="Heading 2 Char"/>
    <w:basedOn w:val="DefaultParagraphFont"/>
    <w:link w:val="Heading2"/>
    <w:rsid w:val="007F16F1"/>
    <w:rPr>
      <w:rFonts w:eastAsiaTheme="majorEastAsia" w:cstheme="minorHAnsi"/>
      <w:b/>
      <w:caps/>
      <w:color w:val="2F5496" w:themeColor="accent1" w:themeShade="BF"/>
      <w:sz w:val="32"/>
      <w:szCs w:val="32"/>
      <w:lang w:val="en-GB"/>
    </w:rPr>
  </w:style>
  <w:style w:type="character" w:styleId="IntenseEmphasis">
    <w:name w:val="Intense Emphasis"/>
    <w:basedOn w:val="DefaultParagraphFont"/>
    <w:uiPriority w:val="21"/>
    <w:qFormat/>
    <w:rsid w:val="00C4292B"/>
    <w:rPr>
      <w:b/>
      <w:i/>
      <w:iCs/>
      <w:color w:val="44546A" w:themeColor="text2"/>
    </w:rPr>
  </w:style>
  <w:style w:type="paragraph" w:styleId="BodyText">
    <w:name w:val="Body Text"/>
    <w:basedOn w:val="Normal"/>
    <w:link w:val="BodyTextChar"/>
    <w:uiPriority w:val="99"/>
    <w:unhideWhenUsed/>
    <w:qFormat/>
    <w:rsid w:val="00C4292B"/>
    <w:pPr>
      <w:suppressAutoHyphens/>
      <w:spacing w:before="120" w:after="60" w:line="260" w:lineRule="atLeast"/>
    </w:pPr>
    <w:rPr>
      <w:rFonts w:asciiTheme="minorHAnsi" w:hAnsiTheme="minorHAnsi" w:cstheme="minorBidi"/>
      <w:color w:val="44546A" w:themeColor="text2"/>
      <w:lang w:val="en-GB"/>
    </w:rPr>
  </w:style>
  <w:style w:type="character" w:customStyle="1" w:styleId="BodyTextChar">
    <w:name w:val="Body Text Char"/>
    <w:basedOn w:val="DefaultParagraphFont"/>
    <w:link w:val="BodyText"/>
    <w:uiPriority w:val="99"/>
    <w:rsid w:val="00C4292B"/>
    <w:rPr>
      <w:color w:val="44546A" w:themeColor="text2"/>
      <w:lang w:val="en-GB"/>
    </w:rPr>
  </w:style>
  <w:style w:type="paragraph" w:styleId="ListBullet">
    <w:name w:val="List Bullet"/>
    <w:basedOn w:val="BodyText"/>
    <w:unhideWhenUsed/>
    <w:qFormat/>
    <w:rsid w:val="00C4292B"/>
    <w:pPr>
      <w:suppressAutoHyphens w:val="0"/>
      <w:spacing w:before="80" w:after="120" w:line="360" w:lineRule="auto"/>
      <w:ind w:left="360" w:hanging="360"/>
    </w:pPr>
    <w:rPr>
      <w:rFonts w:ascii="Franklin Gothic Book" w:eastAsia="Times New Roman" w:hAnsi="Franklin Gothic Book" w:cs="Times New Roman"/>
      <w:color w:val="auto"/>
      <w:sz w:val="21"/>
      <w:szCs w:val="24"/>
      <w:lang w:val="en-AU" w:eastAsia="en-AU"/>
    </w:rPr>
  </w:style>
  <w:style w:type="paragraph" w:customStyle="1" w:styleId="PublicationDate">
    <w:name w:val="Publication Date"/>
    <w:next w:val="Heading1"/>
    <w:rsid w:val="00C4292B"/>
    <w:pPr>
      <w:spacing w:after="360" w:line="276" w:lineRule="auto"/>
    </w:pPr>
    <w:rPr>
      <w:rFonts w:ascii="Helvetica" w:eastAsia="Times New Roman" w:hAnsi="Helvetica" w:cs="Times New Roman"/>
      <w:color w:val="A8A5A8"/>
      <w:spacing w:val="-10"/>
      <w:kern w:val="24"/>
      <w:sz w:val="24"/>
      <w:szCs w:val="28"/>
      <w:lang w:eastAsia="en-AU"/>
    </w:rPr>
  </w:style>
  <w:style w:type="paragraph" w:customStyle="1" w:styleId="Style3">
    <w:name w:val="Style3"/>
    <w:basedOn w:val="Heading2"/>
    <w:link w:val="Style3Char"/>
    <w:qFormat/>
    <w:rsid w:val="00C4292B"/>
    <w:rPr>
      <w:b w:val="0"/>
      <w:sz w:val="36"/>
      <w:szCs w:val="36"/>
    </w:rPr>
  </w:style>
  <w:style w:type="character" w:customStyle="1" w:styleId="Style3Char">
    <w:name w:val="Style3 Char"/>
    <w:basedOn w:val="Heading2Char"/>
    <w:link w:val="Style3"/>
    <w:rsid w:val="00C4292B"/>
    <w:rPr>
      <w:rFonts w:asciiTheme="majorHAnsi" w:eastAsiaTheme="majorEastAsia" w:hAnsiTheme="majorHAnsi" w:cstheme="majorBidi"/>
      <w:b w:val="0"/>
      <w:caps/>
      <w:color w:val="44546A" w:themeColor="text2"/>
      <w:sz w:val="36"/>
      <w:szCs w:val="36"/>
      <w:lang w:val="en-GB"/>
    </w:rPr>
  </w:style>
  <w:style w:type="paragraph" w:customStyle="1" w:styleId="Style5">
    <w:name w:val="Style5"/>
    <w:basedOn w:val="Normal"/>
    <w:link w:val="Style5Char"/>
    <w:qFormat/>
    <w:rsid w:val="00C4292B"/>
    <w:pPr>
      <w:keepNext/>
      <w:keepLines/>
      <w:suppressAutoHyphens/>
      <w:spacing w:before="360" w:after="120" w:line="260" w:lineRule="exact"/>
      <w:contextualSpacing/>
      <w:outlineLvl w:val="1"/>
    </w:pPr>
    <w:rPr>
      <w:rFonts w:asciiTheme="majorHAnsi" w:eastAsiaTheme="majorEastAsia" w:hAnsiTheme="majorHAnsi" w:cstheme="majorBidi"/>
      <w:b/>
      <w:caps/>
      <w:color w:val="2F5496" w:themeColor="accent1" w:themeShade="BF"/>
      <w:sz w:val="32"/>
      <w:szCs w:val="32"/>
      <w:lang w:val="en-GB"/>
    </w:rPr>
  </w:style>
  <w:style w:type="character" w:customStyle="1" w:styleId="Style5Char">
    <w:name w:val="Style5 Char"/>
    <w:basedOn w:val="DefaultParagraphFont"/>
    <w:link w:val="Style5"/>
    <w:rsid w:val="00C4292B"/>
    <w:rPr>
      <w:rFonts w:asciiTheme="majorHAnsi" w:eastAsiaTheme="majorEastAsia" w:hAnsiTheme="majorHAnsi" w:cstheme="majorBidi"/>
      <w:b/>
      <w:caps/>
      <w:color w:val="2F5496" w:themeColor="accent1" w:themeShade="BF"/>
      <w:sz w:val="32"/>
      <w:szCs w:val="32"/>
      <w:lang w:val="en-GB"/>
    </w:rPr>
  </w:style>
  <w:style w:type="paragraph" w:styleId="FootnoteText">
    <w:name w:val="footnote text"/>
    <w:basedOn w:val="Normal"/>
    <w:link w:val="FootnoteTextChar"/>
    <w:unhideWhenUsed/>
    <w:rsid w:val="00CA1F88"/>
    <w:pPr>
      <w:suppressAutoHyphens/>
      <w:spacing w:before="60" w:line="200" w:lineRule="atLeast"/>
      <w:ind w:left="170" w:hanging="170"/>
    </w:pPr>
    <w:rPr>
      <w:rFonts w:asciiTheme="minorHAnsi" w:hAnsiTheme="minorHAnsi" w:cstheme="minorBidi"/>
      <w:color w:val="44546A" w:themeColor="text2"/>
      <w:sz w:val="16"/>
      <w:szCs w:val="20"/>
      <w:lang w:val="en-GB"/>
    </w:rPr>
  </w:style>
  <w:style w:type="character" w:customStyle="1" w:styleId="FootnoteTextChar">
    <w:name w:val="Footnote Text Char"/>
    <w:basedOn w:val="DefaultParagraphFont"/>
    <w:link w:val="FootnoteText"/>
    <w:rsid w:val="00CA1F88"/>
    <w:rPr>
      <w:color w:val="44546A" w:themeColor="text2"/>
      <w:sz w:val="16"/>
      <w:szCs w:val="20"/>
      <w:lang w:val="en-GB"/>
    </w:rPr>
  </w:style>
  <w:style w:type="character" w:styleId="FootnoteReference">
    <w:name w:val="footnote reference"/>
    <w:basedOn w:val="DefaultParagraphFont"/>
    <w:unhideWhenUsed/>
    <w:rsid w:val="00CA1F88"/>
    <w:rPr>
      <w:vertAlign w:val="superscript"/>
    </w:rPr>
  </w:style>
  <w:style w:type="character" w:styleId="CommentReference">
    <w:name w:val="annotation reference"/>
    <w:basedOn w:val="DefaultParagraphFont"/>
    <w:uiPriority w:val="99"/>
    <w:semiHidden/>
    <w:unhideWhenUsed/>
    <w:rsid w:val="00CA1F88"/>
    <w:rPr>
      <w:sz w:val="16"/>
      <w:szCs w:val="16"/>
    </w:rPr>
  </w:style>
  <w:style w:type="paragraph" w:styleId="CommentText">
    <w:name w:val="annotation text"/>
    <w:basedOn w:val="Normal"/>
    <w:link w:val="CommentTextChar"/>
    <w:uiPriority w:val="99"/>
    <w:unhideWhenUsed/>
    <w:rsid w:val="00CA1F88"/>
    <w:pPr>
      <w:suppressAutoHyphens/>
      <w:spacing w:before="120" w:after="60"/>
    </w:pPr>
    <w:rPr>
      <w:rFonts w:asciiTheme="minorHAnsi" w:hAnsiTheme="minorHAnsi" w:cstheme="minorBidi"/>
      <w:color w:val="44546A" w:themeColor="text2"/>
      <w:sz w:val="20"/>
      <w:szCs w:val="20"/>
      <w:lang w:val="en-GB"/>
    </w:rPr>
  </w:style>
  <w:style w:type="character" w:customStyle="1" w:styleId="CommentTextChar">
    <w:name w:val="Comment Text Char"/>
    <w:basedOn w:val="DefaultParagraphFont"/>
    <w:link w:val="CommentText"/>
    <w:uiPriority w:val="99"/>
    <w:rsid w:val="00CA1F88"/>
    <w:rPr>
      <w:color w:val="44546A" w:themeColor="text2"/>
      <w:sz w:val="20"/>
      <w:szCs w:val="20"/>
      <w:lang w:val="en-GB"/>
    </w:rPr>
  </w:style>
  <w:style w:type="paragraph" w:styleId="CommentSubject">
    <w:name w:val="annotation subject"/>
    <w:basedOn w:val="CommentText"/>
    <w:next w:val="CommentText"/>
    <w:link w:val="CommentSubjectChar"/>
    <w:uiPriority w:val="99"/>
    <w:semiHidden/>
    <w:unhideWhenUsed/>
    <w:rsid w:val="0012359B"/>
    <w:pPr>
      <w:suppressAutoHyphens w:val="0"/>
      <w:spacing w:before="0" w:after="0"/>
    </w:pPr>
    <w:rPr>
      <w:rFonts w:ascii="Calibri" w:hAnsi="Calibri" w:cs="Calibri"/>
      <w:b/>
      <w:bCs/>
      <w:color w:val="auto"/>
      <w:lang w:val="en-AU"/>
    </w:rPr>
  </w:style>
  <w:style w:type="character" w:customStyle="1" w:styleId="CommentSubjectChar">
    <w:name w:val="Comment Subject Char"/>
    <w:basedOn w:val="CommentTextChar"/>
    <w:link w:val="CommentSubject"/>
    <w:uiPriority w:val="99"/>
    <w:semiHidden/>
    <w:rsid w:val="0012359B"/>
    <w:rPr>
      <w:rFonts w:ascii="Calibri" w:hAnsi="Calibri" w:cs="Calibri"/>
      <w:b/>
      <w:bCs/>
      <w:color w:val="44546A" w:themeColor="text2"/>
      <w:sz w:val="20"/>
      <w:szCs w:val="20"/>
      <w:lang w:val="en-GB"/>
    </w:rPr>
  </w:style>
  <w:style w:type="character" w:styleId="FollowedHyperlink">
    <w:name w:val="FollowedHyperlink"/>
    <w:basedOn w:val="DefaultParagraphFont"/>
    <w:uiPriority w:val="99"/>
    <w:semiHidden/>
    <w:unhideWhenUsed/>
    <w:rsid w:val="004223E2"/>
    <w:rPr>
      <w:color w:val="954F72" w:themeColor="followedHyperlink"/>
      <w:u w:val="single"/>
    </w:rPr>
  </w:style>
  <w:style w:type="paragraph" w:styleId="Revision">
    <w:name w:val="Revision"/>
    <w:hidden/>
    <w:uiPriority w:val="99"/>
    <w:semiHidden/>
    <w:rsid w:val="00267EBA"/>
    <w:pPr>
      <w:spacing w:after="0" w:line="240" w:lineRule="auto"/>
    </w:pPr>
    <w:rPr>
      <w:rFonts w:ascii="Calibri" w:hAnsi="Calibri" w:cs="Calibri"/>
    </w:rPr>
  </w:style>
  <w:style w:type="table" w:customStyle="1" w:styleId="TableGrid1">
    <w:name w:val="Table Grid1"/>
    <w:basedOn w:val="TableNormal"/>
    <w:next w:val="TableGrid"/>
    <w:uiPriority w:val="39"/>
    <w:rsid w:val="00FE7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E7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08BC"/>
    <w:pPr>
      <w:tabs>
        <w:tab w:val="center" w:pos="4513"/>
        <w:tab w:val="right" w:pos="9026"/>
      </w:tabs>
    </w:pPr>
  </w:style>
  <w:style w:type="character" w:customStyle="1" w:styleId="HeaderChar">
    <w:name w:val="Header Char"/>
    <w:basedOn w:val="DefaultParagraphFont"/>
    <w:link w:val="Header"/>
    <w:uiPriority w:val="99"/>
    <w:rsid w:val="00D908BC"/>
    <w:rPr>
      <w:rFonts w:ascii="Calibri" w:hAnsi="Calibri" w:cs="Calibri"/>
    </w:rPr>
  </w:style>
  <w:style w:type="paragraph" w:styleId="Footer">
    <w:name w:val="footer"/>
    <w:basedOn w:val="Normal"/>
    <w:link w:val="FooterChar"/>
    <w:uiPriority w:val="99"/>
    <w:unhideWhenUsed/>
    <w:rsid w:val="00D908BC"/>
    <w:pPr>
      <w:tabs>
        <w:tab w:val="center" w:pos="4513"/>
        <w:tab w:val="right" w:pos="9026"/>
      </w:tabs>
    </w:pPr>
  </w:style>
  <w:style w:type="character" w:customStyle="1" w:styleId="FooterChar">
    <w:name w:val="Footer Char"/>
    <w:basedOn w:val="DefaultParagraphFont"/>
    <w:link w:val="Footer"/>
    <w:uiPriority w:val="99"/>
    <w:rsid w:val="00D908B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315399">
      <w:bodyDiv w:val="1"/>
      <w:marLeft w:val="0"/>
      <w:marRight w:val="0"/>
      <w:marTop w:val="0"/>
      <w:marBottom w:val="0"/>
      <w:divBdr>
        <w:top w:val="none" w:sz="0" w:space="0" w:color="auto"/>
        <w:left w:val="none" w:sz="0" w:space="0" w:color="auto"/>
        <w:bottom w:val="none" w:sz="0" w:space="0" w:color="auto"/>
        <w:right w:val="none" w:sz="0" w:space="0" w:color="auto"/>
      </w:divBdr>
    </w:div>
    <w:div w:id="598833984">
      <w:bodyDiv w:val="1"/>
      <w:marLeft w:val="0"/>
      <w:marRight w:val="0"/>
      <w:marTop w:val="0"/>
      <w:marBottom w:val="0"/>
      <w:divBdr>
        <w:top w:val="none" w:sz="0" w:space="0" w:color="auto"/>
        <w:left w:val="none" w:sz="0" w:space="0" w:color="auto"/>
        <w:bottom w:val="none" w:sz="0" w:space="0" w:color="auto"/>
        <w:right w:val="none" w:sz="0" w:space="0" w:color="auto"/>
      </w:divBdr>
    </w:div>
    <w:div w:id="84470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seaplm.org/index.php?option=com_content&amp;view=article&amp;id=56&amp;Itemid=441&amp;lang=en" TargetMode="External"/><Relationship Id="rId3" Type="http://schemas.openxmlformats.org/officeDocument/2006/relationships/hyperlink" Target="https://gaml.uis.unesco.org/wp-content/uploads/sites/2/2023/05/Countrys-reporting-option_Zambia_2023.05.15_FINAL.pdf" TargetMode="External"/><Relationship Id="rId7" Type="http://schemas.openxmlformats.org/officeDocument/2006/relationships/hyperlink" Target="https://spccfpstore1.blob.core.windows.net/digitallibrary-docs/files/d6/d67b82c7ea33c046084978d7dc1891d1.pdf?sv=2015-12-11&amp;sr=b&amp;sig=2%2FFtwJdlp1wjSEY466Z45guGPPwN8jkvsup9bp%2Fjrkk%3D&amp;se=2023-09-25T11%3A01%3A37Z&amp;sp=r&amp;rscc=public%2C%20max-age%3D864000%2C%20max-stale%3D86400&amp;rsct=application%2Fpdf&amp;rscd=inline%3B%20filename%3D%22Status_of_Pacific_Education_Report_2022.pdf%22" TargetMode="External"/><Relationship Id="rId2" Type="http://schemas.openxmlformats.org/officeDocument/2006/relationships/hyperlink" Target="https://www.unesco.org/en/youth" TargetMode="External"/><Relationship Id="rId1" Type="http://schemas.openxmlformats.org/officeDocument/2006/relationships/hyperlink" Target="https://uis.unesco.org/node/3079800" TargetMode="External"/><Relationship Id="rId6" Type="http://schemas.openxmlformats.org/officeDocument/2006/relationships/hyperlink" Target="https://eqap.spc.int/PILNA" TargetMode="External"/><Relationship Id="rId5" Type="http://schemas.openxmlformats.org/officeDocument/2006/relationships/hyperlink" Target="https://gaml.uis.unesco.org/wp-content/uploads/sites/2/2023/05/Countrys-reporting-option_Zambia_2023.05.15_FINAL.pdf" TargetMode="External"/><Relationship Id="rId10" Type="http://schemas.openxmlformats.org/officeDocument/2006/relationships/hyperlink" Target="https://www.oecd.org/pisa/" TargetMode="External"/><Relationship Id="rId4" Type="http://schemas.openxmlformats.org/officeDocument/2006/relationships/hyperlink" Target="https://milo.uis.unesco.org/mpl/" TargetMode="External"/><Relationship Id="rId9" Type="http://schemas.openxmlformats.org/officeDocument/2006/relationships/hyperlink" Target="https://www.seaplm.org/PUBLICATIONS/regional%20results/SEA-PLM%202019%20Main%20Regional%20Report%20Summar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2B7DD4E9CB4934BBB0A4D2E9ADAB25F" ma:contentTypeVersion="5" ma:contentTypeDescription="Create a new document." ma:contentTypeScope="" ma:versionID="ba4897ce409b1299a66540d0c0005b59">
  <xsd:schema xmlns:xsd="http://www.w3.org/2001/XMLSchema" xmlns:xs="http://www.w3.org/2001/XMLSchema" xmlns:p="http://schemas.microsoft.com/office/2006/metadata/properties" xmlns:ns2="e7c2167f-7f62-42c8-b17f-4fb54f1eb712" targetNamespace="http://schemas.microsoft.com/office/2006/metadata/properties" ma:root="true" ma:fieldsID="63ab0f6317e205a4e62fc752498a359d" ns2:_="">
    <xsd:import namespace="e7c2167f-7f62-42c8-b17f-4fb54f1eb7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2167f-7f62-42c8-b17f-4fb54f1eb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BA731D-FBE1-4FA9-950E-5192EA793E6D}">
  <ds:schemaRefs>
    <ds:schemaRef ds:uri="http://schemas.microsoft.com/sharepoint/v3/contenttype/forms"/>
  </ds:schemaRefs>
</ds:datastoreItem>
</file>

<file path=customXml/itemProps2.xml><?xml version="1.0" encoding="utf-8"?>
<ds:datastoreItem xmlns:ds="http://schemas.openxmlformats.org/officeDocument/2006/customXml" ds:itemID="{3599F0AD-BC82-4CCB-B476-069956915EDF}">
  <ds:schemaRefs>
    <ds:schemaRef ds:uri="http://purl.org/dc/terms/"/>
    <ds:schemaRef ds:uri="http://schemas.openxmlformats.org/package/2006/metadata/core-properties"/>
    <ds:schemaRef ds:uri="http://purl.org/dc/dcmitype/"/>
    <ds:schemaRef ds:uri="e7c2167f-7f62-42c8-b17f-4fb54f1eb712"/>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2B91874-6CDC-4006-87EB-D0AC8B120D79}">
  <ds:schemaRefs>
    <ds:schemaRef ds:uri="http://schemas.openxmlformats.org/officeDocument/2006/bibliography"/>
  </ds:schemaRefs>
</ds:datastoreItem>
</file>

<file path=customXml/itemProps4.xml><?xml version="1.0" encoding="utf-8"?>
<ds:datastoreItem xmlns:ds="http://schemas.openxmlformats.org/officeDocument/2006/customXml" ds:itemID="{1014EA79-CD96-495A-8002-403F1B2CA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2167f-7f62-42c8-b17f-4fb54f1eb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1626</Words>
  <Characters>9723</Characters>
  <Application>Microsoft Office Word</Application>
  <DocSecurity>0</DocSecurity>
  <Lines>147</Lines>
  <Paragraphs>54</Paragraphs>
  <ScaleCrop>false</ScaleCrop>
  <HeadingPairs>
    <vt:vector size="2" baseType="variant">
      <vt:variant>
        <vt:lpstr>Title</vt:lpstr>
      </vt:variant>
      <vt:variant>
        <vt:i4>1</vt:i4>
      </vt:variant>
    </vt:vector>
  </HeadingPairs>
  <TitlesOfParts>
    <vt:vector size="1" baseType="lpstr">
      <vt:lpstr>Tier 2 Technical Note – Education</vt:lpstr>
    </vt:vector>
  </TitlesOfParts>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2 Technical Note – Education</dc:title>
  <dc:subject/>
  <dc:creator/>
  <cp:keywords>[SEC=OFFICIAL]</cp:keywords>
  <dc:description/>
  <cp:lastModifiedBy/>
  <cp:revision>4</cp:revision>
  <dcterms:created xsi:type="dcterms:W3CDTF">2023-09-13T23:36:00Z</dcterms:created>
  <dcterms:modified xsi:type="dcterms:W3CDTF">2024-06-19T05:04:00Z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v=2022.1;a=SHA256;h=530EFB59B74CC7E23E71688C13263645732A224A299367D6D25CC5EFA86B6995</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899E4EA469A04FB023F4432B63374BB33589BF8A</vt:lpwstr>
  </property>
  <property fmtid="{D5CDD505-2E9C-101B-9397-08002B2CF9AE}" pid="9" name="PM_Originating_FileId">
    <vt:lpwstr>0F899F374FF046FA9710986148772F0A</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2023-06-14T03:51:21Z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145F2D89536F81338D361EAE523E5AA6</vt:lpwstr>
  </property>
  <property fmtid="{D5CDD505-2E9C-101B-9397-08002B2CF9AE}" pid="22" name="PM_Hash_Salt">
    <vt:lpwstr>7593CDDFF0F6F1E593B4D622D219D56C</vt:lpwstr>
  </property>
  <property fmtid="{D5CDD505-2E9C-101B-9397-08002B2CF9AE}" pid="23" name="PM_Hash_SHA1">
    <vt:lpwstr>DDDEE4F1B18FF61584CEF6640971523772F5F317</vt:lpwstr>
  </property>
  <property fmtid="{D5CDD505-2E9C-101B-9397-08002B2CF9AE}" pid="24" name="PM_OriginatorUserAccountName_SHA256">
    <vt:lpwstr>290C9CFCFE70E139C4500567FB5830ACF9049F26A1998DDACA65669D45D5D2AD</vt:lpwstr>
  </property>
  <property fmtid="{D5CDD505-2E9C-101B-9397-08002B2CF9AE}" pid="25" name="PM_OriginatorDomainName_SHA256">
    <vt:lpwstr>6F3591835F3B2A8A025B00B5BA6418010DA3A17C9C26EA9C049FFD28039489A2</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y fmtid="{D5CDD505-2E9C-101B-9397-08002B2CF9AE}" pid="29" name="ContentTypeId">
    <vt:lpwstr>0x01010002B7DD4E9CB4934BBB0A4D2E9ADAB25F</vt:lpwstr>
  </property>
  <property fmtid="{D5CDD505-2E9C-101B-9397-08002B2CF9AE}" pid="30" name="MediaServiceImageTags">
    <vt:lpwstr/>
  </property>
</Properties>
</file>