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8BB3" w14:textId="5DD44073" w:rsidR="00C4292B" w:rsidRPr="001D3075" w:rsidRDefault="6D881E96" w:rsidP="001D3075">
      <w:pPr>
        <w:pStyle w:val="Heading1"/>
      </w:pPr>
      <w:bookmarkStart w:id="0" w:name="_Toc441151562"/>
      <w:r w:rsidRPr="001D3075">
        <w:t>TIER 2 INDICATOR Technical Note</w:t>
      </w:r>
      <w:r w:rsidR="413F7942" w:rsidRPr="001D3075">
        <w:t xml:space="preserve"> </w:t>
      </w:r>
    </w:p>
    <w:bookmarkEnd w:id="0"/>
    <w:p w14:paraId="242526AB" w14:textId="11B8D384" w:rsidR="00720E72" w:rsidRPr="001D3075" w:rsidRDefault="4914C9B7" w:rsidP="001D3075">
      <w:pPr>
        <w:pStyle w:val="Heading2"/>
      </w:pPr>
      <w:r w:rsidRPr="001D3075">
        <w:t xml:space="preserve">ODA funding channelled to </w:t>
      </w:r>
      <w:r w:rsidR="6DE343F3" w:rsidRPr="001D3075">
        <w:t>women’s rights organisations and movements, and government institutions</w:t>
      </w:r>
    </w:p>
    <w:p w14:paraId="64E31E70" w14:textId="62F20907" w:rsidR="00C4292B" w:rsidRPr="001D3075" w:rsidRDefault="00C4292B" w:rsidP="001D3075">
      <w:pPr>
        <w:pStyle w:val="Heading2"/>
        <w:rPr>
          <w:i w:val="0"/>
          <w:iCs w:val="0"/>
        </w:rPr>
      </w:pPr>
      <w:r w:rsidRPr="001D3075">
        <w:rPr>
          <w:i w:val="0"/>
          <w:iCs w:val="0"/>
        </w:rPr>
        <w:t>Definition</w:t>
      </w:r>
    </w:p>
    <w:p w14:paraId="2EC662FB" w14:textId="7283EA1E" w:rsidR="00720E72" w:rsidRDefault="0C97C36F" w:rsidP="7FB32A6F">
      <w:pPr>
        <w:pStyle w:val="Bullet"/>
        <w:numPr>
          <w:ilvl w:val="0"/>
          <w:numId w:val="0"/>
        </w:numPr>
        <w:spacing w:line="260" w:lineRule="atLeast"/>
        <w:ind w:left="28"/>
        <w:jc w:val="both"/>
        <w:rPr>
          <w:rFonts w:asciiTheme="majorHAnsi" w:eastAsiaTheme="majorEastAsia" w:hAnsiTheme="majorHAnsi" w:cstheme="majorBidi"/>
          <w:color w:val="44546A" w:themeColor="text2"/>
          <w:lang w:eastAsia="en-AU"/>
        </w:rPr>
      </w:pP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Support for women-led and women's rights organisations and movements, and institutions (governmental and non-governmental) at all levels to enhance their effectiveness, </w:t>
      </w:r>
      <w:proofErr w:type="gramStart"/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influence</w:t>
      </w:r>
      <w:proofErr w:type="gramEnd"/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and sustainability (activities and core-funding). These organisations exist to </w:t>
      </w:r>
      <w:r w:rsidR="1FD89332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advance</w:t>
      </w: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gender equality and/or the rights of women and girls in developing countries. Their activities include agenda-setting, advocacy, policy dialogue, capacity development, awareness raising and prevention, service provision, conflict-prevention and peacebuilding, research, organising, and alliance and network building</w:t>
      </w:r>
      <w:r w:rsidR="7492C3A6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.</w:t>
      </w:r>
    </w:p>
    <w:p w14:paraId="0DDFDD21" w14:textId="77777777" w:rsidR="00E1716E" w:rsidRPr="00CC3D7F" w:rsidRDefault="6D500959" w:rsidP="7FB32A6F">
      <w:pPr>
        <w:pStyle w:val="Bullet"/>
        <w:numPr>
          <w:ilvl w:val="0"/>
          <w:numId w:val="0"/>
        </w:numPr>
        <w:spacing w:line="260" w:lineRule="atLeast"/>
        <w:ind w:left="28"/>
        <w:jc w:val="both"/>
        <w:rPr>
          <w:rFonts w:asciiTheme="majorHAnsi" w:eastAsiaTheme="majorEastAsia" w:hAnsiTheme="majorHAnsi" w:cstheme="majorBidi"/>
          <w:color w:val="44546A" w:themeColor="text2"/>
        </w:rPr>
      </w:pP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This indicator is consistent with the OECD DAC Creditor Reporting System purpose code ‘The </w:t>
      </w:r>
      <w:bookmarkStart w:id="1" w:name="_Hlk141705308"/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women’s rights organisations and movements, and government institutions</w:t>
      </w:r>
      <w:bookmarkEnd w:id="1"/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’ code (15170) (re-named in 2019 from “women’s equality organisations and institutions).</w:t>
      </w:r>
    </w:p>
    <w:p w14:paraId="163C6EE5" w14:textId="23F4297F" w:rsidR="00E1716E" w:rsidRPr="001D3075" w:rsidRDefault="00C4292B" w:rsidP="001D3075">
      <w:pPr>
        <w:pStyle w:val="Heading2"/>
        <w:rPr>
          <w:i w:val="0"/>
          <w:iCs w:val="0"/>
        </w:rPr>
      </w:pPr>
      <w:r w:rsidRPr="001D3075">
        <w:rPr>
          <w:i w:val="0"/>
          <w:iCs w:val="0"/>
        </w:rPr>
        <w:t>Scope</w:t>
      </w:r>
    </w:p>
    <w:p w14:paraId="5B9226A4" w14:textId="5AD771FA" w:rsidR="00C4292B" w:rsidRPr="001D3075" w:rsidRDefault="6D881E96" w:rsidP="001D3075">
      <w:pPr>
        <w:pStyle w:val="Heading2"/>
        <w:rPr>
          <w:rStyle w:val="IntenseEmphasis"/>
          <w:b/>
          <w:bCs w:val="0"/>
          <w:sz w:val="22"/>
          <w:szCs w:val="22"/>
        </w:rPr>
      </w:pPr>
      <w:r w:rsidRPr="001D3075">
        <w:rPr>
          <w:rStyle w:val="IntenseEmphasis"/>
          <w:b/>
          <w:bCs w:val="0"/>
          <w:color w:val="445369"/>
          <w:sz w:val="22"/>
          <w:szCs w:val="22"/>
        </w:rPr>
        <w:t>Includes:</w:t>
      </w:r>
    </w:p>
    <w:p w14:paraId="447CEF90" w14:textId="5DF819BE" w:rsidR="00DB2764" w:rsidRDefault="7DD559B2" w:rsidP="7FB32A6F">
      <w:pPr>
        <w:pStyle w:val="Bullet"/>
        <w:numPr>
          <w:ilvl w:val="0"/>
          <w:numId w:val="0"/>
        </w:numPr>
        <w:jc w:val="both"/>
        <w:rPr>
          <w:rFonts w:asciiTheme="majorHAnsi" w:eastAsiaTheme="majorEastAsia" w:hAnsiTheme="majorHAnsi" w:cstheme="majorBidi"/>
          <w:color w:val="44546A" w:themeColor="text2"/>
          <w:lang w:eastAsia="en-AU"/>
        </w:rPr>
      </w:pP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This indicator includes </w:t>
      </w:r>
      <w:r w:rsidR="7C236B3A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all</w:t>
      </w: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</w:t>
      </w:r>
      <w:r w:rsidR="7C236B3A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expenditure marked with the</w:t>
      </w: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</w:t>
      </w:r>
      <w:bookmarkStart w:id="2" w:name="_Hlk141705409"/>
      <w:r w:rsidR="6DE343F3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Women’s Rights Organisations and Movements, and Government Institutions</w:t>
      </w:r>
      <w:bookmarkEnd w:id="2"/>
      <w:r w:rsidR="7C236B3A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</w:t>
      </w:r>
      <w:r w:rsidR="370B3187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Sector Code (15170) </w:t>
      </w:r>
      <w:r w:rsidR="7C236B3A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in Aid</w:t>
      </w:r>
      <w:r w:rsidR="678BDA3E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W</w:t>
      </w:r>
      <w:r w:rsidR="7C236B3A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orks</w:t>
      </w: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during the reporting </w:t>
      </w:r>
      <w:r w:rsidR="678BDA3E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period</w:t>
      </w: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. </w:t>
      </w:r>
    </w:p>
    <w:p w14:paraId="1F35F893" w14:textId="061DE8E9" w:rsidR="00720E72" w:rsidRPr="001D3075" w:rsidRDefault="6D881E96" w:rsidP="001D3075">
      <w:pPr>
        <w:pStyle w:val="Heading2"/>
        <w:rPr>
          <w:rStyle w:val="IntenseEmphasis"/>
          <w:b/>
          <w:bCs w:val="0"/>
          <w:sz w:val="22"/>
          <w:szCs w:val="22"/>
        </w:rPr>
      </w:pPr>
      <w:r w:rsidRPr="001D3075">
        <w:rPr>
          <w:rStyle w:val="IntenseEmphasis"/>
          <w:b/>
          <w:bCs w:val="0"/>
          <w:color w:val="445369"/>
          <w:sz w:val="22"/>
          <w:szCs w:val="22"/>
        </w:rPr>
        <w:t>Excludes:</w:t>
      </w:r>
    </w:p>
    <w:p w14:paraId="26628F1A" w14:textId="26C60519" w:rsidR="00720E72" w:rsidRPr="00720E72" w:rsidRDefault="7DD559B2" w:rsidP="7FB32A6F">
      <w:pPr>
        <w:pStyle w:val="Bullet"/>
        <w:numPr>
          <w:ilvl w:val="0"/>
          <w:numId w:val="0"/>
        </w:numPr>
        <w:jc w:val="both"/>
        <w:rPr>
          <w:rFonts w:asciiTheme="majorHAnsi" w:eastAsiaTheme="majorEastAsia" w:hAnsiTheme="majorHAnsi" w:cstheme="majorBidi"/>
          <w:color w:val="44546A" w:themeColor="text2"/>
          <w:lang w:eastAsia="en-AU"/>
        </w:rPr>
      </w:pPr>
      <w:r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This indicator </w:t>
      </w:r>
      <w:r w:rsidR="7C236B3A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is likely to underreport </w:t>
      </w:r>
      <w:r w:rsidR="4914C9B7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Australia’s total ODA channelled to </w:t>
      </w:r>
      <w:r w:rsidR="6DE343F3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women’s rights organisations and movements, and government institutions</w:t>
      </w:r>
      <w:bookmarkStart w:id="3" w:name="_Hlk141694097"/>
      <w:r w:rsidR="45EE51E3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as some </w:t>
      </w:r>
      <w:r w:rsidR="7C236B3A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investments may not use sector code 15170 despite having suitable organisations among the </w:t>
      </w:r>
      <w:r w:rsidR="4914C9B7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implementing partners</w:t>
      </w:r>
      <w:r w:rsidR="72BD5D4A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. Underreporting</w:t>
      </w:r>
      <w:r w:rsidR="6D500959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</w:t>
      </w:r>
      <w:bookmarkEnd w:id="3"/>
      <w:r w:rsidR="0C97C36F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>should be noted in public reporting</w:t>
      </w:r>
      <w:r w:rsidR="171EFBC0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 against this indicator. </w:t>
      </w:r>
      <w:r w:rsidR="6D500959" w:rsidRPr="7FB32A6F">
        <w:rPr>
          <w:rFonts w:asciiTheme="majorHAnsi" w:eastAsiaTheme="majorEastAsia" w:hAnsiTheme="majorHAnsi" w:cstheme="majorBidi"/>
          <w:color w:val="44546A" w:themeColor="text2"/>
          <w:lang w:eastAsia="en-AU"/>
        </w:rPr>
        <w:t xml:space="preserve">Supplementary data may be considered as additional evidence where necessary. </w:t>
      </w:r>
    </w:p>
    <w:p w14:paraId="6D943109" w14:textId="3B2A85B6" w:rsidR="001A3142" w:rsidRPr="001D3075" w:rsidRDefault="00C4292B" w:rsidP="001D3075">
      <w:pPr>
        <w:pStyle w:val="Heading2"/>
        <w:rPr>
          <w:i w:val="0"/>
          <w:iCs w:val="0"/>
        </w:rPr>
      </w:pPr>
      <w:r w:rsidRPr="001D3075">
        <w:rPr>
          <w:i w:val="0"/>
          <w:iCs w:val="0"/>
        </w:rPr>
        <w:t>calculation met</w:t>
      </w:r>
      <w:r w:rsidR="001A3142" w:rsidRPr="001D3075">
        <w:rPr>
          <w:i w:val="0"/>
          <w:iCs w:val="0"/>
        </w:rPr>
        <w:t>hod</w:t>
      </w:r>
    </w:p>
    <w:p w14:paraId="42A749BD" w14:textId="51D337D6" w:rsidR="00E1716E" w:rsidRDefault="2234E9A7" w:rsidP="7FB32A6F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</w:rPr>
        <w:t xml:space="preserve">Total ODA </w:t>
      </w:r>
      <w:r w:rsidR="4914C9B7" w:rsidRPr="7FB32A6F">
        <w:rPr>
          <w:rFonts w:asciiTheme="majorHAnsi" w:eastAsiaTheme="majorEastAsia" w:hAnsiTheme="majorHAnsi" w:cstheme="majorBidi"/>
        </w:rPr>
        <w:t>expenditure</w:t>
      </w:r>
      <w:r w:rsidRPr="7FB32A6F">
        <w:rPr>
          <w:rFonts w:asciiTheme="majorHAnsi" w:eastAsiaTheme="majorEastAsia" w:hAnsiTheme="majorHAnsi" w:cstheme="majorBidi"/>
        </w:rPr>
        <w:t xml:space="preserve"> during the financial year by active investments with the Sector Code 15170 – </w:t>
      </w:r>
      <w:r w:rsidR="6DE343F3" w:rsidRPr="7FB32A6F">
        <w:rPr>
          <w:rFonts w:asciiTheme="majorHAnsi" w:eastAsiaTheme="majorEastAsia" w:hAnsiTheme="majorHAnsi" w:cstheme="majorBidi"/>
        </w:rPr>
        <w:t>Women’s Rights Organisations and Movements, and Government Institutions</w:t>
      </w:r>
      <w:r w:rsidRPr="7FB32A6F">
        <w:rPr>
          <w:rFonts w:asciiTheme="majorHAnsi" w:eastAsiaTheme="majorEastAsia" w:hAnsiTheme="majorHAnsi" w:cstheme="majorBidi"/>
        </w:rPr>
        <w:t xml:space="preserve">. </w:t>
      </w:r>
    </w:p>
    <w:p w14:paraId="4A04D2DD" w14:textId="5D00BD7B" w:rsidR="00E1716E" w:rsidRDefault="6D500959" w:rsidP="7FB32A6F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</w:rPr>
        <w:t xml:space="preserve">Supplementary data </w:t>
      </w:r>
      <w:r w:rsidR="1FD89332" w:rsidRPr="7FB32A6F">
        <w:rPr>
          <w:rFonts w:asciiTheme="majorHAnsi" w:eastAsiaTheme="majorEastAsia" w:hAnsiTheme="majorHAnsi" w:cstheme="majorBidi"/>
        </w:rPr>
        <w:t xml:space="preserve">gathered in </w:t>
      </w:r>
      <w:proofErr w:type="spellStart"/>
      <w:r w:rsidR="1FD89332" w:rsidRPr="7FB32A6F">
        <w:rPr>
          <w:rFonts w:asciiTheme="majorHAnsi" w:eastAsiaTheme="majorEastAsia" w:hAnsiTheme="majorHAnsi" w:cstheme="majorBidi"/>
        </w:rPr>
        <w:t>SmartyGrants</w:t>
      </w:r>
      <w:proofErr w:type="spellEnd"/>
      <w:r w:rsidR="1FD89332" w:rsidRPr="7FB32A6F">
        <w:rPr>
          <w:rFonts w:asciiTheme="majorHAnsi" w:eastAsiaTheme="majorEastAsia" w:hAnsiTheme="majorHAnsi" w:cstheme="majorBidi"/>
        </w:rPr>
        <w:t xml:space="preserve"> </w:t>
      </w:r>
      <w:r w:rsidRPr="7FB32A6F">
        <w:rPr>
          <w:rFonts w:asciiTheme="majorHAnsi" w:eastAsiaTheme="majorEastAsia" w:hAnsiTheme="majorHAnsi" w:cstheme="majorBidi"/>
        </w:rPr>
        <w:t>includes:</w:t>
      </w:r>
    </w:p>
    <w:p w14:paraId="3FA0B531" w14:textId="6C8BAF5E" w:rsidR="00E112ED" w:rsidRDefault="63AAC031" w:rsidP="7FB32A6F">
      <w:pPr>
        <w:pStyle w:val="BodyText"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</w:rPr>
        <w:t>Partner</w:t>
      </w:r>
      <w:r w:rsidR="19141D12" w:rsidRPr="7FB32A6F">
        <w:rPr>
          <w:rFonts w:asciiTheme="majorHAnsi" w:eastAsiaTheme="majorEastAsia" w:hAnsiTheme="majorHAnsi" w:cstheme="majorBidi"/>
        </w:rPr>
        <w:t xml:space="preserve"> countries/regions</w:t>
      </w:r>
      <w:r w:rsidR="0BB98E96" w:rsidRPr="7FB32A6F">
        <w:rPr>
          <w:rFonts w:asciiTheme="majorHAnsi" w:eastAsiaTheme="majorEastAsia" w:hAnsiTheme="majorHAnsi" w:cstheme="majorBidi"/>
        </w:rPr>
        <w:t xml:space="preserve"> where </w:t>
      </w:r>
      <w:r w:rsidR="1DA86403" w:rsidRPr="7FB32A6F">
        <w:rPr>
          <w:rFonts w:asciiTheme="majorHAnsi" w:eastAsiaTheme="majorEastAsia" w:hAnsiTheme="majorHAnsi" w:cstheme="majorBidi"/>
          <w:lang w:val="en-AU" w:eastAsia="en-AU"/>
        </w:rPr>
        <w:t>women’s rights organisations and movements, and government institutions have been funded.</w:t>
      </w:r>
    </w:p>
    <w:p w14:paraId="3D300E29" w14:textId="246EF76F" w:rsidR="00E1716E" w:rsidRDefault="755E3796" w:rsidP="7FB32A6F">
      <w:pPr>
        <w:pStyle w:val="BodyText"/>
        <w:numPr>
          <w:ilvl w:val="0"/>
          <w:numId w:val="1"/>
        </w:numPr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</w:rPr>
        <w:t>N</w:t>
      </w:r>
      <w:r w:rsidR="6D500959" w:rsidRPr="7FB32A6F">
        <w:rPr>
          <w:rFonts w:asciiTheme="majorHAnsi" w:eastAsiaTheme="majorEastAsia" w:hAnsiTheme="majorHAnsi" w:cstheme="majorBidi"/>
        </w:rPr>
        <w:t xml:space="preserve">umber of </w:t>
      </w:r>
      <w:r w:rsidR="678BDA3E" w:rsidRPr="7FB32A6F">
        <w:rPr>
          <w:rFonts w:asciiTheme="majorHAnsi" w:eastAsiaTheme="majorEastAsia" w:hAnsiTheme="majorHAnsi" w:cstheme="majorBidi"/>
        </w:rPr>
        <w:t>w</w:t>
      </w:r>
      <w:r w:rsidR="6DE343F3" w:rsidRPr="7FB32A6F">
        <w:rPr>
          <w:rFonts w:asciiTheme="majorHAnsi" w:eastAsiaTheme="majorEastAsia" w:hAnsiTheme="majorHAnsi" w:cstheme="majorBidi"/>
        </w:rPr>
        <w:t xml:space="preserve">omen’s </w:t>
      </w:r>
      <w:r w:rsidR="678BDA3E" w:rsidRPr="7FB32A6F">
        <w:rPr>
          <w:rFonts w:asciiTheme="majorHAnsi" w:eastAsiaTheme="majorEastAsia" w:hAnsiTheme="majorHAnsi" w:cstheme="majorBidi"/>
        </w:rPr>
        <w:t>r</w:t>
      </w:r>
      <w:r w:rsidR="6DE343F3" w:rsidRPr="7FB32A6F">
        <w:rPr>
          <w:rFonts w:asciiTheme="majorHAnsi" w:eastAsiaTheme="majorEastAsia" w:hAnsiTheme="majorHAnsi" w:cstheme="majorBidi"/>
        </w:rPr>
        <w:t xml:space="preserve">ights </w:t>
      </w:r>
      <w:r w:rsidR="678BDA3E" w:rsidRPr="7FB32A6F">
        <w:rPr>
          <w:rFonts w:asciiTheme="majorHAnsi" w:eastAsiaTheme="majorEastAsia" w:hAnsiTheme="majorHAnsi" w:cstheme="majorBidi"/>
        </w:rPr>
        <w:t>o</w:t>
      </w:r>
      <w:r w:rsidR="6DE343F3" w:rsidRPr="7FB32A6F">
        <w:rPr>
          <w:rFonts w:asciiTheme="majorHAnsi" w:eastAsiaTheme="majorEastAsia" w:hAnsiTheme="majorHAnsi" w:cstheme="majorBidi"/>
        </w:rPr>
        <w:t xml:space="preserve">rganisations and </w:t>
      </w:r>
      <w:r w:rsidR="678BDA3E" w:rsidRPr="7FB32A6F">
        <w:rPr>
          <w:rFonts w:asciiTheme="majorHAnsi" w:eastAsiaTheme="majorEastAsia" w:hAnsiTheme="majorHAnsi" w:cstheme="majorBidi"/>
        </w:rPr>
        <w:t>m</w:t>
      </w:r>
      <w:r w:rsidR="6DE343F3" w:rsidRPr="7FB32A6F">
        <w:rPr>
          <w:rFonts w:asciiTheme="majorHAnsi" w:eastAsiaTheme="majorEastAsia" w:hAnsiTheme="majorHAnsi" w:cstheme="majorBidi"/>
        </w:rPr>
        <w:t xml:space="preserve">ovements, and </w:t>
      </w:r>
      <w:r w:rsidR="678BDA3E" w:rsidRPr="7FB32A6F">
        <w:rPr>
          <w:rFonts w:asciiTheme="majorHAnsi" w:eastAsiaTheme="majorEastAsia" w:hAnsiTheme="majorHAnsi" w:cstheme="majorBidi"/>
        </w:rPr>
        <w:t>g</w:t>
      </w:r>
      <w:r w:rsidR="6DE343F3" w:rsidRPr="7FB32A6F">
        <w:rPr>
          <w:rFonts w:asciiTheme="majorHAnsi" w:eastAsiaTheme="majorEastAsia" w:hAnsiTheme="majorHAnsi" w:cstheme="majorBidi"/>
        </w:rPr>
        <w:t>overnment</w:t>
      </w:r>
      <w:r w:rsidR="678BDA3E" w:rsidRPr="7FB32A6F">
        <w:rPr>
          <w:rFonts w:asciiTheme="majorHAnsi" w:eastAsiaTheme="majorEastAsia" w:hAnsiTheme="majorHAnsi" w:cstheme="majorBidi"/>
        </w:rPr>
        <w:t xml:space="preserve"> i</w:t>
      </w:r>
      <w:r w:rsidR="6DE343F3" w:rsidRPr="7FB32A6F">
        <w:rPr>
          <w:rFonts w:asciiTheme="majorHAnsi" w:eastAsiaTheme="majorEastAsia" w:hAnsiTheme="majorHAnsi" w:cstheme="majorBidi"/>
        </w:rPr>
        <w:t xml:space="preserve">nstitutions </w:t>
      </w:r>
      <w:r w:rsidR="6D500959" w:rsidRPr="7FB32A6F">
        <w:rPr>
          <w:rFonts w:asciiTheme="majorHAnsi" w:eastAsiaTheme="majorEastAsia" w:hAnsiTheme="majorHAnsi" w:cstheme="majorBidi"/>
        </w:rPr>
        <w:t>receiving funding</w:t>
      </w:r>
      <w:r w:rsidRPr="7FB32A6F">
        <w:rPr>
          <w:rFonts w:asciiTheme="majorHAnsi" w:eastAsiaTheme="majorEastAsia" w:hAnsiTheme="majorHAnsi" w:cstheme="majorBidi"/>
        </w:rPr>
        <w:t>.</w:t>
      </w:r>
    </w:p>
    <w:p w14:paraId="0847C6A4" w14:textId="6B4DD846" w:rsidR="00D253BC" w:rsidRDefault="66AB8CCA" w:rsidP="7FB32A6F">
      <w:pPr>
        <w:pStyle w:val="BodyText"/>
        <w:numPr>
          <w:ilvl w:val="0"/>
          <w:numId w:val="1"/>
        </w:numPr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</w:rPr>
        <w:t>Case studies.</w:t>
      </w:r>
    </w:p>
    <w:p w14:paraId="5E03DAEC" w14:textId="531157A6" w:rsidR="001A3142" w:rsidRPr="001D3075" w:rsidRDefault="001A3142" w:rsidP="001D3075">
      <w:pPr>
        <w:pStyle w:val="Heading2"/>
        <w:rPr>
          <w:i w:val="0"/>
          <w:iCs w:val="0"/>
        </w:rPr>
      </w:pPr>
      <w:r w:rsidRPr="001D3075">
        <w:rPr>
          <w:i w:val="0"/>
          <w:iCs w:val="0"/>
        </w:rPr>
        <w:t>data source/s</w:t>
      </w:r>
    </w:p>
    <w:p w14:paraId="3786DCD4" w14:textId="3D6D240E" w:rsidR="001A3142" w:rsidRDefault="2234E9A7" w:rsidP="7FB32A6F">
      <w:pPr>
        <w:pStyle w:val="BodyText"/>
        <w:jc w:val="both"/>
        <w:rPr>
          <w:rFonts w:asciiTheme="majorHAnsi" w:eastAsiaTheme="majorEastAsia" w:hAnsiTheme="majorHAnsi" w:cstheme="majorBidi"/>
        </w:rPr>
      </w:pPr>
      <w:bookmarkStart w:id="4" w:name="_Hlk141693798"/>
      <w:r w:rsidRPr="7FB32A6F">
        <w:rPr>
          <w:rFonts w:asciiTheme="majorHAnsi" w:eastAsiaTheme="majorEastAsia" w:hAnsiTheme="majorHAnsi" w:cstheme="majorBidi"/>
        </w:rPr>
        <w:t>Australia’s Official Development Assistance</w:t>
      </w:r>
      <w:r w:rsidR="18C34F00" w:rsidRPr="7FB32A6F">
        <w:rPr>
          <w:rFonts w:asciiTheme="majorHAnsi" w:eastAsiaTheme="majorEastAsia" w:hAnsiTheme="majorHAnsi" w:cstheme="majorBidi"/>
        </w:rPr>
        <w:t>:</w:t>
      </w:r>
      <w:r w:rsidRPr="7FB32A6F">
        <w:rPr>
          <w:rFonts w:asciiTheme="majorHAnsi" w:eastAsiaTheme="majorEastAsia" w:hAnsiTheme="majorHAnsi" w:cstheme="majorBidi"/>
        </w:rPr>
        <w:t xml:space="preserve"> Statistical</w:t>
      </w:r>
      <w:r w:rsidR="4914C9B7" w:rsidRPr="7FB32A6F">
        <w:rPr>
          <w:rFonts w:asciiTheme="majorHAnsi" w:eastAsiaTheme="majorEastAsia" w:hAnsiTheme="majorHAnsi" w:cstheme="majorBidi"/>
        </w:rPr>
        <w:t xml:space="preserve"> </w:t>
      </w:r>
      <w:r w:rsidRPr="7FB32A6F">
        <w:rPr>
          <w:rFonts w:asciiTheme="majorHAnsi" w:eastAsiaTheme="majorEastAsia" w:hAnsiTheme="majorHAnsi" w:cstheme="majorBidi"/>
        </w:rPr>
        <w:t xml:space="preserve">Summary </w:t>
      </w:r>
      <w:bookmarkEnd w:id="4"/>
      <w:r w:rsidR="4914C9B7" w:rsidRPr="7FB32A6F">
        <w:rPr>
          <w:rFonts w:asciiTheme="majorHAnsi" w:eastAsiaTheme="majorEastAsia" w:hAnsiTheme="majorHAnsi" w:cstheme="majorBidi"/>
        </w:rPr>
        <w:t>(</w:t>
      </w:r>
      <w:r w:rsidRPr="7FB32A6F">
        <w:rPr>
          <w:rFonts w:asciiTheme="majorHAnsi" w:eastAsiaTheme="majorEastAsia" w:hAnsiTheme="majorHAnsi" w:cstheme="majorBidi"/>
        </w:rPr>
        <w:t>Green Book</w:t>
      </w:r>
      <w:r w:rsidR="4914C9B7" w:rsidRPr="7FB32A6F">
        <w:rPr>
          <w:rFonts w:asciiTheme="majorHAnsi" w:eastAsiaTheme="majorEastAsia" w:hAnsiTheme="majorHAnsi" w:cstheme="majorBidi"/>
        </w:rPr>
        <w:t xml:space="preserve">). </w:t>
      </w:r>
    </w:p>
    <w:p w14:paraId="10DD1695" w14:textId="5017167E" w:rsidR="00E1716E" w:rsidRPr="00720E72" w:rsidRDefault="1FD89332" w:rsidP="7FB32A6F">
      <w:pPr>
        <w:pStyle w:val="BodyText"/>
        <w:jc w:val="both"/>
        <w:rPr>
          <w:rFonts w:asciiTheme="majorHAnsi" w:eastAsiaTheme="majorEastAsia" w:hAnsiTheme="majorHAnsi" w:cstheme="majorBidi"/>
        </w:rPr>
      </w:pPr>
      <w:proofErr w:type="spellStart"/>
      <w:r w:rsidRPr="7FB32A6F">
        <w:rPr>
          <w:rFonts w:asciiTheme="majorHAnsi" w:eastAsiaTheme="majorEastAsia" w:hAnsiTheme="majorHAnsi" w:cstheme="majorBidi"/>
        </w:rPr>
        <w:t>SmartyGrants</w:t>
      </w:r>
      <w:proofErr w:type="spellEnd"/>
      <w:r w:rsidRPr="7FB32A6F">
        <w:rPr>
          <w:rFonts w:asciiTheme="majorHAnsi" w:eastAsiaTheme="majorEastAsia" w:hAnsiTheme="majorHAnsi" w:cstheme="majorBidi"/>
        </w:rPr>
        <w:t xml:space="preserve"> </w:t>
      </w:r>
      <w:r w:rsidR="6D500959" w:rsidRPr="7FB32A6F">
        <w:rPr>
          <w:rFonts w:asciiTheme="majorHAnsi" w:eastAsiaTheme="majorEastAsia" w:hAnsiTheme="majorHAnsi" w:cstheme="majorBidi"/>
        </w:rPr>
        <w:t xml:space="preserve">Tier 2 indicator </w:t>
      </w:r>
      <w:r w:rsidRPr="7FB32A6F">
        <w:rPr>
          <w:rFonts w:asciiTheme="majorHAnsi" w:eastAsiaTheme="majorEastAsia" w:hAnsiTheme="majorHAnsi" w:cstheme="majorBidi"/>
        </w:rPr>
        <w:t>survey</w:t>
      </w:r>
      <w:r w:rsidR="66AB8CCA" w:rsidRPr="7FB32A6F">
        <w:rPr>
          <w:rFonts w:asciiTheme="majorHAnsi" w:eastAsiaTheme="majorEastAsia" w:hAnsiTheme="majorHAnsi" w:cstheme="majorBidi"/>
        </w:rPr>
        <w:t>.</w:t>
      </w:r>
    </w:p>
    <w:p w14:paraId="10F7B0B6" w14:textId="7C41C686" w:rsidR="001A3142" w:rsidRPr="001D3075" w:rsidRDefault="001A3142" w:rsidP="001D3075">
      <w:pPr>
        <w:pStyle w:val="Heading2"/>
        <w:rPr>
          <w:i w:val="0"/>
          <w:iCs w:val="0"/>
        </w:rPr>
      </w:pPr>
      <w:r w:rsidRPr="001D3075">
        <w:rPr>
          <w:i w:val="0"/>
          <w:iCs w:val="0"/>
        </w:rPr>
        <w:t>disaggregation</w:t>
      </w:r>
    </w:p>
    <w:p w14:paraId="67C99DDB" w14:textId="1BAE45D1" w:rsidR="001A3142" w:rsidRPr="001A3142" w:rsidRDefault="2832978F" w:rsidP="7FB32A6F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</w:rPr>
        <w:t>Organisations receiving funding are d</w:t>
      </w:r>
      <w:r w:rsidR="233E6F0B" w:rsidRPr="7FB32A6F">
        <w:rPr>
          <w:rFonts w:asciiTheme="majorHAnsi" w:eastAsiaTheme="majorEastAsia" w:hAnsiTheme="majorHAnsi" w:cstheme="majorBidi"/>
        </w:rPr>
        <w:t>isaggregat</w:t>
      </w:r>
      <w:r w:rsidRPr="7FB32A6F">
        <w:rPr>
          <w:rFonts w:asciiTheme="majorHAnsi" w:eastAsiaTheme="majorEastAsia" w:hAnsiTheme="majorHAnsi" w:cstheme="majorBidi"/>
        </w:rPr>
        <w:t>ed by type</w:t>
      </w:r>
      <w:r w:rsidR="233E6F0B" w:rsidRPr="7FB32A6F">
        <w:rPr>
          <w:rFonts w:asciiTheme="majorHAnsi" w:eastAsiaTheme="majorEastAsia" w:hAnsiTheme="majorHAnsi" w:cstheme="majorBidi"/>
        </w:rPr>
        <w:t xml:space="preserve">. </w:t>
      </w:r>
    </w:p>
    <w:p w14:paraId="7C0BE586" w14:textId="06D1F602" w:rsidR="001A3142" w:rsidRPr="001D3075" w:rsidRDefault="001A3142" w:rsidP="001D3075">
      <w:pPr>
        <w:pStyle w:val="Heading2"/>
        <w:rPr>
          <w:i w:val="0"/>
          <w:iCs w:val="0"/>
        </w:rPr>
      </w:pPr>
      <w:r w:rsidRPr="001D3075">
        <w:rPr>
          <w:i w:val="0"/>
          <w:iCs w:val="0"/>
        </w:rPr>
        <w:lastRenderedPageBreak/>
        <w:t>Worked example</w:t>
      </w:r>
    </w:p>
    <w:p w14:paraId="19814A18" w14:textId="77FDAB8B" w:rsidR="00240DAD" w:rsidRDefault="18C34F00" w:rsidP="7FB32A6F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</w:rPr>
        <w:t>In 2021-22, Australia provided $34,507</w:t>
      </w:r>
      <w:r w:rsidR="4F471BE7" w:rsidRPr="7FB32A6F">
        <w:rPr>
          <w:rFonts w:asciiTheme="majorHAnsi" w:eastAsiaTheme="majorEastAsia" w:hAnsiTheme="majorHAnsi" w:cstheme="majorBidi"/>
        </w:rPr>
        <w:t>,000</w:t>
      </w:r>
      <w:r w:rsidR="00B0156A" w:rsidRPr="7FB32A6F">
        <w:rPr>
          <w:rStyle w:val="FootnoteReference"/>
          <w:rFonts w:asciiTheme="majorHAnsi" w:eastAsiaTheme="majorEastAsia" w:hAnsiTheme="majorHAnsi" w:cstheme="majorBidi"/>
        </w:rPr>
        <w:footnoteReference w:id="2"/>
      </w:r>
      <w:r w:rsidRPr="7FB32A6F">
        <w:rPr>
          <w:rFonts w:asciiTheme="majorHAnsi" w:eastAsiaTheme="majorEastAsia" w:hAnsiTheme="majorHAnsi" w:cstheme="majorBidi"/>
        </w:rPr>
        <w:t xml:space="preserve"> in Official Development Assistance to </w:t>
      </w:r>
      <w:r w:rsidR="6DE343F3" w:rsidRPr="7FB32A6F">
        <w:rPr>
          <w:rFonts w:asciiTheme="majorHAnsi" w:eastAsiaTheme="majorEastAsia" w:hAnsiTheme="majorHAnsi" w:cstheme="majorBidi"/>
        </w:rPr>
        <w:t>Women’s Rights Organisations and Movements, and Government Institutions</w:t>
      </w:r>
      <w:r w:rsidR="6DE343F3" w:rsidRPr="7FB32A6F" w:rsidDel="00E63CAF">
        <w:rPr>
          <w:rFonts w:asciiTheme="majorHAnsi" w:eastAsiaTheme="majorEastAsia" w:hAnsiTheme="majorHAnsi" w:cstheme="majorBidi"/>
        </w:rPr>
        <w:t xml:space="preserve"> </w:t>
      </w:r>
      <w:r w:rsidR="309E3D61" w:rsidRPr="7FB32A6F">
        <w:rPr>
          <w:rFonts w:asciiTheme="majorHAnsi" w:eastAsiaTheme="majorEastAsia" w:hAnsiTheme="majorHAnsi" w:cstheme="majorBidi"/>
        </w:rPr>
        <w:t xml:space="preserve">(a). </w:t>
      </w:r>
    </w:p>
    <w:p w14:paraId="01D7AABE" w14:textId="5DED8A28" w:rsidR="00240DAD" w:rsidRPr="00B0156A" w:rsidRDefault="309E3D61" w:rsidP="7FB32A6F">
      <w:pPr>
        <w:pStyle w:val="BodyText"/>
        <w:numPr>
          <w:ilvl w:val="0"/>
          <w:numId w:val="7"/>
        </w:numPr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  <w:lang w:val="en-AU" w:eastAsia="en-AU"/>
        </w:rPr>
        <w:t>This indicator includes expenditure marked with the OECD DAC sector code 15170.</w:t>
      </w:r>
      <w:r w:rsidR="370B3187" w:rsidRPr="7FB32A6F">
        <w:rPr>
          <w:rFonts w:asciiTheme="majorHAnsi" w:eastAsiaTheme="majorEastAsia" w:hAnsiTheme="majorHAnsi" w:cstheme="majorBidi"/>
          <w:lang w:val="en-AU" w:eastAsia="en-AU"/>
        </w:rPr>
        <w:t xml:space="preserve"> </w:t>
      </w:r>
      <w:r w:rsidRPr="7FB32A6F">
        <w:rPr>
          <w:rFonts w:asciiTheme="majorHAnsi" w:eastAsiaTheme="majorEastAsia" w:hAnsiTheme="majorHAnsi" w:cstheme="majorBidi"/>
          <w:lang w:val="en-AU" w:eastAsia="en-AU"/>
        </w:rPr>
        <w:t xml:space="preserve">Investments that mainstream gender equality objectives may not use sector code 15170 despite having </w:t>
      </w:r>
      <w:r w:rsidR="370B3187" w:rsidRPr="7FB32A6F">
        <w:rPr>
          <w:rFonts w:asciiTheme="majorHAnsi" w:eastAsiaTheme="majorEastAsia" w:hAnsiTheme="majorHAnsi" w:cstheme="majorBidi"/>
          <w:lang w:val="en-AU" w:eastAsia="en-AU"/>
        </w:rPr>
        <w:t>relevant</w:t>
      </w:r>
      <w:r w:rsidRPr="7FB32A6F">
        <w:rPr>
          <w:rFonts w:asciiTheme="majorHAnsi" w:eastAsiaTheme="majorEastAsia" w:hAnsiTheme="majorHAnsi" w:cstheme="majorBidi"/>
          <w:lang w:val="en-AU" w:eastAsia="en-AU"/>
        </w:rPr>
        <w:t xml:space="preserve"> organisations among the implementing partners.</w:t>
      </w:r>
    </w:p>
    <w:p w14:paraId="7CA6E15C" w14:textId="26E511E6" w:rsidR="000B3F5B" w:rsidRPr="004C4B70" w:rsidRDefault="7624136F" w:rsidP="7FB32A6F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7FB32A6F">
        <w:rPr>
          <w:rFonts w:asciiTheme="majorHAnsi" w:eastAsiaTheme="majorEastAsia" w:hAnsiTheme="majorHAnsi" w:cstheme="majorBidi"/>
          <w:b/>
          <w:bCs/>
        </w:rPr>
        <w:t>Case study:</w:t>
      </w:r>
      <w:r w:rsidRPr="7FB32A6F">
        <w:rPr>
          <w:rFonts w:asciiTheme="majorHAnsi" w:eastAsiaTheme="majorEastAsia" w:hAnsiTheme="majorHAnsi" w:cstheme="majorBidi"/>
        </w:rPr>
        <w:t xml:space="preserve"> </w:t>
      </w:r>
      <w:r w:rsidR="2BAC18D6" w:rsidRPr="7FB32A6F">
        <w:rPr>
          <w:rFonts w:asciiTheme="majorHAnsi" w:eastAsiaTheme="majorEastAsia" w:hAnsiTheme="majorHAnsi" w:cstheme="majorBidi"/>
        </w:rPr>
        <w:t xml:space="preserve">Under the Amplify – Invest– Reach (A-I-R) partnership, </w:t>
      </w:r>
      <w:r w:rsidR="370B3187" w:rsidRPr="7FB32A6F">
        <w:rPr>
          <w:rFonts w:asciiTheme="majorHAnsi" w:eastAsiaTheme="majorEastAsia" w:hAnsiTheme="majorHAnsi" w:cstheme="majorBidi"/>
        </w:rPr>
        <w:t>DFAT</w:t>
      </w:r>
      <w:r w:rsidR="2BAC18D6" w:rsidRPr="7FB32A6F">
        <w:rPr>
          <w:rFonts w:asciiTheme="majorHAnsi" w:eastAsiaTheme="majorEastAsia" w:hAnsiTheme="majorHAnsi" w:cstheme="majorBidi"/>
        </w:rPr>
        <w:t xml:space="preserve"> supports collaboration among four women’s funds - </w:t>
      </w:r>
      <w:r w:rsidR="370B3187" w:rsidRPr="7FB32A6F">
        <w:rPr>
          <w:rFonts w:asciiTheme="majorHAnsi" w:eastAsiaTheme="majorEastAsia" w:hAnsiTheme="majorHAnsi" w:cstheme="majorBidi"/>
        </w:rPr>
        <w:t>Women’s</w:t>
      </w:r>
      <w:r w:rsidR="168859E2" w:rsidRPr="7FB32A6F">
        <w:rPr>
          <w:rFonts w:asciiTheme="majorHAnsi" w:eastAsiaTheme="majorEastAsia" w:hAnsiTheme="majorHAnsi" w:cstheme="majorBidi"/>
        </w:rPr>
        <w:t xml:space="preserve"> </w:t>
      </w:r>
      <w:r w:rsidR="370B3187" w:rsidRPr="7FB32A6F">
        <w:rPr>
          <w:rFonts w:asciiTheme="majorHAnsi" w:eastAsiaTheme="majorEastAsia" w:hAnsiTheme="majorHAnsi" w:cstheme="majorBidi"/>
        </w:rPr>
        <w:t xml:space="preserve">Fund Asia, Urgent Action Fund for Women’s Human Rights – Asia and Pacific, Women’s Fund </w:t>
      </w:r>
      <w:proofErr w:type="gramStart"/>
      <w:r w:rsidR="370B3187" w:rsidRPr="7FB32A6F">
        <w:rPr>
          <w:rFonts w:asciiTheme="majorHAnsi" w:eastAsiaTheme="majorEastAsia" w:hAnsiTheme="majorHAnsi" w:cstheme="majorBidi"/>
        </w:rPr>
        <w:t>Fiji</w:t>
      </w:r>
      <w:proofErr w:type="gramEnd"/>
      <w:r w:rsidR="370B3187" w:rsidRPr="7FB32A6F">
        <w:rPr>
          <w:rFonts w:asciiTheme="majorHAnsi" w:eastAsiaTheme="majorEastAsia" w:hAnsiTheme="majorHAnsi" w:cstheme="majorBidi"/>
        </w:rPr>
        <w:t xml:space="preserve"> and the Pacific Feminist Fund.</w:t>
      </w:r>
      <w:r w:rsidR="2BAC18D6" w:rsidRPr="7FB32A6F">
        <w:rPr>
          <w:rFonts w:asciiTheme="majorHAnsi" w:eastAsiaTheme="majorEastAsia" w:hAnsiTheme="majorHAnsi" w:cstheme="majorBidi"/>
        </w:rPr>
        <w:t xml:space="preserve"> A-I-R is a catalytic investment in the critical work of women’s funds to support human rights defenders and advocacy for the rights of women, girls and other groups</w:t>
      </w:r>
      <w:r w:rsidR="168859E2" w:rsidRPr="7FB32A6F">
        <w:rPr>
          <w:rFonts w:asciiTheme="majorHAnsi" w:eastAsiaTheme="majorEastAsia" w:hAnsiTheme="majorHAnsi" w:cstheme="majorBidi"/>
        </w:rPr>
        <w:t xml:space="preserve"> experiencing marginalisation</w:t>
      </w:r>
      <w:r w:rsidR="2BAC18D6" w:rsidRPr="7FB32A6F">
        <w:rPr>
          <w:rFonts w:asciiTheme="majorHAnsi" w:eastAsiaTheme="majorEastAsia" w:hAnsiTheme="majorHAnsi" w:cstheme="majorBidi"/>
        </w:rPr>
        <w:t xml:space="preserve"> in countries across the Indo-Pacific region.</w:t>
      </w:r>
    </w:p>
    <w:sectPr w:rsidR="000B3F5B" w:rsidRPr="004C4B7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1B0E" w14:textId="77777777" w:rsidR="007A1D88" w:rsidRDefault="007A1D88" w:rsidP="001A3142">
      <w:r>
        <w:separator/>
      </w:r>
    </w:p>
  </w:endnote>
  <w:endnote w:type="continuationSeparator" w:id="0">
    <w:p w14:paraId="6EE101A8" w14:textId="77777777" w:rsidR="007A1D88" w:rsidRDefault="007A1D88" w:rsidP="001A3142">
      <w:r>
        <w:continuationSeparator/>
      </w:r>
    </w:p>
  </w:endnote>
  <w:endnote w:type="continuationNotice" w:id="1">
    <w:p w14:paraId="0B40119F" w14:textId="77777777" w:rsidR="007A1D88" w:rsidRDefault="007A1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F86E59" w14:paraId="75B964D0" w14:textId="77777777" w:rsidTr="65F86E59">
      <w:trPr>
        <w:trHeight w:val="300"/>
      </w:trPr>
      <w:tc>
        <w:tcPr>
          <w:tcW w:w="3005" w:type="dxa"/>
        </w:tcPr>
        <w:p w14:paraId="277F3373" w14:textId="18035496" w:rsidR="65F86E59" w:rsidRDefault="65F86E59" w:rsidP="65F86E59">
          <w:pPr>
            <w:pStyle w:val="Header"/>
            <w:ind w:left="-115"/>
          </w:pPr>
        </w:p>
      </w:tc>
      <w:tc>
        <w:tcPr>
          <w:tcW w:w="3005" w:type="dxa"/>
        </w:tcPr>
        <w:p w14:paraId="68B8D45C" w14:textId="2A747338" w:rsidR="65F86E59" w:rsidRDefault="65F86E59" w:rsidP="65F86E59">
          <w:pPr>
            <w:pStyle w:val="Header"/>
            <w:jc w:val="center"/>
          </w:pPr>
        </w:p>
      </w:tc>
      <w:tc>
        <w:tcPr>
          <w:tcW w:w="3005" w:type="dxa"/>
        </w:tcPr>
        <w:p w14:paraId="781DABBF" w14:textId="641BA423" w:rsidR="65F86E59" w:rsidRDefault="65F86E59" w:rsidP="65F86E59">
          <w:pPr>
            <w:pStyle w:val="Header"/>
            <w:ind w:right="-115"/>
            <w:jc w:val="right"/>
          </w:pPr>
        </w:p>
      </w:tc>
    </w:tr>
  </w:tbl>
  <w:p w14:paraId="481EC9E6" w14:textId="79AF1CDD" w:rsidR="65F86E59" w:rsidRDefault="65F86E59" w:rsidP="65F86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DA49" w14:textId="77777777" w:rsidR="007A1D88" w:rsidRDefault="007A1D88" w:rsidP="001A3142">
      <w:r>
        <w:separator/>
      </w:r>
    </w:p>
  </w:footnote>
  <w:footnote w:type="continuationSeparator" w:id="0">
    <w:p w14:paraId="0D898C9A" w14:textId="77777777" w:rsidR="007A1D88" w:rsidRDefault="007A1D88" w:rsidP="001A3142">
      <w:r>
        <w:continuationSeparator/>
      </w:r>
    </w:p>
  </w:footnote>
  <w:footnote w:type="continuationNotice" w:id="1">
    <w:p w14:paraId="68D02E98" w14:textId="77777777" w:rsidR="007A1D88" w:rsidRDefault="007A1D88"/>
  </w:footnote>
  <w:footnote w:id="2">
    <w:p w14:paraId="00F86FD3" w14:textId="77777777" w:rsidR="00583273" w:rsidRPr="00720E72" w:rsidRDefault="00B0156A" w:rsidP="00583273">
      <w:pPr>
        <w:pStyle w:val="BodyText"/>
        <w:rPr>
          <w:rFonts w:cstheme="minorHAnsi"/>
          <w:color w:val="auto"/>
        </w:rPr>
      </w:pPr>
      <w:r>
        <w:rPr>
          <w:rStyle w:val="FootnoteReference"/>
        </w:rPr>
        <w:footnoteRef/>
      </w:r>
      <w:r>
        <w:t xml:space="preserve"> </w:t>
      </w:r>
      <w:r w:rsidRPr="00583273">
        <w:rPr>
          <w:rFonts w:cstheme="minorHAnsi"/>
          <w:color w:val="auto"/>
          <w:sz w:val="18"/>
          <w:szCs w:val="18"/>
        </w:rPr>
        <w:t>Australia’s Official Development Assistance</w:t>
      </w:r>
      <w:r w:rsidRPr="00583273">
        <w:rPr>
          <w:rFonts w:cstheme="minorHAnsi"/>
          <w:sz w:val="18"/>
          <w:szCs w:val="18"/>
        </w:rPr>
        <w:t>:</w:t>
      </w:r>
      <w:r w:rsidRPr="00583273">
        <w:rPr>
          <w:rFonts w:cstheme="minorHAnsi"/>
          <w:color w:val="auto"/>
          <w:sz w:val="18"/>
          <w:szCs w:val="18"/>
        </w:rPr>
        <w:t xml:space="preserve"> Statistical Summary</w:t>
      </w:r>
      <w:r w:rsidRPr="00583273">
        <w:rPr>
          <w:rFonts w:cstheme="minorHAnsi"/>
          <w:sz w:val="18"/>
          <w:szCs w:val="18"/>
        </w:rPr>
        <w:t>,</w:t>
      </w:r>
      <w:r w:rsidRPr="00583273">
        <w:rPr>
          <w:rFonts w:cstheme="minorHAnsi"/>
          <w:color w:val="auto"/>
          <w:sz w:val="18"/>
          <w:szCs w:val="18"/>
        </w:rPr>
        <w:t xml:space="preserve"> 2021-22 (Table 19, page 41)</w:t>
      </w:r>
      <w:r w:rsidR="00583273" w:rsidRPr="00583273">
        <w:rPr>
          <w:rFonts w:cstheme="minorHAnsi"/>
          <w:color w:val="auto"/>
          <w:sz w:val="18"/>
          <w:szCs w:val="18"/>
        </w:rPr>
        <w:t xml:space="preserve">. </w:t>
      </w:r>
      <w:hyperlink r:id="rId1" w:history="1">
        <w:r w:rsidR="00583273" w:rsidRPr="00583273">
          <w:rPr>
            <w:rStyle w:val="Hyperlink"/>
            <w:sz w:val="18"/>
            <w:szCs w:val="18"/>
          </w:rPr>
          <w:t>Australian Official Development Assistance Statistical Summary 2021-22 (dfat.gov.au)</w:t>
        </w:r>
      </w:hyperlink>
    </w:p>
    <w:p w14:paraId="36B36D61" w14:textId="55E69F22" w:rsidR="00B0156A" w:rsidRDefault="00B0156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610B" w14:textId="274EDF9D" w:rsidR="65F86E59" w:rsidRDefault="65F86E59" w:rsidP="65F86E59">
    <w:pPr>
      <w:pStyle w:val="Header"/>
    </w:pPr>
    <w:r>
      <w:rPr>
        <w:noProof/>
      </w:rPr>
      <w:drawing>
        <wp:inline distT="0" distB="0" distL="0" distR="0" wp14:anchorId="60BBD4D6" wp14:editId="74EB57D4">
          <wp:extent cx="3581400" cy="619125"/>
          <wp:effectExtent l="0" t="0" r="0" b="0"/>
          <wp:docPr id="1022100631" name="Picture 1022100631" descr="Australian Government - 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100631" name="Picture 1022100631" descr="Australian Government - Department of Foreign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175"/>
    <w:multiLevelType w:val="multilevel"/>
    <w:tmpl w:val="5BE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0750A"/>
    <w:multiLevelType w:val="hybridMultilevel"/>
    <w:tmpl w:val="B8448A9E"/>
    <w:lvl w:ilvl="0" w:tplc="6EF8B0D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2228"/>
    <w:multiLevelType w:val="hybridMultilevel"/>
    <w:tmpl w:val="D1A89546"/>
    <w:lvl w:ilvl="0" w:tplc="3EEA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D45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0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61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87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2A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09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6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C6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25"/>
    <w:multiLevelType w:val="hybridMultilevel"/>
    <w:tmpl w:val="04F45FEC"/>
    <w:lvl w:ilvl="0" w:tplc="9386F10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09A5"/>
    <w:multiLevelType w:val="hybridMultilevel"/>
    <w:tmpl w:val="731A17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5307A"/>
    <w:multiLevelType w:val="hybridMultilevel"/>
    <w:tmpl w:val="D592B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B024B"/>
    <w:multiLevelType w:val="hybridMultilevel"/>
    <w:tmpl w:val="8F9019D0"/>
    <w:lvl w:ilvl="0" w:tplc="CFFA615C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528B"/>
    <w:multiLevelType w:val="hybridMultilevel"/>
    <w:tmpl w:val="A4421A98"/>
    <w:lvl w:ilvl="0" w:tplc="7B640FF6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741918">
    <w:abstractNumId w:val="2"/>
  </w:num>
  <w:num w:numId="2" w16cid:durableId="418716074">
    <w:abstractNumId w:val="4"/>
  </w:num>
  <w:num w:numId="3" w16cid:durableId="266470466">
    <w:abstractNumId w:val="7"/>
  </w:num>
  <w:num w:numId="4" w16cid:durableId="1661427117">
    <w:abstractNumId w:val="0"/>
  </w:num>
  <w:num w:numId="5" w16cid:durableId="1821339206">
    <w:abstractNumId w:val="1"/>
  </w:num>
  <w:num w:numId="6" w16cid:durableId="305815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3981124">
    <w:abstractNumId w:val="6"/>
  </w:num>
  <w:num w:numId="8" w16cid:durableId="104374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2B"/>
    <w:rsid w:val="00007AAF"/>
    <w:rsid w:val="000117E4"/>
    <w:rsid w:val="0002540A"/>
    <w:rsid w:val="00030029"/>
    <w:rsid w:val="0005765F"/>
    <w:rsid w:val="000917EF"/>
    <w:rsid w:val="000B3F5B"/>
    <w:rsid w:val="00165657"/>
    <w:rsid w:val="001A3142"/>
    <w:rsid w:val="001D3075"/>
    <w:rsid w:val="00240DAD"/>
    <w:rsid w:val="00273FE7"/>
    <w:rsid w:val="00286320"/>
    <w:rsid w:val="002E2CE2"/>
    <w:rsid w:val="002F47EE"/>
    <w:rsid w:val="00343D87"/>
    <w:rsid w:val="003778E1"/>
    <w:rsid w:val="00394B29"/>
    <w:rsid w:val="0040467B"/>
    <w:rsid w:val="00423C79"/>
    <w:rsid w:val="00444C8E"/>
    <w:rsid w:val="0048747C"/>
    <w:rsid w:val="004C4B70"/>
    <w:rsid w:val="004D4E4E"/>
    <w:rsid w:val="004E7917"/>
    <w:rsid w:val="004F0BC8"/>
    <w:rsid w:val="005004C9"/>
    <w:rsid w:val="00501D94"/>
    <w:rsid w:val="00510DCD"/>
    <w:rsid w:val="00561DC3"/>
    <w:rsid w:val="00583273"/>
    <w:rsid w:val="0067606E"/>
    <w:rsid w:val="006D563D"/>
    <w:rsid w:val="006E5BF4"/>
    <w:rsid w:val="00720E72"/>
    <w:rsid w:val="00764D29"/>
    <w:rsid w:val="007A1D88"/>
    <w:rsid w:val="00831F91"/>
    <w:rsid w:val="008355EB"/>
    <w:rsid w:val="0084197E"/>
    <w:rsid w:val="008558DE"/>
    <w:rsid w:val="0086351E"/>
    <w:rsid w:val="008C04BE"/>
    <w:rsid w:val="008C24DD"/>
    <w:rsid w:val="008D4C1F"/>
    <w:rsid w:val="008F0039"/>
    <w:rsid w:val="0090489A"/>
    <w:rsid w:val="0091295D"/>
    <w:rsid w:val="00985318"/>
    <w:rsid w:val="009A21A8"/>
    <w:rsid w:val="009D55E7"/>
    <w:rsid w:val="00A420FC"/>
    <w:rsid w:val="00AC4D86"/>
    <w:rsid w:val="00AE7781"/>
    <w:rsid w:val="00B0156A"/>
    <w:rsid w:val="00B132D6"/>
    <w:rsid w:val="00B42DDF"/>
    <w:rsid w:val="00B620E3"/>
    <w:rsid w:val="00B94D32"/>
    <w:rsid w:val="00BC0ECF"/>
    <w:rsid w:val="00BC71A8"/>
    <w:rsid w:val="00C4292B"/>
    <w:rsid w:val="00C71738"/>
    <w:rsid w:val="00C778EF"/>
    <w:rsid w:val="00CA78D8"/>
    <w:rsid w:val="00CC3D7F"/>
    <w:rsid w:val="00D253BC"/>
    <w:rsid w:val="00D9192C"/>
    <w:rsid w:val="00DB2764"/>
    <w:rsid w:val="00E04317"/>
    <w:rsid w:val="00E112ED"/>
    <w:rsid w:val="00E1716E"/>
    <w:rsid w:val="00E53B9F"/>
    <w:rsid w:val="00E63CAF"/>
    <w:rsid w:val="00E77A0A"/>
    <w:rsid w:val="00F108FE"/>
    <w:rsid w:val="00F163E5"/>
    <w:rsid w:val="00F538D8"/>
    <w:rsid w:val="00FF369E"/>
    <w:rsid w:val="0AAF5291"/>
    <w:rsid w:val="0BB98E96"/>
    <w:rsid w:val="0C97C36F"/>
    <w:rsid w:val="0F82C3B4"/>
    <w:rsid w:val="126870A2"/>
    <w:rsid w:val="168859E2"/>
    <w:rsid w:val="171EFBC0"/>
    <w:rsid w:val="18C34F00"/>
    <w:rsid w:val="19141D12"/>
    <w:rsid w:val="1DA86403"/>
    <w:rsid w:val="1FD89332"/>
    <w:rsid w:val="2234E9A7"/>
    <w:rsid w:val="233E6F0B"/>
    <w:rsid w:val="2832978F"/>
    <w:rsid w:val="2BAC18D6"/>
    <w:rsid w:val="2DDF9C7C"/>
    <w:rsid w:val="2FF83020"/>
    <w:rsid w:val="309E3D61"/>
    <w:rsid w:val="3700D4E8"/>
    <w:rsid w:val="370B3187"/>
    <w:rsid w:val="38D2686A"/>
    <w:rsid w:val="413F7942"/>
    <w:rsid w:val="45EE51E3"/>
    <w:rsid w:val="4914C9B7"/>
    <w:rsid w:val="4B408ADE"/>
    <w:rsid w:val="4F471BE7"/>
    <w:rsid w:val="5D844188"/>
    <w:rsid w:val="5E5DD039"/>
    <w:rsid w:val="62A25C4B"/>
    <w:rsid w:val="63AAC031"/>
    <w:rsid w:val="65F86E59"/>
    <w:rsid w:val="66AB8CCA"/>
    <w:rsid w:val="678BDA3E"/>
    <w:rsid w:val="6D500959"/>
    <w:rsid w:val="6D881E96"/>
    <w:rsid w:val="6DE343F3"/>
    <w:rsid w:val="71CB8A83"/>
    <w:rsid w:val="72BD5D4A"/>
    <w:rsid w:val="7492C3A6"/>
    <w:rsid w:val="755E3796"/>
    <w:rsid w:val="7624136F"/>
    <w:rsid w:val="7822C3CF"/>
    <w:rsid w:val="7A26A2DD"/>
    <w:rsid w:val="7C236B3A"/>
    <w:rsid w:val="7DD559B2"/>
    <w:rsid w:val="7FB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D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2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PublicationDate"/>
    <w:next w:val="Normal"/>
    <w:link w:val="Heading1Char"/>
    <w:qFormat/>
    <w:rsid w:val="001D3075"/>
    <w:pPr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445369"/>
      <w:sz w:val="32"/>
      <w:szCs w:val="32"/>
      <w:lang w:eastAsia="en-US"/>
    </w:rPr>
  </w:style>
  <w:style w:type="paragraph" w:styleId="Heading2">
    <w:name w:val="heading 2"/>
    <w:basedOn w:val="PublicationDate"/>
    <w:next w:val="Normal"/>
    <w:link w:val="Heading2Char"/>
    <w:unhideWhenUsed/>
    <w:qFormat/>
    <w:rsid w:val="001D3075"/>
    <w:pPr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aps/>
      <w:color w:val="2F5496" w:themeColor="accent1" w:themeShade="BF"/>
      <w:spacing w:val="0"/>
      <w:kern w:val="0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2B"/>
    <w:pPr>
      <w:ind w:left="720"/>
    </w:pPr>
  </w:style>
  <w:style w:type="character" w:styleId="Hyperlink">
    <w:name w:val="Hyperlink"/>
    <w:basedOn w:val="DefaultParagraphFont"/>
    <w:uiPriority w:val="99"/>
    <w:unhideWhenUsed/>
    <w:rsid w:val="00C42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D3075"/>
    <w:rPr>
      <w:rFonts w:asciiTheme="majorHAnsi" w:eastAsiaTheme="majorEastAsia" w:hAnsiTheme="majorHAnsi" w:cstheme="majorBidi"/>
      <w:b/>
      <w:bCs/>
      <w:caps/>
      <w:color w:val="445369"/>
      <w:spacing w:val="-10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D3075"/>
    <w:rPr>
      <w:rFonts w:asciiTheme="majorHAnsi" w:eastAsiaTheme="majorEastAsia" w:hAnsiTheme="majorHAnsi" w:cstheme="majorBidi"/>
      <w:b/>
      <w:bCs/>
      <w:i/>
      <w:iCs/>
      <w:caps/>
      <w:color w:val="2F5496" w:themeColor="accent1" w:themeShade="BF"/>
      <w:sz w:val="32"/>
      <w:szCs w:val="32"/>
      <w:lang w:val="en-GB"/>
    </w:rPr>
  </w:style>
  <w:style w:type="character" w:styleId="IntenseEmphasis">
    <w:name w:val="Intense Emphasis"/>
    <w:basedOn w:val="DefaultParagraphFont"/>
    <w:uiPriority w:val="21"/>
    <w:qFormat/>
    <w:rsid w:val="00C4292B"/>
    <w:rPr>
      <w:b/>
      <w:i/>
      <w:iCs/>
      <w:color w:val="44546A" w:themeColor="text2"/>
    </w:rPr>
  </w:style>
  <w:style w:type="paragraph" w:styleId="BodyText">
    <w:name w:val="Body Text"/>
    <w:basedOn w:val="Normal"/>
    <w:link w:val="BodyTextChar"/>
    <w:uiPriority w:val="99"/>
    <w:unhideWhenUsed/>
    <w:qFormat/>
    <w:rsid w:val="00C4292B"/>
    <w:pPr>
      <w:suppressAutoHyphens/>
      <w:spacing w:before="120" w:after="60" w:line="260" w:lineRule="atLeast"/>
    </w:pPr>
    <w:rPr>
      <w:rFonts w:asciiTheme="minorHAnsi" w:hAnsiTheme="minorHAnsi" w:cstheme="minorBidi"/>
      <w:color w:val="44546A" w:themeColor="text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4292B"/>
    <w:rPr>
      <w:color w:val="44546A" w:themeColor="text2"/>
      <w:lang w:val="en-GB"/>
    </w:rPr>
  </w:style>
  <w:style w:type="paragraph" w:styleId="ListBullet">
    <w:name w:val="List Bullet"/>
    <w:basedOn w:val="BodyText"/>
    <w:unhideWhenUsed/>
    <w:qFormat/>
    <w:rsid w:val="00C4292B"/>
    <w:pPr>
      <w:suppressAutoHyphens w:val="0"/>
      <w:spacing w:before="80" w:after="120" w:line="360" w:lineRule="auto"/>
      <w:ind w:left="360" w:hanging="360"/>
    </w:pPr>
    <w:rPr>
      <w:rFonts w:ascii="Franklin Gothic Book" w:eastAsia="Times New Roman" w:hAnsi="Franklin Gothic Book" w:cs="Times New Roman"/>
      <w:color w:val="auto"/>
      <w:sz w:val="21"/>
      <w:szCs w:val="24"/>
      <w:lang w:val="en-AU" w:eastAsia="en-AU"/>
    </w:rPr>
  </w:style>
  <w:style w:type="paragraph" w:customStyle="1" w:styleId="PublicationDate">
    <w:name w:val="Publication Date"/>
    <w:next w:val="Heading1"/>
    <w:rsid w:val="00C4292B"/>
    <w:pPr>
      <w:spacing w:after="360" w:line="276" w:lineRule="auto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  <w:lang w:eastAsia="en-AU"/>
    </w:rPr>
  </w:style>
  <w:style w:type="paragraph" w:customStyle="1" w:styleId="Style3">
    <w:name w:val="Style3"/>
    <w:basedOn w:val="Heading2"/>
    <w:link w:val="Style3Char"/>
    <w:qFormat/>
    <w:rsid w:val="00C4292B"/>
    <w:rPr>
      <w:b w:val="0"/>
      <w:sz w:val="36"/>
      <w:szCs w:val="36"/>
    </w:rPr>
  </w:style>
  <w:style w:type="character" w:customStyle="1" w:styleId="Style3Char">
    <w:name w:val="Style3 Char"/>
    <w:basedOn w:val="Heading2Char"/>
    <w:link w:val="Style3"/>
    <w:rsid w:val="00C4292B"/>
    <w:rPr>
      <w:rFonts w:asciiTheme="majorHAnsi" w:eastAsiaTheme="majorEastAsia" w:hAnsiTheme="majorHAnsi" w:cstheme="majorBidi"/>
      <w:b w:val="0"/>
      <w:bCs/>
      <w:i/>
      <w:iCs/>
      <w:caps/>
      <w:color w:val="44546A" w:themeColor="text2"/>
      <w:sz w:val="36"/>
      <w:szCs w:val="36"/>
      <w:lang w:val="en-GB"/>
    </w:rPr>
  </w:style>
  <w:style w:type="paragraph" w:customStyle="1" w:styleId="Style5">
    <w:name w:val="Style5"/>
    <w:basedOn w:val="Normal"/>
    <w:link w:val="Style5Char"/>
    <w:qFormat/>
    <w:rsid w:val="00C4292B"/>
    <w:pPr>
      <w:keepNext/>
      <w:keepLines/>
      <w:suppressAutoHyphens/>
      <w:spacing w:before="360" w:after="120" w:line="260" w:lineRule="exact"/>
      <w:contextualSpacing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character" w:customStyle="1" w:styleId="Style5Char">
    <w:name w:val="Style5 Char"/>
    <w:basedOn w:val="DefaultParagraphFont"/>
    <w:link w:val="Style5"/>
    <w:rsid w:val="00C4292B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paragraph" w:customStyle="1" w:styleId="pf0">
    <w:name w:val="pf0"/>
    <w:basedOn w:val="Normal"/>
    <w:rsid w:val="009D55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D55E7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02540A"/>
    <w:rPr>
      <w:b/>
      <w:bCs/>
    </w:rPr>
  </w:style>
  <w:style w:type="character" w:customStyle="1" w:styleId="BulletChar">
    <w:name w:val="Bullet Char"/>
    <w:basedOn w:val="DefaultParagraphFont"/>
    <w:link w:val="Bullet"/>
    <w:locked/>
    <w:rsid w:val="0002540A"/>
  </w:style>
  <w:style w:type="paragraph" w:customStyle="1" w:styleId="Bullet">
    <w:name w:val="Bullet"/>
    <w:basedOn w:val="ListParagraph"/>
    <w:link w:val="BulletChar"/>
    <w:qFormat/>
    <w:rsid w:val="0002540A"/>
    <w:pPr>
      <w:numPr>
        <w:numId w:val="5"/>
      </w:numPr>
      <w:spacing w:before="120" w:after="120"/>
      <w:ind w:left="312" w:hanging="284"/>
    </w:pPr>
    <w:rPr>
      <w:rFonts w:ascii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63D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63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563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1716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56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5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79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9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79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917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E7917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fat.gov.au/sites/default/files/australias-official-development-assistance-statistical-summary-2021-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2E7A-3284-4C99-B665-7ED67E1D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2791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2 Technical Note – ODA funds to womens organisations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Technical Note – ODA funds to womens organisations</dc:title>
  <dc:subject/>
  <dc:creator/>
  <cp:keywords>[SEC=OFFICIAL]</cp:keywords>
  <dc:description/>
  <cp:lastModifiedBy/>
  <cp:revision>1</cp:revision>
  <dcterms:created xsi:type="dcterms:W3CDTF">2024-06-19T04:35:00Z</dcterms:created>
  <dcterms:modified xsi:type="dcterms:W3CDTF">2024-06-19T04:42:00Z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v=2022.1;a=SHA256;h=96AEBC50B84CAD7190A37D52F07C1298FEFF3AF59899F9BF62DDE47FF2B9E84C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0F899F374FF046FA9710986148772F0A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2023-06-14T03:51:21Z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Uuid">
    <vt:lpwstr>v=2022.2;d=gov.au;g=46DD6D7C-8107-577B-BC6E-F348953B2E44</vt:lpwstr>
  </property>
  <property fmtid="{D5CDD505-2E9C-101B-9397-08002B2CF9AE}" pid="19" name="PM_Hash_Version">
    <vt:lpwstr>2022.1</vt:lpwstr>
  </property>
  <property fmtid="{D5CDD505-2E9C-101B-9397-08002B2CF9AE}" pid="20" name="PM_Hash_Salt_Prev">
    <vt:lpwstr>A2DDB20DFB9ABB3F9E31195E4D1ED612</vt:lpwstr>
  </property>
  <property fmtid="{D5CDD505-2E9C-101B-9397-08002B2CF9AE}" pid="21" name="PM_Hash_Salt">
    <vt:lpwstr>380953620DDAFABA24D8DD6D4AB1E57E</vt:lpwstr>
  </property>
  <property fmtid="{D5CDD505-2E9C-101B-9397-08002B2CF9AE}" pid="22" name="PM_Hash_SHA1">
    <vt:lpwstr>D7A0448D68F60F121854B4D64C052CA033BBC1CD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Originator_Hash_SHA1">
    <vt:lpwstr>899E4EA469A04FB023F4432B63374BB33589BF8A</vt:lpwstr>
  </property>
  <property fmtid="{D5CDD505-2E9C-101B-9397-08002B2CF9AE}" pid="27" name="PM_OriginatorUserAccountName_SHA256">
    <vt:lpwstr>290C9CFCFE70E139C4500567FB5830ACF9049F26A1998DDACA65669D45D5D2AD</vt:lpwstr>
  </property>
  <property fmtid="{D5CDD505-2E9C-101B-9397-08002B2CF9AE}" pid="28" name="PM_Caveats_Count">
    <vt:lpwstr>0</vt:lpwstr>
  </property>
</Properties>
</file>