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71D5" w14:textId="4CB8718C" w:rsidR="00C4292B" w:rsidRPr="005940AE" w:rsidRDefault="7EDBDF7B" w:rsidP="03C030B7">
      <w:pPr>
        <w:pStyle w:val="Heading1"/>
        <w:spacing w:before="480" w:after="120" w:afterAutospacing="0"/>
        <w:rPr>
          <w:rFonts w:asciiTheme="majorHAnsi" w:hAnsiTheme="majorHAnsi" w:cstheme="majorBidi"/>
          <w:sz w:val="36"/>
          <w:szCs w:val="36"/>
        </w:rPr>
      </w:pPr>
      <w:r w:rsidRPr="005940AE">
        <w:rPr>
          <w:rFonts w:asciiTheme="majorHAnsi" w:hAnsiTheme="majorHAnsi" w:cstheme="majorBidi"/>
          <w:i w:val="0"/>
          <w:iCs w:val="0"/>
          <w:color w:val="445369"/>
          <w:sz w:val="36"/>
          <w:szCs w:val="36"/>
        </w:rPr>
        <w:t>TIER 2 INDICATOR TECHNICAL NOTE</w:t>
      </w:r>
    </w:p>
    <w:p w14:paraId="0A162EA4" w14:textId="42D0D0AE" w:rsidR="00C4292B" w:rsidRPr="008066C4" w:rsidRDefault="00A50B2C" w:rsidP="008066C4">
      <w:pPr>
        <w:pStyle w:val="Heading2"/>
        <w:rPr>
          <w:rFonts w:asciiTheme="majorHAnsi" w:hAnsiTheme="majorHAnsi" w:cstheme="majorHAnsi"/>
          <w:b w:val="0"/>
          <w:bCs/>
          <w:i/>
          <w:iCs/>
          <w:sz w:val="36"/>
          <w:szCs w:val="36"/>
        </w:rPr>
      </w:pPr>
      <w:bookmarkStart w:id="0" w:name="_Hlk95377738"/>
      <w:r w:rsidRPr="008066C4">
        <w:rPr>
          <w:rFonts w:asciiTheme="majorHAnsi" w:hAnsiTheme="majorHAnsi" w:cstheme="majorHAnsi"/>
          <w:b w:val="0"/>
          <w:bCs/>
          <w:i/>
          <w:iCs/>
          <w:sz w:val="36"/>
          <w:szCs w:val="36"/>
        </w:rPr>
        <w:t>Number of services provided to victim-survivors of sex</w:t>
      </w:r>
      <w:r w:rsidR="003040F7" w:rsidRPr="008066C4">
        <w:rPr>
          <w:rFonts w:asciiTheme="majorHAnsi" w:hAnsiTheme="majorHAnsi" w:cstheme="majorHAnsi"/>
          <w:b w:val="0"/>
          <w:bCs/>
          <w:i/>
          <w:iCs/>
          <w:sz w:val="36"/>
          <w:szCs w:val="36"/>
        </w:rPr>
        <w:t>U</w:t>
      </w:r>
      <w:r w:rsidRPr="008066C4">
        <w:rPr>
          <w:rFonts w:asciiTheme="majorHAnsi" w:hAnsiTheme="majorHAnsi" w:cstheme="majorHAnsi"/>
          <w:b w:val="0"/>
          <w:bCs/>
          <w:i/>
          <w:iCs/>
          <w:sz w:val="36"/>
          <w:szCs w:val="36"/>
        </w:rPr>
        <w:t>al and gender-based violence</w:t>
      </w:r>
      <w:r w:rsidR="00CF538D" w:rsidRPr="008066C4">
        <w:rPr>
          <w:rFonts w:asciiTheme="majorHAnsi" w:hAnsiTheme="majorHAnsi" w:cstheme="majorHAnsi"/>
          <w:b w:val="0"/>
          <w:bCs/>
          <w:i/>
          <w:iCs/>
          <w:sz w:val="36"/>
          <w:szCs w:val="36"/>
        </w:rPr>
        <w:t xml:space="preserve"> (SGBV)</w:t>
      </w:r>
    </w:p>
    <w:bookmarkEnd w:id="0"/>
    <w:p w14:paraId="1008108A" w14:textId="7F6E75D6" w:rsidR="00C4292B" w:rsidRPr="001A3142" w:rsidRDefault="00C4292B" w:rsidP="03C030B7">
      <w:pPr>
        <w:pStyle w:val="PublicationDate"/>
        <w:spacing w:before="120" w:after="120" w:line="240" w:lineRule="auto"/>
        <w:rPr>
          <w:rFonts w:asciiTheme="majorHAnsi" w:eastAsiaTheme="majorEastAsia" w:hAnsiTheme="majorHAnsi" w:cstheme="majorBidi"/>
          <w:b/>
          <w:bCs/>
          <w:color w:val="44546A" w:themeColor="text2"/>
          <w:sz w:val="22"/>
          <w:szCs w:val="22"/>
        </w:rPr>
      </w:pPr>
      <w:r w:rsidRPr="03C030B7">
        <w:rPr>
          <w:rFonts w:asciiTheme="majorHAnsi" w:eastAsiaTheme="majorEastAsia" w:hAnsiTheme="majorHAnsi" w:cstheme="majorBidi"/>
          <w:b/>
          <w:bCs/>
          <w:color w:val="445369"/>
          <w:sz w:val="22"/>
          <w:szCs w:val="22"/>
        </w:rPr>
        <w:t xml:space="preserve">Last updated: </w:t>
      </w:r>
      <w:r w:rsidR="005F0DB6" w:rsidRPr="03C030B7">
        <w:rPr>
          <w:rFonts w:asciiTheme="majorHAnsi" w:eastAsiaTheme="majorEastAsia" w:hAnsiTheme="majorHAnsi" w:cstheme="majorBidi"/>
          <w:b/>
          <w:bCs/>
          <w:color w:val="445369"/>
          <w:sz w:val="22"/>
          <w:szCs w:val="22"/>
        </w:rPr>
        <w:t>15</w:t>
      </w:r>
      <w:r w:rsidR="00773900" w:rsidRPr="03C030B7">
        <w:rPr>
          <w:rFonts w:asciiTheme="majorHAnsi" w:eastAsiaTheme="majorEastAsia" w:hAnsiTheme="majorHAnsi" w:cstheme="majorBidi"/>
          <w:b/>
          <w:bCs/>
          <w:color w:val="445369"/>
          <w:sz w:val="22"/>
          <w:szCs w:val="22"/>
        </w:rPr>
        <w:t xml:space="preserve"> February 2024</w:t>
      </w:r>
    </w:p>
    <w:p w14:paraId="64E31E70" w14:textId="3398998D" w:rsidR="00C4292B" w:rsidRPr="00950FE5" w:rsidRDefault="00C4292B" w:rsidP="03C030B7">
      <w:pPr>
        <w:pStyle w:val="Heading2"/>
        <w:spacing w:before="120" w:line="240" w:lineRule="auto"/>
        <w:rPr>
          <w:rFonts w:asciiTheme="majorHAnsi" w:hAnsiTheme="majorHAnsi" w:cstheme="majorBidi"/>
          <w:color w:val="44546A" w:themeColor="text2"/>
        </w:rPr>
      </w:pPr>
      <w:r w:rsidRPr="03C030B7">
        <w:rPr>
          <w:rFonts w:asciiTheme="majorHAnsi" w:hAnsiTheme="majorHAnsi" w:cstheme="majorBidi"/>
        </w:rPr>
        <w:t>Definition</w:t>
      </w:r>
      <w:r w:rsidR="00876030" w:rsidRPr="03C030B7">
        <w:rPr>
          <w:rFonts w:asciiTheme="majorHAnsi" w:hAnsiTheme="majorHAnsi" w:cstheme="majorBidi"/>
        </w:rPr>
        <w:t>s</w:t>
      </w:r>
    </w:p>
    <w:p w14:paraId="39AB6EBE" w14:textId="55E656C5" w:rsidR="000027AD" w:rsidRPr="00A50B2C" w:rsidRDefault="00A50B2C" w:rsidP="2C85CEDC">
      <w:pPr>
        <w:pStyle w:val="Style5"/>
        <w:spacing w:before="0" w:line="240" w:lineRule="auto"/>
        <w:jc w:val="both"/>
        <w:rPr>
          <w:b w:val="0"/>
          <w:caps w:val="0"/>
          <w:color w:val="44546A" w:themeColor="text2"/>
          <w:sz w:val="22"/>
          <w:szCs w:val="22"/>
        </w:rPr>
      </w:pPr>
      <w:r w:rsidRPr="2C85CEDC">
        <w:rPr>
          <w:caps w:val="0"/>
          <w:color w:val="44546A" w:themeColor="text2"/>
          <w:sz w:val="22"/>
          <w:szCs w:val="22"/>
        </w:rPr>
        <w:t>Services</w:t>
      </w:r>
      <w:r w:rsidRPr="2C85CEDC">
        <w:rPr>
          <w:b w:val="0"/>
          <w:caps w:val="0"/>
          <w:color w:val="44546A" w:themeColor="text2"/>
          <w:sz w:val="22"/>
          <w:szCs w:val="22"/>
        </w:rPr>
        <w:t xml:space="preserve"> include</w:t>
      </w:r>
      <w:r w:rsidR="000027AD" w:rsidRPr="2C85CEDC">
        <w:rPr>
          <w:b w:val="0"/>
          <w:caps w:val="0"/>
          <w:color w:val="44546A" w:themeColor="text2"/>
          <w:sz w:val="22"/>
          <w:szCs w:val="22"/>
        </w:rPr>
        <w:t xml:space="preserve"> the following provided specifically to survivors of </w:t>
      </w:r>
      <w:r w:rsidR="00CF538D" w:rsidRPr="2C85CEDC">
        <w:rPr>
          <w:b w:val="0"/>
          <w:caps w:val="0"/>
          <w:color w:val="44546A" w:themeColor="text2"/>
          <w:sz w:val="22"/>
          <w:szCs w:val="22"/>
        </w:rPr>
        <w:t>S</w:t>
      </w:r>
      <w:r w:rsidR="000027AD" w:rsidRPr="2C85CEDC">
        <w:rPr>
          <w:b w:val="0"/>
          <w:caps w:val="0"/>
          <w:color w:val="44546A" w:themeColor="text2"/>
          <w:sz w:val="22"/>
          <w:szCs w:val="22"/>
        </w:rPr>
        <w:t>GBV</w:t>
      </w:r>
      <w:r w:rsidRPr="2C85CEDC">
        <w:rPr>
          <w:b w:val="0"/>
          <w:caps w:val="0"/>
          <w:color w:val="44546A" w:themeColor="text2"/>
          <w:sz w:val="22"/>
          <w:szCs w:val="22"/>
        </w:rPr>
        <w:t>: counselling; emergency shelters; referral hotlines; health services; legal services such as legal aid; referrals from police sexual violence units; issuance of protection orders; hearings by traditional or formal justice providers.</w:t>
      </w:r>
    </w:p>
    <w:p w14:paraId="7D803194" w14:textId="1A6060E0" w:rsidR="000217CD" w:rsidRDefault="00A50B2C" w:rsidP="2C85CEDC">
      <w:pPr>
        <w:pStyle w:val="Style5"/>
        <w:spacing w:before="0" w:line="240" w:lineRule="auto"/>
        <w:jc w:val="both"/>
        <w:rPr>
          <w:b w:val="0"/>
          <w:caps w:val="0"/>
          <w:color w:val="44546A" w:themeColor="text2"/>
          <w:sz w:val="22"/>
          <w:szCs w:val="22"/>
        </w:rPr>
      </w:pPr>
      <w:r w:rsidRPr="2C85CEDC">
        <w:rPr>
          <w:caps w:val="0"/>
          <w:color w:val="44546A" w:themeColor="text2"/>
          <w:sz w:val="22"/>
          <w:szCs w:val="22"/>
        </w:rPr>
        <w:t>Number of services</w:t>
      </w:r>
      <w:r w:rsidRPr="2C85CEDC">
        <w:rPr>
          <w:b w:val="0"/>
          <w:caps w:val="0"/>
          <w:color w:val="44546A" w:themeColor="text2"/>
          <w:sz w:val="22"/>
          <w:szCs w:val="22"/>
        </w:rPr>
        <w:t xml:space="preserve"> refers to instances of service provision.  </w:t>
      </w:r>
    </w:p>
    <w:p w14:paraId="22DAE441" w14:textId="382B8873" w:rsidR="00A50B2C" w:rsidRDefault="00A50B2C" w:rsidP="2C85CEDC">
      <w:pPr>
        <w:pStyle w:val="Style5"/>
        <w:spacing w:before="0" w:line="240" w:lineRule="auto"/>
        <w:jc w:val="both"/>
        <w:rPr>
          <w:b w:val="0"/>
          <w:caps w:val="0"/>
          <w:color w:val="44546A" w:themeColor="text2"/>
          <w:sz w:val="22"/>
          <w:szCs w:val="22"/>
        </w:rPr>
      </w:pPr>
      <w:r w:rsidRPr="2C85CEDC">
        <w:rPr>
          <w:caps w:val="0"/>
          <w:color w:val="44546A" w:themeColor="text2"/>
          <w:sz w:val="22"/>
          <w:szCs w:val="22"/>
        </w:rPr>
        <w:t xml:space="preserve">Sexual and gender-based violence </w:t>
      </w:r>
      <w:r w:rsidR="00046867" w:rsidRPr="2C85CEDC">
        <w:rPr>
          <w:caps w:val="0"/>
          <w:color w:val="44546A" w:themeColor="text2"/>
          <w:sz w:val="22"/>
          <w:szCs w:val="22"/>
        </w:rPr>
        <w:t>(SGBV)</w:t>
      </w:r>
      <w:r w:rsidR="00046867" w:rsidRPr="2C85CEDC">
        <w:rPr>
          <w:b w:val="0"/>
          <w:caps w:val="0"/>
          <w:color w:val="44546A" w:themeColor="text2"/>
          <w:sz w:val="22"/>
          <w:szCs w:val="22"/>
        </w:rPr>
        <w:t xml:space="preserve"> </w:t>
      </w:r>
      <w:r w:rsidRPr="2C85CEDC">
        <w:rPr>
          <w:b w:val="0"/>
          <w:caps w:val="0"/>
          <w:color w:val="44546A" w:themeColor="text2"/>
          <w:sz w:val="22"/>
          <w:szCs w:val="22"/>
        </w:rPr>
        <w:t xml:space="preserve">refers to harmful acts directed at an individual based on their gender. Most </w:t>
      </w:r>
      <w:r w:rsidR="00B638A2" w:rsidRPr="2C85CEDC">
        <w:rPr>
          <w:b w:val="0"/>
          <w:caps w:val="0"/>
          <w:color w:val="44546A" w:themeColor="text2"/>
          <w:sz w:val="22"/>
          <w:szCs w:val="22"/>
        </w:rPr>
        <w:t>v</w:t>
      </w:r>
      <w:r w:rsidRPr="2C85CEDC">
        <w:rPr>
          <w:b w:val="0"/>
          <w:caps w:val="0"/>
          <w:color w:val="44546A" w:themeColor="text2"/>
          <w:sz w:val="22"/>
          <w:szCs w:val="22"/>
        </w:rPr>
        <w:t>ictim-survivors are women and girls, but may also include people of diverse sexual orientation, gender identity</w:t>
      </w:r>
      <w:r w:rsidR="00472070" w:rsidRPr="2C85CEDC">
        <w:rPr>
          <w:b w:val="0"/>
          <w:caps w:val="0"/>
          <w:color w:val="44546A" w:themeColor="text2"/>
          <w:sz w:val="22"/>
          <w:szCs w:val="22"/>
        </w:rPr>
        <w:t>,</w:t>
      </w:r>
      <w:r w:rsidRPr="2C85CEDC">
        <w:rPr>
          <w:b w:val="0"/>
          <w:caps w:val="0"/>
          <w:color w:val="44546A" w:themeColor="text2"/>
          <w:sz w:val="22"/>
          <w:szCs w:val="22"/>
        </w:rPr>
        <w:t xml:space="preserve"> </w:t>
      </w:r>
      <w:proofErr w:type="gramStart"/>
      <w:r w:rsidRPr="2C85CEDC">
        <w:rPr>
          <w:b w:val="0"/>
          <w:caps w:val="0"/>
          <w:color w:val="44546A" w:themeColor="text2"/>
          <w:sz w:val="22"/>
          <w:szCs w:val="22"/>
        </w:rPr>
        <w:t>expression</w:t>
      </w:r>
      <w:proofErr w:type="gramEnd"/>
      <w:r w:rsidR="00472070" w:rsidRPr="2C85CEDC">
        <w:rPr>
          <w:b w:val="0"/>
          <w:caps w:val="0"/>
          <w:color w:val="44546A" w:themeColor="text2"/>
          <w:sz w:val="22"/>
          <w:szCs w:val="22"/>
        </w:rPr>
        <w:t xml:space="preserve"> and sex characteristics</w:t>
      </w:r>
      <w:r w:rsidRPr="2C85CEDC">
        <w:rPr>
          <w:b w:val="0"/>
          <w:caps w:val="0"/>
          <w:color w:val="44546A" w:themeColor="text2"/>
          <w:sz w:val="22"/>
          <w:szCs w:val="22"/>
        </w:rPr>
        <w:t xml:space="preserve"> (SOGIE</w:t>
      </w:r>
      <w:r w:rsidR="00472070" w:rsidRPr="2C85CEDC">
        <w:rPr>
          <w:b w:val="0"/>
          <w:caps w:val="0"/>
          <w:color w:val="44546A" w:themeColor="text2"/>
          <w:sz w:val="22"/>
          <w:szCs w:val="22"/>
        </w:rPr>
        <w:t>SC</w:t>
      </w:r>
      <w:r w:rsidRPr="2C85CEDC">
        <w:rPr>
          <w:b w:val="0"/>
          <w:caps w:val="0"/>
          <w:color w:val="44546A" w:themeColor="text2"/>
          <w:sz w:val="22"/>
          <w:szCs w:val="22"/>
        </w:rPr>
        <w:t>).</w:t>
      </w:r>
    </w:p>
    <w:p w14:paraId="27F776B8" w14:textId="5DC9D41A" w:rsidR="00C4292B" w:rsidRPr="00876030" w:rsidRDefault="00C4292B" w:rsidP="03C030B7">
      <w:pPr>
        <w:pStyle w:val="Heading2"/>
        <w:spacing w:before="120" w:line="240" w:lineRule="auto"/>
        <w:rPr>
          <w:rFonts w:asciiTheme="majorHAnsi" w:hAnsiTheme="majorHAnsi" w:cstheme="majorBidi"/>
        </w:rPr>
      </w:pPr>
      <w:r w:rsidRPr="03C030B7">
        <w:rPr>
          <w:rFonts w:asciiTheme="majorHAnsi" w:hAnsiTheme="majorHAnsi" w:cstheme="majorBidi"/>
        </w:rPr>
        <w:t>Scope</w:t>
      </w:r>
    </w:p>
    <w:p w14:paraId="0A81864D" w14:textId="2BFFC441" w:rsidR="00A50B2C" w:rsidRPr="00A50B2C" w:rsidRDefault="00C4292B" w:rsidP="7A3075C7">
      <w:pPr>
        <w:pStyle w:val="Heading2"/>
        <w:spacing w:before="0" w:after="0"/>
        <w:rPr>
          <w:rFonts w:asciiTheme="majorHAnsi" w:hAnsiTheme="majorHAnsi" w:cstheme="majorBidi"/>
          <w:b w:val="0"/>
          <w:caps w:val="0"/>
          <w:color w:val="44546A" w:themeColor="text2"/>
          <w:sz w:val="22"/>
          <w:szCs w:val="22"/>
        </w:rPr>
      </w:pPr>
      <w:r w:rsidRPr="7A3075C7">
        <w:rPr>
          <w:rStyle w:val="IntenseEmphasis"/>
          <w:rFonts w:asciiTheme="majorHAnsi" w:hAnsiTheme="majorHAnsi" w:cstheme="majorBidi"/>
          <w:b/>
          <w:bCs/>
          <w:color w:val="445369"/>
          <w:sz w:val="22"/>
          <w:szCs w:val="22"/>
        </w:rPr>
        <w:t>Includes:</w:t>
      </w:r>
    </w:p>
    <w:p w14:paraId="4532615A" w14:textId="01F209E7" w:rsidR="00A50B2C" w:rsidRPr="00A50B2C" w:rsidRDefault="00A50B2C" w:rsidP="2C85CEDC">
      <w:pPr>
        <w:pStyle w:val="Heading2"/>
        <w:spacing w:before="0" w:after="0"/>
        <w:rPr>
          <w:rFonts w:asciiTheme="majorHAnsi" w:hAnsiTheme="majorHAnsi" w:cstheme="majorBidi"/>
          <w:b w:val="0"/>
          <w:caps w:val="0"/>
          <w:color w:val="44546A" w:themeColor="text2"/>
          <w:sz w:val="22"/>
          <w:szCs w:val="22"/>
        </w:rPr>
      </w:pPr>
      <w:r w:rsidRPr="2C85CEDC">
        <w:rPr>
          <w:rFonts w:asciiTheme="majorHAnsi" w:hAnsiTheme="majorHAnsi" w:cstheme="majorBidi"/>
          <w:b w:val="0"/>
          <w:caps w:val="0"/>
          <w:color w:val="44546A" w:themeColor="text2"/>
          <w:sz w:val="22"/>
          <w:szCs w:val="22"/>
        </w:rPr>
        <w:t>Focus should be on support</w:t>
      </w:r>
      <w:r w:rsidR="00215A8C" w:rsidRPr="2C85CEDC">
        <w:rPr>
          <w:rFonts w:asciiTheme="majorHAnsi" w:hAnsiTheme="majorHAnsi" w:cstheme="majorBidi"/>
          <w:b w:val="0"/>
          <w:caps w:val="0"/>
          <w:color w:val="44546A" w:themeColor="text2"/>
          <w:sz w:val="22"/>
          <w:szCs w:val="22"/>
        </w:rPr>
        <w:t>/response</w:t>
      </w:r>
      <w:r w:rsidRPr="2C85CEDC">
        <w:rPr>
          <w:rFonts w:asciiTheme="majorHAnsi" w:hAnsiTheme="majorHAnsi" w:cstheme="majorBidi"/>
          <w:b w:val="0"/>
          <w:caps w:val="0"/>
          <w:color w:val="44546A" w:themeColor="text2"/>
          <w:sz w:val="22"/>
          <w:szCs w:val="22"/>
        </w:rPr>
        <w:t xml:space="preserve"> services provided to victim-survivors of </w:t>
      </w:r>
      <w:r w:rsidR="00046867" w:rsidRPr="2C85CEDC">
        <w:rPr>
          <w:rFonts w:asciiTheme="majorHAnsi" w:hAnsiTheme="majorHAnsi" w:cstheme="majorBidi"/>
          <w:b w:val="0"/>
          <w:caps w:val="0"/>
          <w:color w:val="44546A" w:themeColor="text2"/>
          <w:sz w:val="22"/>
          <w:szCs w:val="22"/>
        </w:rPr>
        <w:t>SGBV</w:t>
      </w:r>
      <w:r w:rsidRPr="2C85CEDC">
        <w:rPr>
          <w:rFonts w:asciiTheme="majorHAnsi" w:hAnsiTheme="majorHAnsi" w:cstheme="majorBidi"/>
          <w:b w:val="0"/>
          <w:caps w:val="0"/>
          <w:color w:val="44546A" w:themeColor="text2"/>
          <w:sz w:val="22"/>
          <w:szCs w:val="22"/>
        </w:rPr>
        <w:t xml:space="preserve"> through </w:t>
      </w:r>
      <w:r w:rsidR="00CD4802" w:rsidRPr="2C85CEDC">
        <w:rPr>
          <w:rFonts w:asciiTheme="majorHAnsi" w:hAnsiTheme="majorHAnsi" w:cstheme="majorBidi"/>
          <w:b w:val="0"/>
          <w:caps w:val="0"/>
          <w:color w:val="44546A" w:themeColor="text2"/>
          <w:sz w:val="22"/>
          <w:szCs w:val="22"/>
        </w:rPr>
        <w:t xml:space="preserve">DFAT funded </w:t>
      </w:r>
      <w:r w:rsidRPr="2C85CEDC">
        <w:rPr>
          <w:rFonts w:asciiTheme="majorHAnsi" w:hAnsiTheme="majorHAnsi" w:cstheme="majorBidi"/>
          <w:b w:val="0"/>
          <w:caps w:val="0"/>
          <w:color w:val="44546A" w:themeColor="text2"/>
          <w:sz w:val="22"/>
          <w:szCs w:val="22"/>
        </w:rPr>
        <w:t xml:space="preserve">programs. Examples of services that should be counted are: </w:t>
      </w:r>
    </w:p>
    <w:p w14:paraId="38CD9A5B" w14:textId="6F7E7722" w:rsidR="00A50B2C" w:rsidRPr="00876030" w:rsidRDefault="00A50B2C" w:rsidP="2C85CEDC">
      <w:pPr>
        <w:pStyle w:val="ListParagraph"/>
        <w:numPr>
          <w:ilvl w:val="0"/>
          <w:numId w:val="1"/>
        </w:numPr>
        <w:jc w:val="both"/>
        <w:rPr>
          <w:rFonts w:asciiTheme="majorHAnsi" w:eastAsiaTheme="majorEastAsia" w:hAnsiTheme="majorHAnsi" w:cstheme="majorBidi"/>
          <w:caps/>
          <w:color w:val="44546A" w:themeColor="text2"/>
          <w:lang w:eastAsia="en-AU"/>
        </w:rPr>
      </w:pPr>
      <w:r w:rsidRPr="2C85CEDC">
        <w:rPr>
          <w:rFonts w:asciiTheme="majorHAnsi" w:eastAsiaTheme="majorEastAsia" w:hAnsiTheme="majorHAnsi" w:cstheme="majorBidi"/>
          <w:color w:val="44546A" w:themeColor="text2"/>
          <w:lang w:eastAsia="en-AU"/>
        </w:rPr>
        <w:t xml:space="preserve">refuges or emergency shelters </w:t>
      </w:r>
    </w:p>
    <w:p w14:paraId="42A754AC" w14:textId="61AD593F" w:rsidR="00A50B2C" w:rsidRPr="00876030" w:rsidRDefault="00A50B2C" w:rsidP="2C85CEDC">
      <w:pPr>
        <w:pStyle w:val="ListParagraph"/>
        <w:numPr>
          <w:ilvl w:val="0"/>
          <w:numId w:val="1"/>
        </w:numPr>
        <w:jc w:val="both"/>
        <w:rPr>
          <w:rFonts w:asciiTheme="majorHAnsi" w:eastAsiaTheme="majorEastAsia" w:hAnsiTheme="majorHAnsi" w:cstheme="majorBidi"/>
          <w:caps/>
          <w:color w:val="44546A" w:themeColor="text2"/>
          <w:lang w:eastAsia="en-AU"/>
        </w:rPr>
      </w:pPr>
      <w:r w:rsidRPr="2C85CEDC">
        <w:rPr>
          <w:rFonts w:asciiTheme="majorHAnsi" w:eastAsiaTheme="majorEastAsia" w:hAnsiTheme="majorHAnsi" w:cstheme="majorBidi"/>
          <w:color w:val="44546A" w:themeColor="text2"/>
          <w:lang w:eastAsia="en-AU"/>
        </w:rPr>
        <w:t>referral hotlines</w:t>
      </w:r>
    </w:p>
    <w:p w14:paraId="28682C7E" w14:textId="1008D96B" w:rsidR="00A50B2C" w:rsidRPr="00876030" w:rsidRDefault="00A45018" w:rsidP="2C85CEDC">
      <w:pPr>
        <w:pStyle w:val="ListParagraph"/>
        <w:numPr>
          <w:ilvl w:val="0"/>
          <w:numId w:val="1"/>
        </w:numPr>
        <w:jc w:val="both"/>
        <w:rPr>
          <w:rFonts w:asciiTheme="majorHAnsi" w:eastAsiaTheme="majorEastAsia" w:hAnsiTheme="majorHAnsi" w:cstheme="majorBidi"/>
          <w:caps/>
          <w:color w:val="44546A" w:themeColor="text2"/>
          <w:lang w:eastAsia="en-AU"/>
        </w:rPr>
      </w:pPr>
      <w:r w:rsidRPr="2C85CEDC">
        <w:rPr>
          <w:rFonts w:asciiTheme="majorHAnsi" w:eastAsiaTheme="majorEastAsia" w:hAnsiTheme="majorHAnsi" w:cstheme="majorBidi"/>
          <w:color w:val="44546A" w:themeColor="text2"/>
          <w:lang w:eastAsia="en-AU"/>
        </w:rPr>
        <w:t xml:space="preserve">psychosocial services such as </w:t>
      </w:r>
      <w:r w:rsidR="00A50B2C" w:rsidRPr="2C85CEDC">
        <w:rPr>
          <w:rFonts w:asciiTheme="majorHAnsi" w:eastAsiaTheme="majorEastAsia" w:hAnsiTheme="majorHAnsi" w:cstheme="majorBidi"/>
          <w:color w:val="44546A" w:themeColor="text2"/>
          <w:lang w:eastAsia="en-AU"/>
        </w:rPr>
        <w:t xml:space="preserve">counselling </w:t>
      </w:r>
    </w:p>
    <w:p w14:paraId="3F7FA7BA" w14:textId="2B6EB6AF" w:rsidR="00A50B2C" w:rsidRPr="00876030" w:rsidRDefault="00A50B2C" w:rsidP="2C85CEDC">
      <w:pPr>
        <w:pStyle w:val="ListParagraph"/>
        <w:numPr>
          <w:ilvl w:val="0"/>
          <w:numId w:val="1"/>
        </w:numPr>
        <w:jc w:val="both"/>
        <w:rPr>
          <w:rFonts w:asciiTheme="majorHAnsi" w:eastAsiaTheme="majorEastAsia" w:hAnsiTheme="majorHAnsi" w:cstheme="majorBidi"/>
          <w:caps/>
          <w:color w:val="44546A" w:themeColor="text2"/>
          <w:lang w:eastAsia="en-AU"/>
        </w:rPr>
      </w:pPr>
      <w:r w:rsidRPr="2C85CEDC">
        <w:rPr>
          <w:rFonts w:asciiTheme="majorHAnsi" w:eastAsiaTheme="majorEastAsia" w:hAnsiTheme="majorHAnsi" w:cstheme="majorBidi"/>
          <w:color w:val="44546A" w:themeColor="text2"/>
          <w:lang w:eastAsia="en-AU"/>
        </w:rPr>
        <w:t>health services e.g.</w:t>
      </w:r>
      <w:r w:rsidR="005F0DB6" w:rsidRPr="2C85CEDC">
        <w:rPr>
          <w:rFonts w:asciiTheme="majorHAnsi" w:eastAsiaTheme="majorEastAsia" w:hAnsiTheme="majorHAnsi" w:cstheme="majorBidi"/>
          <w:color w:val="44546A" w:themeColor="text2"/>
          <w:lang w:eastAsia="en-AU"/>
        </w:rPr>
        <w:t>,</w:t>
      </w:r>
      <w:r w:rsidRPr="2C85CEDC">
        <w:rPr>
          <w:rFonts w:asciiTheme="majorHAnsi" w:eastAsiaTheme="majorEastAsia" w:hAnsiTheme="majorHAnsi" w:cstheme="majorBidi"/>
          <w:color w:val="44546A" w:themeColor="text2"/>
          <w:lang w:eastAsia="en-AU"/>
        </w:rPr>
        <w:t xml:space="preserve"> medical support at hospitals or public clinics</w:t>
      </w:r>
    </w:p>
    <w:p w14:paraId="12C15543" w14:textId="77777777" w:rsidR="00876030" w:rsidRPr="00876030" w:rsidRDefault="00A50B2C" w:rsidP="2C85CEDC">
      <w:pPr>
        <w:pStyle w:val="ListParagraph"/>
        <w:numPr>
          <w:ilvl w:val="0"/>
          <w:numId w:val="1"/>
        </w:numPr>
        <w:jc w:val="both"/>
        <w:rPr>
          <w:rFonts w:asciiTheme="majorHAnsi" w:eastAsiaTheme="majorEastAsia" w:hAnsiTheme="majorHAnsi" w:cstheme="majorBidi"/>
          <w:caps/>
          <w:color w:val="44546A" w:themeColor="text2"/>
          <w:lang w:eastAsia="en-AU"/>
        </w:rPr>
      </w:pPr>
      <w:r w:rsidRPr="2C85CEDC">
        <w:rPr>
          <w:rFonts w:asciiTheme="majorHAnsi" w:eastAsiaTheme="majorEastAsia" w:hAnsiTheme="majorHAnsi" w:cstheme="majorBidi"/>
          <w:color w:val="44546A" w:themeColor="text2"/>
          <w:lang w:eastAsia="en-AU"/>
        </w:rPr>
        <w:t xml:space="preserve">law and justice services such as protection orders; hearings before traditional or formal justice providers; </w:t>
      </w:r>
      <w:r w:rsidR="00A45018" w:rsidRPr="2C85CEDC">
        <w:rPr>
          <w:rFonts w:asciiTheme="majorHAnsi" w:eastAsiaTheme="majorEastAsia" w:hAnsiTheme="majorHAnsi" w:cstheme="majorBidi"/>
          <w:color w:val="44546A" w:themeColor="text2"/>
          <w:lang w:eastAsia="en-AU"/>
        </w:rPr>
        <w:t xml:space="preserve">provision </w:t>
      </w:r>
      <w:r w:rsidRPr="2C85CEDC">
        <w:rPr>
          <w:rFonts w:asciiTheme="majorHAnsi" w:eastAsiaTheme="majorEastAsia" w:hAnsiTheme="majorHAnsi" w:cstheme="majorBidi"/>
          <w:color w:val="44546A" w:themeColor="text2"/>
          <w:lang w:eastAsia="en-AU"/>
        </w:rPr>
        <w:t>of legal advice.</w:t>
      </w:r>
    </w:p>
    <w:p w14:paraId="32826FAD" w14:textId="77777777" w:rsidR="00876030" w:rsidRPr="00876030" w:rsidRDefault="00876030" w:rsidP="7A3075C7">
      <w:pPr>
        <w:rPr>
          <w:rFonts w:asciiTheme="majorHAnsi" w:eastAsiaTheme="majorEastAsia" w:hAnsiTheme="majorHAnsi" w:cstheme="majorBidi"/>
          <w:i/>
          <w:iCs/>
          <w:caps/>
          <w:color w:val="44546A" w:themeColor="text2"/>
          <w:lang w:eastAsia="en-AU"/>
        </w:rPr>
      </w:pPr>
    </w:p>
    <w:p w14:paraId="444CDC3E" w14:textId="3BB3B965" w:rsidR="00583B62" w:rsidRPr="00766BCF" w:rsidRDefault="00876030" w:rsidP="7A3075C7">
      <w:pPr>
        <w:rPr>
          <w:rFonts w:asciiTheme="majorHAnsi" w:eastAsiaTheme="majorEastAsia" w:hAnsiTheme="majorHAnsi" w:cstheme="majorBidi"/>
          <w:color w:val="000000" w:themeColor="text1"/>
        </w:rPr>
      </w:pPr>
      <w:r w:rsidRPr="7A3075C7">
        <w:rPr>
          <w:rStyle w:val="IntenseEmphasis"/>
          <w:rFonts w:asciiTheme="majorHAnsi" w:eastAsiaTheme="majorEastAsia" w:hAnsiTheme="majorHAnsi" w:cstheme="majorBidi"/>
          <w:color w:val="445369"/>
        </w:rPr>
        <w:t>EXCLUDES:</w:t>
      </w:r>
    </w:p>
    <w:p w14:paraId="43A8C4CB" w14:textId="26C8A5B5" w:rsidR="00583B62" w:rsidRPr="00766BCF" w:rsidRDefault="00766BCF" w:rsidP="2C85CEDC">
      <w:pPr>
        <w:jc w:val="both"/>
        <w:rPr>
          <w:rFonts w:asciiTheme="majorHAnsi" w:eastAsiaTheme="majorEastAsia" w:hAnsiTheme="majorHAnsi" w:cstheme="majorBidi"/>
          <w:color w:val="44546A" w:themeColor="text2"/>
        </w:rPr>
      </w:pPr>
      <w:r w:rsidRPr="2C85CEDC">
        <w:rPr>
          <w:rFonts w:asciiTheme="majorHAnsi" w:eastAsiaTheme="majorEastAsia" w:hAnsiTheme="majorHAnsi" w:cstheme="majorBidi"/>
          <w:color w:val="44546A" w:themeColor="text2"/>
        </w:rPr>
        <w:t xml:space="preserve">Counting excludes supports or infrastructure funded by DFAT that </w:t>
      </w:r>
      <w:r w:rsidR="00B70DDD" w:rsidRPr="2C85CEDC">
        <w:rPr>
          <w:rFonts w:asciiTheme="majorHAnsi" w:eastAsiaTheme="majorEastAsia" w:hAnsiTheme="majorHAnsi" w:cstheme="majorBidi"/>
          <w:color w:val="44546A" w:themeColor="text2"/>
        </w:rPr>
        <w:t>are</w:t>
      </w:r>
      <w:r w:rsidR="00BD2FB2" w:rsidRPr="2C85CEDC">
        <w:rPr>
          <w:rFonts w:asciiTheme="majorHAnsi" w:eastAsiaTheme="majorEastAsia" w:hAnsiTheme="majorHAnsi" w:cstheme="majorBidi"/>
          <w:color w:val="44546A" w:themeColor="text2"/>
        </w:rPr>
        <w:t xml:space="preserve"> </w:t>
      </w:r>
      <w:r w:rsidRPr="2C85CEDC">
        <w:rPr>
          <w:rFonts w:asciiTheme="majorHAnsi" w:eastAsiaTheme="majorEastAsia" w:hAnsiTheme="majorHAnsi" w:cstheme="majorBidi"/>
          <w:color w:val="44546A" w:themeColor="text2"/>
        </w:rPr>
        <w:t>provid</w:t>
      </w:r>
      <w:r w:rsidR="00BD2FB2" w:rsidRPr="2C85CEDC">
        <w:rPr>
          <w:rFonts w:asciiTheme="majorHAnsi" w:eastAsiaTheme="majorEastAsia" w:hAnsiTheme="majorHAnsi" w:cstheme="majorBidi"/>
          <w:color w:val="44546A" w:themeColor="text2"/>
        </w:rPr>
        <w:t>ing</w:t>
      </w:r>
      <w:r w:rsidRPr="2C85CEDC">
        <w:rPr>
          <w:rFonts w:asciiTheme="majorHAnsi" w:eastAsiaTheme="majorEastAsia" w:hAnsiTheme="majorHAnsi" w:cstheme="majorBidi"/>
          <w:color w:val="44546A" w:themeColor="text2"/>
        </w:rPr>
        <w:t xml:space="preserve"> support incidentally. For example, services provided to a </w:t>
      </w:r>
      <w:r w:rsidR="00473D44" w:rsidRPr="2C85CEDC">
        <w:rPr>
          <w:rFonts w:asciiTheme="majorHAnsi" w:eastAsiaTheme="majorEastAsia" w:hAnsiTheme="majorHAnsi" w:cstheme="majorBidi"/>
          <w:color w:val="44546A" w:themeColor="text2"/>
        </w:rPr>
        <w:t>victim-</w:t>
      </w:r>
      <w:r w:rsidRPr="2C85CEDC">
        <w:rPr>
          <w:rFonts w:asciiTheme="majorHAnsi" w:eastAsiaTheme="majorEastAsia" w:hAnsiTheme="majorHAnsi" w:cstheme="majorBidi"/>
          <w:color w:val="44546A" w:themeColor="text2"/>
        </w:rPr>
        <w:t>survivor of violence by an Emergency Department of a hospital, if the hospital</w:t>
      </w:r>
      <w:r w:rsidR="00473D44" w:rsidRPr="2C85CEDC">
        <w:rPr>
          <w:rFonts w:asciiTheme="majorHAnsi" w:eastAsiaTheme="majorEastAsia" w:hAnsiTheme="majorHAnsi" w:cstheme="majorBidi"/>
          <w:color w:val="44546A" w:themeColor="text2"/>
        </w:rPr>
        <w:t xml:space="preserve"> </w:t>
      </w:r>
      <w:r w:rsidRPr="2C85CEDC">
        <w:rPr>
          <w:rFonts w:asciiTheme="majorHAnsi" w:eastAsiaTheme="majorEastAsia" w:hAnsiTheme="majorHAnsi" w:cstheme="majorBidi"/>
          <w:color w:val="44546A" w:themeColor="text2"/>
        </w:rPr>
        <w:t xml:space="preserve">is funded by DFAT but not </w:t>
      </w:r>
      <w:r w:rsidR="00473D44" w:rsidRPr="2C85CEDC">
        <w:rPr>
          <w:rFonts w:asciiTheme="majorHAnsi" w:eastAsiaTheme="majorEastAsia" w:hAnsiTheme="majorHAnsi" w:cstheme="majorBidi"/>
          <w:color w:val="44546A" w:themeColor="text2"/>
        </w:rPr>
        <w:t>the</w:t>
      </w:r>
      <w:r w:rsidRPr="2C85CEDC">
        <w:rPr>
          <w:rFonts w:asciiTheme="majorHAnsi" w:eastAsiaTheme="majorEastAsia" w:hAnsiTheme="majorHAnsi" w:cstheme="majorBidi"/>
          <w:color w:val="44546A" w:themeColor="text2"/>
        </w:rPr>
        <w:t xml:space="preserve"> </w:t>
      </w:r>
      <w:r w:rsidR="00E5249A" w:rsidRPr="2C85CEDC">
        <w:rPr>
          <w:rFonts w:asciiTheme="majorHAnsi" w:eastAsiaTheme="majorEastAsia" w:hAnsiTheme="majorHAnsi" w:cstheme="majorBidi"/>
          <w:color w:val="44546A" w:themeColor="text2"/>
        </w:rPr>
        <w:t xml:space="preserve">specific </w:t>
      </w:r>
      <w:r w:rsidRPr="2C85CEDC">
        <w:rPr>
          <w:rFonts w:asciiTheme="majorHAnsi" w:eastAsiaTheme="majorEastAsia" w:hAnsiTheme="majorHAnsi" w:cstheme="majorBidi"/>
          <w:color w:val="44546A" w:themeColor="text2"/>
        </w:rPr>
        <w:t xml:space="preserve">services </w:t>
      </w:r>
      <w:r w:rsidR="00473D44" w:rsidRPr="2C85CEDC">
        <w:rPr>
          <w:rFonts w:asciiTheme="majorHAnsi" w:eastAsiaTheme="majorEastAsia" w:hAnsiTheme="majorHAnsi" w:cstheme="majorBidi"/>
          <w:color w:val="44546A" w:themeColor="text2"/>
        </w:rPr>
        <w:t xml:space="preserve">provided </w:t>
      </w:r>
      <w:r w:rsidRPr="2C85CEDC">
        <w:rPr>
          <w:rFonts w:asciiTheme="majorHAnsi" w:eastAsiaTheme="majorEastAsia" w:hAnsiTheme="majorHAnsi" w:cstheme="majorBidi"/>
          <w:color w:val="44546A" w:themeColor="text2"/>
        </w:rPr>
        <w:t xml:space="preserve">to survivors of violence. Further, funding for a building that houses services for survivors of </w:t>
      </w:r>
      <w:r w:rsidR="00046867" w:rsidRPr="2C85CEDC">
        <w:rPr>
          <w:rFonts w:asciiTheme="majorHAnsi" w:eastAsiaTheme="majorEastAsia" w:hAnsiTheme="majorHAnsi" w:cstheme="majorBidi"/>
          <w:color w:val="44546A" w:themeColor="text2"/>
        </w:rPr>
        <w:t>SGBV</w:t>
      </w:r>
      <w:r w:rsidRPr="2C85CEDC">
        <w:rPr>
          <w:rFonts w:asciiTheme="majorHAnsi" w:eastAsiaTheme="majorEastAsia" w:hAnsiTheme="majorHAnsi" w:cstheme="majorBidi"/>
          <w:color w:val="44546A" w:themeColor="text2"/>
        </w:rPr>
        <w:t xml:space="preserve">, </w:t>
      </w:r>
      <w:r w:rsidR="001E3565" w:rsidRPr="2C85CEDC">
        <w:rPr>
          <w:rFonts w:asciiTheme="majorHAnsi" w:eastAsiaTheme="majorEastAsia" w:hAnsiTheme="majorHAnsi" w:cstheme="majorBidi"/>
          <w:color w:val="44546A" w:themeColor="text2"/>
        </w:rPr>
        <w:t xml:space="preserve">should not be counted if the </w:t>
      </w:r>
      <w:r w:rsidRPr="2C85CEDC">
        <w:rPr>
          <w:rFonts w:asciiTheme="majorHAnsi" w:eastAsiaTheme="majorEastAsia" w:hAnsiTheme="majorHAnsi" w:cstheme="majorBidi"/>
          <w:color w:val="44546A" w:themeColor="text2"/>
        </w:rPr>
        <w:t xml:space="preserve">services themselves are not </w:t>
      </w:r>
      <w:r w:rsidR="001E3565" w:rsidRPr="2C85CEDC">
        <w:rPr>
          <w:rFonts w:asciiTheme="majorHAnsi" w:eastAsiaTheme="majorEastAsia" w:hAnsiTheme="majorHAnsi" w:cstheme="majorBidi"/>
          <w:color w:val="44546A" w:themeColor="text2"/>
        </w:rPr>
        <w:t>funded</w:t>
      </w:r>
      <w:r w:rsidRPr="2C85CEDC">
        <w:rPr>
          <w:rFonts w:asciiTheme="majorHAnsi" w:eastAsiaTheme="majorEastAsia" w:hAnsiTheme="majorHAnsi" w:cstheme="majorBidi"/>
          <w:color w:val="44546A" w:themeColor="text2"/>
        </w:rPr>
        <w:t xml:space="preserve">. </w:t>
      </w:r>
    </w:p>
    <w:p w14:paraId="0619D047" w14:textId="1FF13AAE" w:rsidR="00583B62" w:rsidRPr="00766BCF" w:rsidRDefault="00583B62" w:rsidP="2C85CEDC">
      <w:pPr>
        <w:jc w:val="both"/>
        <w:rPr>
          <w:rFonts w:asciiTheme="majorHAnsi" w:eastAsiaTheme="majorEastAsia" w:hAnsiTheme="majorHAnsi" w:cstheme="majorBidi"/>
          <w:color w:val="44546A" w:themeColor="text2"/>
        </w:rPr>
      </w:pPr>
    </w:p>
    <w:p w14:paraId="561E5D57" w14:textId="72FA421D" w:rsidR="00583B62" w:rsidRPr="00766BCF" w:rsidRDefault="00397F4C" w:rsidP="2C85CEDC">
      <w:pPr>
        <w:jc w:val="both"/>
        <w:rPr>
          <w:rFonts w:asciiTheme="majorHAnsi" w:eastAsiaTheme="majorEastAsia" w:hAnsiTheme="majorHAnsi" w:cstheme="majorBidi"/>
          <w:color w:val="44546A" w:themeColor="text2"/>
        </w:rPr>
      </w:pPr>
      <w:r w:rsidRPr="2C85CEDC">
        <w:rPr>
          <w:rFonts w:asciiTheme="majorHAnsi" w:eastAsiaTheme="majorEastAsia" w:hAnsiTheme="majorHAnsi" w:cstheme="majorBidi"/>
          <w:color w:val="44546A" w:themeColor="text2"/>
        </w:rPr>
        <w:t xml:space="preserve">Services that </w:t>
      </w:r>
      <w:r w:rsidR="00066859" w:rsidRPr="2C85CEDC">
        <w:rPr>
          <w:rFonts w:asciiTheme="majorHAnsi" w:eastAsiaTheme="majorEastAsia" w:hAnsiTheme="majorHAnsi" w:cstheme="majorBidi"/>
          <w:color w:val="44546A" w:themeColor="text2"/>
        </w:rPr>
        <w:t>are provided to victim</w:t>
      </w:r>
      <w:r w:rsidR="00597DB1" w:rsidRPr="2C85CEDC">
        <w:rPr>
          <w:rFonts w:asciiTheme="majorHAnsi" w:eastAsiaTheme="majorEastAsia" w:hAnsiTheme="majorHAnsi" w:cstheme="majorBidi"/>
          <w:color w:val="44546A" w:themeColor="text2"/>
        </w:rPr>
        <w:t>-survivor</w:t>
      </w:r>
      <w:r w:rsidR="00066859" w:rsidRPr="2C85CEDC">
        <w:rPr>
          <w:rFonts w:asciiTheme="majorHAnsi" w:eastAsiaTheme="majorEastAsia" w:hAnsiTheme="majorHAnsi" w:cstheme="majorBidi"/>
          <w:color w:val="44546A" w:themeColor="text2"/>
        </w:rPr>
        <w:t>s of general violence that is not</w:t>
      </w:r>
      <w:r w:rsidR="005E58EB" w:rsidRPr="2C85CEDC">
        <w:rPr>
          <w:rFonts w:asciiTheme="majorHAnsi" w:eastAsiaTheme="majorEastAsia" w:hAnsiTheme="majorHAnsi" w:cstheme="majorBidi"/>
          <w:color w:val="44546A" w:themeColor="text2"/>
        </w:rPr>
        <w:t xml:space="preserve"> </w:t>
      </w:r>
      <w:r w:rsidR="00D033D5" w:rsidRPr="2C85CEDC">
        <w:rPr>
          <w:rFonts w:asciiTheme="majorHAnsi" w:eastAsiaTheme="majorEastAsia" w:hAnsiTheme="majorHAnsi" w:cstheme="majorBidi"/>
          <w:color w:val="44546A" w:themeColor="text2"/>
        </w:rPr>
        <w:t>specifically sexual and</w:t>
      </w:r>
      <w:r w:rsidR="005E58EB" w:rsidRPr="2C85CEDC">
        <w:rPr>
          <w:rFonts w:asciiTheme="majorHAnsi" w:eastAsiaTheme="majorEastAsia" w:hAnsiTheme="majorHAnsi" w:cstheme="majorBidi"/>
          <w:color w:val="44546A" w:themeColor="text2"/>
        </w:rPr>
        <w:t xml:space="preserve"> gender</w:t>
      </w:r>
      <w:r w:rsidR="00D033D5" w:rsidRPr="2C85CEDC">
        <w:rPr>
          <w:rFonts w:asciiTheme="majorHAnsi" w:eastAsiaTheme="majorEastAsia" w:hAnsiTheme="majorHAnsi" w:cstheme="majorBidi"/>
          <w:color w:val="44546A" w:themeColor="text2"/>
        </w:rPr>
        <w:t xml:space="preserve">-based violence </w:t>
      </w:r>
      <w:r w:rsidR="00583B62" w:rsidRPr="2C85CEDC">
        <w:rPr>
          <w:rFonts w:asciiTheme="majorHAnsi" w:eastAsiaTheme="majorEastAsia" w:hAnsiTheme="majorHAnsi" w:cstheme="majorBidi"/>
          <w:color w:val="44546A" w:themeColor="text2"/>
        </w:rPr>
        <w:t>are not to be counted.</w:t>
      </w:r>
      <w:r w:rsidR="00D033D5" w:rsidRPr="2C85CEDC">
        <w:rPr>
          <w:rFonts w:asciiTheme="majorHAnsi" w:eastAsiaTheme="majorEastAsia" w:hAnsiTheme="majorHAnsi" w:cstheme="majorBidi"/>
          <w:color w:val="44546A" w:themeColor="text2"/>
        </w:rPr>
        <w:t xml:space="preserve"> See above definition for clarification.</w:t>
      </w:r>
      <w:r w:rsidR="774D6A7B" w:rsidRPr="2C85CEDC">
        <w:rPr>
          <w:rFonts w:asciiTheme="majorHAnsi" w:eastAsiaTheme="majorEastAsia" w:hAnsiTheme="majorHAnsi" w:cstheme="majorBidi"/>
          <w:color w:val="44546A" w:themeColor="text2"/>
        </w:rPr>
        <w:t xml:space="preserve"> </w:t>
      </w:r>
      <w:r w:rsidR="00D033D5" w:rsidRPr="2C85CEDC">
        <w:rPr>
          <w:rFonts w:asciiTheme="majorHAnsi" w:eastAsiaTheme="majorEastAsia" w:hAnsiTheme="majorHAnsi" w:cstheme="majorBidi"/>
          <w:color w:val="44546A" w:themeColor="text2"/>
        </w:rPr>
        <w:t>E</w:t>
      </w:r>
      <w:r w:rsidR="00583B62" w:rsidRPr="2C85CEDC">
        <w:rPr>
          <w:rFonts w:asciiTheme="majorHAnsi" w:eastAsiaTheme="majorEastAsia" w:hAnsiTheme="majorHAnsi" w:cstheme="majorBidi"/>
          <w:color w:val="44546A" w:themeColor="text2"/>
        </w:rPr>
        <w:t xml:space="preserve">nding sexual and gender-based violence activities that are not </w:t>
      </w:r>
      <w:r w:rsidR="00D033D5" w:rsidRPr="2C85CEDC">
        <w:rPr>
          <w:rFonts w:asciiTheme="majorHAnsi" w:eastAsiaTheme="majorEastAsia" w:hAnsiTheme="majorHAnsi" w:cstheme="majorBidi"/>
          <w:color w:val="44546A" w:themeColor="text2"/>
        </w:rPr>
        <w:t xml:space="preserve">specifically </w:t>
      </w:r>
      <w:r w:rsidR="005F2D4E" w:rsidRPr="2C85CEDC">
        <w:rPr>
          <w:rFonts w:asciiTheme="majorHAnsi" w:eastAsiaTheme="majorEastAsia" w:hAnsiTheme="majorHAnsi" w:cstheme="majorBidi"/>
          <w:color w:val="44546A" w:themeColor="text2"/>
        </w:rPr>
        <w:t xml:space="preserve">delivering </w:t>
      </w:r>
      <w:r w:rsidR="003E0F97" w:rsidRPr="2C85CEDC">
        <w:rPr>
          <w:rFonts w:asciiTheme="majorHAnsi" w:eastAsiaTheme="majorEastAsia" w:hAnsiTheme="majorHAnsi" w:cstheme="majorBidi"/>
          <w:color w:val="44546A" w:themeColor="text2"/>
        </w:rPr>
        <w:t xml:space="preserve">response services to victim-survivors are not </w:t>
      </w:r>
      <w:r w:rsidR="00330AFF" w:rsidRPr="2C85CEDC">
        <w:rPr>
          <w:rFonts w:asciiTheme="majorHAnsi" w:eastAsiaTheme="majorEastAsia" w:hAnsiTheme="majorHAnsi" w:cstheme="majorBidi"/>
          <w:color w:val="44546A" w:themeColor="text2"/>
        </w:rPr>
        <w:t>included</w:t>
      </w:r>
      <w:r w:rsidR="003E0F97" w:rsidRPr="2C85CEDC">
        <w:rPr>
          <w:rFonts w:asciiTheme="majorHAnsi" w:eastAsiaTheme="majorEastAsia" w:hAnsiTheme="majorHAnsi" w:cstheme="majorBidi"/>
          <w:color w:val="44546A" w:themeColor="text2"/>
        </w:rPr>
        <w:t xml:space="preserve">. </w:t>
      </w:r>
      <w:r w:rsidR="00B87226" w:rsidRPr="2C85CEDC">
        <w:rPr>
          <w:rFonts w:asciiTheme="majorHAnsi" w:eastAsiaTheme="majorEastAsia" w:hAnsiTheme="majorHAnsi" w:cstheme="majorBidi"/>
          <w:color w:val="44546A" w:themeColor="text2"/>
        </w:rPr>
        <w:t>For example</w:t>
      </w:r>
      <w:r w:rsidR="00F40FF2" w:rsidRPr="2C85CEDC">
        <w:rPr>
          <w:rFonts w:asciiTheme="majorHAnsi" w:eastAsiaTheme="majorEastAsia" w:hAnsiTheme="majorHAnsi" w:cstheme="majorBidi"/>
          <w:color w:val="44546A" w:themeColor="text2"/>
        </w:rPr>
        <w:t>,</w:t>
      </w:r>
      <w:r w:rsidR="003E0F97" w:rsidRPr="2C85CEDC">
        <w:rPr>
          <w:rFonts w:asciiTheme="majorHAnsi" w:eastAsiaTheme="majorEastAsia" w:hAnsiTheme="majorHAnsi" w:cstheme="majorBidi"/>
          <w:color w:val="44546A" w:themeColor="text2"/>
        </w:rPr>
        <w:t xml:space="preserve"> </w:t>
      </w:r>
      <w:r w:rsidR="008355EF" w:rsidRPr="2C85CEDC">
        <w:rPr>
          <w:rFonts w:asciiTheme="majorHAnsi" w:eastAsiaTheme="majorEastAsia" w:hAnsiTheme="majorHAnsi" w:cstheme="majorBidi"/>
          <w:color w:val="44546A" w:themeColor="text2"/>
        </w:rPr>
        <w:t xml:space="preserve">prevention activities, advocacy campaigns, </w:t>
      </w:r>
      <w:r w:rsidR="005F2D4E" w:rsidRPr="2C85CEDC">
        <w:rPr>
          <w:rFonts w:asciiTheme="majorHAnsi" w:eastAsiaTheme="majorEastAsia" w:hAnsiTheme="majorHAnsi" w:cstheme="majorBidi"/>
          <w:color w:val="44546A" w:themeColor="text2"/>
        </w:rPr>
        <w:t xml:space="preserve">perpetrator programs, </w:t>
      </w:r>
      <w:r w:rsidR="00EF59B1" w:rsidRPr="2C85CEDC">
        <w:rPr>
          <w:rFonts w:asciiTheme="majorHAnsi" w:eastAsiaTheme="majorEastAsia" w:hAnsiTheme="majorHAnsi" w:cstheme="majorBidi"/>
          <w:color w:val="44546A" w:themeColor="text2"/>
        </w:rPr>
        <w:t xml:space="preserve">training of service providers, </w:t>
      </w:r>
      <w:r w:rsidR="008355EF" w:rsidRPr="2C85CEDC">
        <w:rPr>
          <w:rFonts w:asciiTheme="majorHAnsi" w:eastAsiaTheme="majorEastAsia" w:hAnsiTheme="majorHAnsi" w:cstheme="majorBidi"/>
          <w:color w:val="44546A" w:themeColor="text2"/>
        </w:rPr>
        <w:t xml:space="preserve">etc. </w:t>
      </w:r>
      <w:r w:rsidR="00896661" w:rsidRPr="2C85CEDC">
        <w:rPr>
          <w:rFonts w:asciiTheme="majorHAnsi" w:eastAsiaTheme="majorEastAsia" w:hAnsiTheme="majorHAnsi" w:cstheme="majorBidi"/>
          <w:color w:val="44546A" w:themeColor="text2"/>
        </w:rPr>
        <w:t xml:space="preserve">Program managers are welcome to include a description of these activities </w:t>
      </w:r>
      <w:r w:rsidR="00EF59B1" w:rsidRPr="2C85CEDC">
        <w:rPr>
          <w:rFonts w:asciiTheme="majorHAnsi" w:eastAsiaTheme="majorEastAsia" w:hAnsiTheme="majorHAnsi" w:cstheme="majorBidi"/>
          <w:color w:val="44546A" w:themeColor="text2"/>
        </w:rPr>
        <w:t>in the</w:t>
      </w:r>
      <w:r w:rsidR="00896661" w:rsidRPr="2C85CEDC">
        <w:rPr>
          <w:rFonts w:asciiTheme="majorHAnsi" w:eastAsiaTheme="majorEastAsia" w:hAnsiTheme="majorHAnsi" w:cstheme="majorBidi"/>
          <w:color w:val="44546A" w:themeColor="text2"/>
        </w:rPr>
        <w:t xml:space="preserve"> case study</w:t>
      </w:r>
      <w:r w:rsidR="00330AFF" w:rsidRPr="2C85CEDC">
        <w:rPr>
          <w:rFonts w:asciiTheme="majorHAnsi" w:eastAsiaTheme="majorEastAsia" w:hAnsiTheme="majorHAnsi" w:cstheme="majorBidi"/>
          <w:color w:val="44546A" w:themeColor="text2"/>
        </w:rPr>
        <w:t xml:space="preserve"> section</w:t>
      </w:r>
      <w:r w:rsidR="00896661" w:rsidRPr="2C85CEDC">
        <w:rPr>
          <w:rFonts w:asciiTheme="majorHAnsi" w:eastAsiaTheme="majorEastAsia" w:hAnsiTheme="majorHAnsi" w:cstheme="majorBidi"/>
          <w:color w:val="44546A" w:themeColor="text2"/>
        </w:rPr>
        <w:t>.</w:t>
      </w:r>
    </w:p>
    <w:p w14:paraId="6D943109" w14:textId="31CE381F" w:rsidR="001A3142" w:rsidRPr="00876030" w:rsidRDefault="00C4292B" w:rsidP="03C030B7">
      <w:pPr>
        <w:pStyle w:val="Heading2"/>
        <w:spacing w:before="120" w:line="240" w:lineRule="auto"/>
        <w:rPr>
          <w:rFonts w:asciiTheme="majorHAnsi" w:hAnsiTheme="majorHAnsi" w:cstheme="majorBidi"/>
        </w:rPr>
      </w:pPr>
      <w:r w:rsidRPr="03C030B7">
        <w:rPr>
          <w:rFonts w:asciiTheme="majorHAnsi" w:hAnsiTheme="majorHAnsi" w:cstheme="majorBidi"/>
        </w:rPr>
        <w:t>calculation met</w:t>
      </w:r>
      <w:r w:rsidR="001A3142" w:rsidRPr="03C030B7">
        <w:rPr>
          <w:rFonts w:asciiTheme="majorHAnsi" w:hAnsiTheme="majorHAnsi" w:cstheme="majorBidi"/>
        </w:rPr>
        <w:t>hod</w:t>
      </w:r>
    </w:p>
    <w:p w14:paraId="20C7C1F7" w14:textId="0B50EDDD" w:rsidR="00EF59B1" w:rsidRPr="00EF59B1" w:rsidRDefault="00EF59B1"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 xml:space="preserve">Please provide a very short (couple of sentences) description of the activity to assure the reader that the </w:t>
      </w:r>
      <w:r w:rsidR="0040397E" w:rsidRPr="2C85CEDC">
        <w:rPr>
          <w:rFonts w:asciiTheme="majorHAnsi" w:eastAsiaTheme="majorEastAsia" w:hAnsiTheme="majorHAnsi" w:cstheme="majorBidi"/>
        </w:rPr>
        <w:t>services being</w:t>
      </w:r>
      <w:r w:rsidRPr="2C85CEDC">
        <w:rPr>
          <w:rFonts w:asciiTheme="majorHAnsi" w:eastAsiaTheme="majorEastAsia" w:hAnsiTheme="majorHAnsi" w:cstheme="majorBidi"/>
        </w:rPr>
        <w:t xml:space="preserve"> reported are legitimately counted as </w:t>
      </w:r>
      <w:r w:rsidR="00E577D7" w:rsidRPr="2C85CEDC">
        <w:rPr>
          <w:rFonts w:asciiTheme="majorHAnsi" w:eastAsiaTheme="majorEastAsia" w:hAnsiTheme="majorHAnsi" w:cstheme="majorBidi"/>
        </w:rPr>
        <w:t xml:space="preserve">services to survivors of </w:t>
      </w:r>
      <w:r w:rsidR="0040397E" w:rsidRPr="2C85CEDC">
        <w:rPr>
          <w:rFonts w:asciiTheme="majorHAnsi" w:eastAsiaTheme="majorEastAsia" w:hAnsiTheme="majorHAnsi" w:cstheme="majorBidi"/>
        </w:rPr>
        <w:t xml:space="preserve">sexual and gender-based violence </w:t>
      </w:r>
      <w:r w:rsidRPr="2C85CEDC">
        <w:rPr>
          <w:rFonts w:asciiTheme="majorHAnsi" w:eastAsiaTheme="majorEastAsia" w:hAnsiTheme="majorHAnsi" w:cstheme="majorBidi"/>
        </w:rPr>
        <w:t xml:space="preserve">and the </w:t>
      </w:r>
      <w:r w:rsidR="00E577D7" w:rsidRPr="2C85CEDC">
        <w:rPr>
          <w:rFonts w:asciiTheme="majorHAnsi" w:eastAsiaTheme="majorEastAsia" w:hAnsiTheme="majorHAnsi" w:cstheme="majorBidi"/>
        </w:rPr>
        <w:t xml:space="preserve">services </w:t>
      </w:r>
      <w:r w:rsidR="0040397E" w:rsidRPr="2C85CEDC">
        <w:rPr>
          <w:rFonts w:asciiTheme="majorHAnsi" w:eastAsiaTheme="majorEastAsia" w:hAnsiTheme="majorHAnsi" w:cstheme="majorBidi"/>
        </w:rPr>
        <w:t>delivered</w:t>
      </w:r>
      <w:r w:rsidRPr="2C85CEDC">
        <w:rPr>
          <w:rFonts w:asciiTheme="majorHAnsi" w:eastAsiaTheme="majorEastAsia" w:hAnsiTheme="majorHAnsi" w:cstheme="majorBidi"/>
        </w:rPr>
        <w:t xml:space="preserve"> </w:t>
      </w:r>
      <w:r w:rsidR="00E577D7" w:rsidRPr="2C85CEDC">
        <w:rPr>
          <w:rFonts w:asciiTheme="majorHAnsi" w:eastAsiaTheme="majorEastAsia" w:hAnsiTheme="majorHAnsi" w:cstheme="majorBidi"/>
        </w:rPr>
        <w:t>are</w:t>
      </w:r>
      <w:r w:rsidRPr="2C85CEDC">
        <w:rPr>
          <w:rFonts w:asciiTheme="majorHAnsi" w:eastAsiaTheme="majorEastAsia" w:hAnsiTheme="majorHAnsi" w:cstheme="majorBidi"/>
        </w:rPr>
        <w:t xml:space="preserve"> legitimately covered by the above definitions</w:t>
      </w:r>
      <w:r w:rsidR="0040397E" w:rsidRPr="2C85CEDC">
        <w:rPr>
          <w:rFonts w:asciiTheme="majorHAnsi" w:eastAsiaTheme="majorEastAsia" w:hAnsiTheme="majorHAnsi" w:cstheme="majorBidi"/>
        </w:rPr>
        <w:t>.</w:t>
      </w:r>
    </w:p>
    <w:p w14:paraId="1071C87C" w14:textId="2553BB0C" w:rsidR="00A56E34" w:rsidRDefault="00A56E34"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lastRenderedPageBreak/>
        <w:t xml:space="preserve">If a partner is only able to report on the number of victim-survivors who have received services, it should be assumed that each victim-survivor accessed a service </w:t>
      </w:r>
      <w:r w:rsidR="00AA088B" w:rsidRPr="2C85CEDC">
        <w:rPr>
          <w:rFonts w:asciiTheme="majorHAnsi" w:eastAsiaTheme="majorEastAsia" w:hAnsiTheme="majorHAnsi" w:cstheme="majorBidi"/>
        </w:rPr>
        <w:t xml:space="preserve">at least </w:t>
      </w:r>
      <w:r w:rsidRPr="2C85CEDC">
        <w:rPr>
          <w:rFonts w:asciiTheme="majorHAnsi" w:eastAsiaTheme="majorEastAsia" w:hAnsiTheme="majorHAnsi" w:cstheme="majorBidi"/>
        </w:rPr>
        <w:t xml:space="preserve">once. For example, if a program reports that 200 victim-survivors accessed their services, this should be counted as 200 incidences of service provision. </w:t>
      </w:r>
    </w:p>
    <w:p w14:paraId="67FBD393" w14:textId="0E8FD3A1" w:rsidR="00AA0334" w:rsidRPr="00AA0334" w:rsidRDefault="00AA0334"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 xml:space="preserve">Where an investment is funded by other parties in addition to DFAT – such as partner governments, other donors, multilateral organisations or other Australian Government departments and agencies – the result should reflect a pro-rata share of DFAT’s funding relative to the total funding. This should be based on Australia’s share of the total investment value in the reporting year. </w:t>
      </w:r>
      <w:r w:rsidR="009C5B0D" w:rsidRPr="2C85CEDC">
        <w:rPr>
          <w:rFonts w:asciiTheme="majorHAnsi" w:eastAsiaTheme="majorEastAsia" w:hAnsiTheme="majorHAnsi" w:cstheme="majorBidi"/>
        </w:rPr>
        <w:t>Please</w:t>
      </w:r>
      <w:r w:rsidR="00475BAE" w:rsidRPr="2C85CEDC">
        <w:rPr>
          <w:rFonts w:asciiTheme="majorHAnsi" w:eastAsiaTheme="majorEastAsia" w:hAnsiTheme="majorHAnsi" w:cstheme="majorBidi"/>
        </w:rPr>
        <w:t xml:space="preserve"> provide your working out,</w:t>
      </w:r>
      <w:r w:rsidR="009C5B0D" w:rsidRPr="2C85CEDC">
        <w:rPr>
          <w:rFonts w:asciiTheme="majorHAnsi" w:eastAsiaTheme="majorEastAsia" w:hAnsiTheme="majorHAnsi" w:cstheme="majorBidi"/>
        </w:rPr>
        <w:t xml:space="preserve"> us</w:t>
      </w:r>
      <w:r w:rsidR="00475BAE" w:rsidRPr="2C85CEDC">
        <w:rPr>
          <w:rFonts w:asciiTheme="majorHAnsi" w:eastAsiaTheme="majorEastAsia" w:hAnsiTheme="majorHAnsi" w:cstheme="majorBidi"/>
        </w:rPr>
        <w:t>ing</w:t>
      </w:r>
      <w:r w:rsidR="009C5B0D" w:rsidRPr="2C85CEDC">
        <w:rPr>
          <w:rFonts w:asciiTheme="majorHAnsi" w:eastAsiaTheme="majorEastAsia" w:hAnsiTheme="majorHAnsi" w:cstheme="majorBidi"/>
        </w:rPr>
        <w:t xml:space="preserve"> t</w:t>
      </w:r>
      <w:r w:rsidRPr="2C85CEDC">
        <w:rPr>
          <w:rFonts w:asciiTheme="majorHAnsi" w:eastAsiaTheme="majorEastAsia" w:hAnsiTheme="majorHAnsi" w:cstheme="majorBidi"/>
        </w:rPr>
        <w:t xml:space="preserve">he following </w:t>
      </w:r>
      <w:r w:rsidR="00475BAE" w:rsidRPr="2C85CEDC">
        <w:rPr>
          <w:rFonts w:asciiTheme="majorHAnsi" w:eastAsiaTheme="majorEastAsia" w:hAnsiTheme="majorHAnsi" w:cstheme="majorBidi"/>
        </w:rPr>
        <w:t>to</w:t>
      </w:r>
      <w:r w:rsidRPr="2C85CEDC">
        <w:rPr>
          <w:rFonts w:asciiTheme="majorHAnsi" w:eastAsiaTheme="majorEastAsia" w:hAnsiTheme="majorHAnsi" w:cstheme="majorBidi"/>
        </w:rPr>
        <w:t xml:space="preserve"> calculat</w:t>
      </w:r>
      <w:r w:rsidR="00475BAE" w:rsidRPr="2C85CEDC">
        <w:rPr>
          <w:rFonts w:asciiTheme="majorHAnsi" w:eastAsiaTheme="majorEastAsia" w:hAnsiTheme="majorHAnsi" w:cstheme="majorBidi"/>
        </w:rPr>
        <w:t>e</w:t>
      </w:r>
      <w:r w:rsidRPr="2C85CEDC">
        <w:rPr>
          <w:rFonts w:asciiTheme="majorHAnsi" w:eastAsiaTheme="majorEastAsia" w:hAnsiTheme="majorHAnsi" w:cstheme="majorBidi"/>
        </w:rPr>
        <w:t xml:space="preserve"> Australia’s pro rata contribution to results:</w:t>
      </w:r>
    </w:p>
    <w:p w14:paraId="42F09CB2" w14:textId="21C41EB4" w:rsidR="00AA0334" w:rsidRPr="00AA0334" w:rsidRDefault="00AA0334" w:rsidP="2C85CEDC">
      <w:pPr>
        <w:pStyle w:val="BodyText"/>
        <w:numPr>
          <w:ilvl w:val="1"/>
          <w:numId w:val="12"/>
        </w:numPr>
        <w:jc w:val="both"/>
        <w:rPr>
          <w:rFonts w:asciiTheme="majorHAnsi" w:eastAsiaTheme="majorEastAsia" w:hAnsiTheme="majorHAnsi" w:cstheme="majorBidi"/>
        </w:rPr>
      </w:pPr>
      <w:r w:rsidRPr="2C85CEDC">
        <w:rPr>
          <w:rFonts w:asciiTheme="majorHAnsi" w:eastAsiaTheme="majorEastAsia" w:hAnsiTheme="majorHAnsi" w:cstheme="majorBidi"/>
        </w:rPr>
        <w:t>The total value of the investment (this represents the total of all donor/contributor amounts) for the reporting year – for example, AUD10,000,000</w:t>
      </w:r>
    </w:p>
    <w:p w14:paraId="23B840E4" w14:textId="35E02B0E" w:rsidR="00AA0334" w:rsidRPr="00AA0334" w:rsidRDefault="00AA0334" w:rsidP="2C85CEDC">
      <w:pPr>
        <w:pStyle w:val="BodyText"/>
        <w:numPr>
          <w:ilvl w:val="1"/>
          <w:numId w:val="12"/>
        </w:numPr>
        <w:jc w:val="both"/>
        <w:rPr>
          <w:rFonts w:asciiTheme="majorHAnsi" w:eastAsiaTheme="majorEastAsia" w:hAnsiTheme="majorHAnsi" w:cstheme="majorBidi"/>
        </w:rPr>
      </w:pPr>
      <w:r w:rsidRPr="2C85CEDC">
        <w:rPr>
          <w:rFonts w:asciiTheme="majorHAnsi" w:eastAsiaTheme="majorEastAsia" w:hAnsiTheme="majorHAnsi" w:cstheme="majorBidi"/>
        </w:rPr>
        <w:t>Australia’s percentage share of the total value of the investment for the reporting year (calculated in the same currency) – for example, Australia provided AUD2,000,000 in the reporting year</w:t>
      </w:r>
      <w:r w:rsidR="00E04A90" w:rsidRPr="2C85CEDC">
        <w:rPr>
          <w:rFonts w:asciiTheme="majorHAnsi" w:eastAsiaTheme="majorEastAsia" w:hAnsiTheme="majorHAnsi" w:cstheme="majorBidi"/>
        </w:rPr>
        <w:t>,</w:t>
      </w:r>
      <w:r w:rsidRPr="2C85CEDC">
        <w:rPr>
          <w:rFonts w:asciiTheme="majorHAnsi" w:eastAsiaTheme="majorEastAsia" w:hAnsiTheme="majorHAnsi" w:cstheme="majorBidi"/>
        </w:rPr>
        <w:t xml:space="preserve"> 2,000,000/10,000,000 x 100/1 = 20%</w:t>
      </w:r>
    </w:p>
    <w:p w14:paraId="6E9E37B4" w14:textId="6BE610A4" w:rsidR="00AA0334" w:rsidRPr="00AA0334" w:rsidRDefault="00AA0334" w:rsidP="2C85CEDC">
      <w:pPr>
        <w:pStyle w:val="BodyText"/>
        <w:numPr>
          <w:ilvl w:val="1"/>
          <w:numId w:val="12"/>
        </w:numPr>
        <w:jc w:val="both"/>
        <w:rPr>
          <w:rFonts w:asciiTheme="majorHAnsi" w:eastAsiaTheme="majorEastAsia" w:hAnsiTheme="majorHAnsi" w:cstheme="majorBidi"/>
        </w:rPr>
      </w:pPr>
      <w:r w:rsidRPr="2C85CEDC">
        <w:rPr>
          <w:rFonts w:asciiTheme="majorHAnsi" w:eastAsiaTheme="majorEastAsia" w:hAnsiTheme="majorHAnsi" w:cstheme="majorBidi"/>
        </w:rPr>
        <w:t xml:space="preserve">Total number of </w:t>
      </w:r>
      <w:r w:rsidR="00EF5F32" w:rsidRPr="2C85CEDC">
        <w:rPr>
          <w:rFonts w:asciiTheme="majorHAnsi" w:eastAsiaTheme="majorEastAsia" w:hAnsiTheme="majorHAnsi" w:cstheme="majorBidi"/>
        </w:rPr>
        <w:t>services provide</w:t>
      </w:r>
      <w:r w:rsidRPr="2C85CEDC">
        <w:rPr>
          <w:rFonts w:asciiTheme="majorHAnsi" w:eastAsiaTheme="majorEastAsia" w:hAnsiTheme="majorHAnsi" w:cstheme="majorBidi"/>
        </w:rPr>
        <w:t xml:space="preserve">d (by all donors) in the reporting year – </w:t>
      </w:r>
      <w:proofErr w:type="gramStart"/>
      <w:r w:rsidRPr="2C85CEDC">
        <w:rPr>
          <w:rFonts w:asciiTheme="majorHAnsi" w:eastAsiaTheme="majorEastAsia" w:hAnsiTheme="majorHAnsi" w:cstheme="majorBidi"/>
        </w:rPr>
        <w:t>2,500</w:t>
      </w:r>
      <w:proofErr w:type="gramEnd"/>
    </w:p>
    <w:p w14:paraId="329697F6" w14:textId="2FF36601" w:rsidR="00D46DCD" w:rsidRPr="00D46DCD" w:rsidRDefault="00AA0334" w:rsidP="2C85CEDC">
      <w:pPr>
        <w:pStyle w:val="BodyText"/>
        <w:numPr>
          <w:ilvl w:val="1"/>
          <w:numId w:val="12"/>
        </w:numPr>
        <w:jc w:val="both"/>
        <w:rPr>
          <w:rFonts w:asciiTheme="majorHAnsi" w:eastAsiaTheme="majorEastAsia" w:hAnsiTheme="majorHAnsi" w:cstheme="majorBidi"/>
        </w:rPr>
      </w:pPr>
      <w:r w:rsidRPr="2C85CEDC">
        <w:rPr>
          <w:rFonts w:asciiTheme="majorHAnsi" w:eastAsiaTheme="majorEastAsia" w:hAnsiTheme="majorHAnsi" w:cstheme="majorBidi"/>
        </w:rPr>
        <w:t xml:space="preserve">Australia’s pro rata share of the total number of </w:t>
      </w:r>
      <w:r w:rsidR="00D46DCD" w:rsidRPr="2C85CEDC">
        <w:rPr>
          <w:rFonts w:asciiTheme="majorHAnsi" w:eastAsiaTheme="majorEastAsia" w:hAnsiTheme="majorHAnsi" w:cstheme="majorBidi"/>
        </w:rPr>
        <w:t>services provided</w:t>
      </w:r>
      <w:r w:rsidRPr="2C85CEDC">
        <w:rPr>
          <w:rFonts w:asciiTheme="majorHAnsi" w:eastAsiaTheme="majorEastAsia" w:hAnsiTheme="majorHAnsi" w:cstheme="majorBidi"/>
        </w:rPr>
        <w:t xml:space="preserve"> for the reporting year – 20/100 (20%) x 2,500 = 500</w:t>
      </w:r>
    </w:p>
    <w:p w14:paraId="4E835ECC" w14:textId="0EA13740" w:rsidR="002934C6" w:rsidRDefault="002934C6"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The same currency must be used when calculating the share of Australia’s contribution. If currency conversion is required, it is recommended that the exchange rate at the end of the reporting period is used (please list the exchange rate and date).</w:t>
      </w:r>
    </w:p>
    <w:p w14:paraId="66C6640F" w14:textId="59D157C8" w:rsidR="00C10B0F" w:rsidRDefault="00C10B0F"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If the investment is only funded by DFAT, please note this in the calculation method for the QA reviewer’s awareness.</w:t>
      </w:r>
    </w:p>
    <w:p w14:paraId="5E03DAEC" w14:textId="5515A834" w:rsidR="001A3142" w:rsidRPr="00876030" w:rsidRDefault="001A3142" w:rsidP="03C030B7">
      <w:pPr>
        <w:pStyle w:val="Heading2"/>
        <w:spacing w:before="120" w:line="240" w:lineRule="auto"/>
        <w:rPr>
          <w:rFonts w:asciiTheme="majorHAnsi" w:hAnsiTheme="majorHAnsi" w:cstheme="majorBidi"/>
        </w:rPr>
      </w:pPr>
      <w:r w:rsidRPr="03C030B7">
        <w:rPr>
          <w:rFonts w:asciiTheme="majorHAnsi" w:hAnsiTheme="majorHAnsi" w:cstheme="majorBidi"/>
        </w:rPr>
        <w:t>data</w:t>
      </w:r>
      <w:r w:rsidR="00FD50D2">
        <w:rPr>
          <w:rFonts w:asciiTheme="majorHAnsi" w:hAnsiTheme="majorHAnsi" w:cstheme="majorBidi"/>
        </w:rPr>
        <w:t>8</w:t>
      </w:r>
      <w:r w:rsidRPr="03C030B7">
        <w:rPr>
          <w:rFonts w:asciiTheme="majorHAnsi" w:hAnsiTheme="majorHAnsi" w:cstheme="majorBidi"/>
        </w:rPr>
        <w:t xml:space="preserve"> source/s</w:t>
      </w:r>
    </w:p>
    <w:p w14:paraId="0089A4C4" w14:textId="4B1A193B" w:rsidR="001C1620" w:rsidRPr="001C1620" w:rsidRDefault="001C1620"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 xml:space="preserve">Results under this indicator may be reported by bilateral, regional, </w:t>
      </w:r>
      <w:proofErr w:type="gramStart"/>
      <w:r w:rsidRPr="2C85CEDC">
        <w:rPr>
          <w:rFonts w:asciiTheme="majorHAnsi" w:eastAsiaTheme="majorEastAsia" w:hAnsiTheme="majorHAnsi" w:cstheme="majorBidi"/>
        </w:rPr>
        <w:t>global</w:t>
      </w:r>
      <w:proofErr w:type="gramEnd"/>
      <w:r w:rsidRPr="2C85CEDC">
        <w:rPr>
          <w:rFonts w:asciiTheme="majorHAnsi" w:eastAsiaTheme="majorEastAsia" w:hAnsiTheme="majorHAnsi" w:cstheme="majorBidi"/>
        </w:rPr>
        <w:t xml:space="preserve"> or multilateral programs. Credible sources of quantitative data for the reporting period in question should be used, </w:t>
      </w:r>
      <w:r w:rsidR="004970A1" w:rsidRPr="2C85CEDC">
        <w:rPr>
          <w:rFonts w:asciiTheme="majorHAnsi" w:eastAsiaTheme="majorEastAsia" w:hAnsiTheme="majorHAnsi" w:cstheme="majorBidi"/>
        </w:rPr>
        <w:t>for example</w:t>
      </w:r>
      <w:r w:rsidRPr="2C85CEDC">
        <w:rPr>
          <w:rFonts w:asciiTheme="majorHAnsi" w:eastAsiaTheme="majorEastAsia" w:hAnsiTheme="majorHAnsi" w:cstheme="majorBidi"/>
        </w:rPr>
        <w:t xml:space="preserve"> partner annual reports.</w:t>
      </w:r>
    </w:p>
    <w:p w14:paraId="10F7B0B6" w14:textId="7C41C686" w:rsidR="001A3142" w:rsidRPr="00876030" w:rsidRDefault="001A3142" w:rsidP="03C030B7">
      <w:pPr>
        <w:pStyle w:val="Heading2"/>
        <w:spacing w:before="120" w:line="240" w:lineRule="auto"/>
        <w:rPr>
          <w:rFonts w:asciiTheme="majorHAnsi" w:hAnsiTheme="majorHAnsi" w:cstheme="majorBidi"/>
        </w:rPr>
      </w:pPr>
      <w:r w:rsidRPr="03C030B7">
        <w:rPr>
          <w:rFonts w:asciiTheme="majorHAnsi" w:hAnsiTheme="majorHAnsi" w:cstheme="majorBidi"/>
        </w:rPr>
        <w:t>disaggregation</w:t>
      </w:r>
    </w:p>
    <w:p w14:paraId="37684041" w14:textId="7CDAA2D0" w:rsidR="00CD5FCE" w:rsidRPr="00CD5FCE" w:rsidRDefault="00CD5FCE" w:rsidP="2C85CEDC">
      <w:pPr>
        <w:jc w:val="both"/>
        <w:rPr>
          <w:rFonts w:asciiTheme="majorHAnsi" w:eastAsiaTheme="majorEastAsia" w:hAnsiTheme="majorHAnsi" w:cstheme="majorBidi"/>
          <w:color w:val="44546A" w:themeColor="text2"/>
          <w:lang w:val="en-GB"/>
        </w:rPr>
      </w:pPr>
      <w:r w:rsidRPr="2C85CEDC">
        <w:rPr>
          <w:rFonts w:asciiTheme="majorHAnsi" w:eastAsiaTheme="majorEastAsia" w:hAnsiTheme="majorHAnsi" w:cstheme="majorBidi"/>
          <w:color w:val="44546A" w:themeColor="text2"/>
          <w:lang w:val="en-GB"/>
        </w:rPr>
        <w:t xml:space="preserve">Where possible, please disaggregate data </w:t>
      </w:r>
      <w:r w:rsidR="002979FB" w:rsidRPr="2C85CEDC">
        <w:rPr>
          <w:rFonts w:asciiTheme="majorHAnsi" w:eastAsiaTheme="majorEastAsia" w:hAnsiTheme="majorHAnsi" w:cstheme="majorBidi"/>
          <w:color w:val="44546A" w:themeColor="text2"/>
          <w:lang w:val="en-GB"/>
        </w:rPr>
        <w:t xml:space="preserve">by </w:t>
      </w:r>
      <w:r w:rsidR="00FD5A50" w:rsidRPr="2C85CEDC">
        <w:rPr>
          <w:rFonts w:asciiTheme="majorHAnsi" w:eastAsiaTheme="majorEastAsia" w:hAnsiTheme="majorHAnsi" w:cstheme="majorBidi"/>
          <w:color w:val="44546A" w:themeColor="text2"/>
          <w:lang w:val="en-GB"/>
        </w:rPr>
        <w:t>gender</w:t>
      </w:r>
      <w:r w:rsidR="00B32B28" w:rsidRPr="2C85CEDC">
        <w:rPr>
          <w:rFonts w:asciiTheme="majorHAnsi" w:eastAsiaTheme="majorEastAsia" w:hAnsiTheme="majorHAnsi" w:cstheme="majorBidi"/>
          <w:color w:val="44546A" w:themeColor="text2"/>
          <w:lang w:val="en-GB"/>
        </w:rPr>
        <w:t xml:space="preserve"> and </w:t>
      </w:r>
      <w:r w:rsidRPr="2C85CEDC">
        <w:rPr>
          <w:rFonts w:asciiTheme="majorHAnsi" w:eastAsiaTheme="majorEastAsia" w:hAnsiTheme="majorHAnsi" w:cstheme="majorBidi"/>
          <w:color w:val="44546A" w:themeColor="text2"/>
          <w:lang w:val="en-GB"/>
        </w:rPr>
        <w:t xml:space="preserve">disability </w:t>
      </w:r>
      <w:r w:rsidR="007D59AD" w:rsidRPr="2C85CEDC">
        <w:rPr>
          <w:rFonts w:asciiTheme="majorHAnsi" w:eastAsiaTheme="majorEastAsia" w:hAnsiTheme="majorHAnsi" w:cstheme="majorBidi"/>
          <w:color w:val="44546A" w:themeColor="text2"/>
          <w:lang w:val="en-GB"/>
        </w:rPr>
        <w:t>status</w:t>
      </w:r>
      <w:r w:rsidR="00B32B28" w:rsidRPr="2C85CEDC">
        <w:rPr>
          <w:rFonts w:asciiTheme="majorHAnsi" w:eastAsiaTheme="majorEastAsia" w:hAnsiTheme="majorHAnsi" w:cstheme="majorBidi"/>
          <w:color w:val="44546A" w:themeColor="text2"/>
          <w:lang w:val="en-GB"/>
        </w:rPr>
        <w:t xml:space="preserve">. Where possible and appropriate in local contexts, data </w:t>
      </w:r>
      <w:r w:rsidR="00294F61" w:rsidRPr="2C85CEDC">
        <w:rPr>
          <w:rFonts w:asciiTheme="majorHAnsi" w:eastAsiaTheme="majorEastAsia" w:hAnsiTheme="majorHAnsi" w:cstheme="majorBidi"/>
          <w:color w:val="44546A" w:themeColor="text2"/>
          <w:lang w:val="en-GB"/>
        </w:rPr>
        <w:t>may</w:t>
      </w:r>
      <w:r w:rsidR="00B32B28" w:rsidRPr="2C85CEDC">
        <w:rPr>
          <w:rFonts w:asciiTheme="majorHAnsi" w:eastAsiaTheme="majorEastAsia" w:hAnsiTheme="majorHAnsi" w:cstheme="majorBidi"/>
          <w:color w:val="44546A" w:themeColor="text2"/>
          <w:lang w:val="en-GB"/>
        </w:rPr>
        <w:t xml:space="preserve"> also be disaggregated to identify services for </w:t>
      </w:r>
      <w:r w:rsidR="005D6E9F" w:rsidRPr="2C85CEDC">
        <w:rPr>
          <w:rFonts w:asciiTheme="majorHAnsi" w:eastAsiaTheme="majorEastAsia" w:hAnsiTheme="majorHAnsi" w:cstheme="majorBidi"/>
          <w:color w:val="44546A" w:themeColor="text2"/>
          <w:lang w:val="en-GB"/>
        </w:rPr>
        <w:t xml:space="preserve">people of diverse </w:t>
      </w:r>
      <w:r w:rsidR="00FD5A50" w:rsidRPr="2C85CEDC">
        <w:rPr>
          <w:rFonts w:asciiTheme="majorHAnsi" w:eastAsiaTheme="majorEastAsia" w:hAnsiTheme="majorHAnsi" w:cstheme="majorBidi"/>
          <w:color w:val="44546A" w:themeColor="text2"/>
          <w:lang w:val="en-GB"/>
        </w:rPr>
        <w:t>SOGIES</w:t>
      </w:r>
      <w:r w:rsidR="00385C73" w:rsidRPr="2C85CEDC">
        <w:rPr>
          <w:rFonts w:asciiTheme="majorHAnsi" w:eastAsiaTheme="majorEastAsia" w:hAnsiTheme="majorHAnsi" w:cstheme="majorBidi"/>
          <w:color w:val="44546A" w:themeColor="text2"/>
          <w:lang w:val="en-GB"/>
        </w:rPr>
        <w:t>C</w:t>
      </w:r>
      <w:r w:rsidRPr="2C85CEDC">
        <w:rPr>
          <w:rFonts w:asciiTheme="majorHAnsi" w:eastAsiaTheme="majorEastAsia" w:hAnsiTheme="majorHAnsi" w:cstheme="majorBidi"/>
          <w:color w:val="44546A" w:themeColor="text2"/>
          <w:lang w:val="en-GB"/>
        </w:rPr>
        <w:t>. Th</w:t>
      </w:r>
      <w:r w:rsidR="00271A08" w:rsidRPr="2C85CEDC">
        <w:rPr>
          <w:rFonts w:asciiTheme="majorHAnsi" w:eastAsiaTheme="majorEastAsia" w:hAnsiTheme="majorHAnsi" w:cstheme="majorBidi"/>
          <w:color w:val="44546A" w:themeColor="text2"/>
          <w:lang w:val="en-GB"/>
        </w:rPr>
        <w:t xml:space="preserve">ese </w:t>
      </w:r>
      <w:r w:rsidRPr="2C85CEDC">
        <w:rPr>
          <w:rFonts w:asciiTheme="majorHAnsi" w:eastAsiaTheme="majorEastAsia" w:hAnsiTheme="majorHAnsi" w:cstheme="majorBidi"/>
          <w:color w:val="44546A" w:themeColor="text2"/>
          <w:lang w:val="en-GB"/>
        </w:rPr>
        <w:t>figure</w:t>
      </w:r>
      <w:r w:rsidR="00271A08" w:rsidRPr="2C85CEDC">
        <w:rPr>
          <w:rFonts w:asciiTheme="majorHAnsi" w:eastAsiaTheme="majorEastAsia" w:hAnsiTheme="majorHAnsi" w:cstheme="majorBidi"/>
          <w:color w:val="44546A" w:themeColor="text2"/>
          <w:lang w:val="en-GB"/>
        </w:rPr>
        <w:t>s should</w:t>
      </w:r>
      <w:r w:rsidRPr="2C85CEDC">
        <w:rPr>
          <w:rFonts w:asciiTheme="majorHAnsi" w:eastAsiaTheme="majorEastAsia" w:hAnsiTheme="majorHAnsi" w:cstheme="majorBidi"/>
          <w:color w:val="44546A" w:themeColor="text2"/>
          <w:lang w:val="en-GB"/>
        </w:rPr>
        <w:t xml:space="preserve"> be included in the overall result, in addition to being reported separately.</w:t>
      </w:r>
    </w:p>
    <w:p w14:paraId="7C0BE586" w14:textId="06D1F602" w:rsidR="001A3142" w:rsidRPr="00876030" w:rsidRDefault="001A3142" w:rsidP="03C030B7">
      <w:pPr>
        <w:pStyle w:val="Heading2"/>
        <w:spacing w:before="120" w:line="240" w:lineRule="auto"/>
        <w:rPr>
          <w:rFonts w:asciiTheme="majorHAnsi" w:hAnsiTheme="majorHAnsi" w:cstheme="majorBidi"/>
        </w:rPr>
      </w:pPr>
      <w:r w:rsidRPr="03C030B7">
        <w:rPr>
          <w:rFonts w:asciiTheme="majorHAnsi" w:hAnsiTheme="majorHAnsi" w:cstheme="majorBidi"/>
        </w:rPr>
        <w:t>Worked example</w:t>
      </w:r>
    </w:p>
    <w:p w14:paraId="5846E8E5" w14:textId="7C8C1F44" w:rsidR="00256862" w:rsidRPr="00693503" w:rsidRDefault="00256862" w:rsidP="2C85CEDC">
      <w:pPr>
        <w:pStyle w:val="BodyText"/>
        <w:jc w:val="both"/>
        <w:rPr>
          <w:rFonts w:asciiTheme="majorHAnsi" w:eastAsiaTheme="majorEastAsia" w:hAnsiTheme="majorHAnsi" w:cstheme="majorBidi"/>
          <w:b/>
          <w:bCs/>
        </w:rPr>
      </w:pPr>
      <w:r w:rsidRPr="2C85CEDC">
        <w:rPr>
          <w:rFonts w:asciiTheme="majorHAnsi" w:eastAsiaTheme="majorEastAsia" w:hAnsiTheme="majorHAnsi" w:cstheme="majorBidi"/>
          <w:b/>
          <w:bCs/>
        </w:rPr>
        <w:t xml:space="preserve">Step 1:  Number of services provided to victim-survivors of sexual and gender-based </w:t>
      </w:r>
      <w:proofErr w:type="gramStart"/>
      <w:r w:rsidRPr="2C85CEDC">
        <w:rPr>
          <w:rFonts w:asciiTheme="majorHAnsi" w:eastAsiaTheme="majorEastAsia" w:hAnsiTheme="majorHAnsi" w:cstheme="majorBidi"/>
          <w:b/>
          <w:bCs/>
        </w:rPr>
        <w:t>violence</w:t>
      </w:r>
      <w:proofErr w:type="gramEnd"/>
    </w:p>
    <w:p w14:paraId="33618B3C" w14:textId="5DE0DA6B" w:rsidR="00256862" w:rsidRPr="00693503" w:rsidRDefault="00256862"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 xml:space="preserve">In the reporting year, there were 11,200 incidences of services provided to </w:t>
      </w:r>
      <w:r w:rsidR="00693503" w:rsidRPr="2C85CEDC">
        <w:rPr>
          <w:rFonts w:asciiTheme="majorHAnsi" w:eastAsiaTheme="majorEastAsia" w:hAnsiTheme="majorHAnsi" w:cstheme="majorBidi"/>
        </w:rPr>
        <w:t>victim-</w:t>
      </w:r>
      <w:r w:rsidRPr="2C85CEDC">
        <w:rPr>
          <w:rFonts w:asciiTheme="majorHAnsi" w:eastAsiaTheme="majorEastAsia" w:hAnsiTheme="majorHAnsi" w:cstheme="majorBidi"/>
        </w:rPr>
        <w:t xml:space="preserve">survivors of </w:t>
      </w:r>
      <w:r w:rsidR="00843F9F" w:rsidRPr="2C85CEDC">
        <w:rPr>
          <w:rFonts w:asciiTheme="majorHAnsi" w:eastAsiaTheme="majorEastAsia" w:hAnsiTheme="majorHAnsi" w:cstheme="majorBidi"/>
        </w:rPr>
        <w:t>SGBV</w:t>
      </w:r>
      <w:r w:rsidRPr="2C85CEDC">
        <w:rPr>
          <w:rFonts w:asciiTheme="majorHAnsi" w:eastAsiaTheme="majorEastAsia" w:hAnsiTheme="majorHAnsi" w:cstheme="majorBidi"/>
        </w:rPr>
        <w:t>:</w:t>
      </w:r>
    </w:p>
    <w:p w14:paraId="402741CE" w14:textId="2863A143" w:rsidR="00256862" w:rsidRPr="00693503" w:rsidRDefault="00256862" w:rsidP="2C85CEDC">
      <w:pPr>
        <w:pStyle w:val="BodyText"/>
        <w:numPr>
          <w:ilvl w:val="0"/>
          <w:numId w:val="7"/>
        </w:numPr>
        <w:jc w:val="both"/>
        <w:rPr>
          <w:rFonts w:asciiTheme="majorHAnsi" w:eastAsiaTheme="majorEastAsia" w:hAnsiTheme="majorHAnsi" w:cstheme="majorBidi"/>
        </w:rPr>
      </w:pPr>
      <w:r w:rsidRPr="2C85CEDC">
        <w:rPr>
          <w:rFonts w:asciiTheme="majorHAnsi" w:eastAsiaTheme="majorEastAsia" w:hAnsiTheme="majorHAnsi" w:cstheme="majorBidi"/>
        </w:rPr>
        <w:t xml:space="preserve">5000 incidences of </w:t>
      </w:r>
      <w:r w:rsidR="00693503" w:rsidRPr="2C85CEDC">
        <w:rPr>
          <w:rFonts w:asciiTheme="majorHAnsi" w:eastAsiaTheme="majorEastAsia" w:hAnsiTheme="majorHAnsi" w:cstheme="majorBidi"/>
        </w:rPr>
        <w:t>victim-survivors accessing crisis centres</w:t>
      </w:r>
      <w:r w:rsidRPr="2C85CEDC">
        <w:rPr>
          <w:rFonts w:asciiTheme="majorHAnsi" w:eastAsiaTheme="majorEastAsia" w:hAnsiTheme="majorHAnsi" w:cstheme="majorBidi"/>
        </w:rPr>
        <w:t xml:space="preserve"> (Data source: managing contractor M&amp;E system report)</w:t>
      </w:r>
    </w:p>
    <w:p w14:paraId="3D1460D7" w14:textId="4ED90A4D" w:rsidR="00256862" w:rsidRPr="00693503" w:rsidRDefault="00256862" w:rsidP="2C85CEDC">
      <w:pPr>
        <w:pStyle w:val="BodyText"/>
        <w:numPr>
          <w:ilvl w:val="0"/>
          <w:numId w:val="7"/>
        </w:numPr>
        <w:jc w:val="both"/>
        <w:rPr>
          <w:rFonts w:asciiTheme="majorHAnsi" w:eastAsiaTheme="majorEastAsia" w:hAnsiTheme="majorHAnsi" w:cstheme="majorBidi"/>
        </w:rPr>
      </w:pPr>
      <w:r w:rsidRPr="2C85CEDC">
        <w:rPr>
          <w:rFonts w:asciiTheme="majorHAnsi" w:eastAsiaTheme="majorEastAsia" w:hAnsiTheme="majorHAnsi" w:cstheme="majorBidi"/>
        </w:rPr>
        <w:t xml:space="preserve">6000 incidences of </w:t>
      </w:r>
      <w:r w:rsidR="00693503" w:rsidRPr="2C85CEDC">
        <w:rPr>
          <w:rFonts w:asciiTheme="majorHAnsi" w:eastAsiaTheme="majorEastAsia" w:hAnsiTheme="majorHAnsi" w:cstheme="majorBidi"/>
        </w:rPr>
        <w:t xml:space="preserve">victim-survivors </w:t>
      </w:r>
      <w:r w:rsidRPr="2C85CEDC">
        <w:rPr>
          <w:rFonts w:asciiTheme="majorHAnsi" w:eastAsiaTheme="majorEastAsia" w:hAnsiTheme="majorHAnsi" w:cstheme="majorBidi"/>
        </w:rPr>
        <w:t>accessing community counselling services (Data source: implementing NGO report + partner government community services department data)</w:t>
      </w:r>
    </w:p>
    <w:p w14:paraId="51D3EC40" w14:textId="412E9E9C" w:rsidR="00256862" w:rsidRPr="00693503" w:rsidRDefault="00256862" w:rsidP="2C85CEDC">
      <w:pPr>
        <w:pStyle w:val="BodyText"/>
        <w:numPr>
          <w:ilvl w:val="0"/>
          <w:numId w:val="7"/>
        </w:numPr>
        <w:jc w:val="both"/>
        <w:rPr>
          <w:rFonts w:asciiTheme="majorHAnsi" w:eastAsiaTheme="majorEastAsia" w:hAnsiTheme="majorHAnsi" w:cstheme="majorBidi"/>
        </w:rPr>
      </w:pPr>
      <w:r w:rsidRPr="2C85CEDC">
        <w:rPr>
          <w:rFonts w:asciiTheme="majorHAnsi" w:eastAsiaTheme="majorEastAsia" w:hAnsiTheme="majorHAnsi" w:cstheme="majorBidi"/>
        </w:rPr>
        <w:t xml:space="preserve">200 incidences of </w:t>
      </w:r>
      <w:r w:rsidR="00693503" w:rsidRPr="2C85CEDC">
        <w:rPr>
          <w:rFonts w:asciiTheme="majorHAnsi" w:eastAsiaTheme="majorEastAsia" w:hAnsiTheme="majorHAnsi" w:cstheme="majorBidi"/>
        </w:rPr>
        <w:t xml:space="preserve">victim-survivors </w:t>
      </w:r>
      <w:r w:rsidRPr="2C85CEDC">
        <w:rPr>
          <w:rFonts w:asciiTheme="majorHAnsi" w:eastAsiaTheme="majorEastAsia" w:hAnsiTheme="majorHAnsi" w:cstheme="majorBidi"/>
        </w:rPr>
        <w:t>accessing legal services (Data source: managing contractor M&amp;E system report)</w:t>
      </w:r>
    </w:p>
    <w:p w14:paraId="4A1B2C6A" w14:textId="3539D7A9" w:rsidR="00256862" w:rsidRPr="00693503" w:rsidRDefault="00256862" w:rsidP="2C85CEDC">
      <w:pPr>
        <w:pStyle w:val="BodyText"/>
        <w:ind w:left="360"/>
        <w:jc w:val="both"/>
        <w:rPr>
          <w:rFonts w:asciiTheme="majorHAnsi" w:eastAsiaTheme="majorEastAsia" w:hAnsiTheme="majorHAnsi" w:cstheme="majorBidi"/>
        </w:rPr>
      </w:pPr>
      <w:r w:rsidRPr="2C85CEDC">
        <w:rPr>
          <w:rFonts w:asciiTheme="majorHAnsi" w:eastAsiaTheme="majorEastAsia" w:hAnsiTheme="majorHAnsi" w:cstheme="majorBidi"/>
        </w:rPr>
        <w:t xml:space="preserve">= 11,200 </w:t>
      </w:r>
      <w:r w:rsidR="00F179AD" w:rsidRPr="2C85CEDC">
        <w:rPr>
          <w:rFonts w:asciiTheme="majorHAnsi" w:eastAsiaTheme="majorEastAsia" w:hAnsiTheme="majorHAnsi" w:cstheme="majorBidi"/>
        </w:rPr>
        <w:t xml:space="preserve">total </w:t>
      </w:r>
      <w:r w:rsidRPr="2C85CEDC">
        <w:rPr>
          <w:rFonts w:asciiTheme="majorHAnsi" w:eastAsiaTheme="majorEastAsia" w:hAnsiTheme="majorHAnsi" w:cstheme="majorBidi"/>
        </w:rPr>
        <w:t xml:space="preserve">incidences of service provision to </w:t>
      </w:r>
      <w:r w:rsidR="00CD4967" w:rsidRPr="2C85CEDC">
        <w:rPr>
          <w:rFonts w:asciiTheme="majorHAnsi" w:eastAsiaTheme="majorEastAsia" w:hAnsiTheme="majorHAnsi" w:cstheme="majorBidi"/>
        </w:rPr>
        <w:t>victim-</w:t>
      </w:r>
      <w:r w:rsidRPr="2C85CEDC">
        <w:rPr>
          <w:rFonts w:asciiTheme="majorHAnsi" w:eastAsiaTheme="majorEastAsia" w:hAnsiTheme="majorHAnsi" w:cstheme="majorBidi"/>
        </w:rPr>
        <w:t xml:space="preserve">survivors of </w:t>
      </w:r>
      <w:r w:rsidR="00843F9F" w:rsidRPr="2C85CEDC">
        <w:rPr>
          <w:rFonts w:asciiTheme="majorHAnsi" w:eastAsiaTheme="majorEastAsia" w:hAnsiTheme="majorHAnsi" w:cstheme="majorBidi"/>
        </w:rPr>
        <w:t>SGBV</w:t>
      </w:r>
    </w:p>
    <w:p w14:paraId="0F83BE32" w14:textId="68170E31" w:rsidR="00256862" w:rsidRDefault="00256862" w:rsidP="2C85CEDC">
      <w:pPr>
        <w:pStyle w:val="BodyText"/>
        <w:jc w:val="both"/>
        <w:rPr>
          <w:rFonts w:asciiTheme="majorHAnsi" w:eastAsiaTheme="majorEastAsia" w:hAnsiTheme="majorHAnsi" w:cstheme="majorBidi"/>
          <w:b/>
          <w:bCs/>
        </w:rPr>
      </w:pPr>
      <w:r>
        <w:lastRenderedPageBreak/>
        <w:br/>
      </w:r>
      <w:r w:rsidRPr="2C85CEDC">
        <w:rPr>
          <w:rFonts w:asciiTheme="majorHAnsi" w:eastAsiaTheme="majorEastAsia" w:hAnsiTheme="majorHAnsi" w:cstheme="majorBidi"/>
          <w:b/>
          <w:bCs/>
        </w:rPr>
        <w:t xml:space="preserve">Step 2: Australia’s share of </w:t>
      </w:r>
      <w:r w:rsidR="00BC2DF9" w:rsidRPr="2C85CEDC">
        <w:rPr>
          <w:rFonts w:asciiTheme="majorHAnsi" w:eastAsiaTheme="majorEastAsia" w:hAnsiTheme="majorHAnsi" w:cstheme="majorBidi"/>
          <w:b/>
          <w:bCs/>
        </w:rPr>
        <w:t xml:space="preserve">the </w:t>
      </w:r>
      <w:r w:rsidR="00B66D49" w:rsidRPr="2C85CEDC">
        <w:rPr>
          <w:rFonts w:asciiTheme="majorHAnsi" w:eastAsiaTheme="majorEastAsia" w:hAnsiTheme="majorHAnsi" w:cstheme="majorBidi"/>
          <w:b/>
          <w:bCs/>
        </w:rPr>
        <w:t>investment</w:t>
      </w:r>
    </w:p>
    <w:p w14:paraId="48217C14" w14:textId="267DFB4A" w:rsidR="00410CBB" w:rsidRPr="00410CBB" w:rsidRDefault="00E357CF"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Crisis centre</w:t>
      </w:r>
      <w:r w:rsidR="00DB5EA8" w:rsidRPr="2C85CEDC">
        <w:rPr>
          <w:rFonts w:asciiTheme="majorHAnsi" w:eastAsiaTheme="majorEastAsia" w:hAnsiTheme="majorHAnsi" w:cstheme="majorBidi"/>
        </w:rPr>
        <w:t>s</w:t>
      </w:r>
      <w:r w:rsidRPr="2C85CEDC">
        <w:rPr>
          <w:rFonts w:asciiTheme="majorHAnsi" w:eastAsiaTheme="majorEastAsia" w:hAnsiTheme="majorHAnsi" w:cstheme="majorBidi"/>
        </w:rPr>
        <w:t xml:space="preserve"> </w:t>
      </w:r>
      <w:r w:rsidR="00B66D49" w:rsidRPr="2C85CEDC">
        <w:rPr>
          <w:rFonts w:asciiTheme="majorHAnsi" w:eastAsiaTheme="majorEastAsia" w:hAnsiTheme="majorHAnsi" w:cstheme="majorBidi"/>
        </w:rPr>
        <w:t>– total project value AUD 3 million</w:t>
      </w:r>
    </w:p>
    <w:p w14:paraId="31249602" w14:textId="18F87F74" w:rsidR="00E357CF" w:rsidRDefault="00E357CF" w:rsidP="2C85CEDC">
      <w:pPr>
        <w:pStyle w:val="BodyText"/>
        <w:numPr>
          <w:ilvl w:val="0"/>
          <w:numId w:val="2"/>
        </w:numPr>
        <w:jc w:val="both"/>
        <w:rPr>
          <w:rFonts w:asciiTheme="majorHAnsi" w:eastAsiaTheme="majorEastAsia" w:hAnsiTheme="majorHAnsi" w:cstheme="majorBidi"/>
        </w:rPr>
      </w:pPr>
      <w:r w:rsidRPr="2C85CEDC">
        <w:rPr>
          <w:rFonts w:asciiTheme="majorHAnsi" w:eastAsiaTheme="majorEastAsia" w:hAnsiTheme="majorHAnsi" w:cstheme="majorBidi"/>
        </w:rPr>
        <w:t xml:space="preserve">DFAT provides </w:t>
      </w:r>
      <w:r w:rsidR="00C50405" w:rsidRPr="2C85CEDC">
        <w:rPr>
          <w:rFonts w:asciiTheme="majorHAnsi" w:eastAsiaTheme="majorEastAsia" w:hAnsiTheme="majorHAnsi" w:cstheme="majorBidi"/>
        </w:rPr>
        <w:t>AUD</w:t>
      </w:r>
      <w:r w:rsidR="00B66D49" w:rsidRPr="2C85CEDC">
        <w:rPr>
          <w:rFonts w:asciiTheme="majorHAnsi" w:eastAsiaTheme="majorEastAsia" w:hAnsiTheme="majorHAnsi" w:cstheme="majorBidi"/>
        </w:rPr>
        <w:t xml:space="preserve"> 3 million</w:t>
      </w:r>
      <w:r w:rsidR="00C50405" w:rsidRPr="2C85CEDC">
        <w:rPr>
          <w:rFonts w:asciiTheme="majorHAnsi" w:eastAsiaTheme="majorEastAsia" w:hAnsiTheme="majorHAnsi" w:cstheme="majorBidi"/>
        </w:rPr>
        <w:t xml:space="preserve"> and is the sole funder of this </w:t>
      </w:r>
      <w:proofErr w:type="gramStart"/>
      <w:r w:rsidR="00C50405" w:rsidRPr="2C85CEDC">
        <w:rPr>
          <w:rFonts w:asciiTheme="majorHAnsi" w:eastAsiaTheme="majorEastAsia" w:hAnsiTheme="majorHAnsi" w:cstheme="majorBidi"/>
        </w:rPr>
        <w:t>service</w:t>
      </w:r>
      <w:proofErr w:type="gramEnd"/>
    </w:p>
    <w:p w14:paraId="2800447A" w14:textId="4765DEDB" w:rsidR="006652DE" w:rsidRPr="00410CBB" w:rsidRDefault="006652DE" w:rsidP="2C85CEDC">
      <w:pPr>
        <w:pStyle w:val="BodyText"/>
        <w:ind w:left="720"/>
        <w:jc w:val="both"/>
        <w:rPr>
          <w:rFonts w:asciiTheme="majorHAnsi" w:eastAsiaTheme="majorEastAsia" w:hAnsiTheme="majorHAnsi" w:cstheme="majorBidi"/>
        </w:rPr>
      </w:pPr>
      <w:r w:rsidRPr="2C85CEDC">
        <w:rPr>
          <w:rFonts w:asciiTheme="majorHAnsi" w:eastAsiaTheme="majorEastAsia" w:hAnsiTheme="majorHAnsi" w:cstheme="majorBidi"/>
        </w:rPr>
        <w:t xml:space="preserve">Australia’s share </w:t>
      </w:r>
      <w:r w:rsidR="005848B1" w:rsidRPr="2C85CEDC">
        <w:rPr>
          <w:rFonts w:asciiTheme="majorHAnsi" w:eastAsiaTheme="majorEastAsia" w:hAnsiTheme="majorHAnsi" w:cstheme="majorBidi"/>
        </w:rPr>
        <w:t>=</w:t>
      </w:r>
      <w:r w:rsidRPr="2C85CEDC">
        <w:rPr>
          <w:rFonts w:asciiTheme="majorHAnsi" w:eastAsiaTheme="majorEastAsia" w:hAnsiTheme="majorHAnsi" w:cstheme="majorBidi"/>
        </w:rPr>
        <w:t xml:space="preserve"> 100%</w:t>
      </w:r>
    </w:p>
    <w:p w14:paraId="49DFBF7A" w14:textId="51757AF6" w:rsidR="00410CBB" w:rsidRDefault="00C50405"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Community counselling service</w:t>
      </w:r>
      <w:r w:rsidR="00AC1C92" w:rsidRPr="2C85CEDC">
        <w:rPr>
          <w:rFonts w:asciiTheme="majorHAnsi" w:eastAsiaTheme="majorEastAsia" w:hAnsiTheme="majorHAnsi" w:cstheme="majorBidi"/>
        </w:rPr>
        <w:t>s</w:t>
      </w:r>
      <w:r w:rsidRPr="2C85CEDC">
        <w:rPr>
          <w:rFonts w:asciiTheme="majorHAnsi" w:eastAsiaTheme="majorEastAsia" w:hAnsiTheme="majorHAnsi" w:cstheme="majorBidi"/>
        </w:rPr>
        <w:t xml:space="preserve"> </w:t>
      </w:r>
      <w:r w:rsidR="00B66D49" w:rsidRPr="2C85CEDC">
        <w:rPr>
          <w:rFonts w:asciiTheme="majorHAnsi" w:eastAsiaTheme="majorEastAsia" w:hAnsiTheme="majorHAnsi" w:cstheme="majorBidi"/>
        </w:rPr>
        <w:t>– total project value AUD</w:t>
      </w:r>
      <w:r w:rsidR="00805F49" w:rsidRPr="2C85CEDC">
        <w:rPr>
          <w:rFonts w:asciiTheme="majorHAnsi" w:eastAsiaTheme="majorEastAsia" w:hAnsiTheme="majorHAnsi" w:cstheme="majorBidi"/>
        </w:rPr>
        <w:t xml:space="preserve"> </w:t>
      </w:r>
      <w:r w:rsidR="00B66D49" w:rsidRPr="2C85CEDC">
        <w:rPr>
          <w:rFonts w:asciiTheme="majorHAnsi" w:eastAsiaTheme="majorEastAsia" w:hAnsiTheme="majorHAnsi" w:cstheme="majorBidi"/>
        </w:rPr>
        <w:t>2 million</w:t>
      </w:r>
    </w:p>
    <w:p w14:paraId="027192EB" w14:textId="75EBED01" w:rsidR="00C50405" w:rsidRDefault="00C50405" w:rsidP="2C85CEDC">
      <w:pPr>
        <w:pStyle w:val="BodyText"/>
        <w:numPr>
          <w:ilvl w:val="0"/>
          <w:numId w:val="2"/>
        </w:numPr>
        <w:jc w:val="both"/>
        <w:rPr>
          <w:rFonts w:asciiTheme="majorHAnsi" w:eastAsiaTheme="majorEastAsia" w:hAnsiTheme="majorHAnsi" w:cstheme="majorBidi"/>
        </w:rPr>
      </w:pPr>
      <w:r w:rsidRPr="2C85CEDC">
        <w:rPr>
          <w:rFonts w:asciiTheme="majorHAnsi" w:eastAsiaTheme="majorEastAsia" w:hAnsiTheme="majorHAnsi" w:cstheme="majorBidi"/>
        </w:rPr>
        <w:t xml:space="preserve">DFAT provides </w:t>
      </w:r>
      <w:r w:rsidR="00410CBB" w:rsidRPr="2C85CEDC">
        <w:rPr>
          <w:rFonts w:asciiTheme="majorHAnsi" w:eastAsiaTheme="majorEastAsia" w:hAnsiTheme="majorHAnsi" w:cstheme="majorBidi"/>
        </w:rPr>
        <w:t>AUD</w:t>
      </w:r>
      <w:r w:rsidR="00B66D49" w:rsidRPr="2C85CEDC">
        <w:rPr>
          <w:rFonts w:asciiTheme="majorHAnsi" w:eastAsiaTheme="majorEastAsia" w:hAnsiTheme="majorHAnsi" w:cstheme="majorBidi"/>
        </w:rPr>
        <w:t xml:space="preserve"> </w:t>
      </w:r>
      <w:r w:rsidR="00FB19E2" w:rsidRPr="2C85CEDC">
        <w:rPr>
          <w:rFonts w:asciiTheme="majorHAnsi" w:eastAsiaTheme="majorEastAsia" w:hAnsiTheme="majorHAnsi" w:cstheme="majorBidi"/>
        </w:rPr>
        <w:t>1</w:t>
      </w:r>
      <w:r w:rsidR="00B66D49" w:rsidRPr="2C85CEDC">
        <w:rPr>
          <w:rFonts w:asciiTheme="majorHAnsi" w:eastAsiaTheme="majorEastAsia" w:hAnsiTheme="majorHAnsi" w:cstheme="majorBidi"/>
        </w:rPr>
        <w:t xml:space="preserve"> million</w:t>
      </w:r>
    </w:p>
    <w:p w14:paraId="1FE8415F" w14:textId="76F0336D" w:rsidR="00FB19E2" w:rsidRDefault="00F80FFB" w:rsidP="2C85CEDC">
      <w:pPr>
        <w:pStyle w:val="BodyText"/>
        <w:numPr>
          <w:ilvl w:val="0"/>
          <w:numId w:val="2"/>
        </w:numPr>
        <w:jc w:val="both"/>
        <w:rPr>
          <w:rFonts w:asciiTheme="majorHAnsi" w:eastAsiaTheme="majorEastAsia" w:hAnsiTheme="majorHAnsi" w:cstheme="majorBidi"/>
        </w:rPr>
      </w:pPr>
      <w:r w:rsidRPr="2C85CEDC">
        <w:rPr>
          <w:rFonts w:asciiTheme="majorHAnsi" w:eastAsiaTheme="majorEastAsia" w:hAnsiTheme="majorHAnsi" w:cstheme="majorBidi"/>
        </w:rPr>
        <w:t>Donor 2 provides AUD</w:t>
      </w:r>
      <w:r w:rsidR="00B66D49" w:rsidRPr="2C85CEDC">
        <w:rPr>
          <w:rFonts w:asciiTheme="majorHAnsi" w:eastAsiaTheme="majorEastAsia" w:hAnsiTheme="majorHAnsi" w:cstheme="majorBidi"/>
        </w:rPr>
        <w:t xml:space="preserve"> 0.</w:t>
      </w:r>
      <w:r w:rsidRPr="2C85CEDC">
        <w:rPr>
          <w:rFonts w:asciiTheme="majorHAnsi" w:eastAsiaTheme="majorEastAsia" w:hAnsiTheme="majorHAnsi" w:cstheme="majorBidi"/>
        </w:rPr>
        <w:t>5</w:t>
      </w:r>
      <w:r w:rsidR="00B66D49" w:rsidRPr="2C85CEDC">
        <w:rPr>
          <w:rFonts w:asciiTheme="majorHAnsi" w:eastAsiaTheme="majorEastAsia" w:hAnsiTheme="majorHAnsi" w:cstheme="majorBidi"/>
        </w:rPr>
        <w:t xml:space="preserve"> million</w:t>
      </w:r>
    </w:p>
    <w:p w14:paraId="04AD05C6" w14:textId="2BCE8564" w:rsidR="00F80FFB" w:rsidRDefault="007417C8" w:rsidP="2C85CEDC">
      <w:pPr>
        <w:pStyle w:val="BodyText"/>
        <w:numPr>
          <w:ilvl w:val="0"/>
          <w:numId w:val="2"/>
        </w:numPr>
        <w:jc w:val="both"/>
        <w:rPr>
          <w:rFonts w:asciiTheme="majorHAnsi" w:eastAsiaTheme="majorEastAsia" w:hAnsiTheme="majorHAnsi" w:cstheme="majorBidi"/>
        </w:rPr>
      </w:pPr>
      <w:r w:rsidRPr="2C85CEDC">
        <w:rPr>
          <w:rFonts w:asciiTheme="majorHAnsi" w:eastAsiaTheme="majorEastAsia" w:hAnsiTheme="majorHAnsi" w:cstheme="majorBidi"/>
        </w:rPr>
        <w:t>Partner government provides AUD</w:t>
      </w:r>
      <w:r w:rsidR="00B66D49" w:rsidRPr="2C85CEDC">
        <w:rPr>
          <w:rFonts w:asciiTheme="majorHAnsi" w:eastAsiaTheme="majorEastAsia" w:hAnsiTheme="majorHAnsi" w:cstheme="majorBidi"/>
        </w:rPr>
        <w:t xml:space="preserve"> </w:t>
      </w:r>
      <w:r w:rsidR="00805F49" w:rsidRPr="2C85CEDC">
        <w:rPr>
          <w:rFonts w:asciiTheme="majorHAnsi" w:eastAsiaTheme="majorEastAsia" w:hAnsiTheme="majorHAnsi" w:cstheme="majorBidi"/>
        </w:rPr>
        <w:t>0.</w:t>
      </w:r>
      <w:r w:rsidRPr="2C85CEDC">
        <w:rPr>
          <w:rFonts w:asciiTheme="majorHAnsi" w:eastAsiaTheme="majorEastAsia" w:hAnsiTheme="majorHAnsi" w:cstheme="majorBidi"/>
        </w:rPr>
        <w:t>5</w:t>
      </w:r>
      <w:r w:rsidR="00805F49" w:rsidRPr="2C85CEDC">
        <w:rPr>
          <w:rFonts w:asciiTheme="majorHAnsi" w:eastAsiaTheme="majorEastAsia" w:hAnsiTheme="majorHAnsi" w:cstheme="majorBidi"/>
        </w:rPr>
        <w:t xml:space="preserve"> million</w:t>
      </w:r>
    </w:p>
    <w:p w14:paraId="5A89ED6B" w14:textId="10B6EC8E" w:rsidR="002959CE" w:rsidRDefault="006652DE" w:rsidP="2C85CEDC">
      <w:pPr>
        <w:pStyle w:val="BodyText"/>
        <w:ind w:left="720"/>
        <w:jc w:val="both"/>
        <w:rPr>
          <w:rFonts w:asciiTheme="majorHAnsi" w:eastAsiaTheme="majorEastAsia" w:hAnsiTheme="majorHAnsi" w:cstheme="majorBidi"/>
        </w:rPr>
      </w:pPr>
      <w:r w:rsidRPr="2C85CEDC">
        <w:rPr>
          <w:rFonts w:asciiTheme="majorHAnsi" w:eastAsiaTheme="majorEastAsia" w:hAnsiTheme="majorHAnsi" w:cstheme="majorBidi"/>
        </w:rPr>
        <w:t>Australia’s</w:t>
      </w:r>
      <w:r w:rsidR="007417C8" w:rsidRPr="2C85CEDC">
        <w:rPr>
          <w:rFonts w:asciiTheme="majorHAnsi" w:eastAsiaTheme="majorEastAsia" w:hAnsiTheme="majorHAnsi" w:cstheme="majorBidi"/>
        </w:rPr>
        <w:t xml:space="preserve"> share = </w:t>
      </w:r>
      <w:r w:rsidR="009E68DF" w:rsidRPr="2C85CEDC">
        <w:rPr>
          <w:rFonts w:asciiTheme="majorHAnsi" w:eastAsiaTheme="majorEastAsia" w:hAnsiTheme="majorHAnsi" w:cstheme="majorBidi"/>
        </w:rPr>
        <w:t>1/2</w:t>
      </w:r>
      <w:r w:rsidR="00345B9A" w:rsidRPr="2C85CEDC">
        <w:rPr>
          <w:rFonts w:asciiTheme="majorHAnsi" w:eastAsiaTheme="majorEastAsia" w:hAnsiTheme="majorHAnsi" w:cstheme="majorBidi"/>
        </w:rPr>
        <w:t xml:space="preserve"> </w:t>
      </w:r>
      <w:r w:rsidR="002959CE" w:rsidRPr="2C85CEDC">
        <w:rPr>
          <w:rFonts w:asciiTheme="majorHAnsi" w:eastAsiaTheme="majorEastAsia" w:hAnsiTheme="majorHAnsi" w:cstheme="majorBidi"/>
        </w:rPr>
        <w:t>x 100 = 5</w:t>
      </w:r>
      <w:r w:rsidR="009E68DF" w:rsidRPr="2C85CEDC">
        <w:rPr>
          <w:rFonts w:asciiTheme="majorHAnsi" w:eastAsiaTheme="majorEastAsia" w:hAnsiTheme="majorHAnsi" w:cstheme="majorBidi"/>
        </w:rPr>
        <w:t>0</w:t>
      </w:r>
      <w:r w:rsidR="002959CE" w:rsidRPr="2C85CEDC">
        <w:rPr>
          <w:rFonts w:asciiTheme="majorHAnsi" w:eastAsiaTheme="majorEastAsia" w:hAnsiTheme="majorHAnsi" w:cstheme="majorBidi"/>
        </w:rPr>
        <w:t xml:space="preserve">% </w:t>
      </w:r>
    </w:p>
    <w:p w14:paraId="5E687D0A" w14:textId="25B9F6B0" w:rsidR="00484081" w:rsidRDefault="00484081" w:rsidP="2C85CEDC">
      <w:pPr>
        <w:pStyle w:val="BodyText"/>
        <w:jc w:val="both"/>
        <w:rPr>
          <w:rFonts w:asciiTheme="majorHAnsi" w:eastAsiaTheme="majorEastAsia" w:hAnsiTheme="majorHAnsi" w:cstheme="majorBidi"/>
        </w:rPr>
      </w:pPr>
      <w:r w:rsidRPr="2C85CEDC">
        <w:rPr>
          <w:rFonts w:asciiTheme="majorHAnsi" w:eastAsiaTheme="majorEastAsia" w:hAnsiTheme="majorHAnsi" w:cstheme="majorBidi"/>
        </w:rPr>
        <w:t>Legal service</w:t>
      </w:r>
      <w:r w:rsidR="00AC1C92" w:rsidRPr="2C85CEDC">
        <w:rPr>
          <w:rFonts w:asciiTheme="majorHAnsi" w:eastAsiaTheme="majorEastAsia" w:hAnsiTheme="majorHAnsi" w:cstheme="majorBidi"/>
        </w:rPr>
        <w:t>s</w:t>
      </w:r>
      <w:r w:rsidR="00805F49" w:rsidRPr="2C85CEDC">
        <w:rPr>
          <w:rFonts w:asciiTheme="majorHAnsi" w:eastAsiaTheme="majorEastAsia" w:hAnsiTheme="majorHAnsi" w:cstheme="majorBidi"/>
        </w:rPr>
        <w:t xml:space="preserve"> – total project value AUD 1 million</w:t>
      </w:r>
    </w:p>
    <w:p w14:paraId="2E6F6E47" w14:textId="50AEC049" w:rsidR="00484081" w:rsidRDefault="00484081" w:rsidP="2C85CEDC">
      <w:pPr>
        <w:pStyle w:val="BodyText"/>
        <w:numPr>
          <w:ilvl w:val="0"/>
          <w:numId w:val="2"/>
        </w:numPr>
        <w:jc w:val="both"/>
        <w:rPr>
          <w:rFonts w:asciiTheme="majorHAnsi" w:eastAsiaTheme="majorEastAsia" w:hAnsiTheme="majorHAnsi" w:cstheme="majorBidi"/>
        </w:rPr>
      </w:pPr>
      <w:r w:rsidRPr="2C85CEDC">
        <w:rPr>
          <w:rFonts w:asciiTheme="majorHAnsi" w:eastAsiaTheme="majorEastAsia" w:hAnsiTheme="majorHAnsi" w:cstheme="majorBidi"/>
        </w:rPr>
        <w:t>DFAT provides</w:t>
      </w:r>
      <w:r w:rsidR="00F179AD" w:rsidRPr="2C85CEDC">
        <w:rPr>
          <w:rFonts w:asciiTheme="majorHAnsi" w:eastAsiaTheme="majorEastAsia" w:hAnsiTheme="majorHAnsi" w:cstheme="majorBidi"/>
        </w:rPr>
        <w:t xml:space="preserve"> AUD</w:t>
      </w:r>
      <w:r w:rsidR="00805F49" w:rsidRPr="2C85CEDC">
        <w:rPr>
          <w:rFonts w:asciiTheme="majorHAnsi" w:eastAsiaTheme="majorEastAsia" w:hAnsiTheme="majorHAnsi" w:cstheme="majorBidi"/>
        </w:rPr>
        <w:t xml:space="preserve"> 0.</w:t>
      </w:r>
      <w:r w:rsidR="00B66D49" w:rsidRPr="2C85CEDC">
        <w:rPr>
          <w:rFonts w:asciiTheme="majorHAnsi" w:eastAsiaTheme="majorEastAsia" w:hAnsiTheme="majorHAnsi" w:cstheme="majorBidi"/>
        </w:rPr>
        <w:t>8</w:t>
      </w:r>
      <w:r w:rsidR="00805F49" w:rsidRPr="2C85CEDC">
        <w:rPr>
          <w:rFonts w:asciiTheme="majorHAnsi" w:eastAsiaTheme="majorEastAsia" w:hAnsiTheme="majorHAnsi" w:cstheme="majorBidi"/>
        </w:rPr>
        <w:t xml:space="preserve"> million</w:t>
      </w:r>
    </w:p>
    <w:p w14:paraId="0379F218" w14:textId="61FF1BE9" w:rsidR="00F179AD" w:rsidRDefault="00F179AD" w:rsidP="2C85CEDC">
      <w:pPr>
        <w:pStyle w:val="BodyText"/>
        <w:numPr>
          <w:ilvl w:val="0"/>
          <w:numId w:val="2"/>
        </w:numPr>
        <w:jc w:val="both"/>
        <w:rPr>
          <w:rFonts w:asciiTheme="majorHAnsi" w:eastAsiaTheme="majorEastAsia" w:hAnsiTheme="majorHAnsi" w:cstheme="majorBidi"/>
        </w:rPr>
      </w:pPr>
      <w:r w:rsidRPr="2C85CEDC">
        <w:rPr>
          <w:rFonts w:asciiTheme="majorHAnsi" w:eastAsiaTheme="majorEastAsia" w:hAnsiTheme="majorHAnsi" w:cstheme="majorBidi"/>
        </w:rPr>
        <w:t>Donor 2 provides AUD</w:t>
      </w:r>
      <w:r w:rsidR="00805F49" w:rsidRPr="2C85CEDC">
        <w:rPr>
          <w:rFonts w:asciiTheme="majorHAnsi" w:eastAsiaTheme="majorEastAsia" w:hAnsiTheme="majorHAnsi" w:cstheme="majorBidi"/>
        </w:rPr>
        <w:t xml:space="preserve"> 0.2 million</w:t>
      </w:r>
    </w:p>
    <w:p w14:paraId="6EDA548A" w14:textId="3ED728C6" w:rsidR="00940C96" w:rsidRPr="00940C96" w:rsidRDefault="00345B9A" w:rsidP="2C85CEDC">
      <w:pPr>
        <w:pStyle w:val="BodyText"/>
        <w:ind w:left="720"/>
        <w:jc w:val="both"/>
        <w:rPr>
          <w:rFonts w:asciiTheme="majorHAnsi" w:eastAsiaTheme="majorEastAsia" w:hAnsiTheme="majorHAnsi" w:cstheme="majorBidi"/>
        </w:rPr>
      </w:pPr>
      <w:r w:rsidRPr="2C85CEDC">
        <w:rPr>
          <w:rFonts w:asciiTheme="majorHAnsi" w:eastAsiaTheme="majorEastAsia" w:hAnsiTheme="majorHAnsi" w:cstheme="majorBidi"/>
        </w:rPr>
        <w:t>Australia’s share = 0.8/1 x 100 =</w:t>
      </w:r>
      <w:r w:rsidR="00940C96" w:rsidRPr="2C85CEDC">
        <w:rPr>
          <w:rFonts w:asciiTheme="majorHAnsi" w:eastAsiaTheme="majorEastAsia" w:hAnsiTheme="majorHAnsi" w:cstheme="majorBidi"/>
        </w:rPr>
        <w:t xml:space="preserve"> 80%</w:t>
      </w:r>
    </w:p>
    <w:p w14:paraId="6B22953C" w14:textId="6F31CFDD" w:rsidR="2C85CEDC" w:rsidRDefault="2C85CEDC" w:rsidP="2C85CEDC">
      <w:pPr>
        <w:pStyle w:val="BodyText"/>
        <w:ind w:left="720"/>
        <w:jc w:val="both"/>
        <w:rPr>
          <w:rFonts w:asciiTheme="majorHAnsi" w:eastAsiaTheme="majorEastAsia" w:hAnsiTheme="majorHAnsi" w:cstheme="majorBidi"/>
        </w:rPr>
      </w:pPr>
    </w:p>
    <w:p w14:paraId="009C8BC8" w14:textId="634DFAF3" w:rsidR="005A546F" w:rsidRPr="00133051" w:rsidRDefault="005A546F" w:rsidP="2C85CEDC">
      <w:pPr>
        <w:pStyle w:val="BodyText"/>
        <w:rPr>
          <w:rFonts w:asciiTheme="majorHAnsi" w:eastAsiaTheme="majorEastAsia" w:hAnsiTheme="majorHAnsi" w:cstheme="majorBidi"/>
          <w:b/>
          <w:bCs/>
        </w:rPr>
      </w:pPr>
      <w:r w:rsidRPr="2C85CEDC">
        <w:rPr>
          <w:rFonts w:asciiTheme="majorHAnsi" w:eastAsiaTheme="majorEastAsia" w:hAnsiTheme="majorHAnsi" w:cstheme="majorBidi"/>
          <w:b/>
          <w:bCs/>
        </w:rPr>
        <w:t xml:space="preserve">Step 3: </w:t>
      </w:r>
      <w:r w:rsidR="00BC2DF9" w:rsidRPr="2C85CEDC">
        <w:rPr>
          <w:rFonts w:asciiTheme="majorHAnsi" w:eastAsiaTheme="majorEastAsia" w:hAnsiTheme="majorHAnsi" w:cstheme="majorBidi"/>
          <w:b/>
          <w:bCs/>
        </w:rPr>
        <w:t xml:space="preserve">Australia’s share of the </w:t>
      </w:r>
      <w:r w:rsidR="00133051" w:rsidRPr="2C85CEDC">
        <w:rPr>
          <w:rFonts w:asciiTheme="majorHAnsi" w:eastAsiaTheme="majorEastAsia" w:hAnsiTheme="majorHAnsi" w:cstheme="majorBidi"/>
          <w:b/>
          <w:bCs/>
        </w:rPr>
        <w:t>result</w:t>
      </w:r>
    </w:p>
    <w:tbl>
      <w:tblPr>
        <w:tblStyle w:val="TableGrid"/>
        <w:tblW w:w="9209" w:type="dxa"/>
        <w:tblLook w:val="04A0" w:firstRow="1" w:lastRow="0" w:firstColumn="1" w:lastColumn="0" w:noHBand="0" w:noVBand="1"/>
      </w:tblPr>
      <w:tblGrid>
        <w:gridCol w:w="2405"/>
        <w:gridCol w:w="4649"/>
        <w:gridCol w:w="2155"/>
      </w:tblGrid>
      <w:tr w:rsidR="00256862" w:rsidRPr="009B7D2E" w14:paraId="5EAB3D23" w14:textId="77777777" w:rsidTr="2C85CEDC">
        <w:tc>
          <w:tcPr>
            <w:tcW w:w="2405" w:type="dxa"/>
            <w:tcBorders>
              <w:top w:val="single" w:sz="4" w:space="0" w:color="auto"/>
              <w:left w:val="single" w:sz="4" w:space="0" w:color="auto"/>
              <w:bottom w:val="single" w:sz="4" w:space="0" w:color="auto"/>
              <w:right w:val="single" w:sz="4" w:space="0" w:color="auto"/>
            </w:tcBorders>
            <w:hideMark/>
          </w:tcPr>
          <w:p w14:paraId="4C2435EB" w14:textId="77777777" w:rsidR="00256862" w:rsidRPr="00CD4967" w:rsidRDefault="00256862" w:rsidP="2C85CEDC">
            <w:pPr>
              <w:jc w:val="cente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b/>
                <w:bCs/>
                <w:color w:val="44546A" w:themeColor="text2"/>
              </w:rPr>
              <w:t>Services</w:t>
            </w:r>
          </w:p>
        </w:tc>
        <w:tc>
          <w:tcPr>
            <w:tcW w:w="4649" w:type="dxa"/>
            <w:tcBorders>
              <w:top w:val="single" w:sz="4" w:space="0" w:color="auto"/>
              <w:left w:val="single" w:sz="4" w:space="0" w:color="auto"/>
              <w:bottom w:val="single" w:sz="4" w:space="0" w:color="auto"/>
              <w:right w:val="single" w:sz="4" w:space="0" w:color="auto"/>
            </w:tcBorders>
            <w:hideMark/>
          </w:tcPr>
          <w:p w14:paraId="2435433A" w14:textId="7B4FCC03" w:rsidR="00256862" w:rsidRPr="00CD4967" w:rsidRDefault="00256862" w:rsidP="2C85CEDC">
            <w:pPr>
              <w:jc w:val="cente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b/>
                <w:bCs/>
                <w:color w:val="44546A" w:themeColor="text2"/>
              </w:rPr>
              <w:t xml:space="preserve">Number of services provided to </w:t>
            </w:r>
            <w:r w:rsidR="6B88A1F7" w:rsidRPr="2C85CEDC">
              <w:rPr>
                <w:rFonts w:asciiTheme="majorHAnsi" w:eastAsiaTheme="majorEastAsia" w:hAnsiTheme="majorHAnsi" w:cstheme="majorBidi"/>
                <w:b/>
                <w:bCs/>
                <w:color w:val="44546A" w:themeColor="text2"/>
              </w:rPr>
              <w:t>victim-</w:t>
            </w:r>
            <w:r w:rsidRPr="2C85CEDC">
              <w:rPr>
                <w:rFonts w:asciiTheme="majorHAnsi" w:eastAsiaTheme="majorEastAsia" w:hAnsiTheme="majorHAnsi" w:cstheme="majorBidi"/>
                <w:b/>
                <w:bCs/>
                <w:color w:val="44546A" w:themeColor="text2"/>
              </w:rPr>
              <w:t xml:space="preserve">survivors of </w:t>
            </w:r>
            <w:r w:rsidR="6B88A1F7" w:rsidRPr="2C85CEDC">
              <w:rPr>
                <w:rFonts w:asciiTheme="majorHAnsi" w:eastAsiaTheme="majorEastAsia" w:hAnsiTheme="majorHAnsi" w:cstheme="majorBidi"/>
                <w:b/>
                <w:bCs/>
                <w:color w:val="44546A" w:themeColor="text2"/>
              </w:rPr>
              <w:t xml:space="preserve">sexual and </w:t>
            </w:r>
            <w:r w:rsidRPr="2C85CEDC">
              <w:rPr>
                <w:rFonts w:asciiTheme="majorHAnsi" w:eastAsiaTheme="majorEastAsia" w:hAnsiTheme="majorHAnsi" w:cstheme="majorBidi"/>
                <w:b/>
                <w:bCs/>
                <w:color w:val="44546A" w:themeColor="text2"/>
              </w:rPr>
              <w:t>gender-based violence</w:t>
            </w:r>
          </w:p>
        </w:tc>
        <w:tc>
          <w:tcPr>
            <w:tcW w:w="2155" w:type="dxa"/>
            <w:tcBorders>
              <w:top w:val="single" w:sz="4" w:space="0" w:color="auto"/>
              <w:left w:val="single" w:sz="4" w:space="0" w:color="auto"/>
              <w:bottom w:val="single" w:sz="4" w:space="0" w:color="auto"/>
              <w:right w:val="single" w:sz="4" w:space="0" w:color="auto"/>
            </w:tcBorders>
            <w:hideMark/>
          </w:tcPr>
          <w:p w14:paraId="2A60CD28" w14:textId="33784AD4" w:rsidR="00256862" w:rsidRPr="00CD4967" w:rsidRDefault="00256862" w:rsidP="2C85CEDC">
            <w:pPr>
              <w:jc w:val="cente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b/>
                <w:bCs/>
                <w:color w:val="44546A" w:themeColor="text2"/>
              </w:rPr>
              <w:t>No of services funded by DFAT</w:t>
            </w:r>
          </w:p>
        </w:tc>
      </w:tr>
      <w:tr w:rsidR="00256862" w:rsidRPr="009B7D2E" w14:paraId="1DABD0A1" w14:textId="77777777" w:rsidTr="2C85CEDC">
        <w:tc>
          <w:tcPr>
            <w:tcW w:w="2405" w:type="dxa"/>
            <w:tcBorders>
              <w:top w:val="single" w:sz="4" w:space="0" w:color="auto"/>
              <w:left w:val="single" w:sz="4" w:space="0" w:color="auto"/>
              <w:bottom w:val="single" w:sz="4" w:space="0" w:color="auto"/>
              <w:right w:val="single" w:sz="4" w:space="0" w:color="auto"/>
            </w:tcBorders>
            <w:hideMark/>
          </w:tcPr>
          <w:p w14:paraId="6A555E19" w14:textId="6DAB1185" w:rsidR="00256862" w:rsidRPr="00CD4967" w:rsidRDefault="6B88A1F7" w:rsidP="2C85CEDC">
            <w:pP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color w:val="44546A" w:themeColor="text2"/>
              </w:rPr>
              <w:t>Crisis centre</w:t>
            </w:r>
            <w:r w:rsidR="00256862" w:rsidRPr="2C85CEDC">
              <w:rPr>
                <w:rFonts w:asciiTheme="majorHAnsi" w:eastAsiaTheme="majorEastAsia" w:hAnsiTheme="majorHAnsi" w:cstheme="majorBidi"/>
                <w:color w:val="44546A" w:themeColor="text2"/>
              </w:rPr>
              <w:t xml:space="preserve">                      </w:t>
            </w:r>
          </w:p>
        </w:tc>
        <w:tc>
          <w:tcPr>
            <w:tcW w:w="4649" w:type="dxa"/>
            <w:tcBorders>
              <w:top w:val="single" w:sz="4" w:space="0" w:color="auto"/>
              <w:left w:val="single" w:sz="4" w:space="0" w:color="auto"/>
              <w:bottom w:val="single" w:sz="4" w:space="0" w:color="auto"/>
              <w:right w:val="single" w:sz="4" w:space="0" w:color="auto"/>
            </w:tcBorders>
            <w:hideMark/>
          </w:tcPr>
          <w:p w14:paraId="6807E4FC" w14:textId="77777777" w:rsidR="00256862" w:rsidRPr="00CD4967" w:rsidRDefault="00256862" w:rsidP="2C85CEDC">
            <w:pP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color w:val="44546A" w:themeColor="text2"/>
              </w:rPr>
              <w:t>5000</w:t>
            </w:r>
            <w:bookmarkStart w:id="1" w:name="_Int_F40t7BEw"/>
            <w:proofErr w:type="gramStart"/>
            <w:r w:rsidRPr="2C85CEDC">
              <w:rPr>
                <w:rFonts w:asciiTheme="majorHAnsi" w:eastAsiaTheme="majorEastAsia" w:hAnsiTheme="majorHAnsi" w:cstheme="majorBidi"/>
                <w:color w:val="44546A" w:themeColor="text2"/>
              </w:rPr>
              <w:t xml:space="preserve">   (</w:t>
            </w:r>
            <w:bookmarkEnd w:id="1"/>
            <w:proofErr w:type="gramEnd"/>
            <w:r w:rsidRPr="2C85CEDC">
              <w:rPr>
                <w:rFonts w:asciiTheme="majorHAnsi" w:eastAsiaTheme="majorEastAsia" w:hAnsiTheme="majorHAnsi" w:cstheme="majorBidi"/>
                <w:color w:val="44546A" w:themeColor="text2"/>
              </w:rPr>
              <w:t>DFAT funds 100%)</w:t>
            </w:r>
          </w:p>
        </w:tc>
        <w:tc>
          <w:tcPr>
            <w:tcW w:w="2155" w:type="dxa"/>
            <w:tcBorders>
              <w:top w:val="single" w:sz="4" w:space="0" w:color="auto"/>
              <w:left w:val="single" w:sz="4" w:space="0" w:color="auto"/>
              <w:bottom w:val="single" w:sz="4" w:space="0" w:color="auto"/>
              <w:right w:val="single" w:sz="4" w:space="0" w:color="auto"/>
            </w:tcBorders>
            <w:hideMark/>
          </w:tcPr>
          <w:p w14:paraId="11E873B6" w14:textId="77777777" w:rsidR="00256862" w:rsidRPr="00CD4967" w:rsidRDefault="00256862" w:rsidP="2C85CEDC">
            <w:pPr>
              <w:jc w:val="right"/>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color w:val="44546A" w:themeColor="text2"/>
              </w:rPr>
              <w:t>5000</w:t>
            </w:r>
          </w:p>
        </w:tc>
      </w:tr>
      <w:tr w:rsidR="00256862" w:rsidRPr="009B7D2E" w14:paraId="1D7DBBC2" w14:textId="77777777" w:rsidTr="2C85CEDC">
        <w:tc>
          <w:tcPr>
            <w:tcW w:w="2405" w:type="dxa"/>
            <w:tcBorders>
              <w:top w:val="single" w:sz="4" w:space="0" w:color="auto"/>
              <w:left w:val="single" w:sz="4" w:space="0" w:color="auto"/>
              <w:bottom w:val="single" w:sz="4" w:space="0" w:color="auto"/>
              <w:right w:val="single" w:sz="4" w:space="0" w:color="auto"/>
            </w:tcBorders>
            <w:hideMark/>
          </w:tcPr>
          <w:p w14:paraId="636F7D37" w14:textId="77777777" w:rsidR="00256862" w:rsidRPr="00CD4967" w:rsidRDefault="00256862" w:rsidP="2C85CEDC">
            <w:pP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color w:val="44546A" w:themeColor="text2"/>
              </w:rPr>
              <w:t xml:space="preserve">Community counselling service                            </w:t>
            </w:r>
          </w:p>
        </w:tc>
        <w:tc>
          <w:tcPr>
            <w:tcW w:w="4649" w:type="dxa"/>
            <w:tcBorders>
              <w:top w:val="single" w:sz="4" w:space="0" w:color="auto"/>
              <w:left w:val="single" w:sz="4" w:space="0" w:color="auto"/>
              <w:bottom w:val="single" w:sz="4" w:space="0" w:color="auto"/>
              <w:right w:val="single" w:sz="4" w:space="0" w:color="auto"/>
            </w:tcBorders>
            <w:hideMark/>
          </w:tcPr>
          <w:p w14:paraId="472380D2" w14:textId="77777777" w:rsidR="00256862" w:rsidRPr="00CD4967" w:rsidRDefault="00256862" w:rsidP="2C85CEDC">
            <w:pP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color w:val="44546A" w:themeColor="text2"/>
              </w:rPr>
              <w:t>6000</w:t>
            </w:r>
            <w:bookmarkStart w:id="2" w:name="_Int_reG1Cmdd"/>
            <w:proofErr w:type="gramStart"/>
            <w:r w:rsidRPr="2C85CEDC">
              <w:rPr>
                <w:rFonts w:asciiTheme="majorHAnsi" w:eastAsiaTheme="majorEastAsia" w:hAnsiTheme="majorHAnsi" w:cstheme="majorBidi"/>
                <w:color w:val="44546A" w:themeColor="text2"/>
              </w:rPr>
              <w:t xml:space="preserve">   (</w:t>
            </w:r>
            <w:bookmarkEnd w:id="2"/>
            <w:proofErr w:type="gramEnd"/>
            <w:r w:rsidRPr="2C85CEDC">
              <w:rPr>
                <w:rFonts w:asciiTheme="majorHAnsi" w:eastAsiaTheme="majorEastAsia" w:hAnsiTheme="majorHAnsi" w:cstheme="majorBidi"/>
                <w:color w:val="44546A" w:themeColor="text2"/>
              </w:rPr>
              <w:t>DFAT funds 50%)</w:t>
            </w:r>
          </w:p>
        </w:tc>
        <w:tc>
          <w:tcPr>
            <w:tcW w:w="2155" w:type="dxa"/>
            <w:tcBorders>
              <w:top w:val="single" w:sz="4" w:space="0" w:color="auto"/>
              <w:left w:val="single" w:sz="4" w:space="0" w:color="auto"/>
              <w:bottom w:val="single" w:sz="4" w:space="0" w:color="auto"/>
              <w:right w:val="single" w:sz="4" w:space="0" w:color="auto"/>
            </w:tcBorders>
            <w:hideMark/>
          </w:tcPr>
          <w:p w14:paraId="3811C9F6" w14:textId="77777777" w:rsidR="00256862" w:rsidRPr="00CD4967" w:rsidRDefault="00256862" w:rsidP="2C85CEDC">
            <w:pPr>
              <w:jc w:val="right"/>
              <w:rPr>
                <w:rFonts w:asciiTheme="majorHAnsi" w:eastAsiaTheme="majorEastAsia" w:hAnsiTheme="majorHAnsi" w:cstheme="majorBidi"/>
                <w:color w:val="44546A" w:themeColor="text2"/>
                <w:lang w:eastAsia="zh-CN"/>
              </w:rPr>
            </w:pPr>
            <w:r w:rsidRPr="2C85CEDC">
              <w:rPr>
                <w:rFonts w:asciiTheme="majorHAnsi" w:eastAsiaTheme="majorEastAsia" w:hAnsiTheme="majorHAnsi" w:cstheme="majorBidi"/>
                <w:color w:val="44546A" w:themeColor="text2"/>
              </w:rPr>
              <w:t>3000</w:t>
            </w:r>
          </w:p>
        </w:tc>
      </w:tr>
      <w:tr w:rsidR="00256862" w:rsidRPr="009B7D2E" w14:paraId="1DE0F687" w14:textId="77777777" w:rsidTr="2C85CEDC">
        <w:tc>
          <w:tcPr>
            <w:tcW w:w="2405" w:type="dxa"/>
            <w:tcBorders>
              <w:top w:val="single" w:sz="4" w:space="0" w:color="auto"/>
              <w:left w:val="single" w:sz="4" w:space="0" w:color="auto"/>
              <w:bottom w:val="single" w:sz="4" w:space="0" w:color="auto"/>
              <w:right w:val="single" w:sz="4" w:space="0" w:color="auto"/>
            </w:tcBorders>
            <w:hideMark/>
          </w:tcPr>
          <w:p w14:paraId="7B98CFB3" w14:textId="38B584CD" w:rsidR="00256862" w:rsidRPr="00CD4967" w:rsidRDefault="00256862" w:rsidP="2C85CEDC">
            <w:pP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color w:val="44546A" w:themeColor="text2"/>
              </w:rPr>
              <w:t xml:space="preserve">Legal service                    </w:t>
            </w:r>
          </w:p>
        </w:tc>
        <w:tc>
          <w:tcPr>
            <w:tcW w:w="4649" w:type="dxa"/>
            <w:tcBorders>
              <w:top w:val="single" w:sz="4" w:space="0" w:color="auto"/>
              <w:left w:val="single" w:sz="4" w:space="0" w:color="auto"/>
              <w:bottom w:val="single" w:sz="4" w:space="0" w:color="auto"/>
              <w:right w:val="single" w:sz="4" w:space="0" w:color="auto"/>
            </w:tcBorders>
            <w:hideMark/>
          </w:tcPr>
          <w:p w14:paraId="3064F825" w14:textId="64E85E2F" w:rsidR="00256862" w:rsidRPr="00CD4967" w:rsidRDefault="00CD4967" w:rsidP="2C85CEDC">
            <w:pP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color w:val="44546A" w:themeColor="text2"/>
              </w:rPr>
              <w:t xml:space="preserve">  </w:t>
            </w:r>
            <w:r w:rsidR="00256862" w:rsidRPr="2C85CEDC">
              <w:rPr>
                <w:rFonts w:asciiTheme="majorHAnsi" w:eastAsiaTheme="majorEastAsia" w:hAnsiTheme="majorHAnsi" w:cstheme="majorBidi"/>
                <w:color w:val="44546A" w:themeColor="text2"/>
              </w:rPr>
              <w:t>200</w:t>
            </w:r>
            <w:bookmarkStart w:id="3" w:name="_Int_60fp2v3i"/>
            <w:proofErr w:type="gramStart"/>
            <w:r w:rsidRPr="2C85CEDC">
              <w:rPr>
                <w:rFonts w:asciiTheme="majorHAnsi" w:eastAsiaTheme="majorEastAsia" w:hAnsiTheme="majorHAnsi" w:cstheme="majorBidi"/>
                <w:color w:val="44546A" w:themeColor="text2"/>
              </w:rPr>
              <w:t xml:space="preserve">   </w:t>
            </w:r>
            <w:r w:rsidR="00256862" w:rsidRPr="2C85CEDC">
              <w:rPr>
                <w:rFonts w:asciiTheme="majorHAnsi" w:eastAsiaTheme="majorEastAsia" w:hAnsiTheme="majorHAnsi" w:cstheme="majorBidi"/>
                <w:color w:val="44546A" w:themeColor="text2"/>
              </w:rPr>
              <w:t>(</w:t>
            </w:r>
            <w:bookmarkEnd w:id="3"/>
            <w:proofErr w:type="gramEnd"/>
            <w:r w:rsidR="00256862" w:rsidRPr="2C85CEDC">
              <w:rPr>
                <w:rFonts w:asciiTheme="majorHAnsi" w:eastAsiaTheme="majorEastAsia" w:hAnsiTheme="majorHAnsi" w:cstheme="majorBidi"/>
                <w:color w:val="44546A" w:themeColor="text2"/>
              </w:rPr>
              <w:t xml:space="preserve">DFAT funds </w:t>
            </w:r>
            <w:r w:rsidR="6B90ECDA" w:rsidRPr="2C85CEDC">
              <w:rPr>
                <w:rFonts w:asciiTheme="majorHAnsi" w:eastAsiaTheme="majorEastAsia" w:hAnsiTheme="majorHAnsi" w:cstheme="majorBidi"/>
                <w:color w:val="44546A" w:themeColor="text2"/>
              </w:rPr>
              <w:t>80</w:t>
            </w:r>
            <w:r w:rsidR="00256862" w:rsidRPr="2C85CEDC">
              <w:rPr>
                <w:rFonts w:asciiTheme="majorHAnsi" w:eastAsiaTheme="majorEastAsia" w:hAnsiTheme="majorHAnsi" w:cstheme="majorBidi"/>
                <w:color w:val="44546A" w:themeColor="text2"/>
              </w:rPr>
              <w:t>%)</w:t>
            </w:r>
          </w:p>
        </w:tc>
        <w:tc>
          <w:tcPr>
            <w:tcW w:w="2155" w:type="dxa"/>
            <w:tcBorders>
              <w:top w:val="single" w:sz="4" w:space="0" w:color="auto"/>
              <w:left w:val="single" w:sz="4" w:space="0" w:color="auto"/>
              <w:bottom w:val="single" w:sz="4" w:space="0" w:color="auto"/>
              <w:right w:val="single" w:sz="4" w:space="0" w:color="auto"/>
            </w:tcBorders>
          </w:tcPr>
          <w:p w14:paraId="2C906F7F" w14:textId="2BC4023E" w:rsidR="00256862" w:rsidRPr="00CD4967" w:rsidRDefault="6B90ECDA" w:rsidP="2C85CEDC">
            <w:pPr>
              <w:jc w:val="right"/>
              <w:rPr>
                <w:rFonts w:asciiTheme="majorHAnsi" w:eastAsiaTheme="majorEastAsia" w:hAnsiTheme="majorHAnsi" w:cstheme="majorBidi"/>
                <w:color w:val="44546A" w:themeColor="text2"/>
              </w:rPr>
            </w:pPr>
            <w:r w:rsidRPr="2C85CEDC">
              <w:rPr>
                <w:rFonts w:asciiTheme="majorHAnsi" w:eastAsiaTheme="majorEastAsia" w:hAnsiTheme="majorHAnsi" w:cstheme="majorBidi"/>
                <w:color w:val="44546A" w:themeColor="text2"/>
              </w:rPr>
              <w:t>160</w:t>
            </w:r>
          </w:p>
          <w:p w14:paraId="3C121CA0" w14:textId="77777777" w:rsidR="00256862" w:rsidRPr="00CD4967" w:rsidRDefault="00256862" w:rsidP="2C85CEDC">
            <w:pPr>
              <w:jc w:val="right"/>
              <w:rPr>
                <w:rFonts w:asciiTheme="majorHAnsi" w:eastAsiaTheme="majorEastAsia" w:hAnsiTheme="majorHAnsi" w:cstheme="majorBidi"/>
                <w:b/>
                <w:bCs/>
                <w:color w:val="44546A" w:themeColor="text2"/>
                <w:lang w:eastAsia="zh-CN"/>
              </w:rPr>
            </w:pPr>
          </w:p>
        </w:tc>
      </w:tr>
      <w:tr w:rsidR="00256862" w:rsidRPr="00BD7BF3" w14:paraId="2090B9E1" w14:textId="77777777" w:rsidTr="2C85CEDC">
        <w:tc>
          <w:tcPr>
            <w:tcW w:w="7054" w:type="dxa"/>
            <w:gridSpan w:val="2"/>
            <w:tcBorders>
              <w:top w:val="single" w:sz="4" w:space="0" w:color="auto"/>
              <w:left w:val="single" w:sz="4" w:space="0" w:color="auto"/>
              <w:bottom w:val="single" w:sz="4" w:space="0" w:color="auto"/>
              <w:right w:val="single" w:sz="4" w:space="0" w:color="auto"/>
            </w:tcBorders>
            <w:hideMark/>
          </w:tcPr>
          <w:p w14:paraId="5A5E48B2" w14:textId="1E3F2460" w:rsidR="00256862" w:rsidRPr="00CD4967" w:rsidRDefault="00256862" w:rsidP="2C85CEDC">
            <w:pPr>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b/>
                <w:bCs/>
                <w:color w:val="44546A" w:themeColor="text2"/>
              </w:rPr>
              <w:t xml:space="preserve">Total number of services provided to </w:t>
            </w:r>
            <w:r w:rsidR="6B90ECDA" w:rsidRPr="2C85CEDC">
              <w:rPr>
                <w:rFonts w:asciiTheme="majorHAnsi" w:eastAsiaTheme="majorEastAsia" w:hAnsiTheme="majorHAnsi" w:cstheme="majorBidi"/>
                <w:b/>
                <w:bCs/>
                <w:color w:val="44546A" w:themeColor="text2"/>
              </w:rPr>
              <w:t>victim-</w:t>
            </w:r>
            <w:r w:rsidRPr="2C85CEDC">
              <w:rPr>
                <w:rFonts w:asciiTheme="majorHAnsi" w:eastAsiaTheme="majorEastAsia" w:hAnsiTheme="majorHAnsi" w:cstheme="majorBidi"/>
                <w:b/>
                <w:bCs/>
                <w:color w:val="44546A" w:themeColor="text2"/>
              </w:rPr>
              <w:t xml:space="preserve">survivors of </w:t>
            </w:r>
            <w:r w:rsidR="6B90ECDA" w:rsidRPr="2C85CEDC">
              <w:rPr>
                <w:rFonts w:asciiTheme="majorHAnsi" w:eastAsiaTheme="majorEastAsia" w:hAnsiTheme="majorHAnsi" w:cstheme="majorBidi"/>
                <w:b/>
                <w:bCs/>
                <w:color w:val="44546A" w:themeColor="text2"/>
              </w:rPr>
              <w:t xml:space="preserve">sexual and </w:t>
            </w:r>
            <w:r w:rsidRPr="2C85CEDC">
              <w:rPr>
                <w:rFonts w:asciiTheme="majorHAnsi" w:eastAsiaTheme="majorEastAsia" w:hAnsiTheme="majorHAnsi" w:cstheme="majorBidi"/>
                <w:b/>
                <w:bCs/>
                <w:color w:val="44546A" w:themeColor="text2"/>
              </w:rPr>
              <w:t xml:space="preserve">gender-based violence supported by Australian funding                                                                                    </w:t>
            </w:r>
          </w:p>
        </w:tc>
        <w:tc>
          <w:tcPr>
            <w:tcW w:w="2155" w:type="dxa"/>
            <w:tcBorders>
              <w:top w:val="single" w:sz="4" w:space="0" w:color="auto"/>
              <w:left w:val="single" w:sz="4" w:space="0" w:color="auto"/>
              <w:bottom w:val="single" w:sz="4" w:space="0" w:color="auto"/>
              <w:right w:val="single" w:sz="4" w:space="0" w:color="auto"/>
            </w:tcBorders>
            <w:hideMark/>
          </w:tcPr>
          <w:p w14:paraId="6E17C295" w14:textId="7E819DEA" w:rsidR="00256862" w:rsidRPr="00CD4967" w:rsidRDefault="00256862" w:rsidP="2C85CEDC">
            <w:pPr>
              <w:jc w:val="right"/>
              <w:rPr>
                <w:rFonts w:asciiTheme="majorHAnsi" w:eastAsiaTheme="majorEastAsia" w:hAnsiTheme="majorHAnsi" w:cstheme="majorBidi"/>
                <w:b/>
                <w:bCs/>
                <w:color w:val="44546A" w:themeColor="text2"/>
                <w:lang w:eastAsia="zh-CN"/>
              </w:rPr>
            </w:pPr>
            <w:r w:rsidRPr="2C85CEDC">
              <w:rPr>
                <w:rFonts w:asciiTheme="majorHAnsi" w:eastAsiaTheme="majorEastAsia" w:hAnsiTheme="majorHAnsi" w:cstheme="majorBidi"/>
                <w:b/>
                <w:bCs/>
                <w:color w:val="44546A" w:themeColor="text2"/>
              </w:rPr>
              <w:t>8</w:t>
            </w:r>
            <w:r w:rsidR="6B90ECDA" w:rsidRPr="2C85CEDC">
              <w:rPr>
                <w:rFonts w:asciiTheme="majorHAnsi" w:eastAsiaTheme="majorEastAsia" w:hAnsiTheme="majorHAnsi" w:cstheme="majorBidi"/>
                <w:b/>
                <w:bCs/>
                <w:color w:val="44546A" w:themeColor="text2"/>
              </w:rPr>
              <w:t>16</w:t>
            </w:r>
            <w:r w:rsidRPr="2C85CEDC">
              <w:rPr>
                <w:rFonts w:asciiTheme="majorHAnsi" w:eastAsiaTheme="majorEastAsia" w:hAnsiTheme="majorHAnsi" w:cstheme="majorBidi"/>
                <w:b/>
                <w:bCs/>
                <w:color w:val="44546A" w:themeColor="text2"/>
              </w:rPr>
              <w:t>0</w:t>
            </w:r>
          </w:p>
        </w:tc>
      </w:tr>
    </w:tbl>
    <w:p w14:paraId="6B37A801" w14:textId="77777777" w:rsidR="00256862" w:rsidRPr="00BD7BF3" w:rsidRDefault="00256862" w:rsidP="00256862">
      <w:pPr>
        <w:rPr>
          <w:rFonts w:ascii="Franklin Gothic Book" w:eastAsia="Calibri Light" w:hAnsi="Franklin Gothic Book" w:cs="Times New Roman"/>
          <w:color w:val="495965"/>
          <w:sz w:val="21"/>
          <w:szCs w:val="21"/>
        </w:rPr>
      </w:pPr>
    </w:p>
    <w:p w14:paraId="51352234" w14:textId="77777777" w:rsidR="00256862" w:rsidRPr="00BD7BF3" w:rsidRDefault="00256862" w:rsidP="00256862">
      <w:pPr>
        <w:spacing w:before="80" w:after="120" w:line="360" w:lineRule="auto"/>
        <w:rPr>
          <w:rFonts w:eastAsia="Calibri Light" w:cs="Times New Roman"/>
          <w:color w:val="495965"/>
        </w:rPr>
      </w:pPr>
    </w:p>
    <w:p w14:paraId="1924D812" w14:textId="53A411AC" w:rsidR="001A3142" w:rsidRPr="001A3142" w:rsidRDefault="001A3142" w:rsidP="00256862">
      <w:pPr>
        <w:pStyle w:val="BodyText"/>
        <w:rPr>
          <w:rFonts w:cstheme="minorHAnsi"/>
          <w:color w:val="000000" w:themeColor="text1"/>
        </w:rPr>
      </w:pPr>
    </w:p>
    <w:sectPr w:rsidR="001A3142" w:rsidRPr="001A3142">
      <w:headerReference w:type="default" r:id="rId10"/>
      <w:footerReference w:type="default" r:id="rId11"/>
      <w:pgSz w:w="11906" w:h="16838"/>
      <w:pgMar w:top="1080" w:right="1440" w:bottom="117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11FB" w14:textId="77777777" w:rsidR="00457FE4" w:rsidRDefault="00457FE4" w:rsidP="001A3142">
      <w:r>
        <w:separator/>
      </w:r>
    </w:p>
  </w:endnote>
  <w:endnote w:type="continuationSeparator" w:id="0">
    <w:p w14:paraId="7256E218" w14:textId="77777777" w:rsidR="00457FE4" w:rsidRDefault="00457FE4" w:rsidP="001A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DA931E" w14:paraId="0F2611C7" w14:textId="77777777" w:rsidTr="72DA931E">
      <w:trPr>
        <w:trHeight w:val="300"/>
      </w:trPr>
      <w:tc>
        <w:tcPr>
          <w:tcW w:w="3005" w:type="dxa"/>
        </w:tcPr>
        <w:p w14:paraId="76291EEE" w14:textId="049400FC" w:rsidR="72DA931E" w:rsidRDefault="72DA931E" w:rsidP="72DA931E">
          <w:pPr>
            <w:pStyle w:val="Header"/>
            <w:ind w:left="-115"/>
          </w:pPr>
        </w:p>
      </w:tc>
      <w:tc>
        <w:tcPr>
          <w:tcW w:w="3005" w:type="dxa"/>
        </w:tcPr>
        <w:p w14:paraId="14E0DAC8" w14:textId="49755A5D" w:rsidR="72DA931E" w:rsidRDefault="72DA931E" w:rsidP="72DA931E">
          <w:pPr>
            <w:pStyle w:val="Header"/>
            <w:jc w:val="center"/>
          </w:pPr>
        </w:p>
      </w:tc>
      <w:tc>
        <w:tcPr>
          <w:tcW w:w="3005" w:type="dxa"/>
        </w:tcPr>
        <w:p w14:paraId="04157280" w14:textId="4C586B75" w:rsidR="72DA931E" w:rsidRDefault="72DA931E" w:rsidP="72DA931E">
          <w:pPr>
            <w:pStyle w:val="Header"/>
            <w:ind w:right="-115"/>
            <w:jc w:val="right"/>
          </w:pPr>
        </w:p>
      </w:tc>
    </w:tr>
  </w:tbl>
  <w:p w14:paraId="217F146C" w14:textId="0D7CA6EA" w:rsidR="72DA931E" w:rsidRDefault="72DA931E" w:rsidP="72DA9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BE58" w14:textId="77777777" w:rsidR="00457FE4" w:rsidRDefault="00457FE4" w:rsidP="001A3142">
      <w:r>
        <w:separator/>
      </w:r>
    </w:p>
  </w:footnote>
  <w:footnote w:type="continuationSeparator" w:id="0">
    <w:p w14:paraId="6AA668E8" w14:textId="77777777" w:rsidR="00457FE4" w:rsidRDefault="00457FE4" w:rsidP="001A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DA931E" w14:paraId="43A4C3B6" w14:textId="77777777" w:rsidTr="72DA931E">
      <w:trPr>
        <w:trHeight w:val="300"/>
      </w:trPr>
      <w:tc>
        <w:tcPr>
          <w:tcW w:w="3005" w:type="dxa"/>
        </w:tcPr>
        <w:p w14:paraId="24344C74" w14:textId="2EB99C92" w:rsidR="72DA931E" w:rsidRDefault="72DA931E" w:rsidP="72DA931E">
          <w:pPr>
            <w:pStyle w:val="Header"/>
            <w:ind w:left="-115"/>
          </w:pPr>
        </w:p>
      </w:tc>
      <w:tc>
        <w:tcPr>
          <w:tcW w:w="3005" w:type="dxa"/>
        </w:tcPr>
        <w:p w14:paraId="2898AD6B" w14:textId="407592B7" w:rsidR="72DA931E" w:rsidRDefault="72DA931E" w:rsidP="72DA931E">
          <w:pPr>
            <w:pStyle w:val="Header"/>
            <w:jc w:val="center"/>
          </w:pPr>
        </w:p>
      </w:tc>
      <w:tc>
        <w:tcPr>
          <w:tcW w:w="3005" w:type="dxa"/>
        </w:tcPr>
        <w:p w14:paraId="36E55022" w14:textId="3C4551DA" w:rsidR="72DA931E" w:rsidRDefault="72DA931E" w:rsidP="72DA931E">
          <w:pPr>
            <w:pStyle w:val="Header"/>
            <w:ind w:right="-115"/>
            <w:jc w:val="right"/>
          </w:pPr>
        </w:p>
      </w:tc>
    </w:tr>
  </w:tbl>
  <w:p w14:paraId="6CCB67C5" w14:textId="3801832F" w:rsidR="72DA931E" w:rsidRDefault="72DA931E" w:rsidP="72DA931E">
    <w:pPr>
      <w:pStyle w:val="Header"/>
    </w:pPr>
    <w:r>
      <w:rPr>
        <w:noProof/>
      </w:rPr>
      <w:drawing>
        <wp:inline distT="0" distB="0" distL="0" distR="0" wp14:anchorId="7D8FFF84" wp14:editId="04BCEA3E">
          <wp:extent cx="3581400" cy="619125"/>
          <wp:effectExtent l="0" t="0" r="0" b="0"/>
          <wp:docPr id="476934545" name="Picture 476934545"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34545" name="Picture 476934545"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1AE"/>
    <w:multiLevelType w:val="hybridMultilevel"/>
    <w:tmpl w:val="1188093C"/>
    <w:lvl w:ilvl="0" w:tplc="9BC8B78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38799A"/>
    <w:multiLevelType w:val="hybridMultilevel"/>
    <w:tmpl w:val="4C1E9672"/>
    <w:lvl w:ilvl="0" w:tplc="F260138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6A492B"/>
    <w:multiLevelType w:val="hybridMultilevel"/>
    <w:tmpl w:val="DA4C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109A5"/>
    <w:multiLevelType w:val="hybridMultilevel"/>
    <w:tmpl w:val="731A17EC"/>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00A0CEE"/>
    <w:multiLevelType w:val="hybridMultilevel"/>
    <w:tmpl w:val="9D1E1F42"/>
    <w:lvl w:ilvl="0" w:tplc="5EAC861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2AD9A0"/>
    <w:multiLevelType w:val="hybridMultilevel"/>
    <w:tmpl w:val="5EA20B7C"/>
    <w:lvl w:ilvl="0" w:tplc="D200D5EE">
      <w:start w:val="1"/>
      <w:numFmt w:val="bullet"/>
      <w:lvlText w:val=""/>
      <w:lvlJc w:val="left"/>
      <w:pPr>
        <w:ind w:left="720" w:hanging="360"/>
      </w:pPr>
      <w:rPr>
        <w:rFonts w:ascii="Symbol" w:hAnsi="Symbol" w:hint="default"/>
      </w:rPr>
    </w:lvl>
    <w:lvl w:ilvl="1" w:tplc="9C389624">
      <w:start w:val="1"/>
      <w:numFmt w:val="bullet"/>
      <w:lvlText w:val="o"/>
      <w:lvlJc w:val="left"/>
      <w:pPr>
        <w:ind w:left="1440" w:hanging="360"/>
      </w:pPr>
      <w:rPr>
        <w:rFonts w:ascii="Courier New" w:hAnsi="Courier New" w:hint="default"/>
      </w:rPr>
    </w:lvl>
    <w:lvl w:ilvl="2" w:tplc="78B88DDA">
      <w:start w:val="1"/>
      <w:numFmt w:val="bullet"/>
      <w:lvlText w:val=""/>
      <w:lvlJc w:val="left"/>
      <w:pPr>
        <w:ind w:left="2160" w:hanging="360"/>
      </w:pPr>
      <w:rPr>
        <w:rFonts w:ascii="Wingdings" w:hAnsi="Wingdings" w:hint="default"/>
      </w:rPr>
    </w:lvl>
    <w:lvl w:ilvl="3" w:tplc="696235DE">
      <w:start w:val="1"/>
      <w:numFmt w:val="bullet"/>
      <w:lvlText w:val=""/>
      <w:lvlJc w:val="left"/>
      <w:pPr>
        <w:ind w:left="2880" w:hanging="360"/>
      </w:pPr>
      <w:rPr>
        <w:rFonts w:ascii="Symbol" w:hAnsi="Symbol" w:hint="default"/>
      </w:rPr>
    </w:lvl>
    <w:lvl w:ilvl="4" w:tplc="F68628A2">
      <w:start w:val="1"/>
      <w:numFmt w:val="bullet"/>
      <w:lvlText w:val="o"/>
      <w:lvlJc w:val="left"/>
      <w:pPr>
        <w:ind w:left="3600" w:hanging="360"/>
      </w:pPr>
      <w:rPr>
        <w:rFonts w:ascii="Courier New" w:hAnsi="Courier New" w:hint="default"/>
      </w:rPr>
    </w:lvl>
    <w:lvl w:ilvl="5" w:tplc="14380CF6">
      <w:start w:val="1"/>
      <w:numFmt w:val="bullet"/>
      <w:lvlText w:val=""/>
      <w:lvlJc w:val="left"/>
      <w:pPr>
        <w:ind w:left="4320" w:hanging="360"/>
      </w:pPr>
      <w:rPr>
        <w:rFonts w:ascii="Wingdings" w:hAnsi="Wingdings" w:hint="default"/>
      </w:rPr>
    </w:lvl>
    <w:lvl w:ilvl="6" w:tplc="A6D255E2">
      <w:start w:val="1"/>
      <w:numFmt w:val="bullet"/>
      <w:lvlText w:val=""/>
      <w:lvlJc w:val="left"/>
      <w:pPr>
        <w:ind w:left="5040" w:hanging="360"/>
      </w:pPr>
      <w:rPr>
        <w:rFonts w:ascii="Symbol" w:hAnsi="Symbol" w:hint="default"/>
      </w:rPr>
    </w:lvl>
    <w:lvl w:ilvl="7" w:tplc="15A4A2D0">
      <w:start w:val="1"/>
      <w:numFmt w:val="bullet"/>
      <w:lvlText w:val="o"/>
      <w:lvlJc w:val="left"/>
      <w:pPr>
        <w:ind w:left="5760" w:hanging="360"/>
      </w:pPr>
      <w:rPr>
        <w:rFonts w:ascii="Courier New" w:hAnsi="Courier New" w:hint="default"/>
      </w:rPr>
    </w:lvl>
    <w:lvl w:ilvl="8" w:tplc="9CE6A838">
      <w:start w:val="1"/>
      <w:numFmt w:val="bullet"/>
      <w:lvlText w:val=""/>
      <w:lvlJc w:val="left"/>
      <w:pPr>
        <w:ind w:left="6480" w:hanging="360"/>
      </w:pPr>
      <w:rPr>
        <w:rFonts w:ascii="Wingdings" w:hAnsi="Wingdings" w:hint="default"/>
      </w:rPr>
    </w:lvl>
  </w:abstractNum>
  <w:abstractNum w:abstractNumId="6" w15:restartNumberingAfterBreak="0">
    <w:nsid w:val="4DCE0F97"/>
    <w:multiLevelType w:val="hybridMultilevel"/>
    <w:tmpl w:val="543A9AF0"/>
    <w:lvl w:ilvl="0" w:tplc="F716C810">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943299"/>
    <w:multiLevelType w:val="hybridMultilevel"/>
    <w:tmpl w:val="8A54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0E68A1"/>
    <w:multiLevelType w:val="hybridMultilevel"/>
    <w:tmpl w:val="D52A55B2"/>
    <w:lvl w:ilvl="0" w:tplc="9BC8B78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863E40"/>
    <w:multiLevelType w:val="hybridMultilevel"/>
    <w:tmpl w:val="DC542372"/>
    <w:lvl w:ilvl="0" w:tplc="7B640FF6">
      <w:start w:val="1"/>
      <w:numFmt w:val="bullet"/>
      <w:lvlText w:val="›"/>
      <w:lvlJc w:val="left"/>
      <w:pPr>
        <w:ind w:left="720" w:hanging="360"/>
      </w:pPr>
      <w:rPr>
        <w:rFonts w:ascii="Times New Roman" w:hAnsi="Times New Roman" w:cs="Times New Roman" w:hint="default"/>
        <w:color w:val="auto"/>
        <w:position w:val="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921579"/>
    <w:multiLevelType w:val="hybridMultilevel"/>
    <w:tmpl w:val="D848E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AA1D05"/>
    <w:multiLevelType w:val="hybridMultilevel"/>
    <w:tmpl w:val="13587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3015911">
    <w:abstractNumId w:val="5"/>
  </w:num>
  <w:num w:numId="2" w16cid:durableId="418716074">
    <w:abstractNumId w:val="3"/>
  </w:num>
  <w:num w:numId="3" w16cid:durableId="266470466">
    <w:abstractNumId w:val="12"/>
  </w:num>
  <w:num w:numId="4" w16cid:durableId="2107268554">
    <w:abstractNumId w:val="10"/>
  </w:num>
  <w:num w:numId="5" w16cid:durableId="974530861">
    <w:abstractNumId w:val="11"/>
  </w:num>
  <w:num w:numId="6" w16cid:durableId="1368263884">
    <w:abstractNumId w:val="2"/>
  </w:num>
  <w:num w:numId="7" w16cid:durableId="285157258">
    <w:abstractNumId w:val="0"/>
  </w:num>
  <w:num w:numId="8" w16cid:durableId="838692830">
    <w:abstractNumId w:val="8"/>
  </w:num>
  <w:num w:numId="9" w16cid:durableId="1354960665">
    <w:abstractNumId w:val="9"/>
  </w:num>
  <w:num w:numId="10" w16cid:durableId="402610396">
    <w:abstractNumId w:val="4"/>
  </w:num>
  <w:num w:numId="11" w16cid:durableId="963656553">
    <w:abstractNumId w:val="1"/>
  </w:num>
  <w:num w:numId="12" w16cid:durableId="2019843633">
    <w:abstractNumId w:val="6"/>
  </w:num>
  <w:num w:numId="13" w16cid:durableId="749429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027AD"/>
    <w:rsid w:val="000048DD"/>
    <w:rsid w:val="000217CD"/>
    <w:rsid w:val="000366B3"/>
    <w:rsid w:val="00042593"/>
    <w:rsid w:val="00046867"/>
    <w:rsid w:val="00052C47"/>
    <w:rsid w:val="00066859"/>
    <w:rsid w:val="00133051"/>
    <w:rsid w:val="00151A7A"/>
    <w:rsid w:val="0016008A"/>
    <w:rsid w:val="00182D9F"/>
    <w:rsid w:val="001A3142"/>
    <w:rsid w:val="001C1620"/>
    <w:rsid w:val="001C27CD"/>
    <w:rsid w:val="001E3565"/>
    <w:rsid w:val="00215A8C"/>
    <w:rsid w:val="00216AFD"/>
    <w:rsid w:val="00256862"/>
    <w:rsid w:val="002638CD"/>
    <w:rsid w:val="00271A08"/>
    <w:rsid w:val="002934C6"/>
    <w:rsid w:val="00294F61"/>
    <w:rsid w:val="002959CE"/>
    <w:rsid w:val="002979FB"/>
    <w:rsid w:val="002E017B"/>
    <w:rsid w:val="002E7D3B"/>
    <w:rsid w:val="003040F7"/>
    <w:rsid w:val="00313C03"/>
    <w:rsid w:val="00321FE0"/>
    <w:rsid w:val="00330AFF"/>
    <w:rsid w:val="00343D87"/>
    <w:rsid w:val="00345B9A"/>
    <w:rsid w:val="00365A0B"/>
    <w:rsid w:val="0037432A"/>
    <w:rsid w:val="00385C73"/>
    <w:rsid w:val="00394B29"/>
    <w:rsid w:val="00397F4C"/>
    <w:rsid w:val="003A4A46"/>
    <w:rsid w:val="003E0F97"/>
    <w:rsid w:val="003F393E"/>
    <w:rsid w:val="0040397E"/>
    <w:rsid w:val="00410CBB"/>
    <w:rsid w:val="00425274"/>
    <w:rsid w:val="00457FE4"/>
    <w:rsid w:val="00472070"/>
    <w:rsid w:val="00473D44"/>
    <w:rsid w:val="00475BAE"/>
    <w:rsid w:val="00484081"/>
    <w:rsid w:val="004970A1"/>
    <w:rsid w:val="00560129"/>
    <w:rsid w:val="00580730"/>
    <w:rsid w:val="00583B62"/>
    <w:rsid w:val="005848B1"/>
    <w:rsid w:val="005940AE"/>
    <w:rsid w:val="00595347"/>
    <w:rsid w:val="00597DB1"/>
    <w:rsid w:val="005A1F9F"/>
    <w:rsid w:val="005A546F"/>
    <w:rsid w:val="005D6E9F"/>
    <w:rsid w:val="005E58EB"/>
    <w:rsid w:val="005F0DB6"/>
    <w:rsid w:val="005F2D4E"/>
    <w:rsid w:val="00601E9B"/>
    <w:rsid w:val="00607543"/>
    <w:rsid w:val="00652548"/>
    <w:rsid w:val="006652DE"/>
    <w:rsid w:val="00670555"/>
    <w:rsid w:val="0067238E"/>
    <w:rsid w:val="00676E9B"/>
    <w:rsid w:val="00693503"/>
    <w:rsid w:val="006B413A"/>
    <w:rsid w:val="006B4535"/>
    <w:rsid w:val="007417C8"/>
    <w:rsid w:val="00766BCF"/>
    <w:rsid w:val="00773900"/>
    <w:rsid w:val="007A71A1"/>
    <w:rsid w:val="007C7FDB"/>
    <w:rsid w:val="007D0C8B"/>
    <w:rsid w:val="007D59AD"/>
    <w:rsid w:val="007E6FC4"/>
    <w:rsid w:val="0080016C"/>
    <w:rsid w:val="0080325C"/>
    <w:rsid w:val="00805F49"/>
    <w:rsid w:val="008066C4"/>
    <w:rsid w:val="00821A48"/>
    <w:rsid w:val="008250FD"/>
    <w:rsid w:val="008355EF"/>
    <w:rsid w:val="00843F9F"/>
    <w:rsid w:val="00872F3C"/>
    <w:rsid w:val="00876030"/>
    <w:rsid w:val="00887263"/>
    <w:rsid w:val="00896661"/>
    <w:rsid w:val="008A7A4E"/>
    <w:rsid w:val="008F0039"/>
    <w:rsid w:val="00940C96"/>
    <w:rsid w:val="00950FE5"/>
    <w:rsid w:val="00965F57"/>
    <w:rsid w:val="009A144C"/>
    <w:rsid w:val="009A1D89"/>
    <w:rsid w:val="009B0774"/>
    <w:rsid w:val="009C5B0D"/>
    <w:rsid w:val="009E68DF"/>
    <w:rsid w:val="00A17456"/>
    <w:rsid w:val="00A45018"/>
    <w:rsid w:val="00A50B2C"/>
    <w:rsid w:val="00A56E34"/>
    <w:rsid w:val="00A94702"/>
    <w:rsid w:val="00AA0334"/>
    <w:rsid w:val="00AA088B"/>
    <w:rsid w:val="00AA1F1A"/>
    <w:rsid w:val="00AC1C92"/>
    <w:rsid w:val="00AC607C"/>
    <w:rsid w:val="00AC6576"/>
    <w:rsid w:val="00B0108F"/>
    <w:rsid w:val="00B32B28"/>
    <w:rsid w:val="00B638A2"/>
    <w:rsid w:val="00B66D49"/>
    <w:rsid w:val="00B70DDD"/>
    <w:rsid w:val="00B72191"/>
    <w:rsid w:val="00B87226"/>
    <w:rsid w:val="00B87518"/>
    <w:rsid w:val="00BC2DF9"/>
    <w:rsid w:val="00BD2FB2"/>
    <w:rsid w:val="00BF1A9F"/>
    <w:rsid w:val="00C06E8B"/>
    <w:rsid w:val="00C10B0F"/>
    <w:rsid w:val="00C4292B"/>
    <w:rsid w:val="00C50405"/>
    <w:rsid w:val="00C8040B"/>
    <w:rsid w:val="00CA2CC5"/>
    <w:rsid w:val="00CB4D66"/>
    <w:rsid w:val="00CD4802"/>
    <w:rsid w:val="00CD4967"/>
    <w:rsid w:val="00CD5FCE"/>
    <w:rsid w:val="00CF538D"/>
    <w:rsid w:val="00D02BE3"/>
    <w:rsid w:val="00D033D5"/>
    <w:rsid w:val="00D4190A"/>
    <w:rsid w:val="00D46DCD"/>
    <w:rsid w:val="00D73DE9"/>
    <w:rsid w:val="00D9192C"/>
    <w:rsid w:val="00DA1648"/>
    <w:rsid w:val="00DB5EA8"/>
    <w:rsid w:val="00E04A90"/>
    <w:rsid w:val="00E31E1A"/>
    <w:rsid w:val="00E357CF"/>
    <w:rsid w:val="00E5249A"/>
    <w:rsid w:val="00E577D7"/>
    <w:rsid w:val="00EA2FA5"/>
    <w:rsid w:val="00EC0389"/>
    <w:rsid w:val="00EF19AB"/>
    <w:rsid w:val="00EF59B1"/>
    <w:rsid w:val="00EF5F32"/>
    <w:rsid w:val="00F149BC"/>
    <w:rsid w:val="00F179AD"/>
    <w:rsid w:val="00F2270A"/>
    <w:rsid w:val="00F40FF2"/>
    <w:rsid w:val="00F64C1D"/>
    <w:rsid w:val="00F80FFB"/>
    <w:rsid w:val="00F916A7"/>
    <w:rsid w:val="00FB19E2"/>
    <w:rsid w:val="00FD50D2"/>
    <w:rsid w:val="00FD5A50"/>
    <w:rsid w:val="03C030B7"/>
    <w:rsid w:val="0536E734"/>
    <w:rsid w:val="070E047E"/>
    <w:rsid w:val="11FC41DF"/>
    <w:rsid w:val="2C85CEDC"/>
    <w:rsid w:val="2C93E285"/>
    <w:rsid w:val="316753A8"/>
    <w:rsid w:val="349EF46A"/>
    <w:rsid w:val="3C01F8E1"/>
    <w:rsid w:val="47EA8160"/>
    <w:rsid w:val="47F4A67C"/>
    <w:rsid w:val="5411F3B9"/>
    <w:rsid w:val="60D74E64"/>
    <w:rsid w:val="64281783"/>
    <w:rsid w:val="68E26049"/>
    <w:rsid w:val="6B88A1F7"/>
    <w:rsid w:val="6B90ECDA"/>
    <w:rsid w:val="72DA931E"/>
    <w:rsid w:val="774D6A7B"/>
    <w:rsid w:val="7A3075C7"/>
    <w:rsid w:val="7EDBD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B"/>
    <w:pPr>
      <w:spacing w:after="0" w:line="240" w:lineRule="auto"/>
    </w:pPr>
    <w:rPr>
      <w:rFonts w:ascii="Calibri" w:hAnsi="Calibri" w:cs="Calibri"/>
    </w:rPr>
  </w:style>
  <w:style w:type="paragraph" w:styleId="Heading1">
    <w:name w:val="heading 1"/>
    <w:basedOn w:val="Normal"/>
    <w:next w:val="Normal"/>
    <w:link w:val="Heading1Char"/>
    <w:qFormat/>
    <w:rsid w:val="007C7FDB"/>
    <w:pPr>
      <w:keepNext/>
      <w:keepLines/>
      <w:suppressAutoHyphens/>
      <w:spacing w:before="300" w:after="100" w:afterAutospacing="1" w:line="380" w:lineRule="exact"/>
      <w:outlineLvl w:val="0"/>
    </w:pPr>
    <w:rPr>
      <w:rFonts w:asciiTheme="minorHAnsi" w:eastAsiaTheme="majorEastAsia" w:hAnsiTheme="minorHAnsi" w:cstheme="minorHAnsi"/>
      <w:b/>
      <w:bCs/>
      <w:i/>
      <w:iCs/>
      <w:caps/>
      <w:color w:val="2F5496" w:themeColor="accent1" w:themeShade="BF"/>
      <w:sz w:val="32"/>
      <w:szCs w:val="32"/>
      <w:lang w:val="en-GB"/>
    </w:rPr>
  </w:style>
  <w:style w:type="paragraph" w:styleId="Heading2">
    <w:name w:val="heading 2"/>
    <w:basedOn w:val="Style5"/>
    <w:next w:val="Normal"/>
    <w:link w:val="Heading2Char"/>
    <w:unhideWhenUsed/>
    <w:qFormat/>
    <w:rsid w:val="00876030"/>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2B"/>
    <w:pPr>
      <w:ind w:left="720"/>
    </w:pPr>
  </w:style>
  <w:style w:type="character" w:styleId="Hyperlink">
    <w:name w:val="Hyperlink"/>
    <w:basedOn w:val="DefaultParagraphFont"/>
    <w:uiPriority w:val="99"/>
    <w:unhideWhenUsed/>
    <w:rsid w:val="00C4292B"/>
    <w:rPr>
      <w:color w:val="0563C1" w:themeColor="hyperlink"/>
      <w:u w:val="single"/>
    </w:rPr>
  </w:style>
  <w:style w:type="character" w:styleId="UnresolvedMention">
    <w:name w:val="Unresolved Mention"/>
    <w:basedOn w:val="DefaultParagraphFont"/>
    <w:uiPriority w:val="99"/>
    <w:semiHidden/>
    <w:unhideWhenUsed/>
    <w:rsid w:val="00C4292B"/>
    <w:rPr>
      <w:color w:val="605E5C"/>
      <w:shd w:val="clear" w:color="auto" w:fill="E1DFDD"/>
    </w:rPr>
  </w:style>
  <w:style w:type="character" w:customStyle="1" w:styleId="Heading1Char">
    <w:name w:val="Heading 1 Char"/>
    <w:basedOn w:val="DefaultParagraphFont"/>
    <w:link w:val="Heading1"/>
    <w:rsid w:val="007C7FDB"/>
    <w:rPr>
      <w:rFonts w:eastAsiaTheme="majorEastAsia" w:cstheme="minorHAnsi"/>
      <w:b/>
      <w:bCs/>
      <w:i/>
      <w:iCs/>
      <w:caps/>
      <w:color w:val="2F5496" w:themeColor="accent1" w:themeShade="BF"/>
      <w:sz w:val="32"/>
      <w:szCs w:val="32"/>
      <w:lang w:val="en-GB"/>
    </w:rPr>
  </w:style>
  <w:style w:type="character" w:customStyle="1" w:styleId="Heading2Char">
    <w:name w:val="Heading 2 Char"/>
    <w:basedOn w:val="DefaultParagraphFont"/>
    <w:link w:val="Heading2"/>
    <w:rsid w:val="00876030"/>
    <w:rPr>
      <w:rFonts w:eastAsiaTheme="majorEastAsia" w:cstheme="minorHAnsi"/>
      <w:b/>
      <w:caps/>
      <w:color w:val="2F5496" w:themeColor="accent1" w:themeShade="BF"/>
      <w:sz w:val="32"/>
      <w:szCs w:val="32"/>
      <w:lang w:val="en-GB"/>
    </w:rPr>
  </w:style>
  <w:style w:type="character" w:styleId="IntenseEmphasis">
    <w:name w:val="Intense Emphasis"/>
    <w:basedOn w:val="DefaultParagraphFont"/>
    <w:uiPriority w:val="21"/>
    <w:qFormat/>
    <w:rsid w:val="00C4292B"/>
    <w:rPr>
      <w:b/>
      <w:i/>
      <w:iCs/>
      <w:color w:val="44546A" w:themeColor="text2"/>
    </w:rPr>
  </w:style>
  <w:style w:type="paragraph" w:styleId="BodyText">
    <w:name w:val="Body Text"/>
    <w:basedOn w:val="Normal"/>
    <w:link w:val="BodyTextChar"/>
    <w:uiPriority w:val="99"/>
    <w:unhideWhenUsed/>
    <w:qFormat/>
    <w:rsid w:val="00C4292B"/>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C4292B"/>
    <w:rPr>
      <w:color w:val="44546A" w:themeColor="text2"/>
      <w:lang w:val="en-GB"/>
    </w:rPr>
  </w:style>
  <w:style w:type="paragraph" w:styleId="ListBullet">
    <w:name w:val="List Bullet"/>
    <w:basedOn w:val="BodyText"/>
    <w:unhideWhenUsed/>
    <w:qFormat/>
    <w:rsid w:val="00C4292B"/>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4292B"/>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4292B"/>
    <w:rPr>
      <w:b w:val="0"/>
      <w:sz w:val="36"/>
      <w:szCs w:val="36"/>
    </w:rPr>
  </w:style>
  <w:style w:type="character" w:customStyle="1" w:styleId="Style3Char">
    <w:name w:val="Style3 Char"/>
    <w:basedOn w:val="Heading2Char"/>
    <w:link w:val="Style3"/>
    <w:rsid w:val="00C4292B"/>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4292B"/>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4292B"/>
    <w:rPr>
      <w:rFonts w:asciiTheme="majorHAnsi" w:eastAsiaTheme="majorEastAsia" w:hAnsiTheme="majorHAnsi" w:cstheme="majorBidi"/>
      <w:b/>
      <w:caps/>
      <w:color w:val="2F5496" w:themeColor="accent1" w:themeShade="BF"/>
      <w:sz w:val="32"/>
      <w:szCs w:val="32"/>
      <w:lang w:val="en-GB"/>
    </w:rPr>
  </w:style>
  <w:style w:type="table" w:styleId="TableGrid">
    <w:name w:val="Table Grid"/>
    <w:basedOn w:val="TableNormal"/>
    <w:uiPriority w:val="59"/>
    <w:rsid w:val="0025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40F7"/>
    <w:pPr>
      <w:spacing w:after="0" w:line="240" w:lineRule="auto"/>
    </w:pPr>
    <w:rPr>
      <w:rFonts w:ascii="Calibri" w:hAnsi="Calibri" w:cs="Calibri"/>
    </w:rPr>
  </w:style>
  <w:style w:type="paragraph" w:styleId="Header">
    <w:name w:val="header"/>
    <w:basedOn w:val="Normal"/>
    <w:link w:val="HeaderChar"/>
    <w:uiPriority w:val="99"/>
    <w:unhideWhenUsed/>
    <w:rsid w:val="006B413A"/>
    <w:pPr>
      <w:tabs>
        <w:tab w:val="center" w:pos="4513"/>
        <w:tab w:val="right" w:pos="9026"/>
      </w:tabs>
    </w:pPr>
  </w:style>
  <w:style w:type="character" w:customStyle="1" w:styleId="HeaderChar">
    <w:name w:val="Header Char"/>
    <w:basedOn w:val="DefaultParagraphFont"/>
    <w:link w:val="Header"/>
    <w:uiPriority w:val="99"/>
    <w:rsid w:val="006B413A"/>
    <w:rPr>
      <w:rFonts w:ascii="Calibri" w:hAnsi="Calibri" w:cs="Calibri"/>
    </w:rPr>
  </w:style>
  <w:style w:type="paragraph" w:styleId="Footer">
    <w:name w:val="footer"/>
    <w:basedOn w:val="Normal"/>
    <w:link w:val="FooterChar"/>
    <w:uiPriority w:val="99"/>
    <w:unhideWhenUsed/>
    <w:rsid w:val="006B413A"/>
    <w:pPr>
      <w:tabs>
        <w:tab w:val="center" w:pos="4513"/>
        <w:tab w:val="right" w:pos="9026"/>
      </w:tabs>
    </w:pPr>
  </w:style>
  <w:style w:type="character" w:customStyle="1" w:styleId="FooterChar">
    <w:name w:val="Footer Char"/>
    <w:basedOn w:val="DefaultParagraphFont"/>
    <w:link w:val="Footer"/>
    <w:uiPriority w:val="99"/>
    <w:rsid w:val="006B413A"/>
    <w:rPr>
      <w:rFonts w:ascii="Calibri" w:hAnsi="Calibri" w:cs="Calibri"/>
    </w:rPr>
  </w:style>
  <w:style w:type="character" w:styleId="CommentReference">
    <w:name w:val="annotation reference"/>
    <w:basedOn w:val="DefaultParagraphFont"/>
    <w:uiPriority w:val="99"/>
    <w:semiHidden/>
    <w:unhideWhenUsed/>
    <w:rsid w:val="00580730"/>
    <w:rPr>
      <w:sz w:val="16"/>
      <w:szCs w:val="16"/>
    </w:rPr>
  </w:style>
  <w:style w:type="paragraph" w:styleId="CommentText">
    <w:name w:val="annotation text"/>
    <w:basedOn w:val="Normal"/>
    <w:link w:val="CommentTextChar"/>
    <w:uiPriority w:val="99"/>
    <w:unhideWhenUsed/>
    <w:rsid w:val="00580730"/>
    <w:rPr>
      <w:sz w:val="20"/>
      <w:szCs w:val="20"/>
    </w:rPr>
  </w:style>
  <w:style w:type="character" w:customStyle="1" w:styleId="CommentTextChar">
    <w:name w:val="Comment Text Char"/>
    <w:basedOn w:val="DefaultParagraphFont"/>
    <w:link w:val="CommentText"/>
    <w:uiPriority w:val="99"/>
    <w:rsid w:val="005807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0730"/>
    <w:rPr>
      <w:b/>
      <w:bCs/>
    </w:rPr>
  </w:style>
  <w:style w:type="character" w:customStyle="1" w:styleId="CommentSubjectChar">
    <w:name w:val="Comment Subject Char"/>
    <w:basedOn w:val="CommentTextChar"/>
    <w:link w:val="CommentSubject"/>
    <w:uiPriority w:val="99"/>
    <w:semiHidden/>
    <w:rsid w:val="0058073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76915">
      <w:bodyDiv w:val="1"/>
      <w:marLeft w:val="0"/>
      <w:marRight w:val="0"/>
      <w:marTop w:val="0"/>
      <w:marBottom w:val="0"/>
      <w:divBdr>
        <w:top w:val="none" w:sz="0" w:space="0" w:color="auto"/>
        <w:left w:val="none" w:sz="0" w:space="0" w:color="auto"/>
        <w:bottom w:val="none" w:sz="0" w:space="0" w:color="auto"/>
        <w:right w:val="none" w:sz="0" w:space="0" w:color="auto"/>
      </w:divBdr>
    </w:div>
    <w:div w:id="844705683">
      <w:bodyDiv w:val="1"/>
      <w:marLeft w:val="0"/>
      <w:marRight w:val="0"/>
      <w:marTop w:val="0"/>
      <w:marBottom w:val="0"/>
      <w:divBdr>
        <w:top w:val="none" w:sz="0" w:space="0" w:color="auto"/>
        <w:left w:val="none" w:sz="0" w:space="0" w:color="auto"/>
        <w:bottom w:val="none" w:sz="0" w:space="0" w:color="auto"/>
        <w:right w:val="none" w:sz="0" w:space="0" w:color="auto"/>
      </w:divBdr>
    </w:div>
    <w:div w:id="1012413599">
      <w:bodyDiv w:val="1"/>
      <w:marLeft w:val="0"/>
      <w:marRight w:val="0"/>
      <w:marTop w:val="0"/>
      <w:marBottom w:val="0"/>
      <w:divBdr>
        <w:top w:val="none" w:sz="0" w:space="0" w:color="auto"/>
        <w:left w:val="none" w:sz="0" w:space="0" w:color="auto"/>
        <w:bottom w:val="none" w:sz="0" w:space="0" w:color="auto"/>
        <w:right w:val="none" w:sz="0" w:space="0" w:color="auto"/>
      </w:divBdr>
    </w:div>
    <w:div w:id="21184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5C404-31BA-4372-BF1B-9F35E6F2D2A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e7c2167f-7f62-42c8-b17f-4fb54f1eb712"/>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269E530-5D40-4BE5-8CAC-591ECF64115A}">
  <ds:schemaRefs>
    <ds:schemaRef ds:uri="http://schemas.microsoft.com/sharepoint/v3/contenttype/forms"/>
  </ds:schemaRefs>
</ds:datastoreItem>
</file>

<file path=customXml/itemProps3.xml><?xml version="1.0" encoding="utf-8"?>
<ds:datastoreItem xmlns:ds="http://schemas.openxmlformats.org/officeDocument/2006/customXml" ds:itemID="{CC567D52-AFFC-4620-B121-BBE10D6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5634</Characters>
  <Application>Microsoft Office Word</Application>
  <DocSecurity>0</DocSecurity>
  <Lines>117</Lines>
  <Paragraphs>67</Paragraphs>
  <ScaleCrop>false</ScaleCrop>
  <HeadingPairs>
    <vt:vector size="2" baseType="variant">
      <vt:variant>
        <vt:lpstr>Title</vt:lpstr>
      </vt:variant>
      <vt:variant>
        <vt:i4>1</vt:i4>
      </vt:variant>
    </vt:vector>
  </HeadingPairs>
  <TitlesOfParts>
    <vt:vector size="1" baseType="lpstr">
      <vt:lpstr>Tier 2 Technical Note – Sexual and gender-based violence</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Sexual and gender-based violence</dc:title>
  <dc:subject/>
  <dc:creator/>
  <cp:keywords>[SEC=OFFICIAL]</cp:keywords>
  <dc:description/>
  <cp:lastModifiedBy/>
  <cp:revision>5</cp:revision>
  <dcterms:created xsi:type="dcterms:W3CDTF">2024-02-15T22:36:00Z</dcterms:created>
  <dcterms:modified xsi:type="dcterms:W3CDTF">2024-06-19T04:45:00Z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v=2022.1;a=SHA256;h=782F3C6154F13586E74A431C2434EF87AA6750B1B2AF94101AC20DBDF0B38134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0F899F374FF046FA9710986148772F0A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2023-06-14T03:51:21Z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F1707595956A9E04BAA2D212DC96B46A</vt:lpwstr>
  </property>
  <property fmtid="{D5CDD505-2E9C-101B-9397-08002B2CF9AE}" pid="22" name="PM_Hash_Salt">
    <vt:lpwstr>5DF09B4944F1A19AC30502CF319AC138</vt:lpwstr>
  </property>
  <property fmtid="{D5CDD505-2E9C-101B-9397-08002B2CF9AE}" pid="23" name="PM_Hash_SHA1">
    <vt:lpwstr>94BBDEE16B2CFE655822075C0F6065DD0A3AD28F</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