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F9A2" w14:textId="77777777" w:rsidR="003D1D9E" w:rsidRPr="003D1D9E" w:rsidRDefault="003D1D9E" w:rsidP="5AD4C1C1">
      <w:pPr>
        <w:pStyle w:val="Heading1"/>
        <w:rPr>
          <w:rFonts w:asciiTheme="majorHAnsi" w:eastAsiaTheme="majorEastAsia" w:hAnsiTheme="majorHAnsi" w:cstheme="majorBidi"/>
          <w:b/>
          <w:sz w:val="32"/>
          <w:szCs w:val="32"/>
        </w:rPr>
      </w:pPr>
      <w:bookmarkStart w:id="0" w:name="_Toc441151562"/>
      <w:bookmarkStart w:id="1" w:name="_Hlk95377738"/>
      <w:r w:rsidRPr="5AD4C1C1">
        <w:rPr>
          <w:rFonts w:asciiTheme="majorHAnsi" w:eastAsiaTheme="majorEastAsia" w:hAnsiTheme="majorHAnsi" w:cstheme="majorBidi"/>
          <w:b/>
          <w:sz w:val="32"/>
          <w:szCs w:val="32"/>
        </w:rPr>
        <w:t>TIER 2 INDICATOR Technical Note</w:t>
      </w:r>
    </w:p>
    <w:bookmarkEnd w:id="0"/>
    <w:p w14:paraId="20D1247E" w14:textId="581AE369" w:rsidR="00C4292B" w:rsidRPr="003D1D9E" w:rsidRDefault="003D1D9E" w:rsidP="5AD4C1C1">
      <w:pPr>
        <w:pStyle w:val="Heading2"/>
        <w:rPr>
          <w:rFonts w:asciiTheme="majorHAnsi" w:hAnsiTheme="majorHAnsi" w:cstheme="majorBidi"/>
          <w:i/>
          <w:iCs/>
        </w:rPr>
      </w:pPr>
      <w:r w:rsidRPr="5AD4C1C1">
        <w:rPr>
          <w:rFonts w:asciiTheme="majorHAnsi" w:hAnsiTheme="majorHAnsi" w:cstheme="majorBidi"/>
          <w:i/>
          <w:iCs/>
        </w:rPr>
        <w:t>COmmunicable Diseases</w:t>
      </w:r>
      <w:r w:rsidR="7DA05284" w:rsidRPr="5AD4C1C1">
        <w:rPr>
          <w:rFonts w:asciiTheme="majorHAnsi" w:hAnsiTheme="majorHAnsi" w:cstheme="majorBidi"/>
          <w:i/>
          <w:iCs/>
        </w:rPr>
        <w:t xml:space="preserve"> </w:t>
      </w:r>
    </w:p>
    <w:p w14:paraId="0A162EA4" w14:textId="4C73A1AB" w:rsidR="00C4292B" w:rsidRPr="003D1D9E" w:rsidRDefault="00D92319" w:rsidP="5AD4C1C1">
      <w:pPr>
        <w:pStyle w:val="Heading2"/>
        <w:rPr>
          <w:rFonts w:asciiTheme="majorHAnsi" w:hAnsiTheme="majorHAnsi" w:cstheme="majorBidi"/>
          <w:i/>
          <w:iCs/>
        </w:rPr>
      </w:pPr>
      <w:r w:rsidRPr="5AD4C1C1">
        <w:rPr>
          <w:rFonts w:asciiTheme="majorHAnsi" w:hAnsiTheme="majorHAnsi" w:cstheme="majorBidi"/>
          <w:i/>
          <w:iCs/>
        </w:rPr>
        <w:t>Partner countries have improved ability to anticipate, prevent, detect and control communicable disease threats, with Australian support.</w:t>
      </w:r>
    </w:p>
    <w:bookmarkEnd w:id="1"/>
    <w:p w14:paraId="1008108A" w14:textId="5BF0D1EA" w:rsidR="00C4292B" w:rsidRPr="00865775" w:rsidRDefault="00C4292B" w:rsidP="1D954D8A">
      <w:pPr>
        <w:pStyle w:val="PublicationDate"/>
        <w:spacing w:before="120" w:after="120" w:line="240" w:lineRule="auto"/>
        <w:rPr>
          <w:rFonts w:asciiTheme="majorHAnsi" w:eastAsiaTheme="majorEastAsia" w:hAnsiTheme="majorHAnsi" w:cstheme="majorBidi"/>
          <w:b/>
          <w:bCs/>
          <w:color w:val="44546A" w:themeColor="text2"/>
          <w:sz w:val="22"/>
          <w:szCs w:val="22"/>
        </w:rPr>
      </w:pPr>
      <w:r w:rsidRPr="1D954D8A">
        <w:rPr>
          <w:rFonts w:asciiTheme="majorHAnsi" w:eastAsiaTheme="majorEastAsia" w:hAnsiTheme="majorHAnsi" w:cstheme="majorBidi"/>
          <w:b/>
          <w:bCs/>
          <w:color w:val="44546A" w:themeColor="text2"/>
          <w:sz w:val="22"/>
          <w:szCs w:val="22"/>
        </w:rPr>
        <w:t xml:space="preserve">Last updated: </w:t>
      </w:r>
      <w:r w:rsidR="00221E22" w:rsidRPr="1D954D8A">
        <w:rPr>
          <w:rFonts w:asciiTheme="majorHAnsi" w:eastAsiaTheme="majorEastAsia" w:hAnsiTheme="majorHAnsi" w:cstheme="majorBidi"/>
          <w:b/>
          <w:bCs/>
          <w:color w:val="44546A" w:themeColor="text2"/>
          <w:sz w:val="22"/>
          <w:szCs w:val="22"/>
        </w:rPr>
        <w:t>August</w:t>
      </w:r>
      <w:r w:rsidR="00E66C43" w:rsidRPr="1D954D8A">
        <w:rPr>
          <w:rFonts w:asciiTheme="majorHAnsi" w:eastAsiaTheme="majorEastAsia" w:hAnsiTheme="majorHAnsi" w:cstheme="majorBidi"/>
          <w:b/>
          <w:bCs/>
          <w:color w:val="44546A" w:themeColor="text2"/>
          <w:sz w:val="22"/>
          <w:szCs w:val="22"/>
        </w:rPr>
        <w:t xml:space="preserve"> 2023</w:t>
      </w:r>
    </w:p>
    <w:p w14:paraId="64E31E70" w14:textId="77777777" w:rsidR="00C4292B" w:rsidRPr="00441EE1" w:rsidRDefault="00C4292B" w:rsidP="5AD4C1C1">
      <w:pPr>
        <w:pStyle w:val="Heading2"/>
        <w:rPr>
          <w:rFonts w:asciiTheme="majorHAnsi" w:hAnsiTheme="majorHAnsi" w:cstheme="majorBidi"/>
        </w:rPr>
      </w:pPr>
      <w:r w:rsidRPr="5AD4C1C1">
        <w:rPr>
          <w:rFonts w:asciiTheme="majorHAnsi" w:hAnsiTheme="majorHAnsi" w:cstheme="majorBidi"/>
        </w:rPr>
        <w:t>Definition</w:t>
      </w:r>
    </w:p>
    <w:p w14:paraId="45A57F03" w14:textId="0B284F93" w:rsidR="00FD4029" w:rsidRPr="000931BD" w:rsidRDefault="00FD4029" w:rsidP="1D954D8A">
      <w:pPr>
        <w:pStyle w:val="BodyText"/>
        <w:jc w:val="both"/>
        <w:rPr>
          <w:rFonts w:asciiTheme="majorHAnsi" w:eastAsiaTheme="majorEastAsia" w:hAnsiTheme="majorHAnsi" w:cstheme="majorBidi"/>
        </w:rPr>
      </w:pPr>
      <w:r w:rsidRPr="1D954D8A">
        <w:rPr>
          <w:rFonts w:asciiTheme="majorHAnsi" w:eastAsiaTheme="majorEastAsia" w:hAnsiTheme="majorHAnsi" w:cstheme="majorBidi"/>
        </w:rPr>
        <w:t xml:space="preserve">This indicator is designed to capture evidence of Australian support for improved </w:t>
      </w:r>
      <w:r w:rsidR="00FD6BEE" w:rsidRPr="1D954D8A">
        <w:rPr>
          <w:rFonts w:asciiTheme="majorHAnsi" w:eastAsiaTheme="majorEastAsia" w:hAnsiTheme="majorHAnsi" w:cstheme="majorBidi"/>
        </w:rPr>
        <w:t xml:space="preserve">preparedness and </w:t>
      </w:r>
      <w:r w:rsidRPr="1D954D8A">
        <w:rPr>
          <w:rFonts w:asciiTheme="majorHAnsi" w:eastAsiaTheme="majorEastAsia" w:hAnsiTheme="majorHAnsi" w:cstheme="majorBidi"/>
        </w:rPr>
        <w:t xml:space="preserve">response to </w:t>
      </w:r>
      <w:r w:rsidR="00FD6BEE" w:rsidRPr="1D954D8A">
        <w:rPr>
          <w:rFonts w:asciiTheme="majorHAnsi" w:eastAsiaTheme="majorEastAsia" w:hAnsiTheme="majorHAnsi" w:cstheme="majorBidi"/>
        </w:rPr>
        <w:t>communicable</w:t>
      </w:r>
      <w:r w:rsidRPr="1D954D8A">
        <w:rPr>
          <w:rFonts w:asciiTheme="majorHAnsi" w:eastAsiaTheme="majorEastAsia" w:hAnsiTheme="majorHAnsi" w:cstheme="majorBidi"/>
        </w:rPr>
        <w:t xml:space="preserve"> </w:t>
      </w:r>
      <w:r w:rsidR="37E11801" w:rsidRPr="1D954D8A">
        <w:rPr>
          <w:rFonts w:asciiTheme="majorHAnsi" w:eastAsiaTheme="majorEastAsia" w:hAnsiTheme="majorHAnsi" w:cstheme="majorBidi"/>
        </w:rPr>
        <w:t xml:space="preserve">disease </w:t>
      </w:r>
      <w:r w:rsidRPr="1D954D8A">
        <w:rPr>
          <w:rFonts w:asciiTheme="majorHAnsi" w:eastAsiaTheme="majorEastAsia" w:hAnsiTheme="majorHAnsi" w:cstheme="majorBidi"/>
        </w:rPr>
        <w:t>threats in partner countries.</w:t>
      </w:r>
    </w:p>
    <w:p w14:paraId="28E2C6D0" w14:textId="120A5C2C" w:rsidR="00EC7173" w:rsidRPr="004E5835" w:rsidRDefault="0F4A8B5F" w:rsidP="1D954D8A">
      <w:pPr>
        <w:pStyle w:val="BodyText"/>
        <w:jc w:val="both"/>
        <w:rPr>
          <w:rFonts w:asciiTheme="majorHAnsi" w:eastAsiaTheme="majorEastAsia" w:hAnsiTheme="majorHAnsi" w:cstheme="majorBidi"/>
          <w:lang w:val="en-AU" w:eastAsia="en-AU"/>
        </w:rPr>
      </w:pPr>
      <w:r w:rsidRPr="1D954D8A">
        <w:rPr>
          <w:rFonts w:asciiTheme="majorHAnsi" w:eastAsiaTheme="majorEastAsia" w:hAnsiTheme="majorHAnsi" w:cstheme="majorBidi"/>
          <w:b/>
          <w:bCs/>
        </w:rPr>
        <w:t>Communicable disease</w:t>
      </w:r>
      <w:r w:rsidR="00AD6F30" w:rsidRPr="1D954D8A">
        <w:rPr>
          <w:rFonts w:asciiTheme="majorHAnsi" w:eastAsiaTheme="majorEastAsia" w:hAnsiTheme="majorHAnsi" w:cstheme="majorBidi"/>
          <w:b/>
          <w:bCs/>
        </w:rPr>
        <w:t xml:space="preserve"> threats</w:t>
      </w:r>
      <w:r w:rsidR="2A497E2D" w:rsidRPr="1D954D8A">
        <w:rPr>
          <w:rFonts w:asciiTheme="majorHAnsi" w:eastAsiaTheme="majorEastAsia" w:hAnsiTheme="majorHAnsi" w:cstheme="majorBidi"/>
          <w:b/>
          <w:bCs/>
        </w:rPr>
        <w:t xml:space="preserve"> </w:t>
      </w:r>
      <w:r w:rsidR="00EC7173" w:rsidRPr="1D954D8A">
        <w:rPr>
          <w:rFonts w:asciiTheme="majorHAnsi" w:eastAsiaTheme="majorEastAsia" w:hAnsiTheme="majorHAnsi" w:cstheme="majorBidi"/>
        </w:rPr>
        <w:t>are infectious diseases with potential to cause outbreaks, epidemics and occasionally pandemics. Examples include (but are not limited to) measles, TB, HIV/AIDS, COVID-19, malaria, dengue, and rabies.</w:t>
      </w:r>
    </w:p>
    <w:p w14:paraId="5B296A68" w14:textId="0BD6E91B" w:rsidR="00FD4029" w:rsidRDefault="00FD4029" w:rsidP="1D954D8A">
      <w:pPr>
        <w:spacing w:after="160" w:line="252" w:lineRule="auto"/>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b/>
          <w:bCs/>
          <w:color w:val="44546A" w:themeColor="text2"/>
          <w:lang w:val="en-GB"/>
        </w:rPr>
        <w:t>Improved</w:t>
      </w:r>
      <w:r w:rsidR="00B12E2B" w:rsidRPr="1D954D8A">
        <w:rPr>
          <w:rFonts w:asciiTheme="majorHAnsi" w:eastAsiaTheme="majorEastAsia" w:hAnsiTheme="majorHAnsi" w:cstheme="majorBidi"/>
          <w:b/>
          <w:bCs/>
          <w:color w:val="44546A" w:themeColor="text2"/>
          <w:lang w:val="en-GB"/>
        </w:rPr>
        <w:t xml:space="preserve"> ability to anticipate, prevent</w:t>
      </w:r>
      <w:r w:rsidR="00D51577" w:rsidRPr="1D954D8A">
        <w:rPr>
          <w:rFonts w:asciiTheme="majorHAnsi" w:eastAsiaTheme="majorEastAsia" w:hAnsiTheme="majorHAnsi" w:cstheme="majorBidi"/>
          <w:b/>
          <w:bCs/>
          <w:color w:val="44546A" w:themeColor="text2"/>
          <w:lang w:val="en-GB"/>
        </w:rPr>
        <w:t>,</w:t>
      </w:r>
      <w:r w:rsidR="00B12E2B" w:rsidRPr="1D954D8A">
        <w:rPr>
          <w:rFonts w:asciiTheme="majorHAnsi" w:eastAsiaTheme="majorEastAsia" w:hAnsiTheme="majorHAnsi" w:cstheme="majorBidi"/>
          <w:b/>
          <w:bCs/>
          <w:color w:val="44546A" w:themeColor="text2"/>
          <w:lang w:val="en-GB"/>
        </w:rPr>
        <w:t xml:space="preserve"> detect and control</w:t>
      </w:r>
      <w:r w:rsidRPr="1D954D8A">
        <w:rPr>
          <w:rFonts w:asciiTheme="majorHAnsi" w:eastAsiaTheme="majorEastAsia" w:hAnsiTheme="majorHAnsi" w:cstheme="majorBidi"/>
          <w:color w:val="44546A" w:themeColor="text2"/>
        </w:rPr>
        <w:t xml:space="preserve"> </w:t>
      </w:r>
      <w:r w:rsidRPr="1D954D8A">
        <w:rPr>
          <w:rFonts w:asciiTheme="majorHAnsi" w:eastAsiaTheme="majorEastAsia" w:hAnsiTheme="majorHAnsi" w:cstheme="majorBidi"/>
          <w:color w:val="44546A" w:themeColor="text2"/>
          <w:lang w:val="en-GB"/>
        </w:rPr>
        <w:t xml:space="preserve">covers efforts to strengthen, expand or develop </w:t>
      </w:r>
      <w:r w:rsidR="000108BD" w:rsidRPr="1D954D8A">
        <w:rPr>
          <w:rFonts w:asciiTheme="majorHAnsi" w:eastAsiaTheme="majorEastAsia" w:hAnsiTheme="majorHAnsi" w:cstheme="majorBidi"/>
          <w:color w:val="44546A" w:themeColor="text2"/>
          <w:lang w:val="en-GB"/>
        </w:rPr>
        <w:t>capacity</w:t>
      </w:r>
      <w:r w:rsidRPr="1D954D8A">
        <w:rPr>
          <w:rFonts w:asciiTheme="majorHAnsi" w:eastAsiaTheme="majorEastAsia" w:hAnsiTheme="majorHAnsi" w:cstheme="majorBidi"/>
          <w:color w:val="44546A" w:themeColor="text2"/>
          <w:lang w:val="en-GB"/>
        </w:rPr>
        <w:t xml:space="preserve"> in </w:t>
      </w:r>
      <w:r w:rsidR="000612C1" w:rsidRPr="1D954D8A">
        <w:rPr>
          <w:rFonts w:asciiTheme="majorHAnsi" w:eastAsiaTheme="majorEastAsia" w:hAnsiTheme="majorHAnsi" w:cstheme="majorBidi"/>
          <w:color w:val="44546A" w:themeColor="text2"/>
          <w:lang w:val="en-GB"/>
        </w:rPr>
        <w:t xml:space="preserve">any </w:t>
      </w:r>
      <w:r w:rsidR="00A03086" w:rsidRPr="1D954D8A">
        <w:rPr>
          <w:rFonts w:asciiTheme="majorHAnsi" w:eastAsiaTheme="majorEastAsia" w:hAnsiTheme="majorHAnsi" w:cstheme="majorBidi"/>
          <w:color w:val="44546A" w:themeColor="text2"/>
          <w:lang w:val="en-GB"/>
        </w:rPr>
        <w:t>pa</w:t>
      </w:r>
      <w:r w:rsidR="0053563A" w:rsidRPr="1D954D8A">
        <w:rPr>
          <w:rFonts w:asciiTheme="majorHAnsi" w:eastAsiaTheme="majorEastAsia" w:hAnsiTheme="majorHAnsi" w:cstheme="majorBidi"/>
          <w:color w:val="44546A" w:themeColor="text2"/>
          <w:lang w:val="en-GB"/>
        </w:rPr>
        <w:t xml:space="preserve">rt of the process involved in </w:t>
      </w:r>
      <w:r w:rsidR="00B25D73" w:rsidRPr="1D954D8A">
        <w:rPr>
          <w:rFonts w:asciiTheme="majorHAnsi" w:eastAsiaTheme="majorEastAsia" w:hAnsiTheme="majorHAnsi" w:cstheme="majorBidi"/>
          <w:color w:val="44546A" w:themeColor="text2"/>
          <w:lang w:val="en-GB"/>
        </w:rPr>
        <w:t xml:space="preserve">identifying, </w:t>
      </w:r>
      <w:r w:rsidR="008102AD" w:rsidRPr="1D954D8A">
        <w:rPr>
          <w:rFonts w:asciiTheme="majorHAnsi" w:eastAsiaTheme="majorEastAsia" w:hAnsiTheme="majorHAnsi" w:cstheme="majorBidi"/>
          <w:color w:val="44546A" w:themeColor="text2"/>
          <w:lang w:val="en-GB"/>
        </w:rPr>
        <w:t xml:space="preserve">mitigating the risk </w:t>
      </w:r>
      <w:proofErr w:type="gramStart"/>
      <w:r w:rsidR="008102AD" w:rsidRPr="1D954D8A">
        <w:rPr>
          <w:rFonts w:asciiTheme="majorHAnsi" w:eastAsiaTheme="majorEastAsia" w:hAnsiTheme="majorHAnsi" w:cstheme="majorBidi"/>
          <w:color w:val="44546A" w:themeColor="text2"/>
          <w:lang w:val="en-GB"/>
        </w:rPr>
        <w:t>of</w:t>
      </w:r>
      <w:proofErr w:type="gramEnd"/>
      <w:r w:rsidR="00AB1D58" w:rsidRPr="1D954D8A">
        <w:rPr>
          <w:rFonts w:asciiTheme="majorHAnsi" w:eastAsiaTheme="majorEastAsia" w:hAnsiTheme="majorHAnsi" w:cstheme="majorBidi"/>
          <w:color w:val="44546A" w:themeColor="text2"/>
          <w:lang w:val="en-GB"/>
        </w:rPr>
        <w:t xml:space="preserve"> or managing the spread of communicable disease threat</w:t>
      </w:r>
      <w:r w:rsidR="008C067F" w:rsidRPr="1D954D8A">
        <w:rPr>
          <w:rFonts w:asciiTheme="majorHAnsi" w:eastAsiaTheme="majorEastAsia" w:hAnsiTheme="majorHAnsi" w:cstheme="majorBidi"/>
          <w:color w:val="44546A" w:themeColor="text2"/>
          <w:lang w:val="en-GB"/>
        </w:rPr>
        <w:t>s</w:t>
      </w:r>
      <w:r w:rsidR="00AB1D58" w:rsidRPr="1D954D8A">
        <w:rPr>
          <w:rFonts w:asciiTheme="majorHAnsi" w:eastAsiaTheme="majorEastAsia" w:hAnsiTheme="majorHAnsi" w:cstheme="majorBidi"/>
          <w:color w:val="44546A" w:themeColor="text2"/>
          <w:lang w:val="en-GB"/>
        </w:rPr>
        <w:t>.</w:t>
      </w:r>
      <w:r w:rsidRPr="1D954D8A">
        <w:rPr>
          <w:rFonts w:asciiTheme="majorHAnsi" w:eastAsiaTheme="majorEastAsia" w:hAnsiTheme="majorHAnsi" w:cstheme="majorBidi"/>
          <w:color w:val="44546A" w:themeColor="text2"/>
        </w:rPr>
        <w:t xml:space="preserve"> </w:t>
      </w:r>
    </w:p>
    <w:p w14:paraId="62489B6A" w14:textId="010C14EF" w:rsidR="006B7728" w:rsidRPr="000931BD" w:rsidRDefault="006B7728" w:rsidP="1D954D8A">
      <w:pPr>
        <w:pStyle w:val="BodyText"/>
        <w:jc w:val="both"/>
        <w:rPr>
          <w:rFonts w:asciiTheme="majorHAnsi" w:eastAsiaTheme="majorEastAsia" w:hAnsiTheme="majorHAnsi" w:cstheme="majorBidi"/>
        </w:rPr>
      </w:pPr>
      <w:r w:rsidRPr="1D954D8A">
        <w:rPr>
          <w:rFonts w:asciiTheme="majorHAnsi" w:eastAsiaTheme="majorEastAsia" w:hAnsiTheme="majorHAnsi" w:cstheme="majorBidi"/>
          <w:b/>
          <w:bCs/>
        </w:rPr>
        <w:t>One Health</w:t>
      </w:r>
      <w:r w:rsidRPr="1D954D8A">
        <w:rPr>
          <w:rFonts w:asciiTheme="majorHAnsi" w:eastAsiaTheme="majorEastAsia" w:hAnsiTheme="majorHAnsi" w:cstheme="majorBidi"/>
        </w:rPr>
        <w:t xml:space="preserve"> is </w:t>
      </w:r>
      <w:r w:rsidR="00F27242" w:rsidRPr="1D954D8A">
        <w:rPr>
          <w:rFonts w:asciiTheme="majorHAnsi" w:eastAsiaTheme="majorEastAsia" w:hAnsiTheme="majorHAnsi" w:cstheme="majorBidi"/>
        </w:rPr>
        <w:t xml:space="preserve">an approach that recognises the health of humans, domestic and wild animals, </w:t>
      </w:r>
      <w:proofErr w:type="gramStart"/>
      <w:r w:rsidR="00F27242" w:rsidRPr="1D954D8A">
        <w:rPr>
          <w:rFonts w:asciiTheme="majorHAnsi" w:eastAsiaTheme="majorEastAsia" w:hAnsiTheme="majorHAnsi" w:cstheme="majorBidi"/>
        </w:rPr>
        <w:t>plants</w:t>
      </w:r>
      <w:proofErr w:type="gramEnd"/>
      <w:r w:rsidR="00F27242" w:rsidRPr="1D954D8A">
        <w:rPr>
          <w:rFonts w:asciiTheme="majorHAnsi" w:eastAsiaTheme="majorEastAsia" w:hAnsiTheme="majorHAnsi" w:cstheme="majorBidi"/>
        </w:rPr>
        <w:t xml:space="preserve"> and the </w:t>
      </w:r>
      <w:r w:rsidR="4EA6863B" w:rsidRPr="1D954D8A">
        <w:rPr>
          <w:rFonts w:asciiTheme="majorHAnsi" w:eastAsiaTheme="majorEastAsia" w:hAnsiTheme="majorHAnsi" w:cstheme="majorBidi"/>
        </w:rPr>
        <w:t>wider</w:t>
      </w:r>
      <w:r w:rsidR="00F27242" w:rsidRPr="1D954D8A">
        <w:rPr>
          <w:rFonts w:asciiTheme="majorHAnsi" w:eastAsiaTheme="majorEastAsia" w:hAnsiTheme="majorHAnsi" w:cstheme="majorBidi"/>
        </w:rPr>
        <w:t xml:space="preserve"> environment are linked and interdependent.  One</w:t>
      </w:r>
      <w:r w:rsidR="7D427226" w:rsidRPr="1D954D8A">
        <w:rPr>
          <w:rFonts w:asciiTheme="majorHAnsi" w:eastAsiaTheme="majorEastAsia" w:hAnsiTheme="majorHAnsi" w:cstheme="majorBidi"/>
        </w:rPr>
        <w:t xml:space="preserve"> </w:t>
      </w:r>
      <w:r w:rsidR="00F27242" w:rsidRPr="1D954D8A">
        <w:rPr>
          <w:rFonts w:asciiTheme="majorHAnsi" w:eastAsiaTheme="majorEastAsia" w:hAnsiTheme="majorHAnsi" w:cstheme="majorBidi"/>
        </w:rPr>
        <w:t xml:space="preserve">Health approaches in practice refers to the organisation of people, </w:t>
      </w:r>
      <w:proofErr w:type="gramStart"/>
      <w:r w:rsidR="00F27242" w:rsidRPr="1D954D8A">
        <w:rPr>
          <w:rFonts w:asciiTheme="majorHAnsi" w:eastAsiaTheme="majorEastAsia" w:hAnsiTheme="majorHAnsi" w:cstheme="majorBidi"/>
        </w:rPr>
        <w:t>institutions</w:t>
      </w:r>
      <w:proofErr w:type="gramEnd"/>
      <w:r w:rsidR="00F27242" w:rsidRPr="1D954D8A">
        <w:rPr>
          <w:rFonts w:asciiTheme="majorHAnsi" w:eastAsiaTheme="majorEastAsia" w:hAnsiTheme="majorHAnsi" w:cstheme="majorBidi"/>
        </w:rPr>
        <w:t xml:space="preserve"> and resources to address risks to the health of people</w:t>
      </w:r>
      <w:r w:rsidR="00521061" w:rsidRPr="1D954D8A">
        <w:rPr>
          <w:rFonts w:asciiTheme="majorHAnsi" w:eastAsiaTheme="majorEastAsia" w:hAnsiTheme="majorHAnsi" w:cstheme="majorBidi"/>
        </w:rPr>
        <w:t>, animals and the</w:t>
      </w:r>
      <w:r w:rsidR="00D1291F" w:rsidRPr="1D954D8A">
        <w:rPr>
          <w:rFonts w:asciiTheme="majorHAnsi" w:eastAsiaTheme="majorEastAsia" w:hAnsiTheme="majorHAnsi" w:cstheme="majorBidi"/>
        </w:rPr>
        <w:t xml:space="preserve"> environment in an integrated way.</w:t>
      </w:r>
      <w:r w:rsidR="00A06992" w:rsidRPr="1D954D8A">
        <w:rPr>
          <w:rStyle w:val="FootnoteReference"/>
          <w:rFonts w:asciiTheme="majorHAnsi" w:eastAsiaTheme="majorEastAsia" w:hAnsiTheme="majorHAnsi" w:cstheme="majorBidi"/>
        </w:rPr>
        <w:footnoteReference w:id="2"/>
      </w:r>
    </w:p>
    <w:p w14:paraId="27F776B8" w14:textId="296EF8B3" w:rsidR="00C4292B" w:rsidRPr="00441EE1" w:rsidRDefault="00C4292B" w:rsidP="5AD4C1C1">
      <w:pPr>
        <w:pStyle w:val="Heading2"/>
        <w:rPr>
          <w:rFonts w:asciiTheme="majorHAnsi" w:hAnsiTheme="majorHAnsi" w:cstheme="majorBidi"/>
        </w:rPr>
      </w:pPr>
      <w:r w:rsidRPr="5AD4C1C1">
        <w:rPr>
          <w:rFonts w:asciiTheme="majorHAnsi" w:hAnsiTheme="majorHAnsi" w:cstheme="majorBidi"/>
        </w:rPr>
        <w:t>Scope</w:t>
      </w:r>
    </w:p>
    <w:p w14:paraId="5B9226A4" w14:textId="77777777" w:rsidR="00C4292B" w:rsidRPr="003D1D9E" w:rsidRDefault="00C4292B" w:rsidP="1D954D8A">
      <w:pPr>
        <w:pStyle w:val="Heading3"/>
        <w:rPr>
          <w:rStyle w:val="IntenseEmphasis"/>
          <w:rFonts w:asciiTheme="majorHAnsi" w:hAnsiTheme="majorHAnsi" w:cstheme="majorBidi"/>
          <w:b/>
          <w:sz w:val="22"/>
          <w:szCs w:val="22"/>
        </w:rPr>
      </w:pPr>
      <w:r w:rsidRPr="1D954D8A">
        <w:rPr>
          <w:rStyle w:val="IntenseEmphasis"/>
          <w:rFonts w:asciiTheme="majorHAnsi" w:hAnsiTheme="majorHAnsi" w:cstheme="majorBidi"/>
          <w:b/>
          <w:sz w:val="22"/>
          <w:szCs w:val="22"/>
        </w:rPr>
        <w:t>Includes:</w:t>
      </w:r>
    </w:p>
    <w:p w14:paraId="0C662AB1" w14:textId="519D9B4E" w:rsidR="00952BBE" w:rsidRPr="000931BD" w:rsidRDefault="00570E1F" w:rsidP="1D954D8A">
      <w:pPr>
        <w:spacing w:after="160" w:line="252" w:lineRule="auto"/>
        <w:contextualSpacing/>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 xml:space="preserve">Qualitative examples of Australia improving partner countries’ </w:t>
      </w:r>
      <w:r w:rsidR="00823E91" w:rsidRPr="1D954D8A">
        <w:rPr>
          <w:rFonts w:asciiTheme="majorHAnsi" w:eastAsiaTheme="majorEastAsia" w:hAnsiTheme="majorHAnsi" w:cstheme="majorBidi"/>
          <w:color w:val="44546A" w:themeColor="text2"/>
        </w:rPr>
        <w:t xml:space="preserve">preparedness and response to communicable disease threats as defined above. </w:t>
      </w:r>
    </w:p>
    <w:p w14:paraId="243C7A08" w14:textId="77777777" w:rsidR="00E60F09" w:rsidRPr="000931BD" w:rsidRDefault="00E60F09" w:rsidP="1D954D8A">
      <w:pPr>
        <w:spacing w:after="160" w:line="252" w:lineRule="auto"/>
        <w:contextualSpacing/>
        <w:rPr>
          <w:rFonts w:asciiTheme="majorHAnsi" w:eastAsiaTheme="majorEastAsia" w:hAnsiTheme="majorHAnsi" w:cstheme="majorBidi"/>
          <w:color w:val="44546A" w:themeColor="text2"/>
        </w:rPr>
      </w:pPr>
    </w:p>
    <w:p w14:paraId="5A3A25AC" w14:textId="46808930" w:rsidR="00570E1F" w:rsidRPr="000931BD" w:rsidRDefault="00823E91" w:rsidP="1D954D8A">
      <w:pPr>
        <w:spacing w:after="160" w:line="252" w:lineRule="auto"/>
        <w:contextualSpacing/>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 xml:space="preserve">Examples might include activities that: </w:t>
      </w:r>
    </w:p>
    <w:p w14:paraId="71DF1225" w14:textId="1F2F9380" w:rsidR="00B97637" w:rsidRDefault="00B97637" w:rsidP="1D954D8A">
      <w:pPr>
        <w:pStyle w:val="ListParagraph"/>
        <w:numPr>
          <w:ilvl w:val="0"/>
          <w:numId w:val="1"/>
        </w:numPr>
        <w:spacing w:after="160" w:line="252" w:lineRule="auto"/>
        <w:contextualSpacing/>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 xml:space="preserve">Strengthened health emergency preparedness and response, including </w:t>
      </w:r>
      <w:r w:rsidR="00047A77" w:rsidRPr="1D954D8A">
        <w:rPr>
          <w:rFonts w:asciiTheme="majorHAnsi" w:eastAsiaTheme="majorEastAsia" w:hAnsiTheme="majorHAnsi" w:cstheme="majorBidi"/>
          <w:color w:val="44546A" w:themeColor="text2"/>
        </w:rPr>
        <w:t>relevant workforce or health emergency preparedness and respo</w:t>
      </w:r>
      <w:r w:rsidR="00F96436" w:rsidRPr="1D954D8A">
        <w:rPr>
          <w:rFonts w:asciiTheme="majorHAnsi" w:eastAsiaTheme="majorEastAsia" w:hAnsiTheme="majorHAnsi" w:cstheme="majorBidi"/>
          <w:color w:val="44546A" w:themeColor="text2"/>
        </w:rPr>
        <w:t>nse such as Field Epid</w:t>
      </w:r>
      <w:r w:rsidR="00D36583" w:rsidRPr="1D954D8A">
        <w:rPr>
          <w:rFonts w:asciiTheme="majorHAnsi" w:eastAsiaTheme="majorEastAsia" w:hAnsiTheme="majorHAnsi" w:cstheme="majorBidi"/>
          <w:color w:val="44546A" w:themeColor="text2"/>
        </w:rPr>
        <w:t>e</w:t>
      </w:r>
      <w:r w:rsidR="00F96436" w:rsidRPr="1D954D8A">
        <w:rPr>
          <w:rFonts w:asciiTheme="majorHAnsi" w:eastAsiaTheme="majorEastAsia" w:hAnsiTheme="majorHAnsi" w:cstheme="majorBidi"/>
          <w:color w:val="44546A" w:themeColor="text2"/>
        </w:rPr>
        <w:t xml:space="preserve">miology Training </w:t>
      </w:r>
      <w:r w:rsidR="00C254C5" w:rsidRPr="1D954D8A">
        <w:rPr>
          <w:rFonts w:asciiTheme="majorHAnsi" w:eastAsiaTheme="majorEastAsia" w:hAnsiTheme="majorHAnsi" w:cstheme="majorBidi"/>
          <w:color w:val="44546A" w:themeColor="text2"/>
        </w:rPr>
        <w:t xml:space="preserve">Programs </w:t>
      </w:r>
      <w:r w:rsidR="00F96436" w:rsidRPr="1D954D8A">
        <w:rPr>
          <w:rFonts w:asciiTheme="majorHAnsi" w:eastAsiaTheme="majorEastAsia" w:hAnsiTheme="majorHAnsi" w:cstheme="majorBidi"/>
          <w:color w:val="44546A" w:themeColor="text2"/>
        </w:rPr>
        <w:t>and Field Epidemio</w:t>
      </w:r>
      <w:r w:rsidR="00C254C5" w:rsidRPr="1D954D8A">
        <w:rPr>
          <w:rFonts w:asciiTheme="majorHAnsi" w:eastAsiaTheme="majorEastAsia" w:hAnsiTheme="majorHAnsi" w:cstheme="majorBidi"/>
          <w:color w:val="44546A" w:themeColor="text2"/>
        </w:rPr>
        <w:t>logy Training Programs for Veterinarians.</w:t>
      </w:r>
    </w:p>
    <w:p w14:paraId="3530AFDA" w14:textId="4B63F016" w:rsidR="0044656B" w:rsidRPr="000931BD" w:rsidRDefault="0044656B" w:rsidP="1D954D8A">
      <w:pPr>
        <w:pStyle w:val="ListParagraph"/>
        <w:numPr>
          <w:ilvl w:val="0"/>
          <w:numId w:val="1"/>
        </w:numPr>
        <w:spacing w:after="160" w:line="252" w:lineRule="auto"/>
        <w:contextualSpacing/>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 xml:space="preserve">Strengthen public and animal health laboratory </w:t>
      </w:r>
      <w:r w:rsidR="00FB60E9" w:rsidRPr="1D954D8A">
        <w:rPr>
          <w:rFonts w:asciiTheme="majorHAnsi" w:eastAsiaTheme="majorEastAsia" w:hAnsiTheme="majorHAnsi" w:cstheme="majorBidi"/>
          <w:color w:val="44546A" w:themeColor="text2"/>
        </w:rPr>
        <w:t xml:space="preserve">surveillance </w:t>
      </w:r>
      <w:r w:rsidRPr="1D954D8A">
        <w:rPr>
          <w:rFonts w:asciiTheme="majorHAnsi" w:eastAsiaTheme="majorEastAsia" w:hAnsiTheme="majorHAnsi" w:cstheme="majorBidi"/>
          <w:color w:val="44546A" w:themeColor="text2"/>
        </w:rPr>
        <w:t>systems to support testing of priority pathogens in partner countries.</w:t>
      </w:r>
    </w:p>
    <w:p w14:paraId="27D70B00" w14:textId="07553F15" w:rsidR="0044656B" w:rsidRPr="000931BD" w:rsidRDefault="0044656B" w:rsidP="1D954D8A">
      <w:pPr>
        <w:pStyle w:val="ListParagraph"/>
        <w:numPr>
          <w:ilvl w:val="0"/>
          <w:numId w:val="1"/>
        </w:numPr>
        <w:spacing w:after="160" w:line="252" w:lineRule="auto"/>
        <w:contextualSpacing/>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Strengthen emergency operations centres to manage outbreaks and public health emergencies in partner countries.</w:t>
      </w:r>
    </w:p>
    <w:p w14:paraId="62A31C2D" w14:textId="3D719827" w:rsidR="00852270" w:rsidRPr="000931BD" w:rsidRDefault="00852270" w:rsidP="1D954D8A">
      <w:pPr>
        <w:pStyle w:val="ListParagraph"/>
        <w:numPr>
          <w:ilvl w:val="0"/>
          <w:numId w:val="4"/>
        </w:numPr>
        <w:spacing w:after="160" w:line="252" w:lineRule="auto"/>
        <w:ind w:left="720"/>
        <w:contextualSpacing/>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 xml:space="preserve">Strengthen </w:t>
      </w:r>
      <w:r w:rsidR="00BF13DA" w:rsidRPr="1D954D8A">
        <w:rPr>
          <w:rFonts w:asciiTheme="majorHAnsi" w:eastAsiaTheme="majorEastAsia" w:hAnsiTheme="majorHAnsi" w:cstheme="majorBidi"/>
          <w:color w:val="44546A" w:themeColor="text2"/>
        </w:rPr>
        <w:t xml:space="preserve">surveillance </w:t>
      </w:r>
      <w:r w:rsidRPr="1D954D8A">
        <w:rPr>
          <w:rFonts w:asciiTheme="majorHAnsi" w:eastAsiaTheme="majorEastAsia" w:hAnsiTheme="majorHAnsi" w:cstheme="majorBidi"/>
          <w:color w:val="44546A" w:themeColor="text2"/>
        </w:rPr>
        <w:t>s</w:t>
      </w:r>
      <w:r w:rsidR="006D5685" w:rsidRPr="1D954D8A">
        <w:rPr>
          <w:rFonts w:asciiTheme="majorHAnsi" w:eastAsiaTheme="majorEastAsia" w:hAnsiTheme="majorHAnsi" w:cstheme="majorBidi"/>
          <w:color w:val="44546A" w:themeColor="text2"/>
        </w:rPr>
        <w:t>ystems</w:t>
      </w:r>
      <w:r w:rsidR="00C34B20" w:rsidRPr="1D954D8A">
        <w:rPr>
          <w:rFonts w:asciiTheme="majorHAnsi" w:eastAsiaTheme="majorEastAsia" w:hAnsiTheme="majorHAnsi" w:cstheme="majorBidi"/>
          <w:color w:val="44546A" w:themeColor="text2"/>
        </w:rPr>
        <w:t xml:space="preserve"> </w:t>
      </w:r>
      <w:r w:rsidR="000E6066" w:rsidRPr="1D954D8A">
        <w:rPr>
          <w:rFonts w:asciiTheme="majorHAnsi" w:eastAsiaTheme="majorEastAsia" w:hAnsiTheme="majorHAnsi" w:cstheme="majorBidi"/>
          <w:color w:val="44546A" w:themeColor="text2"/>
        </w:rPr>
        <w:t>for communicable diseases</w:t>
      </w:r>
      <w:r w:rsidR="00D36583" w:rsidRPr="1D954D8A">
        <w:rPr>
          <w:rFonts w:asciiTheme="majorHAnsi" w:eastAsiaTheme="majorEastAsia" w:hAnsiTheme="majorHAnsi" w:cstheme="majorBidi"/>
          <w:color w:val="44546A" w:themeColor="text2"/>
        </w:rPr>
        <w:t>, including One Health surveillance systems.</w:t>
      </w:r>
    </w:p>
    <w:p w14:paraId="125017F8" w14:textId="2AB94011" w:rsidR="0044656B" w:rsidRPr="000931BD" w:rsidRDefault="0044656B" w:rsidP="1D954D8A">
      <w:pPr>
        <w:pStyle w:val="ListParagraph"/>
        <w:numPr>
          <w:ilvl w:val="0"/>
          <w:numId w:val="4"/>
        </w:numPr>
        <w:spacing w:after="160" w:line="252" w:lineRule="auto"/>
        <w:ind w:left="720"/>
        <w:contextualSpacing/>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lastRenderedPageBreak/>
        <w:t xml:space="preserve">Strengthen workforce skills/capacity for </w:t>
      </w:r>
      <w:r w:rsidR="001C7676" w:rsidRPr="1D954D8A">
        <w:rPr>
          <w:rFonts w:asciiTheme="majorHAnsi" w:eastAsiaTheme="majorEastAsia" w:hAnsiTheme="majorHAnsi" w:cstheme="majorBidi"/>
          <w:color w:val="44546A" w:themeColor="text2"/>
        </w:rPr>
        <w:t xml:space="preserve">management of </w:t>
      </w:r>
      <w:r w:rsidRPr="1D954D8A">
        <w:rPr>
          <w:rFonts w:asciiTheme="majorHAnsi" w:eastAsiaTheme="majorEastAsia" w:hAnsiTheme="majorHAnsi" w:cstheme="majorBidi"/>
          <w:color w:val="44546A" w:themeColor="text2"/>
        </w:rPr>
        <w:t>infectious diseas</w:t>
      </w:r>
      <w:r w:rsidR="3F39DBFA" w:rsidRPr="1D954D8A">
        <w:rPr>
          <w:rFonts w:asciiTheme="majorHAnsi" w:eastAsiaTheme="majorEastAsia" w:hAnsiTheme="majorHAnsi" w:cstheme="majorBidi"/>
          <w:color w:val="44546A" w:themeColor="text2"/>
        </w:rPr>
        <w:t>e</w:t>
      </w:r>
      <w:r w:rsidR="009440E9" w:rsidRPr="1D954D8A">
        <w:rPr>
          <w:rFonts w:asciiTheme="majorHAnsi" w:eastAsiaTheme="majorEastAsia" w:hAnsiTheme="majorHAnsi" w:cstheme="majorBidi"/>
          <w:color w:val="44546A" w:themeColor="text2"/>
        </w:rPr>
        <w:t>s</w:t>
      </w:r>
      <w:r w:rsidR="00D36583" w:rsidRPr="1D954D8A">
        <w:rPr>
          <w:rFonts w:asciiTheme="majorHAnsi" w:eastAsiaTheme="majorEastAsia" w:hAnsiTheme="majorHAnsi" w:cstheme="majorBidi"/>
          <w:color w:val="44546A" w:themeColor="text2"/>
        </w:rPr>
        <w:t xml:space="preserve">, including One Health </w:t>
      </w:r>
      <w:r w:rsidR="005D46CE" w:rsidRPr="1D954D8A">
        <w:rPr>
          <w:rFonts w:asciiTheme="majorHAnsi" w:eastAsiaTheme="majorEastAsia" w:hAnsiTheme="majorHAnsi" w:cstheme="majorBidi"/>
          <w:color w:val="44546A" w:themeColor="text2"/>
        </w:rPr>
        <w:t xml:space="preserve">skills/practice in general workforce and strengthened One Health </w:t>
      </w:r>
      <w:proofErr w:type="gramStart"/>
      <w:r w:rsidR="005D46CE" w:rsidRPr="1D954D8A">
        <w:rPr>
          <w:rFonts w:asciiTheme="majorHAnsi" w:eastAsiaTheme="majorEastAsia" w:hAnsiTheme="majorHAnsi" w:cstheme="majorBidi"/>
          <w:color w:val="44546A" w:themeColor="text2"/>
        </w:rPr>
        <w:t>workforce</w:t>
      </w:r>
      <w:proofErr w:type="gramEnd"/>
      <w:r w:rsidRPr="1D954D8A">
        <w:rPr>
          <w:rFonts w:asciiTheme="majorHAnsi" w:eastAsiaTheme="majorEastAsia" w:hAnsiTheme="majorHAnsi" w:cstheme="majorBidi"/>
          <w:color w:val="44546A" w:themeColor="text2"/>
        </w:rPr>
        <w:t xml:space="preserve">  </w:t>
      </w:r>
    </w:p>
    <w:p w14:paraId="25B43892" w14:textId="0050299C" w:rsidR="0044656B" w:rsidRPr="000931BD" w:rsidRDefault="0044656B" w:rsidP="1D954D8A">
      <w:pPr>
        <w:pStyle w:val="ListParagraph"/>
        <w:numPr>
          <w:ilvl w:val="0"/>
          <w:numId w:val="4"/>
        </w:numPr>
        <w:spacing w:after="160" w:line="252" w:lineRule="auto"/>
        <w:ind w:left="720"/>
        <w:contextualSpacing/>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 xml:space="preserve">Improve skills, systems and resources for infection prevention and control </w:t>
      </w:r>
      <w:r w:rsidR="095B86A1" w:rsidRPr="1D954D8A">
        <w:rPr>
          <w:rFonts w:asciiTheme="majorHAnsi" w:eastAsiaTheme="majorEastAsia" w:hAnsiTheme="majorHAnsi" w:cstheme="majorBidi"/>
          <w:color w:val="44546A" w:themeColor="text2"/>
        </w:rPr>
        <w:t xml:space="preserve">and antimicrobial stewardship </w:t>
      </w:r>
      <w:r w:rsidRPr="1D954D8A">
        <w:rPr>
          <w:rFonts w:asciiTheme="majorHAnsi" w:eastAsiaTheme="majorEastAsia" w:hAnsiTheme="majorHAnsi" w:cstheme="majorBidi"/>
          <w:color w:val="44546A" w:themeColor="text2"/>
        </w:rPr>
        <w:t>in partner countries.</w:t>
      </w:r>
    </w:p>
    <w:p w14:paraId="0DEB0AB7" w14:textId="1B7DAFD1" w:rsidR="0044656B" w:rsidRPr="000931BD" w:rsidRDefault="0044656B" w:rsidP="1D954D8A">
      <w:pPr>
        <w:pStyle w:val="ListParagraph"/>
        <w:numPr>
          <w:ilvl w:val="0"/>
          <w:numId w:val="4"/>
        </w:numPr>
        <w:spacing w:after="160" w:line="252" w:lineRule="auto"/>
        <w:ind w:left="720"/>
        <w:contextualSpacing/>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Improve public health information, education</w:t>
      </w:r>
      <w:r w:rsidR="00FA4610" w:rsidRPr="1D954D8A">
        <w:rPr>
          <w:rFonts w:asciiTheme="majorHAnsi" w:eastAsiaTheme="majorEastAsia" w:hAnsiTheme="majorHAnsi" w:cstheme="majorBidi"/>
          <w:color w:val="44546A" w:themeColor="text2"/>
        </w:rPr>
        <w:t>, ris</w:t>
      </w:r>
      <w:r w:rsidR="005A2AB2" w:rsidRPr="1D954D8A">
        <w:rPr>
          <w:rFonts w:asciiTheme="majorHAnsi" w:eastAsiaTheme="majorEastAsia" w:hAnsiTheme="majorHAnsi" w:cstheme="majorBidi"/>
          <w:color w:val="44546A" w:themeColor="text2"/>
        </w:rPr>
        <w:t>k assessment</w:t>
      </w:r>
      <w:r w:rsidR="00A6473D" w:rsidRPr="1D954D8A">
        <w:rPr>
          <w:rFonts w:asciiTheme="majorHAnsi" w:eastAsiaTheme="majorEastAsia" w:hAnsiTheme="majorHAnsi" w:cstheme="majorBidi"/>
          <w:color w:val="44546A" w:themeColor="text2"/>
        </w:rPr>
        <w:t>s</w:t>
      </w:r>
      <w:r w:rsidR="005A2AB2" w:rsidRPr="1D954D8A">
        <w:rPr>
          <w:rFonts w:asciiTheme="majorHAnsi" w:eastAsiaTheme="majorEastAsia" w:hAnsiTheme="majorHAnsi" w:cstheme="majorBidi"/>
          <w:color w:val="44546A" w:themeColor="text2"/>
        </w:rPr>
        <w:t xml:space="preserve"> </w:t>
      </w:r>
      <w:r w:rsidRPr="1D954D8A">
        <w:rPr>
          <w:rFonts w:asciiTheme="majorHAnsi" w:eastAsiaTheme="majorEastAsia" w:hAnsiTheme="majorHAnsi" w:cstheme="majorBidi"/>
          <w:color w:val="44546A" w:themeColor="text2"/>
        </w:rPr>
        <w:t xml:space="preserve">and communication about </w:t>
      </w:r>
      <w:r w:rsidR="43DC6146" w:rsidRPr="1D954D8A">
        <w:rPr>
          <w:rFonts w:asciiTheme="majorHAnsi" w:eastAsiaTheme="majorEastAsia" w:hAnsiTheme="majorHAnsi" w:cstheme="majorBidi"/>
          <w:color w:val="44546A" w:themeColor="text2"/>
        </w:rPr>
        <w:t xml:space="preserve">infectious disease and </w:t>
      </w:r>
      <w:r w:rsidRPr="1D954D8A">
        <w:rPr>
          <w:rFonts w:asciiTheme="majorHAnsi" w:eastAsiaTheme="majorEastAsia" w:hAnsiTheme="majorHAnsi" w:cstheme="majorBidi"/>
          <w:color w:val="44546A" w:themeColor="text2"/>
        </w:rPr>
        <w:t xml:space="preserve">health security threats. </w:t>
      </w:r>
    </w:p>
    <w:p w14:paraId="0D06C183" w14:textId="042CC533" w:rsidR="0044656B" w:rsidRPr="000931BD" w:rsidRDefault="00B96088" w:rsidP="1D954D8A">
      <w:pPr>
        <w:pStyle w:val="ListParagraph"/>
        <w:numPr>
          <w:ilvl w:val="0"/>
          <w:numId w:val="4"/>
        </w:numPr>
        <w:spacing w:after="160" w:line="252" w:lineRule="auto"/>
        <w:ind w:left="720"/>
        <w:contextualSpacing/>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Deliver p</w:t>
      </w:r>
      <w:r w:rsidR="0044656B" w:rsidRPr="1D954D8A">
        <w:rPr>
          <w:rFonts w:asciiTheme="majorHAnsi" w:eastAsiaTheme="majorEastAsia" w:hAnsiTheme="majorHAnsi" w:cstheme="majorBidi"/>
          <w:color w:val="44546A" w:themeColor="text2"/>
        </w:rPr>
        <w:t>ublic</w:t>
      </w:r>
      <w:r w:rsidR="008077A9" w:rsidRPr="1D954D8A">
        <w:rPr>
          <w:rFonts w:asciiTheme="majorHAnsi" w:eastAsiaTheme="majorEastAsia" w:hAnsiTheme="majorHAnsi" w:cstheme="majorBidi"/>
          <w:color w:val="44546A" w:themeColor="text2"/>
        </w:rPr>
        <w:t xml:space="preserve"> health</w:t>
      </w:r>
      <w:r w:rsidR="0044656B" w:rsidRPr="1D954D8A">
        <w:rPr>
          <w:rFonts w:asciiTheme="majorHAnsi" w:eastAsiaTheme="majorEastAsia" w:hAnsiTheme="majorHAnsi" w:cstheme="majorBidi"/>
          <w:color w:val="44546A" w:themeColor="text2"/>
        </w:rPr>
        <w:t xml:space="preserve"> </w:t>
      </w:r>
      <w:r w:rsidR="354A3361" w:rsidRPr="1D954D8A">
        <w:rPr>
          <w:rFonts w:asciiTheme="majorHAnsi" w:eastAsiaTheme="majorEastAsia" w:hAnsiTheme="majorHAnsi" w:cstheme="majorBidi"/>
          <w:color w:val="44546A" w:themeColor="text2"/>
        </w:rPr>
        <w:t xml:space="preserve">and One Health </w:t>
      </w:r>
      <w:r w:rsidR="0044656B" w:rsidRPr="1D954D8A">
        <w:rPr>
          <w:rFonts w:asciiTheme="majorHAnsi" w:eastAsiaTheme="majorEastAsia" w:hAnsiTheme="majorHAnsi" w:cstheme="majorBidi"/>
          <w:color w:val="44546A" w:themeColor="text2"/>
        </w:rPr>
        <w:t>interventions</w:t>
      </w:r>
      <w:r w:rsidR="002E6FEF" w:rsidRPr="1D954D8A">
        <w:rPr>
          <w:rFonts w:asciiTheme="majorHAnsi" w:eastAsiaTheme="majorEastAsia" w:hAnsiTheme="majorHAnsi" w:cstheme="majorBidi"/>
          <w:color w:val="44546A" w:themeColor="text2"/>
        </w:rPr>
        <w:t xml:space="preserve"> for management of infectious di</w:t>
      </w:r>
      <w:r w:rsidR="00DB3479" w:rsidRPr="1D954D8A">
        <w:rPr>
          <w:rFonts w:asciiTheme="majorHAnsi" w:eastAsiaTheme="majorEastAsia" w:hAnsiTheme="majorHAnsi" w:cstheme="majorBidi"/>
          <w:color w:val="44546A" w:themeColor="text2"/>
        </w:rPr>
        <w:t>se</w:t>
      </w:r>
      <w:r w:rsidR="002E6FEF" w:rsidRPr="1D954D8A">
        <w:rPr>
          <w:rFonts w:asciiTheme="majorHAnsi" w:eastAsiaTheme="majorEastAsia" w:hAnsiTheme="majorHAnsi" w:cstheme="majorBidi"/>
          <w:color w:val="44546A" w:themeColor="text2"/>
        </w:rPr>
        <w:t>ases cases and their contacts, including clinical care, case management and contact tracing</w:t>
      </w:r>
      <w:r w:rsidR="0044656B" w:rsidRPr="1D954D8A">
        <w:rPr>
          <w:rFonts w:asciiTheme="majorHAnsi" w:eastAsiaTheme="majorEastAsia" w:hAnsiTheme="majorHAnsi" w:cstheme="majorBidi"/>
          <w:color w:val="44546A" w:themeColor="text2"/>
        </w:rPr>
        <w:t xml:space="preserve"> (</w:t>
      </w:r>
      <w:r w:rsidR="62A95106" w:rsidRPr="1D954D8A">
        <w:rPr>
          <w:rFonts w:asciiTheme="majorHAnsi" w:eastAsiaTheme="majorEastAsia" w:hAnsiTheme="majorHAnsi" w:cstheme="majorBidi"/>
          <w:color w:val="44546A" w:themeColor="text2"/>
        </w:rPr>
        <w:t>e.g.,</w:t>
      </w:r>
      <w:r w:rsidR="0044656B" w:rsidRPr="1D954D8A">
        <w:rPr>
          <w:rFonts w:asciiTheme="majorHAnsi" w:eastAsiaTheme="majorEastAsia" w:hAnsiTheme="majorHAnsi" w:cstheme="majorBidi"/>
          <w:color w:val="44546A" w:themeColor="text2"/>
        </w:rPr>
        <w:t xml:space="preserve"> quarantine and contact tracing arrangements for confirmed cases, mosquito spraying and bed net distribution). </w:t>
      </w:r>
    </w:p>
    <w:p w14:paraId="02F6556A" w14:textId="52DFA569" w:rsidR="00A86EF1" w:rsidRPr="000931BD" w:rsidRDefault="00B94853" w:rsidP="1D954D8A">
      <w:pPr>
        <w:pStyle w:val="ListParagraph"/>
        <w:numPr>
          <w:ilvl w:val="0"/>
          <w:numId w:val="4"/>
        </w:numPr>
        <w:spacing w:after="160" w:line="252" w:lineRule="auto"/>
        <w:ind w:left="720"/>
        <w:contextualSpacing/>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 xml:space="preserve">Develop </w:t>
      </w:r>
      <w:r w:rsidR="005C4B28" w:rsidRPr="1D954D8A">
        <w:rPr>
          <w:rFonts w:asciiTheme="majorHAnsi" w:eastAsiaTheme="majorEastAsia" w:hAnsiTheme="majorHAnsi" w:cstheme="majorBidi"/>
          <w:color w:val="44546A" w:themeColor="text2"/>
        </w:rPr>
        <w:t>and/</w:t>
      </w:r>
      <w:r w:rsidRPr="1D954D8A">
        <w:rPr>
          <w:rFonts w:asciiTheme="majorHAnsi" w:eastAsiaTheme="majorEastAsia" w:hAnsiTheme="majorHAnsi" w:cstheme="majorBidi"/>
          <w:color w:val="44546A" w:themeColor="text2"/>
        </w:rPr>
        <w:t xml:space="preserve">or supply therapeutics, diagnostics, </w:t>
      </w:r>
      <w:proofErr w:type="gramStart"/>
      <w:r w:rsidRPr="1D954D8A">
        <w:rPr>
          <w:rFonts w:asciiTheme="majorHAnsi" w:eastAsiaTheme="majorEastAsia" w:hAnsiTheme="majorHAnsi" w:cstheme="majorBidi"/>
          <w:color w:val="44546A" w:themeColor="text2"/>
        </w:rPr>
        <w:t>vaccines</w:t>
      </w:r>
      <w:proofErr w:type="gramEnd"/>
      <w:r w:rsidRPr="1D954D8A">
        <w:rPr>
          <w:rFonts w:asciiTheme="majorHAnsi" w:eastAsiaTheme="majorEastAsia" w:hAnsiTheme="majorHAnsi" w:cstheme="majorBidi"/>
          <w:color w:val="44546A" w:themeColor="text2"/>
        </w:rPr>
        <w:t xml:space="preserve"> and equipment. </w:t>
      </w:r>
    </w:p>
    <w:p w14:paraId="37A98920" w14:textId="4CC5AE35" w:rsidR="00A4622B" w:rsidRPr="003D1D9E" w:rsidRDefault="00D01C2F" w:rsidP="1D954D8A">
      <w:pPr>
        <w:pStyle w:val="Heading3"/>
        <w:rPr>
          <w:rStyle w:val="IntenseEmphasis"/>
          <w:rFonts w:asciiTheme="majorHAnsi" w:hAnsiTheme="majorHAnsi" w:cstheme="majorBidi"/>
          <w:b/>
          <w:color w:val="auto"/>
          <w:sz w:val="22"/>
          <w:szCs w:val="22"/>
        </w:rPr>
      </w:pPr>
      <w:r w:rsidRPr="1D954D8A">
        <w:rPr>
          <w:rStyle w:val="IntenseEmphasis"/>
          <w:rFonts w:asciiTheme="majorHAnsi" w:hAnsiTheme="majorHAnsi" w:cstheme="majorBidi"/>
          <w:b/>
          <w:color w:val="auto"/>
          <w:sz w:val="22"/>
          <w:szCs w:val="22"/>
        </w:rPr>
        <w:t>Excludes</w:t>
      </w:r>
      <w:r w:rsidR="00A4622B" w:rsidRPr="1D954D8A">
        <w:rPr>
          <w:rStyle w:val="IntenseEmphasis"/>
          <w:rFonts w:asciiTheme="majorHAnsi" w:hAnsiTheme="majorHAnsi" w:cstheme="majorBidi"/>
          <w:b/>
          <w:color w:val="auto"/>
          <w:sz w:val="22"/>
          <w:szCs w:val="22"/>
        </w:rPr>
        <w:t>:</w:t>
      </w:r>
    </w:p>
    <w:p w14:paraId="10E75A8F" w14:textId="063F21F9" w:rsidR="00A4622B" w:rsidRPr="000931BD" w:rsidRDefault="00264BDA" w:rsidP="1D954D8A">
      <w:pPr>
        <w:pStyle w:val="ListParagraph"/>
        <w:numPr>
          <w:ilvl w:val="0"/>
          <w:numId w:val="4"/>
        </w:numPr>
        <w:spacing w:after="160" w:line="252" w:lineRule="auto"/>
        <w:ind w:left="720"/>
        <w:contextualSpacing/>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N</w:t>
      </w:r>
      <w:r w:rsidR="00A4622B" w:rsidRPr="1D954D8A">
        <w:rPr>
          <w:rFonts w:asciiTheme="majorHAnsi" w:eastAsiaTheme="majorEastAsia" w:hAnsiTheme="majorHAnsi" w:cstheme="majorBidi"/>
          <w:color w:val="44546A" w:themeColor="text2"/>
        </w:rPr>
        <w:t>on-communicable diseases</w:t>
      </w:r>
      <w:r w:rsidR="16C8204C" w:rsidRPr="1D954D8A">
        <w:rPr>
          <w:rFonts w:asciiTheme="majorHAnsi" w:eastAsiaTheme="majorEastAsia" w:hAnsiTheme="majorHAnsi" w:cstheme="majorBidi"/>
          <w:color w:val="44546A" w:themeColor="text2"/>
        </w:rPr>
        <w:t xml:space="preserve"> (NCDs)</w:t>
      </w:r>
      <w:r w:rsidR="00A4622B" w:rsidRPr="1D954D8A">
        <w:rPr>
          <w:rFonts w:asciiTheme="majorHAnsi" w:eastAsiaTheme="majorEastAsia" w:hAnsiTheme="majorHAnsi" w:cstheme="majorBidi"/>
          <w:color w:val="44546A" w:themeColor="text2"/>
        </w:rPr>
        <w:t xml:space="preserve">. </w:t>
      </w:r>
      <w:r w:rsidRPr="1D954D8A">
        <w:rPr>
          <w:rFonts w:asciiTheme="majorHAnsi" w:eastAsiaTheme="majorEastAsia" w:hAnsiTheme="majorHAnsi" w:cstheme="majorBidi"/>
          <w:color w:val="44546A" w:themeColor="text2"/>
        </w:rPr>
        <w:t>S</w:t>
      </w:r>
      <w:r w:rsidR="00B40D2B" w:rsidRPr="1D954D8A">
        <w:rPr>
          <w:rFonts w:asciiTheme="majorHAnsi" w:eastAsiaTheme="majorEastAsia" w:hAnsiTheme="majorHAnsi" w:cstheme="majorBidi"/>
          <w:color w:val="44546A" w:themeColor="text2"/>
        </w:rPr>
        <w:t xml:space="preserve">upport to </w:t>
      </w:r>
      <w:r w:rsidR="1DD37797" w:rsidRPr="1D954D8A">
        <w:rPr>
          <w:rFonts w:asciiTheme="majorHAnsi" w:eastAsiaTheme="majorEastAsia" w:hAnsiTheme="majorHAnsi" w:cstheme="majorBidi"/>
          <w:color w:val="44546A" w:themeColor="text2"/>
        </w:rPr>
        <w:t>prevent</w:t>
      </w:r>
      <w:r w:rsidR="01376C3B" w:rsidRPr="1D954D8A">
        <w:rPr>
          <w:rFonts w:asciiTheme="majorHAnsi" w:eastAsiaTheme="majorEastAsia" w:hAnsiTheme="majorHAnsi" w:cstheme="majorBidi"/>
          <w:color w:val="44546A" w:themeColor="text2"/>
        </w:rPr>
        <w:t xml:space="preserve"> and reduce the burden of NCDs</w:t>
      </w:r>
      <w:r w:rsidR="00B40D2B" w:rsidRPr="1D954D8A">
        <w:rPr>
          <w:rFonts w:asciiTheme="majorHAnsi" w:eastAsiaTheme="majorEastAsia" w:hAnsiTheme="majorHAnsi" w:cstheme="majorBidi"/>
          <w:color w:val="44546A" w:themeColor="text2"/>
        </w:rPr>
        <w:t xml:space="preserve"> may be</w:t>
      </w:r>
      <w:r w:rsidRPr="1D954D8A">
        <w:rPr>
          <w:rFonts w:asciiTheme="majorHAnsi" w:eastAsiaTheme="majorEastAsia" w:hAnsiTheme="majorHAnsi" w:cstheme="majorBidi"/>
          <w:color w:val="44546A" w:themeColor="text2"/>
        </w:rPr>
        <w:t xml:space="preserve"> </w:t>
      </w:r>
      <w:r w:rsidR="000026CB" w:rsidRPr="1D954D8A">
        <w:rPr>
          <w:rFonts w:asciiTheme="majorHAnsi" w:eastAsiaTheme="majorEastAsia" w:hAnsiTheme="majorHAnsi" w:cstheme="majorBidi"/>
          <w:color w:val="44546A" w:themeColor="text2"/>
        </w:rPr>
        <w:t xml:space="preserve">reported against the indicator </w:t>
      </w:r>
      <w:r w:rsidR="009945C5" w:rsidRPr="1D954D8A">
        <w:rPr>
          <w:rFonts w:asciiTheme="majorHAnsi" w:eastAsiaTheme="majorEastAsia" w:hAnsiTheme="majorHAnsi" w:cstheme="majorBidi"/>
          <w:color w:val="44546A" w:themeColor="text2"/>
        </w:rPr>
        <w:t>H</w:t>
      </w:r>
      <w:r w:rsidR="000026CB" w:rsidRPr="1D954D8A">
        <w:rPr>
          <w:rFonts w:asciiTheme="majorHAnsi" w:eastAsiaTheme="majorEastAsia" w:hAnsiTheme="majorHAnsi" w:cstheme="majorBidi"/>
          <w:color w:val="44546A" w:themeColor="text2"/>
        </w:rPr>
        <w:t xml:space="preserve">ealth </w:t>
      </w:r>
      <w:r w:rsidR="009945C5" w:rsidRPr="1D954D8A">
        <w:rPr>
          <w:rFonts w:asciiTheme="majorHAnsi" w:eastAsiaTheme="majorEastAsia" w:hAnsiTheme="majorHAnsi" w:cstheme="majorBidi"/>
          <w:color w:val="44546A" w:themeColor="text2"/>
        </w:rPr>
        <w:t>S</w:t>
      </w:r>
      <w:r w:rsidR="000026CB" w:rsidRPr="1D954D8A">
        <w:rPr>
          <w:rFonts w:asciiTheme="majorHAnsi" w:eastAsiaTheme="majorEastAsia" w:hAnsiTheme="majorHAnsi" w:cstheme="majorBidi"/>
          <w:color w:val="44546A" w:themeColor="text2"/>
        </w:rPr>
        <w:t>ystems</w:t>
      </w:r>
      <w:r w:rsidR="00D0119A" w:rsidRPr="1D954D8A">
        <w:rPr>
          <w:rFonts w:asciiTheme="majorHAnsi" w:eastAsiaTheme="majorEastAsia" w:hAnsiTheme="majorHAnsi" w:cstheme="majorBidi"/>
          <w:color w:val="44546A" w:themeColor="text2"/>
        </w:rPr>
        <w:t xml:space="preserve"> </w:t>
      </w:r>
      <w:r w:rsidR="009945C5" w:rsidRPr="1D954D8A">
        <w:rPr>
          <w:rFonts w:asciiTheme="majorHAnsi" w:eastAsiaTheme="majorEastAsia" w:hAnsiTheme="majorHAnsi" w:cstheme="majorBidi"/>
          <w:color w:val="44546A" w:themeColor="text2"/>
        </w:rPr>
        <w:t>Capacity</w:t>
      </w:r>
      <w:r w:rsidR="000026CB" w:rsidRPr="1D954D8A">
        <w:rPr>
          <w:rFonts w:asciiTheme="majorHAnsi" w:eastAsiaTheme="majorEastAsia" w:hAnsiTheme="majorHAnsi" w:cstheme="majorBidi"/>
          <w:color w:val="44546A" w:themeColor="text2"/>
        </w:rPr>
        <w:t>.</w:t>
      </w:r>
    </w:p>
    <w:p w14:paraId="0A8026A7" w14:textId="77777777" w:rsidR="00486FFD" w:rsidRPr="00441EE1" w:rsidRDefault="00486FFD" w:rsidP="5AD4C1C1">
      <w:pPr>
        <w:pStyle w:val="Heading2"/>
        <w:rPr>
          <w:rFonts w:asciiTheme="majorHAnsi" w:hAnsiTheme="majorHAnsi" w:cstheme="majorBidi"/>
        </w:rPr>
      </w:pPr>
      <w:r w:rsidRPr="5AD4C1C1">
        <w:rPr>
          <w:rFonts w:asciiTheme="majorHAnsi" w:hAnsiTheme="majorHAnsi" w:cstheme="majorBidi"/>
        </w:rPr>
        <w:t>calculation method</w:t>
      </w:r>
    </w:p>
    <w:p w14:paraId="71577915" w14:textId="77777777" w:rsidR="00486FFD" w:rsidRPr="001A3142" w:rsidRDefault="00486FFD" w:rsidP="1D954D8A">
      <w:pPr>
        <w:spacing w:after="160" w:line="252" w:lineRule="auto"/>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 xml:space="preserve">This is a qualitative indicator and the calculation of Australia’s pro rata share of the work cited in qualitative examples is not required. However, the examples provided should note where Australia has worked with partner governments, international </w:t>
      </w:r>
      <w:proofErr w:type="gramStart"/>
      <w:r w:rsidRPr="1D954D8A">
        <w:rPr>
          <w:rFonts w:asciiTheme="majorHAnsi" w:eastAsiaTheme="majorEastAsia" w:hAnsiTheme="majorHAnsi" w:cstheme="majorBidi"/>
          <w:color w:val="44546A" w:themeColor="text2"/>
        </w:rPr>
        <w:t>organisations</w:t>
      </w:r>
      <w:proofErr w:type="gramEnd"/>
      <w:r w:rsidRPr="1D954D8A">
        <w:rPr>
          <w:rFonts w:asciiTheme="majorHAnsi" w:eastAsiaTheme="majorEastAsia" w:hAnsiTheme="majorHAnsi" w:cstheme="majorBidi"/>
          <w:color w:val="44546A" w:themeColor="text2"/>
        </w:rPr>
        <w:t xml:space="preserve"> or other donors as appropriate.</w:t>
      </w:r>
    </w:p>
    <w:p w14:paraId="5E03DAEC" w14:textId="531157A6" w:rsidR="001A3142" w:rsidRPr="00441EE1" w:rsidRDefault="001A3142" w:rsidP="5AD4C1C1">
      <w:pPr>
        <w:pStyle w:val="Heading2"/>
        <w:rPr>
          <w:rFonts w:asciiTheme="majorHAnsi" w:hAnsiTheme="majorHAnsi" w:cstheme="majorBidi"/>
        </w:rPr>
      </w:pPr>
      <w:r w:rsidRPr="5AD4C1C1">
        <w:rPr>
          <w:rFonts w:asciiTheme="majorHAnsi" w:hAnsiTheme="majorHAnsi" w:cstheme="majorBidi"/>
        </w:rPr>
        <w:t>data source/s</w:t>
      </w:r>
    </w:p>
    <w:p w14:paraId="7ED4D2FF" w14:textId="2EABC2EE" w:rsidR="0EE00B7D" w:rsidRDefault="0EE00B7D" w:rsidP="1D954D8A">
      <w:pPr>
        <w:pStyle w:val="BodyText"/>
        <w:jc w:val="both"/>
      </w:pPr>
      <w:r w:rsidRPr="1D954D8A">
        <w:rPr>
          <w:rFonts w:eastAsiaTheme="minorEastAsia"/>
        </w:rPr>
        <w:t>R</w:t>
      </w:r>
      <w:r w:rsidRPr="1D954D8A">
        <w:rPr>
          <w:rFonts w:asciiTheme="majorHAnsi" w:eastAsiaTheme="majorEastAsia" w:hAnsiTheme="majorHAnsi" w:cstheme="majorBidi"/>
        </w:rPr>
        <w:t>eporting against this indicator should draw on standard investment monitoring and reporting documentation.</w:t>
      </w:r>
    </w:p>
    <w:p w14:paraId="10F7B0B6" w14:textId="7C41C686" w:rsidR="001A3142" w:rsidRPr="00441EE1" w:rsidRDefault="001A3142" w:rsidP="5AD4C1C1">
      <w:pPr>
        <w:pStyle w:val="Heading2"/>
        <w:rPr>
          <w:rFonts w:asciiTheme="majorHAnsi" w:hAnsiTheme="majorHAnsi" w:cstheme="majorBidi"/>
        </w:rPr>
      </w:pPr>
      <w:r w:rsidRPr="5AD4C1C1">
        <w:rPr>
          <w:rFonts w:asciiTheme="majorHAnsi" w:hAnsiTheme="majorHAnsi" w:cstheme="majorBidi"/>
        </w:rPr>
        <w:t>disaggregation</w:t>
      </w:r>
    </w:p>
    <w:p w14:paraId="53325E99" w14:textId="5A6ABCCA" w:rsidR="00FD3D70" w:rsidRPr="000931BD" w:rsidRDefault="298D6E96" w:rsidP="1D954D8A">
      <w:pPr>
        <w:pStyle w:val="BodyText"/>
        <w:jc w:val="both"/>
        <w:rPr>
          <w:rFonts w:asciiTheme="majorHAnsi" w:eastAsiaTheme="majorEastAsia" w:hAnsiTheme="majorHAnsi" w:cstheme="majorBidi"/>
        </w:rPr>
      </w:pPr>
      <w:r w:rsidRPr="1D954D8A">
        <w:rPr>
          <w:rFonts w:asciiTheme="majorHAnsi" w:eastAsiaTheme="majorEastAsia" w:hAnsiTheme="majorHAnsi" w:cstheme="majorBidi"/>
        </w:rPr>
        <w:t>Specific disaggregated data is not required for reporting against this indicator. However, consideration should be given to providing narrative examples that highlight activities that promote gender equality</w:t>
      </w:r>
      <w:r w:rsidR="71615AF9" w:rsidRPr="1D954D8A">
        <w:rPr>
          <w:rFonts w:asciiTheme="majorHAnsi" w:eastAsiaTheme="majorEastAsia" w:hAnsiTheme="majorHAnsi" w:cstheme="majorBidi"/>
        </w:rPr>
        <w:t xml:space="preserve">, </w:t>
      </w:r>
      <w:r w:rsidRPr="1D954D8A">
        <w:rPr>
          <w:rFonts w:asciiTheme="majorHAnsi" w:eastAsiaTheme="majorEastAsia" w:hAnsiTheme="majorHAnsi" w:cstheme="majorBidi"/>
        </w:rPr>
        <w:t>disability</w:t>
      </w:r>
      <w:r w:rsidR="00A25859" w:rsidRPr="1D954D8A">
        <w:rPr>
          <w:rFonts w:asciiTheme="majorHAnsi" w:eastAsiaTheme="majorEastAsia" w:hAnsiTheme="majorHAnsi" w:cstheme="majorBidi"/>
        </w:rPr>
        <w:t xml:space="preserve">, </w:t>
      </w:r>
      <w:r w:rsidR="339A071C" w:rsidRPr="1D954D8A">
        <w:rPr>
          <w:rFonts w:asciiTheme="majorHAnsi" w:eastAsiaTheme="majorEastAsia" w:hAnsiTheme="majorHAnsi" w:cstheme="majorBidi"/>
        </w:rPr>
        <w:t xml:space="preserve">social </w:t>
      </w:r>
      <w:r w:rsidR="005152EC" w:rsidRPr="1D954D8A">
        <w:rPr>
          <w:rFonts w:asciiTheme="majorHAnsi" w:eastAsiaTheme="majorEastAsia" w:hAnsiTheme="majorHAnsi" w:cstheme="majorBidi"/>
        </w:rPr>
        <w:t>inclusion,</w:t>
      </w:r>
      <w:r w:rsidR="00A25859" w:rsidRPr="1D954D8A">
        <w:rPr>
          <w:rFonts w:asciiTheme="majorHAnsi" w:eastAsiaTheme="majorEastAsia" w:hAnsiTheme="majorHAnsi" w:cstheme="majorBidi"/>
        </w:rPr>
        <w:t xml:space="preserve"> and First Nations perspectives</w:t>
      </w:r>
      <w:r w:rsidRPr="1D954D8A">
        <w:rPr>
          <w:rFonts w:asciiTheme="majorHAnsi" w:eastAsiaTheme="majorEastAsia" w:hAnsiTheme="majorHAnsi" w:cstheme="majorBidi"/>
        </w:rPr>
        <w:t>.</w:t>
      </w:r>
      <w:r w:rsidR="264EAEA9" w:rsidRPr="1D954D8A">
        <w:rPr>
          <w:rFonts w:asciiTheme="majorHAnsi" w:eastAsiaTheme="majorEastAsia" w:hAnsiTheme="majorHAnsi" w:cstheme="majorBidi"/>
        </w:rPr>
        <w:t xml:space="preserve"> For example: </w:t>
      </w:r>
    </w:p>
    <w:p w14:paraId="77E60024" w14:textId="2A2FB2F1" w:rsidR="003C0B6F" w:rsidRPr="00F27C71" w:rsidRDefault="003C0B6F" w:rsidP="1D954D8A">
      <w:pPr>
        <w:pStyle w:val="ListParagraph"/>
        <w:numPr>
          <w:ilvl w:val="0"/>
          <w:numId w:val="4"/>
        </w:numPr>
        <w:spacing w:line="252" w:lineRule="auto"/>
        <w:contextualSpacing/>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 xml:space="preserve">strengthening of health information systems to collect disaggregated data (sex/age/disability) and use of this data to inform </w:t>
      </w:r>
      <w:r w:rsidR="00547377" w:rsidRPr="1D954D8A">
        <w:rPr>
          <w:rFonts w:asciiTheme="majorHAnsi" w:eastAsiaTheme="majorEastAsia" w:hAnsiTheme="majorHAnsi" w:cstheme="majorBidi"/>
          <w:color w:val="44546A" w:themeColor="text2"/>
        </w:rPr>
        <w:t>policy.</w:t>
      </w:r>
    </w:p>
    <w:p w14:paraId="27A20A56" w14:textId="38393374" w:rsidR="001E7F8C" w:rsidRDefault="00535C0F" w:rsidP="1D954D8A">
      <w:pPr>
        <w:pStyle w:val="ListParagraph"/>
        <w:numPr>
          <w:ilvl w:val="0"/>
          <w:numId w:val="4"/>
        </w:numPr>
        <w:spacing w:line="252" w:lineRule="auto"/>
        <w:ind w:left="357" w:hanging="357"/>
        <w:contextualSpacing/>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partnerships with organisations of persons with disabilities to undertake accessibility audits of health infrastructure, to inform modifications</w:t>
      </w:r>
      <w:r w:rsidR="00B65828" w:rsidRPr="1D954D8A">
        <w:rPr>
          <w:rFonts w:asciiTheme="majorHAnsi" w:eastAsiaTheme="majorEastAsia" w:hAnsiTheme="majorHAnsi" w:cstheme="majorBidi"/>
          <w:color w:val="44546A" w:themeColor="text2"/>
        </w:rPr>
        <w:t xml:space="preserve">. </w:t>
      </w:r>
    </w:p>
    <w:p w14:paraId="6AFF5C0A" w14:textId="1E2AF535" w:rsidR="7559EF2E" w:rsidRDefault="001E7F8C" w:rsidP="1D954D8A">
      <w:pPr>
        <w:pStyle w:val="ListParagraph"/>
        <w:numPr>
          <w:ilvl w:val="0"/>
          <w:numId w:val="4"/>
        </w:numPr>
        <w:spacing w:line="252" w:lineRule="auto"/>
        <w:ind w:left="357" w:hanging="357"/>
        <w:contextualSpacing/>
        <w:jc w:val="both"/>
        <w:rPr>
          <w:rFonts w:asciiTheme="majorHAnsi" w:eastAsiaTheme="majorEastAsia" w:hAnsiTheme="majorHAnsi" w:cstheme="majorBidi"/>
          <w:color w:val="44546A" w:themeColor="text2"/>
        </w:rPr>
      </w:pPr>
      <w:r w:rsidRPr="1D954D8A">
        <w:rPr>
          <w:rFonts w:asciiTheme="majorHAnsi" w:eastAsiaTheme="majorEastAsia" w:hAnsiTheme="majorHAnsi" w:cstheme="majorBidi"/>
          <w:color w:val="44546A" w:themeColor="text2"/>
        </w:rPr>
        <w:t xml:space="preserve">The gender balance in </w:t>
      </w:r>
      <w:r w:rsidR="00B65828" w:rsidRPr="1D954D8A">
        <w:rPr>
          <w:rFonts w:asciiTheme="majorHAnsi" w:eastAsiaTheme="majorEastAsia" w:hAnsiTheme="majorHAnsi" w:cstheme="majorBidi"/>
          <w:color w:val="44546A" w:themeColor="text2"/>
        </w:rPr>
        <w:t>training or professional development programs</w:t>
      </w:r>
      <w:r w:rsidR="00451A98" w:rsidRPr="1D954D8A">
        <w:rPr>
          <w:rFonts w:asciiTheme="majorHAnsi" w:eastAsiaTheme="majorEastAsia" w:hAnsiTheme="majorHAnsi" w:cstheme="majorBidi"/>
          <w:color w:val="44546A" w:themeColor="text2"/>
        </w:rPr>
        <w:t>.</w:t>
      </w:r>
    </w:p>
    <w:p w14:paraId="67C99DDB" w14:textId="1711F909" w:rsidR="001A3142" w:rsidRPr="000931BD" w:rsidRDefault="066B4465" w:rsidP="1D954D8A">
      <w:pPr>
        <w:pStyle w:val="BodyText"/>
        <w:jc w:val="both"/>
        <w:rPr>
          <w:rFonts w:asciiTheme="majorHAnsi" w:eastAsiaTheme="majorEastAsia" w:hAnsiTheme="majorHAnsi" w:cstheme="majorBidi"/>
        </w:rPr>
      </w:pPr>
      <w:r w:rsidRPr="1D954D8A">
        <w:rPr>
          <w:rFonts w:asciiTheme="majorHAnsi" w:eastAsiaTheme="majorEastAsia" w:hAnsiTheme="majorHAnsi" w:cstheme="majorBidi"/>
        </w:rPr>
        <w:t>Where available through partner reporting, data should be disaggregated by gender</w:t>
      </w:r>
      <w:r w:rsidR="16BCE8C1" w:rsidRPr="1D954D8A">
        <w:rPr>
          <w:rFonts w:asciiTheme="majorHAnsi" w:eastAsiaTheme="majorEastAsia" w:hAnsiTheme="majorHAnsi" w:cstheme="majorBidi"/>
        </w:rPr>
        <w:t xml:space="preserve">, </w:t>
      </w:r>
      <w:r w:rsidR="00A956A7" w:rsidRPr="1D954D8A">
        <w:rPr>
          <w:rFonts w:asciiTheme="majorHAnsi" w:eastAsiaTheme="majorEastAsia" w:hAnsiTheme="majorHAnsi" w:cstheme="majorBidi"/>
        </w:rPr>
        <w:t xml:space="preserve">and other sociodemographic determinants.  </w:t>
      </w:r>
    </w:p>
    <w:p w14:paraId="7C0BE586" w14:textId="06D1F602" w:rsidR="001A3142" w:rsidRPr="00441EE1" w:rsidRDefault="001A3142" w:rsidP="5AD4C1C1">
      <w:pPr>
        <w:pStyle w:val="Heading2"/>
        <w:rPr>
          <w:rFonts w:asciiTheme="majorHAnsi" w:hAnsiTheme="majorHAnsi" w:cstheme="majorBidi"/>
        </w:rPr>
      </w:pPr>
      <w:r w:rsidRPr="5AD4C1C1">
        <w:rPr>
          <w:rFonts w:asciiTheme="majorHAnsi" w:hAnsiTheme="majorHAnsi" w:cstheme="majorBidi"/>
        </w:rPr>
        <w:t>Worked example</w:t>
      </w:r>
    </w:p>
    <w:p w14:paraId="79F518EA" w14:textId="75A0207E" w:rsidR="00387327" w:rsidRPr="000931BD" w:rsidRDefault="6385BA33" w:rsidP="1D954D8A">
      <w:pPr>
        <w:pStyle w:val="BodyText"/>
        <w:jc w:val="both"/>
        <w:rPr>
          <w:rFonts w:asciiTheme="majorHAnsi" w:eastAsiaTheme="majorEastAsia" w:hAnsiTheme="majorHAnsi" w:cstheme="majorBidi"/>
        </w:rPr>
      </w:pPr>
      <w:r w:rsidRPr="1D954D8A">
        <w:rPr>
          <w:rFonts w:asciiTheme="majorHAnsi" w:eastAsiaTheme="majorEastAsia" w:hAnsiTheme="majorHAnsi" w:cstheme="majorBidi"/>
        </w:rPr>
        <w:t xml:space="preserve">Narrative examples (maximum 100 words) should clearly outline the type of </w:t>
      </w:r>
      <w:r w:rsidR="007855EF" w:rsidRPr="1D954D8A">
        <w:rPr>
          <w:rFonts w:asciiTheme="majorHAnsi" w:eastAsiaTheme="majorEastAsia" w:hAnsiTheme="majorHAnsi" w:cstheme="majorBidi"/>
        </w:rPr>
        <w:t xml:space="preserve">communicable disease threat </w:t>
      </w:r>
      <w:r w:rsidRPr="1D954D8A">
        <w:rPr>
          <w:rFonts w:asciiTheme="majorHAnsi" w:eastAsiaTheme="majorEastAsia" w:hAnsiTheme="majorHAnsi" w:cstheme="majorBidi"/>
        </w:rPr>
        <w:t>that has been addr</w:t>
      </w:r>
      <w:r w:rsidR="00FF6D82" w:rsidRPr="1D954D8A">
        <w:rPr>
          <w:rFonts w:asciiTheme="majorHAnsi" w:eastAsiaTheme="majorEastAsia" w:hAnsiTheme="majorHAnsi" w:cstheme="majorBidi"/>
        </w:rPr>
        <w:t xml:space="preserve">essed </w:t>
      </w:r>
      <w:r w:rsidR="00AD54C0" w:rsidRPr="1D954D8A">
        <w:rPr>
          <w:rFonts w:asciiTheme="majorHAnsi" w:eastAsiaTheme="majorEastAsia" w:hAnsiTheme="majorHAnsi" w:cstheme="majorBidi"/>
        </w:rPr>
        <w:t>through the assistance provided</w:t>
      </w:r>
      <w:r w:rsidRPr="1D954D8A">
        <w:rPr>
          <w:rFonts w:asciiTheme="majorHAnsi" w:eastAsiaTheme="majorEastAsia" w:hAnsiTheme="majorHAnsi" w:cstheme="majorBidi"/>
        </w:rPr>
        <w:t>. The following is an example</w:t>
      </w:r>
      <w:r w:rsidR="006343E3" w:rsidRPr="1D954D8A">
        <w:rPr>
          <w:rFonts w:asciiTheme="majorHAnsi" w:eastAsiaTheme="majorEastAsia" w:hAnsiTheme="majorHAnsi" w:cstheme="majorBidi"/>
        </w:rPr>
        <w:t xml:space="preserve">. </w:t>
      </w:r>
    </w:p>
    <w:p w14:paraId="3C7463FC" w14:textId="10D350A7" w:rsidR="00C753DC" w:rsidRPr="000931BD" w:rsidRDefault="00C753DC" w:rsidP="1D954D8A">
      <w:pPr>
        <w:pStyle w:val="BodyText"/>
        <w:jc w:val="both"/>
        <w:rPr>
          <w:rFonts w:asciiTheme="majorHAnsi" w:eastAsiaTheme="majorEastAsia" w:hAnsiTheme="majorHAnsi" w:cstheme="majorBidi"/>
        </w:rPr>
      </w:pPr>
      <w:r w:rsidRPr="1D954D8A">
        <w:rPr>
          <w:rFonts w:asciiTheme="majorHAnsi" w:eastAsiaTheme="majorEastAsia" w:hAnsiTheme="majorHAnsi" w:cstheme="majorBidi"/>
        </w:rPr>
        <w:t>Improved Health Emergency Response and Preparedness</w:t>
      </w:r>
      <w:r w:rsidR="006343E3" w:rsidRPr="1D954D8A">
        <w:rPr>
          <w:rFonts w:asciiTheme="majorHAnsi" w:eastAsiaTheme="majorEastAsia" w:hAnsiTheme="majorHAnsi" w:cstheme="majorBidi"/>
        </w:rPr>
        <w:t>:</w:t>
      </w:r>
    </w:p>
    <w:p w14:paraId="22FDB602" w14:textId="7EC7535E" w:rsidR="00C753DC" w:rsidRPr="000931BD" w:rsidRDefault="00C753DC" w:rsidP="1D954D8A">
      <w:pPr>
        <w:pStyle w:val="BodyText"/>
        <w:jc w:val="both"/>
        <w:rPr>
          <w:rFonts w:asciiTheme="majorHAnsi" w:eastAsiaTheme="majorEastAsia" w:hAnsiTheme="majorHAnsi" w:cstheme="majorBidi"/>
        </w:rPr>
      </w:pPr>
      <w:r w:rsidRPr="1D954D8A">
        <w:rPr>
          <w:rFonts w:asciiTheme="majorHAnsi" w:eastAsiaTheme="majorEastAsia" w:hAnsiTheme="majorHAnsi" w:cstheme="majorBidi"/>
        </w:rPr>
        <w:lastRenderedPageBreak/>
        <w:t>Australia, through the World Health O</w:t>
      </w:r>
      <w:r w:rsidR="00FB06F8" w:rsidRPr="1D954D8A">
        <w:rPr>
          <w:rFonts w:asciiTheme="majorHAnsi" w:eastAsiaTheme="majorEastAsia" w:hAnsiTheme="majorHAnsi" w:cstheme="majorBidi"/>
        </w:rPr>
        <w:t>r</w:t>
      </w:r>
      <w:r w:rsidRPr="1D954D8A">
        <w:rPr>
          <w:rFonts w:asciiTheme="majorHAnsi" w:eastAsiaTheme="majorEastAsia" w:hAnsiTheme="majorHAnsi" w:cstheme="majorBidi"/>
        </w:rPr>
        <w:t>ga</w:t>
      </w:r>
      <w:r w:rsidR="00FB06F8" w:rsidRPr="1D954D8A">
        <w:rPr>
          <w:rFonts w:asciiTheme="majorHAnsi" w:eastAsiaTheme="majorEastAsia" w:hAnsiTheme="majorHAnsi" w:cstheme="majorBidi"/>
        </w:rPr>
        <w:t>ni</w:t>
      </w:r>
      <w:r w:rsidR="00AA0E55" w:rsidRPr="1D954D8A">
        <w:rPr>
          <w:rFonts w:asciiTheme="majorHAnsi" w:eastAsiaTheme="majorEastAsia" w:hAnsiTheme="majorHAnsi" w:cstheme="majorBidi"/>
        </w:rPr>
        <w:t>z</w:t>
      </w:r>
      <w:r w:rsidR="00FB06F8" w:rsidRPr="1D954D8A">
        <w:rPr>
          <w:rFonts w:asciiTheme="majorHAnsi" w:eastAsiaTheme="majorEastAsia" w:hAnsiTheme="majorHAnsi" w:cstheme="majorBidi"/>
        </w:rPr>
        <w:t>ati</w:t>
      </w:r>
      <w:r w:rsidRPr="1D954D8A">
        <w:rPr>
          <w:rFonts w:asciiTheme="majorHAnsi" w:eastAsiaTheme="majorEastAsia" w:hAnsiTheme="majorHAnsi" w:cstheme="majorBidi"/>
        </w:rPr>
        <w:t xml:space="preserve">on, improved the </w:t>
      </w:r>
      <w:r w:rsidR="00FB06F8" w:rsidRPr="1D954D8A">
        <w:rPr>
          <w:rFonts w:asciiTheme="majorHAnsi" w:eastAsiaTheme="majorEastAsia" w:hAnsiTheme="majorHAnsi" w:cstheme="majorBidi"/>
        </w:rPr>
        <w:t>health</w:t>
      </w:r>
      <w:r w:rsidRPr="1D954D8A">
        <w:rPr>
          <w:rFonts w:asciiTheme="majorHAnsi" w:eastAsiaTheme="majorEastAsia" w:hAnsiTheme="majorHAnsi" w:cstheme="majorBidi"/>
        </w:rPr>
        <w:t xml:space="preserve"> emergency preparedness an</w:t>
      </w:r>
      <w:r w:rsidR="00FB06F8" w:rsidRPr="1D954D8A">
        <w:rPr>
          <w:rFonts w:asciiTheme="majorHAnsi" w:eastAsiaTheme="majorEastAsia" w:hAnsiTheme="majorHAnsi" w:cstheme="majorBidi"/>
        </w:rPr>
        <w:t xml:space="preserve">d </w:t>
      </w:r>
      <w:r w:rsidRPr="1D954D8A">
        <w:rPr>
          <w:rFonts w:asciiTheme="majorHAnsi" w:eastAsiaTheme="majorEastAsia" w:hAnsiTheme="majorHAnsi" w:cstheme="majorBidi"/>
        </w:rPr>
        <w:t>respons</w:t>
      </w:r>
      <w:r w:rsidR="00FB06F8" w:rsidRPr="1D954D8A">
        <w:rPr>
          <w:rFonts w:asciiTheme="majorHAnsi" w:eastAsiaTheme="majorEastAsia" w:hAnsiTheme="majorHAnsi" w:cstheme="majorBidi"/>
        </w:rPr>
        <w:t>e</w:t>
      </w:r>
      <w:r w:rsidRPr="1D954D8A">
        <w:rPr>
          <w:rFonts w:asciiTheme="majorHAnsi" w:eastAsiaTheme="majorEastAsia" w:hAnsiTheme="majorHAnsi" w:cstheme="majorBidi"/>
        </w:rPr>
        <w:t xml:space="preserve"> capabilities of PNG.  Australia supported training in field epidemiology with graduates deployed in rapid response teams to investigate COVID-19 cases.  These graduates al</w:t>
      </w:r>
      <w:r w:rsidR="00004E98" w:rsidRPr="1D954D8A">
        <w:rPr>
          <w:rFonts w:asciiTheme="majorHAnsi" w:eastAsiaTheme="majorEastAsia" w:hAnsiTheme="majorHAnsi" w:cstheme="majorBidi"/>
        </w:rPr>
        <w:t>s</w:t>
      </w:r>
      <w:r w:rsidRPr="1D954D8A">
        <w:rPr>
          <w:rFonts w:asciiTheme="majorHAnsi" w:eastAsiaTheme="majorEastAsia" w:hAnsiTheme="majorHAnsi" w:cstheme="majorBidi"/>
        </w:rPr>
        <w:t xml:space="preserve">o played key roles in provincial </w:t>
      </w:r>
      <w:r w:rsidR="00004E98" w:rsidRPr="1D954D8A">
        <w:rPr>
          <w:rFonts w:asciiTheme="majorHAnsi" w:eastAsiaTheme="majorEastAsia" w:hAnsiTheme="majorHAnsi" w:cstheme="majorBidi"/>
        </w:rPr>
        <w:t>emergency</w:t>
      </w:r>
      <w:r w:rsidRPr="1D954D8A">
        <w:rPr>
          <w:rFonts w:asciiTheme="majorHAnsi" w:eastAsiaTheme="majorEastAsia" w:hAnsiTheme="majorHAnsi" w:cstheme="majorBidi"/>
        </w:rPr>
        <w:t xml:space="preserve"> response operations, ongoing disease surveillance and </w:t>
      </w:r>
      <w:r w:rsidR="00004E98" w:rsidRPr="1D954D8A">
        <w:rPr>
          <w:rFonts w:asciiTheme="majorHAnsi" w:eastAsiaTheme="majorEastAsia" w:hAnsiTheme="majorHAnsi" w:cstheme="majorBidi"/>
        </w:rPr>
        <w:t>reporting</w:t>
      </w:r>
      <w:r w:rsidRPr="1D954D8A">
        <w:rPr>
          <w:rFonts w:asciiTheme="majorHAnsi" w:eastAsiaTheme="majorEastAsia" w:hAnsiTheme="majorHAnsi" w:cstheme="majorBidi"/>
        </w:rPr>
        <w:t xml:space="preserve">.  The structures and systems established for COVID-19 surveillance have been expanded </w:t>
      </w:r>
      <w:r w:rsidR="00004E98" w:rsidRPr="1D954D8A">
        <w:rPr>
          <w:rFonts w:asciiTheme="majorHAnsi" w:eastAsiaTheme="majorEastAsia" w:hAnsiTheme="majorHAnsi" w:cstheme="majorBidi"/>
        </w:rPr>
        <w:t>to</w:t>
      </w:r>
      <w:r w:rsidRPr="1D954D8A">
        <w:rPr>
          <w:rFonts w:asciiTheme="majorHAnsi" w:eastAsiaTheme="majorEastAsia" w:hAnsiTheme="majorHAnsi" w:cstheme="majorBidi"/>
        </w:rPr>
        <w:t xml:space="preserve"> monitor other diseases in several provinces. </w:t>
      </w:r>
    </w:p>
    <w:sectPr w:rsidR="00C753DC" w:rsidRPr="000931B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C926" w14:textId="77777777" w:rsidR="00D72013" w:rsidRDefault="00D72013" w:rsidP="001A3142">
      <w:r>
        <w:separator/>
      </w:r>
    </w:p>
  </w:endnote>
  <w:endnote w:type="continuationSeparator" w:id="0">
    <w:p w14:paraId="54E8B9AD" w14:textId="77777777" w:rsidR="00D72013" w:rsidRDefault="00D72013" w:rsidP="001A3142">
      <w:r>
        <w:continuationSeparator/>
      </w:r>
    </w:p>
  </w:endnote>
  <w:endnote w:type="continuationNotice" w:id="1">
    <w:p w14:paraId="3E92E238" w14:textId="77777777" w:rsidR="00D72013" w:rsidRDefault="00D72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40144"/>
      <w:docPartObj>
        <w:docPartGallery w:val="Page Numbers (Bottom of Page)"/>
        <w:docPartUnique/>
      </w:docPartObj>
    </w:sdtPr>
    <w:sdtEndPr>
      <w:rPr>
        <w:noProof/>
      </w:rPr>
    </w:sdtEndPr>
    <w:sdtContent>
      <w:p w14:paraId="21336824" w14:textId="7883BD2D" w:rsidR="00D12749" w:rsidRDefault="00D127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79A5E3" w14:textId="4C280A56" w:rsidR="5F65FEA9" w:rsidRDefault="5F65FEA9" w:rsidP="5F65F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8452" w14:textId="77777777" w:rsidR="00D72013" w:rsidRDefault="00D72013" w:rsidP="001A3142">
      <w:r>
        <w:separator/>
      </w:r>
    </w:p>
  </w:footnote>
  <w:footnote w:type="continuationSeparator" w:id="0">
    <w:p w14:paraId="51E85561" w14:textId="77777777" w:rsidR="00D72013" w:rsidRDefault="00D72013" w:rsidP="001A3142">
      <w:r>
        <w:continuationSeparator/>
      </w:r>
    </w:p>
  </w:footnote>
  <w:footnote w:type="continuationNotice" w:id="1">
    <w:p w14:paraId="48280AAF" w14:textId="77777777" w:rsidR="00D72013" w:rsidRDefault="00D72013"/>
  </w:footnote>
  <w:footnote w:id="2">
    <w:p w14:paraId="478BD317" w14:textId="265400FC" w:rsidR="00A06992" w:rsidRDefault="00A06992">
      <w:pPr>
        <w:pStyle w:val="FootnoteText"/>
      </w:pPr>
      <w:r>
        <w:rPr>
          <w:rStyle w:val="FootnoteReference"/>
        </w:rPr>
        <w:footnoteRef/>
      </w:r>
      <w:r>
        <w:t xml:space="preserve"> For </w:t>
      </w:r>
      <w:r w:rsidR="00531145">
        <w:t xml:space="preserve">a more detailed description of One Health please refer to </w:t>
      </w:r>
      <w:hyperlink r:id="rId1" w:history="1">
        <w:r w:rsidR="00531145">
          <w:rPr>
            <w:rStyle w:val="Hyperlink"/>
          </w:rPr>
          <w:t>https://www.who.int/publications/m/item/one-health-theory-of-change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CA7B" w14:textId="21ED606B" w:rsidR="5F65FEA9" w:rsidRDefault="5F65FEA9" w:rsidP="5F65FEA9">
    <w:pPr>
      <w:pStyle w:val="Header"/>
    </w:pPr>
    <w:r>
      <w:rPr>
        <w:noProof/>
      </w:rPr>
      <w:drawing>
        <wp:inline distT="0" distB="0" distL="0" distR="0" wp14:anchorId="20E4E637" wp14:editId="1C1B98B5">
          <wp:extent cx="3581400" cy="619125"/>
          <wp:effectExtent l="0" t="0" r="0" b="0"/>
          <wp:docPr id="323136446" name="Picture 323136446" descr="Australian Government -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36446" name="Picture 323136446" descr="Australian Government - 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581400" cy="61912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66820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C98BD5E"/>
    <w:multiLevelType w:val="hybridMultilevel"/>
    <w:tmpl w:val="FFFFFFFF"/>
    <w:lvl w:ilvl="0" w:tplc="8428953E">
      <w:start w:val="1"/>
      <w:numFmt w:val="bullet"/>
      <w:lvlText w:val=""/>
      <w:lvlJc w:val="left"/>
      <w:pPr>
        <w:ind w:left="720" w:hanging="360"/>
      </w:pPr>
      <w:rPr>
        <w:rFonts w:ascii="Symbol" w:hAnsi="Symbol" w:hint="default"/>
      </w:rPr>
    </w:lvl>
    <w:lvl w:ilvl="1" w:tplc="18A84CDE">
      <w:start w:val="1"/>
      <w:numFmt w:val="bullet"/>
      <w:lvlText w:val="o"/>
      <w:lvlJc w:val="left"/>
      <w:pPr>
        <w:ind w:left="1440" w:hanging="360"/>
      </w:pPr>
      <w:rPr>
        <w:rFonts w:ascii="Courier New" w:hAnsi="Courier New" w:hint="default"/>
      </w:rPr>
    </w:lvl>
    <w:lvl w:ilvl="2" w:tplc="31F025A2">
      <w:start w:val="1"/>
      <w:numFmt w:val="bullet"/>
      <w:lvlText w:val=""/>
      <w:lvlJc w:val="left"/>
      <w:pPr>
        <w:ind w:left="2160" w:hanging="360"/>
      </w:pPr>
      <w:rPr>
        <w:rFonts w:ascii="Wingdings" w:hAnsi="Wingdings" w:hint="default"/>
      </w:rPr>
    </w:lvl>
    <w:lvl w:ilvl="3" w:tplc="3E6E8346">
      <w:start w:val="1"/>
      <w:numFmt w:val="bullet"/>
      <w:lvlText w:val=""/>
      <w:lvlJc w:val="left"/>
      <w:pPr>
        <w:ind w:left="2880" w:hanging="360"/>
      </w:pPr>
      <w:rPr>
        <w:rFonts w:ascii="Symbol" w:hAnsi="Symbol" w:hint="default"/>
      </w:rPr>
    </w:lvl>
    <w:lvl w:ilvl="4" w:tplc="9C78463C">
      <w:start w:val="1"/>
      <w:numFmt w:val="bullet"/>
      <w:lvlText w:val="o"/>
      <w:lvlJc w:val="left"/>
      <w:pPr>
        <w:ind w:left="3600" w:hanging="360"/>
      </w:pPr>
      <w:rPr>
        <w:rFonts w:ascii="Courier New" w:hAnsi="Courier New" w:hint="default"/>
      </w:rPr>
    </w:lvl>
    <w:lvl w:ilvl="5" w:tplc="C0609CC8">
      <w:start w:val="1"/>
      <w:numFmt w:val="bullet"/>
      <w:lvlText w:val=""/>
      <w:lvlJc w:val="left"/>
      <w:pPr>
        <w:ind w:left="4320" w:hanging="360"/>
      </w:pPr>
      <w:rPr>
        <w:rFonts w:ascii="Wingdings" w:hAnsi="Wingdings" w:hint="default"/>
      </w:rPr>
    </w:lvl>
    <w:lvl w:ilvl="6" w:tplc="2F821458">
      <w:start w:val="1"/>
      <w:numFmt w:val="bullet"/>
      <w:lvlText w:val=""/>
      <w:lvlJc w:val="left"/>
      <w:pPr>
        <w:ind w:left="5040" w:hanging="360"/>
      </w:pPr>
      <w:rPr>
        <w:rFonts w:ascii="Symbol" w:hAnsi="Symbol" w:hint="default"/>
      </w:rPr>
    </w:lvl>
    <w:lvl w:ilvl="7" w:tplc="B106A79A">
      <w:start w:val="1"/>
      <w:numFmt w:val="bullet"/>
      <w:lvlText w:val="o"/>
      <w:lvlJc w:val="left"/>
      <w:pPr>
        <w:ind w:left="5760" w:hanging="360"/>
      </w:pPr>
      <w:rPr>
        <w:rFonts w:ascii="Courier New" w:hAnsi="Courier New" w:hint="default"/>
      </w:rPr>
    </w:lvl>
    <w:lvl w:ilvl="8" w:tplc="2AC08222">
      <w:start w:val="1"/>
      <w:numFmt w:val="bullet"/>
      <w:lvlText w:val=""/>
      <w:lvlJc w:val="left"/>
      <w:pPr>
        <w:ind w:left="6480" w:hanging="360"/>
      </w:pPr>
      <w:rPr>
        <w:rFonts w:ascii="Wingdings" w:hAnsi="Wingdings" w:hint="default"/>
      </w:rPr>
    </w:lvl>
  </w:abstractNum>
  <w:abstractNum w:abstractNumId="2" w15:restartNumberingAfterBreak="0">
    <w:nsid w:val="209B02A7"/>
    <w:multiLevelType w:val="singleLevel"/>
    <w:tmpl w:val="9D8819C8"/>
    <w:lvl w:ilvl="0">
      <w:start w:val="1"/>
      <w:numFmt w:val="bullet"/>
      <w:lvlText w:val="»"/>
      <w:lvlJc w:val="left"/>
      <w:pPr>
        <w:ind w:left="644" w:hanging="360"/>
      </w:pPr>
      <w:rPr>
        <w:rFonts w:ascii="Times New Roman" w:hAnsi="Times New Roman" w:cs="Times New Roman" w:hint="default"/>
        <w:color w:val="auto"/>
        <w:sz w:val="21"/>
        <w:szCs w:val="21"/>
      </w:rPr>
    </w:lvl>
  </w:abstractNum>
  <w:abstractNum w:abstractNumId="3" w15:restartNumberingAfterBreak="0">
    <w:nsid w:val="37D109A5"/>
    <w:multiLevelType w:val="hybridMultilevel"/>
    <w:tmpl w:val="731A17EC"/>
    <w:lvl w:ilvl="0" w:tplc="9BC8B78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3724065"/>
    <w:multiLevelType w:val="hybridMultilevel"/>
    <w:tmpl w:val="F1CCC494"/>
    <w:lvl w:ilvl="0" w:tplc="F4B67D24">
      <w:start w:val="1"/>
      <w:numFmt w:val="bullet"/>
      <w:lvlText w:val=""/>
      <w:lvlJc w:val="left"/>
      <w:pPr>
        <w:ind w:left="720" w:hanging="360"/>
      </w:pPr>
      <w:rPr>
        <w:rFonts w:ascii="Symbol" w:hAnsi="Symbol" w:hint="default"/>
      </w:rPr>
    </w:lvl>
    <w:lvl w:ilvl="1" w:tplc="5448B9C6">
      <w:start w:val="1"/>
      <w:numFmt w:val="bullet"/>
      <w:lvlText w:val="o"/>
      <w:lvlJc w:val="left"/>
      <w:pPr>
        <w:ind w:left="1440" w:hanging="360"/>
      </w:pPr>
      <w:rPr>
        <w:rFonts w:ascii="Courier New" w:hAnsi="Courier New" w:hint="default"/>
      </w:rPr>
    </w:lvl>
    <w:lvl w:ilvl="2" w:tplc="52CA84D2">
      <w:start w:val="1"/>
      <w:numFmt w:val="bullet"/>
      <w:lvlText w:val=""/>
      <w:lvlJc w:val="left"/>
      <w:pPr>
        <w:ind w:left="2160" w:hanging="360"/>
      </w:pPr>
      <w:rPr>
        <w:rFonts w:ascii="Wingdings" w:hAnsi="Wingdings" w:hint="default"/>
      </w:rPr>
    </w:lvl>
    <w:lvl w:ilvl="3" w:tplc="DFC048C4">
      <w:start w:val="1"/>
      <w:numFmt w:val="bullet"/>
      <w:lvlText w:val=""/>
      <w:lvlJc w:val="left"/>
      <w:pPr>
        <w:ind w:left="2880" w:hanging="360"/>
      </w:pPr>
      <w:rPr>
        <w:rFonts w:ascii="Symbol" w:hAnsi="Symbol" w:hint="default"/>
      </w:rPr>
    </w:lvl>
    <w:lvl w:ilvl="4" w:tplc="E258E0FE">
      <w:start w:val="1"/>
      <w:numFmt w:val="bullet"/>
      <w:lvlText w:val="o"/>
      <w:lvlJc w:val="left"/>
      <w:pPr>
        <w:ind w:left="3600" w:hanging="360"/>
      </w:pPr>
      <w:rPr>
        <w:rFonts w:ascii="Courier New" w:hAnsi="Courier New" w:hint="default"/>
      </w:rPr>
    </w:lvl>
    <w:lvl w:ilvl="5" w:tplc="18946664">
      <w:start w:val="1"/>
      <w:numFmt w:val="bullet"/>
      <w:lvlText w:val=""/>
      <w:lvlJc w:val="left"/>
      <w:pPr>
        <w:ind w:left="4320" w:hanging="360"/>
      </w:pPr>
      <w:rPr>
        <w:rFonts w:ascii="Wingdings" w:hAnsi="Wingdings" w:hint="default"/>
      </w:rPr>
    </w:lvl>
    <w:lvl w:ilvl="6" w:tplc="80A6DB5C">
      <w:start w:val="1"/>
      <w:numFmt w:val="bullet"/>
      <w:lvlText w:val=""/>
      <w:lvlJc w:val="left"/>
      <w:pPr>
        <w:ind w:left="5040" w:hanging="360"/>
      </w:pPr>
      <w:rPr>
        <w:rFonts w:ascii="Symbol" w:hAnsi="Symbol" w:hint="default"/>
      </w:rPr>
    </w:lvl>
    <w:lvl w:ilvl="7" w:tplc="DBA2582C">
      <w:start w:val="1"/>
      <w:numFmt w:val="bullet"/>
      <w:lvlText w:val="o"/>
      <w:lvlJc w:val="left"/>
      <w:pPr>
        <w:ind w:left="5760" w:hanging="360"/>
      </w:pPr>
      <w:rPr>
        <w:rFonts w:ascii="Courier New" w:hAnsi="Courier New" w:hint="default"/>
      </w:rPr>
    </w:lvl>
    <w:lvl w:ilvl="8" w:tplc="FBBE3230">
      <w:start w:val="1"/>
      <w:numFmt w:val="bullet"/>
      <w:lvlText w:val=""/>
      <w:lvlJc w:val="left"/>
      <w:pPr>
        <w:ind w:left="6480" w:hanging="360"/>
      </w:pPr>
      <w:rPr>
        <w:rFonts w:ascii="Wingdings" w:hAnsi="Wingdings" w:hint="default"/>
      </w:rPr>
    </w:lvl>
  </w:abstractNum>
  <w:abstractNum w:abstractNumId="5" w15:restartNumberingAfterBreak="0">
    <w:nsid w:val="4FE2511A"/>
    <w:multiLevelType w:val="hybridMultilevel"/>
    <w:tmpl w:val="93E6610E"/>
    <w:lvl w:ilvl="0" w:tplc="730AA15A">
      <w:numFmt w:val="bullet"/>
      <w:lvlText w:val="–"/>
      <w:lvlJc w:val="left"/>
      <w:pPr>
        <w:ind w:left="405" w:hanging="360"/>
      </w:pPr>
      <w:rPr>
        <w:rFonts w:ascii="Calibri" w:eastAsiaTheme="minorHAns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6" w15:restartNumberingAfterBreak="0">
    <w:nsid w:val="6D76260E"/>
    <w:multiLevelType w:val="hybridMultilevel"/>
    <w:tmpl w:val="271E35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7F7A528B"/>
    <w:multiLevelType w:val="hybridMultilevel"/>
    <w:tmpl w:val="A4421A98"/>
    <w:lvl w:ilvl="0" w:tplc="FFFFFFFF">
      <w:start w:val="1"/>
      <w:numFmt w:val="bullet"/>
      <w:lvlText w:val=""/>
      <w:lvlJc w:val="left"/>
      <w:pPr>
        <w:ind w:left="360" w:hanging="360"/>
      </w:pPr>
      <w:rPr>
        <w:rFonts w:ascii="Symbol" w:hAnsi="Symbol"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02598452">
    <w:abstractNumId w:val="4"/>
  </w:num>
  <w:num w:numId="2" w16cid:durableId="2064019326">
    <w:abstractNumId w:val="1"/>
  </w:num>
  <w:num w:numId="3" w16cid:durableId="418716074">
    <w:abstractNumId w:val="3"/>
  </w:num>
  <w:num w:numId="4" w16cid:durableId="266470466">
    <w:abstractNumId w:val="7"/>
  </w:num>
  <w:num w:numId="5" w16cid:durableId="663625874">
    <w:abstractNumId w:val="0"/>
  </w:num>
  <w:num w:numId="6" w16cid:durableId="1523398680">
    <w:abstractNumId w:val="2"/>
  </w:num>
  <w:num w:numId="7" w16cid:durableId="923539773">
    <w:abstractNumId w:val="5"/>
  </w:num>
  <w:num w:numId="8" w16cid:durableId="1478256631">
    <w:abstractNumId w:val="5"/>
  </w:num>
  <w:num w:numId="9" w16cid:durableId="2058009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2B"/>
    <w:rsid w:val="000026CB"/>
    <w:rsid w:val="000031AE"/>
    <w:rsid w:val="00004E98"/>
    <w:rsid w:val="000108BD"/>
    <w:rsid w:val="00031ABD"/>
    <w:rsid w:val="000329B4"/>
    <w:rsid w:val="000332D1"/>
    <w:rsid w:val="00033A69"/>
    <w:rsid w:val="00033BCD"/>
    <w:rsid w:val="00035A25"/>
    <w:rsid w:val="000362AF"/>
    <w:rsid w:val="00036558"/>
    <w:rsid w:val="0004079C"/>
    <w:rsid w:val="00043746"/>
    <w:rsid w:val="00047A77"/>
    <w:rsid w:val="000504EC"/>
    <w:rsid w:val="000608DB"/>
    <w:rsid w:val="000612C1"/>
    <w:rsid w:val="00061872"/>
    <w:rsid w:val="000632ED"/>
    <w:rsid w:val="0006794F"/>
    <w:rsid w:val="00071DEE"/>
    <w:rsid w:val="00072EE7"/>
    <w:rsid w:val="000868F8"/>
    <w:rsid w:val="00093070"/>
    <w:rsid w:val="000931BD"/>
    <w:rsid w:val="000A17FD"/>
    <w:rsid w:val="000A2C4F"/>
    <w:rsid w:val="000D20D6"/>
    <w:rsid w:val="000E6066"/>
    <w:rsid w:val="000F0D33"/>
    <w:rsid w:val="000F1C94"/>
    <w:rsid w:val="000F472D"/>
    <w:rsid w:val="000F6362"/>
    <w:rsid w:val="001013C3"/>
    <w:rsid w:val="001265B7"/>
    <w:rsid w:val="00140867"/>
    <w:rsid w:val="001510CF"/>
    <w:rsid w:val="001536EB"/>
    <w:rsid w:val="001553A0"/>
    <w:rsid w:val="00155B69"/>
    <w:rsid w:val="00155B6A"/>
    <w:rsid w:val="00156D61"/>
    <w:rsid w:val="001622F0"/>
    <w:rsid w:val="001655F3"/>
    <w:rsid w:val="00175B6F"/>
    <w:rsid w:val="00186F2E"/>
    <w:rsid w:val="001A3142"/>
    <w:rsid w:val="001B2DD5"/>
    <w:rsid w:val="001B6461"/>
    <w:rsid w:val="001B7C05"/>
    <w:rsid w:val="001B7CA8"/>
    <w:rsid w:val="001C45E3"/>
    <w:rsid w:val="001C4B44"/>
    <w:rsid w:val="001C7676"/>
    <w:rsid w:val="001D633B"/>
    <w:rsid w:val="001E733D"/>
    <w:rsid w:val="001E7F8C"/>
    <w:rsid w:val="001F2C44"/>
    <w:rsid w:val="0020494C"/>
    <w:rsid w:val="00214C3B"/>
    <w:rsid w:val="00221E22"/>
    <w:rsid w:val="002335C6"/>
    <w:rsid w:val="00235949"/>
    <w:rsid w:val="002427BB"/>
    <w:rsid w:val="002506E6"/>
    <w:rsid w:val="00252B1C"/>
    <w:rsid w:val="00255307"/>
    <w:rsid w:val="00255D15"/>
    <w:rsid w:val="00260AA2"/>
    <w:rsid w:val="00261593"/>
    <w:rsid w:val="0026232B"/>
    <w:rsid w:val="00264BDA"/>
    <w:rsid w:val="002664F5"/>
    <w:rsid w:val="0027691D"/>
    <w:rsid w:val="00280110"/>
    <w:rsid w:val="00283552"/>
    <w:rsid w:val="002848EC"/>
    <w:rsid w:val="002864EE"/>
    <w:rsid w:val="002916A8"/>
    <w:rsid w:val="00291F37"/>
    <w:rsid w:val="002973A4"/>
    <w:rsid w:val="002A1A72"/>
    <w:rsid w:val="002A7E0A"/>
    <w:rsid w:val="002B3475"/>
    <w:rsid w:val="002C469B"/>
    <w:rsid w:val="002C6B51"/>
    <w:rsid w:val="002D291A"/>
    <w:rsid w:val="002D4713"/>
    <w:rsid w:val="002D6373"/>
    <w:rsid w:val="002E4220"/>
    <w:rsid w:val="002E6FEF"/>
    <w:rsid w:val="002F2177"/>
    <w:rsid w:val="002F692B"/>
    <w:rsid w:val="0030081D"/>
    <w:rsid w:val="003025EB"/>
    <w:rsid w:val="00305733"/>
    <w:rsid w:val="00305DA9"/>
    <w:rsid w:val="00321B29"/>
    <w:rsid w:val="00335C73"/>
    <w:rsid w:val="003364AF"/>
    <w:rsid w:val="00343D87"/>
    <w:rsid w:val="00346EE7"/>
    <w:rsid w:val="003476DE"/>
    <w:rsid w:val="003513C0"/>
    <w:rsid w:val="00362F88"/>
    <w:rsid w:val="00363B99"/>
    <w:rsid w:val="003710F6"/>
    <w:rsid w:val="00386A59"/>
    <w:rsid w:val="00387327"/>
    <w:rsid w:val="00387FF3"/>
    <w:rsid w:val="00394B29"/>
    <w:rsid w:val="003A3849"/>
    <w:rsid w:val="003A3FEF"/>
    <w:rsid w:val="003B3943"/>
    <w:rsid w:val="003B3DDA"/>
    <w:rsid w:val="003C0B6F"/>
    <w:rsid w:val="003D1D9E"/>
    <w:rsid w:val="003E3CB4"/>
    <w:rsid w:val="003F3F66"/>
    <w:rsid w:val="003F409A"/>
    <w:rsid w:val="003F6A8E"/>
    <w:rsid w:val="004020D4"/>
    <w:rsid w:val="004030E3"/>
    <w:rsid w:val="00403ACA"/>
    <w:rsid w:val="00405CEF"/>
    <w:rsid w:val="00413ACD"/>
    <w:rsid w:val="0042153D"/>
    <w:rsid w:val="0043505F"/>
    <w:rsid w:val="00441EE1"/>
    <w:rsid w:val="00443B7E"/>
    <w:rsid w:val="0044656B"/>
    <w:rsid w:val="00451A98"/>
    <w:rsid w:val="00456739"/>
    <w:rsid w:val="004618AE"/>
    <w:rsid w:val="004658E0"/>
    <w:rsid w:val="0046597B"/>
    <w:rsid w:val="0047759B"/>
    <w:rsid w:val="00486FFD"/>
    <w:rsid w:val="00496A55"/>
    <w:rsid w:val="00497998"/>
    <w:rsid w:val="004A38E2"/>
    <w:rsid w:val="004B27C7"/>
    <w:rsid w:val="004E1664"/>
    <w:rsid w:val="004E3EB8"/>
    <w:rsid w:val="004E5835"/>
    <w:rsid w:val="004F65A0"/>
    <w:rsid w:val="00501913"/>
    <w:rsid w:val="00501C93"/>
    <w:rsid w:val="0050295C"/>
    <w:rsid w:val="00504EB4"/>
    <w:rsid w:val="00511694"/>
    <w:rsid w:val="0051496B"/>
    <w:rsid w:val="005152EC"/>
    <w:rsid w:val="00521061"/>
    <w:rsid w:val="00531145"/>
    <w:rsid w:val="005350E7"/>
    <w:rsid w:val="0053563A"/>
    <w:rsid w:val="00535C0F"/>
    <w:rsid w:val="00540B2D"/>
    <w:rsid w:val="0054675C"/>
    <w:rsid w:val="00547377"/>
    <w:rsid w:val="005509E5"/>
    <w:rsid w:val="00550CB8"/>
    <w:rsid w:val="00553A26"/>
    <w:rsid w:val="005670A2"/>
    <w:rsid w:val="00570B3C"/>
    <w:rsid w:val="00570E1F"/>
    <w:rsid w:val="0058074A"/>
    <w:rsid w:val="0058153F"/>
    <w:rsid w:val="00582BDF"/>
    <w:rsid w:val="00585BBC"/>
    <w:rsid w:val="005911D2"/>
    <w:rsid w:val="0059328D"/>
    <w:rsid w:val="00594FDA"/>
    <w:rsid w:val="0059733A"/>
    <w:rsid w:val="005A2AB2"/>
    <w:rsid w:val="005C4338"/>
    <w:rsid w:val="005C4B28"/>
    <w:rsid w:val="005D0DE1"/>
    <w:rsid w:val="005D46CE"/>
    <w:rsid w:val="005F3AB4"/>
    <w:rsid w:val="006002BA"/>
    <w:rsid w:val="00620E58"/>
    <w:rsid w:val="00624895"/>
    <w:rsid w:val="006343E3"/>
    <w:rsid w:val="00640252"/>
    <w:rsid w:val="006460E8"/>
    <w:rsid w:val="006505A0"/>
    <w:rsid w:val="006527F2"/>
    <w:rsid w:val="006706E2"/>
    <w:rsid w:val="0068219B"/>
    <w:rsid w:val="00683D85"/>
    <w:rsid w:val="0068529F"/>
    <w:rsid w:val="006860A3"/>
    <w:rsid w:val="006865D3"/>
    <w:rsid w:val="006915AD"/>
    <w:rsid w:val="006B3CEB"/>
    <w:rsid w:val="006B7728"/>
    <w:rsid w:val="006C3D0C"/>
    <w:rsid w:val="006C73E9"/>
    <w:rsid w:val="006D0D34"/>
    <w:rsid w:val="006D5685"/>
    <w:rsid w:val="006D5B21"/>
    <w:rsid w:val="006E7BDE"/>
    <w:rsid w:val="006F33AA"/>
    <w:rsid w:val="00701548"/>
    <w:rsid w:val="00704EF0"/>
    <w:rsid w:val="00707C04"/>
    <w:rsid w:val="0071656E"/>
    <w:rsid w:val="00730449"/>
    <w:rsid w:val="00732C7D"/>
    <w:rsid w:val="00733AEB"/>
    <w:rsid w:val="00735440"/>
    <w:rsid w:val="0073717D"/>
    <w:rsid w:val="007401C5"/>
    <w:rsid w:val="0074438D"/>
    <w:rsid w:val="007507FC"/>
    <w:rsid w:val="007512B6"/>
    <w:rsid w:val="00763875"/>
    <w:rsid w:val="007714C3"/>
    <w:rsid w:val="007823EE"/>
    <w:rsid w:val="007851DF"/>
    <w:rsid w:val="007855EF"/>
    <w:rsid w:val="00787F97"/>
    <w:rsid w:val="007940D9"/>
    <w:rsid w:val="00794826"/>
    <w:rsid w:val="00795896"/>
    <w:rsid w:val="00795C48"/>
    <w:rsid w:val="007A1EDF"/>
    <w:rsid w:val="007B4910"/>
    <w:rsid w:val="007B50E1"/>
    <w:rsid w:val="007C196F"/>
    <w:rsid w:val="007C33BF"/>
    <w:rsid w:val="007D039C"/>
    <w:rsid w:val="007D32D2"/>
    <w:rsid w:val="007E5EA8"/>
    <w:rsid w:val="007E7AA5"/>
    <w:rsid w:val="007E7C8D"/>
    <w:rsid w:val="007F65A2"/>
    <w:rsid w:val="00807427"/>
    <w:rsid w:val="008077A9"/>
    <w:rsid w:val="008102AD"/>
    <w:rsid w:val="00823481"/>
    <w:rsid w:val="00823E91"/>
    <w:rsid w:val="00824F22"/>
    <w:rsid w:val="00825320"/>
    <w:rsid w:val="00830924"/>
    <w:rsid w:val="00834C9D"/>
    <w:rsid w:val="00852270"/>
    <w:rsid w:val="00863785"/>
    <w:rsid w:val="008652CB"/>
    <w:rsid w:val="00865775"/>
    <w:rsid w:val="00876CC9"/>
    <w:rsid w:val="008A3F2A"/>
    <w:rsid w:val="008A54B2"/>
    <w:rsid w:val="008C067F"/>
    <w:rsid w:val="008C3FA7"/>
    <w:rsid w:val="008C6834"/>
    <w:rsid w:val="008D317E"/>
    <w:rsid w:val="008D426F"/>
    <w:rsid w:val="008E1A4C"/>
    <w:rsid w:val="008E3F27"/>
    <w:rsid w:val="008F0039"/>
    <w:rsid w:val="008F1EEE"/>
    <w:rsid w:val="00920998"/>
    <w:rsid w:val="00920F2D"/>
    <w:rsid w:val="00932E74"/>
    <w:rsid w:val="0094056C"/>
    <w:rsid w:val="00941459"/>
    <w:rsid w:val="009440E9"/>
    <w:rsid w:val="009501ED"/>
    <w:rsid w:val="00952BBE"/>
    <w:rsid w:val="0095405B"/>
    <w:rsid w:val="00954A6D"/>
    <w:rsid w:val="009558AD"/>
    <w:rsid w:val="0098088C"/>
    <w:rsid w:val="00983C93"/>
    <w:rsid w:val="0098472C"/>
    <w:rsid w:val="00993FF1"/>
    <w:rsid w:val="009945C5"/>
    <w:rsid w:val="009A0D59"/>
    <w:rsid w:val="009B6542"/>
    <w:rsid w:val="009D1F41"/>
    <w:rsid w:val="009D77AE"/>
    <w:rsid w:val="009E157B"/>
    <w:rsid w:val="009E66A7"/>
    <w:rsid w:val="00A002AC"/>
    <w:rsid w:val="00A03086"/>
    <w:rsid w:val="00A037A4"/>
    <w:rsid w:val="00A0462C"/>
    <w:rsid w:val="00A0503E"/>
    <w:rsid w:val="00A05C67"/>
    <w:rsid w:val="00A06509"/>
    <w:rsid w:val="00A06992"/>
    <w:rsid w:val="00A0703E"/>
    <w:rsid w:val="00A14BA3"/>
    <w:rsid w:val="00A22AF8"/>
    <w:rsid w:val="00A25859"/>
    <w:rsid w:val="00A34276"/>
    <w:rsid w:val="00A3500A"/>
    <w:rsid w:val="00A404C2"/>
    <w:rsid w:val="00A4622B"/>
    <w:rsid w:val="00A532A8"/>
    <w:rsid w:val="00A57406"/>
    <w:rsid w:val="00A6473D"/>
    <w:rsid w:val="00A65CBD"/>
    <w:rsid w:val="00A67EEB"/>
    <w:rsid w:val="00A706A1"/>
    <w:rsid w:val="00A71BFC"/>
    <w:rsid w:val="00A814E4"/>
    <w:rsid w:val="00A82AC3"/>
    <w:rsid w:val="00A8388E"/>
    <w:rsid w:val="00A86EF1"/>
    <w:rsid w:val="00A9046E"/>
    <w:rsid w:val="00A956A7"/>
    <w:rsid w:val="00AA0E55"/>
    <w:rsid w:val="00AB0021"/>
    <w:rsid w:val="00AB1D58"/>
    <w:rsid w:val="00AB2A0C"/>
    <w:rsid w:val="00AD0D09"/>
    <w:rsid w:val="00AD3399"/>
    <w:rsid w:val="00AD54C0"/>
    <w:rsid w:val="00AD6868"/>
    <w:rsid w:val="00AD6F30"/>
    <w:rsid w:val="00AD7D46"/>
    <w:rsid w:val="00AE145E"/>
    <w:rsid w:val="00AE4068"/>
    <w:rsid w:val="00AE710F"/>
    <w:rsid w:val="00AF19D2"/>
    <w:rsid w:val="00B01CFC"/>
    <w:rsid w:val="00B052DB"/>
    <w:rsid w:val="00B12E2B"/>
    <w:rsid w:val="00B21519"/>
    <w:rsid w:val="00B22630"/>
    <w:rsid w:val="00B25D73"/>
    <w:rsid w:val="00B40D2B"/>
    <w:rsid w:val="00B65828"/>
    <w:rsid w:val="00B71D20"/>
    <w:rsid w:val="00B72DA4"/>
    <w:rsid w:val="00B85347"/>
    <w:rsid w:val="00B917A0"/>
    <w:rsid w:val="00B93D23"/>
    <w:rsid w:val="00B94853"/>
    <w:rsid w:val="00B96088"/>
    <w:rsid w:val="00B97637"/>
    <w:rsid w:val="00B97B4F"/>
    <w:rsid w:val="00BB6249"/>
    <w:rsid w:val="00BC2B69"/>
    <w:rsid w:val="00BD5EBD"/>
    <w:rsid w:val="00BE082D"/>
    <w:rsid w:val="00BF13DA"/>
    <w:rsid w:val="00C063FB"/>
    <w:rsid w:val="00C0698A"/>
    <w:rsid w:val="00C24FEB"/>
    <w:rsid w:val="00C254C5"/>
    <w:rsid w:val="00C307D4"/>
    <w:rsid w:val="00C307F5"/>
    <w:rsid w:val="00C34B20"/>
    <w:rsid w:val="00C4292B"/>
    <w:rsid w:val="00C61D9E"/>
    <w:rsid w:val="00C753DC"/>
    <w:rsid w:val="00C83A8A"/>
    <w:rsid w:val="00C909A9"/>
    <w:rsid w:val="00C91F15"/>
    <w:rsid w:val="00C929A2"/>
    <w:rsid w:val="00CA00EB"/>
    <w:rsid w:val="00CA6770"/>
    <w:rsid w:val="00CB40DA"/>
    <w:rsid w:val="00CC044D"/>
    <w:rsid w:val="00CD5E23"/>
    <w:rsid w:val="00CE1D7C"/>
    <w:rsid w:val="00CE3CFF"/>
    <w:rsid w:val="00CE5521"/>
    <w:rsid w:val="00CF3577"/>
    <w:rsid w:val="00D006AD"/>
    <w:rsid w:val="00D0119A"/>
    <w:rsid w:val="00D01C2F"/>
    <w:rsid w:val="00D06DB5"/>
    <w:rsid w:val="00D12749"/>
    <w:rsid w:val="00D1291F"/>
    <w:rsid w:val="00D30548"/>
    <w:rsid w:val="00D31EDE"/>
    <w:rsid w:val="00D36583"/>
    <w:rsid w:val="00D4082B"/>
    <w:rsid w:val="00D42D74"/>
    <w:rsid w:val="00D435D3"/>
    <w:rsid w:val="00D50347"/>
    <w:rsid w:val="00D51577"/>
    <w:rsid w:val="00D54271"/>
    <w:rsid w:val="00D62FA6"/>
    <w:rsid w:val="00D72013"/>
    <w:rsid w:val="00D7747A"/>
    <w:rsid w:val="00D86B54"/>
    <w:rsid w:val="00D9192C"/>
    <w:rsid w:val="00D92319"/>
    <w:rsid w:val="00D92696"/>
    <w:rsid w:val="00D9556C"/>
    <w:rsid w:val="00DA6B85"/>
    <w:rsid w:val="00DB3479"/>
    <w:rsid w:val="00DC2A20"/>
    <w:rsid w:val="00DC5CFB"/>
    <w:rsid w:val="00DE1775"/>
    <w:rsid w:val="00DF0D0D"/>
    <w:rsid w:val="00E000B5"/>
    <w:rsid w:val="00E140E5"/>
    <w:rsid w:val="00E20CCE"/>
    <w:rsid w:val="00E220FB"/>
    <w:rsid w:val="00E3466E"/>
    <w:rsid w:val="00E41198"/>
    <w:rsid w:val="00E42734"/>
    <w:rsid w:val="00E55EBA"/>
    <w:rsid w:val="00E565B7"/>
    <w:rsid w:val="00E60F09"/>
    <w:rsid w:val="00E66C43"/>
    <w:rsid w:val="00E822FC"/>
    <w:rsid w:val="00E84600"/>
    <w:rsid w:val="00E931EA"/>
    <w:rsid w:val="00EA0169"/>
    <w:rsid w:val="00EA04E6"/>
    <w:rsid w:val="00EB15F4"/>
    <w:rsid w:val="00EB24B1"/>
    <w:rsid w:val="00EB2A88"/>
    <w:rsid w:val="00EC7173"/>
    <w:rsid w:val="00ED1825"/>
    <w:rsid w:val="00ED372B"/>
    <w:rsid w:val="00ED6F8D"/>
    <w:rsid w:val="00EE7A2D"/>
    <w:rsid w:val="00EF6473"/>
    <w:rsid w:val="00F0263B"/>
    <w:rsid w:val="00F27242"/>
    <w:rsid w:val="00F27C71"/>
    <w:rsid w:val="00F33AB0"/>
    <w:rsid w:val="00F342DD"/>
    <w:rsid w:val="00F36B5A"/>
    <w:rsid w:val="00F47D9F"/>
    <w:rsid w:val="00F50F25"/>
    <w:rsid w:val="00F6433F"/>
    <w:rsid w:val="00F71AB9"/>
    <w:rsid w:val="00F72C7C"/>
    <w:rsid w:val="00F73782"/>
    <w:rsid w:val="00F810CC"/>
    <w:rsid w:val="00F8464B"/>
    <w:rsid w:val="00F90393"/>
    <w:rsid w:val="00F96436"/>
    <w:rsid w:val="00FA4610"/>
    <w:rsid w:val="00FA5956"/>
    <w:rsid w:val="00FB06F8"/>
    <w:rsid w:val="00FB60E9"/>
    <w:rsid w:val="00FC3F36"/>
    <w:rsid w:val="00FD3D70"/>
    <w:rsid w:val="00FD4029"/>
    <w:rsid w:val="00FD6BEE"/>
    <w:rsid w:val="00FD72BD"/>
    <w:rsid w:val="00FE4738"/>
    <w:rsid w:val="00FE6766"/>
    <w:rsid w:val="00FF6D82"/>
    <w:rsid w:val="01376C3B"/>
    <w:rsid w:val="01E23BB3"/>
    <w:rsid w:val="01F49261"/>
    <w:rsid w:val="02FC83D5"/>
    <w:rsid w:val="03FD488B"/>
    <w:rsid w:val="05266D42"/>
    <w:rsid w:val="061A2F3C"/>
    <w:rsid w:val="066B4465"/>
    <w:rsid w:val="0891E98A"/>
    <w:rsid w:val="08D706EB"/>
    <w:rsid w:val="095B86A1"/>
    <w:rsid w:val="09C57B25"/>
    <w:rsid w:val="09DA0C59"/>
    <w:rsid w:val="0A08BE13"/>
    <w:rsid w:val="0AE6E579"/>
    <w:rsid w:val="0B8D80EA"/>
    <w:rsid w:val="0CF71A4A"/>
    <w:rsid w:val="0DF0F141"/>
    <w:rsid w:val="0EE00B7D"/>
    <w:rsid w:val="0F1CD04D"/>
    <w:rsid w:val="0F4A8B5F"/>
    <w:rsid w:val="0F9C043B"/>
    <w:rsid w:val="12B6B062"/>
    <w:rsid w:val="16250F77"/>
    <w:rsid w:val="16BCE8C1"/>
    <w:rsid w:val="16C8204C"/>
    <w:rsid w:val="16EE1906"/>
    <w:rsid w:val="173AE32B"/>
    <w:rsid w:val="19B3AC02"/>
    <w:rsid w:val="19F8A2F1"/>
    <w:rsid w:val="1A873CB0"/>
    <w:rsid w:val="1AB5E2FC"/>
    <w:rsid w:val="1BED8B8C"/>
    <w:rsid w:val="1D954D8A"/>
    <w:rsid w:val="1DD37797"/>
    <w:rsid w:val="1DF52940"/>
    <w:rsid w:val="212DDF9D"/>
    <w:rsid w:val="2132EAE5"/>
    <w:rsid w:val="21634CFE"/>
    <w:rsid w:val="21D7C91D"/>
    <w:rsid w:val="220F122D"/>
    <w:rsid w:val="22CF0626"/>
    <w:rsid w:val="22FA48D7"/>
    <w:rsid w:val="24AAD5F2"/>
    <w:rsid w:val="25416AE7"/>
    <w:rsid w:val="264EAEA9"/>
    <w:rsid w:val="28011408"/>
    <w:rsid w:val="281890CE"/>
    <w:rsid w:val="29294A42"/>
    <w:rsid w:val="298D6E96"/>
    <w:rsid w:val="29B4612F"/>
    <w:rsid w:val="2A0172D4"/>
    <w:rsid w:val="2A497E2D"/>
    <w:rsid w:val="2AF80E20"/>
    <w:rsid w:val="2B24A534"/>
    <w:rsid w:val="2C4C668E"/>
    <w:rsid w:val="2C784CF9"/>
    <w:rsid w:val="2C828245"/>
    <w:rsid w:val="2CD822CE"/>
    <w:rsid w:val="2CDE76F2"/>
    <w:rsid w:val="2CEC01F1"/>
    <w:rsid w:val="2DB41E7C"/>
    <w:rsid w:val="2DE836EF"/>
    <w:rsid w:val="2EC67E26"/>
    <w:rsid w:val="2F03A6C1"/>
    <w:rsid w:val="2F4FDDB8"/>
    <w:rsid w:val="30F29744"/>
    <w:rsid w:val="3165566B"/>
    <w:rsid w:val="339A071C"/>
    <w:rsid w:val="342BDE71"/>
    <w:rsid w:val="350DAFAC"/>
    <w:rsid w:val="354A3361"/>
    <w:rsid w:val="3659C6A4"/>
    <w:rsid w:val="3708AB7D"/>
    <w:rsid w:val="37E11801"/>
    <w:rsid w:val="3A169666"/>
    <w:rsid w:val="3A329987"/>
    <w:rsid w:val="3A493BF5"/>
    <w:rsid w:val="3B627739"/>
    <w:rsid w:val="3CD8AD61"/>
    <w:rsid w:val="3D4AA348"/>
    <w:rsid w:val="3DC4CDE6"/>
    <w:rsid w:val="3F39DBFA"/>
    <w:rsid w:val="3FCA3F6A"/>
    <w:rsid w:val="3FEC3C4D"/>
    <w:rsid w:val="43BC7513"/>
    <w:rsid w:val="43C219D8"/>
    <w:rsid w:val="43DC6146"/>
    <w:rsid w:val="446E33B7"/>
    <w:rsid w:val="44F59F2F"/>
    <w:rsid w:val="45115C96"/>
    <w:rsid w:val="453280A0"/>
    <w:rsid w:val="46E47ECE"/>
    <w:rsid w:val="46EA404A"/>
    <w:rsid w:val="4723A51C"/>
    <w:rsid w:val="475B3D82"/>
    <w:rsid w:val="48804F2F"/>
    <w:rsid w:val="49713300"/>
    <w:rsid w:val="4AAA730A"/>
    <w:rsid w:val="4B703B61"/>
    <w:rsid w:val="4B7366F7"/>
    <w:rsid w:val="4D81984E"/>
    <w:rsid w:val="4DE7D548"/>
    <w:rsid w:val="4E979719"/>
    <w:rsid w:val="4EA6863B"/>
    <w:rsid w:val="4EED647A"/>
    <w:rsid w:val="4F7E7BA5"/>
    <w:rsid w:val="4FA54D23"/>
    <w:rsid w:val="51D001F5"/>
    <w:rsid w:val="5211B28D"/>
    <w:rsid w:val="53C61364"/>
    <w:rsid w:val="5444C97B"/>
    <w:rsid w:val="549A2696"/>
    <w:rsid w:val="55ACB8C4"/>
    <w:rsid w:val="58271DBC"/>
    <w:rsid w:val="58A4CB17"/>
    <w:rsid w:val="593D8448"/>
    <w:rsid w:val="5AD4C1C1"/>
    <w:rsid w:val="5C57CBB4"/>
    <w:rsid w:val="5CA88161"/>
    <w:rsid w:val="5D377BE2"/>
    <w:rsid w:val="5D94095B"/>
    <w:rsid w:val="5E149C97"/>
    <w:rsid w:val="5F21AEDF"/>
    <w:rsid w:val="5F335FF3"/>
    <w:rsid w:val="5F65FEA9"/>
    <w:rsid w:val="607D60C8"/>
    <w:rsid w:val="60A9C742"/>
    <w:rsid w:val="62A95106"/>
    <w:rsid w:val="631C5571"/>
    <w:rsid w:val="6385BA33"/>
    <w:rsid w:val="63C7732F"/>
    <w:rsid w:val="64DFF950"/>
    <w:rsid w:val="651D358A"/>
    <w:rsid w:val="653AEC5A"/>
    <w:rsid w:val="655ED826"/>
    <w:rsid w:val="656713EB"/>
    <w:rsid w:val="6677B09C"/>
    <w:rsid w:val="66CF2ACD"/>
    <w:rsid w:val="66DD4C99"/>
    <w:rsid w:val="681F3FA8"/>
    <w:rsid w:val="692C840C"/>
    <w:rsid w:val="69D92D9B"/>
    <w:rsid w:val="6BC4891C"/>
    <w:rsid w:val="6E40D369"/>
    <w:rsid w:val="6FABEEA7"/>
    <w:rsid w:val="7100ABD7"/>
    <w:rsid w:val="7151E4BC"/>
    <w:rsid w:val="71615AF9"/>
    <w:rsid w:val="71CFD4E1"/>
    <w:rsid w:val="729C7C38"/>
    <w:rsid w:val="72F25EFF"/>
    <w:rsid w:val="7559EF2E"/>
    <w:rsid w:val="7562F9A6"/>
    <w:rsid w:val="75BA51DA"/>
    <w:rsid w:val="770A632A"/>
    <w:rsid w:val="78614723"/>
    <w:rsid w:val="7863527B"/>
    <w:rsid w:val="7871B8AC"/>
    <w:rsid w:val="788CD840"/>
    <w:rsid w:val="790805EA"/>
    <w:rsid w:val="7AA3D64B"/>
    <w:rsid w:val="7D427226"/>
    <w:rsid w:val="7D784D74"/>
    <w:rsid w:val="7D938E6B"/>
    <w:rsid w:val="7DA05284"/>
    <w:rsid w:val="7E2B0B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8D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2B"/>
    <w:pPr>
      <w:spacing w:after="0" w:line="240" w:lineRule="auto"/>
    </w:pPr>
    <w:rPr>
      <w:rFonts w:ascii="Calibri" w:hAnsi="Calibri" w:cs="Calibri"/>
    </w:rPr>
  </w:style>
  <w:style w:type="paragraph" w:styleId="Heading1">
    <w:name w:val="heading 1"/>
    <w:basedOn w:val="Normal"/>
    <w:next w:val="Normal"/>
    <w:link w:val="Heading1Char"/>
    <w:qFormat/>
    <w:rsid w:val="003D1D9E"/>
    <w:pPr>
      <w:keepNext/>
      <w:keepLines/>
      <w:suppressAutoHyphens/>
      <w:spacing w:before="480" w:after="120" w:line="380" w:lineRule="exact"/>
      <w:contextualSpacing/>
      <w:outlineLvl w:val="0"/>
    </w:pPr>
    <w:rPr>
      <w:rFonts w:eastAsia="Yu Gothic Light"/>
      <w:bCs/>
      <w:caps/>
      <w:color w:val="44546A" w:themeColor="text2"/>
      <w:sz w:val="40"/>
      <w:szCs w:val="40"/>
      <w:lang w:val="en-GB"/>
    </w:rPr>
  </w:style>
  <w:style w:type="paragraph" w:styleId="Heading2">
    <w:name w:val="heading 2"/>
    <w:basedOn w:val="Style5"/>
    <w:next w:val="Normal"/>
    <w:link w:val="Heading2Char"/>
    <w:unhideWhenUsed/>
    <w:qFormat/>
    <w:rsid w:val="00441EE1"/>
    <w:rPr>
      <w:rFonts w:asciiTheme="minorHAnsi" w:hAnsiTheme="minorHAnsi" w:cstheme="minorHAnsi"/>
    </w:rPr>
  </w:style>
  <w:style w:type="paragraph" w:styleId="Heading3">
    <w:name w:val="heading 3"/>
    <w:basedOn w:val="Heading2"/>
    <w:next w:val="Normal"/>
    <w:link w:val="Heading3Char"/>
    <w:uiPriority w:val="9"/>
    <w:unhideWhenUsed/>
    <w:qFormat/>
    <w:rsid w:val="003D1D9E"/>
    <w:pPr>
      <w:outlineLvl w:val="2"/>
    </w:pPr>
    <w:rPr>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92B"/>
    <w:pPr>
      <w:ind w:left="720"/>
    </w:pPr>
  </w:style>
  <w:style w:type="character" w:styleId="Hyperlink">
    <w:name w:val="Hyperlink"/>
    <w:basedOn w:val="DefaultParagraphFont"/>
    <w:uiPriority w:val="99"/>
    <w:unhideWhenUsed/>
    <w:rsid w:val="00C4292B"/>
    <w:rPr>
      <w:color w:val="0563C1" w:themeColor="hyperlink"/>
      <w:u w:val="single"/>
    </w:rPr>
  </w:style>
  <w:style w:type="character" w:styleId="UnresolvedMention">
    <w:name w:val="Unresolved Mention"/>
    <w:basedOn w:val="DefaultParagraphFont"/>
    <w:uiPriority w:val="99"/>
    <w:semiHidden/>
    <w:unhideWhenUsed/>
    <w:rsid w:val="00C4292B"/>
    <w:rPr>
      <w:color w:val="605E5C"/>
      <w:shd w:val="clear" w:color="auto" w:fill="E1DFDD"/>
    </w:rPr>
  </w:style>
  <w:style w:type="character" w:customStyle="1" w:styleId="Heading1Char">
    <w:name w:val="Heading 1 Char"/>
    <w:basedOn w:val="DefaultParagraphFont"/>
    <w:link w:val="Heading1"/>
    <w:rsid w:val="003D1D9E"/>
    <w:rPr>
      <w:rFonts w:ascii="Calibri" w:eastAsia="Yu Gothic Light" w:hAnsi="Calibri" w:cs="Calibri"/>
      <w:bCs/>
      <w:caps/>
      <w:color w:val="44546A" w:themeColor="text2"/>
      <w:sz w:val="40"/>
      <w:szCs w:val="40"/>
      <w:lang w:val="en-GB"/>
    </w:rPr>
  </w:style>
  <w:style w:type="character" w:customStyle="1" w:styleId="Heading2Char">
    <w:name w:val="Heading 2 Char"/>
    <w:basedOn w:val="DefaultParagraphFont"/>
    <w:link w:val="Heading2"/>
    <w:rsid w:val="00441EE1"/>
    <w:rPr>
      <w:rFonts w:eastAsiaTheme="majorEastAsia" w:cstheme="minorHAnsi"/>
      <w:b/>
      <w:caps/>
      <w:color w:val="2F5496" w:themeColor="accent1" w:themeShade="BF"/>
      <w:sz w:val="32"/>
      <w:szCs w:val="32"/>
      <w:lang w:val="en-GB"/>
    </w:rPr>
  </w:style>
  <w:style w:type="character" w:styleId="IntenseEmphasis">
    <w:name w:val="Intense Emphasis"/>
    <w:basedOn w:val="DefaultParagraphFont"/>
    <w:uiPriority w:val="21"/>
    <w:qFormat/>
    <w:rsid w:val="00C4292B"/>
    <w:rPr>
      <w:b/>
      <w:i/>
      <w:iCs/>
      <w:color w:val="44546A" w:themeColor="text2"/>
    </w:rPr>
  </w:style>
  <w:style w:type="paragraph" w:styleId="BodyText">
    <w:name w:val="Body Text"/>
    <w:basedOn w:val="Normal"/>
    <w:link w:val="BodyTextChar"/>
    <w:uiPriority w:val="99"/>
    <w:unhideWhenUsed/>
    <w:qFormat/>
    <w:rsid w:val="00C4292B"/>
    <w:pPr>
      <w:suppressAutoHyphens/>
      <w:spacing w:before="120" w:after="60" w:line="260" w:lineRule="atLeast"/>
    </w:pPr>
    <w:rPr>
      <w:rFonts w:asciiTheme="minorHAnsi" w:hAnsiTheme="minorHAnsi" w:cstheme="minorBidi"/>
      <w:color w:val="44546A" w:themeColor="text2"/>
      <w:lang w:val="en-GB"/>
    </w:rPr>
  </w:style>
  <w:style w:type="character" w:customStyle="1" w:styleId="BodyTextChar">
    <w:name w:val="Body Text Char"/>
    <w:basedOn w:val="DefaultParagraphFont"/>
    <w:link w:val="BodyText"/>
    <w:uiPriority w:val="99"/>
    <w:rsid w:val="00C4292B"/>
    <w:rPr>
      <w:color w:val="44546A" w:themeColor="text2"/>
      <w:lang w:val="en-GB"/>
    </w:rPr>
  </w:style>
  <w:style w:type="paragraph" w:styleId="ListBullet">
    <w:name w:val="List Bullet"/>
    <w:basedOn w:val="BodyText"/>
    <w:unhideWhenUsed/>
    <w:qFormat/>
    <w:rsid w:val="00C4292B"/>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customStyle="1" w:styleId="PublicationDate">
    <w:name w:val="Publication Date"/>
    <w:next w:val="Heading1"/>
    <w:rsid w:val="00C4292B"/>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Style3">
    <w:name w:val="Style3"/>
    <w:basedOn w:val="Heading2"/>
    <w:link w:val="Style3Char"/>
    <w:qFormat/>
    <w:rsid w:val="00C4292B"/>
    <w:rPr>
      <w:b w:val="0"/>
      <w:sz w:val="36"/>
      <w:szCs w:val="36"/>
    </w:rPr>
  </w:style>
  <w:style w:type="character" w:customStyle="1" w:styleId="Style3Char">
    <w:name w:val="Style3 Char"/>
    <w:basedOn w:val="Heading2Char"/>
    <w:link w:val="Style3"/>
    <w:rsid w:val="00C4292B"/>
    <w:rPr>
      <w:rFonts w:asciiTheme="majorHAnsi" w:eastAsiaTheme="majorEastAsia" w:hAnsiTheme="majorHAnsi" w:cstheme="majorBidi"/>
      <w:b w:val="0"/>
      <w:caps/>
      <w:color w:val="44546A" w:themeColor="text2"/>
      <w:sz w:val="36"/>
      <w:szCs w:val="36"/>
      <w:lang w:val="en-GB"/>
    </w:rPr>
  </w:style>
  <w:style w:type="paragraph" w:customStyle="1" w:styleId="Style5">
    <w:name w:val="Style5"/>
    <w:basedOn w:val="Normal"/>
    <w:link w:val="Style5Char"/>
    <w:qFormat/>
    <w:rsid w:val="00C4292B"/>
    <w:pPr>
      <w:keepNext/>
      <w:keepLines/>
      <w:suppressAutoHyphens/>
      <w:spacing w:before="360" w:after="120" w:line="260" w:lineRule="exact"/>
      <w:contextualSpacing/>
      <w:outlineLvl w:val="1"/>
    </w:pPr>
    <w:rPr>
      <w:rFonts w:asciiTheme="majorHAnsi" w:eastAsiaTheme="majorEastAsia" w:hAnsiTheme="majorHAnsi" w:cstheme="majorBidi"/>
      <w:b/>
      <w:caps/>
      <w:color w:val="2F5496" w:themeColor="accent1" w:themeShade="BF"/>
      <w:sz w:val="32"/>
      <w:szCs w:val="32"/>
      <w:lang w:val="en-GB"/>
    </w:rPr>
  </w:style>
  <w:style w:type="character" w:customStyle="1" w:styleId="Style5Char">
    <w:name w:val="Style5 Char"/>
    <w:basedOn w:val="DefaultParagraphFont"/>
    <w:link w:val="Style5"/>
    <w:rsid w:val="00C4292B"/>
    <w:rPr>
      <w:rFonts w:asciiTheme="majorHAnsi" w:eastAsiaTheme="majorEastAsia" w:hAnsiTheme="majorHAnsi" w:cstheme="majorBidi"/>
      <w:b/>
      <w:caps/>
      <w:color w:val="2F5496" w:themeColor="accent1" w:themeShade="BF"/>
      <w:sz w:val="32"/>
      <w:szCs w:val="32"/>
      <w:lang w:val="en-GB"/>
    </w:rPr>
  </w:style>
  <w:style w:type="character" w:styleId="FollowedHyperlink">
    <w:name w:val="FollowedHyperlink"/>
    <w:basedOn w:val="DefaultParagraphFont"/>
    <w:uiPriority w:val="99"/>
    <w:semiHidden/>
    <w:unhideWhenUsed/>
    <w:rsid w:val="004618AE"/>
    <w:rPr>
      <w:color w:val="954F72" w:themeColor="followedHyperlink"/>
      <w:u w:val="single"/>
    </w:rPr>
  </w:style>
  <w:style w:type="paragraph" w:styleId="ListBullet2">
    <w:name w:val="List Bullet 2"/>
    <w:basedOn w:val="Normal"/>
    <w:uiPriority w:val="99"/>
    <w:semiHidden/>
    <w:unhideWhenUsed/>
    <w:rsid w:val="00AB2A0C"/>
    <w:pPr>
      <w:numPr>
        <w:numId w:val="5"/>
      </w:numPr>
      <w:contextualSpacing/>
    </w:pPr>
  </w:style>
  <w:style w:type="character" w:customStyle="1" w:styleId="ListParagraphChar">
    <w:name w:val="List Paragraph Char"/>
    <w:basedOn w:val="DefaultParagraphFont"/>
    <w:link w:val="ListParagraph"/>
    <w:uiPriority w:val="34"/>
    <w:locked/>
    <w:rsid w:val="00FD4029"/>
    <w:rPr>
      <w:rFonts w:ascii="Calibri" w:hAnsi="Calibri" w:cs="Calibri"/>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57406"/>
    <w:pPr>
      <w:tabs>
        <w:tab w:val="center" w:pos="4680"/>
        <w:tab w:val="right" w:pos="9360"/>
      </w:tabs>
    </w:pPr>
  </w:style>
  <w:style w:type="character" w:customStyle="1" w:styleId="HeaderChar">
    <w:name w:val="Header Char"/>
    <w:basedOn w:val="DefaultParagraphFont"/>
    <w:link w:val="Header"/>
    <w:uiPriority w:val="99"/>
    <w:rsid w:val="00A57406"/>
    <w:rPr>
      <w:rFonts w:ascii="Calibri" w:hAnsi="Calibri" w:cs="Calibri"/>
    </w:rPr>
  </w:style>
  <w:style w:type="paragraph" w:styleId="Footer">
    <w:name w:val="footer"/>
    <w:basedOn w:val="Normal"/>
    <w:link w:val="FooterChar"/>
    <w:uiPriority w:val="99"/>
    <w:unhideWhenUsed/>
    <w:rsid w:val="00A57406"/>
    <w:pPr>
      <w:tabs>
        <w:tab w:val="center" w:pos="4680"/>
        <w:tab w:val="right" w:pos="9360"/>
      </w:tabs>
    </w:pPr>
  </w:style>
  <w:style w:type="character" w:customStyle="1" w:styleId="FooterChar">
    <w:name w:val="Footer Char"/>
    <w:basedOn w:val="DefaultParagraphFont"/>
    <w:link w:val="Footer"/>
    <w:uiPriority w:val="99"/>
    <w:rsid w:val="00A57406"/>
    <w:rPr>
      <w:rFonts w:ascii="Calibri" w:hAnsi="Calibri" w:cs="Calibri"/>
    </w:rPr>
  </w:style>
  <w:style w:type="paragraph" w:styleId="Revision">
    <w:name w:val="Revision"/>
    <w:hidden/>
    <w:uiPriority w:val="99"/>
    <w:semiHidden/>
    <w:rsid w:val="00932E74"/>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2D291A"/>
    <w:rPr>
      <w:b/>
      <w:bCs/>
    </w:rPr>
  </w:style>
  <w:style w:type="character" w:customStyle="1" w:styleId="CommentSubjectChar">
    <w:name w:val="Comment Subject Char"/>
    <w:basedOn w:val="CommentTextChar"/>
    <w:link w:val="CommentSubject"/>
    <w:uiPriority w:val="99"/>
    <w:semiHidden/>
    <w:rsid w:val="002D291A"/>
    <w:rPr>
      <w:rFonts w:ascii="Calibri" w:hAnsi="Calibri" w:cs="Calibri"/>
      <w:b/>
      <w:bCs/>
      <w:sz w:val="20"/>
      <w:szCs w:val="20"/>
    </w:rPr>
  </w:style>
  <w:style w:type="character" w:styleId="Mention">
    <w:name w:val="Mention"/>
    <w:basedOn w:val="DefaultParagraphFont"/>
    <w:uiPriority w:val="99"/>
    <w:unhideWhenUsed/>
    <w:rsid w:val="008C067F"/>
    <w:rPr>
      <w:color w:val="2B579A"/>
      <w:shd w:val="clear" w:color="auto" w:fill="E1DFDD"/>
    </w:rPr>
  </w:style>
  <w:style w:type="paragraph" w:styleId="FootnoteText">
    <w:name w:val="footnote text"/>
    <w:basedOn w:val="Normal"/>
    <w:link w:val="FootnoteTextChar"/>
    <w:uiPriority w:val="99"/>
    <w:semiHidden/>
    <w:unhideWhenUsed/>
    <w:rsid w:val="00A06992"/>
    <w:rPr>
      <w:sz w:val="20"/>
      <w:szCs w:val="20"/>
    </w:rPr>
  </w:style>
  <w:style w:type="character" w:customStyle="1" w:styleId="FootnoteTextChar">
    <w:name w:val="Footnote Text Char"/>
    <w:basedOn w:val="DefaultParagraphFont"/>
    <w:link w:val="FootnoteText"/>
    <w:uiPriority w:val="99"/>
    <w:semiHidden/>
    <w:rsid w:val="00A06992"/>
    <w:rPr>
      <w:rFonts w:ascii="Calibri" w:hAnsi="Calibri" w:cs="Calibri"/>
      <w:sz w:val="20"/>
      <w:szCs w:val="20"/>
    </w:rPr>
  </w:style>
  <w:style w:type="character" w:styleId="FootnoteReference">
    <w:name w:val="footnote reference"/>
    <w:basedOn w:val="DefaultParagraphFont"/>
    <w:uiPriority w:val="99"/>
    <w:semiHidden/>
    <w:unhideWhenUsed/>
    <w:rsid w:val="00A06992"/>
    <w:rPr>
      <w:vertAlign w:val="superscript"/>
    </w:rPr>
  </w:style>
  <w:style w:type="character" w:customStyle="1" w:styleId="Heading3Char">
    <w:name w:val="Heading 3 Char"/>
    <w:basedOn w:val="DefaultParagraphFont"/>
    <w:link w:val="Heading3"/>
    <w:uiPriority w:val="9"/>
    <w:rsid w:val="003D1D9E"/>
    <w:rPr>
      <w:rFonts w:eastAsiaTheme="majorEastAsia" w:cstheme="minorHAnsi"/>
      <w:b/>
      <w:bCs/>
      <w:caps/>
      <w:sz w:val="24"/>
      <w:szCs w:val="24"/>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047">
      <w:bodyDiv w:val="1"/>
      <w:marLeft w:val="0"/>
      <w:marRight w:val="0"/>
      <w:marTop w:val="0"/>
      <w:marBottom w:val="0"/>
      <w:divBdr>
        <w:top w:val="none" w:sz="0" w:space="0" w:color="auto"/>
        <w:left w:val="none" w:sz="0" w:space="0" w:color="auto"/>
        <w:bottom w:val="none" w:sz="0" w:space="0" w:color="auto"/>
        <w:right w:val="none" w:sz="0" w:space="0" w:color="auto"/>
      </w:divBdr>
    </w:div>
    <w:div w:id="501550716">
      <w:bodyDiv w:val="1"/>
      <w:marLeft w:val="0"/>
      <w:marRight w:val="0"/>
      <w:marTop w:val="0"/>
      <w:marBottom w:val="0"/>
      <w:divBdr>
        <w:top w:val="none" w:sz="0" w:space="0" w:color="auto"/>
        <w:left w:val="none" w:sz="0" w:space="0" w:color="auto"/>
        <w:bottom w:val="none" w:sz="0" w:space="0" w:color="auto"/>
        <w:right w:val="none" w:sz="0" w:space="0" w:color="auto"/>
      </w:divBdr>
    </w:div>
    <w:div w:id="537162705">
      <w:bodyDiv w:val="1"/>
      <w:marLeft w:val="0"/>
      <w:marRight w:val="0"/>
      <w:marTop w:val="0"/>
      <w:marBottom w:val="0"/>
      <w:divBdr>
        <w:top w:val="none" w:sz="0" w:space="0" w:color="auto"/>
        <w:left w:val="none" w:sz="0" w:space="0" w:color="auto"/>
        <w:bottom w:val="none" w:sz="0" w:space="0" w:color="auto"/>
        <w:right w:val="none" w:sz="0" w:space="0" w:color="auto"/>
      </w:divBdr>
    </w:div>
    <w:div w:id="687482458">
      <w:bodyDiv w:val="1"/>
      <w:marLeft w:val="0"/>
      <w:marRight w:val="0"/>
      <w:marTop w:val="0"/>
      <w:marBottom w:val="0"/>
      <w:divBdr>
        <w:top w:val="none" w:sz="0" w:space="0" w:color="auto"/>
        <w:left w:val="none" w:sz="0" w:space="0" w:color="auto"/>
        <w:bottom w:val="none" w:sz="0" w:space="0" w:color="auto"/>
        <w:right w:val="none" w:sz="0" w:space="0" w:color="auto"/>
      </w:divBdr>
    </w:div>
    <w:div w:id="844705683">
      <w:bodyDiv w:val="1"/>
      <w:marLeft w:val="0"/>
      <w:marRight w:val="0"/>
      <w:marTop w:val="0"/>
      <w:marBottom w:val="0"/>
      <w:divBdr>
        <w:top w:val="none" w:sz="0" w:space="0" w:color="auto"/>
        <w:left w:val="none" w:sz="0" w:space="0" w:color="auto"/>
        <w:bottom w:val="none" w:sz="0" w:space="0" w:color="auto"/>
        <w:right w:val="none" w:sz="0" w:space="0" w:color="auto"/>
      </w:divBdr>
    </w:div>
    <w:div w:id="1221214199">
      <w:bodyDiv w:val="1"/>
      <w:marLeft w:val="0"/>
      <w:marRight w:val="0"/>
      <w:marTop w:val="0"/>
      <w:marBottom w:val="0"/>
      <w:divBdr>
        <w:top w:val="none" w:sz="0" w:space="0" w:color="auto"/>
        <w:left w:val="none" w:sz="0" w:space="0" w:color="auto"/>
        <w:bottom w:val="none" w:sz="0" w:space="0" w:color="auto"/>
        <w:right w:val="none" w:sz="0" w:space="0" w:color="auto"/>
      </w:divBdr>
    </w:div>
    <w:div w:id="1458139321">
      <w:bodyDiv w:val="1"/>
      <w:marLeft w:val="0"/>
      <w:marRight w:val="0"/>
      <w:marTop w:val="0"/>
      <w:marBottom w:val="0"/>
      <w:divBdr>
        <w:top w:val="none" w:sz="0" w:space="0" w:color="auto"/>
        <w:left w:val="none" w:sz="0" w:space="0" w:color="auto"/>
        <w:bottom w:val="none" w:sz="0" w:space="0" w:color="auto"/>
        <w:right w:val="none" w:sz="0" w:space="0" w:color="auto"/>
      </w:divBdr>
    </w:div>
    <w:div w:id="1550414878">
      <w:bodyDiv w:val="1"/>
      <w:marLeft w:val="0"/>
      <w:marRight w:val="0"/>
      <w:marTop w:val="0"/>
      <w:marBottom w:val="0"/>
      <w:divBdr>
        <w:top w:val="none" w:sz="0" w:space="0" w:color="auto"/>
        <w:left w:val="none" w:sz="0" w:space="0" w:color="auto"/>
        <w:bottom w:val="none" w:sz="0" w:space="0" w:color="auto"/>
        <w:right w:val="none" w:sz="0" w:space="0" w:color="auto"/>
      </w:divBdr>
    </w:div>
    <w:div w:id="1650359378">
      <w:bodyDiv w:val="1"/>
      <w:marLeft w:val="0"/>
      <w:marRight w:val="0"/>
      <w:marTop w:val="0"/>
      <w:marBottom w:val="0"/>
      <w:divBdr>
        <w:top w:val="none" w:sz="0" w:space="0" w:color="auto"/>
        <w:left w:val="none" w:sz="0" w:space="0" w:color="auto"/>
        <w:bottom w:val="none" w:sz="0" w:space="0" w:color="auto"/>
        <w:right w:val="none" w:sz="0" w:space="0" w:color="auto"/>
      </w:divBdr>
    </w:div>
    <w:div w:id="171981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us01.safelinks.protection.outlook.com/?url=https%3A%2F%2Fwww.who.int%2Fpublications%2Fm%2Fitem%2Fone-health-theory-of-change&amp;data=05%7C01%7CMica.Hartfield%40dfat.gov.au%7Cf5bce406b23e44342d1508db98ca8801%7C9b7f23b30e8347a58a40ffa8a6fea536%7C0%7C0%7C638271767861820465%7CUnknown%7CTWFpbGZsb3d8eyJWIjoiMC4wLjAwMDAiLCJQIjoiV2luMzIiLCJBTiI6Ik1haWwiLCJXVCI6Mn0%3D%7C3000%7C%7C%7C&amp;sdata=xpllpiAplGmulaYePZjPDdf3H1tjczr4np4RWtd2PVg%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B7DD4E9CB4934BBB0A4D2E9ADAB25F" ma:contentTypeVersion="5" ma:contentTypeDescription="Create a new document." ma:contentTypeScope="" ma:versionID="ba4897ce409b1299a66540d0c0005b59">
  <xsd:schema xmlns:xsd="http://www.w3.org/2001/XMLSchema" xmlns:xs="http://www.w3.org/2001/XMLSchema" xmlns:p="http://schemas.microsoft.com/office/2006/metadata/properties" xmlns:ns2="e7c2167f-7f62-42c8-b17f-4fb54f1eb712" targetNamespace="http://schemas.microsoft.com/office/2006/metadata/properties" ma:root="true" ma:fieldsID="63ab0f6317e205a4e62fc752498a359d" ns2:_="">
    <xsd:import namespace="e7c2167f-7f62-42c8-b17f-4fb54f1eb7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167f-7f62-42c8-b17f-4fb54f1e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0BA92-FA18-4BED-B9DF-2CB63C3CC801}">
  <ds:schemaRefs>
    <ds:schemaRef ds:uri="http://schemas.microsoft.com/sharepoint/v3/contenttype/forms"/>
  </ds:schemaRefs>
</ds:datastoreItem>
</file>

<file path=customXml/itemProps2.xml><?xml version="1.0" encoding="utf-8"?>
<ds:datastoreItem xmlns:ds="http://schemas.openxmlformats.org/officeDocument/2006/customXml" ds:itemID="{3946560D-01AF-43B0-95A3-021F2136A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167f-7f62-42c8-b17f-4fb54f1e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532B8-CD2E-4651-BF0D-1AF9A59E2EE6}">
  <ds:schemaRefs>
    <ds:schemaRef ds:uri="http://schemas.openxmlformats.org/officeDocument/2006/bibliography"/>
  </ds:schemaRefs>
</ds:datastoreItem>
</file>

<file path=customXml/itemProps4.xml><?xml version="1.0" encoding="utf-8"?>
<ds:datastoreItem xmlns:ds="http://schemas.openxmlformats.org/officeDocument/2006/customXml" ds:itemID="{5736696B-A9F9-42AC-9385-1F96BB9AD04C}">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e7c2167f-7f62-42c8-b17f-4fb54f1eb7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4299</Characters>
  <Application>Microsoft Office Word</Application>
  <DocSecurity>0</DocSecurity>
  <Lines>76</Lines>
  <Paragraphs>38</Paragraphs>
  <ScaleCrop>false</ScaleCrop>
  <HeadingPairs>
    <vt:vector size="2" baseType="variant">
      <vt:variant>
        <vt:lpstr>Title</vt:lpstr>
      </vt:variant>
      <vt:variant>
        <vt:i4>1</vt:i4>
      </vt:variant>
    </vt:vector>
  </HeadingPairs>
  <TitlesOfParts>
    <vt:vector size="1" baseType="lpstr">
      <vt:lpstr>Tier 2 Technical Note – Communicable disease</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Technical Note – Communicable disease</dc:title>
  <dc:subject/>
  <dc:creator/>
  <cp:keywords>[SEC=OFFICIAL]</cp:keywords>
  <dc:description/>
  <cp:lastModifiedBy/>
  <cp:revision>4</cp:revision>
  <dcterms:created xsi:type="dcterms:W3CDTF">2023-09-13T23:20:00Z</dcterms:created>
  <dcterms:modified xsi:type="dcterms:W3CDTF">2024-06-19T05:06:00Z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v=2022.1;a=SHA256;h=B71B6A425F0334EBE602804752C5D5C3A535B330EC5A84AA42326BFFEFFF055F</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0F899F374FF046FA9710986148772F0A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2023-06-14T03:51:21Z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95FBABFB6B2C5D3E7E3755C0BAFE21A8</vt:lpwstr>
  </property>
  <property fmtid="{D5CDD505-2E9C-101B-9397-08002B2CF9AE}" pid="22" name="PM_Hash_Salt">
    <vt:lpwstr>39D3140AC5B224D7AD36A15244AFCC39</vt:lpwstr>
  </property>
  <property fmtid="{D5CDD505-2E9C-101B-9397-08002B2CF9AE}" pid="23" name="PM_Hash_SHA1">
    <vt:lpwstr>43AA1DA6A30B5C365A1B16D7D69D3F3C7BCD4099</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0x01010002B7DD4E9CB4934BBB0A4D2E9ADAB25F</vt:lpwstr>
  </property>
  <property fmtid="{D5CDD505-2E9C-101B-9397-08002B2CF9AE}" pid="30" name="MediaServiceImageTags">
    <vt:lpwstr/>
  </property>
</Properties>
</file>