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35F8" w14:textId="6FB36D96" w:rsidR="00A27DDD" w:rsidRDefault="00C4292B" w:rsidP="45E36C57">
      <w:pPr>
        <w:pStyle w:val="Heading1"/>
        <w:rPr>
          <w:rFonts w:asciiTheme="majorHAnsi" w:hAnsiTheme="majorHAnsi" w:cstheme="majorBidi"/>
          <w:sz w:val="32"/>
          <w:szCs w:val="32"/>
        </w:rPr>
      </w:pPr>
      <w:bookmarkStart w:id="0" w:name="_Toc441151562"/>
      <w:r w:rsidRPr="45E36C57">
        <w:rPr>
          <w:rFonts w:asciiTheme="majorHAnsi" w:hAnsiTheme="majorHAnsi" w:cstheme="majorBidi"/>
          <w:sz w:val="32"/>
          <w:szCs w:val="32"/>
        </w:rPr>
        <w:t>TIER 2 INDICATOR Technical Note</w:t>
      </w:r>
    </w:p>
    <w:p w14:paraId="333A78B7" w14:textId="606D7526" w:rsidR="003D173B" w:rsidRPr="001A3142" w:rsidRDefault="00A27DDD" w:rsidP="45E36C57">
      <w:pPr>
        <w:pStyle w:val="Heading2"/>
        <w:spacing w:before="0" w:line="276" w:lineRule="auto"/>
        <w:rPr>
          <w:rFonts w:asciiTheme="majorHAnsi" w:hAnsiTheme="majorHAnsi" w:cstheme="majorBidi"/>
          <w:i/>
          <w:iCs/>
        </w:rPr>
      </w:pPr>
      <w:r w:rsidRPr="45E36C57">
        <w:rPr>
          <w:rFonts w:asciiTheme="majorHAnsi" w:hAnsiTheme="majorHAnsi" w:cstheme="majorBidi"/>
          <w:i/>
          <w:iCs/>
        </w:rPr>
        <w:t>Health SYSTEMS CAPACITY</w:t>
      </w:r>
    </w:p>
    <w:bookmarkEnd w:id="0"/>
    <w:p w14:paraId="1E22838B" w14:textId="1BC03FA5" w:rsidR="00663AE3" w:rsidRPr="003D173B" w:rsidRDefault="00A47C10" w:rsidP="45E36C57">
      <w:pPr>
        <w:pStyle w:val="Heading2"/>
        <w:spacing w:before="0" w:line="276" w:lineRule="auto"/>
        <w:rPr>
          <w:rFonts w:asciiTheme="majorHAnsi" w:hAnsiTheme="majorHAnsi" w:cstheme="majorBidi"/>
          <w:i/>
          <w:iCs/>
        </w:rPr>
      </w:pPr>
      <w:r w:rsidRPr="45E36C57">
        <w:rPr>
          <w:rFonts w:asciiTheme="majorHAnsi" w:hAnsiTheme="majorHAnsi" w:cstheme="majorBidi"/>
          <w:i/>
          <w:iCs/>
        </w:rPr>
        <w:t>PARTNER COUNTRIES IMPROVE HEALTH SYSTEM CAPACITY TO PROVIDE QUALITY, ACCESSIBLE, AFFORDABLE HEALTH SERVICES, WITH AUSTRALIAN SUPPORT.</w:t>
      </w:r>
    </w:p>
    <w:p w14:paraId="1008108A" w14:textId="47AB31FE" w:rsidR="00C4292B" w:rsidRPr="001A3142" w:rsidRDefault="00C4292B" w:rsidP="2CE448A7">
      <w:pPr>
        <w:pStyle w:val="PublicationDate"/>
        <w:spacing w:before="120" w:after="120" w:line="240" w:lineRule="auto"/>
        <w:rPr>
          <w:rFonts w:asciiTheme="majorHAnsi" w:eastAsiaTheme="majorEastAsia" w:hAnsiTheme="majorHAnsi" w:cstheme="majorBidi"/>
          <w:b/>
          <w:bCs/>
          <w:color w:val="44546A" w:themeColor="text2"/>
          <w:sz w:val="22"/>
          <w:szCs w:val="22"/>
        </w:rPr>
      </w:pPr>
      <w:r w:rsidRPr="2CE448A7">
        <w:rPr>
          <w:rFonts w:asciiTheme="majorHAnsi" w:eastAsiaTheme="majorEastAsia" w:hAnsiTheme="majorHAnsi" w:cstheme="majorBidi"/>
          <w:b/>
          <w:bCs/>
          <w:color w:val="44546A" w:themeColor="text2"/>
          <w:sz w:val="22"/>
          <w:szCs w:val="22"/>
        </w:rPr>
        <w:t>Last updated:</w:t>
      </w:r>
      <w:r w:rsidR="7E032B54" w:rsidRPr="2CE448A7">
        <w:rPr>
          <w:rFonts w:asciiTheme="majorHAnsi" w:eastAsiaTheme="majorEastAsia" w:hAnsiTheme="majorHAnsi" w:cstheme="majorBidi"/>
          <w:b/>
          <w:bCs/>
          <w:color w:val="44546A" w:themeColor="text2"/>
          <w:sz w:val="22"/>
          <w:szCs w:val="22"/>
        </w:rPr>
        <w:t xml:space="preserve"> </w:t>
      </w:r>
      <w:r w:rsidR="00B730B8" w:rsidRPr="2CE448A7">
        <w:rPr>
          <w:rFonts w:asciiTheme="majorHAnsi" w:eastAsiaTheme="majorEastAsia" w:hAnsiTheme="majorHAnsi" w:cstheme="majorBidi"/>
          <w:b/>
          <w:bCs/>
          <w:color w:val="44546A" w:themeColor="text2"/>
          <w:sz w:val="22"/>
          <w:szCs w:val="22"/>
        </w:rPr>
        <w:t>0</w:t>
      </w:r>
      <w:r w:rsidR="00EC3878" w:rsidRPr="2CE448A7">
        <w:rPr>
          <w:rFonts w:asciiTheme="majorHAnsi" w:eastAsiaTheme="majorEastAsia" w:hAnsiTheme="majorHAnsi" w:cstheme="majorBidi"/>
          <w:b/>
          <w:bCs/>
          <w:color w:val="44546A" w:themeColor="text2"/>
          <w:sz w:val="22"/>
          <w:szCs w:val="22"/>
        </w:rPr>
        <w:t>8</w:t>
      </w:r>
      <w:r w:rsidR="00B730B8" w:rsidRPr="2CE448A7">
        <w:rPr>
          <w:rFonts w:asciiTheme="majorHAnsi" w:eastAsiaTheme="majorEastAsia" w:hAnsiTheme="majorHAnsi" w:cstheme="majorBidi"/>
          <w:b/>
          <w:bCs/>
          <w:color w:val="44546A" w:themeColor="text2"/>
          <w:sz w:val="22"/>
          <w:szCs w:val="22"/>
        </w:rPr>
        <w:t xml:space="preserve"> August 2023</w:t>
      </w:r>
    </w:p>
    <w:p w14:paraId="64E31E70" w14:textId="77777777" w:rsidR="00C4292B" w:rsidRPr="003D173B" w:rsidRDefault="00C4292B" w:rsidP="45E36C57">
      <w:pPr>
        <w:pStyle w:val="Heading2"/>
        <w:rPr>
          <w:rFonts w:asciiTheme="majorHAnsi" w:hAnsiTheme="majorHAnsi" w:cstheme="majorBidi"/>
        </w:rPr>
      </w:pPr>
      <w:r w:rsidRPr="45E36C57">
        <w:rPr>
          <w:rFonts w:asciiTheme="majorHAnsi" w:hAnsiTheme="majorHAnsi" w:cstheme="majorBidi"/>
        </w:rPr>
        <w:t>Definition</w:t>
      </w:r>
    </w:p>
    <w:p w14:paraId="54C84433" w14:textId="0C95EF9E" w:rsidR="00EF3557" w:rsidRPr="00C25B2E" w:rsidRDefault="007C7609"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T</w:t>
      </w:r>
      <w:r w:rsidR="00E11577" w:rsidRPr="2CE448A7">
        <w:rPr>
          <w:rFonts w:asciiTheme="majorHAnsi" w:eastAsiaTheme="majorEastAsia" w:hAnsiTheme="majorHAnsi" w:cstheme="majorBidi"/>
        </w:rPr>
        <w:t>h</w:t>
      </w:r>
      <w:r w:rsidRPr="2CE448A7">
        <w:rPr>
          <w:rFonts w:asciiTheme="majorHAnsi" w:eastAsiaTheme="majorEastAsia" w:hAnsiTheme="majorHAnsi" w:cstheme="majorBidi"/>
        </w:rPr>
        <w:t>is indicator</w:t>
      </w:r>
      <w:r w:rsidR="00800F56" w:rsidRPr="2CE448A7">
        <w:rPr>
          <w:rFonts w:asciiTheme="majorHAnsi" w:eastAsiaTheme="majorEastAsia" w:hAnsiTheme="majorHAnsi" w:cstheme="majorBidi"/>
        </w:rPr>
        <w:t xml:space="preserve"> aims to capture evidence and examples of Australian support to partner countries to</w:t>
      </w:r>
      <w:r w:rsidR="00DF6965" w:rsidRPr="2CE448A7">
        <w:rPr>
          <w:rFonts w:asciiTheme="majorHAnsi" w:eastAsiaTheme="majorEastAsia" w:hAnsiTheme="majorHAnsi" w:cstheme="majorBidi"/>
        </w:rPr>
        <w:t xml:space="preserve"> improve health system capacity.</w:t>
      </w:r>
    </w:p>
    <w:p w14:paraId="79081D24" w14:textId="74F039DF" w:rsidR="00245A42" w:rsidRDefault="00245A42"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b/>
          <w:bCs/>
        </w:rPr>
        <w:t xml:space="preserve">Health system </w:t>
      </w:r>
      <w:r w:rsidRPr="2CE448A7">
        <w:rPr>
          <w:rFonts w:asciiTheme="majorHAnsi" w:eastAsiaTheme="majorEastAsia" w:hAnsiTheme="majorHAnsi" w:cstheme="majorBidi"/>
        </w:rPr>
        <w:t xml:space="preserve">refers to the organisation of people, </w:t>
      </w:r>
      <w:proofErr w:type="gramStart"/>
      <w:r w:rsidRPr="2CE448A7">
        <w:rPr>
          <w:rFonts w:asciiTheme="majorHAnsi" w:eastAsiaTheme="majorEastAsia" w:hAnsiTheme="majorHAnsi" w:cstheme="majorBidi"/>
        </w:rPr>
        <w:t>institutions</w:t>
      </w:r>
      <w:proofErr w:type="gramEnd"/>
      <w:r w:rsidRPr="2CE448A7">
        <w:rPr>
          <w:rFonts w:asciiTheme="majorHAnsi" w:eastAsiaTheme="majorEastAsia" w:hAnsiTheme="majorHAnsi" w:cstheme="majorBidi"/>
        </w:rPr>
        <w:t xml:space="preserve"> and resources</w:t>
      </w:r>
      <w:r w:rsidR="00FF4F38" w:rsidRPr="2CE448A7">
        <w:rPr>
          <w:rFonts w:asciiTheme="majorHAnsi" w:eastAsiaTheme="majorEastAsia" w:hAnsiTheme="majorHAnsi" w:cstheme="majorBidi"/>
        </w:rPr>
        <w:t xml:space="preserve"> </w:t>
      </w:r>
      <w:r w:rsidRPr="2CE448A7">
        <w:rPr>
          <w:rFonts w:asciiTheme="majorHAnsi" w:eastAsiaTheme="majorEastAsia" w:hAnsiTheme="majorHAnsi" w:cstheme="majorBidi"/>
        </w:rPr>
        <w:t>t</w:t>
      </w:r>
      <w:r w:rsidR="00CE1221" w:rsidRPr="2CE448A7">
        <w:rPr>
          <w:rFonts w:asciiTheme="majorHAnsi" w:eastAsiaTheme="majorEastAsia" w:hAnsiTheme="majorHAnsi" w:cstheme="majorBidi"/>
        </w:rPr>
        <w:t>o</w:t>
      </w:r>
      <w:r w:rsidRPr="2CE448A7">
        <w:rPr>
          <w:rFonts w:asciiTheme="majorHAnsi" w:eastAsiaTheme="majorEastAsia" w:hAnsiTheme="majorHAnsi" w:cstheme="majorBidi"/>
        </w:rPr>
        <w:t xml:space="preserve"> meet the health needs of populations.</w:t>
      </w:r>
      <w:r w:rsidR="00855CE6" w:rsidRPr="2CE448A7">
        <w:rPr>
          <w:rFonts w:asciiTheme="majorHAnsi" w:eastAsiaTheme="majorEastAsia" w:hAnsiTheme="majorHAnsi" w:cstheme="majorBidi"/>
        </w:rPr>
        <w:t xml:space="preserve"> </w:t>
      </w:r>
    </w:p>
    <w:p w14:paraId="23DFDD64" w14:textId="0685FC26" w:rsidR="00CD2588" w:rsidRPr="00CD2588" w:rsidRDefault="00EA0D43"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 xml:space="preserve">This indicator includes </w:t>
      </w:r>
      <w:r w:rsidR="1E604CAC" w:rsidRPr="2CE448A7">
        <w:rPr>
          <w:rFonts w:asciiTheme="majorHAnsi" w:eastAsiaTheme="majorEastAsia" w:hAnsiTheme="majorHAnsi" w:cstheme="majorBidi"/>
        </w:rPr>
        <w:t xml:space="preserve">One Health </w:t>
      </w:r>
      <w:r w:rsidRPr="2CE448A7">
        <w:rPr>
          <w:rFonts w:asciiTheme="majorHAnsi" w:eastAsiaTheme="majorEastAsia" w:hAnsiTheme="majorHAnsi" w:cstheme="majorBidi"/>
        </w:rPr>
        <w:t xml:space="preserve">investments </w:t>
      </w:r>
      <w:r w:rsidR="00A16EAB" w:rsidRPr="2CE448A7">
        <w:rPr>
          <w:rFonts w:asciiTheme="majorHAnsi" w:eastAsiaTheme="majorEastAsia" w:hAnsiTheme="majorHAnsi" w:cstheme="majorBidi"/>
        </w:rPr>
        <w:t xml:space="preserve">(see the </w:t>
      </w:r>
      <w:r w:rsidR="00A16EAB" w:rsidRPr="2CE448A7">
        <w:rPr>
          <w:rFonts w:asciiTheme="majorHAnsi" w:eastAsiaTheme="majorEastAsia" w:hAnsiTheme="majorHAnsi" w:cstheme="majorBidi"/>
          <w:i/>
          <w:iCs/>
        </w:rPr>
        <w:t>Excludes</w:t>
      </w:r>
      <w:r w:rsidR="00A16EAB" w:rsidRPr="2CE448A7">
        <w:rPr>
          <w:rFonts w:asciiTheme="majorHAnsi" w:eastAsiaTheme="majorEastAsia" w:hAnsiTheme="majorHAnsi" w:cstheme="majorBidi"/>
        </w:rPr>
        <w:t xml:space="preserve"> section below)</w:t>
      </w:r>
      <w:r w:rsidR="006A221C" w:rsidRPr="2CE448A7">
        <w:rPr>
          <w:rFonts w:asciiTheme="majorHAnsi" w:eastAsiaTheme="majorEastAsia" w:hAnsiTheme="majorHAnsi" w:cstheme="majorBidi"/>
        </w:rPr>
        <w:t xml:space="preserve">. </w:t>
      </w:r>
    </w:p>
    <w:p w14:paraId="03BDA8E3" w14:textId="1CFAF650" w:rsidR="00CD2588" w:rsidRDefault="1EE25E37" w:rsidP="2CE448A7">
      <w:pPr>
        <w:pStyle w:val="BodyText"/>
        <w:jc w:val="both"/>
        <w:rPr>
          <w:rStyle w:val="ui-provider"/>
          <w:rFonts w:asciiTheme="majorHAnsi" w:eastAsiaTheme="majorEastAsia" w:hAnsiTheme="majorHAnsi" w:cstheme="majorBidi"/>
        </w:rPr>
      </w:pPr>
      <w:r w:rsidRPr="2CE448A7">
        <w:rPr>
          <w:rFonts w:asciiTheme="majorHAnsi" w:eastAsiaTheme="majorEastAsia" w:hAnsiTheme="majorHAnsi" w:cstheme="majorBidi"/>
          <w:b/>
          <w:bCs/>
        </w:rPr>
        <w:t>One Health</w:t>
      </w:r>
      <w:r w:rsidR="00B645A7" w:rsidRPr="2CE448A7">
        <w:rPr>
          <w:rStyle w:val="ui-provider"/>
          <w:rFonts w:asciiTheme="majorHAnsi" w:eastAsiaTheme="majorEastAsia" w:hAnsiTheme="majorHAnsi" w:cstheme="majorBidi"/>
        </w:rPr>
        <w:t xml:space="preserve"> is an approach that recognises the health of humans, domestic and wild animals, </w:t>
      </w:r>
      <w:proofErr w:type="gramStart"/>
      <w:r w:rsidR="00B645A7" w:rsidRPr="2CE448A7">
        <w:rPr>
          <w:rStyle w:val="ui-provider"/>
          <w:rFonts w:asciiTheme="majorHAnsi" w:eastAsiaTheme="majorEastAsia" w:hAnsiTheme="majorHAnsi" w:cstheme="majorBidi"/>
        </w:rPr>
        <w:t>plants</w:t>
      </w:r>
      <w:proofErr w:type="gramEnd"/>
      <w:r w:rsidR="00B645A7" w:rsidRPr="2CE448A7">
        <w:rPr>
          <w:rStyle w:val="ui-provider"/>
          <w:rFonts w:asciiTheme="majorHAnsi" w:eastAsiaTheme="majorEastAsia" w:hAnsiTheme="majorHAnsi" w:cstheme="majorBidi"/>
        </w:rPr>
        <w:t xml:space="preserve"> and the wider environment are linked and interdependent. One Health approaches in practice refers to the organisation of people, </w:t>
      </w:r>
      <w:proofErr w:type="gramStart"/>
      <w:r w:rsidR="00B645A7" w:rsidRPr="2CE448A7">
        <w:rPr>
          <w:rStyle w:val="ui-provider"/>
          <w:rFonts w:asciiTheme="majorHAnsi" w:eastAsiaTheme="majorEastAsia" w:hAnsiTheme="majorHAnsi" w:cstheme="majorBidi"/>
        </w:rPr>
        <w:t>institutions</w:t>
      </w:r>
      <w:proofErr w:type="gramEnd"/>
      <w:r w:rsidR="00B645A7" w:rsidRPr="2CE448A7">
        <w:rPr>
          <w:rStyle w:val="ui-provider"/>
          <w:rFonts w:asciiTheme="majorHAnsi" w:eastAsiaTheme="majorEastAsia" w:hAnsiTheme="majorHAnsi" w:cstheme="majorBidi"/>
        </w:rPr>
        <w:t xml:space="preserve"> and resources to address risks to the health of people, animals and the environment</w:t>
      </w:r>
      <w:r w:rsidR="007516DB" w:rsidRPr="2CE448A7">
        <w:rPr>
          <w:rStyle w:val="ui-provider"/>
          <w:rFonts w:asciiTheme="majorHAnsi" w:eastAsiaTheme="majorEastAsia" w:hAnsiTheme="majorHAnsi" w:cstheme="majorBidi"/>
        </w:rPr>
        <w:t xml:space="preserve"> in an integrated way</w:t>
      </w:r>
      <w:r w:rsidR="00B645A7" w:rsidRPr="2CE448A7">
        <w:rPr>
          <w:rStyle w:val="ui-provider"/>
          <w:rFonts w:asciiTheme="majorHAnsi" w:eastAsiaTheme="majorEastAsia" w:hAnsiTheme="majorHAnsi" w:cstheme="majorBidi"/>
        </w:rPr>
        <w:t xml:space="preserve">. </w:t>
      </w:r>
    </w:p>
    <w:p w14:paraId="5547D779" w14:textId="3DE9346D" w:rsidR="00F83153" w:rsidRDefault="00F83153"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b/>
          <w:bCs/>
        </w:rPr>
        <w:t>Quality</w:t>
      </w:r>
      <w:r w:rsidRPr="2CE448A7">
        <w:rPr>
          <w:rFonts w:asciiTheme="majorHAnsi" w:eastAsiaTheme="majorEastAsia" w:hAnsiTheme="majorHAnsi" w:cstheme="majorBidi"/>
        </w:rPr>
        <w:t xml:space="preserve"> </w:t>
      </w:r>
      <w:r w:rsidR="00B709FA" w:rsidRPr="2CE448A7">
        <w:rPr>
          <w:rFonts w:asciiTheme="majorHAnsi" w:eastAsiaTheme="majorEastAsia" w:hAnsiTheme="majorHAnsi" w:cstheme="majorBidi"/>
        </w:rPr>
        <w:t>–</w:t>
      </w:r>
      <w:r w:rsidRPr="2CE448A7">
        <w:rPr>
          <w:rFonts w:asciiTheme="majorHAnsi" w:eastAsiaTheme="majorEastAsia" w:hAnsiTheme="majorHAnsi" w:cstheme="majorBidi"/>
        </w:rPr>
        <w:t xml:space="preserve"> effective, efficient</w:t>
      </w:r>
      <w:r w:rsidR="007C65AE" w:rsidRPr="2CE448A7">
        <w:rPr>
          <w:rFonts w:asciiTheme="majorHAnsi" w:eastAsiaTheme="majorEastAsia" w:hAnsiTheme="majorHAnsi" w:cstheme="majorBidi"/>
        </w:rPr>
        <w:t xml:space="preserve">, </w:t>
      </w:r>
      <w:proofErr w:type="gramStart"/>
      <w:r w:rsidR="007C65AE" w:rsidRPr="2CE448A7">
        <w:rPr>
          <w:rFonts w:asciiTheme="majorHAnsi" w:eastAsiaTheme="majorEastAsia" w:hAnsiTheme="majorHAnsi" w:cstheme="majorBidi"/>
        </w:rPr>
        <w:t>safe</w:t>
      </w:r>
      <w:proofErr w:type="gramEnd"/>
      <w:r w:rsidR="007C65AE" w:rsidRPr="2CE448A7">
        <w:rPr>
          <w:rFonts w:asciiTheme="majorHAnsi" w:eastAsiaTheme="majorEastAsia" w:hAnsiTheme="majorHAnsi" w:cstheme="majorBidi"/>
        </w:rPr>
        <w:t xml:space="preserve"> </w:t>
      </w:r>
      <w:r w:rsidRPr="2CE448A7">
        <w:rPr>
          <w:rFonts w:asciiTheme="majorHAnsi" w:eastAsiaTheme="majorEastAsia" w:hAnsiTheme="majorHAnsi" w:cstheme="majorBidi"/>
        </w:rPr>
        <w:t>and appropriate</w:t>
      </w:r>
      <w:r w:rsidR="00B709FA" w:rsidRPr="2CE448A7">
        <w:rPr>
          <w:rFonts w:asciiTheme="majorHAnsi" w:eastAsiaTheme="majorEastAsia" w:hAnsiTheme="majorHAnsi" w:cstheme="majorBidi"/>
        </w:rPr>
        <w:t>.</w:t>
      </w:r>
    </w:p>
    <w:p w14:paraId="3AEB3FE3" w14:textId="640A8E69" w:rsidR="005B04A9" w:rsidRPr="00CD2588" w:rsidRDefault="005B04A9"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b/>
          <w:bCs/>
        </w:rPr>
        <w:t>Affordable</w:t>
      </w:r>
      <w:r w:rsidRPr="2CE448A7">
        <w:rPr>
          <w:rFonts w:asciiTheme="majorHAnsi" w:eastAsiaTheme="majorEastAsia" w:hAnsiTheme="majorHAnsi" w:cstheme="majorBidi"/>
        </w:rPr>
        <w:t xml:space="preserve"> </w:t>
      </w:r>
      <w:r w:rsidR="00B709FA" w:rsidRPr="2CE448A7">
        <w:rPr>
          <w:rFonts w:asciiTheme="majorHAnsi" w:eastAsiaTheme="majorEastAsia" w:hAnsiTheme="majorHAnsi" w:cstheme="majorBidi"/>
        </w:rPr>
        <w:t>–</w:t>
      </w:r>
      <w:r w:rsidRPr="2CE448A7">
        <w:rPr>
          <w:rFonts w:asciiTheme="majorHAnsi" w:eastAsiaTheme="majorEastAsia" w:hAnsiTheme="majorHAnsi" w:cstheme="majorBidi"/>
        </w:rPr>
        <w:t xml:space="preserve"> </w:t>
      </w:r>
      <w:r w:rsidR="00B709FA" w:rsidRPr="2CE448A7">
        <w:rPr>
          <w:rFonts w:asciiTheme="majorHAnsi" w:eastAsiaTheme="majorEastAsia" w:hAnsiTheme="majorHAnsi" w:cstheme="majorBidi"/>
        </w:rPr>
        <w:t>does not cause financial hardship.</w:t>
      </w:r>
    </w:p>
    <w:p w14:paraId="2454F25F" w14:textId="456B9523" w:rsidR="00580C21" w:rsidRPr="00C25B2E" w:rsidRDefault="008114DD"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b/>
          <w:bCs/>
        </w:rPr>
        <w:t>C</w:t>
      </w:r>
      <w:r w:rsidR="0096189E" w:rsidRPr="2CE448A7">
        <w:rPr>
          <w:rFonts w:asciiTheme="majorHAnsi" w:eastAsiaTheme="majorEastAsia" w:hAnsiTheme="majorHAnsi" w:cstheme="majorBidi"/>
          <w:b/>
          <w:bCs/>
        </w:rPr>
        <w:t>apacity</w:t>
      </w:r>
      <w:r w:rsidR="0096189E" w:rsidRPr="2CE448A7">
        <w:rPr>
          <w:rFonts w:asciiTheme="majorHAnsi" w:eastAsiaTheme="majorEastAsia" w:hAnsiTheme="majorHAnsi" w:cstheme="majorBidi"/>
        </w:rPr>
        <w:t xml:space="preserve"> refers to </w:t>
      </w:r>
      <w:r w:rsidR="008E2496" w:rsidRPr="2CE448A7">
        <w:rPr>
          <w:rFonts w:asciiTheme="majorHAnsi" w:eastAsiaTheme="majorEastAsia" w:hAnsiTheme="majorHAnsi" w:cstheme="majorBidi"/>
        </w:rPr>
        <w:t xml:space="preserve">the </w:t>
      </w:r>
      <w:r w:rsidR="0069720B" w:rsidRPr="2CE448A7">
        <w:rPr>
          <w:rFonts w:asciiTheme="majorHAnsi" w:eastAsiaTheme="majorEastAsia" w:hAnsiTheme="majorHAnsi" w:cstheme="majorBidi"/>
        </w:rPr>
        <w:t xml:space="preserve">availability </w:t>
      </w:r>
      <w:r w:rsidR="00DF188D" w:rsidRPr="2CE448A7">
        <w:rPr>
          <w:rFonts w:asciiTheme="majorHAnsi" w:eastAsiaTheme="majorEastAsia" w:hAnsiTheme="majorHAnsi" w:cstheme="majorBidi"/>
        </w:rPr>
        <w:t>of</w:t>
      </w:r>
      <w:r w:rsidR="00160E50" w:rsidRPr="2CE448A7">
        <w:rPr>
          <w:rFonts w:asciiTheme="majorHAnsi" w:eastAsiaTheme="majorEastAsia" w:hAnsiTheme="majorHAnsi" w:cstheme="majorBidi"/>
        </w:rPr>
        <w:t xml:space="preserve">, </w:t>
      </w:r>
      <w:r w:rsidR="00DF188D" w:rsidRPr="2CE448A7">
        <w:rPr>
          <w:rFonts w:asciiTheme="majorHAnsi" w:eastAsiaTheme="majorEastAsia" w:hAnsiTheme="majorHAnsi" w:cstheme="majorBidi"/>
        </w:rPr>
        <w:t>or ability to provide</w:t>
      </w:r>
      <w:r w:rsidR="00D672CD" w:rsidRPr="2CE448A7">
        <w:rPr>
          <w:rFonts w:asciiTheme="majorHAnsi" w:eastAsiaTheme="majorEastAsia" w:hAnsiTheme="majorHAnsi" w:cstheme="majorBidi"/>
        </w:rPr>
        <w:t>,</w:t>
      </w:r>
      <w:r w:rsidR="000B3BE1" w:rsidRPr="2CE448A7">
        <w:rPr>
          <w:rFonts w:asciiTheme="majorHAnsi" w:eastAsiaTheme="majorEastAsia" w:hAnsiTheme="majorHAnsi" w:cstheme="majorBidi"/>
        </w:rPr>
        <w:t xml:space="preserve"> </w:t>
      </w:r>
      <w:r w:rsidR="00A1315A" w:rsidRPr="2CE448A7">
        <w:rPr>
          <w:rFonts w:asciiTheme="majorHAnsi" w:eastAsiaTheme="majorEastAsia" w:hAnsiTheme="majorHAnsi" w:cstheme="majorBidi"/>
        </w:rPr>
        <w:t>health services</w:t>
      </w:r>
      <w:r w:rsidR="00A16EAB" w:rsidRPr="2CE448A7">
        <w:rPr>
          <w:rFonts w:asciiTheme="majorHAnsi" w:eastAsiaTheme="majorEastAsia" w:hAnsiTheme="majorHAnsi" w:cstheme="majorBidi"/>
        </w:rPr>
        <w:t>.</w:t>
      </w:r>
    </w:p>
    <w:p w14:paraId="27F776B8" w14:textId="296EF8B3" w:rsidR="00C4292B" w:rsidRPr="003D173B" w:rsidRDefault="00C4292B" w:rsidP="45E36C57">
      <w:pPr>
        <w:pStyle w:val="Heading2"/>
        <w:rPr>
          <w:rFonts w:asciiTheme="majorHAnsi" w:hAnsiTheme="majorHAnsi" w:cstheme="majorBidi"/>
        </w:rPr>
      </w:pPr>
      <w:r w:rsidRPr="45E36C57">
        <w:rPr>
          <w:rFonts w:asciiTheme="majorHAnsi" w:hAnsiTheme="majorHAnsi" w:cstheme="majorBidi"/>
        </w:rPr>
        <w:t>Scope</w:t>
      </w:r>
    </w:p>
    <w:p w14:paraId="5B9226A4" w14:textId="77777777" w:rsidR="00C4292B" w:rsidRPr="001A3142" w:rsidRDefault="00C4292B" w:rsidP="2CE448A7">
      <w:pPr>
        <w:pStyle w:val="Heading2"/>
        <w:rPr>
          <w:rStyle w:val="IntenseEmphasis"/>
          <w:rFonts w:asciiTheme="majorHAnsi" w:hAnsiTheme="majorHAnsi" w:cstheme="majorBidi"/>
          <w:b/>
          <w:bCs/>
          <w:sz w:val="22"/>
          <w:szCs w:val="22"/>
        </w:rPr>
      </w:pPr>
      <w:r w:rsidRPr="2CE448A7">
        <w:rPr>
          <w:rStyle w:val="IntenseEmphasis"/>
          <w:rFonts w:asciiTheme="majorHAnsi" w:hAnsiTheme="majorHAnsi" w:cstheme="majorBidi"/>
          <w:b/>
          <w:bCs/>
          <w:sz w:val="22"/>
          <w:szCs w:val="22"/>
        </w:rPr>
        <w:t>Includes:</w:t>
      </w:r>
    </w:p>
    <w:p w14:paraId="654E04E8" w14:textId="1D2CBEB1" w:rsidR="0085446A" w:rsidRPr="00C25B2E" w:rsidRDefault="00453E9A" w:rsidP="2CE448A7">
      <w:pPr>
        <w:pStyle w:val="BodyText"/>
        <w:rPr>
          <w:rFonts w:asciiTheme="majorHAnsi" w:eastAsiaTheme="majorEastAsia" w:hAnsiTheme="majorHAnsi" w:cstheme="majorBidi"/>
        </w:rPr>
      </w:pPr>
      <w:r w:rsidRPr="2CE448A7">
        <w:rPr>
          <w:rFonts w:asciiTheme="majorHAnsi" w:eastAsiaTheme="majorEastAsia" w:hAnsiTheme="majorHAnsi" w:cstheme="majorBidi"/>
        </w:rPr>
        <w:t>Qualitative examples of Australia</w:t>
      </w:r>
      <w:r w:rsidR="00D672CD" w:rsidRPr="2CE448A7">
        <w:rPr>
          <w:rFonts w:asciiTheme="majorHAnsi" w:eastAsiaTheme="majorEastAsia" w:hAnsiTheme="majorHAnsi" w:cstheme="majorBidi"/>
        </w:rPr>
        <w:t>n support</w:t>
      </w:r>
      <w:r w:rsidRPr="2CE448A7">
        <w:rPr>
          <w:rFonts w:asciiTheme="majorHAnsi" w:eastAsiaTheme="majorEastAsia" w:hAnsiTheme="majorHAnsi" w:cstheme="majorBidi"/>
        </w:rPr>
        <w:t xml:space="preserve"> improving health systems capacity as defined above. Examples might include</w:t>
      </w:r>
      <w:r w:rsidR="0085446A" w:rsidRPr="2CE448A7">
        <w:rPr>
          <w:rFonts w:asciiTheme="majorHAnsi" w:eastAsiaTheme="majorEastAsia" w:hAnsiTheme="majorHAnsi" w:cstheme="majorBidi"/>
        </w:rPr>
        <w:t xml:space="preserve"> a</w:t>
      </w:r>
      <w:r w:rsidR="00F81762" w:rsidRPr="2CE448A7">
        <w:rPr>
          <w:rFonts w:asciiTheme="majorHAnsi" w:eastAsiaTheme="majorEastAsia" w:hAnsiTheme="majorHAnsi" w:cstheme="majorBidi"/>
        </w:rPr>
        <w:t>ctivities that</w:t>
      </w:r>
      <w:r w:rsidR="0085446A" w:rsidRPr="2CE448A7">
        <w:rPr>
          <w:rFonts w:asciiTheme="majorHAnsi" w:eastAsiaTheme="majorEastAsia" w:hAnsiTheme="majorHAnsi" w:cstheme="majorBidi"/>
        </w:rPr>
        <w:t>:</w:t>
      </w:r>
    </w:p>
    <w:p w14:paraId="6AEEE68A" w14:textId="472E25C3" w:rsidR="00943BF1" w:rsidRPr="00C25B2E" w:rsidRDefault="00F81762" w:rsidP="2CE448A7">
      <w:pPr>
        <w:pStyle w:val="BodyText"/>
        <w:numPr>
          <w:ilvl w:val="0"/>
          <w:numId w:val="13"/>
        </w:numPr>
        <w:rPr>
          <w:rFonts w:asciiTheme="majorHAnsi" w:eastAsiaTheme="majorEastAsia" w:hAnsiTheme="majorHAnsi" w:cstheme="majorBidi"/>
        </w:rPr>
      </w:pPr>
      <w:bookmarkStart w:id="1" w:name="_Hlk142401329"/>
      <w:r w:rsidRPr="2CE448A7">
        <w:rPr>
          <w:rFonts w:asciiTheme="majorHAnsi" w:eastAsiaTheme="majorEastAsia" w:hAnsiTheme="majorHAnsi" w:cstheme="majorBidi"/>
        </w:rPr>
        <w:t xml:space="preserve">improve </w:t>
      </w:r>
      <w:r w:rsidR="00220F52" w:rsidRPr="2CE448A7">
        <w:rPr>
          <w:rFonts w:asciiTheme="majorHAnsi" w:eastAsiaTheme="majorEastAsia" w:hAnsiTheme="majorHAnsi" w:cstheme="majorBidi"/>
        </w:rPr>
        <w:t>availability</w:t>
      </w:r>
      <w:r w:rsidR="007C65AE" w:rsidRPr="2CE448A7">
        <w:rPr>
          <w:rFonts w:asciiTheme="majorHAnsi" w:eastAsiaTheme="majorEastAsia" w:hAnsiTheme="majorHAnsi" w:cstheme="majorBidi"/>
        </w:rPr>
        <w:t xml:space="preserve"> and quality</w:t>
      </w:r>
      <w:r w:rsidR="00220F52" w:rsidRPr="2CE448A7">
        <w:rPr>
          <w:rFonts w:asciiTheme="majorHAnsi" w:eastAsiaTheme="majorEastAsia" w:hAnsiTheme="majorHAnsi" w:cstheme="majorBidi"/>
        </w:rPr>
        <w:t xml:space="preserve"> of</w:t>
      </w:r>
      <w:r w:rsidR="00AA0D6A" w:rsidRPr="2CE448A7">
        <w:rPr>
          <w:rFonts w:asciiTheme="majorHAnsi" w:eastAsiaTheme="majorEastAsia" w:hAnsiTheme="majorHAnsi" w:cstheme="majorBidi"/>
        </w:rPr>
        <w:t xml:space="preserve"> </w:t>
      </w:r>
      <w:r w:rsidR="005027AD" w:rsidRPr="2CE448A7">
        <w:rPr>
          <w:rFonts w:asciiTheme="majorHAnsi" w:eastAsiaTheme="majorEastAsia" w:hAnsiTheme="majorHAnsi" w:cstheme="majorBidi"/>
        </w:rPr>
        <w:t xml:space="preserve">health </w:t>
      </w:r>
      <w:r w:rsidRPr="2CE448A7">
        <w:rPr>
          <w:rFonts w:asciiTheme="majorHAnsi" w:eastAsiaTheme="majorEastAsia" w:hAnsiTheme="majorHAnsi" w:cstheme="majorBidi"/>
        </w:rPr>
        <w:t>services such as</w:t>
      </w:r>
      <w:r w:rsidR="00AA2044" w:rsidRPr="2CE448A7">
        <w:rPr>
          <w:rFonts w:asciiTheme="majorHAnsi" w:eastAsiaTheme="majorEastAsia" w:hAnsiTheme="majorHAnsi" w:cstheme="majorBidi"/>
        </w:rPr>
        <w:t>:</w:t>
      </w:r>
    </w:p>
    <w:p w14:paraId="3EE85374" w14:textId="5EE87B34" w:rsidR="00F015F8" w:rsidRPr="00F015F8" w:rsidRDefault="0057117D" w:rsidP="2CE448A7">
      <w:pPr>
        <w:pStyle w:val="ListParagraph"/>
        <w:numPr>
          <w:ilvl w:val="0"/>
          <w:numId w:val="2"/>
        </w:numPr>
        <w:rPr>
          <w:rFonts w:asciiTheme="majorHAnsi" w:eastAsiaTheme="majorEastAsia" w:hAnsiTheme="majorHAnsi" w:cstheme="majorBidi"/>
          <w:color w:val="44546A" w:themeColor="text2"/>
          <w:lang w:val="en-GB"/>
        </w:rPr>
      </w:pPr>
      <w:r w:rsidRPr="2CE448A7">
        <w:rPr>
          <w:rFonts w:asciiTheme="majorHAnsi" w:eastAsiaTheme="majorEastAsia" w:hAnsiTheme="majorHAnsi" w:cstheme="majorBidi"/>
          <w:color w:val="44546A" w:themeColor="text2"/>
          <w:lang w:val="en-GB"/>
        </w:rPr>
        <w:t>Provision of health services</w:t>
      </w:r>
    </w:p>
    <w:bookmarkEnd w:id="1"/>
    <w:p w14:paraId="52ED6826" w14:textId="18FBE011" w:rsidR="00943BF1" w:rsidRPr="00CA27E5" w:rsidRDefault="0080353D"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 xml:space="preserve">provision of </w:t>
      </w:r>
      <w:r w:rsidR="00A660E9" w:rsidRPr="2CE448A7">
        <w:rPr>
          <w:rFonts w:asciiTheme="majorHAnsi" w:eastAsiaTheme="majorEastAsia" w:hAnsiTheme="majorHAnsi" w:cstheme="majorBidi"/>
        </w:rPr>
        <w:t xml:space="preserve">training </w:t>
      </w:r>
      <w:r w:rsidR="00D87CB6" w:rsidRPr="2CE448A7">
        <w:rPr>
          <w:rFonts w:asciiTheme="majorHAnsi" w:eastAsiaTheme="majorEastAsia" w:hAnsiTheme="majorHAnsi" w:cstheme="majorBidi"/>
        </w:rPr>
        <w:t xml:space="preserve">and professional development </w:t>
      </w:r>
      <w:r w:rsidR="00A660E9" w:rsidRPr="2CE448A7">
        <w:rPr>
          <w:rFonts w:asciiTheme="majorHAnsi" w:eastAsiaTheme="majorEastAsia" w:hAnsiTheme="majorHAnsi" w:cstheme="majorBidi"/>
        </w:rPr>
        <w:t>programs</w:t>
      </w:r>
    </w:p>
    <w:p w14:paraId="2E59CAA7" w14:textId="7A5AE768" w:rsidR="00943BF1" w:rsidRPr="00CA27E5" w:rsidRDefault="0080353D"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 xml:space="preserve">provision of </w:t>
      </w:r>
      <w:r w:rsidR="00230FB2" w:rsidRPr="2CE448A7">
        <w:rPr>
          <w:rFonts w:asciiTheme="majorHAnsi" w:eastAsiaTheme="majorEastAsia" w:hAnsiTheme="majorHAnsi" w:cstheme="majorBidi"/>
        </w:rPr>
        <w:t xml:space="preserve">specialist </w:t>
      </w:r>
      <w:r w:rsidR="005076C3" w:rsidRPr="2CE448A7">
        <w:rPr>
          <w:rFonts w:asciiTheme="majorHAnsi" w:eastAsiaTheme="majorEastAsia" w:hAnsiTheme="majorHAnsi" w:cstheme="majorBidi"/>
        </w:rPr>
        <w:t>technical assistance</w:t>
      </w:r>
    </w:p>
    <w:p w14:paraId="07DB20FC" w14:textId="2B92FC16" w:rsidR="00784C49" w:rsidRPr="00CA27E5" w:rsidRDefault="000C7210"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provision and installation of</w:t>
      </w:r>
      <w:r w:rsidR="00F4652C" w:rsidRPr="2CE448A7">
        <w:rPr>
          <w:rFonts w:asciiTheme="majorHAnsi" w:eastAsiaTheme="majorEastAsia" w:hAnsiTheme="majorHAnsi" w:cstheme="majorBidi"/>
        </w:rPr>
        <w:t xml:space="preserve"> </w:t>
      </w:r>
      <w:r w:rsidR="00DF7B78" w:rsidRPr="2CE448A7">
        <w:rPr>
          <w:rFonts w:asciiTheme="majorHAnsi" w:eastAsiaTheme="majorEastAsia" w:hAnsiTheme="majorHAnsi" w:cstheme="majorBidi"/>
        </w:rPr>
        <w:t xml:space="preserve">health </w:t>
      </w:r>
      <w:r w:rsidR="001226F0" w:rsidRPr="2CE448A7">
        <w:rPr>
          <w:rFonts w:asciiTheme="majorHAnsi" w:eastAsiaTheme="majorEastAsia" w:hAnsiTheme="majorHAnsi" w:cstheme="majorBidi"/>
        </w:rPr>
        <w:t>information</w:t>
      </w:r>
      <w:r w:rsidR="00DF7B78" w:rsidRPr="2CE448A7">
        <w:rPr>
          <w:rFonts w:asciiTheme="majorHAnsi" w:eastAsiaTheme="majorEastAsia" w:hAnsiTheme="majorHAnsi" w:cstheme="majorBidi"/>
        </w:rPr>
        <w:t xml:space="preserve"> systems</w:t>
      </w:r>
      <w:r w:rsidR="00F4652C" w:rsidRPr="2CE448A7">
        <w:rPr>
          <w:rFonts w:asciiTheme="majorHAnsi" w:eastAsiaTheme="majorEastAsia" w:hAnsiTheme="majorHAnsi" w:cstheme="majorBidi"/>
        </w:rPr>
        <w:t>/I</w:t>
      </w:r>
      <w:r w:rsidR="00B37146" w:rsidRPr="2CE448A7">
        <w:rPr>
          <w:rFonts w:asciiTheme="majorHAnsi" w:eastAsiaTheme="majorEastAsia" w:hAnsiTheme="majorHAnsi" w:cstheme="majorBidi"/>
        </w:rPr>
        <w:t>T equipment</w:t>
      </w:r>
    </w:p>
    <w:p w14:paraId="3A6E3EBD" w14:textId="78737D96" w:rsidR="00B37146" w:rsidRPr="00CA27E5" w:rsidRDefault="00B37146"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 xml:space="preserve">provision of health equipment and </w:t>
      </w:r>
      <w:r w:rsidR="008D104A" w:rsidRPr="2CE448A7">
        <w:rPr>
          <w:rFonts w:asciiTheme="majorHAnsi" w:eastAsiaTheme="majorEastAsia" w:hAnsiTheme="majorHAnsi" w:cstheme="majorBidi"/>
        </w:rPr>
        <w:t xml:space="preserve">commodities </w:t>
      </w:r>
    </w:p>
    <w:p w14:paraId="0418BEA1" w14:textId="498A2FDC" w:rsidR="00745D74" w:rsidRPr="00CA27E5" w:rsidRDefault="00F4652C"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 xml:space="preserve">building </w:t>
      </w:r>
      <w:r w:rsidR="002C2E82" w:rsidRPr="2CE448A7">
        <w:rPr>
          <w:rFonts w:asciiTheme="majorHAnsi" w:eastAsiaTheme="majorEastAsia" w:hAnsiTheme="majorHAnsi" w:cstheme="majorBidi"/>
        </w:rPr>
        <w:t xml:space="preserve">or renovation of </w:t>
      </w:r>
      <w:r w:rsidRPr="2CE448A7">
        <w:rPr>
          <w:rFonts w:asciiTheme="majorHAnsi" w:eastAsiaTheme="majorEastAsia" w:hAnsiTheme="majorHAnsi" w:cstheme="majorBidi"/>
        </w:rPr>
        <w:t xml:space="preserve">health </w:t>
      </w:r>
      <w:r w:rsidR="001226F0" w:rsidRPr="2CE448A7">
        <w:rPr>
          <w:rFonts w:asciiTheme="majorHAnsi" w:eastAsiaTheme="majorEastAsia" w:hAnsiTheme="majorHAnsi" w:cstheme="majorBidi"/>
        </w:rPr>
        <w:t>infrastructure</w:t>
      </w:r>
      <w:r w:rsidR="009935AE" w:rsidRPr="2CE448A7">
        <w:rPr>
          <w:rFonts w:asciiTheme="majorHAnsi" w:eastAsiaTheme="majorEastAsia" w:hAnsiTheme="majorHAnsi" w:cstheme="majorBidi"/>
        </w:rPr>
        <w:t xml:space="preserve"> (including t</w:t>
      </w:r>
      <w:r w:rsidR="00A02871" w:rsidRPr="2CE448A7">
        <w:rPr>
          <w:rFonts w:asciiTheme="majorHAnsi" w:eastAsiaTheme="majorEastAsia" w:hAnsiTheme="majorHAnsi" w:cstheme="majorBidi"/>
        </w:rPr>
        <w:t>o improve accessibility of infrastructure)</w:t>
      </w:r>
    </w:p>
    <w:p w14:paraId="671D9629" w14:textId="2F573D5B" w:rsidR="004E2CBE" w:rsidRPr="00CA27E5" w:rsidRDefault="004E2CBE" w:rsidP="2CE448A7">
      <w:pPr>
        <w:pStyle w:val="BodyText"/>
        <w:numPr>
          <w:ilvl w:val="0"/>
          <w:numId w:val="2"/>
        </w:numPr>
        <w:rPr>
          <w:rFonts w:asciiTheme="majorHAnsi" w:eastAsiaTheme="majorEastAsia" w:hAnsiTheme="majorHAnsi" w:cstheme="majorBidi"/>
        </w:rPr>
      </w:pPr>
      <w:r w:rsidRPr="2CE448A7">
        <w:rPr>
          <w:rFonts w:asciiTheme="majorHAnsi" w:eastAsiaTheme="majorEastAsia" w:hAnsiTheme="majorHAnsi" w:cstheme="majorBidi"/>
        </w:rPr>
        <w:t>development of new</w:t>
      </w:r>
      <w:r w:rsidR="00CF30B7" w:rsidRPr="2CE448A7">
        <w:rPr>
          <w:rFonts w:asciiTheme="majorHAnsi" w:eastAsiaTheme="majorEastAsia" w:hAnsiTheme="majorHAnsi" w:cstheme="majorBidi"/>
        </w:rPr>
        <w:t>/improved</w:t>
      </w:r>
      <w:r w:rsidRPr="2CE448A7">
        <w:rPr>
          <w:rFonts w:asciiTheme="majorHAnsi" w:eastAsiaTheme="majorEastAsia" w:hAnsiTheme="majorHAnsi" w:cstheme="majorBidi"/>
        </w:rPr>
        <w:t xml:space="preserve"> medicines/therapeutics, diagnostics, vaccines, and other health commodities </w:t>
      </w:r>
    </w:p>
    <w:p w14:paraId="3D73D443" w14:textId="2D9A6949" w:rsidR="0085446A" w:rsidRPr="00992F2A" w:rsidRDefault="00D053C0" w:rsidP="2CE448A7">
      <w:pPr>
        <w:pStyle w:val="BodyText"/>
        <w:numPr>
          <w:ilvl w:val="0"/>
          <w:numId w:val="13"/>
        </w:numPr>
        <w:rPr>
          <w:rFonts w:asciiTheme="majorHAnsi" w:eastAsiaTheme="majorEastAsia" w:hAnsiTheme="majorHAnsi" w:cstheme="majorBidi"/>
        </w:rPr>
      </w:pPr>
      <w:r w:rsidRPr="2CE448A7">
        <w:rPr>
          <w:rFonts w:asciiTheme="majorHAnsi" w:eastAsiaTheme="majorEastAsia" w:hAnsiTheme="majorHAnsi" w:cstheme="majorBidi"/>
        </w:rPr>
        <w:t>s</w:t>
      </w:r>
      <w:r w:rsidR="0085446A" w:rsidRPr="2CE448A7">
        <w:rPr>
          <w:rFonts w:asciiTheme="majorHAnsi" w:eastAsiaTheme="majorEastAsia" w:hAnsiTheme="majorHAnsi" w:cstheme="majorBidi"/>
        </w:rPr>
        <w:t>trengthen</w:t>
      </w:r>
      <w:r w:rsidR="00220F52" w:rsidRPr="2CE448A7">
        <w:rPr>
          <w:rFonts w:asciiTheme="majorHAnsi" w:eastAsiaTheme="majorEastAsia" w:hAnsiTheme="majorHAnsi" w:cstheme="majorBidi"/>
        </w:rPr>
        <w:t xml:space="preserve"> the operation </w:t>
      </w:r>
      <w:r w:rsidR="00681998" w:rsidRPr="2CE448A7">
        <w:rPr>
          <w:rFonts w:asciiTheme="majorHAnsi" w:eastAsiaTheme="majorEastAsia" w:hAnsiTheme="majorHAnsi" w:cstheme="majorBidi"/>
        </w:rPr>
        <w:t>and resilience of</w:t>
      </w:r>
      <w:r w:rsidR="0085446A" w:rsidRPr="2CE448A7">
        <w:rPr>
          <w:rFonts w:asciiTheme="majorHAnsi" w:eastAsiaTheme="majorEastAsia" w:hAnsiTheme="majorHAnsi" w:cstheme="majorBidi"/>
        </w:rPr>
        <w:t xml:space="preserve"> health systems </w:t>
      </w:r>
      <w:r w:rsidR="00D3034C" w:rsidRPr="2CE448A7">
        <w:rPr>
          <w:rFonts w:asciiTheme="majorHAnsi" w:eastAsiaTheme="majorEastAsia" w:hAnsiTheme="majorHAnsi" w:cstheme="majorBidi"/>
        </w:rPr>
        <w:t>such as</w:t>
      </w:r>
      <w:r w:rsidR="00FF501F" w:rsidRPr="2CE448A7">
        <w:rPr>
          <w:rFonts w:asciiTheme="majorHAnsi" w:eastAsiaTheme="majorEastAsia" w:hAnsiTheme="majorHAnsi" w:cstheme="majorBidi"/>
        </w:rPr>
        <w:t>:</w:t>
      </w:r>
    </w:p>
    <w:p w14:paraId="4CC4DDE4" w14:textId="1D1F16B8" w:rsidR="00D87CB6" w:rsidRPr="00CA27E5" w:rsidRDefault="00D87CB6"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lastRenderedPageBreak/>
        <w:t>improving financing and budget</w:t>
      </w:r>
      <w:r w:rsidR="00F77988" w:rsidRPr="2CE448A7">
        <w:rPr>
          <w:rFonts w:asciiTheme="majorHAnsi" w:eastAsiaTheme="majorEastAsia" w:hAnsiTheme="majorHAnsi" w:cstheme="majorBidi"/>
        </w:rPr>
        <w:t>/resource</w:t>
      </w:r>
      <w:r w:rsidRPr="2CE448A7">
        <w:rPr>
          <w:rFonts w:asciiTheme="majorHAnsi" w:eastAsiaTheme="majorEastAsia" w:hAnsiTheme="majorHAnsi" w:cstheme="majorBidi"/>
        </w:rPr>
        <w:t xml:space="preserve"> management</w:t>
      </w:r>
      <w:r w:rsidR="00F77988" w:rsidRPr="2CE448A7">
        <w:rPr>
          <w:rFonts w:asciiTheme="majorHAnsi" w:eastAsiaTheme="majorEastAsia" w:hAnsiTheme="majorHAnsi" w:cstheme="majorBidi"/>
        </w:rPr>
        <w:t xml:space="preserve"> </w:t>
      </w:r>
    </w:p>
    <w:p w14:paraId="0336D9B3" w14:textId="6B8309E2" w:rsidR="0085446A" w:rsidRPr="00CA27E5" w:rsidRDefault="001226F0"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s</w:t>
      </w:r>
      <w:r w:rsidR="00AA262C" w:rsidRPr="2CE448A7">
        <w:rPr>
          <w:rFonts w:asciiTheme="majorHAnsi" w:eastAsiaTheme="majorEastAsia" w:hAnsiTheme="majorHAnsi" w:cstheme="majorBidi"/>
        </w:rPr>
        <w:t>trengthening models</w:t>
      </w:r>
      <w:r w:rsidR="00531607" w:rsidRPr="2CE448A7">
        <w:rPr>
          <w:rFonts w:asciiTheme="majorHAnsi" w:eastAsiaTheme="majorEastAsia" w:hAnsiTheme="majorHAnsi" w:cstheme="majorBidi"/>
        </w:rPr>
        <w:t xml:space="preserve">/approaches </w:t>
      </w:r>
      <w:r w:rsidR="00AA262C" w:rsidRPr="2CE448A7">
        <w:rPr>
          <w:rFonts w:asciiTheme="majorHAnsi" w:eastAsiaTheme="majorEastAsia" w:hAnsiTheme="majorHAnsi" w:cstheme="majorBidi"/>
        </w:rPr>
        <w:t>of service delivery</w:t>
      </w:r>
      <w:r w:rsidR="00FF501F" w:rsidRPr="2CE448A7">
        <w:rPr>
          <w:rFonts w:asciiTheme="majorHAnsi" w:eastAsiaTheme="majorEastAsia" w:hAnsiTheme="majorHAnsi" w:cstheme="majorBidi"/>
        </w:rPr>
        <w:t xml:space="preserve"> </w:t>
      </w:r>
    </w:p>
    <w:p w14:paraId="35283E1D" w14:textId="77777777" w:rsidR="0085446A" w:rsidRPr="00CA27E5" w:rsidRDefault="001226F0"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i</w:t>
      </w:r>
      <w:r w:rsidR="00AA262C" w:rsidRPr="2CE448A7">
        <w:rPr>
          <w:rFonts w:asciiTheme="majorHAnsi" w:eastAsiaTheme="majorEastAsia" w:hAnsiTheme="majorHAnsi" w:cstheme="majorBidi"/>
        </w:rPr>
        <w:t>ntroducing systems for routine assessment of quality of care</w:t>
      </w:r>
    </w:p>
    <w:p w14:paraId="26FC55E7" w14:textId="17CB74ED" w:rsidR="0085446A" w:rsidRPr="00CA27E5" w:rsidRDefault="00A309C5"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 xml:space="preserve">strengthening policy </w:t>
      </w:r>
      <w:r w:rsidR="008E3D4C" w:rsidRPr="2CE448A7">
        <w:rPr>
          <w:rFonts w:asciiTheme="majorHAnsi" w:eastAsiaTheme="majorEastAsia" w:hAnsiTheme="majorHAnsi" w:cstheme="majorBidi"/>
        </w:rPr>
        <w:t xml:space="preserve">and regulatory </w:t>
      </w:r>
      <w:r w:rsidRPr="2CE448A7">
        <w:rPr>
          <w:rFonts w:asciiTheme="majorHAnsi" w:eastAsiaTheme="majorEastAsia" w:hAnsiTheme="majorHAnsi" w:cstheme="majorBidi"/>
        </w:rPr>
        <w:t>framework</w:t>
      </w:r>
      <w:r w:rsidR="00DF7B78" w:rsidRPr="2CE448A7">
        <w:rPr>
          <w:rFonts w:asciiTheme="majorHAnsi" w:eastAsiaTheme="majorEastAsia" w:hAnsiTheme="majorHAnsi" w:cstheme="majorBidi"/>
        </w:rPr>
        <w:t>s</w:t>
      </w:r>
      <w:r w:rsidR="005C5F05" w:rsidRPr="2CE448A7">
        <w:rPr>
          <w:rFonts w:asciiTheme="majorHAnsi" w:eastAsiaTheme="majorEastAsia" w:hAnsiTheme="majorHAnsi" w:cstheme="majorBidi"/>
        </w:rPr>
        <w:t xml:space="preserve"> including for prevention of non-communicable diseases</w:t>
      </w:r>
    </w:p>
    <w:p w14:paraId="4EE4D9EF" w14:textId="77777777" w:rsidR="0085446A" w:rsidRPr="00CA27E5" w:rsidRDefault="0068041E"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s</w:t>
      </w:r>
      <w:r w:rsidR="00AA262C" w:rsidRPr="2CE448A7">
        <w:rPr>
          <w:rFonts w:asciiTheme="majorHAnsi" w:eastAsiaTheme="majorEastAsia" w:hAnsiTheme="majorHAnsi" w:cstheme="majorBidi"/>
        </w:rPr>
        <w:t>trengthening the alignment of domestic legislation, policies and/or administrative arrangements with international health standards</w:t>
      </w:r>
    </w:p>
    <w:p w14:paraId="25CF4AB3" w14:textId="39E4F3EF" w:rsidR="0085446A" w:rsidRPr="00CA27E5" w:rsidRDefault="0068041E"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improving</w:t>
      </w:r>
      <w:r w:rsidR="00AA262C" w:rsidRPr="2CE448A7">
        <w:rPr>
          <w:rFonts w:asciiTheme="majorHAnsi" w:eastAsiaTheme="majorEastAsia" w:hAnsiTheme="majorHAnsi" w:cstheme="majorBidi"/>
        </w:rPr>
        <w:t xml:space="preserve"> the generation and use of evidence (for example research and health information system data</w:t>
      </w:r>
      <w:r w:rsidR="007C6952" w:rsidRPr="2CE448A7">
        <w:rPr>
          <w:rFonts w:asciiTheme="majorHAnsi" w:eastAsiaTheme="majorEastAsia" w:hAnsiTheme="majorHAnsi" w:cstheme="majorBidi"/>
        </w:rPr>
        <w:t>, disease surveillance systems</w:t>
      </w:r>
      <w:r w:rsidR="00AA262C" w:rsidRPr="2CE448A7">
        <w:rPr>
          <w:rFonts w:asciiTheme="majorHAnsi" w:eastAsiaTheme="majorEastAsia" w:hAnsiTheme="majorHAnsi" w:cstheme="majorBidi"/>
        </w:rPr>
        <w:t>) for policy and decision making</w:t>
      </w:r>
    </w:p>
    <w:p w14:paraId="01EBF256" w14:textId="5C908FF8" w:rsidR="00AA262C" w:rsidRPr="00CA27E5" w:rsidRDefault="00A309C5" w:rsidP="2CE448A7">
      <w:pPr>
        <w:pStyle w:val="BodyText"/>
        <w:numPr>
          <w:ilvl w:val="0"/>
          <w:numId w:val="1"/>
        </w:numPr>
        <w:rPr>
          <w:rFonts w:asciiTheme="majorHAnsi" w:eastAsiaTheme="majorEastAsia" w:hAnsiTheme="majorHAnsi" w:cstheme="majorBidi"/>
        </w:rPr>
      </w:pPr>
      <w:r w:rsidRPr="2CE448A7">
        <w:rPr>
          <w:rFonts w:asciiTheme="majorHAnsi" w:eastAsiaTheme="majorEastAsia" w:hAnsiTheme="majorHAnsi" w:cstheme="majorBidi"/>
        </w:rPr>
        <w:t>i</w:t>
      </w:r>
      <w:r w:rsidR="00AA262C" w:rsidRPr="2CE448A7">
        <w:rPr>
          <w:rFonts w:asciiTheme="majorHAnsi" w:eastAsiaTheme="majorEastAsia" w:hAnsiTheme="majorHAnsi" w:cstheme="majorBidi"/>
        </w:rPr>
        <w:t xml:space="preserve">mproving </w:t>
      </w:r>
      <w:r w:rsidR="007C6952" w:rsidRPr="2CE448A7">
        <w:rPr>
          <w:rFonts w:asciiTheme="majorHAnsi" w:eastAsiaTheme="majorEastAsia" w:hAnsiTheme="majorHAnsi" w:cstheme="majorBidi"/>
        </w:rPr>
        <w:t xml:space="preserve">procurement </w:t>
      </w:r>
      <w:r w:rsidR="008E3D4C" w:rsidRPr="2CE448A7">
        <w:rPr>
          <w:rFonts w:asciiTheme="majorHAnsi" w:eastAsiaTheme="majorEastAsia" w:hAnsiTheme="majorHAnsi" w:cstheme="majorBidi"/>
        </w:rPr>
        <w:t xml:space="preserve">forecasting </w:t>
      </w:r>
      <w:r w:rsidR="007C6952" w:rsidRPr="2CE448A7">
        <w:rPr>
          <w:rFonts w:asciiTheme="majorHAnsi" w:eastAsiaTheme="majorEastAsia" w:hAnsiTheme="majorHAnsi" w:cstheme="majorBidi"/>
        </w:rPr>
        <w:t xml:space="preserve">and </w:t>
      </w:r>
      <w:r w:rsidR="00AA262C" w:rsidRPr="2CE448A7">
        <w:rPr>
          <w:rFonts w:asciiTheme="majorHAnsi" w:eastAsiaTheme="majorEastAsia" w:hAnsiTheme="majorHAnsi" w:cstheme="majorBidi"/>
        </w:rPr>
        <w:t xml:space="preserve">distribution systems for </w:t>
      </w:r>
      <w:r w:rsidR="00310665" w:rsidRPr="2CE448A7">
        <w:rPr>
          <w:rFonts w:asciiTheme="majorHAnsi" w:eastAsiaTheme="majorEastAsia" w:hAnsiTheme="majorHAnsi" w:cstheme="majorBidi"/>
        </w:rPr>
        <w:t>health commodities</w:t>
      </w:r>
      <w:r w:rsidR="00AA262C" w:rsidRPr="2CE448A7">
        <w:rPr>
          <w:rFonts w:asciiTheme="majorHAnsi" w:eastAsiaTheme="majorEastAsia" w:hAnsiTheme="majorHAnsi" w:cstheme="majorBidi"/>
        </w:rPr>
        <w:t>.</w:t>
      </w:r>
    </w:p>
    <w:p w14:paraId="34953A88" w14:textId="77777777" w:rsidR="00C4292B" w:rsidRPr="001A3142" w:rsidRDefault="00C4292B" w:rsidP="2CE448A7">
      <w:pPr>
        <w:pStyle w:val="Heading2"/>
        <w:jc w:val="both"/>
        <w:rPr>
          <w:rStyle w:val="IntenseEmphasis"/>
          <w:rFonts w:asciiTheme="majorHAnsi" w:hAnsiTheme="majorHAnsi" w:cstheme="majorBidi"/>
          <w:b/>
          <w:bCs/>
          <w:sz w:val="22"/>
          <w:szCs w:val="22"/>
        </w:rPr>
      </w:pPr>
      <w:r w:rsidRPr="2CE448A7">
        <w:rPr>
          <w:rStyle w:val="IntenseEmphasis"/>
          <w:rFonts w:asciiTheme="majorHAnsi" w:hAnsiTheme="majorHAnsi" w:cstheme="majorBidi"/>
          <w:b/>
          <w:bCs/>
          <w:sz w:val="22"/>
          <w:szCs w:val="22"/>
        </w:rPr>
        <w:t>Excludes:</w:t>
      </w:r>
    </w:p>
    <w:p w14:paraId="617BF8D4" w14:textId="76A50FD6" w:rsidR="00CA27E5" w:rsidRPr="00CA27E5" w:rsidRDefault="00CA27E5" w:rsidP="2CE448A7">
      <w:pPr>
        <w:pStyle w:val="BodyText"/>
        <w:numPr>
          <w:ilvl w:val="0"/>
          <w:numId w:val="13"/>
        </w:numPr>
        <w:jc w:val="both"/>
        <w:rPr>
          <w:rFonts w:asciiTheme="majorHAnsi" w:eastAsiaTheme="majorEastAsia" w:hAnsiTheme="majorHAnsi" w:cstheme="majorBidi"/>
        </w:rPr>
      </w:pPr>
      <w:r w:rsidRPr="2CE448A7">
        <w:rPr>
          <w:rFonts w:asciiTheme="majorHAnsi" w:eastAsiaTheme="majorEastAsia" w:hAnsiTheme="majorHAnsi" w:cstheme="majorBidi"/>
        </w:rPr>
        <w:t xml:space="preserve">Investment managers should consider whether reporting under the </w:t>
      </w:r>
      <w:r w:rsidRPr="2CE448A7">
        <w:rPr>
          <w:rFonts w:asciiTheme="majorHAnsi" w:eastAsiaTheme="majorEastAsia" w:hAnsiTheme="majorHAnsi" w:cstheme="majorBidi"/>
          <w:i/>
          <w:iCs/>
        </w:rPr>
        <w:t xml:space="preserve">Communicable Disease Threats </w:t>
      </w:r>
      <w:r w:rsidRPr="2CE448A7">
        <w:rPr>
          <w:rFonts w:asciiTheme="majorHAnsi" w:eastAsiaTheme="majorEastAsia" w:hAnsiTheme="majorHAnsi" w:cstheme="majorBidi"/>
        </w:rPr>
        <w:t>indicator is more appropriate.</w:t>
      </w:r>
    </w:p>
    <w:p w14:paraId="5BF34035" w14:textId="13954B71" w:rsidR="00C4292B" w:rsidRPr="00CA27E5" w:rsidRDefault="0037278C" w:rsidP="2CE448A7">
      <w:pPr>
        <w:pStyle w:val="BodyText"/>
        <w:numPr>
          <w:ilvl w:val="0"/>
          <w:numId w:val="13"/>
        </w:numPr>
        <w:jc w:val="both"/>
        <w:rPr>
          <w:rFonts w:asciiTheme="majorHAnsi" w:eastAsiaTheme="majorEastAsia" w:hAnsiTheme="majorHAnsi" w:cstheme="majorBidi"/>
        </w:rPr>
      </w:pPr>
      <w:r w:rsidRPr="2CE448A7">
        <w:rPr>
          <w:rFonts w:asciiTheme="majorHAnsi" w:eastAsiaTheme="majorEastAsia" w:hAnsiTheme="majorHAnsi" w:cstheme="majorBidi"/>
        </w:rPr>
        <w:t xml:space="preserve">While some investment activities may be reported under multiple indicators, examples </w:t>
      </w:r>
      <w:r w:rsidR="00DF7678" w:rsidRPr="2CE448A7">
        <w:rPr>
          <w:rFonts w:asciiTheme="majorHAnsi" w:eastAsiaTheme="majorEastAsia" w:hAnsiTheme="majorHAnsi" w:cstheme="majorBidi"/>
        </w:rPr>
        <w:t xml:space="preserve">used for </w:t>
      </w:r>
      <w:r w:rsidR="00084D43" w:rsidRPr="2CE448A7">
        <w:rPr>
          <w:rFonts w:asciiTheme="majorHAnsi" w:eastAsiaTheme="majorEastAsia" w:hAnsiTheme="majorHAnsi" w:cstheme="majorBidi"/>
          <w:i/>
          <w:iCs/>
        </w:rPr>
        <w:t xml:space="preserve">Contraceptive </w:t>
      </w:r>
      <w:r w:rsidR="00380C61" w:rsidRPr="2CE448A7">
        <w:rPr>
          <w:rFonts w:asciiTheme="majorHAnsi" w:eastAsiaTheme="majorEastAsia" w:hAnsiTheme="majorHAnsi" w:cstheme="majorBidi"/>
          <w:i/>
          <w:iCs/>
        </w:rPr>
        <w:t>P</w:t>
      </w:r>
      <w:r w:rsidR="00084D43" w:rsidRPr="2CE448A7">
        <w:rPr>
          <w:rFonts w:asciiTheme="majorHAnsi" w:eastAsiaTheme="majorEastAsia" w:hAnsiTheme="majorHAnsi" w:cstheme="majorBidi"/>
          <w:i/>
          <w:iCs/>
        </w:rPr>
        <w:t>rotection f</w:t>
      </w:r>
      <w:r w:rsidR="0096189E" w:rsidRPr="2CE448A7">
        <w:rPr>
          <w:rFonts w:asciiTheme="majorHAnsi" w:eastAsiaTheme="majorEastAsia" w:hAnsiTheme="majorHAnsi" w:cstheme="majorBidi"/>
          <w:i/>
          <w:iCs/>
        </w:rPr>
        <w:t xml:space="preserve">rom </w:t>
      </w:r>
      <w:r w:rsidR="00380C61" w:rsidRPr="2CE448A7">
        <w:rPr>
          <w:rFonts w:asciiTheme="majorHAnsi" w:eastAsiaTheme="majorEastAsia" w:hAnsiTheme="majorHAnsi" w:cstheme="majorBidi"/>
          <w:i/>
          <w:iCs/>
        </w:rPr>
        <w:t>Unplanned Pregnancies</w:t>
      </w:r>
      <w:r w:rsidR="00380C61" w:rsidRPr="2CE448A7">
        <w:rPr>
          <w:rFonts w:asciiTheme="majorHAnsi" w:eastAsiaTheme="majorEastAsia" w:hAnsiTheme="majorHAnsi" w:cstheme="majorBidi"/>
        </w:rPr>
        <w:t xml:space="preserve"> and </w:t>
      </w:r>
      <w:r w:rsidR="00380C61" w:rsidRPr="2CE448A7">
        <w:rPr>
          <w:rFonts w:asciiTheme="majorHAnsi" w:eastAsiaTheme="majorEastAsia" w:hAnsiTheme="majorHAnsi" w:cstheme="majorBidi"/>
          <w:i/>
          <w:iCs/>
        </w:rPr>
        <w:t>Communicable Disease Threats</w:t>
      </w:r>
      <w:r w:rsidR="00DF7678" w:rsidRPr="2CE448A7">
        <w:rPr>
          <w:rFonts w:asciiTheme="majorHAnsi" w:eastAsiaTheme="majorEastAsia" w:hAnsiTheme="majorHAnsi" w:cstheme="majorBidi"/>
        </w:rPr>
        <w:t xml:space="preserve"> </w:t>
      </w:r>
      <w:r w:rsidR="00380C61" w:rsidRPr="2CE448A7">
        <w:rPr>
          <w:rFonts w:asciiTheme="majorHAnsi" w:eastAsiaTheme="majorEastAsia" w:hAnsiTheme="majorHAnsi" w:cstheme="majorBidi"/>
        </w:rPr>
        <w:t xml:space="preserve">should not be </w:t>
      </w:r>
      <w:r w:rsidR="00DF7678" w:rsidRPr="2CE448A7">
        <w:rPr>
          <w:rFonts w:asciiTheme="majorHAnsi" w:eastAsiaTheme="majorEastAsia" w:hAnsiTheme="majorHAnsi" w:cstheme="majorBidi"/>
        </w:rPr>
        <w:t xml:space="preserve">duplicated </w:t>
      </w:r>
      <w:r w:rsidR="00380C61" w:rsidRPr="2CE448A7">
        <w:rPr>
          <w:rFonts w:asciiTheme="majorHAnsi" w:eastAsiaTheme="majorEastAsia" w:hAnsiTheme="majorHAnsi" w:cstheme="majorBidi"/>
        </w:rPr>
        <w:t xml:space="preserve">under </w:t>
      </w:r>
      <w:r w:rsidR="005933F9" w:rsidRPr="2CE448A7">
        <w:rPr>
          <w:rFonts w:asciiTheme="majorHAnsi" w:eastAsiaTheme="majorEastAsia" w:hAnsiTheme="majorHAnsi" w:cstheme="majorBidi"/>
        </w:rPr>
        <w:t>the Health Systems Capacity indicator.</w:t>
      </w:r>
    </w:p>
    <w:p w14:paraId="6D943109" w14:textId="692A1D2E" w:rsidR="001A3142" w:rsidRPr="003D173B" w:rsidRDefault="00C4292B" w:rsidP="45E36C57">
      <w:pPr>
        <w:pStyle w:val="Heading2"/>
        <w:rPr>
          <w:rFonts w:asciiTheme="majorHAnsi" w:hAnsiTheme="majorHAnsi" w:cstheme="majorBidi"/>
        </w:rPr>
      </w:pPr>
      <w:r w:rsidRPr="45E36C57">
        <w:rPr>
          <w:rFonts w:asciiTheme="majorHAnsi" w:hAnsiTheme="majorHAnsi" w:cstheme="majorBidi"/>
        </w:rPr>
        <w:t>calculation met</w:t>
      </w:r>
      <w:r w:rsidR="001A3142" w:rsidRPr="45E36C57">
        <w:rPr>
          <w:rFonts w:asciiTheme="majorHAnsi" w:hAnsiTheme="majorHAnsi" w:cstheme="majorBidi"/>
        </w:rPr>
        <w:t>hod</w:t>
      </w:r>
    </w:p>
    <w:p w14:paraId="40558BD7" w14:textId="2A5F7325" w:rsidR="00A7101B" w:rsidRPr="001A3142" w:rsidRDefault="00813294"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 xml:space="preserve">This is a qualitative indicator and the calculation of Australia’s pro rata share of the work cited in qualitative examples is not required. </w:t>
      </w:r>
      <w:r w:rsidR="0001397F" w:rsidRPr="2CE448A7">
        <w:rPr>
          <w:rFonts w:asciiTheme="majorHAnsi" w:eastAsiaTheme="majorEastAsia" w:hAnsiTheme="majorHAnsi" w:cstheme="majorBidi"/>
        </w:rPr>
        <w:t xml:space="preserve">However, the examples provided should note where Australia has worked with partner governments, international </w:t>
      </w:r>
      <w:proofErr w:type="gramStart"/>
      <w:r w:rsidR="0001397F" w:rsidRPr="2CE448A7">
        <w:rPr>
          <w:rFonts w:asciiTheme="majorHAnsi" w:eastAsiaTheme="majorEastAsia" w:hAnsiTheme="majorHAnsi" w:cstheme="majorBidi"/>
        </w:rPr>
        <w:t>organisations</w:t>
      </w:r>
      <w:proofErr w:type="gramEnd"/>
      <w:r w:rsidR="0001397F" w:rsidRPr="2CE448A7">
        <w:rPr>
          <w:rFonts w:asciiTheme="majorHAnsi" w:eastAsiaTheme="majorEastAsia" w:hAnsiTheme="majorHAnsi" w:cstheme="majorBidi"/>
        </w:rPr>
        <w:t xml:space="preserve"> or other donors as appropriate.</w:t>
      </w:r>
    </w:p>
    <w:p w14:paraId="5E03DAEC" w14:textId="531157A6" w:rsidR="001A3142" w:rsidRPr="003D173B" w:rsidRDefault="001A3142" w:rsidP="003D173B">
      <w:pPr>
        <w:pStyle w:val="Heading2"/>
      </w:pPr>
      <w:r w:rsidRPr="45E36C57">
        <w:rPr>
          <w:rFonts w:asciiTheme="majorHAnsi" w:hAnsiTheme="majorHAnsi" w:cstheme="majorBidi"/>
          <w:bCs/>
        </w:rPr>
        <w:t>data source/s</w:t>
      </w:r>
    </w:p>
    <w:p w14:paraId="2AD3E658" w14:textId="36A1D7E6" w:rsidR="001A3142" w:rsidRPr="00C25B2E" w:rsidRDefault="0064111E"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R</w:t>
      </w:r>
      <w:r w:rsidR="001A3142" w:rsidRPr="2CE448A7">
        <w:rPr>
          <w:rFonts w:asciiTheme="majorHAnsi" w:eastAsiaTheme="majorEastAsia" w:hAnsiTheme="majorHAnsi" w:cstheme="majorBidi"/>
        </w:rPr>
        <w:t>eporting against this indicator</w:t>
      </w:r>
      <w:r w:rsidRPr="2CE448A7">
        <w:rPr>
          <w:rFonts w:asciiTheme="majorHAnsi" w:eastAsiaTheme="majorEastAsia" w:hAnsiTheme="majorHAnsi" w:cstheme="majorBidi"/>
        </w:rPr>
        <w:t xml:space="preserve"> sh</w:t>
      </w:r>
      <w:r w:rsidR="00DB24C0" w:rsidRPr="2CE448A7">
        <w:rPr>
          <w:rFonts w:asciiTheme="majorHAnsi" w:eastAsiaTheme="majorEastAsia" w:hAnsiTheme="majorHAnsi" w:cstheme="majorBidi"/>
        </w:rPr>
        <w:t>ould draw on standard investment monitoring and reporting documentation.</w:t>
      </w:r>
    </w:p>
    <w:p w14:paraId="10F7B0B6" w14:textId="7C41C686" w:rsidR="001A3142" w:rsidRPr="003D173B" w:rsidRDefault="001A3142" w:rsidP="45E36C57">
      <w:pPr>
        <w:pStyle w:val="Heading2"/>
        <w:rPr>
          <w:rFonts w:asciiTheme="majorHAnsi" w:hAnsiTheme="majorHAnsi" w:cstheme="majorBidi"/>
          <w:bCs/>
        </w:rPr>
      </w:pPr>
      <w:r w:rsidRPr="45E36C57">
        <w:rPr>
          <w:rFonts w:asciiTheme="majorHAnsi" w:hAnsiTheme="majorHAnsi" w:cstheme="majorBidi"/>
          <w:bCs/>
        </w:rPr>
        <w:t>disaggregation</w:t>
      </w:r>
    </w:p>
    <w:p w14:paraId="44FF7474" w14:textId="236A507D" w:rsidR="00834974" w:rsidRDefault="00896030"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Specific</w:t>
      </w:r>
      <w:r w:rsidR="001A3142" w:rsidRPr="2CE448A7">
        <w:rPr>
          <w:rFonts w:asciiTheme="majorHAnsi" w:eastAsiaTheme="majorEastAsia" w:hAnsiTheme="majorHAnsi" w:cstheme="majorBidi"/>
        </w:rPr>
        <w:t xml:space="preserve"> disaggregated data </w:t>
      </w:r>
      <w:r w:rsidR="00DB24C0" w:rsidRPr="2CE448A7">
        <w:rPr>
          <w:rFonts w:asciiTheme="majorHAnsi" w:eastAsiaTheme="majorEastAsia" w:hAnsiTheme="majorHAnsi" w:cstheme="majorBidi"/>
        </w:rPr>
        <w:t>is not requ</w:t>
      </w:r>
      <w:r w:rsidRPr="2CE448A7">
        <w:rPr>
          <w:rFonts w:asciiTheme="majorHAnsi" w:eastAsiaTheme="majorEastAsia" w:hAnsiTheme="majorHAnsi" w:cstheme="majorBidi"/>
        </w:rPr>
        <w:t>ired for</w:t>
      </w:r>
      <w:r w:rsidR="001A3142" w:rsidRPr="2CE448A7">
        <w:rPr>
          <w:rFonts w:asciiTheme="majorHAnsi" w:eastAsiaTheme="majorEastAsia" w:hAnsiTheme="majorHAnsi" w:cstheme="majorBidi"/>
        </w:rPr>
        <w:t xml:space="preserve"> reporting against this indicator.</w:t>
      </w:r>
      <w:r w:rsidRPr="2CE448A7">
        <w:rPr>
          <w:rFonts w:asciiTheme="majorHAnsi" w:eastAsiaTheme="majorEastAsia" w:hAnsiTheme="majorHAnsi" w:cstheme="majorBidi"/>
        </w:rPr>
        <w:t xml:space="preserve"> However, </w:t>
      </w:r>
      <w:r w:rsidR="003D4342" w:rsidRPr="2CE448A7">
        <w:rPr>
          <w:rFonts w:asciiTheme="majorHAnsi" w:eastAsiaTheme="majorEastAsia" w:hAnsiTheme="majorHAnsi" w:cstheme="majorBidi"/>
        </w:rPr>
        <w:t xml:space="preserve">consideration should be given to providing </w:t>
      </w:r>
      <w:r w:rsidRPr="2CE448A7">
        <w:rPr>
          <w:rFonts w:asciiTheme="majorHAnsi" w:eastAsiaTheme="majorEastAsia" w:hAnsiTheme="majorHAnsi" w:cstheme="majorBidi"/>
        </w:rPr>
        <w:t xml:space="preserve">narrative examples that </w:t>
      </w:r>
      <w:r w:rsidR="00470D72" w:rsidRPr="2CE448A7">
        <w:rPr>
          <w:rFonts w:asciiTheme="majorHAnsi" w:eastAsiaTheme="majorEastAsia" w:hAnsiTheme="majorHAnsi" w:cstheme="majorBidi"/>
        </w:rPr>
        <w:t xml:space="preserve">highlight </w:t>
      </w:r>
      <w:r w:rsidR="00CC32A6" w:rsidRPr="2CE448A7">
        <w:rPr>
          <w:rFonts w:asciiTheme="majorHAnsi" w:eastAsiaTheme="majorEastAsia" w:hAnsiTheme="majorHAnsi" w:cstheme="majorBidi"/>
        </w:rPr>
        <w:t>activities that promote gender equality</w:t>
      </w:r>
      <w:r w:rsidR="00AD1527" w:rsidRPr="2CE448A7">
        <w:rPr>
          <w:rFonts w:asciiTheme="majorHAnsi" w:eastAsiaTheme="majorEastAsia" w:hAnsiTheme="majorHAnsi" w:cstheme="majorBidi"/>
        </w:rPr>
        <w:t xml:space="preserve">, </w:t>
      </w:r>
      <w:r w:rsidR="00CC32A6" w:rsidRPr="2CE448A7">
        <w:rPr>
          <w:rFonts w:asciiTheme="majorHAnsi" w:eastAsiaTheme="majorEastAsia" w:hAnsiTheme="majorHAnsi" w:cstheme="majorBidi"/>
        </w:rPr>
        <w:t xml:space="preserve">disability </w:t>
      </w:r>
      <w:r w:rsidR="00AD1527" w:rsidRPr="2CE448A7">
        <w:rPr>
          <w:rFonts w:asciiTheme="majorHAnsi" w:eastAsiaTheme="majorEastAsia" w:hAnsiTheme="majorHAnsi" w:cstheme="majorBidi"/>
        </w:rPr>
        <w:t>and social inclusion</w:t>
      </w:r>
      <w:r w:rsidR="00BF19DC" w:rsidRPr="2CE448A7">
        <w:rPr>
          <w:rFonts w:asciiTheme="majorHAnsi" w:eastAsiaTheme="majorEastAsia" w:hAnsiTheme="majorHAnsi" w:cstheme="majorBidi"/>
        </w:rPr>
        <w:t>, and First Nation’s perspectives</w:t>
      </w:r>
      <w:r w:rsidR="00CC32A6" w:rsidRPr="2CE448A7">
        <w:rPr>
          <w:rFonts w:asciiTheme="majorHAnsi" w:eastAsiaTheme="majorEastAsia" w:hAnsiTheme="majorHAnsi" w:cstheme="majorBidi"/>
        </w:rPr>
        <w:t>.</w:t>
      </w:r>
      <w:r w:rsidR="00834974" w:rsidRPr="2CE448A7">
        <w:rPr>
          <w:rFonts w:asciiTheme="majorHAnsi" w:eastAsiaTheme="majorEastAsia" w:hAnsiTheme="majorHAnsi" w:cstheme="majorBidi"/>
        </w:rPr>
        <w:t xml:space="preserve"> For example: </w:t>
      </w:r>
    </w:p>
    <w:p w14:paraId="17235904" w14:textId="41389F2B" w:rsidR="00834974" w:rsidRPr="00CA27E5" w:rsidRDefault="00834974" w:rsidP="2CE448A7">
      <w:pPr>
        <w:pStyle w:val="BodyText"/>
        <w:numPr>
          <w:ilvl w:val="0"/>
          <w:numId w:val="13"/>
        </w:numPr>
        <w:jc w:val="both"/>
        <w:rPr>
          <w:rFonts w:asciiTheme="majorHAnsi" w:eastAsiaTheme="majorEastAsia" w:hAnsiTheme="majorHAnsi" w:cstheme="majorBidi"/>
        </w:rPr>
      </w:pPr>
      <w:r w:rsidRPr="2CE448A7">
        <w:rPr>
          <w:rFonts w:asciiTheme="majorHAnsi" w:eastAsiaTheme="majorEastAsia" w:hAnsiTheme="majorHAnsi" w:cstheme="majorBidi"/>
        </w:rPr>
        <w:t xml:space="preserve">strengthening of health information systems to collect disaggregated data (sex/age/disability) and use of this data to inform </w:t>
      </w:r>
      <w:proofErr w:type="gramStart"/>
      <w:r w:rsidRPr="2CE448A7">
        <w:rPr>
          <w:rFonts w:asciiTheme="majorHAnsi" w:eastAsiaTheme="majorEastAsia" w:hAnsiTheme="majorHAnsi" w:cstheme="majorBidi"/>
        </w:rPr>
        <w:t>policy</w:t>
      </w:r>
      <w:proofErr w:type="gramEnd"/>
    </w:p>
    <w:p w14:paraId="3603809C" w14:textId="5E7FAF2D" w:rsidR="001A3142" w:rsidRDefault="00834974" w:rsidP="2CE448A7">
      <w:pPr>
        <w:pStyle w:val="BodyText"/>
        <w:numPr>
          <w:ilvl w:val="0"/>
          <w:numId w:val="13"/>
        </w:numPr>
        <w:jc w:val="both"/>
        <w:rPr>
          <w:rFonts w:asciiTheme="majorHAnsi" w:eastAsiaTheme="majorEastAsia" w:hAnsiTheme="majorHAnsi" w:cstheme="majorBidi"/>
        </w:rPr>
      </w:pPr>
      <w:r w:rsidRPr="2CE448A7">
        <w:rPr>
          <w:rFonts w:asciiTheme="majorHAnsi" w:eastAsiaTheme="majorEastAsia" w:hAnsiTheme="majorHAnsi" w:cstheme="majorBidi"/>
        </w:rPr>
        <w:t xml:space="preserve">partnerships with organisations of persons with disabilities to undertake accessibility audits of health </w:t>
      </w:r>
      <w:r w:rsidR="3F0DDA13" w:rsidRPr="2CE448A7">
        <w:rPr>
          <w:rFonts w:asciiTheme="majorHAnsi" w:eastAsiaTheme="majorEastAsia" w:hAnsiTheme="majorHAnsi" w:cstheme="majorBidi"/>
        </w:rPr>
        <w:t>infrastructure,</w:t>
      </w:r>
      <w:r w:rsidRPr="2CE448A7">
        <w:rPr>
          <w:rFonts w:asciiTheme="majorHAnsi" w:eastAsiaTheme="majorEastAsia" w:hAnsiTheme="majorHAnsi" w:cstheme="majorBidi"/>
        </w:rPr>
        <w:t xml:space="preserve"> to inform </w:t>
      </w:r>
      <w:proofErr w:type="gramStart"/>
      <w:r w:rsidRPr="2CE448A7">
        <w:rPr>
          <w:rFonts w:asciiTheme="majorHAnsi" w:eastAsiaTheme="majorEastAsia" w:hAnsiTheme="majorHAnsi" w:cstheme="majorBidi"/>
        </w:rPr>
        <w:t>modifications</w:t>
      </w:r>
      <w:proofErr w:type="gramEnd"/>
    </w:p>
    <w:p w14:paraId="645A8C48" w14:textId="600BE088" w:rsidR="007D0062" w:rsidRPr="00CA27E5" w:rsidRDefault="00465161" w:rsidP="2CE448A7">
      <w:pPr>
        <w:pStyle w:val="BodyText"/>
        <w:numPr>
          <w:ilvl w:val="0"/>
          <w:numId w:val="13"/>
        </w:numPr>
        <w:jc w:val="both"/>
        <w:rPr>
          <w:rFonts w:asciiTheme="majorHAnsi" w:eastAsiaTheme="majorEastAsia" w:hAnsiTheme="majorHAnsi" w:cstheme="majorBidi"/>
        </w:rPr>
      </w:pPr>
      <w:bookmarkStart w:id="2" w:name="_Hlk142389721"/>
      <w:r w:rsidRPr="2CE448A7">
        <w:rPr>
          <w:rFonts w:asciiTheme="majorHAnsi" w:eastAsiaTheme="majorEastAsia" w:hAnsiTheme="majorHAnsi" w:cstheme="majorBidi"/>
        </w:rPr>
        <w:t xml:space="preserve">the </w:t>
      </w:r>
      <w:r w:rsidR="007D0062" w:rsidRPr="2CE448A7">
        <w:rPr>
          <w:rFonts w:asciiTheme="majorHAnsi" w:eastAsiaTheme="majorEastAsia" w:hAnsiTheme="majorHAnsi" w:cstheme="majorBidi"/>
        </w:rPr>
        <w:t xml:space="preserve">gender balance of </w:t>
      </w:r>
      <w:r w:rsidRPr="2CE448A7">
        <w:rPr>
          <w:rFonts w:asciiTheme="majorHAnsi" w:eastAsiaTheme="majorEastAsia" w:hAnsiTheme="majorHAnsi" w:cstheme="majorBidi"/>
        </w:rPr>
        <w:t>training</w:t>
      </w:r>
      <w:r w:rsidR="007D0062" w:rsidRPr="2CE448A7">
        <w:rPr>
          <w:rFonts w:asciiTheme="majorHAnsi" w:eastAsiaTheme="majorEastAsia" w:hAnsiTheme="majorHAnsi" w:cstheme="majorBidi"/>
        </w:rPr>
        <w:t xml:space="preserve"> and </w:t>
      </w:r>
      <w:r w:rsidR="003C03A2" w:rsidRPr="2CE448A7">
        <w:rPr>
          <w:rFonts w:asciiTheme="majorHAnsi" w:eastAsiaTheme="majorEastAsia" w:hAnsiTheme="majorHAnsi" w:cstheme="majorBidi"/>
        </w:rPr>
        <w:t>professional development programs</w:t>
      </w:r>
      <w:r w:rsidRPr="2CE448A7">
        <w:rPr>
          <w:rFonts w:asciiTheme="majorHAnsi" w:eastAsiaTheme="majorEastAsia" w:hAnsiTheme="majorHAnsi" w:cstheme="majorBidi"/>
        </w:rPr>
        <w:t>.</w:t>
      </w:r>
    </w:p>
    <w:bookmarkEnd w:id="2"/>
    <w:p w14:paraId="7C0BE586" w14:textId="06D1F602" w:rsidR="001A3142" w:rsidRPr="003D173B" w:rsidRDefault="001A3142" w:rsidP="45E36C57">
      <w:pPr>
        <w:pStyle w:val="Heading2"/>
        <w:rPr>
          <w:rFonts w:asciiTheme="majorHAnsi" w:hAnsiTheme="majorHAnsi" w:cstheme="majorBidi"/>
          <w:bCs/>
        </w:rPr>
      </w:pPr>
      <w:r w:rsidRPr="45E36C57">
        <w:rPr>
          <w:rFonts w:asciiTheme="majorHAnsi" w:hAnsiTheme="majorHAnsi" w:cstheme="majorBidi"/>
          <w:bCs/>
        </w:rPr>
        <w:t>Worked example</w:t>
      </w:r>
    </w:p>
    <w:p w14:paraId="1C54BBE6" w14:textId="6EB18129" w:rsidR="003D173B" w:rsidRDefault="00D74011" w:rsidP="45E36C57">
      <w:pPr>
        <w:pStyle w:val="BodyText"/>
        <w:jc w:val="both"/>
        <w:rPr>
          <w:rFonts w:asciiTheme="majorHAnsi" w:eastAsiaTheme="majorEastAsia" w:hAnsiTheme="majorHAnsi" w:cstheme="majorBidi"/>
          <w:color w:val="445369"/>
        </w:rPr>
      </w:pPr>
      <w:r w:rsidRPr="45E36C57">
        <w:rPr>
          <w:rFonts w:asciiTheme="majorHAnsi" w:eastAsiaTheme="majorEastAsia" w:hAnsiTheme="majorHAnsi" w:cstheme="majorBidi"/>
          <w:color w:val="445369"/>
        </w:rPr>
        <w:t>Narrative examples</w:t>
      </w:r>
      <w:r w:rsidR="009F1F32" w:rsidRPr="45E36C57">
        <w:rPr>
          <w:rFonts w:asciiTheme="majorHAnsi" w:eastAsiaTheme="majorEastAsia" w:hAnsiTheme="majorHAnsi" w:cstheme="majorBidi"/>
          <w:color w:val="445369"/>
        </w:rPr>
        <w:t xml:space="preserve"> (maximum 100 words)</w:t>
      </w:r>
      <w:r w:rsidRPr="45E36C57">
        <w:rPr>
          <w:rFonts w:asciiTheme="majorHAnsi" w:eastAsiaTheme="majorEastAsia" w:hAnsiTheme="majorHAnsi" w:cstheme="majorBidi"/>
          <w:color w:val="445369"/>
        </w:rPr>
        <w:t xml:space="preserve"> should </w:t>
      </w:r>
      <w:r w:rsidR="006B60D1" w:rsidRPr="45E36C57">
        <w:rPr>
          <w:rFonts w:asciiTheme="majorHAnsi" w:eastAsiaTheme="majorEastAsia" w:hAnsiTheme="majorHAnsi" w:cstheme="majorBidi"/>
          <w:color w:val="445369"/>
        </w:rPr>
        <w:t xml:space="preserve">clearly outline the type of </w:t>
      </w:r>
      <w:r w:rsidR="00916E26" w:rsidRPr="45E36C57">
        <w:rPr>
          <w:rFonts w:asciiTheme="majorHAnsi" w:eastAsiaTheme="majorEastAsia" w:hAnsiTheme="majorHAnsi" w:cstheme="majorBidi"/>
          <w:color w:val="445369"/>
        </w:rPr>
        <w:t xml:space="preserve">health </w:t>
      </w:r>
      <w:r w:rsidR="006B60D1" w:rsidRPr="45E36C57">
        <w:rPr>
          <w:rFonts w:asciiTheme="majorHAnsi" w:eastAsiaTheme="majorEastAsia" w:hAnsiTheme="majorHAnsi" w:cstheme="majorBidi"/>
          <w:color w:val="445369"/>
        </w:rPr>
        <w:t xml:space="preserve">service </w:t>
      </w:r>
      <w:r w:rsidR="00916E26" w:rsidRPr="45E36C57">
        <w:rPr>
          <w:rFonts w:asciiTheme="majorHAnsi" w:eastAsiaTheme="majorEastAsia" w:hAnsiTheme="majorHAnsi" w:cstheme="majorBidi"/>
          <w:color w:val="445369"/>
        </w:rPr>
        <w:t>that</w:t>
      </w:r>
      <w:r w:rsidR="00875C78" w:rsidRPr="45E36C57">
        <w:rPr>
          <w:rFonts w:asciiTheme="majorHAnsi" w:eastAsiaTheme="majorEastAsia" w:hAnsiTheme="majorHAnsi" w:cstheme="majorBidi"/>
          <w:color w:val="445369"/>
        </w:rPr>
        <w:t xml:space="preserve"> has been addressed and how its</w:t>
      </w:r>
      <w:r w:rsidR="00D501EB" w:rsidRPr="45E36C57">
        <w:rPr>
          <w:rFonts w:asciiTheme="majorHAnsi" w:eastAsiaTheme="majorEastAsia" w:hAnsiTheme="majorHAnsi" w:cstheme="majorBidi"/>
          <w:color w:val="445369"/>
        </w:rPr>
        <w:t xml:space="preserve"> </w:t>
      </w:r>
      <w:r w:rsidR="00875C78" w:rsidRPr="45E36C57">
        <w:rPr>
          <w:rFonts w:asciiTheme="majorHAnsi" w:eastAsiaTheme="majorEastAsia" w:hAnsiTheme="majorHAnsi" w:cstheme="majorBidi"/>
          <w:color w:val="445369"/>
        </w:rPr>
        <w:t>availability</w:t>
      </w:r>
      <w:r w:rsidR="00A35DA1" w:rsidRPr="45E36C57">
        <w:rPr>
          <w:rFonts w:asciiTheme="majorHAnsi" w:eastAsiaTheme="majorEastAsia" w:hAnsiTheme="majorHAnsi" w:cstheme="majorBidi"/>
          <w:color w:val="445369"/>
        </w:rPr>
        <w:t xml:space="preserve"> or provision</w:t>
      </w:r>
      <w:r w:rsidR="00D501EB" w:rsidRPr="45E36C57">
        <w:rPr>
          <w:rFonts w:asciiTheme="majorHAnsi" w:eastAsiaTheme="majorEastAsia" w:hAnsiTheme="majorHAnsi" w:cstheme="majorBidi"/>
          <w:color w:val="445369"/>
        </w:rPr>
        <w:t xml:space="preserve"> has been </w:t>
      </w:r>
      <w:r w:rsidR="00A35DA1" w:rsidRPr="45E36C57">
        <w:rPr>
          <w:rFonts w:asciiTheme="majorHAnsi" w:eastAsiaTheme="majorEastAsia" w:hAnsiTheme="majorHAnsi" w:cstheme="majorBidi"/>
          <w:color w:val="445369"/>
        </w:rPr>
        <w:t>improved</w:t>
      </w:r>
      <w:r w:rsidRPr="45E36C57">
        <w:rPr>
          <w:rFonts w:asciiTheme="majorHAnsi" w:eastAsiaTheme="majorEastAsia" w:hAnsiTheme="majorHAnsi" w:cstheme="majorBidi"/>
          <w:color w:val="445369"/>
        </w:rPr>
        <w:t xml:space="preserve">. </w:t>
      </w:r>
      <w:r w:rsidR="00B2333B" w:rsidRPr="45E36C57">
        <w:rPr>
          <w:rFonts w:asciiTheme="majorHAnsi" w:eastAsiaTheme="majorEastAsia" w:hAnsiTheme="majorHAnsi" w:cstheme="majorBidi"/>
          <w:color w:val="445369"/>
        </w:rPr>
        <w:t xml:space="preserve">The following </w:t>
      </w:r>
      <w:r w:rsidR="00BF19DC" w:rsidRPr="45E36C57">
        <w:rPr>
          <w:rFonts w:asciiTheme="majorHAnsi" w:eastAsiaTheme="majorEastAsia" w:hAnsiTheme="majorHAnsi" w:cstheme="majorBidi"/>
          <w:color w:val="445369"/>
        </w:rPr>
        <w:t>are</w:t>
      </w:r>
      <w:r w:rsidR="00B2333B" w:rsidRPr="45E36C57">
        <w:rPr>
          <w:rFonts w:asciiTheme="majorHAnsi" w:eastAsiaTheme="majorEastAsia" w:hAnsiTheme="majorHAnsi" w:cstheme="majorBidi"/>
          <w:color w:val="445369"/>
        </w:rPr>
        <w:t xml:space="preserve"> </w:t>
      </w:r>
      <w:r w:rsidRPr="45E36C57">
        <w:rPr>
          <w:rFonts w:asciiTheme="majorHAnsi" w:eastAsiaTheme="majorEastAsia" w:hAnsiTheme="majorHAnsi" w:cstheme="majorBidi"/>
          <w:color w:val="445369"/>
        </w:rPr>
        <w:t>example</w:t>
      </w:r>
      <w:r w:rsidR="00BF19DC" w:rsidRPr="45E36C57">
        <w:rPr>
          <w:rFonts w:asciiTheme="majorHAnsi" w:eastAsiaTheme="majorEastAsia" w:hAnsiTheme="majorHAnsi" w:cstheme="majorBidi"/>
          <w:color w:val="445369"/>
        </w:rPr>
        <w:t>s</w:t>
      </w:r>
      <w:r w:rsidRPr="45E36C57">
        <w:rPr>
          <w:rFonts w:asciiTheme="majorHAnsi" w:eastAsiaTheme="majorEastAsia" w:hAnsiTheme="majorHAnsi" w:cstheme="majorBidi"/>
          <w:color w:val="445369"/>
        </w:rPr>
        <w:t>:</w:t>
      </w:r>
    </w:p>
    <w:p w14:paraId="5B798AC7" w14:textId="77777777" w:rsidR="00C05965" w:rsidRDefault="00C05965"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1</w:t>
      </w:r>
    </w:p>
    <w:p w14:paraId="1F8719AB" w14:textId="050993D8" w:rsidR="00DF75E0" w:rsidRPr="00DF75E0" w:rsidRDefault="00DF75E0"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lastRenderedPageBreak/>
        <w:t xml:space="preserve">In September 2022, </w:t>
      </w:r>
      <w:r w:rsidR="005F2BF9" w:rsidRPr="2CE448A7">
        <w:rPr>
          <w:rFonts w:asciiTheme="majorHAnsi" w:eastAsiaTheme="majorEastAsia" w:hAnsiTheme="majorHAnsi" w:cstheme="majorBidi"/>
        </w:rPr>
        <w:t>the Health Sector Development Services Program</w:t>
      </w:r>
      <w:r w:rsidR="003E1993" w:rsidRPr="2CE448A7">
        <w:rPr>
          <w:rFonts w:asciiTheme="majorHAnsi" w:eastAsiaTheme="majorEastAsia" w:hAnsiTheme="majorHAnsi" w:cstheme="majorBidi"/>
        </w:rPr>
        <w:t xml:space="preserve"> </w:t>
      </w:r>
      <w:r w:rsidRPr="2CE448A7">
        <w:rPr>
          <w:rFonts w:asciiTheme="majorHAnsi" w:eastAsiaTheme="majorEastAsia" w:hAnsiTheme="majorHAnsi" w:cstheme="majorBidi"/>
        </w:rPr>
        <w:t>completed the national rollout of PNG’s electronic National Health Information System (</w:t>
      </w:r>
      <w:proofErr w:type="spellStart"/>
      <w:r w:rsidRPr="2CE448A7">
        <w:rPr>
          <w:rFonts w:asciiTheme="majorHAnsi" w:eastAsiaTheme="majorEastAsia" w:hAnsiTheme="majorHAnsi" w:cstheme="majorBidi"/>
        </w:rPr>
        <w:t>eNHIS</w:t>
      </w:r>
      <w:proofErr w:type="spellEnd"/>
      <w:r w:rsidRPr="2CE448A7">
        <w:rPr>
          <w:rFonts w:asciiTheme="majorHAnsi" w:eastAsiaTheme="majorEastAsia" w:hAnsiTheme="majorHAnsi" w:cstheme="majorBidi"/>
        </w:rPr>
        <w:t xml:space="preserve">) across all 22 provinces. The </w:t>
      </w:r>
      <w:proofErr w:type="spellStart"/>
      <w:r w:rsidRPr="2CE448A7">
        <w:rPr>
          <w:rFonts w:asciiTheme="majorHAnsi" w:eastAsiaTheme="majorEastAsia" w:hAnsiTheme="majorHAnsi" w:cstheme="majorBidi"/>
        </w:rPr>
        <w:t>eNHIS</w:t>
      </w:r>
      <w:proofErr w:type="spellEnd"/>
      <w:r w:rsidRPr="2CE448A7">
        <w:rPr>
          <w:rFonts w:asciiTheme="majorHAnsi" w:eastAsiaTheme="majorEastAsia" w:hAnsiTheme="majorHAnsi" w:cstheme="majorBidi"/>
        </w:rPr>
        <w:t xml:space="preserve"> facilitates real</w:t>
      </w:r>
      <w:r w:rsidR="003934D8" w:rsidRPr="2CE448A7">
        <w:rPr>
          <w:rFonts w:asciiTheme="majorHAnsi" w:eastAsiaTheme="majorEastAsia" w:hAnsiTheme="majorHAnsi" w:cstheme="majorBidi"/>
        </w:rPr>
        <w:t>-</w:t>
      </w:r>
      <w:r w:rsidRPr="2CE448A7">
        <w:rPr>
          <w:rFonts w:asciiTheme="majorHAnsi" w:eastAsiaTheme="majorEastAsia" w:hAnsiTheme="majorHAnsi" w:cstheme="majorBidi"/>
        </w:rPr>
        <w:t xml:space="preserve">time reporting of primary and public health activity data from 846 health facilities. It supports early identification of outbreaks of communicable diseases such as measles, pertussis, </w:t>
      </w:r>
      <w:proofErr w:type="gramStart"/>
      <w:r w:rsidRPr="2CE448A7">
        <w:rPr>
          <w:rFonts w:asciiTheme="majorHAnsi" w:eastAsiaTheme="majorEastAsia" w:hAnsiTheme="majorHAnsi" w:cstheme="majorBidi"/>
        </w:rPr>
        <w:t>tuberculosis</w:t>
      </w:r>
      <w:proofErr w:type="gramEnd"/>
      <w:r w:rsidRPr="2CE448A7">
        <w:rPr>
          <w:rFonts w:asciiTheme="majorHAnsi" w:eastAsiaTheme="majorEastAsia" w:hAnsiTheme="majorHAnsi" w:cstheme="majorBidi"/>
        </w:rPr>
        <w:t xml:space="preserve"> and HIV. Between 2020 and 2022, outbreaks of COVID-19 like symptoms were able to be tracked in provinces where </w:t>
      </w:r>
      <w:proofErr w:type="spellStart"/>
      <w:r w:rsidRPr="2CE448A7">
        <w:rPr>
          <w:rFonts w:asciiTheme="majorHAnsi" w:eastAsiaTheme="majorEastAsia" w:hAnsiTheme="majorHAnsi" w:cstheme="majorBidi"/>
        </w:rPr>
        <w:t>eNHIS</w:t>
      </w:r>
      <w:proofErr w:type="spellEnd"/>
      <w:r w:rsidRPr="2CE448A7">
        <w:rPr>
          <w:rFonts w:asciiTheme="majorHAnsi" w:eastAsiaTheme="majorEastAsia" w:hAnsiTheme="majorHAnsi" w:cstheme="majorBidi"/>
        </w:rPr>
        <w:t xml:space="preserve"> had been implemented. By the end of 2022, 95.7 per cent of the registered health facilities were reporting activity each month.</w:t>
      </w:r>
    </w:p>
    <w:p w14:paraId="1EF1A417" w14:textId="77777777" w:rsidR="00C05965" w:rsidRDefault="00C05965"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2.</w:t>
      </w:r>
    </w:p>
    <w:p w14:paraId="733220CD" w14:textId="0E4F1DAE" w:rsidR="00DF75E0" w:rsidRPr="00DF75E0" w:rsidRDefault="00DF75E0"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In</w:t>
      </w:r>
      <w:r w:rsidR="008D3B0D" w:rsidRPr="2CE448A7">
        <w:rPr>
          <w:rFonts w:asciiTheme="majorHAnsi" w:eastAsiaTheme="majorEastAsia" w:hAnsiTheme="majorHAnsi" w:cstheme="majorBidi"/>
        </w:rPr>
        <w:t xml:space="preserve"> </w:t>
      </w:r>
      <w:r w:rsidR="00323031" w:rsidRPr="2CE448A7">
        <w:rPr>
          <w:rFonts w:asciiTheme="majorHAnsi" w:eastAsiaTheme="majorEastAsia" w:hAnsiTheme="majorHAnsi" w:cstheme="majorBidi"/>
        </w:rPr>
        <w:t xml:space="preserve">Fiji, </w:t>
      </w:r>
      <w:r w:rsidR="009E06A2" w:rsidRPr="2CE448A7">
        <w:rPr>
          <w:rFonts w:asciiTheme="majorHAnsi" w:eastAsiaTheme="majorEastAsia" w:hAnsiTheme="majorHAnsi" w:cstheme="majorBidi"/>
        </w:rPr>
        <w:t>in</w:t>
      </w:r>
      <w:r w:rsidR="00323031" w:rsidRPr="2CE448A7">
        <w:rPr>
          <w:rFonts w:asciiTheme="majorHAnsi" w:eastAsiaTheme="majorEastAsia" w:hAnsiTheme="majorHAnsi" w:cstheme="majorBidi"/>
        </w:rPr>
        <w:t xml:space="preserve"> </w:t>
      </w:r>
      <w:r w:rsidRPr="2CE448A7">
        <w:rPr>
          <w:rFonts w:asciiTheme="majorHAnsi" w:eastAsiaTheme="majorEastAsia" w:hAnsiTheme="majorHAnsi" w:cstheme="majorBidi"/>
        </w:rPr>
        <w:t xml:space="preserve">partnership with the Ministry of Health and Medical Services, Australia is contributing to major reforms of supply chains, digital health, and patient safety and quality care at major hospitals. This includes a national roll-out of </w:t>
      </w:r>
      <w:proofErr w:type="spellStart"/>
      <w:r w:rsidRPr="2CE448A7">
        <w:rPr>
          <w:rFonts w:asciiTheme="majorHAnsi" w:eastAsiaTheme="majorEastAsia" w:hAnsiTheme="majorHAnsi" w:cstheme="majorBidi"/>
        </w:rPr>
        <w:t>mSupply</w:t>
      </w:r>
      <w:proofErr w:type="spellEnd"/>
      <w:r w:rsidRPr="2CE448A7">
        <w:rPr>
          <w:rFonts w:asciiTheme="majorHAnsi" w:eastAsiaTheme="majorEastAsia" w:hAnsiTheme="majorHAnsi" w:cstheme="majorBidi"/>
        </w:rPr>
        <w:t xml:space="preserve">, a logistics information system, across over 58 health facilities (30% completed), the development and implementation of a five-year Digital Health Strategy to strengthen the foundations of IT and health </w:t>
      </w:r>
      <w:proofErr w:type="gramStart"/>
      <w:r w:rsidRPr="2CE448A7">
        <w:rPr>
          <w:rFonts w:asciiTheme="majorHAnsi" w:eastAsiaTheme="majorEastAsia" w:hAnsiTheme="majorHAnsi" w:cstheme="majorBidi"/>
        </w:rPr>
        <w:t>information, and</w:t>
      </w:r>
      <w:proofErr w:type="gramEnd"/>
      <w:r w:rsidRPr="2CE448A7">
        <w:rPr>
          <w:rFonts w:asciiTheme="majorHAnsi" w:eastAsiaTheme="majorEastAsia" w:hAnsiTheme="majorHAnsi" w:cstheme="majorBidi"/>
        </w:rPr>
        <w:t xml:space="preserve"> institutionali</w:t>
      </w:r>
      <w:r w:rsidR="00B40A12" w:rsidRPr="2CE448A7">
        <w:rPr>
          <w:rFonts w:asciiTheme="majorHAnsi" w:eastAsiaTheme="majorEastAsia" w:hAnsiTheme="majorHAnsi" w:cstheme="majorBidi"/>
        </w:rPr>
        <w:t>s</w:t>
      </w:r>
      <w:r w:rsidRPr="2CE448A7">
        <w:rPr>
          <w:rFonts w:asciiTheme="majorHAnsi" w:eastAsiaTheme="majorEastAsia" w:hAnsiTheme="majorHAnsi" w:cstheme="majorBidi"/>
        </w:rPr>
        <w:t>ing clinical governance and infection prevention reforms at four major hospitals to reduce preventable deaths with its investment in the Fiji Health Program ($40m, 2017–24).</w:t>
      </w:r>
    </w:p>
    <w:p w14:paraId="73FBA880" w14:textId="77777777" w:rsidR="00C05965" w:rsidRDefault="00C05965"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3.</w:t>
      </w:r>
    </w:p>
    <w:p w14:paraId="3E2016F8" w14:textId="5ACC8AF4" w:rsidR="00323031" w:rsidRDefault="009E06A2" w:rsidP="2CE448A7">
      <w:pPr>
        <w:pStyle w:val="BodyText"/>
        <w:jc w:val="both"/>
        <w:rPr>
          <w:rFonts w:asciiTheme="majorHAnsi" w:eastAsiaTheme="majorEastAsia" w:hAnsiTheme="majorHAnsi" w:cstheme="majorBidi"/>
        </w:rPr>
      </w:pPr>
      <w:r w:rsidRPr="2CE448A7">
        <w:rPr>
          <w:rFonts w:asciiTheme="majorHAnsi" w:eastAsiaTheme="majorEastAsia" w:hAnsiTheme="majorHAnsi" w:cstheme="majorBidi"/>
        </w:rPr>
        <w:t>WHO Solomon Islands Country Office, through Australia’s WHO partnership, supported the Ministry of Health and Medical Services to improve maternal healthcare outcomes in response to four maternal deaths in Gizo, Western Province. WHO technical experts supported Emergency Management of Obstetric Complications training, attended by 28 nurses and midwives from Gizo Hospital, and helped develop the first draft of the Solomon Islands Postnatal Care Guidelines. WHO supported distribution of 1000 copies of the Solomon Islands Standard Treatment Manual for Obstetrics and Gynaecology, helping standardize and improve quality of care by enhancing competency and confidence of midwives and nurses.</w:t>
      </w:r>
    </w:p>
    <w:p w14:paraId="7DC6494B" w14:textId="77777777" w:rsidR="001A157E" w:rsidRPr="00DF75E0" w:rsidRDefault="001A157E" w:rsidP="00DF75E0">
      <w:pPr>
        <w:pStyle w:val="BodyText"/>
        <w:rPr>
          <w:rFonts w:cstheme="minorHAnsi"/>
        </w:rPr>
      </w:pPr>
    </w:p>
    <w:p w14:paraId="11EEEB51" w14:textId="77777777" w:rsidR="00B96F5E" w:rsidRPr="001A3142" w:rsidRDefault="00B96F5E" w:rsidP="001A3142">
      <w:pPr>
        <w:pStyle w:val="BodyText"/>
        <w:rPr>
          <w:rFonts w:cstheme="minorHAnsi"/>
          <w:color w:val="000000" w:themeColor="text1"/>
        </w:rPr>
      </w:pPr>
    </w:p>
    <w:sectPr w:rsidR="00B96F5E" w:rsidRPr="001A31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F571" w14:textId="77777777" w:rsidR="001A3142" w:rsidRDefault="001A3142" w:rsidP="001A3142">
      <w:r>
        <w:separator/>
      </w:r>
    </w:p>
  </w:endnote>
  <w:endnote w:type="continuationSeparator" w:id="0">
    <w:p w14:paraId="5DF51206" w14:textId="77777777" w:rsidR="001A3142" w:rsidRDefault="001A3142" w:rsidP="001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11904"/>
      <w:docPartObj>
        <w:docPartGallery w:val="Page Numbers (Bottom of Page)"/>
        <w:docPartUnique/>
      </w:docPartObj>
    </w:sdtPr>
    <w:sdtEndPr>
      <w:rPr>
        <w:noProof/>
      </w:rPr>
    </w:sdtEndPr>
    <w:sdtContent>
      <w:p w14:paraId="600DE418" w14:textId="7B447ABB" w:rsidR="00A7101B" w:rsidRDefault="00A710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A51F9" w14:textId="112A2706" w:rsidR="7F5F099A" w:rsidRDefault="7F5F099A" w:rsidP="7F5F0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7463" w14:textId="77777777" w:rsidR="001A3142" w:rsidRDefault="001A3142" w:rsidP="001A3142">
      <w:r>
        <w:separator/>
      </w:r>
    </w:p>
  </w:footnote>
  <w:footnote w:type="continuationSeparator" w:id="0">
    <w:p w14:paraId="25FE9F82" w14:textId="77777777" w:rsidR="001A3142" w:rsidRDefault="001A3142" w:rsidP="001A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CDEF" w14:textId="7B752FD0" w:rsidR="7F5F099A" w:rsidRDefault="7F5F099A" w:rsidP="7F5F099A">
    <w:pPr>
      <w:pStyle w:val="Header"/>
    </w:pPr>
    <w:r>
      <w:rPr>
        <w:noProof/>
      </w:rPr>
      <w:drawing>
        <wp:inline distT="0" distB="0" distL="0" distR="0" wp14:anchorId="53F67607" wp14:editId="5C8F3FA4">
          <wp:extent cx="3581400" cy="619125"/>
          <wp:effectExtent l="0" t="0" r="0" b="0"/>
          <wp:docPr id="1345503372" name="Picture 1345503372"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03372" name="Picture 1345503372"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ADB"/>
    <w:multiLevelType w:val="hybridMultilevel"/>
    <w:tmpl w:val="0F30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F0D12"/>
    <w:multiLevelType w:val="hybridMultilevel"/>
    <w:tmpl w:val="235CD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E248E"/>
    <w:multiLevelType w:val="hybridMultilevel"/>
    <w:tmpl w:val="44864538"/>
    <w:lvl w:ilvl="0" w:tplc="9BC8B7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06DEA"/>
    <w:multiLevelType w:val="hybridMultilevel"/>
    <w:tmpl w:val="0E8A06D6"/>
    <w:lvl w:ilvl="0" w:tplc="9DD6B52A">
      <w:start w:val="1"/>
      <w:numFmt w:val="bullet"/>
      <w:lvlText w:val="▫"/>
      <w:lvlJc w:val="left"/>
      <w:pPr>
        <w:ind w:left="720" w:hanging="360"/>
      </w:pPr>
      <w:rPr>
        <w:rFonts w:ascii="Courier New" w:hAnsi="Courier New" w:hint="default"/>
      </w:rPr>
    </w:lvl>
    <w:lvl w:ilvl="1" w:tplc="7AD25D5A">
      <w:start w:val="1"/>
      <w:numFmt w:val="bullet"/>
      <w:lvlText w:val="o"/>
      <w:lvlJc w:val="left"/>
      <w:pPr>
        <w:ind w:left="1440" w:hanging="360"/>
      </w:pPr>
      <w:rPr>
        <w:rFonts w:ascii="Courier New" w:hAnsi="Courier New" w:hint="default"/>
      </w:rPr>
    </w:lvl>
    <w:lvl w:ilvl="2" w:tplc="DBF49F1E">
      <w:start w:val="1"/>
      <w:numFmt w:val="bullet"/>
      <w:lvlText w:val=""/>
      <w:lvlJc w:val="left"/>
      <w:pPr>
        <w:ind w:left="2160" w:hanging="360"/>
      </w:pPr>
      <w:rPr>
        <w:rFonts w:ascii="Wingdings" w:hAnsi="Wingdings" w:hint="default"/>
      </w:rPr>
    </w:lvl>
    <w:lvl w:ilvl="3" w:tplc="AAC6E138">
      <w:start w:val="1"/>
      <w:numFmt w:val="bullet"/>
      <w:lvlText w:val=""/>
      <w:lvlJc w:val="left"/>
      <w:pPr>
        <w:ind w:left="2880" w:hanging="360"/>
      </w:pPr>
      <w:rPr>
        <w:rFonts w:ascii="Symbol" w:hAnsi="Symbol" w:hint="default"/>
      </w:rPr>
    </w:lvl>
    <w:lvl w:ilvl="4" w:tplc="A39AF65C">
      <w:start w:val="1"/>
      <w:numFmt w:val="bullet"/>
      <w:lvlText w:val="o"/>
      <w:lvlJc w:val="left"/>
      <w:pPr>
        <w:ind w:left="3600" w:hanging="360"/>
      </w:pPr>
      <w:rPr>
        <w:rFonts w:ascii="Courier New" w:hAnsi="Courier New" w:hint="default"/>
      </w:rPr>
    </w:lvl>
    <w:lvl w:ilvl="5" w:tplc="E19A6E4E">
      <w:start w:val="1"/>
      <w:numFmt w:val="bullet"/>
      <w:lvlText w:val=""/>
      <w:lvlJc w:val="left"/>
      <w:pPr>
        <w:ind w:left="4320" w:hanging="360"/>
      </w:pPr>
      <w:rPr>
        <w:rFonts w:ascii="Wingdings" w:hAnsi="Wingdings" w:hint="default"/>
      </w:rPr>
    </w:lvl>
    <w:lvl w:ilvl="6" w:tplc="01E4D436">
      <w:start w:val="1"/>
      <w:numFmt w:val="bullet"/>
      <w:lvlText w:val=""/>
      <w:lvlJc w:val="left"/>
      <w:pPr>
        <w:ind w:left="5040" w:hanging="360"/>
      </w:pPr>
      <w:rPr>
        <w:rFonts w:ascii="Symbol" w:hAnsi="Symbol" w:hint="default"/>
      </w:rPr>
    </w:lvl>
    <w:lvl w:ilvl="7" w:tplc="AD02B3B4">
      <w:start w:val="1"/>
      <w:numFmt w:val="bullet"/>
      <w:lvlText w:val="o"/>
      <w:lvlJc w:val="left"/>
      <w:pPr>
        <w:ind w:left="5760" w:hanging="360"/>
      </w:pPr>
      <w:rPr>
        <w:rFonts w:ascii="Courier New" w:hAnsi="Courier New" w:hint="default"/>
      </w:rPr>
    </w:lvl>
    <w:lvl w:ilvl="8" w:tplc="B7060886">
      <w:start w:val="1"/>
      <w:numFmt w:val="bullet"/>
      <w:lvlText w:val=""/>
      <w:lvlJc w:val="left"/>
      <w:pPr>
        <w:ind w:left="6480" w:hanging="360"/>
      </w:pPr>
      <w:rPr>
        <w:rFonts w:ascii="Wingdings" w:hAnsi="Wingdings" w:hint="default"/>
      </w:rPr>
    </w:lvl>
  </w:abstractNum>
  <w:abstractNum w:abstractNumId="4" w15:restartNumberingAfterBreak="0">
    <w:nsid w:val="1FDF55A0"/>
    <w:multiLevelType w:val="hybridMultilevel"/>
    <w:tmpl w:val="3ECE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0750A"/>
    <w:multiLevelType w:val="hybridMultilevel"/>
    <w:tmpl w:val="B8448A9E"/>
    <w:lvl w:ilvl="0" w:tplc="6EF8B0D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530C7"/>
    <w:multiLevelType w:val="hybridMultilevel"/>
    <w:tmpl w:val="FA6478EA"/>
    <w:lvl w:ilvl="0" w:tplc="1F0C98AA">
      <w:start w:val="1"/>
      <w:numFmt w:val="bullet"/>
      <w:lvlText w:val=""/>
      <w:lvlJc w:val="left"/>
      <w:pPr>
        <w:ind w:left="720" w:hanging="360"/>
      </w:pPr>
      <w:rPr>
        <w:rFonts w:ascii="Symbol" w:hAnsi="Symbol" w:hint="default"/>
      </w:rPr>
    </w:lvl>
    <w:lvl w:ilvl="1" w:tplc="4392870A">
      <w:start w:val="1"/>
      <w:numFmt w:val="bullet"/>
      <w:lvlText w:val="o"/>
      <w:lvlJc w:val="left"/>
      <w:pPr>
        <w:ind w:left="1440" w:hanging="360"/>
      </w:pPr>
      <w:rPr>
        <w:rFonts w:ascii="Courier New" w:hAnsi="Courier New" w:hint="default"/>
      </w:rPr>
    </w:lvl>
    <w:lvl w:ilvl="2" w:tplc="27D0D362">
      <w:start w:val="1"/>
      <w:numFmt w:val="bullet"/>
      <w:lvlText w:val=""/>
      <w:lvlJc w:val="left"/>
      <w:pPr>
        <w:ind w:left="2160" w:hanging="360"/>
      </w:pPr>
      <w:rPr>
        <w:rFonts w:ascii="Wingdings" w:hAnsi="Wingdings" w:hint="default"/>
      </w:rPr>
    </w:lvl>
    <w:lvl w:ilvl="3" w:tplc="122A5A10">
      <w:start w:val="1"/>
      <w:numFmt w:val="bullet"/>
      <w:lvlText w:val=""/>
      <w:lvlJc w:val="left"/>
      <w:pPr>
        <w:ind w:left="2880" w:hanging="360"/>
      </w:pPr>
      <w:rPr>
        <w:rFonts w:ascii="Symbol" w:hAnsi="Symbol" w:hint="default"/>
      </w:rPr>
    </w:lvl>
    <w:lvl w:ilvl="4" w:tplc="940E71CA">
      <w:start w:val="1"/>
      <w:numFmt w:val="bullet"/>
      <w:lvlText w:val="o"/>
      <w:lvlJc w:val="left"/>
      <w:pPr>
        <w:ind w:left="3600" w:hanging="360"/>
      </w:pPr>
      <w:rPr>
        <w:rFonts w:ascii="Courier New" w:hAnsi="Courier New" w:hint="default"/>
      </w:rPr>
    </w:lvl>
    <w:lvl w:ilvl="5" w:tplc="AEBE48D8">
      <w:start w:val="1"/>
      <w:numFmt w:val="bullet"/>
      <w:lvlText w:val=""/>
      <w:lvlJc w:val="left"/>
      <w:pPr>
        <w:ind w:left="4320" w:hanging="360"/>
      </w:pPr>
      <w:rPr>
        <w:rFonts w:ascii="Wingdings" w:hAnsi="Wingdings" w:hint="default"/>
      </w:rPr>
    </w:lvl>
    <w:lvl w:ilvl="6" w:tplc="0330BB86">
      <w:start w:val="1"/>
      <w:numFmt w:val="bullet"/>
      <w:lvlText w:val=""/>
      <w:lvlJc w:val="left"/>
      <w:pPr>
        <w:ind w:left="5040" w:hanging="360"/>
      </w:pPr>
      <w:rPr>
        <w:rFonts w:ascii="Symbol" w:hAnsi="Symbol" w:hint="default"/>
      </w:rPr>
    </w:lvl>
    <w:lvl w:ilvl="7" w:tplc="AA7E2CF2">
      <w:start w:val="1"/>
      <w:numFmt w:val="bullet"/>
      <w:lvlText w:val="o"/>
      <w:lvlJc w:val="left"/>
      <w:pPr>
        <w:ind w:left="5760" w:hanging="360"/>
      </w:pPr>
      <w:rPr>
        <w:rFonts w:ascii="Courier New" w:hAnsi="Courier New" w:hint="default"/>
      </w:rPr>
    </w:lvl>
    <w:lvl w:ilvl="8" w:tplc="CABE59E6">
      <w:start w:val="1"/>
      <w:numFmt w:val="bullet"/>
      <w:lvlText w:val=""/>
      <w:lvlJc w:val="left"/>
      <w:pPr>
        <w:ind w:left="6480" w:hanging="360"/>
      </w:pPr>
      <w:rPr>
        <w:rFonts w:ascii="Wingdings" w:hAnsi="Wingdings" w:hint="default"/>
      </w:rPr>
    </w:lvl>
  </w:abstractNum>
  <w:abstractNum w:abstractNumId="7"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EA1C50"/>
    <w:multiLevelType w:val="hybridMultilevel"/>
    <w:tmpl w:val="ADA6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E2511A"/>
    <w:multiLevelType w:val="hybridMultilevel"/>
    <w:tmpl w:val="93E6610E"/>
    <w:lvl w:ilvl="0" w:tplc="730AA15A">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50412DFE"/>
    <w:multiLevelType w:val="hybridMultilevel"/>
    <w:tmpl w:val="5C42DBE0"/>
    <w:lvl w:ilvl="0" w:tplc="BC8CEB20">
      <w:start w:val="1"/>
      <w:numFmt w:val="bullet"/>
      <w:lvlText w:val="▫"/>
      <w:lvlJc w:val="left"/>
      <w:pPr>
        <w:ind w:left="720" w:hanging="360"/>
      </w:pPr>
      <w:rPr>
        <w:rFonts w:ascii="Courier New" w:hAnsi="Courier New" w:hint="default"/>
      </w:rPr>
    </w:lvl>
    <w:lvl w:ilvl="1" w:tplc="DDE06012">
      <w:start w:val="1"/>
      <w:numFmt w:val="bullet"/>
      <w:lvlText w:val="o"/>
      <w:lvlJc w:val="left"/>
      <w:pPr>
        <w:ind w:left="1440" w:hanging="360"/>
      </w:pPr>
      <w:rPr>
        <w:rFonts w:ascii="Courier New" w:hAnsi="Courier New" w:hint="default"/>
      </w:rPr>
    </w:lvl>
    <w:lvl w:ilvl="2" w:tplc="26EA65D2">
      <w:start w:val="1"/>
      <w:numFmt w:val="bullet"/>
      <w:lvlText w:val=""/>
      <w:lvlJc w:val="left"/>
      <w:pPr>
        <w:ind w:left="2160" w:hanging="360"/>
      </w:pPr>
      <w:rPr>
        <w:rFonts w:ascii="Wingdings" w:hAnsi="Wingdings" w:hint="default"/>
      </w:rPr>
    </w:lvl>
    <w:lvl w:ilvl="3" w:tplc="95FC7AB2">
      <w:start w:val="1"/>
      <w:numFmt w:val="bullet"/>
      <w:lvlText w:val=""/>
      <w:lvlJc w:val="left"/>
      <w:pPr>
        <w:ind w:left="2880" w:hanging="360"/>
      </w:pPr>
      <w:rPr>
        <w:rFonts w:ascii="Symbol" w:hAnsi="Symbol" w:hint="default"/>
      </w:rPr>
    </w:lvl>
    <w:lvl w:ilvl="4" w:tplc="A3C2FAAA">
      <w:start w:val="1"/>
      <w:numFmt w:val="bullet"/>
      <w:lvlText w:val="o"/>
      <w:lvlJc w:val="left"/>
      <w:pPr>
        <w:ind w:left="3600" w:hanging="360"/>
      </w:pPr>
      <w:rPr>
        <w:rFonts w:ascii="Courier New" w:hAnsi="Courier New" w:hint="default"/>
      </w:rPr>
    </w:lvl>
    <w:lvl w:ilvl="5" w:tplc="FEC8DDF6">
      <w:start w:val="1"/>
      <w:numFmt w:val="bullet"/>
      <w:lvlText w:val=""/>
      <w:lvlJc w:val="left"/>
      <w:pPr>
        <w:ind w:left="4320" w:hanging="360"/>
      </w:pPr>
      <w:rPr>
        <w:rFonts w:ascii="Wingdings" w:hAnsi="Wingdings" w:hint="default"/>
      </w:rPr>
    </w:lvl>
    <w:lvl w:ilvl="6" w:tplc="C29A28C0">
      <w:start w:val="1"/>
      <w:numFmt w:val="bullet"/>
      <w:lvlText w:val=""/>
      <w:lvlJc w:val="left"/>
      <w:pPr>
        <w:ind w:left="5040" w:hanging="360"/>
      </w:pPr>
      <w:rPr>
        <w:rFonts w:ascii="Symbol" w:hAnsi="Symbol" w:hint="default"/>
      </w:rPr>
    </w:lvl>
    <w:lvl w:ilvl="7" w:tplc="903277C2">
      <w:start w:val="1"/>
      <w:numFmt w:val="bullet"/>
      <w:lvlText w:val="o"/>
      <w:lvlJc w:val="left"/>
      <w:pPr>
        <w:ind w:left="5760" w:hanging="360"/>
      </w:pPr>
      <w:rPr>
        <w:rFonts w:ascii="Courier New" w:hAnsi="Courier New" w:hint="default"/>
      </w:rPr>
    </w:lvl>
    <w:lvl w:ilvl="8" w:tplc="C2441F3E">
      <w:start w:val="1"/>
      <w:numFmt w:val="bullet"/>
      <w:lvlText w:val=""/>
      <w:lvlJc w:val="left"/>
      <w:pPr>
        <w:ind w:left="6480" w:hanging="360"/>
      </w:pPr>
      <w:rPr>
        <w:rFonts w:ascii="Wingdings" w:hAnsi="Wingdings" w:hint="default"/>
      </w:rPr>
    </w:lvl>
  </w:abstractNum>
  <w:abstractNum w:abstractNumId="11" w15:restartNumberingAfterBreak="0">
    <w:nsid w:val="59677A64"/>
    <w:multiLevelType w:val="hybridMultilevel"/>
    <w:tmpl w:val="497EEEEA"/>
    <w:lvl w:ilvl="0" w:tplc="9BC8B78E">
      <w:numFmt w:val="bullet"/>
      <w:lvlText w:val="-"/>
      <w:lvlJc w:val="left"/>
      <w:pPr>
        <w:ind w:left="765"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60975031">
    <w:abstractNumId w:val="10"/>
  </w:num>
  <w:num w:numId="2" w16cid:durableId="1137525609">
    <w:abstractNumId w:val="3"/>
  </w:num>
  <w:num w:numId="3" w16cid:durableId="744717498">
    <w:abstractNumId w:val="6"/>
  </w:num>
  <w:num w:numId="4" w16cid:durableId="418716074">
    <w:abstractNumId w:val="7"/>
  </w:num>
  <w:num w:numId="5" w16cid:durableId="266470466">
    <w:abstractNumId w:val="12"/>
  </w:num>
  <w:num w:numId="6" w16cid:durableId="947547650">
    <w:abstractNumId w:val="5"/>
  </w:num>
  <w:num w:numId="7" w16cid:durableId="1821188256">
    <w:abstractNumId w:val="1"/>
  </w:num>
  <w:num w:numId="8" w16cid:durableId="1103459050">
    <w:abstractNumId w:val="4"/>
  </w:num>
  <w:num w:numId="9" w16cid:durableId="1977029055">
    <w:abstractNumId w:val="0"/>
  </w:num>
  <w:num w:numId="10" w16cid:durableId="383679917">
    <w:abstractNumId w:val="8"/>
  </w:num>
  <w:num w:numId="11" w16cid:durableId="55713847">
    <w:abstractNumId w:val="2"/>
  </w:num>
  <w:num w:numId="12" w16cid:durableId="24252759">
    <w:abstractNumId w:val="11"/>
  </w:num>
  <w:num w:numId="13" w16cid:durableId="1631740759">
    <w:abstractNumId w:val="9"/>
  </w:num>
  <w:num w:numId="14" w16cid:durableId="1554929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1397F"/>
    <w:rsid w:val="00020194"/>
    <w:rsid w:val="00021BF7"/>
    <w:rsid w:val="000341BC"/>
    <w:rsid w:val="000544B9"/>
    <w:rsid w:val="00084D43"/>
    <w:rsid w:val="0008535D"/>
    <w:rsid w:val="00085C68"/>
    <w:rsid w:val="000A2FE1"/>
    <w:rsid w:val="000B3BE1"/>
    <w:rsid w:val="000B4FFA"/>
    <w:rsid w:val="000C6329"/>
    <w:rsid w:val="000C6CB9"/>
    <w:rsid w:val="000C7210"/>
    <w:rsid w:val="001226F0"/>
    <w:rsid w:val="00132C19"/>
    <w:rsid w:val="001376B6"/>
    <w:rsid w:val="00146235"/>
    <w:rsid w:val="00152BDD"/>
    <w:rsid w:val="00156680"/>
    <w:rsid w:val="00160E50"/>
    <w:rsid w:val="00171B85"/>
    <w:rsid w:val="0017310F"/>
    <w:rsid w:val="00196B26"/>
    <w:rsid w:val="001A157E"/>
    <w:rsid w:val="001A3142"/>
    <w:rsid w:val="001E003E"/>
    <w:rsid w:val="00203459"/>
    <w:rsid w:val="002044C9"/>
    <w:rsid w:val="002107DA"/>
    <w:rsid w:val="00220F52"/>
    <w:rsid w:val="00221652"/>
    <w:rsid w:val="00230FB2"/>
    <w:rsid w:val="0024572F"/>
    <w:rsid w:val="00245A42"/>
    <w:rsid w:val="00286BDC"/>
    <w:rsid w:val="002A0DDB"/>
    <w:rsid w:val="002C2E82"/>
    <w:rsid w:val="002C667F"/>
    <w:rsid w:val="002E4B2A"/>
    <w:rsid w:val="002E5071"/>
    <w:rsid w:val="00310665"/>
    <w:rsid w:val="00312D11"/>
    <w:rsid w:val="00323031"/>
    <w:rsid w:val="00332F4A"/>
    <w:rsid w:val="00343CC2"/>
    <w:rsid w:val="00343D87"/>
    <w:rsid w:val="003632A9"/>
    <w:rsid w:val="0037278C"/>
    <w:rsid w:val="00380C61"/>
    <w:rsid w:val="0039111A"/>
    <w:rsid w:val="003934D8"/>
    <w:rsid w:val="00394B29"/>
    <w:rsid w:val="003B6A84"/>
    <w:rsid w:val="003C03A2"/>
    <w:rsid w:val="003C2189"/>
    <w:rsid w:val="003D173B"/>
    <w:rsid w:val="003D4342"/>
    <w:rsid w:val="003D7993"/>
    <w:rsid w:val="003E1993"/>
    <w:rsid w:val="00411CCF"/>
    <w:rsid w:val="00423104"/>
    <w:rsid w:val="00430F09"/>
    <w:rsid w:val="004412CD"/>
    <w:rsid w:val="004424FE"/>
    <w:rsid w:val="00443673"/>
    <w:rsid w:val="0044472A"/>
    <w:rsid w:val="00444C1D"/>
    <w:rsid w:val="00453E9A"/>
    <w:rsid w:val="0046297D"/>
    <w:rsid w:val="00465161"/>
    <w:rsid w:val="00470D72"/>
    <w:rsid w:val="004972CE"/>
    <w:rsid w:val="00497315"/>
    <w:rsid w:val="004A326E"/>
    <w:rsid w:val="004A353D"/>
    <w:rsid w:val="004A3895"/>
    <w:rsid w:val="004D4F2B"/>
    <w:rsid w:val="004E2CBE"/>
    <w:rsid w:val="005027AD"/>
    <w:rsid w:val="005076C3"/>
    <w:rsid w:val="005111F1"/>
    <w:rsid w:val="0051666B"/>
    <w:rsid w:val="00531607"/>
    <w:rsid w:val="005351C3"/>
    <w:rsid w:val="0054089E"/>
    <w:rsid w:val="00567295"/>
    <w:rsid w:val="0057117D"/>
    <w:rsid w:val="00580C21"/>
    <w:rsid w:val="00591D1A"/>
    <w:rsid w:val="005933F9"/>
    <w:rsid w:val="005A275A"/>
    <w:rsid w:val="005A62B9"/>
    <w:rsid w:val="005A7F25"/>
    <w:rsid w:val="005B04A9"/>
    <w:rsid w:val="005C0607"/>
    <w:rsid w:val="005C5F05"/>
    <w:rsid w:val="005F0C51"/>
    <w:rsid w:val="005F2BF9"/>
    <w:rsid w:val="005F32FD"/>
    <w:rsid w:val="00623F40"/>
    <w:rsid w:val="006358E3"/>
    <w:rsid w:val="0064111E"/>
    <w:rsid w:val="00656115"/>
    <w:rsid w:val="006621AB"/>
    <w:rsid w:val="00663AE3"/>
    <w:rsid w:val="00673303"/>
    <w:rsid w:val="0068041E"/>
    <w:rsid w:val="00681998"/>
    <w:rsid w:val="006822F9"/>
    <w:rsid w:val="006827C0"/>
    <w:rsid w:val="0069720B"/>
    <w:rsid w:val="006A221C"/>
    <w:rsid w:val="006B60D1"/>
    <w:rsid w:val="006B74E0"/>
    <w:rsid w:val="006C582A"/>
    <w:rsid w:val="006E182A"/>
    <w:rsid w:val="006F438B"/>
    <w:rsid w:val="006F5248"/>
    <w:rsid w:val="006F62C4"/>
    <w:rsid w:val="00700442"/>
    <w:rsid w:val="007018D1"/>
    <w:rsid w:val="007030B4"/>
    <w:rsid w:val="00710E16"/>
    <w:rsid w:val="007213AD"/>
    <w:rsid w:val="00721660"/>
    <w:rsid w:val="0073408E"/>
    <w:rsid w:val="00745263"/>
    <w:rsid w:val="00745D74"/>
    <w:rsid w:val="00747DAD"/>
    <w:rsid w:val="007516DB"/>
    <w:rsid w:val="0075507A"/>
    <w:rsid w:val="00765A11"/>
    <w:rsid w:val="00780119"/>
    <w:rsid w:val="00784C49"/>
    <w:rsid w:val="0078577C"/>
    <w:rsid w:val="007B430C"/>
    <w:rsid w:val="007C38D6"/>
    <w:rsid w:val="007C65AE"/>
    <w:rsid w:val="007C6952"/>
    <w:rsid w:val="007C7609"/>
    <w:rsid w:val="007D0062"/>
    <w:rsid w:val="008007BF"/>
    <w:rsid w:val="00800F56"/>
    <w:rsid w:val="0080353D"/>
    <w:rsid w:val="008114DD"/>
    <w:rsid w:val="00813294"/>
    <w:rsid w:val="0083341A"/>
    <w:rsid w:val="00834974"/>
    <w:rsid w:val="00847B5D"/>
    <w:rsid w:val="00853407"/>
    <w:rsid w:val="0085446A"/>
    <w:rsid w:val="00855CE6"/>
    <w:rsid w:val="00870967"/>
    <w:rsid w:val="00875C78"/>
    <w:rsid w:val="00896030"/>
    <w:rsid w:val="008D056B"/>
    <w:rsid w:val="008D104A"/>
    <w:rsid w:val="008D11C7"/>
    <w:rsid w:val="008D3B0D"/>
    <w:rsid w:val="008E2496"/>
    <w:rsid w:val="008E3D4C"/>
    <w:rsid w:val="008F0039"/>
    <w:rsid w:val="008F4117"/>
    <w:rsid w:val="008F5182"/>
    <w:rsid w:val="00906CDC"/>
    <w:rsid w:val="00913B8B"/>
    <w:rsid w:val="00916E26"/>
    <w:rsid w:val="00917705"/>
    <w:rsid w:val="00920D14"/>
    <w:rsid w:val="00935403"/>
    <w:rsid w:val="00943BF1"/>
    <w:rsid w:val="009517D2"/>
    <w:rsid w:val="0096189E"/>
    <w:rsid w:val="00966516"/>
    <w:rsid w:val="00984333"/>
    <w:rsid w:val="00992F2A"/>
    <w:rsid w:val="009935AE"/>
    <w:rsid w:val="009C3C47"/>
    <w:rsid w:val="009D3110"/>
    <w:rsid w:val="009D4AD5"/>
    <w:rsid w:val="009D4F30"/>
    <w:rsid w:val="009E06A2"/>
    <w:rsid w:val="009E0FE4"/>
    <w:rsid w:val="009F1F32"/>
    <w:rsid w:val="009F231E"/>
    <w:rsid w:val="00A02871"/>
    <w:rsid w:val="00A1315A"/>
    <w:rsid w:val="00A144E9"/>
    <w:rsid w:val="00A16EAB"/>
    <w:rsid w:val="00A17F94"/>
    <w:rsid w:val="00A2151A"/>
    <w:rsid w:val="00A27DDD"/>
    <w:rsid w:val="00A309C5"/>
    <w:rsid w:val="00A30F89"/>
    <w:rsid w:val="00A35DA1"/>
    <w:rsid w:val="00A430DF"/>
    <w:rsid w:val="00A44F3B"/>
    <w:rsid w:val="00A47C10"/>
    <w:rsid w:val="00A64F6C"/>
    <w:rsid w:val="00A660E9"/>
    <w:rsid w:val="00A7055B"/>
    <w:rsid w:val="00A7101B"/>
    <w:rsid w:val="00A81AB8"/>
    <w:rsid w:val="00A975CB"/>
    <w:rsid w:val="00AA0D6A"/>
    <w:rsid w:val="00AA1F33"/>
    <w:rsid w:val="00AA2044"/>
    <w:rsid w:val="00AA262C"/>
    <w:rsid w:val="00AC2F36"/>
    <w:rsid w:val="00AC34D8"/>
    <w:rsid w:val="00AC5B14"/>
    <w:rsid w:val="00AD0EDF"/>
    <w:rsid w:val="00AD1527"/>
    <w:rsid w:val="00AE766F"/>
    <w:rsid w:val="00AF1539"/>
    <w:rsid w:val="00B11107"/>
    <w:rsid w:val="00B2333B"/>
    <w:rsid w:val="00B23EBE"/>
    <w:rsid w:val="00B32212"/>
    <w:rsid w:val="00B37146"/>
    <w:rsid w:val="00B40260"/>
    <w:rsid w:val="00B40A12"/>
    <w:rsid w:val="00B50BFB"/>
    <w:rsid w:val="00B56C15"/>
    <w:rsid w:val="00B645A7"/>
    <w:rsid w:val="00B709FA"/>
    <w:rsid w:val="00B730B8"/>
    <w:rsid w:val="00B96F5E"/>
    <w:rsid w:val="00BA7603"/>
    <w:rsid w:val="00BB63C6"/>
    <w:rsid w:val="00BB6CA7"/>
    <w:rsid w:val="00BC61A7"/>
    <w:rsid w:val="00BD5389"/>
    <w:rsid w:val="00BF19DC"/>
    <w:rsid w:val="00C05965"/>
    <w:rsid w:val="00C25B2E"/>
    <w:rsid w:val="00C304F7"/>
    <w:rsid w:val="00C4292B"/>
    <w:rsid w:val="00C46A59"/>
    <w:rsid w:val="00C552EB"/>
    <w:rsid w:val="00C56EEC"/>
    <w:rsid w:val="00C607D3"/>
    <w:rsid w:val="00CA0731"/>
    <w:rsid w:val="00CA27E5"/>
    <w:rsid w:val="00CA68C8"/>
    <w:rsid w:val="00CB1FF6"/>
    <w:rsid w:val="00CC32A6"/>
    <w:rsid w:val="00CD02B8"/>
    <w:rsid w:val="00CD2588"/>
    <w:rsid w:val="00CD3D91"/>
    <w:rsid w:val="00CE1221"/>
    <w:rsid w:val="00CF1CD9"/>
    <w:rsid w:val="00CF1F80"/>
    <w:rsid w:val="00CF30B7"/>
    <w:rsid w:val="00D053C0"/>
    <w:rsid w:val="00D169A6"/>
    <w:rsid w:val="00D24967"/>
    <w:rsid w:val="00D3034C"/>
    <w:rsid w:val="00D4491F"/>
    <w:rsid w:val="00D46FEC"/>
    <w:rsid w:val="00D501EB"/>
    <w:rsid w:val="00D54412"/>
    <w:rsid w:val="00D61092"/>
    <w:rsid w:val="00D652CF"/>
    <w:rsid w:val="00D672CD"/>
    <w:rsid w:val="00D74011"/>
    <w:rsid w:val="00D87CB6"/>
    <w:rsid w:val="00D90281"/>
    <w:rsid w:val="00D9192C"/>
    <w:rsid w:val="00DA1E1C"/>
    <w:rsid w:val="00DB24C0"/>
    <w:rsid w:val="00DB3570"/>
    <w:rsid w:val="00DC0ED9"/>
    <w:rsid w:val="00DC390B"/>
    <w:rsid w:val="00DD5558"/>
    <w:rsid w:val="00DE7711"/>
    <w:rsid w:val="00DF188D"/>
    <w:rsid w:val="00DF56B8"/>
    <w:rsid w:val="00DF65D9"/>
    <w:rsid w:val="00DF6965"/>
    <w:rsid w:val="00DF75E0"/>
    <w:rsid w:val="00DF7678"/>
    <w:rsid w:val="00DF7B78"/>
    <w:rsid w:val="00E11577"/>
    <w:rsid w:val="00E14C4E"/>
    <w:rsid w:val="00E14EA1"/>
    <w:rsid w:val="00E16F5D"/>
    <w:rsid w:val="00E41069"/>
    <w:rsid w:val="00E41E1E"/>
    <w:rsid w:val="00E43941"/>
    <w:rsid w:val="00EA0D43"/>
    <w:rsid w:val="00EA4D78"/>
    <w:rsid w:val="00EB1521"/>
    <w:rsid w:val="00EB2EE3"/>
    <w:rsid w:val="00EC3878"/>
    <w:rsid w:val="00EE1ECE"/>
    <w:rsid w:val="00EF3557"/>
    <w:rsid w:val="00F015F8"/>
    <w:rsid w:val="00F13400"/>
    <w:rsid w:val="00F35B16"/>
    <w:rsid w:val="00F4310C"/>
    <w:rsid w:val="00F4652C"/>
    <w:rsid w:val="00F73040"/>
    <w:rsid w:val="00F73F41"/>
    <w:rsid w:val="00F750F2"/>
    <w:rsid w:val="00F77988"/>
    <w:rsid w:val="00F81762"/>
    <w:rsid w:val="00F83153"/>
    <w:rsid w:val="00F85D62"/>
    <w:rsid w:val="00FB309B"/>
    <w:rsid w:val="00FC5542"/>
    <w:rsid w:val="00FF4F38"/>
    <w:rsid w:val="00FF501F"/>
    <w:rsid w:val="01FEF23C"/>
    <w:rsid w:val="0E012B83"/>
    <w:rsid w:val="13F9C512"/>
    <w:rsid w:val="14A4A95A"/>
    <w:rsid w:val="185808BD"/>
    <w:rsid w:val="1D125183"/>
    <w:rsid w:val="1E604CAC"/>
    <w:rsid w:val="1EE25E37"/>
    <w:rsid w:val="27342BE9"/>
    <w:rsid w:val="2B0DC52E"/>
    <w:rsid w:val="2CE448A7"/>
    <w:rsid w:val="2E507493"/>
    <w:rsid w:val="2EBCF09B"/>
    <w:rsid w:val="35C9A448"/>
    <w:rsid w:val="3E20727E"/>
    <w:rsid w:val="3F0DDA13"/>
    <w:rsid w:val="45E36C57"/>
    <w:rsid w:val="46DB7F57"/>
    <w:rsid w:val="48774FB8"/>
    <w:rsid w:val="56C6951D"/>
    <w:rsid w:val="5F75680D"/>
    <w:rsid w:val="6111386E"/>
    <w:rsid w:val="68CEE5A3"/>
    <w:rsid w:val="6BC19C6C"/>
    <w:rsid w:val="77117536"/>
    <w:rsid w:val="7C99C52D"/>
    <w:rsid w:val="7E032B54"/>
    <w:rsid w:val="7F5F0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3D173B"/>
    <w:pPr>
      <w:keepNext/>
      <w:keepLines/>
      <w:suppressAutoHyphens/>
      <w:spacing w:before="480" w:after="120" w:line="380" w:lineRule="exact"/>
      <w:contextualSpacing/>
      <w:outlineLvl w:val="0"/>
    </w:pPr>
    <w:rPr>
      <w:rFonts w:asciiTheme="minorHAnsi" w:eastAsiaTheme="majorEastAsia" w:hAnsiTheme="minorHAnsi" w:cstheme="minorHAnsi"/>
      <w:b/>
      <w:caps/>
      <w:color w:val="44546A" w:themeColor="text2"/>
      <w:sz w:val="40"/>
      <w:szCs w:val="40"/>
      <w:lang w:val="en-GB"/>
    </w:rPr>
  </w:style>
  <w:style w:type="paragraph" w:styleId="Heading2">
    <w:name w:val="heading 2"/>
    <w:basedOn w:val="Style5"/>
    <w:next w:val="Normal"/>
    <w:link w:val="Heading2Char"/>
    <w:unhideWhenUsed/>
    <w:qFormat/>
    <w:rsid w:val="003D173B"/>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3D173B"/>
    <w:rPr>
      <w:rFonts w:eastAsiaTheme="majorEastAsia" w:cstheme="minorHAnsi"/>
      <w:b/>
      <w:caps/>
      <w:color w:val="44546A" w:themeColor="text2"/>
      <w:sz w:val="40"/>
      <w:szCs w:val="40"/>
      <w:lang w:val="en-GB"/>
    </w:rPr>
  </w:style>
  <w:style w:type="character" w:customStyle="1" w:styleId="Heading2Char">
    <w:name w:val="Heading 2 Char"/>
    <w:basedOn w:val="DefaultParagraphFont"/>
    <w:link w:val="Heading2"/>
    <w:rsid w:val="003D173B"/>
    <w:rPr>
      <w:rFonts w:eastAsiaTheme="majorEastAsia" w:cstheme="min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paragraph" w:customStyle="1" w:styleId="Bullet">
    <w:name w:val="Bullet"/>
    <w:basedOn w:val="ListParagraph"/>
    <w:link w:val="BulletChar"/>
    <w:qFormat/>
    <w:rsid w:val="00663AE3"/>
    <w:pPr>
      <w:numPr>
        <w:numId w:val="6"/>
      </w:numPr>
      <w:spacing w:before="120" w:after="120"/>
      <w:ind w:left="312" w:hanging="284"/>
    </w:pPr>
    <w:rPr>
      <w:rFonts w:asciiTheme="minorHAnsi" w:hAnsiTheme="minorHAnsi" w:cstheme="minorBidi"/>
    </w:rPr>
  </w:style>
  <w:style w:type="character" w:customStyle="1" w:styleId="BulletChar">
    <w:name w:val="Bullet Char"/>
    <w:basedOn w:val="DefaultParagraphFont"/>
    <w:link w:val="Bullet"/>
    <w:rsid w:val="00663AE3"/>
  </w:style>
  <w:style w:type="character" w:customStyle="1" w:styleId="ListParagraphChar">
    <w:name w:val="List Paragraph Char"/>
    <w:basedOn w:val="DefaultParagraphFont"/>
    <w:link w:val="ListParagraph"/>
    <w:uiPriority w:val="34"/>
    <w:locked/>
    <w:rsid w:val="00B96F5E"/>
    <w:rPr>
      <w:rFonts w:ascii="Calibri" w:hAnsi="Calibri" w:cs="Calibri"/>
    </w:rPr>
  </w:style>
  <w:style w:type="character" w:styleId="CommentReference">
    <w:name w:val="annotation reference"/>
    <w:basedOn w:val="DefaultParagraphFont"/>
    <w:uiPriority w:val="99"/>
    <w:semiHidden/>
    <w:unhideWhenUsed/>
    <w:rsid w:val="00906CDC"/>
    <w:rPr>
      <w:sz w:val="16"/>
      <w:szCs w:val="16"/>
    </w:rPr>
  </w:style>
  <w:style w:type="paragraph" w:styleId="CommentText">
    <w:name w:val="annotation text"/>
    <w:basedOn w:val="Normal"/>
    <w:link w:val="CommentTextChar"/>
    <w:uiPriority w:val="99"/>
    <w:unhideWhenUsed/>
    <w:rsid w:val="00906CDC"/>
    <w:rPr>
      <w:sz w:val="20"/>
      <w:szCs w:val="20"/>
    </w:rPr>
  </w:style>
  <w:style w:type="character" w:customStyle="1" w:styleId="CommentTextChar">
    <w:name w:val="Comment Text Char"/>
    <w:basedOn w:val="DefaultParagraphFont"/>
    <w:link w:val="CommentText"/>
    <w:uiPriority w:val="99"/>
    <w:rsid w:val="00906CD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6CDC"/>
    <w:rPr>
      <w:b/>
      <w:bCs/>
    </w:rPr>
  </w:style>
  <w:style w:type="character" w:customStyle="1" w:styleId="CommentSubjectChar">
    <w:name w:val="Comment Subject Char"/>
    <w:basedOn w:val="CommentTextChar"/>
    <w:link w:val="CommentSubject"/>
    <w:uiPriority w:val="99"/>
    <w:semiHidden/>
    <w:rsid w:val="00906CDC"/>
    <w:rPr>
      <w:rFonts w:ascii="Calibri" w:hAnsi="Calibri" w:cs="Calibri"/>
      <w:b/>
      <w:bCs/>
      <w:sz w:val="20"/>
      <w:szCs w:val="20"/>
    </w:rPr>
  </w:style>
  <w:style w:type="paragraph" w:styleId="Revision">
    <w:name w:val="Revision"/>
    <w:hidden/>
    <w:uiPriority w:val="99"/>
    <w:semiHidden/>
    <w:rsid w:val="00D87CB6"/>
    <w:pPr>
      <w:spacing w:after="0" w:line="240" w:lineRule="auto"/>
    </w:pPr>
    <w:rPr>
      <w:rFonts w:ascii="Calibri" w:hAnsi="Calibri" w:cs="Calibri"/>
    </w:rPr>
  </w:style>
  <w:style w:type="character" w:customStyle="1" w:styleId="cf01">
    <w:name w:val="cf01"/>
    <w:basedOn w:val="DefaultParagraphFont"/>
    <w:rsid w:val="00913B8B"/>
    <w:rPr>
      <w:rFonts w:ascii="Segoe UI" w:hAnsi="Segoe UI" w:cs="Segoe UI" w:hint="default"/>
      <w:sz w:val="18"/>
      <w:szCs w:val="18"/>
    </w:rPr>
  </w:style>
  <w:style w:type="character" w:customStyle="1" w:styleId="cf11">
    <w:name w:val="cf11"/>
    <w:basedOn w:val="DefaultParagraphFont"/>
    <w:rsid w:val="00CA27E5"/>
    <w:rPr>
      <w:rFonts w:ascii="Segoe UI" w:hAnsi="Segoe UI" w:cs="Segoe UI" w:hint="default"/>
      <w:i/>
      <w:iCs/>
      <w:sz w:val="18"/>
      <w:szCs w:val="18"/>
    </w:rPr>
  </w:style>
  <w:style w:type="character" w:styleId="Emphasis">
    <w:name w:val="Emphasis"/>
    <w:basedOn w:val="DefaultParagraphFont"/>
    <w:uiPriority w:val="20"/>
    <w:qFormat/>
    <w:rsid w:val="005B04A9"/>
    <w:rPr>
      <w:i/>
      <w:iCs/>
    </w:rPr>
  </w:style>
  <w:style w:type="character" w:customStyle="1" w:styleId="ui-provider">
    <w:name w:val="ui-provider"/>
    <w:basedOn w:val="DefaultParagraphFont"/>
    <w:rsid w:val="007C38D6"/>
  </w:style>
  <w:style w:type="paragraph" w:styleId="Header">
    <w:name w:val="header"/>
    <w:basedOn w:val="Normal"/>
    <w:link w:val="HeaderChar"/>
    <w:uiPriority w:val="99"/>
    <w:unhideWhenUsed/>
    <w:rsid w:val="00BB63C6"/>
    <w:pPr>
      <w:tabs>
        <w:tab w:val="center" w:pos="4513"/>
        <w:tab w:val="right" w:pos="9026"/>
      </w:tabs>
    </w:pPr>
  </w:style>
  <w:style w:type="character" w:customStyle="1" w:styleId="HeaderChar">
    <w:name w:val="Header Char"/>
    <w:basedOn w:val="DefaultParagraphFont"/>
    <w:link w:val="Header"/>
    <w:uiPriority w:val="99"/>
    <w:rsid w:val="00BB63C6"/>
    <w:rPr>
      <w:rFonts w:ascii="Calibri" w:hAnsi="Calibri" w:cs="Calibri"/>
    </w:rPr>
  </w:style>
  <w:style w:type="paragraph" w:styleId="Footer">
    <w:name w:val="footer"/>
    <w:basedOn w:val="Normal"/>
    <w:link w:val="FooterChar"/>
    <w:uiPriority w:val="99"/>
    <w:unhideWhenUsed/>
    <w:rsid w:val="00BB63C6"/>
    <w:pPr>
      <w:tabs>
        <w:tab w:val="center" w:pos="4513"/>
        <w:tab w:val="right" w:pos="9026"/>
      </w:tabs>
    </w:pPr>
  </w:style>
  <w:style w:type="character" w:customStyle="1" w:styleId="FooterChar">
    <w:name w:val="Footer Char"/>
    <w:basedOn w:val="DefaultParagraphFont"/>
    <w:link w:val="Footer"/>
    <w:uiPriority w:val="99"/>
    <w:rsid w:val="00BB63C6"/>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640">
      <w:bodyDiv w:val="1"/>
      <w:marLeft w:val="0"/>
      <w:marRight w:val="0"/>
      <w:marTop w:val="0"/>
      <w:marBottom w:val="0"/>
      <w:divBdr>
        <w:top w:val="none" w:sz="0" w:space="0" w:color="auto"/>
        <w:left w:val="none" w:sz="0" w:space="0" w:color="auto"/>
        <w:bottom w:val="none" w:sz="0" w:space="0" w:color="auto"/>
        <w:right w:val="none" w:sz="0" w:space="0" w:color="auto"/>
      </w:divBdr>
    </w:div>
    <w:div w:id="774785170">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14AF6-AA01-459E-978B-0C4183A7648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7c2167f-7f62-42c8-b17f-4fb54f1eb71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65A66E-2B25-4041-82AD-4262CB743169}">
  <ds:schemaRefs>
    <ds:schemaRef ds:uri="http://schemas.microsoft.com/sharepoint/v3/contenttype/forms"/>
  </ds:schemaRefs>
</ds:datastoreItem>
</file>

<file path=customXml/itemProps3.xml><?xml version="1.0" encoding="utf-8"?>
<ds:datastoreItem xmlns:ds="http://schemas.openxmlformats.org/officeDocument/2006/customXml" ds:itemID="{68F1AED3-A30C-414B-A854-7B0949D4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5360</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Tier 2 Technical Note – Health systems strengthening</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Health systems strengthening</dc:title>
  <dc:subject/>
  <dc:creator/>
  <cp:keywords>[SEC=OFFICIAL]</cp:keywords>
  <dc:description/>
  <cp:lastModifiedBy/>
  <cp:revision>4</cp:revision>
  <dcterms:created xsi:type="dcterms:W3CDTF">2023-09-13T23:50:00Z</dcterms:created>
  <dcterms:modified xsi:type="dcterms:W3CDTF">2024-06-19T05:05:00Z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v=2022.1;a=SHA256;h=F4F76D3CF11F5217BCE85326C17F466ADE335F8E6EDE8733D2124167B7FF3013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2023-06-23T06:35:57Z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0C71DC13168E73542DC238C489E303DC</vt:lpwstr>
  </property>
  <property fmtid="{D5CDD505-2E9C-101B-9397-08002B2CF9AE}" pid="22" name="PM_Hash_Salt">
    <vt:lpwstr>AF2DF63EDA38CE9DC98FE809430CF8C6</vt:lpwstr>
  </property>
  <property fmtid="{D5CDD505-2E9C-101B-9397-08002B2CF9AE}" pid="23" name="PM_Hash_SHA1">
    <vt:lpwstr>3A4F45153266972C975567D74B73700C7432F6B5</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