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9D45" w14:textId="4CDFE3EC" w:rsidR="00D4475C" w:rsidRDefault="00261886" w:rsidP="19FF392D">
      <w:pPr>
        <w:pStyle w:val="Heading1"/>
        <w:jc w:val="left"/>
        <w:rPr>
          <w:rFonts w:asciiTheme="majorHAnsi" w:hAnsiTheme="majorHAnsi" w:cstheme="majorBidi"/>
          <w:sz w:val="32"/>
          <w:szCs w:val="32"/>
        </w:rPr>
      </w:pPr>
      <w:bookmarkStart w:id="0" w:name="_Toc441151562"/>
      <w:r w:rsidRPr="19FF392D">
        <w:rPr>
          <w:rFonts w:asciiTheme="majorHAnsi" w:hAnsiTheme="majorHAnsi" w:cstheme="majorBidi"/>
          <w:sz w:val="32"/>
          <w:szCs w:val="32"/>
        </w:rPr>
        <w:t>TIER 2 INDICATOR T</w:t>
      </w:r>
      <w:r w:rsidR="04F83479" w:rsidRPr="19FF392D">
        <w:rPr>
          <w:rFonts w:asciiTheme="majorHAnsi" w:hAnsiTheme="majorHAnsi" w:cstheme="majorBidi"/>
          <w:sz w:val="32"/>
          <w:szCs w:val="32"/>
        </w:rPr>
        <w:t>ECHNICAL NOTE</w:t>
      </w:r>
      <w:r w:rsidRPr="19FF392D">
        <w:rPr>
          <w:rFonts w:asciiTheme="majorHAnsi" w:hAnsiTheme="majorHAnsi" w:cstheme="majorBidi"/>
          <w:sz w:val="32"/>
          <w:szCs w:val="32"/>
        </w:rPr>
        <w:t xml:space="preserve"> </w:t>
      </w:r>
      <w:bookmarkStart w:id="1" w:name="_Hlk95377738"/>
      <w:bookmarkEnd w:id="0"/>
    </w:p>
    <w:p w14:paraId="67A8771F" w14:textId="754DCE77" w:rsidR="00261886" w:rsidRPr="00D4475C" w:rsidRDefault="00AD6581" w:rsidP="19FF392D">
      <w:pPr>
        <w:pStyle w:val="Heading2"/>
        <w:rPr>
          <w:rFonts w:asciiTheme="majorHAnsi" w:hAnsiTheme="majorHAnsi" w:cstheme="majorBidi"/>
          <w:i/>
          <w:iCs/>
        </w:rPr>
      </w:pPr>
      <w:r w:rsidRPr="19FF392D">
        <w:rPr>
          <w:rFonts w:asciiTheme="majorHAnsi" w:hAnsiTheme="majorHAnsi" w:cstheme="majorBidi"/>
          <w:i/>
          <w:iCs/>
        </w:rPr>
        <w:t>INFRASTRUCTURE</w:t>
      </w:r>
    </w:p>
    <w:p w14:paraId="44EECCC2" w14:textId="77777777" w:rsidR="00AD6581" w:rsidRPr="00AD6581" w:rsidRDefault="00AD6581" w:rsidP="19FF392D">
      <w:pPr>
        <w:pStyle w:val="Heading2"/>
        <w:rPr>
          <w:rFonts w:asciiTheme="majorHAnsi" w:hAnsiTheme="majorHAnsi" w:cstheme="majorBidi"/>
          <w:i/>
          <w:iCs/>
        </w:rPr>
      </w:pPr>
      <w:r w:rsidRPr="19FF392D">
        <w:rPr>
          <w:rFonts w:asciiTheme="majorHAnsi" w:hAnsiTheme="majorHAnsi" w:cstheme="majorBidi"/>
          <w:i/>
          <w:iCs/>
        </w:rPr>
        <w:t>EXAMPLES OF IMPROVED POLICIES AND REGULATIONS IN THE INFRASTRUCTURE SECTOR</w:t>
      </w:r>
    </w:p>
    <w:bookmarkEnd w:id="1"/>
    <w:p w14:paraId="183208EB" w14:textId="731BC8F2" w:rsidR="00261886" w:rsidRPr="00B8670F" w:rsidRDefault="00261886" w:rsidP="19FF392D">
      <w:pPr>
        <w:pStyle w:val="PublicationDate"/>
        <w:spacing w:before="120" w:after="120" w:line="24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2"/>
          <w:szCs w:val="22"/>
        </w:rPr>
      </w:pPr>
      <w:r w:rsidRPr="00B8670F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2"/>
          <w:szCs w:val="22"/>
        </w:rPr>
        <w:t>Last updated:</w:t>
      </w:r>
      <w:r w:rsidR="6F814C19" w:rsidRPr="00B8670F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2"/>
          <w:szCs w:val="22"/>
        </w:rPr>
        <w:t xml:space="preserve"> </w:t>
      </w:r>
      <w:r w:rsidR="00AD6581" w:rsidRPr="00B8670F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2"/>
          <w:szCs w:val="22"/>
        </w:rPr>
        <w:t>August 2023</w:t>
      </w:r>
    </w:p>
    <w:p w14:paraId="00E3309A" w14:textId="77777777" w:rsidR="00261886" w:rsidRPr="00D4475C" w:rsidRDefault="00261886" w:rsidP="19FF392D">
      <w:pPr>
        <w:pStyle w:val="Heading2"/>
        <w:rPr>
          <w:rFonts w:asciiTheme="majorHAnsi" w:hAnsiTheme="majorHAnsi" w:cstheme="majorBidi"/>
        </w:rPr>
      </w:pPr>
      <w:r w:rsidRPr="19FF392D">
        <w:rPr>
          <w:rFonts w:asciiTheme="majorHAnsi" w:hAnsiTheme="majorHAnsi" w:cstheme="majorBidi"/>
        </w:rPr>
        <w:t>Definition</w:t>
      </w:r>
      <w:r w:rsidR="00AD6581" w:rsidRPr="19FF392D">
        <w:rPr>
          <w:rFonts w:asciiTheme="majorHAnsi" w:hAnsiTheme="majorHAnsi" w:cstheme="majorBidi"/>
        </w:rPr>
        <w:t>S</w:t>
      </w:r>
    </w:p>
    <w:p w14:paraId="26CC2ECE" w14:textId="46E0D2D3" w:rsidR="00605D1D" w:rsidRPr="004B77DF" w:rsidRDefault="00AD6581" w:rsidP="2F61CC43">
      <w:pPr>
        <w:pStyle w:val="BodyText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</w:rPr>
        <w:t>This indicator is designed to capture change</w:t>
      </w:r>
      <w:r w:rsidR="00605D1D" w:rsidRPr="004B77DF">
        <w:rPr>
          <w:rFonts w:ascii="Calibri Light" w:eastAsiaTheme="majorEastAsia" w:hAnsi="Calibri Light" w:cs="Calibri Light"/>
        </w:rPr>
        <w:t xml:space="preserve">, in the direction of adherence to the G20 Principles for Quality Infrastructure </w:t>
      </w:r>
      <w:r w:rsidR="00AC5D94" w:rsidRPr="004B77DF">
        <w:rPr>
          <w:rFonts w:ascii="Calibri Light" w:eastAsiaTheme="majorEastAsia" w:hAnsi="Calibri Light" w:cs="Calibri Light"/>
        </w:rPr>
        <w:t xml:space="preserve">Investment </w:t>
      </w:r>
      <w:r w:rsidR="00605D1D" w:rsidRPr="004B77DF">
        <w:rPr>
          <w:rFonts w:ascii="Calibri Light" w:eastAsiaTheme="majorEastAsia" w:hAnsi="Calibri Light" w:cs="Calibri Light"/>
        </w:rPr>
        <w:t>or similar internationally agreed standards,</w:t>
      </w:r>
      <w:r w:rsidRPr="004B77DF">
        <w:rPr>
          <w:rFonts w:ascii="Calibri Light" w:eastAsiaTheme="majorEastAsia" w:hAnsi="Calibri Light" w:cs="Calibri Light"/>
        </w:rPr>
        <w:t xml:space="preserve"> to partner countries’ infrastructure sector policies and regulations</w:t>
      </w:r>
      <w:r w:rsidR="00204ABC" w:rsidRPr="004B77DF">
        <w:rPr>
          <w:rFonts w:ascii="Calibri Light" w:eastAsiaTheme="majorEastAsia" w:hAnsi="Calibri Light" w:cs="Calibri Light"/>
        </w:rPr>
        <w:t>,</w:t>
      </w:r>
      <w:r w:rsidRPr="004B77DF">
        <w:rPr>
          <w:rFonts w:ascii="Calibri Light" w:eastAsiaTheme="majorEastAsia" w:hAnsi="Calibri Light" w:cs="Calibri Light"/>
        </w:rPr>
        <w:t xml:space="preserve"> that occur as a direct result of Australian policy</w:t>
      </w:r>
      <w:r w:rsidR="00605D1D" w:rsidRPr="004B77DF">
        <w:rPr>
          <w:rFonts w:ascii="Calibri Light" w:eastAsiaTheme="majorEastAsia" w:hAnsi="Calibri Light" w:cs="Calibri Light"/>
        </w:rPr>
        <w:t xml:space="preserve"> or</w:t>
      </w:r>
      <w:r w:rsidRPr="004B77DF">
        <w:rPr>
          <w:rFonts w:ascii="Calibri Light" w:eastAsiaTheme="majorEastAsia" w:hAnsi="Calibri Light" w:cs="Calibri Light"/>
        </w:rPr>
        <w:t xml:space="preserve"> technical advice, capacity or other support provided. </w:t>
      </w:r>
    </w:p>
    <w:p w14:paraId="022C6AC9" w14:textId="24808C80" w:rsidR="00AD6581" w:rsidRPr="004B77DF" w:rsidRDefault="00AD6581" w:rsidP="2F61CC43">
      <w:pPr>
        <w:pStyle w:val="BodyText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  <w:b/>
          <w:bCs/>
        </w:rPr>
        <w:t xml:space="preserve">Improved </w:t>
      </w:r>
      <w:r w:rsidRPr="004B77DF">
        <w:rPr>
          <w:rFonts w:ascii="Calibri Light" w:eastAsiaTheme="majorEastAsia" w:hAnsi="Calibri Light" w:cs="Calibri Light"/>
        </w:rPr>
        <w:t>covers a change from the baseline</w:t>
      </w:r>
      <w:r w:rsidR="006F74F1" w:rsidRPr="004B77DF">
        <w:rPr>
          <w:rFonts w:ascii="Calibri Light" w:eastAsiaTheme="majorEastAsia" w:hAnsi="Calibri Light" w:cs="Calibri Light"/>
        </w:rPr>
        <w:t xml:space="preserve"> situat</w:t>
      </w:r>
      <w:r w:rsidR="007D788B" w:rsidRPr="004B77DF">
        <w:rPr>
          <w:rFonts w:ascii="Calibri Light" w:eastAsiaTheme="majorEastAsia" w:hAnsi="Calibri Light" w:cs="Calibri Light"/>
        </w:rPr>
        <w:t>ion</w:t>
      </w:r>
      <w:r w:rsidRPr="004B77DF">
        <w:rPr>
          <w:rFonts w:ascii="Calibri Light" w:eastAsiaTheme="majorEastAsia" w:hAnsi="Calibri Light" w:cs="Calibri Light"/>
        </w:rPr>
        <w:t xml:space="preserve"> in a direction</w:t>
      </w:r>
      <w:r w:rsidR="006F74F1" w:rsidRPr="004B77DF">
        <w:rPr>
          <w:rFonts w:ascii="Calibri Light" w:eastAsiaTheme="majorEastAsia" w:hAnsi="Calibri Light" w:cs="Calibri Light"/>
        </w:rPr>
        <w:t xml:space="preserve"> towards greater </w:t>
      </w:r>
      <w:r w:rsidRPr="004B77DF">
        <w:rPr>
          <w:rFonts w:ascii="Calibri Light" w:eastAsiaTheme="majorEastAsia" w:hAnsi="Calibri Light" w:cs="Calibri Light"/>
        </w:rPr>
        <w:t>align</w:t>
      </w:r>
      <w:r w:rsidR="006F74F1" w:rsidRPr="004B77DF">
        <w:rPr>
          <w:rFonts w:ascii="Calibri Light" w:eastAsiaTheme="majorEastAsia" w:hAnsi="Calibri Light" w:cs="Calibri Light"/>
        </w:rPr>
        <w:t>ment</w:t>
      </w:r>
      <w:r w:rsidRPr="004B77DF">
        <w:rPr>
          <w:rFonts w:ascii="Calibri Light" w:eastAsiaTheme="majorEastAsia" w:hAnsi="Calibri Light" w:cs="Calibri Light"/>
        </w:rPr>
        <w:t xml:space="preserve"> to the G20 Principles for Quality Infrastructure</w:t>
      </w:r>
      <w:r w:rsidR="0083099C" w:rsidRPr="004B77DF">
        <w:rPr>
          <w:rFonts w:ascii="Calibri Light" w:eastAsiaTheme="majorEastAsia" w:hAnsi="Calibri Light" w:cs="Calibri Light"/>
        </w:rPr>
        <w:t xml:space="preserve"> Investment</w:t>
      </w:r>
      <w:r w:rsidRPr="004B77DF">
        <w:rPr>
          <w:rFonts w:ascii="Calibri Light" w:eastAsiaTheme="majorEastAsia" w:hAnsi="Calibri Light" w:cs="Calibri Light"/>
        </w:rPr>
        <w:t>, or similar internationally agreed standards.</w:t>
      </w:r>
    </w:p>
    <w:p w14:paraId="7D0946BE" w14:textId="77777777" w:rsidR="00AD6581" w:rsidRPr="004B77DF" w:rsidRDefault="00AD6581" w:rsidP="2F61CC43">
      <w:pPr>
        <w:pStyle w:val="BodyText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  <w:b/>
          <w:bCs/>
        </w:rPr>
        <w:t>Policies</w:t>
      </w:r>
      <w:r w:rsidR="00605D1D" w:rsidRPr="004B77DF">
        <w:rPr>
          <w:rFonts w:ascii="Calibri Light" w:eastAsiaTheme="majorEastAsia" w:hAnsi="Calibri Light" w:cs="Calibri Light"/>
          <w:b/>
          <w:bCs/>
        </w:rPr>
        <w:t xml:space="preserve"> </w:t>
      </w:r>
      <w:r w:rsidR="00605D1D" w:rsidRPr="004B77DF">
        <w:rPr>
          <w:rFonts w:ascii="Calibri Light" w:eastAsiaTheme="majorEastAsia" w:hAnsi="Calibri Light" w:cs="Calibri Light"/>
        </w:rPr>
        <w:t>covers</w:t>
      </w:r>
      <w:r w:rsidR="00954636" w:rsidRPr="004B77DF">
        <w:rPr>
          <w:rFonts w:ascii="Calibri Light" w:eastAsiaTheme="majorEastAsia" w:hAnsi="Calibri Light" w:cs="Calibri Light"/>
        </w:rPr>
        <w:t xml:space="preserve"> principles and guidance which direct the actions of governments and public sector agencies. These are usually </w:t>
      </w:r>
      <w:r w:rsidR="006F74F1" w:rsidRPr="004B77DF">
        <w:rPr>
          <w:rFonts w:ascii="Calibri Light" w:eastAsiaTheme="majorEastAsia" w:hAnsi="Calibri Light" w:cs="Calibri Light"/>
        </w:rPr>
        <w:t xml:space="preserve">systematic, </w:t>
      </w:r>
      <w:r w:rsidR="00954636" w:rsidRPr="004B77DF">
        <w:rPr>
          <w:rFonts w:ascii="Calibri Light" w:eastAsiaTheme="majorEastAsia" w:hAnsi="Calibri Light" w:cs="Calibri Light"/>
        </w:rPr>
        <w:t>written</w:t>
      </w:r>
      <w:r w:rsidR="006F74F1" w:rsidRPr="004B77DF">
        <w:rPr>
          <w:rFonts w:ascii="Calibri Light" w:eastAsiaTheme="majorEastAsia" w:hAnsi="Calibri Light" w:cs="Calibri Light"/>
        </w:rPr>
        <w:t xml:space="preserve"> and applied across an agency or </w:t>
      </w:r>
      <w:r w:rsidR="007D788B" w:rsidRPr="004B77DF">
        <w:rPr>
          <w:rFonts w:ascii="Calibri Light" w:eastAsiaTheme="majorEastAsia" w:hAnsi="Calibri Light" w:cs="Calibri Light"/>
        </w:rPr>
        <w:t>project</w:t>
      </w:r>
      <w:r w:rsidR="00954636" w:rsidRPr="004B77DF">
        <w:rPr>
          <w:rFonts w:ascii="Calibri Light" w:eastAsiaTheme="majorEastAsia" w:hAnsi="Calibri Light" w:cs="Calibri Light"/>
        </w:rPr>
        <w:t>.</w:t>
      </w:r>
    </w:p>
    <w:p w14:paraId="67EBE58A" w14:textId="77777777" w:rsidR="00954636" w:rsidRPr="004B77DF" w:rsidRDefault="00954636" w:rsidP="2F61CC43">
      <w:pPr>
        <w:pStyle w:val="BodyText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  <w:b/>
          <w:bCs/>
        </w:rPr>
        <w:t xml:space="preserve">Regulations </w:t>
      </w:r>
      <w:r w:rsidRPr="004B77DF">
        <w:rPr>
          <w:rFonts w:ascii="Calibri Light" w:eastAsiaTheme="majorEastAsia" w:hAnsi="Calibri Light" w:cs="Calibri Light"/>
        </w:rPr>
        <w:t xml:space="preserve">covers </w:t>
      </w:r>
      <w:r w:rsidR="00DC730C" w:rsidRPr="004B77DF">
        <w:rPr>
          <w:rFonts w:ascii="Calibri Light" w:eastAsiaTheme="majorEastAsia" w:hAnsi="Calibri Light" w:cs="Calibri Light"/>
        </w:rPr>
        <w:t>official written rules created by government agencies to control conduct.</w:t>
      </w:r>
      <w:r w:rsidR="006F74F1" w:rsidRPr="004B77DF">
        <w:rPr>
          <w:rFonts w:ascii="Calibri Light" w:eastAsiaTheme="majorEastAsia" w:hAnsi="Calibri Light" w:cs="Calibri Light"/>
        </w:rPr>
        <w:t xml:space="preserve"> This can include legislation and delegated legislation.</w:t>
      </w:r>
    </w:p>
    <w:p w14:paraId="5FD1D7B1" w14:textId="3CD700DA" w:rsidR="00AD6581" w:rsidRPr="004B77DF" w:rsidRDefault="00AD6581" w:rsidP="2F61CC43">
      <w:pPr>
        <w:pStyle w:val="BodyText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  <w:b/>
          <w:bCs/>
        </w:rPr>
        <w:t>Infrastructure sector</w:t>
      </w:r>
      <w:r w:rsidR="00DC730C" w:rsidRPr="004B77DF">
        <w:rPr>
          <w:rFonts w:ascii="Calibri Light" w:eastAsiaTheme="majorEastAsia" w:hAnsi="Calibri Light" w:cs="Calibri Light"/>
          <w:b/>
          <w:bCs/>
        </w:rPr>
        <w:t xml:space="preserve"> </w:t>
      </w:r>
      <w:r w:rsidR="00DC730C" w:rsidRPr="004B77DF">
        <w:rPr>
          <w:rFonts w:ascii="Calibri Light" w:eastAsiaTheme="majorEastAsia" w:hAnsi="Calibri Light" w:cs="Calibri Light"/>
        </w:rPr>
        <w:t>covers</w:t>
      </w:r>
      <w:r w:rsidR="00041A40" w:rsidRPr="004B77DF">
        <w:rPr>
          <w:rFonts w:ascii="Calibri Light" w:eastAsiaTheme="majorEastAsia" w:hAnsi="Calibri Light" w:cs="Calibri Light"/>
        </w:rPr>
        <w:t xml:space="preserve"> any</w:t>
      </w:r>
      <w:r w:rsidR="00DC730C" w:rsidRPr="004B77DF">
        <w:rPr>
          <w:rFonts w:ascii="Calibri Light" w:eastAsiaTheme="majorEastAsia" w:hAnsi="Calibri Light" w:cs="Calibri Light"/>
        </w:rPr>
        <w:t xml:space="preserve"> type of social, economic, security, </w:t>
      </w:r>
      <w:r w:rsidR="00041A40" w:rsidRPr="004B77DF">
        <w:rPr>
          <w:rFonts w:ascii="Calibri Light" w:eastAsiaTheme="majorEastAsia" w:hAnsi="Calibri Light" w:cs="Calibri Light"/>
        </w:rPr>
        <w:t xml:space="preserve">hard </w:t>
      </w:r>
      <w:r w:rsidR="00204ABC" w:rsidRPr="004B77DF">
        <w:rPr>
          <w:rFonts w:ascii="Calibri Light" w:eastAsiaTheme="majorEastAsia" w:hAnsi="Calibri Light" w:cs="Calibri Light"/>
        </w:rPr>
        <w:t>or</w:t>
      </w:r>
      <w:r w:rsidR="00041A40" w:rsidRPr="004B77DF">
        <w:rPr>
          <w:rFonts w:ascii="Calibri Light" w:eastAsiaTheme="majorEastAsia" w:hAnsi="Calibri Light" w:cs="Calibri Light"/>
        </w:rPr>
        <w:t xml:space="preserve"> soft</w:t>
      </w:r>
      <w:r w:rsidR="00DC730C" w:rsidRPr="004B77DF">
        <w:rPr>
          <w:rFonts w:ascii="Calibri Light" w:eastAsiaTheme="majorEastAsia" w:hAnsi="Calibri Light" w:cs="Calibri Light"/>
        </w:rPr>
        <w:t xml:space="preserve"> systems, products facilities</w:t>
      </w:r>
      <w:r w:rsidR="00041A40" w:rsidRPr="004B77DF">
        <w:rPr>
          <w:rFonts w:ascii="Calibri Light" w:eastAsiaTheme="majorEastAsia" w:hAnsi="Calibri Light" w:cs="Calibri Light"/>
        </w:rPr>
        <w:t xml:space="preserve"> and services in a country that pertain to a specific area. Examples of infrastructure sectors include</w:t>
      </w:r>
      <w:r w:rsidR="003D2ACF" w:rsidRPr="004B77DF">
        <w:rPr>
          <w:rFonts w:ascii="Calibri Light" w:eastAsiaTheme="majorEastAsia" w:hAnsi="Calibri Light" w:cs="Calibri Light"/>
        </w:rPr>
        <w:t xml:space="preserve">, but are not limited </w:t>
      </w:r>
      <w:r w:rsidR="7EF67564" w:rsidRPr="004B77DF">
        <w:rPr>
          <w:rFonts w:ascii="Calibri Light" w:eastAsiaTheme="majorEastAsia" w:hAnsi="Calibri Light" w:cs="Calibri Light"/>
        </w:rPr>
        <w:t>to</w:t>
      </w:r>
      <w:r w:rsidR="00041A40" w:rsidRPr="004B77DF">
        <w:rPr>
          <w:rFonts w:ascii="Calibri Light" w:eastAsiaTheme="majorEastAsia" w:hAnsi="Calibri Light" w:cs="Calibri Light"/>
        </w:rPr>
        <w:t xml:space="preserve"> transport, communication, healthcare, electricity, waste management, water, public </w:t>
      </w:r>
      <w:r w:rsidR="003D2ACF" w:rsidRPr="004B77DF">
        <w:rPr>
          <w:rFonts w:ascii="Calibri Light" w:eastAsiaTheme="majorEastAsia" w:hAnsi="Calibri Light" w:cs="Calibri Light"/>
        </w:rPr>
        <w:t>works</w:t>
      </w:r>
      <w:r w:rsidR="00041A40" w:rsidRPr="004B77DF">
        <w:rPr>
          <w:rFonts w:ascii="Calibri Light" w:eastAsiaTheme="majorEastAsia" w:hAnsi="Calibri Light" w:cs="Calibri Light"/>
        </w:rPr>
        <w:t>.</w:t>
      </w:r>
    </w:p>
    <w:p w14:paraId="104C851C" w14:textId="77777777" w:rsidR="00261886" w:rsidRPr="00D4475C" w:rsidRDefault="00261886" w:rsidP="19FF392D">
      <w:pPr>
        <w:pStyle w:val="Heading2"/>
        <w:rPr>
          <w:rFonts w:asciiTheme="majorHAnsi" w:hAnsiTheme="majorHAnsi" w:cstheme="majorBidi"/>
        </w:rPr>
      </w:pPr>
      <w:r w:rsidRPr="19FF392D">
        <w:rPr>
          <w:rFonts w:asciiTheme="majorHAnsi" w:hAnsiTheme="majorHAnsi" w:cstheme="majorBidi"/>
        </w:rPr>
        <w:t>Scope</w:t>
      </w:r>
    </w:p>
    <w:p w14:paraId="629B348C" w14:textId="77777777" w:rsidR="00261886" w:rsidRPr="004B77DF" w:rsidRDefault="00261886" w:rsidP="2F61CC43">
      <w:pPr>
        <w:pStyle w:val="Heading2"/>
        <w:jc w:val="both"/>
        <w:rPr>
          <w:rStyle w:val="IntenseEmphasis"/>
          <w:rFonts w:ascii="Calibri Light" w:hAnsi="Calibri Light" w:cs="Calibri Light"/>
          <w:b/>
          <w:bCs/>
          <w:sz w:val="22"/>
          <w:szCs w:val="22"/>
        </w:rPr>
      </w:pPr>
      <w:r w:rsidRPr="004B77DF">
        <w:rPr>
          <w:rStyle w:val="IntenseEmphasis"/>
          <w:rFonts w:ascii="Calibri Light" w:hAnsi="Calibri Light" w:cs="Calibri Light"/>
          <w:b/>
          <w:bCs/>
          <w:sz w:val="22"/>
          <w:szCs w:val="22"/>
        </w:rPr>
        <w:t>Includes:</w:t>
      </w:r>
    </w:p>
    <w:p w14:paraId="773BD398" w14:textId="2612205B" w:rsidR="003D2ACF" w:rsidRPr="004B77DF" w:rsidRDefault="003D2ACF" w:rsidP="2F61CC43">
      <w:pPr>
        <w:pStyle w:val="ListBullet"/>
        <w:numPr>
          <w:ilvl w:val="0"/>
          <w:numId w:val="2"/>
        </w:numPr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Evidenced instances of a new or revised policy or regulation that aligns the country that has received Australian assistance more closely with the G20 Principles for Quality Infrastructure</w:t>
      </w:r>
      <w:r w:rsidR="0083099C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Investment</w:t>
      </w: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, or similar internationally agreed standard.</w:t>
      </w:r>
    </w:p>
    <w:p w14:paraId="4D316E45" w14:textId="77777777" w:rsidR="003D2ACF" w:rsidRPr="004B77DF" w:rsidRDefault="003D2ACF" w:rsidP="2F61CC43">
      <w:pPr>
        <w:pStyle w:val="ListBullet"/>
        <w:numPr>
          <w:ilvl w:val="0"/>
          <w:numId w:val="2"/>
        </w:numPr>
        <w:spacing w:before="120" w:after="60" w:line="260" w:lineRule="atLeast"/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Examples may be evidenced by </w:t>
      </w:r>
      <w:r w:rsidR="006F74F1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public announcements and commitments, Ministerial directives, passing of legislation or regulatory amendments, provision of funding or additional resourcing, written </w:t>
      </w:r>
      <w:proofErr w:type="gramStart"/>
      <w:r w:rsidR="006F74F1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guidelines</w:t>
      </w:r>
      <w:proofErr w:type="gramEnd"/>
      <w:r w:rsidR="006F74F1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or other controlling documents.</w:t>
      </w:r>
    </w:p>
    <w:p w14:paraId="7C60373D" w14:textId="77777777" w:rsidR="00261886" w:rsidRPr="004B77DF" w:rsidRDefault="00261886" w:rsidP="2F61CC43">
      <w:pPr>
        <w:pStyle w:val="ListBullet"/>
        <w:spacing w:before="120" w:after="60" w:line="260" w:lineRule="atLeast"/>
        <w:ind w:left="426" w:hanging="426"/>
        <w:jc w:val="both"/>
        <w:rPr>
          <w:rStyle w:val="IntenseEmphasis"/>
          <w:rFonts w:ascii="Calibri Light" w:eastAsiaTheme="majorEastAsia" w:hAnsi="Calibri Light" w:cs="Calibri Light"/>
          <w:bCs/>
          <w:sz w:val="22"/>
          <w:szCs w:val="22"/>
        </w:rPr>
      </w:pPr>
      <w:r w:rsidRPr="004B77DF">
        <w:rPr>
          <w:rStyle w:val="IntenseEmphasis"/>
          <w:rFonts w:ascii="Calibri Light" w:eastAsiaTheme="majorEastAsia" w:hAnsi="Calibri Light" w:cs="Calibri Light"/>
          <w:bCs/>
          <w:sz w:val="22"/>
          <w:szCs w:val="22"/>
        </w:rPr>
        <w:t>E</w:t>
      </w:r>
      <w:r w:rsidR="006F74F1" w:rsidRPr="004B77DF">
        <w:rPr>
          <w:rStyle w:val="IntenseEmphasis"/>
          <w:rFonts w:ascii="Calibri Light" w:eastAsiaTheme="majorEastAsia" w:hAnsi="Calibri Light" w:cs="Calibri Light"/>
          <w:bCs/>
          <w:sz w:val="22"/>
          <w:szCs w:val="22"/>
        </w:rPr>
        <w:t>XCLUDES</w:t>
      </w:r>
      <w:r w:rsidRPr="004B77DF">
        <w:rPr>
          <w:rStyle w:val="IntenseEmphasis"/>
          <w:rFonts w:ascii="Calibri Light" w:eastAsiaTheme="majorEastAsia" w:hAnsi="Calibri Light" w:cs="Calibri Light"/>
          <w:bCs/>
          <w:sz w:val="22"/>
          <w:szCs w:val="22"/>
        </w:rPr>
        <w:t>:</w:t>
      </w:r>
    </w:p>
    <w:p w14:paraId="123407C3" w14:textId="20700838" w:rsidR="003D2ACF" w:rsidRPr="004B77DF" w:rsidRDefault="00D92D3B" w:rsidP="2F61CC43">
      <w:pPr>
        <w:pStyle w:val="ListParagraph"/>
        <w:numPr>
          <w:ilvl w:val="0"/>
          <w:numId w:val="1"/>
        </w:numPr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</w:pP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>Examples</w:t>
      </w:r>
      <w:r w:rsidR="003D2ACF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 xml:space="preserve"> of </w:t>
      </w: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 xml:space="preserve">practice or </w:t>
      </w:r>
      <w:r w:rsidR="003D2ACF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 xml:space="preserve">behaviour change by individuals or groups that is not </w:t>
      </w: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>directed by official policy or regulation</w:t>
      </w:r>
      <w:r w:rsidR="0083099C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>.</w:t>
      </w:r>
    </w:p>
    <w:p w14:paraId="711A8D31" w14:textId="04F818ED" w:rsidR="003D2ACF" w:rsidRPr="004B77DF" w:rsidRDefault="003D2ACF" w:rsidP="2F61CC43">
      <w:pPr>
        <w:pStyle w:val="ListParagraph"/>
        <w:numPr>
          <w:ilvl w:val="0"/>
          <w:numId w:val="1"/>
        </w:numPr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</w:pP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>Improvements that cannot be clearly attributed to Australian investments and projects through supporting evidence</w:t>
      </w:r>
      <w:r w:rsidR="0083099C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>.</w:t>
      </w:r>
    </w:p>
    <w:p w14:paraId="22A78A56" w14:textId="3CE0E1A3" w:rsidR="003D2ACF" w:rsidRPr="004B77DF" w:rsidRDefault="003D2ACF" w:rsidP="2F61CC43">
      <w:pPr>
        <w:pStyle w:val="ListParagraph"/>
        <w:numPr>
          <w:ilvl w:val="0"/>
          <w:numId w:val="1"/>
        </w:numPr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</w:pP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>Anticipated polic</w:t>
      </w:r>
      <w:r w:rsidR="00D92D3B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 xml:space="preserve">ies </w:t>
      </w: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>or regulations that have not yet been adopted or announced</w:t>
      </w:r>
      <w:r w:rsidR="0083099C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>.</w:t>
      </w:r>
    </w:p>
    <w:p w14:paraId="1072D08C" w14:textId="77777777" w:rsidR="003D2ACF" w:rsidRPr="004B77DF" w:rsidRDefault="003D2ACF" w:rsidP="2F61CC43">
      <w:pPr>
        <w:pStyle w:val="ListParagraph"/>
        <w:numPr>
          <w:ilvl w:val="0"/>
          <w:numId w:val="1"/>
        </w:numPr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</w:pP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 xml:space="preserve">Improvements to policies or regulations that were counted in previous </w:t>
      </w:r>
      <w:proofErr w:type="gramStart"/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>years, unless</w:t>
      </w:r>
      <w:proofErr w:type="gramEnd"/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  <w:lang w:val="en-GB"/>
        </w:rPr>
        <w:t xml:space="preserve"> there is a new significant improvement.</w:t>
      </w:r>
    </w:p>
    <w:p w14:paraId="1FB75364" w14:textId="77777777" w:rsidR="00261886" w:rsidRPr="00D4475C" w:rsidRDefault="00261886" w:rsidP="19FF392D">
      <w:pPr>
        <w:pStyle w:val="Heading2"/>
        <w:rPr>
          <w:rFonts w:asciiTheme="majorHAnsi" w:hAnsiTheme="majorHAnsi" w:cstheme="majorBidi"/>
        </w:rPr>
      </w:pPr>
      <w:r w:rsidRPr="19FF392D">
        <w:rPr>
          <w:rFonts w:asciiTheme="majorHAnsi" w:hAnsiTheme="majorHAnsi" w:cstheme="majorBidi"/>
        </w:rPr>
        <w:lastRenderedPageBreak/>
        <w:t>calculation method</w:t>
      </w:r>
    </w:p>
    <w:p w14:paraId="5706F693" w14:textId="465A46C8" w:rsidR="00261886" w:rsidRPr="004B77DF" w:rsidRDefault="00A056B4" w:rsidP="2F61CC43">
      <w:pPr>
        <w:pStyle w:val="BodyText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</w:rPr>
        <w:t xml:space="preserve">This indicator is designed to provide narrative reporting. Quantitative results data is not required </w:t>
      </w:r>
      <w:r w:rsidR="0083099C" w:rsidRPr="004B77DF">
        <w:rPr>
          <w:rFonts w:ascii="Calibri Light" w:eastAsiaTheme="majorEastAsia" w:hAnsi="Calibri Light" w:cs="Calibri Light"/>
        </w:rPr>
        <w:t xml:space="preserve">but should be </w:t>
      </w:r>
      <w:r w:rsidR="00204ABC" w:rsidRPr="004B77DF">
        <w:rPr>
          <w:rFonts w:ascii="Calibri Light" w:eastAsiaTheme="majorEastAsia" w:hAnsi="Calibri Light" w:cs="Calibri Light"/>
        </w:rPr>
        <w:t>included</w:t>
      </w:r>
      <w:r w:rsidR="0083099C" w:rsidRPr="004B77DF">
        <w:rPr>
          <w:rFonts w:ascii="Calibri Light" w:eastAsiaTheme="majorEastAsia" w:hAnsi="Calibri Light" w:cs="Calibri Light"/>
        </w:rPr>
        <w:t xml:space="preserve"> where it supports </w:t>
      </w:r>
      <w:r w:rsidRPr="004B77DF">
        <w:rPr>
          <w:rFonts w:ascii="Calibri Light" w:eastAsiaTheme="majorEastAsia" w:hAnsi="Calibri Light" w:cs="Calibri Light"/>
        </w:rPr>
        <w:t xml:space="preserve">the example(s) provided, </w:t>
      </w:r>
      <w:r w:rsidR="0083099C" w:rsidRPr="004B77DF">
        <w:rPr>
          <w:rFonts w:ascii="Calibri Light" w:eastAsiaTheme="majorEastAsia" w:hAnsi="Calibri Light" w:cs="Calibri Light"/>
        </w:rPr>
        <w:t>such as</w:t>
      </w:r>
      <w:r w:rsidRPr="004B77DF">
        <w:rPr>
          <w:rFonts w:ascii="Calibri Light" w:eastAsiaTheme="majorEastAsia" w:hAnsi="Calibri Light" w:cs="Calibri Light"/>
        </w:rPr>
        <w:t>, resources or funding commitments.</w:t>
      </w:r>
      <w:r w:rsidR="00261886" w:rsidRPr="004B77DF">
        <w:rPr>
          <w:rFonts w:ascii="Calibri Light" w:eastAsiaTheme="majorEastAsia" w:hAnsi="Calibri Light" w:cs="Calibri Light"/>
        </w:rPr>
        <w:t xml:space="preserve"> </w:t>
      </w:r>
      <w:r w:rsidR="00261886" w:rsidRPr="004B77DF">
        <w:rPr>
          <w:rFonts w:ascii="Calibri Light" w:eastAsiaTheme="majorEastAsia" w:hAnsi="Calibri Light" w:cs="Calibri Light"/>
          <w:i/>
          <w:iCs/>
        </w:rPr>
        <w:t>See worked example.</w:t>
      </w:r>
    </w:p>
    <w:p w14:paraId="412E37AD" w14:textId="77777777" w:rsidR="0059583C" w:rsidRPr="00D4475C" w:rsidRDefault="00261886" w:rsidP="19FF392D">
      <w:pPr>
        <w:pStyle w:val="Heading2"/>
        <w:rPr>
          <w:rFonts w:asciiTheme="majorHAnsi" w:hAnsiTheme="majorHAnsi" w:cstheme="majorBidi"/>
        </w:rPr>
      </w:pPr>
      <w:r w:rsidRPr="19FF392D">
        <w:rPr>
          <w:rFonts w:asciiTheme="majorHAnsi" w:hAnsiTheme="majorHAnsi" w:cstheme="majorBidi"/>
        </w:rPr>
        <w:t>data source/s</w:t>
      </w:r>
    </w:p>
    <w:p w14:paraId="251AAC42" w14:textId="77777777" w:rsidR="0059583C" w:rsidRPr="004B77DF" w:rsidRDefault="0059583C" w:rsidP="2F61CC43">
      <w:pPr>
        <w:pStyle w:val="BodyText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</w:rPr>
        <w:t>Reported examples require:</w:t>
      </w:r>
    </w:p>
    <w:p w14:paraId="0B4F339A" w14:textId="77777777" w:rsidR="0012170F" w:rsidRPr="004B77DF" w:rsidRDefault="0012170F" w:rsidP="2F61CC43">
      <w:pPr>
        <w:pStyle w:val="BodyText"/>
        <w:numPr>
          <w:ilvl w:val="0"/>
          <w:numId w:val="5"/>
        </w:numPr>
        <w:ind w:left="426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</w:rPr>
        <w:t xml:space="preserve">Brief explanation of the issue, </w:t>
      </w:r>
      <w:proofErr w:type="gramStart"/>
      <w:r w:rsidRPr="004B77DF">
        <w:rPr>
          <w:rFonts w:ascii="Calibri Light" w:eastAsiaTheme="majorEastAsia" w:hAnsi="Calibri Light" w:cs="Calibri Light"/>
        </w:rPr>
        <w:t>problem</w:t>
      </w:r>
      <w:proofErr w:type="gramEnd"/>
      <w:r w:rsidRPr="004B77DF">
        <w:rPr>
          <w:rFonts w:ascii="Calibri Light" w:eastAsiaTheme="majorEastAsia" w:hAnsi="Calibri Light" w:cs="Calibri Light"/>
        </w:rPr>
        <w:t xml:space="preserve"> or challenge.</w:t>
      </w:r>
    </w:p>
    <w:p w14:paraId="787B4354" w14:textId="77777777" w:rsidR="0012170F" w:rsidRPr="004B77DF" w:rsidRDefault="0012170F" w:rsidP="2F61CC43">
      <w:pPr>
        <w:pStyle w:val="BodyText"/>
        <w:numPr>
          <w:ilvl w:val="0"/>
          <w:numId w:val="5"/>
        </w:numPr>
        <w:ind w:left="426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</w:rPr>
        <w:t>Explanation of Australian support.</w:t>
      </w:r>
    </w:p>
    <w:p w14:paraId="2BD2EA0C" w14:textId="421D6128" w:rsidR="00AC5D94" w:rsidRPr="004B77DF" w:rsidRDefault="0012170F" w:rsidP="2F61CC43">
      <w:pPr>
        <w:pStyle w:val="BodyText"/>
        <w:numPr>
          <w:ilvl w:val="0"/>
          <w:numId w:val="5"/>
        </w:numPr>
        <w:ind w:left="426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</w:rPr>
        <w:t>Evidence of the change occurring as a direct result of Australian support</w:t>
      </w:r>
      <w:r w:rsidR="00204ABC" w:rsidRPr="004B77DF">
        <w:rPr>
          <w:rFonts w:ascii="Calibri Light" w:eastAsiaTheme="majorEastAsia" w:hAnsi="Calibri Light" w:cs="Calibri Light"/>
        </w:rPr>
        <w:t>,</w:t>
      </w:r>
      <w:r w:rsidRPr="004B77DF">
        <w:rPr>
          <w:rFonts w:ascii="Calibri Light" w:eastAsiaTheme="majorEastAsia" w:hAnsi="Calibri Light" w:cs="Calibri Light"/>
        </w:rPr>
        <w:t xml:space="preserve"> </w:t>
      </w:r>
      <w:r w:rsidR="00204ABC" w:rsidRPr="004B77DF">
        <w:rPr>
          <w:rFonts w:ascii="Calibri Light" w:eastAsiaTheme="majorEastAsia" w:hAnsi="Calibri Light" w:cs="Calibri Light"/>
        </w:rPr>
        <w:t xml:space="preserve">this </w:t>
      </w:r>
      <w:r w:rsidR="70608E75" w:rsidRPr="004B77DF">
        <w:rPr>
          <w:rFonts w:ascii="Calibri Light" w:eastAsiaTheme="majorEastAsia" w:hAnsi="Calibri Light" w:cs="Calibri Light"/>
        </w:rPr>
        <w:t>includes</w:t>
      </w:r>
      <w:r w:rsidRPr="004B77DF">
        <w:rPr>
          <w:rFonts w:ascii="Calibri Light" w:eastAsiaTheme="majorEastAsia" w:hAnsi="Calibri Light" w:cs="Calibri Light"/>
        </w:rPr>
        <w:t xml:space="preserve"> public attribution of support and connection to policy or regulation change</w:t>
      </w:r>
      <w:r w:rsidR="00204ABC" w:rsidRPr="004B77DF">
        <w:rPr>
          <w:rFonts w:ascii="Calibri Light" w:eastAsiaTheme="majorEastAsia" w:hAnsi="Calibri Light" w:cs="Calibri Light"/>
        </w:rPr>
        <w:t>;</w:t>
      </w:r>
      <w:r w:rsidRPr="004B77DF">
        <w:rPr>
          <w:rFonts w:ascii="Calibri Light" w:eastAsiaTheme="majorEastAsia" w:hAnsi="Calibri Light" w:cs="Calibri Light"/>
        </w:rPr>
        <w:t xml:space="preserve"> feedback from partner country government (written or verbal)</w:t>
      </w:r>
      <w:r w:rsidR="00204ABC" w:rsidRPr="004B77DF">
        <w:rPr>
          <w:rFonts w:ascii="Calibri Light" w:eastAsiaTheme="majorEastAsia" w:hAnsi="Calibri Light" w:cs="Calibri Light"/>
        </w:rPr>
        <w:t>;</w:t>
      </w:r>
      <w:r w:rsidRPr="004B77DF">
        <w:rPr>
          <w:rFonts w:ascii="Calibri Light" w:eastAsiaTheme="majorEastAsia" w:hAnsi="Calibri Light" w:cs="Calibri Light"/>
        </w:rPr>
        <w:t xml:space="preserve"> clear inference between content of advice, capacity or other support provided, timing of support, and</w:t>
      </w:r>
      <w:r w:rsidR="00204ABC" w:rsidRPr="004B77DF">
        <w:rPr>
          <w:rFonts w:ascii="Calibri Light" w:eastAsiaTheme="majorEastAsia" w:hAnsi="Calibri Light" w:cs="Calibri Light"/>
        </w:rPr>
        <w:t xml:space="preserve"> policy or regulation</w:t>
      </w:r>
      <w:r w:rsidRPr="004B77DF">
        <w:rPr>
          <w:rFonts w:ascii="Calibri Light" w:eastAsiaTheme="majorEastAsia" w:hAnsi="Calibri Light" w:cs="Calibri Light"/>
        </w:rPr>
        <w:t xml:space="preserve"> improvement</w:t>
      </w:r>
      <w:r w:rsidR="00204ABC" w:rsidRPr="004B77DF">
        <w:rPr>
          <w:rFonts w:ascii="Calibri Light" w:eastAsiaTheme="majorEastAsia" w:hAnsi="Calibri Light" w:cs="Calibri Light"/>
        </w:rPr>
        <w:t>.</w:t>
      </w:r>
      <w:r w:rsidRPr="004B77DF">
        <w:rPr>
          <w:rFonts w:ascii="Calibri Light" w:eastAsiaTheme="majorEastAsia" w:hAnsi="Calibri Light" w:cs="Calibri Light"/>
        </w:rPr>
        <w:t xml:space="preserve"> </w:t>
      </w:r>
      <w:r w:rsidR="00204ABC" w:rsidRPr="004B77DF">
        <w:rPr>
          <w:rFonts w:ascii="Calibri Light" w:eastAsiaTheme="majorEastAsia" w:hAnsi="Calibri Light" w:cs="Calibri Light"/>
        </w:rPr>
        <w:t>B</w:t>
      </w:r>
      <w:r w:rsidRPr="004B77DF">
        <w:rPr>
          <w:rFonts w:ascii="Calibri Light" w:eastAsiaTheme="majorEastAsia" w:hAnsi="Calibri Light" w:cs="Calibri Light"/>
        </w:rPr>
        <w:t>e aware of any other donor support in this space when infer</w:t>
      </w:r>
      <w:r w:rsidR="00AC5D94" w:rsidRPr="004B77DF">
        <w:rPr>
          <w:rFonts w:ascii="Calibri Light" w:eastAsiaTheme="majorEastAsia" w:hAnsi="Calibri Light" w:cs="Calibri Light"/>
        </w:rPr>
        <w:t>r</w:t>
      </w:r>
      <w:r w:rsidRPr="004B77DF">
        <w:rPr>
          <w:rFonts w:ascii="Calibri Light" w:eastAsiaTheme="majorEastAsia" w:hAnsi="Calibri Light" w:cs="Calibri Light"/>
        </w:rPr>
        <w:t>ing result.</w:t>
      </w:r>
    </w:p>
    <w:p w14:paraId="5569A3DA" w14:textId="77777777" w:rsidR="0012170F" w:rsidRPr="004B77DF" w:rsidRDefault="00AC5D94" w:rsidP="2F61CC43">
      <w:pPr>
        <w:pStyle w:val="BodyText"/>
        <w:numPr>
          <w:ilvl w:val="0"/>
          <w:numId w:val="5"/>
        </w:numPr>
        <w:ind w:left="426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</w:rPr>
        <w:t>Alignment to G20 Principles for Quality Infrastructure Investment, or similar internationally agreed standard.</w:t>
      </w:r>
    </w:p>
    <w:p w14:paraId="50BFC5B3" w14:textId="445EC0D5" w:rsidR="00A056B4" w:rsidRPr="004B77DF" w:rsidRDefault="0059583C" w:rsidP="2F61CC43">
      <w:pPr>
        <w:pStyle w:val="BodyText"/>
        <w:numPr>
          <w:ilvl w:val="0"/>
          <w:numId w:val="5"/>
        </w:numPr>
        <w:ind w:left="426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</w:rPr>
        <w:t>E</w:t>
      </w:r>
      <w:r w:rsidR="00A056B4" w:rsidRPr="004B77DF">
        <w:rPr>
          <w:rFonts w:ascii="Calibri Light" w:eastAsiaTheme="majorEastAsia" w:hAnsi="Calibri Light" w:cs="Calibri Light"/>
        </w:rPr>
        <w:t xml:space="preserve">vidence of the improved policy and or regulation </w:t>
      </w:r>
      <w:r w:rsidR="00FB132D" w:rsidRPr="004B77DF">
        <w:rPr>
          <w:rFonts w:ascii="Calibri Light" w:eastAsiaTheme="majorEastAsia" w:hAnsi="Calibri Light" w:cs="Calibri Light"/>
        </w:rPr>
        <w:t xml:space="preserve">which </w:t>
      </w:r>
      <w:r w:rsidR="294A6A31" w:rsidRPr="004B77DF">
        <w:rPr>
          <w:rFonts w:ascii="Calibri Light" w:eastAsiaTheme="majorEastAsia" w:hAnsi="Calibri Light" w:cs="Calibri Light"/>
        </w:rPr>
        <w:t>includes but</w:t>
      </w:r>
      <w:r w:rsidR="00A056B4" w:rsidRPr="004B77DF">
        <w:rPr>
          <w:rFonts w:ascii="Calibri Light" w:eastAsiaTheme="majorEastAsia" w:hAnsi="Calibri Light" w:cs="Calibri Light"/>
        </w:rPr>
        <w:t xml:space="preserve"> </w:t>
      </w:r>
      <w:r w:rsidR="00FB132D" w:rsidRPr="004B77DF">
        <w:rPr>
          <w:rFonts w:ascii="Calibri Light" w:eastAsiaTheme="majorEastAsia" w:hAnsi="Calibri Light" w:cs="Calibri Light"/>
        </w:rPr>
        <w:t>is</w:t>
      </w:r>
      <w:r w:rsidR="00A056B4" w:rsidRPr="004B77DF">
        <w:rPr>
          <w:rFonts w:ascii="Calibri Light" w:eastAsiaTheme="majorEastAsia" w:hAnsi="Calibri Light" w:cs="Calibri Light"/>
        </w:rPr>
        <w:t xml:space="preserve"> not limited </w:t>
      </w:r>
      <w:r w:rsidR="1AC7E872" w:rsidRPr="004B77DF">
        <w:rPr>
          <w:rFonts w:ascii="Calibri Light" w:eastAsiaTheme="majorEastAsia" w:hAnsi="Calibri Light" w:cs="Calibri Light"/>
        </w:rPr>
        <w:t>to</w:t>
      </w:r>
      <w:r w:rsidR="00A056B4" w:rsidRPr="004B77DF">
        <w:rPr>
          <w:rFonts w:ascii="Calibri Light" w:eastAsiaTheme="majorEastAsia" w:hAnsi="Calibri Light" w:cs="Calibri Light"/>
        </w:rPr>
        <w:t xml:space="preserve"> press releases of public announcements and commitments</w:t>
      </w:r>
      <w:r w:rsidR="00204ABC" w:rsidRPr="004B77DF">
        <w:rPr>
          <w:rFonts w:ascii="Calibri Light" w:eastAsiaTheme="majorEastAsia" w:hAnsi="Calibri Light" w:cs="Calibri Light"/>
        </w:rPr>
        <w:t>;</w:t>
      </w:r>
      <w:r w:rsidR="00A056B4" w:rsidRPr="004B77DF">
        <w:rPr>
          <w:rFonts w:ascii="Calibri Light" w:eastAsiaTheme="majorEastAsia" w:hAnsi="Calibri Light" w:cs="Calibri Light"/>
        </w:rPr>
        <w:t xml:space="preserve"> copies of Ministerial directives</w:t>
      </w:r>
      <w:r w:rsidR="00204ABC" w:rsidRPr="004B77DF">
        <w:rPr>
          <w:rFonts w:ascii="Calibri Light" w:eastAsiaTheme="majorEastAsia" w:hAnsi="Calibri Light" w:cs="Calibri Light"/>
        </w:rPr>
        <w:t>;</w:t>
      </w:r>
      <w:r w:rsidR="00A056B4" w:rsidRPr="004B77DF">
        <w:rPr>
          <w:rFonts w:ascii="Calibri Light" w:eastAsiaTheme="majorEastAsia" w:hAnsi="Calibri Light" w:cs="Calibri Light"/>
        </w:rPr>
        <w:t xml:space="preserve"> legislation or other written regulatory amendments</w:t>
      </w:r>
      <w:r w:rsidR="00204ABC" w:rsidRPr="004B77DF">
        <w:rPr>
          <w:rFonts w:ascii="Calibri Light" w:eastAsiaTheme="majorEastAsia" w:hAnsi="Calibri Light" w:cs="Calibri Light"/>
        </w:rPr>
        <w:t>;</w:t>
      </w:r>
      <w:r w:rsidR="00A056B4" w:rsidRPr="004B77DF">
        <w:rPr>
          <w:rFonts w:ascii="Calibri Light" w:eastAsiaTheme="majorEastAsia" w:hAnsi="Calibri Light" w:cs="Calibri Light"/>
        </w:rPr>
        <w:t xml:space="preserve"> provision of funding or additional resourcing to </w:t>
      </w:r>
      <w:r w:rsidR="00204ABC" w:rsidRPr="004B77DF">
        <w:rPr>
          <w:rFonts w:ascii="Calibri Light" w:eastAsiaTheme="majorEastAsia" w:hAnsi="Calibri Light" w:cs="Calibri Light"/>
        </w:rPr>
        <w:t>the infrastructure sector</w:t>
      </w:r>
      <w:r w:rsidR="00A056B4" w:rsidRPr="004B77DF">
        <w:rPr>
          <w:rFonts w:ascii="Calibri Light" w:eastAsiaTheme="majorEastAsia" w:hAnsi="Calibri Light" w:cs="Calibri Light"/>
        </w:rPr>
        <w:t xml:space="preserve">. </w:t>
      </w:r>
    </w:p>
    <w:p w14:paraId="68104642" w14:textId="77777777" w:rsidR="00261886" w:rsidRPr="00D4475C" w:rsidRDefault="00261886" w:rsidP="19FF392D">
      <w:pPr>
        <w:pStyle w:val="Heading2"/>
        <w:rPr>
          <w:rFonts w:asciiTheme="majorHAnsi" w:hAnsiTheme="majorHAnsi" w:cstheme="majorBidi"/>
        </w:rPr>
      </w:pPr>
      <w:r w:rsidRPr="19FF392D">
        <w:rPr>
          <w:rFonts w:asciiTheme="majorHAnsi" w:hAnsiTheme="majorHAnsi" w:cstheme="majorBidi"/>
        </w:rPr>
        <w:t>disaggregation</w:t>
      </w:r>
    </w:p>
    <w:p w14:paraId="536430D6" w14:textId="7D55734A" w:rsidR="00261886" w:rsidRPr="004B77DF" w:rsidRDefault="0059583C" w:rsidP="2F61CC43">
      <w:pPr>
        <w:pStyle w:val="BodyText"/>
        <w:jc w:val="both"/>
        <w:rPr>
          <w:rFonts w:ascii="Calibri Light" w:eastAsiaTheme="majorEastAsia" w:hAnsi="Calibri Light" w:cs="Calibri Light"/>
        </w:rPr>
      </w:pPr>
      <w:r w:rsidRPr="004B77DF">
        <w:rPr>
          <w:rFonts w:ascii="Calibri Light" w:eastAsiaTheme="majorEastAsia" w:hAnsi="Calibri Light" w:cs="Calibri Light"/>
        </w:rPr>
        <w:t xml:space="preserve">This indicator is designed to provide narrative reporting, </w:t>
      </w:r>
      <w:r w:rsidR="00204ABC" w:rsidRPr="004B77DF">
        <w:rPr>
          <w:rFonts w:ascii="Calibri Light" w:eastAsiaTheme="majorEastAsia" w:hAnsi="Calibri Light" w:cs="Calibri Light"/>
        </w:rPr>
        <w:t xml:space="preserve">therefore </w:t>
      </w:r>
      <w:r w:rsidRPr="004B77DF">
        <w:rPr>
          <w:rFonts w:ascii="Calibri Light" w:eastAsiaTheme="majorEastAsia" w:hAnsi="Calibri Light" w:cs="Calibri Light"/>
        </w:rPr>
        <w:t xml:space="preserve">disaggregated results data is not required except </w:t>
      </w:r>
      <w:bookmarkStart w:id="2" w:name="_Int_2AQwEmXi"/>
      <w:r w:rsidRPr="004B77DF">
        <w:rPr>
          <w:rFonts w:ascii="Calibri Light" w:eastAsiaTheme="majorEastAsia" w:hAnsi="Calibri Light" w:cs="Calibri Light"/>
        </w:rPr>
        <w:t>insofar as</w:t>
      </w:r>
      <w:bookmarkEnd w:id="2"/>
      <w:r w:rsidRPr="004B77DF">
        <w:rPr>
          <w:rFonts w:ascii="Calibri Light" w:eastAsiaTheme="majorEastAsia" w:hAnsi="Calibri Light" w:cs="Calibri Light"/>
        </w:rPr>
        <w:t xml:space="preserve"> data might be relevant to the example(s) provided</w:t>
      </w:r>
      <w:r w:rsidR="00261886" w:rsidRPr="004B77DF">
        <w:rPr>
          <w:rFonts w:ascii="Calibri Light" w:eastAsiaTheme="majorEastAsia" w:hAnsi="Calibri Light" w:cs="Calibri Light"/>
        </w:rPr>
        <w:t>.</w:t>
      </w:r>
    </w:p>
    <w:p w14:paraId="7F995C44" w14:textId="06BD0194" w:rsidR="00951173" w:rsidRPr="00D4475C" w:rsidRDefault="00261886" w:rsidP="19FF392D">
      <w:pPr>
        <w:pStyle w:val="Heading2"/>
        <w:rPr>
          <w:rFonts w:asciiTheme="majorHAnsi" w:hAnsiTheme="majorHAnsi" w:cstheme="majorBidi"/>
        </w:rPr>
      </w:pPr>
      <w:r w:rsidRPr="19FF392D">
        <w:rPr>
          <w:rFonts w:asciiTheme="majorHAnsi" w:hAnsiTheme="majorHAnsi" w:cstheme="majorBidi"/>
        </w:rPr>
        <w:t>Worked example</w:t>
      </w:r>
    </w:p>
    <w:p w14:paraId="3975890D" w14:textId="1427DB91" w:rsidR="00AF3E58" w:rsidRPr="004B77DF" w:rsidRDefault="00AF3E58" w:rsidP="2F61CC43">
      <w:pPr>
        <w:jc w:val="both"/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</w:pPr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An estimated 40 per cent of Indonesia’s district roads and </w:t>
      </w:r>
      <w:bookmarkStart w:id="3" w:name="_Int_yQLP4EtZ"/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nearly a</w:t>
      </w:r>
      <w:bookmarkEnd w:id="3"/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quarter of provincial roads are in poor condition, despite increases in road maintenance expenditure. From 2013-2022 the Indonesia Australia Partnership for Infrastructure (KIAT) supported the Indonesian Ministry of Public Works and Housing (MPWH) and Local Governments to improve the planning, </w:t>
      </w:r>
      <w:r w:rsidR="13DF3A48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prioritisation,</w:t>
      </w:r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and budgeting for </w:t>
      </w:r>
      <w:r w:rsidR="00AC5D94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subnational </w:t>
      </w:r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road maintenance. Australia’s support 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included the</w:t>
      </w:r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develop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ment</w:t>
      </w:r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and roll out 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of </w:t>
      </w:r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a bespoke asset management tool </w:t>
      </w:r>
      <w:r w:rsidR="00AC5D94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for </w:t>
      </w:r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Local Governments </w:t>
      </w:r>
      <w:r w:rsidR="58AA3809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to inform</w:t>
      </w:r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decisions on prioritising road maintenance activities, 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improving </w:t>
      </w:r>
      <w:r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value for money.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</w:t>
      </w:r>
      <w:r w:rsidR="00AC5D94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This supports principles 1, 2 and 6 of the G20 Principles of Quality Infrastructure Investment. 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Following the tool’s effective application, it has been embedded in Government of Indonesia </w:t>
      </w:r>
      <w:r w:rsidR="7CF32F3C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systems; the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MPWH issued </w:t>
      </w:r>
      <w:r w:rsidR="0012170F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>Ministerial Circular No. 01/SE/M/2023</w:t>
      </w:r>
      <w:r w:rsidR="00116828"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(</w:t>
      </w:r>
      <w:r w:rsidR="00116828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13 January 2023)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requiring the</w:t>
      </w:r>
      <w:r w:rsidR="00116828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tool’s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use for all subnational road maintenance programs. This includes roads funded by special allocations grants </w:t>
      </w:r>
      <w:r w:rsidR="00116828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-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 approximately $1.2 billion</w:t>
      </w:r>
      <w:r w:rsidR="00116828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>/</w:t>
      </w:r>
      <w:r w:rsidR="0012170F" w:rsidRPr="004B77DF"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  <w:t xml:space="preserve">year. </w:t>
      </w:r>
    </w:p>
    <w:p w14:paraId="3A386A01" w14:textId="4DACC67F" w:rsidR="0083099C" w:rsidRPr="004B77DF" w:rsidRDefault="0083099C" w:rsidP="2F61CC43">
      <w:pPr>
        <w:jc w:val="both"/>
        <w:rPr>
          <w:rFonts w:ascii="Calibri Light" w:eastAsiaTheme="majorEastAsia" w:hAnsi="Calibri Light" w:cs="Calibri Light"/>
          <w:i/>
          <w:iCs/>
          <w:color w:val="44546A" w:themeColor="text2"/>
          <w:sz w:val="22"/>
          <w:szCs w:val="22"/>
        </w:rPr>
      </w:pPr>
    </w:p>
    <w:p w14:paraId="451FE2CD" w14:textId="7AFABD51" w:rsidR="0083099C" w:rsidRPr="004B77DF" w:rsidRDefault="0083099C" w:rsidP="2F61CC43">
      <w:pPr>
        <w:jc w:val="both"/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</w:pP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In this example, each sentence responds to points 1)-5) in the </w:t>
      </w:r>
      <w:r w:rsidRPr="004B77DF">
        <w:rPr>
          <w:rFonts w:ascii="Calibri Light" w:eastAsiaTheme="majorEastAsia" w:hAnsi="Calibri Light" w:cs="Calibri Light"/>
          <w:b/>
          <w:bCs/>
          <w:color w:val="44546A" w:themeColor="text2"/>
          <w:sz w:val="22"/>
          <w:szCs w:val="22"/>
        </w:rPr>
        <w:t>Data Sources</w:t>
      </w: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(above) with the additional final sentence providing relevant quantitative information as per </w:t>
      </w:r>
      <w:r w:rsidRPr="004B77DF">
        <w:rPr>
          <w:rFonts w:ascii="Calibri Light" w:eastAsiaTheme="majorEastAsia" w:hAnsi="Calibri Light" w:cs="Calibri Light"/>
          <w:b/>
          <w:bCs/>
          <w:color w:val="44546A" w:themeColor="text2"/>
          <w:sz w:val="22"/>
          <w:szCs w:val="22"/>
        </w:rPr>
        <w:t>Calculation Method</w:t>
      </w:r>
      <w:r w:rsidRPr="004B77DF">
        <w:rPr>
          <w:rFonts w:ascii="Calibri Light" w:eastAsiaTheme="majorEastAsia" w:hAnsi="Calibri Light" w:cs="Calibri Light"/>
          <w:color w:val="44546A" w:themeColor="text2"/>
          <w:sz w:val="22"/>
          <w:szCs w:val="22"/>
        </w:rPr>
        <w:t xml:space="preserve"> (above) to support the significance of the policy improvement.</w:t>
      </w:r>
    </w:p>
    <w:sectPr w:rsidR="0083099C" w:rsidRPr="004B77DF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EF40" w14:textId="77777777" w:rsidR="001C0CA6" w:rsidRDefault="001C0CA6" w:rsidP="006301B9">
      <w:r>
        <w:separator/>
      </w:r>
    </w:p>
  </w:endnote>
  <w:endnote w:type="continuationSeparator" w:id="0">
    <w:p w14:paraId="00391609" w14:textId="77777777" w:rsidR="001C0CA6" w:rsidRDefault="001C0CA6" w:rsidP="006301B9">
      <w:r>
        <w:continuationSeparator/>
      </w:r>
    </w:p>
  </w:endnote>
  <w:endnote w:type="continuationNotice" w:id="1">
    <w:p w14:paraId="282FF4F8" w14:textId="77777777" w:rsidR="0004053C" w:rsidRDefault="00040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45437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6F392B" w14:textId="3CABD78F" w:rsidR="006301B9" w:rsidRDefault="006301B9" w:rsidP="00E460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F6CEFB" w14:textId="77777777" w:rsidR="006301B9" w:rsidRDefault="006301B9" w:rsidP="006301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15125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F3825" w14:textId="326DB2F5" w:rsidR="006301B9" w:rsidRDefault="006301B9" w:rsidP="00E460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E984FB" w14:textId="77777777" w:rsidR="006301B9" w:rsidRDefault="006301B9" w:rsidP="006301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1770" w14:textId="77777777" w:rsidR="001C0CA6" w:rsidRDefault="001C0CA6" w:rsidP="006301B9">
      <w:r>
        <w:separator/>
      </w:r>
    </w:p>
  </w:footnote>
  <w:footnote w:type="continuationSeparator" w:id="0">
    <w:p w14:paraId="3A3DE55A" w14:textId="77777777" w:rsidR="001C0CA6" w:rsidRDefault="001C0CA6" w:rsidP="006301B9">
      <w:r>
        <w:continuationSeparator/>
      </w:r>
    </w:p>
  </w:footnote>
  <w:footnote w:type="continuationNotice" w:id="1">
    <w:p w14:paraId="3B7DA337" w14:textId="77777777" w:rsidR="0004053C" w:rsidRDefault="000405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3435" w14:textId="0632794A" w:rsidR="62D4D0BA" w:rsidRDefault="62D4D0BA" w:rsidP="62D4D0BA">
    <w:pPr>
      <w:pStyle w:val="Header"/>
    </w:pPr>
    <w:r>
      <w:rPr>
        <w:noProof/>
      </w:rPr>
      <w:drawing>
        <wp:inline distT="0" distB="0" distL="0" distR="0" wp14:anchorId="27216CFC" wp14:editId="2353AF09">
          <wp:extent cx="3581400" cy="619125"/>
          <wp:effectExtent l="0" t="0" r="0" b="0"/>
          <wp:docPr id="853076059" name="Picture 853076059" descr="Australian Government - 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076059" name="Picture 853076059" descr="Australian Government - Department of Foreign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907"/>
    <w:multiLevelType w:val="hybridMultilevel"/>
    <w:tmpl w:val="404CFA62"/>
    <w:lvl w:ilvl="0" w:tplc="16B6CC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C98ED"/>
    <w:multiLevelType w:val="hybridMultilevel"/>
    <w:tmpl w:val="1BF03C62"/>
    <w:lvl w:ilvl="0" w:tplc="0D56D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E45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CC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C2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A1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C3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4F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4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83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93AE3"/>
    <w:multiLevelType w:val="hybridMultilevel"/>
    <w:tmpl w:val="9DB80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C069B"/>
    <w:multiLevelType w:val="hybridMultilevel"/>
    <w:tmpl w:val="3C5CE3FC"/>
    <w:lvl w:ilvl="0" w:tplc="F1340C7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96181"/>
    <w:multiLevelType w:val="hybridMultilevel"/>
    <w:tmpl w:val="CEF29E8A"/>
    <w:lvl w:ilvl="0" w:tplc="F1340C7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AF166"/>
    <w:multiLevelType w:val="hybridMultilevel"/>
    <w:tmpl w:val="402078AA"/>
    <w:lvl w:ilvl="0" w:tplc="71D42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184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43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68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64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65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8C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82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0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156804">
    <w:abstractNumId w:val="5"/>
  </w:num>
  <w:num w:numId="2" w16cid:durableId="1393426920">
    <w:abstractNumId w:val="1"/>
  </w:num>
  <w:num w:numId="3" w16cid:durableId="62988738">
    <w:abstractNumId w:val="4"/>
  </w:num>
  <w:num w:numId="4" w16cid:durableId="2004510312">
    <w:abstractNumId w:val="3"/>
  </w:num>
  <w:num w:numId="5" w16cid:durableId="482619225">
    <w:abstractNumId w:val="2"/>
  </w:num>
  <w:num w:numId="6" w16cid:durableId="2799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86"/>
    <w:rsid w:val="00031B4D"/>
    <w:rsid w:val="0004053C"/>
    <w:rsid w:val="00041A40"/>
    <w:rsid w:val="00116828"/>
    <w:rsid w:val="0012170F"/>
    <w:rsid w:val="0012543A"/>
    <w:rsid w:val="001C0CA6"/>
    <w:rsid w:val="00204ABC"/>
    <w:rsid w:val="00232376"/>
    <w:rsid w:val="00261886"/>
    <w:rsid w:val="00294EF3"/>
    <w:rsid w:val="002C1542"/>
    <w:rsid w:val="00372536"/>
    <w:rsid w:val="003D2ACF"/>
    <w:rsid w:val="0048482A"/>
    <w:rsid w:val="004B77DF"/>
    <w:rsid w:val="00575245"/>
    <w:rsid w:val="0059583C"/>
    <w:rsid w:val="005B7C16"/>
    <w:rsid w:val="00605D1D"/>
    <w:rsid w:val="006301B9"/>
    <w:rsid w:val="00637BEC"/>
    <w:rsid w:val="006F74F1"/>
    <w:rsid w:val="007D788B"/>
    <w:rsid w:val="0083099C"/>
    <w:rsid w:val="0092116D"/>
    <w:rsid w:val="00951173"/>
    <w:rsid w:val="00954636"/>
    <w:rsid w:val="00A056B4"/>
    <w:rsid w:val="00A13EAB"/>
    <w:rsid w:val="00AC5D94"/>
    <w:rsid w:val="00AD6581"/>
    <w:rsid w:val="00AE2CF0"/>
    <w:rsid w:val="00AF3E58"/>
    <w:rsid w:val="00B01481"/>
    <w:rsid w:val="00B14826"/>
    <w:rsid w:val="00B8670F"/>
    <w:rsid w:val="00BD3B6E"/>
    <w:rsid w:val="00D4475C"/>
    <w:rsid w:val="00D76534"/>
    <w:rsid w:val="00D92D3B"/>
    <w:rsid w:val="00DC730C"/>
    <w:rsid w:val="00E66492"/>
    <w:rsid w:val="00FB132D"/>
    <w:rsid w:val="00FE14F0"/>
    <w:rsid w:val="04F83479"/>
    <w:rsid w:val="13DF3A48"/>
    <w:rsid w:val="19FF392D"/>
    <w:rsid w:val="1A0C6908"/>
    <w:rsid w:val="1AC7E872"/>
    <w:rsid w:val="1BA83969"/>
    <w:rsid w:val="294A6A31"/>
    <w:rsid w:val="2F61CC43"/>
    <w:rsid w:val="491AC150"/>
    <w:rsid w:val="4CCD2CE3"/>
    <w:rsid w:val="54475A4A"/>
    <w:rsid w:val="58AA3809"/>
    <w:rsid w:val="5903A27D"/>
    <w:rsid w:val="62D4D0BA"/>
    <w:rsid w:val="6F814C19"/>
    <w:rsid w:val="70608E75"/>
    <w:rsid w:val="744B3E17"/>
    <w:rsid w:val="7CF32F3C"/>
    <w:rsid w:val="7EF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56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475C"/>
    <w:pPr>
      <w:keepNext/>
      <w:keepLines/>
      <w:suppressAutoHyphens/>
      <w:spacing w:before="480" w:after="120" w:line="380" w:lineRule="exact"/>
      <w:contextualSpacing/>
      <w:jc w:val="center"/>
      <w:outlineLvl w:val="0"/>
    </w:pPr>
    <w:rPr>
      <w:rFonts w:eastAsiaTheme="majorEastAsia" w:cstheme="minorHAnsi"/>
      <w:b/>
      <w:caps/>
      <w:color w:val="44546A" w:themeColor="text2"/>
      <w:kern w:val="0"/>
      <w:sz w:val="40"/>
      <w:szCs w:val="40"/>
      <w:lang w:val="en-GB"/>
      <w14:ligatures w14:val="none"/>
    </w:rPr>
  </w:style>
  <w:style w:type="paragraph" w:styleId="Heading2">
    <w:name w:val="heading 2"/>
    <w:basedOn w:val="Style5"/>
    <w:next w:val="Normal"/>
    <w:link w:val="Heading2Char"/>
    <w:unhideWhenUsed/>
    <w:qFormat/>
    <w:rsid w:val="00D4475C"/>
    <w:rPr>
      <w:rFonts w:asciiTheme="minorHAnsi" w:hAnsiTheme="minorHAns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75C"/>
    <w:rPr>
      <w:rFonts w:eastAsiaTheme="majorEastAsia" w:cstheme="minorHAnsi"/>
      <w:b/>
      <w:caps/>
      <w:color w:val="44546A" w:themeColor="text2"/>
      <w:kern w:val="0"/>
      <w:sz w:val="40"/>
      <w:szCs w:val="4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D4475C"/>
    <w:rPr>
      <w:rFonts w:eastAsiaTheme="majorEastAsia" w:cstheme="minorHAnsi"/>
      <w:b/>
      <w:caps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261886"/>
    <w:rPr>
      <w:b/>
      <w:i/>
      <w:iCs/>
      <w:color w:val="44546A" w:themeColor="text2"/>
    </w:rPr>
  </w:style>
  <w:style w:type="paragraph" w:styleId="BodyText">
    <w:name w:val="Body Text"/>
    <w:basedOn w:val="Normal"/>
    <w:link w:val="BodyTextChar"/>
    <w:uiPriority w:val="99"/>
    <w:unhideWhenUsed/>
    <w:qFormat/>
    <w:rsid w:val="00261886"/>
    <w:pPr>
      <w:suppressAutoHyphens/>
      <w:spacing w:before="120" w:after="60" w:line="260" w:lineRule="atLeast"/>
    </w:pPr>
    <w:rPr>
      <w:color w:val="44546A" w:themeColor="text2"/>
      <w:kern w:val="0"/>
      <w:sz w:val="22"/>
      <w:szCs w:val="22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61886"/>
    <w:rPr>
      <w:color w:val="44546A" w:themeColor="text2"/>
      <w:kern w:val="0"/>
      <w:sz w:val="22"/>
      <w:szCs w:val="22"/>
      <w:lang w:val="en-GB"/>
      <w14:ligatures w14:val="none"/>
    </w:rPr>
  </w:style>
  <w:style w:type="paragraph" w:styleId="ListBullet">
    <w:name w:val="List Bullet"/>
    <w:basedOn w:val="BodyText"/>
    <w:unhideWhenUsed/>
    <w:qFormat/>
    <w:rsid w:val="00261886"/>
    <w:pPr>
      <w:suppressAutoHyphens w:val="0"/>
      <w:spacing w:before="80" w:after="120" w:line="360" w:lineRule="auto"/>
      <w:ind w:left="360" w:hanging="360"/>
    </w:pPr>
    <w:rPr>
      <w:rFonts w:ascii="Franklin Gothic Book" w:eastAsia="Times New Roman" w:hAnsi="Franklin Gothic Book" w:cs="Times New Roman"/>
      <w:color w:val="auto"/>
      <w:sz w:val="21"/>
      <w:szCs w:val="24"/>
      <w:lang w:val="en-AU" w:eastAsia="en-AU"/>
    </w:rPr>
  </w:style>
  <w:style w:type="paragraph" w:customStyle="1" w:styleId="PublicationDate">
    <w:name w:val="Publication Date"/>
    <w:next w:val="Heading1"/>
    <w:rsid w:val="00261886"/>
    <w:pPr>
      <w:spacing w:after="360" w:line="276" w:lineRule="auto"/>
    </w:pPr>
    <w:rPr>
      <w:rFonts w:ascii="Helvetica" w:eastAsia="Times New Roman" w:hAnsi="Helvetica" w:cs="Times New Roman"/>
      <w:color w:val="A8A5A8"/>
      <w:spacing w:val="-10"/>
      <w:kern w:val="24"/>
      <w:szCs w:val="28"/>
      <w:lang w:val="en-AU" w:eastAsia="en-AU"/>
      <w14:ligatures w14:val="none"/>
    </w:rPr>
  </w:style>
  <w:style w:type="paragraph" w:customStyle="1" w:styleId="Style3">
    <w:name w:val="Style3"/>
    <w:basedOn w:val="Heading2"/>
    <w:link w:val="Style3Char"/>
    <w:qFormat/>
    <w:rsid w:val="00261886"/>
    <w:rPr>
      <w:b w:val="0"/>
      <w:sz w:val="36"/>
      <w:szCs w:val="36"/>
    </w:rPr>
  </w:style>
  <w:style w:type="character" w:customStyle="1" w:styleId="Style3Char">
    <w:name w:val="Style3 Char"/>
    <w:basedOn w:val="Heading2Char"/>
    <w:link w:val="Style3"/>
    <w:rsid w:val="00261886"/>
    <w:rPr>
      <w:rFonts w:asciiTheme="majorHAnsi" w:eastAsiaTheme="majorEastAsia" w:hAnsiTheme="majorHAnsi" w:cstheme="majorBidi"/>
      <w:b w:val="0"/>
      <w:caps/>
      <w:color w:val="44546A" w:themeColor="text2"/>
      <w:kern w:val="0"/>
      <w:sz w:val="36"/>
      <w:szCs w:val="36"/>
      <w:lang w:val="en-GB"/>
      <w14:ligatures w14:val="none"/>
    </w:rPr>
  </w:style>
  <w:style w:type="paragraph" w:customStyle="1" w:styleId="Style5">
    <w:name w:val="Style5"/>
    <w:basedOn w:val="Normal"/>
    <w:link w:val="Style5Char"/>
    <w:qFormat/>
    <w:rsid w:val="00261886"/>
    <w:pPr>
      <w:keepNext/>
      <w:keepLines/>
      <w:suppressAutoHyphens/>
      <w:spacing w:before="360" w:after="120" w:line="260" w:lineRule="exact"/>
      <w:contextualSpacing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Style5Char">
    <w:name w:val="Style5 Char"/>
    <w:basedOn w:val="DefaultParagraphFont"/>
    <w:link w:val="Style5"/>
    <w:rsid w:val="00261886"/>
    <w:rPr>
      <w:rFonts w:asciiTheme="majorHAnsi" w:eastAsiaTheme="majorEastAsia" w:hAnsiTheme="majorHAnsi" w:cstheme="majorBidi"/>
      <w:b/>
      <w:caps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D6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5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58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2A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99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0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1B9"/>
  </w:style>
  <w:style w:type="character" w:styleId="PageNumber">
    <w:name w:val="page number"/>
    <w:basedOn w:val="DefaultParagraphFont"/>
    <w:uiPriority w:val="99"/>
    <w:semiHidden/>
    <w:unhideWhenUsed/>
    <w:rsid w:val="006301B9"/>
  </w:style>
  <w:style w:type="paragraph" w:styleId="Header">
    <w:name w:val="header"/>
    <w:basedOn w:val="Normal"/>
    <w:link w:val="HeaderChar"/>
    <w:uiPriority w:val="99"/>
    <w:unhideWhenUsed/>
    <w:rsid w:val="00031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B4D"/>
  </w:style>
  <w:style w:type="paragraph" w:styleId="Revision">
    <w:name w:val="Revision"/>
    <w:hidden/>
    <w:uiPriority w:val="99"/>
    <w:semiHidden/>
    <w:rsid w:val="0063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DD4E9CB4934BBB0A4D2E9ADAB25F" ma:contentTypeVersion="5" ma:contentTypeDescription="Create a new document." ma:contentTypeScope="" ma:versionID="ba4897ce409b1299a66540d0c0005b59">
  <xsd:schema xmlns:xsd="http://www.w3.org/2001/XMLSchema" xmlns:xs="http://www.w3.org/2001/XMLSchema" xmlns:p="http://schemas.microsoft.com/office/2006/metadata/properties" xmlns:ns2="e7c2167f-7f62-42c8-b17f-4fb54f1eb712" targetNamespace="http://schemas.microsoft.com/office/2006/metadata/properties" ma:root="true" ma:fieldsID="63ab0f6317e205a4e62fc752498a359d" ns2:_="">
    <xsd:import namespace="e7c2167f-7f62-42c8-b17f-4fb54f1eb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2167f-7f62-42c8-b17f-4fb54f1e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9964C3-BDA9-46EE-9478-38D376A08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2167f-7f62-42c8-b17f-4fb54f1eb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0AE5C-842C-425B-A3CD-C0B6C41FC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1E7B7-3A15-4079-9C6E-0470EAEB2189}">
  <ds:schemaRefs>
    <ds:schemaRef ds:uri="http://purl.org/dc/dcmitype/"/>
    <ds:schemaRef ds:uri="e7c2167f-7f62-42c8-b17f-4fb54f1eb712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79EAD08-AB97-FB43-B0BF-E60A4583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4406</Characters>
  <Application>Microsoft Office Word</Application>
  <DocSecurity>0</DocSecurity>
  <Lines>74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2 Technical Note – Infrastructure (policy and regulations)</vt:lpstr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Technical Note – Infrastructure (policy and regulations)</dc:title>
  <dc:subject/>
  <dc:creator/>
  <cp:keywords>[SEC=OFFICIAL]</cp:keywords>
  <dc:description/>
  <cp:lastModifiedBy/>
  <cp:revision>4</cp:revision>
  <dcterms:created xsi:type="dcterms:W3CDTF">2023-12-06T05:28:00Z</dcterms:created>
  <dcterms:modified xsi:type="dcterms:W3CDTF">2024-06-19T05:04:00Z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v=2022.1;a=SHA256;h=BFD471AFC3BEA972090824270072266DC293F4B61BE6FC91EDA93C71E0DD2D4C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899E4EA469A04FB023F4432B63374BB33589BF8A</vt:lpwstr>
  </property>
  <property fmtid="{D5CDD505-2E9C-101B-9397-08002B2CF9AE}" pid="9" name="PM_Originating_FileId">
    <vt:lpwstr>9958D630BB30425FB771103658456995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2023-11-16T11:06:24Z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CE520A5C37D98BB62401D6AFAFD16A1F</vt:lpwstr>
  </property>
  <property fmtid="{D5CDD505-2E9C-101B-9397-08002B2CF9AE}" pid="22" name="PM_Hash_Salt">
    <vt:lpwstr>E86DD0D7DDE2C58E2F23660AFED0A514</vt:lpwstr>
  </property>
  <property fmtid="{D5CDD505-2E9C-101B-9397-08002B2CF9AE}" pid="23" name="PM_Hash_SHA1">
    <vt:lpwstr>C2D52219E6742864F48EFC3BF5AB2D5129D7C7DD</vt:lpwstr>
  </property>
  <property fmtid="{D5CDD505-2E9C-101B-9397-08002B2CF9AE}" pid="24" name="PM_OriginatorUserAccountName_SHA256">
    <vt:lpwstr>290C9CFCFE70E139C4500567FB5830ACF9049F26A1998DDACA65669D45D5D2AD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ContentTypeId">
    <vt:lpwstr>0x01010002B7DD4E9CB4934BBB0A4D2E9ADAB25F</vt:lpwstr>
  </property>
  <property fmtid="{D5CDD505-2E9C-101B-9397-08002B2CF9AE}" pid="30" name="MediaServiceImageTags">
    <vt:lpwstr/>
  </property>
</Properties>
</file>