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8BB3" w14:textId="01A56430" w:rsidR="00C4292B" w:rsidRPr="001A3142" w:rsidRDefault="00C4292B" w:rsidP="00DD16E1">
      <w:pPr>
        <w:pStyle w:val="Heading1"/>
        <w:spacing w:after="0"/>
      </w:pPr>
      <w:bookmarkStart w:id="0" w:name="_Toc441151562"/>
      <w:r w:rsidRPr="529FA985">
        <w:t>TIER 2 INDICATOR Technical Note</w:t>
      </w:r>
    </w:p>
    <w:p w14:paraId="0A162EA4" w14:textId="2E121960" w:rsidR="00C4292B" w:rsidRPr="00DD16E1" w:rsidRDefault="00D10BC1" w:rsidP="00FA2C97">
      <w:pPr>
        <w:pStyle w:val="Heading2"/>
        <w:spacing w:line="240" w:lineRule="auto"/>
        <w:rPr>
          <w:i/>
          <w:iCs/>
        </w:rPr>
      </w:pPr>
      <w:bookmarkStart w:id="1" w:name="_Hlk95377738"/>
      <w:bookmarkEnd w:id="0"/>
      <w:r w:rsidRPr="00DD16E1">
        <w:rPr>
          <w:i/>
          <w:iCs/>
        </w:rPr>
        <w:t>maritime security</w:t>
      </w:r>
    </w:p>
    <w:p w14:paraId="592C5C10" w14:textId="38435621" w:rsidR="00BF3DDA" w:rsidRDefault="00D80378" w:rsidP="2A0C94D8">
      <w:pPr>
        <w:spacing w:before="120" w:after="120"/>
        <w:jc w:val="both"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2A0C94D8">
        <w:rPr>
          <w:rFonts w:asciiTheme="majorHAnsi" w:eastAsiaTheme="majorEastAsia" w:hAnsiTheme="majorHAnsi" w:cstheme="majorBidi"/>
          <w:color w:val="44546A" w:themeColor="text2"/>
          <w:lang w:val="en-GB"/>
        </w:rPr>
        <w:t>Australian support (including through technical assistance, capacity building and data/information sharing) contributes to</w:t>
      </w:r>
      <w:r w:rsidR="00916C83" w:rsidRPr="2A0C94D8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designed to assist in </w:t>
      </w:r>
      <w:r w:rsidR="00BE0480" w:rsidRPr="2A0C94D8">
        <w:rPr>
          <w:rFonts w:asciiTheme="majorHAnsi" w:eastAsiaTheme="majorEastAsia" w:hAnsiTheme="majorHAnsi" w:cstheme="majorBidi"/>
          <w:color w:val="44546A" w:themeColor="text2"/>
          <w:lang w:val="en-GB"/>
        </w:rPr>
        <w:t>strengthen</w:t>
      </w:r>
      <w:r w:rsidR="00916C83" w:rsidRPr="2A0C94D8">
        <w:rPr>
          <w:rFonts w:asciiTheme="majorHAnsi" w:eastAsiaTheme="majorEastAsia" w:hAnsiTheme="majorHAnsi" w:cstheme="majorBidi"/>
          <w:color w:val="44546A" w:themeColor="text2"/>
          <w:lang w:val="en-GB"/>
        </w:rPr>
        <w:t>ing</w:t>
      </w:r>
      <w:r w:rsidRPr="2A0C94D8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partner countries’ resilience and ability to manage</w:t>
      </w:r>
      <w:r w:rsidR="00BE0480" w:rsidRPr="2A0C94D8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and protect</w:t>
      </w:r>
      <w:r w:rsidRPr="2A0C94D8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their maritime domains and marine resources.</w:t>
      </w:r>
    </w:p>
    <w:p w14:paraId="04BD1AB0" w14:textId="3C746AA7" w:rsidR="007D74DE" w:rsidRPr="0029186D" w:rsidRDefault="00B90C40" w:rsidP="2A0C94D8">
      <w:pPr>
        <w:spacing w:before="120" w:after="120"/>
        <w:jc w:val="both"/>
        <w:rPr>
          <w:rFonts w:asciiTheme="majorHAnsi" w:eastAsiaTheme="majorEastAsia" w:hAnsiTheme="majorHAnsi" w:cstheme="majorBidi"/>
          <w:color w:val="44546A" w:themeColor="text2"/>
          <w:lang w:val="en-GB"/>
        </w:rPr>
      </w:pPr>
      <w:r w:rsidRPr="2A0C94D8">
        <w:rPr>
          <w:rFonts w:asciiTheme="majorHAnsi" w:eastAsiaTheme="majorEastAsia" w:hAnsiTheme="majorHAnsi" w:cstheme="majorBidi"/>
          <w:color w:val="44546A" w:themeColor="text2"/>
          <w:lang w:val="en-GB"/>
        </w:rPr>
        <w:t>Note that</w:t>
      </w:r>
      <w:r w:rsidR="00BF3DDA" w:rsidRPr="2A0C94D8">
        <w:rPr>
          <w:rFonts w:asciiTheme="majorHAnsi" w:eastAsiaTheme="majorEastAsia" w:hAnsiTheme="majorHAnsi" w:cstheme="majorBidi"/>
          <w:color w:val="44546A" w:themeColor="text2"/>
          <w:lang w:val="en-GB"/>
        </w:rPr>
        <w:t xml:space="preserve"> t</w:t>
      </w:r>
      <w:r w:rsidRPr="2A0C94D8">
        <w:rPr>
          <w:rFonts w:asciiTheme="majorHAnsi" w:eastAsiaTheme="majorEastAsia" w:hAnsiTheme="majorHAnsi" w:cstheme="majorBidi"/>
          <w:color w:val="44546A" w:themeColor="text2"/>
          <w:lang w:val="en-GB"/>
        </w:rPr>
        <w:t>his Technical Note covers civil maritime security only</w:t>
      </w:r>
      <w:r w:rsidR="00BF3DDA" w:rsidRPr="2A0C94D8">
        <w:rPr>
          <w:rFonts w:asciiTheme="majorHAnsi" w:eastAsiaTheme="majorEastAsia" w:hAnsiTheme="majorHAnsi" w:cstheme="majorBidi"/>
          <w:color w:val="44546A" w:themeColor="text2"/>
          <w:lang w:val="en-GB"/>
        </w:rPr>
        <w:t>.</w:t>
      </w:r>
    </w:p>
    <w:bookmarkEnd w:id="1"/>
    <w:p w14:paraId="1008108A" w14:textId="45F498B5" w:rsidR="00C4292B" w:rsidRPr="001A3142" w:rsidRDefault="00C4292B" w:rsidP="2A0C94D8">
      <w:pPr>
        <w:pStyle w:val="PublicationDate"/>
        <w:spacing w:before="120" w:after="120" w:line="240" w:lineRule="auto"/>
        <w:jc w:val="both"/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</w:pPr>
      <w:r w:rsidRPr="2A0C94D8"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  <w:t xml:space="preserve">Last updated: </w:t>
      </w:r>
      <w:r w:rsidR="00685DAD" w:rsidRPr="2A0C94D8"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  <w:t xml:space="preserve">April </w:t>
      </w:r>
      <w:r w:rsidR="00AF55F5" w:rsidRPr="2A0C94D8"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  <w:t>202</w:t>
      </w:r>
      <w:r w:rsidR="00685DAD" w:rsidRPr="2A0C94D8">
        <w:rPr>
          <w:rFonts w:asciiTheme="majorHAnsi" w:eastAsiaTheme="majorEastAsia" w:hAnsiTheme="majorHAnsi" w:cstheme="majorBidi"/>
          <w:b/>
          <w:bCs/>
          <w:color w:val="44546A" w:themeColor="text2"/>
          <w:sz w:val="22"/>
          <w:szCs w:val="22"/>
        </w:rPr>
        <w:t>4</w:t>
      </w:r>
    </w:p>
    <w:p w14:paraId="2751BEF5" w14:textId="704FE738" w:rsidR="00975096" w:rsidRPr="00DD16E1" w:rsidRDefault="00C4292B" w:rsidP="00DD16E1">
      <w:pPr>
        <w:pStyle w:val="Heading2"/>
      </w:pPr>
      <w:r w:rsidRPr="00DD16E1">
        <w:t>Definition</w:t>
      </w:r>
      <w:r w:rsidR="006643BB" w:rsidRPr="00DD16E1">
        <w:t>S</w:t>
      </w:r>
    </w:p>
    <w:p w14:paraId="34131F66" w14:textId="06FA7350" w:rsidR="00D63EB4" w:rsidRPr="00D63EB4" w:rsidRDefault="00D63EB4" w:rsidP="2A0C94D8">
      <w:pPr>
        <w:pStyle w:val="BodyText"/>
        <w:jc w:val="both"/>
        <w:rPr>
          <w:rFonts w:asciiTheme="majorHAnsi" w:eastAsiaTheme="majorEastAsia" w:hAnsiTheme="majorHAnsi" w:cstheme="majorBidi"/>
          <w:b/>
          <w:bCs/>
        </w:rPr>
      </w:pPr>
      <w:r w:rsidRPr="2A0C94D8">
        <w:rPr>
          <w:rFonts w:asciiTheme="majorHAnsi" w:eastAsiaTheme="majorEastAsia" w:hAnsiTheme="majorHAnsi" w:cstheme="majorBidi"/>
          <w:b/>
          <w:bCs/>
        </w:rPr>
        <w:t xml:space="preserve">Capacity building </w:t>
      </w:r>
      <w:r w:rsidRPr="2A0C94D8">
        <w:rPr>
          <w:rFonts w:asciiTheme="majorHAnsi" w:eastAsiaTheme="majorEastAsia" w:hAnsiTheme="majorHAnsi" w:cstheme="majorBidi"/>
        </w:rPr>
        <w:t>means</w:t>
      </w:r>
      <w:r w:rsidR="00DB1B8E" w:rsidRPr="2A0C94D8">
        <w:rPr>
          <w:rFonts w:asciiTheme="majorHAnsi" w:eastAsiaTheme="majorEastAsia" w:hAnsiTheme="majorHAnsi" w:cstheme="majorBidi"/>
        </w:rPr>
        <w:t xml:space="preserve"> maritime</w:t>
      </w:r>
      <w:r w:rsidRPr="2A0C94D8">
        <w:rPr>
          <w:rFonts w:asciiTheme="majorHAnsi" w:eastAsiaTheme="majorEastAsia" w:hAnsiTheme="majorHAnsi" w:cstheme="majorBidi"/>
        </w:rPr>
        <w:t xml:space="preserve"> </w:t>
      </w:r>
      <w:r w:rsidR="008E26E1" w:rsidRPr="2A0C94D8">
        <w:rPr>
          <w:rFonts w:asciiTheme="majorHAnsi" w:eastAsiaTheme="majorEastAsia" w:hAnsiTheme="majorHAnsi" w:cstheme="majorBidi"/>
        </w:rPr>
        <w:t>s</w:t>
      </w:r>
      <w:r w:rsidRPr="2A0C94D8">
        <w:rPr>
          <w:rFonts w:asciiTheme="majorHAnsi" w:eastAsiaTheme="majorEastAsia" w:hAnsiTheme="majorHAnsi" w:cstheme="majorBidi"/>
        </w:rPr>
        <w:t xml:space="preserve">upport (such as financial, technical, </w:t>
      </w:r>
      <w:r w:rsidR="004046BB" w:rsidRPr="2A0C94D8">
        <w:rPr>
          <w:rFonts w:asciiTheme="majorHAnsi" w:eastAsiaTheme="majorEastAsia" w:hAnsiTheme="majorHAnsi" w:cstheme="majorBidi"/>
        </w:rPr>
        <w:t xml:space="preserve">equipment, </w:t>
      </w:r>
      <w:proofErr w:type="gramStart"/>
      <w:r w:rsidRPr="2A0C94D8">
        <w:rPr>
          <w:rFonts w:asciiTheme="majorHAnsi" w:eastAsiaTheme="majorEastAsia" w:hAnsiTheme="majorHAnsi" w:cstheme="majorBidi"/>
        </w:rPr>
        <w:t>training</w:t>
      </w:r>
      <w:proofErr w:type="gramEnd"/>
      <w:r w:rsidRPr="2A0C94D8">
        <w:rPr>
          <w:rFonts w:asciiTheme="majorHAnsi" w:eastAsiaTheme="majorEastAsia" w:hAnsiTheme="majorHAnsi" w:cstheme="majorBidi"/>
        </w:rPr>
        <w:t xml:space="preserve"> and mentoring) that aims to </w:t>
      </w:r>
      <w:r w:rsidR="00985532" w:rsidRPr="2A0C94D8">
        <w:rPr>
          <w:rFonts w:asciiTheme="majorHAnsi" w:eastAsiaTheme="majorEastAsia" w:hAnsiTheme="majorHAnsi" w:cstheme="majorBidi"/>
        </w:rPr>
        <w:t>strengthen</w:t>
      </w:r>
      <w:r w:rsidRPr="2A0C94D8">
        <w:rPr>
          <w:rFonts w:asciiTheme="majorHAnsi" w:eastAsiaTheme="majorEastAsia" w:hAnsiTheme="majorHAnsi" w:cstheme="majorBidi"/>
        </w:rPr>
        <w:t xml:space="preserve"> an organisation’s capabilities, skills, processes and resources to achiev</w:t>
      </w:r>
      <w:r w:rsidR="00985532" w:rsidRPr="2A0C94D8">
        <w:rPr>
          <w:rFonts w:asciiTheme="majorHAnsi" w:eastAsiaTheme="majorEastAsia" w:hAnsiTheme="majorHAnsi" w:cstheme="majorBidi"/>
        </w:rPr>
        <w:t>e</w:t>
      </w:r>
      <w:r w:rsidRPr="2A0C94D8">
        <w:rPr>
          <w:rFonts w:asciiTheme="majorHAnsi" w:eastAsiaTheme="majorEastAsia" w:hAnsiTheme="majorHAnsi" w:cstheme="majorBidi"/>
        </w:rPr>
        <w:t xml:space="preserve"> mutually beneficial outcomes.</w:t>
      </w:r>
      <w:r w:rsidRPr="2A0C94D8">
        <w:rPr>
          <w:rFonts w:asciiTheme="majorHAnsi" w:eastAsiaTheme="majorEastAsia" w:hAnsiTheme="majorHAnsi" w:cstheme="majorBidi"/>
          <w:b/>
          <w:bCs/>
        </w:rPr>
        <w:t xml:space="preserve">  </w:t>
      </w:r>
    </w:p>
    <w:p w14:paraId="41498925" w14:textId="46C544EF" w:rsidR="00423C7B" w:rsidRPr="001B5105" w:rsidRDefault="00423C7B" w:rsidP="2A0C94D8">
      <w:pPr>
        <w:pStyle w:val="BodyText"/>
        <w:jc w:val="both"/>
        <w:rPr>
          <w:rFonts w:asciiTheme="majorHAnsi" w:eastAsiaTheme="majorEastAsia" w:hAnsiTheme="majorHAnsi" w:cstheme="majorBidi"/>
        </w:rPr>
      </w:pPr>
      <w:r w:rsidRPr="2A0C94D8">
        <w:rPr>
          <w:rFonts w:asciiTheme="majorHAnsi" w:eastAsiaTheme="majorEastAsia" w:hAnsiTheme="majorHAnsi" w:cstheme="majorBidi"/>
          <w:b/>
          <w:bCs/>
        </w:rPr>
        <w:t>Information sharing</w:t>
      </w:r>
      <w:r w:rsidR="00281DE3" w:rsidRPr="2A0C94D8">
        <w:rPr>
          <w:rFonts w:asciiTheme="majorHAnsi" w:eastAsiaTheme="majorEastAsia" w:hAnsiTheme="majorHAnsi" w:cstheme="majorBidi"/>
          <w:b/>
          <w:bCs/>
        </w:rPr>
        <w:t xml:space="preserve"> </w:t>
      </w:r>
      <w:r w:rsidR="003331CB" w:rsidRPr="2A0C94D8">
        <w:rPr>
          <w:rFonts w:asciiTheme="majorHAnsi" w:eastAsiaTheme="majorEastAsia" w:hAnsiTheme="majorHAnsi" w:cstheme="majorBidi"/>
        </w:rPr>
        <w:t xml:space="preserve">means </w:t>
      </w:r>
      <w:r w:rsidR="00BD39F9" w:rsidRPr="2A0C94D8">
        <w:rPr>
          <w:rFonts w:asciiTheme="majorHAnsi" w:eastAsiaTheme="majorEastAsia" w:hAnsiTheme="majorHAnsi" w:cstheme="majorBidi"/>
        </w:rPr>
        <w:t xml:space="preserve">the facilitation of access to </w:t>
      </w:r>
      <w:r w:rsidR="007651EF" w:rsidRPr="2A0C94D8">
        <w:rPr>
          <w:rFonts w:asciiTheme="majorHAnsi" w:eastAsiaTheme="majorEastAsia" w:hAnsiTheme="majorHAnsi" w:cstheme="majorBidi"/>
        </w:rPr>
        <w:t>maritime data</w:t>
      </w:r>
      <w:r w:rsidR="0071199D" w:rsidRPr="2A0C94D8">
        <w:rPr>
          <w:rFonts w:asciiTheme="majorHAnsi" w:eastAsiaTheme="majorEastAsia" w:hAnsiTheme="majorHAnsi" w:cstheme="majorBidi"/>
        </w:rPr>
        <w:t xml:space="preserve"> (</w:t>
      </w:r>
      <w:r w:rsidR="00B92C3C" w:rsidRPr="2A0C94D8">
        <w:rPr>
          <w:rFonts w:asciiTheme="majorHAnsi" w:eastAsiaTheme="majorEastAsia" w:hAnsiTheme="majorHAnsi" w:cstheme="majorBidi"/>
        </w:rPr>
        <w:t xml:space="preserve">for example, </w:t>
      </w:r>
      <w:r w:rsidR="008E1B7E" w:rsidRPr="2A0C94D8">
        <w:rPr>
          <w:rFonts w:asciiTheme="majorHAnsi" w:eastAsiaTheme="majorEastAsia" w:hAnsiTheme="majorHAnsi" w:cstheme="majorBidi"/>
        </w:rPr>
        <w:t>geospatial</w:t>
      </w:r>
      <w:r w:rsidR="00B74D36" w:rsidRPr="2A0C94D8">
        <w:rPr>
          <w:rFonts w:asciiTheme="majorHAnsi" w:eastAsiaTheme="majorEastAsia" w:hAnsiTheme="majorHAnsi" w:cstheme="majorBidi"/>
        </w:rPr>
        <w:t xml:space="preserve">, satellite imagery, </w:t>
      </w:r>
      <w:r w:rsidR="00A868C5" w:rsidRPr="2A0C94D8">
        <w:rPr>
          <w:rFonts w:asciiTheme="majorHAnsi" w:eastAsiaTheme="majorEastAsia" w:hAnsiTheme="majorHAnsi" w:cstheme="majorBidi"/>
        </w:rPr>
        <w:t xml:space="preserve">and </w:t>
      </w:r>
      <w:r w:rsidR="00892C8E" w:rsidRPr="2A0C94D8">
        <w:rPr>
          <w:rFonts w:asciiTheme="majorHAnsi" w:eastAsiaTheme="majorEastAsia" w:hAnsiTheme="majorHAnsi" w:cstheme="majorBidi"/>
        </w:rPr>
        <w:t>radio frequency data</w:t>
      </w:r>
      <w:r w:rsidR="00E71F94" w:rsidRPr="2A0C94D8">
        <w:rPr>
          <w:rFonts w:asciiTheme="majorHAnsi" w:eastAsiaTheme="majorEastAsia" w:hAnsiTheme="majorHAnsi" w:cstheme="majorBidi"/>
        </w:rPr>
        <w:t xml:space="preserve"> via </w:t>
      </w:r>
      <w:r w:rsidR="001A3B50" w:rsidRPr="2A0C94D8">
        <w:rPr>
          <w:rFonts w:asciiTheme="majorHAnsi" w:eastAsiaTheme="majorEastAsia" w:hAnsiTheme="majorHAnsi" w:cstheme="majorBidi"/>
        </w:rPr>
        <w:t xml:space="preserve">relevant </w:t>
      </w:r>
      <w:r w:rsidR="008501DA" w:rsidRPr="2A0C94D8">
        <w:rPr>
          <w:rFonts w:asciiTheme="majorHAnsi" w:eastAsiaTheme="majorEastAsia" w:hAnsiTheme="majorHAnsi" w:cstheme="majorBidi"/>
        </w:rPr>
        <w:t>platforms and tools</w:t>
      </w:r>
      <w:r w:rsidR="0071199D" w:rsidRPr="2A0C94D8">
        <w:rPr>
          <w:rFonts w:asciiTheme="majorHAnsi" w:eastAsiaTheme="majorEastAsia" w:hAnsiTheme="majorHAnsi" w:cstheme="majorBidi"/>
        </w:rPr>
        <w:t>)</w:t>
      </w:r>
      <w:r w:rsidR="001A3B50" w:rsidRPr="2A0C94D8">
        <w:rPr>
          <w:rFonts w:asciiTheme="majorHAnsi" w:eastAsiaTheme="majorEastAsia" w:hAnsiTheme="majorHAnsi" w:cstheme="majorBidi"/>
        </w:rPr>
        <w:t>.</w:t>
      </w:r>
    </w:p>
    <w:p w14:paraId="72074269" w14:textId="3AD707E6" w:rsidR="00423C7B" w:rsidRDefault="00423C7B" w:rsidP="2A0C94D8">
      <w:pPr>
        <w:pStyle w:val="BodyText"/>
        <w:jc w:val="both"/>
        <w:rPr>
          <w:rFonts w:asciiTheme="majorHAnsi" w:eastAsiaTheme="majorEastAsia" w:hAnsiTheme="majorHAnsi" w:cstheme="majorBidi"/>
        </w:rPr>
      </w:pPr>
      <w:r w:rsidRPr="2A0C94D8">
        <w:rPr>
          <w:rFonts w:asciiTheme="majorHAnsi" w:eastAsiaTheme="majorEastAsia" w:hAnsiTheme="majorHAnsi" w:cstheme="majorBidi"/>
          <w:b/>
          <w:bCs/>
        </w:rPr>
        <w:t>Maritime domain</w:t>
      </w:r>
      <w:r w:rsidR="008D2599" w:rsidRPr="2A0C94D8">
        <w:rPr>
          <w:rFonts w:asciiTheme="majorHAnsi" w:eastAsiaTheme="majorEastAsia" w:hAnsiTheme="majorHAnsi" w:cstheme="majorBidi"/>
        </w:rPr>
        <w:t xml:space="preserve"> </w:t>
      </w:r>
      <w:hyperlink r:id="rId8">
        <w:r w:rsidR="008D2599" w:rsidRPr="2A0C94D8">
          <w:rPr>
            <w:rFonts w:asciiTheme="majorHAnsi" w:eastAsiaTheme="majorEastAsia" w:hAnsiTheme="majorHAnsi" w:cstheme="majorBidi"/>
          </w:rPr>
          <w:t>means</w:t>
        </w:r>
      </w:hyperlink>
      <w:r w:rsidR="008D2599" w:rsidRPr="2A0C94D8">
        <w:rPr>
          <w:rFonts w:asciiTheme="majorHAnsi" w:eastAsiaTheme="majorEastAsia" w:hAnsiTheme="majorHAnsi" w:cstheme="majorBidi"/>
        </w:rPr>
        <w:t xml:space="preserve"> all areas and </w:t>
      </w:r>
      <w:r w:rsidR="00EB2C62" w:rsidRPr="2A0C94D8">
        <w:rPr>
          <w:rFonts w:asciiTheme="majorHAnsi" w:eastAsiaTheme="majorEastAsia" w:hAnsiTheme="majorHAnsi" w:cstheme="majorBidi"/>
        </w:rPr>
        <w:t xml:space="preserve">objects </w:t>
      </w:r>
      <w:r w:rsidR="008D2599" w:rsidRPr="2A0C94D8">
        <w:rPr>
          <w:rFonts w:asciiTheme="majorHAnsi" w:eastAsiaTheme="majorEastAsia" w:hAnsiTheme="majorHAnsi" w:cstheme="majorBidi"/>
        </w:rPr>
        <w:t>of, on, under, relating to, adjacent to, or bordering on a sea, ocean, or other navigable waterway, including all maritime-related activities, infrastructure, people, cargo, and vessels and other conveyances.</w:t>
      </w:r>
    </w:p>
    <w:p w14:paraId="20FC0BA2" w14:textId="3B4DB578" w:rsidR="00CD7E9D" w:rsidRDefault="00CD7E9D" w:rsidP="2A0C94D8">
      <w:pPr>
        <w:pStyle w:val="BodyText"/>
        <w:jc w:val="both"/>
        <w:rPr>
          <w:rFonts w:asciiTheme="majorHAnsi" w:eastAsiaTheme="majorEastAsia" w:hAnsiTheme="majorHAnsi" w:cstheme="majorBidi"/>
        </w:rPr>
      </w:pPr>
      <w:r w:rsidRPr="2A0C94D8">
        <w:rPr>
          <w:rFonts w:asciiTheme="majorHAnsi" w:eastAsiaTheme="majorEastAsia" w:hAnsiTheme="majorHAnsi" w:cstheme="majorBidi"/>
          <w:b/>
          <w:bCs/>
        </w:rPr>
        <w:t xml:space="preserve">Maritime domain awareness </w:t>
      </w:r>
      <w:r w:rsidRPr="2A0C94D8">
        <w:rPr>
          <w:rFonts w:asciiTheme="majorHAnsi" w:eastAsiaTheme="majorEastAsia" w:hAnsiTheme="majorHAnsi" w:cstheme="majorBidi"/>
        </w:rPr>
        <w:t xml:space="preserve">is the effective understanding of anything related </w:t>
      </w:r>
      <w:r w:rsidR="0021151C" w:rsidRPr="2A0C94D8">
        <w:rPr>
          <w:rFonts w:asciiTheme="majorHAnsi" w:eastAsiaTheme="majorEastAsia" w:hAnsiTheme="majorHAnsi" w:cstheme="majorBidi"/>
        </w:rPr>
        <w:t>to</w:t>
      </w:r>
      <w:r w:rsidRPr="2A0C94D8">
        <w:rPr>
          <w:rFonts w:asciiTheme="majorHAnsi" w:eastAsiaTheme="majorEastAsia" w:hAnsiTheme="majorHAnsi" w:cstheme="majorBidi"/>
        </w:rPr>
        <w:t xml:space="preserve"> the maritime domain</w:t>
      </w:r>
      <w:r w:rsidR="00A34D42" w:rsidRPr="2A0C94D8">
        <w:rPr>
          <w:rFonts w:asciiTheme="majorHAnsi" w:eastAsiaTheme="majorEastAsia" w:hAnsiTheme="majorHAnsi" w:cstheme="majorBidi"/>
        </w:rPr>
        <w:t xml:space="preserve">, </w:t>
      </w:r>
      <w:r w:rsidR="00B50FA5" w:rsidRPr="2A0C94D8">
        <w:rPr>
          <w:rFonts w:asciiTheme="majorHAnsi" w:eastAsiaTheme="majorEastAsia" w:hAnsiTheme="majorHAnsi" w:cstheme="majorBidi"/>
        </w:rPr>
        <w:t xml:space="preserve">including </w:t>
      </w:r>
      <w:r w:rsidR="00A34D42" w:rsidRPr="2A0C94D8">
        <w:rPr>
          <w:rFonts w:asciiTheme="majorHAnsi" w:eastAsiaTheme="majorEastAsia" w:hAnsiTheme="majorHAnsi" w:cstheme="majorBidi"/>
        </w:rPr>
        <w:t xml:space="preserve">within a country’s </w:t>
      </w:r>
      <w:r w:rsidR="00AD028D" w:rsidRPr="2A0C94D8">
        <w:rPr>
          <w:rFonts w:asciiTheme="majorHAnsi" w:eastAsiaTheme="majorEastAsia" w:hAnsiTheme="majorHAnsi" w:cstheme="majorBidi"/>
        </w:rPr>
        <w:t>maritime zones</w:t>
      </w:r>
      <w:r w:rsidR="00B50FA5" w:rsidRPr="2A0C94D8">
        <w:rPr>
          <w:rFonts w:asciiTheme="majorHAnsi" w:eastAsiaTheme="majorEastAsia" w:hAnsiTheme="majorHAnsi" w:cstheme="majorBidi"/>
        </w:rPr>
        <w:t xml:space="preserve"> (</w:t>
      </w:r>
      <w:r w:rsidR="00916C83" w:rsidRPr="2A0C94D8">
        <w:rPr>
          <w:rFonts w:asciiTheme="majorHAnsi" w:eastAsiaTheme="majorEastAsia" w:hAnsiTheme="majorHAnsi" w:cstheme="majorBidi"/>
        </w:rPr>
        <w:t>as established under the UN Convention on the Law of the Sea</w:t>
      </w:r>
      <w:r w:rsidR="00B50FA5" w:rsidRPr="2A0C94D8">
        <w:rPr>
          <w:rFonts w:asciiTheme="majorHAnsi" w:eastAsiaTheme="majorEastAsia" w:hAnsiTheme="majorHAnsi" w:cstheme="majorBidi"/>
        </w:rPr>
        <w:t>)</w:t>
      </w:r>
      <w:r w:rsidR="00A34D42" w:rsidRPr="2A0C94D8">
        <w:rPr>
          <w:rFonts w:asciiTheme="majorHAnsi" w:eastAsiaTheme="majorEastAsia" w:hAnsiTheme="majorHAnsi" w:cstheme="majorBidi"/>
        </w:rPr>
        <w:t xml:space="preserve"> or within the broader region</w:t>
      </w:r>
      <w:r w:rsidR="00B50FA5" w:rsidRPr="2A0C94D8">
        <w:rPr>
          <w:rFonts w:asciiTheme="majorHAnsi" w:eastAsiaTheme="majorEastAsia" w:hAnsiTheme="majorHAnsi" w:cstheme="majorBidi"/>
        </w:rPr>
        <w:t>,</w:t>
      </w:r>
      <w:r w:rsidRPr="2A0C94D8">
        <w:rPr>
          <w:rFonts w:asciiTheme="majorHAnsi" w:eastAsiaTheme="majorEastAsia" w:hAnsiTheme="majorHAnsi" w:cstheme="majorBidi"/>
        </w:rPr>
        <w:t xml:space="preserve"> that impacts or affects security, safety, </w:t>
      </w:r>
      <w:r w:rsidR="00AB7017" w:rsidRPr="2A0C94D8">
        <w:rPr>
          <w:rFonts w:asciiTheme="majorHAnsi" w:eastAsiaTheme="majorEastAsia" w:hAnsiTheme="majorHAnsi" w:cstheme="majorBidi"/>
        </w:rPr>
        <w:t xml:space="preserve">the </w:t>
      </w:r>
      <w:proofErr w:type="gramStart"/>
      <w:r w:rsidR="00AB7017" w:rsidRPr="2A0C94D8">
        <w:rPr>
          <w:rFonts w:asciiTheme="majorHAnsi" w:eastAsiaTheme="majorEastAsia" w:hAnsiTheme="majorHAnsi" w:cstheme="majorBidi"/>
        </w:rPr>
        <w:t>economy</w:t>
      </w:r>
      <w:proofErr w:type="gramEnd"/>
      <w:r w:rsidR="00AB7017" w:rsidRPr="2A0C94D8">
        <w:rPr>
          <w:rFonts w:asciiTheme="majorHAnsi" w:eastAsiaTheme="majorEastAsia" w:hAnsiTheme="majorHAnsi" w:cstheme="majorBidi"/>
        </w:rPr>
        <w:t xml:space="preserve"> </w:t>
      </w:r>
      <w:r w:rsidR="00A34D42" w:rsidRPr="2A0C94D8">
        <w:rPr>
          <w:rFonts w:asciiTheme="majorHAnsi" w:eastAsiaTheme="majorEastAsia" w:hAnsiTheme="majorHAnsi" w:cstheme="majorBidi"/>
        </w:rPr>
        <w:t xml:space="preserve">or </w:t>
      </w:r>
      <w:r w:rsidR="00AB7017" w:rsidRPr="2A0C94D8">
        <w:rPr>
          <w:rFonts w:asciiTheme="majorHAnsi" w:eastAsiaTheme="majorEastAsia" w:hAnsiTheme="majorHAnsi" w:cstheme="majorBidi"/>
        </w:rPr>
        <w:t>environment</w:t>
      </w:r>
      <w:r w:rsidR="00E053A7" w:rsidRPr="2A0C94D8">
        <w:rPr>
          <w:rFonts w:asciiTheme="majorHAnsi" w:eastAsiaTheme="majorEastAsia" w:hAnsiTheme="majorHAnsi" w:cstheme="majorBidi"/>
        </w:rPr>
        <w:t xml:space="preserve"> of a country</w:t>
      </w:r>
      <w:r w:rsidR="00AB7017" w:rsidRPr="2A0C94D8">
        <w:rPr>
          <w:rFonts w:asciiTheme="majorHAnsi" w:eastAsiaTheme="majorEastAsia" w:hAnsiTheme="majorHAnsi" w:cstheme="majorBidi"/>
        </w:rPr>
        <w:t>.</w:t>
      </w:r>
    </w:p>
    <w:p w14:paraId="79245136" w14:textId="1413820B" w:rsidR="00585A27" w:rsidRDefault="00585A27" w:rsidP="2A0C94D8">
      <w:pPr>
        <w:pStyle w:val="BodyText"/>
        <w:jc w:val="both"/>
        <w:rPr>
          <w:rFonts w:asciiTheme="majorHAnsi" w:eastAsiaTheme="majorEastAsia" w:hAnsiTheme="majorHAnsi" w:cstheme="majorBidi"/>
        </w:rPr>
      </w:pPr>
      <w:r w:rsidRPr="2A0C94D8">
        <w:rPr>
          <w:rFonts w:asciiTheme="majorHAnsi" w:eastAsiaTheme="majorEastAsia" w:hAnsiTheme="majorHAnsi" w:cstheme="majorBidi"/>
          <w:b/>
          <w:bCs/>
        </w:rPr>
        <w:t xml:space="preserve">Marine resources </w:t>
      </w:r>
      <w:r w:rsidRPr="2A0C94D8">
        <w:rPr>
          <w:rFonts w:asciiTheme="majorHAnsi" w:eastAsiaTheme="majorEastAsia" w:hAnsiTheme="majorHAnsi" w:cstheme="majorBidi"/>
        </w:rPr>
        <w:t>are any natural resource that is found in, on, or under the sea or ocean, including fish</w:t>
      </w:r>
      <w:r w:rsidR="003F368E" w:rsidRPr="2A0C94D8">
        <w:rPr>
          <w:rFonts w:asciiTheme="majorHAnsi" w:eastAsiaTheme="majorEastAsia" w:hAnsiTheme="majorHAnsi" w:cstheme="majorBidi"/>
        </w:rPr>
        <w:t xml:space="preserve">, petroleum, </w:t>
      </w:r>
      <w:proofErr w:type="gramStart"/>
      <w:r w:rsidR="003F368E" w:rsidRPr="2A0C94D8">
        <w:rPr>
          <w:rFonts w:asciiTheme="majorHAnsi" w:eastAsiaTheme="majorEastAsia" w:hAnsiTheme="majorHAnsi" w:cstheme="majorBidi"/>
        </w:rPr>
        <w:t>gas</w:t>
      </w:r>
      <w:proofErr w:type="gramEnd"/>
      <w:r w:rsidRPr="2A0C94D8">
        <w:rPr>
          <w:rFonts w:asciiTheme="majorHAnsi" w:eastAsiaTheme="majorEastAsia" w:hAnsiTheme="majorHAnsi" w:cstheme="majorBidi"/>
        </w:rPr>
        <w:t xml:space="preserve"> and minerals.</w:t>
      </w:r>
    </w:p>
    <w:p w14:paraId="1668B805" w14:textId="5C549D2E" w:rsidR="0072538E" w:rsidRDefault="009A11E1" w:rsidP="2A0C94D8">
      <w:pPr>
        <w:pStyle w:val="BodyText"/>
        <w:jc w:val="both"/>
        <w:rPr>
          <w:rFonts w:asciiTheme="majorHAnsi" w:eastAsiaTheme="majorEastAsia" w:hAnsiTheme="majorHAnsi" w:cstheme="majorBidi"/>
          <w:b/>
          <w:bCs/>
        </w:rPr>
      </w:pPr>
      <w:r w:rsidRPr="2A0C94D8">
        <w:rPr>
          <w:rFonts w:asciiTheme="majorHAnsi" w:eastAsiaTheme="majorEastAsia" w:hAnsiTheme="majorHAnsi" w:cstheme="majorBidi"/>
          <w:b/>
          <w:bCs/>
        </w:rPr>
        <w:t>M</w:t>
      </w:r>
      <w:r w:rsidR="0072538E" w:rsidRPr="2A0C94D8">
        <w:rPr>
          <w:rFonts w:asciiTheme="majorHAnsi" w:eastAsiaTheme="majorEastAsia" w:hAnsiTheme="majorHAnsi" w:cstheme="majorBidi"/>
          <w:b/>
          <w:bCs/>
        </w:rPr>
        <w:t xml:space="preserve">aritime security </w:t>
      </w:r>
      <w:r w:rsidRPr="2A0C94D8">
        <w:rPr>
          <w:rFonts w:asciiTheme="majorHAnsi" w:eastAsiaTheme="majorEastAsia" w:hAnsiTheme="majorHAnsi" w:cstheme="majorBidi"/>
        </w:rPr>
        <w:t>refers to the</w:t>
      </w:r>
      <w:r w:rsidR="00E1279B" w:rsidRPr="2A0C94D8">
        <w:rPr>
          <w:rFonts w:asciiTheme="majorHAnsi" w:eastAsiaTheme="majorEastAsia" w:hAnsiTheme="majorHAnsi" w:cstheme="majorBidi"/>
        </w:rPr>
        <w:t xml:space="preserve"> broad policy, systems, processes, </w:t>
      </w:r>
      <w:proofErr w:type="gramStart"/>
      <w:r w:rsidR="00E1279B" w:rsidRPr="2A0C94D8">
        <w:rPr>
          <w:rFonts w:asciiTheme="majorHAnsi" w:eastAsiaTheme="majorEastAsia" w:hAnsiTheme="majorHAnsi" w:cstheme="majorBidi"/>
        </w:rPr>
        <w:t>assets</w:t>
      </w:r>
      <w:proofErr w:type="gramEnd"/>
      <w:r w:rsidR="00E1279B" w:rsidRPr="2A0C94D8">
        <w:rPr>
          <w:rFonts w:asciiTheme="majorHAnsi" w:eastAsiaTheme="majorEastAsia" w:hAnsiTheme="majorHAnsi" w:cstheme="majorBidi"/>
        </w:rPr>
        <w:t xml:space="preserve"> and activities that </w:t>
      </w:r>
      <w:r w:rsidR="00FE2C74" w:rsidRPr="2A0C94D8">
        <w:rPr>
          <w:rFonts w:asciiTheme="majorHAnsi" w:eastAsiaTheme="majorEastAsia" w:hAnsiTheme="majorHAnsi" w:cstheme="majorBidi"/>
        </w:rPr>
        <w:t>relate to</w:t>
      </w:r>
      <w:r w:rsidR="009A4EF8" w:rsidRPr="2A0C94D8">
        <w:rPr>
          <w:rFonts w:asciiTheme="majorHAnsi" w:eastAsiaTheme="majorEastAsia" w:hAnsiTheme="majorHAnsi" w:cstheme="majorBidi"/>
        </w:rPr>
        <w:t xml:space="preserve"> </w:t>
      </w:r>
      <w:r w:rsidR="00BA2876" w:rsidRPr="2A0C94D8">
        <w:rPr>
          <w:rFonts w:asciiTheme="majorHAnsi" w:eastAsiaTheme="majorEastAsia" w:hAnsiTheme="majorHAnsi" w:cstheme="majorBidi"/>
        </w:rPr>
        <w:t xml:space="preserve">monitoring and </w:t>
      </w:r>
      <w:r w:rsidR="009A4EF8" w:rsidRPr="2A0C94D8">
        <w:rPr>
          <w:rFonts w:asciiTheme="majorHAnsi" w:eastAsiaTheme="majorEastAsia" w:hAnsiTheme="majorHAnsi" w:cstheme="majorBidi"/>
        </w:rPr>
        <w:t xml:space="preserve">enforcement of domestic </w:t>
      </w:r>
      <w:r w:rsidR="00BA2876" w:rsidRPr="2A0C94D8">
        <w:rPr>
          <w:rFonts w:asciiTheme="majorHAnsi" w:eastAsiaTheme="majorEastAsia" w:hAnsiTheme="majorHAnsi" w:cstheme="majorBidi"/>
        </w:rPr>
        <w:t xml:space="preserve">and international maritime </w:t>
      </w:r>
      <w:r w:rsidR="009A4EF8" w:rsidRPr="2A0C94D8">
        <w:rPr>
          <w:rFonts w:asciiTheme="majorHAnsi" w:eastAsiaTheme="majorEastAsia" w:hAnsiTheme="majorHAnsi" w:cstheme="majorBidi"/>
        </w:rPr>
        <w:t>laws in</w:t>
      </w:r>
      <w:r w:rsidR="00FE2C74" w:rsidRPr="2A0C94D8">
        <w:rPr>
          <w:rFonts w:asciiTheme="majorHAnsi" w:eastAsiaTheme="majorEastAsia" w:hAnsiTheme="majorHAnsi" w:cstheme="majorBidi"/>
        </w:rPr>
        <w:t xml:space="preserve"> </w:t>
      </w:r>
      <w:r w:rsidR="008246B6" w:rsidRPr="2A0C94D8">
        <w:rPr>
          <w:rFonts w:asciiTheme="majorHAnsi" w:eastAsiaTheme="majorEastAsia" w:hAnsiTheme="majorHAnsi" w:cstheme="majorBidi"/>
        </w:rPr>
        <w:t xml:space="preserve">a country’s </w:t>
      </w:r>
      <w:r w:rsidR="009A4EF8" w:rsidRPr="2A0C94D8">
        <w:rPr>
          <w:rFonts w:asciiTheme="majorHAnsi" w:eastAsiaTheme="majorEastAsia" w:hAnsiTheme="majorHAnsi" w:cstheme="majorBidi"/>
        </w:rPr>
        <w:t xml:space="preserve">maritime </w:t>
      </w:r>
      <w:r w:rsidR="00E053A7" w:rsidRPr="2A0C94D8">
        <w:rPr>
          <w:rFonts w:asciiTheme="majorHAnsi" w:eastAsiaTheme="majorEastAsia" w:hAnsiTheme="majorHAnsi" w:cstheme="majorBidi"/>
        </w:rPr>
        <w:t xml:space="preserve">zones </w:t>
      </w:r>
      <w:r w:rsidR="00AF3E2C" w:rsidRPr="2A0C94D8">
        <w:rPr>
          <w:rFonts w:asciiTheme="majorHAnsi" w:eastAsiaTheme="majorEastAsia" w:hAnsiTheme="majorHAnsi" w:cstheme="majorBidi"/>
        </w:rPr>
        <w:t>through its</w:t>
      </w:r>
      <w:r w:rsidR="003A4634" w:rsidRPr="2A0C94D8">
        <w:rPr>
          <w:rFonts w:asciiTheme="majorHAnsi" w:eastAsiaTheme="majorEastAsia" w:hAnsiTheme="majorHAnsi" w:cstheme="majorBidi"/>
        </w:rPr>
        <w:t xml:space="preserve"> defence and</w:t>
      </w:r>
      <w:r w:rsidR="00AF3E2C" w:rsidRPr="2A0C94D8">
        <w:rPr>
          <w:rFonts w:asciiTheme="majorHAnsi" w:eastAsiaTheme="majorEastAsia" w:hAnsiTheme="majorHAnsi" w:cstheme="majorBidi"/>
        </w:rPr>
        <w:t xml:space="preserve"> civil maritime agencies</w:t>
      </w:r>
      <w:r w:rsidR="009A4EF8" w:rsidRPr="2A0C94D8">
        <w:rPr>
          <w:rFonts w:asciiTheme="majorHAnsi" w:eastAsiaTheme="majorEastAsia" w:hAnsiTheme="majorHAnsi" w:cstheme="majorBidi"/>
        </w:rPr>
        <w:t>.</w:t>
      </w:r>
      <w:r w:rsidR="00AF7436" w:rsidRPr="2A0C94D8">
        <w:rPr>
          <w:rFonts w:asciiTheme="majorHAnsi" w:eastAsiaTheme="majorEastAsia" w:hAnsiTheme="majorHAnsi" w:cstheme="majorBidi"/>
        </w:rPr>
        <w:t xml:space="preserve"> </w:t>
      </w:r>
    </w:p>
    <w:p w14:paraId="13302C99" w14:textId="5C25190C" w:rsidR="00685AD1" w:rsidRPr="00585A27" w:rsidRDefault="00685AD1" w:rsidP="2A0C94D8">
      <w:pPr>
        <w:pStyle w:val="BodyText"/>
        <w:jc w:val="both"/>
        <w:rPr>
          <w:rFonts w:asciiTheme="majorHAnsi" w:eastAsiaTheme="majorEastAsia" w:hAnsiTheme="majorHAnsi" w:cstheme="majorBidi"/>
        </w:rPr>
      </w:pPr>
      <w:r w:rsidRPr="2A0C94D8">
        <w:rPr>
          <w:rFonts w:asciiTheme="majorHAnsi" w:eastAsiaTheme="majorEastAsia" w:hAnsiTheme="majorHAnsi" w:cstheme="majorBidi"/>
          <w:b/>
          <w:bCs/>
        </w:rPr>
        <w:t>Resilience</w:t>
      </w:r>
      <w:r w:rsidRPr="2A0C94D8">
        <w:rPr>
          <w:rFonts w:asciiTheme="majorHAnsi" w:eastAsiaTheme="majorEastAsia" w:hAnsiTheme="majorHAnsi" w:cstheme="majorBidi"/>
        </w:rPr>
        <w:t xml:space="preserve"> refers to a countr</w:t>
      </w:r>
      <w:r w:rsidR="00AC50EA" w:rsidRPr="2A0C94D8">
        <w:rPr>
          <w:rFonts w:asciiTheme="majorHAnsi" w:eastAsiaTheme="majorEastAsia" w:hAnsiTheme="majorHAnsi" w:cstheme="majorBidi"/>
        </w:rPr>
        <w:t>y’s</w:t>
      </w:r>
      <w:r w:rsidRPr="2A0C94D8">
        <w:rPr>
          <w:rFonts w:asciiTheme="majorHAnsi" w:eastAsiaTheme="majorEastAsia" w:hAnsiTheme="majorHAnsi" w:cstheme="majorBidi"/>
        </w:rPr>
        <w:t xml:space="preserve"> </w:t>
      </w:r>
      <w:r w:rsidR="00AB584F" w:rsidRPr="2A0C94D8">
        <w:rPr>
          <w:rFonts w:asciiTheme="majorHAnsi" w:eastAsiaTheme="majorEastAsia" w:hAnsiTheme="majorHAnsi" w:cstheme="majorBidi"/>
        </w:rPr>
        <w:t xml:space="preserve">ability to </w:t>
      </w:r>
      <w:r w:rsidR="00717E68" w:rsidRPr="2A0C94D8">
        <w:rPr>
          <w:rFonts w:asciiTheme="majorHAnsi" w:eastAsiaTheme="majorEastAsia" w:hAnsiTheme="majorHAnsi" w:cstheme="majorBidi"/>
        </w:rPr>
        <w:t xml:space="preserve">establish and maintain </w:t>
      </w:r>
      <w:r w:rsidR="005923DE" w:rsidRPr="2A0C94D8">
        <w:rPr>
          <w:rFonts w:asciiTheme="majorHAnsi" w:eastAsiaTheme="majorEastAsia" w:hAnsiTheme="majorHAnsi" w:cstheme="majorBidi"/>
        </w:rPr>
        <w:t xml:space="preserve">maritime </w:t>
      </w:r>
      <w:r w:rsidR="00BE0480" w:rsidRPr="2A0C94D8">
        <w:rPr>
          <w:rFonts w:asciiTheme="majorHAnsi" w:eastAsiaTheme="majorEastAsia" w:hAnsiTheme="majorHAnsi" w:cstheme="majorBidi"/>
        </w:rPr>
        <w:t xml:space="preserve">zones </w:t>
      </w:r>
      <w:r w:rsidR="005923DE" w:rsidRPr="2A0C94D8">
        <w:rPr>
          <w:rFonts w:asciiTheme="majorHAnsi" w:eastAsiaTheme="majorEastAsia" w:hAnsiTheme="majorHAnsi" w:cstheme="majorBidi"/>
        </w:rPr>
        <w:t xml:space="preserve">in accordance with international </w:t>
      </w:r>
      <w:r w:rsidR="004E5B1B" w:rsidRPr="2A0C94D8">
        <w:rPr>
          <w:rFonts w:asciiTheme="majorHAnsi" w:eastAsiaTheme="majorEastAsia" w:hAnsiTheme="majorHAnsi" w:cstheme="majorBidi"/>
        </w:rPr>
        <w:t>law</w:t>
      </w:r>
      <w:r w:rsidR="005923DE" w:rsidRPr="2A0C94D8">
        <w:rPr>
          <w:rFonts w:asciiTheme="majorHAnsi" w:eastAsiaTheme="majorEastAsia" w:hAnsiTheme="majorHAnsi" w:cstheme="majorBidi"/>
        </w:rPr>
        <w:t xml:space="preserve">, </w:t>
      </w:r>
      <w:r w:rsidR="003F2CE9" w:rsidRPr="2A0C94D8">
        <w:rPr>
          <w:rFonts w:asciiTheme="majorHAnsi" w:eastAsiaTheme="majorEastAsia" w:hAnsiTheme="majorHAnsi" w:cstheme="majorBidi"/>
        </w:rPr>
        <w:t xml:space="preserve">and </w:t>
      </w:r>
      <w:r w:rsidR="006F58E9" w:rsidRPr="2A0C94D8">
        <w:rPr>
          <w:rFonts w:asciiTheme="majorHAnsi" w:eastAsiaTheme="majorEastAsia" w:hAnsiTheme="majorHAnsi" w:cstheme="majorBidi"/>
        </w:rPr>
        <w:t>exercise</w:t>
      </w:r>
      <w:r w:rsidR="00916C83" w:rsidRPr="2A0C94D8">
        <w:rPr>
          <w:rFonts w:asciiTheme="majorHAnsi" w:eastAsiaTheme="majorEastAsia" w:hAnsiTheme="majorHAnsi" w:cstheme="majorBidi"/>
        </w:rPr>
        <w:t>, as applicable,</w:t>
      </w:r>
      <w:r w:rsidR="006F58E9" w:rsidRPr="2A0C94D8">
        <w:rPr>
          <w:rFonts w:asciiTheme="majorHAnsi" w:eastAsiaTheme="majorEastAsia" w:hAnsiTheme="majorHAnsi" w:cstheme="majorBidi"/>
        </w:rPr>
        <w:t xml:space="preserve"> sovereignty</w:t>
      </w:r>
      <w:r w:rsidR="00916C83" w:rsidRPr="2A0C94D8">
        <w:rPr>
          <w:rFonts w:asciiTheme="majorHAnsi" w:eastAsiaTheme="majorEastAsia" w:hAnsiTheme="majorHAnsi" w:cstheme="majorBidi"/>
        </w:rPr>
        <w:t>, sovereign rights and jurisdiction,</w:t>
      </w:r>
      <w:r w:rsidR="006F58E9" w:rsidRPr="2A0C94D8">
        <w:rPr>
          <w:rFonts w:asciiTheme="majorHAnsi" w:eastAsiaTheme="majorEastAsia" w:hAnsiTheme="majorHAnsi" w:cstheme="majorBidi"/>
        </w:rPr>
        <w:t xml:space="preserve"> over </w:t>
      </w:r>
      <w:r w:rsidR="00717E68" w:rsidRPr="2A0C94D8">
        <w:rPr>
          <w:rFonts w:asciiTheme="majorHAnsi" w:eastAsiaTheme="majorEastAsia" w:hAnsiTheme="majorHAnsi" w:cstheme="majorBidi"/>
        </w:rPr>
        <w:t xml:space="preserve">respective </w:t>
      </w:r>
      <w:r w:rsidR="003F2CE9" w:rsidRPr="2A0C94D8">
        <w:rPr>
          <w:rFonts w:asciiTheme="majorHAnsi" w:eastAsiaTheme="majorEastAsia" w:hAnsiTheme="majorHAnsi" w:cstheme="majorBidi"/>
        </w:rPr>
        <w:t xml:space="preserve">maritime </w:t>
      </w:r>
      <w:r w:rsidR="00E053A7" w:rsidRPr="2A0C94D8">
        <w:rPr>
          <w:rFonts w:asciiTheme="majorHAnsi" w:eastAsiaTheme="majorEastAsia" w:hAnsiTheme="majorHAnsi" w:cstheme="majorBidi"/>
        </w:rPr>
        <w:t>zones</w:t>
      </w:r>
      <w:r w:rsidR="003F2CE9" w:rsidRPr="2A0C94D8">
        <w:rPr>
          <w:rFonts w:asciiTheme="majorHAnsi" w:eastAsiaTheme="majorEastAsia" w:hAnsiTheme="majorHAnsi" w:cstheme="majorBidi"/>
        </w:rPr>
        <w:t>.</w:t>
      </w:r>
      <w:r w:rsidR="006F58E9" w:rsidRPr="2A0C94D8">
        <w:rPr>
          <w:rFonts w:asciiTheme="majorHAnsi" w:eastAsiaTheme="majorEastAsia" w:hAnsiTheme="majorHAnsi" w:cstheme="majorBidi"/>
        </w:rPr>
        <w:t xml:space="preserve"> </w:t>
      </w:r>
    </w:p>
    <w:p w14:paraId="27F776B8" w14:textId="296EF8B3" w:rsidR="00C4292B" w:rsidRPr="001A3142" w:rsidRDefault="00C4292B" w:rsidP="00DD16E1">
      <w:pPr>
        <w:pStyle w:val="Heading2"/>
      </w:pPr>
      <w:r w:rsidRPr="529FA985">
        <w:t>Scope</w:t>
      </w:r>
    </w:p>
    <w:p w14:paraId="5B9226A4" w14:textId="77777777" w:rsidR="00C4292B" w:rsidRPr="001A3142" w:rsidRDefault="00C4292B" w:rsidP="00DD16E1">
      <w:pPr>
        <w:pStyle w:val="Heading2"/>
        <w:rPr>
          <w:rStyle w:val="IntenseEmphasis"/>
          <w:sz w:val="22"/>
          <w:szCs w:val="22"/>
        </w:rPr>
      </w:pPr>
      <w:r w:rsidRPr="2A0C94D8">
        <w:rPr>
          <w:rStyle w:val="IntenseEmphasis"/>
          <w:rFonts w:asciiTheme="minorHAnsi" w:hAnsiTheme="minorHAnsi" w:cstheme="minorBidi"/>
          <w:sz w:val="24"/>
          <w:szCs w:val="24"/>
        </w:rPr>
        <w:t>I</w:t>
      </w:r>
      <w:r w:rsidRPr="2A0C94D8">
        <w:rPr>
          <w:rStyle w:val="IntenseEmphasis"/>
          <w:sz w:val="22"/>
          <w:szCs w:val="22"/>
        </w:rPr>
        <w:t>ncludes:</w:t>
      </w:r>
    </w:p>
    <w:p w14:paraId="7EFBA2EF" w14:textId="3AA7B83D" w:rsidR="007066D5" w:rsidRDefault="00A34D42" w:rsidP="2A0C94D8">
      <w:pPr>
        <w:pStyle w:val="ListBullet"/>
        <w:spacing w:before="120" w:after="60" w:line="260" w:lineRule="atLeast"/>
        <w:ind w:left="0" w:firstLine="0"/>
        <w:jc w:val="both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proofErr w:type="gramStart"/>
      <w:r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For the purpose </w:t>
      </w:r>
      <w:r w:rsidR="005039AE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of</w:t>
      </w:r>
      <w:proofErr w:type="gramEnd"/>
      <w:r w:rsidR="005039AE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</w:t>
      </w:r>
      <w:r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Tier 2 reporting, the maritime security </w:t>
      </w:r>
      <w:r w:rsidR="00A10175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indicator includes reporting on DFAT investments funded</w:t>
      </w:r>
      <w:r w:rsidR="008D5144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</w:t>
      </w:r>
      <w:r w:rsidR="00A10175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through both official development assistance (ODA) and non-ODA </w:t>
      </w:r>
      <w:r w:rsidR="004C2E22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with a </w:t>
      </w:r>
      <w:r w:rsidR="00EA2E9A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specific objective </w:t>
      </w:r>
      <w:r w:rsidR="004C2E22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to </w:t>
      </w:r>
      <w:r w:rsidR="00793D03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enhanc</w:t>
      </w:r>
      <w:r w:rsidR="004C2E22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e</w:t>
      </w:r>
      <w:r w:rsidR="00793D03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</w:t>
      </w:r>
      <w:r w:rsidR="00793D03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  <w:u w:val="single"/>
        </w:rPr>
        <w:t>civil</w:t>
      </w:r>
      <w:r w:rsidR="00793D03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maritime security</w:t>
      </w:r>
      <w:r w:rsidR="00CF4CE3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capabilities </w:t>
      </w:r>
      <w:r w:rsidR="00324F33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at </w:t>
      </w:r>
      <w:r w:rsidR="00EA4FD6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a</w:t>
      </w:r>
      <w:r w:rsidR="00324F33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country or regional level</w:t>
      </w:r>
      <w:r w:rsidR="00EA4FD6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.</w:t>
      </w:r>
      <w:r w:rsidR="00A10175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This includes activities implemented by other Australian Government agencies, regional </w:t>
      </w:r>
      <w:proofErr w:type="gramStart"/>
      <w:r w:rsidR="00A10175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organisations</w:t>
      </w:r>
      <w:proofErr w:type="gramEnd"/>
      <w:r w:rsidR="00A10175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or other suppliers.</w:t>
      </w:r>
    </w:p>
    <w:p w14:paraId="3BFD1AEA" w14:textId="56220E19" w:rsidR="00BB64AF" w:rsidRDefault="00785F56" w:rsidP="2A0C94D8">
      <w:pPr>
        <w:pStyle w:val="ListBullet"/>
        <w:keepNext/>
        <w:spacing w:before="120" w:after="60" w:line="260" w:lineRule="atLeast"/>
        <w:ind w:left="0" w:firstLine="0"/>
        <w:jc w:val="both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r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lastRenderedPageBreak/>
        <w:t>Examples of such activities include:</w:t>
      </w:r>
    </w:p>
    <w:p w14:paraId="78BE38C8" w14:textId="212E2FB4" w:rsidR="00C4292B" w:rsidRDefault="00175229" w:rsidP="2A0C94D8">
      <w:pPr>
        <w:pStyle w:val="ListBullet"/>
        <w:keepNext/>
        <w:numPr>
          <w:ilvl w:val="0"/>
          <w:numId w:val="2"/>
        </w:numPr>
        <w:spacing w:before="120" w:after="60" w:line="260" w:lineRule="atLeast"/>
        <w:jc w:val="both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r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Capacity building</w:t>
      </w:r>
      <w:r w:rsidR="0082473F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</w:t>
      </w:r>
      <w:r w:rsidR="00CA6082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of </w:t>
      </w:r>
      <w:r w:rsidR="00E72E45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civil </w:t>
      </w:r>
      <w:r w:rsidR="00CA6082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maritime and maritime-related agencies </w:t>
      </w:r>
      <w:r w:rsidR="0031590A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(exchanges, training, and workshops) </w:t>
      </w:r>
      <w:r w:rsidR="00D35EA5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on key </w:t>
      </w:r>
      <w:r w:rsidR="00DA313E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issues including Law of the Sea</w:t>
      </w:r>
      <w:r w:rsidR="006814E2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, </w:t>
      </w:r>
      <w:r w:rsidR="002201DD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preservation of </w:t>
      </w:r>
      <w:r w:rsidR="006814E2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maritime boundaries</w:t>
      </w:r>
      <w:r w:rsidR="002201DD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, and combating illegal, </w:t>
      </w:r>
      <w:proofErr w:type="gramStart"/>
      <w:r w:rsidR="002201DD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unreported</w:t>
      </w:r>
      <w:proofErr w:type="gramEnd"/>
      <w:r w:rsidR="002201DD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and unregulated</w:t>
      </w:r>
      <w:r w:rsidR="00916C83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(IUU)</w:t>
      </w:r>
      <w:r w:rsidR="002201DD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fishing.</w:t>
      </w:r>
    </w:p>
    <w:p w14:paraId="7E64B9DE" w14:textId="1E11E463" w:rsidR="002004F5" w:rsidRDefault="00FB1E6D" w:rsidP="2A0C94D8">
      <w:pPr>
        <w:pStyle w:val="ListBullet"/>
        <w:keepNext/>
        <w:numPr>
          <w:ilvl w:val="0"/>
          <w:numId w:val="2"/>
        </w:numPr>
        <w:spacing w:before="120" w:after="60" w:line="260" w:lineRule="atLeast"/>
        <w:jc w:val="both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r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Activities that strengthen m</w:t>
      </w:r>
      <w:r w:rsidR="0017224F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aritime domain awareness</w:t>
      </w:r>
      <w:r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</w:t>
      </w:r>
      <w:r w:rsidR="008D7663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including </w:t>
      </w:r>
      <w:r w:rsidR="00BC267E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assistance with </w:t>
      </w:r>
      <w:r w:rsidR="008F497E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techn</w:t>
      </w:r>
      <w:r w:rsidR="00C5062B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ological equipment, </w:t>
      </w:r>
      <w:proofErr w:type="gramStart"/>
      <w:r w:rsidR="00EE1A11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data</w:t>
      </w:r>
      <w:proofErr w:type="gramEnd"/>
      <w:r w:rsidR="00EE1A11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</w:t>
      </w:r>
      <w:r w:rsidR="00150918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and training.</w:t>
      </w:r>
    </w:p>
    <w:p w14:paraId="4C11C200" w14:textId="77777777" w:rsidR="00AE2637" w:rsidRDefault="00AE2637" w:rsidP="2A0C94D8">
      <w:pPr>
        <w:pStyle w:val="BodyText"/>
        <w:numPr>
          <w:ilvl w:val="0"/>
          <w:numId w:val="2"/>
        </w:numPr>
        <w:jc w:val="both"/>
        <w:rPr>
          <w:rFonts w:asciiTheme="majorHAnsi" w:eastAsiaTheme="majorEastAsia" w:hAnsiTheme="majorHAnsi" w:cstheme="majorBidi"/>
        </w:rPr>
      </w:pPr>
      <w:r w:rsidRPr="2A0C94D8">
        <w:rPr>
          <w:rFonts w:asciiTheme="majorHAnsi" w:eastAsiaTheme="majorEastAsia" w:hAnsiTheme="majorHAnsi" w:cstheme="majorBidi"/>
        </w:rPr>
        <w:t>Information sharing activities that contribute to more effective maritime law enforcement.</w:t>
      </w:r>
    </w:p>
    <w:p w14:paraId="282831E9" w14:textId="1E4B9A70" w:rsidR="00C26D71" w:rsidRDefault="00D6507A" w:rsidP="2A0C94D8">
      <w:pPr>
        <w:pStyle w:val="BodyText"/>
        <w:numPr>
          <w:ilvl w:val="0"/>
          <w:numId w:val="2"/>
        </w:numPr>
        <w:jc w:val="both"/>
        <w:rPr>
          <w:rFonts w:asciiTheme="majorHAnsi" w:eastAsiaTheme="majorEastAsia" w:hAnsiTheme="majorHAnsi" w:cstheme="majorBidi"/>
        </w:rPr>
      </w:pPr>
      <w:r w:rsidRPr="2A0C94D8">
        <w:rPr>
          <w:rFonts w:asciiTheme="majorHAnsi" w:eastAsiaTheme="majorEastAsia" w:hAnsiTheme="majorHAnsi" w:cstheme="majorBidi"/>
        </w:rPr>
        <w:t xml:space="preserve">Activities that </w:t>
      </w:r>
      <w:r w:rsidR="005F1613" w:rsidRPr="2A0C94D8">
        <w:rPr>
          <w:rFonts w:asciiTheme="majorHAnsi" w:eastAsiaTheme="majorEastAsia" w:hAnsiTheme="majorHAnsi" w:cstheme="majorBidi"/>
        </w:rPr>
        <w:t xml:space="preserve">assist </w:t>
      </w:r>
      <w:r w:rsidR="00286C7A" w:rsidRPr="2A0C94D8">
        <w:rPr>
          <w:rFonts w:asciiTheme="majorHAnsi" w:eastAsiaTheme="majorEastAsia" w:hAnsiTheme="majorHAnsi" w:cstheme="majorBidi"/>
        </w:rPr>
        <w:t xml:space="preserve">partner </w:t>
      </w:r>
      <w:r w:rsidR="00506407" w:rsidRPr="2A0C94D8">
        <w:rPr>
          <w:rFonts w:asciiTheme="majorHAnsi" w:eastAsiaTheme="majorEastAsia" w:hAnsiTheme="majorHAnsi" w:cstheme="majorBidi"/>
        </w:rPr>
        <w:t>countries</w:t>
      </w:r>
      <w:r w:rsidR="005F1613" w:rsidRPr="2A0C94D8">
        <w:rPr>
          <w:rFonts w:asciiTheme="majorHAnsi" w:eastAsiaTheme="majorEastAsia" w:hAnsiTheme="majorHAnsi" w:cstheme="majorBidi"/>
        </w:rPr>
        <w:t xml:space="preserve"> to advocate for and assert </w:t>
      </w:r>
      <w:r w:rsidR="00506407" w:rsidRPr="2A0C94D8">
        <w:rPr>
          <w:rFonts w:asciiTheme="majorHAnsi" w:eastAsiaTheme="majorEastAsia" w:hAnsiTheme="majorHAnsi" w:cstheme="majorBidi"/>
        </w:rPr>
        <w:t>their</w:t>
      </w:r>
      <w:r w:rsidR="005F1613" w:rsidRPr="2A0C94D8">
        <w:rPr>
          <w:rFonts w:asciiTheme="majorHAnsi" w:eastAsiaTheme="majorEastAsia" w:hAnsiTheme="majorHAnsi" w:cstheme="majorBidi"/>
        </w:rPr>
        <w:t xml:space="preserve"> rights </w:t>
      </w:r>
      <w:r w:rsidR="00E86472" w:rsidRPr="2A0C94D8">
        <w:rPr>
          <w:rFonts w:asciiTheme="majorHAnsi" w:eastAsiaTheme="majorEastAsia" w:hAnsiTheme="majorHAnsi" w:cstheme="majorBidi"/>
        </w:rPr>
        <w:t xml:space="preserve">and interests </w:t>
      </w:r>
      <w:r w:rsidR="005F1613" w:rsidRPr="2A0C94D8">
        <w:rPr>
          <w:rFonts w:asciiTheme="majorHAnsi" w:eastAsiaTheme="majorEastAsia" w:hAnsiTheme="majorHAnsi" w:cstheme="majorBidi"/>
        </w:rPr>
        <w:t>in relevant international maritime forums</w:t>
      </w:r>
      <w:r w:rsidR="00E86472" w:rsidRPr="2A0C94D8">
        <w:rPr>
          <w:rFonts w:asciiTheme="majorHAnsi" w:eastAsiaTheme="majorEastAsia" w:hAnsiTheme="majorHAnsi" w:cstheme="majorBidi"/>
        </w:rPr>
        <w:t>.</w:t>
      </w:r>
    </w:p>
    <w:p w14:paraId="6CBA97E6" w14:textId="009FC2CD" w:rsidR="008D36C7" w:rsidRDefault="008D36C7" w:rsidP="2A0C94D8">
      <w:pPr>
        <w:pStyle w:val="BodyText"/>
        <w:numPr>
          <w:ilvl w:val="0"/>
          <w:numId w:val="2"/>
        </w:numPr>
        <w:jc w:val="both"/>
        <w:rPr>
          <w:rFonts w:asciiTheme="majorHAnsi" w:eastAsiaTheme="majorEastAsia" w:hAnsiTheme="majorHAnsi" w:cstheme="majorBidi"/>
        </w:rPr>
      </w:pPr>
      <w:r w:rsidRPr="2A0C94D8">
        <w:rPr>
          <w:rFonts w:asciiTheme="majorHAnsi" w:eastAsiaTheme="majorEastAsia" w:hAnsiTheme="majorHAnsi" w:cstheme="majorBidi"/>
        </w:rPr>
        <w:t>Defence cooperation and engagement activities</w:t>
      </w:r>
      <w:r w:rsidR="00B63C1D" w:rsidRPr="2A0C94D8">
        <w:rPr>
          <w:rFonts w:asciiTheme="majorHAnsi" w:eastAsiaTheme="majorEastAsia" w:hAnsiTheme="majorHAnsi" w:cstheme="majorBidi"/>
        </w:rPr>
        <w:t xml:space="preserve"> funded by DFAT and</w:t>
      </w:r>
      <w:r w:rsidRPr="2A0C94D8">
        <w:rPr>
          <w:rFonts w:asciiTheme="majorHAnsi" w:eastAsiaTheme="majorEastAsia" w:hAnsiTheme="majorHAnsi" w:cstheme="majorBidi"/>
        </w:rPr>
        <w:t xml:space="preserve"> directly related to building civil maritime capacity.</w:t>
      </w:r>
    </w:p>
    <w:p w14:paraId="215871B2" w14:textId="238D4571" w:rsidR="00C96E81" w:rsidRPr="00691361" w:rsidRDefault="001D2799" w:rsidP="2A0C94D8">
      <w:pPr>
        <w:pStyle w:val="BodyText"/>
        <w:numPr>
          <w:ilvl w:val="0"/>
          <w:numId w:val="2"/>
        </w:numPr>
        <w:jc w:val="both"/>
        <w:rPr>
          <w:rFonts w:asciiTheme="majorHAnsi" w:eastAsiaTheme="majorEastAsia" w:hAnsiTheme="majorHAnsi" w:cstheme="majorBidi"/>
        </w:rPr>
      </w:pPr>
      <w:r w:rsidRPr="2A0C94D8">
        <w:rPr>
          <w:rFonts w:asciiTheme="majorHAnsi" w:eastAsiaTheme="majorEastAsia" w:hAnsiTheme="majorHAnsi" w:cstheme="majorBidi"/>
        </w:rPr>
        <w:t xml:space="preserve">Maritime infrastructure </w:t>
      </w:r>
      <w:r w:rsidR="003F368E" w:rsidRPr="2A0C94D8">
        <w:rPr>
          <w:rFonts w:asciiTheme="majorHAnsi" w:eastAsiaTheme="majorEastAsia" w:hAnsiTheme="majorHAnsi" w:cstheme="majorBidi"/>
        </w:rPr>
        <w:t xml:space="preserve">and equipment </w:t>
      </w:r>
      <w:r w:rsidRPr="2A0C94D8">
        <w:rPr>
          <w:rFonts w:asciiTheme="majorHAnsi" w:eastAsiaTheme="majorEastAsia" w:hAnsiTheme="majorHAnsi" w:cstheme="majorBidi"/>
        </w:rPr>
        <w:t>that support civil maritime security.</w:t>
      </w:r>
    </w:p>
    <w:p w14:paraId="67ADDD51" w14:textId="5EC9BDC4" w:rsidR="00287201" w:rsidRDefault="00A50B30" w:rsidP="2A0C94D8">
      <w:pPr>
        <w:pStyle w:val="ListBullet"/>
        <w:numPr>
          <w:ilvl w:val="0"/>
          <w:numId w:val="2"/>
        </w:numPr>
        <w:spacing w:before="120" w:after="60" w:line="260" w:lineRule="atLeast"/>
        <w:jc w:val="both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r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Marine environmental</w:t>
      </w:r>
      <w:r w:rsidR="008E0605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monitoring and</w:t>
      </w:r>
      <w:r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management </w:t>
      </w:r>
      <w:r w:rsidR="00D37A9B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activities</w:t>
      </w:r>
      <w:r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</w:t>
      </w:r>
      <w:r w:rsidR="00BB53C0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that include a civil maritime security objective.</w:t>
      </w:r>
    </w:p>
    <w:p w14:paraId="4FB4DA12" w14:textId="24156A96" w:rsidR="000A1DD2" w:rsidRPr="001A3142" w:rsidRDefault="003F7B24" w:rsidP="2A0C94D8">
      <w:pPr>
        <w:pStyle w:val="ListBullet"/>
        <w:numPr>
          <w:ilvl w:val="0"/>
          <w:numId w:val="2"/>
        </w:numPr>
        <w:spacing w:before="120" w:after="60" w:line="260" w:lineRule="atLeast"/>
        <w:jc w:val="both"/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</w:pPr>
      <w:r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Activities </w:t>
      </w:r>
      <w:r w:rsidR="007D2E26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that significantly contribute </w:t>
      </w:r>
      <w:r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to</w:t>
      </w:r>
      <w:r w:rsidR="00A10175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</w:t>
      </w:r>
      <w:r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p</w:t>
      </w:r>
      <w:r w:rsidR="000832EF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olicy</w:t>
      </w:r>
      <w:r w:rsidR="00A10175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or legislative</w:t>
      </w:r>
      <w:r w:rsidR="000832EF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changes</w:t>
      </w:r>
      <w:r w:rsidR="00F13FE2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 xml:space="preserve"> </w:t>
      </w:r>
      <w:r w:rsidR="007D2E26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concerning improvements in maritime domain awareness, marine resource management or maritime governance</w:t>
      </w:r>
      <w:r w:rsidR="00EF0A2D" w:rsidRPr="2A0C94D8">
        <w:rPr>
          <w:rFonts w:asciiTheme="majorHAnsi" w:eastAsiaTheme="majorEastAsia" w:hAnsiTheme="majorHAnsi" w:cstheme="majorBidi"/>
          <w:color w:val="44546A" w:themeColor="text2"/>
          <w:sz w:val="22"/>
          <w:szCs w:val="22"/>
        </w:rPr>
        <w:t>.</w:t>
      </w:r>
    </w:p>
    <w:p w14:paraId="34953A88" w14:textId="77777777" w:rsidR="00C4292B" w:rsidRPr="001A3142" w:rsidRDefault="00C4292B" w:rsidP="00DD16E1">
      <w:pPr>
        <w:pStyle w:val="Heading2"/>
        <w:rPr>
          <w:rStyle w:val="IntenseEmphasis"/>
          <w:sz w:val="22"/>
          <w:szCs w:val="22"/>
        </w:rPr>
      </w:pPr>
      <w:r w:rsidRPr="2A0C94D8">
        <w:rPr>
          <w:rStyle w:val="IntenseEmphasis"/>
          <w:sz w:val="22"/>
          <w:szCs w:val="22"/>
        </w:rPr>
        <w:t>Excludes:</w:t>
      </w:r>
    </w:p>
    <w:p w14:paraId="3BA1936D" w14:textId="4E6A6BF1" w:rsidR="002E15D7" w:rsidRDefault="001C264C" w:rsidP="2A0C94D8">
      <w:pPr>
        <w:pStyle w:val="BodyText"/>
        <w:numPr>
          <w:ilvl w:val="0"/>
          <w:numId w:val="1"/>
        </w:numPr>
        <w:jc w:val="both"/>
        <w:rPr>
          <w:rFonts w:asciiTheme="majorHAnsi" w:eastAsiaTheme="majorEastAsia" w:hAnsiTheme="majorHAnsi" w:cstheme="majorBidi"/>
        </w:rPr>
      </w:pPr>
      <w:r w:rsidRPr="2A0C94D8">
        <w:rPr>
          <w:rFonts w:asciiTheme="majorHAnsi" w:eastAsiaTheme="majorEastAsia" w:hAnsiTheme="majorHAnsi" w:cstheme="majorBidi"/>
        </w:rPr>
        <w:t xml:space="preserve">Defence </w:t>
      </w:r>
      <w:r w:rsidR="00BE0480" w:rsidRPr="2A0C94D8">
        <w:rPr>
          <w:rFonts w:asciiTheme="majorHAnsi" w:eastAsiaTheme="majorEastAsia" w:hAnsiTheme="majorHAnsi" w:cstheme="majorBidi"/>
        </w:rPr>
        <w:t xml:space="preserve">activities, </w:t>
      </w:r>
      <w:proofErr w:type="gramStart"/>
      <w:r w:rsidRPr="2A0C94D8">
        <w:rPr>
          <w:rFonts w:asciiTheme="majorHAnsi" w:eastAsiaTheme="majorEastAsia" w:hAnsiTheme="majorHAnsi" w:cstheme="majorBidi"/>
        </w:rPr>
        <w:t>cooperation</w:t>
      </w:r>
      <w:proofErr w:type="gramEnd"/>
      <w:r w:rsidRPr="2A0C94D8">
        <w:rPr>
          <w:rFonts w:asciiTheme="majorHAnsi" w:eastAsiaTheme="majorEastAsia" w:hAnsiTheme="majorHAnsi" w:cstheme="majorBidi"/>
        </w:rPr>
        <w:t xml:space="preserve"> and engagement</w:t>
      </w:r>
      <w:r w:rsidR="00E72E45" w:rsidRPr="2A0C94D8">
        <w:rPr>
          <w:rFonts w:asciiTheme="majorHAnsi" w:eastAsiaTheme="majorEastAsia" w:hAnsiTheme="majorHAnsi" w:cstheme="majorBidi"/>
        </w:rPr>
        <w:t xml:space="preserve">, except those directly related to </w:t>
      </w:r>
      <w:r w:rsidR="00691361" w:rsidRPr="2A0C94D8">
        <w:rPr>
          <w:rFonts w:asciiTheme="majorHAnsi" w:eastAsiaTheme="majorEastAsia" w:hAnsiTheme="majorHAnsi" w:cstheme="majorBidi"/>
        </w:rPr>
        <w:t>building civil maritime capacity.</w:t>
      </w:r>
    </w:p>
    <w:p w14:paraId="460AE21C" w14:textId="6656CA09" w:rsidR="00EA2E9A" w:rsidRPr="002E15D7" w:rsidRDefault="00EB2C62" w:rsidP="2A0C94D8">
      <w:pPr>
        <w:pStyle w:val="BodyText"/>
        <w:numPr>
          <w:ilvl w:val="0"/>
          <w:numId w:val="1"/>
        </w:numPr>
        <w:jc w:val="both"/>
        <w:rPr>
          <w:rFonts w:asciiTheme="majorHAnsi" w:eastAsiaTheme="majorEastAsia" w:hAnsiTheme="majorHAnsi" w:cstheme="majorBidi"/>
        </w:rPr>
      </w:pPr>
      <w:r w:rsidRPr="2A0C94D8">
        <w:rPr>
          <w:rFonts w:asciiTheme="majorHAnsi" w:eastAsiaTheme="majorEastAsia" w:hAnsiTheme="majorHAnsi" w:cstheme="majorBidi"/>
        </w:rPr>
        <w:t xml:space="preserve">Marine </w:t>
      </w:r>
      <w:r w:rsidR="00EA2E9A" w:rsidRPr="2A0C94D8">
        <w:rPr>
          <w:rFonts w:asciiTheme="majorHAnsi" w:eastAsiaTheme="majorEastAsia" w:hAnsiTheme="majorHAnsi" w:cstheme="majorBidi"/>
        </w:rPr>
        <w:t xml:space="preserve">environmental management </w:t>
      </w:r>
      <w:r w:rsidRPr="2A0C94D8">
        <w:rPr>
          <w:rFonts w:asciiTheme="majorHAnsi" w:eastAsiaTheme="majorEastAsia" w:hAnsiTheme="majorHAnsi" w:cstheme="majorBidi"/>
        </w:rPr>
        <w:t xml:space="preserve">and conservation </w:t>
      </w:r>
      <w:r w:rsidR="00EA2E9A" w:rsidRPr="2A0C94D8">
        <w:rPr>
          <w:rFonts w:asciiTheme="majorHAnsi" w:eastAsiaTheme="majorEastAsia" w:hAnsiTheme="majorHAnsi" w:cstheme="majorBidi"/>
        </w:rPr>
        <w:t xml:space="preserve">activities that do not have a specific maritime security </w:t>
      </w:r>
      <w:r w:rsidR="00F666F6" w:rsidRPr="2A0C94D8">
        <w:rPr>
          <w:rFonts w:asciiTheme="majorHAnsi" w:eastAsiaTheme="majorEastAsia" w:hAnsiTheme="majorHAnsi" w:cstheme="majorBidi"/>
        </w:rPr>
        <w:t>objective.</w:t>
      </w:r>
    </w:p>
    <w:p w14:paraId="6D943109" w14:textId="692A1D2E" w:rsidR="001A3142" w:rsidRPr="001A3142" w:rsidRDefault="00C4292B" w:rsidP="00DD16E1">
      <w:pPr>
        <w:pStyle w:val="Heading2"/>
      </w:pPr>
      <w:r w:rsidRPr="529FA985">
        <w:t>calculation met</w:t>
      </w:r>
      <w:r w:rsidR="001A3142" w:rsidRPr="529FA985">
        <w:t>hod</w:t>
      </w:r>
    </w:p>
    <w:p w14:paraId="675A7D9D" w14:textId="4A97C427" w:rsidR="001A3142" w:rsidRPr="00BC2031" w:rsidRDefault="00574564" w:rsidP="2A0C94D8">
      <w:pPr>
        <w:pStyle w:val="BodyText"/>
        <w:jc w:val="both"/>
        <w:rPr>
          <w:rFonts w:asciiTheme="majorHAnsi" w:eastAsiaTheme="majorEastAsia" w:hAnsiTheme="majorHAnsi" w:cstheme="majorBidi"/>
          <w:lang w:val="en-AU" w:eastAsia="en-AU"/>
        </w:rPr>
      </w:pPr>
      <w:r w:rsidRPr="2A0C94D8">
        <w:rPr>
          <w:rFonts w:asciiTheme="majorHAnsi" w:eastAsiaTheme="majorEastAsia" w:hAnsiTheme="majorHAnsi" w:cstheme="majorBidi"/>
          <w:lang w:val="en-AU" w:eastAsia="en-AU"/>
        </w:rPr>
        <w:t xml:space="preserve">Maritime </w:t>
      </w:r>
      <w:r w:rsidR="003F368E" w:rsidRPr="2A0C94D8">
        <w:rPr>
          <w:rFonts w:asciiTheme="majorHAnsi" w:eastAsiaTheme="majorEastAsia" w:hAnsiTheme="majorHAnsi" w:cstheme="majorBidi"/>
          <w:lang w:val="en-AU" w:eastAsia="en-AU"/>
        </w:rPr>
        <w:t>s</w:t>
      </w:r>
      <w:r w:rsidRPr="2A0C94D8">
        <w:rPr>
          <w:rFonts w:asciiTheme="majorHAnsi" w:eastAsiaTheme="majorEastAsia" w:hAnsiTheme="majorHAnsi" w:cstheme="majorBidi"/>
          <w:lang w:val="en-AU" w:eastAsia="en-AU"/>
        </w:rPr>
        <w:t xml:space="preserve">ecurity is a narrative indicator, so reporting </w:t>
      </w:r>
      <w:r w:rsidR="005847C1" w:rsidRPr="2A0C94D8">
        <w:rPr>
          <w:rFonts w:asciiTheme="majorHAnsi" w:eastAsiaTheme="majorEastAsia" w:hAnsiTheme="majorHAnsi" w:cstheme="majorBidi"/>
          <w:lang w:val="en-AU" w:eastAsia="en-AU"/>
        </w:rPr>
        <w:t xml:space="preserve">should focus on qualitative evidence (through narrative examples and case studies) of the contribution of Australia’s assistance </w:t>
      </w:r>
      <w:r w:rsidR="00AF7436" w:rsidRPr="2A0C94D8">
        <w:rPr>
          <w:rFonts w:asciiTheme="majorHAnsi" w:eastAsiaTheme="majorEastAsia" w:hAnsiTheme="majorHAnsi" w:cstheme="majorBidi"/>
          <w:lang w:val="en-AU" w:eastAsia="en-AU"/>
        </w:rPr>
        <w:t>to the objective</w:t>
      </w:r>
      <w:r w:rsidRPr="2A0C94D8">
        <w:rPr>
          <w:rFonts w:asciiTheme="majorHAnsi" w:eastAsiaTheme="majorEastAsia" w:hAnsiTheme="majorHAnsi" w:cstheme="majorBidi"/>
          <w:lang w:val="en-AU" w:eastAsia="en-AU"/>
        </w:rPr>
        <w:t xml:space="preserve">. </w:t>
      </w:r>
      <w:r w:rsidR="007E488A" w:rsidRPr="2A0C94D8">
        <w:rPr>
          <w:rFonts w:asciiTheme="majorHAnsi" w:eastAsiaTheme="majorEastAsia" w:hAnsiTheme="majorHAnsi" w:cstheme="majorBidi"/>
          <w:lang w:val="en-AU" w:eastAsia="en-AU"/>
        </w:rPr>
        <w:t xml:space="preserve">However, </w:t>
      </w:r>
      <w:r w:rsidR="00D909DE" w:rsidRPr="2A0C94D8">
        <w:rPr>
          <w:rFonts w:asciiTheme="majorHAnsi" w:eastAsiaTheme="majorEastAsia" w:hAnsiTheme="majorHAnsi" w:cstheme="majorBidi"/>
          <w:lang w:val="en-AU" w:eastAsia="en-AU"/>
        </w:rPr>
        <w:t>quantitative results should be reported in the narrative where</w:t>
      </w:r>
      <w:r w:rsidR="007E488A" w:rsidRPr="2A0C94D8">
        <w:rPr>
          <w:rFonts w:asciiTheme="majorHAnsi" w:eastAsiaTheme="majorEastAsia" w:hAnsiTheme="majorHAnsi" w:cstheme="majorBidi"/>
          <w:lang w:val="en-AU" w:eastAsia="en-AU"/>
        </w:rPr>
        <w:t xml:space="preserve"> relevant, </w:t>
      </w:r>
      <w:r w:rsidR="003F60F5" w:rsidRPr="2A0C94D8">
        <w:rPr>
          <w:rFonts w:asciiTheme="majorHAnsi" w:eastAsiaTheme="majorEastAsia" w:hAnsiTheme="majorHAnsi" w:cstheme="majorBidi"/>
          <w:lang w:val="en-AU" w:eastAsia="en-AU"/>
        </w:rPr>
        <w:t>including</w:t>
      </w:r>
      <w:r w:rsidR="00BC2031" w:rsidRPr="2A0C94D8">
        <w:rPr>
          <w:rFonts w:asciiTheme="majorHAnsi" w:eastAsiaTheme="majorEastAsia" w:hAnsiTheme="majorHAnsi" w:cstheme="majorBidi"/>
          <w:lang w:val="en-AU" w:eastAsia="en-AU"/>
        </w:rPr>
        <w:t xml:space="preserve"> the number of countries</w:t>
      </w:r>
      <w:r w:rsidR="008B0D1D" w:rsidRPr="2A0C94D8">
        <w:rPr>
          <w:rFonts w:asciiTheme="majorHAnsi" w:eastAsiaTheme="majorEastAsia" w:hAnsiTheme="majorHAnsi" w:cstheme="majorBidi"/>
          <w:lang w:val="en-AU" w:eastAsia="en-AU"/>
        </w:rPr>
        <w:t xml:space="preserve"> and agencies</w:t>
      </w:r>
      <w:r w:rsidR="00BC2031" w:rsidRPr="2A0C94D8">
        <w:rPr>
          <w:rFonts w:asciiTheme="majorHAnsi" w:eastAsiaTheme="majorEastAsia" w:hAnsiTheme="majorHAnsi" w:cstheme="majorBidi"/>
          <w:lang w:val="en-AU" w:eastAsia="en-AU"/>
        </w:rPr>
        <w:t xml:space="preserve"> provided with assistance</w:t>
      </w:r>
      <w:r w:rsidR="000C3B04" w:rsidRPr="2A0C94D8">
        <w:rPr>
          <w:rFonts w:asciiTheme="majorHAnsi" w:eastAsiaTheme="majorEastAsia" w:hAnsiTheme="majorHAnsi" w:cstheme="majorBidi"/>
          <w:lang w:val="en-AU" w:eastAsia="en-AU"/>
        </w:rPr>
        <w:t>.</w:t>
      </w:r>
    </w:p>
    <w:p w14:paraId="5E03DAEC" w14:textId="531157A6" w:rsidR="001A3142" w:rsidRPr="001A3142" w:rsidRDefault="001A3142" w:rsidP="00DD16E1">
      <w:pPr>
        <w:pStyle w:val="Heading2"/>
      </w:pPr>
      <w:r w:rsidRPr="529FA985">
        <w:t>data source/s</w:t>
      </w:r>
    </w:p>
    <w:p w14:paraId="2AD3E658" w14:textId="18007E7C" w:rsidR="001A3142" w:rsidRPr="001A3142" w:rsidRDefault="000C3B04" w:rsidP="2A0C94D8">
      <w:pPr>
        <w:pStyle w:val="BodyText"/>
        <w:jc w:val="both"/>
        <w:rPr>
          <w:rFonts w:asciiTheme="majorHAnsi" w:eastAsiaTheme="majorEastAsia" w:hAnsiTheme="majorHAnsi" w:cstheme="majorBidi"/>
          <w:lang w:eastAsia="en-AU"/>
        </w:rPr>
      </w:pPr>
      <w:r w:rsidRPr="2A0C94D8">
        <w:rPr>
          <w:rFonts w:asciiTheme="majorHAnsi" w:eastAsiaTheme="majorEastAsia" w:hAnsiTheme="majorHAnsi" w:cstheme="majorBidi"/>
          <w:lang w:eastAsia="en-AU"/>
        </w:rPr>
        <w:t>Relevant p</w:t>
      </w:r>
      <w:r w:rsidR="00FF4701" w:rsidRPr="2A0C94D8">
        <w:rPr>
          <w:rFonts w:asciiTheme="majorHAnsi" w:eastAsiaTheme="majorEastAsia" w:hAnsiTheme="majorHAnsi" w:cstheme="majorBidi"/>
          <w:lang w:eastAsia="en-AU"/>
        </w:rPr>
        <w:t>rogram reports, meetin</w:t>
      </w:r>
      <w:r w:rsidR="00106B0C" w:rsidRPr="2A0C94D8">
        <w:rPr>
          <w:rFonts w:asciiTheme="majorHAnsi" w:eastAsiaTheme="majorEastAsia" w:hAnsiTheme="majorHAnsi" w:cstheme="majorBidi"/>
          <w:lang w:eastAsia="en-AU"/>
        </w:rPr>
        <w:t xml:space="preserve">g records, </w:t>
      </w:r>
      <w:r w:rsidR="00193883" w:rsidRPr="2A0C94D8">
        <w:rPr>
          <w:rFonts w:asciiTheme="majorHAnsi" w:eastAsiaTheme="majorEastAsia" w:hAnsiTheme="majorHAnsi" w:cstheme="majorBidi"/>
          <w:lang w:eastAsia="en-AU"/>
        </w:rPr>
        <w:t xml:space="preserve">cables, reviews, </w:t>
      </w:r>
      <w:proofErr w:type="gramStart"/>
      <w:r w:rsidR="00193883" w:rsidRPr="2A0C94D8">
        <w:rPr>
          <w:rFonts w:asciiTheme="majorHAnsi" w:eastAsiaTheme="majorEastAsia" w:hAnsiTheme="majorHAnsi" w:cstheme="majorBidi"/>
          <w:lang w:eastAsia="en-AU"/>
        </w:rPr>
        <w:t>evaluations</w:t>
      </w:r>
      <w:proofErr w:type="gramEnd"/>
      <w:r w:rsidR="00193883" w:rsidRPr="2A0C94D8">
        <w:rPr>
          <w:rFonts w:asciiTheme="majorHAnsi" w:eastAsiaTheme="majorEastAsia" w:hAnsiTheme="majorHAnsi" w:cstheme="majorBidi"/>
          <w:lang w:eastAsia="en-AU"/>
        </w:rPr>
        <w:t xml:space="preserve"> and assessments.</w:t>
      </w:r>
    </w:p>
    <w:p w14:paraId="10F7B0B6" w14:textId="7C41C686" w:rsidR="001A3142" w:rsidRPr="001A3142" w:rsidRDefault="001A3142" w:rsidP="00DD16E1">
      <w:pPr>
        <w:pStyle w:val="Heading2"/>
      </w:pPr>
      <w:r w:rsidRPr="529FA985">
        <w:t>disaggregation</w:t>
      </w:r>
    </w:p>
    <w:p w14:paraId="5D6F7B30" w14:textId="2351F7BA" w:rsidR="00564BA7" w:rsidRDefault="00564BA7" w:rsidP="2A0C94D8">
      <w:pPr>
        <w:pStyle w:val="BodyText"/>
        <w:jc w:val="both"/>
        <w:rPr>
          <w:rFonts w:asciiTheme="majorHAnsi" w:eastAsiaTheme="majorEastAsia" w:hAnsiTheme="majorHAnsi" w:cstheme="majorBidi"/>
          <w:lang w:eastAsia="en-AU"/>
        </w:rPr>
      </w:pPr>
      <w:r w:rsidRPr="2A0C94D8">
        <w:rPr>
          <w:rFonts w:asciiTheme="majorHAnsi" w:eastAsiaTheme="majorEastAsia" w:hAnsiTheme="majorHAnsi" w:cstheme="majorBidi"/>
          <w:lang w:eastAsia="en-AU"/>
        </w:rPr>
        <w:t xml:space="preserve">Sex disaggregated </w:t>
      </w:r>
      <w:r w:rsidR="009E5CF8" w:rsidRPr="2A0C94D8">
        <w:rPr>
          <w:rFonts w:asciiTheme="majorHAnsi" w:eastAsiaTheme="majorEastAsia" w:hAnsiTheme="majorHAnsi" w:cstheme="majorBidi"/>
          <w:lang w:eastAsia="en-AU"/>
        </w:rPr>
        <w:t xml:space="preserve">data </w:t>
      </w:r>
      <w:r w:rsidR="00036CAA" w:rsidRPr="2A0C94D8">
        <w:rPr>
          <w:rFonts w:asciiTheme="majorHAnsi" w:eastAsiaTheme="majorEastAsia" w:hAnsiTheme="majorHAnsi" w:cstheme="majorBidi"/>
          <w:lang w:eastAsia="en-AU"/>
        </w:rPr>
        <w:t>should be provided in narrative reports where possible.</w:t>
      </w:r>
    </w:p>
    <w:p w14:paraId="6E9CC230" w14:textId="5D83B78B" w:rsidR="00481AE5" w:rsidRDefault="00580B6C" w:rsidP="2A0C94D8">
      <w:pPr>
        <w:pStyle w:val="BodyText"/>
        <w:jc w:val="both"/>
        <w:rPr>
          <w:rFonts w:asciiTheme="majorHAnsi" w:eastAsiaTheme="majorEastAsia" w:hAnsiTheme="majorHAnsi" w:cstheme="majorBidi"/>
          <w:lang w:eastAsia="en-AU"/>
        </w:rPr>
      </w:pPr>
      <w:r w:rsidRPr="2A0C94D8">
        <w:rPr>
          <w:rFonts w:asciiTheme="majorHAnsi" w:eastAsiaTheme="majorEastAsia" w:hAnsiTheme="majorHAnsi" w:cstheme="majorBidi"/>
          <w:lang w:eastAsia="en-AU"/>
        </w:rPr>
        <w:t>Disaggregated data on disability and social inclusion should</w:t>
      </w:r>
      <w:r w:rsidR="00935C13" w:rsidRPr="2A0C94D8">
        <w:rPr>
          <w:rFonts w:asciiTheme="majorHAnsi" w:eastAsiaTheme="majorEastAsia" w:hAnsiTheme="majorHAnsi" w:cstheme="majorBidi"/>
          <w:lang w:eastAsia="en-AU"/>
        </w:rPr>
        <w:t xml:space="preserve"> also be included where possible.</w:t>
      </w:r>
    </w:p>
    <w:p w14:paraId="7DA1C9D5" w14:textId="74BDBCC4" w:rsidR="00A36176" w:rsidRPr="00A7190E" w:rsidRDefault="001A3142" w:rsidP="00DD16E1">
      <w:pPr>
        <w:pStyle w:val="Heading2"/>
      </w:pPr>
      <w:r w:rsidRPr="529FA985">
        <w:t>Worked example</w:t>
      </w:r>
    </w:p>
    <w:p w14:paraId="0DE039F8" w14:textId="38D1A3DA" w:rsidR="006F4613" w:rsidRPr="006570D4" w:rsidRDefault="00B37545" w:rsidP="2A0C94D8">
      <w:pPr>
        <w:pStyle w:val="BodyText"/>
        <w:jc w:val="both"/>
        <w:rPr>
          <w:rFonts w:asciiTheme="majorHAnsi" w:eastAsiaTheme="majorEastAsia" w:hAnsiTheme="majorHAnsi" w:cstheme="majorBidi"/>
          <w:lang w:eastAsia="en-AU"/>
        </w:rPr>
      </w:pPr>
      <w:r w:rsidRPr="2A0C94D8">
        <w:rPr>
          <w:rFonts w:asciiTheme="majorHAnsi" w:eastAsiaTheme="majorEastAsia" w:hAnsiTheme="majorHAnsi" w:cstheme="majorBidi"/>
          <w:lang w:eastAsia="en-AU"/>
        </w:rPr>
        <w:t xml:space="preserve">The </w:t>
      </w:r>
      <w:r w:rsidR="00A07B92" w:rsidRPr="2A0C94D8">
        <w:rPr>
          <w:rFonts w:asciiTheme="majorHAnsi" w:eastAsiaTheme="majorEastAsia" w:hAnsiTheme="majorHAnsi" w:cstheme="majorBidi"/>
          <w:lang w:eastAsia="en-AU"/>
        </w:rPr>
        <w:t>S</w:t>
      </w:r>
      <w:r w:rsidR="005D7322" w:rsidRPr="2A0C94D8">
        <w:rPr>
          <w:rFonts w:asciiTheme="majorHAnsi" w:eastAsiaTheme="majorEastAsia" w:hAnsiTheme="majorHAnsi" w:cstheme="majorBidi"/>
          <w:lang w:eastAsia="en-AU"/>
        </w:rPr>
        <w:t>outheast Asia</w:t>
      </w:r>
      <w:r w:rsidR="00A07B92" w:rsidRPr="2A0C94D8">
        <w:rPr>
          <w:rFonts w:asciiTheme="majorHAnsi" w:eastAsiaTheme="majorEastAsia" w:hAnsiTheme="majorHAnsi" w:cstheme="majorBidi"/>
          <w:lang w:eastAsia="en-AU"/>
        </w:rPr>
        <w:t xml:space="preserve"> </w:t>
      </w:r>
      <w:r w:rsidRPr="2A0C94D8">
        <w:rPr>
          <w:rFonts w:asciiTheme="majorHAnsi" w:eastAsiaTheme="majorEastAsia" w:hAnsiTheme="majorHAnsi" w:cstheme="majorBidi"/>
          <w:lang w:eastAsia="en-AU"/>
        </w:rPr>
        <w:t xml:space="preserve">Women in Maritime Security Network </w:t>
      </w:r>
      <w:r w:rsidR="00DA63B5" w:rsidRPr="2A0C94D8">
        <w:rPr>
          <w:rFonts w:asciiTheme="majorHAnsi" w:eastAsiaTheme="majorEastAsia" w:hAnsiTheme="majorHAnsi" w:cstheme="majorBidi"/>
          <w:lang w:eastAsia="en-AU"/>
        </w:rPr>
        <w:t>combines</w:t>
      </w:r>
      <w:r w:rsidRPr="2A0C94D8">
        <w:rPr>
          <w:rFonts w:asciiTheme="majorHAnsi" w:eastAsiaTheme="majorEastAsia" w:hAnsiTheme="majorHAnsi" w:cstheme="majorBidi"/>
          <w:lang w:eastAsia="en-AU"/>
        </w:rPr>
        <w:t xml:space="preserve"> technical skills training </w:t>
      </w:r>
      <w:r w:rsidR="005D7322" w:rsidRPr="2A0C94D8">
        <w:rPr>
          <w:rFonts w:asciiTheme="majorHAnsi" w:eastAsiaTheme="majorEastAsia" w:hAnsiTheme="majorHAnsi" w:cstheme="majorBidi"/>
          <w:lang w:eastAsia="en-AU"/>
        </w:rPr>
        <w:t xml:space="preserve">in topics such as </w:t>
      </w:r>
      <w:r w:rsidR="003F368E" w:rsidRPr="2A0C94D8">
        <w:rPr>
          <w:rFonts w:asciiTheme="majorHAnsi" w:eastAsiaTheme="majorEastAsia" w:hAnsiTheme="majorHAnsi" w:cstheme="majorBidi"/>
          <w:lang w:eastAsia="en-AU"/>
        </w:rPr>
        <w:t>L</w:t>
      </w:r>
      <w:r w:rsidRPr="2A0C94D8">
        <w:rPr>
          <w:rFonts w:asciiTheme="majorHAnsi" w:eastAsiaTheme="majorEastAsia" w:hAnsiTheme="majorHAnsi" w:cstheme="majorBidi"/>
          <w:lang w:eastAsia="en-AU"/>
        </w:rPr>
        <w:t xml:space="preserve">aw of the </w:t>
      </w:r>
      <w:r w:rsidR="003F368E" w:rsidRPr="2A0C94D8">
        <w:rPr>
          <w:rFonts w:asciiTheme="majorHAnsi" w:eastAsiaTheme="majorEastAsia" w:hAnsiTheme="majorHAnsi" w:cstheme="majorBidi"/>
          <w:lang w:eastAsia="en-AU"/>
        </w:rPr>
        <w:t>S</w:t>
      </w:r>
      <w:r w:rsidRPr="2A0C94D8">
        <w:rPr>
          <w:rFonts w:asciiTheme="majorHAnsi" w:eastAsiaTheme="majorEastAsia" w:hAnsiTheme="majorHAnsi" w:cstheme="majorBidi"/>
          <w:lang w:eastAsia="en-AU"/>
        </w:rPr>
        <w:t>ea</w:t>
      </w:r>
      <w:r w:rsidR="005D7322" w:rsidRPr="2A0C94D8">
        <w:rPr>
          <w:rFonts w:asciiTheme="majorHAnsi" w:eastAsiaTheme="majorEastAsia" w:hAnsiTheme="majorHAnsi" w:cstheme="majorBidi"/>
          <w:lang w:eastAsia="en-AU"/>
        </w:rPr>
        <w:t xml:space="preserve"> and</w:t>
      </w:r>
      <w:r w:rsidRPr="2A0C94D8">
        <w:rPr>
          <w:rFonts w:asciiTheme="majorHAnsi" w:eastAsiaTheme="majorEastAsia" w:hAnsiTheme="majorHAnsi" w:cstheme="majorBidi"/>
          <w:lang w:eastAsia="en-AU"/>
        </w:rPr>
        <w:t xml:space="preserve"> maritime law enforcement with management and women in leadership training. </w:t>
      </w:r>
      <w:r w:rsidR="005D7322" w:rsidRPr="2A0C94D8">
        <w:rPr>
          <w:rFonts w:asciiTheme="majorHAnsi" w:eastAsiaTheme="majorEastAsia" w:hAnsiTheme="majorHAnsi" w:cstheme="majorBidi"/>
          <w:lang w:eastAsia="en-AU"/>
        </w:rPr>
        <w:t xml:space="preserve">In </w:t>
      </w:r>
      <w:r w:rsidR="003D4A12" w:rsidRPr="2A0C94D8">
        <w:rPr>
          <w:rFonts w:asciiTheme="majorHAnsi" w:eastAsiaTheme="majorEastAsia" w:hAnsiTheme="majorHAnsi" w:cstheme="majorBidi"/>
          <w:lang w:eastAsia="en-AU"/>
        </w:rPr>
        <w:t>2022-23</w:t>
      </w:r>
      <w:r w:rsidR="005D7322" w:rsidRPr="2A0C94D8">
        <w:rPr>
          <w:rFonts w:asciiTheme="majorHAnsi" w:eastAsiaTheme="majorEastAsia" w:hAnsiTheme="majorHAnsi" w:cstheme="majorBidi"/>
          <w:lang w:eastAsia="en-AU"/>
        </w:rPr>
        <w:t xml:space="preserve"> this program enabled 18 women</w:t>
      </w:r>
      <w:r w:rsidRPr="2A0C94D8">
        <w:rPr>
          <w:rFonts w:asciiTheme="majorHAnsi" w:eastAsiaTheme="majorEastAsia" w:hAnsiTheme="majorHAnsi" w:cstheme="majorBidi"/>
          <w:lang w:eastAsia="en-AU"/>
        </w:rPr>
        <w:t xml:space="preserve"> </w:t>
      </w:r>
      <w:r w:rsidR="00730767" w:rsidRPr="2A0C94D8">
        <w:rPr>
          <w:rFonts w:asciiTheme="majorHAnsi" w:eastAsiaTheme="majorEastAsia" w:hAnsiTheme="majorHAnsi" w:cstheme="majorBidi"/>
          <w:lang w:eastAsia="en-AU"/>
        </w:rPr>
        <w:t xml:space="preserve">from </w:t>
      </w:r>
      <w:r w:rsidR="003D4A12" w:rsidRPr="2A0C94D8">
        <w:rPr>
          <w:rFonts w:asciiTheme="majorHAnsi" w:eastAsiaTheme="majorEastAsia" w:hAnsiTheme="majorHAnsi" w:cstheme="majorBidi"/>
          <w:lang w:eastAsia="en-AU"/>
        </w:rPr>
        <w:t xml:space="preserve">Indonesia, Malaysia, the Philippines, </w:t>
      </w:r>
      <w:proofErr w:type="gramStart"/>
      <w:r w:rsidR="006B5082" w:rsidRPr="2A0C94D8">
        <w:rPr>
          <w:rFonts w:asciiTheme="majorHAnsi" w:eastAsiaTheme="majorEastAsia" w:hAnsiTheme="majorHAnsi" w:cstheme="majorBidi"/>
          <w:lang w:eastAsia="en-AU"/>
        </w:rPr>
        <w:t>Vietnam</w:t>
      </w:r>
      <w:proofErr w:type="gramEnd"/>
      <w:r w:rsidR="006B5082" w:rsidRPr="2A0C94D8">
        <w:rPr>
          <w:rFonts w:asciiTheme="majorHAnsi" w:eastAsiaTheme="majorEastAsia" w:hAnsiTheme="majorHAnsi" w:cstheme="majorBidi"/>
          <w:lang w:eastAsia="en-AU"/>
        </w:rPr>
        <w:t xml:space="preserve"> and </w:t>
      </w:r>
      <w:r w:rsidR="00F528F7" w:rsidRPr="2A0C94D8">
        <w:rPr>
          <w:rFonts w:asciiTheme="majorHAnsi" w:eastAsiaTheme="majorEastAsia" w:hAnsiTheme="majorHAnsi" w:cstheme="majorBidi"/>
          <w:lang w:eastAsia="en-AU"/>
        </w:rPr>
        <w:t>Brunei</w:t>
      </w:r>
      <w:r w:rsidR="003D4A12" w:rsidRPr="2A0C94D8">
        <w:rPr>
          <w:rFonts w:asciiTheme="majorHAnsi" w:eastAsiaTheme="majorEastAsia" w:hAnsiTheme="majorHAnsi" w:cstheme="majorBidi"/>
          <w:lang w:eastAsia="en-AU"/>
        </w:rPr>
        <w:t xml:space="preserve"> </w:t>
      </w:r>
      <w:r w:rsidRPr="2A0C94D8">
        <w:rPr>
          <w:rFonts w:asciiTheme="majorHAnsi" w:eastAsiaTheme="majorEastAsia" w:hAnsiTheme="majorHAnsi" w:cstheme="majorBidi"/>
          <w:lang w:eastAsia="en-AU"/>
        </w:rPr>
        <w:t xml:space="preserve">to </w:t>
      </w:r>
      <w:r w:rsidR="006A0AEC" w:rsidRPr="2A0C94D8">
        <w:rPr>
          <w:rFonts w:asciiTheme="majorHAnsi" w:eastAsiaTheme="majorEastAsia" w:hAnsiTheme="majorHAnsi" w:cstheme="majorBidi"/>
          <w:lang w:eastAsia="en-AU"/>
        </w:rPr>
        <w:t xml:space="preserve">build </w:t>
      </w:r>
      <w:r w:rsidR="005D7322" w:rsidRPr="2A0C94D8">
        <w:rPr>
          <w:rFonts w:asciiTheme="majorHAnsi" w:eastAsiaTheme="majorEastAsia" w:hAnsiTheme="majorHAnsi" w:cstheme="majorBidi"/>
          <w:lang w:eastAsia="en-AU"/>
        </w:rPr>
        <w:t xml:space="preserve">their </w:t>
      </w:r>
      <w:r w:rsidR="003D4A12" w:rsidRPr="2A0C94D8">
        <w:rPr>
          <w:rFonts w:asciiTheme="majorHAnsi" w:eastAsiaTheme="majorEastAsia" w:hAnsiTheme="majorHAnsi" w:cstheme="majorBidi"/>
          <w:lang w:eastAsia="en-AU"/>
        </w:rPr>
        <w:t xml:space="preserve">maritime </w:t>
      </w:r>
      <w:r w:rsidR="005D7322" w:rsidRPr="2A0C94D8">
        <w:rPr>
          <w:rFonts w:asciiTheme="majorHAnsi" w:eastAsiaTheme="majorEastAsia" w:hAnsiTheme="majorHAnsi" w:cstheme="majorBidi"/>
          <w:lang w:eastAsia="en-AU"/>
        </w:rPr>
        <w:t>technical</w:t>
      </w:r>
      <w:r w:rsidRPr="2A0C94D8">
        <w:rPr>
          <w:rFonts w:asciiTheme="majorHAnsi" w:eastAsiaTheme="majorEastAsia" w:hAnsiTheme="majorHAnsi" w:cstheme="majorBidi"/>
          <w:lang w:eastAsia="en-AU"/>
        </w:rPr>
        <w:t xml:space="preserve"> capabilities, while </w:t>
      </w:r>
      <w:r w:rsidR="006A0AEC" w:rsidRPr="2A0C94D8">
        <w:rPr>
          <w:rFonts w:asciiTheme="majorHAnsi" w:eastAsiaTheme="majorEastAsia" w:hAnsiTheme="majorHAnsi" w:cstheme="majorBidi"/>
          <w:lang w:eastAsia="en-AU"/>
        </w:rPr>
        <w:t>promoting</w:t>
      </w:r>
      <w:r w:rsidRPr="2A0C94D8">
        <w:rPr>
          <w:rFonts w:asciiTheme="majorHAnsi" w:eastAsiaTheme="majorEastAsia" w:hAnsiTheme="majorHAnsi" w:cstheme="majorBidi"/>
          <w:lang w:eastAsia="en-AU"/>
        </w:rPr>
        <w:t xml:space="preserve"> </w:t>
      </w:r>
      <w:r w:rsidR="008174D7" w:rsidRPr="2A0C94D8">
        <w:rPr>
          <w:rFonts w:asciiTheme="majorHAnsi" w:eastAsiaTheme="majorEastAsia" w:hAnsiTheme="majorHAnsi" w:cstheme="majorBidi"/>
          <w:lang w:eastAsia="en-AU"/>
        </w:rPr>
        <w:t xml:space="preserve">women's leadership and </w:t>
      </w:r>
      <w:r w:rsidRPr="2A0C94D8">
        <w:rPr>
          <w:rFonts w:asciiTheme="majorHAnsi" w:eastAsiaTheme="majorEastAsia" w:hAnsiTheme="majorHAnsi" w:cstheme="majorBidi"/>
          <w:lang w:eastAsia="en-AU"/>
        </w:rPr>
        <w:t xml:space="preserve">gender equality. </w:t>
      </w:r>
      <w:r w:rsidR="00AF7436" w:rsidRPr="2A0C94D8">
        <w:rPr>
          <w:rFonts w:asciiTheme="majorHAnsi" w:eastAsiaTheme="majorEastAsia" w:hAnsiTheme="majorHAnsi" w:cstheme="majorBidi"/>
          <w:lang w:eastAsia="en-AU"/>
        </w:rPr>
        <w:t>This also established a</w:t>
      </w:r>
      <w:r w:rsidR="00FE4E0C" w:rsidRPr="2A0C94D8">
        <w:rPr>
          <w:rFonts w:asciiTheme="majorHAnsi" w:eastAsiaTheme="majorEastAsia" w:hAnsiTheme="majorHAnsi" w:cstheme="majorBidi"/>
          <w:lang w:eastAsia="en-AU"/>
        </w:rPr>
        <w:t>n ongoing</w:t>
      </w:r>
      <w:r w:rsidR="00AF7436" w:rsidRPr="2A0C94D8">
        <w:rPr>
          <w:rFonts w:asciiTheme="majorHAnsi" w:eastAsiaTheme="majorEastAsia" w:hAnsiTheme="majorHAnsi" w:cstheme="majorBidi"/>
          <w:lang w:eastAsia="en-AU"/>
        </w:rPr>
        <w:t xml:space="preserve"> network that we will sustain with further activities going forward. </w:t>
      </w:r>
      <w:r w:rsidR="005D7322" w:rsidRPr="2A0C94D8">
        <w:rPr>
          <w:rFonts w:asciiTheme="majorHAnsi" w:eastAsiaTheme="majorEastAsia" w:hAnsiTheme="majorHAnsi" w:cstheme="majorBidi"/>
          <w:lang w:eastAsia="en-AU"/>
        </w:rPr>
        <w:t xml:space="preserve">After learning </w:t>
      </w:r>
      <w:r w:rsidR="008174D7" w:rsidRPr="2A0C94D8">
        <w:rPr>
          <w:rFonts w:asciiTheme="majorHAnsi" w:eastAsiaTheme="majorEastAsia" w:hAnsiTheme="majorHAnsi" w:cstheme="majorBidi"/>
          <w:lang w:eastAsia="en-AU"/>
        </w:rPr>
        <w:t>about</w:t>
      </w:r>
      <w:r w:rsidR="003D4A12" w:rsidRPr="2A0C94D8">
        <w:rPr>
          <w:rFonts w:asciiTheme="majorHAnsi" w:eastAsiaTheme="majorEastAsia" w:hAnsiTheme="majorHAnsi" w:cstheme="majorBidi"/>
          <w:lang w:eastAsia="en-AU"/>
        </w:rPr>
        <w:t xml:space="preserve"> gender equality</w:t>
      </w:r>
      <w:r w:rsidR="005D7322" w:rsidRPr="2A0C94D8">
        <w:rPr>
          <w:rFonts w:asciiTheme="majorHAnsi" w:eastAsiaTheme="majorEastAsia" w:hAnsiTheme="majorHAnsi" w:cstheme="majorBidi"/>
          <w:lang w:eastAsia="en-AU"/>
        </w:rPr>
        <w:t xml:space="preserve"> </w:t>
      </w:r>
      <w:r w:rsidR="003D4A12" w:rsidRPr="2A0C94D8">
        <w:rPr>
          <w:rFonts w:asciiTheme="majorHAnsi" w:eastAsiaTheme="majorEastAsia" w:hAnsiTheme="majorHAnsi" w:cstheme="majorBidi"/>
          <w:lang w:eastAsia="en-AU"/>
        </w:rPr>
        <w:t>policies and strategies implemented in Australia and elsewhere</w:t>
      </w:r>
      <w:r w:rsidR="008174D7" w:rsidRPr="2A0C94D8">
        <w:rPr>
          <w:rFonts w:asciiTheme="majorHAnsi" w:eastAsiaTheme="majorEastAsia" w:hAnsiTheme="majorHAnsi" w:cstheme="majorBidi"/>
          <w:lang w:eastAsia="en-AU"/>
        </w:rPr>
        <w:t xml:space="preserve"> in the maritime security context</w:t>
      </w:r>
      <w:r w:rsidR="003D4A12" w:rsidRPr="2A0C94D8">
        <w:rPr>
          <w:rFonts w:asciiTheme="majorHAnsi" w:eastAsiaTheme="majorEastAsia" w:hAnsiTheme="majorHAnsi" w:cstheme="majorBidi"/>
          <w:lang w:eastAsia="en-AU"/>
        </w:rPr>
        <w:t>,</w:t>
      </w:r>
      <w:r w:rsidRPr="2A0C94D8">
        <w:rPr>
          <w:rFonts w:asciiTheme="majorHAnsi" w:eastAsiaTheme="majorEastAsia" w:hAnsiTheme="majorHAnsi" w:cstheme="majorBidi"/>
          <w:lang w:eastAsia="en-AU"/>
        </w:rPr>
        <w:t xml:space="preserve"> </w:t>
      </w:r>
      <w:r w:rsidR="003D4A12" w:rsidRPr="2A0C94D8">
        <w:rPr>
          <w:rFonts w:asciiTheme="majorHAnsi" w:eastAsiaTheme="majorEastAsia" w:hAnsiTheme="majorHAnsi" w:cstheme="majorBidi"/>
          <w:lang w:eastAsia="en-AU"/>
        </w:rPr>
        <w:t>s</w:t>
      </w:r>
      <w:r w:rsidRPr="2A0C94D8">
        <w:rPr>
          <w:rFonts w:asciiTheme="majorHAnsi" w:eastAsiaTheme="majorEastAsia" w:hAnsiTheme="majorHAnsi" w:cstheme="majorBidi"/>
          <w:lang w:eastAsia="en-AU"/>
        </w:rPr>
        <w:t xml:space="preserve">everal participants </w:t>
      </w:r>
      <w:r w:rsidR="006A0AEC" w:rsidRPr="2A0C94D8">
        <w:rPr>
          <w:rFonts w:asciiTheme="majorHAnsi" w:eastAsiaTheme="majorEastAsia" w:hAnsiTheme="majorHAnsi" w:cstheme="majorBidi"/>
          <w:lang w:eastAsia="en-AU"/>
        </w:rPr>
        <w:t>suggested they would propose</w:t>
      </w:r>
      <w:r w:rsidRPr="2A0C94D8">
        <w:rPr>
          <w:rFonts w:asciiTheme="majorHAnsi" w:eastAsiaTheme="majorEastAsia" w:hAnsiTheme="majorHAnsi" w:cstheme="majorBidi"/>
          <w:lang w:eastAsia="en-AU"/>
        </w:rPr>
        <w:t xml:space="preserve"> </w:t>
      </w:r>
      <w:r w:rsidR="003D4A12" w:rsidRPr="2A0C94D8">
        <w:rPr>
          <w:rFonts w:asciiTheme="majorHAnsi" w:eastAsiaTheme="majorEastAsia" w:hAnsiTheme="majorHAnsi" w:cstheme="majorBidi"/>
          <w:lang w:eastAsia="en-AU"/>
        </w:rPr>
        <w:t xml:space="preserve">that </w:t>
      </w:r>
      <w:r w:rsidR="003D4A12" w:rsidRPr="2A0C94D8">
        <w:rPr>
          <w:rFonts w:asciiTheme="majorHAnsi" w:eastAsiaTheme="majorEastAsia" w:hAnsiTheme="majorHAnsi" w:cstheme="majorBidi"/>
          <w:lang w:eastAsia="en-AU"/>
        </w:rPr>
        <w:lastRenderedPageBreak/>
        <w:t>similar</w:t>
      </w:r>
      <w:r w:rsidRPr="2A0C94D8">
        <w:rPr>
          <w:rFonts w:asciiTheme="majorHAnsi" w:eastAsiaTheme="majorEastAsia" w:hAnsiTheme="majorHAnsi" w:cstheme="majorBidi"/>
          <w:lang w:eastAsia="en-AU"/>
        </w:rPr>
        <w:t xml:space="preserve"> policies be implemented in their home agencies. </w:t>
      </w:r>
      <w:r w:rsidR="00C034D1" w:rsidRPr="2A0C94D8">
        <w:rPr>
          <w:rFonts w:asciiTheme="majorHAnsi" w:eastAsiaTheme="majorEastAsia" w:hAnsiTheme="majorHAnsi" w:cstheme="majorBidi"/>
          <w:lang w:eastAsia="en-AU"/>
        </w:rPr>
        <w:t>T</w:t>
      </w:r>
      <w:r w:rsidR="003D4A12" w:rsidRPr="2A0C94D8">
        <w:rPr>
          <w:rFonts w:asciiTheme="majorHAnsi" w:eastAsiaTheme="majorEastAsia" w:hAnsiTheme="majorHAnsi" w:cstheme="majorBidi"/>
          <w:lang w:eastAsia="en-AU"/>
        </w:rPr>
        <w:t xml:space="preserve">his program has </w:t>
      </w:r>
      <w:r w:rsidR="006A0AEC" w:rsidRPr="2A0C94D8">
        <w:rPr>
          <w:rFonts w:asciiTheme="majorHAnsi" w:eastAsiaTheme="majorEastAsia" w:hAnsiTheme="majorHAnsi" w:cstheme="majorBidi"/>
          <w:lang w:eastAsia="en-AU"/>
        </w:rPr>
        <w:t>contributed to</w:t>
      </w:r>
      <w:r w:rsidR="00E11442" w:rsidRPr="2A0C94D8">
        <w:rPr>
          <w:rFonts w:asciiTheme="majorHAnsi" w:eastAsiaTheme="majorEastAsia" w:hAnsiTheme="majorHAnsi" w:cstheme="majorBidi"/>
          <w:lang w:eastAsia="en-AU"/>
        </w:rPr>
        <w:t xml:space="preserve"> partner states’</w:t>
      </w:r>
      <w:r w:rsidR="00C638F3" w:rsidRPr="2A0C94D8">
        <w:rPr>
          <w:rFonts w:asciiTheme="majorHAnsi" w:eastAsiaTheme="majorEastAsia" w:hAnsiTheme="majorHAnsi" w:cstheme="majorBidi"/>
          <w:lang w:eastAsia="en-AU"/>
        </w:rPr>
        <w:t xml:space="preserve"> civil maritime security capabilities</w:t>
      </w:r>
      <w:r w:rsidR="00AF7436" w:rsidRPr="2A0C94D8">
        <w:rPr>
          <w:rFonts w:asciiTheme="majorHAnsi" w:eastAsiaTheme="majorEastAsia" w:hAnsiTheme="majorHAnsi" w:cstheme="majorBidi"/>
          <w:lang w:eastAsia="en-AU"/>
        </w:rPr>
        <w:t xml:space="preserve">; to our </w:t>
      </w:r>
      <w:r w:rsidR="00FE0249" w:rsidRPr="2A0C94D8">
        <w:rPr>
          <w:rFonts w:asciiTheme="majorHAnsi" w:eastAsiaTheme="majorEastAsia" w:hAnsiTheme="majorHAnsi" w:cstheme="majorBidi"/>
          <w:lang w:eastAsia="en-AU"/>
        </w:rPr>
        <w:t>women in leadership</w:t>
      </w:r>
      <w:r w:rsidR="005039AE" w:rsidRPr="2A0C94D8">
        <w:rPr>
          <w:rFonts w:asciiTheme="majorHAnsi" w:eastAsiaTheme="majorEastAsia" w:hAnsiTheme="majorHAnsi" w:cstheme="majorBidi"/>
          <w:lang w:eastAsia="en-AU"/>
        </w:rPr>
        <w:t xml:space="preserve"> and </w:t>
      </w:r>
      <w:r w:rsidR="008174D7" w:rsidRPr="2A0C94D8">
        <w:rPr>
          <w:rFonts w:asciiTheme="majorHAnsi" w:eastAsiaTheme="majorEastAsia" w:hAnsiTheme="majorHAnsi" w:cstheme="majorBidi"/>
          <w:lang w:eastAsia="en-AU"/>
        </w:rPr>
        <w:t xml:space="preserve">Women, </w:t>
      </w:r>
      <w:proofErr w:type="gramStart"/>
      <w:r w:rsidR="008174D7" w:rsidRPr="2A0C94D8">
        <w:rPr>
          <w:rFonts w:asciiTheme="majorHAnsi" w:eastAsiaTheme="majorEastAsia" w:hAnsiTheme="majorHAnsi" w:cstheme="majorBidi"/>
          <w:lang w:eastAsia="en-AU"/>
        </w:rPr>
        <w:t>Peace</w:t>
      </w:r>
      <w:proofErr w:type="gramEnd"/>
      <w:r w:rsidR="008174D7" w:rsidRPr="2A0C94D8">
        <w:rPr>
          <w:rFonts w:asciiTheme="majorHAnsi" w:eastAsiaTheme="majorEastAsia" w:hAnsiTheme="majorHAnsi" w:cstheme="majorBidi"/>
          <w:lang w:eastAsia="en-AU"/>
        </w:rPr>
        <w:t xml:space="preserve"> and Security objectives</w:t>
      </w:r>
      <w:r w:rsidR="005039AE" w:rsidRPr="2A0C94D8">
        <w:rPr>
          <w:rFonts w:asciiTheme="majorHAnsi" w:eastAsiaTheme="majorEastAsia" w:hAnsiTheme="majorHAnsi" w:cstheme="majorBidi"/>
          <w:lang w:eastAsia="en-AU"/>
        </w:rPr>
        <w:t>;</w:t>
      </w:r>
      <w:r w:rsidR="008174D7" w:rsidRPr="2A0C94D8">
        <w:rPr>
          <w:rFonts w:asciiTheme="majorHAnsi" w:eastAsiaTheme="majorEastAsia" w:hAnsiTheme="majorHAnsi" w:cstheme="majorBidi"/>
          <w:lang w:eastAsia="en-AU"/>
        </w:rPr>
        <w:t xml:space="preserve"> </w:t>
      </w:r>
      <w:r w:rsidR="00FE0249" w:rsidRPr="2A0C94D8">
        <w:rPr>
          <w:rFonts w:asciiTheme="majorHAnsi" w:eastAsiaTheme="majorEastAsia" w:hAnsiTheme="majorHAnsi" w:cstheme="majorBidi"/>
          <w:lang w:eastAsia="en-AU"/>
        </w:rPr>
        <w:t xml:space="preserve">and </w:t>
      </w:r>
      <w:r w:rsidR="00AF7436" w:rsidRPr="2A0C94D8">
        <w:rPr>
          <w:rFonts w:asciiTheme="majorHAnsi" w:eastAsiaTheme="majorEastAsia" w:hAnsiTheme="majorHAnsi" w:cstheme="majorBidi"/>
          <w:lang w:eastAsia="en-AU"/>
        </w:rPr>
        <w:t xml:space="preserve">to </w:t>
      </w:r>
      <w:r w:rsidR="00C638F3" w:rsidRPr="2A0C94D8">
        <w:rPr>
          <w:rFonts w:asciiTheme="majorHAnsi" w:eastAsiaTheme="majorEastAsia" w:hAnsiTheme="majorHAnsi" w:cstheme="majorBidi"/>
          <w:lang w:eastAsia="en-AU"/>
        </w:rPr>
        <w:t>strengthen</w:t>
      </w:r>
      <w:r w:rsidR="00AF7436" w:rsidRPr="2A0C94D8">
        <w:rPr>
          <w:rFonts w:asciiTheme="majorHAnsi" w:eastAsiaTheme="majorEastAsia" w:hAnsiTheme="majorHAnsi" w:cstheme="majorBidi"/>
          <w:lang w:eastAsia="en-AU"/>
        </w:rPr>
        <w:t>ing</w:t>
      </w:r>
      <w:r w:rsidR="00C638F3" w:rsidRPr="2A0C94D8">
        <w:rPr>
          <w:rFonts w:asciiTheme="majorHAnsi" w:eastAsiaTheme="majorEastAsia" w:hAnsiTheme="majorHAnsi" w:cstheme="majorBidi"/>
          <w:lang w:eastAsia="en-AU"/>
        </w:rPr>
        <w:t xml:space="preserve"> Australia’s position as a </w:t>
      </w:r>
      <w:r w:rsidR="00FE4E0C" w:rsidRPr="2A0C94D8">
        <w:rPr>
          <w:rFonts w:asciiTheme="majorHAnsi" w:eastAsiaTheme="majorEastAsia" w:hAnsiTheme="majorHAnsi" w:cstheme="majorBidi"/>
          <w:lang w:eastAsia="en-AU"/>
        </w:rPr>
        <w:t xml:space="preserve">maritime </w:t>
      </w:r>
      <w:r w:rsidR="00C638F3" w:rsidRPr="2A0C94D8">
        <w:rPr>
          <w:rFonts w:asciiTheme="majorHAnsi" w:eastAsiaTheme="majorEastAsia" w:hAnsiTheme="majorHAnsi" w:cstheme="majorBidi"/>
          <w:lang w:eastAsia="en-AU"/>
        </w:rPr>
        <w:t>partner of choice</w:t>
      </w:r>
      <w:r w:rsidR="003D4A12" w:rsidRPr="2A0C94D8">
        <w:rPr>
          <w:rFonts w:asciiTheme="majorHAnsi" w:eastAsiaTheme="majorEastAsia" w:hAnsiTheme="majorHAnsi" w:cstheme="majorBidi"/>
          <w:lang w:eastAsia="en-AU"/>
        </w:rPr>
        <w:t>.</w:t>
      </w:r>
    </w:p>
    <w:sectPr w:rsidR="006F4613" w:rsidRPr="006570D4" w:rsidSect="00935BA7">
      <w:headerReference w:type="default" r:id="rId9"/>
      <w:footerReference w:type="default" r:id="rId10"/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1A2E" w14:textId="77777777" w:rsidR="009C5B83" w:rsidRDefault="009C5B83" w:rsidP="001A3142">
      <w:r>
        <w:separator/>
      </w:r>
    </w:p>
  </w:endnote>
  <w:endnote w:type="continuationSeparator" w:id="0">
    <w:p w14:paraId="2B127DF7" w14:textId="77777777" w:rsidR="009C5B83" w:rsidRDefault="009C5B83" w:rsidP="001A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340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41B92" w14:textId="77F0850C" w:rsidR="00E70A2E" w:rsidRDefault="00E70A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C397E1" w14:textId="7902308F" w:rsidR="56710C98" w:rsidRDefault="56710C98" w:rsidP="56710C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A288" w14:textId="77777777" w:rsidR="009C5B83" w:rsidRDefault="009C5B83" w:rsidP="001A3142">
      <w:r>
        <w:separator/>
      </w:r>
    </w:p>
  </w:footnote>
  <w:footnote w:type="continuationSeparator" w:id="0">
    <w:p w14:paraId="653FDFA0" w14:textId="77777777" w:rsidR="009C5B83" w:rsidRDefault="009C5B83" w:rsidP="001A3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CE00" w14:textId="50042B93" w:rsidR="56710C98" w:rsidRDefault="56710C98" w:rsidP="56710C98">
    <w:pPr>
      <w:pStyle w:val="Header"/>
    </w:pPr>
    <w:r>
      <w:rPr>
        <w:noProof/>
      </w:rPr>
      <w:drawing>
        <wp:inline distT="0" distB="0" distL="0" distR="0" wp14:anchorId="16E3DEC2" wp14:editId="54FB6D6C">
          <wp:extent cx="3581400" cy="619125"/>
          <wp:effectExtent l="0" t="0" r="0" b="0"/>
          <wp:docPr id="1500035047" name="Picture 1500035047" descr="Australian Government - 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035047" name="Picture 1500035047" descr="Australian Government - Department of Foreign Affairs and Trad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14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F1139"/>
    <w:multiLevelType w:val="hybridMultilevel"/>
    <w:tmpl w:val="91DC14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109A5"/>
    <w:multiLevelType w:val="hybridMultilevel"/>
    <w:tmpl w:val="731A17EC"/>
    <w:lvl w:ilvl="0" w:tplc="9BC8B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3DB8C"/>
    <w:multiLevelType w:val="hybridMultilevel"/>
    <w:tmpl w:val="3550BBDE"/>
    <w:lvl w:ilvl="0" w:tplc="CC86B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BA5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8C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CF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C9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2C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8A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64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25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6043A"/>
    <w:multiLevelType w:val="multilevel"/>
    <w:tmpl w:val="69AEB59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color w:val="4472C4" w:themeColor="accent1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hanging="285"/>
      </w:pPr>
      <w:rPr>
        <w:rFonts w:ascii="Arial" w:hAnsi="Arial" w:hint="default"/>
        <w:color w:val="4472C4" w:themeColor="accen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4" w15:restartNumberingAfterBreak="0">
    <w:nsid w:val="60A732BE"/>
    <w:multiLevelType w:val="hybridMultilevel"/>
    <w:tmpl w:val="D24A0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F0704"/>
    <w:multiLevelType w:val="hybridMultilevel"/>
    <w:tmpl w:val="C16C0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7E302"/>
    <w:multiLevelType w:val="hybridMultilevel"/>
    <w:tmpl w:val="C48603B4"/>
    <w:lvl w:ilvl="0" w:tplc="5A24A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928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6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6A5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4A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8D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E2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0C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EE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A528B"/>
    <w:multiLevelType w:val="hybridMultilevel"/>
    <w:tmpl w:val="A4421A98"/>
    <w:lvl w:ilvl="0" w:tplc="7B640FF6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0160915">
    <w:abstractNumId w:val="6"/>
  </w:num>
  <w:num w:numId="2" w16cid:durableId="1707363430">
    <w:abstractNumId w:val="2"/>
  </w:num>
  <w:num w:numId="3" w16cid:durableId="418716074">
    <w:abstractNumId w:val="1"/>
  </w:num>
  <w:num w:numId="4" w16cid:durableId="266470466">
    <w:abstractNumId w:val="7"/>
  </w:num>
  <w:num w:numId="5" w16cid:durableId="1923366337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8757084">
    <w:abstractNumId w:val="5"/>
  </w:num>
  <w:num w:numId="7" w16cid:durableId="553348942">
    <w:abstractNumId w:val="4"/>
  </w:num>
  <w:num w:numId="8" w16cid:durableId="86317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2B"/>
    <w:rsid w:val="00001C29"/>
    <w:rsid w:val="0000279E"/>
    <w:rsid w:val="00003DE7"/>
    <w:rsid w:val="00011CD7"/>
    <w:rsid w:val="0001274D"/>
    <w:rsid w:val="00012CE5"/>
    <w:rsid w:val="000139F8"/>
    <w:rsid w:val="000140DF"/>
    <w:rsid w:val="00015510"/>
    <w:rsid w:val="00016B8D"/>
    <w:rsid w:val="00020010"/>
    <w:rsid w:val="000268E4"/>
    <w:rsid w:val="00036A8A"/>
    <w:rsid w:val="00036CAA"/>
    <w:rsid w:val="0005086D"/>
    <w:rsid w:val="00056EF3"/>
    <w:rsid w:val="00063E97"/>
    <w:rsid w:val="00070697"/>
    <w:rsid w:val="000832EF"/>
    <w:rsid w:val="00085577"/>
    <w:rsid w:val="000963D8"/>
    <w:rsid w:val="00097EA1"/>
    <w:rsid w:val="000A1336"/>
    <w:rsid w:val="000A1DD2"/>
    <w:rsid w:val="000B63BD"/>
    <w:rsid w:val="000B6BFB"/>
    <w:rsid w:val="000C2D91"/>
    <w:rsid w:val="000C3B04"/>
    <w:rsid w:val="000D6802"/>
    <w:rsid w:val="00106B0C"/>
    <w:rsid w:val="0011494C"/>
    <w:rsid w:val="0011700D"/>
    <w:rsid w:val="00120ED3"/>
    <w:rsid w:val="00133BED"/>
    <w:rsid w:val="00137EEE"/>
    <w:rsid w:val="00146542"/>
    <w:rsid w:val="0015066F"/>
    <w:rsid w:val="00150918"/>
    <w:rsid w:val="00152AE0"/>
    <w:rsid w:val="00154F8B"/>
    <w:rsid w:val="00165FDB"/>
    <w:rsid w:val="0017224F"/>
    <w:rsid w:val="00175229"/>
    <w:rsid w:val="0018310F"/>
    <w:rsid w:val="00186724"/>
    <w:rsid w:val="0018765C"/>
    <w:rsid w:val="0019199F"/>
    <w:rsid w:val="00193883"/>
    <w:rsid w:val="00197434"/>
    <w:rsid w:val="001A3142"/>
    <w:rsid w:val="001A3B50"/>
    <w:rsid w:val="001B5105"/>
    <w:rsid w:val="001B61AC"/>
    <w:rsid w:val="001C18D4"/>
    <w:rsid w:val="001C264C"/>
    <w:rsid w:val="001C38A4"/>
    <w:rsid w:val="001D2270"/>
    <w:rsid w:val="001D2799"/>
    <w:rsid w:val="001D34EF"/>
    <w:rsid w:val="001E3DC6"/>
    <w:rsid w:val="001F4E3E"/>
    <w:rsid w:val="001F60B6"/>
    <w:rsid w:val="002004F5"/>
    <w:rsid w:val="00203A23"/>
    <w:rsid w:val="0021151C"/>
    <w:rsid w:val="002116F4"/>
    <w:rsid w:val="002201DD"/>
    <w:rsid w:val="00222900"/>
    <w:rsid w:val="002528B2"/>
    <w:rsid w:val="002570EA"/>
    <w:rsid w:val="002655B2"/>
    <w:rsid w:val="00266630"/>
    <w:rsid w:val="00281DE3"/>
    <w:rsid w:val="00286C7A"/>
    <w:rsid w:val="00287201"/>
    <w:rsid w:val="0029186D"/>
    <w:rsid w:val="002957D8"/>
    <w:rsid w:val="00296DFF"/>
    <w:rsid w:val="002A0B6C"/>
    <w:rsid w:val="002A739D"/>
    <w:rsid w:val="002A7553"/>
    <w:rsid w:val="002C3032"/>
    <w:rsid w:val="002C5FB1"/>
    <w:rsid w:val="002D08E6"/>
    <w:rsid w:val="002E15D7"/>
    <w:rsid w:val="002F0FC0"/>
    <w:rsid w:val="002F1B50"/>
    <w:rsid w:val="002F3E93"/>
    <w:rsid w:val="002F5E39"/>
    <w:rsid w:val="002F6B7E"/>
    <w:rsid w:val="00301EA3"/>
    <w:rsid w:val="00314DC5"/>
    <w:rsid w:val="0031590A"/>
    <w:rsid w:val="00317F43"/>
    <w:rsid w:val="00324F33"/>
    <w:rsid w:val="003301A3"/>
    <w:rsid w:val="003331CB"/>
    <w:rsid w:val="00343D87"/>
    <w:rsid w:val="00356767"/>
    <w:rsid w:val="00376355"/>
    <w:rsid w:val="0038319F"/>
    <w:rsid w:val="00387520"/>
    <w:rsid w:val="0039430F"/>
    <w:rsid w:val="00394B29"/>
    <w:rsid w:val="00396257"/>
    <w:rsid w:val="003A4634"/>
    <w:rsid w:val="003A7CDB"/>
    <w:rsid w:val="003B2B28"/>
    <w:rsid w:val="003B7AC6"/>
    <w:rsid w:val="003C634A"/>
    <w:rsid w:val="003D4A12"/>
    <w:rsid w:val="003F2CE9"/>
    <w:rsid w:val="003F368E"/>
    <w:rsid w:val="003F53F9"/>
    <w:rsid w:val="003F60F5"/>
    <w:rsid w:val="003F7B24"/>
    <w:rsid w:val="00400098"/>
    <w:rsid w:val="004046BB"/>
    <w:rsid w:val="0040602D"/>
    <w:rsid w:val="00423C7B"/>
    <w:rsid w:val="00425BD9"/>
    <w:rsid w:val="00435D5C"/>
    <w:rsid w:val="004363AF"/>
    <w:rsid w:val="00463E6E"/>
    <w:rsid w:val="00464552"/>
    <w:rsid w:val="00481AE5"/>
    <w:rsid w:val="00490D3D"/>
    <w:rsid w:val="00491700"/>
    <w:rsid w:val="004929DE"/>
    <w:rsid w:val="00495725"/>
    <w:rsid w:val="00497867"/>
    <w:rsid w:val="004A2225"/>
    <w:rsid w:val="004C2E22"/>
    <w:rsid w:val="004D733E"/>
    <w:rsid w:val="004E4651"/>
    <w:rsid w:val="004E5B1B"/>
    <w:rsid w:val="004E6EAA"/>
    <w:rsid w:val="004F26AD"/>
    <w:rsid w:val="004F3F7C"/>
    <w:rsid w:val="0050164E"/>
    <w:rsid w:val="005039AE"/>
    <w:rsid w:val="00506407"/>
    <w:rsid w:val="00507C8F"/>
    <w:rsid w:val="00510436"/>
    <w:rsid w:val="00514717"/>
    <w:rsid w:val="00514FBF"/>
    <w:rsid w:val="00517561"/>
    <w:rsid w:val="005204F5"/>
    <w:rsid w:val="00537FFA"/>
    <w:rsid w:val="00561A9F"/>
    <w:rsid w:val="00564BA7"/>
    <w:rsid w:val="00574564"/>
    <w:rsid w:val="005803BA"/>
    <w:rsid w:val="00580B6C"/>
    <w:rsid w:val="005847C1"/>
    <w:rsid w:val="00585A27"/>
    <w:rsid w:val="005923DE"/>
    <w:rsid w:val="005969B5"/>
    <w:rsid w:val="0059731D"/>
    <w:rsid w:val="005A22CF"/>
    <w:rsid w:val="005B0E14"/>
    <w:rsid w:val="005B2AEE"/>
    <w:rsid w:val="005B3767"/>
    <w:rsid w:val="005B3995"/>
    <w:rsid w:val="005B483A"/>
    <w:rsid w:val="005D7322"/>
    <w:rsid w:val="005E63AB"/>
    <w:rsid w:val="005F1613"/>
    <w:rsid w:val="00622583"/>
    <w:rsid w:val="0065589E"/>
    <w:rsid w:val="00655CE2"/>
    <w:rsid w:val="006570D4"/>
    <w:rsid w:val="006643BB"/>
    <w:rsid w:val="006814E2"/>
    <w:rsid w:val="006843DF"/>
    <w:rsid w:val="00685AD1"/>
    <w:rsid w:val="00685DAD"/>
    <w:rsid w:val="00691361"/>
    <w:rsid w:val="006A0AEC"/>
    <w:rsid w:val="006A4310"/>
    <w:rsid w:val="006B5024"/>
    <w:rsid w:val="006B5082"/>
    <w:rsid w:val="006C5CA6"/>
    <w:rsid w:val="006D0669"/>
    <w:rsid w:val="006D1624"/>
    <w:rsid w:val="006D2DAB"/>
    <w:rsid w:val="006D446B"/>
    <w:rsid w:val="006E15A0"/>
    <w:rsid w:val="006F08C9"/>
    <w:rsid w:val="006F4613"/>
    <w:rsid w:val="006F58E9"/>
    <w:rsid w:val="00705A9C"/>
    <w:rsid w:val="007066D5"/>
    <w:rsid w:val="0071199D"/>
    <w:rsid w:val="00717E68"/>
    <w:rsid w:val="0072160B"/>
    <w:rsid w:val="007225D0"/>
    <w:rsid w:val="00722C66"/>
    <w:rsid w:val="0072538E"/>
    <w:rsid w:val="00727F7E"/>
    <w:rsid w:val="00730767"/>
    <w:rsid w:val="00732713"/>
    <w:rsid w:val="00733D37"/>
    <w:rsid w:val="00757D07"/>
    <w:rsid w:val="007651EF"/>
    <w:rsid w:val="00771DB9"/>
    <w:rsid w:val="00785F56"/>
    <w:rsid w:val="0079219F"/>
    <w:rsid w:val="007932FF"/>
    <w:rsid w:val="007935EB"/>
    <w:rsid w:val="00793D03"/>
    <w:rsid w:val="007A6B87"/>
    <w:rsid w:val="007B5F12"/>
    <w:rsid w:val="007C1945"/>
    <w:rsid w:val="007C54CA"/>
    <w:rsid w:val="007C7A90"/>
    <w:rsid w:val="007D01B0"/>
    <w:rsid w:val="007D0F4F"/>
    <w:rsid w:val="007D2E26"/>
    <w:rsid w:val="007D74DE"/>
    <w:rsid w:val="007E221B"/>
    <w:rsid w:val="007E488A"/>
    <w:rsid w:val="007E6EE0"/>
    <w:rsid w:val="007F572E"/>
    <w:rsid w:val="008067A1"/>
    <w:rsid w:val="008174D7"/>
    <w:rsid w:val="008246B6"/>
    <w:rsid w:val="0082473F"/>
    <w:rsid w:val="008249E7"/>
    <w:rsid w:val="008501DA"/>
    <w:rsid w:val="00856EA9"/>
    <w:rsid w:val="00862E87"/>
    <w:rsid w:val="0088177B"/>
    <w:rsid w:val="00892C8E"/>
    <w:rsid w:val="008B0D1D"/>
    <w:rsid w:val="008B2D75"/>
    <w:rsid w:val="008C0A4B"/>
    <w:rsid w:val="008C3E3A"/>
    <w:rsid w:val="008C4031"/>
    <w:rsid w:val="008D2599"/>
    <w:rsid w:val="008D2B60"/>
    <w:rsid w:val="008D36C7"/>
    <w:rsid w:val="008D5144"/>
    <w:rsid w:val="008D7663"/>
    <w:rsid w:val="008E0605"/>
    <w:rsid w:val="008E1B7E"/>
    <w:rsid w:val="008E26E1"/>
    <w:rsid w:val="008E2D44"/>
    <w:rsid w:val="008E643A"/>
    <w:rsid w:val="008F0039"/>
    <w:rsid w:val="008F497E"/>
    <w:rsid w:val="00912854"/>
    <w:rsid w:val="00916C83"/>
    <w:rsid w:val="00924098"/>
    <w:rsid w:val="00935BA7"/>
    <w:rsid w:val="00935C13"/>
    <w:rsid w:val="00940069"/>
    <w:rsid w:val="00950C48"/>
    <w:rsid w:val="0095230B"/>
    <w:rsid w:val="00957898"/>
    <w:rsid w:val="00960E71"/>
    <w:rsid w:val="00975096"/>
    <w:rsid w:val="0098469A"/>
    <w:rsid w:val="00985532"/>
    <w:rsid w:val="0099175F"/>
    <w:rsid w:val="009A11E1"/>
    <w:rsid w:val="009A4EF8"/>
    <w:rsid w:val="009A6AF4"/>
    <w:rsid w:val="009C10E7"/>
    <w:rsid w:val="009C117C"/>
    <w:rsid w:val="009C5B83"/>
    <w:rsid w:val="009D758F"/>
    <w:rsid w:val="009E33E7"/>
    <w:rsid w:val="009E5CF8"/>
    <w:rsid w:val="009F3A4E"/>
    <w:rsid w:val="009F51DF"/>
    <w:rsid w:val="00A0281F"/>
    <w:rsid w:val="00A07B92"/>
    <w:rsid w:val="00A10175"/>
    <w:rsid w:val="00A3023F"/>
    <w:rsid w:val="00A34D42"/>
    <w:rsid w:val="00A35ADA"/>
    <w:rsid w:val="00A36176"/>
    <w:rsid w:val="00A37899"/>
    <w:rsid w:val="00A4006C"/>
    <w:rsid w:val="00A4158B"/>
    <w:rsid w:val="00A41F0B"/>
    <w:rsid w:val="00A4714B"/>
    <w:rsid w:val="00A50626"/>
    <w:rsid w:val="00A50B30"/>
    <w:rsid w:val="00A53252"/>
    <w:rsid w:val="00A55DC8"/>
    <w:rsid w:val="00A561F4"/>
    <w:rsid w:val="00A7190E"/>
    <w:rsid w:val="00A728C6"/>
    <w:rsid w:val="00A74654"/>
    <w:rsid w:val="00A74BCA"/>
    <w:rsid w:val="00A76FEB"/>
    <w:rsid w:val="00A83252"/>
    <w:rsid w:val="00A868C5"/>
    <w:rsid w:val="00A9287B"/>
    <w:rsid w:val="00A96149"/>
    <w:rsid w:val="00AA06E3"/>
    <w:rsid w:val="00AA4E10"/>
    <w:rsid w:val="00AB0355"/>
    <w:rsid w:val="00AB584F"/>
    <w:rsid w:val="00AB7017"/>
    <w:rsid w:val="00AC4E76"/>
    <w:rsid w:val="00AC50EA"/>
    <w:rsid w:val="00AC58BC"/>
    <w:rsid w:val="00AD028D"/>
    <w:rsid w:val="00AD42EB"/>
    <w:rsid w:val="00AE2637"/>
    <w:rsid w:val="00AE30DD"/>
    <w:rsid w:val="00AE6D4F"/>
    <w:rsid w:val="00AF3E2C"/>
    <w:rsid w:val="00AF55F5"/>
    <w:rsid w:val="00AF6540"/>
    <w:rsid w:val="00AF7436"/>
    <w:rsid w:val="00B03F9F"/>
    <w:rsid w:val="00B07BD4"/>
    <w:rsid w:val="00B26FB3"/>
    <w:rsid w:val="00B32FC4"/>
    <w:rsid w:val="00B37545"/>
    <w:rsid w:val="00B37CF9"/>
    <w:rsid w:val="00B42900"/>
    <w:rsid w:val="00B50FA5"/>
    <w:rsid w:val="00B635DD"/>
    <w:rsid w:val="00B63C1D"/>
    <w:rsid w:val="00B74D36"/>
    <w:rsid w:val="00B800BD"/>
    <w:rsid w:val="00B823EC"/>
    <w:rsid w:val="00B90C40"/>
    <w:rsid w:val="00B92C3C"/>
    <w:rsid w:val="00BA2876"/>
    <w:rsid w:val="00BB53C0"/>
    <w:rsid w:val="00BB64AF"/>
    <w:rsid w:val="00BC2031"/>
    <w:rsid w:val="00BC267E"/>
    <w:rsid w:val="00BC5BB6"/>
    <w:rsid w:val="00BD39F9"/>
    <w:rsid w:val="00BE0480"/>
    <w:rsid w:val="00BF3DDA"/>
    <w:rsid w:val="00C034D1"/>
    <w:rsid w:val="00C26D71"/>
    <w:rsid w:val="00C3752C"/>
    <w:rsid w:val="00C4292B"/>
    <w:rsid w:val="00C42D64"/>
    <w:rsid w:val="00C45239"/>
    <w:rsid w:val="00C5062B"/>
    <w:rsid w:val="00C53CCD"/>
    <w:rsid w:val="00C61B54"/>
    <w:rsid w:val="00C638F3"/>
    <w:rsid w:val="00C648F1"/>
    <w:rsid w:val="00C96E81"/>
    <w:rsid w:val="00C976B8"/>
    <w:rsid w:val="00CA6082"/>
    <w:rsid w:val="00CB75FE"/>
    <w:rsid w:val="00CC08EF"/>
    <w:rsid w:val="00CC0C20"/>
    <w:rsid w:val="00CD43FD"/>
    <w:rsid w:val="00CD7E9D"/>
    <w:rsid w:val="00CE1818"/>
    <w:rsid w:val="00CE703A"/>
    <w:rsid w:val="00CF4CE3"/>
    <w:rsid w:val="00CF6CC8"/>
    <w:rsid w:val="00D10BC1"/>
    <w:rsid w:val="00D20A8F"/>
    <w:rsid w:val="00D25605"/>
    <w:rsid w:val="00D30F8C"/>
    <w:rsid w:val="00D35EA5"/>
    <w:rsid w:val="00D37A9B"/>
    <w:rsid w:val="00D41960"/>
    <w:rsid w:val="00D433F4"/>
    <w:rsid w:val="00D449D5"/>
    <w:rsid w:val="00D452E1"/>
    <w:rsid w:val="00D56D5B"/>
    <w:rsid w:val="00D63EB4"/>
    <w:rsid w:val="00D64D92"/>
    <w:rsid w:val="00D6507A"/>
    <w:rsid w:val="00D67CCF"/>
    <w:rsid w:val="00D80378"/>
    <w:rsid w:val="00D85DDA"/>
    <w:rsid w:val="00D8721D"/>
    <w:rsid w:val="00D909DE"/>
    <w:rsid w:val="00D9192C"/>
    <w:rsid w:val="00D95857"/>
    <w:rsid w:val="00DA1B13"/>
    <w:rsid w:val="00DA313E"/>
    <w:rsid w:val="00DA63B5"/>
    <w:rsid w:val="00DB1B8E"/>
    <w:rsid w:val="00DB1F6B"/>
    <w:rsid w:val="00DC362B"/>
    <w:rsid w:val="00DD126D"/>
    <w:rsid w:val="00DD16E1"/>
    <w:rsid w:val="00DD1FDB"/>
    <w:rsid w:val="00DE1987"/>
    <w:rsid w:val="00DE3E31"/>
    <w:rsid w:val="00DF3E92"/>
    <w:rsid w:val="00E00766"/>
    <w:rsid w:val="00E053A7"/>
    <w:rsid w:val="00E07E9E"/>
    <w:rsid w:val="00E11442"/>
    <w:rsid w:val="00E1279B"/>
    <w:rsid w:val="00E14653"/>
    <w:rsid w:val="00E234F0"/>
    <w:rsid w:val="00E361FB"/>
    <w:rsid w:val="00E47DF0"/>
    <w:rsid w:val="00E52978"/>
    <w:rsid w:val="00E62668"/>
    <w:rsid w:val="00E70A2E"/>
    <w:rsid w:val="00E71F94"/>
    <w:rsid w:val="00E72E45"/>
    <w:rsid w:val="00E82838"/>
    <w:rsid w:val="00E86472"/>
    <w:rsid w:val="00E9098A"/>
    <w:rsid w:val="00EA2E9A"/>
    <w:rsid w:val="00EA4FD6"/>
    <w:rsid w:val="00EA7C98"/>
    <w:rsid w:val="00EB2C62"/>
    <w:rsid w:val="00ED52D3"/>
    <w:rsid w:val="00EE1A11"/>
    <w:rsid w:val="00EE6BB0"/>
    <w:rsid w:val="00EF0A2D"/>
    <w:rsid w:val="00EF6950"/>
    <w:rsid w:val="00F13FE2"/>
    <w:rsid w:val="00F20408"/>
    <w:rsid w:val="00F528F7"/>
    <w:rsid w:val="00F57597"/>
    <w:rsid w:val="00F666F6"/>
    <w:rsid w:val="00F71CEA"/>
    <w:rsid w:val="00F84813"/>
    <w:rsid w:val="00F922EF"/>
    <w:rsid w:val="00FA2C97"/>
    <w:rsid w:val="00FB1E6D"/>
    <w:rsid w:val="00FC2473"/>
    <w:rsid w:val="00FC5B77"/>
    <w:rsid w:val="00FE0249"/>
    <w:rsid w:val="00FE2C74"/>
    <w:rsid w:val="00FE4E0C"/>
    <w:rsid w:val="00FE607B"/>
    <w:rsid w:val="00FF4701"/>
    <w:rsid w:val="0660B69E"/>
    <w:rsid w:val="2A0C94D8"/>
    <w:rsid w:val="44252A7E"/>
    <w:rsid w:val="529FA985"/>
    <w:rsid w:val="535C2AC3"/>
    <w:rsid w:val="5671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8D8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92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C4292B"/>
    <w:pPr>
      <w:keepNext/>
      <w:keepLines/>
      <w:suppressAutoHyphens/>
      <w:spacing w:before="300" w:after="240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38"/>
      <w:szCs w:val="28"/>
      <w:lang w:val="en-GB"/>
    </w:rPr>
  </w:style>
  <w:style w:type="paragraph" w:styleId="Heading2">
    <w:name w:val="heading 2"/>
    <w:basedOn w:val="Style5"/>
    <w:next w:val="Normal"/>
    <w:link w:val="Heading2Char"/>
    <w:unhideWhenUsed/>
    <w:qFormat/>
    <w:rsid w:val="00DD16E1"/>
    <w:pPr>
      <w:spacing w:before="240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C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92B"/>
    <w:pPr>
      <w:ind w:left="720"/>
    </w:pPr>
  </w:style>
  <w:style w:type="character" w:styleId="Hyperlink">
    <w:name w:val="Hyperlink"/>
    <w:basedOn w:val="DefaultParagraphFont"/>
    <w:uiPriority w:val="99"/>
    <w:unhideWhenUsed/>
    <w:rsid w:val="00C42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92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C4292B"/>
    <w:rPr>
      <w:rFonts w:asciiTheme="majorHAnsi" w:eastAsiaTheme="majorEastAsia" w:hAnsiTheme="majorHAnsi" w:cstheme="majorBidi"/>
      <w:b/>
      <w:bCs/>
      <w:caps/>
      <w:color w:val="44546A" w:themeColor="text2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D16E1"/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  <w:lang w:val="en-GB"/>
    </w:rPr>
  </w:style>
  <w:style w:type="character" w:styleId="IntenseEmphasis">
    <w:name w:val="Intense Emphasis"/>
    <w:basedOn w:val="DefaultParagraphFont"/>
    <w:uiPriority w:val="21"/>
    <w:qFormat/>
    <w:rsid w:val="00C4292B"/>
    <w:rPr>
      <w:b/>
      <w:i/>
      <w:iCs/>
      <w:color w:val="44546A" w:themeColor="text2"/>
    </w:rPr>
  </w:style>
  <w:style w:type="paragraph" w:styleId="BodyText">
    <w:name w:val="Body Text"/>
    <w:basedOn w:val="Normal"/>
    <w:link w:val="BodyTextChar"/>
    <w:uiPriority w:val="99"/>
    <w:unhideWhenUsed/>
    <w:qFormat/>
    <w:rsid w:val="00C4292B"/>
    <w:pPr>
      <w:suppressAutoHyphens/>
      <w:spacing w:before="120" w:after="60" w:line="260" w:lineRule="atLeast"/>
    </w:pPr>
    <w:rPr>
      <w:rFonts w:asciiTheme="minorHAnsi" w:hAnsiTheme="minorHAnsi" w:cstheme="minorBidi"/>
      <w:color w:val="44546A" w:themeColor="text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4292B"/>
    <w:rPr>
      <w:color w:val="44546A" w:themeColor="text2"/>
      <w:lang w:val="en-GB"/>
    </w:rPr>
  </w:style>
  <w:style w:type="paragraph" w:styleId="ListBullet">
    <w:name w:val="List Bullet"/>
    <w:basedOn w:val="BodyText"/>
    <w:unhideWhenUsed/>
    <w:qFormat/>
    <w:rsid w:val="00C4292B"/>
    <w:pPr>
      <w:suppressAutoHyphens w:val="0"/>
      <w:spacing w:before="80" w:after="120" w:line="360" w:lineRule="auto"/>
      <w:ind w:left="360" w:hanging="360"/>
    </w:pPr>
    <w:rPr>
      <w:rFonts w:ascii="Franklin Gothic Book" w:eastAsia="Times New Roman" w:hAnsi="Franklin Gothic Book" w:cs="Times New Roman"/>
      <w:color w:val="auto"/>
      <w:sz w:val="21"/>
      <w:szCs w:val="24"/>
      <w:lang w:val="en-AU" w:eastAsia="en-AU"/>
    </w:rPr>
  </w:style>
  <w:style w:type="paragraph" w:customStyle="1" w:styleId="PublicationDate">
    <w:name w:val="Publication Date"/>
    <w:next w:val="Heading1"/>
    <w:rsid w:val="00C4292B"/>
    <w:pPr>
      <w:spacing w:after="360" w:line="276" w:lineRule="auto"/>
    </w:pPr>
    <w:rPr>
      <w:rFonts w:ascii="Helvetica" w:eastAsia="Times New Roman" w:hAnsi="Helvetica" w:cs="Times New Roman"/>
      <w:color w:val="A8A5A8"/>
      <w:spacing w:val="-10"/>
      <w:kern w:val="24"/>
      <w:sz w:val="24"/>
      <w:szCs w:val="28"/>
      <w:lang w:eastAsia="en-AU"/>
    </w:rPr>
  </w:style>
  <w:style w:type="paragraph" w:customStyle="1" w:styleId="Style3">
    <w:name w:val="Style3"/>
    <w:basedOn w:val="Heading2"/>
    <w:link w:val="Style3Char"/>
    <w:qFormat/>
    <w:rsid w:val="00C4292B"/>
    <w:rPr>
      <w:b w:val="0"/>
      <w:sz w:val="36"/>
      <w:szCs w:val="36"/>
    </w:rPr>
  </w:style>
  <w:style w:type="character" w:customStyle="1" w:styleId="Style3Char">
    <w:name w:val="Style3 Char"/>
    <w:basedOn w:val="Heading2Char"/>
    <w:link w:val="Style3"/>
    <w:rsid w:val="00C4292B"/>
    <w:rPr>
      <w:rFonts w:asciiTheme="majorHAnsi" w:eastAsiaTheme="majorEastAsia" w:hAnsiTheme="majorHAnsi" w:cstheme="majorBidi"/>
      <w:b w:val="0"/>
      <w:caps/>
      <w:color w:val="44546A" w:themeColor="text2"/>
      <w:sz w:val="36"/>
      <w:szCs w:val="36"/>
      <w:lang w:val="en-GB"/>
    </w:rPr>
  </w:style>
  <w:style w:type="paragraph" w:customStyle="1" w:styleId="Style5">
    <w:name w:val="Style5"/>
    <w:basedOn w:val="Normal"/>
    <w:link w:val="Style5Char"/>
    <w:qFormat/>
    <w:rsid w:val="00C4292B"/>
    <w:pPr>
      <w:keepNext/>
      <w:keepLines/>
      <w:suppressAutoHyphens/>
      <w:spacing w:before="360" w:after="120" w:line="260" w:lineRule="exact"/>
      <w:contextualSpacing/>
      <w:outlineLvl w:val="1"/>
    </w:pPr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  <w:lang w:val="en-GB"/>
    </w:rPr>
  </w:style>
  <w:style w:type="character" w:customStyle="1" w:styleId="Style5Char">
    <w:name w:val="Style5 Char"/>
    <w:basedOn w:val="DefaultParagraphFont"/>
    <w:link w:val="Style5"/>
    <w:rsid w:val="00C4292B"/>
    <w:rPr>
      <w:rFonts w:asciiTheme="majorHAnsi" w:eastAsiaTheme="majorEastAsia" w:hAnsiTheme="majorHAnsi" w:cstheme="majorBidi"/>
      <w:b/>
      <w:caps/>
      <w:color w:val="2F5496" w:themeColor="accent1" w:themeShade="BF"/>
      <w:sz w:val="32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D74DE"/>
    <w:rPr>
      <w:color w:val="954F72" w:themeColor="followedHyperlink"/>
      <w:u w:val="single"/>
    </w:rPr>
  </w:style>
  <w:style w:type="paragraph" w:customStyle="1" w:styleId="Bullet1">
    <w:name w:val="Bullet 1"/>
    <w:basedOn w:val="Normal"/>
    <w:qFormat/>
    <w:rsid w:val="004929DE"/>
    <w:pPr>
      <w:tabs>
        <w:tab w:val="left" w:pos="567"/>
      </w:tabs>
      <w:suppressAutoHyphens/>
      <w:spacing w:before="60" w:after="60" w:line="260" w:lineRule="atLeast"/>
    </w:pPr>
    <w:rPr>
      <w:rFonts w:asciiTheme="minorHAnsi" w:hAnsiTheme="minorHAnsi" w:cstheme="minorBidi"/>
      <w:color w:val="44546A" w:themeColor="text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C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8D2599"/>
    <w:rPr>
      <w:b/>
      <w:bCs/>
    </w:rPr>
  </w:style>
  <w:style w:type="paragraph" w:customStyle="1" w:styleId="Normaltable">
    <w:name w:val="Normal + table"/>
    <w:basedOn w:val="Normal"/>
    <w:qFormat/>
    <w:rsid w:val="00DA1B13"/>
    <w:pPr>
      <w:spacing w:before="80" w:after="80" w:line="280" w:lineRule="atLeast"/>
    </w:pPr>
    <w:rPr>
      <w:rFonts w:ascii="Arial" w:eastAsia="Times New Roman" w:hAnsi="Arial" w:cs="Times New Roman"/>
      <w:sz w:val="20"/>
      <w:lang w:eastAsia="en-AU"/>
    </w:rPr>
  </w:style>
  <w:style w:type="paragraph" w:styleId="Revision">
    <w:name w:val="Revision"/>
    <w:hidden/>
    <w:uiPriority w:val="99"/>
    <w:semiHidden/>
    <w:rsid w:val="005D7322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D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7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732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322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27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4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127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4D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insider.com/dictionary/maritime-doma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9667D-20F6-4646-B41E-2BB4110C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4742</Characters>
  <Application>Microsoft Office Word</Application>
  <DocSecurity>0</DocSecurity>
  <Lines>77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2 Technical Note – Maritime Security</dc:title>
  <dc:subject/>
  <dc:creator/>
  <cp:keywords>[SEC=OFFICIAL]</cp:keywords>
  <dc:description/>
  <cp:lastModifiedBy/>
  <cp:revision>1</cp:revision>
  <dcterms:created xsi:type="dcterms:W3CDTF">2024-06-19T05:45:00Z</dcterms:created>
  <dcterms:modified xsi:type="dcterms:W3CDTF">2024-06-19T05:46:00Z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v=2022.1;a=SHA256;h=27F8573638037CB52C9F58FCAE9637693E1680CEC56B0B3239D3754A14A2E09C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899E4EA469A04FB023F4432B63374BB33589BF8A</vt:lpwstr>
  </property>
  <property fmtid="{D5CDD505-2E9C-101B-9397-08002B2CF9AE}" pid="9" name="PM_Originating_FileId">
    <vt:lpwstr>0F899F374FF046FA9710986148772F0A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2023-06-14T03:51:21Z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0115D810CFD340AAF7E41D055FE1A3AE</vt:lpwstr>
  </property>
  <property fmtid="{D5CDD505-2E9C-101B-9397-08002B2CF9AE}" pid="22" name="PM_Hash_Salt">
    <vt:lpwstr>4D126F45A28E7ADECA91DDC971CACD0B</vt:lpwstr>
  </property>
  <property fmtid="{D5CDD505-2E9C-101B-9397-08002B2CF9AE}" pid="23" name="PM_Hash_SHA1">
    <vt:lpwstr>EFF23F9830FD9068AA9E832DAAA9BFF60A9907F9</vt:lpwstr>
  </property>
  <property fmtid="{D5CDD505-2E9C-101B-9397-08002B2CF9AE}" pid="24" name="PM_OriginatorUserAccountName_SHA256">
    <vt:lpwstr>290C9CFCFE70E139C4500567FB5830ACF9049F26A1998DDACA65669D45D5D2AD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</Properties>
</file>