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A19D" w14:textId="23D33706" w:rsidR="00CB11D6" w:rsidRPr="00970AFA" w:rsidRDefault="00CB11D6" w:rsidP="0B990204">
      <w:pPr>
        <w:pStyle w:val="Heading1"/>
        <w:rPr>
          <w:rFonts w:asciiTheme="minorHAnsi" w:eastAsiaTheme="minorEastAsia" w:hAnsiTheme="minorHAnsi" w:cstheme="minorBidi"/>
          <w:sz w:val="32"/>
          <w:szCs w:val="32"/>
        </w:rPr>
      </w:pPr>
      <w:bookmarkStart w:id="0" w:name="_Toc441151559"/>
      <w:r w:rsidRPr="0B990204">
        <w:rPr>
          <w:rFonts w:asciiTheme="minorHAnsi" w:eastAsiaTheme="minorEastAsia" w:hAnsiTheme="minorHAnsi" w:cstheme="minorBidi"/>
          <w:sz w:val="32"/>
          <w:szCs w:val="32"/>
        </w:rPr>
        <w:t>TIER 2 INDICATOR Technical Note</w:t>
      </w:r>
    </w:p>
    <w:p w14:paraId="41BF3DEA" w14:textId="1527A2E4" w:rsidR="005B627E" w:rsidRPr="00E61F38" w:rsidRDefault="7B677CE4" w:rsidP="0B990204">
      <w:pPr>
        <w:pStyle w:val="Heading2"/>
        <w:spacing w:line="276" w:lineRule="auto"/>
        <w:rPr>
          <w:rFonts w:asciiTheme="minorHAnsi" w:eastAsiaTheme="minorEastAsia" w:hAnsiTheme="minorHAnsi" w:cstheme="minorBidi"/>
          <w:i/>
          <w:iCs/>
          <w:color w:val="2F5496"/>
        </w:rPr>
      </w:pPr>
      <w:r w:rsidRPr="0B990204">
        <w:rPr>
          <w:rFonts w:asciiTheme="minorHAnsi" w:eastAsiaTheme="minorEastAsia" w:hAnsiTheme="minorHAnsi" w:cstheme="minorBidi"/>
          <w:i/>
          <w:iCs/>
          <w:color w:val="2F5496"/>
        </w:rPr>
        <w:t>Number</w:t>
      </w:r>
      <w:r w:rsidR="4EB22DB8" w:rsidRPr="0B990204">
        <w:rPr>
          <w:rFonts w:asciiTheme="minorHAnsi" w:eastAsiaTheme="minorEastAsia" w:hAnsiTheme="minorHAnsi" w:cstheme="minorBidi"/>
          <w:i/>
          <w:iCs/>
          <w:color w:val="2F5496"/>
        </w:rPr>
        <w:t xml:space="preserve">S REACHED WITH NEW OR IMPROVED </w:t>
      </w:r>
      <w:r w:rsidRPr="0B990204">
        <w:rPr>
          <w:rFonts w:asciiTheme="minorHAnsi" w:eastAsiaTheme="minorEastAsia" w:hAnsiTheme="minorHAnsi" w:cstheme="minorBidi"/>
          <w:i/>
          <w:iCs/>
          <w:color w:val="2F5496"/>
        </w:rPr>
        <w:t>social</w:t>
      </w:r>
      <w:r w:rsidR="4EB22DB8" w:rsidRPr="0B990204">
        <w:rPr>
          <w:rFonts w:asciiTheme="minorHAnsi" w:eastAsiaTheme="minorEastAsia" w:hAnsiTheme="minorHAnsi" w:cstheme="minorBidi"/>
          <w:i/>
          <w:iCs/>
          <w:color w:val="2F5496"/>
        </w:rPr>
        <w:t xml:space="preserve"> PROTECTION PROGRAMS (m/f)</w:t>
      </w:r>
      <w:r w:rsidR="61E3ADA0" w:rsidRPr="0B990204">
        <w:rPr>
          <w:rFonts w:asciiTheme="minorHAnsi" w:eastAsiaTheme="minorEastAsia" w:hAnsiTheme="minorHAnsi" w:cstheme="minorBidi"/>
          <w:i/>
          <w:iCs/>
          <w:color w:val="2F5496"/>
        </w:rPr>
        <w:t xml:space="preserve"> </w:t>
      </w:r>
      <w:bookmarkEnd w:id="0"/>
    </w:p>
    <w:p w14:paraId="10AE955A" w14:textId="63F43059" w:rsidR="005B627E" w:rsidRPr="00E61F38" w:rsidRDefault="392ED044" w:rsidP="55DF0B34">
      <w:pPr>
        <w:rPr>
          <w:color w:val="2F5496"/>
        </w:rPr>
      </w:pPr>
      <w:r w:rsidRPr="55DF0B34">
        <w:rPr>
          <w:b/>
          <w:bCs/>
        </w:rPr>
        <w:t xml:space="preserve">Last updated: </w:t>
      </w:r>
      <w:r w:rsidR="5BC3E526" w:rsidRPr="55DF0B34">
        <w:rPr>
          <w:b/>
          <w:bCs/>
        </w:rPr>
        <w:t>September</w:t>
      </w:r>
      <w:r w:rsidR="7F5CB0AE" w:rsidRPr="55DF0B34">
        <w:rPr>
          <w:b/>
          <w:bCs/>
        </w:rPr>
        <w:t xml:space="preserve"> </w:t>
      </w:r>
      <w:r w:rsidR="030F9098" w:rsidRPr="55DF0B34">
        <w:rPr>
          <w:b/>
          <w:bCs/>
        </w:rPr>
        <w:t>202</w:t>
      </w:r>
      <w:r w:rsidR="791E0A3D" w:rsidRPr="55DF0B34">
        <w:rPr>
          <w:b/>
          <w:bCs/>
        </w:rPr>
        <w:t>3</w:t>
      </w:r>
      <w:r w:rsidR="19630212" w:rsidRPr="55DF0B34">
        <w:rPr>
          <w:b/>
          <w:bCs/>
        </w:rPr>
        <w:t xml:space="preserve"> </w:t>
      </w:r>
    </w:p>
    <w:p w14:paraId="64358F50" w14:textId="5F90CE39" w:rsidR="005B627E" w:rsidRPr="00E61F38" w:rsidRDefault="005B627E" w:rsidP="0B990204">
      <w:pPr>
        <w:rPr>
          <w:rFonts w:eastAsiaTheme="minorEastAsia"/>
          <w:b/>
          <w:bCs/>
          <w:color w:val="2F5496"/>
          <w:sz w:val="32"/>
          <w:szCs w:val="32"/>
        </w:rPr>
      </w:pPr>
      <w:r w:rsidRPr="0B990204">
        <w:rPr>
          <w:rFonts w:eastAsiaTheme="minorEastAsia"/>
          <w:b/>
          <w:bCs/>
          <w:color w:val="2F5496"/>
          <w:sz w:val="32"/>
          <w:szCs w:val="32"/>
        </w:rPr>
        <w:t>Definition</w:t>
      </w:r>
    </w:p>
    <w:p w14:paraId="75C7EB51" w14:textId="3A74C379" w:rsidR="005B627E" w:rsidRPr="007D416F" w:rsidRDefault="00B259AC" w:rsidP="55DF0B34">
      <w:pPr>
        <w:pStyle w:val="BodyText"/>
        <w:jc w:val="both"/>
        <w:rPr>
          <w:rFonts w:cstheme="minorHAnsi"/>
        </w:rPr>
      </w:pPr>
      <w:r w:rsidRPr="007D416F">
        <w:rPr>
          <w:rFonts w:cstheme="minorHAnsi"/>
          <w:b/>
          <w:bCs/>
        </w:rPr>
        <w:t xml:space="preserve">Social protection </w:t>
      </w:r>
      <w:r w:rsidR="005B627E" w:rsidRPr="007D416F">
        <w:rPr>
          <w:rFonts w:cstheme="minorHAnsi"/>
        </w:rPr>
        <w:t xml:space="preserve">comprises </w:t>
      </w:r>
      <w:r w:rsidR="005D7F14" w:rsidRPr="007D416F">
        <w:rPr>
          <w:rFonts w:cstheme="minorHAnsi"/>
        </w:rPr>
        <w:t>publicly funded</w:t>
      </w:r>
      <w:r w:rsidR="005B627E" w:rsidRPr="007D416F">
        <w:rPr>
          <w:rFonts w:cstheme="minorHAnsi"/>
        </w:rPr>
        <w:t xml:space="preserve"> initiatives that provide regular and predictable </w:t>
      </w:r>
      <w:r w:rsidR="00D53A84" w:rsidRPr="007D416F">
        <w:rPr>
          <w:rFonts w:cstheme="minorHAnsi"/>
        </w:rPr>
        <w:t>trans</w:t>
      </w:r>
      <w:r w:rsidR="005B627E" w:rsidRPr="007D416F">
        <w:rPr>
          <w:rFonts w:cstheme="minorHAnsi"/>
        </w:rPr>
        <w:t xml:space="preserve">fers to individuals, </w:t>
      </w:r>
      <w:r w:rsidR="3D037DB5" w:rsidRPr="007D416F">
        <w:rPr>
          <w:rFonts w:cstheme="minorHAnsi"/>
        </w:rPr>
        <w:t>households,</w:t>
      </w:r>
      <w:r w:rsidR="005B627E" w:rsidRPr="007D416F">
        <w:rPr>
          <w:rFonts w:cstheme="minorHAnsi"/>
        </w:rPr>
        <w:t xml:space="preserve"> and communities to reduce poverty and vulnerability and foster resilience.  </w:t>
      </w:r>
    </w:p>
    <w:p w14:paraId="4F704175" w14:textId="754AD993" w:rsidR="007C47FB" w:rsidRPr="007D416F" w:rsidRDefault="4C2186EE" w:rsidP="55DF0B34">
      <w:pPr>
        <w:jc w:val="both"/>
        <w:rPr>
          <w:rFonts w:cstheme="minorHAnsi"/>
        </w:rPr>
      </w:pPr>
      <w:r w:rsidRPr="007D416F">
        <w:rPr>
          <w:rFonts w:cstheme="minorHAnsi"/>
          <w:b/>
          <w:bCs/>
        </w:rPr>
        <w:t>New or improved</w:t>
      </w:r>
      <w:r w:rsidRPr="007D416F">
        <w:rPr>
          <w:rFonts w:cstheme="minorHAnsi"/>
        </w:rPr>
        <w:t xml:space="preserve"> includes government-led social protection programs which are new within the reporting period, </w:t>
      </w:r>
      <w:r w:rsidR="00E93908" w:rsidRPr="007D416F">
        <w:rPr>
          <w:rFonts w:cstheme="minorHAnsi"/>
        </w:rPr>
        <w:t xml:space="preserve">or </w:t>
      </w:r>
      <w:r w:rsidRPr="007D416F">
        <w:rPr>
          <w:rFonts w:cstheme="minorHAnsi"/>
        </w:rPr>
        <w:t>where improvements linked to DFAT’s support were made during the reporting period. It also includes the continuation of existing programs where DFAT’s investment in the social protection program improved the quality, or created the program, in a previous year.</w:t>
      </w:r>
      <w:r w:rsidR="68CF6A50" w:rsidRPr="007D416F">
        <w:rPr>
          <w:rFonts w:cstheme="minorHAnsi"/>
        </w:rPr>
        <w:t xml:space="preserve"> Improved programs could include</w:t>
      </w:r>
      <w:r w:rsidRPr="007D416F">
        <w:rPr>
          <w:rFonts w:cstheme="minorHAnsi"/>
        </w:rPr>
        <w:t xml:space="preserve"> improved delivery systems, more regular and predictable payments, higher benefit amounts, more robust beneficiary identification and management systems etc. It also includes direct </w:t>
      </w:r>
      <w:bookmarkStart w:id="1" w:name="_Int_z3ZiA2xX"/>
      <w:r w:rsidRPr="007D416F">
        <w:rPr>
          <w:rFonts w:cstheme="minorHAnsi"/>
        </w:rPr>
        <w:t>DFAT</w:t>
      </w:r>
      <w:bookmarkEnd w:id="1"/>
      <w:r w:rsidRPr="007D416F">
        <w:rPr>
          <w:rFonts w:cstheme="minorHAnsi"/>
        </w:rPr>
        <w:t xml:space="preserve"> supported transfers, whether top ups to existing programs or the </w:t>
      </w:r>
      <w:r w:rsidR="005D7F14" w:rsidRPr="007D416F">
        <w:rPr>
          <w:rFonts w:cstheme="minorHAnsi"/>
        </w:rPr>
        <w:t>covering</w:t>
      </w:r>
      <w:r w:rsidRPr="007D416F">
        <w:rPr>
          <w:rFonts w:cstheme="minorHAnsi"/>
        </w:rPr>
        <w:t xml:space="preserve"> the </w:t>
      </w:r>
      <w:r w:rsidR="005D7F14" w:rsidRPr="007D416F">
        <w:rPr>
          <w:rFonts w:cstheme="minorHAnsi"/>
        </w:rPr>
        <w:t xml:space="preserve">full </w:t>
      </w:r>
      <w:r w:rsidRPr="007D416F">
        <w:rPr>
          <w:rFonts w:cstheme="minorHAnsi"/>
        </w:rPr>
        <w:t xml:space="preserve">cost of these programs, which </w:t>
      </w:r>
      <w:bookmarkStart w:id="2" w:name="_Int_NDSum5VE"/>
      <w:proofErr w:type="gramStart"/>
      <w:r w:rsidRPr="007D416F">
        <w:rPr>
          <w:rFonts w:cstheme="minorHAnsi"/>
        </w:rPr>
        <w:t>has the ability to</w:t>
      </w:r>
      <w:bookmarkEnd w:id="2"/>
      <w:proofErr w:type="gramEnd"/>
      <w:r w:rsidRPr="007D416F">
        <w:rPr>
          <w:rFonts w:cstheme="minorHAnsi"/>
        </w:rPr>
        <w:t xml:space="preserve"> improve adequacy, </w:t>
      </w:r>
      <w:r w:rsidR="65E282AC" w:rsidRPr="007D416F">
        <w:rPr>
          <w:rFonts w:cstheme="minorHAnsi"/>
        </w:rPr>
        <w:t>predictability,</w:t>
      </w:r>
      <w:r w:rsidRPr="007D416F">
        <w:rPr>
          <w:rFonts w:cstheme="minorHAnsi"/>
        </w:rPr>
        <w:t xml:space="preserve"> and citizens’ trust in government.  </w:t>
      </w:r>
    </w:p>
    <w:p w14:paraId="6DAC3849" w14:textId="77777777" w:rsidR="007C47FB" w:rsidRPr="007D416F" w:rsidRDefault="007C47FB" w:rsidP="55DF0B34">
      <w:pPr>
        <w:jc w:val="both"/>
        <w:rPr>
          <w:rFonts w:cstheme="minorHAnsi"/>
          <w:lang w:val="en-AU"/>
        </w:rPr>
      </w:pPr>
      <w:bookmarkStart w:id="3" w:name="_Hlk137718956"/>
      <w:r w:rsidRPr="007D416F">
        <w:rPr>
          <w:rFonts w:cstheme="minorHAnsi"/>
        </w:rPr>
        <w:t>Numbers of people to be captured should reflect:</w:t>
      </w:r>
    </w:p>
    <w:p w14:paraId="02F84CC6" w14:textId="4DDA7414" w:rsidR="007C47FB" w:rsidRPr="007D416F" w:rsidRDefault="007C47FB" w:rsidP="55DF0B34">
      <w:pPr>
        <w:pStyle w:val="ListParagraph"/>
        <w:numPr>
          <w:ilvl w:val="0"/>
          <w:numId w:val="65"/>
        </w:numPr>
        <w:suppressAutoHyphens w:val="0"/>
        <w:spacing w:before="0" w:after="0" w:line="240" w:lineRule="auto"/>
        <w:jc w:val="both"/>
        <w:rPr>
          <w:rFonts w:eastAsia="Times New Roman" w:cstheme="minorHAnsi"/>
        </w:rPr>
      </w:pPr>
      <w:r w:rsidRPr="007D416F">
        <w:rPr>
          <w:rFonts w:eastAsia="Times New Roman" w:cstheme="minorHAnsi"/>
        </w:rPr>
        <w:t>Ongoing or new beneficiaries, where DFAT has continued a multi-year investment which improved or created the social protection program in a previous year</w:t>
      </w:r>
      <w:r w:rsidR="005D7F14" w:rsidRPr="007D416F">
        <w:rPr>
          <w:rFonts w:eastAsia="Times New Roman" w:cstheme="minorHAnsi"/>
        </w:rPr>
        <w:t>.</w:t>
      </w:r>
    </w:p>
    <w:p w14:paraId="0AA5EBF9" w14:textId="614C56A3" w:rsidR="007C47FB" w:rsidRPr="007D416F" w:rsidRDefault="007C47FB" w:rsidP="55DF0B34">
      <w:pPr>
        <w:pStyle w:val="ListParagraph"/>
        <w:numPr>
          <w:ilvl w:val="0"/>
          <w:numId w:val="65"/>
        </w:numPr>
        <w:suppressAutoHyphens w:val="0"/>
        <w:spacing w:before="0" w:after="0" w:line="240" w:lineRule="auto"/>
        <w:jc w:val="both"/>
        <w:rPr>
          <w:rFonts w:eastAsia="Times New Roman" w:cstheme="minorHAnsi"/>
        </w:rPr>
      </w:pPr>
      <w:r w:rsidRPr="007D416F">
        <w:rPr>
          <w:rFonts w:eastAsia="Times New Roman" w:cstheme="minorHAnsi"/>
        </w:rPr>
        <w:t>Ongoing or new beneficiaries, where DFAT’s investment within the reporting period resulted in an improvement to social protection programs</w:t>
      </w:r>
      <w:r w:rsidR="005D7F14" w:rsidRPr="007D416F">
        <w:rPr>
          <w:rFonts w:eastAsia="Times New Roman" w:cstheme="minorHAnsi"/>
        </w:rPr>
        <w:t>.</w:t>
      </w:r>
    </w:p>
    <w:p w14:paraId="1A5A7119" w14:textId="77777777" w:rsidR="007C47FB" w:rsidRPr="007D416F" w:rsidRDefault="007C47FB" w:rsidP="55DF0B34">
      <w:pPr>
        <w:pStyle w:val="ListParagraph"/>
        <w:numPr>
          <w:ilvl w:val="0"/>
          <w:numId w:val="65"/>
        </w:numPr>
        <w:suppressAutoHyphens w:val="0"/>
        <w:spacing w:before="0" w:after="0" w:line="240" w:lineRule="auto"/>
        <w:jc w:val="both"/>
        <w:rPr>
          <w:rFonts w:eastAsia="Times New Roman" w:cstheme="minorHAnsi"/>
        </w:rPr>
      </w:pPr>
      <w:r w:rsidRPr="007D416F">
        <w:rPr>
          <w:rFonts w:eastAsia="Times New Roman" w:cstheme="minorHAnsi"/>
        </w:rPr>
        <w:t>Ongoing or new beneficiaries of programs who have benefited from DFAT’s direct funding of the transfers (whether top ups or the regular transfers) in the reporting period.  </w:t>
      </w:r>
    </w:p>
    <w:bookmarkEnd w:id="3"/>
    <w:p w14:paraId="23C21422" w14:textId="77777777" w:rsidR="005B627E" w:rsidRPr="00E61F38" w:rsidRDefault="7B677CE4" w:rsidP="0B990204">
      <w:pPr>
        <w:rPr>
          <w:rFonts w:eastAsiaTheme="minorEastAsia"/>
          <w:b/>
          <w:bCs/>
          <w:color w:val="2F5496"/>
          <w:sz w:val="32"/>
          <w:szCs w:val="32"/>
        </w:rPr>
      </w:pPr>
      <w:r w:rsidRPr="0B990204">
        <w:rPr>
          <w:rFonts w:eastAsiaTheme="minorEastAsia"/>
          <w:b/>
          <w:bCs/>
          <w:color w:val="2F5496"/>
          <w:sz w:val="32"/>
          <w:szCs w:val="32"/>
        </w:rPr>
        <w:t>Scope</w:t>
      </w:r>
    </w:p>
    <w:p w14:paraId="484091E3" w14:textId="2B0D3A96" w:rsidR="005B627E" w:rsidRPr="007D416F" w:rsidRDefault="3BFE1BFC" w:rsidP="55DF0B34">
      <w:pPr>
        <w:spacing w:before="0"/>
        <w:jc w:val="both"/>
        <w:rPr>
          <w:rFonts w:cstheme="minorHAnsi"/>
        </w:rPr>
      </w:pPr>
      <w:r w:rsidRPr="007D416F">
        <w:rPr>
          <w:rFonts w:cstheme="minorHAnsi"/>
        </w:rPr>
        <w:t xml:space="preserve">This indicator seeks to capture the catalytic and leveraging </w:t>
      </w:r>
      <w:r w:rsidR="005D7F14" w:rsidRPr="007D416F">
        <w:rPr>
          <w:rFonts w:cstheme="minorHAnsi"/>
        </w:rPr>
        <w:t xml:space="preserve">impact </w:t>
      </w:r>
      <w:r w:rsidRPr="007D416F">
        <w:rPr>
          <w:rFonts w:cstheme="minorHAnsi"/>
        </w:rPr>
        <w:t xml:space="preserve">of Australia’s social protection </w:t>
      </w:r>
      <w:r w:rsidR="005D7F14" w:rsidRPr="007D416F">
        <w:rPr>
          <w:rFonts w:cstheme="minorHAnsi"/>
        </w:rPr>
        <w:t xml:space="preserve">investments </w:t>
      </w:r>
      <w:r w:rsidRPr="007D416F">
        <w:rPr>
          <w:rFonts w:cstheme="minorHAnsi"/>
        </w:rPr>
        <w:t xml:space="preserve">by </w:t>
      </w:r>
      <w:r w:rsidR="005D7F14" w:rsidRPr="007D416F">
        <w:rPr>
          <w:rFonts w:cstheme="minorHAnsi"/>
        </w:rPr>
        <w:t xml:space="preserve">tracking </w:t>
      </w:r>
      <w:r w:rsidRPr="007D416F">
        <w:rPr>
          <w:rFonts w:cstheme="minorHAnsi"/>
        </w:rPr>
        <w:t xml:space="preserve">the number of social transfer recipients who benefited from Australian-supported system strengthening </w:t>
      </w:r>
      <w:r w:rsidR="2F210F4B" w:rsidRPr="007D416F">
        <w:rPr>
          <w:rFonts w:cstheme="minorHAnsi"/>
        </w:rPr>
        <w:t xml:space="preserve">and transfers </w:t>
      </w:r>
      <w:r w:rsidRPr="007D416F">
        <w:rPr>
          <w:rFonts w:cstheme="minorHAnsi"/>
        </w:rPr>
        <w:t>through:</w:t>
      </w:r>
    </w:p>
    <w:p w14:paraId="344F9AE6" w14:textId="358D5BD8" w:rsidR="00E93908" w:rsidRPr="007D416F" w:rsidRDefault="3BFE1BFC" w:rsidP="55DF0B34">
      <w:pPr>
        <w:pStyle w:val="ListParagraph"/>
        <w:numPr>
          <w:ilvl w:val="0"/>
          <w:numId w:val="4"/>
        </w:numPr>
        <w:spacing w:before="0"/>
        <w:jc w:val="both"/>
        <w:rPr>
          <w:rFonts w:cstheme="minorHAnsi"/>
        </w:rPr>
      </w:pPr>
      <w:r w:rsidRPr="007D416F">
        <w:rPr>
          <w:rFonts w:cstheme="minorHAnsi"/>
        </w:rPr>
        <w:t xml:space="preserve">Australian-funded technical advice for </w:t>
      </w:r>
      <w:r w:rsidR="4F20F662" w:rsidRPr="007D416F">
        <w:rPr>
          <w:rFonts w:cstheme="minorHAnsi"/>
        </w:rPr>
        <w:t xml:space="preserve">social protection </w:t>
      </w:r>
      <w:r w:rsidRPr="007D416F">
        <w:rPr>
          <w:rFonts w:cstheme="minorHAnsi"/>
        </w:rPr>
        <w:t xml:space="preserve">system improvements (for example, improved delivery systems, strengthened payments systems, social protection policy reforms resulting in program adjustments or </w:t>
      </w:r>
      <w:bookmarkStart w:id="4" w:name="_Int_4aFAyP8q"/>
      <w:r w:rsidRPr="007D416F">
        <w:rPr>
          <w:rFonts w:cstheme="minorHAnsi"/>
        </w:rPr>
        <w:t>new programs</w:t>
      </w:r>
      <w:bookmarkEnd w:id="4"/>
      <w:r w:rsidRPr="007D416F">
        <w:rPr>
          <w:rFonts w:cstheme="minorHAnsi"/>
        </w:rPr>
        <w:t>, and more robust beneficiary identification and management systems</w:t>
      </w:r>
      <w:r w:rsidR="005D7F14" w:rsidRPr="007D416F">
        <w:rPr>
          <w:rFonts w:cstheme="minorHAnsi"/>
        </w:rPr>
        <w:t>)</w:t>
      </w:r>
      <w:r w:rsidR="55424C02" w:rsidRPr="007D416F">
        <w:rPr>
          <w:rFonts w:cstheme="minorHAnsi"/>
        </w:rPr>
        <w:t>;</w:t>
      </w:r>
      <w:r w:rsidR="300E92FE" w:rsidRPr="007D416F">
        <w:rPr>
          <w:rFonts w:cstheme="minorHAnsi"/>
        </w:rPr>
        <w:t xml:space="preserve"> and</w:t>
      </w:r>
    </w:p>
    <w:p w14:paraId="00E33B7F" w14:textId="6035C6DF" w:rsidR="005B627E" w:rsidRPr="007D416F" w:rsidRDefault="10BB028F" w:rsidP="55DF0B34">
      <w:pPr>
        <w:pStyle w:val="ListParagraph"/>
        <w:numPr>
          <w:ilvl w:val="0"/>
          <w:numId w:val="4"/>
        </w:numPr>
        <w:spacing w:before="0"/>
        <w:jc w:val="both"/>
        <w:rPr>
          <w:rFonts w:cstheme="minorHAnsi"/>
          <w:i/>
          <w:iCs/>
        </w:rPr>
      </w:pPr>
      <w:r w:rsidRPr="007D416F">
        <w:rPr>
          <w:rFonts w:cstheme="minorHAnsi"/>
        </w:rPr>
        <w:t xml:space="preserve">Australian funded cash transfers (for example, through budget support or other funding mechanisms for top ups to existing programs </w:t>
      </w:r>
      <w:r w:rsidR="74D10968" w:rsidRPr="007D416F">
        <w:rPr>
          <w:rFonts w:cstheme="minorHAnsi"/>
        </w:rPr>
        <w:t>and/</w:t>
      </w:r>
      <w:r w:rsidRPr="007D416F">
        <w:rPr>
          <w:rFonts w:cstheme="minorHAnsi"/>
        </w:rPr>
        <w:t xml:space="preserve">or </w:t>
      </w:r>
      <w:r w:rsidR="30CDF217" w:rsidRPr="007D416F">
        <w:rPr>
          <w:rFonts w:cstheme="minorHAnsi"/>
        </w:rPr>
        <w:t>for</w:t>
      </w:r>
      <w:r w:rsidRPr="007D416F">
        <w:rPr>
          <w:rFonts w:cstheme="minorHAnsi"/>
        </w:rPr>
        <w:t xml:space="preserve"> new or expanded programs)</w:t>
      </w:r>
      <w:r w:rsidR="39B7F49A" w:rsidRPr="007D416F">
        <w:rPr>
          <w:rFonts w:cstheme="minorHAnsi"/>
        </w:rPr>
        <w:t>.</w:t>
      </w:r>
      <w:r w:rsidR="00E93908" w:rsidRPr="007D416F">
        <w:rPr>
          <w:rFonts w:cstheme="minorHAnsi"/>
        </w:rPr>
        <w:t xml:space="preserve"> </w:t>
      </w:r>
      <w:r w:rsidR="705F56B5" w:rsidRPr="007D416F">
        <w:rPr>
          <w:rFonts w:cstheme="minorHAnsi"/>
        </w:rPr>
        <w:t xml:space="preserve">It </w:t>
      </w:r>
      <w:r w:rsidR="393276F6" w:rsidRPr="007D416F">
        <w:rPr>
          <w:rFonts w:cstheme="minorHAnsi"/>
        </w:rPr>
        <w:t>should includ</w:t>
      </w:r>
      <w:r w:rsidR="00E93908" w:rsidRPr="007D416F">
        <w:rPr>
          <w:rFonts w:cstheme="minorHAnsi"/>
        </w:rPr>
        <w:t>e</w:t>
      </w:r>
      <w:r w:rsidR="393276F6" w:rsidRPr="007D416F">
        <w:rPr>
          <w:rFonts w:cstheme="minorHAnsi"/>
        </w:rPr>
        <w:t xml:space="preserve"> </w:t>
      </w:r>
      <w:bookmarkStart w:id="5" w:name="_Int_QBqewYOx"/>
      <w:r w:rsidR="393276F6" w:rsidRPr="007D416F">
        <w:rPr>
          <w:rFonts w:cstheme="minorHAnsi"/>
        </w:rPr>
        <w:t>ODA</w:t>
      </w:r>
      <w:bookmarkEnd w:id="5"/>
      <w:r w:rsidR="393276F6" w:rsidRPr="007D416F">
        <w:rPr>
          <w:rFonts w:cstheme="minorHAnsi"/>
        </w:rPr>
        <w:t xml:space="preserve"> and relevant non-ODA expenditure. </w:t>
      </w:r>
    </w:p>
    <w:p w14:paraId="678B34B1" w14:textId="3CC13789" w:rsidR="005B627E" w:rsidRPr="007D416F" w:rsidRDefault="7B677CE4" w:rsidP="089C97C2">
      <w:pPr>
        <w:pStyle w:val="Heading2"/>
        <w:jc w:val="both"/>
        <w:rPr>
          <w:rStyle w:val="IntenseEmphasis"/>
          <w:rFonts w:asciiTheme="minorHAnsi" w:eastAsiaTheme="minorEastAsia" w:hAnsiTheme="minorHAnsi" w:cstheme="minorHAnsi"/>
          <w:b/>
          <w:sz w:val="22"/>
          <w:szCs w:val="22"/>
        </w:rPr>
      </w:pPr>
      <w:r w:rsidRPr="007D416F">
        <w:rPr>
          <w:rStyle w:val="IntenseEmphasis"/>
          <w:rFonts w:asciiTheme="minorHAnsi" w:eastAsiaTheme="minorEastAsia" w:hAnsiTheme="minorHAnsi" w:cstheme="minorHAnsi"/>
          <w:b/>
          <w:sz w:val="22"/>
          <w:szCs w:val="22"/>
        </w:rPr>
        <w:t>Includes:</w:t>
      </w:r>
    </w:p>
    <w:p w14:paraId="625DAB7D" w14:textId="56B1F8C3" w:rsidR="000C5824" w:rsidRPr="007D416F" w:rsidRDefault="000C5824" w:rsidP="55DF0B34">
      <w:pPr>
        <w:pStyle w:val="ListBullet"/>
        <w:numPr>
          <w:ilvl w:val="0"/>
          <w:numId w:val="3"/>
        </w:numPr>
        <w:tabs>
          <w:tab w:val="left" w:pos="284"/>
        </w:tabs>
        <w:spacing w:before="120" w:after="60" w:line="260" w:lineRule="atLeast"/>
        <w:jc w:val="both"/>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S</w:t>
      </w:r>
      <w:r w:rsidR="7B677CE4" w:rsidRPr="007D416F">
        <w:rPr>
          <w:rFonts w:asciiTheme="minorHAnsi" w:hAnsiTheme="minorHAnsi" w:cstheme="minorHAnsi"/>
          <w:color w:val="495965" w:themeColor="text2"/>
          <w:sz w:val="22"/>
          <w:szCs w:val="22"/>
        </w:rPr>
        <w:t xml:space="preserve">ocial </w:t>
      </w:r>
      <w:r w:rsidR="119491CC" w:rsidRPr="007D416F">
        <w:rPr>
          <w:rFonts w:asciiTheme="minorHAnsi" w:hAnsiTheme="minorHAnsi" w:cstheme="minorHAnsi"/>
          <w:color w:val="495965" w:themeColor="text2"/>
          <w:sz w:val="22"/>
          <w:szCs w:val="22"/>
        </w:rPr>
        <w:t xml:space="preserve">protection </w:t>
      </w:r>
      <w:r w:rsidR="38FC3397" w:rsidRPr="007D416F">
        <w:rPr>
          <w:rFonts w:asciiTheme="minorHAnsi" w:hAnsiTheme="minorHAnsi" w:cstheme="minorHAnsi"/>
          <w:color w:val="495965" w:themeColor="text2"/>
          <w:sz w:val="22"/>
          <w:szCs w:val="22"/>
        </w:rPr>
        <w:t xml:space="preserve">programs and systems </w:t>
      </w:r>
      <w:r w:rsidR="119491CC" w:rsidRPr="007D416F">
        <w:rPr>
          <w:rFonts w:asciiTheme="minorHAnsi" w:hAnsiTheme="minorHAnsi" w:cstheme="minorHAnsi"/>
          <w:color w:val="495965" w:themeColor="text2"/>
          <w:sz w:val="22"/>
          <w:szCs w:val="22"/>
        </w:rPr>
        <w:t xml:space="preserve">comprising transfers that are </w:t>
      </w:r>
      <w:r w:rsidR="7B677CE4" w:rsidRPr="007D416F">
        <w:rPr>
          <w:rFonts w:asciiTheme="minorHAnsi" w:hAnsiTheme="minorHAnsi" w:cstheme="minorHAnsi"/>
          <w:color w:val="495965" w:themeColor="text2"/>
          <w:sz w:val="22"/>
          <w:szCs w:val="22"/>
        </w:rPr>
        <w:t>regular and predictable over the medium to long term.</w:t>
      </w:r>
      <w:r w:rsidR="7E0F9E99" w:rsidRPr="007D416F">
        <w:rPr>
          <w:rFonts w:asciiTheme="minorHAnsi" w:hAnsiTheme="minorHAnsi" w:cstheme="minorHAnsi"/>
          <w:color w:val="495965" w:themeColor="text2"/>
          <w:sz w:val="22"/>
          <w:szCs w:val="22"/>
        </w:rPr>
        <w:t xml:space="preserve"> </w:t>
      </w:r>
    </w:p>
    <w:p w14:paraId="62714A0F" w14:textId="4ABD479A" w:rsidR="005B627E" w:rsidRPr="007D416F" w:rsidRDefault="7E0F9E99" w:rsidP="55DF0B34">
      <w:pPr>
        <w:pStyle w:val="ListBullet"/>
        <w:numPr>
          <w:ilvl w:val="0"/>
          <w:numId w:val="3"/>
        </w:numPr>
        <w:tabs>
          <w:tab w:val="left" w:pos="284"/>
        </w:tabs>
        <w:spacing w:before="120" w:after="60" w:line="260" w:lineRule="atLeast"/>
        <w:jc w:val="both"/>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Shock-responsive social protection, where DFAT has supported top-ups for </w:t>
      </w:r>
      <w:r w:rsidR="596540A6" w:rsidRPr="007D416F">
        <w:rPr>
          <w:rFonts w:asciiTheme="minorHAnsi" w:hAnsiTheme="minorHAnsi" w:cstheme="minorHAnsi"/>
          <w:color w:val="495965" w:themeColor="text2"/>
          <w:sz w:val="22"/>
          <w:szCs w:val="22"/>
        </w:rPr>
        <w:t>cash transfers through governments’ or development partners’ social protection systems</w:t>
      </w:r>
      <w:r w:rsidR="005D7F14" w:rsidRPr="007D416F">
        <w:rPr>
          <w:rFonts w:asciiTheme="minorHAnsi" w:hAnsiTheme="minorHAnsi" w:cstheme="minorHAnsi"/>
          <w:color w:val="495965" w:themeColor="text2"/>
          <w:sz w:val="22"/>
          <w:szCs w:val="22"/>
        </w:rPr>
        <w:t xml:space="preserve"> during times of crisis (for example humanitarian)</w:t>
      </w:r>
      <w:r w:rsidR="596540A6" w:rsidRPr="007D416F">
        <w:rPr>
          <w:rFonts w:asciiTheme="minorHAnsi" w:hAnsiTheme="minorHAnsi" w:cstheme="minorHAnsi"/>
          <w:color w:val="495965" w:themeColor="text2"/>
          <w:sz w:val="22"/>
          <w:szCs w:val="22"/>
        </w:rPr>
        <w:t>, are also in scope.</w:t>
      </w:r>
    </w:p>
    <w:p w14:paraId="44C6FAE6" w14:textId="4E2DCA22" w:rsidR="003E6642" w:rsidRPr="007D416F" w:rsidRDefault="000C5824" w:rsidP="55DF0B34">
      <w:pPr>
        <w:pStyle w:val="ListBullet"/>
        <w:numPr>
          <w:ilvl w:val="0"/>
          <w:numId w:val="3"/>
        </w:numPr>
        <w:tabs>
          <w:tab w:val="left" w:pos="284"/>
        </w:tabs>
        <w:spacing w:before="120" w:after="60" w:line="260" w:lineRule="atLeast"/>
        <w:jc w:val="both"/>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R</w:t>
      </w:r>
      <w:r w:rsidR="003E6642" w:rsidRPr="007D416F">
        <w:rPr>
          <w:rFonts w:asciiTheme="minorHAnsi" w:hAnsiTheme="minorHAnsi" w:cstheme="minorHAnsi"/>
          <w:color w:val="495965" w:themeColor="text2"/>
          <w:sz w:val="22"/>
          <w:szCs w:val="22"/>
        </w:rPr>
        <w:t xml:space="preserve">ecipients of cash transfers </w:t>
      </w:r>
      <w:r w:rsidR="0090518B" w:rsidRPr="007D416F">
        <w:rPr>
          <w:rFonts w:asciiTheme="minorHAnsi" w:hAnsiTheme="minorHAnsi" w:cstheme="minorHAnsi"/>
          <w:color w:val="495965" w:themeColor="text2"/>
          <w:sz w:val="22"/>
          <w:szCs w:val="22"/>
        </w:rPr>
        <w:t xml:space="preserve">funded by governments or development partners </w:t>
      </w:r>
      <w:r w:rsidR="003E6642" w:rsidRPr="007D416F">
        <w:rPr>
          <w:rFonts w:asciiTheme="minorHAnsi" w:hAnsiTheme="minorHAnsi" w:cstheme="minorHAnsi"/>
          <w:color w:val="495965" w:themeColor="text2"/>
          <w:sz w:val="22"/>
          <w:szCs w:val="22"/>
        </w:rPr>
        <w:t>where Australia supported system strengthening.</w:t>
      </w:r>
      <w:r w:rsidR="0090518B" w:rsidRPr="007D416F">
        <w:rPr>
          <w:rFonts w:asciiTheme="minorHAnsi" w:hAnsiTheme="minorHAnsi" w:cstheme="minorHAnsi"/>
          <w:color w:val="495965" w:themeColor="text2"/>
          <w:sz w:val="22"/>
          <w:szCs w:val="22"/>
        </w:rPr>
        <w:t xml:space="preserve"> </w:t>
      </w:r>
      <w:r w:rsidR="005D7F14" w:rsidRPr="007D416F">
        <w:rPr>
          <w:rFonts w:asciiTheme="minorHAnsi" w:hAnsiTheme="minorHAnsi" w:cstheme="minorHAnsi"/>
          <w:color w:val="495965" w:themeColor="text2"/>
          <w:sz w:val="22"/>
          <w:szCs w:val="22"/>
        </w:rPr>
        <w:t>For example,</w:t>
      </w:r>
      <w:r w:rsidR="0090518B" w:rsidRPr="007D416F">
        <w:rPr>
          <w:rFonts w:asciiTheme="minorHAnsi" w:hAnsiTheme="minorHAnsi" w:cstheme="minorHAnsi"/>
          <w:color w:val="495965" w:themeColor="text2"/>
          <w:sz w:val="22"/>
          <w:szCs w:val="22"/>
        </w:rPr>
        <w:t xml:space="preserve"> </w:t>
      </w:r>
      <w:r w:rsidR="008D2FB9" w:rsidRPr="007D416F">
        <w:rPr>
          <w:rFonts w:asciiTheme="minorHAnsi" w:hAnsiTheme="minorHAnsi" w:cstheme="minorHAnsi"/>
          <w:color w:val="495965" w:themeColor="text2"/>
          <w:sz w:val="22"/>
          <w:szCs w:val="22"/>
        </w:rPr>
        <w:t>social protection transfers delivered by Non-</w:t>
      </w:r>
      <w:r w:rsidR="008D2FB9" w:rsidRPr="007D416F">
        <w:rPr>
          <w:rFonts w:asciiTheme="minorHAnsi" w:hAnsiTheme="minorHAnsi" w:cstheme="minorHAnsi"/>
          <w:color w:val="495965" w:themeColor="text2"/>
          <w:sz w:val="22"/>
          <w:szCs w:val="22"/>
        </w:rPr>
        <w:lastRenderedPageBreak/>
        <w:t>Government Organisations (NGOs) where Australia has supported the building of systems are in scope.</w:t>
      </w:r>
    </w:p>
    <w:p w14:paraId="2F330089" w14:textId="56915610" w:rsidR="005B627E" w:rsidRPr="007D416F" w:rsidRDefault="7B677CE4" w:rsidP="55DF0B34">
      <w:pPr>
        <w:pStyle w:val="ListBullet"/>
        <w:numPr>
          <w:ilvl w:val="0"/>
          <w:numId w:val="3"/>
        </w:numPr>
        <w:tabs>
          <w:tab w:val="left" w:pos="284"/>
        </w:tabs>
        <w:spacing w:before="120" w:after="60" w:line="260" w:lineRule="atLeast"/>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Examples of such transfers include: </w:t>
      </w:r>
    </w:p>
    <w:p w14:paraId="52A84E80" w14:textId="77777777" w:rsidR="005B627E" w:rsidRPr="007D416F" w:rsidRDefault="005B627E" w:rsidP="55DF0B34">
      <w:pPr>
        <w:pStyle w:val="ListBullet"/>
        <w:numPr>
          <w:ilvl w:val="0"/>
          <w:numId w:val="2"/>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cash, food and/or asset transfers directed at poor households and vulnerable individuals, such as children, people with disabilities, older people, widows etc.</w:t>
      </w:r>
    </w:p>
    <w:p w14:paraId="1DD87053" w14:textId="23ACDA76" w:rsidR="005B627E" w:rsidRPr="007D416F" w:rsidRDefault="005B627E" w:rsidP="55DF0B34">
      <w:pPr>
        <w:pStyle w:val="ListBullet"/>
        <w:numPr>
          <w:ilvl w:val="0"/>
          <w:numId w:val="2"/>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wages (both cash </w:t>
      </w:r>
      <w:bookmarkStart w:id="6" w:name="_Int_H9XMTayC"/>
      <w:proofErr w:type="gramStart"/>
      <w:r w:rsidRPr="007D416F">
        <w:rPr>
          <w:rFonts w:asciiTheme="minorHAnsi" w:hAnsiTheme="minorHAnsi" w:cstheme="minorHAnsi"/>
          <w:color w:val="495965" w:themeColor="text2"/>
          <w:sz w:val="22"/>
          <w:szCs w:val="22"/>
        </w:rPr>
        <w:t>or</w:t>
      </w:r>
      <w:bookmarkEnd w:id="6"/>
      <w:proofErr w:type="gramEnd"/>
      <w:r w:rsidRPr="007D416F">
        <w:rPr>
          <w:rFonts w:asciiTheme="minorHAnsi" w:hAnsiTheme="minorHAnsi" w:cstheme="minorHAnsi"/>
          <w:color w:val="495965" w:themeColor="text2"/>
          <w:sz w:val="22"/>
          <w:szCs w:val="22"/>
        </w:rPr>
        <w:t xml:space="preserve"> in</w:t>
      </w:r>
      <w:r w:rsidR="00D75F8D" w:rsidRPr="007D416F">
        <w:rPr>
          <w:rFonts w:asciiTheme="minorHAnsi" w:hAnsiTheme="minorHAnsi" w:cstheme="minorHAnsi"/>
          <w:color w:val="495965" w:themeColor="text2"/>
          <w:sz w:val="22"/>
          <w:szCs w:val="22"/>
        </w:rPr>
        <w:t>-</w:t>
      </w:r>
      <w:r w:rsidRPr="007D416F">
        <w:rPr>
          <w:rFonts w:asciiTheme="minorHAnsi" w:hAnsiTheme="minorHAnsi" w:cstheme="minorHAnsi"/>
          <w:color w:val="495965" w:themeColor="text2"/>
          <w:sz w:val="22"/>
          <w:szCs w:val="22"/>
        </w:rPr>
        <w:t>kind) from employment on public work schemes</w:t>
      </w:r>
    </w:p>
    <w:p w14:paraId="1359E23E" w14:textId="77777777" w:rsidR="005B627E" w:rsidRPr="007D416F" w:rsidRDefault="005B627E" w:rsidP="55DF0B34">
      <w:pPr>
        <w:pStyle w:val="ListBullet"/>
        <w:numPr>
          <w:ilvl w:val="0"/>
          <w:numId w:val="2"/>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school feeding and take-home </w:t>
      </w:r>
      <w:proofErr w:type="gramStart"/>
      <w:r w:rsidRPr="007D416F">
        <w:rPr>
          <w:rFonts w:asciiTheme="minorHAnsi" w:hAnsiTheme="minorHAnsi" w:cstheme="minorHAnsi"/>
          <w:color w:val="495965" w:themeColor="text2"/>
          <w:sz w:val="22"/>
          <w:szCs w:val="22"/>
        </w:rPr>
        <w:t>rations</w:t>
      </w:r>
      <w:proofErr w:type="gramEnd"/>
      <w:r w:rsidRPr="007D416F">
        <w:rPr>
          <w:rFonts w:asciiTheme="minorHAnsi" w:hAnsiTheme="minorHAnsi" w:cstheme="minorHAnsi"/>
          <w:color w:val="495965" w:themeColor="text2"/>
          <w:sz w:val="22"/>
          <w:szCs w:val="22"/>
        </w:rPr>
        <w:t xml:space="preserve"> </w:t>
      </w:r>
    </w:p>
    <w:p w14:paraId="5E12A9DD" w14:textId="77777777" w:rsidR="00720F70" w:rsidRPr="007D416F" w:rsidRDefault="005B627E" w:rsidP="55DF0B34">
      <w:pPr>
        <w:pStyle w:val="ListBullet"/>
        <w:numPr>
          <w:ilvl w:val="0"/>
          <w:numId w:val="2"/>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vouchers (for example health vouchers to attend health check-ups)</w:t>
      </w:r>
    </w:p>
    <w:p w14:paraId="786A0FB2" w14:textId="019D61D6" w:rsidR="00720F70" w:rsidRPr="007D416F" w:rsidRDefault="00720F70" w:rsidP="55DF0B34">
      <w:pPr>
        <w:pStyle w:val="ListBullet"/>
        <w:numPr>
          <w:ilvl w:val="0"/>
          <w:numId w:val="2"/>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fee waivers (for example school fee waivers)</w:t>
      </w:r>
    </w:p>
    <w:p w14:paraId="7A491FF0" w14:textId="759C5ACE" w:rsidR="005B627E" w:rsidRPr="007D416F" w:rsidRDefault="00720F70" w:rsidP="55DF0B34">
      <w:pPr>
        <w:pStyle w:val="ListBullet"/>
        <w:numPr>
          <w:ilvl w:val="0"/>
          <w:numId w:val="2"/>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wage subsidies (where </w:t>
      </w:r>
      <w:r w:rsidR="000C5824" w:rsidRPr="007D416F">
        <w:rPr>
          <w:rFonts w:asciiTheme="minorHAnsi" w:hAnsiTheme="minorHAnsi" w:cstheme="minorHAnsi"/>
          <w:color w:val="495965" w:themeColor="text2"/>
          <w:sz w:val="22"/>
          <w:szCs w:val="22"/>
        </w:rPr>
        <w:t xml:space="preserve">this </w:t>
      </w:r>
      <w:r w:rsidRPr="007D416F">
        <w:rPr>
          <w:rFonts w:asciiTheme="minorHAnsi" w:hAnsiTheme="minorHAnsi" w:cstheme="minorHAnsi"/>
          <w:color w:val="495965" w:themeColor="text2"/>
          <w:sz w:val="22"/>
          <w:szCs w:val="22"/>
        </w:rPr>
        <w:t>transfer supported employees to meet basic needs)</w:t>
      </w:r>
      <w:r w:rsidR="005B627E" w:rsidRPr="007D416F">
        <w:rPr>
          <w:rFonts w:asciiTheme="minorHAnsi" w:hAnsiTheme="minorHAnsi" w:cstheme="minorHAnsi"/>
          <w:color w:val="495965" w:themeColor="text2"/>
          <w:sz w:val="22"/>
          <w:szCs w:val="22"/>
        </w:rPr>
        <w:t>.</w:t>
      </w:r>
    </w:p>
    <w:p w14:paraId="59CD069A" w14:textId="39429683" w:rsidR="007842F6" w:rsidRPr="007D416F" w:rsidRDefault="007842F6" w:rsidP="007842F6">
      <w:pPr>
        <w:pStyle w:val="ListBullet"/>
        <w:numPr>
          <w:ilvl w:val="0"/>
          <w:numId w:val="25"/>
        </w:numPr>
        <w:tabs>
          <w:tab w:val="left" w:pos="284"/>
        </w:tabs>
        <w:spacing w:before="120" w:after="60" w:line="260" w:lineRule="atLeast"/>
        <w:ind w:left="284" w:hanging="284"/>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Examples of system-strengthening technical support </w:t>
      </w:r>
      <w:r w:rsidR="003E6642" w:rsidRPr="007D416F">
        <w:rPr>
          <w:rFonts w:asciiTheme="minorHAnsi" w:hAnsiTheme="minorHAnsi" w:cstheme="minorHAnsi"/>
          <w:color w:val="495965" w:themeColor="text2"/>
          <w:sz w:val="22"/>
          <w:szCs w:val="22"/>
        </w:rPr>
        <w:t xml:space="preserve">for government-led social protection programs </w:t>
      </w:r>
      <w:r w:rsidRPr="007D416F">
        <w:rPr>
          <w:rFonts w:asciiTheme="minorHAnsi" w:hAnsiTheme="minorHAnsi" w:cstheme="minorHAnsi"/>
          <w:color w:val="495965" w:themeColor="text2"/>
          <w:sz w:val="22"/>
          <w:szCs w:val="22"/>
        </w:rPr>
        <w:t xml:space="preserve">include: </w:t>
      </w:r>
    </w:p>
    <w:p w14:paraId="29833231" w14:textId="371F1C3B" w:rsidR="007842F6" w:rsidRPr="007D416F" w:rsidRDefault="1A4DC798" w:rsidP="55DF0B34">
      <w:pPr>
        <w:pStyle w:val="ListBullet"/>
        <w:numPr>
          <w:ilvl w:val="0"/>
          <w:numId w:val="1"/>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technical advice </w:t>
      </w:r>
      <w:r w:rsidR="69B99385" w:rsidRPr="007D416F">
        <w:rPr>
          <w:rFonts w:asciiTheme="minorHAnsi" w:hAnsiTheme="minorHAnsi" w:cstheme="minorHAnsi"/>
          <w:color w:val="495965" w:themeColor="text2"/>
          <w:sz w:val="22"/>
          <w:szCs w:val="22"/>
        </w:rPr>
        <w:t xml:space="preserve">for programs’ beneficiary targeting and identification systems, eligibility assessment and registration systems, payment systems, </w:t>
      </w:r>
      <w:r w:rsidR="174490B1" w:rsidRPr="007D416F">
        <w:rPr>
          <w:rFonts w:asciiTheme="minorHAnsi" w:hAnsiTheme="minorHAnsi" w:cstheme="minorHAnsi"/>
          <w:color w:val="495965" w:themeColor="text2"/>
          <w:sz w:val="22"/>
          <w:szCs w:val="22"/>
        </w:rPr>
        <w:t xml:space="preserve">behaviour change communication, </w:t>
      </w:r>
      <w:r w:rsidR="69B99385" w:rsidRPr="007D416F">
        <w:rPr>
          <w:rFonts w:asciiTheme="minorHAnsi" w:hAnsiTheme="minorHAnsi" w:cstheme="minorHAnsi"/>
          <w:color w:val="495965" w:themeColor="text2"/>
          <w:sz w:val="22"/>
          <w:szCs w:val="22"/>
        </w:rPr>
        <w:t>grievance processes, M&amp;E processes etc</w:t>
      </w:r>
    </w:p>
    <w:p w14:paraId="349EADDA" w14:textId="531D5044" w:rsidR="003E6642" w:rsidRPr="007D416F" w:rsidRDefault="69B99385" w:rsidP="55DF0B34">
      <w:pPr>
        <w:pStyle w:val="ListBullet"/>
        <w:numPr>
          <w:ilvl w:val="0"/>
          <w:numId w:val="1"/>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 xml:space="preserve">support for government counterparts’ capacity building in relation to social protection </w:t>
      </w:r>
      <w:r w:rsidR="04E800F1" w:rsidRPr="007D416F">
        <w:rPr>
          <w:rFonts w:asciiTheme="minorHAnsi" w:hAnsiTheme="minorHAnsi" w:cstheme="minorHAnsi"/>
          <w:color w:val="495965" w:themeColor="text2"/>
          <w:sz w:val="22"/>
          <w:szCs w:val="22"/>
        </w:rPr>
        <w:t>policy</w:t>
      </w:r>
      <w:r w:rsidR="643A7389" w:rsidRPr="007D416F">
        <w:rPr>
          <w:rFonts w:asciiTheme="minorHAnsi" w:hAnsiTheme="minorHAnsi" w:cstheme="minorHAnsi"/>
          <w:color w:val="495965" w:themeColor="text2"/>
          <w:sz w:val="22"/>
          <w:szCs w:val="22"/>
        </w:rPr>
        <w:t xml:space="preserve">, </w:t>
      </w:r>
      <w:r w:rsidR="1955BE80" w:rsidRPr="007D416F">
        <w:rPr>
          <w:rFonts w:asciiTheme="minorHAnsi" w:hAnsiTheme="minorHAnsi" w:cstheme="minorHAnsi"/>
          <w:color w:val="495965" w:themeColor="text2"/>
          <w:sz w:val="22"/>
          <w:szCs w:val="22"/>
        </w:rPr>
        <w:t>systems,</w:t>
      </w:r>
      <w:r w:rsidR="04E800F1" w:rsidRPr="007D416F">
        <w:rPr>
          <w:rFonts w:asciiTheme="minorHAnsi" w:hAnsiTheme="minorHAnsi" w:cstheme="minorHAnsi"/>
          <w:color w:val="495965" w:themeColor="text2"/>
          <w:sz w:val="22"/>
          <w:szCs w:val="22"/>
        </w:rPr>
        <w:t xml:space="preserve"> and program </w:t>
      </w:r>
      <w:r w:rsidRPr="007D416F">
        <w:rPr>
          <w:rFonts w:asciiTheme="minorHAnsi" w:hAnsiTheme="minorHAnsi" w:cstheme="minorHAnsi"/>
          <w:color w:val="495965" w:themeColor="text2"/>
          <w:sz w:val="22"/>
          <w:szCs w:val="22"/>
        </w:rPr>
        <w:t>delivery</w:t>
      </w:r>
      <w:r w:rsidR="2D0072EE" w:rsidRPr="007D416F">
        <w:rPr>
          <w:rFonts w:asciiTheme="minorHAnsi" w:hAnsiTheme="minorHAnsi" w:cstheme="minorHAnsi"/>
          <w:color w:val="495965" w:themeColor="text2"/>
          <w:sz w:val="22"/>
          <w:szCs w:val="22"/>
        </w:rPr>
        <w:t xml:space="preserve"> </w:t>
      </w:r>
    </w:p>
    <w:p w14:paraId="518BDE8B" w14:textId="39BF256A" w:rsidR="000C5824" w:rsidRPr="007D416F" w:rsidRDefault="65A6E4E8" w:rsidP="55DF0B34">
      <w:pPr>
        <w:pStyle w:val="ListBullet"/>
        <w:numPr>
          <w:ilvl w:val="0"/>
          <w:numId w:val="1"/>
        </w:numPr>
        <w:tabs>
          <w:tab w:val="left" w:pos="284"/>
        </w:tabs>
        <w:spacing w:before="120" w:after="60" w:line="260" w:lineRule="atLeast"/>
        <w:ind w:left="1350"/>
        <w:rPr>
          <w:rFonts w:asciiTheme="minorHAnsi" w:hAnsiTheme="minorHAnsi" w:cstheme="minorHAnsi"/>
          <w:color w:val="495965" w:themeColor="text2"/>
          <w:sz w:val="22"/>
          <w:szCs w:val="22"/>
        </w:rPr>
      </w:pPr>
      <w:r w:rsidRPr="007D416F">
        <w:rPr>
          <w:rFonts w:asciiTheme="minorHAnsi" w:hAnsiTheme="minorHAnsi" w:cstheme="minorHAnsi"/>
          <w:color w:val="495965" w:themeColor="text2"/>
          <w:lang w:val="en-GB"/>
        </w:rPr>
        <w:t xml:space="preserve">support for disaster risk reduction or climate-focused social protection programs </w:t>
      </w:r>
      <w:r w:rsidR="605350DC" w:rsidRPr="007D416F">
        <w:rPr>
          <w:rFonts w:asciiTheme="minorHAnsi" w:hAnsiTheme="minorHAnsi" w:cstheme="minorHAnsi"/>
          <w:color w:val="495965" w:themeColor="text2"/>
          <w:sz w:val="22"/>
          <w:szCs w:val="22"/>
        </w:rPr>
        <w:t>tangible items or delivery infrastructure which improves systems</w:t>
      </w:r>
      <w:r w:rsidR="000C5824" w:rsidRPr="007D416F">
        <w:rPr>
          <w:rFonts w:asciiTheme="minorHAnsi" w:hAnsiTheme="minorHAnsi" w:cstheme="minorHAnsi"/>
          <w:color w:val="495965" w:themeColor="text2"/>
          <w:sz w:val="22"/>
          <w:szCs w:val="22"/>
        </w:rPr>
        <w:t>.</w:t>
      </w:r>
    </w:p>
    <w:p w14:paraId="625B3BF6" w14:textId="39F5F6E9" w:rsidR="005B627E" w:rsidRPr="007D416F" w:rsidRDefault="001E0802" w:rsidP="089C97C2">
      <w:pPr>
        <w:pStyle w:val="Heading2"/>
        <w:tabs>
          <w:tab w:val="left" w:pos="284"/>
        </w:tabs>
        <w:jc w:val="both"/>
        <w:rPr>
          <w:rStyle w:val="IntenseEmphasis"/>
          <w:rFonts w:asciiTheme="minorHAnsi" w:eastAsiaTheme="minorEastAsia" w:hAnsiTheme="minorHAnsi" w:cstheme="minorHAnsi"/>
          <w:b/>
          <w:sz w:val="22"/>
          <w:szCs w:val="22"/>
        </w:rPr>
      </w:pPr>
      <w:r w:rsidRPr="007D416F">
        <w:rPr>
          <w:rStyle w:val="IntenseEmphasis"/>
          <w:rFonts w:asciiTheme="minorHAnsi" w:eastAsiaTheme="minorEastAsia" w:hAnsiTheme="minorHAnsi" w:cstheme="minorHAnsi"/>
          <w:b/>
          <w:sz w:val="22"/>
          <w:szCs w:val="22"/>
        </w:rPr>
        <w:t>EXCLUDES:</w:t>
      </w:r>
    </w:p>
    <w:p w14:paraId="79F3E917" w14:textId="18D91CE6" w:rsidR="005B627E" w:rsidRPr="007D416F" w:rsidRDefault="649E09BE" w:rsidP="55DF0B34">
      <w:pPr>
        <w:pStyle w:val="ListBullet"/>
        <w:numPr>
          <w:ilvl w:val="0"/>
          <w:numId w:val="25"/>
        </w:numPr>
        <w:tabs>
          <w:tab w:val="left" w:pos="284"/>
        </w:tabs>
        <w:spacing w:before="120" w:after="60" w:line="260" w:lineRule="atLeast"/>
        <w:ind w:left="284" w:hanging="284"/>
        <w:jc w:val="both"/>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Humanitarian c</w:t>
      </w:r>
      <w:r w:rsidR="7B677CE4" w:rsidRPr="007D416F">
        <w:rPr>
          <w:rFonts w:asciiTheme="minorHAnsi" w:hAnsiTheme="minorHAnsi" w:cstheme="minorHAnsi"/>
          <w:color w:val="495965" w:themeColor="text2"/>
          <w:sz w:val="22"/>
          <w:szCs w:val="22"/>
        </w:rPr>
        <w:t xml:space="preserve">ash payments delivered </w:t>
      </w:r>
      <w:r w:rsidR="13E6A478" w:rsidRPr="007D416F">
        <w:rPr>
          <w:rFonts w:asciiTheme="minorHAnsi" w:hAnsiTheme="minorHAnsi" w:cstheme="minorHAnsi"/>
          <w:i/>
          <w:iCs/>
          <w:color w:val="495965" w:themeColor="text2"/>
          <w:sz w:val="22"/>
          <w:szCs w:val="22"/>
        </w:rPr>
        <w:t>outside</w:t>
      </w:r>
      <w:r w:rsidR="13E6A478" w:rsidRPr="007D416F">
        <w:rPr>
          <w:rFonts w:asciiTheme="minorHAnsi" w:hAnsiTheme="minorHAnsi" w:cstheme="minorHAnsi"/>
          <w:color w:val="495965" w:themeColor="text2"/>
          <w:sz w:val="22"/>
          <w:szCs w:val="22"/>
        </w:rPr>
        <w:t xml:space="preserve"> the social protection system and </w:t>
      </w:r>
      <w:r w:rsidRPr="007D416F">
        <w:rPr>
          <w:rFonts w:asciiTheme="minorHAnsi" w:hAnsiTheme="minorHAnsi" w:cstheme="minorHAnsi"/>
          <w:color w:val="495965" w:themeColor="text2"/>
          <w:sz w:val="22"/>
          <w:szCs w:val="22"/>
        </w:rPr>
        <w:t xml:space="preserve">for less than six months </w:t>
      </w:r>
      <w:r w:rsidR="7B677CE4" w:rsidRPr="007D416F">
        <w:rPr>
          <w:rFonts w:asciiTheme="minorHAnsi" w:hAnsiTheme="minorHAnsi" w:cstheme="minorHAnsi"/>
          <w:color w:val="495965" w:themeColor="text2"/>
          <w:sz w:val="22"/>
          <w:szCs w:val="22"/>
        </w:rPr>
        <w:t xml:space="preserve">during a conflict or humanitarian crisis (which are captured by the </w:t>
      </w:r>
      <w:r w:rsidR="119491CC" w:rsidRPr="007D416F">
        <w:rPr>
          <w:rFonts w:asciiTheme="minorHAnsi" w:hAnsiTheme="minorHAnsi" w:cstheme="minorHAnsi"/>
          <w:color w:val="495965" w:themeColor="text2"/>
          <w:sz w:val="22"/>
          <w:szCs w:val="22"/>
        </w:rPr>
        <w:t xml:space="preserve">indicator: </w:t>
      </w:r>
      <w:r w:rsidR="7B677CE4" w:rsidRPr="007D416F">
        <w:rPr>
          <w:rFonts w:asciiTheme="minorHAnsi" w:hAnsiTheme="minorHAnsi" w:cstheme="minorHAnsi"/>
          <w:color w:val="495965" w:themeColor="text2"/>
          <w:sz w:val="22"/>
          <w:szCs w:val="22"/>
        </w:rPr>
        <w:t xml:space="preserve">‘Number of vulnerable women and men provided with </w:t>
      </w:r>
      <w:r w:rsidR="119491CC" w:rsidRPr="007D416F">
        <w:rPr>
          <w:rFonts w:asciiTheme="minorHAnsi" w:hAnsiTheme="minorHAnsi" w:cstheme="minorHAnsi"/>
          <w:color w:val="495965" w:themeColor="text2"/>
          <w:sz w:val="22"/>
          <w:szCs w:val="22"/>
        </w:rPr>
        <w:t xml:space="preserve">emergency </w:t>
      </w:r>
      <w:r w:rsidR="7B677CE4" w:rsidRPr="007D416F">
        <w:rPr>
          <w:rFonts w:asciiTheme="minorHAnsi" w:hAnsiTheme="minorHAnsi" w:cstheme="minorHAnsi"/>
          <w:color w:val="495965" w:themeColor="text2"/>
          <w:sz w:val="22"/>
          <w:szCs w:val="22"/>
        </w:rPr>
        <w:t>assistance in conflict and crisis situations’)</w:t>
      </w:r>
    </w:p>
    <w:p w14:paraId="1D4213D0" w14:textId="1A09E2FE" w:rsidR="005B627E" w:rsidRPr="007D416F" w:rsidRDefault="005B627E" w:rsidP="55DF0B34">
      <w:pPr>
        <w:pStyle w:val="ListBullet"/>
        <w:numPr>
          <w:ilvl w:val="0"/>
          <w:numId w:val="25"/>
        </w:numPr>
        <w:tabs>
          <w:tab w:val="left" w:pos="284"/>
        </w:tabs>
        <w:spacing w:before="120" w:after="60" w:line="260" w:lineRule="atLeast"/>
        <w:ind w:left="284" w:hanging="284"/>
        <w:jc w:val="both"/>
        <w:rPr>
          <w:rFonts w:asciiTheme="minorHAnsi" w:hAnsiTheme="minorHAnsi" w:cstheme="minorHAnsi"/>
          <w:color w:val="495965" w:themeColor="text2"/>
          <w:sz w:val="22"/>
          <w:szCs w:val="22"/>
        </w:rPr>
      </w:pPr>
      <w:r w:rsidRPr="007D416F">
        <w:rPr>
          <w:rFonts w:asciiTheme="minorHAnsi" w:hAnsiTheme="minorHAnsi" w:cstheme="minorHAnsi"/>
          <w:color w:val="495965" w:themeColor="text2"/>
          <w:sz w:val="22"/>
          <w:szCs w:val="22"/>
        </w:rPr>
        <w:t>School or health subsidy payments that go directly to schools or health care centres</w:t>
      </w:r>
      <w:r w:rsidR="001311D5" w:rsidRPr="007D416F">
        <w:rPr>
          <w:rFonts w:asciiTheme="minorHAnsi" w:hAnsiTheme="minorHAnsi" w:cstheme="minorHAnsi"/>
          <w:color w:val="495965" w:themeColor="text2"/>
          <w:sz w:val="22"/>
          <w:szCs w:val="22"/>
        </w:rPr>
        <w:t xml:space="preserve"> and are focussed on supply-side services instead of easing costs to households</w:t>
      </w:r>
      <w:r w:rsidRPr="007D416F">
        <w:rPr>
          <w:rFonts w:asciiTheme="minorHAnsi" w:hAnsiTheme="minorHAnsi" w:cstheme="minorHAnsi"/>
          <w:color w:val="495965" w:themeColor="text2"/>
          <w:sz w:val="22"/>
          <w:szCs w:val="22"/>
        </w:rPr>
        <w:t xml:space="preserve">. </w:t>
      </w:r>
    </w:p>
    <w:p w14:paraId="314A5805" w14:textId="77777777" w:rsidR="00083D12" w:rsidRPr="00E61F38" w:rsidRDefault="00083D12" w:rsidP="0B990204">
      <w:pPr>
        <w:rPr>
          <w:rFonts w:eastAsiaTheme="minorEastAsia"/>
          <w:b/>
          <w:bCs/>
          <w:color w:val="2F5496"/>
          <w:sz w:val="32"/>
          <w:szCs w:val="32"/>
        </w:rPr>
      </w:pPr>
      <w:r w:rsidRPr="0B990204">
        <w:rPr>
          <w:rFonts w:eastAsiaTheme="minorEastAsia"/>
          <w:b/>
          <w:bCs/>
          <w:color w:val="2F5496"/>
          <w:sz w:val="32"/>
          <w:szCs w:val="32"/>
        </w:rPr>
        <w:t>Calculations</w:t>
      </w:r>
    </w:p>
    <w:p w14:paraId="0C1F7722" w14:textId="4A15980C" w:rsidR="00083D12" w:rsidRPr="00E1295B" w:rsidRDefault="00083D12" w:rsidP="55DF0B34">
      <w:pPr>
        <w:suppressAutoHyphens w:val="0"/>
        <w:spacing w:after="120" w:line="240" w:lineRule="auto"/>
        <w:jc w:val="both"/>
        <w:rPr>
          <w:rFonts w:cstheme="minorHAnsi"/>
        </w:rPr>
      </w:pPr>
      <w:r w:rsidRPr="00E1295B">
        <w:rPr>
          <w:rFonts w:cstheme="minorHAnsi"/>
        </w:rPr>
        <w:t xml:space="preserve">This indicator is designed to count all women, men, </w:t>
      </w:r>
      <w:r w:rsidR="138769F7" w:rsidRPr="00E1295B">
        <w:rPr>
          <w:rFonts w:cstheme="minorHAnsi"/>
        </w:rPr>
        <w:t>girls,</w:t>
      </w:r>
      <w:r w:rsidRPr="00E1295B">
        <w:rPr>
          <w:rFonts w:cstheme="minorHAnsi"/>
        </w:rPr>
        <w:t xml:space="preserve"> and boys benefitting from Australian funding under an investment.</w:t>
      </w:r>
    </w:p>
    <w:p w14:paraId="2E2A197C" w14:textId="3B233285" w:rsidR="00083D12" w:rsidRPr="00E1295B" w:rsidRDefault="00083D12" w:rsidP="55DF0B34">
      <w:pPr>
        <w:pStyle w:val="ListParagraph"/>
        <w:numPr>
          <w:ilvl w:val="0"/>
          <w:numId w:val="63"/>
        </w:numPr>
        <w:suppressAutoHyphens w:val="0"/>
        <w:spacing w:line="240" w:lineRule="auto"/>
        <w:ind w:left="714" w:hanging="357"/>
        <w:jc w:val="both"/>
        <w:rPr>
          <w:rFonts w:cstheme="minorHAnsi"/>
        </w:rPr>
      </w:pPr>
      <w:r w:rsidRPr="00E1295B">
        <w:rPr>
          <w:rFonts w:cstheme="minorHAnsi"/>
        </w:rPr>
        <w:t xml:space="preserve">Where </w:t>
      </w:r>
      <w:r w:rsidR="005D7F14" w:rsidRPr="00E1295B">
        <w:rPr>
          <w:rFonts w:cstheme="minorHAnsi"/>
        </w:rPr>
        <w:t xml:space="preserve">only </w:t>
      </w:r>
      <w:r w:rsidRPr="00E1295B">
        <w:rPr>
          <w:rFonts w:cstheme="minorHAnsi"/>
        </w:rPr>
        <w:t xml:space="preserve">household data </w:t>
      </w:r>
      <w:r w:rsidR="005D7F14" w:rsidRPr="00E1295B">
        <w:rPr>
          <w:rFonts w:cstheme="minorHAnsi"/>
        </w:rPr>
        <w:t>is</w:t>
      </w:r>
      <w:r w:rsidRPr="00E1295B">
        <w:rPr>
          <w:rFonts w:cstheme="minorHAnsi"/>
        </w:rPr>
        <w:t xml:space="preserve"> available, this should be converted to </w:t>
      </w:r>
      <w:r w:rsidR="005D7F14" w:rsidRPr="00E1295B">
        <w:rPr>
          <w:rFonts w:cstheme="minorHAnsi"/>
        </w:rPr>
        <w:t xml:space="preserve">an </w:t>
      </w:r>
      <w:r w:rsidRPr="00E1295B">
        <w:rPr>
          <w:rFonts w:cstheme="minorHAnsi"/>
        </w:rPr>
        <w:t>individual</w:t>
      </w:r>
      <w:r w:rsidR="005D7F14" w:rsidRPr="00E1295B">
        <w:rPr>
          <w:rFonts w:cstheme="minorHAnsi"/>
        </w:rPr>
        <w:t xml:space="preserve"> basis</w:t>
      </w:r>
      <w:r w:rsidRPr="00E1295B">
        <w:rPr>
          <w:rFonts w:cstheme="minorHAnsi"/>
        </w:rPr>
        <w:t xml:space="preserve"> using the number of persons per household. Ideally the conversion factor should be specific to the area covered by the investment, but if it is not available, census data on the </w:t>
      </w:r>
      <w:r w:rsidR="005D7F14" w:rsidRPr="00E1295B">
        <w:rPr>
          <w:rFonts w:cstheme="minorHAnsi"/>
        </w:rPr>
        <w:t xml:space="preserve">average </w:t>
      </w:r>
      <w:r w:rsidRPr="00E1295B">
        <w:rPr>
          <w:rFonts w:cstheme="minorHAnsi"/>
        </w:rPr>
        <w:t xml:space="preserve">number of persons per household at the provincial, </w:t>
      </w:r>
      <w:r w:rsidR="70945C07" w:rsidRPr="00E1295B">
        <w:rPr>
          <w:rFonts w:cstheme="minorHAnsi"/>
        </w:rPr>
        <w:t>state,</w:t>
      </w:r>
      <w:r w:rsidRPr="00E1295B">
        <w:rPr>
          <w:rFonts w:cstheme="minorHAnsi"/>
        </w:rPr>
        <w:t xml:space="preserve"> or national level can be used in that order of preference.  </w:t>
      </w:r>
    </w:p>
    <w:p w14:paraId="2020847D" w14:textId="59BA8426" w:rsidR="00083D12" w:rsidRPr="00E1295B" w:rsidRDefault="00083D12" w:rsidP="55DF0B34">
      <w:pPr>
        <w:pStyle w:val="ListParagraph"/>
        <w:numPr>
          <w:ilvl w:val="0"/>
          <w:numId w:val="63"/>
        </w:numPr>
        <w:suppressAutoHyphens w:val="0"/>
        <w:spacing w:after="120" w:line="240" w:lineRule="auto"/>
        <w:jc w:val="both"/>
        <w:rPr>
          <w:rFonts w:cstheme="minorHAnsi"/>
        </w:rPr>
      </w:pPr>
      <w:r w:rsidRPr="00E1295B">
        <w:rPr>
          <w:rFonts w:cstheme="minorHAnsi"/>
        </w:rPr>
        <w:t xml:space="preserve">The number of households should be referenced in the calculation methodology.  </w:t>
      </w:r>
    </w:p>
    <w:p w14:paraId="2787FF1E" w14:textId="6A48EFE6" w:rsidR="007261D9" w:rsidRPr="00E1295B" w:rsidRDefault="00D91FC1" w:rsidP="55DF0B34">
      <w:pPr>
        <w:pStyle w:val="BodyText"/>
        <w:jc w:val="both"/>
        <w:rPr>
          <w:rFonts w:cstheme="minorHAnsi"/>
        </w:rPr>
      </w:pPr>
      <w:r w:rsidRPr="00E1295B">
        <w:rPr>
          <w:rFonts w:cstheme="minorHAnsi"/>
        </w:rPr>
        <w:t>When an Australian investment has both directly funded cash transfers and provided technical support for system strengthening, both figures should be added together</w:t>
      </w:r>
      <w:r w:rsidR="005D7F14" w:rsidRPr="00E1295B">
        <w:rPr>
          <w:rFonts w:cstheme="minorHAnsi"/>
        </w:rPr>
        <w:t xml:space="preserve">, provided this does not lead to </w:t>
      </w:r>
      <w:r w:rsidR="247FC183" w:rsidRPr="00E1295B">
        <w:rPr>
          <w:rFonts w:cstheme="minorHAnsi"/>
        </w:rPr>
        <w:t>double counting</w:t>
      </w:r>
      <w:r w:rsidR="005D7F14" w:rsidRPr="00E1295B">
        <w:rPr>
          <w:rFonts w:cstheme="minorHAnsi"/>
        </w:rPr>
        <w:t xml:space="preserve"> of beneficiaries</w:t>
      </w:r>
      <w:r w:rsidRPr="00E1295B">
        <w:rPr>
          <w:rFonts w:cstheme="minorHAnsi"/>
        </w:rPr>
        <w:t>.</w:t>
      </w:r>
    </w:p>
    <w:p w14:paraId="5D01F906" w14:textId="1C287E90" w:rsidR="00A36AD8" w:rsidRDefault="00A36AD8" w:rsidP="0B990204">
      <w:pPr>
        <w:rPr>
          <w:rFonts w:eastAsiaTheme="minorEastAsia"/>
          <w:b/>
          <w:bCs/>
          <w:color w:val="2F5496"/>
          <w:sz w:val="32"/>
          <w:szCs w:val="32"/>
        </w:rPr>
      </w:pPr>
      <w:r w:rsidRPr="0B990204">
        <w:rPr>
          <w:rFonts w:eastAsiaTheme="minorEastAsia"/>
          <w:b/>
          <w:bCs/>
          <w:color w:val="2F5496"/>
          <w:sz w:val="32"/>
          <w:szCs w:val="32"/>
        </w:rPr>
        <w:t>Data sources</w:t>
      </w:r>
    </w:p>
    <w:p w14:paraId="588C1967" w14:textId="0383F71B" w:rsidR="00A36AD8" w:rsidRPr="00E1295B" w:rsidRDefault="00A36AD8" w:rsidP="55DF0B34">
      <w:pPr>
        <w:jc w:val="both"/>
        <w:rPr>
          <w:rFonts w:cstheme="minorHAnsi"/>
        </w:rPr>
      </w:pPr>
      <w:r w:rsidRPr="00E1295B">
        <w:rPr>
          <w:rFonts w:cstheme="minorHAnsi"/>
        </w:rPr>
        <w:t xml:space="preserve">Key data sources will be </w:t>
      </w:r>
      <w:bookmarkStart w:id="7" w:name="_Int_7HPrR95m"/>
      <w:r w:rsidRPr="00E1295B">
        <w:rPr>
          <w:rFonts w:cstheme="minorHAnsi"/>
        </w:rPr>
        <w:t>partner</w:t>
      </w:r>
      <w:bookmarkEnd w:id="7"/>
      <w:r w:rsidRPr="00E1295B">
        <w:rPr>
          <w:rFonts w:cstheme="minorHAnsi"/>
        </w:rPr>
        <w:t xml:space="preserve"> government beneficiary and household survey data. Census and population data may be needed where disaggregated beneficiary data and household data is not available. </w:t>
      </w:r>
      <w:r w:rsidR="00F64C5B" w:rsidRPr="00E1295B">
        <w:rPr>
          <w:rFonts w:cstheme="minorHAnsi"/>
        </w:rPr>
        <w:t>Program data can also be used if available.</w:t>
      </w:r>
      <w:r w:rsidRPr="00E1295B">
        <w:rPr>
          <w:rFonts w:cstheme="minorHAnsi"/>
        </w:rPr>
        <w:t xml:space="preserve"> </w:t>
      </w:r>
    </w:p>
    <w:p w14:paraId="3B33E589" w14:textId="6305F96F" w:rsidR="00A36AD8" w:rsidRDefault="00A36AD8" w:rsidP="0B990204">
      <w:pPr>
        <w:rPr>
          <w:rFonts w:eastAsiaTheme="minorEastAsia"/>
          <w:b/>
          <w:bCs/>
          <w:color w:val="2F5496"/>
          <w:sz w:val="32"/>
          <w:szCs w:val="32"/>
        </w:rPr>
      </w:pPr>
      <w:r w:rsidRPr="0B990204">
        <w:rPr>
          <w:rFonts w:eastAsiaTheme="minorEastAsia"/>
          <w:b/>
          <w:bCs/>
          <w:color w:val="2F5496"/>
          <w:sz w:val="32"/>
          <w:szCs w:val="32"/>
        </w:rPr>
        <w:lastRenderedPageBreak/>
        <w:t xml:space="preserve">Sex disaggregation </w:t>
      </w:r>
    </w:p>
    <w:p w14:paraId="7B7580E4" w14:textId="207BF17D" w:rsidR="00A36AD8" w:rsidRPr="00E1295B" w:rsidRDefault="00A36AD8" w:rsidP="55DF0B34">
      <w:pPr>
        <w:jc w:val="both"/>
        <w:rPr>
          <w:rFonts w:cstheme="minorHAnsi"/>
        </w:rPr>
      </w:pPr>
      <w:r w:rsidRPr="00E1295B">
        <w:rPr>
          <w:rFonts w:cstheme="minorHAnsi"/>
        </w:rPr>
        <w:t>Sex disaggregation is an essential part of this indicator</w:t>
      </w:r>
      <w:r w:rsidR="5804D511" w:rsidRPr="00E1295B">
        <w:rPr>
          <w:rFonts w:cstheme="minorHAnsi"/>
        </w:rPr>
        <w:t xml:space="preserve">. </w:t>
      </w:r>
      <w:r w:rsidRPr="00E1295B">
        <w:rPr>
          <w:rFonts w:cstheme="minorHAnsi"/>
        </w:rPr>
        <w:t xml:space="preserve">Efforts should be made to include sex disaggregated data based on actual figures or partner reporting, where known. Alternatively, the pro rata sex disaggregation based on population or census statistics can be </w:t>
      </w:r>
      <w:r w:rsidR="00E70992" w:rsidRPr="00E1295B">
        <w:rPr>
          <w:rFonts w:cstheme="minorHAnsi"/>
        </w:rPr>
        <w:t>used</w:t>
      </w:r>
      <w:r w:rsidRPr="00E1295B">
        <w:rPr>
          <w:rFonts w:cstheme="minorHAnsi"/>
        </w:rPr>
        <w:t>.</w:t>
      </w:r>
    </w:p>
    <w:p w14:paraId="0AFEE12A" w14:textId="266B3FA6" w:rsidR="005B627E" w:rsidRPr="00E61F38" w:rsidRDefault="005B627E" w:rsidP="0B990204">
      <w:pPr>
        <w:rPr>
          <w:rFonts w:eastAsiaTheme="minorEastAsia"/>
          <w:b/>
          <w:bCs/>
          <w:color w:val="2F5496"/>
          <w:sz w:val="32"/>
          <w:szCs w:val="32"/>
        </w:rPr>
      </w:pPr>
      <w:r w:rsidRPr="0B990204">
        <w:rPr>
          <w:rFonts w:eastAsiaTheme="minorEastAsia"/>
          <w:b/>
          <w:bCs/>
          <w:color w:val="2F5496"/>
          <w:sz w:val="32"/>
          <w:szCs w:val="32"/>
        </w:rPr>
        <w:t>REPORTING</w:t>
      </w:r>
    </w:p>
    <w:p w14:paraId="6F10D07C" w14:textId="165BEB36" w:rsidR="005B627E" w:rsidRPr="00E1295B" w:rsidRDefault="005B627E" w:rsidP="55DF0B34">
      <w:pPr>
        <w:pStyle w:val="BodyText"/>
        <w:jc w:val="both"/>
        <w:rPr>
          <w:rFonts w:cstheme="minorHAnsi"/>
        </w:rPr>
      </w:pPr>
      <w:r w:rsidRPr="00E1295B">
        <w:rPr>
          <w:rFonts w:cstheme="minorHAnsi"/>
        </w:rPr>
        <w:t xml:space="preserve">Results under this indicator may be reported by bilateral, regional, </w:t>
      </w:r>
      <w:r w:rsidR="5216CECE" w:rsidRPr="00E1295B">
        <w:rPr>
          <w:rFonts w:cstheme="minorHAnsi"/>
        </w:rPr>
        <w:t>global,</w:t>
      </w:r>
      <w:r w:rsidRPr="00E1295B">
        <w:rPr>
          <w:rFonts w:cstheme="minorHAnsi"/>
        </w:rPr>
        <w:t xml:space="preserve"> or multilateral programs.</w:t>
      </w:r>
    </w:p>
    <w:p w14:paraId="4A6DF1A3" w14:textId="605DCFA7" w:rsidR="00817FF7" w:rsidRDefault="00083D12" w:rsidP="001F09D3">
      <w:pPr>
        <w:rPr>
          <w:rFonts w:asciiTheme="majorHAnsi" w:hAnsiTheme="majorHAnsi" w:cstheme="majorHAnsi"/>
        </w:rPr>
      </w:pPr>
      <w:r>
        <w:rPr>
          <w:rFonts w:asciiTheme="majorHAnsi" w:hAnsiTheme="majorHAnsi" w:cstheme="majorHAnsi"/>
        </w:rPr>
        <w:t xml:space="preserve">  </w:t>
      </w:r>
    </w:p>
    <w:p w14:paraId="15A42441" w14:textId="77777777" w:rsidR="00817FF7" w:rsidRDefault="00817FF7">
      <w:pPr>
        <w:suppressAutoHyphens w:val="0"/>
        <w:spacing w:before="0" w:after="120" w:line="440" w:lineRule="atLeast"/>
        <w:rPr>
          <w:rFonts w:asciiTheme="majorHAnsi" w:hAnsiTheme="majorHAnsi" w:cstheme="majorHAnsi"/>
        </w:rPr>
      </w:pPr>
      <w:r>
        <w:rPr>
          <w:rFonts w:asciiTheme="majorHAnsi" w:hAnsiTheme="majorHAnsi" w:cstheme="majorHAnsi"/>
        </w:rPr>
        <w:br w:type="page"/>
      </w:r>
    </w:p>
    <w:p w14:paraId="11F8C536" w14:textId="271146D3" w:rsidR="00817FF7" w:rsidRPr="00817FF7" w:rsidRDefault="00DE2F68" w:rsidP="0B990204">
      <w:pPr>
        <w:keepNext/>
        <w:keepLines/>
        <w:rPr>
          <w:rFonts w:eastAsiaTheme="minorEastAsia"/>
          <w:b/>
          <w:bCs/>
          <w:color w:val="2F5496"/>
          <w:sz w:val="32"/>
          <w:szCs w:val="32"/>
        </w:rPr>
      </w:pPr>
      <w:bookmarkStart w:id="8" w:name="_Toc441151580"/>
      <w:r w:rsidRPr="0B990204">
        <w:rPr>
          <w:rFonts w:eastAsiaTheme="minorEastAsia"/>
          <w:b/>
          <w:bCs/>
          <w:color w:val="2F5496"/>
          <w:sz w:val="32"/>
          <w:szCs w:val="32"/>
        </w:rPr>
        <w:lastRenderedPageBreak/>
        <w:t>WORKED EXAMPLE</w:t>
      </w:r>
      <w:r w:rsidR="24EA7C32" w:rsidRPr="0B990204">
        <w:rPr>
          <w:rFonts w:eastAsiaTheme="minorEastAsia"/>
          <w:b/>
          <w:bCs/>
          <w:color w:val="2F5496"/>
          <w:sz w:val="32"/>
          <w:szCs w:val="32"/>
        </w:rPr>
        <w:t>S – SOCIAL PROTECTION MEASURES</w:t>
      </w:r>
      <w:bookmarkEnd w:id="8"/>
    </w:p>
    <w:p w14:paraId="0FB25295" w14:textId="77777777" w:rsidR="00817FF7" w:rsidRPr="00817FF7" w:rsidRDefault="00817FF7" w:rsidP="55DF0B34">
      <w:pPr>
        <w:spacing w:after="240"/>
        <w:rPr>
          <w:rFonts w:eastAsiaTheme="minorEastAsia"/>
        </w:rPr>
      </w:pPr>
      <w:r w:rsidRPr="55DF0B34">
        <w:rPr>
          <w:rFonts w:eastAsiaTheme="minorEastAsia"/>
        </w:rPr>
        <w:t>Social transfer payments are usually made to households.  For the purposes of household size and sex disaggregation, it is important to use data specific to the program parameters wherever possible.</w:t>
      </w:r>
    </w:p>
    <w:p w14:paraId="4716C6D1" w14:textId="77777777" w:rsidR="00817FF7" w:rsidRPr="00817FF7" w:rsidRDefault="00817FF7" w:rsidP="0B990204">
      <w:pPr>
        <w:keepNext/>
        <w:keepLines/>
        <w:rPr>
          <w:rFonts w:eastAsiaTheme="minorEastAsia"/>
          <w:b/>
          <w:bCs/>
          <w:color w:val="2F5496"/>
          <w:sz w:val="32"/>
          <w:szCs w:val="32"/>
        </w:rPr>
      </w:pPr>
      <w:r w:rsidRPr="0B990204">
        <w:rPr>
          <w:rFonts w:eastAsiaTheme="minorEastAsia"/>
          <w:b/>
          <w:bCs/>
          <w:color w:val="2F5496"/>
          <w:sz w:val="32"/>
          <w:szCs w:val="32"/>
        </w:rPr>
        <w:t>EXAMPLE 1: COMPONENT 1: DIRECT FUNDING OF TRANSFERS, HOUSEHOLD CONVERSION</w:t>
      </w:r>
    </w:p>
    <w:p w14:paraId="4FD60B9A" w14:textId="77777777" w:rsidR="00817FF7" w:rsidRPr="00817FF7" w:rsidRDefault="00817FF7" w:rsidP="55DF0B34">
      <w:pPr>
        <w:rPr>
          <w:rFonts w:eastAsiaTheme="minorEastAsia"/>
        </w:rPr>
      </w:pPr>
      <w:r w:rsidRPr="55DF0B34">
        <w:rPr>
          <w:rFonts w:eastAsiaTheme="minorEastAsia"/>
        </w:rPr>
        <w:t>This process would be followed where the social protection program is delivered at the household not individual level, such as child grants or conditional cash transfers.</w:t>
      </w:r>
    </w:p>
    <w:p w14:paraId="6187FE51" w14:textId="77777777" w:rsidR="00817FF7" w:rsidRPr="00817FF7" w:rsidRDefault="00817FF7" w:rsidP="55DF0B34">
      <w:pPr>
        <w:rPr>
          <w:rFonts w:eastAsiaTheme="minorEastAsia"/>
          <w:b/>
          <w:bCs/>
        </w:rPr>
      </w:pPr>
      <w:r w:rsidRPr="55DF0B34">
        <w:rPr>
          <w:rFonts w:eastAsiaTheme="minorEastAsia"/>
          <w:b/>
          <w:bCs/>
        </w:rPr>
        <w:t xml:space="preserve">Step 1: identify the number of people receiving </w:t>
      </w:r>
      <w:proofErr w:type="gramStart"/>
      <w:r w:rsidRPr="55DF0B34">
        <w:rPr>
          <w:rFonts w:eastAsiaTheme="minorEastAsia"/>
          <w:b/>
          <w:bCs/>
        </w:rPr>
        <w:t>assistance</w:t>
      </w:r>
      <w:proofErr w:type="gramEnd"/>
    </w:p>
    <w:p w14:paraId="39344E6E" w14:textId="055E7ADD" w:rsidR="00817FF7" w:rsidRPr="00817FF7" w:rsidRDefault="00817FF7" w:rsidP="55DF0B34">
      <w:pPr>
        <w:rPr>
          <w:rFonts w:eastAsiaTheme="minorEastAsia"/>
        </w:rPr>
      </w:pPr>
      <w:r w:rsidRPr="55DF0B34">
        <w:rPr>
          <w:rFonts w:eastAsiaTheme="minorEastAsia"/>
        </w:rPr>
        <w:t>Number of households where DFAT funded transfers directly = 65,000</w:t>
      </w:r>
      <w:r w:rsidR="00E70992" w:rsidRPr="55DF0B34">
        <w:rPr>
          <w:rFonts w:eastAsiaTheme="minorEastAsia"/>
        </w:rPr>
        <w:t>.</w:t>
      </w:r>
    </w:p>
    <w:p w14:paraId="26B1A61B" w14:textId="3C850E53" w:rsidR="00817FF7" w:rsidRPr="00817FF7" w:rsidRDefault="00817FF7" w:rsidP="55DF0B34">
      <w:pPr>
        <w:rPr>
          <w:rFonts w:eastAsiaTheme="minorEastAsia"/>
        </w:rPr>
      </w:pPr>
      <w:r w:rsidRPr="55DF0B34">
        <w:rPr>
          <w:rFonts w:eastAsiaTheme="minorEastAsia"/>
        </w:rPr>
        <w:t>Average household size in the provinces where the program is delivered = 7 (Data source: partner government regional data; sex disaggregated data unavailable)</w:t>
      </w:r>
      <w:r w:rsidR="00E70992" w:rsidRPr="55DF0B34">
        <w:rPr>
          <w:rFonts w:eastAsiaTheme="minorEastAsia"/>
        </w:rPr>
        <w:t>.</w:t>
      </w:r>
    </w:p>
    <w:p w14:paraId="083E32FA" w14:textId="682FB61E" w:rsidR="00817FF7" w:rsidRPr="00817FF7" w:rsidRDefault="00817FF7" w:rsidP="55DF0B34">
      <w:pPr>
        <w:rPr>
          <w:rFonts w:eastAsiaTheme="minorEastAsia"/>
        </w:rPr>
      </w:pPr>
      <w:r w:rsidRPr="55DF0B34">
        <w:rPr>
          <w:rFonts w:eastAsiaTheme="minorEastAsia"/>
        </w:rPr>
        <w:t>Total number of individuals with increased access to transfers = 65,000 x 7 = 455,000</w:t>
      </w:r>
      <w:r w:rsidR="00E70992" w:rsidRPr="55DF0B34">
        <w:rPr>
          <w:rFonts w:eastAsiaTheme="minorEastAsia"/>
        </w:rPr>
        <w:t>.</w:t>
      </w:r>
    </w:p>
    <w:p w14:paraId="55365A24" w14:textId="7C3F5D48" w:rsidR="00817FF7" w:rsidRPr="00817FF7" w:rsidRDefault="00817FF7" w:rsidP="0B990204">
      <w:pPr>
        <w:keepNext/>
        <w:keepLines/>
        <w:rPr>
          <w:rFonts w:eastAsiaTheme="minorEastAsia"/>
          <w:b/>
          <w:bCs/>
          <w:color w:val="2F5496"/>
          <w:sz w:val="32"/>
          <w:szCs w:val="32"/>
        </w:rPr>
      </w:pPr>
      <w:bookmarkStart w:id="9" w:name="_Toc441151582"/>
      <w:r w:rsidRPr="0B990204">
        <w:rPr>
          <w:rFonts w:eastAsiaTheme="minorEastAsia"/>
          <w:b/>
          <w:bCs/>
          <w:color w:val="2F5496"/>
          <w:sz w:val="32"/>
          <w:szCs w:val="32"/>
        </w:rPr>
        <w:t>EXAMPLE 2: COMPONENT 2: SUPPORT FOR SYSTEM STRENGTHENING AND TA</w:t>
      </w:r>
    </w:p>
    <w:p w14:paraId="212CEF32" w14:textId="5035DF37" w:rsidR="00817FF7" w:rsidRPr="00817FF7" w:rsidRDefault="00817FF7" w:rsidP="55DF0B34">
      <w:pPr>
        <w:rPr>
          <w:rFonts w:asciiTheme="majorHAnsi" w:hAnsiTheme="majorHAnsi"/>
          <w:b/>
          <w:bCs/>
        </w:rPr>
      </w:pPr>
      <w:r w:rsidRPr="55DF0B34">
        <w:rPr>
          <w:rFonts w:asciiTheme="majorHAnsi" w:hAnsiTheme="majorHAnsi"/>
          <w:b/>
          <w:bCs/>
        </w:rPr>
        <w:t xml:space="preserve">Step 1: threshold question of whether </w:t>
      </w:r>
      <w:r w:rsidR="00D30593" w:rsidRPr="55DF0B34">
        <w:rPr>
          <w:rFonts w:asciiTheme="majorHAnsi" w:hAnsiTheme="majorHAnsi"/>
          <w:b/>
          <w:bCs/>
        </w:rPr>
        <w:t xml:space="preserve">new or </w:t>
      </w:r>
      <w:r w:rsidR="48597D8F" w:rsidRPr="55DF0B34">
        <w:rPr>
          <w:rFonts w:asciiTheme="majorHAnsi" w:hAnsiTheme="majorHAnsi"/>
          <w:b/>
          <w:bCs/>
        </w:rPr>
        <w:t>improved transfers</w:t>
      </w:r>
      <w:r w:rsidRPr="55DF0B34">
        <w:rPr>
          <w:rFonts w:asciiTheme="majorHAnsi" w:hAnsiTheme="majorHAnsi"/>
          <w:b/>
          <w:bCs/>
        </w:rPr>
        <w:t xml:space="preserve"> would have happened without DFAT support TA? </w:t>
      </w:r>
    </w:p>
    <w:p w14:paraId="53E11C04" w14:textId="77777777" w:rsidR="00817FF7" w:rsidRPr="00817FF7" w:rsidRDefault="00817FF7" w:rsidP="00817FF7">
      <w:pPr>
        <w:rPr>
          <w:rFonts w:asciiTheme="majorHAnsi" w:hAnsiTheme="majorHAnsi"/>
          <w:b/>
          <w:iCs/>
        </w:rPr>
      </w:pPr>
      <w:r w:rsidRPr="00817FF7">
        <w:rPr>
          <w:rFonts w:asciiTheme="majorHAnsi" w:hAnsiTheme="majorHAnsi"/>
          <w:b/>
          <w:iCs/>
          <w:noProof/>
        </w:rPr>
        <mc:AlternateContent>
          <mc:Choice Requires="wps">
            <w:drawing>
              <wp:anchor distT="0" distB="0" distL="114300" distR="114300" simplePos="0" relativeHeight="251661312" behindDoc="0" locked="0" layoutInCell="1" allowOverlap="1" wp14:anchorId="1A9ECD40" wp14:editId="5934D5EF">
                <wp:simplePos x="0" y="0"/>
                <wp:positionH relativeFrom="column">
                  <wp:posOffset>3384550</wp:posOffset>
                </wp:positionH>
                <wp:positionV relativeFrom="paragraph">
                  <wp:posOffset>99060</wp:posOffset>
                </wp:positionV>
                <wp:extent cx="619125" cy="419100"/>
                <wp:effectExtent l="0" t="0" r="66675" b="57150"/>
                <wp:wrapNone/>
                <wp:docPr id="2" name="Straight Arrow Connector 2"/>
                <wp:cNvGraphicFramePr/>
                <a:graphic xmlns:a="http://schemas.openxmlformats.org/drawingml/2006/main">
                  <a:graphicData uri="http://schemas.microsoft.com/office/word/2010/wordprocessingShape">
                    <wps:wsp>
                      <wps:cNvCnPr/>
                      <wps:spPr>
                        <a:xfrm>
                          <a:off x="0" y="0"/>
                          <a:ext cx="619125" cy="419100"/>
                        </a:xfrm>
                        <a:prstGeom prst="straightConnector1">
                          <a:avLst/>
                        </a:prstGeom>
                        <a:noFill/>
                        <a:ln w="6350" cap="flat" cmpd="sng" algn="ctr">
                          <a:solidFill>
                            <a:srgbClr val="65C5B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3F641C">
              <v:shapetype id="_x0000_t32" coordsize="21600,21600" o:oned="t" filled="f" o:spt="32" path="m,l21600,21600e" w14:anchorId="2B8D1AA9">
                <v:path fillok="f" arrowok="t" o:connecttype="none"/>
                <o:lock v:ext="edit" shapetype="t"/>
              </v:shapetype>
              <v:shape id="Straight Arrow Connector 2" style="position:absolute;margin-left:266.5pt;margin-top:7.8pt;width:48.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65c5b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yLyQEAAHMDAAAOAAAAZHJzL2Uyb0RvYy54bWysU02P0zAQvSPxHyzfaZKyrZao6Uq0LBcE&#10;KwE/YOo4iSV/aTw07b9n7JbuAjdEDs7Y43kz8+Z583ByVhw1JhN8J5tFLYX2KvTGj538/u3xzb0U&#10;icD3YIPXnTzrJB+2r19t5tjqZZiC7TUKBvGpnWMnJ6LYVlVSk3aQFiFqz84hoAPiLY5VjzAzurPV&#10;sq7X1RywjxiUTolP9xen3Bb8YdCKvgxD0iRsJ7k2KiuW9ZDXaruBdkSIk1HXMuAfqnBgPCe9Qe2B&#10;QPxA8xeUMwpDCgMtVHBVGAajdOmBu2nqP7r5OkHUpRcmJ8UbTen/warPx51/QqZhjqlN8QlzF6cB&#10;Xf5zfeJUyDrfyNInEooP1827ZrmSQrHrju26kFk9B0dM9FEHJ7LRyUQIZpxoF7znsQRsCmFw/JSI&#10;03Pgr4Cc2YdHY22ZjvVi5nRvVzw/BayRwQKx6WLPqH6UAuzI4lOEBTEFa/ocnXESjoedRXEEFsB6&#10;tVu9v8sz52y/Xcup95Cmy73iukjDGWJ9WuM6eV/n73JMYOwH3ws6RxY1oQE/Wn1Ftj5n1kV91+ae&#10;yc3WIfTnwnmVdzzZUtBVhVk6L/dsv3wr258AAAD//wMAUEsDBBQABgAIAAAAIQDY3HvM3AAAAAkB&#10;AAAPAAAAZHJzL2Rvd25yZXYueG1sTI9Ba4QwFITvhf6H8Aq9deNWlMUal1LoaaHgdn9A1rwaq3kR&#10;E1399309tcdhhplvyuPqBrHgFDpPCva7BARS401HrYLL5/vTAUSImowePKGCDQMcq/u7UhfG36jG&#10;5RxbwSUUCq3AxjgWUobGotNh50ck9r785HRkObXSTPrG5W6Qz0mSS6c74gWrR3yz2PTn2Smo67k5&#10;XcL30OttmUM/2tPHZpV6fFhfX0BEXONfGH7xGR0qZrr6mUwQg4IsTflLZCPLQXAgT5MMxFXBYZ+D&#10;rEr5/0H1AwAA//8DAFBLAQItABQABgAIAAAAIQC2gziS/gAAAOEBAAATAAAAAAAAAAAAAAAAAAAA&#10;AABbQ29udGVudF9UeXBlc10ueG1sUEsBAi0AFAAGAAgAAAAhADj9If/WAAAAlAEAAAsAAAAAAAAA&#10;AAAAAAAALwEAAF9yZWxzLy5yZWxzUEsBAi0AFAAGAAgAAAAhAA0QPIvJAQAAcwMAAA4AAAAAAAAA&#10;AAAAAAAALgIAAGRycy9lMm9Eb2MueG1sUEsBAi0AFAAGAAgAAAAhANjce8zcAAAACQEAAA8AAAAA&#10;AAAAAAAAAAAAIwQAAGRycy9kb3ducmV2LnhtbFBLBQYAAAAABAAEAPMAAAAsBQAAAAA=&#10;">
                <v:stroke joinstyle="miter" endarrow="block"/>
              </v:shape>
            </w:pict>
          </mc:Fallback>
        </mc:AlternateContent>
      </w:r>
      <w:r w:rsidRPr="00817FF7">
        <w:rPr>
          <w:rFonts w:asciiTheme="majorHAnsi" w:hAnsiTheme="majorHAnsi"/>
          <w:b/>
          <w:iCs/>
          <w:noProof/>
        </w:rPr>
        <mc:AlternateContent>
          <mc:Choice Requires="wps">
            <w:drawing>
              <wp:anchor distT="0" distB="0" distL="114300" distR="114300" simplePos="0" relativeHeight="251660288" behindDoc="0" locked="0" layoutInCell="1" allowOverlap="1" wp14:anchorId="5B0008D1" wp14:editId="2B5F0F58">
                <wp:simplePos x="0" y="0"/>
                <wp:positionH relativeFrom="column">
                  <wp:posOffset>1480185</wp:posOffset>
                </wp:positionH>
                <wp:positionV relativeFrom="paragraph">
                  <wp:posOffset>80010</wp:posOffset>
                </wp:positionV>
                <wp:extent cx="676275" cy="485775"/>
                <wp:effectExtent l="38100" t="0" r="28575" b="47625"/>
                <wp:wrapNone/>
                <wp:docPr id="1" name="Straight Arrow Connector 1"/>
                <wp:cNvGraphicFramePr/>
                <a:graphic xmlns:a="http://schemas.openxmlformats.org/drawingml/2006/main">
                  <a:graphicData uri="http://schemas.microsoft.com/office/word/2010/wordprocessingShape">
                    <wps:wsp>
                      <wps:cNvCnPr/>
                      <wps:spPr>
                        <a:xfrm flipH="1">
                          <a:off x="0" y="0"/>
                          <a:ext cx="676275" cy="485775"/>
                        </a:xfrm>
                        <a:prstGeom prst="straightConnector1">
                          <a:avLst/>
                        </a:prstGeom>
                        <a:noFill/>
                        <a:ln w="6350" cap="flat" cmpd="sng" algn="ctr">
                          <a:solidFill>
                            <a:srgbClr val="65C5B4"/>
                          </a:solidFill>
                          <a:prstDash val="solid"/>
                          <a:miter lim="800000"/>
                          <a:tailEnd type="triangle"/>
                        </a:ln>
                        <a:effectLst/>
                      </wps:spPr>
                      <wps:bodyPr/>
                    </wps:wsp>
                  </a:graphicData>
                </a:graphic>
              </wp:anchor>
            </w:drawing>
          </mc:Choice>
          <mc:Fallback xmlns:a="http://schemas.openxmlformats.org/drawingml/2006/main">
            <w:pict w14:anchorId="6C769386">
              <v:shape id="Straight Arrow Connector 1" style="position:absolute;margin-left:116.55pt;margin-top:6.3pt;width:53.25pt;height:38.2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65c5b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zwEAAH0DAAAOAAAAZHJzL2Uyb0RvYy54bWysU02P0zAQvSPxHyzfabJl01ZR05VoWTgg&#10;WAn4AVPHTiz5S2PTtP+esdMtC9wQOVgzHs+bmTcv24ezNewkMWrvOn63qDmTTvheu6Hj3789vtlw&#10;FhO4Hox3suMXGfnD7vWr7RRaufSjN71ERiAutlPo+JhSaKsqilFaiAsfpKOg8mghkYtD1SNMhG5N&#10;tazrVTV57AN6IWOk28Mc5LuCr5QU6YtSUSZmOk69pXJiOY/5rHZbaAeEMGpxbQP+oQsL2lHRG9QB&#10;ErAfqP+Cslqgj16lhfC28kppIcsMNM1d/cc0X0cIssxC5MRwoyn+P1jx+bR3T0g0TCG2MTxhnuKs&#10;0DJldPhIOy1zUafsXGi73GiT58QEXa7Wq+W64UxQ6H7TrMkmvGqGyXABY/ogvWXZ6HhMCHoY0947&#10;RwvyOJeA06eY5sTnhJzs/KM2puzJODZRubcNbVIAqUUZSGTa0BOqGzgDM5AMRcLSdPRG9zk740Qc&#10;jnuD7AQkhVWzb97dX9v87VkufYA4zu9KaBaJ1YmUarTt+KbO33ydQJv3rmfpEkjeCTW4wcgrsnG5&#10;siw6vA73i+ZsHX1/KexX2aMdF96ueswieumT/fKv2f0EAAD//wMAUEsDBBQABgAIAAAAIQCeI95p&#10;3AAAAAkBAAAPAAAAZHJzL2Rvd25yZXYueG1sTI/BTsMwDIbvSLxDZCRuLG0jja00nRCIB9iGNHHz&#10;mtAUGqc06VreHnOCm63/0+/P1W7xvbjYMXaBNOSrDISlJpiOWg2vx5e7DYiYkAz2gayGbxthV19f&#10;VViaMNPeXg6pFVxCsUQNLqWhlDI2znqMqzBY4uw9jB4Tr2MrzYgzl/teFlm2lh474gsOB/vkbPN5&#10;mLyGj/v8zSs/PTd7PBZudqS+ipPWtzfL4wOIZJf0B8OvPqtDzU7nMJGJotdQKJUzykGxBsGAUlse&#10;zho22xxkXcn/H9Q/AAAA//8DAFBLAQItABQABgAIAAAAIQC2gziS/gAAAOEBAAATAAAAAAAAAAAA&#10;AAAAAAAAAABbQ29udGVudF9UeXBlc10ueG1sUEsBAi0AFAAGAAgAAAAhADj9If/WAAAAlAEAAAsA&#10;AAAAAAAAAAAAAAAALwEAAF9yZWxzLy5yZWxzUEsBAi0AFAAGAAgAAAAhAIVTz//PAQAAfQMAAA4A&#10;AAAAAAAAAAAAAAAALgIAAGRycy9lMm9Eb2MueG1sUEsBAi0AFAAGAAgAAAAhAJ4j3mncAAAACQEA&#10;AA8AAAAAAAAAAAAAAAAAKQQAAGRycy9kb3ducmV2LnhtbFBLBQYAAAAABAAEAPMAAAAyBQAAAAA=&#10;" w14:anchorId="6D5984E3">
                <v:stroke joinstyle="miter" endarrow="block"/>
              </v:shape>
            </w:pict>
          </mc:Fallback>
        </mc:AlternateContent>
      </w:r>
    </w:p>
    <w:p w14:paraId="7DFCB0E6" w14:textId="77777777" w:rsidR="00817FF7" w:rsidRPr="00817FF7" w:rsidRDefault="00817FF7" w:rsidP="00817FF7">
      <w:pPr>
        <w:rPr>
          <w:rFonts w:asciiTheme="majorHAnsi" w:hAnsiTheme="majorHAnsi"/>
          <w:b/>
          <w:iCs/>
        </w:rPr>
      </w:pP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t>Yes</w:t>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t>No</w:t>
      </w:r>
    </w:p>
    <w:p w14:paraId="621B5386" w14:textId="77777777" w:rsidR="00817FF7" w:rsidRPr="00817FF7" w:rsidRDefault="00817FF7" w:rsidP="00817FF7">
      <w:pPr>
        <w:rPr>
          <w:rFonts w:asciiTheme="majorHAnsi" w:hAnsiTheme="majorHAnsi"/>
          <w:b/>
          <w:iCs/>
        </w:rPr>
      </w:pPr>
    </w:p>
    <w:p w14:paraId="4D603224" w14:textId="06148D47" w:rsidR="00817FF7" w:rsidRPr="00817FF7" w:rsidRDefault="00F64C5B" w:rsidP="00817FF7">
      <w:pPr>
        <w:rPr>
          <w:rFonts w:asciiTheme="majorHAnsi" w:hAnsiTheme="majorHAnsi"/>
          <w:b/>
          <w:iCs/>
        </w:rPr>
      </w:pPr>
      <w:r w:rsidRPr="00817FF7">
        <w:rPr>
          <w:rFonts w:asciiTheme="majorHAnsi" w:hAnsiTheme="majorHAnsi"/>
          <w:b/>
          <w:iCs/>
          <w:noProof/>
        </w:rPr>
        <mc:AlternateContent>
          <mc:Choice Requires="wps">
            <w:drawing>
              <wp:anchor distT="45720" distB="45720" distL="114300" distR="114300" simplePos="0" relativeHeight="251662336" behindDoc="1" locked="0" layoutInCell="1" allowOverlap="1" wp14:anchorId="2E6F429E" wp14:editId="1F97A96F">
                <wp:simplePos x="0" y="0"/>
                <wp:positionH relativeFrom="margin">
                  <wp:posOffset>3451860</wp:posOffset>
                </wp:positionH>
                <wp:positionV relativeFrom="paragraph">
                  <wp:posOffset>47625</wp:posOffset>
                </wp:positionV>
                <wp:extent cx="3086100" cy="2400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00300"/>
                        </a:xfrm>
                        <a:prstGeom prst="rect">
                          <a:avLst/>
                        </a:prstGeom>
                        <a:solidFill>
                          <a:srgbClr val="FFFFFF"/>
                        </a:solidFill>
                        <a:ln w="9525">
                          <a:solidFill>
                            <a:srgbClr val="000000"/>
                          </a:solidFill>
                          <a:miter lim="800000"/>
                          <a:headEnd/>
                          <a:tailEnd/>
                        </a:ln>
                      </wps:spPr>
                      <wps:txbx>
                        <w:txbxContent>
                          <w:p w14:paraId="549BF87C" w14:textId="173C5E8F" w:rsidR="00817FF7" w:rsidRPr="00E00436" w:rsidRDefault="00817FF7" w:rsidP="00817FF7">
                            <w:pPr>
                              <w:rPr>
                                <w:b/>
                                <w:bCs/>
                              </w:rPr>
                            </w:pPr>
                            <w:r>
                              <w:rPr>
                                <w:b/>
                                <w:bCs/>
                              </w:rPr>
                              <w:t xml:space="preserve">DFAT’s funding leveraged Government investment </w:t>
                            </w:r>
                            <w:r w:rsidR="00E70992">
                              <w:rPr>
                                <w:b/>
                                <w:bCs/>
                              </w:rPr>
                              <w:t>that</w:t>
                            </w:r>
                            <w:r>
                              <w:rPr>
                                <w:b/>
                                <w:bCs/>
                              </w:rPr>
                              <w:t xml:space="preserve"> would not have happened without DFAT’s engagement</w:t>
                            </w:r>
                            <w:r w:rsidR="00E70992">
                              <w:rPr>
                                <w:b/>
                                <w:bCs/>
                              </w:rPr>
                              <w:t>.</w:t>
                            </w:r>
                            <w:r>
                              <w:rPr>
                                <w:b/>
                                <w:bCs/>
                              </w:rPr>
                              <w:t xml:space="preserve"> DFAT </w:t>
                            </w:r>
                            <w:r w:rsidR="00E70992">
                              <w:rPr>
                                <w:b/>
                                <w:bCs/>
                              </w:rPr>
                              <w:t xml:space="preserve">can claim attribution </w:t>
                            </w:r>
                            <w:r>
                              <w:rPr>
                                <w:b/>
                                <w:bCs/>
                              </w:rPr>
                              <w:t>for all beneficiaries having access to transfers or improved programs.</w:t>
                            </w:r>
                          </w:p>
                          <w:p w14:paraId="7E9895B8" w14:textId="77777777" w:rsidR="00817FF7" w:rsidRDefault="00817FF7" w:rsidP="00817FF7">
                            <w:r>
                              <w:t>Number of beneficiaries in total program = 292,500</w:t>
                            </w:r>
                          </w:p>
                          <w:p w14:paraId="3EB4AA88" w14:textId="77777777" w:rsidR="00817FF7" w:rsidRDefault="00817FF7" w:rsidP="00817FF7">
                            <w:r>
                              <w:t>Number of beneficiaries supported by DFAT = 292,500</w:t>
                            </w:r>
                          </w:p>
                          <w:p w14:paraId="33FEF275" w14:textId="77777777" w:rsidR="00817FF7" w:rsidRDefault="00817FF7" w:rsidP="00817FF7">
                            <w:pPr>
                              <w:rPr>
                                <w:b/>
                                <w:bCs/>
                              </w:rPr>
                            </w:pPr>
                          </w:p>
                          <w:p w14:paraId="56A83E2E" w14:textId="77777777" w:rsidR="00817FF7" w:rsidRDefault="00817FF7" w:rsidP="00817FF7"/>
                          <w:p w14:paraId="0F665616" w14:textId="77777777" w:rsidR="00817FF7" w:rsidRDefault="00817FF7" w:rsidP="00817FF7"/>
                          <w:p w14:paraId="640148A1" w14:textId="77777777" w:rsidR="00817FF7" w:rsidRDefault="00817FF7" w:rsidP="00817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F429E" id="_x0000_t202" coordsize="21600,21600" o:spt="202" path="m,l,21600r21600,l21600,xe">
                <v:stroke joinstyle="miter"/>
                <v:path gradientshapeok="t" o:connecttype="rect"/>
              </v:shapetype>
              <v:shape id="Text Box 2" o:spid="_x0000_s1026" type="#_x0000_t202" style="position:absolute;margin-left:271.8pt;margin-top:3.75pt;width:243pt;height:18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ADgIAACA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vryc5mSSZJvN8/yClBhDFE/fHfrwTkHLolBypK4meHG882FwfXKJ0TwYXW21MUnB/W5j&#10;kB0FTcA2nRH9JzdjWVfyq8VsMTDwV4g8nT9BtDrQKBvdlnx5chJF5O2trdKgBaHNIFN1xo5ERu4G&#10;FkO/68kxErqD6oEoRRhGllaMhAbwB2cdjWvJ/feDQMWZeW+pLVfT+TzOd1Lmi9czUvDcsju3CCsJ&#10;quSBs0HchLQTkTALN9S+WidinzMZc6UxTK0ZVybO+bmevJ4Xe/0IAAD//wMAUEsDBBQABgAIAAAA&#10;IQAVXXJN4AAAAAoBAAAPAAAAZHJzL2Rvd25yZXYueG1sTI/BTsMwEETvSPyDtUhcEHVomjQNcSqE&#10;BIIbtBVc3XibRNjrYLtp+HvcExxnZzTztlpPRrMRne8tCbibJcCQGqt6agXstk+3BTAfJCmpLaGA&#10;H/Swri8vKlkqe6J3HDehZbGEfCkFdCEMJee+6dBIP7MDUvQO1hkZonQtV06eYrnRfJ4kOTeyp7jQ&#10;yQEfO2y+NkcjoFi8jJ/+NX37aPKDXoWb5fj87YS4vpoe7oEFnMJfGM74ER3qyLS3R1KeaQHZIs1j&#10;VMAyA3b2k/kqHvYC0iLLgNcV//9C/QsAAP//AwBQSwECLQAUAAYACAAAACEAtoM4kv4AAADhAQAA&#10;EwAAAAAAAAAAAAAAAAAAAAAAW0NvbnRlbnRfVHlwZXNdLnhtbFBLAQItABQABgAIAAAAIQA4/SH/&#10;1gAAAJQBAAALAAAAAAAAAAAAAAAAAC8BAABfcmVscy8ucmVsc1BLAQItABQABgAIAAAAIQDqd/WA&#10;DgIAACAEAAAOAAAAAAAAAAAAAAAAAC4CAABkcnMvZTJvRG9jLnhtbFBLAQItABQABgAIAAAAIQAV&#10;XXJN4AAAAAoBAAAPAAAAAAAAAAAAAAAAAGgEAABkcnMvZG93bnJldi54bWxQSwUGAAAAAAQABADz&#10;AAAAdQUAAAAA&#10;">
                <v:textbox>
                  <w:txbxContent>
                    <w:p w14:paraId="549BF87C" w14:textId="173C5E8F" w:rsidR="00817FF7" w:rsidRPr="00E00436" w:rsidRDefault="00817FF7" w:rsidP="00817FF7">
                      <w:pPr>
                        <w:rPr>
                          <w:b/>
                          <w:bCs/>
                        </w:rPr>
                      </w:pPr>
                      <w:r>
                        <w:rPr>
                          <w:b/>
                          <w:bCs/>
                        </w:rPr>
                        <w:t xml:space="preserve">DFAT’s funding leveraged Government investment </w:t>
                      </w:r>
                      <w:r w:rsidR="00E70992">
                        <w:rPr>
                          <w:b/>
                          <w:bCs/>
                        </w:rPr>
                        <w:t>that</w:t>
                      </w:r>
                      <w:r>
                        <w:rPr>
                          <w:b/>
                          <w:bCs/>
                        </w:rPr>
                        <w:t xml:space="preserve"> would not have happened without DFAT’s engagement</w:t>
                      </w:r>
                      <w:r w:rsidR="00E70992">
                        <w:rPr>
                          <w:b/>
                          <w:bCs/>
                        </w:rPr>
                        <w:t>.</w:t>
                      </w:r>
                      <w:r>
                        <w:rPr>
                          <w:b/>
                          <w:bCs/>
                        </w:rPr>
                        <w:t xml:space="preserve"> DFAT </w:t>
                      </w:r>
                      <w:r w:rsidR="00E70992">
                        <w:rPr>
                          <w:b/>
                          <w:bCs/>
                        </w:rPr>
                        <w:t xml:space="preserve">can claim attribution </w:t>
                      </w:r>
                      <w:r>
                        <w:rPr>
                          <w:b/>
                          <w:bCs/>
                        </w:rPr>
                        <w:t>for all beneficiaries having access to transfers or improved programs.</w:t>
                      </w:r>
                    </w:p>
                    <w:p w14:paraId="7E9895B8" w14:textId="77777777" w:rsidR="00817FF7" w:rsidRDefault="00817FF7" w:rsidP="00817FF7">
                      <w:r>
                        <w:t>Number of beneficiaries in total program = 292,500</w:t>
                      </w:r>
                    </w:p>
                    <w:p w14:paraId="3EB4AA88" w14:textId="77777777" w:rsidR="00817FF7" w:rsidRDefault="00817FF7" w:rsidP="00817FF7">
                      <w:r>
                        <w:t>Number of beneficiaries supported by DFAT = 292,500</w:t>
                      </w:r>
                    </w:p>
                    <w:p w14:paraId="33FEF275" w14:textId="77777777" w:rsidR="00817FF7" w:rsidRDefault="00817FF7" w:rsidP="00817FF7">
                      <w:pPr>
                        <w:rPr>
                          <w:b/>
                          <w:bCs/>
                        </w:rPr>
                      </w:pPr>
                    </w:p>
                    <w:p w14:paraId="56A83E2E" w14:textId="77777777" w:rsidR="00817FF7" w:rsidRDefault="00817FF7" w:rsidP="00817FF7"/>
                    <w:p w14:paraId="0F665616" w14:textId="77777777" w:rsidR="00817FF7" w:rsidRDefault="00817FF7" w:rsidP="00817FF7"/>
                    <w:p w14:paraId="640148A1" w14:textId="77777777" w:rsidR="00817FF7" w:rsidRDefault="00817FF7" w:rsidP="00817FF7"/>
                  </w:txbxContent>
                </v:textbox>
                <w10:wrap anchorx="margin"/>
              </v:shape>
            </w:pict>
          </mc:Fallback>
        </mc:AlternateContent>
      </w:r>
      <w:r w:rsidR="00817FF7" w:rsidRPr="00817FF7">
        <w:rPr>
          <w:rFonts w:asciiTheme="majorHAnsi" w:hAnsiTheme="majorHAnsi"/>
          <w:b/>
          <w:iCs/>
          <w:noProof/>
        </w:rPr>
        <mc:AlternateContent>
          <mc:Choice Requires="wps">
            <w:drawing>
              <wp:anchor distT="45720" distB="45720" distL="114300" distR="114300" simplePos="0" relativeHeight="251659264" behindDoc="1" locked="0" layoutInCell="1" allowOverlap="1" wp14:anchorId="78DC7F81" wp14:editId="00761682">
                <wp:simplePos x="0" y="0"/>
                <wp:positionH relativeFrom="margin">
                  <wp:align>left</wp:align>
                </wp:positionH>
                <wp:positionV relativeFrom="paragraph">
                  <wp:posOffset>44450</wp:posOffset>
                </wp:positionV>
                <wp:extent cx="3086100" cy="24193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19350"/>
                        </a:xfrm>
                        <a:prstGeom prst="rect">
                          <a:avLst/>
                        </a:prstGeom>
                        <a:solidFill>
                          <a:srgbClr val="FFFFFF"/>
                        </a:solidFill>
                        <a:ln w="9525">
                          <a:solidFill>
                            <a:srgbClr val="000000"/>
                          </a:solidFill>
                          <a:miter lim="800000"/>
                          <a:headEnd/>
                          <a:tailEnd/>
                        </a:ln>
                      </wps:spPr>
                      <wps:txbx>
                        <w:txbxContent>
                          <w:p w14:paraId="68F7249B" w14:textId="77777777" w:rsidR="00817FF7" w:rsidRDefault="00817FF7" w:rsidP="00817FF7">
                            <w:pPr>
                              <w:rPr>
                                <w:b/>
                                <w:bCs/>
                              </w:rPr>
                            </w:pPr>
                            <w:r>
                              <w:rPr>
                                <w:b/>
                                <w:bCs/>
                              </w:rPr>
                              <w:t>DFAT’s support is an add-on to what the Government implemented. Calculate DFAT’s share.</w:t>
                            </w:r>
                          </w:p>
                          <w:p w14:paraId="6C444451" w14:textId="77777777" w:rsidR="00817FF7" w:rsidRDefault="00817FF7" w:rsidP="00817FF7">
                            <w:r>
                              <w:t>Australia’s contribution = AUD100,000</w:t>
                            </w:r>
                          </w:p>
                          <w:p w14:paraId="11FDDADA" w14:textId="77777777" w:rsidR="00817FF7" w:rsidRDefault="00817FF7" w:rsidP="00817FF7">
                            <w:r>
                              <w:t>Total program funding (Government’s data on overall transfer costs) = AUD1 million</w:t>
                            </w:r>
                          </w:p>
                          <w:p w14:paraId="52C1A7C0" w14:textId="77777777" w:rsidR="00817FF7" w:rsidRDefault="00817FF7" w:rsidP="00817FF7">
                            <w:r>
                              <w:t>Australia’s share of funding = 10%</w:t>
                            </w:r>
                          </w:p>
                          <w:p w14:paraId="6A4D4052" w14:textId="77777777" w:rsidR="00817FF7" w:rsidRDefault="00817FF7" w:rsidP="00817FF7">
                            <w:r>
                              <w:t>Number of beneficiaries in total program = 292,500</w:t>
                            </w:r>
                          </w:p>
                          <w:p w14:paraId="30A9863F" w14:textId="77777777" w:rsidR="00817FF7" w:rsidRDefault="00817FF7" w:rsidP="00817FF7">
                            <w:r>
                              <w:t>Number of beneficiaries supported by DFAT = 10% of 292,500</w:t>
                            </w:r>
                          </w:p>
                          <w:p w14:paraId="728FED69" w14:textId="77777777" w:rsidR="00817FF7" w:rsidRDefault="00817FF7" w:rsidP="00817FF7">
                            <w:r>
                              <w:t>= 29,250</w:t>
                            </w:r>
                          </w:p>
                          <w:p w14:paraId="1693BCC6" w14:textId="77777777" w:rsidR="00817FF7" w:rsidRDefault="00817FF7" w:rsidP="00817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C7F81" id="_x0000_s1027" type="#_x0000_t202" style="position:absolute;margin-left:0;margin-top:3.5pt;width:243pt;height:190.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hOFAIAACc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q3R5naXo4ujL59nqahHLkrDi6bqxzn8Q0JGwKKnFqkZ5drx3PoTDiqcj4TUHStY7qVQ0&#10;7L7aKkuODDtgF0fM4MUxpUlf0tUiX4wE/iqRxvEniU56bGUlu5Iuz4dYEbi913VsNM+kGtcYstIT&#10;yMBupOiHaiCynigHrhXUJyRrYexc/Gm4aMH+oqTHri2p+3lgVlCiPmqsziqbz0ObR2O+eJujYS89&#10;1aWHaY5SJfWUjMutj18jcNNwi1VsZOT7HMkUMnZjxD79nNDul3Y89fy/N48AAAD//wMAUEsDBBQA&#10;BgAIAAAAIQAxQOFY3QAAAAYBAAAPAAAAZHJzL2Rvd25yZXYueG1sTI9BT8MwDIXvSPyHyEhcEEth&#10;UxdK3QkhgeA2xjSuWZu1FYlTkqwr/x5zgpOf9az3PperyVkxmhB7Twg3swyEodo3PbUI2/enawUi&#10;Jk2Ntp4MwreJsKrOz0pdNP5Eb2bcpFZwCMVCI3QpDYWUse6M03HmB0PsHXxwOvEaWtkEfeJwZ+Vt&#10;luXS6Z64odODeexM/bk5OgS1eBk/4ut8vavzg71LV8vx+SsgXl5MD/cgkpnS3zH84jM6VMy090dq&#10;orAI/EhCWPJgc6FyFnuEuVIZyKqU//GrHwAAAP//AwBQSwECLQAUAAYACAAAACEAtoM4kv4AAADh&#10;AQAAEwAAAAAAAAAAAAAAAAAAAAAAW0NvbnRlbnRfVHlwZXNdLnhtbFBLAQItABQABgAIAAAAIQA4&#10;/SH/1gAAAJQBAAALAAAAAAAAAAAAAAAAAC8BAABfcmVscy8ucmVsc1BLAQItABQABgAIAAAAIQCH&#10;I7hOFAIAACcEAAAOAAAAAAAAAAAAAAAAAC4CAABkcnMvZTJvRG9jLnhtbFBLAQItABQABgAIAAAA&#10;IQAxQOFY3QAAAAYBAAAPAAAAAAAAAAAAAAAAAG4EAABkcnMvZG93bnJldi54bWxQSwUGAAAAAAQA&#10;BADzAAAAeAUAAAAA&#10;">
                <v:textbox>
                  <w:txbxContent>
                    <w:p w14:paraId="68F7249B" w14:textId="77777777" w:rsidR="00817FF7" w:rsidRDefault="00817FF7" w:rsidP="00817FF7">
                      <w:pPr>
                        <w:rPr>
                          <w:b/>
                          <w:bCs/>
                        </w:rPr>
                      </w:pPr>
                      <w:r>
                        <w:rPr>
                          <w:b/>
                          <w:bCs/>
                        </w:rPr>
                        <w:t>DFAT’s support is an add-on to what the Government implemented. Calculate DFAT’s share.</w:t>
                      </w:r>
                    </w:p>
                    <w:p w14:paraId="6C444451" w14:textId="77777777" w:rsidR="00817FF7" w:rsidRDefault="00817FF7" w:rsidP="00817FF7">
                      <w:r>
                        <w:t>Australia’s contribution = AUD100,000</w:t>
                      </w:r>
                    </w:p>
                    <w:p w14:paraId="11FDDADA" w14:textId="77777777" w:rsidR="00817FF7" w:rsidRDefault="00817FF7" w:rsidP="00817FF7">
                      <w:r>
                        <w:t>Total program funding (Government’s data on overall transfer costs) = AUD1 million</w:t>
                      </w:r>
                    </w:p>
                    <w:p w14:paraId="52C1A7C0" w14:textId="77777777" w:rsidR="00817FF7" w:rsidRDefault="00817FF7" w:rsidP="00817FF7">
                      <w:r>
                        <w:t>Australia’s share of funding = 10%</w:t>
                      </w:r>
                    </w:p>
                    <w:p w14:paraId="6A4D4052" w14:textId="77777777" w:rsidR="00817FF7" w:rsidRDefault="00817FF7" w:rsidP="00817FF7">
                      <w:r>
                        <w:t>Number of beneficiaries in total program = 292,500</w:t>
                      </w:r>
                    </w:p>
                    <w:p w14:paraId="30A9863F" w14:textId="77777777" w:rsidR="00817FF7" w:rsidRDefault="00817FF7" w:rsidP="00817FF7">
                      <w:r>
                        <w:t>Number of beneficiaries supported by DFAT = 10% of 292,500</w:t>
                      </w:r>
                    </w:p>
                    <w:p w14:paraId="728FED69" w14:textId="77777777" w:rsidR="00817FF7" w:rsidRDefault="00817FF7" w:rsidP="00817FF7">
                      <w:r>
                        <w:t>= 29,250</w:t>
                      </w:r>
                    </w:p>
                    <w:p w14:paraId="1693BCC6" w14:textId="77777777" w:rsidR="00817FF7" w:rsidRDefault="00817FF7" w:rsidP="00817FF7"/>
                  </w:txbxContent>
                </v:textbox>
                <w10:wrap anchorx="margin"/>
              </v:shape>
            </w:pict>
          </mc:Fallback>
        </mc:AlternateContent>
      </w:r>
    </w:p>
    <w:p w14:paraId="7E706F95" w14:textId="77777777" w:rsidR="00817FF7" w:rsidRPr="00817FF7" w:rsidRDefault="00817FF7" w:rsidP="00817FF7">
      <w:pPr>
        <w:rPr>
          <w:rFonts w:asciiTheme="majorHAnsi" w:hAnsiTheme="majorHAnsi"/>
        </w:rPr>
      </w:pPr>
    </w:p>
    <w:p w14:paraId="3A75A589" w14:textId="77777777" w:rsidR="00817FF7" w:rsidRPr="00817FF7" w:rsidRDefault="00817FF7" w:rsidP="00817FF7">
      <w:pPr>
        <w:rPr>
          <w:rFonts w:asciiTheme="majorHAnsi" w:hAnsiTheme="majorHAnsi"/>
        </w:rPr>
      </w:pPr>
    </w:p>
    <w:p w14:paraId="4E5C3CBB" w14:textId="77777777" w:rsidR="00817FF7" w:rsidRPr="00817FF7" w:rsidRDefault="00817FF7" w:rsidP="00817FF7">
      <w:pPr>
        <w:rPr>
          <w:rFonts w:asciiTheme="majorHAnsi" w:hAnsiTheme="majorHAnsi"/>
        </w:rPr>
      </w:pPr>
    </w:p>
    <w:p w14:paraId="4392A21B" w14:textId="77777777" w:rsidR="00817FF7" w:rsidRPr="00817FF7" w:rsidRDefault="00817FF7" w:rsidP="00817FF7">
      <w:pPr>
        <w:rPr>
          <w:rFonts w:asciiTheme="majorHAnsi" w:hAnsiTheme="majorHAnsi"/>
        </w:rPr>
      </w:pPr>
    </w:p>
    <w:p w14:paraId="6B61CD48" w14:textId="77777777" w:rsidR="00817FF7" w:rsidRPr="00817FF7" w:rsidRDefault="00817FF7" w:rsidP="00817FF7">
      <w:pPr>
        <w:rPr>
          <w:rFonts w:asciiTheme="majorHAnsi" w:hAnsiTheme="majorHAnsi"/>
        </w:rPr>
      </w:pPr>
    </w:p>
    <w:p w14:paraId="220D3D71" w14:textId="77777777" w:rsidR="00817FF7" w:rsidRPr="00817FF7" w:rsidRDefault="00817FF7" w:rsidP="00817FF7"/>
    <w:p w14:paraId="70FADC4F" w14:textId="77777777" w:rsidR="00817FF7" w:rsidRPr="00817FF7" w:rsidRDefault="00817FF7" w:rsidP="00817FF7"/>
    <w:p w14:paraId="62E2AEBE" w14:textId="77777777" w:rsidR="00817FF7" w:rsidRPr="00817FF7" w:rsidRDefault="00817FF7" w:rsidP="00817FF7"/>
    <w:p w14:paraId="2D56AC88" w14:textId="77777777" w:rsidR="00817FF7" w:rsidRPr="00817FF7" w:rsidRDefault="00817FF7" w:rsidP="00817FF7"/>
    <w:p w14:paraId="71259A65" w14:textId="77777777" w:rsidR="00817FF7" w:rsidRPr="00817FF7" w:rsidRDefault="00817FF7" w:rsidP="00817FF7"/>
    <w:p w14:paraId="3CE4D683" w14:textId="77777777" w:rsidR="00DE2F68" w:rsidRDefault="00DE2F68">
      <w:pPr>
        <w:suppressAutoHyphens w:val="0"/>
        <w:spacing w:before="0" w:after="120" w:line="440" w:lineRule="atLeast"/>
        <w:rPr>
          <w:rFonts w:asciiTheme="majorHAnsi" w:eastAsiaTheme="majorEastAsia" w:hAnsiTheme="majorHAnsi" w:cstheme="majorBidi"/>
          <w:b/>
          <w:caps/>
          <w:color w:val="002060"/>
          <w:sz w:val="32"/>
          <w:szCs w:val="32"/>
        </w:rPr>
      </w:pPr>
      <w:r>
        <w:rPr>
          <w:rFonts w:asciiTheme="majorHAnsi" w:eastAsiaTheme="majorEastAsia" w:hAnsiTheme="majorHAnsi" w:cstheme="majorBidi"/>
          <w:b/>
          <w:caps/>
          <w:color w:val="002060"/>
          <w:sz w:val="32"/>
          <w:szCs w:val="32"/>
        </w:rPr>
        <w:br w:type="page"/>
      </w:r>
    </w:p>
    <w:p w14:paraId="129BC6F6" w14:textId="778177FB" w:rsidR="00817FF7" w:rsidRPr="00817FF7" w:rsidRDefault="00817FF7" w:rsidP="0B990204">
      <w:pPr>
        <w:keepNext/>
        <w:keepLines/>
        <w:rPr>
          <w:rFonts w:eastAsiaTheme="minorEastAsia"/>
          <w:b/>
          <w:bCs/>
          <w:color w:val="2F5496"/>
          <w:sz w:val="32"/>
          <w:szCs w:val="32"/>
        </w:rPr>
      </w:pPr>
      <w:r w:rsidRPr="0B990204">
        <w:rPr>
          <w:rFonts w:eastAsiaTheme="minorEastAsia"/>
          <w:b/>
          <w:bCs/>
          <w:color w:val="2F5496"/>
          <w:sz w:val="32"/>
          <w:szCs w:val="32"/>
        </w:rPr>
        <w:lastRenderedPageBreak/>
        <w:t>EXAMPLE 3: COMPONENT 2: SUPPORT FOR SYSTEM STRENGTHENING WHERE DFAT WORKED WITH OTHER PARTNERS</w:t>
      </w:r>
    </w:p>
    <w:p w14:paraId="7D2C8F8C" w14:textId="383F2047" w:rsidR="00817FF7" w:rsidRPr="00817FF7" w:rsidRDefault="00817FF7" w:rsidP="55DF0B34">
      <w:pPr>
        <w:rPr>
          <w:rFonts w:eastAsiaTheme="minorEastAsia"/>
          <w:b/>
          <w:bCs/>
        </w:rPr>
      </w:pPr>
      <w:r w:rsidRPr="55DF0B34">
        <w:rPr>
          <w:rFonts w:eastAsiaTheme="minorEastAsia"/>
          <w:b/>
          <w:bCs/>
        </w:rPr>
        <w:t xml:space="preserve">Step 1: threshold question of whether </w:t>
      </w:r>
      <w:r w:rsidR="00D30593" w:rsidRPr="55DF0B34">
        <w:rPr>
          <w:rFonts w:eastAsiaTheme="minorEastAsia"/>
          <w:b/>
          <w:bCs/>
        </w:rPr>
        <w:t xml:space="preserve">new or </w:t>
      </w:r>
      <w:r w:rsidR="1B62F582" w:rsidRPr="55DF0B34">
        <w:rPr>
          <w:rFonts w:eastAsiaTheme="minorEastAsia"/>
          <w:b/>
          <w:bCs/>
        </w:rPr>
        <w:t>improved transfers</w:t>
      </w:r>
      <w:r w:rsidRPr="55DF0B34">
        <w:rPr>
          <w:rFonts w:eastAsiaTheme="minorEastAsia"/>
          <w:b/>
          <w:bCs/>
        </w:rPr>
        <w:t xml:space="preserve"> would have happened without DFAT and other partners’ support? </w:t>
      </w:r>
    </w:p>
    <w:p w14:paraId="318BF94D" w14:textId="77777777" w:rsidR="00817FF7" w:rsidRPr="00817FF7" w:rsidRDefault="00817FF7" w:rsidP="00817FF7">
      <w:pPr>
        <w:rPr>
          <w:rFonts w:asciiTheme="majorHAnsi" w:hAnsiTheme="majorHAnsi"/>
          <w:b/>
          <w:iCs/>
        </w:rPr>
      </w:pPr>
      <w:r w:rsidRPr="00817FF7">
        <w:rPr>
          <w:rFonts w:asciiTheme="majorHAnsi" w:hAnsiTheme="majorHAnsi"/>
          <w:b/>
          <w:iCs/>
          <w:noProof/>
        </w:rPr>
        <mc:AlternateContent>
          <mc:Choice Requires="wps">
            <w:drawing>
              <wp:anchor distT="0" distB="0" distL="114300" distR="114300" simplePos="0" relativeHeight="251665408" behindDoc="0" locked="0" layoutInCell="1" allowOverlap="1" wp14:anchorId="371899C3" wp14:editId="45CF8DC1">
                <wp:simplePos x="0" y="0"/>
                <wp:positionH relativeFrom="column">
                  <wp:posOffset>3384550</wp:posOffset>
                </wp:positionH>
                <wp:positionV relativeFrom="paragraph">
                  <wp:posOffset>99060</wp:posOffset>
                </wp:positionV>
                <wp:extent cx="619125" cy="41910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619125" cy="419100"/>
                        </a:xfrm>
                        <a:prstGeom prst="straightConnector1">
                          <a:avLst/>
                        </a:prstGeom>
                        <a:noFill/>
                        <a:ln w="6350" cap="flat" cmpd="sng" algn="ctr">
                          <a:solidFill>
                            <a:srgbClr val="65C5B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0191BA">
              <v:shape id="Straight Arrow Connector 3" style="position:absolute;margin-left:266.5pt;margin-top:7.8pt;width:48.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65c5b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yLyQEAAHMDAAAOAAAAZHJzL2Uyb0RvYy54bWysU02P0zAQvSPxHyzfaZKyrZao6Uq0LBcE&#10;KwE/YOo4iSV/aTw07b9n7JbuAjdEDs7Y43kz8+Z583ByVhw1JhN8J5tFLYX2KvTGj538/u3xzb0U&#10;icD3YIPXnTzrJB+2r19t5tjqZZiC7TUKBvGpnWMnJ6LYVlVSk3aQFiFqz84hoAPiLY5VjzAzurPV&#10;sq7X1RywjxiUTolP9xen3Bb8YdCKvgxD0iRsJ7k2KiuW9ZDXaruBdkSIk1HXMuAfqnBgPCe9Qe2B&#10;QPxA8xeUMwpDCgMtVHBVGAajdOmBu2nqP7r5OkHUpRcmJ8UbTen/warPx51/QqZhjqlN8QlzF6cB&#10;Xf5zfeJUyDrfyNInEooP1827ZrmSQrHrju26kFk9B0dM9FEHJ7LRyUQIZpxoF7znsQRsCmFw/JSI&#10;03Pgr4Cc2YdHY22ZjvVi5nRvVzw/BayRwQKx6WLPqH6UAuzI4lOEBTEFa/ocnXESjoedRXEEFsB6&#10;tVu9v8sz52y/Xcup95Cmy73iukjDGWJ9WuM6eV/n73JMYOwH3ws6RxY1oQE/Wn1Ftj5n1kV91+ae&#10;yc3WIfTnwnmVdzzZUtBVhVk6L/dsv3wr258AAAD//wMAUEsDBBQABgAIAAAAIQDY3HvM3AAAAAkB&#10;AAAPAAAAZHJzL2Rvd25yZXYueG1sTI9Ba4QwFITvhf6H8Aq9deNWlMUal1LoaaHgdn9A1rwaq3kR&#10;E1399309tcdhhplvyuPqBrHgFDpPCva7BARS401HrYLL5/vTAUSImowePKGCDQMcq/u7UhfG36jG&#10;5RxbwSUUCq3AxjgWUobGotNh50ck9r785HRkObXSTPrG5W6Qz0mSS6c74gWrR3yz2PTn2Smo67k5&#10;XcL30OttmUM/2tPHZpV6fFhfX0BEXONfGH7xGR0qZrr6mUwQg4IsTflLZCPLQXAgT5MMxFXBYZ+D&#10;rEr5/0H1AwAA//8DAFBLAQItABQABgAIAAAAIQC2gziS/gAAAOEBAAATAAAAAAAAAAAAAAAAAAAA&#10;AABbQ29udGVudF9UeXBlc10ueG1sUEsBAi0AFAAGAAgAAAAhADj9If/WAAAAlAEAAAsAAAAAAAAA&#10;AAAAAAAALwEAAF9yZWxzLy5yZWxzUEsBAi0AFAAGAAgAAAAhAA0QPIvJAQAAcwMAAA4AAAAAAAAA&#10;AAAAAAAALgIAAGRycy9lMm9Eb2MueG1sUEsBAi0AFAAGAAgAAAAhANjce8zcAAAACQEAAA8AAAAA&#10;AAAAAAAAAAAAIwQAAGRycy9kb3ducmV2LnhtbFBLBQYAAAAABAAEAPMAAAAsBQAAAAA=&#10;" w14:anchorId="6D826E11">
                <v:stroke joinstyle="miter" endarrow="block"/>
              </v:shape>
            </w:pict>
          </mc:Fallback>
        </mc:AlternateContent>
      </w:r>
      <w:r w:rsidRPr="00817FF7">
        <w:rPr>
          <w:rFonts w:asciiTheme="majorHAnsi" w:hAnsiTheme="majorHAnsi"/>
          <w:b/>
          <w:iCs/>
          <w:noProof/>
        </w:rPr>
        <mc:AlternateContent>
          <mc:Choice Requires="wps">
            <w:drawing>
              <wp:anchor distT="0" distB="0" distL="114300" distR="114300" simplePos="0" relativeHeight="251664384" behindDoc="0" locked="0" layoutInCell="1" allowOverlap="1" wp14:anchorId="467DFCA1" wp14:editId="6A518C52">
                <wp:simplePos x="0" y="0"/>
                <wp:positionH relativeFrom="column">
                  <wp:posOffset>1480185</wp:posOffset>
                </wp:positionH>
                <wp:positionV relativeFrom="paragraph">
                  <wp:posOffset>80010</wp:posOffset>
                </wp:positionV>
                <wp:extent cx="676275" cy="485775"/>
                <wp:effectExtent l="38100" t="0" r="28575" b="47625"/>
                <wp:wrapNone/>
                <wp:docPr id="4" name="Straight Arrow Connector 4"/>
                <wp:cNvGraphicFramePr/>
                <a:graphic xmlns:a="http://schemas.openxmlformats.org/drawingml/2006/main">
                  <a:graphicData uri="http://schemas.microsoft.com/office/word/2010/wordprocessingShape">
                    <wps:wsp>
                      <wps:cNvCnPr/>
                      <wps:spPr>
                        <a:xfrm flipH="1">
                          <a:off x="0" y="0"/>
                          <a:ext cx="676275" cy="485775"/>
                        </a:xfrm>
                        <a:prstGeom prst="straightConnector1">
                          <a:avLst/>
                        </a:prstGeom>
                        <a:noFill/>
                        <a:ln w="6350" cap="flat" cmpd="sng" algn="ctr">
                          <a:solidFill>
                            <a:srgbClr val="65C5B4"/>
                          </a:solidFill>
                          <a:prstDash val="solid"/>
                          <a:miter lim="800000"/>
                          <a:tailEnd type="triangle"/>
                        </a:ln>
                        <a:effectLst/>
                      </wps:spPr>
                      <wps:bodyPr/>
                    </wps:wsp>
                  </a:graphicData>
                </a:graphic>
              </wp:anchor>
            </w:drawing>
          </mc:Choice>
          <mc:Fallback xmlns:a="http://schemas.openxmlformats.org/drawingml/2006/main">
            <w:pict w14:anchorId="62AE2724">
              <v:shape id="Straight Arrow Connector 4" style="position:absolute;margin-left:116.55pt;margin-top:6.3pt;width:53.25pt;height:38.25pt;flip:x;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65c5b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zwEAAH0DAAAOAAAAZHJzL2Uyb0RvYy54bWysU02P0zAQvSPxHyzfabJl01ZR05VoWTgg&#10;WAn4AVPHTiz5S2PTtP+esdMtC9wQOVgzHs+bmTcv24ezNewkMWrvOn63qDmTTvheu6Hj3789vtlw&#10;FhO4Hox3suMXGfnD7vWr7RRaufSjN71ERiAutlPo+JhSaKsqilFaiAsfpKOg8mghkYtD1SNMhG5N&#10;tazrVTV57AN6IWOk28Mc5LuCr5QU6YtSUSZmOk69pXJiOY/5rHZbaAeEMGpxbQP+oQsL2lHRG9QB&#10;ErAfqP+Cslqgj16lhfC28kppIcsMNM1d/cc0X0cIssxC5MRwoyn+P1jx+bR3T0g0TCG2MTxhnuKs&#10;0DJldPhIOy1zUafsXGi73GiT58QEXa7Wq+W64UxQ6H7TrMkmvGqGyXABY/ogvWXZ6HhMCHoY0947&#10;RwvyOJeA06eY5sTnhJzs/KM2puzJODZRubcNbVIAqUUZSGTa0BOqGzgDM5AMRcLSdPRG9zk740Qc&#10;jnuD7AQkhVWzb97dX9v87VkufYA4zu9KaBaJ1YmUarTt+KbO33ydQJv3rmfpEkjeCTW4wcgrsnG5&#10;siw6vA73i+ZsHX1/KexX2aMdF96ueswieumT/fKv2f0EAAD//wMAUEsDBBQABgAIAAAAIQCeI95p&#10;3AAAAAkBAAAPAAAAZHJzL2Rvd25yZXYueG1sTI/BTsMwDIbvSLxDZCRuLG0jja00nRCIB9iGNHHz&#10;mtAUGqc06VreHnOCm63/0+/P1W7xvbjYMXaBNOSrDISlJpiOWg2vx5e7DYiYkAz2gayGbxthV19f&#10;VViaMNPeXg6pFVxCsUQNLqWhlDI2znqMqzBY4uw9jB4Tr2MrzYgzl/teFlm2lh474gsOB/vkbPN5&#10;mLyGj/v8zSs/PTd7PBZudqS+ipPWtzfL4wOIZJf0B8OvPqtDzU7nMJGJotdQKJUzykGxBsGAUlse&#10;zho22xxkXcn/H9Q/AAAA//8DAFBLAQItABQABgAIAAAAIQC2gziS/gAAAOEBAAATAAAAAAAAAAAA&#10;AAAAAAAAAABbQ29udGVudF9UeXBlc10ueG1sUEsBAi0AFAAGAAgAAAAhADj9If/WAAAAlAEAAAsA&#10;AAAAAAAAAAAAAAAALwEAAF9yZWxzLy5yZWxzUEsBAi0AFAAGAAgAAAAhAIVTz//PAQAAfQMAAA4A&#10;AAAAAAAAAAAAAAAALgIAAGRycy9lMm9Eb2MueG1sUEsBAi0AFAAGAAgAAAAhAJ4j3mncAAAACQEA&#10;AA8AAAAAAAAAAAAAAAAAKQQAAGRycy9kb3ducmV2LnhtbFBLBQYAAAAABAAEAPMAAAAyBQAAAAA=&#10;" w14:anchorId="66AD696E">
                <v:stroke joinstyle="miter" endarrow="block"/>
              </v:shape>
            </w:pict>
          </mc:Fallback>
        </mc:AlternateContent>
      </w:r>
    </w:p>
    <w:p w14:paraId="61E7DA29" w14:textId="77777777" w:rsidR="00817FF7" w:rsidRPr="00817FF7" w:rsidRDefault="00817FF7" w:rsidP="00817FF7">
      <w:pPr>
        <w:rPr>
          <w:rFonts w:asciiTheme="majorHAnsi" w:hAnsiTheme="majorHAnsi"/>
          <w:b/>
          <w:iCs/>
        </w:rPr>
      </w:pP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t>Yes</w:t>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r>
      <w:r w:rsidRPr="00817FF7">
        <w:rPr>
          <w:rFonts w:asciiTheme="majorHAnsi" w:hAnsiTheme="majorHAnsi"/>
          <w:b/>
          <w:iCs/>
        </w:rPr>
        <w:tab/>
        <w:t>No</w:t>
      </w:r>
    </w:p>
    <w:p w14:paraId="16A932E9" w14:textId="77777777" w:rsidR="00817FF7" w:rsidRPr="00817FF7" w:rsidRDefault="00817FF7" w:rsidP="00817FF7">
      <w:pPr>
        <w:rPr>
          <w:rFonts w:asciiTheme="majorHAnsi" w:hAnsiTheme="majorHAnsi"/>
          <w:b/>
          <w:iCs/>
        </w:rPr>
      </w:pPr>
    </w:p>
    <w:p w14:paraId="7412CA37" w14:textId="13840E6F" w:rsidR="00817FF7" w:rsidRPr="00817FF7" w:rsidRDefault="00F64C5B" w:rsidP="00817FF7">
      <w:pPr>
        <w:rPr>
          <w:rFonts w:asciiTheme="majorHAnsi" w:hAnsiTheme="majorHAnsi"/>
          <w:b/>
          <w:iCs/>
        </w:rPr>
      </w:pPr>
      <w:r w:rsidRPr="00817FF7">
        <w:rPr>
          <w:rFonts w:asciiTheme="majorHAnsi" w:hAnsiTheme="majorHAnsi"/>
          <w:b/>
          <w:iCs/>
          <w:noProof/>
        </w:rPr>
        <mc:AlternateContent>
          <mc:Choice Requires="wps">
            <w:drawing>
              <wp:anchor distT="45720" distB="45720" distL="114300" distR="114300" simplePos="0" relativeHeight="251663360" behindDoc="1" locked="0" layoutInCell="1" allowOverlap="1" wp14:anchorId="49CB8B76" wp14:editId="028A09E3">
                <wp:simplePos x="0" y="0"/>
                <wp:positionH relativeFrom="margin">
                  <wp:align>left</wp:align>
                </wp:positionH>
                <wp:positionV relativeFrom="paragraph">
                  <wp:posOffset>44450</wp:posOffset>
                </wp:positionV>
                <wp:extent cx="3086100" cy="31337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33725"/>
                        </a:xfrm>
                        <a:prstGeom prst="rect">
                          <a:avLst/>
                        </a:prstGeom>
                        <a:solidFill>
                          <a:srgbClr val="FFFFFF"/>
                        </a:solidFill>
                        <a:ln w="9525">
                          <a:solidFill>
                            <a:srgbClr val="000000"/>
                          </a:solidFill>
                          <a:miter lim="800000"/>
                          <a:headEnd/>
                          <a:tailEnd/>
                        </a:ln>
                      </wps:spPr>
                      <wps:txbx>
                        <w:txbxContent>
                          <w:p w14:paraId="7EDFF7B0" w14:textId="77777777" w:rsidR="00817FF7" w:rsidRDefault="00817FF7" w:rsidP="00817FF7">
                            <w:pPr>
                              <w:rPr>
                                <w:b/>
                                <w:bCs/>
                              </w:rPr>
                            </w:pPr>
                            <w:r>
                              <w:rPr>
                                <w:b/>
                                <w:bCs/>
                              </w:rPr>
                              <w:t>DFAT’s and partners’ support is an add-on to what the Government implemented. Calculate DFAT’s share.</w:t>
                            </w:r>
                          </w:p>
                          <w:p w14:paraId="712E1165" w14:textId="562315B7" w:rsidR="00817FF7" w:rsidRDefault="00817FF7" w:rsidP="00817FF7">
                            <w:r>
                              <w:t>Australia’s contribution = AUD100,000</w:t>
                            </w:r>
                          </w:p>
                          <w:p w14:paraId="1B04F2DC" w14:textId="7BF15CB9" w:rsidR="00F64C5B" w:rsidRDefault="00F64C5B" w:rsidP="00817FF7">
                            <w:r>
                              <w:t>World Bank Contribution = AUD900,000</w:t>
                            </w:r>
                          </w:p>
                          <w:p w14:paraId="0F5E56A4" w14:textId="77777777" w:rsidR="00817FF7" w:rsidRDefault="00817FF7" w:rsidP="00817FF7">
                            <w:r>
                              <w:t>Total program funding (Government’s data on overall transfer costs) = AUD1 million</w:t>
                            </w:r>
                          </w:p>
                          <w:p w14:paraId="312E8A4D" w14:textId="77777777" w:rsidR="00817FF7" w:rsidRDefault="00817FF7" w:rsidP="00817FF7">
                            <w:r>
                              <w:t>Australia’s share of funding = 10%</w:t>
                            </w:r>
                          </w:p>
                          <w:p w14:paraId="617C72B4" w14:textId="77777777" w:rsidR="00817FF7" w:rsidRDefault="00817FF7" w:rsidP="00817FF7">
                            <w:r>
                              <w:t>Number of beneficiaries in total program = 292,500</w:t>
                            </w:r>
                          </w:p>
                          <w:p w14:paraId="7E494F35" w14:textId="77777777" w:rsidR="00817FF7" w:rsidRDefault="00817FF7" w:rsidP="00817FF7">
                            <w:r>
                              <w:t>Number of beneficiaries supported by DFAT = 10% of 292,500</w:t>
                            </w:r>
                          </w:p>
                          <w:p w14:paraId="5D70B311" w14:textId="77777777" w:rsidR="00817FF7" w:rsidRDefault="00817FF7" w:rsidP="00817FF7">
                            <w:r>
                              <w:t>= 29,250</w:t>
                            </w:r>
                          </w:p>
                          <w:p w14:paraId="4792751B" w14:textId="77777777" w:rsidR="00817FF7" w:rsidRDefault="00817FF7" w:rsidP="00817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B8B76" id="_x0000_s1028" type="#_x0000_t202" style="position:absolute;margin-left:0;margin-top:3.5pt;width:243pt;height:246.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LkEwIAACcEAAAOAAAAZHJzL2Uyb0RvYy54bWysU9tu2zAMfR+wfxD0vtjOpU2NKEWXLsOA&#10;7gJ0+wBZlmNhsqhJSuzs60cpbppdsIdhehBIkTokD8nV7dBpcpDOKzCMFpOcEmkE1MrsGP3yeftq&#10;SYkP3NRcg5GMHqWnt+uXL1a9LeUUWtC1dARBjC97y2gbgi2zzItWdtxPwEqDxgZcxwOqbpfVjveI&#10;3ulsmudXWQ+utg6E9B5f709Guk74TSNF+Ng0XgaiGcXcQrpduqt4Z+sVL3eO21aJMQ3+D1l0XBkM&#10;eoa654GTvVO/QXVKOPDQhImALoOmUUKmGrCaIv+lmseWW5lqQXK8PdPk/x+s+HB4tJ8cCcNrGLCB&#10;qQhvH0B89cTApuVmJ++cg76VvMbARaQs660vx6+Ral/6CFL176HGJvN9gAQ0NK6LrGCdBNGxAccz&#10;6XIIRODjLF9eFTmaBNpmxWx2PV2kGLx8+m6dD28ldCQKjDrsaoLnhwcfYjq8fHKJ0TxoVW+V1klx&#10;u2qjHTlwnIBtOiP6T27akJ7RmwXG/jtEns6fIDoVcJS16hhdnp14GXl7Y+o0aIErfZIxZW1GIiN3&#10;JxbDUA1E1YxOY4DIawX1EZl1cJpc3DQUWnDfKelxahn13/bcSUr0O4PduSnm8zjmSZkvrqeouEtL&#10;dWnhRiAUo4GSk7gJaTUiAwbusIuNSvw+ZzKmjNOYaB83J477pZ68nvd7/QMAAP//AwBQSwMEFAAG&#10;AAgAAAAhAM9Is6zdAAAABgEAAA8AAABkcnMvZG93bnJldi54bWxMj0FPwzAMhe9I/IfISFwQS4Ct&#10;K6XuhJBAcINtgmvWZG1F4pQm68q/x5zg5Gc9673P5WryTox2iF0ghKuZAmGpDqajBmG7ebzMQcSk&#10;yWgXyCJ82wir6vSk1IUJR3qz4zo1gkMoFhqhTakvpIx1a72Os9BbYm8fBq8Tr0MjzaCPHO6dvFYq&#10;k153xA2t7u1Da+vP9cEj5PPn8SO+3Ly+19ne3aaL5fj0NSCen033dyCSndLfMfziMzpUzLQLBzJR&#10;OAR+JCEsebA5zzMWO4SFUguQVSn/41c/AAAA//8DAFBLAQItABQABgAIAAAAIQC2gziS/gAAAOEB&#10;AAATAAAAAAAAAAAAAAAAAAAAAABbQ29udGVudF9UeXBlc10ueG1sUEsBAi0AFAAGAAgAAAAhADj9&#10;If/WAAAAlAEAAAsAAAAAAAAAAAAAAAAALwEAAF9yZWxzLy5yZWxzUEsBAi0AFAAGAAgAAAAhAKyb&#10;YuQTAgAAJwQAAA4AAAAAAAAAAAAAAAAALgIAAGRycy9lMm9Eb2MueG1sUEsBAi0AFAAGAAgAAAAh&#10;AM9Is6zdAAAABgEAAA8AAAAAAAAAAAAAAAAAbQQAAGRycy9kb3ducmV2LnhtbFBLBQYAAAAABAAE&#10;APMAAAB3BQAAAAA=&#10;">
                <v:textbox>
                  <w:txbxContent>
                    <w:p w14:paraId="7EDFF7B0" w14:textId="77777777" w:rsidR="00817FF7" w:rsidRDefault="00817FF7" w:rsidP="00817FF7">
                      <w:pPr>
                        <w:rPr>
                          <w:b/>
                          <w:bCs/>
                        </w:rPr>
                      </w:pPr>
                      <w:r>
                        <w:rPr>
                          <w:b/>
                          <w:bCs/>
                        </w:rPr>
                        <w:t>DFAT’s and partners’ support is an add-on to what the Government implemented. Calculate DFAT’s share.</w:t>
                      </w:r>
                    </w:p>
                    <w:p w14:paraId="712E1165" w14:textId="562315B7" w:rsidR="00817FF7" w:rsidRDefault="00817FF7" w:rsidP="00817FF7">
                      <w:r>
                        <w:t>Australia’s contribution = AUD100,000</w:t>
                      </w:r>
                    </w:p>
                    <w:p w14:paraId="1B04F2DC" w14:textId="7BF15CB9" w:rsidR="00F64C5B" w:rsidRDefault="00F64C5B" w:rsidP="00817FF7">
                      <w:r>
                        <w:t>World Bank Contribution = AUD900,000</w:t>
                      </w:r>
                    </w:p>
                    <w:p w14:paraId="0F5E56A4" w14:textId="77777777" w:rsidR="00817FF7" w:rsidRDefault="00817FF7" w:rsidP="00817FF7">
                      <w:r>
                        <w:t>Total program funding (Government’s data on overall transfer costs) = AUD1 million</w:t>
                      </w:r>
                    </w:p>
                    <w:p w14:paraId="312E8A4D" w14:textId="77777777" w:rsidR="00817FF7" w:rsidRDefault="00817FF7" w:rsidP="00817FF7">
                      <w:r>
                        <w:t>Australia’s share of funding = 10%</w:t>
                      </w:r>
                    </w:p>
                    <w:p w14:paraId="617C72B4" w14:textId="77777777" w:rsidR="00817FF7" w:rsidRDefault="00817FF7" w:rsidP="00817FF7">
                      <w:r>
                        <w:t>Number of beneficiaries in total program = 292,500</w:t>
                      </w:r>
                    </w:p>
                    <w:p w14:paraId="7E494F35" w14:textId="77777777" w:rsidR="00817FF7" w:rsidRDefault="00817FF7" w:rsidP="00817FF7">
                      <w:r>
                        <w:t>Number of beneficiaries supported by DFAT = 10% of 292,500</w:t>
                      </w:r>
                    </w:p>
                    <w:p w14:paraId="5D70B311" w14:textId="77777777" w:rsidR="00817FF7" w:rsidRDefault="00817FF7" w:rsidP="00817FF7">
                      <w:r>
                        <w:t>= 29,250</w:t>
                      </w:r>
                    </w:p>
                    <w:p w14:paraId="4792751B" w14:textId="77777777" w:rsidR="00817FF7" w:rsidRDefault="00817FF7" w:rsidP="00817FF7"/>
                  </w:txbxContent>
                </v:textbox>
                <w10:wrap anchorx="margin"/>
              </v:shape>
            </w:pict>
          </mc:Fallback>
        </mc:AlternateContent>
      </w:r>
      <w:r w:rsidR="00817FF7" w:rsidRPr="00817FF7">
        <w:rPr>
          <w:rFonts w:asciiTheme="majorHAnsi" w:hAnsiTheme="majorHAnsi"/>
          <w:b/>
          <w:iCs/>
          <w:noProof/>
        </w:rPr>
        <mc:AlternateContent>
          <mc:Choice Requires="wps">
            <w:drawing>
              <wp:anchor distT="45720" distB="45720" distL="114300" distR="114300" simplePos="0" relativeHeight="251666432" behindDoc="1" locked="0" layoutInCell="1" allowOverlap="1" wp14:anchorId="55810BD7" wp14:editId="0A15FF97">
                <wp:simplePos x="0" y="0"/>
                <wp:positionH relativeFrom="margin">
                  <wp:posOffset>3451860</wp:posOffset>
                </wp:positionH>
                <wp:positionV relativeFrom="paragraph">
                  <wp:posOffset>36195</wp:posOffset>
                </wp:positionV>
                <wp:extent cx="3086100" cy="31623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62300"/>
                        </a:xfrm>
                        <a:prstGeom prst="rect">
                          <a:avLst/>
                        </a:prstGeom>
                        <a:solidFill>
                          <a:srgbClr val="FFFFFF"/>
                        </a:solidFill>
                        <a:ln w="9525">
                          <a:solidFill>
                            <a:srgbClr val="000000"/>
                          </a:solidFill>
                          <a:miter lim="800000"/>
                          <a:headEnd/>
                          <a:tailEnd/>
                        </a:ln>
                      </wps:spPr>
                      <wps:txbx>
                        <w:txbxContent>
                          <w:p w14:paraId="28B309CE" w14:textId="77777777" w:rsidR="00817FF7" w:rsidRPr="00E00436" w:rsidRDefault="00817FF7" w:rsidP="00817FF7">
                            <w:pPr>
                              <w:rPr>
                                <w:b/>
                                <w:bCs/>
                              </w:rPr>
                            </w:pPr>
                            <w:r>
                              <w:rPr>
                                <w:b/>
                                <w:bCs/>
                              </w:rPr>
                              <w:t>DFAT’s and partners’ funding leveraged Government investment and was responsible for all beneficiaries having access to transfers or improved programs. DFAT can claim a portion of program beneficiary numbers.</w:t>
                            </w:r>
                          </w:p>
                          <w:p w14:paraId="778BDD27" w14:textId="77777777" w:rsidR="00817FF7" w:rsidRDefault="00817FF7" w:rsidP="00817FF7">
                            <w:r>
                              <w:t>Number of beneficiaries in total program = 292,500</w:t>
                            </w:r>
                          </w:p>
                          <w:p w14:paraId="4BB01FA6" w14:textId="77777777" w:rsidR="00817FF7" w:rsidRDefault="00817FF7" w:rsidP="00817FF7">
                            <w:r>
                              <w:t>Australia’s contribution to TA = AUD100,000</w:t>
                            </w:r>
                          </w:p>
                          <w:p w14:paraId="3EBAEE29" w14:textId="77777777" w:rsidR="00817FF7" w:rsidRDefault="00817FF7" w:rsidP="00817FF7">
                            <w:r>
                              <w:t>FCDO’s contribution to TA = AUD100,000</w:t>
                            </w:r>
                          </w:p>
                          <w:p w14:paraId="244F5FFB" w14:textId="02046061" w:rsidR="00817FF7" w:rsidRDefault="00817FF7" w:rsidP="00817FF7">
                            <w:r>
                              <w:t xml:space="preserve">Australia’s percentage of all </w:t>
                            </w:r>
                            <w:r w:rsidR="00E70992">
                              <w:t>development partner support</w:t>
                            </w:r>
                            <w:r>
                              <w:t xml:space="preserve"> = 50%</w:t>
                            </w:r>
                          </w:p>
                          <w:p w14:paraId="1421E5CC" w14:textId="77777777" w:rsidR="00817FF7" w:rsidRDefault="00817FF7" w:rsidP="00817FF7">
                            <w:r>
                              <w:t>Number of beneficiaries supported by DFAT = 50% of full program beneficiary numbers</w:t>
                            </w:r>
                          </w:p>
                          <w:p w14:paraId="73796CC4" w14:textId="77777777" w:rsidR="00817FF7" w:rsidRDefault="00817FF7" w:rsidP="00817FF7">
                            <w:r>
                              <w:t>= 50% of 292,500</w:t>
                            </w:r>
                          </w:p>
                          <w:p w14:paraId="144E9B1C" w14:textId="77777777" w:rsidR="00817FF7" w:rsidRDefault="00817FF7" w:rsidP="00817FF7">
                            <w:r>
                              <w:t>= 146,250</w:t>
                            </w:r>
                          </w:p>
                          <w:p w14:paraId="26A1370C" w14:textId="77777777" w:rsidR="00817FF7" w:rsidRDefault="00817FF7" w:rsidP="00817FF7">
                            <w:pPr>
                              <w:rPr>
                                <w:b/>
                                <w:bCs/>
                              </w:rPr>
                            </w:pPr>
                          </w:p>
                          <w:p w14:paraId="11C991D7" w14:textId="77777777" w:rsidR="00817FF7" w:rsidRDefault="00817FF7" w:rsidP="00817FF7"/>
                          <w:p w14:paraId="7CECADB5" w14:textId="77777777" w:rsidR="00817FF7" w:rsidRDefault="00817FF7" w:rsidP="00817FF7"/>
                          <w:p w14:paraId="1ED0F955" w14:textId="77777777" w:rsidR="00817FF7" w:rsidRDefault="00817FF7" w:rsidP="00817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0BD7" id="_x0000_s1029" type="#_x0000_t202" style="position:absolute;margin-left:271.8pt;margin-top:2.85pt;width:243pt;height:249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PdEwIAACcEAAAOAAAAZHJzL2Uyb0RvYy54bWysU9tu2zAMfR+wfxD0vtjObakRp+jSZRjQ&#10;XYB2HyDLcixMFjVJiZ19fSnZTbNuexmmB4EUqUPykFxf960iR2GdBF3QbJJSIjSHSup9Qb897N6s&#10;KHGe6Yop0KKgJ+Ho9eb1q3VncjGFBlQlLEEQ7fLOFLTx3uRJ4ngjWuYmYIRGYw22ZR5Vu08qyzpE&#10;b1UyTdNl0oGtjAUunMPX28FINxG/rgX3X+raCU9UQTE3H28b7zLcyWbN8r1lppF8TIP9QxYtkxqD&#10;nqFumWfkYOVvUK3kFhzUfsKhTaCuJRexBqwmS19Uc98wI2ItSI4zZ5rc/4Pln4/35qslvn8HPTYw&#10;FuHMHfDvjmjYNkzvxY210DWCVRg4C5QlnXH5+DVQ7XIXQMruE1TYZHbwEIH62raBFayTIDo24HQm&#10;XfSecHycpatllqKJo22WLaczVEIMlj99N9b5DwJaEoSCWuxqhGfHO+cH1yeXEM2BktVOKhUVuy+3&#10;ypIjwwnYxTOi/+KmNOkKerWYLgYG/gqRxvMniFZ6HGUl24Kuzk4sD7y911UcNM+kGmSsTumRyMDd&#10;wKLvy57ICnkIAQKvJVQnZNbCMLm4aSg0YH9S0uHUFtT9ODArKFEfNXbnKpvPw5hHZb54O0XFXlrK&#10;SwvTHKEK6ikZxK2PqxF403CDXaxl5Pc5kzFlnMbYoXFzwrhf6tHreb83jwAAAP//AwBQSwMEFAAG&#10;AAgAAAAhABB/lLffAAAACgEAAA8AAABkcnMvZG93bnJldi54bWxMj8FOwzAQRO9I/IO1SFwQtWlK&#10;0oY4FUIC0RsUBFc3dpMIex1sNw1/z/YEt92Z0ezbaj05y0YTYu9Rws1MADPYeN1jK+H97fF6CSwm&#10;hVpZj0bCj4mwrs/PKlVqf8RXM25Ty6gEY6kkdCkNJeex6YxTceYHg+TtfXAq0RparoM6UrmzfC5E&#10;zp3qkS50ajAPnWm+tgcnYbl4Hj/jJnv5aPK9XaWrYnz6DlJeXkz3d8CSmdJfGE74hA41Me38AXVk&#10;VsLtIsspSkMB7OSL+YqEHQkiK4DXFf//Qv0LAAD//wMAUEsBAi0AFAAGAAgAAAAhALaDOJL+AAAA&#10;4QEAABMAAAAAAAAAAAAAAAAAAAAAAFtDb250ZW50X1R5cGVzXS54bWxQSwECLQAUAAYACAAAACEA&#10;OP0h/9YAAACUAQAACwAAAAAAAAAAAAAAAAAvAQAAX3JlbHMvLnJlbHNQSwECLQAUAAYACAAAACEA&#10;xkFz3RMCAAAnBAAADgAAAAAAAAAAAAAAAAAuAgAAZHJzL2Uyb0RvYy54bWxQSwECLQAUAAYACAAA&#10;ACEAEH+Ut98AAAAKAQAADwAAAAAAAAAAAAAAAABtBAAAZHJzL2Rvd25yZXYueG1sUEsFBgAAAAAE&#10;AAQA8wAAAHkFAAAAAA==&#10;">
                <v:textbox>
                  <w:txbxContent>
                    <w:p w14:paraId="28B309CE" w14:textId="77777777" w:rsidR="00817FF7" w:rsidRPr="00E00436" w:rsidRDefault="00817FF7" w:rsidP="00817FF7">
                      <w:pPr>
                        <w:rPr>
                          <w:b/>
                          <w:bCs/>
                        </w:rPr>
                      </w:pPr>
                      <w:r>
                        <w:rPr>
                          <w:b/>
                          <w:bCs/>
                        </w:rPr>
                        <w:t>DFAT’s and partners’ funding leveraged Government investment and was responsible for all beneficiaries having access to transfers or improved programs. DFAT can claim a portion of program beneficiary numbers.</w:t>
                      </w:r>
                    </w:p>
                    <w:p w14:paraId="778BDD27" w14:textId="77777777" w:rsidR="00817FF7" w:rsidRDefault="00817FF7" w:rsidP="00817FF7">
                      <w:r>
                        <w:t>Number of beneficiaries in total program = 292,500</w:t>
                      </w:r>
                    </w:p>
                    <w:p w14:paraId="4BB01FA6" w14:textId="77777777" w:rsidR="00817FF7" w:rsidRDefault="00817FF7" w:rsidP="00817FF7">
                      <w:r>
                        <w:t>Australia’s contribution to TA = AUD100,000</w:t>
                      </w:r>
                    </w:p>
                    <w:p w14:paraId="3EBAEE29" w14:textId="77777777" w:rsidR="00817FF7" w:rsidRDefault="00817FF7" w:rsidP="00817FF7">
                      <w:r>
                        <w:t>FCDO’s contribution to TA = AUD100,000</w:t>
                      </w:r>
                    </w:p>
                    <w:p w14:paraId="244F5FFB" w14:textId="02046061" w:rsidR="00817FF7" w:rsidRDefault="00817FF7" w:rsidP="00817FF7">
                      <w:r>
                        <w:t xml:space="preserve">Australia’s percentage of all </w:t>
                      </w:r>
                      <w:r w:rsidR="00E70992">
                        <w:t>development partner support</w:t>
                      </w:r>
                      <w:r>
                        <w:t xml:space="preserve"> = 50%</w:t>
                      </w:r>
                    </w:p>
                    <w:p w14:paraId="1421E5CC" w14:textId="77777777" w:rsidR="00817FF7" w:rsidRDefault="00817FF7" w:rsidP="00817FF7">
                      <w:r>
                        <w:t>Number of beneficiaries supported by DFAT = 50% of full program beneficiary numbers</w:t>
                      </w:r>
                    </w:p>
                    <w:p w14:paraId="73796CC4" w14:textId="77777777" w:rsidR="00817FF7" w:rsidRDefault="00817FF7" w:rsidP="00817FF7">
                      <w:r>
                        <w:t>= 50% of 292,500</w:t>
                      </w:r>
                    </w:p>
                    <w:p w14:paraId="144E9B1C" w14:textId="77777777" w:rsidR="00817FF7" w:rsidRDefault="00817FF7" w:rsidP="00817FF7">
                      <w:r>
                        <w:t>= 146,250</w:t>
                      </w:r>
                    </w:p>
                    <w:p w14:paraId="26A1370C" w14:textId="77777777" w:rsidR="00817FF7" w:rsidRDefault="00817FF7" w:rsidP="00817FF7">
                      <w:pPr>
                        <w:rPr>
                          <w:b/>
                          <w:bCs/>
                        </w:rPr>
                      </w:pPr>
                    </w:p>
                    <w:p w14:paraId="11C991D7" w14:textId="77777777" w:rsidR="00817FF7" w:rsidRDefault="00817FF7" w:rsidP="00817FF7"/>
                    <w:p w14:paraId="7CECADB5" w14:textId="77777777" w:rsidR="00817FF7" w:rsidRDefault="00817FF7" w:rsidP="00817FF7"/>
                    <w:p w14:paraId="1ED0F955" w14:textId="77777777" w:rsidR="00817FF7" w:rsidRDefault="00817FF7" w:rsidP="00817FF7"/>
                  </w:txbxContent>
                </v:textbox>
                <w10:wrap anchorx="margin"/>
              </v:shape>
            </w:pict>
          </mc:Fallback>
        </mc:AlternateContent>
      </w:r>
    </w:p>
    <w:p w14:paraId="0FE49B51" w14:textId="77777777" w:rsidR="00817FF7" w:rsidRPr="00817FF7" w:rsidRDefault="00817FF7" w:rsidP="00817FF7">
      <w:pPr>
        <w:rPr>
          <w:rFonts w:asciiTheme="majorHAnsi" w:hAnsiTheme="majorHAnsi"/>
        </w:rPr>
      </w:pPr>
    </w:p>
    <w:p w14:paraId="5027254D" w14:textId="77777777" w:rsidR="00817FF7" w:rsidRPr="00817FF7" w:rsidRDefault="00817FF7" w:rsidP="00817FF7">
      <w:pPr>
        <w:rPr>
          <w:rFonts w:asciiTheme="majorHAnsi" w:hAnsiTheme="majorHAnsi"/>
        </w:rPr>
      </w:pPr>
    </w:p>
    <w:p w14:paraId="08CEE1A1" w14:textId="77777777" w:rsidR="00817FF7" w:rsidRPr="00817FF7" w:rsidRDefault="00817FF7" w:rsidP="00817FF7">
      <w:pPr>
        <w:rPr>
          <w:rFonts w:asciiTheme="majorHAnsi" w:hAnsiTheme="majorHAnsi"/>
        </w:rPr>
      </w:pPr>
    </w:p>
    <w:p w14:paraId="03B28B20" w14:textId="348C0D92" w:rsidR="00817FF7" w:rsidRPr="00817FF7" w:rsidRDefault="00817FF7" w:rsidP="00F64C5B">
      <w:pPr>
        <w:tabs>
          <w:tab w:val="left" w:pos="1860"/>
        </w:tabs>
        <w:rPr>
          <w:rFonts w:asciiTheme="majorHAnsi" w:hAnsiTheme="majorHAnsi"/>
        </w:rPr>
      </w:pPr>
    </w:p>
    <w:p w14:paraId="738FEF7D" w14:textId="77777777" w:rsidR="00817FF7" w:rsidRPr="00817FF7" w:rsidRDefault="00817FF7" w:rsidP="00817FF7">
      <w:pPr>
        <w:rPr>
          <w:rFonts w:asciiTheme="majorHAnsi" w:hAnsiTheme="majorHAnsi"/>
        </w:rPr>
      </w:pPr>
    </w:p>
    <w:p w14:paraId="73E37655" w14:textId="77777777" w:rsidR="00817FF7" w:rsidRPr="00817FF7" w:rsidRDefault="00817FF7" w:rsidP="00817FF7">
      <w:pPr>
        <w:rPr>
          <w:rFonts w:asciiTheme="majorHAnsi" w:hAnsiTheme="majorHAnsi"/>
        </w:rPr>
      </w:pPr>
    </w:p>
    <w:p w14:paraId="783F98AE" w14:textId="77777777" w:rsidR="00817FF7" w:rsidRPr="00817FF7" w:rsidRDefault="00817FF7" w:rsidP="00817FF7">
      <w:pPr>
        <w:rPr>
          <w:rFonts w:asciiTheme="majorHAnsi" w:hAnsiTheme="majorHAnsi"/>
          <w:b/>
          <w:iCs/>
        </w:rPr>
      </w:pPr>
    </w:p>
    <w:p w14:paraId="3AD14A84" w14:textId="77777777" w:rsidR="00817FF7" w:rsidRPr="00817FF7" w:rsidRDefault="00817FF7" w:rsidP="00817FF7">
      <w:pPr>
        <w:rPr>
          <w:rFonts w:asciiTheme="majorHAnsi" w:hAnsiTheme="majorHAnsi"/>
          <w:b/>
          <w:iCs/>
        </w:rPr>
      </w:pPr>
    </w:p>
    <w:p w14:paraId="0A2474CF" w14:textId="77777777" w:rsidR="00817FF7" w:rsidRPr="00817FF7" w:rsidRDefault="00817FF7" w:rsidP="00817FF7">
      <w:pPr>
        <w:rPr>
          <w:rFonts w:asciiTheme="majorHAnsi" w:hAnsiTheme="majorHAnsi"/>
          <w:b/>
          <w:iCs/>
        </w:rPr>
      </w:pPr>
    </w:p>
    <w:p w14:paraId="33A1EE49" w14:textId="77777777" w:rsidR="00817FF7" w:rsidRPr="00817FF7" w:rsidRDefault="00817FF7" w:rsidP="00817FF7">
      <w:pPr>
        <w:rPr>
          <w:rFonts w:asciiTheme="majorHAnsi" w:hAnsiTheme="majorHAnsi"/>
          <w:b/>
          <w:iCs/>
        </w:rPr>
      </w:pPr>
    </w:p>
    <w:p w14:paraId="663F2C20" w14:textId="77777777" w:rsidR="00817FF7" w:rsidRPr="00817FF7" w:rsidRDefault="00817FF7" w:rsidP="00817FF7">
      <w:pPr>
        <w:rPr>
          <w:rFonts w:asciiTheme="majorHAnsi" w:hAnsiTheme="majorHAnsi"/>
          <w:b/>
          <w:iCs/>
        </w:rPr>
      </w:pPr>
    </w:p>
    <w:p w14:paraId="208CBE04" w14:textId="77777777" w:rsidR="00817FF7" w:rsidRPr="00817FF7" w:rsidRDefault="00817FF7" w:rsidP="00817FF7">
      <w:pPr>
        <w:rPr>
          <w:rFonts w:asciiTheme="majorHAnsi" w:hAnsiTheme="majorHAnsi"/>
          <w:b/>
          <w:iCs/>
        </w:rPr>
      </w:pPr>
    </w:p>
    <w:p w14:paraId="2108C6A7" w14:textId="77777777" w:rsidR="00817FF7" w:rsidRPr="00817FF7" w:rsidRDefault="00817FF7" w:rsidP="0B990204">
      <w:pPr>
        <w:keepNext/>
        <w:keepLines/>
        <w:rPr>
          <w:rFonts w:eastAsiaTheme="minorEastAsia"/>
          <w:b/>
          <w:bCs/>
          <w:color w:val="2F5496"/>
          <w:sz w:val="32"/>
          <w:szCs w:val="32"/>
        </w:rPr>
      </w:pPr>
      <w:r w:rsidRPr="0B990204">
        <w:rPr>
          <w:rFonts w:eastAsiaTheme="minorEastAsia"/>
          <w:b/>
          <w:bCs/>
          <w:color w:val="2F5496"/>
          <w:sz w:val="32"/>
          <w:szCs w:val="32"/>
        </w:rPr>
        <w:t xml:space="preserve">EXAMPLE 4: COMPONENTS 1 AND 2: DIRECT FUNDING OF TRANSFERS AND SUPPORT FOR SYSTEM STRENGTHENING </w:t>
      </w:r>
    </w:p>
    <w:p w14:paraId="68B9B82D" w14:textId="77777777" w:rsidR="00817FF7" w:rsidRPr="00817FF7" w:rsidRDefault="00817FF7" w:rsidP="55DF0B34">
      <w:pPr>
        <w:jc w:val="both"/>
        <w:rPr>
          <w:rFonts w:eastAsiaTheme="minorEastAsia"/>
          <w:b/>
          <w:bCs/>
        </w:rPr>
      </w:pPr>
      <w:r w:rsidRPr="55DF0B34">
        <w:rPr>
          <w:rFonts w:eastAsiaTheme="minorEastAsia"/>
          <w:b/>
          <w:bCs/>
        </w:rPr>
        <w:t>Step 1: calculate the beneficiary numbers of DFAT’s direct funding of transfers as per Example 1</w:t>
      </w:r>
    </w:p>
    <w:p w14:paraId="37DB8970" w14:textId="77777777" w:rsidR="00817FF7" w:rsidRPr="00817FF7" w:rsidRDefault="00817FF7" w:rsidP="55DF0B34">
      <w:pPr>
        <w:suppressAutoHyphens w:val="0"/>
        <w:jc w:val="both"/>
        <w:rPr>
          <w:rFonts w:eastAsiaTheme="minorEastAsia"/>
        </w:rPr>
      </w:pPr>
      <w:r w:rsidRPr="55DF0B34">
        <w:rPr>
          <w:rFonts w:eastAsiaTheme="minorEastAsia"/>
          <w:b/>
          <w:bCs/>
        </w:rPr>
        <w:t>Step 2: calculate the beneficiary numbers of DFAT’s funding for TA/systems strengthening as per Example 2 or 3</w:t>
      </w:r>
    </w:p>
    <w:p w14:paraId="7C346786" w14:textId="77777777" w:rsidR="00817FF7" w:rsidRPr="00817FF7" w:rsidRDefault="00817FF7" w:rsidP="55DF0B34">
      <w:pPr>
        <w:suppressAutoHyphens w:val="0"/>
        <w:jc w:val="both"/>
        <w:rPr>
          <w:rFonts w:eastAsiaTheme="minorEastAsia"/>
          <w:b/>
          <w:bCs/>
        </w:rPr>
      </w:pPr>
      <w:r w:rsidRPr="55DF0B34">
        <w:rPr>
          <w:rFonts w:eastAsiaTheme="minorEastAsia"/>
          <w:b/>
          <w:bCs/>
        </w:rPr>
        <w:t xml:space="preserve">Step 3: calculate total persons assisted with Australian </w:t>
      </w:r>
      <w:proofErr w:type="gramStart"/>
      <w:r w:rsidRPr="55DF0B34">
        <w:rPr>
          <w:rFonts w:eastAsiaTheme="minorEastAsia"/>
          <w:b/>
          <w:bCs/>
        </w:rPr>
        <w:t>support</w:t>
      </w:r>
      <w:proofErr w:type="gramEnd"/>
    </w:p>
    <w:p w14:paraId="017477B8" w14:textId="77777777" w:rsidR="00817FF7" w:rsidRPr="00817FF7" w:rsidRDefault="00817FF7" w:rsidP="55DF0B34">
      <w:pPr>
        <w:suppressAutoHyphens w:val="0"/>
        <w:jc w:val="both"/>
        <w:rPr>
          <w:rFonts w:eastAsiaTheme="minorEastAsia"/>
        </w:rPr>
      </w:pPr>
      <w:r w:rsidRPr="55DF0B34">
        <w:rPr>
          <w:rFonts w:eastAsiaTheme="minorEastAsia"/>
        </w:rPr>
        <w:t>Direct beneficiaries + beneficiaries from system strengthening = 292,500 + 1,002,600 = 1,295,100</w:t>
      </w:r>
    </w:p>
    <w:p w14:paraId="6C218104" w14:textId="625BD434" w:rsidR="00817FF7" w:rsidRPr="00817FF7" w:rsidRDefault="00817FF7" w:rsidP="55DF0B34">
      <w:pPr>
        <w:suppressAutoHyphens w:val="0"/>
        <w:jc w:val="both"/>
        <w:rPr>
          <w:rFonts w:eastAsiaTheme="minorEastAsia"/>
        </w:rPr>
      </w:pPr>
      <w:r w:rsidRPr="55DF0B34">
        <w:rPr>
          <w:rFonts w:eastAsiaTheme="minorEastAsia"/>
        </w:rPr>
        <w:t>Partner data confirms that these two totals are from different provinces so there is no double counting.</w:t>
      </w:r>
      <w:r w:rsidR="00E70992" w:rsidRPr="55DF0B34">
        <w:rPr>
          <w:rFonts w:eastAsiaTheme="minorEastAsia"/>
        </w:rPr>
        <w:t xml:space="preserve"> If there is double </w:t>
      </w:r>
      <w:r w:rsidR="6E6C6D74" w:rsidRPr="55DF0B34">
        <w:rPr>
          <w:rFonts w:eastAsiaTheme="minorEastAsia"/>
        </w:rPr>
        <w:t>counting,</w:t>
      </w:r>
      <w:r w:rsidR="00E70992" w:rsidRPr="55DF0B34">
        <w:rPr>
          <w:rFonts w:eastAsiaTheme="minorEastAsia"/>
        </w:rPr>
        <w:t xml:space="preserve"> then this should be removed before final reporting.</w:t>
      </w:r>
    </w:p>
    <w:p w14:paraId="55B1043B" w14:textId="77777777" w:rsidR="00817FF7" w:rsidRPr="00817FF7" w:rsidRDefault="00817FF7" w:rsidP="0B990204">
      <w:pPr>
        <w:keepNext/>
        <w:keepLines/>
        <w:rPr>
          <w:rFonts w:eastAsiaTheme="minorEastAsia"/>
          <w:b/>
          <w:bCs/>
          <w:color w:val="2F5496"/>
          <w:sz w:val="32"/>
          <w:szCs w:val="32"/>
        </w:rPr>
      </w:pPr>
      <w:r w:rsidRPr="0B990204">
        <w:rPr>
          <w:rFonts w:eastAsiaTheme="minorEastAsia"/>
          <w:b/>
          <w:bCs/>
          <w:color w:val="2F5496"/>
          <w:sz w:val="32"/>
          <w:szCs w:val="32"/>
        </w:rPr>
        <w:t>EXAMPLE 5: DIRECT SUPPORT AND/OR SUPPORT FOR SYSTEM STRENGTHENING, INDIVIDUALS, SEX DISAGGREGATED</w:t>
      </w:r>
    </w:p>
    <w:p w14:paraId="02FC3D7A" w14:textId="77777777" w:rsidR="00817FF7" w:rsidRPr="00817FF7" w:rsidRDefault="00817FF7" w:rsidP="55DF0B34">
      <w:pPr>
        <w:jc w:val="both"/>
        <w:rPr>
          <w:rFonts w:eastAsiaTheme="minorEastAsia"/>
        </w:rPr>
      </w:pPr>
      <w:r w:rsidRPr="55DF0B34">
        <w:rPr>
          <w:rFonts w:eastAsiaTheme="minorEastAsia"/>
        </w:rPr>
        <w:t>For the reporting year, the total number of families receiving social transfers received in the program’s geographic area was 83,076.  The average household size in the program area is 5.6 and the female: male ratio in households in the program area = 3:2 (60 per cent female to 40 per cent male) (Source: partner government data).</w:t>
      </w:r>
    </w:p>
    <w:p w14:paraId="21CF3655" w14:textId="77777777" w:rsidR="00817FF7" w:rsidRPr="00817FF7" w:rsidRDefault="00817FF7" w:rsidP="55DF0B34">
      <w:pPr>
        <w:jc w:val="both"/>
        <w:rPr>
          <w:rFonts w:eastAsiaTheme="minorEastAsia"/>
          <w:b/>
          <w:bCs/>
        </w:rPr>
      </w:pPr>
      <w:r w:rsidRPr="55DF0B34">
        <w:rPr>
          <w:rFonts w:eastAsiaTheme="minorEastAsia"/>
          <w:b/>
          <w:bCs/>
        </w:rPr>
        <w:t xml:space="preserve">Step 1: identify the number of people receiving direct cash transfers and/or system </w:t>
      </w:r>
      <w:proofErr w:type="gramStart"/>
      <w:r w:rsidRPr="55DF0B34">
        <w:rPr>
          <w:rFonts w:eastAsiaTheme="minorEastAsia"/>
          <w:b/>
          <w:bCs/>
        </w:rPr>
        <w:t>strengthening</w:t>
      </w:r>
      <w:proofErr w:type="gramEnd"/>
    </w:p>
    <w:p w14:paraId="25641986" w14:textId="77777777" w:rsidR="00817FF7" w:rsidRPr="00817FF7" w:rsidRDefault="00817FF7" w:rsidP="55DF0B34">
      <w:pPr>
        <w:jc w:val="both"/>
        <w:rPr>
          <w:rFonts w:eastAsiaTheme="minorEastAsia"/>
        </w:rPr>
      </w:pPr>
      <w:r w:rsidRPr="55DF0B34">
        <w:rPr>
          <w:rFonts w:eastAsiaTheme="minorEastAsia"/>
        </w:rPr>
        <w:t>Number of households where DFAT directly funded transfers and/or supported system strengthening = 83,076</w:t>
      </w:r>
    </w:p>
    <w:p w14:paraId="0C33EE78" w14:textId="77777777" w:rsidR="00817FF7" w:rsidRPr="00817FF7" w:rsidRDefault="00817FF7" w:rsidP="55DF0B34">
      <w:pPr>
        <w:jc w:val="both"/>
        <w:rPr>
          <w:rFonts w:eastAsiaTheme="minorEastAsia"/>
        </w:rPr>
      </w:pPr>
      <w:r w:rsidRPr="55DF0B34">
        <w:rPr>
          <w:rFonts w:eastAsiaTheme="minorEastAsia"/>
        </w:rPr>
        <w:lastRenderedPageBreak/>
        <w:t>Average household size in the provinces where the program is delivered = 5.6 (Data source: partner government regional data; sex disaggregated data unavailable)</w:t>
      </w:r>
    </w:p>
    <w:p w14:paraId="3F501B54" w14:textId="77777777" w:rsidR="00817FF7" w:rsidRPr="00817FF7" w:rsidRDefault="00817FF7" w:rsidP="55DF0B34">
      <w:pPr>
        <w:jc w:val="both"/>
        <w:rPr>
          <w:rFonts w:eastAsiaTheme="minorEastAsia"/>
        </w:rPr>
      </w:pPr>
      <w:r w:rsidRPr="55DF0B34">
        <w:rPr>
          <w:rFonts w:eastAsiaTheme="minorEastAsia"/>
        </w:rPr>
        <w:t>Total number of individuals = 83,076 x 5.6 = 465,225.6</w:t>
      </w:r>
    </w:p>
    <w:p w14:paraId="7F354605" w14:textId="77777777" w:rsidR="00817FF7" w:rsidRPr="00817FF7" w:rsidRDefault="00817FF7" w:rsidP="55DF0B34">
      <w:pPr>
        <w:jc w:val="both"/>
        <w:rPr>
          <w:rFonts w:eastAsiaTheme="minorEastAsia"/>
          <w:b/>
          <w:bCs/>
        </w:rPr>
      </w:pPr>
      <w:r w:rsidRPr="55DF0B34">
        <w:rPr>
          <w:rFonts w:eastAsiaTheme="minorEastAsia"/>
          <w:b/>
          <w:bCs/>
        </w:rPr>
        <w:t xml:space="preserve">Step 2: sex disaggregation </w:t>
      </w:r>
    </w:p>
    <w:p w14:paraId="39CC2C39" w14:textId="77777777" w:rsidR="00817FF7" w:rsidRPr="00817FF7" w:rsidRDefault="00817FF7" w:rsidP="55DF0B34">
      <w:pPr>
        <w:numPr>
          <w:ilvl w:val="0"/>
          <w:numId w:val="53"/>
        </w:numPr>
        <w:tabs>
          <w:tab w:val="left" w:pos="284"/>
        </w:tabs>
        <w:suppressAutoHyphens w:val="0"/>
        <w:jc w:val="both"/>
        <w:rPr>
          <w:rFonts w:eastAsiaTheme="minorEastAsia"/>
          <w:lang w:val="en-AU" w:eastAsia="en-AU"/>
        </w:rPr>
      </w:pPr>
      <w:r w:rsidRPr="55DF0B34">
        <w:rPr>
          <w:rFonts w:eastAsiaTheme="minorEastAsia"/>
          <w:lang w:val="en-AU" w:eastAsia="en-AU"/>
        </w:rPr>
        <w:t>Sex disaggregation of people receiving assistance: 465,225.6 individuals x 0.6 = 279,135 are female, and 465,225.6 x 0.4 are male = 186,090 (Source: partner government data)</w:t>
      </w:r>
    </w:p>
    <w:p w14:paraId="68C94AAA" w14:textId="7FB2CD30" w:rsidR="00817FF7" w:rsidRPr="00817FF7" w:rsidRDefault="00817FF7" w:rsidP="55DF0B34">
      <w:pPr>
        <w:jc w:val="both"/>
        <w:rPr>
          <w:rFonts w:eastAsiaTheme="minorEastAsia"/>
        </w:rPr>
      </w:pPr>
      <w:r w:rsidRPr="55DF0B34">
        <w:rPr>
          <w:rFonts w:eastAsiaTheme="minorEastAsia"/>
        </w:rPr>
        <w:t xml:space="preserve">Australian </w:t>
      </w:r>
      <w:r w:rsidR="00E70992" w:rsidRPr="55DF0B34">
        <w:rPr>
          <w:rFonts w:eastAsiaTheme="minorEastAsia"/>
        </w:rPr>
        <w:t xml:space="preserve">assistance </w:t>
      </w:r>
      <w:r w:rsidRPr="55DF0B34">
        <w:rPr>
          <w:rFonts w:eastAsiaTheme="minorEastAsia"/>
        </w:rPr>
        <w:t xml:space="preserve">provided 279,135 females and 186,090 males with social transfers under this </w:t>
      </w:r>
      <w:proofErr w:type="gramStart"/>
      <w:r w:rsidRPr="55DF0B34">
        <w:rPr>
          <w:rFonts w:eastAsiaTheme="minorEastAsia"/>
        </w:rPr>
        <w:t>program</w:t>
      </w:r>
      <w:proofErr w:type="gramEnd"/>
    </w:p>
    <w:p w14:paraId="0D42524C" w14:textId="77777777" w:rsidR="00817FF7" w:rsidRPr="00817FF7" w:rsidRDefault="00817FF7" w:rsidP="55DF0B34">
      <w:pPr>
        <w:suppressAutoHyphens w:val="0"/>
        <w:jc w:val="both"/>
        <w:rPr>
          <w:rFonts w:eastAsiaTheme="minorEastAsia"/>
        </w:rPr>
      </w:pPr>
    </w:p>
    <w:p w14:paraId="15E20321" w14:textId="344E02D1" w:rsidR="00817FF7" w:rsidRPr="00817FF7" w:rsidRDefault="00817FF7" w:rsidP="55DF0B34">
      <w:pPr>
        <w:jc w:val="both"/>
        <w:rPr>
          <w:rFonts w:eastAsiaTheme="minorEastAsia"/>
          <w:b/>
          <w:bCs/>
          <w:caps/>
          <w:sz w:val="38"/>
          <w:szCs w:val="38"/>
        </w:rPr>
      </w:pPr>
      <w:r w:rsidRPr="55DF0B34">
        <w:rPr>
          <w:rFonts w:eastAsiaTheme="minorEastAsia"/>
          <w:b/>
          <w:bCs/>
        </w:rPr>
        <w:t>*</w:t>
      </w:r>
      <w:r w:rsidR="00E70992" w:rsidRPr="55DF0B34">
        <w:rPr>
          <w:rFonts w:eastAsiaTheme="minorEastAsia"/>
          <w:b/>
          <w:bCs/>
        </w:rPr>
        <w:t xml:space="preserve">Note: </w:t>
      </w:r>
      <w:r w:rsidRPr="55DF0B34">
        <w:rPr>
          <w:rFonts w:eastAsiaTheme="minorEastAsia"/>
        </w:rPr>
        <w:t xml:space="preserve">The same currency must be used when calculating the share of Australia’s contribution for direct beneficiaries.  If currency conversion is required, it is recommended that the exchange rate at the end of the reporting period is used (please list the exchange rate and date).  In DFAT, historical weekly currency conversion rates are available at  </w:t>
      </w:r>
      <w:hyperlink r:id="rId11">
        <w:r w:rsidRPr="55DF0B34">
          <w:rPr>
            <w:rFonts w:eastAsiaTheme="minorEastAsia"/>
            <w:u w:val="single"/>
          </w:rPr>
          <w:t>Exchange rates - weekly (</w:t>
        </w:r>
        <w:proofErr w:type="spellStart"/>
        <w:r w:rsidRPr="55DF0B34">
          <w:rPr>
            <w:rFonts w:eastAsiaTheme="minorEastAsia"/>
            <w:u w:val="single"/>
          </w:rPr>
          <w:t>satin.lo</w:t>
        </w:r>
        <w:proofErr w:type="spellEnd"/>
        <w:r w:rsidRPr="55DF0B34">
          <w:rPr>
            <w:rFonts w:eastAsiaTheme="minorEastAsia"/>
            <w:u w:val="single"/>
          </w:rPr>
          <w:t>)</w:t>
        </w:r>
      </w:hyperlink>
    </w:p>
    <w:bookmarkEnd w:id="9"/>
    <w:p w14:paraId="54E9CABE" w14:textId="77777777" w:rsidR="005B627E" w:rsidRPr="004F1694" w:rsidRDefault="005B627E" w:rsidP="001F09D3">
      <w:pPr>
        <w:rPr>
          <w:rFonts w:asciiTheme="majorHAnsi" w:hAnsiTheme="majorHAnsi" w:cstheme="majorHAnsi"/>
        </w:rPr>
      </w:pPr>
    </w:p>
    <w:sectPr w:rsidR="005B627E" w:rsidRPr="004F1694" w:rsidSect="001D63DB">
      <w:headerReference w:type="default" r:id="rId12"/>
      <w:footerReference w:type="default" r:id="rId13"/>
      <w:headerReference w:type="first" r:id="rId14"/>
      <w:footerReference w:type="first" r:id="rId15"/>
      <w:pgSz w:w="11906" w:h="16838" w:code="9"/>
      <w:pgMar w:top="1985"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88C3" w14:textId="77777777" w:rsidR="00915613" w:rsidRDefault="00915613" w:rsidP="003A5358">
      <w:r>
        <w:separator/>
      </w:r>
    </w:p>
  </w:endnote>
  <w:endnote w:type="continuationSeparator" w:id="0">
    <w:p w14:paraId="56AD4015" w14:textId="77777777" w:rsidR="00915613" w:rsidRDefault="00915613"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quot;Calibri Light&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F624" w14:textId="726BEF03" w:rsidR="00000D74" w:rsidRPr="00000D74" w:rsidRDefault="00000D74" w:rsidP="00000D74">
    <w:pPr>
      <w:pStyle w:val="Footer"/>
      <w:jc w:val="center"/>
      <w:rPr>
        <w:sz w:val="22"/>
      </w:rPr>
    </w:pPr>
    <w:r>
      <w:rPr>
        <w:sz w:val="22"/>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BD7C" w14:textId="5E36ADA3" w:rsidR="00000D74" w:rsidRPr="00000D74" w:rsidRDefault="00000D74" w:rsidP="00000D74">
    <w:pPr>
      <w:pStyle w:val="Footer"/>
      <w:jc w:val="center"/>
      <w:rPr>
        <w:sz w:val="22"/>
      </w:rPr>
    </w:pPr>
    <w:r>
      <w:rPr>
        <w:sz w:val="22"/>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B37C" w14:textId="77777777" w:rsidR="00915613" w:rsidRPr="008C5A0E" w:rsidRDefault="00915613" w:rsidP="003A5358">
      <w:pPr>
        <w:pStyle w:val="FootnoteSeparator"/>
      </w:pPr>
    </w:p>
  </w:footnote>
  <w:footnote w:type="continuationSeparator" w:id="0">
    <w:p w14:paraId="4BCFA801" w14:textId="77777777" w:rsidR="00915613" w:rsidRDefault="00915613"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3860FB7" w14:paraId="04805AA0" w14:textId="77777777" w:rsidTr="63860FB7">
      <w:trPr>
        <w:trHeight w:val="300"/>
      </w:trPr>
      <w:tc>
        <w:tcPr>
          <w:tcW w:w="3210" w:type="dxa"/>
        </w:tcPr>
        <w:p w14:paraId="57EA3CD4" w14:textId="5EA7F41B" w:rsidR="63860FB7" w:rsidRDefault="63860FB7" w:rsidP="63860FB7">
          <w:pPr>
            <w:pStyle w:val="Header"/>
            <w:ind w:left="-115"/>
          </w:pPr>
        </w:p>
      </w:tc>
      <w:tc>
        <w:tcPr>
          <w:tcW w:w="3210" w:type="dxa"/>
        </w:tcPr>
        <w:p w14:paraId="215D359B" w14:textId="780F13D6" w:rsidR="63860FB7" w:rsidRDefault="63860FB7" w:rsidP="63860FB7">
          <w:pPr>
            <w:pStyle w:val="Header"/>
            <w:jc w:val="center"/>
          </w:pPr>
        </w:p>
      </w:tc>
      <w:tc>
        <w:tcPr>
          <w:tcW w:w="3210" w:type="dxa"/>
        </w:tcPr>
        <w:p w14:paraId="1B064856" w14:textId="150C0990" w:rsidR="63860FB7" w:rsidRDefault="63860FB7" w:rsidP="63860FB7">
          <w:pPr>
            <w:pStyle w:val="Header"/>
            <w:ind w:right="-115"/>
            <w:jc w:val="right"/>
          </w:pPr>
        </w:p>
      </w:tc>
    </w:tr>
  </w:tbl>
  <w:p w14:paraId="299F54DF" w14:textId="328EF592" w:rsidR="63860FB7" w:rsidRDefault="63860FB7" w:rsidP="63860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337A" w14:textId="5F8EA637" w:rsidR="63860FB7" w:rsidRDefault="63860FB7" w:rsidP="63860FB7">
    <w:pPr>
      <w:pStyle w:val="Header"/>
    </w:pPr>
    <w:r>
      <w:rPr>
        <w:noProof/>
      </w:rPr>
      <w:drawing>
        <wp:inline distT="0" distB="0" distL="0" distR="0" wp14:anchorId="781C1A6E" wp14:editId="5881000A">
          <wp:extent cx="3581400" cy="619125"/>
          <wp:effectExtent l="0" t="0" r="0" b="0"/>
          <wp:docPr id="859996079" name="Picture 859996079"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96079" name="Picture 859996079"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8BB"/>
    <w:multiLevelType w:val="hybridMultilevel"/>
    <w:tmpl w:val="6B46DFDE"/>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B68D0"/>
    <w:multiLevelType w:val="hybridMultilevel"/>
    <w:tmpl w:val="7FAC5378"/>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316C46"/>
    <w:multiLevelType w:val="hybridMultilevel"/>
    <w:tmpl w:val="F6EE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DF52DD"/>
    <w:multiLevelType w:val="hybridMultilevel"/>
    <w:tmpl w:val="814848CC"/>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04B5B"/>
    <w:multiLevelType w:val="hybridMultilevel"/>
    <w:tmpl w:val="D0D4DA54"/>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7665E93"/>
    <w:multiLevelType w:val="hybridMultilevel"/>
    <w:tmpl w:val="CDF02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2" w15:restartNumberingAfterBreak="0">
    <w:nsid w:val="17B40726"/>
    <w:multiLevelType w:val="hybridMultilevel"/>
    <w:tmpl w:val="DCD2FCC4"/>
    <w:lvl w:ilvl="0" w:tplc="938CF4BE">
      <w:start w:val="1"/>
      <w:numFmt w:val="bullet"/>
      <w:lvlText w:val=""/>
      <w:lvlJc w:val="left"/>
      <w:pPr>
        <w:ind w:left="360" w:hanging="360"/>
      </w:pPr>
      <w:rPr>
        <w:rFonts w:ascii="Symbol" w:hAnsi="Symbo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4" w15:restartNumberingAfterBreak="0">
    <w:nsid w:val="1C2329E8"/>
    <w:multiLevelType w:val="hybridMultilevel"/>
    <w:tmpl w:val="A89E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9B4B7D"/>
    <w:multiLevelType w:val="hybridMultilevel"/>
    <w:tmpl w:val="9184FB3C"/>
    <w:lvl w:ilvl="0" w:tplc="E8FE1992">
      <w:start w:val="1"/>
      <w:numFmt w:val="bullet"/>
      <w:lvlText w:val="›"/>
      <w:lvlJc w:val="left"/>
      <w:pPr>
        <w:ind w:left="360" w:hanging="360"/>
      </w:pPr>
      <w:rPr>
        <w:rFonts w:ascii="Franklin Gothic Book" w:hAnsi="Franklin Gothic Book"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966366"/>
    <w:multiLevelType w:val="hybridMultilevel"/>
    <w:tmpl w:val="FE6E53E8"/>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9B02A7"/>
    <w:multiLevelType w:val="singleLevel"/>
    <w:tmpl w:val="9D8819C8"/>
    <w:lvl w:ilvl="0">
      <w:start w:val="1"/>
      <w:numFmt w:val="bullet"/>
      <w:lvlText w:val="»"/>
      <w:lvlJc w:val="left"/>
      <w:pPr>
        <w:ind w:left="644" w:hanging="360"/>
      </w:pPr>
      <w:rPr>
        <w:rFonts w:ascii="Times New Roman" w:hAnsi="Times New Roman" w:cs="Times New Roman" w:hint="default"/>
        <w:color w:val="auto"/>
        <w:sz w:val="21"/>
        <w:szCs w:val="21"/>
      </w:rPr>
    </w:lvl>
  </w:abstractNum>
  <w:abstractNum w:abstractNumId="18" w15:restartNumberingAfterBreak="0">
    <w:nsid w:val="26065D88"/>
    <w:multiLevelType w:val="hybridMultilevel"/>
    <w:tmpl w:val="BC64BD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285CFCE3"/>
    <w:multiLevelType w:val="hybridMultilevel"/>
    <w:tmpl w:val="0D946654"/>
    <w:lvl w:ilvl="0" w:tplc="126E7B38">
      <w:start w:val="1"/>
      <w:numFmt w:val="bullet"/>
      <w:lvlText w:val=""/>
      <w:lvlJc w:val="left"/>
      <w:pPr>
        <w:ind w:left="720" w:hanging="360"/>
      </w:pPr>
      <w:rPr>
        <w:rFonts w:ascii="Symbol" w:hAnsi="Symbol" w:hint="default"/>
      </w:rPr>
    </w:lvl>
    <w:lvl w:ilvl="1" w:tplc="ADAC2EBC">
      <w:start w:val="1"/>
      <w:numFmt w:val="bullet"/>
      <w:lvlText w:val="o"/>
      <w:lvlJc w:val="left"/>
      <w:pPr>
        <w:ind w:left="1440" w:hanging="360"/>
      </w:pPr>
      <w:rPr>
        <w:rFonts w:ascii="Courier New" w:hAnsi="Courier New" w:hint="default"/>
      </w:rPr>
    </w:lvl>
    <w:lvl w:ilvl="2" w:tplc="26DC1EEE">
      <w:start w:val="1"/>
      <w:numFmt w:val="bullet"/>
      <w:lvlText w:val=""/>
      <w:lvlJc w:val="left"/>
      <w:pPr>
        <w:ind w:left="2160" w:hanging="360"/>
      </w:pPr>
      <w:rPr>
        <w:rFonts w:ascii="Wingdings" w:hAnsi="Wingdings" w:hint="default"/>
      </w:rPr>
    </w:lvl>
    <w:lvl w:ilvl="3" w:tplc="D0F000FA">
      <w:start w:val="1"/>
      <w:numFmt w:val="bullet"/>
      <w:lvlText w:val=""/>
      <w:lvlJc w:val="left"/>
      <w:pPr>
        <w:ind w:left="2880" w:hanging="360"/>
      </w:pPr>
      <w:rPr>
        <w:rFonts w:ascii="Symbol" w:hAnsi="Symbol" w:hint="default"/>
      </w:rPr>
    </w:lvl>
    <w:lvl w:ilvl="4" w:tplc="ED9E537E">
      <w:start w:val="1"/>
      <w:numFmt w:val="bullet"/>
      <w:lvlText w:val="o"/>
      <w:lvlJc w:val="left"/>
      <w:pPr>
        <w:ind w:left="3600" w:hanging="360"/>
      </w:pPr>
      <w:rPr>
        <w:rFonts w:ascii="Courier New" w:hAnsi="Courier New" w:hint="default"/>
      </w:rPr>
    </w:lvl>
    <w:lvl w:ilvl="5" w:tplc="A3A6A830">
      <w:start w:val="1"/>
      <w:numFmt w:val="bullet"/>
      <w:lvlText w:val=""/>
      <w:lvlJc w:val="left"/>
      <w:pPr>
        <w:ind w:left="4320" w:hanging="360"/>
      </w:pPr>
      <w:rPr>
        <w:rFonts w:ascii="Wingdings" w:hAnsi="Wingdings" w:hint="default"/>
      </w:rPr>
    </w:lvl>
    <w:lvl w:ilvl="6" w:tplc="B8F41368">
      <w:start w:val="1"/>
      <w:numFmt w:val="bullet"/>
      <w:lvlText w:val=""/>
      <w:lvlJc w:val="left"/>
      <w:pPr>
        <w:ind w:left="5040" w:hanging="360"/>
      </w:pPr>
      <w:rPr>
        <w:rFonts w:ascii="Symbol" w:hAnsi="Symbol" w:hint="default"/>
      </w:rPr>
    </w:lvl>
    <w:lvl w:ilvl="7" w:tplc="DDDE48AE">
      <w:start w:val="1"/>
      <w:numFmt w:val="bullet"/>
      <w:lvlText w:val="o"/>
      <w:lvlJc w:val="left"/>
      <w:pPr>
        <w:ind w:left="5760" w:hanging="360"/>
      </w:pPr>
      <w:rPr>
        <w:rFonts w:ascii="Courier New" w:hAnsi="Courier New" w:hint="default"/>
      </w:rPr>
    </w:lvl>
    <w:lvl w:ilvl="8" w:tplc="A6BA9B68">
      <w:start w:val="1"/>
      <w:numFmt w:val="bullet"/>
      <w:lvlText w:val=""/>
      <w:lvlJc w:val="left"/>
      <w:pPr>
        <w:ind w:left="6480" w:hanging="360"/>
      </w:pPr>
      <w:rPr>
        <w:rFonts w:ascii="Wingdings" w:hAnsi="Wingdings" w:hint="default"/>
      </w:rPr>
    </w:lvl>
  </w:abstractNum>
  <w:abstractNum w:abstractNumId="21" w15:restartNumberingAfterBreak="0">
    <w:nsid w:val="2B7B83EA"/>
    <w:multiLevelType w:val="hybridMultilevel"/>
    <w:tmpl w:val="9AD2DF54"/>
    <w:lvl w:ilvl="0" w:tplc="456EDD78">
      <w:start w:val="1"/>
      <w:numFmt w:val="bullet"/>
      <w:lvlText w:val="-"/>
      <w:lvlJc w:val="left"/>
      <w:pPr>
        <w:ind w:left="720" w:hanging="360"/>
      </w:pPr>
      <w:rPr>
        <w:rFonts w:ascii="&quot;Calibri Light&quot;,sans-serif" w:hAnsi="&quot;Calibri Light&quot;,sans-serif" w:hint="default"/>
      </w:rPr>
    </w:lvl>
    <w:lvl w:ilvl="1" w:tplc="F81E3A7C">
      <w:start w:val="1"/>
      <w:numFmt w:val="bullet"/>
      <w:lvlText w:val="o"/>
      <w:lvlJc w:val="left"/>
      <w:pPr>
        <w:ind w:left="1440" w:hanging="360"/>
      </w:pPr>
      <w:rPr>
        <w:rFonts w:ascii="Courier New" w:hAnsi="Courier New" w:hint="default"/>
      </w:rPr>
    </w:lvl>
    <w:lvl w:ilvl="2" w:tplc="351E1F1C">
      <w:start w:val="1"/>
      <w:numFmt w:val="bullet"/>
      <w:lvlText w:val=""/>
      <w:lvlJc w:val="left"/>
      <w:pPr>
        <w:ind w:left="2160" w:hanging="360"/>
      </w:pPr>
      <w:rPr>
        <w:rFonts w:ascii="Wingdings" w:hAnsi="Wingdings" w:hint="default"/>
      </w:rPr>
    </w:lvl>
    <w:lvl w:ilvl="3" w:tplc="D026FBEC">
      <w:start w:val="1"/>
      <w:numFmt w:val="bullet"/>
      <w:lvlText w:val=""/>
      <w:lvlJc w:val="left"/>
      <w:pPr>
        <w:ind w:left="2880" w:hanging="360"/>
      </w:pPr>
      <w:rPr>
        <w:rFonts w:ascii="Symbol" w:hAnsi="Symbol" w:hint="default"/>
      </w:rPr>
    </w:lvl>
    <w:lvl w:ilvl="4" w:tplc="1E865B78">
      <w:start w:val="1"/>
      <w:numFmt w:val="bullet"/>
      <w:lvlText w:val="o"/>
      <w:lvlJc w:val="left"/>
      <w:pPr>
        <w:ind w:left="3600" w:hanging="360"/>
      </w:pPr>
      <w:rPr>
        <w:rFonts w:ascii="Courier New" w:hAnsi="Courier New" w:hint="default"/>
      </w:rPr>
    </w:lvl>
    <w:lvl w:ilvl="5" w:tplc="5D3893FC">
      <w:start w:val="1"/>
      <w:numFmt w:val="bullet"/>
      <w:lvlText w:val=""/>
      <w:lvlJc w:val="left"/>
      <w:pPr>
        <w:ind w:left="4320" w:hanging="360"/>
      </w:pPr>
      <w:rPr>
        <w:rFonts w:ascii="Wingdings" w:hAnsi="Wingdings" w:hint="default"/>
      </w:rPr>
    </w:lvl>
    <w:lvl w:ilvl="6" w:tplc="B032149C">
      <w:start w:val="1"/>
      <w:numFmt w:val="bullet"/>
      <w:lvlText w:val=""/>
      <w:lvlJc w:val="left"/>
      <w:pPr>
        <w:ind w:left="5040" w:hanging="360"/>
      </w:pPr>
      <w:rPr>
        <w:rFonts w:ascii="Symbol" w:hAnsi="Symbol" w:hint="default"/>
      </w:rPr>
    </w:lvl>
    <w:lvl w:ilvl="7" w:tplc="1E003230">
      <w:start w:val="1"/>
      <w:numFmt w:val="bullet"/>
      <w:lvlText w:val="o"/>
      <w:lvlJc w:val="left"/>
      <w:pPr>
        <w:ind w:left="5760" w:hanging="360"/>
      </w:pPr>
      <w:rPr>
        <w:rFonts w:ascii="Courier New" w:hAnsi="Courier New" w:hint="default"/>
      </w:rPr>
    </w:lvl>
    <w:lvl w:ilvl="8" w:tplc="BBD43894">
      <w:start w:val="1"/>
      <w:numFmt w:val="bullet"/>
      <w:lvlText w:val=""/>
      <w:lvlJc w:val="left"/>
      <w:pPr>
        <w:ind w:left="6480" w:hanging="360"/>
      </w:pPr>
      <w:rPr>
        <w:rFonts w:ascii="Wingdings" w:hAnsi="Wingdings" w:hint="default"/>
      </w:rPr>
    </w:lvl>
  </w:abstractNum>
  <w:abstractNum w:abstractNumId="22"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FBC7366"/>
    <w:multiLevelType w:val="hybridMultilevel"/>
    <w:tmpl w:val="C896D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BD6832"/>
    <w:multiLevelType w:val="hybridMultilevel"/>
    <w:tmpl w:val="12B4C660"/>
    <w:lvl w:ilvl="0" w:tplc="7B640FF6">
      <w:start w:val="1"/>
      <w:numFmt w:val="bullet"/>
      <w:lvlText w:val="›"/>
      <w:lvlJc w:val="left"/>
      <w:pPr>
        <w:ind w:left="360" w:hanging="360"/>
      </w:pPr>
      <w:rPr>
        <w:rFonts w:ascii="Times New Roman" w:hAnsi="Times New Roman" w:cs="Times New Roman" w:hint="default"/>
        <w:color w:val="auto"/>
        <w:position w:val="3"/>
      </w:rPr>
    </w:lvl>
    <w:lvl w:ilvl="1" w:tplc="774C399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DE2406"/>
    <w:multiLevelType w:val="hybridMultilevel"/>
    <w:tmpl w:val="7D768A12"/>
    <w:lvl w:ilvl="0" w:tplc="EEB2B4C2">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76693"/>
    <w:multiLevelType w:val="hybridMultilevel"/>
    <w:tmpl w:val="14FC7672"/>
    <w:lvl w:ilvl="0" w:tplc="E8FE1992">
      <w:start w:val="1"/>
      <w:numFmt w:val="bullet"/>
      <w:lvlText w:val="›"/>
      <w:lvlJc w:val="left"/>
      <w:pPr>
        <w:ind w:left="360" w:hanging="360"/>
      </w:pPr>
      <w:rPr>
        <w:rFonts w:ascii="Franklin Gothic Book" w:hAnsi="Franklin Gothic Book"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057438"/>
    <w:multiLevelType w:val="hybridMultilevel"/>
    <w:tmpl w:val="5AC22E1C"/>
    <w:lvl w:ilvl="0" w:tplc="577C8F3E">
      <w:start w:val="1"/>
      <w:numFmt w:val="bullet"/>
      <w:lvlText w:val="▫"/>
      <w:lvlJc w:val="left"/>
      <w:pPr>
        <w:ind w:left="720" w:hanging="360"/>
      </w:pPr>
      <w:rPr>
        <w:rFonts w:ascii="Courier New" w:hAnsi="Courier New" w:hint="default"/>
      </w:rPr>
    </w:lvl>
    <w:lvl w:ilvl="1" w:tplc="D1926EB4">
      <w:start w:val="1"/>
      <w:numFmt w:val="bullet"/>
      <w:lvlText w:val="o"/>
      <w:lvlJc w:val="left"/>
      <w:pPr>
        <w:ind w:left="1440" w:hanging="360"/>
      </w:pPr>
      <w:rPr>
        <w:rFonts w:ascii="Courier New" w:hAnsi="Courier New" w:hint="default"/>
      </w:rPr>
    </w:lvl>
    <w:lvl w:ilvl="2" w:tplc="6862F346">
      <w:start w:val="1"/>
      <w:numFmt w:val="bullet"/>
      <w:lvlText w:val=""/>
      <w:lvlJc w:val="left"/>
      <w:pPr>
        <w:ind w:left="2160" w:hanging="360"/>
      </w:pPr>
      <w:rPr>
        <w:rFonts w:ascii="Wingdings" w:hAnsi="Wingdings" w:hint="default"/>
      </w:rPr>
    </w:lvl>
    <w:lvl w:ilvl="3" w:tplc="736C7B5A">
      <w:start w:val="1"/>
      <w:numFmt w:val="bullet"/>
      <w:lvlText w:val=""/>
      <w:lvlJc w:val="left"/>
      <w:pPr>
        <w:ind w:left="2880" w:hanging="360"/>
      </w:pPr>
      <w:rPr>
        <w:rFonts w:ascii="Symbol" w:hAnsi="Symbol" w:hint="default"/>
      </w:rPr>
    </w:lvl>
    <w:lvl w:ilvl="4" w:tplc="B12090D4">
      <w:start w:val="1"/>
      <w:numFmt w:val="bullet"/>
      <w:lvlText w:val="o"/>
      <w:lvlJc w:val="left"/>
      <w:pPr>
        <w:ind w:left="3600" w:hanging="360"/>
      </w:pPr>
      <w:rPr>
        <w:rFonts w:ascii="Courier New" w:hAnsi="Courier New" w:hint="default"/>
      </w:rPr>
    </w:lvl>
    <w:lvl w:ilvl="5" w:tplc="8438E91C">
      <w:start w:val="1"/>
      <w:numFmt w:val="bullet"/>
      <w:lvlText w:val=""/>
      <w:lvlJc w:val="left"/>
      <w:pPr>
        <w:ind w:left="4320" w:hanging="360"/>
      </w:pPr>
      <w:rPr>
        <w:rFonts w:ascii="Wingdings" w:hAnsi="Wingdings" w:hint="default"/>
      </w:rPr>
    </w:lvl>
    <w:lvl w:ilvl="6" w:tplc="788E7768">
      <w:start w:val="1"/>
      <w:numFmt w:val="bullet"/>
      <w:lvlText w:val=""/>
      <w:lvlJc w:val="left"/>
      <w:pPr>
        <w:ind w:left="5040" w:hanging="360"/>
      </w:pPr>
      <w:rPr>
        <w:rFonts w:ascii="Symbol" w:hAnsi="Symbol" w:hint="default"/>
      </w:rPr>
    </w:lvl>
    <w:lvl w:ilvl="7" w:tplc="4D9AA4AA">
      <w:start w:val="1"/>
      <w:numFmt w:val="bullet"/>
      <w:lvlText w:val="o"/>
      <w:lvlJc w:val="left"/>
      <w:pPr>
        <w:ind w:left="5760" w:hanging="360"/>
      </w:pPr>
      <w:rPr>
        <w:rFonts w:ascii="Courier New" w:hAnsi="Courier New" w:hint="default"/>
      </w:rPr>
    </w:lvl>
    <w:lvl w:ilvl="8" w:tplc="AA10979E">
      <w:start w:val="1"/>
      <w:numFmt w:val="bullet"/>
      <w:lvlText w:val=""/>
      <w:lvlJc w:val="left"/>
      <w:pPr>
        <w:ind w:left="6480" w:hanging="360"/>
      </w:pPr>
      <w:rPr>
        <w:rFonts w:ascii="Wingdings" w:hAnsi="Wingdings" w:hint="default"/>
      </w:rPr>
    </w:lvl>
  </w:abstractNum>
  <w:abstractNum w:abstractNumId="2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21B4A"/>
    <w:multiLevelType w:val="hybridMultilevel"/>
    <w:tmpl w:val="444ED6D8"/>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2157C3"/>
    <w:multiLevelType w:val="hybridMultilevel"/>
    <w:tmpl w:val="44F27492"/>
    <w:lvl w:ilvl="0" w:tplc="938CF4B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AD556C"/>
    <w:multiLevelType w:val="hybridMultilevel"/>
    <w:tmpl w:val="AD60BE9E"/>
    <w:lvl w:ilvl="0" w:tplc="E8FE1992">
      <w:start w:val="1"/>
      <w:numFmt w:val="bullet"/>
      <w:lvlText w:val="›"/>
      <w:lvlJc w:val="left"/>
      <w:pPr>
        <w:ind w:left="360" w:hanging="360"/>
      </w:pPr>
      <w:rPr>
        <w:rFonts w:ascii="Franklin Gothic Book" w:hAnsi="Franklin Gothic Book"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C315F7"/>
    <w:multiLevelType w:val="hybridMultilevel"/>
    <w:tmpl w:val="BC9AD6F0"/>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914516D"/>
    <w:multiLevelType w:val="hybridMultilevel"/>
    <w:tmpl w:val="E61A27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4E1E2C72"/>
    <w:multiLevelType w:val="hybridMultilevel"/>
    <w:tmpl w:val="BF2C7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234D01"/>
    <w:multiLevelType w:val="hybridMultilevel"/>
    <w:tmpl w:val="A6F23C24"/>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37046A"/>
    <w:multiLevelType w:val="hybridMultilevel"/>
    <w:tmpl w:val="02C23FDC"/>
    <w:lvl w:ilvl="0" w:tplc="938CF4B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620050"/>
    <w:multiLevelType w:val="hybridMultilevel"/>
    <w:tmpl w:val="677093FA"/>
    <w:lvl w:ilvl="0" w:tplc="E8FE1992">
      <w:start w:val="1"/>
      <w:numFmt w:val="bullet"/>
      <w:lvlText w:val="›"/>
      <w:lvlJc w:val="left"/>
      <w:pPr>
        <w:ind w:left="720" w:hanging="360"/>
      </w:pPr>
      <w:rPr>
        <w:rFonts w:ascii="Franklin Gothic Book" w:hAnsi="Franklin Gothic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A76752"/>
    <w:multiLevelType w:val="hybridMultilevel"/>
    <w:tmpl w:val="7D861036"/>
    <w:lvl w:ilvl="0" w:tplc="7DBCFC74">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EC213D"/>
    <w:multiLevelType w:val="hybridMultilevel"/>
    <w:tmpl w:val="81589C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AC66AB"/>
    <w:multiLevelType w:val="hybridMultilevel"/>
    <w:tmpl w:val="1B12EB08"/>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A59B0"/>
    <w:multiLevelType w:val="hybridMultilevel"/>
    <w:tmpl w:val="A0D46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4ACD8C1"/>
    <w:multiLevelType w:val="hybridMultilevel"/>
    <w:tmpl w:val="C53E95BC"/>
    <w:lvl w:ilvl="0" w:tplc="B9F4696C">
      <w:start w:val="1"/>
      <w:numFmt w:val="bullet"/>
      <w:lvlText w:val="▫"/>
      <w:lvlJc w:val="left"/>
      <w:pPr>
        <w:ind w:left="720" w:hanging="360"/>
      </w:pPr>
      <w:rPr>
        <w:rFonts w:ascii="Courier New" w:hAnsi="Courier New" w:hint="default"/>
      </w:rPr>
    </w:lvl>
    <w:lvl w:ilvl="1" w:tplc="EBC6B7C2">
      <w:start w:val="1"/>
      <w:numFmt w:val="bullet"/>
      <w:lvlText w:val="o"/>
      <w:lvlJc w:val="left"/>
      <w:pPr>
        <w:ind w:left="1440" w:hanging="360"/>
      </w:pPr>
      <w:rPr>
        <w:rFonts w:ascii="Courier New" w:hAnsi="Courier New" w:hint="default"/>
      </w:rPr>
    </w:lvl>
    <w:lvl w:ilvl="2" w:tplc="032280E8">
      <w:start w:val="1"/>
      <w:numFmt w:val="bullet"/>
      <w:lvlText w:val=""/>
      <w:lvlJc w:val="left"/>
      <w:pPr>
        <w:ind w:left="2160" w:hanging="360"/>
      </w:pPr>
      <w:rPr>
        <w:rFonts w:ascii="Wingdings" w:hAnsi="Wingdings" w:hint="default"/>
      </w:rPr>
    </w:lvl>
    <w:lvl w:ilvl="3" w:tplc="C8E221CE">
      <w:start w:val="1"/>
      <w:numFmt w:val="bullet"/>
      <w:lvlText w:val=""/>
      <w:lvlJc w:val="left"/>
      <w:pPr>
        <w:ind w:left="2880" w:hanging="360"/>
      </w:pPr>
      <w:rPr>
        <w:rFonts w:ascii="Symbol" w:hAnsi="Symbol" w:hint="default"/>
      </w:rPr>
    </w:lvl>
    <w:lvl w:ilvl="4" w:tplc="2A9291E0">
      <w:start w:val="1"/>
      <w:numFmt w:val="bullet"/>
      <w:lvlText w:val="o"/>
      <w:lvlJc w:val="left"/>
      <w:pPr>
        <w:ind w:left="3600" w:hanging="360"/>
      </w:pPr>
      <w:rPr>
        <w:rFonts w:ascii="Courier New" w:hAnsi="Courier New" w:hint="default"/>
      </w:rPr>
    </w:lvl>
    <w:lvl w:ilvl="5" w:tplc="CC9055E6">
      <w:start w:val="1"/>
      <w:numFmt w:val="bullet"/>
      <w:lvlText w:val=""/>
      <w:lvlJc w:val="left"/>
      <w:pPr>
        <w:ind w:left="4320" w:hanging="360"/>
      </w:pPr>
      <w:rPr>
        <w:rFonts w:ascii="Wingdings" w:hAnsi="Wingdings" w:hint="default"/>
      </w:rPr>
    </w:lvl>
    <w:lvl w:ilvl="6" w:tplc="E58CD194">
      <w:start w:val="1"/>
      <w:numFmt w:val="bullet"/>
      <w:lvlText w:val=""/>
      <w:lvlJc w:val="left"/>
      <w:pPr>
        <w:ind w:left="5040" w:hanging="360"/>
      </w:pPr>
      <w:rPr>
        <w:rFonts w:ascii="Symbol" w:hAnsi="Symbol" w:hint="default"/>
      </w:rPr>
    </w:lvl>
    <w:lvl w:ilvl="7" w:tplc="9A484BC0">
      <w:start w:val="1"/>
      <w:numFmt w:val="bullet"/>
      <w:lvlText w:val="o"/>
      <w:lvlJc w:val="left"/>
      <w:pPr>
        <w:ind w:left="5760" w:hanging="360"/>
      </w:pPr>
      <w:rPr>
        <w:rFonts w:ascii="Courier New" w:hAnsi="Courier New" w:hint="default"/>
      </w:rPr>
    </w:lvl>
    <w:lvl w:ilvl="8" w:tplc="5B3221EC">
      <w:start w:val="1"/>
      <w:numFmt w:val="bullet"/>
      <w:lvlText w:val=""/>
      <w:lvlJc w:val="left"/>
      <w:pPr>
        <w:ind w:left="6480" w:hanging="360"/>
      </w:pPr>
      <w:rPr>
        <w:rFonts w:ascii="Wingdings" w:hAnsi="Wingdings" w:hint="default"/>
      </w:rPr>
    </w:lvl>
  </w:abstractNum>
  <w:abstractNum w:abstractNumId="44" w15:restartNumberingAfterBreak="0">
    <w:nsid w:val="55863373"/>
    <w:multiLevelType w:val="hybridMultilevel"/>
    <w:tmpl w:val="0A96613C"/>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957300B"/>
    <w:multiLevelType w:val="multilevel"/>
    <w:tmpl w:val="DE7CBDBE"/>
    <w:numStyleLink w:val="BulletsList"/>
  </w:abstractNum>
  <w:abstractNum w:abstractNumId="4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7"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5A802CD8"/>
    <w:multiLevelType w:val="hybridMultilevel"/>
    <w:tmpl w:val="4B3CBEC2"/>
    <w:lvl w:ilvl="0" w:tplc="938CF4BE">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C8F2A19"/>
    <w:multiLevelType w:val="hybridMultilevel"/>
    <w:tmpl w:val="560A3F96"/>
    <w:lvl w:ilvl="0" w:tplc="938CF4B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1"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FE71D2"/>
    <w:multiLevelType w:val="hybridMultilevel"/>
    <w:tmpl w:val="AF782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0422C5"/>
    <w:multiLevelType w:val="hybridMultilevel"/>
    <w:tmpl w:val="0AA493DC"/>
    <w:lvl w:ilvl="0" w:tplc="938CF4BE">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1FC1297"/>
    <w:multiLevelType w:val="hybridMultilevel"/>
    <w:tmpl w:val="6CCC3B38"/>
    <w:lvl w:ilvl="0" w:tplc="938CF4B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107305"/>
    <w:multiLevelType w:val="multilevel"/>
    <w:tmpl w:val="DE7CBDB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5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7A252D95"/>
    <w:multiLevelType w:val="hybridMultilevel"/>
    <w:tmpl w:val="C5C24F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A1D05"/>
    <w:multiLevelType w:val="hybridMultilevel"/>
    <w:tmpl w:val="13587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DE17FC5"/>
    <w:multiLevelType w:val="hybridMultilevel"/>
    <w:tmpl w:val="F058E2F2"/>
    <w:lvl w:ilvl="0" w:tplc="FFFFFFFF">
      <w:start w:val="1"/>
      <w:numFmt w:val="bullet"/>
      <w:lvlText w:val=""/>
      <w:lvlJc w:val="left"/>
      <w:pPr>
        <w:tabs>
          <w:tab w:val="num" w:pos="567"/>
        </w:tabs>
        <w:ind w:left="567" w:hanging="283"/>
      </w:pPr>
      <w:rPr>
        <w:rFonts w:ascii="Symbol" w:hAnsi="Symbo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F7A528B"/>
    <w:multiLevelType w:val="hybridMultilevel"/>
    <w:tmpl w:val="A4421A98"/>
    <w:lvl w:ilvl="0" w:tplc="FFFFFFFF">
      <w:start w:val="1"/>
      <w:numFmt w:val="bullet"/>
      <w:lvlText w:val=""/>
      <w:lvlJc w:val="left"/>
      <w:pPr>
        <w:ind w:left="360"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EB202B"/>
    <w:multiLevelType w:val="hybridMultilevel"/>
    <w:tmpl w:val="774C0E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147161104">
    <w:abstractNumId w:val="43"/>
  </w:num>
  <w:num w:numId="2" w16cid:durableId="1867713719">
    <w:abstractNumId w:val="27"/>
  </w:num>
  <w:num w:numId="3" w16cid:durableId="453721318">
    <w:abstractNumId w:val="20"/>
  </w:num>
  <w:num w:numId="4" w16cid:durableId="1023434818">
    <w:abstractNumId w:val="21"/>
  </w:num>
  <w:num w:numId="5" w16cid:durableId="1383284971">
    <w:abstractNumId w:val="55"/>
  </w:num>
  <w:num w:numId="6" w16cid:durableId="115611990">
    <w:abstractNumId w:val="5"/>
  </w:num>
  <w:num w:numId="7" w16cid:durableId="1449734740">
    <w:abstractNumId w:val="22"/>
  </w:num>
  <w:num w:numId="8" w16cid:durableId="1848330463">
    <w:abstractNumId w:val="46"/>
  </w:num>
  <w:num w:numId="9" w16cid:durableId="891618866">
    <w:abstractNumId w:val="50"/>
  </w:num>
  <w:num w:numId="10" w16cid:durableId="438840302">
    <w:abstractNumId w:val="5"/>
  </w:num>
  <w:num w:numId="11" w16cid:durableId="1611163562">
    <w:abstractNumId w:val="22"/>
  </w:num>
  <w:num w:numId="12" w16cid:durableId="546769023">
    <w:abstractNumId w:val="9"/>
  </w:num>
  <w:num w:numId="13" w16cid:durableId="1379360632">
    <w:abstractNumId w:val="56"/>
  </w:num>
  <w:num w:numId="14" w16cid:durableId="2142458154">
    <w:abstractNumId w:val="45"/>
  </w:num>
  <w:num w:numId="15" w16cid:durableId="1788353580">
    <w:abstractNumId w:val="42"/>
  </w:num>
  <w:num w:numId="16" w16cid:durableId="1215889836">
    <w:abstractNumId w:val="34"/>
  </w:num>
  <w:num w:numId="17" w16cid:durableId="222182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225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5746912">
    <w:abstractNumId w:val="51"/>
  </w:num>
  <w:num w:numId="20" w16cid:durableId="1873302818">
    <w:abstractNumId w:val="7"/>
  </w:num>
  <w:num w:numId="21" w16cid:durableId="4246948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1706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035076">
    <w:abstractNumId w:val="41"/>
  </w:num>
  <w:num w:numId="24" w16cid:durableId="1420444856">
    <w:abstractNumId w:val="28"/>
  </w:num>
  <w:num w:numId="25" w16cid:durableId="777603810">
    <w:abstractNumId w:val="60"/>
  </w:num>
  <w:num w:numId="26" w16cid:durableId="2095126320">
    <w:abstractNumId w:val="4"/>
  </w:num>
  <w:num w:numId="27" w16cid:durableId="1465931944">
    <w:abstractNumId w:val="19"/>
  </w:num>
  <w:num w:numId="28" w16cid:durableId="2025981315">
    <w:abstractNumId w:val="15"/>
  </w:num>
  <w:num w:numId="29" w16cid:durableId="878392758">
    <w:abstractNumId w:val="17"/>
  </w:num>
  <w:num w:numId="30" w16cid:durableId="893850332">
    <w:abstractNumId w:val="25"/>
  </w:num>
  <w:num w:numId="31" w16cid:durableId="252083274">
    <w:abstractNumId w:val="24"/>
  </w:num>
  <w:num w:numId="32" w16cid:durableId="1026758886">
    <w:abstractNumId w:val="31"/>
  </w:num>
  <w:num w:numId="33" w16cid:durableId="1563129114">
    <w:abstractNumId w:val="18"/>
  </w:num>
  <w:num w:numId="34" w16cid:durableId="1792629236">
    <w:abstractNumId w:val="37"/>
  </w:num>
  <w:num w:numId="35" w16cid:durableId="1487672230">
    <w:abstractNumId w:val="26"/>
  </w:num>
  <w:num w:numId="36" w16cid:durableId="1746801772">
    <w:abstractNumId w:val="2"/>
  </w:num>
  <w:num w:numId="37" w16cid:durableId="265305812">
    <w:abstractNumId w:val="10"/>
  </w:num>
  <w:num w:numId="38" w16cid:durableId="1772778277">
    <w:abstractNumId w:val="14"/>
  </w:num>
  <w:num w:numId="39" w16cid:durableId="1336418176">
    <w:abstractNumId w:val="38"/>
  </w:num>
  <w:num w:numId="40" w16cid:durableId="797456682">
    <w:abstractNumId w:val="39"/>
  </w:num>
  <w:num w:numId="41" w16cid:durableId="2144158415">
    <w:abstractNumId w:val="52"/>
  </w:num>
  <w:num w:numId="42" w16cid:durableId="1360357976">
    <w:abstractNumId w:val="23"/>
  </w:num>
  <w:num w:numId="43" w16cid:durableId="1118649300">
    <w:abstractNumId w:val="58"/>
  </w:num>
  <w:num w:numId="44" w16cid:durableId="2020042666">
    <w:abstractNumId w:val="44"/>
  </w:num>
  <w:num w:numId="45" w16cid:durableId="1452287388">
    <w:abstractNumId w:val="12"/>
  </w:num>
  <w:num w:numId="46" w16cid:durableId="1357122049">
    <w:abstractNumId w:val="32"/>
  </w:num>
  <w:num w:numId="47" w16cid:durableId="119959718">
    <w:abstractNumId w:val="6"/>
  </w:num>
  <w:num w:numId="48" w16cid:durableId="2096198173">
    <w:abstractNumId w:val="8"/>
  </w:num>
  <w:num w:numId="49" w16cid:durableId="1599675225">
    <w:abstractNumId w:val="16"/>
  </w:num>
  <w:num w:numId="50" w16cid:durableId="118840919">
    <w:abstractNumId w:val="36"/>
  </w:num>
  <w:num w:numId="51" w16cid:durableId="2075733868">
    <w:abstractNumId w:val="48"/>
  </w:num>
  <w:num w:numId="52" w16cid:durableId="1765957887">
    <w:abstractNumId w:val="53"/>
  </w:num>
  <w:num w:numId="53" w16cid:durableId="1969358466">
    <w:abstractNumId w:val="59"/>
  </w:num>
  <w:num w:numId="54" w16cid:durableId="1435125022">
    <w:abstractNumId w:val="1"/>
  </w:num>
  <w:num w:numId="55" w16cid:durableId="1554393183">
    <w:abstractNumId w:val="0"/>
  </w:num>
  <w:num w:numId="56" w16cid:durableId="1431699779">
    <w:abstractNumId w:val="49"/>
  </w:num>
  <w:num w:numId="57" w16cid:durableId="1646274115">
    <w:abstractNumId w:val="40"/>
  </w:num>
  <w:num w:numId="58" w16cid:durableId="2075270175">
    <w:abstractNumId w:val="29"/>
  </w:num>
  <w:num w:numId="59" w16cid:durableId="1684548950">
    <w:abstractNumId w:val="54"/>
  </w:num>
  <w:num w:numId="60" w16cid:durableId="269702584">
    <w:abstractNumId w:val="30"/>
  </w:num>
  <w:num w:numId="61" w16cid:durableId="1469979468">
    <w:abstractNumId w:val="35"/>
  </w:num>
  <w:num w:numId="62" w16cid:durableId="1824270744">
    <w:abstractNumId w:val="3"/>
  </w:num>
  <w:num w:numId="63" w16cid:durableId="1750229752">
    <w:abstractNumId w:val="57"/>
  </w:num>
  <w:num w:numId="64" w16cid:durableId="1110247276">
    <w:abstractNumId w:val="61"/>
  </w:num>
  <w:num w:numId="65" w16cid:durableId="1739476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09"/>
    <w:rsid w:val="00000D74"/>
    <w:rsid w:val="00005A35"/>
    <w:rsid w:val="00013F0E"/>
    <w:rsid w:val="0002080A"/>
    <w:rsid w:val="00020835"/>
    <w:rsid w:val="00024613"/>
    <w:rsid w:val="00027287"/>
    <w:rsid w:val="0002782F"/>
    <w:rsid w:val="000356C3"/>
    <w:rsid w:val="00043E88"/>
    <w:rsid w:val="000524C5"/>
    <w:rsid w:val="00054E4D"/>
    <w:rsid w:val="00057479"/>
    <w:rsid w:val="00060073"/>
    <w:rsid w:val="000630A7"/>
    <w:rsid w:val="00064004"/>
    <w:rsid w:val="00070C6A"/>
    <w:rsid w:val="00083A96"/>
    <w:rsid w:val="00083D12"/>
    <w:rsid w:val="000B3155"/>
    <w:rsid w:val="000B321A"/>
    <w:rsid w:val="000C5824"/>
    <w:rsid w:val="000D3659"/>
    <w:rsid w:val="000E79F6"/>
    <w:rsid w:val="000E7D97"/>
    <w:rsid w:val="000F2A97"/>
    <w:rsid w:val="000F7A87"/>
    <w:rsid w:val="00107FFD"/>
    <w:rsid w:val="0011093B"/>
    <w:rsid w:val="001250CF"/>
    <w:rsid w:val="001311D5"/>
    <w:rsid w:val="00141E3E"/>
    <w:rsid w:val="001541EA"/>
    <w:rsid w:val="00157C34"/>
    <w:rsid w:val="00161DD9"/>
    <w:rsid w:val="00173136"/>
    <w:rsid w:val="001814A6"/>
    <w:rsid w:val="001A4FE1"/>
    <w:rsid w:val="001A79DE"/>
    <w:rsid w:val="001C013B"/>
    <w:rsid w:val="001C7935"/>
    <w:rsid w:val="001D63DB"/>
    <w:rsid w:val="001D663E"/>
    <w:rsid w:val="001E0802"/>
    <w:rsid w:val="001E1DC0"/>
    <w:rsid w:val="001E3AF7"/>
    <w:rsid w:val="001F09D3"/>
    <w:rsid w:val="00203BF7"/>
    <w:rsid w:val="0020630D"/>
    <w:rsid w:val="002203DC"/>
    <w:rsid w:val="0022186C"/>
    <w:rsid w:val="0023481D"/>
    <w:rsid w:val="00234A59"/>
    <w:rsid w:val="00240892"/>
    <w:rsid w:val="0024653B"/>
    <w:rsid w:val="00247D2B"/>
    <w:rsid w:val="00271503"/>
    <w:rsid w:val="00271E66"/>
    <w:rsid w:val="00276B76"/>
    <w:rsid w:val="0028602A"/>
    <w:rsid w:val="002D484F"/>
    <w:rsid w:val="002D68AC"/>
    <w:rsid w:val="003002C0"/>
    <w:rsid w:val="00301144"/>
    <w:rsid w:val="003148B7"/>
    <w:rsid w:val="003158C3"/>
    <w:rsid w:val="003274CD"/>
    <w:rsid w:val="00332F1A"/>
    <w:rsid w:val="00333501"/>
    <w:rsid w:val="00335066"/>
    <w:rsid w:val="003457C4"/>
    <w:rsid w:val="0035119D"/>
    <w:rsid w:val="003567C7"/>
    <w:rsid w:val="00363B3C"/>
    <w:rsid w:val="00376C35"/>
    <w:rsid w:val="00383B26"/>
    <w:rsid w:val="003A51B1"/>
    <w:rsid w:val="003A5358"/>
    <w:rsid w:val="003B4F12"/>
    <w:rsid w:val="003D345B"/>
    <w:rsid w:val="003D52A8"/>
    <w:rsid w:val="003E0442"/>
    <w:rsid w:val="003E6642"/>
    <w:rsid w:val="003E6FD8"/>
    <w:rsid w:val="003F05EC"/>
    <w:rsid w:val="003F78CF"/>
    <w:rsid w:val="004215E7"/>
    <w:rsid w:val="004230ED"/>
    <w:rsid w:val="00423F31"/>
    <w:rsid w:val="0042455D"/>
    <w:rsid w:val="00425CB9"/>
    <w:rsid w:val="00426C51"/>
    <w:rsid w:val="00427B4D"/>
    <w:rsid w:val="00431899"/>
    <w:rsid w:val="00467695"/>
    <w:rsid w:val="00481CA0"/>
    <w:rsid w:val="00486804"/>
    <w:rsid w:val="00486CD9"/>
    <w:rsid w:val="0048788A"/>
    <w:rsid w:val="004929B6"/>
    <w:rsid w:val="00495F8E"/>
    <w:rsid w:val="004B3775"/>
    <w:rsid w:val="004D0AEE"/>
    <w:rsid w:val="004D0D1B"/>
    <w:rsid w:val="004D336E"/>
    <w:rsid w:val="004D633C"/>
    <w:rsid w:val="004E058F"/>
    <w:rsid w:val="004E3B87"/>
    <w:rsid w:val="004F1694"/>
    <w:rsid w:val="00501EA3"/>
    <w:rsid w:val="0050405D"/>
    <w:rsid w:val="00510921"/>
    <w:rsid w:val="00510AD3"/>
    <w:rsid w:val="00512AA0"/>
    <w:rsid w:val="00513348"/>
    <w:rsid w:val="00514F72"/>
    <w:rsid w:val="00533B5D"/>
    <w:rsid w:val="00583341"/>
    <w:rsid w:val="0058458D"/>
    <w:rsid w:val="0058530D"/>
    <w:rsid w:val="00596DED"/>
    <w:rsid w:val="005B583F"/>
    <w:rsid w:val="005B627E"/>
    <w:rsid w:val="005D7F14"/>
    <w:rsid w:val="005E732C"/>
    <w:rsid w:val="005F727C"/>
    <w:rsid w:val="006017AB"/>
    <w:rsid w:val="00617926"/>
    <w:rsid w:val="00623BA1"/>
    <w:rsid w:val="00627558"/>
    <w:rsid w:val="00627566"/>
    <w:rsid w:val="006346BC"/>
    <w:rsid w:val="00644C1F"/>
    <w:rsid w:val="00655169"/>
    <w:rsid w:val="00660AF5"/>
    <w:rsid w:val="0066652A"/>
    <w:rsid w:val="00671F12"/>
    <w:rsid w:val="00673679"/>
    <w:rsid w:val="00682167"/>
    <w:rsid w:val="00687B3B"/>
    <w:rsid w:val="006B0E2A"/>
    <w:rsid w:val="006C0C6A"/>
    <w:rsid w:val="006C42AF"/>
    <w:rsid w:val="006C483E"/>
    <w:rsid w:val="006E2A12"/>
    <w:rsid w:val="006F0606"/>
    <w:rsid w:val="006F1032"/>
    <w:rsid w:val="00700B3A"/>
    <w:rsid w:val="0071086E"/>
    <w:rsid w:val="00711D8E"/>
    <w:rsid w:val="00712672"/>
    <w:rsid w:val="00717AAA"/>
    <w:rsid w:val="00720F70"/>
    <w:rsid w:val="007261D9"/>
    <w:rsid w:val="00734E3F"/>
    <w:rsid w:val="00736985"/>
    <w:rsid w:val="00745DF5"/>
    <w:rsid w:val="00746992"/>
    <w:rsid w:val="00747FAD"/>
    <w:rsid w:val="00750DBA"/>
    <w:rsid w:val="00756044"/>
    <w:rsid w:val="00761FBB"/>
    <w:rsid w:val="007646F3"/>
    <w:rsid w:val="00774489"/>
    <w:rsid w:val="007806BC"/>
    <w:rsid w:val="007842F6"/>
    <w:rsid w:val="0079738A"/>
    <w:rsid w:val="007A1D19"/>
    <w:rsid w:val="007A3A09"/>
    <w:rsid w:val="007B42BF"/>
    <w:rsid w:val="007B6200"/>
    <w:rsid w:val="007C2158"/>
    <w:rsid w:val="007C42D8"/>
    <w:rsid w:val="007C47FB"/>
    <w:rsid w:val="007D416F"/>
    <w:rsid w:val="007D4D9D"/>
    <w:rsid w:val="007E03BF"/>
    <w:rsid w:val="007E3380"/>
    <w:rsid w:val="007E670F"/>
    <w:rsid w:val="007F3395"/>
    <w:rsid w:val="00801B9F"/>
    <w:rsid w:val="00805B7D"/>
    <w:rsid w:val="00806503"/>
    <w:rsid w:val="0081516A"/>
    <w:rsid w:val="00817FF7"/>
    <w:rsid w:val="008233C5"/>
    <w:rsid w:val="00834336"/>
    <w:rsid w:val="0085011E"/>
    <w:rsid w:val="00864926"/>
    <w:rsid w:val="008717FE"/>
    <w:rsid w:val="00874A2E"/>
    <w:rsid w:val="008770D6"/>
    <w:rsid w:val="008830D2"/>
    <w:rsid w:val="00892441"/>
    <w:rsid w:val="008B6A3F"/>
    <w:rsid w:val="008C455D"/>
    <w:rsid w:val="008C5A0E"/>
    <w:rsid w:val="008D2FB9"/>
    <w:rsid w:val="008E032F"/>
    <w:rsid w:val="008F516A"/>
    <w:rsid w:val="008F6EC4"/>
    <w:rsid w:val="0090518B"/>
    <w:rsid w:val="00912A39"/>
    <w:rsid w:val="00915167"/>
    <w:rsid w:val="00915613"/>
    <w:rsid w:val="00920339"/>
    <w:rsid w:val="0092399E"/>
    <w:rsid w:val="00954BF8"/>
    <w:rsid w:val="00961895"/>
    <w:rsid w:val="00970AFA"/>
    <w:rsid w:val="00971938"/>
    <w:rsid w:val="00976C66"/>
    <w:rsid w:val="00982A5F"/>
    <w:rsid w:val="009946C6"/>
    <w:rsid w:val="009A60A0"/>
    <w:rsid w:val="009B12CA"/>
    <w:rsid w:val="009B4D3B"/>
    <w:rsid w:val="009D5AA5"/>
    <w:rsid w:val="009D7407"/>
    <w:rsid w:val="009E0866"/>
    <w:rsid w:val="009F6423"/>
    <w:rsid w:val="00A06059"/>
    <w:rsid w:val="00A13E4D"/>
    <w:rsid w:val="00A17134"/>
    <w:rsid w:val="00A24100"/>
    <w:rsid w:val="00A2486C"/>
    <w:rsid w:val="00A24A62"/>
    <w:rsid w:val="00A31C9F"/>
    <w:rsid w:val="00A36AD8"/>
    <w:rsid w:val="00A4144F"/>
    <w:rsid w:val="00A43D5A"/>
    <w:rsid w:val="00A53901"/>
    <w:rsid w:val="00A6241D"/>
    <w:rsid w:val="00A65F96"/>
    <w:rsid w:val="00A75A27"/>
    <w:rsid w:val="00A84E36"/>
    <w:rsid w:val="00A9285E"/>
    <w:rsid w:val="00AA485D"/>
    <w:rsid w:val="00AB388E"/>
    <w:rsid w:val="00AB6D8B"/>
    <w:rsid w:val="00AC1129"/>
    <w:rsid w:val="00AC164A"/>
    <w:rsid w:val="00AC5C34"/>
    <w:rsid w:val="00AD64F0"/>
    <w:rsid w:val="00AE5166"/>
    <w:rsid w:val="00AF2050"/>
    <w:rsid w:val="00AF6D5E"/>
    <w:rsid w:val="00B03CA8"/>
    <w:rsid w:val="00B063F0"/>
    <w:rsid w:val="00B136B2"/>
    <w:rsid w:val="00B16CB6"/>
    <w:rsid w:val="00B259AC"/>
    <w:rsid w:val="00B34059"/>
    <w:rsid w:val="00B447CD"/>
    <w:rsid w:val="00B54A74"/>
    <w:rsid w:val="00B55E19"/>
    <w:rsid w:val="00B621D1"/>
    <w:rsid w:val="00B851FD"/>
    <w:rsid w:val="00B92E1E"/>
    <w:rsid w:val="00B9698B"/>
    <w:rsid w:val="00BA4B6D"/>
    <w:rsid w:val="00BB19CD"/>
    <w:rsid w:val="00BB26C5"/>
    <w:rsid w:val="00BB5FDC"/>
    <w:rsid w:val="00BC46C4"/>
    <w:rsid w:val="00BD0B98"/>
    <w:rsid w:val="00BE0891"/>
    <w:rsid w:val="00BF14D0"/>
    <w:rsid w:val="00BF29D2"/>
    <w:rsid w:val="00BF3A17"/>
    <w:rsid w:val="00BF4DE6"/>
    <w:rsid w:val="00C00C98"/>
    <w:rsid w:val="00C02157"/>
    <w:rsid w:val="00C04CAA"/>
    <w:rsid w:val="00C10158"/>
    <w:rsid w:val="00C16478"/>
    <w:rsid w:val="00C16C7D"/>
    <w:rsid w:val="00C310B2"/>
    <w:rsid w:val="00C3731C"/>
    <w:rsid w:val="00C40785"/>
    <w:rsid w:val="00C42CDE"/>
    <w:rsid w:val="00C63EE9"/>
    <w:rsid w:val="00C83B96"/>
    <w:rsid w:val="00C86007"/>
    <w:rsid w:val="00C87D5E"/>
    <w:rsid w:val="00CA37B1"/>
    <w:rsid w:val="00CA6EC9"/>
    <w:rsid w:val="00CB11D6"/>
    <w:rsid w:val="00CB1959"/>
    <w:rsid w:val="00CC431B"/>
    <w:rsid w:val="00CC6935"/>
    <w:rsid w:val="00CD2F34"/>
    <w:rsid w:val="00CE22EF"/>
    <w:rsid w:val="00CE58E6"/>
    <w:rsid w:val="00D0296C"/>
    <w:rsid w:val="00D17E7D"/>
    <w:rsid w:val="00D203EB"/>
    <w:rsid w:val="00D20F75"/>
    <w:rsid w:val="00D30593"/>
    <w:rsid w:val="00D40C15"/>
    <w:rsid w:val="00D500E9"/>
    <w:rsid w:val="00D53A84"/>
    <w:rsid w:val="00D57616"/>
    <w:rsid w:val="00D75F8D"/>
    <w:rsid w:val="00D77819"/>
    <w:rsid w:val="00D83B94"/>
    <w:rsid w:val="00D91FC1"/>
    <w:rsid w:val="00D975D3"/>
    <w:rsid w:val="00DA0729"/>
    <w:rsid w:val="00DE2F05"/>
    <w:rsid w:val="00DE2F68"/>
    <w:rsid w:val="00DF327C"/>
    <w:rsid w:val="00E1295B"/>
    <w:rsid w:val="00E357B7"/>
    <w:rsid w:val="00E377D5"/>
    <w:rsid w:val="00E454EE"/>
    <w:rsid w:val="00E53800"/>
    <w:rsid w:val="00E6081F"/>
    <w:rsid w:val="00E61F38"/>
    <w:rsid w:val="00E658B7"/>
    <w:rsid w:val="00E6753E"/>
    <w:rsid w:val="00E70992"/>
    <w:rsid w:val="00E82491"/>
    <w:rsid w:val="00E839A4"/>
    <w:rsid w:val="00E9158E"/>
    <w:rsid w:val="00E93908"/>
    <w:rsid w:val="00EA04B2"/>
    <w:rsid w:val="00EA0BCE"/>
    <w:rsid w:val="00EA20F3"/>
    <w:rsid w:val="00EA5875"/>
    <w:rsid w:val="00EB493E"/>
    <w:rsid w:val="00EC51BC"/>
    <w:rsid w:val="00ED43D1"/>
    <w:rsid w:val="00ED5BC3"/>
    <w:rsid w:val="00EE4EE1"/>
    <w:rsid w:val="00EF1BC0"/>
    <w:rsid w:val="00EF23EA"/>
    <w:rsid w:val="00EF4574"/>
    <w:rsid w:val="00EF5736"/>
    <w:rsid w:val="00F1611E"/>
    <w:rsid w:val="00F20E5E"/>
    <w:rsid w:val="00F2684E"/>
    <w:rsid w:val="00F4791C"/>
    <w:rsid w:val="00F5404C"/>
    <w:rsid w:val="00F6098C"/>
    <w:rsid w:val="00F63911"/>
    <w:rsid w:val="00F64C5B"/>
    <w:rsid w:val="00F70239"/>
    <w:rsid w:val="00F729EF"/>
    <w:rsid w:val="00F77CAE"/>
    <w:rsid w:val="00F87AAD"/>
    <w:rsid w:val="00F958AE"/>
    <w:rsid w:val="00F96BB9"/>
    <w:rsid w:val="00F96E08"/>
    <w:rsid w:val="00FA6261"/>
    <w:rsid w:val="00FB6384"/>
    <w:rsid w:val="00FC111E"/>
    <w:rsid w:val="00FC750D"/>
    <w:rsid w:val="00FC768C"/>
    <w:rsid w:val="00FD1DF4"/>
    <w:rsid w:val="00FD22B7"/>
    <w:rsid w:val="00FE6D51"/>
    <w:rsid w:val="00FE7052"/>
    <w:rsid w:val="016EDC9E"/>
    <w:rsid w:val="01C524E0"/>
    <w:rsid w:val="02D0DD0D"/>
    <w:rsid w:val="030F9098"/>
    <w:rsid w:val="04E800F1"/>
    <w:rsid w:val="06547250"/>
    <w:rsid w:val="089C97C2"/>
    <w:rsid w:val="092C6CFE"/>
    <w:rsid w:val="0B922C2C"/>
    <w:rsid w:val="0B990204"/>
    <w:rsid w:val="10BB028F"/>
    <w:rsid w:val="119491CC"/>
    <w:rsid w:val="138769F7"/>
    <w:rsid w:val="13E6A478"/>
    <w:rsid w:val="144D7ECC"/>
    <w:rsid w:val="15E94F2D"/>
    <w:rsid w:val="16216163"/>
    <w:rsid w:val="16E36F60"/>
    <w:rsid w:val="174490B1"/>
    <w:rsid w:val="17851F8E"/>
    <w:rsid w:val="1955BE80"/>
    <w:rsid w:val="19630212"/>
    <w:rsid w:val="1A4DC798"/>
    <w:rsid w:val="1B62F582"/>
    <w:rsid w:val="1BD647EC"/>
    <w:rsid w:val="1C5890B1"/>
    <w:rsid w:val="1D489AF3"/>
    <w:rsid w:val="1DB52C9A"/>
    <w:rsid w:val="1E472E41"/>
    <w:rsid w:val="1F354ADD"/>
    <w:rsid w:val="208FDD00"/>
    <w:rsid w:val="247FC183"/>
    <w:rsid w:val="2495F255"/>
    <w:rsid w:val="24EA7C32"/>
    <w:rsid w:val="26A22390"/>
    <w:rsid w:val="26F95B37"/>
    <w:rsid w:val="27864FD0"/>
    <w:rsid w:val="27AEDC0F"/>
    <w:rsid w:val="291FF522"/>
    <w:rsid w:val="299D5261"/>
    <w:rsid w:val="2A5BD38E"/>
    <w:rsid w:val="2AA42E37"/>
    <w:rsid w:val="2D0072EE"/>
    <w:rsid w:val="2D1B1B36"/>
    <w:rsid w:val="2DF36645"/>
    <w:rsid w:val="2E127262"/>
    <w:rsid w:val="2E6564AB"/>
    <w:rsid w:val="2F210F4B"/>
    <w:rsid w:val="2FAE42C3"/>
    <w:rsid w:val="300E92FE"/>
    <w:rsid w:val="30CDF217"/>
    <w:rsid w:val="314B0F43"/>
    <w:rsid w:val="31A3A981"/>
    <w:rsid w:val="35FD38AD"/>
    <w:rsid w:val="36FAE24C"/>
    <w:rsid w:val="38FC3397"/>
    <w:rsid w:val="392ED044"/>
    <w:rsid w:val="393276F6"/>
    <w:rsid w:val="39B7F49A"/>
    <w:rsid w:val="3BFE1BFC"/>
    <w:rsid w:val="3CE22D48"/>
    <w:rsid w:val="3D037DB5"/>
    <w:rsid w:val="3D676061"/>
    <w:rsid w:val="3F990D5A"/>
    <w:rsid w:val="404DEEC9"/>
    <w:rsid w:val="40FDFE05"/>
    <w:rsid w:val="42E713C7"/>
    <w:rsid w:val="45215FEC"/>
    <w:rsid w:val="455949E9"/>
    <w:rsid w:val="48597D8F"/>
    <w:rsid w:val="4B2F6416"/>
    <w:rsid w:val="4BC88B6D"/>
    <w:rsid w:val="4BCCC042"/>
    <w:rsid w:val="4C2186EE"/>
    <w:rsid w:val="4C26DC8F"/>
    <w:rsid w:val="4EB22DB8"/>
    <w:rsid w:val="4F20F662"/>
    <w:rsid w:val="50A03165"/>
    <w:rsid w:val="5216CECE"/>
    <w:rsid w:val="53FACEC0"/>
    <w:rsid w:val="55424C02"/>
    <w:rsid w:val="55DF0B34"/>
    <w:rsid w:val="570F72E9"/>
    <w:rsid w:val="57ADEEAD"/>
    <w:rsid w:val="5804D511"/>
    <w:rsid w:val="587CB3C1"/>
    <w:rsid w:val="58F2ACC9"/>
    <w:rsid w:val="5901DF95"/>
    <w:rsid w:val="596540A6"/>
    <w:rsid w:val="596710AA"/>
    <w:rsid w:val="59F07D20"/>
    <w:rsid w:val="5A4713AB"/>
    <w:rsid w:val="5ABF6110"/>
    <w:rsid w:val="5AE58F6F"/>
    <w:rsid w:val="5BC3E526"/>
    <w:rsid w:val="5C815FD0"/>
    <w:rsid w:val="5C90B3F1"/>
    <w:rsid w:val="5D4D8216"/>
    <w:rsid w:val="5D7A9EC2"/>
    <w:rsid w:val="5E202414"/>
    <w:rsid w:val="5EFC5E4E"/>
    <w:rsid w:val="5FC854B3"/>
    <w:rsid w:val="605350DC"/>
    <w:rsid w:val="61423556"/>
    <w:rsid w:val="61642514"/>
    <w:rsid w:val="6193485F"/>
    <w:rsid w:val="61E3ADA0"/>
    <w:rsid w:val="632CC026"/>
    <w:rsid w:val="63860FB7"/>
    <w:rsid w:val="643A7389"/>
    <w:rsid w:val="644FFFC4"/>
    <w:rsid w:val="649E09BE"/>
    <w:rsid w:val="651D769C"/>
    <w:rsid w:val="65A6E4E8"/>
    <w:rsid w:val="65E282AC"/>
    <w:rsid w:val="666460E8"/>
    <w:rsid w:val="67BB7915"/>
    <w:rsid w:val="68CF6A50"/>
    <w:rsid w:val="69B99385"/>
    <w:rsid w:val="69CFDF0B"/>
    <w:rsid w:val="6D0A49DC"/>
    <w:rsid w:val="6E6C6D74"/>
    <w:rsid w:val="6E7988BE"/>
    <w:rsid w:val="6F489C10"/>
    <w:rsid w:val="6F66B108"/>
    <w:rsid w:val="6F6A454E"/>
    <w:rsid w:val="702100FF"/>
    <w:rsid w:val="70367881"/>
    <w:rsid w:val="705F56B5"/>
    <w:rsid w:val="70945C07"/>
    <w:rsid w:val="71028169"/>
    <w:rsid w:val="7132DAD3"/>
    <w:rsid w:val="71A7138F"/>
    <w:rsid w:val="72795D2E"/>
    <w:rsid w:val="72803CD2"/>
    <w:rsid w:val="7333A2B0"/>
    <w:rsid w:val="73CB5202"/>
    <w:rsid w:val="74D10968"/>
    <w:rsid w:val="74E26D02"/>
    <w:rsid w:val="74E6A1D7"/>
    <w:rsid w:val="76389CC2"/>
    <w:rsid w:val="76827238"/>
    <w:rsid w:val="76D17148"/>
    <w:rsid w:val="781A0DC4"/>
    <w:rsid w:val="78A2353A"/>
    <w:rsid w:val="791E0A3D"/>
    <w:rsid w:val="7B677CE4"/>
    <w:rsid w:val="7C0DF6BB"/>
    <w:rsid w:val="7C32B558"/>
    <w:rsid w:val="7C71728D"/>
    <w:rsid w:val="7CF1B3BC"/>
    <w:rsid w:val="7E0F9E99"/>
    <w:rsid w:val="7EE2E5A5"/>
    <w:rsid w:val="7F5CB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0"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iPriority="0" w:unhideWhenUsed="1" w:qFormat="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7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970AFA"/>
    <w:pPr>
      <w:keepNext/>
      <w:keepLines/>
      <w:spacing w:before="0" w:after="120" w:line="380" w:lineRule="exact"/>
      <w:contextualSpacing/>
      <w:outlineLvl w:val="0"/>
    </w:pPr>
    <w:rPr>
      <w:rFonts w:asciiTheme="majorHAnsi" w:eastAsiaTheme="majorEastAsia" w:hAnsiTheme="majorHAnsi" w:cstheme="majorBidi"/>
      <w:b/>
      <w:caps/>
      <w:sz w:val="36"/>
      <w:szCs w:val="36"/>
    </w:rPr>
  </w:style>
  <w:style w:type="paragraph" w:styleId="Heading2">
    <w:name w:val="heading 2"/>
    <w:basedOn w:val="Normal"/>
    <w:next w:val="Normal"/>
    <w:link w:val="Heading2Char"/>
    <w:unhideWhenUsed/>
    <w:qFormat/>
    <w:rsid w:val="00E61F38"/>
    <w:pPr>
      <w:keepNext/>
      <w:keepLines/>
      <w:spacing w:before="360" w:after="120" w:line="260" w:lineRule="exact"/>
      <w:contextualSpacing/>
      <w:outlineLvl w:val="1"/>
    </w:pPr>
    <w:rPr>
      <w:rFonts w:asciiTheme="majorHAnsi" w:eastAsiaTheme="majorEastAsia" w:hAnsiTheme="majorHAnsi" w:cstheme="majorBidi"/>
      <w:b/>
      <w:bCs/>
      <w:caps/>
      <w:color w:val="3DA18F" w:themeColor="accent1" w:themeShade="BF"/>
      <w:sz w:val="32"/>
      <w:szCs w:val="32"/>
    </w:rPr>
  </w:style>
  <w:style w:type="paragraph" w:styleId="Heading3">
    <w:name w:val="heading 3"/>
    <w:basedOn w:val="Heading2"/>
    <w:next w:val="Normal"/>
    <w:link w:val="Heading3Char"/>
    <w:unhideWhenUsed/>
    <w:qFormat/>
    <w:rsid w:val="00501EA3"/>
    <w:pPr>
      <w:spacing w:line="360" w:lineRule="atLeast"/>
      <w:outlineLvl w:val="2"/>
    </w:pPr>
    <w:rPr>
      <w:bCs w:val="0"/>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486CD9"/>
    <w:pPr>
      <w:spacing w:line="200" w:lineRule="atLeast"/>
      <w:outlineLvl w:val="4"/>
    </w:pPr>
    <w:rPr>
      <w:b w:val="0"/>
      <w:sz w:val="22"/>
    </w:rPr>
  </w:style>
  <w:style w:type="paragraph" w:styleId="Heading6">
    <w:name w:val="heading 6"/>
    <w:basedOn w:val="Heading5"/>
    <w:next w:val="Normal"/>
    <w:link w:val="Heading6Char"/>
    <w:uiPriority w:val="9"/>
    <w:unhideWhenUsed/>
    <w:qFormat/>
    <w:rsid w:val="00501EA3"/>
    <w:pPr>
      <w:spacing w:before="40"/>
      <w:outlineLvl w:val="5"/>
    </w:pPr>
    <w:rPr>
      <w:b/>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AFA"/>
    <w:rPr>
      <w:rFonts w:asciiTheme="majorHAnsi" w:eastAsiaTheme="majorEastAsia" w:hAnsiTheme="majorHAnsi" w:cstheme="majorBidi"/>
      <w:b/>
      <w:caps/>
      <w:color w:val="495965" w:themeColor="text2"/>
      <w:sz w:val="36"/>
      <w:szCs w:val="36"/>
      <w:lang w:val="en-GB"/>
    </w:rPr>
  </w:style>
  <w:style w:type="character" w:customStyle="1" w:styleId="Heading2Char">
    <w:name w:val="Heading 2 Char"/>
    <w:basedOn w:val="DefaultParagraphFont"/>
    <w:link w:val="Heading2"/>
    <w:rsid w:val="00E61F38"/>
    <w:rPr>
      <w:rFonts w:asciiTheme="majorHAnsi" w:eastAsiaTheme="majorEastAsia" w:hAnsiTheme="majorHAnsi" w:cstheme="majorBidi"/>
      <w:b/>
      <w:bCs/>
      <w:caps/>
      <w:color w:val="3DA18F" w:themeColor="accent1" w:themeShade="BF"/>
      <w:sz w:val="32"/>
      <w:szCs w:val="32"/>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qFormat/>
    <w:rsid w:val="00501EA3"/>
    <w:pPr>
      <w:spacing w:line="600" w:lineRule="exact"/>
    </w:pPr>
    <w:rPr>
      <w:spacing w:val="-20"/>
      <w:kern w:val="28"/>
      <w:sz w:val="60"/>
      <w:szCs w:val="52"/>
      <w:lang w:val="en-AU"/>
    </w:rPr>
  </w:style>
  <w:style w:type="character" w:customStyle="1" w:styleId="TitleChar">
    <w:name w:val="Title Char"/>
    <w:basedOn w:val="DefaultParagraphFont"/>
    <w:link w:val="Title"/>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486CD9"/>
    <w:pPr>
      <w:numPr>
        <w:numId w:val="14"/>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10"/>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11"/>
      </w:numPr>
      <w:spacing w:after="3000" w:line="240" w:lineRule="auto"/>
    </w:pPr>
  </w:style>
  <w:style w:type="paragraph" w:customStyle="1" w:styleId="Heading2Numbered">
    <w:name w:val="Heading 2 Numbered"/>
    <w:basedOn w:val="Heading2"/>
    <w:next w:val="Normal"/>
    <w:qFormat/>
    <w:rsid w:val="00501EA3"/>
    <w:pPr>
      <w:numPr>
        <w:ilvl w:val="1"/>
        <w:numId w:val="11"/>
      </w:numPr>
      <w:spacing w:after="60"/>
    </w:pPr>
    <w:rPr>
      <w:bCs w:val="0"/>
    </w:rPr>
  </w:style>
  <w:style w:type="paragraph" w:customStyle="1" w:styleId="Heading3Numbered">
    <w:name w:val="Heading 3 Numbered"/>
    <w:basedOn w:val="Heading3"/>
    <w:next w:val="Normal"/>
    <w:qFormat/>
    <w:rsid w:val="00501EA3"/>
    <w:pPr>
      <w:numPr>
        <w:ilvl w:val="2"/>
        <w:numId w:val="11"/>
      </w:numPr>
      <w:spacing w:before="300" w:after="60"/>
    </w:pPr>
    <w:rPr>
      <w:szCs w:val="22"/>
      <w:lang w:val="en-GB"/>
    </w:rPr>
  </w:style>
  <w:style w:type="numbering" w:customStyle="1" w:styleId="BulletsList">
    <w:name w:val="Bullets List"/>
    <w:uiPriority w:val="99"/>
    <w:rsid w:val="00486CD9"/>
    <w:pPr>
      <w:numPr>
        <w:numId w:val="5"/>
      </w:numPr>
    </w:pPr>
  </w:style>
  <w:style w:type="numbering" w:customStyle="1" w:styleId="Numberedlist">
    <w:name w:val="Numbered list"/>
    <w:uiPriority w:val="99"/>
    <w:rsid w:val="00F2684E"/>
    <w:pPr>
      <w:numPr>
        <w:numId w:val="6"/>
      </w:numPr>
    </w:pPr>
  </w:style>
  <w:style w:type="numbering" w:customStyle="1" w:styleId="HeadingsList">
    <w:name w:val="Headings List"/>
    <w:uiPriority w:val="99"/>
    <w:rsid w:val="001E1DC0"/>
    <w:pPr>
      <w:numPr>
        <w:numId w:val="7"/>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971938"/>
    <w:pPr>
      <w:tabs>
        <w:tab w:val="left" w:pos="680"/>
        <w:tab w:val="right" w:pos="9628"/>
      </w:tabs>
      <w:spacing w:after="100"/>
      <w:ind w:left="199"/>
    </w:pPr>
    <w:rPr>
      <w:b/>
      <w:caps/>
      <w:color w:val="65C5B4" w:themeColor="accent1"/>
      <w:sz w:val="28"/>
      <w:szCs w:val="28"/>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8"/>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486CD9"/>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4574"/>
    <w:rPr>
      <w:sz w:val="20"/>
    </w:rPr>
  </w:style>
  <w:style w:type="numbering" w:customStyle="1" w:styleId="FigureTitles">
    <w:name w:val="Figure Titles"/>
    <w:uiPriority w:val="99"/>
    <w:rsid w:val="006346BC"/>
    <w:pPr>
      <w:numPr>
        <w:numId w:val="9"/>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486CD9"/>
    <w:rPr>
      <w:rFonts w:asciiTheme="majorHAnsi" w:eastAsiaTheme="majorEastAsia" w:hAnsiTheme="majorHAnsi" w:cstheme="majorBidi"/>
      <w:b/>
      <w:bCs/>
      <w:iCs/>
      <w:color w:val="495965" w:themeColor="text2"/>
      <w:szCs w:val="26"/>
    </w:rPr>
  </w:style>
  <w:style w:type="paragraph" w:styleId="Caption">
    <w:name w:val="caption"/>
    <w:basedOn w:val="Normal"/>
    <w:next w:val="Normal"/>
    <w:link w:val="CaptionChar"/>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12"/>
      </w:numPr>
      <w:ind w:left="454" w:hanging="170"/>
    </w:pPr>
  </w:style>
  <w:style w:type="paragraph" w:customStyle="1" w:styleId="Box2Bullet">
    <w:name w:val="Box 2 Bullet"/>
    <w:basedOn w:val="Box2Text"/>
    <w:qFormat/>
    <w:rsid w:val="00C16478"/>
    <w:pPr>
      <w:numPr>
        <w:numId w:val="13"/>
      </w:numPr>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customStyle="1" w:styleId="ListParagraphChar">
    <w:name w:val="List Paragraph Char"/>
    <w:basedOn w:val="DefaultParagraphFont"/>
    <w:link w:val="ListParagraph"/>
    <w:uiPriority w:val="34"/>
    <w:locked/>
    <w:rsid w:val="00583341"/>
    <w:rPr>
      <w:color w:val="495965" w:themeColor="text2"/>
      <w:lang w:val="en-GB"/>
    </w:rPr>
  </w:style>
  <w:style w:type="character" w:styleId="FollowedHyperlink">
    <w:name w:val="FollowedHyperlink"/>
    <w:semiHidden/>
    <w:unhideWhenUsed/>
    <w:rsid w:val="005B627E"/>
    <w:rPr>
      <w:strike w:val="0"/>
      <w:dstrike w:val="0"/>
      <w:color w:val="333399"/>
      <w:u w:val="none"/>
      <w:effect w:val="none"/>
    </w:rPr>
  </w:style>
  <w:style w:type="paragraph" w:styleId="NormalWeb">
    <w:name w:val="Normal (Web)"/>
    <w:basedOn w:val="Normal"/>
    <w:uiPriority w:val="99"/>
    <w:semiHidden/>
    <w:unhideWhenUsed/>
    <w:rsid w:val="005B627E"/>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nhideWhenUsed/>
    <w:rsid w:val="005B627E"/>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rsid w:val="005B627E"/>
    <w:rPr>
      <w:rFonts w:ascii="Franklin Gothic Book" w:eastAsia="Times New Roman" w:hAnsi="Franklin Gothic Book" w:cs="Times New Roman"/>
      <w:sz w:val="20"/>
      <w:szCs w:val="20"/>
      <w:lang w:eastAsia="en-AU"/>
    </w:rPr>
  </w:style>
  <w:style w:type="paragraph" w:styleId="ListBullet">
    <w:name w:val="List Bullet"/>
    <w:basedOn w:val="BodyText"/>
    <w:unhideWhenUsed/>
    <w:qFormat/>
    <w:locked/>
    <w:rsid w:val="005B627E"/>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nhideWhenUsed/>
    <w:qFormat/>
    <w:locked/>
    <w:rsid w:val="005B627E"/>
    <w:pPr>
      <w:numPr>
        <w:numId w:val="17"/>
      </w:numPr>
      <w:ind w:left="284" w:hanging="284"/>
    </w:pPr>
  </w:style>
  <w:style w:type="paragraph" w:styleId="ListBullet2">
    <w:name w:val="List Bullet 2"/>
    <w:basedOn w:val="ListBullet"/>
    <w:uiPriority w:val="99"/>
    <w:unhideWhenUsed/>
    <w:qFormat/>
    <w:locked/>
    <w:rsid w:val="005B627E"/>
    <w:pPr>
      <w:ind w:left="568" w:hanging="284"/>
    </w:pPr>
  </w:style>
  <w:style w:type="paragraph" w:styleId="ListBullet3">
    <w:name w:val="List Bullet 3"/>
    <w:basedOn w:val="ListBullet2"/>
    <w:uiPriority w:val="99"/>
    <w:unhideWhenUsed/>
    <w:qFormat/>
    <w:locked/>
    <w:rsid w:val="005B627E"/>
    <w:pPr>
      <w:ind w:left="851"/>
      <w:contextualSpacing/>
    </w:pPr>
  </w:style>
  <w:style w:type="paragraph" w:styleId="ListNumber2">
    <w:name w:val="List Number 2"/>
    <w:basedOn w:val="ListNumber"/>
    <w:unhideWhenUsed/>
    <w:qFormat/>
    <w:locked/>
    <w:rsid w:val="005B627E"/>
    <w:pPr>
      <w:numPr>
        <w:numId w:val="18"/>
      </w:numPr>
    </w:pPr>
  </w:style>
  <w:style w:type="paragraph" w:styleId="ListNumber3">
    <w:name w:val="List Number 3"/>
    <w:basedOn w:val="ListNumber2"/>
    <w:unhideWhenUsed/>
    <w:locked/>
    <w:rsid w:val="005B627E"/>
    <w:pPr>
      <w:numPr>
        <w:numId w:val="0"/>
      </w:numPr>
      <w:ind w:left="851" w:hanging="284"/>
      <w:contextualSpacing/>
    </w:pPr>
  </w:style>
  <w:style w:type="paragraph" w:styleId="Date">
    <w:name w:val="Date"/>
    <w:basedOn w:val="Subtitle"/>
    <w:next w:val="Normal"/>
    <w:link w:val="DateChar"/>
    <w:semiHidden/>
    <w:unhideWhenUsed/>
    <w:qFormat/>
    <w:rsid w:val="005B627E"/>
    <w:pPr>
      <w:keepNext w:val="0"/>
      <w:keepLines w:val="0"/>
      <w:numPr>
        <w:ilvl w:val="0"/>
      </w:numPr>
      <w:suppressAutoHyphens w:val="0"/>
      <w:spacing w:before="240" w:after="600" w:line="380" w:lineRule="atLeast"/>
      <w:ind w:left="709" w:right="-624"/>
      <w:contextualSpacing w:val="0"/>
      <w:outlineLvl w:val="9"/>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semiHidden/>
    <w:rsid w:val="005B627E"/>
    <w:rPr>
      <w:rFonts w:asciiTheme="majorHAnsi" w:eastAsia="Times New Roman" w:hAnsiTheme="majorHAnsi" w:cs="Times New Roman"/>
      <w:noProof/>
      <w:color w:val="FFFFFF"/>
      <w:kern w:val="28"/>
      <w:sz w:val="24"/>
      <w:szCs w:val="24"/>
      <w:lang w:val="en-US"/>
    </w:rPr>
  </w:style>
  <w:style w:type="paragraph" w:styleId="Revision">
    <w:name w:val="Revision"/>
    <w:uiPriority w:val="71"/>
    <w:rsid w:val="005B627E"/>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5B627E"/>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5B627E"/>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5B627E"/>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5B627E"/>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5B627E"/>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rsid w:val="005B627E"/>
    <w:pPr>
      <w:framePr w:hSpace="0" w:wrap="auto" w:vAnchor="margin" w:hAnchor="text" w:yAlign="inline"/>
      <w:numPr>
        <w:numId w:val="19"/>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5B627E"/>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5B627E"/>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B627E"/>
    <w:pPr>
      <w:spacing w:line="210" w:lineRule="exact"/>
    </w:pPr>
    <w:rPr>
      <w:caps/>
      <w:sz w:val="19"/>
    </w:rPr>
  </w:style>
  <w:style w:type="paragraph" w:customStyle="1" w:styleId="ChartListBullet">
    <w:name w:val="Chart List Bullet"/>
    <w:basedOn w:val="TableListBullet"/>
    <w:uiPriority w:val="99"/>
    <w:semiHidden/>
    <w:rsid w:val="005B627E"/>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B627E"/>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B627E"/>
    <w:pPr>
      <w:tabs>
        <w:tab w:val="num" w:pos="227"/>
      </w:tabs>
      <w:spacing w:before="60"/>
      <w:ind w:left="227" w:hanging="227"/>
    </w:pPr>
  </w:style>
  <w:style w:type="paragraph" w:customStyle="1" w:styleId="CharChar">
    <w:name w:val="Char Char"/>
    <w:basedOn w:val="Normal"/>
    <w:uiPriority w:val="99"/>
    <w:semiHidden/>
    <w:rsid w:val="005B627E"/>
  </w:style>
  <w:style w:type="paragraph" w:customStyle="1" w:styleId="Client">
    <w:name w:val="Client"/>
    <w:basedOn w:val="Normal"/>
    <w:uiPriority w:val="99"/>
    <w:semiHidden/>
    <w:rsid w:val="005B627E"/>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qFormat/>
    <w:rsid w:val="005B627E"/>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qFormat/>
    <w:rsid w:val="005B627E"/>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locked/>
    <w:rsid w:val="005B627E"/>
    <w:rPr>
      <w:rFonts w:ascii="Franklin Gothic Book" w:hAnsi="Franklin Gothic Book"/>
      <w:noProof/>
      <w:sz w:val="21"/>
      <w:szCs w:val="24"/>
    </w:rPr>
  </w:style>
  <w:style w:type="paragraph" w:customStyle="1" w:styleId="TableListBullet2">
    <w:name w:val="Table List Bullet 2"/>
    <w:basedOn w:val="TableListBullet"/>
    <w:link w:val="TableListBullet2Char"/>
    <w:rsid w:val="005B627E"/>
    <w:pPr>
      <w:numPr>
        <w:numId w:val="20"/>
      </w:numPr>
      <w:ind w:left="568" w:hanging="284"/>
    </w:pPr>
    <w:rPr>
      <w:rFonts w:eastAsiaTheme="minorHAnsi" w:cstheme="minorBidi"/>
      <w:lang w:eastAsia="en-US"/>
    </w:rPr>
  </w:style>
  <w:style w:type="paragraph" w:customStyle="1" w:styleId="TableListNumber">
    <w:name w:val="Table List Number"/>
    <w:basedOn w:val="TableText"/>
    <w:rsid w:val="005B627E"/>
    <w:pPr>
      <w:framePr w:hSpace="0" w:wrap="auto" w:vAnchor="margin" w:hAnchor="text" w:yAlign="inline"/>
      <w:numPr>
        <w:numId w:val="2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rsid w:val="005B627E"/>
    <w:pPr>
      <w:numPr>
        <w:numId w:val="22"/>
      </w:numPr>
      <w:ind w:left="568" w:hanging="284"/>
    </w:pPr>
  </w:style>
  <w:style w:type="paragraph" w:customStyle="1" w:styleId="Blurb">
    <w:name w:val="Blurb"/>
    <w:basedOn w:val="Normal"/>
    <w:uiPriority w:val="99"/>
    <w:semiHidden/>
    <w:rsid w:val="005B627E"/>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5B627E"/>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5B627E"/>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5B627E"/>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5B627E"/>
    <w:pPr>
      <w:keepLines w:val="0"/>
      <w:suppressLineNumbers/>
      <w:spacing w:before="80" w:after="160" w:line="360" w:lineRule="auto"/>
      <w:contextualSpacing w:val="0"/>
    </w:pPr>
    <w:rPr>
      <w:rFonts w:ascii="Franklin Gothic Book" w:eastAsia="Times New Roman" w:hAnsi="Franklin Gothic Book" w:cs="Times New Roman"/>
      <w:b w:val="0"/>
      <w:bCs/>
      <w:i w:val="0"/>
      <w:color w:val="auto"/>
      <w:sz w:val="21"/>
      <w:szCs w:val="24"/>
      <w:lang w:eastAsia="en-AU"/>
    </w:rPr>
  </w:style>
  <w:style w:type="paragraph" w:customStyle="1" w:styleId="TableName">
    <w:name w:val="Table Name"/>
    <w:basedOn w:val="BodyText"/>
    <w:next w:val="Figure"/>
    <w:uiPriority w:val="99"/>
    <w:rsid w:val="005B627E"/>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5B627E"/>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rsid w:val="005B627E"/>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rsid w:val="005B627E"/>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unhideWhenUsed/>
    <w:rsid w:val="005B627E"/>
    <w:rPr>
      <w:vertAlign w:val="superscript"/>
    </w:rPr>
  </w:style>
  <w:style w:type="character" w:customStyle="1" w:styleId="Subtitlebox">
    <w:name w:val="Subtitle box"/>
    <w:aliases w:val="figure &amp; table,chart &amp; table"/>
    <w:semiHidden/>
    <w:rsid w:val="005B627E"/>
    <w:rPr>
      <w:rFonts w:ascii="Franklin Gothic Book" w:hAnsi="Franklin Gothic Book" w:hint="default"/>
      <w:color w:val="auto"/>
      <w:sz w:val="17"/>
      <w:szCs w:val="17"/>
    </w:rPr>
  </w:style>
  <w:style w:type="table" w:customStyle="1" w:styleId="DFATtable">
    <w:name w:val="DFAT table"/>
    <w:basedOn w:val="TableNormal"/>
    <w:uiPriority w:val="99"/>
    <w:rsid w:val="005B627E"/>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5B627E"/>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5B627E"/>
    <w:pPr>
      <w:jc w:val="center"/>
    </w:pPr>
  </w:style>
  <w:style w:type="paragraph" w:customStyle="1" w:styleId="Heading3-Lineabove">
    <w:name w:val="Heading 3 - Line above"/>
    <w:basedOn w:val="Heading3"/>
    <w:qFormat/>
    <w:rsid w:val="005B627E"/>
    <w:pPr>
      <w:pBdr>
        <w:top w:val="single" w:sz="4" w:space="6" w:color="65C5B4" w:themeColor="accent1"/>
      </w:pBdr>
      <w:spacing w:before="320" w:line="320" w:lineRule="atLeast"/>
    </w:pPr>
    <w:rPr>
      <w:b w:val="0"/>
      <w:color w:val="65C5B4" w:themeColor="accent1"/>
      <w:sz w:val="26"/>
    </w:rPr>
  </w:style>
  <w:style w:type="paragraph" w:styleId="DocumentMap">
    <w:name w:val="Document Map"/>
    <w:basedOn w:val="Normal"/>
    <w:link w:val="DocumentMapChar"/>
    <w:uiPriority w:val="99"/>
    <w:semiHidden/>
    <w:unhideWhenUsed/>
    <w:locked/>
    <w:rsid w:val="005B627E"/>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B627E"/>
    <w:rPr>
      <w:rFonts w:ascii="Times New Roman" w:hAnsi="Times New Roman" w:cs="Times New Roman"/>
      <w:color w:val="495965" w:themeColor="text2"/>
      <w:sz w:val="24"/>
      <w:szCs w:val="24"/>
      <w:lang w:val="en-GB"/>
    </w:rPr>
  </w:style>
  <w:style w:type="paragraph" w:customStyle="1" w:styleId="PublicationDate">
    <w:name w:val="Publication Date"/>
    <w:next w:val="Heading1"/>
    <w:rsid w:val="005B627E"/>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Note">
    <w:name w:val="Note"/>
    <w:basedOn w:val="TableTextEntries"/>
    <w:next w:val="BodyText"/>
    <w:link w:val="NoteCharChar"/>
    <w:autoRedefine/>
    <w:rsid w:val="005B627E"/>
    <w:pPr>
      <w:keepNext/>
      <w:spacing w:before="20" w:after="20" w:line="180" w:lineRule="atLeast"/>
      <w:jc w:val="both"/>
    </w:pPr>
    <w:rPr>
      <w:rFonts w:cs="Times New Roman"/>
      <w:iCs w:val="0"/>
      <w:sz w:val="14"/>
      <w:szCs w:val="14"/>
      <w:lang w:eastAsia="en-AU"/>
    </w:rPr>
  </w:style>
  <w:style w:type="character" w:customStyle="1" w:styleId="NoteCharChar">
    <w:name w:val="Note Char Char"/>
    <w:link w:val="Note"/>
    <w:rsid w:val="005B627E"/>
    <w:rPr>
      <w:rFonts w:ascii="Franklin Gothic Book" w:eastAsia="Times New Roman" w:hAnsi="Franklin Gothic Book" w:cs="Times New Roman"/>
      <w:sz w:val="14"/>
      <w:szCs w:val="14"/>
      <w:lang w:eastAsia="en-AU"/>
    </w:rPr>
  </w:style>
  <w:style w:type="paragraph" w:customStyle="1" w:styleId="TableDataEntries">
    <w:name w:val="Table Data Entries"/>
    <w:basedOn w:val="TableTextEntries"/>
    <w:rsid w:val="005B627E"/>
    <w:pPr>
      <w:jc w:val="right"/>
    </w:pPr>
    <w:rPr>
      <w:rFonts w:cs="Times New Roman"/>
    </w:rPr>
  </w:style>
  <w:style w:type="paragraph" w:customStyle="1" w:styleId="TableDataColumnHeading">
    <w:name w:val="Table Data Column Heading"/>
    <w:basedOn w:val="TableDataEntries"/>
    <w:rsid w:val="005B627E"/>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5B627E"/>
  </w:style>
  <w:style w:type="table" w:customStyle="1" w:styleId="DFATTable0">
    <w:name w:val="DFAT Table"/>
    <w:basedOn w:val="TableNormal"/>
    <w:uiPriority w:val="99"/>
    <w:rsid w:val="005B627E"/>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DFATBox">
    <w:name w:val="DFAT Box"/>
    <w:basedOn w:val="TableNormal"/>
    <w:uiPriority w:val="99"/>
    <w:rsid w:val="005B627E"/>
    <w:pPr>
      <w:spacing w:after="0" w:line="240" w:lineRule="auto"/>
    </w:pPr>
    <w:rPr>
      <w:rFonts w:ascii="Helvetica" w:hAnsi="Helvetica"/>
      <w:lang w:eastAsia="en-AU"/>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customStyle="1" w:styleId="BoxListBullet">
    <w:name w:val="Box List Bullet"/>
    <w:basedOn w:val="BoxText"/>
    <w:rsid w:val="005B627E"/>
    <w:pPr>
      <w:keepLines/>
      <w:numPr>
        <w:numId w:val="24"/>
      </w:numPr>
      <w:tabs>
        <w:tab w:val="num" w:pos="284"/>
        <w:tab w:val="num" w:pos="926"/>
      </w:tabs>
      <w:spacing w:line="240" w:lineRule="auto"/>
      <w:ind w:left="284" w:hanging="284"/>
      <w:contextualSpacing/>
      <w:mirrorIndents/>
    </w:pPr>
    <w:rPr>
      <w:szCs w:val="20"/>
    </w:rPr>
  </w:style>
  <w:style w:type="paragraph" w:customStyle="1" w:styleId="BoxText">
    <w:name w:val="Box Text"/>
    <w:link w:val="BoxTextChar"/>
    <w:autoRedefine/>
    <w:rsid w:val="005B627E"/>
    <w:pPr>
      <w:pBdr>
        <w:top w:val="single" w:sz="4" w:space="10" w:color="auto"/>
        <w:left w:val="single" w:sz="4" w:space="10" w:color="auto"/>
        <w:bottom w:val="single" w:sz="4" w:space="10" w:color="auto"/>
        <w:right w:val="single" w:sz="4" w:space="10" w:color="auto"/>
      </w:pBdr>
      <w:shd w:val="clear" w:color="auto" w:fill="C7D5E6"/>
      <w:spacing w:line="280" w:lineRule="exact"/>
    </w:pPr>
    <w:rPr>
      <w:rFonts w:ascii="Franklin Gothic Book" w:eastAsia="Times New Roman" w:hAnsi="Franklin Gothic Book" w:cs="Times New Roman"/>
      <w:iCs/>
      <w:sz w:val="20"/>
      <w:lang w:eastAsia="en-AU"/>
    </w:rPr>
  </w:style>
  <w:style w:type="character" w:customStyle="1" w:styleId="BoxTextChar">
    <w:name w:val="Box Text Char"/>
    <w:link w:val="BoxText"/>
    <w:rsid w:val="005B627E"/>
    <w:rPr>
      <w:rFonts w:ascii="Franklin Gothic Book" w:eastAsia="Times New Roman" w:hAnsi="Franklin Gothic Book" w:cs="Times New Roman"/>
      <w:iCs/>
      <w:sz w:val="20"/>
      <w:shd w:val="clear" w:color="auto" w:fill="C7D5E6"/>
      <w:lang w:eastAsia="en-AU"/>
    </w:rPr>
  </w:style>
  <w:style w:type="paragraph" w:customStyle="1" w:styleId="BoxHeading1">
    <w:name w:val="Box Heading 1"/>
    <w:basedOn w:val="BoxText"/>
    <w:next w:val="BoxText"/>
    <w:rsid w:val="005B627E"/>
    <w:pPr>
      <w:spacing w:before="120" w:line="240" w:lineRule="auto"/>
    </w:pPr>
    <w:rPr>
      <w:b/>
      <w:color w:val="000000"/>
    </w:rPr>
  </w:style>
  <w:style w:type="paragraph" w:customStyle="1" w:styleId="BoxHeading2">
    <w:name w:val="Box Heading 2"/>
    <w:basedOn w:val="BoxHeading1"/>
    <w:next w:val="BoxText"/>
    <w:rsid w:val="005B627E"/>
    <w:rPr>
      <w:i/>
      <w:color w:val="auto"/>
    </w:rPr>
  </w:style>
  <w:style w:type="paragraph" w:customStyle="1" w:styleId="BoxListBullet2">
    <w:name w:val="Box List Bullet 2"/>
    <w:basedOn w:val="BoxText"/>
    <w:rsid w:val="005B627E"/>
    <w:pPr>
      <w:keepLines/>
      <w:numPr>
        <w:numId w:val="23"/>
      </w:numPr>
      <w:tabs>
        <w:tab w:val="left" w:pos="284"/>
        <w:tab w:val="num" w:pos="643"/>
        <w:tab w:val="left" w:pos="851"/>
      </w:tabs>
      <w:spacing w:line="240" w:lineRule="auto"/>
      <w:ind w:left="284" w:hanging="284"/>
      <w:contextualSpacing/>
      <w:mirrorIndents/>
    </w:pPr>
    <w:rPr>
      <w:szCs w:val="18"/>
    </w:rPr>
  </w:style>
  <w:style w:type="paragraph" w:customStyle="1" w:styleId="BoxListNumber">
    <w:name w:val="Box List Number"/>
    <w:basedOn w:val="BoxListBullet"/>
    <w:rsid w:val="005B627E"/>
    <w:pPr>
      <w:numPr>
        <w:numId w:val="0"/>
      </w:numPr>
      <w:tabs>
        <w:tab w:val="left" w:pos="284"/>
        <w:tab w:val="num" w:pos="926"/>
      </w:tabs>
      <w:ind w:left="568"/>
    </w:pPr>
  </w:style>
  <w:style w:type="paragraph" w:customStyle="1" w:styleId="BoxListNumber2">
    <w:name w:val="Box List Number 2"/>
    <w:basedOn w:val="BoxListNumber"/>
    <w:rsid w:val="005B627E"/>
    <w:pPr>
      <w:numPr>
        <w:numId w:val="27"/>
      </w:numPr>
      <w:tabs>
        <w:tab w:val="num" w:pos="284"/>
        <w:tab w:val="num" w:pos="360"/>
      </w:tabs>
      <w:ind w:left="284" w:hanging="284"/>
    </w:pPr>
    <w:rPr>
      <w:szCs w:val="22"/>
    </w:rPr>
  </w:style>
  <w:style w:type="paragraph" w:customStyle="1" w:styleId="BoxNoteSource">
    <w:name w:val="Box Note/Source"/>
    <w:basedOn w:val="BoxText"/>
    <w:rsid w:val="005B627E"/>
    <w:pPr>
      <w:spacing w:before="100" w:after="100" w:line="180" w:lineRule="atLeast"/>
    </w:pPr>
    <w:rPr>
      <w:sz w:val="14"/>
      <w:szCs w:val="14"/>
    </w:rPr>
  </w:style>
  <w:style w:type="paragraph" w:customStyle="1" w:styleId="BoxQuote">
    <w:name w:val="Box Quote"/>
    <w:basedOn w:val="BoxText"/>
    <w:next w:val="BoxText"/>
    <w:rsid w:val="005B627E"/>
    <w:pPr>
      <w:spacing w:line="240" w:lineRule="atLeast"/>
      <w:ind w:left="284"/>
    </w:pPr>
    <w:rPr>
      <w:sz w:val="16"/>
      <w:szCs w:val="16"/>
    </w:rPr>
  </w:style>
  <w:style w:type="paragraph" w:customStyle="1" w:styleId="Photocaption">
    <w:name w:val="Photo caption"/>
    <w:basedOn w:val="Normal"/>
    <w:next w:val="BodyText"/>
    <w:semiHidden/>
    <w:rsid w:val="005B627E"/>
    <w:pPr>
      <w:suppressAutoHyphens w:val="0"/>
      <w:spacing w:before="140" w:after="240" w:line="180" w:lineRule="exact"/>
    </w:pPr>
    <w:rPr>
      <w:rFonts w:ascii="Franklin Gothic Book" w:eastAsia="Times New Roman" w:hAnsi="Franklin Gothic Book" w:cs="Times New Roman"/>
      <w:color w:val="A8A5A8"/>
      <w:sz w:val="14"/>
      <w:szCs w:val="14"/>
      <w:lang w:val="en-AU" w:eastAsia="en-AU"/>
    </w:rPr>
  </w:style>
  <w:style w:type="table" w:styleId="MediumGrid2-Accent2">
    <w:name w:val="Medium Grid 2 Accent 2"/>
    <w:basedOn w:val="TableNormal"/>
    <w:uiPriority w:val="68"/>
    <w:locked/>
    <w:rsid w:val="005B627E"/>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ACD08C" w:themeColor="accent2"/>
        <w:left w:val="single" w:sz="8" w:space="0" w:color="ACD08C" w:themeColor="accent2"/>
        <w:bottom w:val="single" w:sz="8" w:space="0" w:color="ACD08C" w:themeColor="accent2"/>
        <w:right w:val="single" w:sz="8" w:space="0" w:color="ACD08C" w:themeColor="accent2"/>
        <w:insideH w:val="single" w:sz="8" w:space="0" w:color="ACD08C" w:themeColor="accent2"/>
        <w:insideV w:val="single" w:sz="8" w:space="0" w:color="ACD08C" w:themeColor="accent2"/>
      </w:tblBorders>
    </w:tblPr>
    <w:tcPr>
      <w:shd w:val="clear" w:color="auto" w:fill="EAF3E2" w:themeFill="accent2" w:themeFillTint="3F"/>
    </w:tcPr>
    <w:tblStylePr w:type="firstRow">
      <w:rPr>
        <w:b/>
        <w:bCs/>
        <w:color w:val="000000" w:themeColor="text1"/>
      </w:rPr>
      <w:tblPr/>
      <w:tcPr>
        <w:shd w:val="clear" w:color="auto" w:fill="F6FA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5E7" w:themeFill="accent2" w:themeFillTint="33"/>
      </w:tcPr>
    </w:tblStylePr>
    <w:tblStylePr w:type="band1Vert">
      <w:tblPr/>
      <w:tcPr>
        <w:shd w:val="clear" w:color="auto" w:fill="D5E7C5" w:themeFill="accent2" w:themeFillTint="7F"/>
      </w:tcPr>
    </w:tblStylePr>
    <w:tblStylePr w:type="band1Horz">
      <w:tblPr/>
      <w:tcPr>
        <w:tcBorders>
          <w:insideH w:val="single" w:sz="6" w:space="0" w:color="ACD08C" w:themeColor="accent2"/>
          <w:insideV w:val="single" w:sz="6" w:space="0" w:color="ACD08C" w:themeColor="accent2"/>
        </w:tcBorders>
        <w:shd w:val="clear" w:color="auto" w:fill="D5E7C5"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locked/>
    <w:rsid w:val="005B627E"/>
    <w:pPr>
      <w:spacing w:after="0" w:line="240" w:lineRule="auto"/>
    </w:pPr>
    <w:rPr>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locked/>
    <w:rsid w:val="005B627E"/>
    <w:pPr>
      <w:spacing w:after="0" w:line="240" w:lineRule="auto"/>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F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F68" w:themeFill="accent5"/>
      </w:tcPr>
    </w:tblStylePr>
    <w:tblStylePr w:type="lastCol">
      <w:rPr>
        <w:b/>
        <w:bCs/>
        <w:color w:val="FFFFFF" w:themeColor="background1"/>
      </w:rPr>
      <w:tblPr/>
      <w:tcPr>
        <w:tcBorders>
          <w:left w:val="nil"/>
          <w:right w:val="nil"/>
          <w:insideH w:val="nil"/>
          <w:insideV w:val="nil"/>
        </w:tcBorders>
        <w:shd w:val="clear" w:color="auto" w:fill="409F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locked/>
    <w:rsid w:val="005B627E"/>
    <w:pPr>
      <w:spacing w:after="0" w:line="240" w:lineRule="auto"/>
    </w:pPr>
    <w:rPr>
      <w:color w:val="3DA18F" w:themeColor="accent1" w:themeShade="BF"/>
      <w:lang w:eastAsia="en-AU"/>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numbering" w:customStyle="1" w:styleId="StyleBulletedSymbolsymbol95ptLeft063cmHanging">
    <w:name w:val="Style Bulleted Symbol (symbol) 9.5 pt Left:  0.63 cm Hanging:  ..."/>
    <w:basedOn w:val="NoList"/>
    <w:rsid w:val="005B627E"/>
    <w:pPr>
      <w:numPr>
        <w:numId w:val="26"/>
      </w:numPr>
    </w:pPr>
  </w:style>
  <w:style w:type="character" w:customStyle="1" w:styleId="CaptionChar">
    <w:name w:val="Caption Char"/>
    <w:link w:val="Caption"/>
    <w:uiPriority w:val="35"/>
    <w:locked/>
    <w:rsid w:val="005B627E"/>
    <w:rPr>
      <w:b/>
      <w:iCs/>
      <w:color w:val="495965" w:themeColor="text2"/>
      <w:sz w:val="20"/>
      <w:szCs w:val="18"/>
      <w:lang w:val="en-GB"/>
    </w:rPr>
  </w:style>
  <w:style w:type="table" w:styleId="LightShading-Accent3">
    <w:name w:val="Light Shading Accent 3"/>
    <w:basedOn w:val="TableNormal"/>
    <w:uiPriority w:val="60"/>
    <w:locked/>
    <w:rsid w:val="005B627E"/>
    <w:pPr>
      <w:spacing w:after="0" w:line="240" w:lineRule="auto"/>
    </w:pPr>
    <w:rPr>
      <w:color w:val="B35D31" w:themeColor="accent3" w:themeShade="BF"/>
      <w:lang w:eastAsia="en-AU"/>
    </w:rPr>
    <w:tblPr>
      <w:tblStyleRowBandSize w:val="1"/>
      <w:tblStyleColBandSize w:val="1"/>
      <w:tblBorders>
        <w:top w:val="single" w:sz="8" w:space="0" w:color="D3875F" w:themeColor="accent3"/>
        <w:bottom w:val="single" w:sz="8" w:space="0" w:color="D3875F" w:themeColor="accent3"/>
      </w:tblBorders>
    </w:tblPr>
    <w:tblStylePr w:type="firstRow">
      <w:pPr>
        <w:spacing w:before="0" w:after="0" w:line="240" w:lineRule="auto"/>
      </w:pPr>
      <w:rPr>
        <w:b/>
        <w:bCs/>
      </w:rPr>
      <w:tblPr/>
      <w:tcPr>
        <w:tcBorders>
          <w:top w:val="single" w:sz="8" w:space="0" w:color="D3875F" w:themeColor="accent3"/>
          <w:left w:val="nil"/>
          <w:bottom w:val="single" w:sz="8" w:space="0" w:color="D3875F" w:themeColor="accent3"/>
          <w:right w:val="nil"/>
          <w:insideH w:val="nil"/>
          <w:insideV w:val="nil"/>
        </w:tcBorders>
      </w:tcPr>
    </w:tblStylePr>
    <w:tblStylePr w:type="lastRow">
      <w:pPr>
        <w:spacing w:before="0" w:after="0" w:line="240" w:lineRule="auto"/>
      </w:pPr>
      <w:rPr>
        <w:b/>
        <w:bCs/>
      </w:rPr>
      <w:tblPr/>
      <w:tcPr>
        <w:tcBorders>
          <w:top w:val="single" w:sz="8" w:space="0" w:color="D3875F" w:themeColor="accent3"/>
          <w:left w:val="nil"/>
          <w:bottom w:val="single" w:sz="8" w:space="0" w:color="D387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1D7" w:themeFill="accent3" w:themeFillTint="3F"/>
      </w:tcPr>
    </w:tblStylePr>
    <w:tblStylePr w:type="band1Horz">
      <w:tblPr/>
      <w:tcPr>
        <w:tcBorders>
          <w:left w:val="nil"/>
          <w:right w:val="nil"/>
          <w:insideH w:val="nil"/>
          <w:insideV w:val="nil"/>
        </w:tcBorders>
        <w:shd w:val="clear" w:color="auto" w:fill="F4E1D7" w:themeFill="accent3" w:themeFillTint="3F"/>
      </w:tcPr>
    </w:tblStylePr>
  </w:style>
  <w:style w:type="paragraph" w:customStyle="1" w:styleId="QuoteHeading">
    <w:name w:val="Quote Heading"/>
    <w:basedOn w:val="Quote"/>
    <w:qFormat/>
    <w:locked/>
    <w:rsid w:val="005B627E"/>
    <w:rPr>
      <w:b/>
      <w:sz w:val="20"/>
      <w:lang w:val="en-GB"/>
    </w:rPr>
  </w:style>
  <w:style w:type="paragraph" w:customStyle="1" w:styleId="GreyRoundBoxText">
    <w:name w:val="Grey Round Box Text"/>
    <w:basedOn w:val="Normal"/>
    <w:qFormat/>
    <w:rsid w:val="005B627E"/>
    <w:pPr>
      <w:spacing w:before="0"/>
    </w:pPr>
    <w:rPr>
      <w:b/>
      <w:caps/>
      <w:color w:val="FFFFFF" w:themeColor="background1"/>
      <w:sz w:val="18"/>
    </w:rPr>
  </w:style>
  <w:style w:type="character" w:customStyle="1" w:styleId="Green">
    <w:name w:val="Green"/>
    <w:basedOn w:val="DefaultParagraphFont"/>
    <w:uiPriority w:val="1"/>
    <w:qFormat/>
    <w:rsid w:val="005B627E"/>
    <w:rPr>
      <w:color w:val="ACD08C" w:themeColor="accent2"/>
    </w:rPr>
  </w:style>
  <w:style w:type="paragraph" w:customStyle="1" w:styleId="PhotoMargins">
    <w:name w:val="Photo Margins"/>
    <w:basedOn w:val="Normal"/>
    <w:qFormat/>
    <w:rsid w:val="005B627E"/>
  </w:style>
  <w:style w:type="paragraph" w:customStyle="1" w:styleId="PhotoLeft">
    <w:name w:val="Photo Left"/>
    <w:basedOn w:val="PhotoMargins"/>
    <w:qFormat/>
    <w:rsid w:val="005B627E"/>
    <w:pPr>
      <w:ind w:left="-851"/>
    </w:pPr>
  </w:style>
  <w:style w:type="paragraph" w:customStyle="1" w:styleId="PhotoRight">
    <w:name w:val="Photo Right"/>
    <w:basedOn w:val="PhotoMargins"/>
    <w:qFormat/>
    <w:rsid w:val="005B627E"/>
    <w:pPr>
      <w:ind w:right="-851"/>
      <w:jc w:val="right"/>
    </w:pPr>
  </w:style>
  <w:style w:type="paragraph" w:customStyle="1" w:styleId="PhotoCaption0">
    <w:name w:val="Photo Caption"/>
    <w:basedOn w:val="Normal"/>
    <w:qFormat/>
    <w:rsid w:val="005B627E"/>
    <w:pPr>
      <w:spacing w:after="200" w:line="200" w:lineRule="atLeast"/>
      <w:jc w:val="right"/>
    </w:pPr>
    <w:rPr>
      <w:sz w:val="16"/>
    </w:rPr>
  </w:style>
  <w:style w:type="paragraph" w:customStyle="1" w:styleId="BoxHeading">
    <w:name w:val="Box Heading"/>
    <w:basedOn w:val="Heading3"/>
    <w:qFormat/>
    <w:locked/>
    <w:rsid w:val="005B627E"/>
    <w:pPr>
      <w:spacing w:before="60"/>
    </w:pPr>
    <w:rPr>
      <w:lang w:val="en-GB"/>
    </w:rPr>
  </w:style>
  <w:style w:type="paragraph" w:customStyle="1" w:styleId="SpacebeforeTitle">
    <w:name w:val="Space before Title"/>
    <w:basedOn w:val="Normal"/>
    <w:qFormat/>
    <w:rsid w:val="005B627E"/>
    <w:pPr>
      <w:spacing w:after="900"/>
    </w:pPr>
  </w:style>
  <w:style w:type="paragraph" w:styleId="BodyText2">
    <w:name w:val="Body Text 2"/>
    <w:basedOn w:val="Normal"/>
    <w:link w:val="BodyText2Char"/>
    <w:uiPriority w:val="99"/>
    <w:semiHidden/>
    <w:unhideWhenUsed/>
    <w:locked/>
    <w:rsid w:val="005B627E"/>
    <w:pPr>
      <w:spacing w:line="480" w:lineRule="auto"/>
    </w:pPr>
  </w:style>
  <w:style w:type="character" w:customStyle="1" w:styleId="BodyText2Char">
    <w:name w:val="Body Text 2 Char"/>
    <w:basedOn w:val="DefaultParagraphFont"/>
    <w:link w:val="BodyText2"/>
    <w:uiPriority w:val="99"/>
    <w:semiHidden/>
    <w:rsid w:val="005B627E"/>
    <w:rPr>
      <w:color w:val="495965" w:themeColor="text2"/>
      <w:lang w:val="en-GB"/>
    </w:rPr>
  </w:style>
  <w:style w:type="paragraph" w:styleId="BodyText3">
    <w:name w:val="Body Text 3"/>
    <w:basedOn w:val="Normal"/>
    <w:link w:val="BodyText3Char"/>
    <w:uiPriority w:val="99"/>
    <w:semiHidden/>
    <w:unhideWhenUsed/>
    <w:locked/>
    <w:rsid w:val="005B627E"/>
    <w:rPr>
      <w:sz w:val="16"/>
      <w:szCs w:val="16"/>
    </w:rPr>
  </w:style>
  <w:style w:type="character" w:customStyle="1" w:styleId="BodyText3Char">
    <w:name w:val="Body Text 3 Char"/>
    <w:basedOn w:val="DefaultParagraphFont"/>
    <w:link w:val="BodyText3"/>
    <w:uiPriority w:val="99"/>
    <w:semiHidden/>
    <w:rsid w:val="005B627E"/>
    <w:rPr>
      <w:color w:val="495965" w:themeColor="text2"/>
      <w:sz w:val="16"/>
      <w:szCs w:val="16"/>
      <w:lang w:val="en-GB"/>
    </w:rPr>
  </w:style>
  <w:style w:type="paragraph" w:styleId="BodyTextIndent">
    <w:name w:val="Body Text Indent"/>
    <w:basedOn w:val="Normal"/>
    <w:link w:val="BodyTextIndentChar"/>
    <w:uiPriority w:val="99"/>
    <w:semiHidden/>
    <w:unhideWhenUsed/>
    <w:locked/>
    <w:rsid w:val="005B627E"/>
    <w:pPr>
      <w:spacing w:after="120"/>
      <w:ind w:left="283"/>
    </w:pPr>
  </w:style>
  <w:style w:type="character" w:customStyle="1" w:styleId="BodyTextIndentChar">
    <w:name w:val="Body Text Indent Char"/>
    <w:basedOn w:val="DefaultParagraphFont"/>
    <w:link w:val="BodyTextIndent"/>
    <w:uiPriority w:val="99"/>
    <w:semiHidden/>
    <w:rsid w:val="005B627E"/>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5B627E"/>
    <w:pPr>
      <w:spacing w:after="60"/>
      <w:ind w:left="567"/>
    </w:pPr>
  </w:style>
  <w:style w:type="character" w:customStyle="1" w:styleId="BodyTextFirstIndent2Char">
    <w:name w:val="Body Text First Indent 2 Char"/>
    <w:basedOn w:val="BodyTextIndentChar"/>
    <w:link w:val="BodyTextFirstIndent2"/>
    <w:uiPriority w:val="99"/>
    <w:semiHidden/>
    <w:rsid w:val="005B627E"/>
    <w:rPr>
      <w:color w:val="495965" w:themeColor="text2"/>
      <w:lang w:val="en-GB"/>
    </w:rPr>
  </w:style>
  <w:style w:type="paragraph" w:styleId="BlockText">
    <w:name w:val="Block Text"/>
    <w:basedOn w:val="Normal"/>
    <w:uiPriority w:val="99"/>
    <w:unhideWhenUsed/>
    <w:locked/>
    <w:rsid w:val="005B627E"/>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paragraph" w:customStyle="1" w:styleId="Style1">
    <w:name w:val="Style1"/>
    <w:basedOn w:val="Heading2"/>
    <w:link w:val="Style1Char"/>
    <w:qFormat/>
    <w:rsid w:val="005B627E"/>
    <w:rPr>
      <w:b w:val="0"/>
    </w:rPr>
  </w:style>
  <w:style w:type="paragraph" w:customStyle="1" w:styleId="Style2">
    <w:name w:val="Style2"/>
    <w:basedOn w:val="Heading2"/>
    <w:link w:val="Style2Char"/>
    <w:qFormat/>
    <w:rsid w:val="005B627E"/>
    <w:rPr>
      <w:b w:val="0"/>
    </w:rPr>
  </w:style>
  <w:style w:type="character" w:customStyle="1" w:styleId="Style1Char">
    <w:name w:val="Style1 Char"/>
    <w:basedOn w:val="Heading2Char"/>
    <w:link w:val="Style1"/>
    <w:rsid w:val="005B627E"/>
    <w:rPr>
      <w:rFonts w:asciiTheme="majorHAnsi" w:eastAsiaTheme="majorEastAsia" w:hAnsiTheme="majorHAnsi" w:cstheme="majorBidi"/>
      <w:b w:val="0"/>
      <w:bCs/>
      <w:caps/>
      <w:color w:val="3DA18F" w:themeColor="accent1" w:themeShade="BF"/>
      <w:sz w:val="32"/>
      <w:szCs w:val="32"/>
      <w:lang w:val="en-GB"/>
    </w:rPr>
  </w:style>
  <w:style w:type="paragraph" w:customStyle="1" w:styleId="Style3">
    <w:name w:val="Style3"/>
    <w:basedOn w:val="Heading2"/>
    <w:link w:val="Style3Char"/>
    <w:qFormat/>
    <w:rsid w:val="005B627E"/>
    <w:rPr>
      <w:b w:val="0"/>
      <w:sz w:val="36"/>
      <w:szCs w:val="36"/>
    </w:rPr>
  </w:style>
  <w:style w:type="character" w:customStyle="1" w:styleId="Style2Char">
    <w:name w:val="Style2 Char"/>
    <w:basedOn w:val="Heading2Char"/>
    <w:link w:val="Style2"/>
    <w:rsid w:val="005B627E"/>
    <w:rPr>
      <w:rFonts w:asciiTheme="majorHAnsi" w:eastAsiaTheme="majorEastAsia" w:hAnsiTheme="majorHAnsi" w:cstheme="majorBidi"/>
      <w:b w:val="0"/>
      <w:bCs/>
      <w:caps/>
      <w:color w:val="3DA18F" w:themeColor="accent1" w:themeShade="BF"/>
      <w:sz w:val="32"/>
      <w:szCs w:val="32"/>
      <w:lang w:val="en-GB"/>
    </w:rPr>
  </w:style>
  <w:style w:type="paragraph" w:customStyle="1" w:styleId="Style4">
    <w:name w:val="Style4"/>
    <w:basedOn w:val="Heading1"/>
    <w:link w:val="Style4Char"/>
    <w:qFormat/>
    <w:rsid w:val="005B627E"/>
    <w:pPr>
      <w:spacing w:after="100" w:afterAutospacing="1"/>
    </w:pPr>
    <w:rPr>
      <w:color w:val="3DA18F" w:themeColor="accent1" w:themeShade="BF"/>
    </w:rPr>
  </w:style>
  <w:style w:type="character" w:customStyle="1" w:styleId="Style3Char">
    <w:name w:val="Style3 Char"/>
    <w:basedOn w:val="Heading2Char"/>
    <w:link w:val="Style3"/>
    <w:rsid w:val="005B627E"/>
    <w:rPr>
      <w:rFonts w:asciiTheme="majorHAnsi" w:eastAsiaTheme="majorEastAsia" w:hAnsiTheme="majorHAnsi" w:cstheme="majorBidi"/>
      <w:b w:val="0"/>
      <w:bCs/>
      <w:caps/>
      <w:color w:val="495965" w:themeColor="text2"/>
      <w:sz w:val="36"/>
      <w:szCs w:val="36"/>
      <w:lang w:val="en-GB"/>
    </w:rPr>
  </w:style>
  <w:style w:type="character" w:customStyle="1" w:styleId="Style4Char">
    <w:name w:val="Style4 Char"/>
    <w:basedOn w:val="Heading1Char"/>
    <w:link w:val="Style4"/>
    <w:rsid w:val="005B627E"/>
    <w:rPr>
      <w:rFonts w:asciiTheme="majorHAnsi" w:eastAsiaTheme="majorEastAsia" w:hAnsiTheme="majorHAnsi" w:cstheme="majorBidi"/>
      <w:b/>
      <w:bCs w:val="0"/>
      <w:caps/>
      <w:color w:val="3DA18F" w:themeColor="accent1" w:themeShade="BF"/>
      <w:sz w:val="38"/>
      <w:szCs w:val="28"/>
      <w:lang w:val="en-GB"/>
    </w:rPr>
  </w:style>
  <w:style w:type="paragraph" w:customStyle="1" w:styleId="Style5">
    <w:name w:val="Style5"/>
    <w:basedOn w:val="Style2"/>
    <w:link w:val="Style5Char"/>
    <w:qFormat/>
    <w:rsid w:val="005B627E"/>
  </w:style>
  <w:style w:type="character" w:customStyle="1" w:styleId="Style5Char">
    <w:name w:val="Style5 Char"/>
    <w:basedOn w:val="Style2Char"/>
    <w:link w:val="Style5"/>
    <w:rsid w:val="005B627E"/>
    <w:rPr>
      <w:rFonts w:asciiTheme="majorHAnsi" w:eastAsiaTheme="majorEastAsia" w:hAnsiTheme="majorHAnsi" w:cstheme="majorBidi"/>
      <w:b w:val="0"/>
      <w:bCs/>
      <w:caps/>
      <w:color w:val="3DA18F"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715">
      <w:bodyDiv w:val="1"/>
      <w:marLeft w:val="0"/>
      <w:marRight w:val="0"/>
      <w:marTop w:val="0"/>
      <w:marBottom w:val="0"/>
      <w:divBdr>
        <w:top w:val="none" w:sz="0" w:space="0" w:color="auto"/>
        <w:left w:val="none" w:sz="0" w:space="0" w:color="auto"/>
        <w:bottom w:val="none" w:sz="0" w:space="0" w:color="auto"/>
        <w:right w:val="none" w:sz="0" w:space="0" w:color="auto"/>
      </w:divBdr>
    </w:div>
    <w:div w:id="122624053">
      <w:bodyDiv w:val="1"/>
      <w:marLeft w:val="0"/>
      <w:marRight w:val="0"/>
      <w:marTop w:val="0"/>
      <w:marBottom w:val="0"/>
      <w:divBdr>
        <w:top w:val="none" w:sz="0" w:space="0" w:color="auto"/>
        <w:left w:val="none" w:sz="0" w:space="0" w:color="auto"/>
        <w:bottom w:val="none" w:sz="0" w:space="0" w:color="auto"/>
        <w:right w:val="none" w:sz="0" w:space="0" w:color="auto"/>
      </w:divBdr>
    </w:div>
    <w:div w:id="168300415">
      <w:bodyDiv w:val="1"/>
      <w:marLeft w:val="0"/>
      <w:marRight w:val="0"/>
      <w:marTop w:val="0"/>
      <w:marBottom w:val="0"/>
      <w:divBdr>
        <w:top w:val="none" w:sz="0" w:space="0" w:color="auto"/>
        <w:left w:val="none" w:sz="0" w:space="0" w:color="auto"/>
        <w:bottom w:val="none" w:sz="0" w:space="0" w:color="auto"/>
        <w:right w:val="none" w:sz="0" w:space="0" w:color="auto"/>
      </w:divBdr>
    </w:div>
    <w:div w:id="499391527">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1671789044">
      <w:bodyDiv w:val="1"/>
      <w:marLeft w:val="0"/>
      <w:marRight w:val="0"/>
      <w:marTop w:val="0"/>
      <w:marBottom w:val="0"/>
      <w:divBdr>
        <w:top w:val="none" w:sz="0" w:space="0" w:color="auto"/>
        <w:left w:val="none" w:sz="0" w:space="0" w:color="auto"/>
        <w:bottom w:val="none" w:sz="0" w:space="0" w:color="auto"/>
        <w:right w:val="none" w:sz="0" w:space="0" w:color="auto"/>
      </w:divBdr>
    </w:div>
    <w:div w:id="20406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fatintranet.titan.satin.lo/finance/Pages/weekly-exchange-rat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E30DF-385D-4114-BDE0-174066863650}">
  <ds:schemaRefs>
    <ds:schemaRef ds:uri="http://schemas.microsoft.com/office/2006/documentManagement/types"/>
    <ds:schemaRef ds:uri="http://purl.org/dc/dcmitype/"/>
    <ds:schemaRef ds:uri="e7c2167f-7f62-42c8-b17f-4fb54f1eb71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861F01-15F1-4086-822E-FD70CEC2C025}">
  <ds:schemaRefs>
    <ds:schemaRef ds:uri="http://schemas.microsoft.com/sharepoint/v3/contenttype/forms"/>
  </ds:schemaRefs>
</ds:datastoreItem>
</file>

<file path=customXml/itemProps3.xml><?xml version="1.0" encoding="utf-8"?>
<ds:datastoreItem xmlns:ds="http://schemas.openxmlformats.org/officeDocument/2006/customXml" ds:itemID="{6C640167-7289-412C-8D4B-123E81FE32B8}">
  <ds:schemaRefs>
    <ds:schemaRef ds:uri="http://schemas.openxmlformats.org/officeDocument/2006/bibliography"/>
  </ds:schemaRefs>
</ds:datastoreItem>
</file>

<file path=customXml/itemProps4.xml><?xml version="1.0" encoding="utf-8"?>
<ds:datastoreItem xmlns:ds="http://schemas.openxmlformats.org/officeDocument/2006/customXml" ds:itemID="{A179A5A4-EE6E-4388-879B-FB81EB0D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8244</Characters>
  <Application>Microsoft Office Word</Application>
  <DocSecurity>0</DocSecurity>
  <Lines>169</Lines>
  <Paragraphs>73</Paragraphs>
  <ScaleCrop>false</ScaleCrop>
  <HeadingPairs>
    <vt:vector size="2" baseType="variant">
      <vt:variant>
        <vt:lpstr>Title</vt:lpstr>
      </vt:variant>
      <vt:variant>
        <vt:i4>1</vt:i4>
      </vt:variant>
    </vt:vector>
  </HeadingPairs>
  <TitlesOfParts>
    <vt:vector size="1" baseType="lpstr">
      <vt:lpstr>Tier 2 Technical Note – Social protection</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Social protection</dc:title>
  <dc:creator/>
  <cp:keywords>[SEC=OFFICIAL]</cp:keywords>
  <cp:lastModifiedBy/>
  <cp:revision>5</cp:revision>
  <dcterms:created xsi:type="dcterms:W3CDTF">2023-09-14T00:28:00Z</dcterms:created>
  <dcterms:modified xsi:type="dcterms:W3CDTF">2024-06-19T06:25:00Z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v=2022.1;a=SHA256;h=E36FAEEFC89B8EAE6BF0564C75E54AD09E4F838D989BA0F73385C73256EC8CE1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583ABD001C174426BACB5FFC154303DA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2023-06-19T21:41:39Z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32245B2462832A91C11FEBF8997B763B</vt:lpwstr>
  </property>
  <property fmtid="{D5CDD505-2E9C-101B-9397-08002B2CF9AE}" pid="20" name="PM_Hash_Salt">
    <vt:lpwstr>82D77BCC252196982F1329FF72033B43</vt:lpwstr>
  </property>
  <property fmtid="{D5CDD505-2E9C-101B-9397-08002B2CF9AE}" pid="21" name="PM_Hash_SHA1">
    <vt:lpwstr>2D8B573C8B0044DC883D9399646D10A33656EFEE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