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6.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AD1D53" w14:textId="77777777" w:rsidR="004B4E98" w:rsidRPr="008F332A" w:rsidRDefault="00A075B3" w:rsidP="003A2CCC">
      <w:pPr>
        <w:pStyle w:val="Covertitle"/>
        <w:spacing w:before="4320" w:after="240"/>
        <w:rPr>
          <w:rFonts w:asciiTheme="minorHAnsi" w:hAnsiTheme="minorHAnsi" w:cstheme="minorHAnsi"/>
          <w:b/>
          <w:color w:val="002D88" w:themeColor="accent6" w:themeTint="E6"/>
        </w:rPr>
      </w:pPr>
      <w:bookmarkStart w:id="0" w:name="_GoBack"/>
      <w:bookmarkEnd w:id="0"/>
      <w:r w:rsidRPr="008F332A">
        <w:rPr>
          <w:rFonts w:asciiTheme="minorHAnsi" w:hAnsiTheme="minorHAnsi" w:cstheme="minorHAnsi"/>
          <w:b/>
          <w:color w:val="002D88" w:themeColor="accent6" w:themeTint="E6"/>
        </w:rPr>
        <w:t xml:space="preserve">Monitoring, Evaluation and Learning </w:t>
      </w:r>
      <w:r w:rsidR="00B262C3" w:rsidRPr="008F332A">
        <w:rPr>
          <w:rFonts w:asciiTheme="minorHAnsi" w:hAnsiTheme="minorHAnsi" w:cstheme="minorHAnsi"/>
          <w:b/>
          <w:color w:val="002D88" w:themeColor="accent6" w:themeTint="E6"/>
        </w:rPr>
        <w:t>Plan</w:t>
      </w:r>
    </w:p>
    <w:p w14:paraId="384ACCD9" w14:textId="77777777" w:rsidR="008F332A" w:rsidRPr="0061262A" w:rsidRDefault="00415249" w:rsidP="003A2CCC">
      <w:pPr>
        <w:pStyle w:val="Covertitle"/>
        <w:spacing w:before="240"/>
        <w:rPr>
          <w:rFonts w:asciiTheme="minorHAnsi" w:hAnsiTheme="minorHAnsi" w:cstheme="minorHAnsi"/>
          <w:color w:val="002D88" w:themeColor="accent6" w:themeTint="E6"/>
          <w:sz w:val="72"/>
        </w:rPr>
      </w:pPr>
      <w:r w:rsidRPr="0061262A">
        <w:rPr>
          <w:rFonts w:asciiTheme="minorHAnsi" w:hAnsiTheme="minorHAnsi" w:cstheme="minorHAnsi"/>
          <w:color w:val="002D88" w:themeColor="accent6" w:themeTint="E6"/>
          <w:sz w:val="72"/>
        </w:rPr>
        <w:t xml:space="preserve">Nabilan </w:t>
      </w:r>
    </w:p>
    <w:p w14:paraId="28A1768D" w14:textId="77777777" w:rsidR="005D435B" w:rsidRDefault="00415249" w:rsidP="003A2CCC">
      <w:pPr>
        <w:pStyle w:val="Covertitle"/>
        <w:spacing w:before="240"/>
        <w:rPr>
          <w:rFonts w:asciiTheme="minorHAnsi" w:hAnsiTheme="minorHAnsi" w:cstheme="minorHAnsi"/>
          <w:color w:val="002D88" w:themeColor="accent6" w:themeTint="E6"/>
        </w:rPr>
      </w:pPr>
      <w:r w:rsidRPr="008F332A">
        <w:rPr>
          <w:rFonts w:asciiTheme="minorHAnsi" w:hAnsiTheme="minorHAnsi" w:cstheme="minorHAnsi"/>
          <w:color w:val="002D88" w:themeColor="accent6" w:themeTint="E6"/>
        </w:rPr>
        <w:t>Phase 2</w:t>
      </w:r>
      <w:r w:rsidR="00BD3823" w:rsidRPr="008F332A">
        <w:rPr>
          <w:rFonts w:asciiTheme="minorHAnsi" w:hAnsiTheme="minorHAnsi" w:cstheme="minorHAnsi"/>
          <w:color w:val="002D88" w:themeColor="accent6" w:themeTint="E6"/>
        </w:rPr>
        <w:t xml:space="preserve"> </w:t>
      </w:r>
      <w:r w:rsidR="008F332A">
        <w:rPr>
          <w:rFonts w:asciiTheme="minorHAnsi" w:hAnsiTheme="minorHAnsi" w:cstheme="minorHAnsi"/>
          <w:color w:val="002D88" w:themeColor="accent6" w:themeTint="E6"/>
        </w:rPr>
        <w:t>(</w:t>
      </w:r>
      <w:r w:rsidRPr="008F332A">
        <w:rPr>
          <w:rFonts w:asciiTheme="minorHAnsi" w:hAnsiTheme="minorHAnsi" w:cstheme="minorHAnsi"/>
          <w:color w:val="002D88" w:themeColor="accent6" w:themeTint="E6"/>
        </w:rPr>
        <w:t>2018-2022</w:t>
      </w:r>
      <w:r w:rsidR="008F332A">
        <w:rPr>
          <w:rFonts w:asciiTheme="minorHAnsi" w:hAnsiTheme="minorHAnsi" w:cstheme="minorHAnsi"/>
          <w:color w:val="002D88" w:themeColor="accent6" w:themeTint="E6"/>
        </w:rPr>
        <w:t>)</w:t>
      </w:r>
    </w:p>
    <w:p w14:paraId="554DD145" w14:textId="77777777" w:rsidR="008F332A" w:rsidRDefault="008F332A" w:rsidP="003A2CCC">
      <w:pPr>
        <w:pStyle w:val="Covertitle"/>
        <w:spacing w:before="240"/>
        <w:rPr>
          <w:rFonts w:asciiTheme="minorHAnsi" w:hAnsiTheme="minorHAnsi" w:cstheme="minorHAnsi"/>
          <w:color w:val="002D88" w:themeColor="accent6" w:themeTint="E6"/>
        </w:rPr>
      </w:pPr>
    </w:p>
    <w:p w14:paraId="256219F0" w14:textId="77777777" w:rsidR="008F332A" w:rsidRDefault="008F332A" w:rsidP="003A2CCC">
      <w:pPr>
        <w:pStyle w:val="Covertitle"/>
        <w:spacing w:before="240"/>
        <w:rPr>
          <w:rFonts w:asciiTheme="minorHAnsi" w:hAnsiTheme="minorHAnsi" w:cstheme="minorHAnsi"/>
          <w:color w:val="002D88" w:themeColor="accent6" w:themeTint="E6"/>
        </w:rPr>
      </w:pPr>
      <w:r>
        <w:rPr>
          <w:rFonts w:asciiTheme="minorHAnsi" w:hAnsiTheme="minorHAnsi" w:cstheme="minorHAnsi"/>
          <w:color w:val="002D88" w:themeColor="accent6" w:themeTint="E6"/>
        </w:rPr>
        <w:t>May 2018</w:t>
      </w:r>
      <w:bookmarkStart w:id="1" w:name="_Toc515359942"/>
    </w:p>
    <w:p w14:paraId="3F89C5CF" w14:textId="77777777" w:rsidR="00B5282C" w:rsidRPr="008F332A" w:rsidRDefault="008F332A" w:rsidP="003A2CCC">
      <w:pPr>
        <w:pStyle w:val="Covertitle"/>
        <w:spacing w:before="240" w:after="0"/>
        <w:rPr>
          <w:rFonts w:asciiTheme="minorHAnsi" w:hAnsiTheme="minorHAnsi" w:cstheme="minorHAnsi"/>
        </w:rPr>
      </w:pPr>
      <w:r>
        <w:rPr>
          <w:rFonts w:asciiTheme="minorHAnsi" w:hAnsiTheme="minorHAnsi" w:cstheme="minorHAnsi"/>
          <w:color w:val="002D88" w:themeColor="accent6" w:themeTint="E6"/>
        </w:rPr>
        <w:br w:type="column"/>
      </w:r>
      <w:r w:rsidR="00B5282C" w:rsidRPr="008F332A">
        <w:rPr>
          <w:rFonts w:asciiTheme="minorHAnsi" w:hAnsiTheme="minorHAnsi" w:cstheme="minorHAnsi"/>
          <w:b/>
          <w:bCs w:val="0"/>
          <w:color w:val="002D88" w:themeColor="accent6" w:themeTint="E6"/>
          <w:kern w:val="0"/>
          <w:sz w:val="32"/>
          <w:szCs w:val="32"/>
        </w:rPr>
        <w:lastRenderedPageBreak/>
        <w:t>Contents</w:t>
      </w:r>
      <w:bookmarkEnd w:id="1"/>
    </w:p>
    <w:p w14:paraId="2FBCCBDC" w14:textId="6A2C2428" w:rsidR="0031566D" w:rsidRDefault="008A03AB" w:rsidP="003A2CCC">
      <w:pPr>
        <w:pStyle w:val="TOC1"/>
        <w:spacing w:before="0" w:line="240" w:lineRule="auto"/>
        <w:rPr>
          <w:rFonts w:asciiTheme="minorHAnsi" w:eastAsiaTheme="minorEastAsia" w:hAnsiTheme="minorHAnsi"/>
          <w:sz w:val="22"/>
          <w:lang w:val="en-US"/>
        </w:rPr>
      </w:pPr>
      <w:r w:rsidRPr="008F332A">
        <w:rPr>
          <w:rFonts w:asciiTheme="minorHAnsi" w:hAnsiTheme="minorHAnsi" w:cstheme="minorHAnsi"/>
          <w:color w:val="002D88" w:themeColor="accent6" w:themeTint="E6"/>
          <w:sz w:val="22"/>
        </w:rPr>
        <w:fldChar w:fldCharType="begin"/>
      </w:r>
      <w:r w:rsidR="00090E84" w:rsidRPr="008F332A">
        <w:rPr>
          <w:rFonts w:asciiTheme="minorHAnsi" w:hAnsiTheme="minorHAnsi" w:cstheme="minorHAnsi"/>
          <w:color w:val="002D88" w:themeColor="accent6" w:themeTint="E6"/>
          <w:sz w:val="22"/>
        </w:rPr>
        <w:instrText xml:space="preserve"> TOC \o "1-3" </w:instrText>
      </w:r>
      <w:r w:rsidRPr="008F332A">
        <w:rPr>
          <w:rFonts w:asciiTheme="minorHAnsi" w:hAnsiTheme="minorHAnsi" w:cstheme="minorHAnsi"/>
          <w:color w:val="002D88" w:themeColor="accent6" w:themeTint="E6"/>
          <w:sz w:val="22"/>
        </w:rPr>
        <w:fldChar w:fldCharType="separate"/>
      </w:r>
      <w:r w:rsidR="0031566D" w:rsidRPr="00853389">
        <w:rPr>
          <w:rFonts w:asciiTheme="minorHAnsi" w:hAnsiTheme="minorHAnsi" w:cstheme="minorHAnsi"/>
        </w:rPr>
        <w:t>Glossary</w:t>
      </w:r>
      <w:r w:rsidR="0031566D">
        <w:tab/>
      </w:r>
      <w:r w:rsidR="0031566D">
        <w:fldChar w:fldCharType="begin"/>
      </w:r>
      <w:r w:rsidR="0031566D">
        <w:instrText xml:space="preserve"> PAGEREF _Toc517960086 \h </w:instrText>
      </w:r>
      <w:r w:rsidR="0031566D">
        <w:fldChar w:fldCharType="separate"/>
      </w:r>
      <w:r w:rsidR="0082402C">
        <w:t>iv</w:t>
      </w:r>
      <w:r w:rsidR="0031566D">
        <w:fldChar w:fldCharType="end"/>
      </w:r>
    </w:p>
    <w:p w14:paraId="78E58525" w14:textId="11A0AC3D" w:rsidR="0031566D" w:rsidRDefault="0031566D" w:rsidP="003A2CCC">
      <w:pPr>
        <w:pStyle w:val="TOC1"/>
        <w:spacing w:before="0" w:line="240" w:lineRule="auto"/>
        <w:rPr>
          <w:rFonts w:asciiTheme="minorHAnsi" w:eastAsiaTheme="minorEastAsia" w:hAnsiTheme="minorHAnsi"/>
          <w:sz w:val="22"/>
          <w:lang w:val="en-US"/>
        </w:rPr>
      </w:pPr>
      <w:r w:rsidRPr="00853389">
        <w:rPr>
          <w:rFonts w:asciiTheme="minorHAnsi" w:hAnsiTheme="minorHAnsi" w:cstheme="minorHAnsi"/>
        </w:rPr>
        <w:t>1.</w:t>
      </w:r>
      <w:r>
        <w:rPr>
          <w:rFonts w:asciiTheme="minorHAnsi" w:eastAsiaTheme="minorEastAsia" w:hAnsiTheme="minorHAnsi"/>
          <w:sz w:val="22"/>
          <w:lang w:val="en-US"/>
        </w:rPr>
        <w:tab/>
      </w:r>
      <w:r w:rsidRPr="00853389">
        <w:rPr>
          <w:rFonts w:asciiTheme="minorHAnsi" w:hAnsiTheme="minorHAnsi" w:cstheme="minorHAnsi"/>
        </w:rPr>
        <w:t>INTRODUCTION</w:t>
      </w:r>
      <w:r>
        <w:tab/>
      </w:r>
      <w:r>
        <w:fldChar w:fldCharType="begin"/>
      </w:r>
      <w:r>
        <w:instrText xml:space="preserve"> PAGEREF _Toc517960087 \h </w:instrText>
      </w:r>
      <w:r>
        <w:fldChar w:fldCharType="separate"/>
      </w:r>
      <w:r w:rsidR="0082402C">
        <w:t>1</w:t>
      </w:r>
      <w:r>
        <w:fldChar w:fldCharType="end"/>
      </w:r>
    </w:p>
    <w:p w14:paraId="1831CE8F" w14:textId="7D322294" w:rsidR="0031566D" w:rsidRDefault="0031566D" w:rsidP="003A2CCC">
      <w:pPr>
        <w:pStyle w:val="TOC2"/>
        <w:spacing w:line="240" w:lineRule="auto"/>
        <w:rPr>
          <w:rFonts w:asciiTheme="minorHAnsi" w:eastAsiaTheme="minorEastAsia" w:hAnsiTheme="minorHAnsi"/>
          <w:lang w:val="en-US"/>
        </w:rPr>
      </w:pPr>
      <w:r w:rsidRPr="00853389">
        <w:rPr>
          <w:rFonts w:asciiTheme="minorHAnsi" w:hAnsiTheme="minorHAnsi" w:cstheme="minorHAnsi"/>
          <w:color w:val="002D88" w:themeColor="accent6" w:themeTint="E6"/>
        </w:rPr>
        <w:t>1.1.</w:t>
      </w:r>
      <w:r>
        <w:rPr>
          <w:rFonts w:asciiTheme="minorHAnsi" w:eastAsiaTheme="minorEastAsia" w:hAnsiTheme="minorHAnsi"/>
          <w:lang w:val="en-US"/>
        </w:rPr>
        <w:tab/>
      </w:r>
      <w:r w:rsidRPr="00853389">
        <w:rPr>
          <w:rFonts w:asciiTheme="minorHAnsi" w:hAnsiTheme="minorHAnsi" w:cstheme="minorHAnsi"/>
          <w:color w:val="002D88" w:themeColor="accent6" w:themeTint="E6"/>
        </w:rPr>
        <w:t>Program Background</w:t>
      </w:r>
      <w:r>
        <w:tab/>
      </w:r>
      <w:r>
        <w:fldChar w:fldCharType="begin"/>
      </w:r>
      <w:r>
        <w:instrText xml:space="preserve"> PAGEREF _Toc517960088 \h </w:instrText>
      </w:r>
      <w:r>
        <w:fldChar w:fldCharType="separate"/>
      </w:r>
      <w:r w:rsidR="0082402C">
        <w:t>1</w:t>
      </w:r>
      <w:r>
        <w:fldChar w:fldCharType="end"/>
      </w:r>
    </w:p>
    <w:p w14:paraId="49CE1000" w14:textId="5B2CBD4A" w:rsidR="0031566D" w:rsidRDefault="0031566D" w:rsidP="003A2CCC">
      <w:pPr>
        <w:pStyle w:val="TOC2"/>
        <w:spacing w:line="240" w:lineRule="auto"/>
        <w:rPr>
          <w:rFonts w:asciiTheme="minorHAnsi" w:eastAsiaTheme="minorEastAsia" w:hAnsiTheme="minorHAnsi"/>
          <w:lang w:val="en-US"/>
        </w:rPr>
      </w:pPr>
      <w:r w:rsidRPr="00853389">
        <w:rPr>
          <w:rFonts w:asciiTheme="minorHAnsi" w:hAnsiTheme="minorHAnsi" w:cstheme="minorHAnsi"/>
          <w:color w:val="002D88" w:themeColor="accent6" w:themeTint="E6"/>
        </w:rPr>
        <w:t>1.2.</w:t>
      </w:r>
      <w:r>
        <w:rPr>
          <w:rFonts w:asciiTheme="minorHAnsi" w:eastAsiaTheme="minorEastAsia" w:hAnsiTheme="minorHAnsi"/>
          <w:lang w:val="en-US"/>
        </w:rPr>
        <w:tab/>
      </w:r>
      <w:r w:rsidRPr="00853389">
        <w:rPr>
          <w:rFonts w:asciiTheme="minorHAnsi" w:hAnsiTheme="minorHAnsi" w:cstheme="minorHAnsi"/>
          <w:color w:val="002D88" w:themeColor="accent6" w:themeTint="E6"/>
        </w:rPr>
        <w:t>The Nabilan Monitoring Evaluation and Learning Plan</w:t>
      </w:r>
      <w:r>
        <w:tab/>
      </w:r>
      <w:r>
        <w:fldChar w:fldCharType="begin"/>
      </w:r>
      <w:r>
        <w:instrText xml:space="preserve"> PAGEREF _Toc517960089 \h </w:instrText>
      </w:r>
      <w:r>
        <w:fldChar w:fldCharType="separate"/>
      </w:r>
      <w:r w:rsidR="0082402C">
        <w:t>1</w:t>
      </w:r>
      <w:r>
        <w:fldChar w:fldCharType="end"/>
      </w:r>
    </w:p>
    <w:p w14:paraId="0148B7DB" w14:textId="20C54426" w:rsidR="0031566D" w:rsidRDefault="0031566D" w:rsidP="003A2CCC">
      <w:pPr>
        <w:pStyle w:val="TOC2"/>
        <w:spacing w:line="240" w:lineRule="auto"/>
        <w:rPr>
          <w:rFonts w:asciiTheme="minorHAnsi" w:eastAsiaTheme="minorEastAsia" w:hAnsiTheme="minorHAnsi"/>
          <w:lang w:val="en-US"/>
        </w:rPr>
      </w:pPr>
      <w:r w:rsidRPr="00853389">
        <w:rPr>
          <w:rFonts w:asciiTheme="minorHAnsi" w:hAnsiTheme="minorHAnsi" w:cstheme="minorHAnsi"/>
          <w:color w:val="002D88" w:themeColor="accent6" w:themeTint="E6"/>
        </w:rPr>
        <w:t>1.3.</w:t>
      </w:r>
      <w:r>
        <w:rPr>
          <w:rFonts w:asciiTheme="minorHAnsi" w:eastAsiaTheme="minorEastAsia" w:hAnsiTheme="minorHAnsi"/>
          <w:lang w:val="en-US"/>
        </w:rPr>
        <w:tab/>
      </w:r>
      <w:r w:rsidRPr="00853389">
        <w:rPr>
          <w:rFonts w:asciiTheme="minorHAnsi" w:hAnsiTheme="minorHAnsi" w:cstheme="minorHAnsi"/>
          <w:color w:val="002D88" w:themeColor="accent6" w:themeTint="E6"/>
        </w:rPr>
        <w:t>Background to the development of the Nabilan (Phase 2) MELP</w:t>
      </w:r>
      <w:r>
        <w:tab/>
      </w:r>
      <w:r>
        <w:fldChar w:fldCharType="begin"/>
      </w:r>
      <w:r>
        <w:instrText xml:space="preserve"> PAGEREF _Toc517960090 \h </w:instrText>
      </w:r>
      <w:r>
        <w:fldChar w:fldCharType="separate"/>
      </w:r>
      <w:r w:rsidR="0082402C">
        <w:t>2</w:t>
      </w:r>
      <w:r>
        <w:fldChar w:fldCharType="end"/>
      </w:r>
    </w:p>
    <w:p w14:paraId="5DC1F698" w14:textId="48EB6D86" w:rsidR="0031566D" w:rsidRDefault="0031566D" w:rsidP="003A2CCC">
      <w:pPr>
        <w:pStyle w:val="TOC1"/>
        <w:spacing w:before="0" w:line="240" w:lineRule="auto"/>
        <w:rPr>
          <w:rFonts w:asciiTheme="minorHAnsi" w:eastAsiaTheme="minorEastAsia" w:hAnsiTheme="minorHAnsi"/>
          <w:sz w:val="22"/>
          <w:lang w:val="en-US"/>
        </w:rPr>
      </w:pPr>
      <w:r w:rsidRPr="00853389">
        <w:rPr>
          <w:rFonts w:asciiTheme="minorHAnsi" w:hAnsiTheme="minorHAnsi" w:cstheme="minorHAnsi"/>
        </w:rPr>
        <w:t>2.</w:t>
      </w:r>
      <w:r>
        <w:rPr>
          <w:rFonts w:asciiTheme="minorHAnsi" w:eastAsiaTheme="minorEastAsia" w:hAnsiTheme="minorHAnsi"/>
          <w:sz w:val="22"/>
          <w:lang w:val="en-US"/>
        </w:rPr>
        <w:tab/>
      </w:r>
      <w:r w:rsidRPr="00853389">
        <w:rPr>
          <w:rFonts w:asciiTheme="minorHAnsi" w:hAnsiTheme="minorHAnsi" w:cstheme="minorHAnsi"/>
        </w:rPr>
        <w:t>THEORY OF CHANGE</w:t>
      </w:r>
      <w:r>
        <w:tab/>
      </w:r>
      <w:r>
        <w:fldChar w:fldCharType="begin"/>
      </w:r>
      <w:r>
        <w:instrText xml:space="preserve"> PAGEREF _Toc517960091 \h </w:instrText>
      </w:r>
      <w:r>
        <w:fldChar w:fldCharType="separate"/>
      </w:r>
      <w:r w:rsidR="0082402C">
        <w:t>2</w:t>
      </w:r>
      <w:r>
        <w:fldChar w:fldCharType="end"/>
      </w:r>
    </w:p>
    <w:p w14:paraId="751DFB3C" w14:textId="3ACB815D" w:rsidR="0031566D" w:rsidRDefault="0031566D" w:rsidP="003A2CCC">
      <w:pPr>
        <w:pStyle w:val="TOC2"/>
        <w:spacing w:line="240" w:lineRule="auto"/>
        <w:rPr>
          <w:rFonts w:asciiTheme="minorHAnsi" w:eastAsiaTheme="minorEastAsia" w:hAnsiTheme="minorHAnsi"/>
          <w:lang w:val="en-US"/>
        </w:rPr>
      </w:pPr>
      <w:r w:rsidRPr="00853389">
        <w:rPr>
          <w:rFonts w:asciiTheme="minorHAnsi" w:hAnsiTheme="minorHAnsi" w:cstheme="minorHAnsi"/>
          <w:color w:val="002D88" w:themeColor="accent6" w:themeTint="E6"/>
        </w:rPr>
        <w:t>2.1.</w:t>
      </w:r>
      <w:r>
        <w:rPr>
          <w:rFonts w:asciiTheme="minorHAnsi" w:eastAsiaTheme="minorEastAsia" w:hAnsiTheme="minorHAnsi"/>
          <w:lang w:val="en-US"/>
        </w:rPr>
        <w:tab/>
      </w:r>
      <w:r w:rsidRPr="00853389">
        <w:rPr>
          <w:rFonts w:asciiTheme="minorHAnsi" w:hAnsiTheme="minorHAnsi" w:cstheme="minorHAnsi"/>
          <w:color w:val="002D88" w:themeColor="accent6" w:themeTint="E6"/>
        </w:rPr>
        <w:t>Goal and End of Program Outcomes</w:t>
      </w:r>
      <w:r>
        <w:tab/>
      </w:r>
      <w:r>
        <w:fldChar w:fldCharType="begin"/>
      </w:r>
      <w:r>
        <w:instrText xml:space="preserve"> PAGEREF _Toc517960092 \h </w:instrText>
      </w:r>
      <w:r>
        <w:fldChar w:fldCharType="separate"/>
      </w:r>
      <w:r w:rsidR="0082402C">
        <w:t>2</w:t>
      </w:r>
      <w:r>
        <w:fldChar w:fldCharType="end"/>
      </w:r>
    </w:p>
    <w:p w14:paraId="1A3C262F" w14:textId="1245961F" w:rsidR="0031566D" w:rsidRDefault="0031566D" w:rsidP="003A2CCC">
      <w:pPr>
        <w:pStyle w:val="TOC2"/>
        <w:spacing w:line="240" w:lineRule="auto"/>
        <w:rPr>
          <w:rFonts w:asciiTheme="minorHAnsi" w:eastAsiaTheme="minorEastAsia" w:hAnsiTheme="minorHAnsi"/>
          <w:lang w:val="en-US"/>
        </w:rPr>
      </w:pPr>
      <w:r w:rsidRPr="00853389">
        <w:rPr>
          <w:rFonts w:asciiTheme="minorHAnsi" w:hAnsiTheme="minorHAnsi" w:cstheme="minorHAnsi"/>
          <w:color w:val="002D88" w:themeColor="accent6" w:themeTint="E6"/>
        </w:rPr>
        <w:t>2.2.</w:t>
      </w:r>
      <w:r>
        <w:rPr>
          <w:rFonts w:asciiTheme="minorHAnsi" w:eastAsiaTheme="minorEastAsia" w:hAnsiTheme="minorHAnsi"/>
          <w:lang w:val="en-US"/>
        </w:rPr>
        <w:tab/>
      </w:r>
      <w:r w:rsidRPr="00853389">
        <w:rPr>
          <w:rFonts w:asciiTheme="minorHAnsi" w:hAnsiTheme="minorHAnsi" w:cstheme="minorHAnsi"/>
          <w:color w:val="002D88" w:themeColor="accent6" w:themeTint="E6"/>
        </w:rPr>
        <w:t>Stakeholders</w:t>
      </w:r>
      <w:r>
        <w:tab/>
      </w:r>
      <w:r>
        <w:fldChar w:fldCharType="begin"/>
      </w:r>
      <w:r>
        <w:instrText xml:space="preserve"> PAGEREF _Toc517960093 \h </w:instrText>
      </w:r>
      <w:r>
        <w:fldChar w:fldCharType="separate"/>
      </w:r>
      <w:r w:rsidR="0082402C">
        <w:t>7</w:t>
      </w:r>
      <w:r>
        <w:fldChar w:fldCharType="end"/>
      </w:r>
    </w:p>
    <w:p w14:paraId="10919672" w14:textId="28DAE052" w:rsidR="0031566D" w:rsidRDefault="0031566D" w:rsidP="003A2CCC">
      <w:pPr>
        <w:pStyle w:val="TOC2"/>
        <w:spacing w:line="240" w:lineRule="auto"/>
        <w:rPr>
          <w:rFonts w:asciiTheme="minorHAnsi" w:eastAsiaTheme="minorEastAsia" w:hAnsiTheme="minorHAnsi"/>
          <w:lang w:val="en-US"/>
        </w:rPr>
      </w:pPr>
      <w:r w:rsidRPr="00853389">
        <w:rPr>
          <w:rFonts w:asciiTheme="minorHAnsi" w:hAnsiTheme="minorHAnsi" w:cstheme="minorHAnsi"/>
          <w:color w:val="002D88" w:themeColor="accent6" w:themeTint="E6"/>
        </w:rPr>
        <w:t>2.3.</w:t>
      </w:r>
      <w:r>
        <w:rPr>
          <w:rFonts w:asciiTheme="minorHAnsi" w:eastAsiaTheme="minorEastAsia" w:hAnsiTheme="minorHAnsi"/>
          <w:lang w:val="en-US"/>
        </w:rPr>
        <w:tab/>
      </w:r>
      <w:r w:rsidRPr="00853389">
        <w:rPr>
          <w:rFonts w:asciiTheme="minorHAnsi" w:hAnsiTheme="minorHAnsi" w:cstheme="minorHAnsi"/>
          <w:color w:val="002D88" w:themeColor="accent6" w:themeTint="E6"/>
        </w:rPr>
        <w:t>Summary of principles</w:t>
      </w:r>
      <w:r>
        <w:tab/>
      </w:r>
      <w:r>
        <w:fldChar w:fldCharType="begin"/>
      </w:r>
      <w:r>
        <w:instrText xml:space="preserve"> PAGEREF _Toc517960094 \h </w:instrText>
      </w:r>
      <w:r>
        <w:fldChar w:fldCharType="separate"/>
      </w:r>
      <w:r w:rsidR="0082402C">
        <w:t>7</w:t>
      </w:r>
      <w:r>
        <w:fldChar w:fldCharType="end"/>
      </w:r>
    </w:p>
    <w:p w14:paraId="3C453DD3" w14:textId="782E7A9E" w:rsidR="0031566D" w:rsidRDefault="0031566D" w:rsidP="003A2CCC">
      <w:pPr>
        <w:pStyle w:val="TOC2"/>
        <w:spacing w:line="240" w:lineRule="auto"/>
        <w:rPr>
          <w:rFonts w:asciiTheme="minorHAnsi" w:eastAsiaTheme="minorEastAsia" w:hAnsiTheme="minorHAnsi"/>
          <w:lang w:val="en-US"/>
        </w:rPr>
      </w:pPr>
      <w:r w:rsidRPr="00853389">
        <w:rPr>
          <w:rFonts w:asciiTheme="minorHAnsi" w:hAnsiTheme="minorHAnsi" w:cstheme="minorHAnsi"/>
          <w:color w:val="002D88" w:themeColor="accent6" w:themeTint="E6"/>
        </w:rPr>
        <w:t>2.4.</w:t>
      </w:r>
      <w:r>
        <w:rPr>
          <w:rFonts w:asciiTheme="minorHAnsi" w:eastAsiaTheme="minorEastAsia" w:hAnsiTheme="minorHAnsi"/>
          <w:lang w:val="en-US"/>
        </w:rPr>
        <w:tab/>
      </w:r>
      <w:r w:rsidRPr="00853389">
        <w:rPr>
          <w:rFonts w:asciiTheme="minorHAnsi" w:hAnsiTheme="minorHAnsi" w:cstheme="minorHAnsi"/>
          <w:color w:val="002D88" w:themeColor="accent6" w:themeTint="E6"/>
        </w:rPr>
        <w:t>Assumptions</w:t>
      </w:r>
      <w:r>
        <w:tab/>
      </w:r>
      <w:r>
        <w:fldChar w:fldCharType="begin"/>
      </w:r>
      <w:r>
        <w:instrText xml:space="preserve"> PAGEREF _Toc517960095 \h </w:instrText>
      </w:r>
      <w:r>
        <w:fldChar w:fldCharType="separate"/>
      </w:r>
      <w:r w:rsidR="0082402C">
        <w:t>8</w:t>
      </w:r>
      <w:r>
        <w:fldChar w:fldCharType="end"/>
      </w:r>
    </w:p>
    <w:p w14:paraId="47619A26" w14:textId="18C92A52" w:rsidR="0031566D" w:rsidRDefault="0031566D" w:rsidP="003A2CCC">
      <w:pPr>
        <w:pStyle w:val="TOC2"/>
        <w:spacing w:line="240" w:lineRule="auto"/>
        <w:rPr>
          <w:rFonts w:asciiTheme="minorHAnsi" w:eastAsiaTheme="minorEastAsia" w:hAnsiTheme="minorHAnsi"/>
          <w:lang w:val="en-US"/>
        </w:rPr>
      </w:pPr>
      <w:r w:rsidRPr="00853389">
        <w:rPr>
          <w:rFonts w:asciiTheme="minorHAnsi" w:hAnsiTheme="minorHAnsi" w:cstheme="minorHAnsi"/>
          <w:color w:val="002D88" w:themeColor="accent6" w:themeTint="E6"/>
        </w:rPr>
        <w:t>2.5.</w:t>
      </w:r>
      <w:r>
        <w:rPr>
          <w:rFonts w:asciiTheme="minorHAnsi" w:eastAsiaTheme="minorEastAsia" w:hAnsiTheme="minorHAnsi"/>
          <w:lang w:val="en-US"/>
        </w:rPr>
        <w:tab/>
      </w:r>
      <w:r w:rsidRPr="00853389">
        <w:rPr>
          <w:rFonts w:asciiTheme="minorHAnsi" w:hAnsiTheme="minorHAnsi" w:cstheme="minorHAnsi"/>
          <w:color w:val="002D88" w:themeColor="accent6" w:themeTint="E6"/>
        </w:rPr>
        <w:t>Risks</w:t>
      </w:r>
      <w:r>
        <w:tab/>
      </w:r>
      <w:r>
        <w:fldChar w:fldCharType="begin"/>
      </w:r>
      <w:r>
        <w:instrText xml:space="preserve"> PAGEREF _Toc517960096 \h </w:instrText>
      </w:r>
      <w:r>
        <w:fldChar w:fldCharType="separate"/>
      </w:r>
      <w:r w:rsidR="0082402C">
        <w:t>9</w:t>
      </w:r>
      <w:r>
        <w:fldChar w:fldCharType="end"/>
      </w:r>
    </w:p>
    <w:p w14:paraId="06637D20" w14:textId="793F7EC7" w:rsidR="0031566D" w:rsidRDefault="0031566D" w:rsidP="003A2CCC">
      <w:pPr>
        <w:pStyle w:val="TOC1"/>
        <w:spacing w:before="0" w:line="240" w:lineRule="auto"/>
        <w:rPr>
          <w:rFonts w:asciiTheme="minorHAnsi" w:eastAsiaTheme="minorEastAsia" w:hAnsiTheme="minorHAnsi"/>
          <w:sz w:val="22"/>
          <w:lang w:val="en-US"/>
        </w:rPr>
      </w:pPr>
      <w:r w:rsidRPr="00853389">
        <w:rPr>
          <w:rFonts w:asciiTheme="minorHAnsi" w:hAnsiTheme="minorHAnsi" w:cstheme="minorHAnsi"/>
        </w:rPr>
        <w:t>3.</w:t>
      </w:r>
      <w:r>
        <w:rPr>
          <w:rFonts w:asciiTheme="minorHAnsi" w:eastAsiaTheme="minorEastAsia" w:hAnsiTheme="minorHAnsi"/>
          <w:sz w:val="22"/>
          <w:lang w:val="en-US"/>
        </w:rPr>
        <w:tab/>
      </w:r>
      <w:r w:rsidRPr="00853389">
        <w:rPr>
          <w:rFonts w:asciiTheme="minorHAnsi" w:hAnsiTheme="minorHAnsi" w:cstheme="minorHAnsi"/>
        </w:rPr>
        <w:t>PURPOSE AND SCOPE OF THE MELP</w:t>
      </w:r>
      <w:r>
        <w:tab/>
      </w:r>
      <w:r>
        <w:fldChar w:fldCharType="begin"/>
      </w:r>
      <w:r>
        <w:instrText xml:space="preserve"> PAGEREF _Toc517960097 \h </w:instrText>
      </w:r>
      <w:r>
        <w:fldChar w:fldCharType="separate"/>
      </w:r>
      <w:r w:rsidR="0082402C">
        <w:t>9</w:t>
      </w:r>
      <w:r>
        <w:fldChar w:fldCharType="end"/>
      </w:r>
    </w:p>
    <w:p w14:paraId="31C3D585" w14:textId="66EB7237" w:rsidR="0031566D" w:rsidRDefault="0031566D" w:rsidP="003A2CCC">
      <w:pPr>
        <w:pStyle w:val="TOC2"/>
        <w:spacing w:line="240" w:lineRule="auto"/>
        <w:rPr>
          <w:rFonts w:asciiTheme="minorHAnsi" w:eastAsiaTheme="minorEastAsia" w:hAnsiTheme="minorHAnsi"/>
          <w:lang w:val="en-US"/>
        </w:rPr>
      </w:pPr>
      <w:r w:rsidRPr="00853389">
        <w:rPr>
          <w:rFonts w:asciiTheme="minorHAnsi" w:hAnsiTheme="minorHAnsi" w:cstheme="minorHAnsi"/>
          <w:color w:val="002D88" w:themeColor="accent6" w:themeTint="E6"/>
        </w:rPr>
        <w:t>3.1.</w:t>
      </w:r>
      <w:r>
        <w:rPr>
          <w:rFonts w:asciiTheme="minorHAnsi" w:eastAsiaTheme="minorEastAsia" w:hAnsiTheme="minorHAnsi"/>
          <w:lang w:val="en-US"/>
        </w:rPr>
        <w:tab/>
      </w:r>
      <w:r w:rsidRPr="00853389">
        <w:rPr>
          <w:rFonts w:asciiTheme="minorHAnsi" w:hAnsiTheme="minorHAnsi" w:cstheme="minorHAnsi"/>
          <w:color w:val="002D88" w:themeColor="accent6" w:themeTint="E6"/>
        </w:rPr>
        <w:t>Purpose of the MELP</w:t>
      </w:r>
      <w:r>
        <w:tab/>
      </w:r>
      <w:r>
        <w:fldChar w:fldCharType="begin"/>
      </w:r>
      <w:r>
        <w:instrText xml:space="preserve"> PAGEREF _Toc517960098 \h </w:instrText>
      </w:r>
      <w:r>
        <w:fldChar w:fldCharType="separate"/>
      </w:r>
      <w:r w:rsidR="0082402C">
        <w:t>9</w:t>
      </w:r>
      <w:r>
        <w:fldChar w:fldCharType="end"/>
      </w:r>
    </w:p>
    <w:p w14:paraId="40E31F31" w14:textId="436B8548" w:rsidR="0031566D" w:rsidRDefault="0031566D" w:rsidP="003A2CCC">
      <w:pPr>
        <w:pStyle w:val="TOC2"/>
        <w:spacing w:line="240" w:lineRule="auto"/>
        <w:rPr>
          <w:rFonts w:asciiTheme="minorHAnsi" w:eastAsiaTheme="minorEastAsia" w:hAnsiTheme="minorHAnsi"/>
          <w:lang w:val="en-US"/>
        </w:rPr>
      </w:pPr>
      <w:r w:rsidRPr="00853389">
        <w:rPr>
          <w:rFonts w:asciiTheme="minorHAnsi" w:hAnsiTheme="minorHAnsi" w:cstheme="minorHAnsi"/>
          <w:color w:val="002D88" w:themeColor="accent6" w:themeTint="E6"/>
        </w:rPr>
        <w:t>3.2.</w:t>
      </w:r>
      <w:r>
        <w:rPr>
          <w:rFonts w:asciiTheme="minorHAnsi" w:eastAsiaTheme="minorEastAsia" w:hAnsiTheme="minorHAnsi"/>
          <w:lang w:val="en-US"/>
        </w:rPr>
        <w:tab/>
      </w:r>
      <w:r w:rsidRPr="00853389">
        <w:rPr>
          <w:rFonts w:asciiTheme="minorHAnsi" w:hAnsiTheme="minorHAnsi" w:cstheme="minorHAnsi"/>
          <w:color w:val="002D88" w:themeColor="accent6" w:themeTint="E6"/>
        </w:rPr>
        <w:t>Boundaries</w:t>
      </w:r>
      <w:r>
        <w:tab/>
      </w:r>
      <w:r>
        <w:fldChar w:fldCharType="begin"/>
      </w:r>
      <w:r>
        <w:instrText xml:space="preserve"> PAGEREF _Toc517960099 \h </w:instrText>
      </w:r>
      <w:r>
        <w:fldChar w:fldCharType="separate"/>
      </w:r>
      <w:r w:rsidR="0082402C">
        <w:t>10</w:t>
      </w:r>
      <w:r>
        <w:fldChar w:fldCharType="end"/>
      </w:r>
    </w:p>
    <w:p w14:paraId="64306667" w14:textId="7E41C734" w:rsidR="0031566D" w:rsidRDefault="0031566D" w:rsidP="003A2CCC">
      <w:pPr>
        <w:pStyle w:val="TOC2"/>
        <w:spacing w:line="240" w:lineRule="auto"/>
        <w:rPr>
          <w:rFonts w:asciiTheme="minorHAnsi" w:eastAsiaTheme="minorEastAsia" w:hAnsiTheme="minorHAnsi"/>
          <w:lang w:val="en-US"/>
        </w:rPr>
      </w:pPr>
      <w:r w:rsidRPr="00853389">
        <w:rPr>
          <w:rFonts w:asciiTheme="minorHAnsi" w:hAnsiTheme="minorHAnsi" w:cstheme="minorHAnsi"/>
          <w:color w:val="002D88" w:themeColor="accent6" w:themeTint="E6"/>
        </w:rPr>
        <w:t>3.3.</w:t>
      </w:r>
      <w:r>
        <w:rPr>
          <w:rFonts w:asciiTheme="minorHAnsi" w:eastAsiaTheme="minorEastAsia" w:hAnsiTheme="minorHAnsi"/>
          <w:lang w:val="en-US"/>
        </w:rPr>
        <w:tab/>
      </w:r>
      <w:r w:rsidRPr="00853389">
        <w:rPr>
          <w:rFonts w:asciiTheme="minorHAnsi" w:hAnsiTheme="minorHAnsi" w:cstheme="minorHAnsi"/>
          <w:color w:val="002D88" w:themeColor="accent6" w:themeTint="E6"/>
        </w:rPr>
        <w:t>Audience</w:t>
      </w:r>
      <w:r>
        <w:tab/>
      </w:r>
      <w:r>
        <w:fldChar w:fldCharType="begin"/>
      </w:r>
      <w:r>
        <w:instrText xml:space="preserve"> PAGEREF _Toc517960100 \h </w:instrText>
      </w:r>
      <w:r>
        <w:fldChar w:fldCharType="separate"/>
      </w:r>
      <w:r w:rsidR="0082402C">
        <w:t>10</w:t>
      </w:r>
      <w:r>
        <w:fldChar w:fldCharType="end"/>
      </w:r>
    </w:p>
    <w:p w14:paraId="2FD561D3" w14:textId="3439127B" w:rsidR="0031566D" w:rsidRDefault="0031566D" w:rsidP="003A2CCC">
      <w:pPr>
        <w:pStyle w:val="TOC1"/>
        <w:spacing w:before="0" w:line="240" w:lineRule="auto"/>
        <w:rPr>
          <w:rFonts w:asciiTheme="minorHAnsi" w:eastAsiaTheme="minorEastAsia" w:hAnsiTheme="minorHAnsi"/>
          <w:sz w:val="22"/>
          <w:lang w:val="en-US"/>
        </w:rPr>
      </w:pPr>
      <w:r w:rsidRPr="00853389">
        <w:rPr>
          <w:rFonts w:asciiTheme="minorHAnsi" w:hAnsiTheme="minorHAnsi" w:cstheme="minorHAnsi"/>
        </w:rPr>
        <w:t>4.</w:t>
      </w:r>
      <w:r>
        <w:rPr>
          <w:rFonts w:asciiTheme="minorHAnsi" w:eastAsiaTheme="minorEastAsia" w:hAnsiTheme="minorHAnsi"/>
          <w:sz w:val="22"/>
          <w:lang w:val="en-US"/>
        </w:rPr>
        <w:tab/>
      </w:r>
      <w:r w:rsidRPr="00853389">
        <w:rPr>
          <w:rFonts w:asciiTheme="minorHAnsi" w:hAnsiTheme="minorHAnsi" w:cstheme="minorHAnsi"/>
        </w:rPr>
        <w:t>KEY EVALUATION QUESTIONS AND SUB-QUESTIONS</w:t>
      </w:r>
      <w:r>
        <w:tab/>
      </w:r>
      <w:r>
        <w:fldChar w:fldCharType="begin"/>
      </w:r>
      <w:r>
        <w:instrText xml:space="preserve"> PAGEREF _Toc517960101 \h </w:instrText>
      </w:r>
      <w:r>
        <w:fldChar w:fldCharType="separate"/>
      </w:r>
      <w:r w:rsidR="0082402C">
        <w:t>10</w:t>
      </w:r>
      <w:r>
        <w:fldChar w:fldCharType="end"/>
      </w:r>
    </w:p>
    <w:p w14:paraId="28169E6A" w14:textId="2AC0166E" w:rsidR="0031566D" w:rsidRDefault="0031566D" w:rsidP="003A2CCC">
      <w:pPr>
        <w:pStyle w:val="TOC1"/>
        <w:spacing w:before="0" w:line="240" w:lineRule="auto"/>
        <w:rPr>
          <w:rFonts w:asciiTheme="minorHAnsi" w:eastAsiaTheme="minorEastAsia" w:hAnsiTheme="minorHAnsi"/>
          <w:sz w:val="22"/>
          <w:lang w:val="en-US"/>
        </w:rPr>
      </w:pPr>
      <w:r w:rsidRPr="00853389">
        <w:rPr>
          <w:rFonts w:asciiTheme="minorHAnsi" w:hAnsiTheme="minorHAnsi" w:cstheme="minorHAnsi"/>
        </w:rPr>
        <w:t>5.</w:t>
      </w:r>
      <w:r>
        <w:rPr>
          <w:rFonts w:asciiTheme="minorHAnsi" w:eastAsiaTheme="minorEastAsia" w:hAnsiTheme="minorHAnsi"/>
          <w:sz w:val="22"/>
          <w:lang w:val="en-US"/>
        </w:rPr>
        <w:tab/>
      </w:r>
      <w:r w:rsidRPr="00853389">
        <w:rPr>
          <w:rFonts w:asciiTheme="minorHAnsi" w:hAnsiTheme="minorHAnsi" w:cstheme="minorHAnsi"/>
        </w:rPr>
        <w:t>MONITORING AND EVALUATION METHODS</w:t>
      </w:r>
      <w:r>
        <w:tab/>
      </w:r>
      <w:r>
        <w:fldChar w:fldCharType="begin"/>
      </w:r>
      <w:r>
        <w:instrText xml:space="preserve"> PAGEREF _Toc517960102 \h </w:instrText>
      </w:r>
      <w:r>
        <w:fldChar w:fldCharType="separate"/>
      </w:r>
      <w:r w:rsidR="0082402C">
        <w:t>12</w:t>
      </w:r>
      <w:r>
        <w:fldChar w:fldCharType="end"/>
      </w:r>
    </w:p>
    <w:p w14:paraId="06C81C48" w14:textId="1AB74EB1" w:rsidR="0031566D" w:rsidRDefault="0031566D" w:rsidP="003A2CCC">
      <w:pPr>
        <w:pStyle w:val="TOC2"/>
        <w:spacing w:line="240" w:lineRule="auto"/>
        <w:rPr>
          <w:rFonts w:asciiTheme="minorHAnsi" w:eastAsiaTheme="minorEastAsia" w:hAnsiTheme="minorHAnsi"/>
          <w:lang w:val="en-US"/>
        </w:rPr>
      </w:pPr>
      <w:r w:rsidRPr="00853389">
        <w:rPr>
          <w:rFonts w:asciiTheme="minorHAnsi" w:hAnsiTheme="minorHAnsi" w:cstheme="minorHAnsi"/>
          <w:color w:val="002D88" w:themeColor="accent6" w:themeTint="E6"/>
        </w:rPr>
        <w:t>5.1.</w:t>
      </w:r>
      <w:r>
        <w:rPr>
          <w:rFonts w:asciiTheme="minorHAnsi" w:eastAsiaTheme="minorEastAsia" w:hAnsiTheme="minorHAnsi"/>
          <w:lang w:val="en-US"/>
        </w:rPr>
        <w:tab/>
      </w:r>
      <w:r w:rsidRPr="00853389">
        <w:rPr>
          <w:rFonts w:asciiTheme="minorHAnsi" w:hAnsiTheme="minorHAnsi" w:cstheme="minorHAnsi"/>
          <w:color w:val="002D88" w:themeColor="accent6" w:themeTint="E6"/>
        </w:rPr>
        <w:t>Monitoring, Evaluation and Learning Framework</w:t>
      </w:r>
      <w:r>
        <w:tab/>
      </w:r>
      <w:r>
        <w:fldChar w:fldCharType="begin"/>
      </w:r>
      <w:r>
        <w:instrText xml:space="preserve"> PAGEREF _Toc517960103 \h </w:instrText>
      </w:r>
      <w:r>
        <w:fldChar w:fldCharType="separate"/>
      </w:r>
      <w:r w:rsidR="0082402C">
        <w:t>12</w:t>
      </w:r>
      <w:r>
        <w:fldChar w:fldCharType="end"/>
      </w:r>
    </w:p>
    <w:p w14:paraId="45F1AC7B" w14:textId="4B14FA75" w:rsidR="0031566D" w:rsidRDefault="0031566D" w:rsidP="003A2CCC">
      <w:pPr>
        <w:pStyle w:val="TOC2"/>
        <w:spacing w:line="240" w:lineRule="auto"/>
        <w:rPr>
          <w:rFonts w:asciiTheme="minorHAnsi" w:eastAsiaTheme="minorEastAsia" w:hAnsiTheme="minorHAnsi"/>
          <w:lang w:val="en-US"/>
        </w:rPr>
      </w:pPr>
      <w:r w:rsidRPr="00853389">
        <w:rPr>
          <w:rFonts w:asciiTheme="minorHAnsi" w:hAnsiTheme="minorHAnsi" w:cstheme="minorHAnsi"/>
          <w:color w:val="002D88" w:themeColor="accent6" w:themeTint="E6"/>
        </w:rPr>
        <w:t>5.2.</w:t>
      </w:r>
      <w:r>
        <w:rPr>
          <w:rFonts w:asciiTheme="minorHAnsi" w:eastAsiaTheme="minorEastAsia" w:hAnsiTheme="minorHAnsi"/>
          <w:lang w:val="en-US"/>
        </w:rPr>
        <w:tab/>
      </w:r>
      <w:r w:rsidRPr="00853389">
        <w:rPr>
          <w:rFonts w:asciiTheme="minorHAnsi" w:hAnsiTheme="minorHAnsi" w:cstheme="minorHAnsi"/>
          <w:color w:val="002D88" w:themeColor="accent6" w:themeTint="E6"/>
        </w:rPr>
        <w:t>Data Collection Methods Overview</w:t>
      </w:r>
      <w:r>
        <w:tab/>
      </w:r>
      <w:r>
        <w:fldChar w:fldCharType="begin"/>
      </w:r>
      <w:r>
        <w:instrText xml:space="preserve"> PAGEREF _Toc517960104 \h </w:instrText>
      </w:r>
      <w:r>
        <w:fldChar w:fldCharType="separate"/>
      </w:r>
      <w:r w:rsidR="0082402C">
        <w:t>12</w:t>
      </w:r>
      <w:r>
        <w:fldChar w:fldCharType="end"/>
      </w:r>
    </w:p>
    <w:p w14:paraId="43210EEA" w14:textId="6D160D02" w:rsidR="0031566D" w:rsidRDefault="0031566D" w:rsidP="003A2CCC">
      <w:pPr>
        <w:pStyle w:val="TOC2"/>
        <w:spacing w:line="240" w:lineRule="auto"/>
        <w:rPr>
          <w:rFonts w:asciiTheme="minorHAnsi" w:eastAsiaTheme="minorEastAsia" w:hAnsiTheme="minorHAnsi"/>
          <w:lang w:val="en-US"/>
        </w:rPr>
      </w:pPr>
      <w:r w:rsidRPr="00853389">
        <w:rPr>
          <w:rFonts w:asciiTheme="minorHAnsi" w:hAnsiTheme="minorHAnsi" w:cstheme="minorHAnsi"/>
          <w:color w:val="002D88" w:themeColor="accent6" w:themeTint="E6"/>
        </w:rPr>
        <w:t>5.3.</w:t>
      </w:r>
      <w:r>
        <w:rPr>
          <w:rFonts w:asciiTheme="minorHAnsi" w:eastAsiaTheme="minorEastAsia" w:hAnsiTheme="minorHAnsi"/>
          <w:lang w:val="en-US"/>
        </w:rPr>
        <w:tab/>
      </w:r>
      <w:r w:rsidRPr="00853389">
        <w:rPr>
          <w:rFonts w:asciiTheme="minorHAnsi" w:hAnsiTheme="minorHAnsi" w:cstheme="minorHAnsi"/>
          <w:color w:val="002D88" w:themeColor="accent6" w:themeTint="E6"/>
        </w:rPr>
        <w:t>Data Analysis and Synthesis</w:t>
      </w:r>
      <w:r>
        <w:tab/>
      </w:r>
      <w:r>
        <w:fldChar w:fldCharType="begin"/>
      </w:r>
      <w:r>
        <w:instrText xml:space="preserve"> PAGEREF _Toc517960106 \h </w:instrText>
      </w:r>
      <w:r>
        <w:fldChar w:fldCharType="separate"/>
      </w:r>
      <w:r w:rsidR="0082402C">
        <w:t>12</w:t>
      </w:r>
      <w:r>
        <w:fldChar w:fldCharType="end"/>
      </w:r>
    </w:p>
    <w:p w14:paraId="66460378" w14:textId="09DD05B6" w:rsidR="0031566D" w:rsidRDefault="0031566D" w:rsidP="003A2CCC">
      <w:pPr>
        <w:pStyle w:val="TOC1"/>
        <w:spacing w:before="0" w:line="240" w:lineRule="auto"/>
        <w:rPr>
          <w:rFonts w:asciiTheme="minorHAnsi" w:eastAsiaTheme="minorEastAsia" w:hAnsiTheme="minorHAnsi"/>
          <w:sz w:val="22"/>
          <w:lang w:val="en-US"/>
        </w:rPr>
      </w:pPr>
      <w:r w:rsidRPr="00853389">
        <w:rPr>
          <w:rFonts w:asciiTheme="minorHAnsi" w:hAnsiTheme="minorHAnsi" w:cstheme="minorHAnsi"/>
        </w:rPr>
        <w:t>6.</w:t>
      </w:r>
      <w:r>
        <w:rPr>
          <w:rFonts w:asciiTheme="minorHAnsi" w:eastAsiaTheme="minorEastAsia" w:hAnsiTheme="minorHAnsi"/>
          <w:sz w:val="22"/>
          <w:lang w:val="en-US"/>
        </w:rPr>
        <w:tab/>
      </w:r>
      <w:r w:rsidRPr="00853389">
        <w:rPr>
          <w:rFonts w:asciiTheme="minorHAnsi" w:hAnsiTheme="minorHAnsi" w:cstheme="minorHAnsi"/>
        </w:rPr>
        <w:t>LEARNING, DISSEMINATION AND REPORTING</w:t>
      </w:r>
      <w:r>
        <w:tab/>
      </w:r>
      <w:r>
        <w:fldChar w:fldCharType="begin"/>
      </w:r>
      <w:r>
        <w:instrText xml:space="preserve"> PAGEREF _Toc517960108 \h </w:instrText>
      </w:r>
      <w:r>
        <w:fldChar w:fldCharType="separate"/>
      </w:r>
      <w:r w:rsidR="0082402C">
        <w:t>12</w:t>
      </w:r>
      <w:r>
        <w:fldChar w:fldCharType="end"/>
      </w:r>
    </w:p>
    <w:p w14:paraId="26FFF1FB" w14:textId="0D7FF5E6" w:rsidR="0031566D" w:rsidRDefault="0031566D" w:rsidP="003A2CCC">
      <w:pPr>
        <w:pStyle w:val="TOC2"/>
        <w:spacing w:line="240" w:lineRule="auto"/>
        <w:rPr>
          <w:rFonts w:asciiTheme="minorHAnsi" w:eastAsiaTheme="minorEastAsia" w:hAnsiTheme="minorHAnsi"/>
          <w:lang w:val="en-US"/>
        </w:rPr>
      </w:pPr>
      <w:r w:rsidRPr="00853389">
        <w:rPr>
          <w:rFonts w:asciiTheme="minorHAnsi" w:hAnsiTheme="minorHAnsi" w:cstheme="minorHAnsi"/>
          <w:color w:val="002D88" w:themeColor="accent6" w:themeTint="E6"/>
        </w:rPr>
        <w:t>6.1.</w:t>
      </w:r>
      <w:r>
        <w:rPr>
          <w:rFonts w:asciiTheme="minorHAnsi" w:eastAsiaTheme="minorEastAsia" w:hAnsiTheme="minorHAnsi"/>
          <w:lang w:val="en-US"/>
        </w:rPr>
        <w:tab/>
      </w:r>
      <w:r w:rsidRPr="00853389">
        <w:rPr>
          <w:rFonts w:asciiTheme="minorHAnsi" w:hAnsiTheme="minorHAnsi" w:cstheme="minorHAnsi"/>
          <w:color w:val="002D88" w:themeColor="accent6" w:themeTint="E6"/>
        </w:rPr>
        <w:t>Summary of process</w:t>
      </w:r>
      <w:r>
        <w:tab/>
      </w:r>
      <w:r>
        <w:fldChar w:fldCharType="begin"/>
      </w:r>
      <w:r>
        <w:instrText xml:space="preserve"> PAGEREF _Toc517960109 \h </w:instrText>
      </w:r>
      <w:r>
        <w:fldChar w:fldCharType="separate"/>
      </w:r>
      <w:r w:rsidR="0082402C">
        <w:t>12</w:t>
      </w:r>
      <w:r>
        <w:fldChar w:fldCharType="end"/>
      </w:r>
    </w:p>
    <w:p w14:paraId="43F2E66D" w14:textId="561F1545" w:rsidR="0031566D" w:rsidRDefault="0031566D" w:rsidP="003A2CCC">
      <w:pPr>
        <w:pStyle w:val="TOC1"/>
        <w:spacing w:before="0" w:line="240" w:lineRule="auto"/>
        <w:rPr>
          <w:rFonts w:asciiTheme="minorHAnsi" w:eastAsiaTheme="minorEastAsia" w:hAnsiTheme="minorHAnsi"/>
          <w:sz w:val="22"/>
          <w:lang w:val="en-US"/>
        </w:rPr>
      </w:pPr>
      <w:r w:rsidRPr="00853389">
        <w:rPr>
          <w:rFonts w:asciiTheme="minorHAnsi" w:hAnsiTheme="minorHAnsi" w:cstheme="minorHAnsi"/>
        </w:rPr>
        <w:t>7.</w:t>
      </w:r>
      <w:r>
        <w:rPr>
          <w:rFonts w:asciiTheme="minorHAnsi" w:eastAsiaTheme="minorEastAsia" w:hAnsiTheme="minorHAnsi"/>
          <w:sz w:val="22"/>
          <w:lang w:val="en-US"/>
        </w:rPr>
        <w:tab/>
      </w:r>
      <w:r w:rsidRPr="00853389">
        <w:rPr>
          <w:rFonts w:asciiTheme="minorHAnsi" w:hAnsiTheme="minorHAnsi" w:cstheme="minorHAnsi"/>
        </w:rPr>
        <w:t>IMPLEMENTATION OF THE MELP</w:t>
      </w:r>
      <w:r>
        <w:tab/>
      </w:r>
      <w:r>
        <w:fldChar w:fldCharType="begin"/>
      </w:r>
      <w:r>
        <w:instrText xml:space="preserve"> PAGEREF _Toc517960110 \h </w:instrText>
      </w:r>
      <w:r>
        <w:fldChar w:fldCharType="separate"/>
      </w:r>
      <w:r w:rsidR="0082402C">
        <w:t>14</w:t>
      </w:r>
      <w:r>
        <w:fldChar w:fldCharType="end"/>
      </w:r>
    </w:p>
    <w:p w14:paraId="587EBEEF" w14:textId="20A742C8" w:rsidR="0031566D" w:rsidRDefault="0031566D" w:rsidP="003A2CCC">
      <w:pPr>
        <w:pStyle w:val="TOC2"/>
        <w:spacing w:line="240" w:lineRule="auto"/>
        <w:rPr>
          <w:rFonts w:asciiTheme="minorHAnsi" w:eastAsiaTheme="minorEastAsia" w:hAnsiTheme="minorHAnsi"/>
          <w:lang w:val="en-US"/>
        </w:rPr>
      </w:pPr>
      <w:r w:rsidRPr="00853389">
        <w:rPr>
          <w:rFonts w:asciiTheme="minorHAnsi" w:hAnsiTheme="minorHAnsi" w:cstheme="minorHAnsi"/>
          <w:color w:val="002D88" w:themeColor="accent6" w:themeTint="E6"/>
        </w:rPr>
        <w:t>7.1.</w:t>
      </w:r>
      <w:r>
        <w:rPr>
          <w:rFonts w:asciiTheme="minorHAnsi" w:eastAsiaTheme="minorEastAsia" w:hAnsiTheme="minorHAnsi"/>
          <w:lang w:val="en-US"/>
        </w:rPr>
        <w:tab/>
      </w:r>
      <w:r w:rsidRPr="00853389">
        <w:rPr>
          <w:rFonts w:asciiTheme="minorHAnsi" w:hAnsiTheme="minorHAnsi" w:cstheme="minorHAnsi"/>
          <w:color w:val="002D88" w:themeColor="accent6" w:themeTint="E6"/>
        </w:rPr>
        <w:t>Resources</w:t>
      </w:r>
      <w:r>
        <w:tab/>
      </w:r>
      <w:r>
        <w:fldChar w:fldCharType="begin"/>
      </w:r>
      <w:r>
        <w:instrText xml:space="preserve"> PAGEREF _Toc517960111 \h </w:instrText>
      </w:r>
      <w:r>
        <w:fldChar w:fldCharType="separate"/>
      </w:r>
      <w:r w:rsidR="0082402C">
        <w:t>14</w:t>
      </w:r>
      <w:r>
        <w:fldChar w:fldCharType="end"/>
      </w:r>
    </w:p>
    <w:p w14:paraId="116FC0C7" w14:textId="2CCB1C28" w:rsidR="0031566D" w:rsidRDefault="0031566D" w:rsidP="003A2CCC">
      <w:pPr>
        <w:pStyle w:val="TOC2"/>
        <w:spacing w:line="240" w:lineRule="auto"/>
        <w:rPr>
          <w:rFonts w:asciiTheme="minorHAnsi" w:eastAsiaTheme="minorEastAsia" w:hAnsiTheme="minorHAnsi"/>
          <w:lang w:val="en-US"/>
        </w:rPr>
      </w:pPr>
      <w:r w:rsidRPr="00853389">
        <w:rPr>
          <w:rFonts w:asciiTheme="minorHAnsi" w:hAnsiTheme="minorHAnsi" w:cstheme="minorHAnsi"/>
          <w:color w:val="002D88" w:themeColor="accent6" w:themeTint="E6"/>
        </w:rPr>
        <w:t>7.2.</w:t>
      </w:r>
      <w:r>
        <w:rPr>
          <w:rFonts w:asciiTheme="minorHAnsi" w:eastAsiaTheme="minorEastAsia" w:hAnsiTheme="minorHAnsi"/>
          <w:lang w:val="en-US"/>
        </w:rPr>
        <w:tab/>
      </w:r>
      <w:r w:rsidRPr="00853389">
        <w:rPr>
          <w:rFonts w:asciiTheme="minorHAnsi" w:hAnsiTheme="minorHAnsi" w:cstheme="minorHAnsi"/>
          <w:color w:val="002D88" w:themeColor="accent6" w:themeTint="E6"/>
        </w:rPr>
        <w:t>Responsibilities</w:t>
      </w:r>
      <w:r>
        <w:tab/>
      </w:r>
      <w:r>
        <w:fldChar w:fldCharType="begin"/>
      </w:r>
      <w:r>
        <w:instrText xml:space="preserve"> PAGEREF _Toc517960112 \h </w:instrText>
      </w:r>
      <w:r>
        <w:fldChar w:fldCharType="separate"/>
      </w:r>
      <w:r w:rsidR="0082402C">
        <w:t>14</w:t>
      </w:r>
      <w:r>
        <w:fldChar w:fldCharType="end"/>
      </w:r>
    </w:p>
    <w:p w14:paraId="07433FA1" w14:textId="3BD5D3F9" w:rsidR="0031566D" w:rsidRDefault="0031566D" w:rsidP="003A2CCC">
      <w:pPr>
        <w:pStyle w:val="TOC2"/>
        <w:spacing w:line="240" w:lineRule="auto"/>
        <w:rPr>
          <w:rFonts w:asciiTheme="minorHAnsi" w:eastAsiaTheme="minorEastAsia" w:hAnsiTheme="minorHAnsi"/>
          <w:lang w:val="en-US"/>
        </w:rPr>
      </w:pPr>
      <w:r w:rsidRPr="00853389">
        <w:rPr>
          <w:rFonts w:asciiTheme="minorHAnsi" w:hAnsiTheme="minorHAnsi" w:cstheme="minorHAnsi"/>
          <w:color w:val="002D88" w:themeColor="accent6" w:themeTint="E6"/>
        </w:rPr>
        <w:t>7.3.</w:t>
      </w:r>
      <w:r>
        <w:rPr>
          <w:rFonts w:asciiTheme="minorHAnsi" w:eastAsiaTheme="minorEastAsia" w:hAnsiTheme="minorHAnsi"/>
          <w:lang w:val="en-US"/>
        </w:rPr>
        <w:tab/>
      </w:r>
      <w:r w:rsidRPr="00853389">
        <w:rPr>
          <w:rFonts w:asciiTheme="minorHAnsi" w:hAnsiTheme="minorHAnsi" w:cstheme="minorHAnsi"/>
          <w:color w:val="002D88" w:themeColor="accent6" w:themeTint="E6"/>
        </w:rPr>
        <w:t>Timetable for Planning, Evaluation and Reporting</w:t>
      </w:r>
      <w:r>
        <w:tab/>
      </w:r>
      <w:r>
        <w:fldChar w:fldCharType="begin"/>
      </w:r>
      <w:r>
        <w:instrText xml:space="preserve"> PAGEREF _Toc517960113 \h </w:instrText>
      </w:r>
      <w:r>
        <w:fldChar w:fldCharType="separate"/>
      </w:r>
      <w:r w:rsidR="0082402C">
        <w:t>15</w:t>
      </w:r>
      <w:r>
        <w:fldChar w:fldCharType="end"/>
      </w:r>
    </w:p>
    <w:p w14:paraId="39ECB2D8" w14:textId="3533EB64" w:rsidR="0031566D" w:rsidRDefault="0031566D" w:rsidP="003A2CCC">
      <w:pPr>
        <w:pStyle w:val="TOC1"/>
        <w:spacing w:before="0" w:line="240" w:lineRule="auto"/>
        <w:rPr>
          <w:rFonts w:asciiTheme="minorHAnsi" w:eastAsiaTheme="minorEastAsia" w:hAnsiTheme="minorHAnsi"/>
          <w:sz w:val="22"/>
          <w:lang w:val="en-US"/>
        </w:rPr>
      </w:pPr>
      <w:r w:rsidRPr="00853389">
        <w:rPr>
          <w:rFonts w:asciiTheme="minorHAnsi" w:hAnsiTheme="minorHAnsi" w:cstheme="minorHAnsi"/>
        </w:rPr>
        <w:t>Annex 1: Monitoring Evaluation and Learning Framework</w:t>
      </w:r>
      <w:r>
        <w:tab/>
      </w:r>
      <w:r>
        <w:fldChar w:fldCharType="begin"/>
      </w:r>
      <w:r>
        <w:instrText xml:space="preserve"> PAGEREF _Toc517960114 \h </w:instrText>
      </w:r>
      <w:r>
        <w:fldChar w:fldCharType="separate"/>
      </w:r>
      <w:r w:rsidR="0082402C">
        <w:t>16</w:t>
      </w:r>
      <w:r>
        <w:fldChar w:fldCharType="end"/>
      </w:r>
    </w:p>
    <w:p w14:paraId="4895DA84" w14:textId="051125FA" w:rsidR="0031566D" w:rsidRDefault="0031566D" w:rsidP="003A2CCC">
      <w:pPr>
        <w:pStyle w:val="TOC1"/>
        <w:spacing w:before="0" w:line="240" w:lineRule="auto"/>
        <w:rPr>
          <w:rFonts w:asciiTheme="minorHAnsi" w:eastAsiaTheme="minorEastAsia" w:hAnsiTheme="minorHAnsi"/>
          <w:sz w:val="22"/>
          <w:lang w:val="en-US"/>
        </w:rPr>
      </w:pPr>
      <w:r w:rsidRPr="00853389">
        <w:rPr>
          <w:rFonts w:asciiTheme="minorHAnsi" w:hAnsiTheme="minorHAnsi" w:cstheme="minorHAnsi"/>
        </w:rPr>
        <w:t>Annex 2 Data Collection Strategy</w:t>
      </w:r>
      <w:r>
        <w:tab/>
      </w:r>
      <w:r>
        <w:fldChar w:fldCharType="begin"/>
      </w:r>
      <w:r>
        <w:instrText xml:space="preserve"> PAGEREF _Toc517960115 \h </w:instrText>
      </w:r>
      <w:r>
        <w:fldChar w:fldCharType="separate"/>
      </w:r>
      <w:r w:rsidR="0082402C">
        <w:t>22</w:t>
      </w:r>
      <w:r>
        <w:fldChar w:fldCharType="end"/>
      </w:r>
    </w:p>
    <w:p w14:paraId="37ECCFD2" w14:textId="2E8ACACE" w:rsidR="0031566D" w:rsidRDefault="0031566D" w:rsidP="003A2CCC">
      <w:pPr>
        <w:pStyle w:val="TOC1"/>
        <w:spacing w:before="0" w:line="240" w:lineRule="auto"/>
        <w:rPr>
          <w:rFonts w:asciiTheme="minorHAnsi" w:eastAsiaTheme="minorEastAsia" w:hAnsiTheme="minorHAnsi"/>
          <w:sz w:val="22"/>
          <w:lang w:val="en-US"/>
        </w:rPr>
      </w:pPr>
      <w:r w:rsidRPr="00853389">
        <w:rPr>
          <w:rFonts w:asciiTheme="minorHAnsi" w:hAnsiTheme="minorHAnsi" w:cstheme="minorHAnsi"/>
        </w:rPr>
        <w:t>Annex 3 Evidence Matrix Template</w:t>
      </w:r>
      <w:r>
        <w:tab/>
      </w:r>
      <w:r>
        <w:fldChar w:fldCharType="begin"/>
      </w:r>
      <w:r>
        <w:instrText xml:space="preserve"> PAGEREF _Toc517960116 \h </w:instrText>
      </w:r>
      <w:r>
        <w:fldChar w:fldCharType="separate"/>
      </w:r>
      <w:r w:rsidR="0082402C">
        <w:t>27</w:t>
      </w:r>
      <w:r>
        <w:fldChar w:fldCharType="end"/>
      </w:r>
    </w:p>
    <w:p w14:paraId="12ED8B46" w14:textId="2E763BE7" w:rsidR="0031566D" w:rsidRDefault="0031566D" w:rsidP="003A2CCC">
      <w:pPr>
        <w:pStyle w:val="TOC1"/>
        <w:spacing w:before="0" w:line="240" w:lineRule="auto"/>
        <w:rPr>
          <w:rFonts w:asciiTheme="minorHAnsi" w:eastAsiaTheme="minorEastAsia" w:hAnsiTheme="minorHAnsi"/>
          <w:sz w:val="22"/>
          <w:lang w:val="en-US"/>
        </w:rPr>
      </w:pPr>
      <w:r w:rsidRPr="00853389">
        <w:rPr>
          <w:rFonts w:asciiTheme="minorHAnsi" w:hAnsiTheme="minorHAnsi" w:cstheme="minorHAnsi"/>
        </w:rPr>
        <w:t>Annex 4 Nabilan Phase 2 Risk Matrix</w:t>
      </w:r>
      <w:r>
        <w:tab/>
      </w:r>
      <w:r>
        <w:fldChar w:fldCharType="begin"/>
      </w:r>
      <w:r>
        <w:instrText xml:space="preserve"> PAGEREF _Toc517960117 \h </w:instrText>
      </w:r>
      <w:r>
        <w:fldChar w:fldCharType="separate"/>
      </w:r>
      <w:r w:rsidR="0082402C">
        <w:t>29</w:t>
      </w:r>
      <w:r>
        <w:fldChar w:fldCharType="end"/>
      </w:r>
    </w:p>
    <w:p w14:paraId="3E04CA0E" w14:textId="4D3F5723" w:rsidR="0031566D" w:rsidRDefault="0031566D" w:rsidP="003A2CCC">
      <w:pPr>
        <w:pStyle w:val="TOC1"/>
        <w:spacing w:before="0" w:line="240" w:lineRule="auto"/>
        <w:rPr>
          <w:rFonts w:asciiTheme="minorHAnsi" w:eastAsiaTheme="minorEastAsia" w:hAnsiTheme="minorHAnsi"/>
          <w:sz w:val="22"/>
          <w:lang w:val="en-US"/>
        </w:rPr>
      </w:pPr>
      <w:r w:rsidRPr="00853389">
        <w:rPr>
          <w:rFonts w:asciiTheme="minorHAnsi" w:hAnsiTheme="minorHAnsi" w:cstheme="minorHAnsi"/>
        </w:rPr>
        <w:t>Annex 5: DFAT Reporting Standards</w:t>
      </w:r>
      <w:r>
        <w:tab/>
      </w:r>
      <w:r>
        <w:fldChar w:fldCharType="begin"/>
      </w:r>
      <w:r>
        <w:instrText xml:space="preserve"> PAGEREF _Toc517960118 \h </w:instrText>
      </w:r>
      <w:r>
        <w:fldChar w:fldCharType="separate"/>
      </w:r>
      <w:r w:rsidR="0082402C">
        <w:t>40</w:t>
      </w:r>
      <w:r>
        <w:fldChar w:fldCharType="end"/>
      </w:r>
    </w:p>
    <w:p w14:paraId="58C85BD1" w14:textId="7191B365" w:rsidR="0031566D" w:rsidRDefault="0031566D" w:rsidP="003A2CCC">
      <w:pPr>
        <w:pStyle w:val="TOC1"/>
        <w:spacing w:before="0" w:line="240" w:lineRule="auto"/>
        <w:rPr>
          <w:rFonts w:asciiTheme="minorHAnsi" w:eastAsiaTheme="minorEastAsia" w:hAnsiTheme="minorHAnsi"/>
          <w:sz w:val="22"/>
          <w:lang w:val="en-US"/>
        </w:rPr>
      </w:pPr>
      <w:r w:rsidRPr="00853389">
        <w:rPr>
          <w:rFonts w:asciiTheme="minorHAnsi" w:hAnsiTheme="minorHAnsi" w:cstheme="minorHAnsi"/>
        </w:rPr>
        <w:t>Annex 6: Timeline for data collection</w:t>
      </w:r>
      <w:r>
        <w:tab/>
      </w:r>
      <w:r>
        <w:fldChar w:fldCharType="begin"/>
      </w:r>
      <w:r>
        <w:instrText xml:space="preserve"> PAGEREF _Toc517960119 \h </w:instrText>
      </w:r>
      <w:r>
        <w:fldChar w:fldCharType="separate"/>
      </w:r>
      <w:r w:rsidR="0082402C">
        <w:t>41</w:t>
      </w:r>
      <w:r>
        <w:fldChar w:fldCharType="end"/>
      </w:r>
    </w:p>
    <w:p w14:paraId="753FCCC2" w14:textId="58C8606D" w:rsidR="00D02719" w:rsidRPr="008F332A" w:rsidRDefault="008A03AB" w:rsidP="003A2CCC">
      <w:pPr>
        <w:pStyle w:val="Heading1"/>
        <w:numPr>
          <w:ilvl w:val="0"/>
          <w:numId w:val="0"/>
        </w:numPr>
        <w:rPr>
          <w:rFonts w:cstheme="minorHAnsi"/>
        </w:rPr>
      </w:pPr>
      <w:r w:rsidRPr="008F332A">
        <w:rPr>
          <w:rFonts w:asciiTheme="minorHAnsi" w:hAnsiTheme="minorHAnsi" w:cstheme="minorHAnsi"/>
        </w:rPr>
        <w:fldChar w:fldCharType="end"/>
      </w:r>
      <w:r w:rsidR="00F71871" w:rsidRPr="008F332A">
        <w:rPr>
          <w:rFonts w:cstheme="minorHAnsi"/>
        </w:rPr>
        <w:br w:type="page"/>
      </w:r>
      <w:r w:rsidR="008B2864" w:rsidRPr="0031566D">
        <w:rPr>
          <w:rFonts w:asciiTheme="minorHAnsi" w:hAnsiTheme="minorHAnsi" w:cstheme="minorHAnsi"/>
        </w:rPr>
        <w:lastRenderedPageBreak/>
        <w:t>Abbreviations</w:t>
      </w:r>
      <w:r w:rsidR="00D02719" w:rsidRPr="0031566D">
        <w:rPr>
          <w:rFonts w:asciiTheme="minorHAnsi" w:hAnsiTheme="minorHAnsi" w:cstheme="minorHAnsi"/>
        </w:rPr>
        <w:t xml:space="preserve"> </w:t>
      </w:r>
    </w:p>
    <w:tbl>
      <w:tblPr>
        <w:tblW w:w="0" w:type="auto"/>
        <w:tblBorders>
          <w:insideH w:val="single" w:sz="4" w:space="0" w:color="002060" w:themeColor="accent6"/>
        </w:tblBorders>
        <w:tblLook w:val="04A0" w:firstRow="1" w:lastRow="0" w:firstColumn="1" w:lastColumn="0" w:noHBand="0" w:noVBand="1"/>
        <w:tblCaption w:val="Table of abbreviations"/>
      </w:tblPr>
      <w:tblGrid>
        <w:gridCol w:w="2166"/>
        <w:gridCol w:w="6887"/>
      </w:tblGrid>
      <w:tr w:rsidR="00C23B4A" w:rsidRPr="008F332A" w14:paraId="2DBE57C8" w14:textId="77777777" w:rsidTr="008E5C6F">
        <w:trPr>
          <w:trHeight w:val="20"/>
        </w:trPr>
        <w:tc>
          <w:tcPr>
            <w:tcW w:w="2166" w:type="dxa"/>
            <w:tcBorders>
              <w:top w:val="single" w:sz="4" w:space="0" w:color="002060" w:themeColor="accent6"/>
              <w:bottom w:val="single" w:sz="4" w:space="0" w:color="002060" w:themeColor="accent6"/>
            </w:tcBorders>
          </w:tcPr>
          <w:p w14:paraId="2B9F2E4E" w14:textId="77777777" w:rsidR="00E73269" w:rsidRPr="008F332A" w:rsidRDefault="00E73269" w:rsidP="003A2CCC">
            <w:pPr>
              <w:pStyle w:val="BodyText"/>
              <w:spacing w:after="0" w:line="240" w:lineRule="auto"/>
              <w:rPr>
                <w:rFonts w:cstheme="minorHAnsi"/>
                <w:b/>
                <w:sz w:val="20"/>
                <w:szCs w:val="20"/>
              </w:rPr>
            </w:pPr>
            <w:r w:rsidRPr="008F332A">
              <w:rPr>
                <w:rFonts w:cstheme="minorHAnsi"/>
                <w:b/>
                <w:sz w:val="20"/>
                <w:szCs w:val="20"/>
              </w:rPr>
              <w:t>ALFeLa</w:t>
            </w:r>
          </w:p>
        </w:tc>
        <w:tc>
          <w:tcPr>
            <w:tcW w:w="6887" w:type="dxa"/>
            <w:tcBorders>
              <w:top w:val="single" w:sz="4" w:space="0" w:color="002060" w:themeColor="accent6"/>
              <w:bottom w:val="single" w:sz="4" w:space="0" w:color="002060" w:themeColor="accent6"/>
            </w:tcBorders>
          </w:tcPr>
          <w:p w14:paraId="14C03BAF" w14:textId="77777777" w:rsidR="00E73269" w:rsidRPr="008F332A" w:rsidRDefault="00E73269" w:rsidP="003A2CCC">
            <w:pPr>
              <w:pStyle w:val="BodyText"/>
              <w:spacing w:after="0" w:line="240" w:lineRule="auto"/>
              <w:rPr>
                <w:rFonts w:cstheme="minorHAnsi"/>
                <w:sz w:val="20"/>
                <w:szCs w:val="20"/>
              </w:rPr>
            </w:pPr>
            <w:r w:rsidRPr="008F332A">
              <w:rPr>
                <w:rFonts w:cstheme="minorHAnsi"/>
                <w:sz w:val="20"/>
                <w:szCs w:val="20"/>
              </w:rPr>
              <w:t xml:space="preserve">Asisténsia Legál ba Feto no Labarik </w:t>
            </w:r>
          </w:p>
        </w:tc>
      </w:tr>
      <w:tr w:rsidR="00C23B4A" w:rsidRPr="008F332A" w14:paraId="3188544C" w14:textId="77777777" w:rsidTr="008E5C6F">
        <w:trPr>
          <w:trHeight w:val="20"/>
        </w:trPr>
        <w:tc>
          <w:tcPr>
            <w:tcW w:w="2166" w:type="dxa"/>
            <w:tcBorders>
              <w:top w:val="single" w:sz="4" w:space="0" w:color="002060" w:themeColor="accent6"/>
            </w:tcBorders>
          </w:tcPr>
          <w:p w14:paraId="7A3A57C3" w14:textId="77777777" w:rsidR="000C41AF" w:rsidRPr="008F332A" w:rsidRDefault="00013524" w:rsidP="003A2CCC">
            <w:pPr>
              <w:pStyle w:val="BodyText"/>
              <w:spacing w:after="0" w:line="240" w:lineRule="auto"/>
              <w:rPr>
                <w:rFonts w:cstheme="minorHAnsi"/>
                <w:b/>
                <w:sz w:val="20"/>
                <w:szCs w:val="20"/>
              </w:rPr>
            </w:pPr>
            <w:r w:rsidRPr="008F332A">
              <w:rPr>
                <w:rFonts w:cstheme="minorHAnsi"/>
                <w:b/>
                <w:sz w:val="20"/>
                <w:szCs w:val="20"/>
              </w:rPr>
              <w:t>AQC</w:t>
            </w:r>
          </w:p>
        </w:tc>
        <w:tc>
          <w:tcPr>
            <w:tcW w:w="6887" w:type="dxa"/>
            <w:tcBorders>
              <w:top w:val="single" w:sz="4" w:space="0" w:color="002060" w:themeColor="accent6"/>
            </w:tcBorders>
          </w:tcPr>
          <w:p w14:paraId="2B45D851" w14:textId="77777777" w:rsidR="000C41AF" w:rsidRPr="008F332A" w:rsidRDefault="00013524" w:rsidP="003A2CCC">
            <w:pPr>
              <w:pStyle w:val="BodyText"/>
              <w:spacing w:after="0" w:line="240" w:lineRule="auto"/>
              <w:rPr>
                <w:rFonts w:cstheme="minorHAnsi"/>
                <w:sz w:val="20"/>
                <w:szCs w:val="20"/>
              </w:rPr>
            </w:pPr>
            <w:r w:rsidRPr="008F332A">
              <w:rPr>
                <w:rFonts w:cstheme="minorHAnsi"/>
                <w:sz w:val="20"/>
                <w:szCs w:val="20"/>
              </w:rPr>
              <w:t>Aid Quality Check</w:t>
            </w:r>
          </w:p>
        </w:tc>
      </w:tr>
      <w:tr w:rsidR="00C23B4A" w:rsidRPr="008F332A" w14:paraId="1556CCB7" w14:textId="77777777" w:rsidTr="008E5C6F">
        <w:trPr>
          <w:trHeight w:val="20"/>
        </w:trPr>
        <w:tc>
          <w:tcPr>
            <w:tcW w:w="2166" w:type="dxa"/>
          </w:tcPr>
          <w:p w14:paraId="5616BC47" w14:textId="77777777" w:rsidR="00E73269" w:rsidRPr="008F332A" w:rsidRDefault="00E73269" w:rsidP="003A2CCC">
            <w:pPr>
              <w:pStyle w:val="BodyText"/>
              <w:spacing w:after="0" w:line="240" w:lineRule="auto"/>
              <w:rPr>
                <w:rFonts w:cstheme="minorHAnsi"/>
                <w:b/>
                <w:sz w:val="20"/>
                <w:szCs w:val="20"/>
              </w:rPr>
            </w:pPr>
            <w:r w:rsidRPr="008F332A">
              <w:rPr>
                <w:rFonts w:cstheme="minorHAnsi"/>
                <w:b/>
                <w:sz w:val="20"/>
                <w:szCs w:val="20"/>
              </w:rPr>
              <w:t>CSO</w:t>
            </w:r>
          </w:p>
        </w:tc>
        <w:tc>
          <w:tcPr>
            <w:tcW w:w="6887" w:type="dxa"/>
          </w:tcPr>
          <w:p w14:paraId="4141D35F" w14:textId="77777777" w:rsidR="00E73269" w:rsidRPr="008F332A" w:rsidRDefault="00E73269" w:rsidP="003A2CCC">
            <w:pPr>
              <w:pStyle w:val="BodyText"/>
              <w:spacing w:after="0" w:line="240" w:lineRule="auto"/>
              <w:rPr>
                <w:rFonts w:cstheme="minorHAnsi"/>
                <w:sz w:val="20"/>
                <w:szCs w:val="20"/>
              </w:rPr>
            </w:pPr>
            <w:r w:rsidRPr="008F332A">
              <w:rPr>
                <w:rFonts w:cstheme="minorHAnsi"/>
                <w:sz w:val="20"/>
                <w:szCs w:val="20"/>
              </w:rPr>
              <w:t>Civil Society Organisation</w:t>
            </w:r>
          </w:p>
        </w:tc>
      </w:tr>
      <w:tr w:rsidR="00C23B4A" w:rsidRPr="008F332A" w14:paraId="721777EC" w14:textId="77777777" w:rsidTr="008E5C6F">
        <w:trPr>
          <w:trHeight w:val="20"/>
        </w:trPr>
        <w:tc>
          <w:tcPr>
            <w:tcW w:w="2166" w:type="dxa"/>
          </w:tcPr>
          <w:p w14:paraId="3DF83CDB" w14:textId="77777777" w:rsidR="00C2297A" w:rsidRPr="008F332A" w:rsidRDefault="00C2297A" w:rsidP="003A2CCC">
            <w:pPr>
              <w:pStyle w:val="BodyText"/>
              <w:spacing w:after="0" w:line="240" w:lineRule="auto"/>
              <w:rPr>
                <w:rFonts w:cstheme="minorHAnsi"/>
                <w:b/>
                <w:sz w:val="20"/>
                <w:szCs w:val="20"/>
              </w:rPr>
            </w:pPr>
            <w:r w:rsidRPr="008F332A">
              <w:rPr>
                <w:rFonts w:cstheme="minorHAnsi"/>
                <w:b/>
                <w:sz w:val="20"/>
                <w:szCs w:val="20"/>
              </w:rPr>
              <w:t>DFAT</w:t>
            </w:r>
          </w:p>
        </w:tc>
        <w:tc>
          <w:tcPr>
            <w:tcW w:w="6887" w:type="dxa"/>
          </w:tcPr>
          <w:p w14:paraId="7743761F" w14:textId="77777777" w:rsidR="00C2297A" w:rsidRPr="008F332A" w:rsidRDefault="00C2297A" w:rsidP="003A2CCC">
            <w:pPr>
              <w:pStyle w:val="BodyText"/>
              <w:spacing w:after="0" w:line="240" w:lineRule="auto"/>
              <w:rPr>
                <w:rFonts w:cstheme="minorHAnsi"/>
                <w:sz w:val="20"/>
                <w:szCs w:val="20"/>
              </w:rPr>
            </w:pPr>
            <w:r w:rsidRPr="008F332A">
              <w:rPr>
                <w:rFonts w:cstheme="minorHAnsi"/>
                <w:sz w:val="20"/>
                <w:szCs w:val="20"/>
              </w:rPr>
              <w:t>Department of Foreign Affairs and Trade</w:t>
            </w:r>
          </w:p>
        </w:tc>
      </w:tr>
      <w:tr w:rsidR="00C23B4A" w:rsidRPr="008F332A" w14:paraId="50CDCF75" w14:textId="77777777" w:rsidTr="008E5C6F">
        <w:trPr>
          <w:trHeight w:val="20"/>
        </w:trPr>
        <w:tc>
          <w:tcPr>
            <w:tcW w:w="2166" w:type="dxa"/>
          </w:tcPr>
          <w:p w14:paraId="096091E6" w14:textId="77777777" w:rsidR="00EA3206" w:rsidRPr="008F332A" w:rsidRDefault="00EA3206" w:rsidP="003A2CCC">
            <w:pPr>
              <w:pStyle w:val="BodyText"/>
              <w:spacing w:after="0" w:line="240" w:lineRule="auto"/>
              <w:rPr>
                <w:rFonts w:cstheme="minorHAnsi"/>
                <w:b/>
                <w:sz w:val="20"/>
                <w:szCs w:val="20"/>
              </w:rPr>
            </w:pPr>
            <w:r w:rsidRPr="008F332A">
              <w:rPr>
                <w:rFonts w:cstheme="minorHAnsi"/>
                <w:b/>
                <w:sz w:val="20"/>
                <w:szCs w:val="20"/>
              </w:rPr>
              <w:t>EOPO</w:t>
            </w:r>
          </w:p>
        </w:tc>
        <w:tc>
          <w:tcPr>
            <w:tcW w:w="6887" w:type="dxa"/>
          </w:tcPr>
          <w:p w14:paraId="58C9CD17" w14:textId="3BD2960E" w:rsidR="00EA3206" w:rsidRPr="008F332A" w:rsidRDefault="00EA3206" w:rsidP="00AC0567">
            <w:pPr>
              <w:pStyle w:val="BodyText"/>
              <w:spacing w:after="0" w:line="240" w:lineRule="auto"/>
              <w:rPr>
                <w:rFonts w:cstheme="minorHAnsi"/>
                <w:sz w:val="20"/>
                <w:szCs w:val="20"/>
              </w:rPr>
            </w:pPr>
            <w:r w:rsidRPr="008F332A">
              <w:rPr>
                <w:rFonts w:cstheme="minorHAnsi"/>
                <w:sz w:val="20"/>
                <w:szCs w:val="20"/>
              </w:rPr>
              <w:t>End of Program Outcome</w:t>
            </w:r>
          </w:p>
        </w:tc>
      </w:tr>
      <w:tr w:rsidR="00C23B4A" w:rsidRPr="008F332A" w14:paraId="504E115B" w14:textId="77777777" w:rsidTr="008E5C6F">
        <w:trPr>
          <w:trHeight w:val="20"/>
        </w:trPr>
        <w:tc>
          <w:tcPr>
            <w:tcW w:w="2166" w:type="dxa"/>
          </w:tcPr>
          <w:p w14:paraId="029CAF1F" w14:textId="77777777" w:rsidR="00EA3206" w:rsidRPr="008F332A" w:rsidRDefault="00EA3206" w:rsidP="003A2CCC">
            <w:pPr>
              <w:pStyle w:val="BodyText"/>
              <w:spacing w:after="0" w:line="240" w:lineRule="auto"/>
              <w:rPr>
                <w:rFonts w:cstheme="minorHAnsi"/>
                <w:b/>
                <w:sz w:val="20"/>
                <w:szCs w:val="20"/>
              </w:rPr>
            </w:pPr>
            <w:r w:rsidRPr="008F332A">
              <w:rPr>
                <w:rFonts w:cstheme="minorHAnsi"/>
                <w:b/>
                <w:sz w:val="20"/>
                <w:szCs w:val="20"/>
              </w:rPr>
              <w:t>EVAW</w:t>
            </w:r>
          </w:p>
        </w:tc>
        <w:tc>
          <w:tcPr>
            <w:tcW w:w="6887" w:type="dxa"/>
          </w:tcPr>
          <w:p w14:paraId="4FF6F627" w14:textId="77777777" w:rsidR="00EA3206" w:rsidRPr="008F332A" w:rsidRDefault="00EA3206" w:rsidP="003A2CCC">
            <w:pPr>
              <w:pStyle w:val="BodyText"/>
              <w:spacing w:after="0" w:line="240" w:lineRule="auto"/>
              <w:rPr>
                <w:rFonts w:cstheme="minorHAnsi"/>
                <w:sz w:val="20"/>
                <w:szCs w:val="20"/>
              </w:rPr>
            </w:pPr>
            <w:r w:rsidRPr="008F332A">
              <w:rPr>
                <w:rFonts w:cstheme="minorHAnsi"/>
                <w:sz w:val="20"/>
                <w:szCs w:val="20"/>
              </w:rPr>
              <w:t>Ending Violence Against Women</w:t>
            </w:r>
          </w:p>
        </w:tc>
      </w:tr>
      <w:tr w:rsidR="00C23B4A" w:rsidRPr="008F332A" w14:paraId="27A9BBB9" w14:textId="77777777" w:rsidTr="008E5C6F">
        <w:trPr>
          <w:trHeight w:val="20"/>
        </w:trPr>
        <w:tc>
          <w:tcPr>
            <w:tcW w:w="2166" w:type="dxa"/>
          </w:tcPr>
          <w:p w14:paraId="5DFCC312" w14:textId="77777777" w:rsidR="009C5CA3" w:rsidRPr="008F332A" w:rsidRDefault="009C5CA3" w:rsidP="003A2CCC">
            <w:pPr>
              <w:pStyle w:val="BodyText"/>
              <w:spacing w:after="0" w:line="240" w:lineRule="auto"/>
              <w:rPr>
                <w:rFonts w:cstheme="minorHAnsi"/>
                <w:b/>
                <w:sz w:val="20"/>
                <w:szCs w:val="20"/>
              </w:rPr>
            </w:pPr>
            <w:r w:rsidRPr="008F332A">
              <w:rPr>
                <w:rFonts w:cstheme="minorHAnsi"/>
                <w:b/>
                <w:sz w:val="20"/>
                <w:szCs w:val="20"/>
              </w:rPr>
              <w:t>GoA</w:t>
            </w:r>
          </w:p>
        </w:tc>
        <w:tc>
          <w:tcPr>
            <w:tcW w:w="6887" w:type="dxa"/>
          </w:tcPr>
          <w:p w14:paraId="44D482C6" w14:textId="77777777" w:rsidR="009C5CA3" w:rsidRPr="008F332A" w:rsidRDefault="009C5CA3" w:rsidP="003A2CCC">
            <w:pPr>
              <w:pStyle w:val="BodyText"/>
              <w:spacing w:after="0" w:line="240" w:lineRule="auto"/>
              <w:rPr>
                <w:rFonts w:cstheme="minorHAnsi"/>
                <w:sz w:val="20"/>
                <w:szCs w:val="20"/>
              </w:rPr>
            </w:pPr>
            <w:r w:rsidRPr="008F332A">
              <w:rPr>
                <w:rFonts w:cstheme="minorHAnsi"/>
                <w:sz w:val="20"/>
                <w:szCs w:val="20"/>
              </w:rPr>
              <w:t>Government of Australia</w:t>
            </w:r>
          </w:p>
        </w:tc>
      </w:tr>
      <w:tr w:rsidR="00C23B4A" w:rsidRPr="008F332A" w14:paraId="5395F77F" w14:textId="77777777" w:rsidTr="008E5C6F">
        <w:trPr>
          <w:trHeight w:val="20"/>
        </w:trPr>
        <w:tc>
          <w:tcPr>
            <w:tcW w:w="2166" w:type="dxa"/>
          </w:tcPr>
          <w:p w14:paraId="35938139" w14:textId="77777777" w:rsidR="009C5CA3" w:rsidRPr="008F332A" w:rsidRDefault="006D24B6" w:rsidP="003A2CCC">
            <w:pPr>
              <w:pStyle w:val="BodyText"/>
              <w:spacing w:after="0" w:line="240" w:lineRule="auto"/>
              <w:rPr>
                <w:rFonts w:cstheme="minorHAnsi"/>
                <w:b/>
                <w:sz w:val="20"/>
                <w:szCs w:val="20"/>
              </w:rPr>
            </w:pPr>
            <w:r w:rsidRPr="008F332A">
              <w:rPr>
                <w:rFonts w:cstheme="minorHAnsi"/>
                <w:b/>
                <w:sz w:val="20"/>
                <w:szCs w:val="20"/>
              </w:rPr>
              <w:t>GoTL</w:t>
            </w:r>
          </w:p>
        </w:tc>
        <w:tc>
          <w:tcPr>
            <w:tcW w:w="6887" w:type="dxa"/>
          </w:tcPr>
          <w:p w14:paraId="76D13973" w14:textId="77777777" w:rsidR="009C5CA3" w:rsidRPr="008F332A" w:rsidRDefault="006D24B6" w:rsidP="003A2CCC">
            <w:pPr>
              <w:pStyle w:val="BodyText"/>
              <w:spacing w:after="0" w:line="240" w:lineRule="auto"/>
              <w:rPr>
                <w:rFonts w:cstheme="minorHAnsi"/>
                <w:sz w:val="20"/>
                <w:szCs w:val="20"/>
              </w:rPr>
            </w:pPr>
            <w:r w:rsidRPr="008F332A">
              <w:rPr>
                <w:rFonts w:cstheme="minorHAnsi"/>
                <w:sz w:val="20"/>
                <w:szCs w:val="20"/>
              </w:rPr>
              <w:t>Government of Timor-Leste</w:t>
            </w:r>
          </w:p>
        </w:tc>
      </w:tr>
      <w:tr w:rsidR="00C23B4A" w:rsidRPr="008F332A" w14:paraId="7ABC1DEC" w14:textId="77777777" w:rsidTr="008E5C6F">
        <w:trPr>
          <w:trHeight w:val="20"/>
        </w:trPr>
        <w:tc>
          <w:tcPr>
            <w:tcW w:w="2166" w:type="dxa"/>
          </w:tcPr>
          <w:p w14:paraId="3B44B3C1" w14:textId="77777777" w:rsidR="00E73269" w:rsidRPr="008F332A" w:rsidRDefault="00E73269" w:rsidP="003A2CCC">
            <w:pPr>
              <w:pStyle w:val="BodyText"/>
              <w:spacing w:after="0" w:line="240" w:lineRule="auto"/>
              <w:rPr>
                <w:rFonts w:cstheme="minorHAnsi"/>
                <w:b/>
                <w:sz w:val="20"/>
                <w:szCs w:val="20"/>
              </w:rPr>
            </w:pPr>
            <w:r w:rsidRPr="008F332A">
              <w:rPr>
                <w:rFonts w:cstheme="minorHAnsi"/>
                <w:b/>
                <w:sz w:val="20"/>
                <w:szCs w:val="20"/>
              </w:rPr>
              <w:t>JSMP</w:t>
            </w:r>
          </w:p>
        </w:tc>
        <w:tc>
          <w:tcPr>
            <w:tcW w:w="6887" w:type="dxa"/>
          </w:tcPr>
          <w:p w14:paraId="55B0CD2D" w14:textId="77777777" w:rsidR="00E73269" w:rsidRPr="008F332A" w:rsidRDefault="00E73269" w:rsidP="003A2CCC">
            <w:pPr>
              <w:pStyle w:val="BodyText"/>
              <w:spacing w:after="0" w:line="240" w:lineRule="auto"/>
              <w:rPr>
                <w:rFonts w:cstheme="minorHAnsi"/>
                <w:sz w:val="20"/>
                <w:szCs w:val="20"/>
              </w:rPr>
            </w:pPr>
            <w:r w:rsidRPr="008F332A">
              <w:rPr>
                <w:rFonts w:cstheme="minorHAnsi"/>
                <w:sz w:val="20"/>
                <w:szCs w:val="20"/>
              </w:rPr>
              <w:t>Judicial System Monitoring Program</w:t>
            </w:r>
          </w:p>
        </w:tc>
      </w:tr>
      <w:tr w:rsidR="00C23B4A" w:rsidRPr="008F332A" w14:paraId="44845402" w14:textId="77777777" w:rsidTr="008E5C6F">
        <w:trPr>
          <w:trHeight w:val="20"/>
        </w:trPr>
        <w:tc>
          <w:tcPr>
            <w:tcW w:w="2166" w:type="dxa"/>
          </w:tcPr>
          <w:p w14:paraId="1DD4DA20" w14:textId="77777777" w:rsidR="00E73269" w:rsidRPr="008F332A" w:rsidRDefault="00E73269" w:rsidP="003A2CCC">
            <w:pPr>
              <w:pStyle w:val="BodyText"/>
              <w:spacing w:after="0" w:line="240" w:lineRule="auto"/>
              <w:rPr>
                <w:rFonts w:cstheme="minorHAnsi"/>
                <w:b/>
                <w:sz w:val="20"/>
                <w:szCs w:val="20"/>
              </w:rPr>
            </w:pPr>
            <w:r w:rsidRPr="008F332A">
              <w:rPr>
                <w:rFonts w:cstheme="minorHAnsi"/>
                <w:b/>
                <w:sz w:val="20"/>
                <w:szCs w:val="20"/>
              </w:rPr>
              <w:t>JSSF</w:t>
            </w:r>
          </w:p>
        </w:tc>
        <w:tc>
          <w:tcPr>
            <w:tcW w:w="6887" w:type="dxa"/>
          </w:tcPr>
          <w:p w14:paraId="09C0CCFA" w14:textId="77777777" w:rsidR="00E73269" w:rsidRPr="008F332A" w:rsidRDefault="00E73269" w:rsidP="003A2CCC">
            <w:pPr>
              <w:pStyle w:val="BodyText"/>
              <w:spacing w:after="0" w:line="240" w:lineRule="auto"/>
              <w:rPr>
                <w:rFonts w:cstheme="minorHAnsi"/>
                <w:sz w:val="20"/>
                <w:szCs w:val="20"/>
              </w:rPr>
            </w:pPr>
            <w:r w:rsidRPr="008F332A">
              <w:rPr>
                <w:rFonts w:cstheme="minorHAnsi"/>
                <w:sz w:val="20"/>
                <w:szCs w:val="20"/>
              </w:rPr>
              <w:t>Justice Sector Support Facility</w:t>
            </w:r>
          </w:p>
        </w:tc>
      </w:tr>
      <w:tr w:rsidR="00C23B4A" w:rsidRPr="008F332A" w14:paraId="5FDF5030" w14:textId="77777777" w:rsidTr="008E5C6F">
        <w:trPr>
          <w:trHeight w:val="20"/>
        </w:trPr>
        <w:tc>
          <w:tcPr>
            <w:tcW w:w="2166" w:type="dxa"/>
          </w:tcPr>
          <w:p w14:paraId="2397AB9E" w14:textId="77777777" w:rsidR="009C5CA3" w:rsidRPr="008F332A" w:rsidRDefault="009C5CA3" w:rsidP="003A2CCC">
            <w:pPr>
              <w:pStyle w:val="BodyText"/>
              <w:spacing w:after="0" w:line="240" w:lineRule="auto"/>
              <w:rPr>
                <w:rFonts w:cstheme="minorHAnsi"/>
                <w:b/>
                <w:sz w:val="20"/>
                <w:szCs w:val="20"/>
              </w:rPr>
            </w:pPr>
            <w:r w:rsidRPr="008F332A">
              <w:rPr>
                <w:rFonts w:cstheme="minorHAnsi"/>
                <w:b/>
                <w:sz w:val="20"/>
                <w:szCs w:val="20"/>
              </w:rPr>
              <w:t>KEQ</w:t>
            </w:r>
          </w:p>
        </w:tc>
        <w:tc>
          <w:tcPr>
            <w:tcW w:w="6887" w:type="dxa"/>
          </w:tcPr>
          <w:p w14:paraId="0C9F8C8A" w14:textId="77777777" w:rsidR="009C5CA3" w:rsidRPr="008F332A" w:rsidRDefault="009C5CA3" w:rsidP="003A2CCC">
            <w:pPr>
              <w:pStyle w:val="BodyText"/>
              <w:spacing w:after="0" w:line="240" w:lineRule="auto"/>
              <w:rPr>
                <w:rFonts w:cstheme="minorHAnsi"/>
                <w:sz w:val="20"/>
                <w:szCs w:val="20"/>
              </w:rPr>
            </w:pPr>
            <w:r w:rsidRPr="008F332A">
              <w:rPr>
                <w:rFonts w:cstheme="minorHAnsi"/>
                <w:sz w:val="20"/>
                <w:szCs w:val="20"/>
              </w:rPr>
              <w:t>Key Evaluation Questions</w:t>
            </w:r>
          </w:p>
        </w:tc>
      </w:tr>
      <w:tr w:rsidR="00C23B4A" w:rsidRPr="008F332A" w14:paraId="672D01EE" w14:textId="77777777" w:rsidTr="008E5C6F">
        <w:trPr>
          <w:trHeight w:val="20"/>
        </w:trPr>
        <w:tc>
          <w:tcPr>
            <w:tcW w:w="2166" w:type="dxa"/>
          </w:tcPr>
          <w:p w14:paraId="15143B46" w14:textId="77777777" w:rsidR="009C5CA3" w:rsidRPr="008F332A" w:rsidRDefault="009C5CA3" w:rsidP="003A2CCC">
            <w:pPr>
              <w:pStyle w:val="BodyText"/>
              <w:spacing w:after="0" w:line="240" w:lineRule="auto"/>
              <w:rPr>
                <w:rFonts w:cstheme="minorHAnsi"/>
                <w:b/>
                <w:sz w:val="20"/>
                <w:szCs w:val="20"/>
              </w:rPr>
            </w:pPr>
            <w:r w:rsidRPr="008F332A">
              <w:rPr>
                <w:rFonts w:cstheme="minorHAnsi"/>
                <w:b/>
                <w:sz w:val="20"/>
                <w:szCs w:val="20"/>
              </w:rPr>
              <w:t>M&amp;E</w:t>
            </w:r>
          </w:p>
        </w:tc>
        <w:tc>
          <w:tcPr>
            <w:tcW w:w="6887" w:type="dxa"/>
          </w:tcPr>
          <w:p w14:paraId="4432AD3E" w14:textId="77777777" w:rsidR="009C5CA3" w:rsidRPr="008F332A" w:rsidRDefault="009C5CA3" w:rsidP="003A2CCC">
            <w:pPr>
              <w:pStyle w:val="BodyText"/>
              <w:spacing w:after="0" w:line="240" w:lineRule="auto"/>
              <w:rPr>
                <w:rFonts w:cstheme="minorHAnsi"/>
                <w:sz w:val="20"/>
                <w:szCs w:val="20"/>
              </w:rPr>
            </w:pPr>
            <w:r w:rsidRPr="008F332A">
              <w:rPr>
                <w:rFonts w:cstheme="minorHAnsi"/>
                <w:sz w:val="20"/>
                <w:szCs w:val="20"/>
              </w:rPr>
              <w:t>Monitoring and Evaluation</w:t>
            </w:r>
          </w:p>
        </w:tc>
      </w:tr>
      <w:tr w:rsidR="00C23B4A" w:rsidRPr="008F332A" w14:paraId="78D4F2C8" w14:textId="77777777" w:rsidTr="008E5C6F">
        <w:trPr>
          <w:trHeight w:val="20"/>
        </w:trPr>
        <w:tc>
          <w:tcPr>
            <w:tcW w:w="2166" w:type="dxa"/>
          </w:tcPr>
          <w:p w14:paraId="44B00291" w14:textId="77777777" w:rsidR="009C5CA3" w:rsidRPr="008F332A" w:rsidRDefault="009C5CA3" w:rsidP="003A2CCC">
            <w:pPr>
              <w:pStyle w:val="BodyText"/>
              <w:spacing w:after="0" w:line="240" w:lineRule="auto"/>
              <w:rPr>
                <w:rFonts w:cstheme="minorHAnsi"/>
                <w:b/>
                <w:sz w:val="20"/>
                <w:szCs w:val="20"/>
              </w:rPr>
            </w:pPr>
            <w:r w:rsidRPr="008F332A">
              <w:rPr>
                <w:rFonts w:cstheme="minorHAnsi"/>
                <w:b/>
                <w:sz w:val="20"/>
                <w:szCs w:val="20"/>
              </w:rPr>
              <w:t>MEL</w:t>
            </w:r>
          </w:p>
        </w:tc>
        <w:tc>
          <w:tcPr>
            <w:tcW w:w="6887" w:type="dxa"/>
          </w:tcPr>
          <w:p w14:paraId="2F5F5F3A" w14:textId="77777777" w:rsidR="009C5CA3" w:rsidRPr="008F332A" w:rsidRDefault="009C5CA3" w:rsidP="003A2CCC">
            <w:pPr>
              <w:pStyle w:val="BodyText"/>
              <w:spacing w:after="0" w:line="240" w:lineRule="auto"/>
              <w:rPr>
                <w:rFonts w:cstheme="minorHAnsi"/>
                <w:sz w:val="20"/>
                <w:szCs w:val="20"/>
              </w:rPr>
            </w:pPr>
            <w:r w:rsidRPr="008F332A">
              <w:rPr>
                <w:rFonts w:cstheme="minorHAnsi"/>
                <w:sz w:val="20"/>
                <w:szCs w:val="20"/>
              </w:rPr>
              <w:t>Monitoring Evaluation and Learning</w:t>
            </w:r>
          </w:p>
        </w:tc>
      </w:tr>
      <w:tr w:rsidR="00C23B4A" w:rsidRPr="008F332A" w14:paraId="5E561FBF" w14:textId="77777777" w:rsidTr="008E5C6F">
        <w:trPr>
          <w:trHeight w:val="20"/>
        </w:trPr>
        <w:tc>
          <w:tcPr>
            <w:tcW w:w="2166" w:type="dxa"/>
          </w:tcPr>
          <w:p w14:paraId="1C72E423" w14:textId="77777777" w:rsidR="009C5CA3" w:rsidRPr="008F332A" w:rsidRDefault="009C5CA3" w:rsidP="003A2CCC">
            <w:pPr>
              <w:pStyle w:val="BodyText"/>
              <w:spacing w:after="0" w:line="240" w:lineRule="auto"/>
              <w:rPr>
                <w:rFonts w:cstheme="minorHAnsi"/>
                <w:b/>
                <w:sz w:val="20"/>
                <w:szCs w:val="20"/>
              </w:rPr>
            </w:pPr>
            <w:r w:rsidRPr="008F332A">
              <w:rPr>
                <w:rFonts w:cstheme="minorHAnsi"/>
                <w:b/>
                <w:sz w:val="20"/>
                <w:szCs w:val="20"/>
              </w:rPr>
              <w:t xml:space="preserve">MELF </w:t>
            </w:r>
          </w:p>
        </w:tc>
        <w:tc>
          <w:tcPr>
            <w:tcW w:w="6887" w:type="dxa"/>
          </w:tcPr>
          <w:p w14:paraId="7EA6C164" w14:textId="77777777" w:rsidR="009C5CA3" w:rsidRPr="008F332A" w:rsidRDefault="009C5CA3" w:rsidP="003A2CCC">
            <w:pPr>
              <w:pStyle w:val="BodyText"/>
              <w:spacing w:after="0" w:line="240" w:lineRule="auto"/>
              <w:rPr>
                <w:rFonts w:cstheme="minorHAnsi"/>
                <w:sz w:val="20"/>
                <w:szCs w:val="20"/>
              </w:rPr>
            </w:pPr>
            <w:r w:rsidRPr="008F332A">
              <w:rPr>
                <w:rFonts w:cstheme="minorHAnsi"/>
                <w:sz w:val="20"/>
                <w:szCs w:val="20"/>
              </w:rPr>
              <w:t>Monitoring, Evaluation and Learning Framework</w:t>
            </w:r>
          </w:p>
        </w:tc>
      </w:tr>
      <w:tr w:rsidR="00C23B4A" w:rsidRPr="008F332A" w14:paraId="4B30CFDE" w14:textId="77777777" w:rsidTr="008E5C6F">
        <w:trPr>
          <w:trHeight w:val="20"/>
        </w:trPr>
        <w:tc>
          <w:tcPr>
            <w:tcW w:w="2166" w:type="dxa"/>
          </w:tcPr>
          <w:p w14:paraId="290CDD7F" w14:textId="77777777" w:rsidR="0020511E" w:rsidRPr="008F332A" w:rsidRDefault="0020511E" w:rsidP="003A2CCC">
            <w:pPr>
              <w:pStyle w:val="BodyText"/>
              <w:spacing w:after="0" w:line="240" w:lineRule="auto"/>
              <w:rPr>
                <w:rFonts w:cstheme="minorHAnsi"/>
                <w:b/>
                <w:sz w:val="20"/>
                <w:szCs w:val="20"/>
              </w:rPr>
            </w:pPr>
            <w:r w:rsidRPr="008F332A">
              <w:rPr>
                <w:rFonts w:cstheme="minorHAnsi"/>
                <w:b/>
                <w:sz w:val="20"/>
                <w:szCs w:val="20"/>
              </w:rPr>
              <w:t>MELP</w:t>
            </w:r>
          </w:p>
        </w:tc>
        <w:tc>
          <w:tcPr>
            <w:tcW w:w="6887" w:type="dxa"/>
          </w:tcPr>
          <w:p w14:paraId="6D9A1552" w14:textId="77777777" w:rsidR="0020511E" w:rsidRPr="008F332A" w:rsidRDefault="0020511E" w:rsidP="003A2CCC">
            <w:pPr>
              <w:pStyle w:val="BodyText"/>
              <w:spacing w:after="0" w:line="240" w:lineRule="auto"/>
              <w:rPr>
                <w:rFonts w:cstheme="minorHAnsi"/>
                <w:sz w:val="20"/>
                <w:szCs w:val="20"/>
              </w:rPr>
            </w:pPr>
            <w:r w:rsidRPr="008F332A">
              <w:rPr>
                <w:rFonts w:cstheme="minorHAnsi"/>
                <w:sz w:val="20"/>
                <w:szCs w:val="20"/>
              </w:rPr>
              <w:t>Monitoring, Evaluation and Learning Plan</w:t>
            </w:r>
          </w:p>
        </w:tc>
      </w:tr>
      <w:tr w:rsidR="00C23B4A" w:rsidRPr="008F332A" w14:paraId="616F430C" w14:textId="77777777" w:rsidTr="008E5C6F">
        <w:trPr>
          <w:trHeight w:val="20"/>
        </w:trPr>
        <w:tc>
          <w:tcPr>
            <w:tcW w:w="2166" w:type="dxa"/>
          </w:tcPr>
          <w:p w14:paraId="2AA352D6" w14:textId="77777777" w:rsidR="00E73269" w:rsidRPr="008F332A" w:rsidRDefault="00E73269" w:rsidP="003A2CCC">
            <w:pPr>
              <w:pStyle w:val="BodyText"/>
              <w:spacing w:after="0" w:line="240" w:lineRule="auto"/>
              <w:rPr>
                <w:rFonts w:cstheme="minorHAnsi"/>
                <w:b/>
                <w:sz w:val="20"/>
                <w:szCs w:val="20"/>
              </w:rPr>
            </w:pPr>
            <w:r w:rsidRPr="008F332A">
              <w:rPr>
                <w:rFonts w:cstheme="minorHAnsi"/>
                <w:b/>
                <w:sz w:val="20"/>
                <w:szCs w:val="20"/>
              </w:rPr>
              <w:t>MFP</w:t>
            </w:r>
          </w:p>
        </w:tc>
        <w:tc>
          <w:tcPr>
            <w:tcW w:w="6887" w:type="dxa"/>
          </w:tcPr>
          <w:p w14:paraId="56ADB7C1" w14:textId="77777777" w:rsidR="00E73269" w:rsidRPr="008F332A" w:rsidRDefault="00E73269" w:rsidP="003A2CCC">
            <w:pPr>
              <w:pStyle w:val="BodyText"/>
              <w:spacing w:after="0" w:line="240" w:lineRule="auto"/>
              <w:rPr>
                <w:rFonts w:cstheme="minorHAnsi"/>
                <w:sz w:val="20"/>
                <w:szCs w:val="20"/>
              </w:rPr>
            </w:pPr>
            <w:r w:rsidRPr="008F332A">
              <w:rPr>
                <w:rFonts w:cstheme="minorHAnsi"/>
                <w:sz w:val="20"/>
                <w:szCs w:val="20"/>
              </w:rPr>
              <w:t>Medical Forensic Protocol</w:t>
            </w:r>
          </w:p>
        </w:tc>
      </w:tr>
      <w:tr w:rsidR="00C23B4A" w:rsidRPr="008F332A" w14:paraId="7D8CE60A" w14:textId="77777777" w:rsidTr="008E5C6F">
        <w:trPr>
          <w:trHeight w:val="20"/>
        </w:trPr>
        <w:tc>
          <w:tcPr>
            <w:tcW w:w="2166" w:type="dxa"/>
          </w:tcPr>
          <w:p w14:paraId="046C1EB2" w14:textId="77777777" w:rsidR="009C5CA3" w:rsidRPr="008F332A" w:rsidRDefault="009C5CA3" w:rsidP="003A2CCC">
            <w:pPr>
              <w:pStyle w:val="BodyText"/>
              <w:spacing w:after="0" w:line="240" w:lineRule="auto"/>
              <w:rPr>
                <w:rFonts w:cstheme="minorHAnsi"/>
                <w:b/>
                <w:sz w:val="20"/>
                <w:szCs w:val="20"/>
              </w:rPr>
            </w:pPr>
            <w:r w:rsidRPr="008F332A">
              <w:rPr>
                <w:rFonts w:cstheme="minorHAnsi"/>
                <w:b/>
                <w:sz w:val="20"/>
                <w:szCs w:val="20"/>
              </w:rPr>
              <w:t>MSC</w:t>
            </w:r>
          </w:p>
        </w:tc>
        <w:tc>
          <w:tcPr>
            <w:tcW w:w="6887" w:type="dxa"/>
          </w:tcPr>
          <w:p w14:paraId="42E24564" w14:textId="77777777" w:rsidR="009C5CA3" w:rsidRPr="008F332A" w:rsidRDefault="009C5CA3" w:rsidP="003A2CCC">
            <w:pPr>
              <w:pStyle w:val="BodyText"/>
              <w:spacing w:after="0" w:line="240" w:lineRule="auto"/>
              <w:rPr>
                <w:rFonts w:cstheme="minorHAnsi"/>
                <w:sz w:val="20"/>
                <w:szCs w:val="20"/>
              </w:rPr>
            </w:pPr>
            <w:r w:rsidRPr="008F332A">
              <w:rPr>
                <w:rFonts w:cstheme="minorHAnsi"/>
                <w:sz w:val="20"/>
                <w:szCs w:val="20"/>
              </w:rPr>
              <w:t>Most Significant Change</w:t>
            </w:r>
          </w:p>
        </w:tc>
      </w:tr>
      <w:tr w:rsidR="00C23B4A" w:rsidRPr="008F332A" w14:paraId="39828445" w14:textId="77777777" w:rsidTr="008E5C6F">
        <w:trPr>
          <w:trHeight w:val="20"/>
        </w:trPr>
        <w:tc>
          <w:tcPr>
            <w:tcW w:w="2166" w:type="dxa"/>
          </w:tcPr>
          <w:p w14:paraId="2162103C" w14:textId="77777777" w:rsidR="009C5CA3" w:rsidRPr="008F332A" w:rsidRDefault="00C9696C" w:rsidP="003A2CCC">
            <w:pPr>
              <w:pStyle w:val="BodyText"/>
              <w:spacing w:after="0" w:line="240" w:lineRule="auto"/>
              <w:rPr>
                <w:rFonts w:cstheme="minorHAnsi"/>
                <w:b/>
                <w:sz w:val="20"/>
                <w:szCs w:val="20"/>
              </w:rPr>
            </w:pPr>
            <w:r w:rsidRPr="008F332A">
              <w:rPr>
                <w:rFonts w:cstheme="minorHAnsi"/>
                <w:b/>
                <w:sz w:val="20"/>
                <w:szCs w:val="20"/>
              </w:rPr>
              <w:t>MSS</w:t>
            </w:r>
          </w:p>
        </w:tc>
        <w:tc>
          <w:tcPr>
            <w:tcW w:w="6887" w:type="dxa"/>
          </w:tcPr>
          <w:p w14:paraId="4A15985A" w14:textId="5AC18431" w:rsidR="009C5CA3" w:rsidRPr="008F332A" w:rsidRDefault="009446CF" w:rsidP="003A2CCC">
            <w:pPr>
              <w:pStyle w:val="BodyText"/>
              <w:spacing w:after="0" w:line="240" w:lineRule="auto"/>
              <w:rPr>
                <w:rFonts w:cstheme="minorHAnsi"/>
                <w:sz w:val="20"/>
                <w:szCs w:val="20"/>
              </w:rPr>
            </w:pPr>
            <w:r w:rsidRPr="008F332A">
              <w:rPr>
                <w:rFonts w:cstheme="minorHAnsi"/>
                <w:sz w:val="20"/>
                <w:szCs w:val="20"/>
              </w:rPr>
              <w:t>Ministry of Social Solidarity</w:t>
            </w:r>
            <w:r w:rsidR="00AC0567">
              <w:rPr>
                <w:rFonts w:cstheme="minorHAnsi"/>
                <w:sz w:val="20"/>
                <w:szCs w:val="20"/>
              </w:rPr>
              <w:t xml:space="preserve"> </w:t>
            </w:r>
            <w:r w:rsidR="00AC0567" w:rsidRPr="008F332A">
              <w:rPr>
                <w:rFonts w:cstheme="minorHAnsi"/>
                <w:sz w:val="20"/>
                <w:szCs w:val="20"/>
              </w:rPr>
              <w:t>(under the VII Constitutional Government of Timor-Leste)</w:t>
            </w:r>
          </w:p>
        </w:tc>
      </w:tr>
      <w:tr w:rsidR="00AC0567" w:rsidRPr="008F332A" w14:paraId="5117FC91" w14:textId="77777777" w:rsidTr="008E5C6F">
        <w:trPr>
          <w:trHeight w:val="20"/>
        </w:trPr>
        <w:tc>
          <w:tcPr>
            <w:tcW w:w="2166" w:type="dxa"/>
          </w:tcPr>
          <w:p w14:paraId="15FAC410" w14:textId="344B118B" w:rsidR="00AC0567" w:rsidRPr="008F332A" w:rsidRDefault="00AC0567" w:rsidP="003A2CCC">
            <w:pPr>
              <w:pStyle w:val="BodyText"/>
              <w:spacing w:after="0" w:line="240" w:lineRule="auto"/>
              <w:rPr>
                <w:rFonts w:cstheme="minorHAnsi"/>
                <w:b/>
                <w:sz w:val="20"/>
                <w:szCs w:val="20"/>
              </w:rPr>
            </w:pPr>
            <w:r>
              <w:rPr>
                <w:rFonts w:cstheme="minorHAnsi"/>
                <w:b/>
                <w:sz w:val="20"/>
                <w:szCs w:val="20"/>
              </w:rPr>
              <w:t>MSSI</w:t>
            </w:r>
          </w:p>
        </w:tc>
        <w:tc>
          <w:tcPr>
            <w:tcW w:w="6887" w:type="dxa"/>
          </w:tcPr>
          <w:p w14:paraId="504062B8" w14:textId="0638BBA9" w:rsidR="00AC0567" w:rsidRPr="008F332A" w:rsidRDefault="00AC0567" w:rsidP="003A2CCC">
            <w:pPr>
              <w:pStyle w:val="BodyText"/>
              <w:spacing w:after="0" w:line="240" w:lineRule="auto"/>
              <w:rPr>
                <w:rFonts w:cstheme="minorHAnsi"/>
                <w:sz w:val="20"/>
                <w:szCs w:val="20"/>
              </w:rPr>
            </w:pPr>
            <w:r>
              <w:rPr>
                <w:rFonts w:cstheme="minorHAnsi"/>
                <w:sz w:val="20"/>
                <w:szCs w:val="20"/>
              </w:rPr>
              <w:t xml:space="preserve">Ministry of Social Solidarity and Inclusion </w:t>
            </w:r>
          </w:p>
        </w:tc>
      </w:tr>
      <w:tr w:rsidR="00C23B4A" w:rsidRPr="008F332A" w14:paraId="18292080" w14:textId="77777777" w:rsidTr="008E5C6F">
        <w:trPr>
          <w:trHeight w:val="20"/>
        </w:trPr>
        <w:tc>
          <w:tcPr>
            <w:tcW w:w="2166" w:type="dxa"/>
          </w:tcPr>
          <w:p w14:paraId="5F192128" w14:textId="77777777" w:rsidR="00E73269" w:rsidRPr="008F332A" w:rsidRDefault="00E73269" w:rsidP="003A2CCC">
            <w:pPr>
              <w:pStyle w:val="BodyText"/>
              <w:spacing w:after="0" w:line="240" w:lineRule="auto"/>
              <w:rPr>
                <w:rFonts w:cstheme="minorHAnsi"/>
                <w:b/>
                <w:sz w:val="20"/>
                <w:szCs w:val="20"/>
              </w:rPr>
            </w:pPr>
            <w:r w:rsidRPr="008F332A">
              <w:rPr>
                <w:rFonts w:cstheme="minorHAnsi"/>
                <w:b/>
                <w:sz w:val="20"/>
                <w:szCs w:val="20"/>
              </w:rPr>
              <w:t>NAP-GBV</w:t>
            </w:r>
          </w:p>
        </w:tc>
        <w:tc>
          <w:tcPr>
            <w:tcW w:w="6887" w:type="dxa"/>
          </w:tcPr>
          <w:p w14:paraId="6219F06B" w14:textId="77777777" w:rsidR="00E73269" w:rsidRPr="008F332A" w:rsidRDefault="00E73269" w:rsidP="003A2CCC">
            <w:pPr>
              <w:pStyle w:val="BodyText"/>
              <w:spacing w:after="0" w:line="240" w:lineRule="auto"/>
              <w:rPr>
                <w:rFonts w:cstheme="minorHAnsi"/>
                <w:sz w:val="20"/>
                <w:szCs w:val="20"/>
              </w:rPr>
            </w:pPr>
            <w:r w:rsidRPr="008F332A">
              <w:rPr>
                <w:rFonts w:cstheme="minorHAnsi"/>
                <w:sz w:val="20"/>
                <w:szCs w:val="20"/>
              </w:rPr>
              <w:t>National Action Plan on Gender Based Violence</w:t>
            </w:r>
          </w:p>
        </w:tc>
      </w:tr>
      <w:tr w:rsidR="00C23B4A" w:rsidRPr="008F332A" w14:paraId="38746E8A" w14:textId="77777777" w:rsidTr="008E5C6F">
        <w:trPr>
          <w:trHeight w:val="20"/>
        </w:trPr>
        <w:tc>
          <w:tcPr>
            <w:tcW w:w="2166" w:type="dxa"/>
          </w:tcPr>
          <w:p w14:paraId="7CD089FD" w14:textId="77777777" w:rsidR="0020511E" w:rsidRPr="008F332A" w:rsidRDefault="0020511E" w:rsidP="003A2CCC">
            <w:pPr>
              <w:pStyle w:val="BodyText"/>
              <w:spacing w:after="0" w:line="240" w:lineRule="auto"/>
              <w:rPr>
                <w:rFonts w:cstheme="minorHAnsi"/>
                <w:b/>
                <w:sz w:val="20"/>
                <w:szCs w:val="20"/>
              </w:rPr>
            </w:pPr>
            <w:r w:rsidRPr="008F332A">
              <w:rPr>
                <w:rFonts w:cstheme="minorHAnsi"/>
                <w:b/>
                <w:sz w:val="20"/>
                <w:szCs w:val="20"/>
              </w:rPr>
              <w:t>NGO</w:t>
            </w:r>
          </w:p>
        </w:tc>
        <w:tc>
          <w:tcPr>
            <w:tcW w:w="6887" w:type="dxa"/>
          </w:tcPr>
          <w:p w14:paraId="674AB7A7" w14:textId="77777777" w:rsidR="0020511E" w:rsidRPr="008F332A" w:rsidRDefault="0020511E" w:rsidP="003A2CCC">
            <w:pPr>
              <w:pStyle w:val="BodyText"/>
              <w:spacing w:after="0" w:line="240" w:lineRule="auto"/>
              <w:rPr>
                <w:rFonts w:cstheme="minorHAnsi"/>
                <w:sz w:val="20"/>
                <w:szCs w:val="20"/>
              </w:rPr>
            </w:pPr>
            <w:r w:rsidRPr="008F332A">
              <w:rPr>
                <w:rFonts w:cstheme="minorHAnsi"/>
                <w:sz w:val="20"/>
                <w:szCs w:val="20"/>
              </w:rPr>
              <w:t>Non-government Organisation</w:t>
            </w:r>
          </w:p>
        </w:tc>
      </w:tr>
      <w:tr w:rsidR="00C23B4A" w:rsidRPr="008F332A" w14:paraId="21CE28A5" w14:textId="77777777" w:rsidTr="008E5C6F">
        <w:trPr>
          <w:trHeight w:val="20"/>
        </w:trPr>
        <w:tc>
          <w:tcPr>
            <w:tcW w:w="2166" w:type="dxa"/>
          </w:tcPr>
          <w:p w14:paraId="65C17B0C" w14:textId="77777777" w:rsidR="009C5CA3" w:rsidRPr="008F332A" w:rsidRDefault="009C5CA3" w:rsidP="003A2CCC">
            <w:pPr>
              <w:pStyle w:val="BodyText"/>
              <w:spacing w:after="0" w:line="240" w:lineRule="auto"/>
              <w:rPr>
                <w:rFonts w:cstheme="minorHAnsi"/>
                <w:b/>
                <w:sz w:val="20"/>
                <w:szCs w:val="20"/>
              </w:rPr>
            </w:pPr>
            <w:r w:rsidRPr="008F332A">
              <w:rPr>
                <w:rFonts w:cstheme="minorHAnsi"/>
                <w:b/>
                <w:sz w:val="20"/>
                <w:szCs w:val="20"/>
              </w:rPr>
              <w:t>PAF</w:t>
            </w:r>
          </w:p>
        </w:tc>
        <w:tc>
          <w:tcPr>
            <w:tcW w:w="6887" w:type="dxa"/>
          </w:tcPr>
          <w:p w14:paraId="4A9A702C" w14:textId="77777777" w:rsidR="009C5CA3" w:rsidRPr="008F332A" w:rsidRDefault="009C5CA3" w:rsidP="003A2CCC">
            <w:pPr>
              <w:pStyle w:val="BodyText"/>
              <w:spacing w:after="0" w:line="240" w:lineRule="auto"/>
              <w:rPr>
                <w:rFonts w:cstheme="minorHAnsi"/>
                <w:sz w:val="20"/>
                <w:szCs w:val="20"/>
              </w:rPr>
            </w:pPr>
            <w:r w:rsidRPr="008F332A">
              <w:rPr>
                <w:rFonts w:cstheme="minorHAnsi"/>
                <w:sz w:val="20"/>
                <w:szCs w:val="20"/>
              </w:rPr>
              <w:t>Performance Assessment Framework</w:t>
            </w:r>
          </w:p>
        </w:tc>
      </w:tr>
      <w:tr w:rsidR="00C23B4A" w:rsidRPr="008F332A" w14:paraId="7AAA3F2B" w14:textId="77777777" w:rsidTr="008E5C6F">
        <w:trPr>
          <w:trHeight w:val="20"/>
        </w:trPr>
        <w:tc>
          <w:tcPr>
            <w:tcW w:w="2166" w:type="dxa"/>
          </w:tcPr>
          <w:p w14:paraId="7CFA018D" w14:textId="77777777" w:rsidR="00E73269" w:rsidRPr="008F332A" w:rsidRDefault="00E73269" w:rsidP="003A2CCC">
            <w:pPr>
              <w:pStyle w:val="BodyText"/>
              <w:spacing w:after="0" w:line="240" w:lineRule="auto"/>
              <w:rPr>
                <w:rFonts w:cstheme="minorHAnsi"/>
                <w:b/>
                <w:sz w:val="20"/>
                <w:szCs w:val="20"/>
              </w:rPr>
            </w:pPr>
            <w:r w:rsidRPr="008F332A">
              <w:rPr>
                <w:rFonts w:cstheme="minorHAnsi"/>
                <w:b/>
                <w:sz w:val="20"/>
                <w:szCs w:val="20"/>
              </w:rPr>
              <w:t>PRADET</w:t>
            </w:r>
          </w:p>
        </w:tc>
        <w:tc>
          <w:tcPr>
            <w:tcW w:w="6887" w:type="dxa"/>
          </w:tcPr>
          <w:p w14:paraId="1E1A8698" w14:textId="77777777" w:rsidR="00E73269" w:rsidRPr="008F332A" w:rsidRDefault="00E73269" w:rsidP="003A2CCC">
            <w:pPr>
              <w:pStyle w:val="BodyText"/>
              <w:spacing w:after="0" w:line="240" w:lineRule="auto"/>
              <w:rPr>
                <w:rFonts w:cstheme="minorHAnsi"/>
                <w:sz w:val="20"/>
                <w:szCs w:val="20"/>
              </w:rPr>
            </w:pPr>
            <w:r w:rsidRPr="008F332A">
              <w:rPr>
                <w:rFonts w:cstheme="minorHAnsi"/>
                <w:sz w:val="20"/>
                <w:szCs w:val="20"/>
              </w:rPr>
              <w:t>Psychosocial Recovery and Development in East Timor</w:t>
            </w:r>
          </w:p>
        </w:tc>
      </w:tr>
      <w:tr w:rsidR="00C23B4A" w:rsidRPr="008F332A" w14:paraId="6B74D3B8" w14:textId="77777777" w:rsidTr="008E5C6F">
        <w:trPr>
          <w:trHeight w:val="20"/>
        </w:trPr>
        <w:tc>
          <w:tcPr>
            <w:tcW w:w="2166" w:type="dxa"/>
          </w:tcPr>
          <w:p w14:paraId="70465F89" w14:textId="77777777" w:rsidR="000A57C5" w:rsidRPr="008F332A" w:rsidRDefault="000A57C5" w:rsidP="003A2CCC">
            <w:pPr>
              <w:pStyle w:val="BodyText"/>
              <w:spacing w:after="0" w:line="240" w:lineRule="auto"/>
              <w:rPr>
                <w:rFonts w:cstheme="minorHAnsi"/>
                <w:b/>
                <w:sz w:val="20"/>
                <w:szCs w:val="20"/>
              </w:rPr>
            </w:pPr>
            <w:r w:rsidRPr="008F332A">
              <w:rPr>
                <w:rFonts w:cstheme="minorHAnsi"/>
                <w:b/>
                <w:sz w:val="20"/>
                <w:szCs w:val="20"/>
              </w:rPr>
              <w:t>PRPF</w:t>
            </w:r>
          </w:p>
        </w:tc>
        <w:tc>
          <w:tcPr>
            <w:tcW w:w="6887" w:type="dxa"/>
          </w:tcPr>
          <w:p w14:paraId="56CC01FB" w14:textId="77777777" w:rsidR="000A57C5" w:rsidRPr="008F332A" w:rsidRDefault="000A57C5" w:rsidP="003A2CCC">
            <w:pPr>
              <w:pStyle w:val="BodyText"/>
              <w:spacing w:after="0" w:line="240" w:lineRule="auto"/>
              <w:rPr>
                <w:rFonts w:cstheme="minorHAnsi"/>
                <w:sz w:val="20"/>
                <w:szCs w:val="20"/>
              </w:rPr>
            </w:pPr>
            <w:r w:rsidRPr="008F332A">
              <w:rPr>
                <w:rFonts w:cstheme="minorHAnsi"/>
                <w:sz w:val="20"/>
                <w:szCs w:val="20"/>
              </w:rPr>
              <w:t xml:space="preserve">Program Review </w:t>
            </w:r>
            <w:r w:rsidR="00875A65" w:rsidRPr="008F332A">
              <w:rPr>
                <w:rFonts w:cstheme="minorHAnsi"/>
                <w:sz w:val="20"/>
                <w:szCs w:val="20"/>
              </w:rPr>
              <w:t>and Planning Forum</w:t>
            </w:r>
          </w:p>
        </w:tc>
      </w:tr>
      <w:tr w:rsidR="00AC0567" w:rsidRPr="008F332A" w14:paraId="42F56E47" w14:textId="77777777" w:rsidTr="008E5C6F">
        <w:trPr>
          <w:trHeight w:val="20"/>
        </w:trPr>
        <w:tc>
          <w:tcPr>
            <w:tcW w:w="2166" w:type="dxa"/>
          </w:tcPr>
          <w:p w14:paraId="02054B6F" w14:textId="28EDFE1D" w:rsidR="00AC0567" w:rsidRPr="008F332A" w:rsidRDefault="00AC0567" w:rsidP="003A2CCC">
            <w:pPr>
              <w:pStyle w:val="BodyText"/>
              <w:spacing w:after="0" w:line="240" w:lineRule="auto"/>
              <w:rPr>
                <w:rFonts w:cstheme="minorHAnsi"/>
                <w:b/>
                <w:sz w:val="20"/>
                <w:szCs w:val="20"/>
              </w:rPr>
            </w:pPr>
            <w:r>
              <w:rPr>
                <w:rFonts w:cstheme="minorHAnsi"/>
                <w:b/>
                <w:sz w:val="20"/>
                <w:szCs w:val="20"/>
              </w:rPr>
              <w:t>SEII</w:t>
            </w:r>
          </w:p>
        </w:tc>
        <w:tc>
          <w:tcPr>
            <w:tcW w:w="6887" w:type="dxa"/>
          </w:tcPr>
          <w:p w14:paraId="202B94BA" w14:textId="3C8F9A0A" w:rsidR="00AC0567" w:rsidRPr="008F332A" w:rsidRDefault="00AC0567" w:rsidP="003A2CCC">
            <w:pPr>
              <w:pStyle w:val="BodyText"/>
              <w:spacing w:after="0" w:line="240" w:lineRule="auto"/>
              <w:rPr>
                <w:rFonts w:cstheme="minorHAnsi"/>
                <w:sz w:val="20"/>
                <w:szCs w:val="20"/>
              </w:rPr>
            </w:pPr>
            <w:r>
              <w:rPr>
                <w:rFonts w:cstheme="minorHAnsi"/>
                <w:sz w:val="20"/>
                <w:szCs w:val="20"/>
              </w:rPr>
              <w:t xml:space="preserve">Secretary of State for Equality and Inclusion </w:t>
            </w:r>
          </w:p>
        </w:tc>
      </w:tr>
      <w:tr w:rsidR="00C23B4A" w:rsidRPr="008F332A" w14:paraId="30E08EB9" w14:textId="77777777" w:rsidTr="008E5C6F">
        <w:trPr>
          <w:trHeight w:val="20"/>
        </w:trPr>
        <w:tc>
          <w:tcPr>
            <w:tcW w:w="2166" w:type="dxa"/>
          </w:tcPr>
          <w:p w14:paraId="7BEB3C5E" w14:textId="77777777" w:rsidR="00F31FF8" w:rsidRPr="008F332A" w:rsidRDefault="007F599B" w:rsidP="003A2CCC">
            <w:pPr>
              <w:pStyle w:val="BodyText"/>
              <w:spacing w:after="0" w:line="240" w:lineRule="auto"/>
              <w:rPr>
                <w:rFonts w:cstheme="minorHAnsi"/>
                <w:b/>
                <w:sz w:val="20"/>
                <w:szCs w:val="20"/>
              </w:rPr>
            </w:pPr>
            <w:r w:rsidRPr="008F332A">
              <w:rPr>
                <w:rFonts w:cstheme="minorHAnsi"/>
                <w:b/>
                <w:sz w:val="20"/>
                <w:szCs w:val="20"/>
              </w:rPr>
              <w:t>SEI</w:t>
            </w:r>
            <w:r w:rsidR="00F31FF8" w:rsidRPr="008F332A">
              <w:rPr>
                <w:rFonts w:cstheme="minorHAnsi"/>
                <w:b/>
                <w:sz w:val="20"/>
                <w:szCs w:val="20"/>
              </w:rPr>
              <w:t>GIS</w:t>
            </w:r>
          </w:p>
        </w:tc>
        <w:tc>
          <w:tcPr>
            <w:tcW w:w="6887" w:type="dxa"/>
          </w:tcPr>
          <w:p w14:paraId="0A77CC2D" w14:textId="77777777" w:rsidR="00F31FF8" w:rsidRPr="008F332A" w:rsidRDefault="00E73269" w:rsidP="003A2CCC">
            <w:pPr>
              <w:pStyle w:val="BodyText"/>
              <w:spacing w:after="0" w:line="240" w:lineRule="auto"/>
              <w:rPr>
                <w:rFonts w:cstheme="minorHAnsi"/>
                <w:sz w:val="20"/>
                <w:szCs w:val="20"/>
              </w:rPr>
            </w:pPr>
            <w:r w:rsidRPr="008F332A">
              <w:rPr>
                <w:rFonts w:cstheme="minorHAnsi"/>
                <w:sz w:val="20"/>
                <w:szCs w:val="20"/>
              </w:rPr>
              <w:t>Secretary of State for Gender Equality and Social Inclusion</w:t>
            </w:r>
            <w:r w:rsidR="00E43178" w:rsidRPr="008F332A">
              <w:rPr>
                <w:rFonts w:cstheme="minorHAnsi"/>
                <w:sz w:val="20"/>
                <w:szCs w:val="20"/>
              </w:rPr>
              <w:t xml:space="preserve"> (under the VII Constitutional Government of Timor-Leste)</w:t>
            </w:r>
          </w:p>
        </w:tc>
      </w:tr>
      <w:tr w:rsidR="00C23B4A" w:rsidRPr="008F332A" w14:paraId="29D99B28" w14:textId="77777777" w:rsidTr="008E5C6F">
        <w:trPr>
          <w:trHeight w:val="20"/>
        </w:trPr>
        <w:tc>
          <w:tcPr>
            <w:tcW w:w="2166" w:type="dxa"/>
          </w:tcPr>
          <w:p w14:paraId="31D027C6" w14:textId="77777777" w:rsidR="00F31FF8" w:rsidRPr="008F332A" w:rsidRDefault="00F31FF8" w:rsidP="003A2CCC">
            <w:pPr>
              <w:pStyle w:val="BodyText"/>
              <w:spacing w:after="0" w:line="240" w:lineRule="auto"/>
              <w:rPr>
                <w:rFonts w:cstheme="minorHAnsi"/>
                <w:b/>
                <w:sz w:val="20"/>
                <w:szCs w:val="20"/>
              </w:rPr>
            </w:pPr>
            <w:r w:rsidRPr="008F332A">
              <w:rPr>
                <w:rFonts w:cstheme="minorHAnsi"/>
                <w:b/>
                <w:sz w:val="20"/>
                <w:szCs w:val="20"/>
              </w:rPr>
              <w:t>SEM</w:t>
            </w:r>
          </w:p>
        </w:tc>
        <w:tc>
          <w:tcPr>
            <w:tcW w:w="6887" w:type="dxa"/>
          </w:tcPr>
          <w:p w14:paraId="1992A53C" w14:textId="77777777" w:rsidR="00F31FF8" w:rsidRPr="008F332A" w:rsidRDefault="002E6892" w:rsidP="003A2CCC">
            <w:pPr>
              <w:pStyle w:val="BodyText"/>
              <w:spacing w:after="0" w:line="240" w:lineRule="auto"/>
              <w:rPr>
                <w:rFonts w:cstheme="minorHAnsi"/>
                <w:sz w:val="20"/>
                <w:szCs w:val="20"/>
              </w:rPr>
            </w:pPr>
            <w:r w:rsidRPr="008F332A">
              <w:rPr>
                <w:rFonts w:cstheme="minorHAnsi"/>
                <w:sz w:val="20"/>
                <w:szCs w:val="20"/>
              </w:rPr>
              <w:t>Secretary of State for the Promotion of Equality</w:t>
            </w:r>
            <w:r w:rsidR="00E43178" w:rsidRPr="008F332A">
              <w:rPr>
                <w:rFonts w:cstheme="minorHAnsi"/>
                <w:sz w:val="20"/>
                <w:szCs w:val="20"/>
              </w:rPr>
              <w:t xml:space="preserve"> (under the VI Constitutional Government of Timor-Leste)</w:t>
            </w:r>
          </w:p>
        </w:tc>
      </w:tr>
      <w:tr w:rsidR="00C23B4A" w:rsidRPr="008F332A" w14:paraId="7C9453B3" w14:textId="77777777" w:rsidTr="008E5C6F">
        <w:trPr>
          <w:trHeight w:val="20"/>
        </w:trPr>
        <w:tc>
          <w:tcPr>
            <w:tcW w:w="2166" w:type="dxa"/>
          </w:tcPr>
          <w:p w14:paraId="1C221564" w14:textId="77777777" w:rsidR="00E73269" w:rsidRPr="008F332A" w:rsidRDefault="00E73269" w:rsidP="003A2CCC">
            <w:pPr>
              <w:pStyle w:val="BodyText"/>
              <w:spacing w:after="0" w:line="240" w:lineRule="auto"/>
              <w:rPr>
                <w:rFonts w:cstheme="minorHAnsi"/>
                <w:b/>
                <w:sz w:val="20"/>
                <w:szCs w:val="20"/>
              </w:rPr>
            </w:pPr>
            <w:r w:rsidRPr="008F332A">
              <w:rPr>
                <w:rFonts w:cstheme="minorHAnsi"/>
                <w:b/>
                <w:sz w:val="20"/>
                <w:szCs w:val="20"/>
              </w:rPr>
              <w:t>STA</w:t>
            </w:r>
          </w:p>
        </w:tc>
        <w:tc>
          <w:tcPr>
            <w:tcW w:w="6887" w:type="dxa"/>
          </w:tcPr>
          <w:p w14:paraId="629B5838" w14:textId="77777777" w:rsidR="00E73269" w:rsidRPr="008F332A" w:rsidRDefault="002B59F7" w:rsidP="003A2CCC">
            <w:pPr>
              <w:pStyle w:val="BodyText"/>
              <w:spacing w:after="0" w:line="240" w:lineRule="auto"/>
              <w:rPr>
                <w:rFonts w:cstheme="minorHAnsi"/>
                <w:sz w:val="20"/>
                <w:szCs w:val="20"/>
              </w:rPr>
            </w:pPr>
            <w:r w:rsidRPr="008F332A">
              <w:rPr>
                <w:rFonts w:cstheme="minorHAnsi"/>
                <w:sz w:val="20"/>
                <w:szCs w:val="20"/>
              </w:rPr>
              <w:t>Short Term Adviser</w:t>
            </w:r>
          </w:p>
        </w:tc>
      </w:tr>
      <w:tr w:rsidR="00C23B4A" w:rsidRPr="008F332A" w14:paraId="7F977268" w14:textId="77777777" w:rsidTr="008E5C6F">
        <w:trPr>
          <w:trHeight w:val="20"/>
        </w:trPr>
        <w:tc>
          <w:tcPr>
            <w:tcW w:w="2166" w:type="dxa"/>
          </w:tcPr>
          <w:p w14:paraId="615C07CA" w14:textId="77777777" w:rsidR="00E73269" w:rsidRPr="008F332A" w:rsidRDefault="00E73269" w:rsidP="003A2CCC">
            <w:pPr>
              <w:pStyle w:val="BodyText"/>
              <w:spacing w:after="0" w:line="240" w:lineRule="auto"/>
              <w:rPr>
                <w:rFonts w:cstheme="minorHAnsi"/>
                <w:b/>
                <w:sz w:val="20"/>
                <w:szCs w:val="20"/>
              </w:rPr>
            </w:pPr>
            <w:r w:rsidRPr="008F332A">
              <w:rPr>
                <w:rFonts w:cstheme="minorHAnsi"/>
                <w:b/>
                <w:sz w:val="20"/>
                <w:szCs w:val="20"/>
              </w:rPr>
              <w:t>SESEVAW</w:t>
            </w:r>
          </w:p>
        </w:tc>
        <w:tc>
          <w:tcPr>
            <w:tcW w:w="6887" w:type="dxa"/>
          </w:tcPr>
          <w:p w14:paraId="22A3C3B3" w14:textId="77777777" w:rsidR="00E73269" w:rsidRPr="008F332A" w:rsidRDefault="00E73269" w:rsidP="003A2CCC">
            <w:pPr>
              <w:pStyle w:val="BodyText"/>
              <w:spacing w:after="0" w:line="240" w:lineRule="auto"/>
              <w:rPr>
                <w:rFonts w:cstheme="minorHAnsi"/>
                <w:sz w:val="20"/>
                <w:szCs w:val="20"/>
              </w:rPr>
            </w:pPr>
            <w:r w:rsidRPr="008F332A">
              <w:rPr>
                <w:rFonts w:cstheme="minorHAnsi"/>
                <w:sz w:val="20"/>
                <w:szCs w:val="20"/>
              </w:rPr>
              <w:t>Support to Essential Services for Ending Violence Against Women</w:t>
            </w:r>
          </w:p>
        </w:tc>
      </w:tr>
      <w:tr w:rsidR="00C23B4A" w:rsidRPr="008F332A" w14:paraId="4AB01FA3" w14:textId="77777777" w:rsidTr="008F332A">
        <w:trPr>
          <w:trHeight w:val="20"/>
        </w:trPr>
        <w:tc>
          <w:tcPr>
            <w:tcW w:w="2166" w:type="dxa"/>
            <w:tcBorders>
              <w:bottom w:val="single" w:sz="4" w:space="0" w:color="002060" w:themeColor="accent6"/>
            </w:tcBorders>
          </w:tcPr>
          <w:p w14:paraId="700CEB73" w14:textId="77777777" w:rsidR="00F31FF8" w:rsidRPr="008F332A" w:rsidRDefault="00F31FF8" w:rsidP="003A2CCC">
            <w:pPr>
              <w:pStyle w:val="BodyText"/>
              <w:spacing w:after="0" w:line="240" w:lineRule="auto"/>
              <w:rPr>
                <w:rFonts w:cstheme="minorHAnsi"/>
                <w:b/>
                <w:sz w:val="20"/>
                <w:szCs w:val="20"/>
              </w:rPr>
            </w:pPr>
            <w:r w:rsidRPr="008F332A">
              <w:rPr>
                <w:rFonts w:cstheme="minorHAnsi"/>
                <w:b/>
                <w:sz w:val="20"/>
                <w:szCs w:val="20"/>
              </w:rPr>
              <w:t>TOC</w:t>
            </w:r>
          </w:p>
        </w:tc>
        <w:tc>
          <w:tcPr>
            <w:tcW w:w="6887" w:type="dxa"/>
            <w:tcBorders>
              <w:bottom w:val="single" w:sz="4" w:space="0" w:color="002060" w:themeColor="accent6"/>
            </w:tcBorders>
          </w:tcPr>
          <w:p w14:paraId="3AB19BBB" w14:textId="77777777" w:rsidR="00F31FF8" w:rsidRPr="008F332A" w:rsidRDefault="00F31FF8" w:rsidP="003A2CCC">
            <w:pPr>
              <w:pStyle w:val="BodyText"/>
              <w:spacing w:after="0" w:line="240" w:lineRule="auto"/>
              <w:rPr>
                <w:rFonts w:cstheme="minorHAnsi"/>
                <w:sz w:val="20"/>
                <w:szCs w:val="20"/>
              </w:rPr>
            </w:pPr>
            <w:r w:rsidRPr="008F332A">
              <w:rPr>
                <w:rFonts w:cstheme="minorHAnsi"/>
                <w:sz w:val="20"/>
                <w:szCs w:val="20"/>
              </w:rPr>
              <w:t>Theory of Change</w:t>
            </w:r>
          </w:p>
        </w:tc>
      </w:tr>
      <w:tr w:rsidR="00C23B4A" w:rsidRPr="008F332A" w14:paraId="2B238C83" w14:textId="77777777" w:rsidTr="008F332A">
        <w:trPr>
          <w:trHeight w:val="20"/>
        </w:trPr>
        <w:tc>
          <w:tcPr>
            <w:tcW w:w="2166" w:type="dxa"/>
            <w:tcBorders>
              <w:top w:val="single" w:sz="4" w:space="0" w:color="002060" w:themeColor="accent6"/>
              <w:bottom w:val="single" w:sz="4" w:space="0" w:color="002060" w:themeColor="accent6"/>
            </w:tcBorders>
          </w:tcPr>
          <w:p w14:paraId="61BA8DB9" w14:textId="77777777" w:rsidR="00F31FF8" w:rsidRPr="008F332A" w:rsidRDefault="00F31FF8" w:rsidP="003A2CCC">
            <w:pPr>
              <w:pStyle w:val="BodyText"/>
              <w:spacing w:after="0" w:line="240" w:lineRule="auto"/>
              <w:rPr>
                <w:rFonts w:cstheme="minorHAnsi"/>
                <w:b/>
                <w:sz w:val="20"/>
                <w:szCs w:val="20"/>
              </w:rPr>
            </w:pPr>
            <w:r w:rsidRPr="008F332A">
              <w:rPr>
                <w:rFonts w:cstheme="minorHAnsi"/>
                <w:b/>
                <w:sz w:val="20"/>
                <w:szCs w:val="20"/>
              </w:rPr>
              <w:t>VAWC</w:t>
            </w:r>
          </w:p>
        </w:tc>
        <w:tc>
          <w:tcPr>
            <w:tcW w:w="6887" w:type="dxa"/>
            <w:tcBorders>
              <w:top w:val="single" w:sz="4" w:space="0" w:color="002060" w:themeColor="accent6"/>
              <w:bottom w:val="single" w:sz="4" w:space="0" w:color="002060" w:themeColor="accent6"/>
            </w:tcBorders>
          </w:tcPr>
          <w:p w14:paraId="4CDBE66C" w14:textId="77777777" w:rsidR="00F31FF8" w:rsidRPr="008F332A" w:rsidRDefault="00F31FF8" w:rsidP="003A2CCC">
            <w:pPr>
              <w:pStyle w:val="BodyText"/>
              <w:spacing w:after="0" w:line="240" w:lineRule="auto"/>
              <w:rPr>
                <w:rFonts w:cstheme="minorHAnsi"/>
                <w:sz w:val="20"/>
                <w:szCs w:val="20"/>
              </w:rPr>
            </w:pPr>
            <w:r w:rsidRPr="008F332A">
              <w:rPr>
                <w:rFonts w:cstheme="minorHAnsi"/>
                <w:sz w:val="20"/>
                <w:szCs w:val="20"/>
              </w:rPr>
              <w:t>Violence Against Women and Children</w:t>
            </w:r>
          </w:p>
        </w:tc>
      </w:tr>
    </w:tbl>
    <w:p w14:paraId="0DD237D0" w14:textId="77777777" w:rsidR="00AA7E23" w:rsidRPr="008F332A" w:rsidRDefault="00F248C2" w:rsidP="003A2CCC">
      <w:pPr>
        <w:pStyle w:val="Heading1"/>
        <w:numPr>
          <w:ilvl w:val="0"/>
          <w:numId w:val="0"/>
        </w:numPr>
        <w:rPr>
          <w:rFonts w:asciiTheme="minorHAnsi" w:hAnsiTheme="minorHAnsi" w:cstheme="minorHAnsi"/>
        </w:rPr>
      </w:pPr>
      <w:r w:rsidRPr="008F332A">
        <w:rPr>
          <w:rFonts w:asciiTheme="minorHAnsi" w:hAnsiTheme="minorHAnsi" w:cstheme="minorHAnsi"/>
        </w:rPr>
        <w:br w:type="column"/>
      </w:r>
      <w:r w:rsidR="00AA7E23" w:rsidRPr="008F332A">
        <w:rPr>
          <w:rFonts w:asciiTheme="minorHAnsi" w:hAnsiTheme="minorHAnsi" w:cstheme="minorHAnsi"/>
        </w:rPr>
        <w:lastRenderedPageBreak/>
        <w:t xml:space="preserve">   </w:t>
      </w:r>
      <w:bookmarkStart w:id="2" w:name="_Toc517960086"/>
      <w:r w:rsidR="00AA7E23" w:rsidRPr="008F332A">
        <w:rPr>
          <w:rFonts w:asciiTheme="minorHAnsi" w:hAnsiTheme="minorHAnsi" w:cstheme="minorHAnsi"/>
        </w:rPr>
        <w:t>Glossary</w:t>
      </w:r>
      <w:bookmarkEnd w:id="2"/>
    </w:p>
    <w:tbl>
      <w:tblPr>
        <w:tblStyle w:val="TableGrid"/>
        <w:tblW w:w="0" w:type="auto"/>
        <w:tblBorders>
          <w:top w:val="none" w:sz="0" w:space="0" w:color="auto"/>
          <w:left w:val="none" w:sz="0" w:space="0" w:color="auto"/>
          <w:bottom w:val="none" w:sz="0" w:space="0" w:color="auto"/>
          <w:right w:val="none" w:sz="0" w:space="0" w:color="auto"/>
          <w:insideH w:val="single" w:sz="4" w:space="0" w:color="002060" w:themeColor="accent6"/>
          <w:insideV w:val="none" w:sz="0" w:space="0" w:color="auto"/>
        </w:tblBorders>
        <w:tblCellMar>
          <w:top w:w="170" w:type="dxa"/>
          <w:bottom w:w="170" w:type="dxa"/>
        </w:tblCellMar>
        <w:tblLook w:val="04A0" w:firstRow="1" w:lastRow="0" w:firstColumn="1" w:lastColumn="0" w:noHBand="0" w:noVBand="1"/>
      </w:tblPr>
      <w:tblGrid>
        <w:gridCol w:w="2166"/>
        <w:gridCol w:w="6887"/>
      </w:tblGrid>
      <w:tr w:rsidR="002D0EED" w:rsidRPr="008F332A" w14:paraId="3774AB2F" w14:textId="77777777" w:rsidTr="008F332A">
        <w:tc>
          <w:tcPr>
            <w:tcW w:w="2166" w:type="dxa"/>
            <w:tcBorders>
              <w:top w:val="single" w:sz="4" w:space="0" w:color="002060" w:themeColor="accent6"/>
              <w:bottom w:val="single" w:sz="4" w:space="0" w:color="002060" w:themeColor="accent6"/>
            </w:tcBorders>
            <w:tcMar>
              <w:top w:w="102" w:type="dxa"/>
              <w:bottom w:w="102" w:type="dxa"/>
            </w:tcMar>
          </w:tcPr>
          <w:p w14:paraId="54B3DF35" w14:textId="77777777" w:rsidR="002D0EED" w:rsidRPr="008F332A" w:rsidRDefault="002D0EED" w:rsidP="003A2CCC">
            <w:pPr>
              <w:pStyle w:val="BodyText"/>
              <w:spacing w:after="0" w:line="240" w:lineRule="auto"/>
              <w:rPr>
                <w:rFonts w:cstheme="minorHAnsi"/>
                <w:b/>
                <w:color w:val="000000" w:themeColor="text1"/>
                <w:sz w:val="20"/>
                <w:szCs w:val="20"/>
              </w:rPr>
            </w:pPr>
            <w:r w:rsidRPr="008F332A">
              <w:rPr>
                <w:rFonts w:cstheme="minorHAnsi"/>
                <w:b/>
                <w:color w:val="000000" w:themeColor="text1"/>
                <w:sz w:val="20"/>
                <w:szCs w:val="20"/>
              </w:rPr>
              <w:t>Services providers</w:t>
            </w:r>
          </w:p>
        </w:tc>
        <w:tc>
          <w:tcPr>
            <w:tcW w:w="6887" w:type="dxa"/>
            <w:tcBorders>
              <w:top w:val="single" w:sz="4" w:space="0" w:color="002060" w:themeColor="accent6"/>
              <w:bottom w:val="single" w:sz="4" w:space="0" w:color="002060" w:themeColor="accent6"/>
            </w:tcBorders>
            <w:tcMar>
              <w:top w:w="102" w:type="dxa"/>
              <w:bottom w:w="102" w:type="dxa"/>
            </w:tcMar>
            <w:vAlign w:val="center"/>
          </w:tcPr>
          <w:p w14:paraId="1386DA62" w14:textId="4C2A1695" w:rsidR="002D0EED" w:rsidRPr="008F332A" w:rsidRDefault="00C91C86" w:rsidP="003A2CCC">
            <w:pPr>
              <w:pStyle w:val="BodyText"/>
              <w:spacing w:after="0" w:line="240" w:lineRule="auto"/>
              <w:rPr>
                <w:rFonts w:cstheme="minorHAnsi"/>
                <w:color w:val="000000" w:themeColor="text1"/>
                <w:sz w:val="20"/>
                <w:szCs w:val="20"/>
              </w:rPr>
            </w:pPr>
            <w:r w:rsidRPr="008F332A">
              <w:rPr>
                <w:rFonts w:cstheme="minorHAnsi"/>
                <w:color w:val="000000" w:themeColor="text1"/>
                <w:sz w:val="20"/>
                <w:szCs w:val="20"/>
              </w:rPr>
              <w:t xml:space="preserve">Organisations </w:t>
            </w:r>
            <w:r w:rsidR="000B2607" w:rsidRPr="008F332A">
              <w:rPr>
                <w:rFonts w:cstheme="minorHAnsi"/>
                <w:color w:val="000000" w:themeColor="text1"/>
                <w:sz w:val="20"/>
                <w:szCs w:val="20"/>
              </w:rPr>
              <w:t xml:space="preserve">(NGOs, Government etc) that provide </w:t>
            </w:r>
            <w:r w:rsidR="0039478E" w:rsidRPr="008F332A">
              <w:rPr>
                <w:rFonts w:cstheme="minorHAnsi"/>
                <w:color w:val="000000" w:themeColor="text1"/>
                <w:sz w:val="20"/>
                <w:szCs w:val="20"/>
              </w:rPr>
              <w:t xml:space="preserve">specialised </w:t>
            </w:r>
            <w:r w:rsidR="000B2607" w:rsidRPr="008F332A">
              <w:rPr>
                <w:rFonts w:cstheme="minorHAnsi"/>
                <w:color w:val="000000" w:themeColor="text1"/>
                <w:sz w:val="20"/>
                <w:szCs w:val="20"/>
              </w:rPr>
              <w:t xml:space="preserve">support and legal services to women and children impacted by violence. </w:t>
            </w:r>
          </w:p>
        </w:tc>
      </w:tr>
      <w:tr w:rsidR="002D0EED" w:rsidRPr="008F332A" w14:paraId="1C5830CF" w14:textId="77777777" w:rsidTr="008F332A">
        <w:tc>
          <w:tcPr>
            <w:tcW w:w="2166" w:type="dxa"/>
            <w:tcBorders>
              <w:top w:val="single" w:sz="4" w:space="0" w:color="002060" w:themeColor="accent6"/>
            </w:tcBorders>
            <w:tcMar>
              <w:top w:w="102" w:type="dxa"/>
              <w:bottom w:w="102" w:type="dxa"/>
            </w:tcMar>
          </w:tcPr>
          <w:p w14:paraId="11D7EBCA" w14:textId="77777777" w:rsidR="002D0EED" w:rsidRPr="008F332A" w:rsidRDefault="002D0EED" w:rsidP="003A2CCC">
            <w:pPr>
              <w:pStyle w:val="BodyText"/>
              <w:spacing w:after="0" w:line="240" w:lineRule="auto"/>
              <w:rPr>
                <w:rFonts w:cstheme="minorHAnsi"/>
                <w:b/>
                <w:color w:val="000000" w:themeColor="text1"/>
                <w:sz w:val="20"/>
                <w:szCs w:val="20"/>
              </w:rPr>
            </w:pPr>
            <w:r w:rsidRPr="008F332A">
              <w:rPr>
                <w:rFonts w:cstheme="minorHAnsi"/>
                <w:b/>
                <w:color w:val="000000" w:themeColor="text1"/>
                <w:sz w:val="20"/>
                <w:szCs w:val="20"/>
              </w:rPr>
              <w:t>Partners</w:t>
            </w:r>
          </w:p>
        </w:tc>
        <w:tc>
          <w:tcPr>
            <w:tcW w:w="6887" w:type="dxa"/>
            <w:tcBorders>
              <w:top w:val="single" w:sz="4" w:space="0" w:color="002060" w:themeColor="accent6"/>
            </w:tcBorders>
            <w:tcMar>
              <w:top w:w="102" w:type="dxa"/>
              <w:bottom w:w="102" w:type="dxa"/>
            </w:tcMar>
            <w:vAlign w:val="center"/>
          </w:tcPr>
          <w:p w14:paraId="237D6353" w14:textId="32F865D6" w:rsidR="002D0EED" w:rsidRPr="008F332A" w:rsidRDefault="000B2607" w:rsidP="003A2CCC">
            <w:pPr>
              <w:pStyle w:val="BodyText"/>
              <w:spacing w:after="0" w:line="240" w:lineRule="auto"/>
              <w:rPr>
                <w:rFonts w:cstheme="minorHAnsi"/>
                <w:color w:val="000000" w:themeColor="text1"/>
                <w:sz w:val="20"/>
                <w:szCs w:val="20"/>
              </w:rPr>
            </w:pPr>
            <w:r w:rsidRPr="008F332A">
              <w:rPr>
                <w:rFonts w:cstheme="minorHAnsi"/>
                <w:color w:val="000000" w:themeColor="text1"/>
                <w:sz w:val="20"/>
                <w:szCs w:val="20"/>
              </w:rPr>
              <w:t xml:space="preserve">Organisations that </w:t>
            </w:r>
            <w:r w:rsidR="001E019A" w:rsidRPr="008F332A">
              <w:rPr>
                <w:rFonts w:cstheme="minorHAnsi"/>
                <w:color w:val="000000" w:themeColor="text1"/>
                <w:sz w:val="20"/>
                <w:szCs w:val="20"/>
              </w:rPr>
              <w:t>work in an agreed partnership with Nabilan. Generally, partners receive funding and technical assistance through the</w:t>
            </w:r>
            <w:r w:rsidRPr="008F332A">
              <w:rPr>
                <w:rFonts w:cstheme="minorHAnsi"/>
                <w:color w:val="000000" w:themeColor="text1"/>
                <w:sz w:val="20"/>
                <w:szCs w:val="20"/>
              </w:rPr>
              <w:t xml:space="preserve"> Nabilan program</w:t>
            </w:r>
            <w:r w:rsidR="00AC0567">
              <w:rPr>
                <w:rFonts w:cstheme="minorHAnsi"/>
                <w:color w:val="000000" w:themeColor="text1"/>
                <w:sz w:val="20"/>
                <w:szCs w:val="20"/>
              </w:rPr>
              <w:t>.</w:t>
            </w:r>
          </w:p>
        </w:tc>
      </w:tr>
      <w:tr w:rsidR="002D0EED" w:rsidRPr="008F332A" w14:paraId="07A344D8" w14:textId="77777777" w:rsidTr="008F332A">
        <w:tc>
          <w:tcPr>
            <w:tcW w:w="2166" w:type="dxa"/>
            <w:tcMar>
              <w:top w:w="102" w:type="dxa"/>
              <w:bottom w:w="102" w:type="dxa"/>
            </w:tcMar>
          </w:tcPr>
          <w:p w14:paraId="7E553DE0" w14:textId="77777777" w:rsidR="002D0EED" w:rsidRPr="008F332A" w:rsidRDefault="002D0EED" w:rsidP="003A2CCC">
            <w:pPr>
              <w:pStyle w:val="BodyText"/>
              <w:spacing w:after="0" w:line="240" w:lineRule="auto"/>
              <w:rPr>
                <w:rFonts w:cstheme="minorHAnsi"/>
                <w:b/>
                <w:color w:val="000000" w:themeColor="text1"/>
                <w:sz w:val="20"/>
                <w:szCs w:val="20"/>
              </w:rPr>
            </w:pPr>
            <w:r w:rsidRPr="008F332A">
              <w:rPr>
                <w:rFonts w:cstheme="minorHAnsi"/>
                <w:b/>
                <w:color w:val="000000" w:themeColor="text1"/>
                <w:sz w:val="20"/>
                <w:szCs w:val="20"/>
              </w:rPr>
              <w:t xml:space="preserve">Non-Referral </w:t>
            </w:r>
            <w:r w:rsidR="00C91C86" w:rsidRPr="008F332A">
              <w:rPr>
                <w:rFonts w:cstheme="minorHAnsi"/>
                <w:b/>
                <w:color w:val="000000" w:themeColor="text1"/>
                <w:sz w:val="20"/>
                <w:szCs w:val="20"/>
              </w:rPr>
              <w:t>service providers</w:t>
            </w:r>
          </w:p>
        </w:tc>
        <w:tc>
          <w:tcPr>
            <w:tcW w:w="6887" w:type="dxa"/>
            <w:tcMar>
              <w:top w:w="102" w:type="dxa"/>
              <w:bottom w:w="102" w:type="dxa"/>
            </w:tcMar>
            <w:vAlign w:val="center"/>
          </w:tcPr>
          <w:p w14:paraId="2733C1EC" w14:textId="77777777" w:rsidR="002D0EED" w:rsidRPr="008F332A" w:rsidRDefault="00C91C86" w:rsidP="003A2CCC">
            <w:pPr>
              <w:pStyle w:val="BodyText"/>
              <w:spacing w:after="0" w:line="240" w:lineRule="auto"/>
              <w:rPr>
                <w:rFonts w:cstheme="minorHAnsi"/>
                <w:color w:val="000000" w:themeColor="text1"/>
                <w:sz w:val="20"/>
                <w:szCs w:val="20"/>
              </w:rPr>
            </w:pPr>
            <w:r w:rsidRPr="008F332A">
              <w:rPr>
                <w:rFonts w:cstheme="minorHAnsi"/>
                <w:color w:val="000000" w:themeColor="text1"/>
                <w:sz w:val="20"/>
                <w:szCs w:val="20"/>
              </w:rPr>
              <w:t>Organisations (NGOs, Governm</w:t>
            </w:r>
            <w:r w:rsidR="00935E35" w:rsidRPr="008F332A">
              <w:rPr>
                <w:rFonts w:cstheme="minorHAnsi"/>
                <w:color w:val="000000" w:themeColor="text1"/>
                <w:sz w:val="20"/>
                <w:szCs w:val="20"/>
              </w:rPr>
              <w:t>en</w:t>
            </w:r>
            <w:r w:rsidRPr="008F332A">
              <w:rPr>
                <w:rFonts w:cstheme="minorHAnsi"/>
                <w:color w:val="000000" w:themeColor="text1"/>
                <w:sz w:val="20"/>
                <w:szCs w:val="20"/>
              </w:rPr>
              <w:t>t</w:t>
            </w:r>
            <w:r w:rsidR="00935E35" w:rsidRPr="008F332A">
              <w:rPr>
                <w:rFonts w:cstheme="minorHAnsi"/>
                <w:color w:val="000000" w:themeColor="text1"/>
                <w:sz w:val="20"/>
                <w:szCs w:val="20"/>
              </w:rPr>
              <w:t xml:space="preserve"> </w:t>
            </w:r>
            <w:r w:rsidRPr="008F332A">
              <w:rPr>
                <w:rFonts w:cstheme="minorHAnsi"/>
                <w:color w:val="000000" w:themeColor="text1"/>
                <w:sz w:val="20"/>
                <w:szCs w:val="20"/>
              </w:rPr>
              <w:t>etc) that provide generalised services for the population, including w</w:t>
            </w:r>
            <w:r w:rsidR="00935E35" w:rsidRPr="008F332A">
              <w:rPr>
                <w:rFonts w:cstheme="minorHAnsi"/>
                <w:color w:val="000000" w:themeColor="text1"/>
                <w:sz w:val="20"/>
                <w:szCs w:val="20"/>
              </w:rPr>
              <w:t>omen and children, who may come</w:t>
            </w:r>
            <w:r w:rsidRPr="008F332A">
              <w:rPr>
                <w:rFonts w:cstheme="minorHAnsi"/>
                <w:color w:val="000000" w:themeColor="text1"/>
                <w:sz w:val="20"/>
                <w:szCs w:val="20"/>
              </w:rPr>
              <w:t xml:space="preserve"> across women and children clients impacted by violence e.g. disabled people’s organisations, municipal health posts, private clinics, sexual &amp; reproductive health services.</w:t>
            </w:r>
          </w:p>
        </w:tc>
      </w:tr>
      <w:tr w:rsidR="002D0EED" w:rsidRPr="008F332A" w14:paraId="7AFFEFE3" w14:textId="77777777" w:rsidTr="008F332A">
        <w:tc>
          <w:tcPr>
            <w:tcW w:w="2166" w:type="dxa"/>
            <w:tcMar>
              <w:top w:w="102" w:type="dxa"/>
              <w:bottom w:w="102" w:type="dxa"/>
            </w:tcMar>
          </w:tcPr>
          <w:p w14:paraId="1D94B83C" w14:textId="77777777" w:rsidR="002D0EED" w:rsidRPr="008F332A" w:rsidRDefault="002D0EED" w:rsidP="003A2CCC">
            <w:pPr>
              <w:pStyle w:val="BodyText"/>
              <w:spacing w:after="0" w:line="240" w:lineRule="auto"/>
              <w:rPr>
                <w:rFonts w:cstheme="minorHAnsi"/>
                <w:b/>
                <w:color w:val="000000" w:themeColor="text1"/>
                <w:sz w:val="20"/>
                <w:szCs w:val="20"/>
              </w:rPr>
            </w:pPr>
            <w:r w:rsidRPr="008F332A">
              <w:rPr>
                <w:rFonts w:cstheme="minorHAnsi"/>
                <w:b/>
                <w:color w:val="000000" w:themeColor="text1"/>
                <w:sz w:val="20"/>
                <w:szCs w:val="20"/>
              </w:rPr>
              <w:t>Referral Network</w:t>
            </w:r>
          </w:p>
        </w:tc>
        <w:tc>
          <w:tcPr>
            <w:tcW w:w="6887" w:type="dxa"/>
            <w:tcMar>
              <w:top w:w="102" w:type="dxa"/>
              <w:bottom w:w="102" w:type="dxa"/>
            </w:tcMar>
            <w:vAlign w:val="center"/>
          </w:tcPr>
          <w:p w14:paraId="6D6C9E40" w14:textId="4F42426A" w:rsidR="002D0EED" w:rsidRPr="008F332A" w:rsidRDefault="00365C8A" w:rsidP="003A2CCC">
            <w:pPr>
              <w:pStyle w:val="BodyText"/>
              <w:spacing w:after="0" w:line="240" w:lineRule="auto"/>
              <w:rPr>
                <w:rFonts w:cstheme="minorHAnsi"/>
                <w:color w:val="000000" w:themeColor="text1"/>
                <w:sz w:val="20"/>
                <w:szCs w:val="20"/>
              </w:rPr>
            </w:pPr>
            <w:r>
              <w:rPr>
                <w:rFonts w:cstheme="minorHAnsi"/>
                <w:color w:val="000000" w:themeColor="text1"/>
                <w:sz w:val="20"/>
                <w:szCs w:val="20"/>
              </w:rPr>
              <w:t>Network lead by MSS</w:t>
            </w:r>
            <w:r w:rsidR="00AC0567">
              <w:rPr>
                <w:rFonts w:cstheme="minorHAnsi"/>
                <w:color w:val="000000" w:themeColor="text1"/>
                <w:sz w:val="20"/>
                <w:szCs w:val="20"/>
              </w:rPr>
              <w:t>I</w:t>
            </w:r>
            <w:r>
              <w:rPr>
                <w:rFonts w:cstheme="minorHAnsi"/>
                <w:color w:val="000000" w:themeColor="text1"/>
                <w:sz w:val="20"/>
                <w:szCs w:val="20"/>
              </w:rPr>
              <w:t xml:space="preserve"> which </w:t>
            </w:r>
            <w:r w:rsidR="004D37DA">
              <w:rPr>
                <w:rFonts w:cstheme="minorHAnsi"/>
                <w:color w:val="000000" w:themeColor="text1"/>
                <w:sz w:val="20"/>
                <w:szCs w:val="20"/>
              </w:rPr>
              <w:t xml:space="preserve">includes </w:t>
            </w:r>
            <w:r w:rsidR="00324B1B">
              <w:rPr>
                <w:rFonts w:cstheme="minorHAnsi"/>
                <w:color w:val="000000" w:themeColor="text1"/>
                <w:sz w:val="20"/>
                <w:szCs w:val="20"/>
              </w:rPr>
              <w:t>o</w:t>
            </w:r>
            <w:r w:rsidR="004C67F7">
              <w:rPr>
                <w:rFonts w:cstheme="minorHAnsi"/>
                <w:color w:val="000000" w:themeColor="text1"/>
                <w:sz w:val="20"/>
                <w:szCs w:val="20"/>
              </w:rPr>
              <w:t>rganisations (</w:t>
            </w:r>
            <w:r w:rsidR="00F0493C" w:rsidRPr="008F332A">
              <w:rPr>
                <w:rFonts w:cstheme="minorHAnsi"/>
                <w:color w:val="000000" w:themeColor="text1"/>
                <w:sz w:val="20"/>
                <w:szCs w:val="20"/>
              </w:rPr>
              <w:t>Government</w:t>
            </w:r>
            <w:r w:rsidR="004C67F7">
              <w:rPr>
                <w:rFonts w:cstheme="minorHAnsi"/>
                <w:color w:val="000000" w:themeColor="text1"/>
                <w:sz w:val="20"/>
                <w:szCs w:val="20"/>
              </w:rPr>
              <w:t>, NGO’s</w:t>
            </w:r>
            <w:r w:rsidR="00F0493C" w:rsidRPr="008F332A">
              <w:rPr>
                <w:rFonts w:cstheme="minorHAnsi"/>
                <w:color w:val="000000" w:themeColor="text1"/>
                <w:sz w:val="20"/>
                <w:szCs w:val="20"/>
              </w:rPr>
              <w:t xml:space="preserve"> etc) that provide services</w:t>
            </w:r>
            <w:r w:rsidR="00F0493C">
              <w:rPr>
                <w:rFonts w:cstheme="minorHAnsi"/>
                <w:color w:val="000000" w:themeColor="text1"/>
                <w:sz w:val="20"/>
                <w:szCs w:val="20"/>
              </w:rPr>
              <w:t xml:space="preserve"> for </w:t>
            </w:r>
            <w:r w:rsidR="00324B1B">
              <w:rPr>
                <w:rFonts w:cstheme="minorHAnsi"/>
                <w:color w:val="000000" w:themeColor="text1"/>
                <w:sz w:val="20"/>
                <w:szCs w:val="20"/>
              </w:rPr>
              <w:t>women and children experiencing violence.</w:t>
            </w:r>
          </w:p>
        </w:tc>
      </w:tr>
      <w:tr w:rsidR="002D0EED" w:rsidRPr="008F332A" w14:paraId="1966CDD2" w14:textId="77777777" w:rsidTr="008F332A">
        <w:tc>
          <w:tcPr>
            <w:tcW w:w="2166" w:type="dxa"/>
            <w:tcMar>
              <w:top w:w="102" w:type="dxa"/>
              <w:bottom w:w="102" w:type="dxa"/>
            </w:tcMar>
          </w:tcPr>
          <w:p w14:paraId="47A2D45F" w14:textId="77777777" w:rsidR="002D0EED" w:rsidRPr="008F332A" w:rsidRDefault="002D0EED" w:rsidP="003A2CCC">
            <w:pPr>
              <w:pStyle w:val="BodyText"/>
              <w:spacing w:after="0" w:line="240" w:lineRule="auto"/>
              <w:rPr>
                <w:rFonts w:cstheme="minorHAnsi"/>
                <w:b/>
                <w:color w:val="000000" w:themeColor="text1"/>
                <w:sz w:val="20"/>
                <w:szCs w:val="20"/>
              </w:rPr>
            </w:pPr>
            <w:r w:rsidRPr="008F332A">
              <w:rPr>
                <w:rFonts w:cstheme="minorHAnsi"/>
                <w:b/>
                <w:color w:val="000000" w:themeColor="text1"/>
                <w:sz w:val="20"/>
                <w:szCs w:val="20"/>
              </w:rPr>
              <w:t>Justice Sector actors</w:t>
            </w:r>
          </w:p>
        </w:tc>
        <w:tc>
          <w:tcPr>
            <w:tcW w:w="6887" w:type="dxa"/>
            <w:tcMar>
              <w:top w:w="102" w:type="dxa"/>
              <w:bottom w:w="102" w:type="dxa"/>
            </w:tcMar>
            <w:vAlign w:val="center"/>
          </w:tcPr>
          <w:p w14:paraId="4CBA128F" w14:textId="77777777" w:rsidR="002D0EED" w:rsidRPr="008F332A" w:rsidRDefault="000B2607" w:rsidP="003A2CCC">
            <w:pPr>
              <w:pStyle w:val="BodyText"/>
              <w:spacing w:after="0" w:line="240" w:lineRule="auto"/>
              <w:rPr>
                <w:rFonts w:cstheme="minorHAnsi"/>
                <w:color w:val="000000" w:themeColor="text1"/>
                <w:sz w:val="20"/>
                <w:szCs w:val="20"/>
              </w:rPr>
            </w:pPr>
            <w:r w:rsidRPr="008F332A">
              <w:rPr>
                <w:rFonts w:cstheme="minorHAnsi"/>
                <w:color w:val="000000" w:themeColor="text1"/>
                <w:sz w:val="20"/>
                <w:szCs w:val="20"/>
              </w:rPr>
              <w:t xml:space="preserve">The range of actors working in the Justice Sector – this includes Judges, Prosecutors, </w:t>
            </w:r>
            <w:r w:rsidR="0039478E" w:rsidRPr="008F332A">
              <w:rPr>
                <w:rFonts w:cstheme="minorHAnsi"/>
                <w:color w:val="000000" w:themeColor="text1"/>
                <w:sz w:val="20"/>
                <w:szCs w:val="20"/>
              </w:rPr>
              <w:t xml:space="preserve">Public Defenders, </w:t>
            </w:r>
            <w:r w:rsidRPr="008F332A">
              <w:rPr>
                <w:rFonts w:cstheme="minorHAnsi"/>
                <w:color w:val="000000" w:themeColor="text1"/>
                <w:sz w:val="20"/>
                <w:szCs w:val="20"/>
              </w:rPr>
              <w:t>Lawyers and those monitoring the justice sector</w:t>
            </w:r>
            <w:r w:rsidR="0039478E" w:rsidRPr="008F332A">
              <w:rPr>
                <w:rFonts w:cstheme="minorHAnsi"/>
                <w:color w:val="000000" w:themeColor="text1"/>
                <w:sz w:val="20"/>
                <w:szCs w:val="20"/>
              </w:rPr>
              <w:t>.</w:t>
            </w:r>
          </w:p>
        </w:tc>
      </w:tr>
      <w:tr w:rsidR="0053696F" w:rsidRPr="008F332A" w14:paraId="5BC689CC" w14:textId="77777777" w:rsidTr="008F332A">
        <w:tc>
          <w:tcPr>
            <w:tcW w:w="2166" w:type="dxa"/>
            <w:tcBorders>
              <w:bottom w:val="single" w:sz="4" w:space="0" w:color="002060" w:themeColor="accent6"/>
            </w:tcBorders>
            <w:tcMar>
              <w:top w:w="102" w:type="dxa"/>
              <w:bottom w:w="102" w:type="dxa"/>
            </w:tcMar>
          </w:tcPr>
          <w:p w14:paraId="17F2AAE9" w14:textId="77777777" w:rsidR="0053696F" w:rsidRPr="008F332A" w:rsidRDefault="0053696F" w:rsidP="003A2CCC">
            <w:pPr>
              <w:pStyle w:val="BodyText"/>
              <w:spacing w:after="0" w:line="240" w:lineRule="auto"/>
              <w:rPr>
                <w:rFonts w:cstheme="minorHAnsi"/>
                <w:b/>
                <w:color w:val="000000" w:themeColor="text1"/>
                <w:sz w:val="20"/>
                <w:szCs w:val="20"/>
              </w:rPr>
            </w:pPr>
            <w:r w:rsidRPr="008F332A">
              <w:rPr>
                <w:rFonts w:cstheme="minorHAnsi"/>
                <w:b/>
                <w:sz w:val="20"/>
                <w:szCs w:val="20"/>
              </w:rPr>
              <w:t>Services</w:t>
            </w:r>
          </w:p>
        </w:tc>
        <w:tc>
          <w:tcPr>
            <w:tcW w:w="6887" w:type="dxa"/>
            <w:tcBorders>
              <w:bottom w:val="single" w:sz="4" w:space="0" w:color="002060" w:themeColor="accent6"/>
            </w:tcBorders>
            <w:tcMar>
              <w:top w:w="102" w:type="dxa"/>
              <w:bottom w:w="102" w:type="dxa"/>
            </w:tcMar>
            <w:vAlign w:val="center"/>
          </w:tcPr>
          <w:p w14:paraId="53937A45" w14:textId="7C78A243" w:rsidR="0053696F" w:rsidRPr="008F332A" w:rsidRDefault="003F222E" w:rsidP="003A2CCC">
            <w:pPr>
              <w:pStyle w:val="BodyText"/>
              <w:spacing w:after="0" w:line="240" w:lineRule="auto"/>
              <w:rPr>
                <w:rFonts w:cstheme="minorHAnsi"/>
                <w:color w:val="000000" w:themeColor="text1"/>
                <w:sz w:val="20"/>
                <w:szCs w:val="20"/>
              </w:rPr>
            </w:pPr>
            <w:r>
              <w:rPr>
                <w:rFonts w:cstheme="minorHAnsi"/>
                <w:color w:val="000000" w:themeColor="text1"/>
                <w:sz w:val="20"/>
                <w:szCs w:val="20"/>
              </w:rPr>
              <w:t>Support services and justice services</w:t>
            </w:r>
            <w:r w:rsidR="00324B1B">
              <w:rPr>
                <w:rFonts w:cstheme="minorHAnsi"/>
                <w:color w:val="000000" w:themeColor="text1"/>
                <w:sz w:val="20"/>
                <w:szCs w:val="20"/>
              </w:rPr>
              <w:t xml:space="preserve"> (i.e. court services)</w:t>
            </w:r>
            <w:r w:rsidR="003F0267" w:rsidRPr="008F332A">
              <w:rPr>
                <w:rFonts w:cstheme="minorHAnsi"/>
                <w:color w:val="000000" w:themeColor="text1"/>
                <w:sz w:val="20"/>
                <w:szCs w:val="20"/>
              </w:rPr>
              <w:t xml:space="preserve"> for women and children </w:t>
            </w:r>
            <w:r w:rsidR="00061EDB">
              <w:rPr>
                <w:rFonts w:cstheme="minorHAnsi"/>
                <w:color w:val="000000" w:themeColor="text1"/>
                <w:sz w:val="20"/>
                <w:szCs w:val="20"/>
              </w:rPr>
              <w:t xml:space="preserve">who </w:t>
            </w:r>
            <w:r w:rsidR="003F0267" w:rsidRPr="008F332A">
              <w:rPr>
                <w:rFonts w:cstheme="minorHAnsi"/>
                <w:color w:val="000000" w:themeColor="text1"/>
                <w:sz w:val="20"/>
                <w:szCs w:val="20"/>
              </w:rPr>
              <w:t>experienc</w:t>
            </w:r>
            <w:r w:rsidR="00061EDB">
              <w:rPr>
                <w:rFonts w:cstheme="minorHAnsi"/>
                <w:color w:val="000000" w:themeColor="text1"/>
                <w:sz w:val="20"/>
                <w:szCs w:val="20"/>
              </w:rPr>
              <w:t>e</w:t>
            </w:r>
            <w:r w:rsidR="003F0267" w:rsidRPr="008F332A">
              <w:rPr>
                <w:rFonts w:cstheme="minorHAnsi"/>
                <w:color w:val="000000" w:themeColor="text1"/>
                <w:sz w:val="20"/>
                <w:szCs w:val="20"/>
              </w:rPr>
              <w:t xml:space="preserve"> violence</w:t>
            </w:r>
            <w:r w:rsidR="0053696F" w:rsidRPr="008F332A">
              <w:rPr>
                <w:rFonts w:cstheme="minorHAnsi"/>
                <w:color w:val="000000" w:themeColor="text1"/>
                <w:sz w:val="20"/>
                <w:szCs w:val="20"/>
              </w:rPr>
              <w:t>,</w:t>
            </w:r>
            <w:r w:rsidR="003F0267" w:rsidRPr="008F332A">
              <w:rPr>
                <w:rFonts w:cstheme="minorHAnsi"/>
                <w:color w:val="000000" w:themeColor="text1"/>
                <w:sz w:val="20"/>
                <w:szCs w:val="20"/>
              </w:rPr>
              <w:t xml:space="preserve"> including services provided by</w:t>
            </w:r>
            <w:r w:rsidR="0053696F" w:rsidRPr="008F332A">
              <w:rPr>
                <w:rFonts w:cstheme="minorHAnsi"/>
                <w:color w:val="000000" w:themeColor="text1"/>
                <w:sz w:val="20"/>
                <w:szCs w:val="20"/>
              </w:rPr>
              <w:t xml:space="preserve"> both Nabilan partners and non-partners</w:t>
            </w:r>
            <w:r w:rsidR="00890932">
              <w:rPr>
                <w:rFonts w:cstheme="minorHAnsi"/>
                <w:color w:val="000000" w:themeColor="text1"/>
                <w:sz w:val="20"/>
                <w:szCs w:val="20"/>
              </w:rPr>
              <w:t>.</w:t>
            </w:r>
          </w:p>
        </w:tc>
      </w:tr>
      <w:tr w:rsidR="0053696F" w:rsidRPr="008F332A" w14:paraId="2BF7DCCA" w14:textId="77777777" w:rsidTr="008F332A">
        <w:tc>
          <w:tcPr>
            <w:tcW w:w="2166" w:type="dxa"/>
            <w:tcBorders>
              <w:top w:val="single" w:sz="4" w:space="0" w:color="002060" w:themeColor="accent6"/>
              <w:bottom w:val="single" w:sz="4" w:space="0" w:color="002060" w:themeColor="accent6"/>
            </w:tcBorders>
            <w:tcMar>
              <w:top w:w="102" w:type="dxa"/>
              <w:bottom w:w="102" w:type="dxa"/>
            </w:tcMar>
          </w:tcPr>
          <w:p w14:paraId="6AA1440E" w14:textId="77777777" w:rsidR="0053696F" w:rsidRPr="008F332A" w:rsidRDefault="0053696F" w:rsidP="003A2CCC">
            <w:pPr>
              <w:pStyle w:val="BodyText"/>
              <w:spacing w:after="0" w:line="240" w:lineRule="auto"/>
              <w:rPr>
                <w:rFonts w:cstheme="minorHAnsi"/>
                <w:b/>
                <w:color w:val="000000" w:themeColor="text1"/>
                <w:sz w:val="20"/>
                <w:szCs w:val="20"/>
              </w:rPr>
            </w:pPr>
            <w:r w:rsidRPr="008F332A">
              <w:rPr>
                <w:rFonts w:cstheme="minorHAnsi"/>
                <w:b/>
                <w:color w:val="000000" w:themeColor="text1"/>
                <w:sz w:val="20"/>
                <w:szCs w:val="20"/>
              </w:rPr>
              <w:t>Child</w:t>
            </w:r>
          </w:p>
        </w:tc>
        <w:tc>
          <w:tcPr>
            <w:tcW w:w="6887" w:type="dxa"/>
            <w:tcBorders>
              <w:top w:val="single" w:sz="4" w:space="0" w:color="002060" w:themeColor="accent6"/>
              <w:bottom w:val="single" w:sz="4" w:space="0" w:color="002060" w:themeColor="accent6"/>
            </w:tcBorders>
            <w:tcMar>
              <w:top w:w="102" w:type="dxa"/>
              <w:bottom w:w="102" w:type="dxa"/>
            </w:tcMar>
            <w:vAlign w:val="center"/>
          </w:tcPr>
          <w:p w14:paraId="47BCAAF9" w14:textId="1E7AD701" w:rsidR="0053696F" w:rsidRPr="008F332A" w:rsidRDefault="00890932" w:rsidP="003A2CCC">
            <w:pPr>
              <w:pStyle w:val="BodyText"/>
              <w:spacing w:after="0" w:line="240" w:lineRule="auto"/>
              <w:rPr>
                <w:rFonts w:cstheme="minorHAnsi"/>
                <w:color w:val="000000" w:themeColor="text1"/>
                <w:sz w:val="20"/>
                <w:szCs w:val="20"/>
              </w:rPr>
            </w:pPr>
            <w:r>
              <w:rPr>
                <w:rFonts w:cstheme="minorHAnsi"/>
                <w:color w:val="000000" w:themeColor="text1"/>
                <w:sz w:val="20"/>
                <w:szCs w:val="20"/>
              </w:rPr>
              <w:t>Individuals</w:t>
            </w:r>
            <w:r w:rsidR="0053696F" w:rsidRPr="008F332A">
              <w:rPr>
                <w:rFonts w:cstheme="minorHAnsi"/>
                <w:color w:val="000000" w:themeColor="text1"/>
                <w:sz w:val="20"/>
                <w:szCs w:val="20"/>
              </w:rPr>
              <w:t xml:space="preserve"> under 18 years </w:t>
            </w:r>
            <w:r w:rsidR="003F0267" w:rsidRPr="008F332A">
              <w:rPr>
                <w:rFonts w:cstheme="minorHAnsi"/>
                <w:color w:val="000000" w:themeColor="text1"/>
                <w:sz w:val="20"/>
                <w:szCs w:val="20"/>
              </w:rPr>
              <w:t>of age</w:t>
            </w:r>
            <w:r>
              <w:rPr>
                <w:rFonts w:cstheme="minorHAnsi"/>
                <w:color w:val="000000" w:themeColor="text1"/>
                <w:sz w:val="20"/>
                <w:szCs w:val="20"/>
              </w:rPr>
              <w:t>, as defined under the Convention on the Rights of the Child.</w:t>
            </w:r>
          </w:p>
        </w:tc>
      </w:tr>
    </w:tbl>
    <w:p w14:paraId="5EDDEC0D" w14:textId="77777777" w:rsidR="006B12E0" w:rsidRPr="008F332A" w:rsidRDefault="006B12E0" w:rsidP="003A2CCC">
      <w:pPr>
        <w:pStyle w:val="Heading1"/>
        <w:numPr>
          <w:ilvl w:val="0"/>
          <w:numId w:val="0"/>
        </w:numPr>
        <w:rPr>
          <w:rFonts w:asciiTheme="minorHAnsi" w:hAnsiTheme="minorHAnsi" w:cstheme="minorHAnsi"/>
          <w:color w:val="002060" w:themeColor="accent6"/>
          <w14:textFill>
            <w14:solidFill>
              <w14:schemeClr w14:val="accent6">
                <w14:lumMod w14:val="90000"/>
                <w14:lumOff w14:val="10000"/>
                <w14:lumMod w14:val="90000"/>
                <w14:lumOff w14:val="10000"/>
              </w14:schemeClr>
            </w14:solidFill>
          </w14:textFill>
        </w:rPr>
      </w:pPr>
    </w:p>
    <w:p w14:paraId="02B5912F" w14:textId="77777777" w:rsidR="006B12E0" w:rsidRPr="008F332A" w:rsidRDefault="006B12E0" w:rsidP="003A2CCC">
      <w:pPr>
        <w:rPr>
          <w:rFonts w:eastAsiaTheme="majorEastAsia" w:cstheme="minorHAnsi"/>
          <w:b/>
          <w:color w:val="002060" w:themeColor="accent6"/>
          <w:sz w:val="32"/>
          <w:szCs w:val="32"/>
          <w14:textFill>
            <w14:solidFill>
              <w14:schemeClr w14:val="accent6">
                <w14:lumMod w14:val="90000"/>
                <w14:lumOff w14:val="10000"/>
                <w14:lumMod w14:val="90000"/>
                <w14:lumOff w14:val="10000"/>
              </w14:schemeClr>
            </w14:solidFill>
          </w14:textFill>
        </w:rPr>
      </w:pPr>
      <w:r w:rsidRPr="008F332A">
        <w:rPr>
          <w:rFonts w:cstheme="minorHAnsi"/>
          <w:color w:val="002D88" w:themeColor="accent6" w:themeTint="E6"/>
        </w:rPr>
        <w:br w:type="page"/>
      </w:r>
    </w:p>
    <w:p w14:paraId="0A8F5F1E" w14:textId="77777777" w:rsidR="006B12E0" w:rsidRPr="008F332A" w:rsidRDefault="006B12E0" w:rsidP="003A2CCC">
      <w:pPr>
        <w:pStyle w:val="Heading1"/>
        <w:numPr>
          <w:ilvl w:val="0"/>
          <w:numId w:val="19"/>
        </w:numPr>
        <w:rPr>
          <w:rFonts w:asciiTheme="minorHAnsi" w:hAnsiTheme="minorHAnsi" w:cstheme="minorHAnsi"/>
          <w:color w:val="002060" w:themeColor="accent6"/>
          <w14:textFill>
            <w14:solidFill>
              <w14:schemeClr w14:val="accent6">
                <w14:lumMod w14:val="90000"/>
                <w14:lumOff w14:val="10000"/>
                <w14:lumMod w14:val="90000"/>
                <w14:lumOff w14:val="10000"/>
              </w14:schemeClr>
            </w14:solidFill>
          </w14:textFill>
        </w:rPr>
        <w:sectPr w:rsidR="006B12E0" w:rsidRPr="008F332A" w:rsidSect="006B12E0">
          <w:headerReference w:type="even" r:id="rId8"/>
          <w:headerReference w:type="default" r:id="rId9"/>
          <w:footerReference w:type="even" r:id="rId10"/>
          <w:footerReference w:type="default" r:id="rId11"/>
          <w:headerReference w:type="first" r:id="rId12"/>
          <w:footerReference w:type="first" r:id="rId13"/>
          <w:pgSz w:w="11899" w:h="16838"/>
          <w:pgMar w:top="1152" w:right="1296" w:bottom="1296" w:left="1152" w:header="288" w:footer="288" w:gutter="0"/>
          <w:pgNumType w:fmt="lowerRoman" w:start="1"/>
          <w:cols w:space="708"/>
          <w:titlePg/>
          <w:docGrid w:linePitch="360"/>
        </w:sectPr>
      </w:pPr>
    </w:p>
    <w:p w14:paraId="3940A75E" w14:textId="77777777" w:rsidR="00BC7774" w:rsidRPr="008F332A" w:rsidRDefault="00BD3823" w:rsidP="003A2CCC">
      <w:pPr>
        <w:pStyle w:val="Heading1"/>
        <w:numPr>
          <w:ilvl w:val="0"/>
          <w:numId w:val="19"/>
        </w:numPr>
        <w:jc w:val="both"/>
        <w:rPr>
          <w:rFonts w:asciiTheme="minorHAnsi" w:hAnsiTheme="minorHAnsi" w:cstheme="minorHAnsi"/>
        </w:rPr>
      </w:pPr>
      <w:bookmarkStart w:id="3" w:name="_Toc517960087"/>
      <w:r w:rsidRPr="008F332A">
        <w:rPr>
          <w:rFonts w:asciiTheme="minorHAnsi" w:hAnsiTheme="minorHAnsi" w:cstheme="minorHAnsi"/>
        </w:rPr>
        <w:t>INTRODUCTION</w:t>
      </w:r>
      <w:bookmarkEnd w:id="3"/>
    </w:p>
    <w:p w14:paraId="006184BB" w14:textId="77777777" w:rsidR="00BD3823" w:rsidRPr="008F332A" w:rsidRDefault="00681483" w:rsidP="003A2CCC">
      <w:pPr>
        <w:pStyle w:val="Heading2"/>
        <w:numPr>
          <w:ilvl w:val="1"/>
          <w:numId w:val="18"/>
        </w:numPr>
        <w:jc w:val="both"/>
        <w:rPr>
          <w:rFonts w:asciiTheme="minorHAnsi" w:hAnsiTheme="minorHAnsi" w:cstheme="minorHAnsi"/>
          <w:color w:val="002D88" w:themeColor="accent6" w:themeTint="E6"/>
        </w:rPr>
      </w:pPr>
      <w:bookmarkStart w:id="4" w:name="_Toc517960088"/>
      <w:r w:rsidRPr="008F332A">
        <w:rPr>
          <w:rFonts w:asciiTheme="minorHAnsi" w:hAnsiTheme="minorHAnsi" w:cstheme="minorHAnsi"/>
          <w:color w:val="002D88" w:themeColor="accent6" w:themeTint="E6"/>
        </w:rPr>
        <w:t>Program Background</w:t>
      </w:r>
      <w:bookmarkEnd w:id="4"/>
    </w:p>
    <w:p w14:paraId="382D97FB" w14:textId="77777777" w:rsidR="003878B9" w:rsidRPr="008F332A" w:rsidRDefault="003878B9" w:rsidP="003A2CCC">
      <w:pPr>
        <w:rPr>
          <w:rFonts w:cstheme="minorHAnsi"/>
          <w:color w:val="000000" w:themeColor="text1"/>
        </w:rPr>
      </w:pPr>
      <w:r w:rsidRPr="008F332A">
        <w:rPr>
          <w:rFonts w:cstheme="minorHAnsi"/>
          <w:color w:val="000000" w:themeColor="text1"/>
        </w:rPr>
        <w:t>Timor-Leste has some of the highest rates of violence against women in the world. In their lifetimes, most women in Timor-Leste experience some form of physical, sexual, emotional, or economic violence by a husband or boyfriend. Women’s experiences of intimate partner violence are frequent and severe. Violence against women and children</w:t>
      </w:r>
      <w:r w:rsidR="00224AF2" w:rsidRPr="008F332A">
        <w:rPr>
          <w:rFonts w:cstheme="minorHAnsi"/>
          <w:color w:val="000000" w:themeColor="text1"/>
        </w:rPr>
        <w:t xml:space="preserve"> (VAWC)</w:t>
      </w:r>
      <w:r w:rsidRPr="008F332A">
        <w:rPr>
          <w:rFonts w:cstheme="minorHAnsi"/>
          <w:color w:val="000000" w:themeColor="text1"/>
        </w:rPr>
        <w:t xml:space="preserve"> is a pervasive problem in Timor-Leste that prevents women and children from enjoying their individual human rights and freedoms, and greatly impacts on their ability to fully participate in the development of the country. Addressing this issue has been articulated as a priority by the Governments of both Timor-Leste and Australia; and is supported by a range of important international commitments.</w:t>
      </w:r>
    </w:p>
    <w:p w14:paraId="482C4BCE" w14:textId="77777777" w:rsidR="003878B9" w:rsidRPr="008F332A" w:rsidRDefault="004A7685" w:rsidP="003A2CCC">
      <w:pPr>
        <w:rPr>
          <w:rFonts w:cstheme="minorHAnsi"/>
          <w:color w:val="000000" w:themeColor="text1"/>
        </w:rPr>
      </w:pPr>
      <w:r w:rsidRPr="008F332A">
        <w:rPr>
          <w:rFonts w:cstheme="minorHAnsi"/>
          <w:color w:val="000000" w:themeColor="text1"/>
        </w:rPr>
        <w:t>Previously, the</w:t>
      </w:r>
      <w:r w:rsidR="000B3CD5" w:rsidRPr="008F332A">
        <w:rPr>
          <w:rFonts w:cstheme="minorHAnsi"/>
          <w:color w:val="000000" w:themeColor="text1"/>
        </w:rPr>
        <w:t xml:space="preserve"> Department of Foreign Affairs and Trade (DFAT) funded The Asia Foundation</w:t>
      </w:r>
      <w:r w:rsidR="0036279D" w:rsidRPr="008F332A">
        <w:rPr>
          <w:rFonts w:cstheme="minorHAnsi"/>
          <w:color w:val="000000" w:themeColor="text1"/>
        </w:rPr>
        <w:t xml:space="preserve"> (the Foundation</w:t>
      </w:r>
      <w:r w:rsidR="00B76257" w:rsidRPr="008F332A">
        <w:rPr>
          <w:rFonts w:cstheme="minorHAnsi"/>
          <w:color w:val="000000" w:themeColor="text1"/>
        </w:rPr>
        <w:t>)</w:t>
      </w:r>
      <w:r w:rsidR="000B3CD5" w:rsidRPr="008F332A">
        <w:rPr>
          <w:rFonts w:cstheme="minorHAnsi"/>
          <w:color w:val="000000" w:themeColor="text1"/>
        </w:rPr>
        <w:t xml:space="preserve"> to implement the fi</w:t>
      </w:r>
      <w:r w:rsidR="00DF0220" w:rsidRPr="008F332A">
        <w:rPr>
          <w:rFonts w:cstheme="minorHAnsi"/>
          <w:color w:val="000000" w:themeColor="text1"/>
        </w:rPr>
        <w:t>rst phase of an anticipated two-</w:t>
      </w:r>
      <w:r w:rsidR="000B3CD5" w:rsidRPr="008F332A">
        <w:rPr>
          <w:rFonts w:cstheme="minorHAnsi"/>
          <w:color w:val="000000" w:themeColor="text1"/>
        </w:rPr>
        <w:t>phase Ending Violence Against Women</w:t>
      </w:r>
      <w:r w:rsidRPr="008F332A">
        <w:rPr>
          <w:rFonts w:cstheme="minorHAnsi"/>
          <w:color w:val="000000" w:themeColor="text1"/>
        </w:rPr>
        <w:t xml:space="preserve"> (EVAW)</w:t>
      </w:r>
      <w:r w:rsidR="000B3CD5" w:rsidRPr="008F332A">
        <w:rPr>
          <w:rFonts w:cstheme="minorHAnsi"/>
          <w:color w:val="000000" w:themeColor="text1"/>
        </w:rPr>
        <w:t xml:space="preserve"> Program in Timor-Leste between 2014 and 2018. Under a</w:t>
      </w:r>
      <w:r w:rsidR="003878B9" w:rsidRPr="008F332A">
        <w:rPr>
          <w:rFonts w:cstheme="minorHAnsi"/>
          <w:color w:val="000000" w:themeColor="text1"/>
        </w:rPr>
        <w:t xml:space="preserve"> Deed of Amendment dated 9 August 2017, amending the original Agreement (DFAT Agreement number 69943) the Foundation will now implement Phase 2 of the EVAW Program from April 2018 –June 2022. The original budget for Phase 1 was $A19.8m over four years, reduced in 2016 to $A17.8m. The budget for Phase 2 is $A14.2m over four years. During implementation of Phase 1 the EVAW Program was renamed ‘Nabilan’ and this name will continue to be used in </w:t>
      </w:r>
      <w:r w:rsidR="00F53437" w:rsidRPr="008F332A">
        <w:rPr>
          <w:rFonts w:cstheme="minorHAnsi"/>
          <w:color w:val="000000" w:themeColor="text1"/>
        </w:rPr>
        <w:t>Phase 2</w:t>
      </w:r>
      <w:r w:rsidR="003878B9" w:rsidRPr="008F332A">
        <w:rPr>
          <w:rFonts w:cstheme="minorHAnsi"/>
          <w:color w:val="000000" w:themeColor="text1"/>
        </w:rPr>
        <w:t>.</w:t>
      </w:r>
    </w:p>
    <w:p w14:paraId="6664FAF8" w14:textId="79CB7A0E" w:rsidR="009744AD" w:rsidRPr="008F332A" w:rsidRDefault="009744AD" w:rsidP="003A2CCC">
      <w:pPr>
        <w:rPr>
          <w:rFonts w:cstheme="minorHAnsi"/>
          <w:color w:val="000000" w:themeColor="text1"/>
        </w:rPr>
      </w:pPr>
      <w:r w:rsidRPr="008F332A">
        <w:rPr>
          <w:rFonts w:cstheme="minorHAnsi"/>
          <w:color w:val="000000" w:themeColor="text1"/>
        </w:rPr>
        <w:t xml:space="preserve">In Phase 2 the Foundation will continue to ground the program in fundamental principles of </w:t>
      </w:r>
      <w:r w:rsidR="00365C8A" w:rsidRPr="008F332A">
        <w:rPr>
          <w:rFonts w:cstheme="minorHAnsi"/>
          <w:color w:val="000000" w:themeColor="text1"/>
        </w:rPr>
        <w:t>women’s and</w:t>
      </w:r>
      <w:r w:rsidRPr="008F332A">
        <w:rPr>
          <w:rFonts w:cstheme="minorHAnsi"/>
          <w:color w:val="000000" w:themeColor="text1"/>
        </w:rPr>
        <w:t xml:space="preserve"> children's rights, </w:t>
      </w:r>
      <w:r w:rsidR="003F5393" w:rsidRPr="008F332A">
        <w:rPr>
          <w:rFonts w:cstheme="minorHAnsi"/>
          <w:color w:val="000000" w:themeColor="text1"/>
        </w:rPr>
        <w:t xml:space="preserve">and </w:t>
      </w:r>
      <w:r w:rsidRPr="008F332A">
        <w:rPr>
          <w:rFonts w:cstheme="minorHAnsi"/>
          <w:color w:val="000000" w:themeColor="text1"/>
        </w:rPr>
        <w:t>the equality of women and men</w:t>
      </w:r>
      <w:r w:rsidR="003F5393" w:rsidRPr="008F332A">
        <w:rPr>
          <w:rFonts w:cstheme="minorHAnsi"/>
          <w:color w:val="000000" w:themeColor="text1"/>
        </w:rPr>
        <w:t>. H</w:t>
      </w:r>
      <w:r w:rsidRPr="008F332A">
        <w:rPr>
          <w:rFonts w:cstheme="minorHAnsi"/>
          <w:color w:val="000000" w:themeColor="text1"/>
        </w:rPr>
        <w:t xml:space="preserve">owever, </w:t>
      </w:r>
      <w:r w:rsidR="003F5393" w:rsidRPr="008F332A">
        <w:rPr>
          <w:rFonts w:cstheme="minorHAnsi"/>
          <w:color w:val="000000" w:themeColor="text1"/>
        </w:rPr>
        <w:t xml:space="preserve">Phase 2 has an </w:t>
      </w:r>
      <w:r w:rsidRPr="008F332A">
        <w:rPr>
          <w:rFonts w:cstheme="minorHAnsi"/>
          <w:color w:val="000000" w:themeColor="text1"/>
        </w:rPr>
        <w:t xml:space="preserve">increased focus on the development and normalisation of a variety of positive roles and behaviours for both women and men, boys and girls. This is in keeping with global best practice and to ensure that the program is seeking to address root causes of </w:t>
      </w:r>
      <w:r w:rsidR="00224AF2" w:rsidRPr="008F332A">
        <w:rPr>
          <w:rFonts w:cstheme="minorHAnsi"/>
          <w:color w:val="000000" w:themeColor="text1"/>
        </w:rPr>
        <w:t>VAWC</w:t>
      </w:r>
      <w:r w:rsidRPr="008F332A">
        <w:rPr>
          <w:rFonts w:cstheme="minorHAnsi"/>
          <w:color w:val="000000" w:themeColor="text1"/>
        </w:rPr>
        <w:t xml:space="preserve">, rather than only symptoms or aggravating factors. </w:t>
      </w:r>
    </w:p>
    <w:p w14:paraId="4AFCF3D4" w14:textId="77777777" w:rsidR="004A7685" w:rsidRPr="008F332A" w:rsidRDefault="004A7685" w:rsidP="003A2CCC">
      <w:pPr>
        <w:rPr>
          <w:rFonts w:cstheme="minorHAnsi"/>
          <w:color w:val="000000" w:themeColor="text1"/>
        </w:rPr>
      </w:pPr>
      <w:r w:rsidRPr="008F332A">
        <w:rPr>
          <w:rFonts w:cstheme="minorHAnsi"/>
          <w:color w:val="000000" w:themeColor="text1"/>
        </w:rPr>
        <w:t xml:space="preserve">At this point the Program Document needs to be considered provisional, until such time as more extensive consultations with </w:t>
      </w:r>
      <w:r w:rsidR="00BD3633" w:rsidRPr="008F332A">
        <w:rPr>
          <w:rFonts w:cstheme="minorHAnsi"/>
          <w:color w:val="000000" w:themeColor="text1"/>
        </w:rPr>
        <w:t>the Government of Timor-Leste (</w:t>
      </w:r>
      <w:r w:rsidRPr="008F332A">
        <w:rPr>
          <w:rFonts w:cstheme="minorHAnsi"/>
          <w:color w:val="000000" w:themeColor="text1"/>
        </w:rPr>
        <w:t>GoTL</w:t>
      </w:r>
      <w:r w:rsidR="00BD3633" w:rsidRPr="008F332A">
        <w:rPr>
          <w:rFonts w:cstheme="minorHAnsi"/>
          <w:color w:val="000000" w:themeColor="text1"/>
        </w:rPr>
        <w:t>)</w:t>
      </w:r>
      <w:r w:rsidRPr="008F332A">
        <w:rPr>
          <w:rFonts w:cstheme="minorHAnsi"/>
          <w:color w:val="000000" w:themeColor="text1"/>
        </w:rPr>
        <w:t xml:space="preserve"> can take place. This will be a priority in the first six months of Phase 2. As a matter of course, the Program Document will be regularly reviewed during the life of the program</w:t>
      </w:r>
      <w:r w:rsidR="00A75CDD" w:rsidRPr="008F332A">
        <w:rPr>
          <w:rFonts w:cstheme="minorHAnsi"/>
          <w:color w:val="000000" w:themeColor="text1"/>
        </w:rPr>
        <w:t>, on at least an annual basis</w:t>
      </w:r>
      <w:r w:rsidRPr="008F332A">
        <w:rPr>
          <w:rFonts w:cstheme="minorHAnsi"/>
          <w:color w:val="000000" w:themeColor="text1"/>
        </w:rPr>
        <w:t xml:space="preserve">. </w:t>
      </w:r>
    </w:p>
    <w:p w14:paraId="6522EFE5" w14:textId="77777777" w:rsidR="00681483" w:rsidRPr="008F332A" w:rsidRDefault="0022090E" w:rsidP="003A2CCC">
      <w:pPr>
        <w:pStyle w:val="Heading2"/>
        <w:numPr>
          <w:ilvl w:val="1"/>
          <w:numId w:val="18"/>
        </w:numPr>
        <w:jc w:val="both"/>
        <w:rPr>
          <w:rFonts w:asciiTheme="minorHAnsi" w:hAnsiTheme="minorHAnsi" w:cstheme="minorHAnsi"/>
          <w:color w:val="002D88" w:themeColor="accent6" w:themeTint="E6"/>
        </w:rPr>
      </w:pPr>
      <w:bookmarkStart w:id="5" w:name="_Toc517960089"/>
      <w:r w:rsidRPr="008F332A">
        <w:rPr>
          <w:rFonts w:asciiTheme="minorHAnsi" w:hAnsiTheme="minorHAnsi" w:cstheme="minorHAnsi"/>
          <w:color w:val="002D88" w:themeColor="accent6" w:themeTint="E6"/>
        </w:rPr>
        <w:t xml:space="preserve">The Nabilan </w:t>
      </w:r>
      <w:r w:rsidR="00DF3BA6" w:rsidRPr="008F332A">
        <w:rPr>
          <w:rFonts w:asciiTheme="minorHAnsi" w:hAnsiTheme="minorHAnsi" w:cstheme="minorHAnsi"/>
          <w:color w:val="002D88" w:themeColor="accent6" w:themeTint="E6"/>
        </w:rPr>
        <w:t xml:space="preserve">Monitoring </w:t>
      </w:r>
      <w:r w:rsidR="00681483" w:rsidRPr="008F332A">
        <w:rPr>
          <w:rFonts w:asciiTheme="minorHAnsi" w:hAnsiTheme="minorHAnsi" w:cstheme="minorHAnsi"/>
          <w:color w:val="002D88" w:themeColor="accent6" w:themeTint="E6"/>
        </w:rPr>
        <w:t>E</w:t>
      </w:r>
      <w:r w:rsidR="00DF3BA6" w:rsidRPr="008F332A">
        <w:rPr>
          <w:rFonts w:asciiTheme="minorHAnsi" w:hAnsiTheme="minorHAnsi" w:cstheme="minorHAnsi"/>
          <w:color w:val="002D88" w:themeColor="accent6" w:themeTint="E6"/>
        </w:rPr>
        <w:t xml:space="preserve">valuation and </w:t>
      </w:r>
      <w:r w:rsidR="00681483" w:rsidRPr="008F332A">
        <w:rPr>
          <w:rFonts w:asciiTheme="minorHAnsi" w:hAnsiTheme="minorHAnsi" w:cstheme="minorHAnsi"/>
          <w:color w:val="002D88" w:themeColor="accent6" w:themeTint="E6"/>
        </w:rPr>
        <w:t>L</w:t>
      </w:r>
      <w:r w:rsidR="00DF3BA6" w:rsidRPr="008F332A">
        <w:rPr>
          <w:rFonts w:asciiTheme="minorHAnsi" w:hAnsiTheme="minorHAnsi" w:cstheme="minorHAnsi"/>
          <w:color w:val="002D88" w:themeColor="accent6" w:themeTint="E6"/>
        </w:rPr>
        <w:t xml:space="preserve">earning </w:t>
      </w:r>
      <w:r w:rsidRPr="008F332A">
        <w:rPr>
          <w:rFonts w:asciiTheme="minorHAnsi" w:hAnsiTheme="minorHAnsi" w:cstheme="minorHAnsi"/>
          <w:color w:val="002D88" w:themeColor="accent6" w:themeTint="E6"/>
        </w:rPr>
        <w:t>P</w:t>
      </w:r>
      <w:r w:rsidR="00DF3BA6" w:rsidRPr="008F332A">
        <w:rPr>
          <w:rFonts w:asciiTheme="minorHAnsi" w:hAnsiTheme="minorHAnsi" w:cstheme="minorHAnsi"/>
          <w:color w:val="002D88" w:themeColor="accent6" w:themeTint="E6"/>
        </w:rPr>
        <w:t>lan</w:t>
      </w:r>
      <w:bookmarkEnd w:id="5"/>
    </w:p>
    <w:p w14:paraId="085A02E8" w14:textId="77777777" w:rsidR="00380318" w:rsidRPr="008F332A" w:rsidRDefault="00646CD5" w:rsidP="003A2CCC">
      <w:pPr>
        <w:pStyle w:val="BodyText"/>
        <w:spacing w:line="240" w:lineRule="auto"/>
        <w:jc w:val="both"/>
        <w:rPr>
          <w:rFonts w:cstheme="minorHAnsi"/>
          <w:color w:val="000000" w:themeColor="text1"/>
        </w:rPr>
      </w:pPr>
      <w:r>
        <w:t>T</w:t>
      </w:r>
      <w:r w:rsidRPr="003A07FD">
        <w:t xml:space="preserve">his document outlines the Monitoring, Evaluation and Learning Plan (MELP) for </w:t>
      </w:r>
      <w:r>
        <w:t xml:space="preserve">Nabilan. </w:t>
      </w:r>
      <w:r w:rsidRPr="003A07FD">
        <w:t>This MELP clearly defines the program theory of change, identifies how achievements against the theory of change will be monitored and evaluated, and considers how this information will be used for learning, adaptation, and reporting</w:t>
      </w:r>
      <w:r w:rsidR="00551176" w:rsidRPr="008F332A">
        <w:rPr>
          <w:rFonts w:cstheme="minorHAnsi"/>
          <w:color w:val="000000" w:themeColor="text1"/>
        </w:rPr>
        <w:t xml:space="preserve">. </w:t>
      </w:r>
      <w:r w:rsidR="00D11EB4" w:rsidRPr="008F332A">
        <w:rPr>
          <w:rFonts w:cstheme="minorHAnsi"/>
          <w:color w:val="000000" w:themeColor="text1"/>
        </w:rPr>
        <w:t xml:space="preserve">This document </w:t>
      </w:r>
      <w:r w:rsidR="00317A54" w:rsidRPr="008F332A">
        <w:rPr>
          <w:rFonts w:cstheme="minorHAnsi"/>
          <w:color w:val="000000" w:themeColor="text1"/>
        </w:rPr>
        <w:t>includes the following features:</w:t>
      </w:r>
      <w:r w:rsidR="00551176" w:rsidRPr="008F332A">
        <w:rPr>
          <w:rFonts w:cstheme="minorHAnsi"/>
          <w:color w:val="000000" w:themeColor="text1"/>
        </w:rPr>
        <w:t xml:space="preserve"> </w:t>
      </w:r>
    </w:p>
    <w:p w14:paraId="002E222D" w14:textId="77777777" w:rsidR="008A56AE" w:rsidRPr="008F332A" w:rsidRDefault="008A56AE" w:rsidP="003A2CCC">
      <w:pPr>
        <w:pStyle w:val="Bullets"/>
        <w:numPr>
          <w:ilvl w:val="0"/>
          <w:numId w:val="14"/>
        </w:numPr>
        <w:spacing w:after="160"/>
        <w:contextualSpacing/>
        <w:jc w:val="both"/>
        <w:rPr>
          <w:rFonts w:cstheme="minorHAnsi"/>
          <w:color w:val="000000" w:themeColor="text1"/>
        </w:rPr>
      </w:pPr>
      <w:r w:rsidRPr="008F332A">
        <w:rPr>
          <w:rFonts w:cstheme="minorHAnsi"/>
          <w:b/>
          <w:color w:val="000000" w:themeColor="text1"/>
        </w:rPr>
        <w:t>Theory of Change</w:t>
      </w:r>
      <w:r w:rsidR="00F53437" w:rsidRPr="008F332A">
        <w:rPr>
          <w:rFonts w:cstheme="minorHAnsi"/>
          <w:b/>
          <w:color w:val="000000" w:themeColor="text1"/>
        </w:rPr>
        <w:t xml:space="preserve"> (TOC)</w:t>
      </w:r>
      <w:r w:rsidRPr="008F332A">
        <w:rPr>
          <w:rFonts w:cstheme="minorHAnsi"/>
          <w:color w:val="000000" w:themeColor="text1"/>
        </w:rPr>
        <w:t xml:space="preserve">: This section presents the hypothesis of how change will happen, in order to contribute to the identified end of program outcomes. </w:t>
      </w:r>
    </w:p>
    <w:p w14:paraId="04E1CC0D" w14:textId="611CC3E7" w:rsidR="008A56AE" w:rsidRPr="008F332A" w:rsidRDefault="004C2959" w:rsidP="003A2CCC">
      <w:pPr>
        <w:pStyle w:val="Bullets"/>
        <w:numPr>
          <w:ilvl w:val="0"/>
          <w:numId w:val="14"/>
        </w:numPr>
        <w:spacing w:after="160"/>
        <w:contextualSpacing/>
        <w:jc w:val="both"/>
        <w:rPr>
          <w:rFonts w:cstheme="minorHAnsi"/>
          <w:color w:val="000000" w:themeColor="text1"/>
        </w:rPr>
      </w:pPr>
      <w:r w:rsidRPr="008F332A">
        <w:rPr>
          <w:rFonts w:cstheme="minorHAnsi"/>
          <w:b/>
          <w:color w:val="000000" w:themeColor="text1"/>
        </w:rPr>
        <w:t xml:space="preserve">Purpose and </w:t>
      </w:r>
      <w:r w:rsidR="00AC0567">
        <w:rPr>
          <w:rFonts w:cstheme="minorHAnsi"/>
          <w:b/>
          <w:color w:val="000000" w:themeColor="text1"/>
        </w:rPr>
        <w:t>s</w:t>
      </w:r>
      <w:r w:rsidR="008A56AE" w:rsidRPr="008F332A">
        <w:rPr>
          <w:rFonts w:cstheme="minorHAnsi"/>
          <w:b/>
          <w:color w:val="000000" w:themeColor="text1"/>
        </w:rPr>
        <w:t>cope</w:t>
      </w:r>
      <w:r w:rsidR="008A56AE" w:rsidRPr="008F332A">
        <w:rPr>
          <w:rFonts w:cstheme="minorHAnsi"/>
          <w:color w:val="000000" w:themeColor="text1"/>
        </w:rPr>
        <w:t>: This section covers the purpose, audience and boundaries of the MELP</w:t>
      </w:r>
      <w:r w:rsidR="0020511E" w:rsidRPr="008F332A">
        <w:rPr>
          <w:rFonts w:cstheme="minorHAnsi"/>
          <w:color w:val="000000" w:themeColor="text1"/>
        </w:rPr>
        <w:t>.</w:t>
      </w:r>
    </w:p>
    <w:p w14:paraId="655DCEF0" w14:textId="77777777" w:rsidR="008A56AE" w:rsidRPr="008F332A" w:rsidRDefault="008A56AE" w:rsidP="003A2CCC">
      <w:pPr>
        <w:pStyle w:val="Bullets"/>
        <w:numPr>
          <w:ilvl w:val="0"/>
          <w:numId w:val="14"/>
        </w:numPr>
        <w:spacing w:after="160"/>
        <w:contextualSpacing/>
        <w:jc w:val="both"/>
        <w:rPr>
          <w:rFonts w:cstheme="minorHAnsi"/>
          <w:color w:val="000000" w:themeColor="text1"/>
        </w:rPr>
      </w:pPr>
      <w:r w:rsidRPr="008F332A">
        <w:rPr>
          <w:rFonts w:cstheme="minorHAnsi"/>
          <w:b/>
          <w:color w:val="000000" w:themeColor="text1"/>
        </w:rPr>
        <w:t xml:space="preserve">Key evaluation questions (KEQs): </w:t>
      </w:r>
      <w:r w:rsidRPr="008F332A">
        <w:rPr>
          <w:rFonts w:cstheme="minorHAnsi"/>
          <w:color w:val="000000" w:themeColor="text1"/>
        </w:rPr>
        <w:t>This section presents the KEQs for each outcome, with corresponding sub-questions and indicators</w:t>
      </w:r>
      <w:r w:rsidR="0020511E" w:rsidRPr="008F332A">
        <w:rPr>
          <w:rFonts w:cstheme="minorHAnsi"/>
          <w:color w:val="000000" w:themeColor="text1"/>
        </w:rPr>
        <w:t>.</w:t>
      </w:r>
    </w:p>
    <w:p w14:paraId="5AD8A896" w14:textId="77777777" w:rsidR="008A56AE" w:rsidRPr="008F332A" w:rsidRDefault="00547E25" w:rsidP="003A2CCC">
      <w:pPr>
        <w:pStyle w:val="Bullets"/>
        <w:numPr>
          <w:ilvl w:val="0"/>
          <w:numId w:val="14"/>
        </w:numPr>
        <w:spacing w:after="160"/>
        <w:contextualSpacing/>
        <w:jc w:val="both"/>
        <w:rPr>
          <w:rFonts w:cstheme="minorHAnsi"/>
          <w:color w:val="000000" w:themeColor="text1"/>
        </w:rPr>
      </w:pPr>
      <w:r>
        <w:rPr>
          <w:rFonts w:cstheme="minorHAnsi"/>
          <w:b/>
          <w:color w:val="000000" w:themeColor="text1"/>
        </w:rPr>
        <w:t>Monitoring and evaluation methods</w:t>
      </w:r>
      <w:r w:rsidR="008A56AE" w:rsidRPr="008F332A">
        <w:rPr>
          <w:rFonts w:cstheme="minorHAnsi"/>
          <w:b/>
          <w:color w:val="000000" w:themeColor="text1"/>
        </w:rPr>
        <w:t>:</w:t>
      </w:r>
      <w:r w:rsidR="004A47E2" w:rsidRPr="008F332A">
        <w:rPr>
          <w:rFonts w:cstheme="minorHAnsi"/>
          <w:color w:val="000000" w:themeColor="text1"/>
        </w:rPr>
        <w:t xml:space="preserve"> This section </w:t>
      </w:r>
      <w:r w:rsidR="00BB4A0D" w:rsidRPr="008F332A">
        <w:rPr>
          <w:rFonts w:cstheme="minorHAnsi"/>
          <w:color w:val="000000" w:themeColor="text1"/>
        </w:rPr>
        <w:t>provides details on</w:t>
      </w:r>
      <w:r w:rsidR="004A47E2" w:rsidRPr="008F332A">
        <w:rPr>
          <w:rFonts w:cstheme="minorHAnsi"/>
          <w:color w:val="000000" w:themeColor="text1"/>
        </w:rPr>
        <w:t xml:space="preserve"> </w:t>
      </w:r>
      <w:r w:rsidR="002D1856" w:rsidRPr="008F332A">
        <w:rPr>
          <w:rFonts w:cstheme="minorHAnsi"/>
          <w:color w:val="000000" w:themeColor="text1"/>
        </w:rPr>
        <w:t>implementation of this MEL</w:t>
      </w:r>
      <w:r w:rsidR="003F5393" w:rsidRPr="008F332A">
        <w:rPr>
          <w:rFonts w:cstheme="minorHAnsi"/>
          <w:color w:val="000000" w:themeColor="text1"/>
        </w:rPr>
        <w:t>P</w:t>
      </w:r>
      <w:r w:rsidR="002D1856" w:rsidRPr="008F332A">
        <w:rPr>
          <w:rFonts w:cstheme="minorHAnsi"/>
          <w:color w:val="000000" w:themeColor="text1"/>
        </w:rPr>
        <w:t xml:space="preserve"> - </w:t>
      </w:r>
      <w:r w:rsidR="004A47E2" w:rsidRPr="008F332A">
        <w:rPr>
          <w:rFonts w:cstheme="minorHAnsi"/>
          <w:color w:val="000000" w:themeColor="text1"/>
        </w:rPr>
        <w:t xml:space="preserve">data </w:t>
      </w:r>
      <w:r w:rsidR="00BB4A0D" w:rsidRPr="008F332A">
        <w:rPr>
          <w:rFonts w:cstheme="minorHAnsi"/>
          <w:color w:val="000000" w:themeColor="text1"/>
        </w:rPr>
        <w:t>collection methods, identifying tools, responsibilities and timing</w:t>
      </w:r>
      <w:r w:rsidR="004A47E2" w:rsidRPr="008F332A">
        <w:rPr>
          <w:rFonts w:cstheme="minorHAnsi"/>
          <w:color w:val="000000" w:themeColor="text1"/>
        </w:rPr>
        <w:t xml:space="preserve">. </w:t>
      </w:r>
    </w:p>
    <w:p w14:paraId="44C85C8E" w14:textId="77777777" w:rsidR="00E56458" w:rsidRPr="008F332A" w:rsidRDefault="00E56458" w:rsidP="003A2CCC">
      <w:pPr>
        <w:pStyle w:val="Bullets"/>
        <w:numPr>
          <w:ilvl w:val="0"/>
          <w:numId w:val="14"/>
        </w:numPr>
        <w:spacing w:after="160"/>
        <w:contextualSpacing/>
        <w:jc w:val="both"/>
        <w:rPr>
          <w:rFonts w:cstheme="minorHAnsi"/>
          <w:color w:val="000000" w:themeColor="text1"/>
        </w:rPr>
      </w:pPr>
      <w:r w:rsidRPr="008F332A">
        <w:rPr>
          <w:rFonts w:cstheme="minorHAnsi"/>
          <w:b/>
          <w:color w:val="000000" w:themeColor="text1"/>
        </w:rPr>
        <w:t>Learning</w:t>
      </w:r>
      <w:r w:rsidR="0020511E" w:rsidRPr="008F332A">
        <w:rPr>
          <w:rFonts w:cstheme="minorHAnsi"/>
          <w:b/>
          <w:color w:val="000000" w:themeColor="text1"/>
        </w:rPr>
        <w:t xml:space="preserve">, </w:t>
      </w:r>
      <w:r w:rsidRPr="008F332A">
        <w:rPr>
          <w:rFonts w:cstheme="minorHAnsi"/>
          <w:b/>
          <w:color w:val="000000" w:themeColor="text1"/>
        </w:rPr>
        <w:t>Dissemination</w:t>
      </w:r>
      <w:r w:rsidR="0020511E" w:rsidRPr="008F332A">
        <w:rPr>
          <w:rFonts w:cstheme="minorHAnsi"/>
          <w:b/>
          <w:color w:val="000000" w:themeColor="text1"/>
        </w:rPr>
        <w:t xml:space="preserve"> and Reporting</w:t>
      </w:r>
      <w:r w:rsidRPr="008F332A">
        <w:rPr>
          <w:rFonts w:cstheme="minorHAnsi"/>
          <w:b/>
          <w:color w:val="000000" w:themeColor="text1"/>
        </w:rPr>
        <w:t xml:space="preserve">: </w:t>
      </w:r>
      <w:r w:rsidRPr="008F332A">
        <w:rPr>
          <w:rFonts w:cstheme="minorHAnsi"/>
          <w:color w:val="000000" w:themeColor="text1"/>
        </w:rPr>
        <w:t>This section describes how monitoring and evaluation processes will feed into program learning and decision-making, and how findings will be shared and reported.</w:t>
      </w:r>
    </w:p>
    <w:p w14:paraId="55939A29" w14:textId="1D7E07F3" w:rsidR="004A47E2" w:rsidRPr="008F332A" w:rsidRDefault="00547E25" w:rsidP="003A2CCC">
      <w:pPr>
        <w:pStyle w:val="Bullets"/>
        <w:numPr>
          <w:ilvl w:val="0"/>
          <w:numId w:val="14"/>
        </w:numPr>
        <w:spacing w:after="160"/>
        <w:contextualSpacing/>
        <w:jc w:val="both"/>
        <w:rPr>
          <w:rFonts w:cstheme="minorHAnsi"/>
          <w:color w:val="000000" w:themeColor="text1"/>
        </w:rPr>
      </w:pPr>
      <w:r>
        <w:rPr>
          <w:rFonts w:cstheme="minorHAnsi"/>
          <w:b/>
          <w:color w:val="000000" w:themeColor="text1"/>
        </w:rPr>
        <w:t>Implementation of the MELP</w:t>
      </w:r>
      <w:r w:rsidR="00BB4A0D" w:rsidRPr="008F332A">
        <w:rPr>
          <w:rFonts w:cstheme="minorHAnsi"/>
          <w:b/>
          <w:color w:val="000000" w:themeColor="text1"/>
        </w:rPr>
        <w:t xml:space="preserve">: </w:t>
      </w:r>
      <w:r w:rsidR="002D1856" w:rsidRPr="008F332A">
        <w:rPr>
          <w:rFonts w:cstheme="minorHAnsi"/>
          <w:color w:val="000000" w:themeColor="text1"/>
        </w:rPr>
        <w:t>Th</w:t>
      </w:r>
      <w:r>
        <w:rPr>
          <w:rFonts w:cstheme="minorHAnsi"/>
          <w:color w:val="000000" w:themeColor="text1"/>
        </w:rPr>
        <w:t>is section</w:t>
      </w:r>
      <w:r w:rsidR="002D1856" w:rsidRPr="008F332A">
        <w:rPr>
          <w:rFonts w:cstheme="minorHAnsi"/>
          <w:color w:val="000000" w:themeColor="text1"/>
        </w:rPr>
        <w:t xml:space="preserve"> provide</w:t>
      </w:r>
      <w:r w:rsidR="003F222E">
        <w:rPr>
          <w:rFonts w:cstheme="minorHAnsi"/>
          <w:color w:val="000000" w:themeColor="text1"/>
        </w:rPr>
        <w:t>s</w:t>
      </w:r>
      <w:r w:rsidR="002D1856" w:rsidRPr="008F332A">
        <w:rPr>
          <w:rFonts w:cstheme="minorHAnsi"/>
          <w:color w:val="000000" w:themeColor="text1"/>
        </w:rPr>
        <w:t xml:space="preserve"> an outline of </w:t>
      </w:r>
      <w:r w:rsidR="00E32A3F" w:rsidRPr="008F332A">
        <w:rPr>
          <w:rFonts w:cstheme="minorHAnsi"/>
          <w:color w:val="000000" w:themeColor="text1"/>
        </w:rPr>
        <w:t>resourcing</w:t>
      </w:r>
      <w:r>
        <w:rPr>
          <w:rFonts w:cstheme="minorHAnsi"/>
          <w:color w:val="000000" w:themeColor="text1"/>
        </w:rPr>
        <w:t>, timelines</w:t>
      </w:r>
      <w:r w:rsidR="00E56458" w:rsidRPr="008F332A">
        <w:rPr>
          <w:rFonts w:cstheme="minorHAnsi"/>
          <w:color w:val="000000" w:themeColor="text1"/>
        </w:rPr>
        <w:t xml:space="preserve"> and </w:t>
      </w:r>
      <w:r w:rsidR="00E32A3F" w:rsidRPr="008F332A">
        <w:rPr>
          <w:rFonts w:cstheme="minorHAnsi"/>
          <w:color w:val="000000" w:themeColor="text1"/>
        </w:rPr>
        <w:t xml:space="preserve">responsibilities </w:t>
      </w:r>
      <w:r w:rsidR="00E56458" w:rsidRPr="008F332A">
        <w:rPr>
          <w:rFonts w:cstheme="minorHAnsi"/>
          <w:color w:val="000000" w:themeColor="text1"/>
        </w:rPr>
        <w:t>for implementation of</w:t>
      </w:r>
      <w:r w:rsidR="002D1856" w:rsidRPr="008F332A">
        <w:rPr>
          <w:rFonts w:cstheme="minorHAnsi"/>
          <w:color w:val="000000" w:themeColor="text1"/>
        </w:rPr>
        <w:t xml:space="preserve"> the MELP.</w:t>
      </w:r>
      <w:r w:rsidR="002D1856" w:rsidRPr="008F332A">
        <w:rPr>
          <w:rFonts w:cstheme="minorHAnsi"/>
          <w:b/>
          <w:color w:val="000000" w:themeColor="text1"/>
        </w:rPr>
        <w:t xml:space="preserve"> </w:t>
      </w:r>
    </w:p>
    <w:p w14:paraId="1A8E0A49" w14:textId="77777777" w:rsidR="004F4AEB" w:rsidRPr="008F332A" w:rsidRDefault="008A56AE" w:rsidP="003A2CCC">
      <w:pPr>
        <w:pStyle w:val="BodyText"/>
        <w:spacing w:line="240" w:lineRule="auto"/>
        <w:jc w:val="both"/>
        <w:rPr>
          <w:rFonts w:cstheme="minorHAnsi"/>
          <w:color w:val="000000" w:themeColor="text1"/>
        </w:rPr>
      </w:pPr>
      <w:r w:rsidRPr="008F332A">
        <w:rPr>
          <w:rFonts w:cstheme="minorHAnsi"/>
          <w:color w:val="000000" w:themeColor="text1"/>
        </w:rPr>
        <w:t>Nabilan, under the leadership of the T</w:t>
      </w:r>
      <w:r w:rsidR="004A47E2" w:rsidRPr="008F332A">
        <w:rPr>
          <w:rFonts w:cstheme="minorHAnsi"/>
          <w:color w:val="000000" w:themeColor="text1"/>
        </w:rPr>
        <w:t>eam Leader, will review the MELP</w:t>
      </w:r>
      <w:r w:rsidRPr="008F332A">
        <w:rPr>
          <w:rFonts w:cstheme="minorHAnsi"/>
          <w:color w:val="000000" w:themeColor="text1"/>
        </w:rPr>
        <w:t xml:space="preserve"> annually and amend as needed. </w:t>
      </w:r>
    </w:p>
    <w:p w14:paraId="562D61DE" w14:textId="77777777" w:rsidR="004F4AEB" w:rsidRPr="008F332A" w:rsidRDefault="004F4AEB" w:rsidP="003A2CCC">
      <w:pPr>
        <w:pStyle w:val="Heading2"/>
        <w:numPr>
          <w:ilvl w:val="1"/>
          <w:numId w:val="18"/>
        </w:numPr>
        <w:jc w:val="both"/>
        <w:rPr>
          <w:rFonts w:asciiTheme="minorHAnsi" w:hAnsiTheme="minorHAnsi" w:cstheme="minorHAnsi"/>
          <w:color w:val="002D88" w:themeColor="accent6" w:themeTint="E6"/>
        </w:rPr>
      </w:pPr>
      <w:bookmarkStart w:id="6" w:name="_Toc517960090"/>
      <w:r w:rsidRPr="008F332A">
        <w:rPr>
          <w:rFonts w:asciiTheme="minorHAnsi" w:hAnsiTheme="minorHAnsi" w:cstheme="minorHAnsi"/>
          <w:color w:val="002D88" w:themeColor="accent6" w:themeTint="E6"/>
        </w:rPr>
        <w:t>Background to the development of the Nabilan</w:t>
      </w:r>
      <w:r w:rsidR="00961092" w:rsidRPr="008F332A">
        <w:rPr>
          <w:rFonts w:asciiTheme="minorHAnsi" w:hAnsiTheme="minorHAnsi" w:cstheme="minorHAnsi"/>
          <w:color w:val="002D88" w:themeColor="accent6" w:themeTint="E6"/>
        </w:rPr>
        <w:t xml:space="preserve"> (Phase 2)</w:t>
      </w:r>
      <w:r w:rsidRPr="008F332A">
        <w:rPr>
          <w:rFonts w:asciiTheme="minorHAnsi" w:hAnsiTheme="minorHAnsi" w:cstheme="minorHAnsi"/>
          <w:color w:val="002D88" w:themeColor="accent6" w:themeTint="E6"/>
        </w:rPr>
        <w:t xml:space="preserve"> MELP</w:t>
      </w:r>
      <w:bookmarkEnd w:id="6"/>
      <w:r w:rsidRPr="008F332A">
        <w:rPr>
          <w:rFonts w:asciiTheme="minorHAnsi" w:hAnsiTheme="minorHAnsi" w:cstheme="minorHAnsi"/>
          <w:color w:val="002D88" w:themeColor="accent6" w:themeTint="E6"/>
        </w:rPr>
        <w:t xml:space="preserve"> </w:t>
      </w:r>
    </w:p>
    <w:p w14:paraId="26106934" w14:textId="77777777" w:rsidR="009C1A4E" w:rsidRPr="008F332A" w:rsidRDefault="004F4AEB" w:rsidP="003A2CCC">
      <w:pPr>
        <w:pStyle w:val="BodyText"/>
        <w:spacing w:line="240" w:lineRule="auto"/>
        <w:jc w:val="both"/>
        <w:rPr>
          <w:rFonts w:cstheme="minorHAnsi"/>
          <w:color w:val="000000" w:themeColor="text1"/>
        </w:rPr>
      </w:pPr>
      <w:r w:rsidRPr="008F332A">
        <w:rPr>
          <w:rFonts w:cstheme="minorHAnsi"/>
          <w:color w:val="000000" w:themeColor="text1"/>
        </w:rPr>
        <w:t xml:space="preserve">A comprehensive </w:t>
      </w:r>
      <w:r w:rsidR="00961092" w:rsidRPr="008F332A">
        <w:rPr>
          <w:rFonts w:cstheme="minorHAnsi"/>
          <w:color w:val="000000" w:themeColor="text1"/>
        </w:rPr>
        <w:t>M</w:t>
      </w:r>
      <w:r w:rsidRPr="008F332A">
        <w:rPr>
          <w:rFonts w:cstheme="minorHAnsi"/>
          <w:color w:val="000000" w:themeColor="text1"/>
        </w:rPr>
        <w:t xml:space="preserve">onitoring and </w:t>
      </w:r>
      <w:r w:rsidR="00961092" w:rsidRPr="008F332A">
        <w:rPr>
          <w:rFonts w:cstheme="minorHAnsi"/>
          <w:color w:val="000000" w:themeColor="text1"/>
        </w:rPr>
        <w:t>E</w:t>
      </w:r>
      <w:r w:rsidRPr="008F332A">
        <w:rPr>
          <w:rFonts w:cstheme="minorHAnsi"/>
          <w:color w:val="000000" w:themeColor="text1"/>
        </w:rPr>
        <w:t xml:space="preserve">valuation Plan for Phase 1 of Nabilan was finalised in </w:t>
      </w:r>
      <w:r w:rsidR="005530B4" w:rsidRPr="008F332A">
        <w:rPr>
          <w:rFonts w:cstheme="minorHAnsi"/>
          <w:color w:val="000000" w:themeColor="text1"/>
        </w:rPr>
        <w:t xml:space="preserve">late </w:t>
      </w:r>
      <w:r w:rsidRPr="008F332A">
        <w:rPr>
          <w:rFonts w:cstheme="minorHAnsi"/>
          <w:color w:val="000000" w:themeColor="text1"/>
        </w:rPr>
        <w:t xml:space="preserve">2014 </w:t>
      </w:r>
      <w:r w:rsidR="004D17BC" w:rsidRPr="008F332A">
        <w:rPr>
          <w:rFonts w:cstheme="minorHAnsi"/>
          <w:color w:val="000000" w:themeColor="text1"/>
        </w:rPr>
        <w:t xml:space="preserve">and revised at </w:t>
      </w:r>
      <w:r w:rsidR="005530B4" w:rsidRPr="008F332A">
        <w:rPr>
          <w:rFonts w:cstheme="minorHAnsi"/>
          <w:color w:val="000000" w:themeColor="text1"/>
        </w:rPr>
        <w:t xml:space="preserve">key </w:t>
      </w:r>
      <w:r w:rsidR="004D17BC" w:rsidRPr="008F332A">
        <w:rPr>
          <w:rFonts w:cstheme="minorHAnsi"/>
          <w:color w:val="000000" w:themeColor="text1"/>
        </w:rPr>
        <w:t>points through</w:t>
      </w:r>
      <w:r w:rsidR="00F53437" w:rsidRPr="008F332A">
        <w:rPr>
          <w:rFonts w:cstheme="minorHAnsi"/>
          <w:color w:val="000000" w:themeColor="text1"/>
        </w:rPr>
        <w:t>out Phase 1</w:t>
      </w:r>
      <w:r w:rsidR="004D17BC" w:rsidRPr="008F332A">
        <w:rPr>
          <w:rFonts w:cstheme="minorHAnsi"/>
          <w:color w:val="000000" w:themeColor="text1"/>
        </w:rPr>
        <w:t xml:space="preserve">. </w:t>
      </w:r>
      <w:r w:rsidR="001B7EB2" w:rsidRPr="008F332A">
        <w:rPr>
          <w:rFonts w:cstheme="minorHAnsi"/>
          <w:color w:val="000000" w:themeColor="text1"/>
        </w:rPr>
        <w:t xml:space="preserve">The M&amp;E Stocktake undertaken by M&amp;E House found that the Nabilan M&amp;E </w:t>
      </w:r>
      <w:r w:rsidR="003F5393" w:rsidRPr="008F332A">
        <w:rPr>
          <w:rFonts w:cstheme="minorHAnsi"/>
          <w:color w:val="000000" w:themeColor="text1"/>
        </w:rPr>
        <w:t>s</w:t>
      </w:r>
      <w:r w:rsidR="001B7EB2" w:rsidRPr="008F332A">
        <w:rPr>
          <w:rFonts w:cstheme="minorHAnsi"/>
          <w:color w:val="000000" w:themeColor="text1"/>
        </w:rPr>
        <w:t>ystem meets DFAT M&amp;E Standards and generates the required information for performance tracking and learning.</w:t>
      </w:r>
      <w:r w:rsidR="00961092" w:rsidRPr="008F332A">
        <w:rPr>
          <w:rFonts w:cstheme="minorHAnsi"/>
          <w:color w:val="000000" w:themeColor="text1"/>
        </w:rPr>
        <w:t xml:space="preserve"> </w:t>
      </w:r>
      <w:r w:rsidR="00646CD5">
        <w:rPr>
          <w:rFonts w:cstheme="minorHAnsi"/>
          <w:color w:val="000000" w:themeColor="text1"/>
        </w:rPr>
        <w:t>However, w</w:t>
      </w:r>
      <w:r w:rsidR="00961092" w:rsidRPr="008F332A">
        <w:rPr>
          <w:rFonts w:cstheme="minorHAnsi"/>
          <w:color w:val="000000" w:themeColor="text1"/>
        </w:rPr>
        <w:t xml:space="preserve">hile the </w:t>
      </w:r>
      <w:r w:rsidR="008F332A" w:rsidRPr="008F332A">
        <w:rPr>
          <w:rFonts w:cstheme="minorHAnsi"/>
          <w:color w:val="000000" w:themeColor="text1"/>
        </w:rPr>
        <w:t>Phase 1</w:t>
      </w:r>
      <w:r w:rsidR="00961092" w:rsidRPr="008F332A">
        <w:rPr>
          <w:rFonts w:cstheme="minorHAnsi"/>
          <w:color w:val="000000" w:themeColor="text1"/>
        </w:rPr>
        <w:t xml:space="preserve"> M&amp;E Plan is comprehen</w:t>
      </w:r>
      <w:r w:rsidR="00C37A01" w:rsidRPr="008F332A">
        <w:rPr>
          <w:rFonts w:cstheme="minorHAnsi"/>
          <w:color w:val="000000" w:themeColor="text1"/>
        </w:rPr>
        <w:t>sive, it is no</w:t>
      </w:r>
      <w:r w:rsidR="00646CD5">
        <w:rPr>
          <w:rFonts w:cstheme="minorHAnsi"/>
          <w:color w:val="000000" w:themeColor="text1"/>
        </w:rPr>
        <w:t xml:space="preserve"> longer</w:t>
      </w:r>
      <w:r w:rsidR="00C37A01" w:rsidRPr="008F332A">
        <w:rPr>
          <w:rFonts w:cstheme="minorHAnsi"/>
          <w:color w:val="000000" w:themeColor="text1"/>
        </w:rPr>
        <w:t xml:space="preserve"> fit-for-purpose g</w:t>
      </w:r>
      <w:r w:rsidR="00961092" w:rsidRPr="008F332A">
        <w:rPr>
          <w:rFonts w:cstheme="minorHAnsi"/>
          <w:color w:val="000000" w:themeColor="text1"/>
        </w:rPr>
        <w:t xml:space="preserve">iven the reduction in personnel dedicated to M&amp;E </w:t>
      </w:r>
      <w:r w:rsidR="003F5393" w:rsidRPr="008F332A">
        <w:rPr>
          <w:rFonts w:cstheme="minorHAnsi"/>
          <w:color w:val="000000" w:themeColor="text1"/>
        </w:rPr>
        <w:t xml:space="preserve">in Phase 2 </w:t>
      </w:r>
      <w:r w:rsidR="00961092" w:rsidRPr="008F332A">
        <w:rPr>
          <w:rFonts w:cstheme="minorHAnsi"/>
          <w:color w:val="000000" w:themeColor="text1"/>
        </w:rPr>
        <w:t>of Nabilan</w:t>
      </w:r>
      <w:r w:rsidR="00646CD5">
        <w:rPr>
          <w:rFonts w:cstheme="minorHAnsi"/>
          <w:color w:val="000000" w:themeColor="text1"/>
        </w:rPr>
        <w:t>, and the amended approach to program delivery for Phase 2.</w:t>
      </w:r>
      <w:r w:rsidR="00C37A01" w:rsidRPr="008F332A">
        <w:rPr>
          <w:rFonts w:cstheme="minorHAnsi"/>
          <w:color w:val="000000" w:themeColor="text1"/>
        </w:rPr>
        <w:t xml:space="preserve"> DFAT, Nabilan and M&amp;E House </w:t>
      </w:r>
      <w:r w:rsidR="00646CD5">
        <w:rPr>
          <w:rFonts w:cstheme="minorHAnsi"/>
          <w:color w:val="000000" w:themeColor="text1"/>
        </w:rPr>
        <w:t xml:space="preserve">therefore </w:t>
      </w:r>
      <w:r w:rsidR="00961092" w:rsidRPr="008F332A">
        <w:rPr>
          <w:rFonts w:cstheme="minorHAnsi"/>
          <w:color w:val="000000" w:themeColor="text1"/>
        </w:rPr>
        <w:t xml:space="preserve">recommended a </w:t>
      </w:r>
      <w:r w:rsidR="00F90E59" w:rsidRPr="008F332A">
        <w:rPr>
          <w:rFonts w:cstheme="minorHAnsi"/>
          <w:color w:val="000000" w:themeColor="text1"/>
        </w:rPr>
        <w:t xml:space="preserve">simplified and lean </w:t>
      </w:r>
      <w:r w:rsidR="00961092" w:rsidRPr="008F332A">
        <w:rPr>
          <w:rFonts w:cstheme="minorHAnsi"/>
          <w:color w:val="000000" w:themeColor="text1"/>
        </w:rPr>
        <w:t xml:space="preserve">MELP be developed. </w:t>
      </w:r>
    </w:p>
    <w:p w14:paraId="5EA0A46A" w14:textId="160B4A4C" w:rsidR="004D17BC" w:rsidRPr="008F332A" w:rsidRDefault="003F5393" w:rsidP="003A2CCC">
      <w:pPr>
        <w:pStyle w:val="BodyText"/>
        <w:spacing w:line="240" w:lineRule="auto"/>
        <w:jc w:val="both"/>
        <w:rPr>
          <w:rFonts w:cstheme="minorHAnsi"/>
          <w:color w:val="000000" w:themeColor="text1"/>
        </w:rPr>
      </w:pPr>
      <w:r w:rsidRPr="008F332A">
        <w:rPr>
          <w:rFonts w:cstheme="minorHAnsi"/>
          <w:color w:val="000000" w:themeColor="text1"/>
        </w:rPr>
        <w:t>Phase 2</w:t>
      </w:r>
      <w:r w:rsidR="004F4AEB" w:rsidRPr="008F332A">
        <w:rPr>
          <w:rFonts w:cstheme="minorHAnsi"/>
          <w:color w:val="000000" w:themeColor="text1"/>
        </w:rPr>
        <w:t xml:space="preserve"> of Nabilan commenced in </w:t>
      </w:r>
      <w:r w:rsidR="0039478E" w:rsidRPr="008F332A">
        <w:rPr>
          <w:rFonts w:cstheme="minorHAnsi"/>
          <w:color w:val="000000" w:themeColor="text1"/>
        </w:rPr>
        <w:t xml:space="preserve">January </w:t>
      </w:r>
      <w:r w:rsidR="004F4AEB" w:rsidRPr="008F332A">
        <w:rPr>
          <w:rFonts w:cstheme="minorHAnsi"/>
          <w:color w:val="000000" w:themeColor="text1"/>
        </w:rPr>
        <w:t xml:space="preserve">2018. </w:t>
      </w:r>
      <w:r w:rsidR="004D17BC" w:rsidRPr="008F332A">
        <w:rPr>
          <w:rFonts w:cstheme="minorHAnsi"/>
          <w:color w:val="000000" w:themeColor="text1"/>
        </w:rPr>
        <w:t xml:space="preserve">The MELP for </w:t>
      </w:r>
      <w:r w:rsidRPr="008F332A">
        <w:rPr>
          <w:rFonts w:cstheme="minorHAnsi"/>
          <w:color w:val="000000" w:themeColor="text1"/>
        </w:rPr>
        <w:t>Phase 2</w:t>
      </w:r>
      <w:r w:rsidR="004D17BC" w:rsidRPr="008F332A">
        <w:rPr>
          <w:rFonts w:cstheme="minorHAnsi"/>
          <w:color w:val="000000" w:themeColor="text1"/>
        </w:rPr>
        <w:t xml:space="preserve"> has been developed as follows:</w:t>
      </w:r>
    </w:p>
    <w:p w14:paraId="53D05D02" w14:textId="77777777" w:rsidR="00961092" w:rsidRPr="008F332A" w:rsidRDefault="00961092" w:rsidP="003A2CCC">
      <w:pPr>
        <w:pStyle w:val="BodyText"/>
        <w:numPr>
          <w:ilvl w:val="0"/>
          <w:numId w:val="15"/>
        </w:numPr>
        <w:spacing w:line="240" w:lineRule="auto"/>
        <w:jc w:val="both"/>
        <w:rPr>
          <w:rFonts w:cstheme="minorHAnsi"/>
          <w:color w:val="000000" w:themeColor="text1"/>
        </w:rPr>
      </w:pPr>
      <w:r w:rsidRPr="008F332A">
        <w:rPr>
          <w:rFonts w:cstheme="minorHAnsi"/>
          <w:color w:val="000000" w:themeColor="text1"/>
        </w:rPr>
        <w:t xml:space="preserve">An independent consulting team, developed a </w:t>
      </w:r>
      <w:r w:rsidR="00CC1BF0" w:rsidRPr="008F332A">
        <w:rPr>
          <w:rFonts w:cstheme="minorHAnsi"/>
          <w:color w:val="000000" w:themeColor="text1"/>
        </w:rPr>
        <w:t xml:space="preserve">draft Investment Design for </w:t>
      </w:r>
      <w:r w:rsidR="003F5393" w:rsidRPr="008F332A">
        <w:rPr>
          <w:rFonts w:cstheme="minorHAnsi"/>
          <w:color w:val="000000" w:themeColor="text1"/>
        </w:rPr>
        <w:t>P</w:t>
      </w:r>
      <w:r w:rsidR="00CC1BF0" w:rsidRPr="008F332A">
        <w:rPr>
          <w:rFonts w:cstheme="minorHAnsi"/>
          <w:color w:val="000000" w:themeColor="text1"/>
        </w:rPr>
        <w:t xml:space="preserve">hase 2 in early 2017. The draft design </w:t>
      </w:r>
      <w:r w:rsidRPr="008F332A">
        <w:rPr>
          <w:rFonts w:cstheme="minorHAnsi"/>
          <w:color w:val="000000" w:themeColor="text1"/>
        </w:rPr>
        <w:t>included</w:t>
      </w:r>
      <w:r w:rsidR="00CC1BF0" w:rsidRPr="008F332A">
        <w:rPr>
          <w:rFonts w:cstheme="minorHAnsi"/>
          <w:color w:val="000000" w:themeColor="text1"/>
        </w:rPr>
        <w:t xml:space="preserve"> a summarised Program Logic (goal and outcome level). </w:t>
      </w:r>
    </w:p>
    <w:p w14:paraId="7B8D0225" w14:textId="77777777" w:rsidR="004F4AEB" w:rsidRPr="008F332A" w:rsidRDefault="00CC1BF0" w:rsidP="003A2CCC">
      <w:pPr>
        <w:pStyle w:val="BodyText"/>
        <w:numPr>
          <w:ilvl w:val="0"/>
          <w:numId w:val="15"/>
        </w:numPr>
        <w:spacing w:line="240" w:lineRule="auto"/>
        <w:jc w:val="both"/>
        <w:rPr>
          <w:rFonts w:cstheme="minorHAnsi"/>
          <w:color w:val="000000" w:themeColor="text1"/>
        </w:rPr>
      </w:pPr>
      <w:r w:rsidRPr="008F332A">
        <w:rPr>
          <w:rFonts w:cstheme="minorHAnsi"/>
          <w:color w:val="000000" w:themeColor="text1"/>
        </w:rPr>
        <w:t>Based on a review of the draft Investment Design, DFAT requested</w:t>
      </w:r>
      <w:r w:rsidR="00175F87" w:rsidRPr="008F332A">
        <w:rPr>
          <w:rFonts w:cstheme="minorHAnsi"/>
          <w:color w:val="000000" w:themeColor="text1"/>
        </w:rPr>
        <w:t xml:space="preserve"> </w:t>
      </w:r>
      <w:r w:rsidR="004A120B" w:rsidRPr="008F332A">
        <w:rPr>
          <w:rFonts w:cstheme="minorHAnsi"/>
          <w:color w:val="000000" w:themeColor="text1"/>
        </w:rPr>
        <w:t>the Foundation</w:t>
      </w:r>
      <w:r w:rsidRPr="008F332A">
        <w:rPr>
          <w:rFonts w:cstheme="minorHAnsi"/>
          <w:color w:val="000000" w:themeColor="text1"/>
        </w:rPr>
        <w:t xml:space="preserve"> to further develop the Nabilan program design and TOC. </w:t>
      </w:r>
      <w:r w:rsidR="004D17BC" w:rsidRPr="008F332A">
        <w:rPr>
          <w:rFonts w:cstheme="minorHAnsi"/>
          <w:color w:val="000000" w:themeColor="text1"/>
        </w:rPr>
        <w:t>As part of the detailed design</w:t>
      </w:r>
      <w:r w:rsidRPr="008F332A">
        <w:rPr>
          <w:rFonts w:cstheme="minorHAnsi"/>
          <w:color w:val="000000" w:themeColor="text1"/>
        </w:rPr>
        <w:t xml:space="preserve"> process</w:t>
      </w:r>
      <w:r w:rsidR="004D17BC" w:rsidRPr="008F332A">
        <w:rPr>
          <w:rFonts w:cstheme="minorHAnsi"/>
          <w:color w:val="000000" w:themeColor="text1"/>
        </w:rPr>
        <w:t xml:space="preserve">, </w:t>
      </w:r>
      <w:r w:rsidRPr="008F332A">
        <w:rPr>
          <w:rFonts w:cstheme="minorHAnsi"/>
          <w:color w:val="000000" w:themeColor="text1"/>
        </w:rPr>
        <w:t xml:space="preserve">a revised TOC for </w:t>
      </w:r>
      <w:r w:rsidR="00F53437" w:rsidRPr="008F332A">
        <w:rPr>
          <w:rFonts w:cstheme="minorHAnsi"/>
          <w:color w:val="000000" w:themeColor="text1"/>
        </w:rPr>
        <w:t>P</w:t>
      </w:r>
      <w:r w:rsidRPr="008F332A">
        <w:rPr>
          <w:rFonts w:cstheme="minorHAnsi"/>
          <w:color w:val="000000" w:themeColor="text1"/>
        </w:rPr>
        <w:t>hase 2, with an accompanying MELP was developed through a series of</w:t>
      </w:r>
      <w:r w:rsidR="004D17BC" w:rsidRPr="008F332A">
        <w:rPr>
          <w:rFonts w:cstheme="minorHAnsi"/>
          <w:color w:val="000000" w:themeColor="text1"/>
        </w:rPr>
        <w:t xml:space="preserve"> workshop</w:t>
      </w:r>
      <w:r w:rsidRPr="008F332A">
        <w:rPr>
          <w:rFonts w:cstheme="minorHAnsi"/>
          <w:color w:val="000000" w:themeColor="text1"/>
        </w:rPr>
        <w:t>s</w:t>
      </w:r>
      <w:r w:rsidR="004D17BC" w:rsidRPr="008F332A">
        <w:rPr>
          <w:rFonts w:cstheme="minorHAnsi"/>
          <w:color w:val="000000" w:themeColor="text1"/>
        </w:rPr>
        <w:t xml:space="preserve"> in August </w:t>
      </w:r>
      <w:r w:rsidR="00F53437" w:rsidRPr="008F332A">
        <w:rPr>
          <w:rFonts w:cstheme="minorHAnsi"/>
          <w:color w:val="000000" w:themeColor="text1"/>
        </w:rPr>
        <w:t xml:space="preserve">to October </w:t>
      </w:r>
      <w:r w:rsidR="004D17BC" w:rsidRPr="008F332A">
        <w:rPr>
          <w:rFonts w:cstheme="minorHAnsi"/>
          <w:color w:val="000000" w:themeColor="text1"/>
        </w:rPr>
        <w:t>2017. The draft Program Design and MELP w</w:t>
      </w:r>
      <w:r w:rsidR="005C27BB" w:rsidRPr="008F332A">
        <w:rPr>
          <w:rFonts w:cstheme="minorHAnsi"/>
          <w:color w:val="000000" w:themeColor="text1"/>
        </w:rPr>
        <w:t>ere</w:t>
      </w:r>
      <w:r w:rsidR="004D17BC" w:rsidRPr="008F332A">
        <w:rPr>
          <w:rFonts w:cstheme="minorHAnsi"/>
          <w:color w:val="000000" w:themeColor="text1"/>
        </w:rPr>
        <w:t xml:space="preserve"> submitted to DFAT </w:t>
      </w:r>
      <w:r w:rsidR="004F4AEB" w:rsidRPr="008F332A">
        <w:rPr>
          <w:rFonts w:cstheme="minorHAnsi"/>
          <w:color w:val="000000" w:themeColor="text1"/>
        </w:rPr>
        <w:t>in November 2017</w:t>
      </w:r>
      <w:r w:rsidR="004D17BC" w:rsidRPr="008F332A">
        <w:rPr>
          <w:rFonts w:cstheme="minorHAnsi"/>
          <w:color w:val="000000" w:themeColor="text1"/>
        </w:rPr>
        <w:t xml:space="preserve">. </w:t>
      </w:r>
    </w:p>
    <w:p w14:paraId="6B983F46" w14:textId="77777777" w:rsidR="004F4AEB" w:rsidRPr="008F332A" w:rsidRDefault="004D17BC" w:rsidP="003A2CCC">
      <w:pPr>
        <w:pStyle w:val="BodyText"/>
        <w:numPr>
          <w:ilvl w:val="0"/>
          <w:numId w:val="15"/>
        </w:numPr>
        <w:spacing w:line="240" w:lineRule="auto"/>
        <w:jc w:val="both"/>
        <w:rPr>
          <w:rFonts w:cstheme="minorHAnsi"/>
          <w:color w:val="000000" w:themeColor="text1"/>
        </w:rPr>
      </w:pPr>
      <w:r w:rsidRPr="008F332A">
        <w:rPr>
          <w:rFonts w:cstheme="minorHAnsi"/>
          <w:color w:val="000000" w:themeColor="text1"/>
        </w:rPr>
        <w:t xml:space="preserve">DFAT </w:t>
      </w:r>
      <w:r w:rsidR="004F4AEB" w:rsidRPr="008F332A">
        <w:rPr>
          <w:rFonts w:cstheme="minorHAnsi"/>
          <w:color w:val="000000" w:themeColor="text1"/>
        </w:rPr>
        <w:t xml:space="preserve">and the Phase 2 </w:t>
      </w:r>
      <w:r w:rsidR="00CC1BF0" w:rsidRPr="008F332A">
        <w:rPr>
          <w:rFonts w:cstheme="minorHAnsi"/>
          <w:color w:val="000000" w:themeColor="text1"/>
        </w:rPr>
        <w:t>Nabilan team requested</w:t>
      </w:r>
      <w:r w:rsidRPr="008F332A">
        <w:rPr>
          <w:rFonts w:cstheme="minorHAnsi"/>
          <w:color w:val="000000" w:themeColor="text1"/>
        </w:rPr>
        <w:t xml:space="preserve"> a </w:t>
      </w:r>
      <w:r w:rsidR="00CC1BF0" w:rsidRPr="008F332A">
        <w:rPr>
          <w:rFonts w:cstheme="minorHAnsi"/>
          <w:color w:val="000000" w:themeColor="text1"/>
        </w:rPr>
        <w:t xml:space="preserve">further review of the TOC and MELP, primarily to bring the two program components under one TOC. This review </w:t>
      </w:r>
      <w:r w:rsidRPr="008F332A">
        <w:rPr>
          <w:rFonts w:cstheme="minorHAnsi"/>
          <w:color w:val="000000" w:themeColor="text1"/>
        </w:rPr>
        <w:t xml:space="preserve">was undertaken </w:t>
      </w:r>
      <w:r w:rsidR="004F4AEB" w:rsidRPr="008F332A">
        <w:rPr>
          <w:rFonts w:cstheme="minorHAnsi"/>
          <w:color w:val="000000" w:themeColor="text1"/>
        </w:rPr>
        <w:t>in April 2018</w:t>
      </w:r>
      <w:r w:rsidR="00646CD5">
        <w:rPr>
          <w:rFonts w:cstheme="minorHAnsi"/>
          <w:color w:val="000000" w:themeColor="text1"/>
        </w:rPr>
        <w:t xml:space="preserve"> through a participatory process involving Nabilan, DFAT and M&amp;E House</w:t>
      </w:r>
      <w:r w:rsidR="004F4AEB" w:rsidRPr="008F332A">
        <w:rPr>
          <w:rFonts w:cstheme="minorHAnsi"/>
          <w:color w:val="000000" w:themeColor="text1"/>
        </w:rPr>
        <w:t xml:space="preserve">. </w:t>
      </w:r>
      <w:r w:rsidR="00961092" w:rsidRPr="008F332A">
        <w:rPr>
          <w:rFonts w:cstheme="minorHAnsi"/>
          <w:color w:val="000000" w:themeColor="text1"/>
        </w:rPr>
        <w:t xml:space="preserve">The revised Phase 2 TOC reflects the revised approach to delivery.  Where appropriate, indicators reflect that of Phase 1 to enable measurement of change over the eight years of the Nabilan program. </w:t>
      </w:r>
    </w:p>
    <w:p w14:paraId="4AC047C1" w14:textId="77777777" w:rsidR="0003166C" w:rsidRPr="008F332A" w:rsidRDefault="004D17BC" w:rsidP="003A2CCC">
      <w:pPr>
        <w:pStyle w:val="BodyText"/>
        <w:numPr>
          <w:ilvl w:val="0"/>
          <w:numId w:val="15"/>
        </w:numPr>
        <w:spacing w:line="240" w:lineRule="auto"/>
        <w:jc w:val="both"/>
        <w:rPr>
          <w:rFonts w:cstheme="minorHAnsi"/>
          <w:color w:val="000000" w:themeColor="text1"/>
        </w:rPr>
      </w:pPr>
      <w:r w:rsidRPr="008F332A">
        <w:rPr>
          <w:rFonts w:cstheme="minorHAnsi"/>
          <w:color w:val="000000" w:themeColor="text1"/>
        </w:rPr>
        <w:t xml:space="preserve">The </w:t>
      </w:r>
      <w:r w:rsidR="004F4AEB" w:rsidRPr="008F332A">
        <w:rPr>
          <w:rFonts w:cstheme="minorHAnsi"/>
          <w:color w:val="000000" w:themeColor="text1"/>
        </w:rPr>
        <w:t>MELP</w:t>
      </w:r>
      <w:r w:rsidR="00F53437" w:rsidRPr="008F332A">
        <w:rPr>
          <w:rFonts w:cstheme="minorHAnsi"/>
          <w:color w:val="000000" w:themeColor="text1"/>
        </w:rPr>
        <w:t xml:space="preserve"> for Phase 2</w:t>
      </w:r>
      <w:r w:rsidRPr="008F332A">
        <w:rPr>
          <w:rFonts w:cstheme="minorHAnsi"/>
          <w:color w:val="000000" w:themeColor="text1"/>
        </w:rPr>
        <w:t xml:space="preserve"> was finalised</w:t>
      </w:r>
      <w:r w:rsidR="004F4AEB" w:rsidRPr="008F332A">
        <w:rPr>
          <w:rFonts w:cstheme="minorHAnsi"/>
          <w:color w:val="000000" w:themeColor="text1"/>
        </w:rPr>
        <w:t xml:space="preserve"> in May 2018. </w:t>
      </w:r>
    </w:p>
    <w:p w14:paraId="4D8DA389" w14:textId="77777777" w:rsidR="00ED6685" w:rsidRPr="008F332A" w:rsidRDefault="00321B29" w:rsidP="003A2CCC">
      <w:pPr>
        <w:pStyle w:val="Heading1"/>
        <w:numPr>
          <w:ilvl w:val="0"/>
          <w:numId w:val="19"/>
        </w:numPr>
        <w:jc w:val="both"/>
        <w:rPr>
          <w:rFonts w:asciiTheme="minorHAnsi" w:hAnsiTheme="minorHAnsi" w:cstheme="minorHAnsi"/>
        </w:rPr>
      </w:pPr>
      <w:bookmarkStart w:id="7" w:name="_Toc517960091"/>
      <w:bookmarkStart w:id="8" w:name="_Toc457337519"/>
      <w:r w:rsidRPr="008F332A">
        <w:rPr>
          <w:rFonts w:asciiTheme="minorHAnsi" w:hAnsiTheme="minorHAnsi" w:cstheme="minorHAnsi"/>
        </w:rPr>
        <w:t>THEORY OF CHANGE</w:t>
      </w:r>
      <w:bookmarkEnd w:id="7"/>
    </w:p>
    <w:p w14:paraId="4DC7923D" w14:textId="77777777" w:rsidR="00ED6685" w:rsidRPr="008F332A" w:rsidRDefault="00646CD5" w:rsidP="003A2CCC">
      <w:pPr>
        <w:pStyle w:val="BodyText"/>
        <w:spacing w:line="240" w:lineRule="auto"/>
        <w:jc w:val="both"/>
        <w:rPr>
          <w:rFonts w:cstheme="minorHAnsi"/>
          <w:color w:val="000000" w:themeColor="text1"/>
        </w:rPr>
      </w:pPr>
      <w:r>
        <w:rPr>
          <w:rFonts w:cstheme="minorHAnsi"/>
          <w:color w:val="000000" w:themeColor="text1"/>
        </w:rPr>
        <w:t>The</w:t>
      </w:r>
      <w:r w:rsidR="00E56458" w:rsidRPr="008F332A">
        <w:rPr>
          <w:rFonts w:cstheme="minorHAnsi"/>
          <w:color w:val="000000" w:themeColor="text1"/>
        </w:rPr>
        <w:t xml:space="preserve"> Nabilan TOC is</w:t>
      </w:r>
      <w:r w:rsidR="005C27BB" w:rsidRPr="008F332A">
        <w:rPr>
          <w:rFonts w:cstheme="minorHAnsi"/>
          <w:color w:val="000000" w:themeColor="text1"/>
        </w:rPr>
        <w:t xml:space="preserve"> shown</w:t>
      </w:r>
      <w:r w:rsidR="00E56458" w:rsidRPr="008F332A">
        <w:rPr>
          <w:rFonts w:cstheme="minorHAnsi"/>
          <w:color w:val="000000" w:themeColor="text1"/>
        </w:rPr>
        <w:t xml:space="preserve"> in Figure 1</w:t>
      </w:r>
      <w:r>
        <w:rPr>
          <w:rFonts w:cstheme="minorHAnsi"/>
          <w:color w:val="000000" w:themeColor="text1"/>
        </w:rPr>
        <w:t>, and described below</w:t>
      </w:r>
      <w:r w:rsidR="00E56458" w:rsidRPr="008F332A">
        <w:rPr>
          <w:rFonts w:cstheme="minorHAnsi"/>
          <w:color w:val="000000" w:themeColor="text1"/>
        </w:rPr>
        <w:t xml:space="preserve">. </w:t>
      </w:r>
    </w:p>
    <w:p w14:paraId="7C421555" w14:textId="77777777" w:rsidR="00ED6685" w:rsidRPr="008F332A" w:rsidRDefault="00ED6685" w:rsidP="003A2CCC">
      <w:pPr>
        <w:pStyle w:val="Heading2"/>
        <w:numPr>
          <w:ilvl w:val="1"/>
          <w:numId w:val="19"/>
        </w:numPr>
        <w:jc w:val="both"/>
        <w:rPr>
          <w:rFonts w:asciiTheme="minorHAnsi" w:hAnsiTheme="minorHAnsi" w:cstheme="minorHAnsi"/>
          <w:color w:val="002D88" w:themeColor="accent6" w:themeTint="E6"/>
        </w:rPr>
      </w:pPr>
      <w:bookmarkStart w:id="9" w:name="_Toc517960092"/>
      <w:r w:rsidRPr="008F332A">
        <w:rPr>
          <w:rFonts w:asciiTheme="minorHAnsi" w:hAnsiTheme="minorHAnsi" w:cstheme="minorHAnsi"/>
          <w:color w:val="002D88" w:themeColor="accent6" w:themeTint="E6"/>
        </w:rPr>
        <w:t>Goal and End of Pro</w:t>
      </w:r>
      <w:r w:rsidR="0089725B" w:rsidRPr="008F332A">
        <w:rPr>
          <w:rFonts w:asciiTheme="minorHAnsi" w:hAnsiTheme="minorHAnsi" w:cstheme="minorHAnsi"/>
          <w:color w:val="002D88" w:themeColor="accent6" w:themeTint="E6"/>
        </w:rPr>
        <w:t>gram</w:t>
      </w:r>
      <w:r w:rsidRPr="008F332A">
        <w:rPr>
          <w:rFonts w:asciiTheme="minorHAnsi" w:hAnsiTheme="minorHAnsi" w:cstheme="minorHAnsi"/>
          <w:color w:val="002D88" w:themeColor="accent6" w:themeTint="E6"/>
        </w:rPr>
        <w:t xml:space="preserve"> Outcomes</w:t>
      </w:r>
      <w:bookmarkEnd w:id="9"/>
    </w:p>
    <w:p w14:paraId="0E3962A8" w14:textId="77777777" w:rsidR="003D064B" w:rsidRPr="008F332A" w:rsidRDefault="000B3CD5" w:rsidP="003A2CCC">
      <w:pPr>
        <w:autoSpaceDE w:val="0"/>
        <w:autoSpaceDN w:val="0"/>
        <w:adjustRightInd w:val="0"/>
        <w:rPr>
          <w:rFonts w:cstheme="minorHAnsi"/>
          <w:color w:val="000000" w:themeColor="text1"/>
        </w:rPr>
      </w:pPr>
      <w:r w:rsidRPr="008F332A">
        <w:rPr>
          <w:rFonts w:eastAsia="Times New Roman" w:cstheme="minorHAnsi"/>
          <w:color w:val="000000" w:themeColor="text1"/>
        </w:rPr>
        <w:t xml:space="preserve">The goal of </w:t>
      </w:r>
      <w:r w:rsidR="00F53437" w:rsidRPr="008F332A">
        <w:rPr>
          <w:rFonts w:eastAsia="Times New Roman" w:cstheme="minorHAnsi"/>
          <w:color w:val="000000" w:themeColor="text1"/>
        </w:rPr>
        <w:t>P</w:t>
      </w:r>
      <w:r w:rsidR="00C32124" w:rsidRPr="008F332A">
        <w:rPr>
          <w:rFonts w:eastAsia="Times New Roman" w:cstheme="minorHAnsi"/>
          <w:color w:val="000000" w:themeColor="text1"/>
        </w:rPr>
        <w:t>hase 2 of Nabilan is that</w:t>
      </w:r>
      <w:r w:rsidR="00E10C55" w:rsidRPr="008F332A">
        <w:rPr>
          <w:rFonts w:eastAsia="Times New Roman" w:cstheme="minorHAnsi"/>
          <w:color w:val="000000" w:themeColor="text1"/>
        </w:rPr>
        <w:t xml:space="preserve"> </w:t>
      </w:r>
      <w:r w:rsidR="00E10C55" w:rsidRPr="008F332A">
        <w:rPr>
          <w:rFonts w:eastAsia="Times New Roman" w:cstheme="minorHAnsi"/>
          <w:b/>
          <w:color w:val="000000" w:themeColor="text1"/>
        </w:rPr>
        <w:t xml:space="preserve">“Women and children live free from violence and </w:t>
      </w:r>
      <w:r w:rsidR="004C2959" w:rsidRPr="008F332A">
        <w:rPr>
          <w:rFonts w:eastAsia="Times New Roman" w:cstheme="minorHAnsi"/>
          <w:b/>
          <w:color w:val="000000" w:themeColor="text1"/>
        </w:rPr>
        <w:t xml:space="preserve">can </w:t>
      </w:r>
      <w:r w:rsidR="00E10C55" w:rsidRPr="008F332A">
        <w:rPr>
          <w:rFonts w:eastAsia="Times New Roman" w:cstheme="minorHAnsi"/>
          <w:b/>
          <w:color w:val="000000" w:themeColor="text1"/>
        </w:rPr>
        <w:t>enjoy their rights”</w:t>
      </w:r>
      <w:r w:rsidR="00C32124" w:rsidRPr="008F332A">
        <w:rPr>
          <w:rFonts w:eastAsia="Times New Roman" w:cstheme="minorHAnsi"/>
          <w:color w:val="000000" w:themeColor="text1"/>
        </w:rPr>
        <w:t xml:space="preserve">. </w:t>
      </w:r>
      <w:r w:rsidR="00133ACF" w:rsidRPr="008F332A">
        <w:rPr>
          <w:rFonts w:cstheme="minorHAnsi"/>
          <w:color w:val="000000" w:themeColor="text1"/>
        </w:rPr>
        <w:t xml:space="preserve">To contribute to this goal, </w:t>
      </w:r>
      <w:r w:rsidR="004C2959" w:rsidRPr="008F332A">
        <w:rPr>
          <w:rFonts w:cstheme="minorHAnsi"/>
          <w:color w:val="000000" w:themeColor="text1"/>
        </w:rPr>
        <w:t xml:space="preserve">Phase 2 has </w:t>
      </w:r>
      <w:r w:rsidR="00E10C55" w:rsidRPr="008F332A">
        <w:rPr>
          <w:rFonts w:cstheme="minorHAnsi"/>
          <w:color w:val="000000" w:themeColor="text1"/>
        </w:rPr>
        <w:t>two</w:t>
      </w:r>
      <w:r w:rsidR="003D064B" w:rsidRPr="008F332A">
        <w:rPr>
          <w:rFonts w:cstheme="minorHAnsi"/>
          <w:color w:val="000000" w:themeColor="text1"/>
        </w:rPr>
        <w:t xml:space="preserve"> En</w:t>
      </w:r>
      <w:r w:rsidR="00E10C55" w:rsidRPr="008F332A">
        <w:rPr>
          <w:rFonts w:cstheme="minorHAnsi"/>
          <w:color w:val="000000" w:themeColor="text1"/>
        </w:rPr>
        <w:t>d of Program Outcomes (EOPO</w:t>
      </w:r>
      <w:r w:rsidR="00BB6FA0">
        <w:rPr>
          <w:rFonts w:cstheme="minorHAnsi"/>
          <w:color w:val="000000" w:themeColor="text1"/>
        </w:rPr>
        <w:t>s</w:t>
      </w:r>
      <w:r w:rsidR="00E10C55" w:rsidRPr="008F332A">
        <w:rPr>
          <w:rFonts w:cstheme="minorHAnsi"/>
          <w:color w:val="000000" w:themeColor="text1"/>
        </w:rPr>
        <w:t>)</w:t>
      </w:r>
      <w:r w:rsidR="003D064B" w:rsidRPr="008F332A">
        <w:rPr>
          <w:rFonts w:cstheme="minorHAnsi"/>
          <w:color w:val="000000" w:themeColor="text1"/>
        </w:rPr>
        <w:t>:</w:t>
      </w:r>
    </w:p>
    <w:p w14:paraId="4A8A7569" w14:textId="77777777" w:rsidR="004C2959" w:rsidRPr="008F332A" w:rsidRDefault="000A1549" w:rsidP="003A2CCC">
      <w:pPr>
        <w:pStyle w:val="ListParagraph"/>
        <w:numPr>
          <w:ilvl w:val="0"/>
          <w:numId w:val="16"/>
        </w:numPr>
        <w:autoSpaceDE w:val="0"/>
        <w:autoSpaceDN w:val="0"/>
        <w:adjustRightInd w:val="0"/>
        <w:jc w:val="both"/>
        <w:rPr>
          <w:rFonts w:eastAsia="Times New Roman" w:cstheme="minorHAnsi"/>
          <w:color w:val="000000" w:themeColor="text1"/>
        </w:rPr>
      </w:pPr>
      <w:r w:rsidRPr="008F332A">
        <w:rPr>
          <w:rFonts w:eastAsia="Times New Roman" w:cstheme="minorHAnsi"/>
          <w:color w:val="000000" w:themeColor="text1"/>
        </w:rPr>
        <w:t>EOPO1: Women and children who experience violence have access to quality and inclusive services</w:t>
      </w:r>
      <w:r w:rsidR="00706B97" w:rsidRPr="008F332A">
        <w:rPr>
          <w:rStyle w:val="FootnoteReference"/>
          <w:rFonts w:eastAsia="Times New Roman" w:cstheme="minorHAnsi"/>
          <w:color w:val="000000" w:themeColor="text1"/>
        </w:rPr>
        <w:footnoteReference w:id="2"/>
      </w:r>
      <w:r w:rsidR="004C2959" w:rsidRPr="008F332A">
        <w:rPr>
          <w:rFonts w:eastAsia="Times New Roman" w:cstheme="minorHAnsi"/>
          <w:color w:val="000000" w:themeColor="text1"/>
        </w:rPr>
        <w:t>;</w:t>
      </w:r>
      <w:r w:rsidRPr="008F332A">
        <w:rPr>
          <w:rFonts w:eastAsia="Times New Roman" w:cstheme="minorHAnsi"/>
          <w:color w:val="000000" w:themeColor="text1"/>
        </w:rPr>
        <w:t xml:space="preserve"> </w:t>
      </w:r>
      <w:r w:rsidR="004C2959" w:rsidRPr="008F332A">
        <w:rPr>
          <w:rFonts w:eastAsia="Times New Roman" w:cstheme="minorHAnsi"/>
          <w:color w:val="000000" w:themeColor="text1"/>
        </w:rPr>
        <w:t>and</w:t>
      </w:r>
    </w:p>
    <w:p w14:paraId="3CC727B1" w14:textId="77777777" w:rsidR="004C2959" w:rsidRPr="008F332A" w:rsidRDefault="004C2959" w:rsidP="003A2CCC">
      <w:pPr>
        <w:pStyle w:val="ListParagraph"/>
        <w:numPr>
          <w:ilvl w:val="0"/>
          <w:numId w:val="16"/>
        </w:numPr>
        <w:autoSpaceDE w:val="0"/>
        <w:autoSpaceDN w:val="0"/>
        <w:adjustRightInd w:val="0"/>
        <w:jc w:val="both"/>
        <w:rPr>
          <w:rFonts w:eastAsia="Times New Roman" w:cstheme="minorHAnsi"/>
          <w:color w:val="000000" w:themeColor="text1"/>
        </w:rPr>
      </w:pPr>
      <w:r w:rsidRPr="008F332A">
        <w:rPr>
          <w:rFonts w:eastAsia="Times New Roman" w:cstheme="minorHAnsi"/>
          <w:color w:val="000000" w:themeColor="text1"/>
        </w:rPr>
        <w:t>EOPO2: Individuals, communities and institutions take action to reduce violence against women and children.</w:t>
      </w:r>
    </w:p>
    <w:p w14:paraId="3F4A9661" w14:textId="77777777" w:rsidR="00415052" w:rsidRPr="008F332A" w:rsidRDefault="00415052" w:rsidP="003A2CCC">
      <w:pPr>
        <w:autoSpaceDE w:val="0"/>
        <w:autoSpaceDN w:val="0"/>
        <w:adjustRightInd w:val="0"/>
        <w:spacing w:after="0"/>
        <w:ind w:left="357"/>
        <w:rPr>
          <w:rFonts w:eastAsia="Times New Roman" w:cstheme="minorHAnsi"/>
          <w:color w:val="000000" w:themeColor="text1"/>
        </w:rPr>
      </w:pPr>
    </w:p>
    <w:p w14:paraId="2B77E25A" w14:textId="23D783CC" w:rsidR="00035511" w:rsidRPr="008F332A" w:rsidRDefault="00AA1DE3" w:rsidP="003A2CCC">
      <w:pPr>
        <w:autoSpaceDE w:val="0"/>
        <w:autoSpaceDN w:val="0"/>
        <w:adjustRightInd w:val="0"/>
        <w:rPr>
          <w:rFonts w:eastAsia="Times New Roman" w:cstheme="minorHAnsi"/>
          <w:color w:val="000000" w:themeColor="text1"/>
        </w:rPr>
      </w:pPr>
      <w:r w:rsidRPr="008F332A">
        <w:rPr>
          <w:rFonts w:eastAsia="Times New Roman" w:cstheme="minorHAnsi"/>
          <w:color w:val="000000" w:themeColor="text1"/>
        </w:rPr>
        <w:t xml:space="preserve">Nabilan’s </w:t>
      </w:r>
      <w:r w:rsidR="00706B97" w:rsidRPr="008F332A">
        <w:rPr>
          <w:rFonts w:eastAsia="Times New Roman" w:cstheme="minorHAnsi"/>
          <w:color w:val="000000" w:themeColor="text1"/>
        </w:rPr>
        <w:t xml:space="preserve">goal reflects the </w:t>
      </w:r>
      <w:r w:rsidR="00133ACF" w:rsidRPr="008F332A">
        <w:rPr>
          <w:rFonts w:eastAsia="Times New Roman" w:cstheme="minorHAnsi"/>
          <w:color w:val="000000" w:themeColor="text1"/>
        </w:rPr>
        <w:t>goal of the T</w:t>
      </w:r>
      <w:r w:rsidR="00706B97" w:rsidRPr="008F332A">
        <w:rPr>
          <w:rFonts w:eastAsia="Times New Roman" w:cstheme="minorHAnsi"/>
          <w:color w:val="000000" w:themeColor="text1"/>
        </w:rPr>
        <w:t xml:space="preserve">imor-Leste National Action Plan </w:t>
      </w:r>
      <w:r w:rsidR="006D7FD4" w:rsidRPr="008F332A">
        <w:rPr>
          <w:rFonts w:eastAsia="Times New Roman" w:cstheme="minorHAnsi"/>
          <w:color w:val="000000" w:themeColor="text1"/>
        </w:rPr>
        <w:t>on Gender Based V</w:t>
      </w:r>
      <w:r w:rsidR="00706B97" w:rsidRPr="008F332A">
        <w:rPr>
          <w:rFonts w:eastAsia="Times New Roman" w:cstheme="minorHAnsi"/>
          <w:color w:val="000000" w:themeColor="text1"/>
        </w:rPr>
        <w:t xml:space="preserve">iolence </w:t>
      </w:r>
      <w:r w:rsidR="006D7FD4" w:rsidRPr="008F332A">
        <w:rPr>
          <w:rFonts w:eastAsia="Times New Roman" w:cstheme="minorHAnsi"/>
          <w:color w:val="000000" w:themeColor="text1"/>
        </w:rPr>
        <w:t>(NAP-GBV</w:t>
      </w:r>
      <w:r w:rsidR="00AC0567">
        <w:rPr>
          <w:rFonts w:eastAsia="Times New Roman" w:cstheme="minorHAnsi"/>
          <w:color w:val="000000" w:themeColor="text1"/>
        </w:rPr>
        <w:t xml:space="preserve"> 2017-21</w:t>
      </w:r>
      <w:r w:rsidR="006D7FD4" w:rsidRPr="008F332A">
        <w:rPr>
          <w:rFonts w:eastAsia="Times New Roman" w:cstheme="minorHAnsi"/>
          <w:color w:val="000000" w:themeColor="text1"/>
        </w:rPr>
        <w:t xml:space="preserve">) </w:t>
      </w:r>
      <w:r w:rsidR="00706B97" w:rsidRPr="008F332A">
        <w:rPr>
          <w:rFonts w:eastAsia="Times New Roman" w:cstheme="minorHAnsi"/>
          <w:color w:val="000000" w:themeColor="text1"/>
        </w:rPr>
        <w:t xml:space="preserve">which is </w:t>
      </w:r>
      <w:r w:rsidR="00706B97" w:rsidRPr="008F332A">
        <w:rPr>
          <w:rFonts w:cstheme="minorHAnsi"/>
          <w:i/>
          <w:color w:val="000000" w:themeColor="text1"/>
        </w:rPr>
        <w:t xml:space="preserve">Reducing and ultimately eliminating GBV that affects women, men and children in our communities through a multi-sectoral coordinated approach. </w:t>
      </w:r>
      <w:r w:rsidR="00706B97" w:rsidRPr="008F332A">
        <w:rPr>
          <w:rFonts w:eastAsia="Times New Roman" w:cstheme="minorHAnsi"/>
          <w:color w:val="000000" w:themeColor="text1"/>
        </w:rPr>
        <w:t xml:space="preserve">The Nabilan goal encompasses the </w:t>
      </w:r>
      <w:r w:rsidR="00133ACF" w:rsidRPr="008F332A">
        <w:rPr>
          <w:rFonts w:eastAsia="Times New Roman" w:cstheme="minorHAnsi"/>
          <w:color w:val="000000" w:themeColor="text1"/>
        </w:rPr>
        <w:t xml:space="preserve">NAP-GBV </w:t>
      </w:r>
      <w:r w:rsidR="00706B97" w:rsidRPr="008F332A">
        <w:rPr>
          <w:rFonts w:eastAsia="Times New Roman" w:cstheme="minorHAnsi"/>
          <w:color w:val="000000" w:themeColor="text1"/>
        </w:rPr>
        <w:t>outcome relating to access to quality and inclusive services by women and children impacted by violence.</w:t>
      </w:r>
      <w:r w:rsidR="00035511" w:rsidRPr="008F332A">
        <w:rPr>
          <w:rFonts w:eastAsia="Times New Roman" w:cstheme="minorHAnsi"/>
          <w:color w:val="000000" w:themeColor="text1"/>
        </w:rPr>
        <w:t xml:space="preserve"> </w:t>
      </w:r>
    </w:p>
    <w:p w14:paraId="31336BBD" w14:textId="77777777" w:rsidR="003C5E4A" w:rsidRPr="008F332A" w:rsidRDefault="003C5E4A" w:rsidP="003A2CCC">
      <w:pPr>
        <w:autoSpaceDE w:val="0"/>
        <w:autoSpaceDN w:val="0"/>
        <w:adjustRightInd w:val="0"/>
        <w:rPr>
          <w:rFonts w:eastAsia="Times New Roman" w:cstheme="minorHAnsi"/>
          <w:color w:val="000000" w:themeColor="text1"/>
        </w:rPr>
        <w:sectPr w:rsidR="003C5E4A" w:rsidRPr="008F332A" w:rsidSect="006B12E0">
          <w:type w:val="continuous"/>
          <w:pgSz w:w="11899" w:h="16838"/>
          <w:pgMar w:top="1152" w:right="1296" w:bottom="1296" w:left="1152" w:header="288" w:footer="288" w:gutter="0"/>
          <w:pgNumType w:start="1"/>
          <w:cols w:space="708"/>
          <w:titlePg/>
          <w:docGrid w:linePitch="360"/>
        </w:sectPr>
      </w:pPr>
    </w:p>
    <w:p w14:paraId="1CB911B9" w14:textId="77777777" w:rsidR="003C5E4A" w:rsidRPr="008F332A" w:rsidRDefault="00B02D6C" w:rsidP="003A2CCC">
      <w:pPr>
        <w:autoSpaceDE w:val="0"/>
        <w:autoSpaceDN w:val="0"/>
        <w:adjustRightInd w:val="0"/>
        <w:rPr>
          <w:rFonts w:eastAsia="Times New Roman" w:cstheme="minorHAnsi"/>
          <w:color w:val="000000" w:themeColor="text1"/>
        </w:rPr>
      </w:pPr>
      <w:r>
        <w:rPr>
          <w:noProof/>
          <w:lang w:eastAsia="en-AU"/>
        </w:rPr>
        <w:drawing>
          <wp:inline distT="0" distB="0" distL="0" distR="0" wp14:anchorId="12F7BC3D" wp14:editId="44FD1A6B">
            <wp:extent cx="9137641" cy="5359179"/>
            <wp:effectExtent l="0" t="0" r="698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a:stretch/>
                  </pic:blipFill>
                  <pic:spPr bwMode="auto">
                    <a:xfrm>
                      <a:off x="0" y="0"/>
                      <a:ext cx="9137650" cy="5359184"/>
                    </a:xfrm>
                    <a:prstGeom prst="rect">
                      <a:avLst/>
                    </a:prstGeom>
                    <a:noFill/>
                    <a:ln>
                      <a:noFill/>
                    </a:ln>
                    <a:extLst>
                      <a:ext uri="{53640926-AAD7-44D8-BBD7-CCE9431645EC}">
                        <a14:shadowObscured xmlns:a14="http://schemas.microsoft.com/office/drawing/2010/main"/>
                      </a:ext>
                    </a:extLst>
                  </pic:spPr>
                </pic:pic>
              </a:graphicData>
            </a:graphic>
          </wp:inline>
        </w:drawing>
      </w:r>
    </w:p>
    <w:p w14:paraId="02E99471" w14:textId="681A22B3" w:rsidR="003C5E4A" w:rsidRPr="008F332A" w:rsidRDefault="003C5E4A" w:rsidP="003A2CCC">
      <w:pPr>
        <w:pStyle w:val="Caption"/>
        <w:spacing w:before="120"/>
        <w:jc w:val="both"/>
        <w:rPr>
          <w:rFonts w:asciiTheme="minorHAnsi" w:hAnsiTheme="minorHAnsi" w:cstheme="minorHAnsi"/>
          <w:b w:val="0"/>
          <w:color w:val="002D88" w:themeColor="accent6" w:themeTint="E6"/>
          <w:sz w:val="22"/>
          <w:szCs w:val="22"/>
        </w:rPr>
        <w:sectPr w:rsidR="003C5E4A" w:rsidRPr="008F332A" w:rsidSect="003C5E4A">
          <w:pgSz w:w="16838" w:h="11899" w:orient="landscape"/>
          <w:pgMar w:top="1296" w:right="1296" w:bottom="1152" w:left="1152" w:header="288" w:footer="288" w:gutter="0"/>
          <w:cols w:space="708"/>
          <w:titlePg/>
          <w:docGrid w:linePitch="360"/>
        </w:sectPr>
      </w:pPr>
      <w:r w:rsidRPr="008F332A">
        <w:rPr>
          <w:rFonts w:asciiTheme="minorHAnsi" w:hAnsiTheme="minorHAnsi" w:cstheme="minorHAnsi"/>
          <w:b w:val="0"/>
          <w:color w:val="002D88" w:themeColor="accent6" w:themeTint="E6"/>
          <w:sz w:val="22"/>
          <w:szCs w:val="22"/>
        </w:rPr>
        <w:t xml:space="preserve">Figure </w:t>
      </w:r>
      <w:r w:rsidRPr="008F332A">
        <w:rPr>
          <w:rFonts w:asciiTheme="minorHAnsi" w:hAnsiTheme="minorHAnsi" w:cstheme="minorHAnsi"/>
          <w:b w:val="0"/>
          <w:color w:val="002D88" w:themeColor="accent6" w:themeTint="E6"/>
          <w:sz w:val="22"/>
          <w:szCs w:val="22"/>
        </w:rPr>
        <w:fldChar w:fldCharType="begin"/>
      </w:r>
      <w:r w:rsidRPr="008F332A">
        <w:rPr>
          <w:rFonts w:asciiTheme="minorHAnsi" w:hAnsiTheme="minorHAnsi" w:cstheme="minorHAnsi"/>
          <w:b w:val="0"/>
          <w:color w:val="002D88" w:themeColor="accent6" w:themeTint="E6"/>
          <w:sz w:val="22"/>
          <w:szCs w:val="22"/>
        </w:rPr>
        <w:instrText xml:space="preserve"> SEQ Figure \* ARABIC </w:instrText>
      </w:r>
      <w:r w:rsidRPr="008F332A">
        <w:rPr>
          <w:rFonts w:asciiTheme="minorHAnsi" w:hAnsiTheme="minorHAnsi" w:cstheme="minorHAnsi"/>
          <w:b w:val="0"/>
          <w:color w:val="002D88" w:themeColor="accent6" w:themeTint="E6"/>
          <w:sz w:val="22"/>
          <w:szCs w:val="22"/>
        </w:rPr>
        <w:fldChar w:fldCharType="separate"/>
      </w:r>
      <w:r w:rsidR="0082402C">
        <w:rPr>
          <w:rFonts w:asciiTheme="minorHAnsi" w:hAnsiTheme="minorHAnsi" w:cstheme="minorHAnsi"/>
          <w:b w:val="0"/>
          <w:noProof/>
          <w:color w:val="002D88" w:themeColor="accent6" w:themeTint="E6"/>
          <w:sz w:val="22"/>
          <w:szCs w:val="22"/>
        </w:rPr>
        <w:t>1</w:t>
      </w:r>
      <w:r w:rsidRPr="008F332A">
        <w:rPr>
          <w:rFonts w:asciiTheme="minorHAnsi" w:hAnsiTheme="minorHAnsi" w:cstheme="minorHAnsi"/>
          <w:b w:val="0"/>
          <w:color w:val="002D88" w:themeColor="accent6" w:themeTint="E6"/>
          <w:sz w:val="22"/>
          <w:szCs w:val="22"/>
        </w:rPr>
        <w:fldChar w:fldCharType="end"/>
      </w:r>
      <w:r w:rsidR="003678E9" w:rsidRPr="008F332A">
        <w:rPr>
          <w:rFonts w:asciiTheme="minorHAnsi" w:hAnsiTheme="minorHAnsi" w:cstheme="minorHAnsi"/>
          <w:b w:val="0"/>
          <w:color w:val="002D88" w:themeColor="accent6" w:themeTint="E6"/>
          <w:sz w:val="22"/>
          <w:szCs w:val="22"/>
        </w:rPr>
        <w:t>:</w:t>
      </w:r>
      <w:r w:rsidRPr="008F332A">
        <w:rPr>
          <w:rFonts w:asciiTheme="minorHAnsi" w:hAnsiTheme="minorHAnsi" w:cstheme="minorHAnsi"/>
          <w:b w:val="0"/>
          <w:color w:val="002D88" w:themeColor="accent6" w:themeTint="E6"/>
          <w:sz w:val="22"/>
          <w:szCs w:val="22"/>
        </w:rPr>
        <w:t xml:space="preserve"> Nabilan Phase 2 Theory of Change</w:t>
      </w:r>
    </w:p>
    <w:p w14:paraId="55F0694C" w14:textId="77777777" w:rsidR="004C2959" w:rsidRPr="008F332A" w:rsidRDefault="004C2959" w:rsidP="003A2CCC">
      <w:pPr>
        <w:rPr>
          <w:rFonts w:cstheme="minorHAnsi"/>
          <w:b/>
          <w:color w:val="002D88" w:themeColor="accent6" w:themeTint="E6"/>
        </w:rPr>
      </w:pPr>
    </w:p>
    <w:p w14:paraId="030475F0" w14:textId="77777777" w:rsidR="00706B97" w:rsidRPr="008F332A" w:rsidRDefault="00706B97" w:rsidP="003A2CCC">
      <w:pPr>
        <w:rPr>
          <w:rFonts w:cstheme="minorHAnsi"/>
          <w:b/>
          <w:color w:val="002D88" w:themeColor="accent6" w:themeTint="E6"/>
          <w:u w:val="single"/>
        </w:rPr>
      </w:pPr>
      <w:r w:rsidRPr="008F332A">
        <w:rPr>
          <w:rFonts w:cstheme="minorHAnsi"/>
          <w:b/>
          <w:color w:val="002D88" w:themeColor="accent6" w:themeTint="E6"/>
          <w:u w:val="single"/>
        </w:rPr>
        <w:t>EOPO1:  Women and children who experience violence have access to quality and inclusive services</w:t>
      </w:r>
    </w:p>
    <w:p w14:paraId="5D2D1CD3" w14:textId="77777777" w:rsidR="009B74B9" w:rsidRPr="008F332A" w:rsidRDefault="009B74B9" w:rsidP="003A2CCC">
      <w:pPr>
        <w:rPr>
          <w:rFonts w:cstheme="minorHAnsi"/>
          <w:color w:val="000000" w:themeColor="text1"/>
        </w:rPr>
      </w:pPr>
      <w:r w:rsidRPr="008F332A">
        <w:rPr>
          <w:rFonts w:cstheme="minorHAnsi"/>
          <w:color w:val="000000" w:themeColor="text1"/>
        </w:rPr>
        <w:t xml:space="preserve">The intermediate outcomes under EOPO1 are: </w:t>
      </w:r>
    </w:p>
    <w:p w14:paraId="26B7C40A" w14:textId="77777777" w:rsidR="009B74B9" w:rsidRPr="008F332A" w:rsidRDefault="009B74B9" w:rsidP="003A2CCC">
      <w:pPr>
        <w:rPr>
          <w:rFonts w:cstheme="minorHAnsi"/>
          <w:color w:val="000000" w:themeColor="text1"/>
          <w:u w:val="single"/>
        </w:rPr>
      </w:pPr>
      <w:r w:rsidRPr="008F332A">
        <w:rPr>
          <w:rFonts w:cstheme="minorHAnsi"/>
          <w:b/>
          <w:color w:val="000000" w:themeColor="text1"/>
          <w:u w:val="single"/>
        </w:rPr>
        <w:t>IO 1.1:</w:t>
      </w:r>
      <w:r w:rsidRPr="008F332A">
        <w:rPr>
          <w:rFonts w:cstheme="minorHAnsi"/>
          <w:color w:val="000000" w:themeColor="text1"/>
          <w:u w:val="single"/>
        </w:rPr>
        <w:t xml:space="preserve"> Service providers use increased skills, knowledge and sensitivity to deliver services</w:t>
      </w:r>
    </w:p>
    <w:p w14:paraId="72E88800" w14:textId="2750D3D4" w:rsidR="009B74B9" w:rsidRPr="008F332A" w:rsidRDefault="009B74B9" w:rsidP="003A2CCC">
      <w:pPr>
        <w:keepNext/>
        <w:rPr>
          <w:rFonts w:cstheme="minorHAnsi"/>
          <w:color w:val="000000" w:themeColor="text1"/>
          <w:u w:val="single"/>
        </w:rPr>
      </w:pPr>
      <w:r w:rsidRPr="008F332A">
        <w:rPr>
          <w:rFonts w:cstheme="minorHAnsi"/>
          <w:b/>
          <w:color w:val="000000" w:themeColor="text1"/>
          <w:u w:val="single"/>
        </w:rPr>
        <w:t>IO 1.2:</w:t>
      </w:r>
      <w:r w:rsidRPr="008F332A">
        <w:rPr>
          <w:rFonts w:cstheme="minorHAnsi"/>
          <w:color w:val="000000" w:themeColor="text1"/>
          <w:u w:val="single"/>
        </w:rPr>
        <w:t xml:space="preserve"> Women and children </w:t>
      </w:r>
      <w:r w:rsidR="00AA335A">
        <w:rPr>
          <w:rFonts w:cstheme="minorHAnsi"/>
          <w:color w:val="000000" w:themeColor="text1"/>
          <w:u w:val="single"/>
        </w:rPr>
        <w:t xml:space="preserve">who </w:t>
      </w:r>
      <w:r w:rsidRPr="008F332A">
        <w:rPr>
          <w:rFonts w:cstheme="minorHAnsi"/>
          <w:color w:val="000000" w:themeColor="text1"/>
          <w:u w:val="single"/>
        </w:rPr>
        <w:t>experienc</w:t>
      </w:r>
      <w:r w:rsidR="00AA335A">
        <w:rPr>
          <w:rFonts w:cstheme="minorHAnsi"/>
          <w:color w:val="000000" w:themeColor="text1"/>
          <w:u w:val="single"/>
        </w:rPr>
        <w:t>e</w:t>
      </w:r>
      <w:r w:rsidRPr="008F332A">
        <w:rPr>
          <w:rFonts w:cstheme="minorHAnsi"/>
          <w:color w:val="000000" w:themeColor="text1"/>
          <w:u w:val="single"/>
        </w:rPr>
        <w:t xml:space="preserve"> violence are referred to appropriate services </w:t>
      </w:r>
    </w:p>
    <w:p w14:paraId="5DB65611" w14:textId="77777777" w:rsidR="009B74B9" w:rsidRPr="008F332A" w:rsidRDefault="009B74B9" w:rsidP="003A2CCC">
      <w:pPr>
        <w:keepNext/>
        <w:rPr>
          <w:rFonts w:cstheme="minorHAnsi"/>
          <w:color w:val="000000" w:themeColor="text1"/>
          <w:u w:val="single"/>
        </w:rPr>
      </w:pPr>
      <w:r w:rsidRPr="008F332A">
        <w:rPr>
          <w:rFonts w:cstheme="minorHAnsi"/>
          <w:b/>
          <w:color w:val="000000" w:themeColor="text1"/>
          <w:u w:val="single"/>
        </w:rPr>
        <w:t>IO 1.3:</w:t>
      </w:r>
      <w:r w:rsidRPr="008F332A">
        <w:rPr>
          <w:rFonts w:cstheme="minorHAnsi"/>
          <w:color w:val="000000" w:themeColor="text1"/>
          <w:u w:val="single"/>
        </w:rPr>
        <w:t xml:space="preserve"> Relevant Ministries use evidence to allocate funding of essential services</w:t>
      </w:r>
    </w:p>
    <w:p w14:paraId="3710C3EF" w14:textId="77777777" w:rsidR="009B74B9" w:rsidRPr="008F332A" w:rsidRDefault="009B74B9" w:rsidP="003A2CCC">
      <w:pPr>
        <w:keepNext/>
        <w:rPr>
          <w:rFonts w:cstheme="minorHAnsi"/>
          <w:color w:val="000000" w:themeColor="text1"/>
          <w:u w:val="single"/>
        </w:rPr>
      </w:pPr>
      <w:r w:rsidRPr="008F332A">
        <w:rPr>
          <w:rFonts w:cstheme="minorHAnsi"/>
          <w:b/>
          <w:color w:val="000000" w:themeColor="text1"/>
          <w:u w:val="single"/>
        </w:rPr>
        <w:t>IO1.4</w:t>
      </w:r>
      <w:r w:rsidR="00BF6A93" w:rsidRPr="008F332A">
        <w:rPr>
          <w:rFonts w:cstheme="minorHAnsi"/>
          <w:color w:val="000000" w:themeColor="text1"/>
          <w:u w:val="single"/>
        </w:rPr>
        <w:t>:</w:t>
      </w:r>
      <w:r w:rsidRPr="008F332A">
        <w:rPr>
          <w:rFonts w:cstheme="minorHAnsi"/>
          <w:color w:val="000000" w:themeColor="text1"/>
          <w:u w:val="single"/>
        </w:rPr>
        <w:t xml:space="preserve"> The justice sector improves its response to</w:t>
      </w:r>
      <w:r w:rsidR="00224AF2" w:rsidRPr="008F332A">
        <w:rPr>
          <w:rFonts w:cstheme="minorHAnsi"/>
          <w:color w:val="000000" w:themeColor="text1"/>
          <w:u w:val="single"/>
        </w:rPr>
        <w:t xml:space="preserve"> violence against women and children</w:t>
      </w:r>
    </w:p>
    <w:p w14:paraId="19398809" w14:textId="2964FDAA" w:rsidR="00AB1024" w:rsidRPr="008F332A" w:rsidRDefault="00AC5704" w:rsidP="003A2CCC">
      <w:pPr>
        <w:rPr>
          <w:rFonts w:cstheme="minorHAnsi"/>
          <w:color w:val="000000" w:themeColor="text1"/>
        </w:rPr>
      </w:pPr>
      <w:r w:rsidRPr="008F332A">
        <w:rPr>
          <w:rFonts w:cstheme="minorHAnsi"/>
          <w:noProof/>
          <w:color w:val="000000" w:themeColor="text1"/>
          <w:lang w:eastAsia="en-AU"/>
        </w:rPr>
        <mc:AlternateContent>
          <mc:Choice Requires="wps">
            <w:drawing>
              <wp:anchor distT="0" distB="0" distL="114300" distR="114300" simplePos="0" relativeHeight="251662336" behindDoc="0" locked="0" layoutInCell="1" allowOverlap="1" wp14:anchorId="3CEB65CB" wp14:editId="1A493402">
                <wp:simplePos x="0" y="0"/>
                <wp:positionH relativeFrom="column">
                  <wp:posOffset>-17145</wp:posOffset>
                </wp:positionH>
                <wp:positionV relativeFrom="paragraph">
                  <wp:posOffset>1473835</wp:posOffset>
                </wp:positionV>
                <wp:extent cx="6105525" cy="2832100"/>
                <wp:effectExtent l="0" t="0" r="28575" b="25400"/>
                <wp:wrapSquare wrapText="bothSides"/>
                <wp:docPr id="1" name="Text Box 1"/>
                <wp:cNvGraphicFramePr/>
                <a:graphic xmlns:a="http://schemas.openxmlformats.org/drawingml/2006/main">
                  <a:graphicData uri="http://schemas.microsoft.com/office/word/2010/wordprocessingShape">
                    <wps:wsp>
                      <wps:cNvSpPr txBox="1"/>
                      <wps:spPr>
                        <a:xfrm>
                          <a:off x="0" y="0"/>
                          <a:ext cx="6105525" cy="2832100"/>
                        </a:xfrm>
                        <a:prstGeom prst="rect">
                          <a:avLst/>
                        </a:prstGeom>
                        <a:noFill/>
                        <a:ln w="6350">
                          <a:solidFill>
                            <a:prstClr val="black"/>
                          </a:solidFill>
                        </a:ln>
                      </wps:spPr>
                      <wps:txbx>
                        <w:txbxContent>
                          <w:p w14:paraId="572BD76B" w14:textId="77777777" w:rsidR="00356727" w:rsidRPr="005C27BB" w:rsidRDefault="00356727" w:rsidP="00CD63FF">
                            <w:pPr>
                              <w:spacing w:after="0"/>
                              <w:rPr>
                                <w:rFonts w:eastAsia="Times New Roman"/>
                                <w:sz w:val="18"/>
                                <w:szCs w:val="18"/>
                              </w:rPr>
                            </w:pPr>
                            <w:r w:rsidRPr="005C27BB">
                              <w:rPr>
                                <w:rFonts w:eastAsia="Times New Roman"/>
                                <w:b/>
                                <w:sz w:val="18"/>
                                <w:szCs w:val="18"/>
                              </w:rPr>
                              <w:t>Box 1:</w:t>
                            </w:r>
                            <w:r w:rsidRPr="005C27BB">
                              <w:rPr>
                                <w:rFonts w:eastAsia="Times New Roman"/>
                                <w:sz w:val="18"/>
                                <w:szCs w:val="18"/>
                              </w:rPr>
                              <w:t xml:space="preserve"> The </w:t>
                            </w:r>
                            <w:r w:rsidRPr="005C27BB">
                              <w:rPr>
                                <w:rFonts w:eastAsia="Times New Roman"/>
                                <w:b/>
                                <w:sz w:val="18"/>
                                <w:szCs w:val="18"/>
                              </w:rPr>
                              <w:t>NAP-GBV</w:t>
                            </w:r>
                            <w:r w:rsidRPr="005C27BB">
                              <w:rPr>
                                <w:rFonts w:eastAsia="Times New Roman"/>
                                <w:sz w:val="18"/>
                                <w:szCs w:val="18"/>
                              </w:rPr>
                              <w:t xml:space="preserve"> provides for provision of support services (Pillar II) and access to legal and justice services (Pillar III) for victims/survivors of gender-based violence as follows: </w:t>
                            </w:r>
                          </w:p>
                          <w:p w14:paraId="47F3F611" w14:textId="77777777" w:rsidR="00356727" w:rsidRPr="005C27BB" w:rsidRDefault="00356727" w:rsidP="00CD63FF">
                            <w:pPr>
                              <w:pStyle w:val="ListParagraph"/>
                              <w:numPr>
                                <w:ilvl w:val="0"/>
                                <w:numId w:val="10"/>
                              </w:numPr>
                              <w:spacing w:after="200" w:line="276" w:lineRule="auto"/>
                              <w:rPr>
                                <w:rFonts w:eastAsia="Times New Roman"/>
                                <w:sz w:val="18"/>
                                <w:szCs w:val="18"/>
                                <w:lang w:val="en-AU"/>
                              </w:rPr>
                            </w:pPr>
                            <w:r w:rsidRPr="005C27BB">
                              <w:rPr>
                                <w:rFonts w:eastAsia="Times New Roman"/>
                                <w:sz w:val="18"/>
                                <w:szCs w:val="18"/>
                                <w:lang w:val="en-AU"/>
                              </w:rPr>
                              <w:t xml:space="preserve">strengthened, accessible and timely essential health services for victims/survivors; </w:t>
                            </w:r>
                          </w:p>
                          <w:p w14:paraId="7533CDFA" w14:textId="77777777" w:rsidR="00356727" w:rsidRPr="005C27BB" w:rsidRDefault="00356727" w:rsidP="00CD63FF">
                            <w:pPr>
                              <w:pStyle w:val="ListParagraph"/>
                              <w:numPr>
                                <w:ilvl w:val="0"/>
                                <w:numId w:val="10"/>
                              </w:numPr>
                              <w:spacing w:after="200" w:line="276" w:lineRule="auto"/>
                              <w:rPr>
                                <w:rFonts w:eastAsia="Times New Roman"/>
                                <w:sz w:val="18"/>
                                <w:szCs w:val="18"/>
                                <w:lang w:val="en-AU"/>
                              </w:rPr>
                            </w:pPr>
                            <w:r w:rsidRPr="005C27BB">
                              <w:rPr>
                                <w:rFonts w:eastAsia="Times New Roman"/>
                                <w:sz w:val="18"/>
                                <w:szCs w:val="18"/>
                                <w:lang w:val="en-AU"/>
                              </w:rPr>
                              <w:t>enhanced access to accommodation and shelter for victims/survivors in safe, responsive, and gender sensitive facilities, short and long-term;</w:t>
                            </w:r>
                          </w:p>
                          <w:p w14:paraId="5F71EDEC" w14:textId="77777777" w:rsidR="00356727" w:rsidRPr="005C27BB" w:rsidRDefault="00356727" w:rsidP="00CD63FF">
                            <w:pPr>
                              <w:pStyle w:val="ListParagraph"/>
                              <w:numPr>
                                <w:ilvl w:val="0"/>
                                <w:numId w:val="10"/>
                              </w:numPr>
                              <w:spacing w:after="200" w:line="276" w:lineRule="auto"/>
                              <w:rPr>
                                <w:rFonts w:eastAsia="Times New Roman"/>
                                <w:sz w:val="18"/>
                                <w:szCs w:val="18"/>
                                <w:lang w:val="en-AU"/>
                              </w:rPr>
                            </w:pPr>
                            <w:r w:rsidRPr="005C27BB">
                              <w:rPr>
                                <w:rFonts w:eastAsia="Times New Roman"/>
                                <w:sz w:val="18"/>
                                <w:szCs w:val="18"/>
                                <w:lang w:val="en-AU"/>
                              </w:rPr>
                              <w:t xml:space="preserve">strengthened accessibility to adequate crisis information, and counselling (including psycho-social support) for victims/survivors; </w:t>
                            </w:r>
                          </w:p>
                          <w:p w14:paraId="30C16B8D" w14:textId="3E3B38CE" w:rsidR="00356727" w:rsidRPr="005C27BB" w:rsidRDefault="00356727" w:rsidP="00CD63FF">
                            <w:pPr>
                              <w:pStyle w:val="ListParagraph"/>
                              <w:numPr>
                                <w:ilvl w:val="0"/>
                                <w:numId w:val="11"/>
                              </w:numPr>
                              <w:spacing w:before="240" w:after="200" w:line="276" w:lineRule="auto"/>
                              <w:rPr>
                                <w:rFonts w:eastAsia="Times New Roman"/>
                                <w:sz w:val="18"/>
                                <w:szCs w:val="18"/>
                                <w:lang w:val="en-AU"/>
                              </w:rPr>
                            </w:pPr>
                            <w:r w:rsidRPr="005C27BB">
                              <w:rPr>
                                <w:rFonts w:eastAsia="Times New Roman"/>
                                <w:sz w:val="18"/>
                                <w:szCs w:val="18"/>
                                <w:lang w:val="en-AU"/>
                              </w:rPr>
                              <w:t>strengthened measures to facilitate economic independence, recovery and autonomy of victims/survivors</w:t>
                            </w:r>
                            <w:r>
                              <w:rPr>
                                <w:rFonts w:eastAsia="Times New Roman"/>
                                <w:sz w:val="18"/>
                                <w:szCs w:val="18"/>
                                <w:lang w:val="en-AU"/>
                              </w:rPr>
                              <w:t>;</w:t>
                            </w:r>
                            <w:r w:rsidRPr="005C27BB">
                              <w:rPr>
                                <w:rFonts w:eastAsia="Times New Roman"/>
                                <w:sz w:val="18"/>
                                <w:szCs w:val="18"/>
                                <w:lang w:val="en-AU"/>
                              </w:rPr>
                              <w:t xml:space="preserve"> </w:t>
                            </w:r>
                          </w:p>
                          <w:p w14:paraId="0747BA85" w14:textId="77777777" w:rsidR="00356727" w:rsidRPr="005C27BB" w:rsidRDefault="00356727" w:rsidP="00CD63FF">
                            <w:pPr>
                              <w:pStyle w:val="ListParagraph"/>
                              <w:numPr>
                                <w:ilvl w:val="0"/>
                                <w:numId w:val="11"/>
                              </w:numPr>
                              <w:spacing w:before="240" w:after="200" w:line="276" w:lineRule="auto"/>
                              <w:rPr>
                                <w:rFonts w:eastAsia="Times New Roman"/>
                                <w:sz w:val="18"/>
                                <w:szCs w:val="18"/>
                                <w:lang w:val="en-AU"/>
                              </w:rPr>
                            </w:pPr>
                            <w:r w:rsidRPr="005C27BB">
                              <w:rPr>
                                <w:rFonts w:eastAsia="Times New Roman"/>
                                <w:sz w:val="18"/>
                                <w:szCs w:val="18"/>
                                <w:lang w:val="en-AU"/>
                              </w:rPr>
                              <w:t>enhanced national legal framework to protect victims/survivors, in compliance with international standards;</w:t>
                            </w:r>
                          </w:p>
                          <w:p w14:paraId="65CB3FEE" w14:textId="77777777" w:rsidR="00356727" w:rsidRPr="005C27BB" w:rsidRDefault="00356727" w:rsidP="00CD63FF">
                            <w:pPr>
                              <w:pStyle w:val="ListParagraph"/>
                              <w:numPr>
                                <w:ilvl w:val="0"/>
                                <w:numId w:val="11"/>
                              </w:numPr>
                              <w:spacing w:before="240" w:after="200" w:line="276" w:lineRule="auto"/>
                              <w:rPr>
                                <w:rFonts w:eastAsia="Times New Roman"/>
                                <w:sz w:val="18"/>
                                <w:szCs w:val="18"/>
                                <w:lang w:val="en-AU"/>
                              </w:rPr>
                            </w:pPr>
                            <w:r w:rsidRPr="005C27BB">
                              <w:rPr>
                                <w:rFonts w:eastAsia="Times New Roman"/>
                                <w:sz w:val="18"/>
                                <w:szCs w:val="18"/>
                                <w:lang w:val="en-AU"/>
                              </w:rPr>
                              <w:t>strengthened access to information on rights, services and legal aid for victims/survivors, including</w:t>
                            </w:r>
                            <w:r w:rsidRPr="005C27BB">
                              <w:rPr>
                                <w:rFonts w:eastAsia="Times New Roman" w:cs="Arial"/>
                                <w:sz w:val="18"/>
                                <w:szCs w:val="18"/>
                                <w:lang w:val="en-AU"/>
                              </w:rPr>
                              <w:t xml:space="preserve"> </w:t>
                            </w:r>
                            <w:r w:rsidRPr="005C27BB">
                              <w:rPr>
                                <w:rFonts w:eastAsia="Times New Roman"/>
                                <w:sz w:val="18"/>
                                <w:szCs w:val="18"/>
                                <w:lang w:val="en-AU"/>
                              </w:rPr>
                              <w:t>accompaniment through legal processes;</w:t>
                            </w:r>
                          </w:p>
                          <w:p w14:paraId="41606F78" w14:textId="77777777" w:rsidR="00356727" w:rsidRPr="005C27BB" w:rsidRDefault="00356727" w:rsidP="00CD63FF">
                            <w:pPr>
                              <w:pStyle w:val="ListParagraph"/>
                              <w:numPr>
                                <w:ilvl w:val="0"/>
                                <w:numId w:val="11"/>
                              </w:numPr>
                              <w:spacing w:before="240" w:after="200" w:line="276" w:lineRule="auto"/>
                              <w:rPr>
                                <w:rFonts w:eastAsia="Times New Roman" w:cs="Arial"/>
                                <w:sz w:val="18"/>
                                <w:szCs w:val="18"/>
                                <w:lang w:val="en-AU"/>
                              </w:rPr>
                            </w:pPr>
                            <w:r w:rsidRPr="005C27BB">
                              <w:rPr>
                                <w:rFonts w:eastAsia="Times New Roman" w:cs="Arial"/>
                                <w:sz w:val="18"/>
                                <w:szCs w:val="18"/>
                                <w:lang w:val="en-AU"/>
                              </w:rPr>
                              <w:t>enhanced capacities of policing, prosecution, and institutions to ensure the provision of gender-sensitive, safe, accessible, free, and responsive services for victims/survivors;</w:t>
                            </w:r>
                          </w:p>
                          <w:p w14:paraId="2BA1188D" w14:textId="77777777" w:rsidR="00356727" w:rsidRPr="005C27BB" w:rsidRDefault="00356727" w:rsidP="00CD63FF">
                            <w:pPr>
                              <w:pStyle w:val="ListParagraph"/>
                              <w:numPr>
                                <w:ilvl w:val="0"/>
                                <w:numId w:val="11"/>
                              </w:numPr>
                              <w:spacing w:before="240" w:after="200" w:line="276" w:lineRule="auto"/>
                              <w:rPr>
                                <w:rFonts w:eastAsia="Times New Roman" w:cs="Arial"/>
                                <w:sz w:val="18"/>
                                <w:szCs w:val="18"/>
                                <w:lang w:val="en-AU"/>
                              </w:rPr>
                            </w:pPr>
                            <w:r w:rsidRPr="005C27BB">
                              <w:rPr>
                                <w:rFonts w:eastAsia="Times New Roman" w:cs="Arial"/>
                                <w:sz w:val="18"/>
                                <w:szCs w:val="18"/>
                                <w:lang w:val="en-AU"/>
                              </w:rPr>
                              <w:t>strengthened judicial actors’ capacities to ensure gender sensitive protection and compensation for</w:t>
                            </w:r>
                            <w:r w:rsidRPr="005C27BB">
                              <w:rPr>
                                <w:rFonts w:eastAsia="Times New Roman" w:cs="Arial"/>
                                <w:lang w:val="en-AU"/>
                              </w:rPr>
                              <w:t xml:space="preserve"> </w:t>
                            </w:r>
                            <w:r w:rsidRPr="005C27BB">
                              <w:rPr>
                                <w:rFonts w:eastAsia="Times New Roman" w:cs="Arial"/>
                                <w:sz w:val="18"/>
                                <w:szCs w:val="18"/>
                                <w:lang w:val="en-AU"/>
                              </w:rPr>
                              <w:t>victims/survivors, as well as to ensure perpetrators are adequately punished; and</w:t>
                            </w:r>
                          </w:p>
                          <w:p w14:paraId="5E379769" w14:textId="77777777" w:rsidR="00356727" w:rsidRPr="005C27BB" w:rsidRDefault="00356727" w:rsidP="00CD63FF">
                            <w:pPr>
                              <w:pStyle w:val="ListParagraph"/>
                              <w:numPr>
                                <w:ilvl w:val="0"/>
                                <w:numId w:val="11"/>
                              </w:numPr>
                              <w:spacing w:before="240" w:after="200" w:line="276" w:lineRule="auto"/>
                              <w:rPr>
                                <w:rFonts w:eastAsia="Times New Roman" w:cs="Arial"/>
                                <w:sz w:val="18"/>
                                <w:szCs w:val="18"/>
                                <w:lang w:val="en-AU"/>
                              </w:rPr>
                            </w:pPr>
                            <w:r w:rsidRPr="005C27BB">
                              <w:rPr>
                                <w:rFonts w:eastAsia="Times New Roman" w:cs="Arial"/>
                                <w:sz w:val="18"/>
                                <w:szCs w:val="18"/>
                                <w:lang w:val="en-AU"/>
                              </w:rPr>
                              <w:t>strengthened rehabilitation programmes and monitoring and evaluation of programme effectiveness for perpetrators to reduce recidivism.</w:t>
                            </w:r>
                          </w:p>
                          <w:p w14:paraId="15B88E35" w14:textId="77777777" w:rsidR="00356727" w:rsidRPr="003D4A1B" w:rsidRDefault="00356727" w:rsidP="00CD63FF">
                            <w:pPr>
                              <w:pStyle w:val="ListParagraph"/>
                              <w:spacing w:after="200" w:line="276" w:lineRule="auto"/>
                              <w:ind w:left="360" w:firstLine="0"/>
                              <w:rPr>
                                <w:rFonts w:eastAsia="Times New Roman"/>
                                <w:color w:val="002D88" w:themeColor="accent6" w:themeTint="E6"/>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EB65CB" id="_x0000_t202" coordsize="21600,21600" o:spt="202" path="m,l,21600r21600,l21600,xe">
                <v:stroke joinstyle="miter"/>
                <v:path gradientshapeok="t" o:connecttype="rect"/>
              </v:shapetype>
              <v:shape id="Text Box 1" o:spid="_x0000_s1026" type="#_x0000_t202" style="position:absolute;left:0;text-align:left;margin-left:-1.35pt;margin-top:116.05pt;width:480.75pt;height:22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" filled="f" strokeweight=".5pt">
                <v:textbox>
                  <w:txbxContent>
                    <w:p w14:paraId="572BD76B" w14:textId="77777777" w:rsidR="00356727" w:rsidRPr="005C27BB" w:rsidRDefault="00356727" w:rsidP="00CD63FF">
                      <w:pPr>
                        <w:spacing w:after="0"/>
                        <w:rPr>
                          <w:rFonts w:eastAsia="Times New Roman"/>
                          <w:sz w:val="18"/>
                          <w:szCs w:val="18"/>
                        </w:rPr>
                      </w:pPr>
                      <w:r w:rsidRPr="005C27BB">
                        <w:rPr>
                          <w:rFonts w:eastAsia="Times New Roman"/>
                          <w:b/>
                          <w:sz w:val="18"/>
                          <w:szCs w:val="18"/>
                        </w:rPr>
                        <w:t>Box 1:</w:t>
                      </w:r>
                      <w:r w:rsidRPr="005C27BB">
                        <w:rPr>
                          <w:rFonts w:eastAsia="Times New Roman"/>
                          <w:sz w:val="18"/>
                          <w:szCs w:val="18"/>
                        </w:rPr>
                        <w:t xml:space="preserve"> The </w:t>
                      </w:r>
                      <w:r w:rsidRPr="005C27BB">
                        <w:rPr>
                          <w:rFonts w:eastAsia="Times New Roman"/>
                          <w:b/>
                          <w:sz w:val="18"/>
                          <w:szCs w:val="18"/>
                        </w:rPr>
                        <w:t>NAP-GBV</w:t>
                      </w:r>
                      <w:r w:rsidRPr="005C27BB">
                        <w:rPr>
                          <w:rFonts w:eastAsia="Times New Roman"/>
                          <w:sz w:val="18"/>
                          <w:szCs w:val="18"/>
                        </w:rPr>
                        <w:t xml:space="preserve"> provides for provision of support services (Pillar II) and access to legal and justice services (Pillar III) for victims/survivors of gender-based violence as follows: </w:t>
                      </w:r>
                    </w:p>
                    <w:p w14:paraId="47F3F611" w14:textId="77777777" w:rsidR="00356727" w:rsidRPr="005C27BB" w:rsidRDefault="00356727" w:rsidP="00CD63FF">
                      <w:pPr>
                        <w:pStyle w:val="ListParagraph"/>
                        <w:numPr>
                          <w:ilvl w:val="0"/>
                          <w:numId w:val="10"/>
                        </w:numPr>
                        <w:spacing w:after="200" w:line="276" w:lineRule="auto"/>
                        <w:rPr>
                          <w:rFonts w:eastAsia="Times New Roman"/>
                          <w:sz w:val="18"/>
                          <w:szCs w:val="18"/>
                          <w:lang w:val="en-AU"/>
                        </w:rPr>
                      </w:pPr>
                      <w:r w:rsidRPr="005C27BB">
                        <w:rPr>
                          <w:rFonts w:eastAsia="Times New Roman"/>
                          <w:sz w:val="18"/>
                          <w:szCs w:val="18"/>
                          <w:lang w:val="en-AU"/>
                        </w:rPr>
                        <w:t xml:space="preserve">strengthened, accessible and timely essential health services for victims/survivors; </w:t>
                      </w:r>
                    </w:p>
                    <w:p w14:paraId="7533CDFA" w14:textId="77777777" w:rsidR="00356727" w:rsidRPr="005C27BB" w:rsidRDefault="00356727" w:rsidP="00CD63FF">
                      <w:pPr>
                        <w:pStyle w:val="ListParagraph"/>
                        <w:numPr>
                          <w:ilvl w:val="0"/>
                          <w:numId w:val="10"/>
                        </w:numPr>
                        <w:spacing w:after="200" w:line="276" w:lineRule="auto"/>
                        <w:rPr>
                          <w:rFonts w:eastAsia="Times New Roman"/>
                          <w:sz w:val="18"/>
                          <w:szCs w:val="18"/>
                          <w:lang w:val="en-AU"/>
                        </w:rPr>
                      </w:pPr>
                      <w:r w:rsidRPr="005C27BB">
                        <w:rPr>
                          <w:rFonts w:eastAsia="Times New Roman"/>
                          <w:sz w:val="18"/>
                          <w:szCs w:val="18"/>
                          <w:lang w:val="en-AU"/>
                        </w:rPr>
                        <w:t>enhanced access to accommodation and shelter for victims/survivors in safe, responsive, and gender sensitive facilities, short and long-term;</w:t>
                      </w:r>
                    </w:p>
                    <w:p w14:paraId="5F71EDEC" w14:textId="77777777" w:rsidR="00356727" w:rsidRPr="005C27BB" w:rsidRDefault="00356727" w:rsidP="00CD63FF">
                      <w:pPr>
                        <w:pStyle w:val="ListParagraph"/>
                        <w:numPr>
                          <w:ilvl w:val="0"/>
                          <w:numId w:val="10"/>
                        </w:numPr>
                        <w:spacing w:after="200" w:line="276" w:lineRule="auto"/>
                        <w:rPr>
                          <w:rFonts w:eastAsia="Times New Roman"/>
                          <w:sz w:val="18"/>
                          <w:szCs w:val="18"/>
                          <w:lang w:val="en-AU"/>
                        </w:rPr>
                      </w:pPr>
                      <w:r w:rsidRPr="005C27BB">
                        <w:rPr>
                          <w:rFonts w:eastAsia="Times New Roman"/>
                          <w:sz w:val="18"/>
                          <w:szCs w:val="18"/>
                          <w:lang w:val="en-AU"/>
                        </w:rPr>
                        <w:t xml:space="preserve">strengthened accessibility to adequate crisis information, and counselling (including psycho-social support) for victims/survivors; </w:t>
                      </w:r>
                    </w:p>
                    <w:p w14:paraId="30C16B8D" w14:textId="3E3B38CE" w:rsidR="00356727" w:rsidRPr="005C27BB" w:rsidRDefault="00356727" w:rsidP="00CD63FF">
                      <w:pPr>
                        <w:pStyle w:val="ListParagraph"/>
                        <w:numPr>
                          <w:ilvl w:val="0"/>
                          <w:numId w:val="11"/>
                        </w:numPr>
                        <w:spacing w:before="240" w:after="200" w:line="276" w:lineRule="auto"/>
                        <w:rPr>
                          <w:rFonts w:eastAsia="Times New Roman"/>
                          <w:sz w:val="18"/>
                          <w:szCs w:val="18"/>
                          <w:lang w:val="en-AU"/>
                        </w:rPr>
                      </w:pPr>
                      <w:r w:rsidRPr="005C27BB">
                        <w:rPr>
                          <w:rFonts w:eastAsia="Times New Roman"/>
                          <w:sz w:val="18"/>
                          <w:szCs w:val="18"/>
                          <w:lang w:val="en-AU"/>
                        </w:rPr>
                        <w:t>strengthened measures to facilitate economic independence, recovery and autonomy of victims/survivors</w:t>
                      </w:r>
                      <w:r>
                        <w:rPr>
                          <w:rFonts w:eastAsia="Times New Roman"/>
                          <w:sz w:val="18"/>
                          <w:szCs w:val="18"/>
                          <w:lang w:val="en-AU"/>
                        </w:rPr>
                        <w:t>;</w:t>
                      </w:r>
                      <w:r w:rsidRPr="005C27BB">
                        <w:rPr>
                          <w:rFonts w:eastAsia="Times New Roman"/>
                          <w:sz w:val="18"/>
                          <w:szCs w:val="18"/>
                          <w:lang w:val="en-AU"/>
                        </w:rPr>
                        <w:t xml:space="preserve"> </w:t>
                      </w:r>
                    </w:p>
                    <w:p w14:paraId="0747BA85" w14:textId="77777777" w:rsidR="00356727" w:rsidRPr="005C27BB" w:rsidRDefault="00356727" w:rsidP="00CD63FF">
                      <w:pPr>
                        <w:pStyle w:val="ListParagraph"/>
                        <w:numPr>
                          <w:ilvl w:val="0"/>
                          <w:numId w:val="11"/>
                        </w:numPr>
                        <w:spacing w:before="240" w:after="200" w:line="276" w:lineRule="auto"/>
                        <w:rPr>
                          <w:rFonts w:eastAsia="Times New Roman"/>
                          <w:sz w:val="18"/>
                          <w:szCs w:val="18"/>
                          <w:lang w:val="en-AU"/>
                        </w:rPr>
                      </w:pPr>
                      <w:r w:rsidRPr="005C27BB">
                        <w:rPr>
                          <w:rFonts w:eastAsia="Times New Roman"/>
                          <w:sz w:val="18"/>
                          <w:szCs w:val="18"/>
                          <w:lang w:val="en-AU"/>
                        </w:rPr>
                        <w:t>enhanced national legal framework to protect victims/survivors, in compliance with international standards;</w:t>
                      </w:r>
                    </w:p>
                    <w:p w14:paraId="65CB3FEE" w14:textId="77777777" w:rsidR="00356727" w:rsidRPr="005C27BB" w:rsidRDefault="00356727" w:rsidP="00CD63FF">
                      <w:pPr>
                        <w:pStyle w:val="ListParagraph"/>
                        <w:numPr>
                          <w:ilvl w:val="0"/>
                          <w:numId w:val="11"/>
                        </w:numPr>
                        <w:spacing w:before="240" w:after="200" w:line="276" w:lineRule="auto"/>
                        <w:rPr>
                          <w:rFonts w:eastAsia="Times New Roman"/>
                          <w:sz w:val="18"/>
                          <w:szCs w:val="18"/>
                          <w:lang w:val="en-AU"/>
                        </w:rPr>
                      </w:pPr>
                      <w:r w:rsidRPr="005C27BB">
                        <w:rPr>
                          <w:rFonts w:eastAsia="Times New Roman"/>
                          <w:sz w:val="18"/>
                          <w:szCs w:val="18"/>
                          <w:lang w:val="en-AU"/>
                        </w:rPr>
                        <w:t>strengthened access to information on rights, services and legal aid for victims/survivors, including</w:t>
                      </w:r>
                      <w:r w:rsidRPr="005C27BB">
                        <w:rPr>
                          <w:rFonts w:eastAsia="Times New Roman" w:cs="Arial"/>
                          <w:sz w:val="18"/>
                          <w:szCs w:val="18"/>
                          <w:lang w:val="en-AU"/>
                        </w:rPr>
                        <w:t xml:space="preserve"> </w:t>
                      </w:r>
                      <w:r w:rsidRPr="005C27BB">
                        <w:rPr>
                          <w:rFonts w:eastAsia="Times New Roman"/>
                          <w:sz w:val="18"/>
                          <w:szCs w:val="18"/>
                          <w:lang w:val="en-AU"/>
                        </w:rPr>
                        <w:t>accompaniment through legal processes;</w:t>
                      </w:r>
                    </w:p>
                    <w:p w14:paraId="41606F78" w14:textId="77777777" w:rsidR="00356727" w:rsidRPr="005C27BB" w:rsidRDefault="00356727" w:rsidP="00CD63FF">
                      <w:pPr>
                        <w:pStyle w:val="ListParagraph"/>
                        <w:numPr>
                          <w:ilvl w:val="0"/>
                          <w:numId w:val="11"/>
                        </w:numPr>
                        <w:spacing w:before="240" w:after="200" w:line="276" w:lineRule="auto"/>
                        <w:rPr>
                          <w:rFonts w:eastAsia="Times New Roman" w:cs="Arial"/>
                          <w:sz w:val="18"/>
                          <w:szCs w:val="18"/>
                          <w:lang w:val="en-AU"/>
                        </w:rPr>
                      </w:pPr>
                      <w:r w:rsidRPr="005C27BB">
                        <w:rPr>
                          <w:rFonts w:eastAsia="Times New Roman" w:cs="Arial"/>
                          <w:sz w:val="18"/>
                          <w:szCs w:val="18"/>
                          <w:lang w:val="en-AU"/>
                        </w:rPr>
                        <w:t>enhanced capacities of policing, prosecution, and institutions to ensure the provision of gender-sensitive, safe, accessible, free, and responsive services for victims/survivors;</w:t>
                      </w:r>
                    </w:p>
                    <w:p w14:paraId="2BA1188D" w14:textId="77777777" w:rsidR="00356727" w:rsidRPr="005C27BB" w:rsidRDefault="00356727" w:rsidP="00CD63FF">
                      <w:pPr>
                        <w:pStyle w:val="ListParagraph"/>
                        <w:numPr>
                          <w:ilvl w:val="0"/>
                          <w:numId w:val="11"/>
                        </w:numPr>
                        <w:spacing w:before="240" w:after="200" w:line="276" w:lineRule="auto"/>
                        <w:rPr>
                          <w:rFonts w:eastAsia="Times New Roman" w:cs="Arial"/>
                          <w:sz w:val="18"/>
                          <w:szCs w:val="18"/>
                          <w:lang w:val="en-AU"/>
                        </w:rPr>
                      </w:pPr>
                      <w:r w:rsidRPr="005C27BB">
                        <w:rPr>
                          <w:rFonts w:eastAsia="Times New Roman" w:cs="Arial"/>
                          <w:sz w:val="18"/>
                          <w:szCs w:val="18"/>
                          <w:lang w:val="en-AU"/>
                        </w:rPr>
                        <w:t>strengthened judicial actors’ capacities to ensure gender sensitive protection and compensation for</w:t>
                      </w:r>
                      <w:r w:rsidRPr="005C27BB">
                        <w:rPr>
                          <w:rFonts w:eastAsia="Times New Roman" w:cs="Arial"/>
                          <w:lang w:val="en-AU"/>
                        </w:rPr>
                        <w:t xml:space="preserve"> </w:t>
                      </w:r>
                      <w:r w:rsidRPr="005C27BB">
                        <w:rPr>
                          <w:rFonts w:eastAsia="Times New Roman" w:cs="Arial"/>
                          <w:sz w:val="18"/>
                          <w:szCs w:val="18"/>
                          <w:lang w:val="en-AU"/>
                        </w:rPr>
                        <w:t>victims/survivors, as well as to ensure perpetrators are adequately punished; and</w:t>
                      </w:r>
                    </w:p>
                    <w:p w14:paraId="5E379769" w14:textId="77777777" w:rsidR="00356727" w:rsidRPr="005C27BB" w:rsidRDefault="00356727" w:rsidP="00CD63FF">
                      <w:pPr>
                        <w:pStyle w:val="ListParagraph"/>
                        <w:numPr>
                          <w:ilvl w:val="0"/>
                          <w:numId w:val="11"/>
                        </w:numPr>
                        <w:spacing w:before="240" w:after="200" w:line="276" w:lineRule="auto"/>
                        <w:rPr>
                          <w:rFonts w:eastAsia="Times New Roman" w:cs="Arial"/>
                          <w:sz w:val="18"/>
                          <w:szCs w:val="18"/>
                          <w:lang w:val="en-AU"/>
                        </w:rPr>
                      </w:pPr>
                      <w:r w:rsidRPr="005C27BB">
                        <w:rPr>
                          <w:rFonts w:eastAsia="Times New Roman" w:cs="Arial"/>
                          <w:sz w:val="18"/>
                          <w:szCs w:val="18"/>
                          <w:lang w:val="en-AU"/>
                        </w:rPr>
                        <w:t>strengthened rehabilitation programmes and monitoring and evaluation of programme effectiveness for perpetrators to reduce recidivism.</w:t>
                      </w:r>
                    </w:p>
                    <w:p w14:paraId="15B88E35" w14:textId="77777777" w:rsidR="00356727" w:rsidRPr="003D4A1B" w:rsidRDefault="00356727" w:rsidP="00CD63FF">
                      <w:pPr>
                        <w:pStyle w:val="ListParagraph"/>
                        <w:spacing w:after="200" w:line="276" w:lineRule="auto"/>
                        <w:ind w:left="360" w:firstLine="0"/>
                        <w:rPr>
                          <w:rFonts w:eastAsia="Times New Roman"/>
                          <w:color w:val="002D88" w:themeColor="accent6" w:themeTint="E6"/>
                          <w:sz w:val="18"/>
                          <w:szCs w:val="18"/>
                        </w:rPr>
                      </w:pPr>
                    </w:p>
                  </w:txbxContent>
                </v:textbox>
                <w10:wrap type="square"/>
              </v:shape>
            </w:pict>
          </mc:Fallback>
        </mc:AlternateContent>
      </w:r>
      <w:r w:rsidR="005B0B58">
        <w:rPr>
          <w:rFonts w:cstheme="minorHAnsi"/>
          <w:color w:val="000000" w:themeColor="text1"/>
        </w:rPr>
        <w:t xml:space="preserve">Nabilan funds a range of partners to provide services for women and children who experience violence, including legal assistance, medical examinations, counselling and referrals, emergency accommodation, and safe house/shelter </w:t>
      </w:r>
      <w:r w:rsidR="001E45D2">
        <w:rPr>
          <w:rFonts w:cstheme="minorHAnsi"/>
          <w:color w:val="000000" w:themeColor="text1"/>
        </w:rPr>
        <w:t>accommodation</w:t>
      </w:r>
      <w:r w:rsidR="005B0B58">
        <w:rPr>
          <w:rFonts w:cstheme="minorHAnsi"/>
          <w:color w:val="000000" w:themeColor="text1"/>
        </w:rPr>
        <w:t xml:space="preserve">. Nabilan also funds partners </w:t>
      </w:r>
      <w:r w:rsidR="001E45D2">
        <w:rPr>
          <w:rFonts w:cstheme="minorHAnsi"/>
          <w:color w:val="000000" w:themeColor="text1"/>
        </w:rPr>
        <w:t xml:space="preserve">to monitor justice and legal responses to </w:t>
      </w:r>
      <w:r w:rsidR="003F222E">
        <w:rPr>
          <w:rFonts w:cstheme="minorHAnsi"/>
          <w:color w:val="000000" w:themeColor="text1"/>
        </w:rPr>
        <w:t>VAWC</w:t>
      </w:r>
      <w:r w:rsidR="00C818B8">
        <w:rPr>
          <w:rFonts w:cstheme="minorHAnsi"/>
          <w:color w:val="000000" w:themeColor="text1"/>
        </w:rPr>
        <w:t xml:space="preserve"> through court monitoring,</w:t>
      </w:r>
      <w:r w:rsidR="001E45D2">
        <w:rPr>
          <w:rFonts w:cstheme="minorHAnsi"/>
          <w:color w:val="000000" w:themeColor="text1"/>
        </w:rPr>
        <w:t xml:space="preserve"> legislative analysis, and producing public information on access to justice. </w:t>
      </w:r>
      <w:r w:rsidR="00672F45" w:rsidRPr="008F332A">
        <w:rPr>
          <w:rFonts w:cstheme="minorHAnsi"/>
          <w:color w:val="000000" w:themeColor="text1"/>
        </w:rPr>
        <w:t xml:space="preserve">In Phase 2 of Nabilan, the emphasis will be on </w:t>
      </w:r>
      <w:r w:rsidR="00902CB2" w:rsidRPr="008F332A">
        <w:rPr>
          <w:rFonts w:cstheme="minorHAnsi"/>
          <w:color w:val="000000" w:themeColor="text1"/>
        </w:rPr>
        <w:t xml:space="preserve">continual improvement of the quality of services, while </w:t>
      </w:r>
      <w:r w:rsidR="00672F45" w:rsidRPr="008F332A">
        <w:rPr>
          <w:rFonts w:cstheme="minorHAnsi"/>
          <w:color w:val="000000" w:themeColor="text1"/>
        </w:rPr>
        <w:t>improving reach to a greater number of beneficiaries throug</w:t>
      </w:r>
      <w:r w:rsidR="00902CB2" w:rsidRPr="008F332A">
        <w:rPr>
          <w:rFonts w:cstheme="minorHAnsi"/>
          <w:color w:val="000000" w:themeColor="text1"/>
        </w:rPr>
        <w:t>h leveraging of partnerships</w:t>
      </w:r>
      <w:r w:rsidR="00672F45" w:rsidRPr="008F332A">
        <w:rPr>
          <w:rFonts w:cstheme="minorHAnsi"/>
          <w:color w:val="000000" w:themeColor="text1"/>
        </w:rPr>
        <w:t>.</w:t>
      </w:r>
      <w:r w:rsidR="005B0B58">
        <w:rPr>
          <w:rFonts w:cstheme="minorHAnsi"/>
          <w:color w:val="000000" w:themeColor="text1"/>
        </w:rPr>
        <w:t xml:space="preserve"> </w:t>
      </w:r>
      <w:r w:rsidR="001E45D2">
        <w:rPr>
          <w:rFonts w:cstheme="minorHAnsi"/>
          <w:color w:val="000000" w:themeColor="text1"/>
        </w:rPr>
        <w:t xml:space="preserve">Nabilan’s activities align with the priorities identified in the NAP-GBV. </w:t>
      </w:r>
      <w:r w:rsidR="00672F45" w:rsidRPr="008F332A">
        <w:rPr>
          <w:rFonts w:cstheme="minorHAnsi"/>
          <w:color w:val="000000" w:themeColor="text1"/>
        </w:rPr>
        <w:t xml:space="preserve"> </w:t>
      </w:r>
      <w:r w:rsidR="00056F23" w:rsidRPr="008F332A">
        <w:rPr>
          <w:rFonts w:cstheme="minorHAnsi"/>
          <w:color w:val="000000" w:themeColor="text1"/>
        </w:rPr>
        <w:t xml:space="preserve">Refer to </w:t>
      </w:r>
      <w:r w:rsidR="00056F23" w:rsidRPr="008F332A">
        <w:rPr>
          <w:rFonts w:cstheme="minorHAnsi"/>
          <w:b/>
          <w:color w:val="000000" w:themeColor="text1"/>
        </w:rPr>
        <w:t>Box 1</w:t>
      </w:r>
      <w:r w:rsidR="00056F23" w:rsidRPr="008F332A">
        <w:rPr>
          <w:rFonts w:cstheme="minorHAnsi"/>
          <w:color w:val="000000" w:themeColor="text1"/>
        </w:rPr>
        <w:t xml:space="preserve"> for a summary</w:t>
      </w:r>
      <w:r w:rsidR="0020511E" w:rsidRPr="008F332A">
        <w:rPr>
          <w:rFonts w:cstheme="minorHAnsi"/>
          <w:color w:val="000000" w:themeColor="text1"/>
        </w:rPr>
        <w:t xml:space="preserve"> of</w:t>
      </w:r>
      <w:r w:rsidR="00056F23" w:rsidRPr="008F332A">
        <w:rPr>
          <w:rFonts w:cstheme="minorHAnsi"/>
          <w:color w:val="000000" w:themeColor="text1"/>
        </w:rPr>
        <w:t xml:space="preserve"> the NA</w:t>
      </w:r>
      <w:r w:rsidR="0020511E" w:rsidRPr="008F332A">
        <w:rPr>
          <w:rFonts w:cstheme="minorHAnsi"/>
          <w:color w:val="000000" w:themeColor="text1"/>
        </w:rPr>
        <w:t>P</w:t>
      </w:r>
      <w:r w:rsidR="00056F23" w:rsidRPr="008F332A">
        <w:rPr>
          <w:rFonts w:cstheme="minorHAnsi"/>
          <w:color w:val="000000" w:themeColor="text1"/>
        </w:rPr>
        <w:t xml:space="preserve">-GBV provisions relating to EOPO1. </w:t>
      </w:r>
    </w:p>
    <w:p w14:paraId="4F247D70" w14:textId="77777777" w:rsidR="00AB1024" w:rsidRPr="008F332A" w:rsidRDefault="00AB1024" w:rsidP="003A2CCC">
      <w:pPr>
        <w:spacing w:before="360"/>
        <w:rPr>
          <w:rFonts w:cstheme="minorHAnsi"/>
          <w:color w:val="000000" w:themeColor="text1"/>
        </w:rPr>
      </w:pPr>
      <w:r w:rsidRPr="008F332A">
        <w:rPr>
          <w:rFonts w:cstheme="minorHAnsi"/>
          <w:color w:val="000000" w:themeColor="text1"/>
        </w:rPr>
        <w:t>Nabil</w:t>
      </w:r>
      <w:r w:rsidR="00902CB2" w:rsidRPr="008F332A">
        <w:rPr>
          <w:rFonts w:cstheme="minorHAnsi"/>
          <w:color w:val="000000" w:themeColor="text1"/>
        </w:rPr>
        <w:t xml:space="preserve">an </w:t>
      </w:r>
      <w:r w:rsidR="0039478E" w:rsidRPr="008F332A">
        <w:rPr>
          <w:rFonts w:cstheme="minorHAnsi"/>
          <w:color w:val="000000" w:themeColor="text1"/>
        </w:rPr>
        <w:t>will maintain overall</w:t>
      </w:r>
      <w:r w:rsidR="00902CB2" w:rsidRPr="008F332A">
        <w:rPr>
          <w:rFonts w:cstheme="minorHAnsi"/>
          <w:color w:val="000000" w:themeColor="text1"/>
        </w:rPr>
        <w:t xml:space="preserve"> partner</w:t>
      </w:r>
      <w:r w:rsidRPr="008F332A">
        <w:rPr>
          <w:rFonts w:cstheme="minorHAnsi"/>
          <w:color w:val="000000" w:themeColor="text1"/>
        </w:rPr>
        <w:t xml:space="preserve"> funding </w:t>
      </w:r>
      <w:r w:rsidR="004C12B7" w:rsidRPr="008F332A">
        <w:rPr>
          <w:rFonts w:cstheme="minorHAnsi"/>
          <w:color w:val="000000" w:themeColor="text1"/>
        </w:rPr>
        <w:t xml:space="preserve">at </w:t>
      </w:r>
      <w:r w:rsidR="0039478E" w:rsidRPr="008F332A">
        <w:rPr>
          <w:rFonts w:cstheme="minorHAnsi"/>
          <w:color w:val="000000" w:themeColor="text1"/>
        </w:rPr>
        <w:t xml:space="preserve">a similar </w:t>
      </w:r>
      <w:r w:rsidRPr="008F332A">
        <w:rPr>
          <w:rFonts w:cstheme="minorHAnsi"/>
          <w:color w:val="000000" w:themeColor="text1"/>
        </w:rPr>
        <w:t>level</w:t>
      </w:r>
      <w:r w:rsidR="00902CB2" w:rsidRPr="008F332A">
        <w:rPr>
          <w:rFonts w:cstheme="minorHAnsi"/>
          <w:color w:val="000000" w:themeColor="text1"/>
        </w:rPr>
        <w:t xml:space="preserve"> </w:t>
      </w:r>
      <w:r w:rsidR="00133ACF" w:rsidRPr="008F332A">
        <w:rPr>
          <w:rFonts w:cstheme="minorHAnsi"/>
          <w:color w:val="000000" w:themeColor="text1"/>
        </w:rPr>
        <w:t>to</w:t>
      </w:r>
      <w:r w:rsidR="00902CB2" w:rsidRPr="008F332A">
        <w:rPr>
          <w:rFonts w:cstheme="minorHAnsi"/>
          <w:color w:val="000000" w:themeColor="text1"/>
        </w:rPr>
        <w:t xml:space="preserve"> </w:t>
      </w:r>
      <w:r w:rsidR="00F53437" w:rsidRPr="008F332A">
        <w:rPr>
          <w:rFonts w:cstheme="minorHAnsi"/>
          <w:color w:val="000000" w:themeColor="text1"/>
        </w:rPr>
        <w:t>P</w:t>
      </w:r>
      <w:r w:rsidR="00902CB2" w:rsidRPr="008F332A">
        <w:rPr>
          <w:rFonts w:cstheme="minorHAnsi"/>
          <w:color w:val="000000" w:themeColor="text1"/>
        </w:rPr>
        <w:t>hase 1</w:t>
      </w:r>
      <w:r w:rsidR="0039478E" w:rsidRPr="008F332A">
        <w:rPr>
          <w:rFonts w:cstheme="minorHAnsi"/>
          <w:color w:val="000000" w:themeColor="text1"/>
        </w:rPr>
        <w:t>, however across additional partners</w:t>
      </w:r>
      <w:r w:rsidR="00902CB2" w:rsidRPr="008F332A">
        <w:rPr>
          <w:rFonts w:cstheme="minorHAnsi"/>
          <w:color w:val="000000" w:themeColor="text1"/>
        </w:rPr>
        <w:t xml:space="preserve">. This </w:t>
      </w:r>
      <w:r w:rsidR="001C69D6" w:rsidRPr="008F332A">
        <w:rPr>
          <w:rFonts w:cstheme="minorHAnsi"/>
          <w:color w:val="000000" w:themeColor="text1"/>
        </w:rPr>
        <w:t>means that</w:t>
      </w:r>
      <w:r w:rsidR="00902CB2" w:rsidRPr="008F332A">
        <w:rPr>
          <w:rFonts w:cstheme="minorHAnsi"/>
          <w:color w:val="000000" w:themeColor="text1"/>
        </w:rPr>
        <w:t xml:space="preserve"> the</w:t>
      </w:r>
      <w:r w:rsidR="001C69D6" w:rsidRPr="008F332A">
        <w:rPr>
          <w:rFonts w:cstheme="minorHAnsi"/>
          <w:color w:val="000000" w:themeColor="text1"/>
        </w:rPr>
        <w:t>re are limited</w:t>
      </w:r>
      <w:r w:rsidR="00902CB2" w:rsidRPr="008F332A">
        <w:rPr>
          <w:rFonts w:cstheme="minorHAnsi"/>
          <w:color w:val="000000" w:themeColor="text1"/>
        </w:rPr>
        <w:t xml:space="preserve"> resources to service </w:t>
      </w:r>
      <w:r w:rsidRPr="008F332A">
        <w:rPr>
          <w:rFonts w:cstheme="minorHAnsi"/>
          <w:color w:val="000000" w:themeColor="text1"/>
        </w:rPr>
        <w:t>significant increases in client numbers.</w:t>
      </w:r>
      <w:r w:rsidR="004C12B7" w:rsidRPr="008F332A">
        <w:rPr>
          <w:rFonts w:cstheme="minorHAnsi"/>
          <w:color w:val="000000" w:themeColor="text1"/>
        </w:rPr>
        <w:t xml:space="preserve"> Efforts to increase access, and thus client numbers</w:t>
      </w:r>
      <w:r w:rsidR="0039478E" w:rsidRPr="008F332A">
        <w:rPr>
          <w:rFonts w:cstheme="minorHAnsi"/>
          <w:color w:val="000000" w:themeColor="text1"/>
        </w:rPr>
        <w:t>,</w:t>
      </w:r>
      <w:r w:rsidR="004C12B7" w:rsidRPr="008F332A">
        <w:rPr>
          <w:rFonts w:cstheme="minorHAnsi"/>
          <w:color w:val="000000" w:themeColor="text1"/>
        </w:rPr>
        <w:t xml:space="preserve"> will primarily be through leveraging partnerships with</w:t>
      </w:r>
      <w:r w:rsidR="0039478E" w:rsidRPr="008F332A">
        <w:rPr>
          <w:rFonts w:cstheme="minorHAnsi"/>
          <w:color w:val="000000" w:themeColor="text1"/>
        </w:rPr>
        <w:t>in</w:t>
      </w:r>
      <w:r w:rsidR="004C12B7" w:rsidRPr="008F332A">
        <w:rPr>
          <w:rFonts w:cstheme="minorHAnsi"/>
          <w:color w:val="000000" w:themeColor="text1"/>
        </w:rPr>
        <w:t xml:space="preserve"> the referral network, and partnership</w:t>
      </w:r>
      <w:r w:rsidR="005C5EEA" w:rsidRPr="008F332A">
        <w:rPr>
          <w:rFonts w:cstheme="minorHAnsi"/>
          <w:color w:val="000000" w:themeColor="text1"/>
        </w:rPr>
        <w:t>s</w:t>
      </w:r>
      <w:r w:rsidR="004C12B7" w:rsidRPr="008F332A">
        <w:rPr>
          <w:rFonts w:cstheme="minorHAnsi"/>
          <w:color w:val="000000" w:themeColor="text1"/>
        </w:rPr>
        <w:t xml:space="preserve"> with those outside the referral network. Through </w:t>
      </w:r>
      <w:r w:rsidR="00056F23" w:rsidRPr="008F332A">
        <w:rPr>
          <w:rFonts w:cstheme="minorHAnsi"/>
          <w:color w:val="000000" w:themeColor="text1"/>
        </w:rPr>
        <w:t>increasing</w:t>
      </w:r>
      <w:r w:rsidR="004C12B7" w:rsidRPr="008F332A">
        <w:rPr>
          <w:rFonts w:cstheme="minorHAnsi"/>
          <w:color w:val="000000" w:themeColor="text1"/>
        </w:rPr>
        <w:t xml:space="preserve"> the knowledge of non-referral-network partners of services available and how to support women and children to access those services, Nabilan aims to generate greater access to </w:t>
      </w:r>
      <w:r w:rsidR="0039478E" w:rsidRPr="008F332A">
        <w:rPr>
          <w:rFonts w:cstheme="minorHAnsi"/>
          <w:color w:val="000000" w:themeColor="text1"/>
        </w:rPr>
        <w:t xml:space="preserve">specialised VAWC support </w:t>
      </w:r>
      <w:r w:rsidR="004C12B7" w:rsidRPr="008F332A">
        <w:rPr>
          <w:rFonts w:cstheme="minorHAnsi"/>
          <w:color w:val="000000" w:themeColor="text1"/>
        </w:rPr>
        <w:t xml:space="preserve">services.  </w:t>
      </w:r>
    </w:p>
    <w:p w14:paraId="45ED060F" w14:textId="03895803" w:rsidR="00672F45" w:rsidRPr="008F332A" w:rsidRDefault="004E1D01" w:rsidP="003A2CCC">
      <w:pPr>
        <w:pStyle w:val="CommentText"/>
        <w:rPr>
          <w:rFonts w:cstheme="minorHAnsi"/>
          <w:sz w:val="22"/>
          <w:szCs w:val="22"/>
        </w:rPr>
      </w:pPr>
      <w:r w:rsidRPr="008F332A">
        <w:rPr>
          <w:rFonts w:cstheme="minorHAnsi"/>
          <w:color w:val="000000" w:themeColor="text1"/>
          <w:sz w:val="22"/>
          <w:szCs w:val="22"/>
        </w:rPr>
        <w:t xml:space="preserve">Phase 2 will </w:t>
      </w:r>
      <w:r w:rsidR="004C12B7" w:rsidRPr="008F332A">
        <w:rPr>
          <w:rFonts w:cstheme="minorHAnsi"/>
          <w:color w:val="000000" w:themeColor="text1"/>
          <w:sz w:val="22"/>
          <w:szCs w:val="22"/>
        </w:rPr>
        <w:t>focus on improving</w:t>
      </w:r>
      <w:r w:rsidR="00672F45" w:rsidRPr="008F332A">
        <w:rPr>
          <w:rFonts w:cstheme="minorHAnsi"/>
          <w:color w:val="000000" w:themeColor="text1"/>
          <w:sz w:val="22"/>
          <w:szCs w:val="22"/>
        </w:rPr>
        <w:t xml:space="preserve"> the quality of</w:t>
      </w:r>
      <w:r w:rsidR="005C5EEA" w:rsidRPr="008F332A">
        <w:rPr>
          <w:rFonts w:cstheme="minorHAnsi"/>
          <w:color w:val="000000" w:themeColor="text1"/>
          <w:sz w:val="22"/>
          <w:szCs w:val="22"/>
        </w:rPr>
        <w:t xml:space="preserve"> service delivery </w:t>
      </w:r>
      <w:r w:rsidR="004C12B7" w:rsidRPr="008F332A">
        <w:rPr>
          <w:rFonts w:cstheme="minorHAnsi"/>
          <w:color w:val="000000" w:themeColor="text1"/>
          <w:sz w:val="22"/>
          <w:szCs w:val="22"/>
        </w:rPr>
        <w:t xml:space="preserve">through continued mentoring, targeted training including the </w:t>
      </w:r>
      <w:r w:rsidR="00672F45" w:rsidRPr="008F332A">
        <w:rPr>
          <w:rFonts w:cstheme="minorHAnsi"/>
          <w:color w:val="000000" w:themeColor="text1"/>
          <w:sz w:val="22"/>
          <w:szCs w:val="22"/>
        </w:rPr>
        <w:t>Certificate III in Social Services, support for professional supervision</w:t>
      </w:r>
      <w:r w:rsidR="005C5EEA" w:rsidRPr="008F332A">
        <w:rPr>
          <w:rFonts w:cstheme="minorHAnsi"/>
          <w:color w:val="000000" w:themeColor="text1"/>
          <w:sz w:val="22"/>
          <w:szCs w:val="22"/>
        </w:rPr>
        <w:t>,</w:t>
      </w:r>
      <w:r w:rsidR="004C12B7" w:rsidRPr="008F332A">
        <w:rPr>
          <w:rFonts w:cstheme="minorHAnsi"/>
          <w:color w:val="000000" w:themeColor="text1"/>
          <w:sz w:val="22"/>
          <w:szCs w:val="22"/>
        </w:rPr>
        <w:t xml:space="preserve"> and</w:t>
      </w:r>
      <w:r w:rsidR="00672F45" w:rsidRPr="008F332A">
        <w:rPr>
          <w:rFonts w:cstheme="minorHAnsi"/>
          <w:color w:val="000000" w:themeColor="text1"/>
          <w:sz w:val="22"/>
          <w:szCs w:val="22"/>
        </w:rPr>
        <w:t xml:space="preserve"> encouraging a </w:t>
      </w:r>
      <w:r w:rsidR="003D4A1B" w:rsidRPr="008F332A">
        <w:rPr>
          <w:rFonts w:cstheme="minorHAnsi"/>
          <w:color w:val="000000" w:themeColor="text1"/>
          <w:sz w:val="22"/>
          <w:szCs w:val="22"/>
        </w:rPr>
        <w:t xml:space="preserve">coordinated </w:t>
      </w:r>
      <w:r w:rsidR="00672F45" w:rsidRPr="008F332A">
        <w:rPr>
          <w:rFonts w:cstheme="minorHAnsi"/>
          <w:color w:val="000000" w:themeColor="text1"/>
          <w:sz w:val="22"/>
          <w:szCs w:val="22"/>
        </w:rPr>
        <w:t>case management approach.</w:t>
      </w:r>
      <w:r w:rsidR="003D4A1B" w:rsidRPr="008F332A">
        <w:rPr>
          <w:rFonts w:cstheme="minorHAnsi"/>
          <w:color w:val="000000" w:themeColor="text1"/>
          <w:sz w:val="22"/>
          <w:szCs w:val="22"/>
        </w:rPr>
        <w:t xml:space="preserve"> </w:t>
      </w:r>
      <w:r w:rsidR="00056F23" w:rsidRPr="008F332A">
        <w:rPr>
          <w:rFonts w:cstheme="minorHAnsi"/>
          <w:color w:val="000000" w:themeColor="text1"/>
          <w:sz w:val="22"/>
          <w:szCs w:val="22"/>
        </w:rPr>
        <w:t xml:space="preserve">Nabilan will continue to </w:t>
      </w:r>
      <w:r w:rsidR="00133ACF" w:rsidRPr="008F332A">
        <w:rPr>
          <w:rFonts w:cstheme="minorHAnsi"/>
          <w:color w:val="000000" w:themeColor="text1"/>
          <w:sz w:val="22"/>
          <w:szCs w:val="22"/>
        </w:rPr>
        <w:t xml:space="preserve">support </w:t>
      </w:r>
      <w:r w:rsidR="005C27BB" w:rsidRPr="008F332A">
        <w:rPr>
          <w:rFonts w:cstheme="minorHAnsi"/>
          <w:color w:val="000000" w:themeColor="text1"/>
          <w:sz w:val="22"/>
          <w:szCs w:val="22"/>
        </w:rPr>
        <w:t xml:space="preserve">systems-level improvements in </w:t>
      </w:r>
      <w:r w:rsidR="00133ACF" w:rsidRPr="008F332A">
        <w:rPr>
          <w:rFonts w:cstheme="minorHAnsi"/>
          <w:color w:val="000000" w:themeColor="text1"/>
          <w:sz w:val="22"/>
          <w:szCs w:val="22"/>
        </w:rPr>
        <w:t xml:space="preserve">service delivery by promoting </w:t>
      </w:r>
      <w:r w:rsidR="00056F23" w:rsidRPr="008F332A">
        <w:rPr>
          <w:rFonts w:cstheme="minorHAnsi"/>
          <w:color w:val="000000" w:themeColor="text1"/>
          <w:sz w:val="22"/>
          <w:szCs w:val="22"/>
        </w:rPr>
        <w:t>the use of tools and</w:t>
      </w:r>
      <w:r w:rsidR="0083184A" w:rsidRPr="008F332A">
        <w:rPr>
          <w:rFonts w:cstheme="minorHAnsi"/>
          <w:color w:val="000000" w:themeColor="text1"/>
          <w:sz w:val="22"/>
          <w:szCs w:val="22"/>
        </w:rPr>
        <w:t xml:space="preserve"> </w:t>
      </w:r>
      <w:r w:rsidR="00056F23" w:rsidRPr="008F332A">
        <w:rPr>
          <w:rFonts w:cstheme="minorHAnsi"/>
          <w:color w:val="000000" w:themeColor="text1"/>
          <w:sz w:val="22"/>
          <w:szCs w:val="22"/>
        </w:rPr>
        <w:t>standard operating procedures (</w:t>
      </w:r>
      <w:r w:rsidR="00365C8A" w:rsidRPr="008F332A">
        <w:rPr>
          <w:rFonts w:cstheme="minorHAnsi"/>
          <w:color w:val="000000" w:themeColor="text1"/>
          <w:sz w:val="22"/>
          <w:szCs w:val="22"/>
        </w:rPr>
        <w:t>SOPs) for</w:t>
      </w:r>
      <w:r w:rsidR="0083184A" w:rsidRPr="008F332A">
        <w:rPr>
          <w:rFonts w:cstheme="minorHAnsi"/>
          <w:color w:val="000000" w:themeColor="text1"/>
          <w:sz w:val="22"/>
          <w:szCs w:val="22"/>
        </w:rPr>
        <w:t xml:space="preserve"> </w:t>
      </w:r>
      <w:r w:rsidR="001D70F2" w:rsidRPr="008F332A">
        <w:rPr>
          <w:rFonts w:cstheme="minorHAnsi"/>
          <w:color w:val="000000" w:themeColor="text1"/>
          <w:sz w:val="22"/>
          <w:szCs w:val="22"/>
        </w:rPr>
        <w:t xml:space="preserve">the </w:t>
      </w:r>
      <w:r w:rsidR="0083184A" w:rsidRPr="008F332A">
        <w:rPr>
          <w:rFonts w:cstheme="minorHAnsi"/>
          <w:color w:val="000000" w:themeColor="text1"/>
          <w:sz w:val="22"/>
          <w:szCs w:val="22"/>
        </w:rPr>
        <w:t>provision of services to women and children impacted by violence</w:t>
      </w:r>
      <w:r w:rsidR="00056F23" w:rsidRPr="008F332A">
        <w:rPr>
          <w:rFonts w:cstheme="minorHAnsi"/>
          <w:color w:val="000000" w:themeColor="text1"/>
          <w:sz w:val="22"/>
          <w:szCs w:val="22"/>
        </w:rPr>
        <w:t>.</w:t>
      </w:r>
      <w:r w:rsidR="00056F23" w:rsidRPr="008F332A">
        <w:rPr>
          <w:rStyle w:val="FootnoteReference"/>
          <w:rFonts w:cstheme="minorHAnsi"/>
          <w:color w:val="000000" w:themeColor="text1"/>
          <w:sz w:val="22"/>
          <w:szCs w:val="22"/>
        </w:rPr>
        <w:footnoteReference w:id="3"/>
      </w:r>
      <w:r w:rsidR="00056F23" w:rsidRPr="008F332A">
        <w:rPr>
          <w:rFonts w:cstheme="minorHAnsi"/>
          <w:color w:val="000000" w:themeColor="text1"/>
          <w:sz w:val="22"/>
          <w:szCs w:val="22"/>
        </w:rPr>
        <w:t xml:space="preserve"> </w:t>
      </w:r>
      <w:r w:rsidR="009D53C9" w:rsidRPr="008F332A">
        <w:rPr>
          <w:rFonts w:cstheme="minorHAnsi"/>
          <w:color w:val="000000" w:themeColor="text1"/>
          <w:sz w:val="22"/>
          <w:szCs w:val="22"/>
        </w:rPr>
        <w:t>Nabilan will focus on supporting partners to deliver inclusive services through ensuring that partner staff receive training on access to</w:t>
      </w:r>
      <w:r w:rsidR="005C27BB" w:rsidRPr="008F332A">
        <w:rPr>
          <w:rFonts w:cstheme="minorHAnsi"/>
          <w:color w:val="000000" w:themeColor="text1"/>
          <w:sz w:val="22"/>
          <w:szCs w:val="22"/>
        </w:rPr>
        <w:t xml:space="preserve"> services by, and appropriate service delivery for, </w:t>
      </w:r>
      <w:r w:rsidR="009D53C9" w:rsidRPr="008F332A">
        <w:rPr>
          <w:rFonts w:cstheme="minorHAnsi"/>
          <w:color w:val="000000" w:themeColor="text1"/>
          <w:sz w:val="22"/>
          <w:szCs w:val="22"/>
        </w:rPr>
        <w:t xml:space="preserve">people with a disability and the LGBT community. For example, a </w:t>
      </w:r>
      <w:r w:rsidR="009D53C9" w:rsidRPr="008F332A">
        <w:rPr>
          <w:rFonts w:cstheme="minorHAnsi"/>
          <w:sz w:val="22"/>
          <w:szCs w:val="22"/>
        </w:rPr>
        <w:t xml:space="preserve">rights and power based approach has been taken in </w:t>
      </w:r>
      <w:r w:rsidR="00133ACF" w:rsidRPr="008F332A">
        <w:rPr>
          <w:rFonts w:cstheme="minorHAnsi"/>
          <w:sz w:val="22"/>
          <w:szCs w:val="22"/>
        </w:rPr>
        <w:t>t</w:t>
      </w:r>
      <w:r w:rsidR="009D53C9" w:rsidRPr="008F332A">
        <w:rPr>
          <w:rFonts w:cstheme="minorHAnsi"/>
          <w:sz w:val="22"/>
          <w:szCs w:val="22"/>
        </w:rPr>
        <w:t>he Cert</w:t>
      </w:r>
      <w:r w:rsidR="0044072C" w:rsidRPr="008F332A">
        <w:rPr>
          <w:rFonts w:cstheme="minorHAnsi"/>
          <w:sz w:val="22"/>
          <w:szCs w:val="22"/>
        </w:rPr>
        <w:t>ificate</w:t>
      </w:r>
      <w:r w:rsidR="009D53C9" w:rsidRPr="008F332A">
        <w:rPr>
          <w:rFonts w:cstheme="minorHAnsi"/>
          <w:sz w:val="22"/>
          <w:szCs w:val="22"/>
        </w:rPr>
        <w:t xml:space="preserve"> III</w:t>
      </w:r>
      <w:r w:rsidR="0044072C" w:rsidRPr="008F332A">
        <w:rPr>
          <w:rFonts w:cstheme="minorHAnsi"/>
          <w:sz w:val="22"/>
          <w:szCs w:val="22"/>
        </w:rPr>
        <w:t xml:space="preserve"> training, to enable </w:t>
      </w:r>
      <w:r w:rsidR="009D53C9" w:rsidRPr="008F332A">
        <w:rPr>
          <w:rFonts w:cstheme="minorHAnsi"/>
          <w:sz w:val="22"/>
          <w:szCs w:val="22"/>
        </w:rPr>
        <w:t xml:space="preserve">students </w:t>
      </w:r>
      <w:r w:rsidR="0044072C" w:rsidRPr="008F332A">
        <w:rPr>
          <w:rFonts w:cstheme="minorHAnsi"/>
          <w:sz w:val="22"/>
          <w:szCs w:val="22"/>
        </w:rPr>
        <w:t xml:space="preserve">to </w:t>
      </w:r>
      <w:r w:rsidR="009D53C9" w:rsidRPr="008F332A">
        <w:rPr>
          <w:rFonts w:cstheme="minorHAnsi"/>
          <w:sz w:val="22"/>
          <w:szCs w:val="22"/>
        </w:rPr>
        <w:t>analyse their own ideas on gender, disability, sexual orientation and other attributes.</w:t>
      </w:r>
    </w:p>
    <w:p w14:paraId="310E3528" w14:textId="3B6C858B" w:rsidR="00FE2EFC" w:rsidRPr="008F332A" w:rsidRDefault="00FE2EFC" w:rsidP="003A2CCC">
      <w:pPr>
        <w:pStyle w:val="BodyText"/>
        <w:spacing w:line="240" w:lineRule="auto"/>
        <w:jc w:val="both"/>
        <w:rPr>
          <w:rFonts w:cstheme="minorHAnsi"/>
          <w:color w:val="000000" w:themeColor="text1"/>
          <w:highlight w:val="yellow"/>
        </w:rPr>
      </w:pPr>
      <w:r w:rsidRPr="008F332A">
        <w:rPr>
          <w:rFonts w:cstheme="minorHAnsi"/>
          <w:color w:val="000000" w:themeColor="text1"/>
        </w:rPr>
        <w:t>In implementing the NAP</w:t>
      </w:r>
      <w:r w:rsidR="001D70F2" w:rsidRPr="008F332A">
        <w:rPr>
          <w:rFonts w:cstheme="minorHAnsi"/>
          <w:color w:val="000000" w:themeColor="text1"/>
        </w:rPr>
        <w:t>-GBV</w:t>
      </w:r>
      <w:r w:rsidRPr="008F332A">
        <w:rPr>
          <w:rFonts w:cstheme="minorHAnsi"/>
          <w:color w:val="000000" w:themeColor="text1"/>
        </w:rPr>
        <w:t xml:space="preserve">, GoTL </w:t>
      </w:r>
      <w:r w:rsidRPr="008F332A">
        <w:rPr>
          <w:rFonts w:eastAsia="Times New Roman" w:cstheme="minorHAnsi"/>
          <w:color w:val="000000" w:themeColor="text1"/>
        </w:rPr>
        <w:t>relies heavily on</w:t>
      </w:r>
      <w:r w:rsidRPr="008F332A">
        <w:rPr>
          <w:rFonts w:cstheme="minorHAnsi"/>
          <w:color w:val="000000" w:themeColor="text1"/>
        </w:rPr>
        <w:t xml:space="preserve"> Civil Society Organisations (CSO) partners to provide essential services to women and children affected by violence. Nabilan is working in partnership with key CSOs pr</w:t>
      </w:r>
      <w:r w:rsidR="00056F23" w:rsidRPr="008F332A">
        <w:rPr>
          <w:rFonts w:cstheme="minorHAnsi"/>
          <w:color w:val="000000" w:themeColor="text1"/>
        </w:rPr>
        <w:t>oviding services under the NAP</w:t>
      </w:r>
      <w:r w:rsidR="006D7FD4" w:rsidRPr="008F332A">
        <w:rPr>
          <w:rFonts w:cstheme="minorHAnsi"/>
          <w:color w:val="000000" w:themeColor="text1"/>
        </w:rPr>
        <w:t>-GBV</w:t>
      </w:r>
      <w:r w:rsidR="00056F23" w:rsidRPr="008F332A">
        <w:rPr>
          <w:rFonts w:cstheme="minorHAnsi"/>
          <w:color w:val="000000" w:themeColor="text1"/>
        </w:rPr>
        <w:t xml:space="preserve">. These CSOs have been almost entirely funded by international donors, thus maintaining essential services for </w:t>
      </w:r>
      <w:r w:rsidR="009B541A" w:rsidRPr="008F332A">
        <w:rPr>
          <w:rFonts w:cstheme="minorHAnsi"/>
          <w:color w:val="000000" w:themeColor="text1"/>
        </w:rPr>
        <w:t>women and children who experience violence</w:t>
      </w:r>
      <w:r w:rsidR="00056F23" w:rsidRPr="008F332A">
        <w:rPr>
          <w:rFonts w:cstheme="minorHAnsi"/>
          <w:color w:val="000000" w:themeColor="text1"/>
        </w:rPr>
        <w:t xml:space="preserve"> is heavily dependent on donor funds. In the longer term this is not sustainable, and ultimately requires an improved budgetary commitment from the GoTL, based on transparent criteria for funding of </w:t>
      </w:r>
      <w:r w:rsidR="00133ACF" w:rsidRPr="008F332A">
        <w:rPr>
          <w:rFonts w:cstheme="minorHAnsi"/>
          <w:color w:val="000000" w:themeColor="text1"/>
        </w:rPr>
        <w:t>CSO service providers</w:t>
      </w:r>
      <w:r w:rsidR="00056F23" w:rsidRPr="008F332A">
        <w:rPr>
          <w:rFonts w:cstheme="minorHAnsi"/>
          <w:color w:val="000000" w:themeColor="text1"/>
        </w:rPr>
        <w:t xml:space="preserve">, and for essential training such as the Certificate III </w:t>
      </w:r>
      <w:r w:rsidR="001D70F2" w:rsidRPr="008F332A">
        <w:rPr>
          <w:rFonts w:cstheme="minorHAnsi"/>
          <w:color w:val="000000" w:themeColor="text1"/>
        </w:rPr>
        <w:t xml:space="preserve">in </w:t>
      </w:r>
      <w:r w:rsidR="00056F23" w:rsidRPr="008F332A">
        <w:rPr>
          <w:rFonts w:cstheme="minorHAnsi"/>
          <w:color w:val="000000" w:themeColor="text1"/>
        </w:rPr>
        <w:t>Social Services course.</w:t>
      </w:r>
      <w:r w:rsidR="0073103A" w:rsidRPr="008F332A">
        <w:rPr>
          <w:rFonts w:cstheme="minorHAnsi"/>
          <w:color w:val="000000" w:themeColor="text1"/>
        </w:rPr>
        <w:t xml:space="preserve"> The NAP-GBV includes an indicative budget of activities to support the development of future government Annual Action Plans, and gender responsive budgeting efforts, although indications are that these figures may need to be revised</w:t>
      </w:r>
      <w:r w:rsidR="00AC0567">
        <w:rPr>
          <w:rFonts w:cstheme="minorHAnsi"/>
          <w:color w:val="000000" w:themeColor="text1"/>
        </w:rPr>
        <w:t xml:space="preserve"> to be more accurate to needs</w:t>
      </w:r>
      <w:r w:rsidR="0073103A" w:rsidRPr="008F332A">
        <w:rPr>
          <w:rFonts w:cstheme="minorHAnsi"/>
          <w:color w:val="000000" w:themeColor="text1"/>
        </w:rPr>
        <w:t xml:space="preserve"> </w:t>
      </w:r>
    </w:p>
    <w:p w14:paraId="091A12DB" w14:textId="77777777" w:rsidR="009D53C9" w:rsidRPr="008F332A" w:rsidRDefault="00056F23" w:rsidP="003A2CCC">
      <w:pPr>
        <w:pStyle w:val="BodyText"/>
        <w:spacing w:line="240" w:lineRule="auto"/>
        <w:jc w:val="both"/>
        <w:rPr>
          <w:rFonts w:cstheme="minorHAnsi"/>
          <w:color w:val="000000" w:themeColor="text1"/>
        </w:rPr>
      </w:pPr>
      <w:r w:rsidRPr="008F332A">
        <w:rPr>
          <w:rFonts w:cstheme="minorHAnsi"/>
          <w:color w:val="000000" w:themeColor="text1"/>
        </w:rPr>
        <w:t>Nabilan will continue to provide grants, technical assistance and ongoing mentoring to CSO service providers.</w:t>
      </w:r>
      <w:r w:rsidRPr="008F332A">
        <w:rPr>
          <w:rStyle w:val="FootnoteReference"/>
          <w:rFonts w:cstheme="minorHAnsi"/>
          <w:color w:val="000000" w:themeColor="text1"/>
        </w:rPr>
        <w:footnoteReference w:id="4"/>
      </w:r>
      <w:r w:rsidRPr="008F332A">
        <w:rPr>
          <w:rFonts w:cstheme="minorHAnsi"/>
          <w:color w:val="000000" w:themeColor="text1"/>
        </w:rPr>
        <w:t xml:space="preserve"> </w:t>
      </w:r>
      <w:r w:rsidR="0083184A" w:rsidRPr="008F332A">
        <w:rPr>
          <w:rFonts w:cstheme="minorHAnsi"/>
          <w:color w:val="000000" w:themeColor="text1"/>
        </w:rPr>
        <w:t>This will enable partner CSOs</w:t>
      </w:r>
      <w:r w:rsidRPr="008F332A">
        <w:rPr>
          <w:rFonts w:cstheme="minorHAnsi"/>
          <w:color w:val="000000" w:themeColor="text1"/>
        </w:rPr>
        <w:t xml:space="preserve"> to provide support and legal services. </w:t>
      </w:r>
      <w:r w:rsidR="001D70F2" w:rsidRPr="008F332A">
        <w:rPr>
          <w:rFonts w:cstheme="minorHAnsi"/>
          <w:color w:val="000000" w:themeColor="text1"/>
        </w:rPr>
        <w:t xml:space="preserve">In the area of access to justice, Nabilan will continue to partner with JSMP to monitor the justice sector’s handling of cases of VAWC and ensure evidence-based advocacy on law reform issues, such as sentencing and monitoring of </w:t>
      </w:r>
      <w:r w:rsidR="00BC6D31" w:rsidRPr="008F332A">
        <w:rPr>
          <w:rFonts w:cstheme="minorHAnsi"/>
          <w:color w:val="000000" w:themeColor="text1"/>
        </w:rPr>
        <w:t xml:space="preserve">GBV </w:t>
      </w:r>
      <w:r w:rsidR="001D70F2" w:rsidRPr="008F332A">
        <w:rPr>
          <w:rFonts w:cstheme="minorHAnsi"/>
          <w:color w:val="000000" w:themeColor="text1"/>
        </w:rPr>
        <w:t>offenders</w:t>
      </w:r>
      <w:r w:rsidR="00BC6D31" w:rsidRPr="008F332A">
        <w:rPr>
          <w:rFonts w:cstheme="minorHAnsi"/>
          <w:color w:val="000000" w:themeColor="text1"/>
        </w:rPr>
        <w:t>.</w:t>
      </w:r>
      <w:r w:rsidR="001D70F2" w:rsidRPr="008F332A">
        <w:rPr>
          <w:rFonts w:cstheme="minorHAnsi"/>
          <w:color w:val="000000" w:themeColor="text1"/>
        </w:rPr>
        <w:t xml:space="preserve"> Justice has been included as an essential service in Phase 2 of Nabilan, recognising that it is part of a continuum of responses and services that women and children require to exercise their rights.</w:t>
      </w:r>
      <w:r w:rsidR="00D22C98" w:rsidRPr="008F332A">
        <w:rPr>
          <w:rStyle w:val="FootnoteReference"/>
          <w:rFonts w:cstheme="minorHAnsi"/>
          <w:color w:val="000000" w:themeColor="text1"/>
        </w:rPr>
        <w:footnoteReference w:id="5"/>
      </w:r>
      <w:r w:rsidR="001D70F2" w:rsidRPr="008F332A">
        <w:rPr>
          <w:rFonts w:cstheme="minorHAnsi"/>
          <w:color w:val="000000" w:themeColor="text1"/>
        </w:rPr>
        <w:t xml:space="preserve"> Nabilan will also continue to offer limited technical assistance to justice sector actors, including through the Timor-Leste Judges’ Association</w:t>
      </w:r>
      <w:r w:rsidR="00A767BF" w:rsidRPr="008F332A">
        <w:rPr>
          <w:rFonts w:cstheme="minorHAnsi"/>
          <w:color w:val="000000" w:themeColor="text1"/>
        </w:rPr>
        <w:t>, within resources</w:t>
      </w:r>
      <w:r w:rsidR="001D70F2" w:rsidRPr="008F332A">
        <w:rPr>
          <w:rFonts w:cstheme="minorHAnsi"/>
          <w:color w:val="000000" w:themeColor="text1"/>
        </w:rPr>
        <w:t>.</w:t>
      </w:r>
      <w:r w:rsidR="00A767BF" w:rsidRPr="008F332A">
        <w:rPr>
          <w:rFonts w:cstheme="minorHAnsi"/>
          <w:color w:val="000000" w:themeColor="text1"/>
        </w:rPr>
        <w:t xml:space="preserve"> Nabilan will continue to work collaboratively with the Foundation’s Community Policing Support Program to ensure VAWC issues are better integrated into community policing and training. </w:t>
      </w:r>
    </w:p>
    <w:p w14:paraId="48520E6F" w14:textId="77777777" w:rsidR="0020622A" w:rsidRPr="008F332A" w:rsidRDefault="00056F23" w:rsidP="003A2CCC">
      <w:pPr>
        <w:pStyle w:val="BodyText"/>
        <w:spacing w:line="240" w:lineRule="auto"/>
        <w:jc w:val="both"/>
        <w:rPr>
          <w:rFonts w:cstheme="minorHAnsi"/>
          <w:color w:val="000000" w:themeColor="text1"/>
        </w:rPr>
      </w:pPr>
      <w:r w:rsidRPr="008F332A">
        <w:rPr>
          <w:rFonts w:cstheme="minorHAnsi"/>
          <w:color w:val="000000" w:themeColor="text1"/>
        </w:rPr>
        <w:t>In the first six months of</w:t>
      </w:r>
      <w:r w:rsidR="00BC6D31" w:rsidRPr="008F332A">
        <w:rPr>
          <w:rFonts w:cstheme="minorHAnsi"/>
          <w:color w:val="000000" w:themeColor="text1"/>
        </w:rPr>
        <w:t xml:space="preserve"> Phase 2</w:t>
      </w:r>
      <w:r w:rsidRPr="008F332A">
        <w:rPr>
          <w:rFonts w:cstheme="minorHAnsi"/>
          <w:color w:val="000000" w:themeColor="text1"/>
        </w:rPr>
        <w:t xml:space="preserve">, existing services </w:t>
      </w:r>
      <w:r w:rsidR="005F07C9" w:rsidRPr="008F332A">
        <w:rPr>
          <w:rFonts w:cstheme="minorHAnsi"/>
          <w:color w:val="000000" w:themeColor="text1"/>
        </w:rPr>
        <w:t>partners will continue</w:t>
      </w:r>
      <w:r w:rsidRPr="008F332A">
        <w:rPr>
          <w:rFonts w:cstheme="minorHAnsi"/>
          <w:color w:val="000000" w:themeColor="text1"/>
        </w:rPr>
        <w:t xml:space="preserve"> to be funded to ensure continuity of services, with a competitive call for proposal planned thereafter</w:t>
      </w:r>
      <w:r w:rsidRPr="008F332A">
        <w:rPr>
          <w:rFonts w:cstheme="minorHAnsi"/>
          <w:color w:val="002D88" w:themeColor="accent6" w:themeTint="E6"/>
        </w:rPr>
        <w:t xml:space="preserve">. </w:t>
      </w:r>
    </w:p>
    <w:p w14:paraId="0F009EFB" w14:textId="77777777" w:rsidR="00CD63FF" w:rsidRPr="008F332A" w:rsidRDefault="00CD63FF" w:rsidP="003A2CCC">
      <w:pPr>
        <w:rPr>
          <w:rFonts w:cstheme="minorHAnsi"/>
          <w:b/>
          <w:color w:val="002D88" w:themeColor="accent6" w:themeTint="E6"/>
          <w:u w:val="single"/>
        </w:rPr>
      </w:pPr>
    </w:p>
    <w:p w14:paraId="25DFB0D1" w14:textId="77777777" w:rsidR="0020622A" w:rsidRPr="008F332A" w:rsidRDefault="0020622A" w:rsidP="003A2CCC">
      <w:pPr>
        <w:rPr>
          <w:rFonts w:cstheme="minorHAnsi"/>
          <w:b/>
          <w:color w:val="002D88" w:themeColor="accent6" w:themeTint="E6"/>
        </w:rPr>
      </w:pPr>
      <w:r w:rsidRPr="008F332A">
        <w:rPr>
          <w:rFonts w:cstheme="minorHAnsi"/>
          <w:b/>
          <w:color w:val="002D88" w:themeColor="accent6" w:themeTint="E6"/>
          <w:sz w:val="24"/>
          <w:szCs w:val="24"/>
          <w:u w:val="single"/>
        </w:rPr>
        <w:t>E</w:t>
      </w:r>
      <w:r w:rsidRPr="008F332A">
        <w:rPr>
          <w:rFonts w:eastAsia="Times New Roman" w:cstheme="minorHAnsi"/>
          <w:b/>
          <w:color w:val="002D88" w:themeColor="accent6" w:themeTint="E6"/>
          <w:sz w:val="24"/>
          <w:szCs w:val="24"/>
          <w:u w:val="single"/>
        </w:rPr>
        <w:t xml:space="preserve">OPO2: </w:t>
      </w:r>
      <w:r w:rsidR="00133ACF" w:rsidRPr="008F332A">
        <w:rPr>
          <w:rFonts w:eastAsia="Times New Roman" w:cstheme="minorHAnsi"/>
          <w:b/>
          <w:color w:val="002D88" w:themeColor="accent6" w:themeTint="E6"/>
          <w:sz w:val="24"/>
          <w:szCs w:val="24"/>
          <w:u w:val="single"/>
        </w:rPr>
        <w:t>Individuals, communities</w:t>
      </w:r>
      <w:r w:rsidRPr="008F332A">
        <w:rPr>
          <w:rFonts w:eastAsia="Times New Roman" w:cstheme="minorHAnsi"/>
          <w:b/>
          <w:color w:val="002D88" w:themeColor="accent6" w:themeTint="E6"/>
          <w:sz w:val="24"/>
          <w:szCs w:val="24"/>
          <w:u w:val="single"/>
        </w:rPr>
        <w:t xml:space="preserve"> </w:t>
      </w:r>
      <w:r w:rsidR="0061315E" w:rsidRPr="008F332A">
        <w:rPr>
          <w:rFonts w:eastAsia="Times New Roman" w:cstheme="minorHAnsi"/>
          <w:b/>
          <w:color w:val="002D88" w:themeColor="accent6" w:themeTint="E6"/>
          <w:sz w:val="24"/>
          <w:szCs w:val="24"/>
          <w:u w:val="single"/>
        </w:rPr>
        <w:t xml:space="preserve">and institutions </w:t>
      </w:r>
      <w:r w:rsidRPr="008F332A">
        <w:rPr>
          <w:rFonts w:eastAsia="Times New Roman" w:cstheme="minorHAnsi"/>
          <w:b/>
          <w:color w:val="002D88" w:themeColor="accent6" w:themeTint="E6"/>
          <w:sz w:val="24"/>
          <w:szCs w:val="24"/>
          <w:u w:val="single"/>
        </w:rPr>
        <w:t xml:space="preserve">take action </w:t>
      </w:r>
      <w:r w:rsidR="00133ACF" w:rsidRPr="008F332A">
        <w:rPr>
          <w:rFonts w:eastAsia="Times New Roman" w:cstheme="minorHAnsi"/>
          <w:b/>
          <w:color w:val="002D88" w:themeColor="accent6" w:themeTint="E6"/>
          <w:sz w:val="24"/>
          <w:szCs w:val="24"/>
          <w:u w:val="single"/>
        </w:rPr>
        <w:t>to reduce</w:t>
      </w:r>
      <w:r w:rsidRPr="008F332A">
        <w:rPr>
          <w:rFonts w:eastAsia="Times New Roman" w:cstheme="minorHAnsi"/>
          <w:b/>
          <w:color w:val="002D88" w:themeColor="accent6" w:themeTint="E6"/>
          <w:sz w:val="24"/>
          <w:szCs w:val="24"/>
          <w:u w:val="single"/>
        </w:rPr>
        <w:t xml:space="preserve"> violence against women and children</w:t>
      </w:r>
      <w:r w:rsidRPr="008F332A">
        <w:rPr>
          <w:rFonts w:eastAsia="Times New Roman" w:cstheme="minorHAnsi"/>
          <w:b/>
          <w:color w:val="002D88" w:themeColor="accent6" w:themeTint="E6"/>
          <w:u w:val="single"/>
        </w:rPr>
        <w:t xml:space="preserve">. </w:t>
      </w:r>
    </w:p>
    <w:p w14:paraId="118F0D28" w14:textId="77777777" w:rsidR="00397E17" w:rsidRPr="008F332A" w:rsidRDefault="00397E17" w:rsidP="003A2CCC">
      <w:pPr>
        <w:rPr>
          <w:rFonts w:cstheme="minorHAnsi"/>
          <w:color w:val="000000" w:themeColor="text1"/>
        </w:rPr>
      </w:pPr>
      <w:r w:rsidRPr="008F332A">
        <w:rPr>
          <w:rFonts w:cstheme="minorHAnsi"/>
          <w:color w:val="000000" w:themeColor="text1"/>
        </w:rPr>
        <w:t xml:space="preserve">The intermediate outcomes under EOPO1 are: </w:t>
      </w:r>
    </w:p>
    <w:p w14:paraId="37F87918" w14:textId="77777777" w:rsidR="00397E17" w:rsidRPr="008F332A" w:rsidRDefault="00397E17" w:rsidP="003A2CCC">
      <w:pPr>
        <w:rPr>
          <w:rFonts w:cstheme="minorHAnsi"/>
          <w:bCs/>
          <w:color w:val="000000" w:themeColor="text1"/>
          <w:u w:val="single"/>
        </w:rPr>
      </w:pPr>
      <w:r w:rsidRPr="008F332A">
        <w:rPr>
          <w:rFonts w:cstheme="minorHAnsi"/>
          <w:b/>
          <w:bCs/>
          <w:color w:val="000000" w:themeColor="text1"/>
          <w:u w:val="single"/>
        </w:rPr>
        <w:t>IO 2.1:</w:t>
      </w:r>
      <w:r w:rsidRPr="008F332A">
        <w:rPr>
          <w:rFonts w:cstheme="minorHAnsi"/>
          <w:bCs/>
          <w:color w:val="000000" w:themeColor="text1"/>
          <w:u w:val="single"/>
        </w:rPr>
        <w:t xml:space="preserve"> </w:t>
      </w:r>
      <w:r w:rsidR="00E07B75" w:rsidRPr="008F332A">
        <w:rPr>
          <w:rFonts w:cstheme="minorHAnsi"/>
          <w:bCs/>
          <w:color w:val="000000" w:themeColor="text1"/>
          <w:u w:val="single"/>
        </w:rPr>
        <w:t>Quality VAWC</w:t>
      </w:r>
      <w:r w:rsidRPr="008F332A">
        <w:rPr>
          <w:rFonts w:cstheme="minorHAnsi"/>
          <w:bCs/>
          <w:color w:val="000000" w:themeColor="text1"/>
          <w:u w:val="single"/>
        </w:rPr>
        <w:t xml:space="preserve"> prevention initiatives which target individuals, communities and institutions are implemented</w:t>
      </w:r>
    </w:p>
    <w:p w14:paraId="524A6516" w14:textId="77777777" w:rsidR="00E07B75" w:rsidRPr="008F332A" w:rsidRDefault="00E07B75" w:rsidP="003A2CCC">
      <w:pPr>
        <w:rPr>
          <w:rFonts w:cstheme="minorHAnsi"/>
          <w:bCs/>
          <w:color w:val="000000" w:themeColor="text1"/>
          <w:u w:val="single"/>
        </w:rPr>
      </w:pPr>
      <w:r w:rsidRPr="008F332A">
        <w:rPr>
          <w:rFonts w:cstheme="minorHAnsi"/>
          <w:b/>
          <w:bCs/>
          <w:color w:val="000000" w:themeColor="text1"/>
          <w:u w:val="single"/>
        </w:rPr>
        <w:t>IO 2.2</w:t>
      </w:r>
      <w:r w:rsidRPr="008F332A">
        <w:rPr>
          <w:rFonts w:cstheme="minorHAnsi"/>
          <w:bCs/>
          <w:color w:val="000000" w:themeColor="text1"/>
          <w:u w:val="single"/>
        </w:rPr>
        <w:t>: Individuals, communities and institutions recognise</w:t>
      </w:r>
      <w:r w:rsidR="00224AF2" w:rsidRPr="008F332A">
        <w:rPr>
          <w:rFonts w:cstheme="minorHAnsi"/>
          <w:bCs/>
          <w:color w:val="000000" w:themeColor="text1"/>
          <w:u w:val="single"/>
        </w:rPr>
        <w:t xml:space="preserve"> violence against women and children</w:t>
      </w:r>
      <w:r w:rsidR="00133ACF" w:rsidRPr="008F332A">
        <w:rPr>
          <w:rFonts w:cstheme="minorHAnsi"/>
          <w:bCs/>
          <w:color w:val="000000" w:themeColor="text1"/>
          <w:u w:val="single"/>
        </w:rPr>
        <w:t xml:space="preserve"> </w:t>
      </w:r>
      <w:r w:rsidRPr="008F332A">
        <w:rPr>
          <w:rFonts w:cstheme="minorHAnsi"/>
          <w:bCs/>
          <w:color w:val="000000" w:themeColor="text1"/>
          <w:u w:val="single"/>
        </w:rPr>
        <w:t xml:space="preserve">as a problem </w:t>
      </w:r>
    </w:p>
    <w:p w14:paraId="0B14CEE4" w14:textId="77777777" w:rsidR="00E07B75" w:rsidRPr="008F332A" w:rsidRDefault="006D7FD4" w:rsidP="003A2CCC">
      <w:pPr>
        <w:rPr>
          <w:rFonts w:cstheme="minorHAnsi"/>
          <w:bCs/>
          <w:color w:val="000000" w:themeColor="text1"/>
          <w:u w:val="single"/>
        </w:rPr>
      </w:pPr>
      <w:r w:rsidRPr="008F332A">
        <w:rPr>
          <w:rFonts w:cstheme="minorHAnsi"/>
          <w:b/>
          <w:bCs/>
          <w:color w:val="000000" w:themeColor="text1"/>
          <w:u w:val="single"/>
        </w:rPr>
        <w:t>IO2.3:</w:t>
      </w:r>
      <w:r w:rsidR="00BF6A93" w:rsidRPr="008F332A">
        <w:rPr>
          <w:rFonts w:cstheme="minorHAnsi"/>
          <w:bCs/>
          <w:color w:val="000000" w:themeColor="text1"/>
          <w:u w:val="single"/>
        </w:rPr>
        <w:t xml:space="preserve"> Communities in Suku </w:t>
      </w:r>
      <w:r w:rsidR="00E07B75" w:rsidRPr="008F332A">
        <w:rPr>
          <w:rFonts w:cstheme="minorHAnsi"/>
          <w:bCs/>
          <w:color w:val="000000" w:themeColor="text1"/>
          <w:u w:val="single"/>
        </w:rPr>
        <w:t xml:space="preserve">Letefoho and other focus areas are taking independent action to prevent </w:t>
      </w:r>
      <w:r w:rsidR="00224AF2" w:rsidRPr="008F332A">
        <w:rPr>
          <w:rFonts w:cstheme="minorHAnsi"/>
          <w:bCs/>
          <w:color w:val="000000" w:themeColor="text1"/>
          <w:u w:val="single"/>
        </w:rPr>
        <w:t>violence against women and children</w:t>
      </w:r>
    </w:p>
    <w:p w14:paraId="3851C8C3" w14:textId="6A3856E3" w:rsidR="00476E91" w:rsidRPr="008F332A" w:rsidRDefault="00AB1024" w:rsidP="003A2CCC">
      <w:pPr>
        <w:rPr>
          <w:rFonts w:cstheme="minorHAnsi"/>
          <w:color w:val="000000" w:themeColor="text1"/>
        </w:rPr>
      </w:pPr>
      <w:r w:rsidRPr="008F332A">
        <w:rPr>
          <w:rFonts w:cstheme="minorHAnsi"/>
          <w:color w:val="000000" w:themeColor="text1"/>
        </w:rPr>
        <w:t xml:space="preserve">In Phase 2, the Foundation will </w:t>
      </w:r>
      <w:r w:rsidR="002C31F8" w:rsidRPr="008F332A">
        <w:rPr>
          <w:rFonts w:cstheme="minorHAnsi"/>
          <w:color w:val="000000" w:themeColor="text1"/>
        </w:rPr>
        <w:t>have</w:t>
      </w:r>
      <w:r w:rsidRPr="008F332A">
        <w:rPr>
          <w:rFonts w:cstheme="minorHAnsi"/>
          <w:color w:val="000000" w:themeColor="text1"/>
        </w:rPr>
        <w:t xml:space="preserve"> an increased focus on the development and normalisation of positive social norms for both women and men, boys and girls. </w:t>
      </w:r>
    </w:p>
    <w:p w14:paraId="348FA2B4" w14:textId="187EE5FE" w:rsidR="007C0ED2" w:rsidRPr="008F332A" w:rsidRDefault="00476E91" w:rsidP="003A2CCC">
      <w:pPr>
        <w:rPr>
          <w:rFonts w:cstheme="minorHAnsi"/>
          <w:color w:val="000000" w:themeColor="text1"/>
        </w:rPr>
      </w:pPr>
      <w:r w:rsidRPr="008F332A">
        <w:rPr>
          <w:rFonts w:cstheme="minorHAnsi"/>
          <w:color w:val="000000" w:themeColor="text1"/>
        </w:rPr>
        <w:t>The Nabilan program approach to influencing social norms is underpinned by three theor</w:t>
      </w:r>
      <w:r w:rsidR="005B7521" w:rsidRPr="008F332A">
        <w:rPr>
          <w:rFonts w:cstheme="minorHAnsi"/>
          <w:color w:val="000000" w:themeColor="text1"/>
        </w:rPr>
        <w:t>etical models</w:t>
      </w:r>
      <w:r w:rsidR="003678E9" w:rsidRPr="008F332A">
        <w:rPr>
          <w:rFonts w:cstheme="minorHAnsi"/>
          <w:color w:val="000000" w:themeColor="text1"/>
        </w:rPr>
        <w:t xml:space="preserve"> of behaviour change</w:t>
      </w:r>
      <w:r w:rsidRPr="008F332A">
        <w:rPr>
          <w:rFonts w:cstheme="minorHAnsi"/>
          <w:color w:val="000000" w:themeColor="text1"/>
        </w:rPr>
        <w:t xml:space="preserve"> –the Ecological Model, Prochaska and Velicer’s Stages of Change Model, and Social Norms Theory. Reflecting the Ecological Model, Nabilan aims to contribute to systemic, attitudinal and behaviour change at the institutional, community and individual levels. </w:t>
      </w:r>
      <w:r w:rsidR="007C0ED2" w:rsidRPr="008F332A">
        <w:rPr>
          <w:rFonts w:cstheme="minorHAnsi"/>
          <w:color w:val="000000" w:themeColor="text1"/>
        </w:rPr>
        <w:t>Nabilan will utilise the findings of the 2015 Nabilan Baseline Study to inform the approach to strengthening positive social norms. The program will focus on ensuring the quality of prevention work, using the Lancet Effectiveness Scale as a guiding framework to assess the quality of prevention initiatives.</w:t>
      </w:r>
      <w:r w:rsidR="007C0ED2" w:rsidRPr="008F332A">
        <w:rPr>
          <w:rStyle w:val="FootnoteReference"/>
          <w:rFonts w:cstheme="minorHAnsi"/>
          <w:color w:val="000000" w:themeColor="text1"/>
        </w:rPr>
        <w:footnoteReference w:id="6"/>
      </w:r>
    </w:p>
    <w:p w14:paraId="0561A045" w14:textId="77777777" w:rsidR="007C0ED2" w:rsidRPr="008F332A" w:rsidRDefault="007C0ED2" w:rsidP="003A2CCC">
      <w:pPr>
        <w:rPr>
          <w:rFonts w:cstheme="minorHAnsi"/>
          <w:color w:val="000000" w:themeColor="text1"/>
        </w:rPr>
      </w:pPr>
      <w:r w:rsidRPr="008F332A">
        <w:rPr>
          <w:rFonts w:cstheme="minorHAnsi"/>
          <w:color w:val="000000" w:themeColor="text1"/>
        </w:rPr>
        <w:t>At the institutional level, the program will work collaboratively across government, focusing on engaging partners and other key stakeholder</w:t>
      </w:r>
      <w:r w:rsidR="00E350B1" w:rsidRPr="008F332A">
        <w:rPr>
          <w:rFonts w:cstheme="minorHAnsi"/>
          <w:color w:val="000000" w:themeColor="text1"/>
        </w:rPr>
        <w:t>s</w:t>
      </w:r>
      <w:r w:rsidRPr="008F332A">
        <w:rPr>
          <w:rFonts w:cstheme="minorHAnsi"/>
          <w:color w:val="000000" w:themeColor="text1"/>
        </w:rPr>
        <w:t>. The Nabilan program will undertake an entry points analysis of the new GoTL, during the first six months of Phase 2, to determine the priorities</w:t>
      </w:r>
      <w:r w:rsidR="00E350B1" w:rsidRPr="008F332A">
        <w:rPr>
          <w:rFonts w:cstheme="minorHAnsi"/>
          <w:color w:val="000000" w:themeColor="text1"/>
        </w:rPr>
        <w:t xml:space="preserve"> and strategies for engagement. </w:t>
      </w:r>
      <w:r w:rsidRPr="008F332A">
        <w:rPr>
          <w:rFonts w:cstheme="minorHAnsi"/>
          <w:color w:val="000000" w:themeColor="text1"/>
        </w:rPr>
        <w:t>Part of the strategic approach of the 2017-2021 NAP-GBV involves the promotion of gender equality at legal and policy level.</w:t>
      </w:r>
      <w:r w:rsidRPr="008F332A">
        <w:rPr>
          <w:rStyle w:val="FootnoteReference"/>
          <w:rFonts w:cstheme="minorHAnsi"/>
          <w:color w:val="000000" w:themeColor="text1"/>
        </w:rPr>
        <w:footnoteReference w:id="7"/>
      </w:r>
      <w:r w:rsidRPr="008F332A">
        <w:rPr>
          <w:rFonts w:cstheme="minorHAnsi"/>
          <w:color w:val="000000" w:themeColor="text1"/>
        </w:rPr>
        <w:t xml:space="preserve"> Support for preventing violence against women needs to be integrated into the work of Government</w:t>
      </w:r>
      <w:r w:rsidR="00305F36" w:rsidRPr="008F332A">
        <w:rPr>
          <w:rFonts w:cstheme="minorHAnsi"/>
          <w:color w:val="000000" w:themeColor="text1"/>
        </w:rPr>
        <w:t>.</w:t>
      </w:r>
      <w:r w:rsidRPr="008F332A">
        <w:rPr>
          <w:rFonts w:cstheme="minorHAnsi"/>
          <w:color w:val="000000" w:themeColor="text1"/>
        </w:rPr>
        <w:t xml:space="preserve"> </w:t>
      </w:r>
    </w:p>
    <w:p w14:paraId="0D4E387B" w14:textId="77777777" w:rsidR="00AB1024" w:rsidRPr="008F332A" w:rsidRDefault="007C0ED2" w:rsidP="003A2CCC">
      <w:pPr>
        <w:spacing w:before="240"/>
        <w:rPr>
          <w:rFonts w:cstheme="minorHAnsi"/>
          <w:color w:val="000000" w:themeColor="text1"/>
        </w:rPr>
      </w:pPr>
      <w:r w:rsidRPr="008F332A">
        <w:rPr>
          <w:rFonts w:cstheme="minorHAnsi"/>
          <w:color w:val="000000" w:themeColor="text1"/>
        </w:rPr>
        <w:t>To influence positive social norms surrounding women and girls</w:t>
      </w:r>
      <w:r w:rsidR="00E32A3F" w:rsidRPr="008F332A">
        <w:rPr>
          <w:rFonts w:cstheme="minorHAnsi"/>
          <w:color w:val="000000" w:themeColor="text1"/>
        </w:rPr>
        <w:t xml:space="preserve">, Nabilan will both work with groups focusing on prevention, and with a network of </w:t>
      </w:r>
      <w:r w:rsidR="00133ACF" w:rsidRPr="008F332A">
        <w:rPr>
          <w:rFonts w:cstheme="minorHAnsi"/>
          <w:color w:val="000000" w:themeColor="text1"/>
        </w:rPr>
        <w:t>C</w:t>
      </w:r>
      <w:r w:rsidR="00E32A3F" w:rsidRPr="008F332A">
        <w:rPr>
          <w:rFonts w:cstheme="minorHAnsi"/>
          <w:color w:val="000000" w:themeColor="text1"/>
        </w:rPr>
        <w:t xml:space="preserve">hange </w:t>
      </w:r>
      <w:r w:rsidR="00133ACF" w:rsidRPr="008F332A">
        <w:rPr>
          <w:rFonts w:cstheme="minorHAnsi"/>
          <w:color w:val="000000" w:themeColor="text1"/>
        </w:rPr>
        <w:t>A</w:t>
      </w:r>
      <w:r w:rsidR="00E32A3F" w:rsidRPr="008F332A">
        <w:rPr>
          <w:rFonts w:cstheme="minorHAnsi"/>
          <w:color w:val="000000" w:themeColor="text1"/>
        </w:rPr>
        <w:t xml:space="preserve">mbassadors who work with development agencies to integrate positive social norms regarding women and girls through their community-based development activities. </w:t>
      </w:r>
      <w:r w:rsidRPr="008F332A">
        <w:rPr>
          <w:rFonts w:cstheme="minorHAnsi"/>
          <w:color w:val="000000" w:themeColor="text1"/>
        </w:rPr>
        <w:t xml:space="preserve">To prevent </w:t>
      </w:r>
      <w:r w:rsidR="00F53437" w:rsidRPr="008F332A">
        <w:rPr>
          <w:rFonts w:cstheme="minorHAnsi"/>
          <w:color w:val="000000" w:themeColor="text1"/>
        </w:rPr>
        <w:t>VAWC</w:t>
      </w:r>
      <w:r w:rsidRPr="008F332A">
        <w:rPr>
          <w:rFonts w:cstheme="minorHAnsi"/>
          <w:color w:val="000000" w:themeColor="text1"/>
        </w:rPr>
        <w:t xml:space="preserve">, it is necessary to address power relations and gender inequities in the public as well as private sphere, accompanied by a critical mass of people at the community level who see </w:t>
      </w:r>
      <w:r w:rsidR="00F53437" w:rsidRPr="008F332A">
        <w:rPr>
          <w:rFonts w:cstheme="minorHAnsi"/>
          <w:color w:val="000000" w:themeColor="text1"/>
        </w:rPr>
        <w:t>VAWC</w:t>
      </w:r>
      <w:r w:rsidRPr="008F332A">
        <w:rPr>
          <w:rFonts w:cstheme="minorHAnsi"/>
          <w:color w:val="000000" w:themeColor="text1"/>
        </w:rPr>
        <w:t xml:space="preserve"> as unacceptable, and are willing to take action to prevent violence in their community. Ensuring that prevention messaging is integrated into other development efforts at the community level, rather than siloed within a small ending violence against women program</w:t>
      </w:r>
      <w:r w:rsidR="00E350B1" w:rsidRPr="008F332A">
        <w:rPr>
          <w:rFonts w:cstheme="minorHAnsi"/>
          <w:color w:val="000000" w:themeColor="text1"/>
        </w:rPr>
        <w:t>,</w:t>
      </w:r>
      <w:r w:rsidRPr="008F332A">
        <w:rPr>
          <w:rFonts w:cstheme="minorHAnsi"/>
          <w:color w:val="000000" w:themeColor="text1"/>
        </w:rPr>
        <w:t xml:space="preserve"> is fundamental to achieving community level change. </w:t>
      </w:r>
    </w:p>
    <w:p w14:paraId="0CD9901E" w14:textId="36460918" w:rsidR="00E32A3F" w:rsidRPr="008F332A" w:rsidRDefault="00E32A3F" w:rsidP="003A2CCC">
      <w:pPr>
        <w:rPr>
          <w:rFonts w:cstheme="minorHAnsi"/>
          <w:color w:val="000000" w:themeColor="text1"/>
        </w:rPr>
      </w:pPr>
      <w:r w:rsidRPr="008F332A">
        <w:rPr>
          <w:rFonts w:cstheme="minorHAnsi"/>
          <w:color w:val="000000" w:themeColor="text1"/>
        </w:rPr>
        <w:t xml:space="preserve">In </w:t>
      </w:r>
      <w:r w:rsidR="00F53437" w:rsidRPr="008F332A">
        <w:rPr>
          <w:rFonts w:cstheme="minorHAnsi"/>
          <w:color w:val="000000" w:themeColor="text1"/>
        </w:rPr>
        <w:t>Phase 1</w:t>
      </w:r>
      <w:r w:rsidRPr="008F332A">
        <w:rPr>
          <w:rFonts w:cstheme="minorHAnsi"/>
          <w:color w:val="000000" w:themeColor="text1"/>
        </w:rPr>
        <w:t>, Nabilan initiated a pilot utilising a community mobilisation approach</w:t>
      </w:r>
      <w:r w:rsidR="00B61255">
        <w:rPr>
          <w:rFonts w:cstheme="minorHAnsi"/>
          <w:color w:val="000000" w:themeColor="text1"/>
        </w:rPr>
        <w:t xml:space="preserve"> (CBA)</w:t>
      </w:r>
      <w:r w:rsidRPr="008F332A">
        <w:rPr>
          <w:rFonts w:cstheme="minorHAnsi"/>
          <w:color w:val="000000" w:themeColor="text1"/>
        </w:rPr>
        <w:t xml:space="preserve">, based on </w:t>
      </w:r>
      <w:r w:rsidR="009D40A7">
        <w:rPr>
          <w:rFonts w:cstheme="minorHAnsi"/>
          <w:color w:val="000000" w:themeColor="text1"/>
        </w:rPr>
        <w:t>the</w:t>
      </w:r>
      <w:r w:rsidRPr="008F332A">
        <w:rPr>
          <w:rFonts w:cstheme="minorHAnsi"/>
          <w:color w:val="000000" w:themeColor="text1"/>
        </w:rPr>
        <w:t xml:space="preserve"> successful SASA!</w:t>
      </w:r>
      <w:r w:rsidR="009D40A7">
        <w:rPr>
          <w:rFonts w:cstheme="minorHAnsi"/>
          <w:color w:val="000000" w:themeColor="text1"/>
        </w:rPr>
        <w:t xml:space="preserve"> </w:t>
      </w:r>
      <w:r w:rsidR="00B61255">
        <w:rPr>
          <w:rFonts w:cstheme="minorHAnsi"/>
          <w:color w:val="000000" w:themeColor="text1"/>
        </w:rPr>
        <w:t>approach to prevention violence against women</w:t>
      </w:r>
      <w:r w:rsidRPr="008F332A">
        <w:rPr>
          <w:rFonts w:cstheme="minorHAnsi"/>
          <w:color w:val="000000" w:themeColor="text1"/>
        </w:rPr>
        <w:t xml:space="preserve"> </w:t>
      </w:r>
      <w:r w:rsidR="00B61255">
        <w:rPr>
          <w:rFonts w:cstheme="minorHAnsi"/>
          <w:color w:val="000000" w:themeColor="text1"/>
        </w:rPr>
        <w:t>developed</w:t>
      </w:r>
      <w:r w:rsidR="00B61255" w:rsidRPr="008F332A">
        <w:rPr>
          <w:rFonts w:cstheme="minorHAnsi"/>
          <w:color w:val="000000" w:themeColor="text1"/>
        </w:rPr>
        <w:t xml:space="preserve"> </w:t>
      </w:r>
      <w:r w:rsidRPr="008F332A">
        <w:rPr>
          <w:rFonts w:cstheme="minorHAnsi"/>
          <w:color w:val="000000" w:themeColor="text1"/>
        </w:rPr>
        <w:t xml:space="preserve">by Raising Voices in Uganda. </w:t>
      </w:r>
      <w:r w:rsidR="00B61255">
        <w:rPr>
          <w:rFonts w:cstheme="minorHAnsi"/>
          <w:color w:val="000000" w:themeColor="text1"/>
        </w:rPr>
        <w:t>The CBA</w:t>
      </w:r>
      <w:r w:rsidRPr="008F332A">
        <w:rPr>
          <w:rFonts w:cstheme="minorHAnsi"/>
          <w:color w:val="000000" w:themeColor="text1"/>
        </w:rPr>
        <w:t xml:space="preserve">, covering one suku, Suku Letefoho, in Manufahi municipality, commenced in </w:t>
      </w:r>
      <w:r w:rsidR="00E350B1" w:rsidRPr="008F332A">
        <w:rPr>
          <w:rFonts w:cstheme="minorHAnsi"/>
          <w:color w:val="000000" w:themeColor="text1"/>
        </w:rPr>
        <w:t xml:space="preserve">January </w:t>
      </w:r>
      <w:r w:rsidRPr="008F332A">
        <w:rPr>
          <w:rFonts w:cstheme="minorHAnsi"/>
          <w:color w:val="000000" w:themeColor="text1"/>
        </w:rPr>
        <w:t xml:space="preserve">2017 and </w:t>
      </w:r>
      <w:r w:rsidR="00E350B1" w:rsidRPr="008F332A">
        <w:rPr>
          <w:rFonts w:cstheme="minorHAnsi"/>
          <w:color w:val="000000" w:themeColor="text1"/>
        </w:rPr>
        <w:t>is expected to be</w:t>
      </w:r>
      <w:r w:rsidRPr="008F332A">
        <w:rPr>
          <w:rFonts w:cstheme="minorHAnsi"/>
          <w:color w:val="000000" w:themeColor="text1"/>
        </w:rPr>
        <w:t xml:space="preserve"> completed </w:t>
      </w:r>
      <w:r w:rsidR="00E350B1" w:rsidRPr="008F332A">
        <w:rPr>
          <w:rFonts w:cstheme="minorHAnsi"/>
          <w:color w:val="000000" w:themeColor="text1"/>
        </w:rPr>
        <w:t>by</w:t>
      </w:r>
      <w:r w:rsidRPr="008F332A">
        <w:rPr>
          <w:rFonts w:cstheme="minorHAnsi"/>
          <w:color w:val="000000" w:themeColor="text1"/>
        </w:rPr>
        <w:t xml:space="preserve"> </w:t>
      </w:r>
      <w:r w:rsidR="00E350B1" w:rsidRPr="008F332A">
        <w:rPr>
          <w:rFonts w:cstheme="minorHAnsi"/>
          <w:color w:val="000000" w:themeColor="text1"/>
        </w:rPr>
        <w:t xml:space="preserve">July </w:t>
      </w:r>
      <w:r w:rsidRPr="008F332A">
        <w:rPr>
          <w:rFonts w:cstheme="minorHAnsi"/>
          <w:color w:val="000000" w:themeColor="text1"/>
        </w:rPr>
        <w:t xml:space="preserve">2020. Nabilan is documenting and sharing the results with interested agencies, with the aim of </w:t>
      </w:r>
      <w:r w:rsidR="001F2C52" w:rsidRPr="008F332A">
        <w:rPr>
          <w:rFonts w:cstheme="minorHAnsi"/>
          <w:color w:val="000000" w:themeColor="text1"/>
        </w:rPr>
        <w:t xml:space="preserve">developing </w:t>
      </w:r>
      <w:r w:rsidRPr="008F332A">
        <w:rPr>
          <w:rFonts w:cstheme="minorHAnsi"/>
          <w:color w:val="000000" w:themeColor="text1"/>
        </w:rPr>
        <w:t>a</w:t>
      </w:r>
      <w:r w:rsidR="001F2C52" w:rsidRPr="008F332A">
        <w:rPr>
          <w:rFonts w:cstheme="minorHAnsi"/>
          <w:color w:val="000000" w:themeColor="text1"/>
        </w:rPr>
        <w:t xml:space="preserve"> delivery model that reflects</w:t>
      </w:r>
      <w:r w:rsidRPr="008F332A">
        <w:rPr>
          <w:rFonts w:cstheme="minorHAnsi"/>
          <w:color w:val="000000" w:themeColor="text1"/>
        </w:rPr>
        <w:t xml:space="preserve"> ‘what works’ in the context of Timor-Leste. </w:t>
      </w:r>
      <w:r w:rsidR="009A41EF" w:rsidRPr="008F332A">
        <w:rPr>
          <w:rFonts w:cstheme="minorHAnsi"/>
          <w:color w:val="000000" w:themeColor="text1"/>
        </w:rPr>
        <w:t>Th</w:t>
      </w:r>
      <w:r w:rsidR="00FC7938" w:rsidRPr="008F332A">
        <w:rPr>
          <w:rFonts w:cstheme="minorHAnsi"/>
          <w:color w:val="000000" w:themeColor="text1"/>
        </w:rPr>
        <w:t>is</w:t>
      </w:r>
      <w:r w:rsidR="009A41EF" w:rsidRPr="008F332A">
        <w:rPr>
          <w:rFonts w:cstheme="minorHAnsi"/>
          <w:color w:val="000000" w:themeColor="text1"/>
        </w:rPr>
        <w:t xml:space="preserve"> </w:t>
      </w:r>
      <w:r w:rsidR="001F2C52" w:rsidRPr="008F332A">
        <w:rPr>
          <w:rFonts w:cstheme="minorHAnsi"/>
          <w:color w:val="000000" w:themeColor="text1"/>
        </w:rPr>
        <w:t>CBA</w:t>
      </w:r>
      <w:r w:rsidR="007C0ED2" w:rsidRPr="008F332A">
        <w:rPr>
          <w:rFonts w:cstheme="minorHAnsi"/>
          <w:color w:val="000000" w:themeColor="text1"/>
        </w:rPr>
        <w:t xml:space="preserve"> aligns with the revised NAP-GBV 2017-2021 which “recognises the paramount importance of investing efforts in preventing GBV from taking place”, and that this must occur by “addressing the root causes of violence based on gender, such as gender inequality and discrimination, which result in the perceived lower status of women”. </w:t>
      </w:r>
    </w:p>
    <w:p w14:paraId="117A82AD" w14:textId="77777777" w:rsidR="00652375" w:rsidRPr="008F332A" w:rsidRDefault="001F2C52" w:rsidP="003A2CCC">
      <w:pPr>
        <w:pStyle w:val="BodyText"/>
        <w:spacing w:line="240" w:lineRule="auto"/>
        <w:jc w:val="both"/>
        <w:rPr>
          <w:rFonts w:cstheme="minorHAnsi"/>
          <w:color w:val="000000" w:themeColor="text1"/>
        </w:rPr>
      </w:pPr>
      <w:r w:rsidRPr="008F332A">
        <w:rPr>
          <w:rFonts w:cstheme="minorHAnsi"/>
          <w:color w:val="000000" w:themeColor="text1"/>
        </w:rPr>
        <w:t>A key intermediate outcome of the Nabilan program, is that communities themselves are taking action to prevent</w:t>
      </w:r>
      <w:r w:rsidR="00F53437" w:rsidRPr="008F332A">
        <w:rPr>
          <w:rFonts w:cstheme="minorHAnsi"/>
          <w:color w:val="000000" w:themeColor="text1"/>
        </w:rPr>
        <w:t xml:space="preserve"> VAWC</w:t>
      </w:r>
      <w:r w:rsidRPr="008F332A">
        <w:rPr>
          <w:rFonts w:cstheme="minorHAnsi"/>
          <w:color w:val="000000" w:themeColor="text1"/>
        </w:rPr>
        <w:t xml:space="preserve">. </w:t>
      </w:r>
      <w:r w:rsidR="00652375" w:rsidRPr="008F332A">
        <w:rPr>
          <w:rFonts w:cstheme="minorHAnsi"/>
          <w:color w:val="000000" w:themeColor="text1"/>
        </w:rPr>
        <w:t xml:space="preserve">While the roles of </w:t>
      </w:r>
      <w:r w:rsidR="00652375" w:rsidRPr="008F332A">
        <w:rPr>
          <w:rFonts w:cstheme="minorHAnsi"/>
          <w:i/>
          <w:color w:val="000000" w:themeColor="text1"/>
        </w:rPr>
        <w:t>xefes</w:t>
      </w:r>
      <w:r w:rsidR="00652375" w:rsidRPr="008F332A">
        <w:rPr>
          <w:rFonts w:cstheme="minorHAnsi"/>
          <w:color w:val="000000" w:themeColor="text1"/>
        </w:rPr>
        <w:t xml:space="preserve"> </w:t>
      </w:r>
      <w:r w:rsidR="00652375" w:rsidRPr="008F332A">
        <w:rPr>
          <w:rFonts w:cstheme="minorHAnsi"/>
          <w:i/>
          <w:color w:val="000000" w:themeColor="text1"/>
        </w:rPr>
        <w:t>suku</w:t>
      </w:r>
      <w:r w:rsidR="00652375" w:rsidRPr="008F332A">
        <w:rPr>
          <w:rFonts w:cstheme="minorHAnsi"/>
          <w:color w:val="000000" w:themeColor="text1"/>
        </w:rPr>
        <w:t xml:space="preserve"> and </w:t>
      </w:r>
      <w:r w:rsidR="00652375" w:rsidRPr="008F332A">
        <w:rPr>
          <w:rFonts w:cstheme="minorHAnsi"/>
          <w:i/>
          <w:color w:val="000000" w:themeColor="text1"/>
        </w:rPr>
        <w:t>aldeia</w:t>
      </w:r>
      <w:r w:rsidR="00652375" w:rsidRPr="008F332A">
        <w:rPr>
          <w:rFonts w:cstheme="minorHAnsi"/>
          <w:color w:val="000000" w:themeColor="text1"/>
        </w:rPr>
        <w:t xml:space="preserve">, </w:t>
      </w:r>
      <w:r w:rsidR="00652375" w:rsidRPr="008F332A">
        <w:rPr>
          <w:rFonts w:cstheme="minorHAnsi"/>
          <w:i/>
          <w:color w:val="000000" w:themeColor="text1"/>
        </w:rPr>
        <w:t>suku</w:t>
      </w:r>
      <w:r w:rsidR="00652375" w:rsidRPr="008F332A">
        <w:rPr>
          <w:rFonts w:cstheme="minorHAnsi"/>
          <w:color w:val="000000" w:themeColor="text1"/>
        </w:rPr>
        <w:t xml:space="preserve"> councils, and women’s leaders and groups are </w:t>
      </w:r>
      <w:r w:rsidR="00964919" w:rsidRPr="008F332A">
        <w:rPr>
          <w:rFonts w:cstheme="minorHAnsi"/>
          <w:color w:val="000000" w:themeColor="text1"/>
        </w:rPr>
        <w:t xml:space="preserve">important, </w:t>
      </w:r>
      <w:r w:rsidR="00652375" w:rsidRPr="008F332A">
        <w:rPr>
          <w:rFonts w:cstheme="minorHAnsi"/>
          <w:color w:val="000000" w:themeColor="text1"/>
        </w:rPr>
        <w:t>particularly in isolated and under-served areas, the Nabilan Program recognises that other leaders—such as nuns, priests, catechists, and other community leaders</w:t>
      </w:r>
      <w:r w:rsidR="00964919" w:rsidRPr="008F332A">
        <w:rPr>
          <w:rFonts w:cstheme="minorHAnsi"/>
          <w:color w:val="000000" w:themeColor="text1"/>
        </w:rPr>
        <w:t xml:space="preserve"> </w:t>
      </w:r>
      <w:r w:rsidR="00652375" w:rsidRPr="008F332A">
        <w:rPr>
          <w:rFonts w:cstheme="minorHAnsi"/>
          <w:color w:val="000000" w:themeColor="text1"/>
        </w:rPr>
        <w:t>—</w:t>
      </w:r>
      <w:r w:rsidR="00964919" w:rsidRPr="008F332A">
        <w:rPr>
          <w:rFonts w:cstheme="minorHAnsi"/>
          <w:color w:val="000000" w:themeColor="text1"/>
        </w:rPr>
        <w:t xml:space="preserve"> </w:t>
      </w:r>
      <w:r w:rsidR="00652375" w:rsidRPr="008F332A">
        <w:rPr>
          <w:rFonts w:cstheme="minorHAnsi"/>
          <w:color w:val="000000" w:themeColor="text1"/>
        </w:rPr>
        <w:t xml:space="preserve">also wield considerable influence and have the potential to shape community responses to </w:t>
      </w:r>
      <w:r w:rsidR="00F53437" w:rsidRPr="008F332A">
        <w:rPr>
          <w:rFonts w:cstheme="minorHAnsi"/>
          <w:color w:val="000000" w:themeColor="text1"/>
        </w:rPr>
        <w:t>VAWC</w:t>
      </w:r>
      <w:r w:rsidR="00652375" w:rsidRPr="008F332A">
        <w:rPr>
          <w:rFonts w:cstheme="minorHAnsi"/>
          <w:color w:val="000000" w:themeColor="text1"/>
        </w:rPr>
        <w:t xml:space="preserve">. Phase 2 of the Nabilan Program will leverage and build on the positive roles these leaders are already playing to promote the safety and well-being of women and children in their communities. </w:t>
      </w:r>
    </w:p>
    <w:p w14:paraId="23F3EE08" w14:textId="77777777" w:rsidR="00237725" w:rsidRPr="008F332A" w:rsidRDefault="00237725" w:rsidP="003A2CCC">
      <w:pPr>
        <w:pStyle w:val="NormalWeb"/>
        <w:jc w:val="both"/>
        <w:rPr>
          <w:rFonts w:asciiTheme="minorHAnsi" w:hAnsiTheme="minorHAnsi" w:cstheme="minorHAnsi"/>
          <w:bCs/>
          <w:iCs/>
          <w:color w:val="000000" w:themeColor="text1"/>
          <w:sz w:val="22"/>
          <w:szCs w:val="22"/>
        </w:rPr>
      </w:pPr>
      <w:r w:rsidRPr="008F332A">
        <w:rPr>
          <w:rFonts w:asciiTheme="minorHAnsi" w:hAnsiTheme="minorHAnsi" w:cstheme="minorHAnsi"/>
          <w:color w:val="000000" w:themeColor="text1"/>
          <w:sz w:val="22"/>
          <w:szCs w:val="22"/>
        </w:rPr>
        <w:t xml:space="preserve">Working with men and boys, as well as women and girls, is acknowledged international best practice in addressing </w:t>
      </w:r>
      <w:r w:rsidR="00133ACF" w:rsidRPr="008F332A">
        <w:rPr>
          <w:rFonts w:asciiTheme="minorHAnsi" w:hAnsiTheme="minorHAnsi" w:cstheme="minorHAnsi"/>
          <w:color w:val="000000" w:themeColor="text1"/>
          <w:sz w:val="22"/>
          <w:szCs w:val="22"/>
        </w:rPr>
        <w:t>VAWC</w:t>
      </w:r>
      <w:r w:rsidRPr="008F332A">
        <w:rPr>
          <w:rFonts w:asciiTheme="minorHAnsi" w:hAnsiTheme="minorHAnsi" w:cstheme="minorHAnsi"/>
          <w:color w:val="000000" w:themeColor="text1"/>
          <w:sz w:val="22"/>
          <w:szCs w:val="22"/>
        </w:rPr>
        <w:t xml:space="preserve">. </w:t>
      </w:r>
      <w:r w:rsidR="00964919" w:rsidRPr="008F332A">
        <w:rPr>
          <w:rFonts w:asciiTheme="minorHAnsi" w:hAnsiTheme="minorHAnsi" w:cstheme="minorHAnsi"/>
          <w:color w:val="000000" w:themeColor="text1"/>
          <w:sz w:val="22"/>
          <w:szCs w:val="22"/>
        </w:rPr>
        <w:t>The program will utilise research undertaken in Timor-Leste, to inform</w:t>
      </w:r>
      <w:r w:rsidRPr="008F332A">
        <w:rPr>
          <w:rFonts w:asciiTheme="minorHAnsi" w:hAnsiTheme="minorHAnsi" w:cstheme="minorHAnsi"/>
          <w:color w:val="000000" w:themeColor="text1"/>
          <w:sz w:val="22"/>
          <w:szCs w:val="22"/>
        </w:rPr>
        <w:t xml:space="preserve"> work</w:t>
      </w:r>
      <w:r w:rsidR="00964919" w:rsidRPr="008F332A">
        <w:rPr>
          <w:rFonts w:asciiTheme="minorHAnsi" w:hAnsiTheme="minorHAnsi" w:cstheme="minorHAnsi"/>
          <w:color w:val="000000" w:themeColor="text1"/>
          <w:sz w:val="22"/>
          <w:szCs w:val="22"/>
        </w:rPr>
        <w:t>ing with men, including young men</w:t>
      </w:r>
      <w:r w:rsidRPr="008F332A">
        <w:rPr>
          <w:rFonts w:asciiTheme="minorHAnsi" w:hAnsiTheme="minorHAnsi" w:cstheme="minorHAnsi"/>
          <w:color w:val="000000" w:themeColor="text1"/>
          <w:sz w:val="22"/>
          <w:szCs w:val="22"/>
        </w:rPr>
        <w:t>.</w:t>
      </w:r>
      <w:r w:rsidRPr="008F332A">
        <w:rPr>
          <w:rStyle w:val="FootnoteReference"/>
          <w:rFonts w:asciiTheme="minorHAnsi" w:eastAsiaTheme="majorEastAsia" w:hAnsiTheme="minorHAnsi" w:cstheme="minorHAnsi"/>
          <w:color w:val="000000" w:themeColor="text1"/>
          <w:sz w:val="22"/>
          <w:szCs w:val="22"/>
        </w:rPr>
        <w:footnoteReference w:id="8"/>
      </w:r>
      <w:r w:rsidR="00CD34AF" w:rsidRPr="008F332A">
        <w:rPr>
          <w:rFonts w:asciiTheme="minorHAnsi" w:hAnsiTheme="minorHAnsi" w:cstheme="minorHAnsi"/>
          <w:color w:val="000000" w:themeColor="text1"/>
          <w:sz w:val="22"/>
          <w:szCs w:val="22"/>
          <w:vertAlign w:val="superscript"/>
        </w:rPr>
        <w:t>,</w:t>
      </w:r>
      <w:r w:rsidR="00964919" w:rsidRPr="008F332A">
        <w:rPr>
          <w:rStyle w:val="FootnoteReference"/>
          <w:rFonts w:asciiTheme="minorHAnsi" w:hAnsiTheme="minorHAnsi" w:cstheme="minorHAnsi"/>
          <w:color w:val="000000" w:themeColor="text1"/>
          <w:sz w:val="22"/>
          <w:szCs w:val="22"/>
        </w:rPr>
        <w:footnoteReference w:id="9"/>
      </w:r>
      <w:r w:rsidR="00964919" w:rsidRPr="008F332A">
        <w:rPr>
          <w:rFonts w:asciiTheme="minorHAnsi" w:hAnsiTheme="minorHAnsi" w:cstheme="minorHAnsi"/>
          <w:color w:val="000000" w:themeColor="text1"/>
          <w:sz w:val="22"/>
          <w:szCs w:val="22"/>
          <w:vertAlign w:val="superscript"/>
        </w:rPr>
        <w:t xml:space="preserve">  </w:t>
      </w:r>
      <w:r w:rsidR="00964919" w:rsidRPr="008F332A">
        <w:rPr>
          <w:rFonts w:asciiTheme="minorHAnsi" w:hAnsiTheme="minorHAnsi" w:cstheme="minorHAnsi"/>
          <w:color w:val="000000" w:themeColor="text1"/>
          <w:sz w:val="22"/>
          <w:szCs w:val="22"/>
        </w:rPr>
        <w:t xml:space="preserve"> The </w:t>
      </w:r>
      <w:r w:rsidRPr="008F332A">
        <w:rPr>
          <w:rFonts w:asciiTheme="minorHAnsi" w:hAnsiTheme="minorHAnsi" w:cstheme="minorHAnsi"/>
          <w:color w:val="000000" w:themeColor="text1"/>
          <w:sz w:val="22"/>
          <w:szCs w:val="22"/>
        </w:rPr>
        <w:t xml:space="preserve">2015 Nabilan Baseline Study </w:t>
      </w:r>
      <w:r w:rsidR="00964919" w:rsidRPr="008F332A">
        <w:rPr>
          <w:rFonts w:asciiTheme="minorHAnsi" w:hAnsiTheme="minorHAnsi" w:cstheme="minorHAnsi"/>
          <w:color w:val="000000" w:themeColor="text1"/>
          <w:sz w:val="22"/>
          <w:szCs w:val="22"/>
        </w:rPr>
        <w:t xml:space="preserve">found that </w:t>
      </w:r>
      <w:r w:rsidRPr="008F332A">
        <w:rPr>
          <w:rFonts w:asciiTheme="minorHAnsi" w:hAnsiTheme="minorHAnsi" w:cstheme="minorHAnsi"/>
          <w:bCs/>
          <w:iCs/>
          <w:color w:val="000000" w:themeColor="text1"/>
          <w:sz w:val="22"/>
          <w:szCs w:val="22"/>
        </w:rPr>
        <w:t xml:space="preserve">59% of men who had perpetrated rape did so for the first time when they were teenagers. The study also found that intimate partner violence in Timor-Leste is driven by gender inequality, is upheld by the normalisation of violence, and is informed by a model of masculinity that promotes male dominance and sexual entitlement over women. </w:t>
      </w:r>
      <w:r w:rsidRPr="008F332A">
        <w:rPr>
          <w:rFonts w:asciiTheme="minorHAnsi" w:hAnsiTheme="minorHAnsi" w:cstheme="minorHAnsi"/>
          <w:color w:val="000000" w:themeColor="text1"/>
          <w:sz w:val="22"/>
          <w:szCs w:val="22"/>
        </w:rPr>
        <w:t>In seeking to address the early age at which men perpetrate sexual violence and the prevalence of gang rape, there is a need to utilise an approach that engages young men and women in sexual education grounded in respectful relationships and clear notions of consent, and the promotion of positive role models for men that do</w:t>
      </w:r>
      <w:r w:rsidR="005B7521" w:rsidRPr="008F332A">
        <w:rPr>
          <w:rFonts w:asciiTheme="minorHAnsi" w:hAnsiTheme="minorHAnsi" w:cstheme="minorHAnsi"/>
          <w:color w:val="000000" w:themeColor="text1"/>
          <w:sz w:val="22"/>
          <w:szCs w:val="22"/>
        </w:rPr>
        <w:t xml:space="preserve"> not</w:t>
      </w:r>
      <w:r w:rsidRPr="008F332A">
        <w:rPr>
          <w:rFonts w:asciiTheme="minorHAnsi" w:hAnsiTheme="minorHAnsi" w:cstheme="minorHAnsi"/>
          <w:color w:val="000000" w:themeColor="text1"/>
          <w:sz w:val="22"/>
          <w:szCs w:val="22"/>
        </w:rPr>
        <w:t xml:space="preserve"> involve violence. </w:t>
      </w:r>
    </w:p>
    <w:p w14:paraId="5FFF71CF" w14:textId="77777777" w:rsidR="00237725" w:rsidRPr="008F332A" w:rsidRDefault="00237725" w:rsidP="003A2CCC">
      <w:pPr>
        <w:pStyle w:val="p1"/>
        <w:jc w:val="both"/>
        <w:rPr>
          <w:rFonts w:asciiTheme="minorHAnsi" w:hAnsiTheme="minorHAnsi" w:cstheme="minorHAnsi"/>
          <w:color w:val="000000" w:themeColor="text1"/>
          <w:sz w:val="22"/>
          <w:szCs w:val="22"/>
        </w:rPr>
      </w:pPr>
      <w:r w:rsidRPr="008F332A">
        <w:rPr>
          <w:rFonts w:asciiTheme="minorHAnsi" w:hAnsiTheme="minorHAnsi" w:cstheme="minorHAnsi"/>
          <w:color w:val="000000" w:themeColor="text1"/>
          <w:sz w:val="22"/>
          <w:szCs w:val="22"/>
        </w:rPr>
        <w:t xml:space="preserve">Building new shared, positive, social norms that enable gender equity and power-sharing in relationships, the sharing of household work and decision making, and positive approaches to disputes is an effective approach to ending violence against women. </w:t>
      </w:r>
      <w:r w:rsidR="008A34CE" w:rsidRPr="008F332A">
        <w:rPr>
          <w:rFonts w:asciiTheme="minorHAnsi" w:hAnsiTheme="minorHAnsi" w:cstheme="minorHAnsi"/>
          <w:color w:val="000000" w:themeColor="text1"/>
          <w:sz w:val="22"/>
          <w:szCs w:val="22"/>
        </w:rPr>
        <w:t xml:space="preserve">The approach will also consider </w:t>
      </w:r>
      <w:r w:rsidRPr="008F332A">
        <w:rPr>
          <w:rFonts w:asciiTheme="minorHAnsi" w:hAnsiTheme="minorHAnsi" w:cstheme="minorHAnsi"/>
          <w:color w:val="000000" w:themeColor="text1"/>
          <w:sz w:val="22"/>
          <w:szCs w:val="22"/>
        </w:rPr>
        <w:t xml:space="preserve">parent’s relationships with their children and the importance of positive discipline. Children who do not witness or directly experience violence have significantly better developmental outcomes, and a greatly reduced chance of being either a perpetrator or victim of violence once they are adults.  </w:t>
      </w:r>
    </w:p>
    <w:p w14:paraId="65BE0849" w14:textId="77777777" w:rsidR="00ED6685" w:rsidRPr="008F332A" w:rsidRDefault="00ED6685" w:rsidP="003A2CCC">
      <w:pPr>
        <w:pStyle w:val="Heading2"/>
        <w:numPr>
          <w:ilvl w:val="1"/>
          <w:numId w:val="19"/>
        </w:numPr>
        <w:rPr>
          <w:rFonts w:asciiTheme="minorHAnsi" w:hAnsiTheme="minorHAnsi" w:cstheme="minorHAnsi"/>
          <w:color w:val="002D88" w:themeColor="accent6" w:themeTint="E6"/>
        </w:rPr>
      </w:pPr>
      <w:bookmarkStart w:id="10" w:name="_Toc517960093"/>
      <w:r w:rsidRPr="008F332A">
        <w:rPr>
          <w:rFonts w:asciiTheme="minorHAnsi" w:hAnsiTheme="minorHAnsi" w:cstheme="minorHAnsi"/>
          <w:color w:val="002D88" w:themeColor="accent6" w:themeTint="E6"/>
        </w:rPr>
        <w:t>Stakeholders</w:t>
      </w:r>
      <w:bookmarkEnd w:id="10"/>
      <w:r w:rsidRPr="008F332A">
        <w:rPr>
          <w:rFonts w:asciiTheme="minorHAnsi" w:hAnsiTheme="minorHAnsi" w:cstheme="minorHAnsi"/>
          <w:color w:val="002D88" w:themeColor="accent6" w:themeTint="E6"/>
        </w:rPr>
        <w:t xml:space="preserve"> </w:t>
      </w:r>
    </w:p>
    <w:p w14:paraId="4650BC8C" w14:textId="3265895B" w:rsidR="0028355C" w:rsidRPr="008F332A" w:rsidRDefault="0028355C" w:rsidP="003A2CCC">
      <w:pPr>
        <w:pStyle w:val="BodyText"/>
        <w:spacing w:line="240" w:lineRule="auto"/>
        <w:jc w:val="both"/>
        <w:rPr>
          <w:rFonts w:cstheme="minorHAnsi"/>
          <w:color w:val="000000" w:themeColor="text1"/>
        </w:rPr>
      </w:pPr>
      <w:r w:rsidRPr="008F332A">
        <w:rPr>
          <w:rFonts w:cstheme="minorHAnsi"/>
          <w:color w:val="000000" w:themeColor="text1"/>
        </w:rPr>
        <w:t xml:space="preserve">Stakeholders are those who are integral to </w:t>
      </w:r>
      <w:r w:rsidR="00133ACF" w:rsidRPr="008F332A">
        <w:rPr>
          <w:rFonts w:cstheme="minorHAnsi"/>
          <w:color w:val="000000" w:themeColor="text1"/>
        </w:rPr>
        <w:t>Nabilan</w:t>
      </w:r>
      <w:r w:rsidRPr="008F332A">
        <w:rPr>
          <w:rFonts w:cstheme="minorHAnsi"/>
          <w:color w:val="000000" w:themeColor="text1"/>
        </w:rPr>
        <w:t xml:space="preserve"> achieving its outcomes. Effectively engaging stakeholders is crucial to the</w:t>
      </w:r>
      <w:r w:rsidR="0061315E" w:rsidRPr="008F332A">
        <w:rPr>
          <w:rFonts w:cstheme="minorHAnsi"/>
          <w:color w:val="000000" w:themeColor="text1"/>
        </w:rPr>
        <w:t xml:space="preserve"> TOC</w:t>
      </w:r>
      <w:r w:rsidRPr="008F332A">
        <w:rPr>
          <w:rFonts w:cstheme="minorHAnsi"/>
          <w:color w:val="000000" w:themeColor="text1"/>
        </w:rPr>
        <w:t xml:space="preserve">, and ultimately to the program’s success. </w:t>
      </w:r>
      <w:r w:rsidR="00E736A2" w:rsidRPr="008F332A">
        <w:rPr>
          <w:rFonts w:cstheme="minorHAnsi"/>
          <w:color w:val="000000" w:themeColor="text1"/>
        </w:rPr>
        <w:fldChar w:fldCharType="begin"/>
      </w:r>
      <w:r w:rsidR="00E736A2" w:rsidRPr="008F332A">
        <w:rPr>
          <w:rFonts w:cstheme="minorHAnsi"/>
          <w:color w:val="000000" w:themeColor="text1"/>
        </w:rPr>
        <w:instrText xml:space="preserve"> REF _Ref513985929 \h  \* MERGEFORMAT </w:instrText>
      </w:r>
      <w:r w:rsidR="00E736A2" w:rsidRPr="008F332A">
        <w:rPr>
          <w:rFonts w:cstheme="minorHAnsi"/>
          <w:color w:val="000000" w:themeColor="text1"/>
        </w:rPr>
      </w:r>
      <w:r w:rsidR="00E736A2" w:rsidRPr="008F332A">
        <w:rPr>
          <w:rFonts w:cstheme="minorHAnsi"/>
          <w:color w:val="000000" w:themeColor="text1"/>
        </w:rPr>
        <w:fldChar w:fldCharType="separate"/>
      </w:r>
      <w:r w:rsidR="0082402C" w:rsidRPr="0082402C">
        <w:rPr>
          <w:rFonts w:cstheme="minorHAnsi"/>
          <w:color w:val="000000" w:themeColor="text1"/>
        </w:rPr>
        <w:t xml:space="preserve">Figure </w:t>
      </w:r>
      <w:r w:rsidR="0082402C" w:rsidRPr="0082402C">
        <w:rPr>
          <w:rFonts w:cstheme="minorHAnsi"/>
          <w:noProof/>
          <w:color w:val="000000" w:themeColor="text1"/>
        </w:rPr>
        <w:t>2</w:t>
      </w:r>
      <w:r w:rsidR="00E736A2" w:rsidRPr="008F332A">
        <w:rPr>
          <w:rFonts w:cstheme="minorHAnsi"/>
          <w:color w:val="000000" w:themeColor="text1"/>
        </w:rPr>
        <w:fldChar w:fldCharType="end"/>
      </w:r>
      <w:r w:rsidR="00E736A2" w:rsidRPr="008F332A">
        <w:rPr>
          <w:rFonts w:cstheme="minorHAnsi"/>
          <w:color w:val="000000" w:themeColor="text1"/>
        </w:rPr>
        <w:t xml:space="preserve"> </w:t>
      </w:r>
      <w:r w:rsidR="005B7521" w:rsidRPr="008F332A">
        <w:rPr>
          <w:rFonts w:cstheme="minorHAnsi"/>
          <w:color w:val="000000" w:themeColor="text1"/>
        </w:rPr>
        <w:t xml:space="preserve">shows Nabilan’s </w:t>
      </w:r>
      <w:r w:rsidRPr="008F332A">
        <w:rPr>
          <w:rFonts w:cstheme="minorHAnsi"/>
          <w:color w:val="000000" w:themeColor="text1"/>
        </w:rPr>
        <w:t>stakeholder</w:t>
      </w:r>
      <w:r w:rsidR="00E736A2" w:rsidRPr="008F332A">
        <w:rPr>
          <w:rFonts w:cstheme="minorHAnsi"/>
          <w:color w:val="000000" w:themeColor="text1"/>
        </w:rPr>
        <w:t xml:space="preserve"> groups</w:t>
      </w:r>
      <w:r w:rsidRPr="008F332A">
        <w:rPr>
          <w:rFonts w:cstheme="minorHAnsi"/>
          <w:color w:val="000000" w:themeColor="text1"/>
        </w:rPr>
        <w:t xml:space="preserve">. </w:t>
      </w:r>
    </w:p>
    <w:p w14:paraId="225E3382" w14:textId="77777777" w:rsidR="00E736A2" w:rsidRPr="008F332A" w:rsidRDefault="0028355C" w:rsidP="003A2CCC">
      <w:pPr>
        <w:pStyle w:val="BodyText"/>
        <w:spacing w:line="240" w:lineRule="auto"/>
        <w:jc w:val="both"/>
        <w:rPr>
          <w:rFonts w:cstheme="minorHAnsi"/>
          <w:color w:val="000000" w:themeColor="text1"/>
        </w:rPr>
      </w:pPr>
      <w:r w:rsidRPr="008F332A">
        <w:rPr>
          <w:rFonts w:cstheme="minorHAnsi"/>
          <w:color w:val="000000" w:themeColor="text1"/>
        </w:rPr>
        <w:t xml:space="preserve">Nabilan’s </w:t>
      </w:r>
      <w:r w:rsidR="00E736A2" w:rsidRPr="008F332A">
        <w:rPr>
          <w:rFonts w:cstheme="minorHAnsi"/>
          <w:color w:val="000000" w:themeColor="text1"/>
        </w:rPr>
        <w:t xml:space="preserve">sphere of control includes the Foundation, the Australian Embassy team, Nabilan </w:t>
      </w:r>
      <w:r w:rsidRPr="008F332A">
        <w:rPr>
          <w:rFonts w:cstheme="minorHAnsi"/>
          <w:color w:val="000000" w:themeColor="text1"/>
        </w:rPr>
        <w:t xml:space="preserve">staff, </w:t>
      </w:r>
      <w:r w:rsidR="00E736A2" w:rsidRPr="008F332A">
        <w:rPr>
          <w:rFonts w:cstheme="minorHAnsi"/>
          <w:color w:val="000000" w:themeColor="text1"/>
        </w:rPr>
        <w:t xml:space="preserve">consultants and </w:t>
      </w:r>
      <w:r w:rsidRPr="008F332A">
        <w:rPr>
          <w:rFonts w:cstheme="minorHAnsi"/>
          <w:color w:val="000000" w:themeColor="text1"/>
        </w:rPr>
        <w:t>sub-contracto</w:t>
      </w:r>
      <w:r w:rsidR="00E736A2" w:rsidRPr="008F332A">
        <w:rPr>
          <w:rFonts w:cstheme="minorHAnsi"/>
          <w:color w:val="000000" w:themeColor="text1"/>
        </w:rPr>
        <w:t>rs (e.g</w:t>
      </w:r>
      <w:r w:rsidR="005B7521" w:rsidRPr="008F332A">
        <w:rPr>
          <w:rFonts w:cstheme="minorHAnsi"/>
          <w:color w:val="000000" w:themeColor="text1"/>
        </w:rPr>
        <w:t>.</w:t>
      </w:r>
      <w:r w:rsidR="00E736A2" w:rsidRPr="008F332A">
        <w:rPr>
          <w:rFonts w:cstheme="minorHAnsi"/>
          <w:color w:val="000000" w:themeColor="text1"/>
        </w:rPr>
        <w:t xml:space="preserve"> research institutes, trainers)</w:t>
      </w:r>
      <w:r w:rsidRPr="008F332A">
        <w:rPr>
          <w:rFonts w:cstheme="minorHAnsi"/>
          <w:color w:val="000000" w:themeColor="text1"/>
        </w:rPr>
        <w:t>.  Nabilan’s sphere of influence includes those that are engaged in the delivery of the range of program services</w:t>
      </w:r>
      <w:r w:rsidR="005959D3" w:rsidRPr="008F332A">
        <w:rPr>
          <w:rFonts w:cstheme="minorHAnsi"/>
          <w:color w:val="000000" w:themeColor="text1"/>
        </w:rPr>
        <w:t xml:space="preserve">, </w:t>
      </w:r>
      <w:r w:rsidR="00E736A2" w:rsidRPr="008F332A">
        <w:rPr>
          <w:rFonts w:cstheme="minorHAnsi"/>
          <w:color w:val="000000" w:themeColor="text1"/>
        </w:rPr>
        <w:t>those collaborating/partnering</w:t>
      </w:r>
      <w:r w:rsidR="005959D3" w:rsidRPr="008F332A">
        <w:rPr>
          <w:rFonts w:cstheme="minorHAnsi"/>
          <w:color w:val="000000" w:themeColor="text1"/>
        </w:rPr>
        <w:t xml:space="preserve"> in advocacy and prevention initiatives</w:t>
      </w:r>
      <w:r w:rsidR="00E736A2" w:rsidRPr="008F332A">
        <w:rPr>
          <w:rFonts w:cstheme="minorHAnsi"/>
          <w:color w:val="000000" w:themeColor="text1"/>
        </w:rPr>
        <w:t>, other agencies working in the ending VAWC sector and community agents of change</w:t>
      </w:r>
      <w:r w:rsidRPr="008F332A">
        <w:rPr>
          <w:rFonts w:cstheme="minorHAnsi"/>
          <w:color w:val="000000" w:themeColor="text1"/>
        </w:rPr>
        <w:t xml:space="preserve">. </w:t>
      </w:r>
    </w:p>
    <w:p w14:paraId="12EAC43E" w14:textId="37D7BBFB" w:rsidR="0028355C" w:rsidRPr="008F332A" w:rsidRDefault="0028355C" w:rsidP="003A2CCC">
      <w:pPr>
        <w:pStyle w:val="BodyText"/>
        <w:spacing w:line="240" w:lineRule="auto"/>
        <w:jc w:val="both"/>
        <w:rPr>
          <w:rFonts w:cstheme="minorHAnsi"/>
          <w:color w:val="000000" w:themeColor="text1"/>
        </w:rPr>
      </w:pPr>
      <w:r w:rsidRPr="008F332A">
        <w:rPr>
          <w:rFonts w:cstheme="minorHAnsi"/>
          <w:color w:val="000000" w:themeColor="text1"/>
        </w:rPr>
        <w:t xml:space="preserve">The </w:t>
      </w:r>
      <w:r w:rsidR="005959D3" w:rsidRPr="008F332A">
        <w:rPr>
          <w:rFonts w:cstheme="minorHAnsi"/>
          <w:color w:val="000000" w:themeColor="text1"/>
        </w:rPr>
        <w:t xml:space="preserve">sphere of interest </w:t>
      </w:r>
      <w:r w:rsidRPr="008F332A">
        <w:rPr>
          <w:rFonts w:cstheme="minorHAnsi"/>
          <w:color w:val="000000" w:themeColor="text1"/>
        </w:rPr>
        <w:t xml:space="preserve">is those </w:t>
      </w:r>
      <w:r w:rsidR="00BB6FA0">
        <w:rPr>
          <w:rFonts w:cstheme="minorHAnsi"/>
          <w:color w:val="000000" w:themeColor="text1"/>
        </w:rPr>
        <w:t>on whom</w:t>
      </w:r>
      <w:r w:rsidRPr="008F332A">
        <w:rPr>
          <w:rFonts w:cstheme="minorHAnsi"/>
          <w:color w:val="000000" w:themeColor="text1"/>
        </w:rPr>
        <w:t xml:space="preserve"> </w:t>
      </w:r>
      <w:r w:rsidR="005959D3" w:rsidRPr="008F332A">
        <w:rPr>
          <w:rFonts w:cstheme="minorHAnsi"/>
          <w:color w:val="000000" w:themeColor="text1"/>
        </w:rPr>
        <w:t xml:space="preserve">Nabilan </w:t>
      </w:r>
      <w:r w:rsidRPr="008F332A">
        <w:rPr>
          <w:rFonts w:cstheme="minorHAnsi"/>
          <w:color w:val="000000" w:themeColor="text1"/>
        </w:rPr>
        <w:t>aims to have a positive impact</w:t>
      </w:r>
      <w:r w:rsidR="00BB6FA0">
        <w:rPr>
          <w:rFonts w:cstheme="minorHAnsi"/>
          <w:color w:val="000000" w:themeColor="text1"/>
        </w:rPr>
        <w:t xml:space="preserve">. This focuses on </w:t>
      </w:r>
      <w:r w:rsidR="00E736A2" w:rsidRPr="008F332A">
        <w:rPr>
          <w:rFonts w:cstheme="minorHAnsi"/>
          <w:color w:val="000000" w:themeColor="text1"/>
        </w:rPr>
        <w:t xml:space="preserve">women and children </w:t>
      </w:r>
      <w:r w:rsidR="00061EDB">
        <w:rPr>
          <w:rFonts w:cstheme="minorHAnsi"/>
          <w:color w:val="000000" w:themeColor="text1"/>
        </w:rPr>
        <w:t xml:space="preserve">who </w:t>
      </w:r>
      <w:r w:rsidR="0061315E" w:rsidRPr="008F332A">
        <w:rPr>
          <w:rFonts w:cstheme="minorHAnsi"/>
          <w:color w:val="000000" w:themeColor="text1"/>
        </w:rPr>
        <w:t>experienc</w:t>
      </w:r>
      <w:r w:rsidR="00061EDB">
        <w:rPr>
          <w:rFonts w:cstheme="minorHAnsi"/>
          <w:color w:val="000000" w:themeColor="text1"/>
        </w:rPr>
        <w:t>e</w:t>
      </w:r>
      <w:r w:rsidR="00E736A2" w:rsidRPr="008F332A">
        <w:rPr>
          <w:rFonts w:cstheme="minorHAnsi"/>
          <w:color w:val="000000" w:themeColor="text1"/>
        </w:rPr>
        <w:t xml:space="preserve"> violence who </w:t>
      </w:r>
      <w:r w:rsidR="005959D3" w:rsidRPr="008F332A">
        <w:rPr>
          <w:rFonts w:cstheme="minorHAnsi"/>
          <w:color w:val="000000" w:themeColor="text1"/>
        </w:rPr>
        <w:t>will benefit from the pro</w:t>
      </w:r>
      <w:r w:rsidR="00E736A2" w:rsidRPr="008F332A">
        <w:rPr>
          <w:rFonts w:cstheme="minorHAnsi"/>
          <w:color w:val="000000" w:themeColor="text1"/>
        </w:rPr>
        <w:t>gram services</w:t>
      </w:r>
      <w:r w:rsidR="00BB6FA0">
        <w:rPr>
          <w:rFonts w:cstheme="minorHAnsi"/>
          <w:color w:val="000000" w:themeColor="text1"/>
        </w:rPr>
        <w:t>, and</w:t>
      </w:r>
      <w:r w:rsidR="00E736A2" w:rsidRPr="008F332A">
        <w:rPr>
          <w:rFonts w:cstheme="minorHAnsi"/>
          <w:color w:val="000000" w:themeColor="text1"/>
        </w:rPr>
        <w:t xml:space="preserve"> also includes those </w:t>
      </w:r>
      <w:r w:rsidR="00BB6FA0">
        <w:rPr>
          <w:rFonts w:cstheme="minorHAnsi"/>
          <w:color w:val="000000" w:themeColor="text1"/>
        </w:rPr>
        <w:t xml:space="preserve">in </w:t>
      </w:r>
      <w:r w:rsidR="00E736A2" w:rsidRPr="008F332A">
        <w:rPr>
          <w:rFonts w:cstheme="minorHAnsi"/>
          <w:color w:val="000000" w:themeColor="text1"/>
        </w:rPr>
        <w:t>who</w:t>
      </w:r>
      <w:r w:rsidR="00BB6FA0">
        <w:rPr>
          <w:rFonts w:cstheme="minorHAnsi"/>
          <w:color w:val="000000" w:themeColor="text1"/>
        </w:rPr>
        <w:t>m</w:t>
      </w:r>
      <w:r w:rsidR="00E736A2" w:rsidRPr="008F332A">
        <w:rPr>
          <w:rFonts w:cstheme="minorHAnsi"/>
          <w:color w:val="000000" w:themeColor="text1"/>
        </w:rPr>
        <w:t xml:space="preserve"> the program aims to see positive changes in </w:t>
      </w:r>
      <w:r w:rsidR="005959D3" w:rsidRPr="008F332A">
        <w:rPr>
          <w:rFonts w:cstheme="minorHAnsi"/>
          <w:color w:val="000000" w:themeColor="text1"/>
        </w:rPr>
        <w:t>atti</w:t>
      </w:r>
      <w:r w:rsidR="00E736A2" w:rsidRPr="008F332A">
        <w:rPr>
          <w:rFonts w:cstheme="minorHAnsi"/>
          <w:color w:val="000000" w:themeColor="text1"/>
        </w:rPr>
        <w:t xml:space="preserve">tudes, systems and behaviours – men, women, girls and boys, community leaders and key GoTL agencies. </w:t>
      </w:r>
    </w:p>
    <w:p w14:paraId="537732F9" w14:textId="77777777" w:rsidR="00035511" w:rsidRPr="008F332A" w:rsidRDefault="00035511" w:rsidP="003A2CCC">
      <w:pPr>
        <w:pStyle w:val="BodyText"/>
        <w:spacing w:after="240" w:line="240" w:lineRule="auto"/>
        <w:jc w:val="both"/>
        <w:rPr>
          <w:rFonts w:cstheme="minorHAnsi"/>
          <w:color w:val="000000" w:themeColor="text1"/>
        </w:rPr>
      </w:pPr>
      <w:r w:rsidRPr="008F332A">
        <w:rPr>
          <w:rFonts w:cstheme="minorHAnsi"/>
          <w:color w:val="000000" w:themeColor="text1"/>
        </w:rPr>
        <w:t xml:space="preserve">The stakeholder mapping </w:t>
      </w:r>
      <w:r w:rsidR="0061315E" w:rsidRPr="008F332A">
        <w:rPr>
          <w:rFonts w:cstheme="minorHAnsi"/>
          <w:color w:val="000000" w:themeColor="text1"/>
        </w:rPr>
        <w:t>will be used by</w:t>
      </w:r>
      <w:r w:rsidRPr="008F332A">
        <w:rPr>
          <w:rFonts w:cstheme="minorHAnsi"/>
          <w:color w:val="000000" w:themeColor="text1"/>
        </w:rPr>
        <w:t xml:space="preserve"> Nabilan to assess and monitor whether there is sufficient engagement with key stakeholders, in order for the program to achieve its outcomes. Strategies can then be developed to address any concerns around engagement.</w:t>
      </w:r>
    </w:p>
    <w:p w14:paraId="1EEB59FE" w14:textId="77777777" w:rsidR="00FB240B" w:rsidRPr="008F332A" w:rsidRDefault="005959D3" w:rsidP="003A2CCC">
      <w:pPr>
        <w:pStyle w:val="BodyText"/>
        <w:keepNext/>
        <w:spacing w:line="240" w:lineRule="auto"/>
        <w:rPr>
          <w:rFonts w:cstheme="minorHAnsi"/>
        </w:rPr>
      </w:pPr>
      <w:r w:rsidRPr="008F332A">
        <w:rPr>
          <w:rFonts w:cstheme="minorHAnsi"/>
          <w:noProof/>
          <w:lang w:eastAsia="en-AU"/>
        </w:rPr>
        <w:drawing>
          <wp:inline distT="0" distB="0" distL="0" distR="0" wp14:anchorId="60A4BCD7" wp14:editId="2AED8163">
            <wp:extent cx="5839493" cy="2421228"/>
            <wp:effectExtent l="0" t="0" r="2540" b="508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l="1395" t="12399" r="1286" b="15861"/>
                    <a:stretch/>
                  </pic:blipFill>
                  <pic:spPr bwMode="auto">
                    <a:xfrm>
                      <a:off x="0" y="0"/>
                      <a:ext cx="5840554" cy="2421668"/>
                    </a:xfrm>
                    <a:prstGeom prst="rect">
                      <a:avLst/>
                    </a:prstGeom>
                    <a:ln>
                      <a:noFill/>
                    </a:ln>
                    <a:extLst>
                      <a:ext uri="{53640926-AAD7-44D8-BBD7-CCE9431645EC}">
                        <a14:shadowObscured xmlns:a14="http://schemas.microsoft.com/office/drawing/2010/main"/>
                      </a:ext>
                    </a:extLst>
                  </pic:spPr>
                </pic:pic>
              </a:graphicData>
            </a:graphic>
          </wp:inline>
        </w:drawing>
      </w:r>
    </w:p>
    <w:p w14:paraId="45E82F74" w14:textId="45EAF0DE" w:rsidR="00FB240B" w:rsidRPr="008F332A" w:rsidRDefault="00FB240B" w:rsidP="003A2CCC">
      <w:pPr>
        <w:pStyle w:val="Caption"/>
        <w:spacing w:before="120"/>
        <w:rPr>
          <w:rFonts w:asciiTheme="minorHAnsi" w:hAnsiTheme="minorHAnsi" w:cstheme="minorHAnsi"/>
          <w:b w:val="0"/>
          <w:color w:val="002D88" w:themeColor="accent6" w:themeTint="E6"/>
          <w:sz w:val="22"/>
          <w:szCs w:val="22"/>
        </w:rPr>
      </w:pPr>
      <w:bookmarkStart w:id="11" w:name="_Ref513985929"/>
      <w:r w:rsidRPr="008F332A">
        <w:rPr>
          <w:rFonts w:asciiTheme="minorHAnsi" w:hAnsiTheme="minorHAnsi" w:cstheme="minorHAnsi"/>
          <w:b w:val="0"/>
          <w:color w:val="002D88" w:themeColor="accent6" w:themeTint="E6"/>
          <w:sz w:val="22"/>
          <w:szCs w:val="22"/>
        </w:rPr>
        <w:t xml:space="preserve">Figure </w:t>
      </w:r>
      <w:r w:rsidRPr="008F332A">
        <w:rPr>
          <w:rFonts w:asciiTheme="minorHAnsi" w:hAnsiTheme="minorHAnsi" w:cstheme="minorHAnsi"/>
          <w:b w:val="0"/>
          <w:color w:val="002D88" w:themeColor="accent6" w:themeTint="E6"/>
          <w:sz w:val="22"/>
          <w:szCs w:val="22"/>
        </w:rPr>
        <w:fldChar w:fldCharType="begin"/>
      </w:r>
      <w:r w:rsidRPr="008F332A">
        <w:rPr>
          <w:rFonts w:asciiTheme="minorHAnsi" w:hAnsiTheme="minorHAnsi" w:cstheme="minorHAnsi"/>
          <w:b w:val="0"/>
          <w:color w:val="002D88" w:themeColor="accent6" w:themeTint="E6"/>
          <w:sz w:val="22"/>
          <w:szCs w:val="22"/>
        </w:rPr>
        <w:instrText xml:space="preserve"> SEQ Figure \* ARABIC </w:instrText>
      </w:r>
      <w:r w:rsidRPr="008F332A">
        <w:rPr>
          <w:rFonts w:asciiTheme="minorHAnsi" w:hAnsiTheme="minorHAnsi" w:cstheme="minorHAnsi"/>
          <w:b w:val="0"/>
          <w:color w:val="002D88" w:themeColor="accent6" w:themeTint="E6"/>
          <w:sz w:val="22"/>
          <w:szCs w:val="22"/>
        </w:rPr>
        <w:fldChar w:fldCharType="separate"/>
      </w:r>
      <w:r w:rsidR="0082402C">
        <w:rPr>
          <w:rFonts w:asciiTheme="minorHAnsi" w:hAnsiTheme="minorHAnsi" w:cstheme="minorHAnsi"/>
          <w:b w:val="0"/>
          <w:noProof/>
          <w:color w:val="002D88" w:themeColor="accent6" w:themeTint="E6"/>
          <w:sz w:val="22"/>
          <w:szCs w:val="22"/>
        </w:rPr>
        <w:t>2</w:t>
      </w:r>
      <w:r w:rsidRPr="008F332A">
        <w:rPr>
          <w:rFonts w:asciiTheme="minorHAnsi" w:hAnsiTheme="minorHAnsi" w:cstheme="minorHAnsi"/>
          <w:b w:val="0"/>
          <w:color w:val="002D88" w:themeColor="accent6" w:themeTint="E6"/>
          <w:sz w:val="22"/>
          <w:szCs w:val="22"/>
        </w:rPr>
        <w:fldChar w:fldCharType="end"/>
      </w:r>
      <w:bookmarkEnd w:id="11"/>
      <w:r w:rsidR="003678E9" w:rsidRPr="008F332A">
        <w:rPr>
          <w:rFonts w:asciiTheme="minorHAnsi" w:hAnsiTheme="minorHAnsi" w:cstheme="minorHAnsi"/>
          <w:b w:val="0"/>
          <w:color w:val="002D88" w:themeColor="accent6" w:themeTint="E6"/>
          <w:sz w:val="22"/>
          <w:szCs w:val="22"/>
        </w:rPr>
        <w:t>:</w:t>
      </w:r>
      <w:r w:rsidRPr="008F332A">
        <w:rPr>
          <w:rFonts w:asciiTheme="minorHAnsi" w:hAnsiTheme="minorHAnsi" w:cstheme="minorHAnsi"/>
          <w:b w:val="0"/>
          <w:color w:val="002D88" w:themeColor="accent6" w:themeTint="E6"/>
          <w:sz w:val="22"/>
          <w:szCs w:val="22"/>
        </w:rPr>
        <w:t xml:space="preserve"> Nabilan Stakeholder Mapping</w:t>
      </w:r>
    </w:p>
    <w:p w14:paraId="7771483C" w14:textId="77777777" w:rsidR="0028355C" w:rsidRPr="008F332A" w:rsidRDefault="0028355C" w:rsidP="003A2CCC">
      <w:pPr>
        <w:spacing w:after="0"/>
        <w:rPr>
          <w:rFonts w:eastAsiaTheme="majorEastAsia" w:cstheme="minorHAnsi"/>
          <w:b/>
          <w:color w:val="336699"/>
          <w:sz w:val="24"/>
          <w:szCs w:val="26"/>
        </w:rPr>
      </w:pPr>
    </w:p>
    <w:p w14:paraId="4FED107E" w14:textId="77777777" w:rsidR="00ED6685" w:rsidRPr="008F332A" w:rsidRDefault="00BD3633" w:rsidP="003A2CCC">
      <w:pPr>
        <w:pStyle w:val="Heading2"/>
        <w:numPr>
          <w:ilvl w:val="1"/>
          <w:numId w:val="19"/>
        </w:numPr>
        <w:rPr>
          <w:rFonts w:asciiTheme="minorHAnsi" w:hAnsiTheme="minorHAnsi" w:cstheme="minorHAnsi"/>
          <w:color w:val="002D88" w:themeColor="accent6" w:themeTint="E6"/>
        </w:rPr>
      </w:pPr>
      <w:bookmarkStart w:id="12" w:name="_Toc517960094"/>
      <w:bookmarkStart w:id="13" w:name="_Hlk483385876"/>
      <w:r w:rsidRPr="008F332A">
        <w:rPr>
          <w:rFonts w:asciiTheme="minorHAnsi" w:hAnsiTheme="minorHAnsi" w:cstheme="minorHAnsi"/>
          <w:color w:val="002D88" w:themeColor="accent6" w:themeTint="E6"/>
        </w:rPr>
        <w:t>Summary of principles</w:t>
      </w:r>
      <w:bookmarkEnd w:id="12"/>
    </w:p>
    <w:p w14:paraId="549EA4CA" w14:textId="77777777" w:rsidR="00860F6C" w:rsidRPr="008F332A" w:rsidRDefault="0061315E" w:rsidP="003A2CCC">
      <w:pPr>
        <w:rPr>
          <w:rFonts w:cstheme="minorHAnsi"/>
          <w:color w:val="000000" w:themeColor="text1"/>
        </w:rPr>
      </w:pPr>
      <w:r w:rsidRPr="008F332A">
        <w:rPr>
          <w:rFonts w:cstheme="minorHAnsi"/>
          <w:color w:val="000000" w:themeColor="text1"/>
        </w:rPr>
        <w:t xml:space="preserve">Nabilan will </w:t>
      </w:r>
      <w:r w:rsidR="00BB6FA0">
        <w:rPr>
          <w:rFonts w:cstheme="minorHAnsi"/>
          <w:color w:val="000000" w:themeColor="text1"/>
        </w:rPr>
        <w:t xml:space="preserve">be implemented according to </w:t>
      </w:r>
      <w:r w:rsidRPr="008F332A">
        <w:rPr>
          <w:rFonts w:cstheme="minorHAnsi"/>
          <w:color w:val="000000" w:themeColor="text1"/>
        </w:rPr>
        <w:t xml:space="preserve">the following principles: </w:t>
      </w:r>
      <w:r w:rsidR="00860F6C" w:rsidRPr="008F332A">
        <w:rPr>
          <w:rFonts w:cstheme="minorHAnsi"/>
          <w:color w:val="000000" w:themeColor="text1"/>
        </w:rPr>
        <w:t xml:space="preserve"> </w:t>
      </w:r>
    </w:p>
    <w:p w14:paraId="6524AC40" w14:textId="77777777" w:rsidR="00BA5B34" w:rsidRPr="008F332A" w:rsidRDefault="00F53437" w:rsidP="003A2CCC">
      <w:pPr>
        <w:pStyle w:val="ListParagraph"/>
        <w:numPr>
          <w:ilvl w:val="0"/>
          <w:numId w:val="9"/>
        </w:numPr>
        <w:jc w:val="both"/>
        <w:rPr>
          <w:rFonts w:eastAsiaTheme="minorHAnsi" w:cstheme="minorHAnsi"/>
          <w:color w:val="000000" w:themeColor="text1"/>
          <w:lang w:val="en-AU" w:eastAsia="en-US"/>
        </w:rPr>
      </w:pPr>
      <w:r w:rsidRPr="008F332A">
        <w:rPr>
          <w:rFonts w:eastAsiaTheme="minorHAnsi" w:cstheme="minorHAnsi"/>
          <w:color w:val="000000" w:themeColor="text1"/>
          <w:lang w:val="en-AU" w:eastAsia="en-US"/>
        </w:rPr>
        <w:t>VAWC</w:t>
      </w:r>
      <w:r w:rsidR="00BA5B34" w:rsidRPr="008F332A">
        <w:rPr>
          <w:rFonts w:eastAsiaTheme="minorHAnsi" w:cstheme="minorHAnsi"/>
          <w:color w:val="000000" w:themeColor="text1"/>
          <w:lang w:val="en-AU" w:eastAsia="en-US"/>
        </w:rPr>
        <w:t xml:space="preserve"> is political, caused by gendered power imbalances a</w:t>
      </w:r>
      <w:r w:rsidR="00BD3633" w:rsidRPr="008F332A">
        <w:rPr>
          <w:rFonts w:eastAsiaTheme="minorHAnsi" w:cstheme="minorHAnsi"/>
          <w:color w:val="000000" w:themeColor="text1"/>
          <w:lang w:val="en-AU" w:eastAsia="en-US"/>
        </w:rPr>
        <w:t>nd is a human rights violation;</w:t>
      </w:r>
    </w:p>
    <w:p w14:paraId="4AF10F68" w14:textId="77777777" w:rsidR="00BA5B34" w:rsidRPr="008F332A" w:rsidRDefault="00F53437" w:rsidP="003A2CCC">
      <w:pPr>
        <w:pStyle w:val="ListParagraph"/>
        <w:numPr>
          <w:ilvl w:val="0"/>
          <w:numId w:val="9"/>
        </w:numPr>
        <w:jc w:val="both"/>
        <w:rPr>
          <w:rFonts w:eastAsiaTheme="minorHAnsi" w:cstheme="minorHAnsi"/>
          <w:color w:val="000000" w:themeColor="text1"/>
          <w:lang w:val="en-AU" w:eastAsia="en-US"/>
        </w:rPr>
      </w:pPr>
      <w:r w:rsidRPr="008F332A">
        <w:rPr>
          <w:rFonts w:eastAsiaTheme="minorHAnsi" w:cstheme="minorHAnsi"/>
          <w:color w:val="000000" w:themeColor="text1"/>
          <w:lang w:val="en-AU" w:eastAsia="en-US"/>
        </w:rPr>
        <w:t>VAWC</w:t>
      </w:r>
      <w:r w:rsidR="00BA5B34" w:rsidRPr="008F332A">
        <w:rPr>
          <w:rFonts w:eastAsiaTheme="minorHAnsi" w:cstheme="minorHAnsi"/>
          <w:color w:val="000000" w:themeColor="text1"/>
          <w:lang w:val="en-AU" w:eastAsia="en-US"/>
        </w:rPr>
        <w:t xml:space="preserve"> is preven</w:t>
      </w:r>
      <w:r w:rsidR="00BD3633" w:rsidRPr="008F332A">
        <w:rPr>
          <w:rFonts w:eastAsiaTheme="minorHAnsi" w:cstheme="minorHAnsi"/>
          <w:color w:val="000000" w:themeColor="text1"/>
          <w:lang w:val="en-AU" w:eastAsia="en-US"/>
        </w:rPr>
        <w:t>table;</w:t>
      </w:r>
    </w:p>
    <w:p w14:paraId="1CE8E1CC" w14:textId="77777777" w:rsidR="00BA5B34" w:rsidRPr="008F332A" w:rsidRDefault="00BA5B34" w:rsidP="003A2CCC">
      <w:pPr>
        <w:pStyle w:val="ListParagraph"/>
        <w:numPr>
          <w:ilvl w:val="0"/>
          <w:numId w:val="9"/>
        </w:numPr>
        <w:jc w:val="both"/>
        <w:rPr>
          <w:rFonts w:eastAsiaTheme="minorHAnsi" w:cstheme="minorHAnsi"/>
          <w:color w:val="000000" w:themeColor="text1"/>
          <w:lang w:val="en-AU" w:eastAsia="en-US"/>
        </w:rPr>
      </w:pPr>
      <w:r w:rsidRPr="008F332A">
        <w:rPr>
          <w:rFonts w:eastAsiaTheme="minorHAnsi" w:cstheme="minorHAnsi"/>
          <w:color w:val="000000" w:themeColor="text1"/>
          <w:lang w:val="en-AU" w:eastAsia="en-US"/>
        </w:rPr>
        <w:t>Sustainable change</w:t>
      </w:r>
      <w:r w:rsidR="00860F6C" w:rsidRPr="008F332A">
        <w:rPr>
          <w:rFonts w:eastAsiaTheme="minorHAnsi" w:cstheme="minorHAnsi"/>
          <w:color w:val="000000" w:themeColor="text1"/>
          <w:lang w:val="en-AU" w:eastAsia="en-US"/>
        </w:rPr>
        <w:t xml:space="preserve"> requires social norms change: c</w:t>
      </w:r>
      <w:r w:rsidRPr="008F332A">
        <w:rPr>
          <w:rFonts w:eastAsiaTheme="minorHAnsi" w:cstheme="minorHAnsi"/>
          <w:color w:val="000000" w:themeColor="text1"/>
          <w:lang w:val="en-AU" w:eastAsia="en-US"/>
        </w:rPr>
        <w:t>ulture is not an excuse for violence</w:t>
      </w:r>
      <w:r w:rsidR="00BD3633" w:rsidRPr="008F332A">
        <w:rPr>
          <w:rFonts w:eastAsiaTheme="minorHAnsi" w:cstheme="minorHAnsi"/>
          <w:color w:val="000000" w:themeColor="text1"/>
          <w:lang w:val="en-AU" w:eastAsia="en-US"/>
        </w:rPr>
        <w:t>;</w:t>
      </w:r>
    </w:p>
    <w:p w14:paraId="2D2B20DC" w14:textId="6A5352FD" w:rsidR="00E40C01" w:rsidRPr="008F332A" w:rsidRDefault="00E40C01" w:rsidP="003A2CCC">
      <w:pPr>
        <w:pStyle w:val="ListParagraph"/>
        <w:numPr>
          <w:ilvl w:val="0"/>
          <w:numId w:val="9"/>
        </w:numPr>
        <w:jc w:val="both"/>
        <w:rPr>
          <w:rFonts w:eastAsiaTheme="minorHAnsi" w:cstheme="minorHAnsi"/>
          <w:color w:val="000000" w:themeColor="text1"/>
          <w:lang w:val="en-AU" w:eastAsia="en-US"/>
        </w:rPr>
      </w:pPr>
      <w:r w:rsidRPr="008F332A">
        <w:rPr>
          <w:rFonts w:eastAsiaTheme="minorHAnsi" w:cstheme="minorHAnsi"/>
          <w:color w:val="000000" w:themeColor="text1"/>
          <w:lang w:val="en-AU" w:eastAsia="en-US"/>
        </w:rPr>
        <w:t>Nabilan will focus on social inclusion by involving women, men, boys and girls in program activities. Nabilan will ensure participation of people living with disabilities and other marginali</w:t>
      </w:r>
      <w:r w:rsidR="00BA5B34" w:rsidRPr="008F332A">
        <w:rPr>
          <w:rFonts w:eastAsiaTheme="minorHAnsi" w:cstheme="minorHAnsi"/>
          <w:color w:val="000000" w:themeColor="text1"/>
          <w:lang w:val="en-AU" w:eastAsia="en-US"/>
        </w:rPr>
        <w:t>s</w:t>
      </w:r>
      <w:r w:rsidRPr="008F332A">
        <w:rPr>
          <w:rFonts w:eastAsiaTheme="minorHAnsi" w:cstheme="minorHAnsi"/>
          <w:color w:val="000000" w:themeColor="text1"/>
          <w:lang w:val="en-AU" w:eastAsia="en-US"/>
        </w:rPr>
        <w:t>ed groups, and will address negative attitudes and stigma</w:t>
      </w:r>
      <w:r w:rsidR="00BD3633" w:rsidRPr="008F332A">
        <w:rPr>
          <w:rFonts w:eastAsiaTheme="minorHAnsi" w:cstheme="minorHAnsi"/>
          <w:color w:val="000000" w:themeColor="text1"/>
          <w:lang w:val="en-AU" w:eastAsia="en-US"/>
        </w:rPr>
        <w:t>;</w:t>
      </w:r>
    </w:p>
    <w:p w14:paraId="6A9851EA" w14:textId="363F055B" w:rsidR="00C5022A" w:rsidRPr="008F332A" w:rsidRDefault="00C5022A" w:rsidP="003A2CCC">
      <w:pPr>
        <w:pStyle w:val="ListParagraph"/>
        <w:numPr>
          <w:ilvl w:val="0"/>
          <w:numId w:val="9"/>
        </w:numPr>
        <w:jc w:val="both"/>
        <w:rPr>
          <w:rFonts w:eastAsiaTheme="minorHAnsi" w:cstheme="minorHAnsi"/>
          <w:color w:val="000000" w:themeColor="text1"/>
          <w:lang w:val="en-AU" w:eastAsia="en-US"/>
        </w:rPr>
      </w:pPr>
      <w:r w:rsidRPr="008F332A">
        <w:rPr>
          <w:rFonts w:eastAsiaTheme="minorHAnsi" w:cstheme="minorHAnsi"/>
          <w:color w:val="000000" w:themeColor="text1"/>
          <w:lang w:val="en-AU" w:eastAsia="en-US"/>
        </w:rPr>
        <w:t xml:space="preserve">The needs of </w:t>
      </w:r>
      <w:r w:rsidR="009B541A" w:rsidRPr="008F332A">
        <w:rPr>
          <w:rFonts w:eastAsiaTheme="minorHAnsi" w:cstheme="minorHAnsi"/>
          <w:color w:val="000000" w:themeColor="text1"/>
          <w:lang w:val="en-AU" w:eastAsia="en-US"/>
        </w:rPr>
        <w:t>women and children who experience violence</w:t>
      </w:r>
      <w:r w:rsidRPr="008F332A">
        <w:rPr>
          <w:rFonts w:eastAsiaTheme="minorHAnsi" w:cstheme="minorHAnsi"/>
          <w:color w:val="000000" w:themeColor="text1"/>
          <w:lang w:val="en-AU" w:eastAsia="en-US"/>
        </w:rPr>
        <w:t xml:space="preserve"> should </w:t>
      </w:r>
      <w:r w:rsidR="00BD3633" w:rsidRPr="008F332A">
        <w:rPr>
          <w:rFonts w:eastAsiaTheme="minorHAnsi" w:cstheme="minorHAnsi"/>
          <w:color w:val="000000" w:themeColor="text1"/>
          <w:lang w:val="en-AU" w:eastAsia="en-US"/>
        </w:rPr>
        <w:t>be the priority of all services;</w:t>
      </w:r>
    </w:p>
    <w:p w14:paraId="708B6E79" w14:textId="3CA153DF" w:rsidR="00E40C01" w:rsidRPr="008F332A" w:rsidRDefault="00C5022A" w:rsidP="003A2CCC">
      <w:pPr>
        <w:pStyle w:val="ListParagraph"/>
        <w:numPr>
          <w:ilvl w:val="0"/>
          <w:numId w:val="9"/>
        </w:numPr>
        <w:jc w:val="both"/>
        <w:rPr>
          <w:rFonts w:eastAsiaTheme="minorHAnsi" w:cstheme="minorHAnsi"/>
          <w:color w:val="000000" w:themeColor="text1"/>
          <w:lang w:val="en-AU" w:eastAsia="en-US"/>
        </w:rPr>
      </w:pPr>
      <w:r w:rsidRPr="008F332A">
        <w:rPr>
          <w:rFonts w:eastAsiaTheme="minorHAnsi" w:cstheme="minorHAnsi"/>
          <w:color w:val="000000" w:themeColor="text1"/>
          <w:lang w:val="en-AU" w:eastAsia="en-US"/>
        </w:rPr>
        <w:t>Nabilan will further develop their understanding and response to the ways that women’s economic empowerment can contribute to escaping violence, and/or increase the likelihood intimate partner violence</w:t>
      </w:r>
      <w:r w:rsidR="00BD3633" w:rsidRPr="008F332A">
        <w:rPr>
          <w:rFonts w:eastAsiaTheme="minorHAnsi" w:cstheme="minorHAnsi"/>
          <w:color w:val="000000" w:themeColor="text1"/>
          <w:lang w:val="en-AU" w:eastAsia="en-US"/>
        </w:rPr>
        <w:t>;</w:t>
      </w:r>
      <w:r w:rsidRPr="008F332A">
        <w:rPr>
          <w:rFonts w:eastAsiaTheme="minorHAnsi" w:cstheme="minorHAnsi"/>
          <w:color w:val="000000" w:themeColor="text1"/>
          <w:lang w:val="en-AU" w:eastAsia="en-US"/>
        </w:rPr>
        <w:t xml:space="preserve"> </w:t>
      </w:r>
    </w:p>
    <w:p w14:paraId="301A0A73" w14:textId="141B6E54" w:rsidR="00E40C01" w:rsidRPr="008F332A" w:rsidRDefault="003D5A9F" w:rsidP="003A2CCC">
      <w:pPr>
        <w:pStyle w:val="ListParagraph"/>
        <w:numPr>
          <w:ilvl w:val="0"/>
          <w:numId w:val="9"/>
        </w:numPr>
        <w:jc w:val="both"/>
        <w:rPr>
          <w:rFonts w:eastAsiaTheme="minorHAnsi" w:cstheme="minorHAnsi"/>
          <w:color w:val="000000" w:themeColor="text1"/>
          <w:lang w:val="en-AU" w:eastAsia="en-US"/>
        </w:rPr>
      </w:pPr>
      <w:r w:rsidRPr="008F332A">
        <w:rPr>
          <w:rFonts w:eastAsiaTheme="minorHAnsi" w:cstheme="minorHAnsi"/>
          <w:color w:val="000000" w:themeColor="text1"/>
          <w:lang w:val="en-AU" w:eastAsia="en-US"/>
        </w:rPr>
        <w:t>Nabilan will practice c</w:t>
      </w:r>
      <w:r w:rsidR="00E40C01" w:rsidRPr="008F332A">
        <w:rPr>
          <w:rFonts w:eastAsiaTheme="minorHAnsi" w:cstheme="minorHAnsi"/>
          <w:color w:val="000000" w:themeColor="text1"/>
          <w:lang w:val="en-AU" w:eastAsia="en-US"/>
        </w:rPr>
        <w:t>ontinuous</w:t>
      </w:r>
      <w:r w:rsidR="00860F6C" w:rsidRPr="008F332A">
        <w:rPr>
          <w:rFonts w:eastAsiaTheme="minorHAnsi" w:cstheme="minorHAnsi"/>
          <w:color w:val="000000" w:themeColor="text1"/>
          <w:lang w:val="en-AU" w:eastAsia="en-US"/>
        </w:rPr>
        <w:t xml:space="preserve"> evidence-</w:t>
      </w:r>
      <w:r w:rsidR="00C5022A" w:rsidRPr="008F332A">
        <w:rPr>
          <w:rFonts w:eastAsiaTheme="minorHAnsi" w:cstheme="minorHAnsi"/>
          <w:color w:val="000000" w:themeColor="text1"/>
          <w:lang w:val="en-AU" w:eastAsia="en-US"/>
        </w:rPr>
        <w:t>based</w:t>
      </w:r>
      <w:r w:rsidR="00E40C01" w:rsidRPr="008F332A">
        <w:rPr>
          <w:rFonts w:eastAsiaTheme="minorHAnsi" w:cstheme="minorHAnsi"/>
          <w:color w:val="000000" w:themeColor="text1"/>
          <w:lang w:val="en-AU" w:eastAsia="en-US"/>
        </w:rPr>
        <w:t xml:space="preserve"> learning and improvement</w:t>
      </w:r>
      <w:r w:rsidR="00C5022A" w:rsidRPr="008F332A">
        <w:rPr>
          <w:rFonts w:eastAsiaTheme="minorHAnsi" w:cstheme="minorHAnsi"/>
          <w:b/>
          <w:color w:val="000000" w:themeColor="text1"/>
          <w:lang w:val="en-AU" w:eastAsia="en-US"/>
        </w:rPr>
        <w:t>,</w:t>
      </w:r>
      <w:r w:rsidR="00C5022A" w:rsidRPr="008F332A">
        <w:rPr>
          <w:rFonts w:eastAsiaTheme="minorHAnsi" w:cstheme="minorHAnsi"/>
          <w:color w:val="000000" w:themeColor="text1"/>
          <w:lang w:val="en-AU" w:eastAsia="en-US"/>
        </w:rPr>
        <w:t xml:space="preserve"> and its promotion with partners</w:t>
      </w:r>
      <w:r w:rsidR="00BD3633" w:rsidRPr="008F332A">
        <w:rPr>
          <w:rFonts w:eastAsiaTheme="minorHAnsi" w:cstheme="minorHAnsi"/>
          <w:color w:val="000000" w:themeColor="text1"/>
          <w:lang w:val="en-AU" w:eastAsia="en-US"/>
        </w:rPr>
        <w:t xml:space="preserve">; </w:t>
      </w:r>
    </w:p>
    <w:p w14:paraId="720FA63B" w14:textId="77777777" w:rsidR="00E40C01" w:rsidRPr="008F332A" w:rsidRDefault="00E40C01" w:rsidP="003A2CCC">
      <w:pPr>
        <w:pStyle w:val="ListParagraph"/>
        <w:numPr>
          <w:ilvl w:val="0"/>
          <w:numId w:val="9"/>
        </w:numPr>
        <w:jc w:val="both"/>
        <w:rPr>
          <w:rFonts w:eastAsiaTheme="minorHAnsi" w:cstheme="minorHAnsi"/>
          <w:color w:val="000000" w:themeColor="text1"/>
          <w:lang w:val="en-AU" w:eastAsia="en-US"/>
        </w:rPr>
      </w:pPr>
      <w:r w:rsidRPr="008F332A">
        <w:rPr>
          <w:rFonts w:eastAsiaTheme="minorHAnsi" w:cstheme="minorHAnsi"/>
          <w:color w:val="000000" w:themeColor="text1"/>
          <w:lang w:val="en-AU" w:eastAsia="en-US"/>
        </w:rPr>
        <w:t>Protection of women, children, and support services staff</w:t>
      </w:r>
      <w:r w:rsidR="003D5A9F" w:rsidRPr="008F332A">
        <w:rPr>
          <w:rFonts w:eastAsiaTheme="minorHAnsi" w:cstheme="minorHAnsi"/>
          <w:color w:val="000000" w:themeColor="text1"/>
          <w:lang w:val="en-AU" w:eastAsia="en-US"/>
        </w:rPr>
        <w:t xml:space="preserve"> is essential</w:t>
      </w:r>
      <w:r w:rsidR="00E91270" w:rsidRPr="008F332A">
        <w:rPr>
          <w:rFonts w:eastAsiaTheme="minorHAnsi" w:cstheme="minorHAnsi"/>
          <w:color w:val="000000" w:themeColor="text1"/>
          <w:lang w:val="en-AU" w:eastAsia="en-US"/>
        </w:rPr>
        <w:t>, and</w:t>
      </w:r>
    </w:p>
    <w:p w14:paraId="5D691813" w14:textId="77777777" w:rsidR="00E91270" w:rsidRPr="008F332A" w:rsidRDefault="00860F6C" w:rsidP="003A2CCC">
      <w:pPr>
        <w:pStyle w:val="ListParagraph"/>
        <w:numPr>
          <w:ilvl w:val="0"/>
          <w:numId w:val="9"/>
        </w:numPr>
        <w:jc w:val="both"/>
        <w:rPr>
          <w:rFonts w:eastAsiaTheme="minorHAnsi" w:cstheme="minorHAnsi"/>
          <w:color w:val="000000" w:themeColor="text1"/>
          <w:lang w:val="en-AU" w:eastAsia="en-US"/>
        </w:rPr>
      </w:pPr>
      <w:r w:rsidRPr="008F332A">
        <w:rPr>
          <w:rFonts w:eastAsiaTheme="minorHAnsi" w:cstheme="minorHAnsi"/>
          <w:color w:val="000000" w:themeColor="text1"/>
          <w:lang w:val="en-AU" w:eastAsia="en-US"/>
        </w:rPr>
        <w:t>Nabilan will work</w:t>
      </w:r>
      <w:r w:rsidR="00E91270" w:rsidRPr="008F332A">
        <w:rPr>
          <w:rFonts w:eastAsiaTheme="minorHAnsi" w:cstheme="minorHAnsi"/>
          <w:color w:val="000000" w:themeColor="text1"/>
          <w:lang w:val="en-AU" w:eastAsia="en-US"/>
        </w:rPr>
        <w:t xml:space="preserve"> collaboratively</w:t>
      </w:r>
      <w:r w:rsidRPr="008F332A">
        <w:rPr>
          <w:rFonts w:eastAsiaTheme="minorHAnsi" w:cstheme="minorHAnsi"/>
          <w:color w:val="000000" w:themeColor="text1"/>
          <w:lang w:val="en-AU" w:eastAsia="en-US"/>
        </w:rPr>
        <w:t xml:space="preserve"> with other agencies, supporting coalitions for change. </w:t>
      </w:r>
    </w:p>
    <w:p w14:paraId="23CD6772" w14:textId="77777777" w:rsidR="00CA1694" w:rsidRPr="008F332A" w:rsidRDefault="00CA1694" w:rsidP="003A2CCC">
      <w:pPr>
        <w:pStyle w:val="ListParagraph"/>
        <w:ind w:firstLine="0"/>
        <w:jc w:val="both"/>
        <w:rPr>
          <w:rFonts w:eastAsiaTheme="minorHAnsi" w:cstheme="minorHAnsi"/>
          <w:color w:val="000000" w:themeColor="text1"/>
          <w:lang w:val="en-AU" w:eastAsia="en-US"/>
        </w:rPr>
      </w:pPr>
    </w:p>
    <w:p w14:paraId="1A065263" w14:textId="77777777" w:rsidR="002A6DD5" w:rsidRPr="008F332A" w:rsidRDefault="002A6DD5" w:rsidP="003A2CCC">
      <w:pPr>
        <w:pStyle w:val="Heading2"/>
        <w:numPr>
          <w:ilvl w:val="1"/>
          <w:numId w:val="19"/>
        </w:numPr>
        <w:jc w:val="both"/>
        <w:rPr>
          <w:rFonts w:asciiTheme="minorHAnsi" w:hAnsiTheme="minorHAnsi" w:cstheme="minorHAnsi"/>
          <w:color w:val="002D88" w:themeColor="accent6" w:themeTint="E6"/>
        </w:rPr>
      </w:pPr>
      <w:bookmarkStart w:id="14" w:name="_Toc517960095"/>
      <w:bookmarkEnd w:id="13"/>
      <w:r w:rsidRPr="008F332A">
        <w:rPr>
          <w:rFonts w:asciiTheme="minorHAnsi" w:hAnsiTheme="minorHAnsi" w:cstheme="minorHAnsi"/>
          <w:color w:val="002D88" w:themeColor="accent6" w:themeTint="E6"/>
        </w:rPr>
        <w:t>Assumptions</w:t>
      </w:r>
      <w:bookmarkEnd w:id="14"/>
      <w:r w:rsidRPr="008F332A">
        <w:rPr>
          <w:rFonts w:asciiTheme="minorHAnsi" w:hAnsiTheme="minorHAnsi" w:cstheme="minorHAnsi"/>
          <w:color w:val="002D88" w:themeColor="accent6" w:themeTint="E6"/>
        </w:rPr>
        <w:t xml:space="preserve"> </w:t>
      </w:r>
    </w:p>
    <w:p w14:paraId="7F936EDC" w14:textId="77777777" w:rsidR="00992252" w:rsidRPr="008F332A" w:rsidRDefault="003D5A9F" w:rsidP="003A2CCC">
      <w:pPr>
        <w:rPr>
          <w:rFonts w:cstheme="minorHAnsi"/>
        </w:rPr>
      </w:pPr>
      <w:r w:rsidRPr="008F332A">
        <w:rPr>
          <w:rFonts w:cstheme="minorHAnsi"/>
        </w:rPr>
        <w:t>In the April 2018 workshop, t</w:t>
      </w:r>
      <w:r w:rsidR="00992252" w:rsidRPr="008F332A">
        <w:rPr>
          <w:rFonts w:cstheme="minorHAnsi"/>
        </w:rPr>
        <w:t>he Nabilan team identified a number of assumptions to</w:t>
      </w:r>
      <w:r w:rsidR="009A2003" w:rsidRPr="008F332A">
        <w:rPr>
          <w:rFonts w:cstheme="minorHAnsi"/>
        </w:rPr>
        <w:t xml:space="preserve"> the program’</w:t>
      </w:r>
      <w:r w:rsidR="0061315E" w:rsidRPr="008F332A">
        <w:rPr>
          <w:rFonts w:cstheme="minorHAnsi"/>
        </w:rPr>
        <w:t>s TOC</w:t>
      </w:r>
      <w:r w:rsidR="009A2003" w:rsidRPr="008F332A">
        <w:rPr>
          <w:rFonts w:cstheme="minorHAnsi"/>
        </w:rPr>
        <w:t xml:space="preserve">. The key assumptions </w:t>
      </w:r>
      <w:r w:rsidR="005C27BB" w:rsidRPr="008F332A">
        <w:rPr>
          <w:rFonts w:cstheme="minorHAnsi"/>
        </w:rPr>
        <w:t>presented</w:t>
      </w:r>
      <w:r w:rsidR="009A2003" w:rsidRPr="008F332A">
        <w:rPr>
          <w:rFonts w:cstheme="minorHAnsi"/>
        </w:rPr>
        <w:t xml:space="preserve"> in</w:t>
      </w:r>
      <w:r w:rsidR="002C31F8" w:rsidRPr="008F332A">
        <w:rPr>
          <w:rFonts w:cstheme="minorHAnsi"/>
        </w:rPr>
        <w:t xml:space="preserve"> Table 1</w:t>
      </w:r>
      <w:r w:rsidR="009A2003" w:rsidRPr="008F332A">
        <w:rPr>
          <w:rFonts w:cstheme="minorHAnsi"/>
        </w:rPr>
        <w:t xml:space="preserve"> will be monitored </w:t>
      </w:r>
      <w:r w:rsidR="00935E35" w:rsidRPr="008F332A">
        <w:rPr>
          <w:rFonts w:cstheme="minorHAnsi"/>
        </w:rPr>
        <w:t xml:space="preserve">to ensure </w:t>
      </w:r>
      <w:r w:rsidRPr="008F332A">
        <w:rPr>
          <w:rFonts w:cstheme="minorHAnsi"/>
        </w:rPr>
        <w:t xml:space="preserve">they hold true </w:t>
      </w:r>
      <w:r w:rsidR="00935E35" w:rsidRPr="008F332A">
        <w:rPr>
          <w:rFonts w:cstheme="minorHAnsi"/>
        </w:rPr>
        <w:t xml:space="preserve">throughout the program. </w:t>
      </w:r>
    </w:p>
    <w:p w14:paraId="5610F863" w14:textId="66CBBDAE" w:rsidR="009A2003" w:rsidRPr="008F332A" w:rsidRDefault="009A2003" w:rsidP="003A2CCC">
      <w:pPr>
        <w:pStyle w:val="Caption"/>
        <w:jc w:val="both"/>
        <w:rPr>
          <w:rFonts w:asciiTheme="minorHAnsi" w:hAnsiTheme="minorHAnsi" w:cstheme="minorHAnsi"/>
          <w:b w:val="0"/>
          <w:color w:val="002D88" w:themeColor="accent6" w:themeTint="E6"/>
          <w:sz w:val="22"/>
          <w:szCs w:val="22"/>
        </w:rPr>
      </w:pPr>
      <w:bookmarkStart w:id="15" w:name="_Ref514052473"/>
      <w:r w:rsidRPr="008F332A">
        <w:rPr>
          <w:rFonts w:asciiTheme="minorHAnsi" w:hAnsiTheme="minorHAnsi" w:cstheme="minorHAnsi"/>
          <w:b w:val="0"/>
          <w:color w:val="002D88" w:themeColor="accent6" w:themeTint="E6"/>
          <w:sz w:val="22"/>
          <w:szCs w:val="22"/>
        </w:rPr>
        <w:t xml:space="preserve">Table </w:t>
      </w:r>
      <w:r w:rsidRPr="008F332A">
        <w:rPr>
          <w:rFonts w:asciiTheme="minorHAnsi" w:hAnsiTheme="minorHAnsi" w:cstheme="minorHAnsi"/>
          <w:b w:val="0"/>
          <w:color w:val="002D88" w:themeColor="accent6" w:themeTint="E6"/>
          <w:sz w:val="22"/>
          <w:szCs w:val="22"/>
        </w:rPr>
        <w:fldChar w:fldCharType="begin"/>
      </w:r>
      <w:r w:rsidRPr="008F332A">
        <w:rPr>
          <w:rFonts w:asciiTheme="minorHAnsi" w:hAnsiTheme="minorHAnsi" w:cstheme="minorHAnsi"/>
          <w:b w:val="0"/>
          <w:color w:val="002D88" w:themeColor="accent6" w:themeTint="E6"/>
          <w:sz w:val="22"/>
          <w:szCs w:val="22"/>
        </w:rPr>
        <w:instrText xml:space="preserve"> SEQ Table \* ARABIC </w:instrText>
      </w:r>
      <w:r w:rsidRPr="008F332A">
        <w:rPr>
          <w:rFonts w:asciiTheme="minorHAnsi" w:hAnsiTheme="minorHAnsi" w:cstheme="minorHAnsi"/>
          <w:b w:val="0"/>
          <w:color w:val="002D88" w:themeColor="accent6" w:themeTint="E6"/>
          <w:sz w:val="22"/>
          <w:szCs w:val="22"/>
        </w:rPr>
        <w:fldChar w:fldCharType="separate"/>
      </w:r>
      <w:r w:rsidR="0082402C">
        <w:rPr>
          <w:rFonts w:asciiTheme="minorHAnsi" w:hAnsiTheme="minorHAnsi" w:cstheme="minorHAnsi"/>
          <w:b w:val="0"/>
          <w:noProof/>
          <w:color w:val="002D88" w:themeColor="accent6" w:themeTint="E6"/>
          <w:sz w:val="22"/>
          <w:szCs w:val="22"/>
        </w:rPr>
        <w:t>1</w:t>
      </w:r>
      <w:r w:rsidRPr="008F332A">
        <w:rPr>
          <w:rFonts w:asciiTheme="minorHAnsi" w:hAnsiTheme="minorHAnsi" w:cstheme="minorHAnsi"/>
          <w:b w:val="0"/>
          <w:color w:val="002D88" w:themeColor="accent6" w:themeTint="E6"/>
          <w:sz w:val="22"/>
          <w:szCs w:val="22"/>
        </w:rPr>
        <w:fldChar w:fldCharType="end"/>
      </w:r>
      <w:bookmarkEnd w:id="15"/>
      <w:r w:rsidR="002C31F8" w:rsidRPr="008F332A">
        <w:rPr>
          <w:rFonts w:asciiTheme="minorHAnsi" w:hAnsiTheme="minorHAnsi" w:cstheme="minorHAnsi"/>
          <w:b w:val="0"/>
          <w:color w:val="002D88" w:themeColor="accent6" w:themeTint="E6"/>
          <w:sz w:val="22"/>
          <w:szCs w:val="22"/>
        </w:rPr>
        <w:t>:</w:t>
      </w:r>
      <w:r w:rsidRPr="008F332A">
        <w:rPr>
          <w:rFonts w:asciiTheme="minorHAnsi" w:hAnsiTheme="minorHAnsi" w:cstheme="minorHAnsi"/>
          <w:b w:val="0"/>
          <w:color w:val="002D88" w:themeColor="accent6" w:themeTint="E6"/>
          <w:sz w:val="22"/>
          <w:szCs w:val="22"/>
        </w:rPr>
        <w:t xml:space="preserve"> Nabilan assumptions to be monitored</w:t>
      </w:r>
    </w:p>
    <w:tbl>
      <w:tblPr>
        <w:tblStyle w:val="TableGrid"/>
        <w:tblW w:w="5000" w:type="pct"/>
        <w:tblCellMar>
          <w:top w:w="57" w:type="dxa"/>
          <w:bottom w:w="57" w:type="dxa"/>
        </w:tblCellMar>
        <w:tblLook w:val="04A0" w:firstRow="1" w:lastRow="0" w:firstColumn="1" w:lastColumn="0" w:noHBand="0" w:noVBand="1"/>
      </w:tblPr>
      <w:tblGrid>
        <w:gridCol w:w="1681"/>
        <w:gridCol w:w="3185"/>
        <w:gridCol w:w="4721"/>
      </w:tblGrid>
      <w:tr w:rsidR="00F71871" w:rsidRPr="008F332A" w14:paraId="1408D861" w14:textId="77777777" w:rsidTr="003A2CCC">
        <w:trPr>
          <w:trHeight w:val="311"/>
          <w:tblHeader/>
        </w:trPr>
        <w:tc>
          <w:tcPr>
            <w:tcW w:w="877" w:type="pct"/>
            <w:shd w:val="clear" w:color="auto" w:fill="99CCFF"/>
            <w:vAlign w:val="center"/>
          </w:tcPr>
          <w:p w14:paraId="6415E194" w14:textId="77777777" w:rsidR="002F13CB" w:rsidRPr="008F332A" w:rsidRDefault="002F13CB" w:rsidP="003A2CCC">
            <w:pPr>
              <w:rPr>
                <w:rFonts w:cstheme="minorHAnsi"/>
                <w:b/>
                <w:sz w:val="20"/>
                <w:szCs w:val="20"/>
              </w:rPr>
            </w:pPr>
            <w:r w:rsidRPr="008F332A">
              <w:rPr>
                <w:rFonts w:cstheme="minorHAnsi"/>
                <w:b/>
                <w:sz w:val="20"/>
                <w:szCs w:val="20"/>
              </w:rPr>
              <w:t xml:space="preserve">Outcomes </w:t>
            </w:r>
          </w:p>
        </w:tc>
        <w:tc>
          <w:tcPr>
            <w:tcW w:w="1661" w:type="pct"/>
            <w:shd w:val="clear" w:color="auto" w:fill="99CCFF"/>
            <w:vAlign w:val="center"/>
          </w:tcPr>
          <w:p w14:paraId="367BCF05" w14:textId="77777777" w:rsidR="002F13CB" w:rsidRPr="008F332A" w:rsidRDefault="002F13CB" w:rsidP="003A2CCC">
            <w:pPr>
              <w:rPr>
                <w:rFonts w:cstheme="minorHAnsi"/>
                <w:b/>
                <w:sz w:val="20"/>
                <w:szCs w:val="20"/>
              </w:rPr>
            </w:pPr>
            <w:r w:rsidRPr="008F332A">
              <w:rPr>
                <w:rFonts w:cstheme="minorHAnsi"/>
                <w:b/>
                <w:sz w:val="20"/>
                <w:szCs w:val="20"/>
              </w:rPr>
              <w:t xml:space="preserve">Assumption </w:t>
            </w:r>
          </w:p>
        </w:tc>
        <w:tc>
          <w:tcPr>
            <w:tcW w:w="2462" w:type="pct"/>
            <w:shd w:val="clear" w:color="auto" w:fill="99CCFF"/>
          </w:tcPr>
          <w:p w14:paraId="46C1CE01" w14:textId="77777777" w:rsidR="002F13CB" w:rsidRPr="008F332A" w:rsidRDefault="002F13CB" w:rsidP="003A2CCC">
            <w:pPr>
              <w:rPr>
                <w:rFonts w:cstheme="minorHAnsi"/>
                <w:b/>
                <w:sz w:val="20"/>
                <w:szCs w:val="20"/>
              </w:rPr>
            </w:pPr>
            <w:r w:rsidRPr="008F332A">
              <w:rPr>
                <w:rFonts w:cstheme="minorHAnsi"/>
                <w:b/>
                <w:sz w:val="20"/>
                <w:szCs w:val="20"/>
              </w:rPr>
              <w:t xml:space="preserve">Monitoring </w:t>
            </w:r>
          </w:p>
        </w:tc>
      </w:tr>
      <w:tr w:rsidR="00F71871" w:rsidRPr="008F332A" w14:paraId="65C6076E" w14:textId="77777777" w:rsidTr="003A2CCC">
        <w:trPr>
          <w:trHeight w:val="324"/>
        </w:trPr>
        <w:tc>
          <w:tcPr>
            <w:tcW w:w="877" w:type="pct"/>
            <w:vMerge w:val="restart"/>
          </w:tcPr>
          <w:p w14:paraId="3261B6D0" w14:textId="77777777" w:rsidR="002F13CB" w:rsidRPr="008F332A" w:rsidRDefault="002F13CB" w:rsidP="003A2CCC">
            <w:pPr>
              <w:pStyle w:val="tablebullets"/>
              <w:spacing w:after="0"/>
              <w:rPr>
                <w:rFonts w:eastAsia="Times New Roman" w:cstheme="minorHAnsi"/>
              </w:rPr>
            </w:pPr>
            <w:r w:rsidRPr="008F332A">
              <w:rPr>
                <w:rFonts w:eastAsia="Times New Roman" w:cstheme="minorHAnsi"/>
              </w:rPr>
              <w:t>EOPO1:  Women and children who experience violence have access to quality and inclusive services</w:t>
            </w:r>
          </w:p>
          <w:p w14:paraId="69AF1E87" w14:textId="77777777" w:rsidR="002F13CB" w:rsidRPr="008F332A" w:rsidRDefault="002F13CB" w:rsidP="003A2CCC">
            <w:pPr>
              <w:pStyle w:val="tablebullets"/>
              <w:spacing w:after="0"/>
              <w:rPr>
                <w:rFonts w:cstheme="minorHAnsi"/>
              </w:rPr>
            </w:pPr>
          </w:p>
        </w:tc>
        <w:tc>
          <w:tcPr>
            <w:tcW w:w="1661" w:type="pct"/>
          </w:tcPr>
          <w:p w14:paraId="7E33207E" w14:textId="77777777" w:rsidR="002F13CB" w:rsidRPr="008F332A" w:rsidRDefault="002F13CB" w:rsidP="003A2CCC">
            <w:pPr>
              <w:pStyle w:val="ListParagraph"/>
              <w:ind w:left="0" w:firstLine="0"/>
              <w:contextualSpacing w:val="0"/>
              <w:rPr>
                <w:rFonts w:eastAsiaTheme="minorHAnsi" w:cstheme="minorHAnsi"/>
                <w:sz w:val="20"/>
                <w:szCs w:val="20"/>
                <w:lang w:val="en-AU" w:eastAsia="en-US"/>
              </w:rPr>
            </w:pPr>
            <w:r w:rsidRPr="008F332A">
              <w:rPr>
                <w:rFonts w:eastAsiaTheme="minorHAnsi" w:cstheme="minorHAnsi"/>
                <w:sz w:val="20"/>
                <w:szCs w:val="20"/>
                <w:lang w:val="en-AU" w:eastAsia="en-US"/>
              </w:rPr>
              <w:t>SOPs are being used by government agenc</w:t>
            </w:r>
            <w:r w:rsidR="00A30A82" w:rsidRPr="008F332A">
              <w:rPr>
                <w:rFonts w:eastAsiaTheme="minorHAnsi" w:cstheme="minorHAnsi"/>
                <w:sz w:val="20"/>
                <w:szCs w:val="20"/>
                <w:lang w:val="en-AU" w:eastAsia="en-US"/>
              </w:rPr>
              <w:t>ies</w:t>
            </w:r>
            <w:r w:rsidRPr="008F332A">
              <w:rPr>
                <w:rFonts w:eastAsiaTheme="minorHAnsi" w:cstheme="minorHAnsi"/>
                <w:sz w:val="20"/>
                <w:szCs w:val="20"/>
                <w:lang w:val="en-AU" w:eastAsia="en-US"/>
              </w:rPr>
              <w:t xml:space="preserve"> and service providers. </w:t>
            </w:r>
          </w:p>
        </w:tc>
        <w:tc>
          <w:tcPr>
            <w:tcW w:w="2462" w:type="pct"/>
          </w:tcPr>
          <w:p w14:paraId="0A7280DB" w14:textId="1FE9B80F" w:rsidR="002F13CB" w:rsidRPr="008F332A" w:rsidRDefault="005C27BB" w:rsidP="003A2CCC">
            <w:pPr>
              <w:tabs>
                <w:tab w:val="left" w:pos="314"/>
              </w:tabs>
              <w:jc w:val="left"/>
              <w:rPr>
                <w:rFonts w:cstheme="minorHAnsi"/>
                <w:sz w:val="20"/>
                <w:szCs w:val="20"/>
              </w:rPr>
            </w:pPr>
            <w:r w:rsidRPr="008F332A">
              <w:rPr>
                <w:rFonts w:cstheme="minorHAnsi"/>
                <w:sz w:val="20"/>
                <w:szCs w:val="20"/>
              </w:rPr>
              <w:t xml:space="preserve">Partner use of SOPs will be monitored using the Case Management Assessment Tool. GoTL use of SOPS will monitored through interviews with key GoTL stakeholders as part of mid-term review. </w:t>
            </w:r>
          </w:p>
        </w:tc>
      </w:tr>
      <w:tr w:rsidR="00F71871" w:rsidRPr="008F332A" w14:paraId="34C2D5BA" w14:textId="77777777" w:rsidTr="003A2CCC">
        <w:trPr>
          <w:trHeight w:val="324"/>
        </w:trPr>
        <w:tc>
          <w:tcPr>
            <w:tcW w:w="877" w:type="pct"/>
            <w:vMerge/>
          </w:tcPr>
          <w:p w14:paraId="7917F7CD" w14:textId="77777777" w:rsidR="002F13CB" w:rsidRPr="008F332A" w:rsidRDefault="002F13CB" w:rsidP="003A2CCC">
            <w:pPr>
              <w:pStyle w:val="tablebullets"/>
              <w:spacing w:after="0"/>
              <w:rPr>
                <w:rFonts w:eastAsia="Times New Roman" w:cstheme="minorHAnsi"/>
              </w:rPr>
            </w:pPr>
          </w:p>
        </w:tc>
        <w:tc>
          <w:tcPr>
            <w:tcW w:w="1661" w:type="pct"/>
          </w:tcPr>
          <w:p w14:paraId="278A6271" w14:textId="389963FD" w:rsidR="002F13CB" w:rsidRPr="008F332A" w:rsidRDefault="002F13CB" w:rsidP="003A2CCC">
            <w:pPr>
              <w:pStyle w:val="ListParagraph"/>
              <w:ind w:left="0" w:firstLine="0"/>
              <w:contextualSpacing w:val="0"/>
              <w:rPr>
                <w:rFonts w:eastAsiaTheme="minorHAnsi" w:cstheme="minorHAnsi"/>
                <w:sz w:val="20"/>
                <w:szCs w:val="20"/>
                <w:lang w:val="en-AU" w:eastAsia="en-US"/>
              </w:rPr>
            </w:pPr>
            <w:r w:rsidRPr="008F332A">
              <w:rPr>
                <w:rFonts w:eastAsiaTheme="minorHAnsi" w:cstheme="minorHAnsi"/>
                <w:sz w:val="20"/>
                <w:szCs w:val="20"/>
                <w:lang w:val="en-AU" w:eastAsia="en-US"/>
              </w:rPr>
              <w:t>Partners are receptive to Nabilan technical assistance and engage in networking</w:t>
            </w:r>
            <w:r w:rsidR="0098140D">
              <w:rPr>
                <w:rFonts w:eastAsiaTheme="minorHAnsi" w:cstheme="minorHAnsi"/>
                <w:sz w:val="20"/>
                <w:szCs w:val="20"/>
                <w:lang w:val="en-AU" w:eastAsia="en-US"/>
              </w:rPr>
              <w:t>.</w:t>
            </w:r>
          </w:p>
        </w:tc>
        <w:tc>
          <w:tcPr>
            <w:tcW w:w="2462" w:type="pct"/>
          </w:tcPr>
          <w:p w14:paraId="02EF6358" w14:textId="77777777" w:rsidR="002F13CB" w:rsidRPr="008F332A" w:rsidRDefault="005C27BB" w:rsidP="003A2CCC">
            <w:pPr>
              <w:tabs>
                <w:tab w:val="left" w:pos="314"/>
              </w:tabs>
              <w:jc w:val="left"/>
              <w:rPr>
                <w:rFonts w:cstheme="minorHAnsi"/>
                <w:sz w:val="20"/>
                <w:szCs w:val="20"/>
              </w:rPr>
            </w:pPr>
            <w:r w:rsidRPr="008F332A">
              <w:rPr>
                <w:rFonts w:cstheme="minorHAnsi"/>
                <w:sz w:val="20"/>
                <w:szCs w:val="20"/>
              </w:rPr>
              <w:t xml:space="preserve">Perceived barriers to partner engagement will be routinely discussed at Nabilan team meetings. Partner use of referral network will be monitored through routine partner reporting. </w:t>
            </w:r>
            <w:r w:rsidR="002F13CB" w:rsidRPr="008F332A">
              <w:rPr>
                <w:rFonts w:cstheme="minorHAnsi"/>
                <w:sz w:val="20"/>
                <w:szCs w:val="20"/>
              </w:rPr>
              <w:t xml:space="preserve">  </w:t>
            </w:r>
          </w:p>
        </w:tc>
      </w:tr>
      <w:tr w:rsidR="00F71871" w:rsidRPr="008F332A" w14:paraId="5D019FB0" w14:textId="77777777" w:rsidTr="003A2CCC">
        <w:trPr>
          <w:trHeight w:val="324"/>
        </w:trPr>
        <w:tc>
          <w:tcPr>
            <w:tcW w:w="877" w:type="pct"/>
            <w:vMerge/>
          </w:tcPr>
          <w:p w14:paraId="318E013D" w14:textId="77777777" w:rsidR="002F13CB" w:rsidRPr="008F332A" w:rsidRDefault="002F13CB" w:rsidP="003A2CCC">
            <w:pPr>
              <w:pStyle w:val="tablebullets"/>
              <w:spacing w:after="0"/>
              <w:rPr>
                <w:rFonts w:eastAsia="Times New Roman" w:cstheme="minorHAnsi"/>
              </w:rPr>
            </w:pPr>
          </w:p>
        </w:tc>
        <w:tc>
          <w:tcPr>
            <w:tcW w:w="1661" w:type="pct"/>
          </w:tcPr>
          <w:p w14:paraId="2FD24246" w14:textId="77777777" w:rsidR="002F13CB" w:rsidRPr="008F332A" w:rsidRDefault="002F13CB" w:rsidP="003A2CCC">
            <w:pPr>
              <w:tabs>
                <w:tab w:val="left" w:pos="314"/>
              </w:tabs>
              <w:jc w:val="left"/>
              <w:rPr>
                <w:rFonts w:cstheme="minorHAnsi"/>
                <w:sz w:val="20"/>
                <w:szCs w:val="20"/>
              </w:rPr>
            </w:pPr>
            <w:r w:rsidRPr="008F332A">
              <w:rPr>
                <w:rFonts w:cstheme="minorHAnsi"/>
                <w:sz w:val="20"/>
                <w:szCs w:val="20"/>
              </w:rPr>
              <w:t xml:space="preserve">Justice sector actors are sufficiently skilled to respond appropriately to women and children impacted by violence. </w:t>
            </w:r>
          </w:p>
          <w:p w14:paraId="30454B5A" w14:textId="77777777" w:rsidR="002F13CB" w:rsidRPr="008F332A" w:rsidRDefault="002F13CB" w:rsidP="003A2CCC">
            <w:pPr>
              <w:tabs>
                <w:tab w:val="left" w:pos="314"/>
              </w:tabs>
              <w:jc w:val="left"/>
              <w:rPr>
                <w:rFonts w:cstheme="minorHAnsi"/>
                <w:sz w:val="20"/>
                <w:szCs w:val="20"/>
              </w:rPr>
            </w:pPr>
            <w:r w:rsidRPr="008F332A">
              <w:rPr>
                <w:rFonts w:cstheme="minorHAnsi"/>
                <w:sz w:val="20"/>
                <w:szCs w:val="20"/>
              </w:rPr>
              <w:t xml:space="preserve">Justice sector actors are willing to listen and adapt. </w:t>
            </w:r>
          </w:p>
        </w:tc>
        <w:tc>
          <w:tcPr>
            <w:tcW w:w="2462" w:type="pct"/>
          </w:tcPr>
          <w:p w14:paraId="6D687FF4" w14:textId="77777777" w:rsidR="002F13CB" w:rsidRPr="008F332A" w:rsidRDefault="005C27BB" w:rsidP="003A2CCC">
            <w:pPr>
              <w:tabs>
                <w:tab w:val="left" w:pos="314"/>
              </w:tabs>
              <w:jc w:val="left"/>
              <w:rPr>
                <w:rFonts w:cstheme="minorHAnsi"/>
                <w:sz w:val="20"/>
                <w:szCs w:val="20"/>
              </w:rPr>
            </w:pPr>
            <w:r w:rsidRPr="008F332A">
              <w:rPr>
                <w:rFonts w:cstheme="minorHAnsi"/>
                <w:sz w:val="20"/>
                <w:szCs w:val="20"/>
              </w:rPr>
              <w:t xml:space="preserve">JSMP will continue to monitor court decisions on </w:t>
            </w:r>
            <w:r w:rsidR="002F13CB" w:rsidRPr="008F332A">
              <w:rPr>
                <w:rFonts w:cstheme="minorHAnsi"/>
                <w:sz w:val="20"/>
                <w:szCs w:val="20"/>
              </w:rPr>
              <w:t>cases of</w:t>
            </w:r>
            <w:r w:rsidR="00F53437" w:rsidRPr="008F332A">
              <w:rPr>
                <w:rFonts w:cstheme="minorHAnsi"/>
                <w:sz w:val="20"/>
                <w:szCs w:val="20"/>
              </w:rPr>
              <w:t xml:space="preserve"> VAWC</w:t>
            </w:r>
            <w:r w:rsidR="002F13CB" w:rsidRPr="008F332A">
              <w:rPr>
                <w:rFonts w:cstheme="minorHAnsi"/>
                <w:sz w:val="20"/>
                <w:szCs w:val="20"/>
              </w:rPr>
              <w:t>.</w:t>
            </w:r>
            <w:r w:rsidRPr="008F332A">
              <w:rPr>
                <w:rFonts w:cstheme="minorHAnsi"/>
                <w:sz w:val="20"/>
                <w:szCs w:val="20"/>
              </w:rPr>
              <w:t xml:space="preserve"> In addition, Nabilan will m</w:t>
            </w:r>
            <w:r w:rsidR="002F13CB" w:rsidRPr="008F332A">
              <w:rPr>
                <w:rFonts w:cstheme="minorHAnsi"/>
                <w:sz w:val="20"/>
                <w:szCs w:val="20"/>
              </w:rPr>
              <w:t>onitor the response of justice sector actors to key initiatives (mentoring, JSMP reports, high-level meetings etc)</w:t>
            </w:r>
            <w:r w:rsidRPr="008F332A">
              <w:rPr>
                <w:rFonts w:cstheme="minorHAnsi"/>
                <w:sz w:val="20"/>
                <w:szCs w:val="20"/>
              </w:rPr>
              <w:t>.</w:t>
            </w:r>
          </w:p>
        </w:tc>
      </w:tr>
      <w:tr w:rsidR="00F71871" w:rsidRPr="008F332A" w14:paraId="74AA5C2F" w14:textId="77777777" w:rsidTr="003A2CCC">
        <w:trPr>
          <w:trHeight w:val="324"/>
        </w:trPr>
        <w:tc>
          <w:tcPr>
            <w:tcW w:w="877" w:type="pct"/>
            <w:vMerge/>
          </w:tcPr>
          <w:p w14:paraId="2257FA15" w14:textId="77777777" w:rsidR="002F13CB" w:rsidRPr="008F332A" w:rsidRDefault="002F13CB" w:rsidP="003A2CCC">
            <w:pPr>
              <w:pStyle w:val="tablebullets"/>
              <w:spacing w:after="0"/>
              <w:rPr>
                <w:rFonts w:eastAsia="Times New Roman" w:cstheme="minorHAnsi"/>
              </w:rPr>
            </w:pPr>
          </w:p>
        </w:tc>
        <w:tc>
          <w:tcPr>
            <w:tcW w:w="1661" w:type="pct"/>
          </w:tcPr>
          <w:p w14:paraId="2421B49F" w14:textId="46809483" w:rsidR="002F13CB" w:rsidRPr="008F332A" w:rsidRDefault="002F13CB" w:rsidP="003A2CCC">
            <w:pPr>
              <w:tabs>
                <w:tab w:val="left" w:pos="314"/>
              </w:tabs>
              <w:jc w:val="left"/>
              <w:rPr>
                <w:rFonts w:cstheme="minorHAnsi"/>
                <w:sz w:val="20"/>
                <w:szCs w:val="20"/>
              </w:rPr>
            </w:pPr>
            <w:r w:rsidRPr="008F332A">
              <w:rPr>
                <w:rFonts w:cstheme="minorHAnsi"/>
                <w:sz w:val="20"/>
                <w:szCs w:val="20"/>
              </w:rPr>
              <w:t>The referral ne</w:t>
            </w:r>
            <w:r w:rsidR="0098140D">
              <w:rPr>
                <w:rFonts w:cstheme="minorHAnsi"/>
                <w:sz w:val="20"/>
                <w:szCs w:val="20"/>
              </w:rPr>
              <w:t>twork is adequately functioning.</w:t>
            </w:r>
          </w:p>
        </w:tc>
        <w:tc>
          <w:tcPr>
            <w:tcW w:w="2462" w:type="pct"/>
          </w:tcPr>
          <w:p w14:paraId="3C1B0C0E" w14:textId="77777777" w:rsidR="002F13CB" w:rsidRPr="008F332A" w:rsidRDefault="005C27BB" w:rsidP="003A2CCC">
            <w:pPr>
              <w:tabs>
                <w:tab w:val="left" w:pos="314"/>
              </w:tabs>
              <w:jc w:val="left"/>
              <w:rPr>
                <w:rFonts w:cstheme="minorHAnsi"/>
                <w:sz w:val="20"/>
                <w:szCs w:val="20"/>
              </w:rPr>
            </w:pPr>
            <w:r w:rsidRPr="008F332A">
              <w:rPr>
                <w:rFonts w:cstheme="minorHAnsi"/>
                <w:sz w:val="20"/>
                <w:szCs w:val="20"/>
              </w:rPr>
              <w:t xml:space="preserve">Partner use of referral network will be monitored through routine partner reporting.   </w:t>
            </w:r>
            <w:r w:rsidR="002F13CB" w:rsidRPr="008F332A">
              <w:rPr>
                <w:rFonts w:cstheme="minorHAnsi"/>
                <w:sz w:val="20"/>
                <w:szCs w:val="20"/>
              </w:rPr>
              <w:t xml:space="preserve"> </w:t>
            </w:r>
          </w:p>
        </w:tc>
      </w:tr>
      <w:tr w:rsidR="00F71871" w:rsidRPr="008F332A" w14:paraId="74BB6B89" w14:textId="77777777" w:rsidTr="003A2CCC">
        <w:trPr>
          <w:trHeight w:val="294"/>
        </w:trPr>
        <w:tc>
          <w:tcPr>
            <w:tcW w:w="877" w:type="pct"/>
            <w:vMerge w:val="restart"/>
          </w:tcPr>
          <w:p w14:paraId="469F74E1" w14:textId="77777777" w:rsidR="002F13CB" w:rsidRPr="008F332A" w:rsidRDefault="002F13CB" w:rsidP="003A2CCC">
            <w:pPr>
              <w:pStyle w:val="tablebullets"/>
              <w:spacing w:after="0"/>
              <w:rPr>
                <w:rFonts w:cstheme="minorHAnsi"/>
              </w:rPr>
            </w:pPr>
            <w:r w:rsidRPr="008F332A">
              <w:rPr>
                <w:rFonts w:cstheme="minorHAnsi"/>
              </w:rPr>
              <w:t>E</w:t>
            </w:r>
            <w:r w:rsidRPr="008F332A">
              <w:rPr>
                <w:rFonts w:eastAsia="Times New Roman" w:cstheme="minorHAnsi"/>
              </w:rPr>
              <w:t xml:space="preserve">OPO2: </w:t>
            </w:r>
            <w:r w:rsidR="0061315E" w:rsidRPr="008F332A">
              <w:rPr>
                <w:rFonts w:eastAsia="Times New Roman" w:cstheme="minorHAnsi"/>
              </w:rPr>
              <w:t>Individuals, communities and institutions t</w:t>
            </w:r>
            <w:r w:rsidRPr="008F332A">
              <w:rPr>
                <w:rFonts w:eastAsia="Times New Roman" w:cstheme="minorHAnsi"/>
              </w:rPr>
              <w:t>ake action on reducing</w:t>
            </w:r>
            <w:r w:rsidR="00F53437" w:rsidRPr="008F332A">
              <w:rPr>
                <w:rFonts w:eastAsia="Times New Roman" w:cstheme="minorHAnsi"/>
              </w:rPr>
              <w:t xml:space="preserve"> VAWC</w:t>
            </w:r>
          </w:p>
        </w:tc>
        <w:tc>
          <w:tcPr>
            <w:tcW w:w="1661" w:type="pct"/>
          </w:tcPr>
          <w:p w14:paraId="6E53B4AD" w14:textId="20A281C1" w:rsidR="002F13CB" w:rsidRPr="008F332A" w:rsidRDefault="002F13CB" w:rsidP="003A2CCC">
            <w:pPr>
              <w:pStyle w:val="ListParagraph"/>
              <w:ind w:left="0" w:firstLine="0"/>
              <w:contextualSpacing w:val="0"/>
              <w:rPr>
                <w:rFonts w:eastAsiaTheme="minorHAnsi" w:cstheme="minorHAnsi"/>
                <w:sz w:val="20"/>
                <w:szCs w:val="20"/>
                <w:lang w:val="en-AU" w:eastAsia="en-US"/>
              </w:rPr>
            </w:pPr>
            <w:r w:rsidRPr="008F332A">
              <w:rPr>
                <w:rFonts w:eastAsiaTheme="minorHAnsi" w:cstheme="minorHAnsi"/>
                <w:sz w:val="20"/>
                <w:szCs w:val="20"/>
                <w:lang w:val="en-AU" w:eastAsia="en-US"/>
              </w:rPr>
              <w:t xml:space="preserve">Independent </w:t>
            </w:r>
            <w:r w:rsidR="003D5A9F" w:rsidRPr="008F332A">
              <w:rPr>
                <w:rFonts w:eastAsiaTheme="minorHAnsi" w:cstheme="minorHAnsi"/>
                <w:sz w:val="20"/>
                <w:szCs w:val="20"/>
                <w:lang w:val="en-AU" w:eastAsia="en-US"/>
              </w:rPr>
              <w:t>w</w:t>
            </w:r>
            <w:r w:rsidRPr="008F332A">
              <w:rPr>
                <w:rFonts w:eastAsiaTheme="minorHAnsi" w:cstheme="minorHAnsi"/>
                <w:sz w:val="20"/>
                <w:szCs w:val="20"/>
                <w:lang w:val="en-AU" w:eastAsia="en-US"/>
              </w:rPr>
              <w:t>omen’s movement remains active</w:t>
            </w:r>
            <w:r w:rsidR="0098140D">
              <w:rPr>
                <w:rFonts w:eastAsiaTheme="minorHAnsi" w:cstheme="minorHAnsi"/>
                <w:sz w:val="20"/>
                <w:szCs w:val="20"/>
                <w:lang w:val="en-AU" w:eastAsia="en-US"/>
              </w:rPr>
              <w:t>.</w:t>
            </w:r>
          </w:p>
        </w:tc>
        <w:tc>
          <w:tcPr>
            <w:tcW w:w="2462" w:type="pct"/>
          </w:tcPr>
          <w:p w14:paraId="1C4741FE" w14:textId="3AAB36AF" w:rsidR="002F13CB" w:rsidRPr="008F332A" w:rsidRDefault="005C27BB" w:rsidP="003A2CCC">
            <w:pPr>
              <w:pStyle w:val="ListParagraph"/>
              <w:ind w:left="0" w:firstLine="0"/>
              <w:contextualSpacing w:val="0"/>
              <w:rPr>
                <w:rFonts w:eastAsiaTheme="minorHAnsi" w:cstheme="minorHAnsi"/>
                <w:sz w:val="20"/>
                <w:szCs w:val="20"/>
                <w:lang w:val="en-AU" w:eastAsia="en-US"/>
              </w:rPr>
            </w:pPr>
            <w:r w:rsidRPr="008F332A">
              <w:rPr>
                <w:rFonts w:eastAsiaTheme="minorHAnsi" w:cstheme="minorHAnsi"/>
                <w:sz w:val="20"/>
                <w:szCs w:val="20"/>
                <w:lang w:val="en-AU" w:eastAsia="en-US"/>
              </w:rPr>
              <w:t>Nabilan will m</w:t>
            </w:r>
            <w:r w:rsidR="002F13CB" w:rsidRPr="008F332A">
              <w:rPr>
                <w:rFonts w:eastAsiaTheme="minorHAnsi" w:cstheme="minorHAnsi"/>
                <w:sz w:val="20"/>
                <w:szCs w:val="20"/>
                <w:lang w:val="en-AU" w:eastAsia="en-US"/>
              </w:rPr>
              <w:t xml:space="preserve">onitor the </w:t>
            </w:r>
            <w:r w:rsidR="00937350" w:rsidRPr="008F332A">
              <w:rPr>
                <w:rFonts w:eastAsiaTheme="minorHAnsi" w:cstheme="minorHAnsi"/>
                <w:sz w:val="20"/>
                <w:szCs w:val="20"/>
                <w:lang w:val="en-AU" w:eastAsia="en-US"/>
              </w:rPr>
              <w:t xml:space="preserve">level of </w:t>
            </w:r>
            <w:r w:rsidR="002F13CB" w:rsidRPr="008F332A">
              <w:rPr>
                <w:rFonts w:eastAsiaTheme="minorHAnsi" w:cstheme="minorHAnsi"/>
                <w:sz w:val="20"/>
                <w:szCs w:val="20"/>
                <w:lang w:val="en-AU" w:eastAsia="en-US"/>
              </w:rPr>
              <w:t>engagement of the independent women’s movement</w:t>
            </w:r>
            <w:r w:rsidR="00937350" w:rsidRPr="008F332A">
              <w:rPr>
                <w:rFonts w:eastAsiaTheme="minorHAnsi" w:cstheme="minorHAnsi"/>
                <w:sz w:val="20"/>
                <w:szCs w:val="20"/>
                <w:lang w:val="en-AU" w:eastAsia="en-US"/>
              </w:rPr>
              <w:t xml:space="preserve"> in key issues</w:t>
            </w:r>
            <w:r w:rsidR="004462E0">
              <w:rPr>
                <w:rFonts w:eastAsiaTheme="minorHAnsi" w:cstheme="minorHAnsi"/>
                <w:sz w:val="20"/>
                <w:szCs w:val="20"/>
                <w:lang w:val="en-AU" w:eastAsia="en-US"/>
              </w:rPr>
              <w:t>.</w:t>
            </w:r>
          </w:p>
        </w:tc>
      </w:tr>
      <w:tr w:rsidR="00F71871" w:rsidRPr="008F332A" w14:paraId="6041845D" w14:textId="77777777" w:rsidTr="003A2CCC">
        <w:trPr>
          <w:trHeight w:val="340"/>
        </w:trPr>
        <w:tc>
          <w:tcPr>
            <w:tcW w:w="877" w:type="pct"/>
            <w:vMerge/>
          </w:tcPr>
          <w:p w14:paraId="551964CC" w14:textId="77777777" w:rsidR="002F13CB" w:rsidRPr="008F332A" w:rsidRDefault="002F13CB" w:rsidP="003A2CCC">
            <w:pPr>
              <w:pStyle w:val="tablebullets"/>
              <w:spacing w:after="0"/>
              <w:rPr>
                <w:rFonts w:cstheme="minorHAnsi"/>
              </w:rPr>
            </w:pPr>
          </w:p>
        </w:tc>
        <w:tc>
          <w:tcPr>
            <w:tcW w:w="1661" w:type="pct"/>
          </w:tcPr>
          <w:p w14:paraId="4A3CD407" w14:textId="4D27BAFB" w:rsidR="002F13CB" w:rsidRPr="008F332A" w:rsidRDefault="002F13CB" w:rsidP="003A2CCC">
            <w:pPr>
              <w:pStyle w:val="ListParagraph"/>
              <w:ind w:left="0" w:firstLine="0"/>
              <w:contextualSpacing w:val="0"/>
              <w:rPr>
                <w:rFonts w:eastAsiaTheme="minorHAnsi" w:cstheme="minorHAnsi"/>
                <w:sz w:val="20"/>
                <w:szCs w:val="20"/>
                <w:lang w:val="en-AU" w:eastAsia="en-US"/>
              </w:rPr>
            </w:pPr>
            <w:r w:rsidRPr="008F332A">
              <w:rPr>
                <w:rFonts w:eastAsiaTheme="minorHAnsi" w:cstheme="minorHAnsi"/>
                <w:sz w:val="20"/>
                <w:szCs w:val="20"/>
                <w:lang w:val="en-AU" w:eastAsia="en-US"/>
              </w:rPr>
              <w:t xml:space="preserve">Partners </w:t>
            </w:r>
            <w:r w:rsidR="00F774CA" w:rsidRPr="008F332A">
              <w:rPr>
                <w:rFonts w:eastAsiaTheme="minorHAnsi" w:cstheme="minorHAnsi"/>
                <w:sz w:val="20"/>
                <w:szCs w:val="20"/>
                <w:lang w:val="en-AU" w:eastAsia="en-US"/>
              </w:rPr>
              <w:t xml:space="preserve">are able to work across all levels of the </w:t>
            </w:r>
            <w:r w:rsidRPr="008F332A">
              <w:rPr>
                <w:rFonts w:eastAsiaTheme="minorHAnsi" w:cstheme="minorHAnsi"/>
                <w:sz w:val="20"/>
                <w:szCs w:val="20"/>
                <w:lang w:val="en-AU" w:eastAsia="en-US"/>
              </w:rPr>
              <w:t>ecological model</w:t>
            </w:r>
            <w:r w:rsidR="00F774CA" w:rsidRPr="008F332A">
              <w:rPr>
                <w:rFonts w:eastAsiaTheme="minorHAnsi" w:cstheme="minorHAnsi"/>
                <w:sz w:val="20"/>
                <w:szCs w:val="20"/>
                <w:lang w:val="en-AU" w:eastAsia="en-US"/>
              </w:rPr>
              <w:t xml:space="preserve"> (i.e. individual</w:t>
            </w:r>
            <w:r w:rsidR="005C27BB" w:rsidRPr="008F332A">
              <w:rPr>
                <w:rFonts w:eastAsiaTheme="minorHAnsi" w:cstheme="minorHAnsi"/>
                <w:sz w:val="20"/>
                <w:szCs w:val="20"/>
                <w:lang w:val="en-AU" w:eastAsia="en-US"/>
              </w:rPr>
              <w:t>s</w:t>
            </w:r>
            <w:r w:rsidR="00F774CA" w:rsidRPr="008F332A">
              <w:rPr>
                <w:rFonts w:eastAsiaTheme="minorHAnsi" w:cstheme="minorHAnsi"/>
                <w:sz w:val="20"/>
                <w:szCs w:val="20"/>
                <w:lang w:val="en-AU" w:eastAsia="en-US"/>
              </w:rPr>
              <w:t>, communities, institutions)</w:t>
            </w:r>
            <w:r w:rsidR="0098140D">
              <w:rPr>
                <w:rFonts w:eastAsiaTheme="minorHAnsi" w:cstheme="minorHAnsi"/>
                <w:sz w:val="20"/>
                <w:szCs w:val="20"/>
                <w:lang w:val="en-AU" w:eastAsia="en-US"/>
              </w:rPr>
              <w:t>.</w:t>
            </w:r>
          </w:p>
        </w:tc>
        <w:tc>
          <w:tcPr>
            <w:tcW w:w="2462" w:type="pct"/>
          </w:tcPr>
          <w:p w14:paraId="1A9EFC4B" w14:textId="58BA3BEA" w:rsidR="002F13CB" w:rsidRPr="008F332A" w:rsidRDefault="00F774CA" w:rsidP="003A2CCC">
            <w:pPr>
              <w:pStyle w:val="ListParagraph"/>
              <w:ind w:left="0" w:firstLine="0"/>
              <w:contextualSpacing w:val="0"/>
              <w:rPr>
                <w:rFonts w:eastAsiaTheme="minorHAnsi" w:cstheme="minorHAnsi"/>
                <w:sz w:val="20"/>
                <w:szCs w:val="20"/>
                <w:lang w:val="en-AU" w:eastAsia="en-US"/>
              </w:rPr>
            </w:pPr>
            <w:r w:rsidRPr="008F332A">
              <w:rPr>
                <w:rFonts w:eastAsiaTheme="minorHAnsi" w:cstheme="minorHAnsi"/>
                <w:sz w:val="20"/>
                <w:szCs w:val="20"/>
                <w:lang w:val="en-AU" w:eastAsia="en-US"/>
              </w:rPr>
              <w:t>Partner activities</w:t>
            </w:r>
            <w:r w:rsidR="005C27BB" w:rsidRPr="008F332A">
              <w:rPr>
                <w:rFonts w:eastAsiaTheme="minorHAnsi" w:cstheme="minorHAnsi"/>
                <w:sz w:val="20"/>
                <w:szCs w:val="20"/>
                <w:lang w:val="en-AU" w:eastAsia="en-US"/>
              </w:rPr>
              <w:t xml:space="preserve"> at individual, community and institutional level will be monitored using the Lancet Effectiveness Scale</w:t>
            </w:r>
            <w:r w:rsidR="00AC0567">
              <w:rPr>
                <w:rFonts w:eastAsiaTheme="minorHAnsi" w:cstheme="minorHAnsi"/>
                <w:sz w:val="20"/>
                <w:szCs w:val="20"/>
                <w:lang w:val="en-AU" w:eastAsia="en-US"/>
              </w:rPr>
              <w:t>, and will be provided with close mentoring and technical assistance to improve their approaches</w:t>
            </w:r>
          </w:p>
        </w:tc>
      </w:tr>
      <w:tr w:rsidR="00F71871" w:rsidRPr="008F332A" w14:paraId="7EAF605E" w14:textId="77777777" w:rsidTr="003A2CCC">
        <w:trPr>
          <w:trHeight w:val="340"/>
        </w:trPr>
        <w:tc>
          <w:tcPr>
            <w:tcW w:w="877" w:type="pct"/>
            <w:vMerge/>
          </w:tcPr>
          <w:p w14:paraId="4C7FC9B0" w14:textId="77777777" w:rsidR="002F13CB" w:rsidRPr="008F332A" w:rsidRDefault="002F13CB" w:rsidP="003A2CCC">
            <w:pPr>
              <w:pStyle w:val="tablebullets"/>
              <w:spacing w:after="0"/>
              <w:rPr>
                <w:rFonts w:cstheme="minorHAnsi"/>
              </w:rPr>
            </w:pPr>
          </w:p>
        </w:tc>
        <w:tc>
          <w:tcPr>
            <w:tcW w:w="1661" w:type="pct"/>
          </w:tcPr>
          <w:p w14:paraId="5D693FF9" w14:textId="158086AD" w:rsidR="002F13CB" w:rsidRPr="008F332A" w:rsidRDefault="0061315E" w:rsidP="003A2CCC">
            <w:pPr>
              <w:pStyle w:val="ListParagraph"/>
              <w:ind w:left="0" w:firstLine="0"/>
              <w:contextualSpacing w:val="0"/>
              <w:rPr>
                <w:rFonts w:eastAsiaTheme="minorHAnsi" w:cstheme="minorHAnsi"/>
                <w:sz w:val="20"/>
                <w:szCs w:val="20"/>
                <w:lang w:val="en-AU" w:eastAsia="en-US"/>
              </w:rPr>
            </w:pPr>
            <w:r w:rsidRPr="008F332A">
              <w:rPr>
                <w:rFonts w:eastAsiaTheme="minorHAnsi" w:cstheme="minorHAnsi"/>
                <w:sz w:val="20"/>
                <w:szCs w:val="20"/>
                <w:lang w:val="en-AU" w:eastAsia="en-US"/>
              </w:rPr>
              <w:t xml:space="preserve">The </w:t>
            </w:r>
            <w:r w:rsidR="003D5A9F" w:rsidRPr="008F332A">
              <w:rPr>
                <w:rFonts w:eastAsiaTheme="minorHAnsi" w:cstheme="minorHAnsi"/>
                <w:sz w:val="20"/>
                <w:szCs w:val="20"/>
                <w:lang w:val="en-AU" w:eastAsia="en-US"/>
              </w:rPr>
              <w:t>CBA</w:t>
            </w:r>
            <w:r w:rsidRPr="008F332A">
              <w:rPr>
                <w:rFonts w:eastAsiaTheme="minorHAnsi" w:cstheme="minorHAnsi"/>
                <w:sz w:val="20"/>
                <w:szCs w:val="20"/>
                <w:lang w:val="en-AU" w:eastAsia="en-US"/>
              </w:rPr>
              <w:t xml:space="preserve"> approach</w:t>
            </w:r>
            <w:r w:rsidR="003D5A9F" w:rsidRPr="008F332A">
              <w:rPr>
                <w:rFonts w:eastAsiaTheme="minorHAnsi" w:cstheme="minorHAnsi"/>
                <w:sz w:val="20"/>
                <w:szCs w:val="20"/>
                <w:lang w:val="en-AU" w:eastAsia="en-US"/>
              </w:rPr>
              <w:t xml:space="preserve"> is effective</w:t>
            </w:r>
            <w:r w:rsidR="0098140D">
              <w:rPr>
                <w:rFonts w:eastAsiaTheme="minorHAnsi" w:cstheme="minorHAnsi"/>
                <w:sz w:val="20"/>
                <w:szCs w:val="20"/>
                <w:lang w:val="en-AU" w:eastAsia="en-US"/>
              </w:rPr>
              <w:t>.</w:t>
            </w:r>
          </w:p>
        </w:tc>
        <w:tc>
          <w:tcPr>
            <w:tcW w:w="2462" w:type="pct"/>
          </w:tcPr>
          <w:p w14:paraId="29C827E6" w14:textId="77777777" w:rsidR="002F13CB" w:rsidRPr="008F332A" w:rsidRDefault="00937350" w:rsidP="003A2CCC">
            <w:pPr>
              <w:pStyle w:val="ListParagraph"/>
              <w:ind w:left="0" w:firstLine="0"/>
              <w:contextualSpacing w:val="0"/>
              <w:rPr>
                <w:rFonts w:eastAsiaTheme="minorHAnsi" w:cstheme="minorHAnsi"/>
                <w:sz w:val="20"/>
                <w:szCs w:val="20"/>
                <w:lang w:val="en-AU" w:eastAsia="en-US"/>
              </w:rPr>
            </w:pPr>
            <w:r w:rsidRPr="008F332A">
              <w:rPr>
                <w:rFonts w:eastAsiaTheme="minorHAnsi" w:cstheme="minorHAnsi"/>
                <w:sz w:val="20"/>
                <w:szCs w:val="20"/>
                <w:lang w:val="en-AU" w:eastAsia="en-US"/>
              </w:rPr>
              <w:t>Th</w:t>
            </w:r>
            <w:r w:rsidR="00F774CA" w:rsidRPr="008F332A">
              <w:rPr>
                <w:rFonts w:eastAsiaTheme="minorHAnsi" w:cstheme="minorHAnsi"/>
                <w:sz w:val="20"/>
                <w:szCs w:val="20"/>
                <w:lang w:val="en-AU" w:eastAsia="en-US"/>
              </w:rPr>
              <w:t>e effectiveness and appropriateness of the CBA approach will be</w:t>
            </w:r>
            <w:r w:rsidR="00841DC0" w:rsidRPr="008F332A">
              <w:rPr>
                <w:rFonts w:eastAsiaTheme="minorHAnsi" w:cstheme="minorHAnsi"/>
                <w:sz w:val="20"/>
                <w:szCs w:val="20"/>
                <w:lang w:val="en-AU" w:eastAsia="en-US"/>
              </w:rPr>
              <w:t xml:space="preserve"> monitored as part of routine CBA monitoring processes, and</w:t>
            </w:r>
            <w:r w:rsidR="00F774CA" w:rsidRPr="008F332A">
              <w:rPr>
                <w:rFonts w:eastAsiaTheme="minorHAnsi" w:cstheme="minorHAnsi"/>
                <w:sz w:val="20"/>
                <w:szCs w:val="20"/>
                <w:lang w:val="en-AU" w:eastAsia="en-US"/>
              </w:rPr>
              <w:t xml:space="preserve"> reviewed in the Nabilan mid-term review. </w:t>
            </w:r>
          </w:p>
        </w:tc>
      </w:tr>
      <w:tr w:rsidR="00F71871" w:rsidRPr="008F332A" w14:paraId="30CADC27" w14:textId="77777777" w:rsidTr="003A2CCC">
        <w:trPr>
          <w:trHeight w:val="340"/>
        </w:trPr>
        <w:tc>
          <w:tcPr>
            <w:tcW w:w="877" w:type="pct"/>
            <w:vMerge/>
          </w:tcPr>
          <w:p w14:paraId="2910F0BC" w14:textId="77777777" w:rsidR="002F13CB" w:rsidRPr="008F332A" w:rsidRDefault="002F13CB" w:rsidP="003A2CCC">
            <w:pPr>
              <w:pStyle w:val="tablebullets"/>
              <w:spacing w:after="0"/>
              <w:rPr>
                <w:rFonts w:cstheme="minorHAnsi"/>
              </w:rPr>
            </w:pPr>
          </w:p>
        </w:tc>
        <w:tc>
          <w:tcPr>
            <w:tcW w:w="1661" w:type="pct"/>
          </w:tcPr>
          <w:p w14:paraId="09F01612" w14:textId="77777777" w:rsidR="002F13CB" w:rsidRPr="008F332A" w:rsidRDefault="0044072C" w:rsidP="003A2CCC">
            <w:pPr>
              <w:pStyle w:val="ListParagraph"/>
              <w:ind w:left="0" w:firstLine="0"/>
              <w:contextualSpacing w:val="0"/>
              <w:rPr>
                <w:rFonts w:eastAsiaTheme="minorHAnsi" w:cstheme="minorHAnsi"/>
                <w:sz w:val="20"/>
                <w:szCs w:val="20"/>
                <w:lang w:val="en-AU" w:eastAsia="en-US"/>
              </w:rPr>
            </w:pPr>
            <w:r w:rsidRPr="008F332A">
              <w:rPr>
                <w:rFonts w:eastAsiaTheme="minorHAnsi" w:cstheme="minorHAnsi"/>
                <w:sz w:val="20"/>
                <w:szCs w:val="20"/>
                <w:lang w:val="en-AU" w:eastAsia="en-US"/>
              </w:rPr>
              <w:t>Change ambassadors are able to influence their organisations</w:t>
            </w:r>
            <w:r w:rsidR="002F13CB" w:rsidRPr="008F332A">
              <w:rPr>
                <w:rFonts w:eastAsiaTheme="minorHAnsi" w:cstheme="minorHAnsi"/>
                <w:sz w:val="20"/>
                <w:szCs w:val="20"/>
                <w:lang w:val="en-AU" w:eastAsia="en-US"/>
              </w:rPr>
              <w:t xml:space="preserve"> </w:t>
            </w:r>
            <w:r w:rsidRPr="008F332A">
              <w:rPr>
                <w:rFonts w:eastAsiaTheme="minorHAnsi" w:cstheme="minorHAnsi"/>
                <w:sz w:val="20"/>
                <w:szCs w:val="20"/>
                <w:lang w:val="en-AU" w:eastAsia="en-US"/>
              </w:rPr>
              <w:t>to integrate positive social norms across all programming.</w:t>
            </w:r>
          </w:p>
        </w:tc>
        <w:tc>
          <w:tcPr>
            <w:tcW w:w="2462" w:type="pct"/>
          </w:tcPr>
          <w:p w14:paraId="5A8B65BD" w14:textId="77777777" w:rsidR="002F13CB" w:rsidRPr="008F332A" w:rsidRDefault="00841DC0" w:rsidP="003A2CCC">
            <w:pPr>
              <w:pStyle w:val="ListParagraph"/>
              <w:ind w:left="0" w:firstLine="0"/>
              <w:contextualSpacing w:val="0"/>
              <w:rPr>
                <w:rFonts w:eastAsiaTheme="minorHAnsi" w:cstheme="minorHAnsi"/>
                <w:sz w:val="20"/>
                <w:szCs w:val="20"/>
                <w:lang w:val="en-AU" w:eastAsia="en-US"/>
              </w:rPr>
            </w:pPr>
            <w:r w:rsidRPr="008F332A">
              <w:rPr>
                <w:rFonts w:eastAsiaTheme="minorHAnsi" w:cstheme="minorHAnsi"/>
                <w:sz w:val="20"/>
                <w:szCs w:val="20"/>
                <w:lang w:val="en-AU" w:eastAsia="en-US"/>
              </w:rPr>
              <w:t>T</w:t>
            </w:r>
            <w:r w:rsidR="0044072C" w:rsidRPr="008F332A">
              <w:rPr>
                <w:rFonts w:eastAsiaTheme="minorHAnsi" w:cstheme="minorHAnsi"/>
                <w:sz w:val="20"/>
                <w:szCs w:val="20"/>
                <w:lang w:val="en-AU" w:eastAsia="en-US"/>
              </w:rPr>
              <w:t>he influence that Change Ambassadors have in their organisations</w:t>
            </w:r>
            <w:r w:rsidRPr="008F332A">
              <w:rPr>
                <w:rFonts w:eastAsiaTheme="minorHAnsi" w:cstheme="minorHAnsi"/>
                <w:sz w:val="20"/>
                <w:szCs w:val="20"/>
                <w:lang w:val="en-AU" w:eastAsia="en-US"/>
              </w:rPr>
              <w:t xml:space="preserve"> will be monitored in Change Ambassador survey, and routinely discussed at Change Ambassador events.</w:t>
            </w:r>
            <w:r w:rsidR="0044072C" w:rsidRPr="008F332A">
              <w:rPr>
                <w:rFonts w:eastAsiaTheme="minorHAnsi" w:cstheme="minorHAnsi"/>
                <w:sz w:val="20"/>
                <w:szCs w:val="20"/>
                <w:lang w:val="en-AU" w:eastAsia="en-US"/>
              </w:rPr>
              <w:t xml:space="preserve"> </w:t>
            </w:r>
          </w:p>
        </w:tc>
      </w:tr>
      <w:tr w:rsidR="00F71871" w:rsidRPr="008F332A" w14:paraId="0DC55F81" w14:textId="77777777" w:rsidTr="003A2CCC">
        <w:trPr>
          <w:trHeight w:val="340"/>
        </w:trPr>
        <w:tc>
          <w:tcPr>
            <w:tcW w:w="877" w:type="pct"/>
            <w:vMerge w:val="restart"/>
          </w:tcPr>
          <w:p w14:paraId="716C8B7F" w14:textId="77777777" w:rsidR="002F13CB" w:rsidRPr="008F332A" w:rsidRDefault="002F13CB" w:rsidP="003A2CCC">
            <w:pPr>
              <w:pStyle w:val="tablebullets"/>
              <w:spacing w:after="0"/>
              <w:rPr>
                <w:rFonts w:cstheme="minorHAnsi"/>
              </w:rPr>
            </w:pPr>
            <w:r w:rsidRPr="008F332A">
              <w:rPr>
                <w:rFonts w:cstheme="minorHAnsi"/>
              </w:rPr>
              <w:t>Across the Nabilan Program</w:t>
            </w:r>
          </w:p>
        </w:tc>
        <w:tc>
          <w:tcPr>
            <w:tcW w:w="1661" w:type="pct"/>
          </w:tcPr>
          <w:p w14:paraId="6C308457" w14:textId="0B17622C" w:rsidR="002F13CB" w:rsidRPr="008F332A" w:rsidRDefault="002F13CB" w:rsidP="003A2CCC">
            <w:pPr>
              <w:pStyle w:val="ListParagraph"/>
              <w:ind w:left="0" w:firstLine="0"/>
              <w:contextualSpacing w:val="0"/>
              <w:rPr>
                <w:rFonts w:eastAsiaTheme="minorHAnsi" w:cstheme="minorHAnsi"/>
                <w:sz w:val="20"/>
                <w:szCs w:val="20"/>
                <w:lang w:val="en-AU" w:eastAsia="en-US"/>
              </w:rPr>
            </w:pPr>
            <w:r w:rsidRPr="008F332A">
              <w:rPr>
                <w:rFonts w:eastAsiaTheme="minorHAnsi" w:cstheme="minorHAnsi"/>
                <w:sz w:val="20"/>
                <w:szCs w:val="20"/>
                <w:lang w:val="en-AU" w:eastAsia="en-US"/>
              </w:rPr>
              <w:t xml:space="preserve">Other funding sources </w:t>
            </w:r>
            <w:r w:rsidR="00841DC0" w:rsidRPr="008F332A">
              <w:rPr>
                <w:rFonts w:eastAsiaTheme="minorHAnsi" w:cstheme="minorHAnsi"/>
                <w:sz w:val="20"/>
                <w:szCs w:val="20"/>
                <w:lang w:val="en-AU" w:eastAsia="en-US"/>
              </w:rPr>
              <w:t xml:space="preserve">are </w:t>
            </w:r>
            <w:r w:rsidRPr="008F332A">
              <w:rPr>
                <w:rFonts w:eastAsiaTheme="minorHAnsi" w:cstheme="minorHAnsi"/>
                <w:sz w:val="20"/>
                <w:szCs w:val="20"/>
                <w:lang w:val="en-AU" w:eastAsia="en-US"/>
              </w:rPr>
              <w:t>available</w:t>
            </w:r>
            <w:r w:rsidR="0044072C" w:rsidRPr="008F332A">
              <w:rPr>
                <w:rFonts w:eastAsiaTheme="minorHAnsi" w:cstheme="minorHAnsi"/>
                <w:sz w:val="20"/>
                <w:szCs w:val="20"/>
                <w:lang w:val="en-AU" w:eastAsia="en-US"/>
              </w:rPr>
              <w:t xml:space="preserve"> to partners for essential services</w:t>
            </w:r>
            <w:r w:rsidR="0098140D">
              <w:rPr>
                <w:rFonts w:eastAsiaTheme="minorHAnsi" w:cstheme="minorHAnsi"/>
                <w:sz w:val="20"/>
                <w:szCs w:val="20"/>
                <w:lang w:val="en-AU" w:eastAsia="en-US"/>
              </w:rPr>
              <w:t>.</w:t>
            </w:r>
          </w:p>
        </w:tc>
        <w:tc>
          <w:tcPr>
            <w:tcW w:w="2462" w:type="pct"/>
          </w:tcPr>
          <w:p w14:paraId="1C51EB87" w14:textId="77777777" w:rsidR="002F13CB" w:rsidRPr="008F332A" w:rsidRDefault="00841DC0" w:rsidP="003A2CCC">
            <w:pPr>
              <w:pStyle w:val="ListParagraph"/>
              <w:ind w:left="0" w:firstLine="0"/>
              <w:contextualSpacing w:val="0"/>
              <w:rPr>
                <w:rFonts w:eastAsiaTheme="minorHAnsi" w:cstheme="minorHAnsi"/>
                <w:sz w:val="20"/>
                <w:szCs w:val="20"/>
                <w:lang w:val="en-AU" w:eastAsia="en-US"/>
              </w:rPr>
            </w:pPr>
            <w:r w:rsidRPr="008F332A">
              <w:rPr>
                <w:rFonts w:eastAsiaTheme="minorHAnsi" w:cstheme="minorHAnsi"/>
                <w:sz w:val="20"/>
                <w:szCs w:val="20"/>
                <w:lang w:val="en-AU" w:eastAsia="en-US"/>
              </w:rPr>
              <w:t>Partner funding sources will be monitored through regular partner meetings and partner reports.</w:t>
            </w:r>
          </w:p>
        </w:tc>
      </w:tr>
      <w:tr w:rsidR="00F71871" w:rsidRPr="008F332A" w14:paraId="628303D6" w14:textId="77777777" w:rsidTr="003A2CCC">
        <w:trPr>
          <w:trHeight w:val="340"/>
        </w:trPr>
        <w:tc>
          <w:tcPr>
            <w:tcW w:w="877" w:type="pct"/>
            <w:vMerge/>
          </w:tcPr>
          <w:p w14:paraId="67ED99F3" w14:textId="77777777" w:rsidR="002F13CB" w:rsidRPr="008F332A" w:rsidRDefault="002F13CB" w:rsidP="003A2CCC">
            <w:pPr>
              <w:pStyle w:val="tablebullets"/>
              <w:spacing w:after="0"/>
              <w:rPr>
                <w:rFonts w:cstheme="minorHAnsi"/>
              </w:rPr>
            </w:pPr>
          </w:p>
        </w:tc>
        <w:tc>
          <w:tcPr>
            <w:tcW w:w="1661" w:type="pct"/>
          </w:tcPr>
          <w:p w14:paraId="2137E110" w14:textId="7100FBB5" w:rsidR="002F13CB" w:rsidRPr="008F332A" w:rsidRDefault="0044072C" w:rsidP="003A2CCC">
            <w:pPr>
              <w:pStyle w:val="ListParagraph"/>
              <w:ind w:left="0" w:firstLine="0"/>
              <w:contextualSpacing w:val="0"/>
              <w:rPr>
                <w:rFonts w:eastAsiaTheme="minorHAnsi" w:cstheme="minorHAnsi"/>
                <w:sz w:val="20"/>
                <w:szCs w:val="20"/>
                <w:lang w:val="en-AU" w:eastAsia="en-US"/>
              </w:rPr>
            </w:pPr>
            <w:r w:rsidRPr="008F332A">
              <w:rPr>
                <w:rFonts w:eastAsiaTheme="minorHAnsi" w:cstheme="minorHAnsi"/>
                <w:sz w:val="20"/>
                <w:szCs w:val="20"/>
                <w:lang w:val="en-AU" w:eastAsia="en-US"/>
              </w:rPr>
              <w:t>Partner s</w:t>
            </w:r>
            <w:r w:rsidR="002F13CB" w:rsidRPr="008F332A">
              <w:rPr>
                <w:rFonts w:eastAsiaTheme="minorHAnsi" w:cstheme="minorHAnsi"/>
                <w:sz w:val="20"/>
                <w:szCs w:val="20"/>
                <w:lang w:val="en-AU" w:eastAsia="en-US"/>
              </w:rPr>
              <w:t>taff have time to learn</w:t>
            </w:r>
            <w:r w:rsidR="00841DC0" w:rsidRPr="008F332A">
              <w:rPr>
                <w:rFonts w:eastAsiaTheme="minorHAnsi" w:cstheme="minorHAnsi"/>
                <w:sz w:val="20"/>
                <w:szCs w:val="20"/>
                <w:lang w:val="en-AU" w:eastAsia="en-US"/>
              </w:rPr>
              <w:t xml:space="preserve"> and make practice changes</w:t>
            </w:r>
            <w:r w:rsidR="0098140D">
              <w:rPr>
                <w:rFonts w:eastAsiaTheme="minorHAnsi" w:cstheme="minorHAnsi"/>
                <w:sz w:val="20"/>
                <w:szCs w:val="20"/>
                <w:lang w:val="en-AU" w:eastAsia="en-US"/>
              </w:rPr>
              <w:t>.</w:t>
            </w:r>
          </w:p>
        </w:tc>
        <w:tc>
          <w:tcPr>
            <w:tcW w:w="2462" w:type="pct"/>
          </w:tcPr>
          <w:p w14:paraId="77C1D7DC" w14:textId="2DA76263" w:rsidR="002F13CB" w:rsidRPr="008F332A" w:rsidRDefault="00841DC0" w:rsidP="003A2CCC">
            <w:pPr>
              <w:pStyle w:val="ListParagraph"/>
              <w:ind w:left="0" w:firstLine="0"/>
              <w:contextualSpacing w:val="0"/>
              <w:rPr>
                <w:rFonts w:eastAsiaTheme="minorHAnsi" w:cstheme="minorHAnsi"/>
                <w:sz w:val="20"/>
                <w:szCs w:val="20"/>
                <w:lang w:val="en-AU" w:eastAsia="en-US"/>
              </w:rPr>
            </w:pPr>
            <w:r w:rsidRPr="008F332A">
              <w:rPr>
                <w:rFonts w:eastAsiaTheme="minorHAnsi" w:cstheme="minorHAnsi"/>
                <w:sz w:val="20"/>
                <w:szCs w:val="20"/>
                <w:lang w:val="en-AU" w:eastAsia="en-US"/>
              </w:rPr>
              <w:t>Training participants</w:t>
            </w:r>
            <w:r w:rsidR="004462E0">
              <w:rPr>
                <w:rFonts w:eastAsiaTheme="minorHAnsi" w:cstheme="minorHAnsi"/>
                <w:sz w:val="20"/>
                <w:szCs w:val="20"/>
                <w:lang w:val="en-AU" w:eastAsia="en-US"/>
              </w:rPr>
              <w:t>’</w:t>
            </w:r>
            <w:r w:rsidRPr="008F332A">
              <w:rPr>
                <w:rFonts w:eastAsiaTheme="minorHAnsi" w:cstheme="minorHAnsi"/>
                <w:sz w:val="20"/>
                <w:szCs w:val="20"/>
                <w:lang w:val="en-AU" w:eastAsia="en-US"/>
              </w:rPr>
              <w:t xml:space="preserve"> application of skills in</w:t>
            </w:r>
            <w:r w:rsidR="004462E0">
              <w:rPr>
                <w:rFonts w:eastAsiaTheme="minorHAnsi" w:cstheme="minorHAnsi"/>
                <w:sz w:val="20"/>
                <w:szCs w:val="20"/>
                <w:lang w:val="en-AU" w:eastAsia="en-US"/>
              </w:rPr>
              <w:t xml:space="preserve"> </w:t>
            </w:r>
            <w:r w:rsidRPr="008F332A">
              <w:rPr>
                <w:rFonts w:eastAsiaTheme="minorHAnsi" w:cstheme="minorHAnsi"/>
                <w:sz w:val="20"/>
                <w:szCs w:val="20"/>
                <w:lang w:val="en-AU" w:eastAsia="en-US"/>
              </w:rPr>
              <w:t xml:space="preserve">the workplace will be monitored through trainee follow-up surveys and workplace assessments. </w:t>
            </w:r>
          </w:p>
        </w:tc>
      </w:tr>
      <w:tr w:rsidR="00F71871" w:rsidRPr="008F332A" w14:paraId="79297CD2" w14:textId="77777777" w:rsidTr="003A2CCC">
        <w:trPr>
          <w:trHeight w:val="340"/>
        </w:trPr>
        <w:tc>
          <w:tcPr>
            <w:tcW w:w="877" w:type="pct"/>
            <w:vMerge/>
          </w:tcPr>
          <w:p w14:paraId="57371EC1" w14:textId="77777777" w:rsidR="002F13CB" w:rsidRPr="008F332A" w:rsidRDefault="002F13CB" w:rsidP="003A2CCC">
            <w:pPr>
              <w:pStyle w:val="tablebullets"/>
              <w:spacing w:after="0"/>
              <w:rPr>
                <w:rFonts w:cstheme="minorHAnsi"/>
              </w:rPr>
            </w:pPr>
          </w:p>
        </w:tc>
        <w:tc>
          <w:tcPr>
            <w:tcW w:w="1661" w:type="pct"/>
          </w:tcPr>
          <w:p w14:paraId="78A3AF2C" w14:textId="47A6A8F6" w:rsidR="002F13CB" w:rsidRPr="008F332A" w:rsidRDefault="002F13CB" w:rsidP="003A2CCC">
            <w:pPr>
              <w:pStyle w:val="ListParagraph"/>
              <w:ind w:left="0" w:firstLine="0"/>
              <w:contextualSpacing w:val="0"/>
              <w:rPr>
                <w:rFonts w:eastAsiaTheme="minorHAnsi" w:cstheme="minorHAnsi"/>
                <w:sz w:val="20"/>
                <w:szCs w:val="20"/>
                <w:lang w:val="en-AU" w:eastAsia="en-US"/>
              </w:rPr>
            </w:pPr>
            <w:r w:rsidRPr="008F332A">
              <w:rPr>
                <w:rFonts w:eastAsiaTheme="minorHAnsi" w:cstheme="minorHAnsi"/>
                <w:sz w:val="20"/>
                <w:szCs w:val="20"/>
                <w:lang w:val="en-AU" w:eastAsia="en-US"/>
              </w:rPr>
              <w:t>Government institutions are willing to engage on EVAW</w:t>
            </w:r>
            <w:r w:rsidR="0098140D">
              <w:rPr>
                <w:rFonts w:eastAsiaTheme="minorHAnsi" w:cstheme="minorHAnsi"/>
                <w:sz w:val="20"/>
                <w:szCs w:val="20"/>
                <w:lang w:val="en-AU" w:eastAsia="en-US"/>
              </w:rPr>
              <w:t>.</w:t>
            </w:r>
          </w:p>
        </w:tc>
        <w:tc>
          <w:tcPr>
            <w:tcW w:w="2462" w:type="pct"/>
          </w:tcPr>
          <w:p w14:paraId="3A841BC1" w14:textId="77777777" w:rsidR="002F13CB" w:rsidRPr="008F332A" w:rsidRDefault="00841DC0" w:rsidP="003A2CCC">
            <w:pPr>
              <w:pStyle w:val="ListParagraph"/>
              <w:ind w:left="0" w:firstLine="0"/>
              <w:contextualSpacing w:val="0"/>
              <w:rPr>
                <w:rFonts w:eastAsiaTheme="minorHAnsi" w:cstheme="minorHAnsi"/>
                <w:sz w:val="20"/>
                <w:szCs w:val="20"/>
                <w:lang w:val="en-AU" w:eastAsia="en-US"/>
              </w:rPr>
            </w:pPr>
            <w:r w:rsidRPr="008F332A">
              <w:rPr>
                <w:rFonts w:eastAsiaTheme="minorHAnsi" w:cstheme="minorHAnsi"/>
                <w:sz w:val="20"/>
                <w:szCs w:val="20"/>
                <w:lang w:val="en-AU" w:eastAsia="en-US"/>
              </w:rPr>
              <w:t xml:space="preserve">Engagement of key GoTL agencies will be monitored against the </w:t>
            </w:r>
            <w:r w:rsidR="0044072C" w:rsidRPr="008F332A">
              <w:rPr>
                <w:rFonts w:eastAsiaTheme="minorHAnsi" w:cstheme="minorHAnsi"/>
                <w:sz w:val="20"/>
                <w:szCs w:val="20"/>
                <w:lang w:val="en-AU" w:eastAsia="en-US"/>
              </w:rPr>
              <w:t xml:space="preserve">Nabilan </w:t>
            </w:r>
            <w:r w:rsidRPr="008F332A">
              <w:rPr>
                <w:rFonts w:eastAsiaTheme="minorHAnsi" w:cstheme="minorHAnsi"/>
                <w:sz w:val="20"/>
                <w:szCs w:val="20"/>
                <w:lang w:val="en-AU" w:eastAsia="en-US"/>
              </w:rPr>
              <w:t>E</w:t>
            </w:r>
            <w:r w:rsidR="0044072C" w:rsidRPr="008F332A">
              <w:rPr>
                <w:rFonts w:eastAsiaTheme="minorHAnsi" w:cstheme="minorHAnsi"/>
                <w:sz w:val="20"/>
                <w:szCs w:val="20"/>
                <w:lang w:val="en-AU" w:eastAsia="en-US"/>
              </w:rPr>
              <w:t xml:space="preserve">ngagement </w:t>
            </w:r>
            <w:r w:rsidRPr="008F332A">
              <w:rPr>
                <w:rFonts w:eastAsiaTheme="minorHAnsi" w:cstheme="minorHAnsi"/>
                <w:sz w:val="20"/>
                <w:szCs w:val="20"/>
                <w:lang w:val="en-AU" w:eastAsia="en-US"/>
              </w:rPr>
              <w:t>S</w:t>
            </w:r>
            <w:r w:rsidR="0044072C" w:rsidRPr="008F332A">
              <w:rPr>
                <w:rFonts w:eastAsiaTheme="minorHAnsi" w:cstheme="minorHAnsi"/>
                <w:sz w:val="20"/>
                <w:szCs w:val="20"/>
                <w:lang w:val="en-AU" w:eastAsia="en-US"/>
              </w:rPr>
              <w:t>trategy.</w:t>
            </w:r>
          </w:p>
        </w:tc>
      </w:tr>
    </w:tbl>
    <w:p w14:paraId="47A68FF5" w14:textId="77777777" w:rsidR="00992252" w:rsidRPr="008F332A" w:rsidRDefault="00992252" w:rsidP="003A2CCC">
      <w:pPr>
        <w:rPr>
          <w:rFonts w:cstheme="minorHAnsi"/>
        </w:rPr>
      </w:pPr>
    </w:p>
    <w:p w14:paraId="5BED73A8" w14:textId="77777777" w:rsidR="00ED6685" w:rsidRPr="008F332A" w:rsidRDefault="00ED6685" w:rsidP="003A2CCC">
      <w:pPr>
        <w:pStyle w:val="Heading2"/>
        <w:numPr>
          <w:ilvl w:val="1"/>
          <w:numId w:val="19"/>
        </w:numPr>
        <w:jc w:val="both"/>
        <w:rPr>
          <w:rFonts w:asciiTheme="minorHAnsi" w:hAnsiTheme="minorHAnsi" w:cstheme="minorHAnsi"/>
          <w:color w:val="002D88" w:themeColor="accent6" w:themeTint="E6"/>
        </w:rPr>
      </w:pPr>
      <w:bookmarkStart w:id="16" w:name="_Toc517960096"/>
      <w:r w:rsidRPr="008F332A">
        <w:rPr>
          <w:rFonts w:asciiTheme="minorHAnsi" w:hAnsiTheme="minorHAnsi" w:cstheme="minorHAnsi"/>
          <w:color w:val="002D88" w:themeColor="accent6" w:themeTint="E6"/>
        </w:rPr>
        <w:t>Risks</w:t>
      </w:r>
      <w:bookmarkEnd w:id="16"/>
    </w:p>
    <w:p w14:paraId="3F7AE313" w14:textId="77777777" w:rsidR="00992252" w:rsidRPr="008F332A" w:rsidRDefault="00992252" w:rsidP="003A2CCC">
      <w:pPr>
        <w:rPr>
          <w:rFonts w:cstheme="minorHAnsi"/>
          <w:color w:val="000000" w:themeColor="text1"/>
        </w:rPr>
      </w:pPr>
      <w:r w:rsidRPr="008F332A">
        <w:rPr>
          <w:rFonts w:cstheme="minorHAnsi"/>
          <w:color w:val="000000" w:themeColor="text1"/>
        </w:rPr>
        <w:t>Nabilan’s Risk Management Plan documents the potential risks associated with implementation and achievement of outcomes</w:t>
      </w:r>
      <w:r w:rsidR="003D5A9F" w:rsidRPr="008F332A">
        <w:rPr>
          <w:rFonts w:cstheme="minorHAnsi"/>
          <w:color w:val="000000" w:themeColor="text1"/>
        </w:rPr>
        <w:t>,</w:t>
      </w:r>
      <w:r w:rsidR="00F71871" w:rsidRPr="008F332A">
        <w:rPr>
          <w:rFonts w:cstheme="minorHAnsi"/>
          <w:color w:val="000000" w:themeColor="text1"/>
        </w:rPr>
        <w:t xml:space="preserve"> </w:t>
      </w:r>
      <w:r w:rsidR="003D5A9F" w:rsidRPr="008F332A">
        <w:rPr>
          <w:rFonts w:cstheme="minorHAnsi"/>
          <w:color w:val="000000" w:themeColor="text1"/>
        </w:rPr>
        <w:t>and identifies mitigation strategies</w:t>
      </w:r>
      <w:r w:rsidRPr="008F332A">
        <w:rPr>
          <w:rFonts w:cstheme="minorHAnsi"/>
          <w:color w:val="000000" w:themeColor="text1"/>
        </w:rPr>
        <w:t xml:space="preserve">. This covers all fiduciary, political, relationship, managerial, environmental and security risks. These are monitored and updated regularly, with any issues reported to </w:t>
      </w:r>
      <w:r w:rsidR="00A3673D" w:rsidRPr="008F332A">
        <w:rPr>
          <w:rFonts w:cstheme="minorHAnsi"/>
          <w:color w:val="000000" w:themeColor="text1"/>
        </w:rPr>
        <w:t xml:space="preserve">the </w:t>
      </w:r>
      <w:r w:rsidRPr="008F332A">
        <w:rPr>
          <w:rFonts w:cstheme="minorHAnsi"/>
          <w:color w:val="000000" w:themeColor="text1"/>
        </w:rPr>
        <w:t xml:space="preserve">Australian Embassy in Timor-Leste through regular meetings. </w:t>
      </w:r>
      <w:r w:rsidR="004A6A18" w:rsidRPr="008F332A">
        <w:rPr>
          <w:rFonts w:cstheme="minorHAnsi"/>
          <w:color w:val="000000" w:themeColor="text1"/>
        </w:rPr>
        <w:t xml:space="preserve">A Risk Matrix with attendant mitigation strategies is appended at </w:t>
      </w:r>
      <w:r w:rsidR="004A6A18" w:rsidRPr="00423871">
        <w:rPr>
          <w:rFonts w:cstheme="minorHAnsi"/>
          <w:b/>
          <w:color w:val="000000" w:themeColor="text1"/>
        </w:rPr>
        <w:t xml:space="preserve">Annex </w:t>
      </w:r>
      <w:r w:rsidR="009965E7" w:rsidRPr="00423871">
        <w:rPr>
          <w:rFonts w:cstheme="minorHAnsi"/>
          <w:b/>
          <w:color w:val="000000" w:themeColor="text1"/>
        </w:rPr>
        <w:t>4</w:t>
      </w:r>
      <w:r w:rsidR="004A6A18" w:rsidRPr="008F332A">
        <w:rPr>
          <w:rFonts w:cstheme="minorHAnsi"/>
          <w:color w:val="000000" w:themeColor="text1"/>
        </w:rPr>
        <w:t>.</w:t>
      </w:r>
      <w:r w:rsidR="00A34509">
        <w:rPr>
          <w:rFonts w:cstheme="minorHAnsi"/>
          <w:color w:val="000000" w:themeColor="text1"/>
        </w:rPr>
        <w:t xml:space="preserve"> Key</w:t>
      </w:r>
      <w:r w:rsidRPr="008F332A">
        <w:rPr>
          <w:rFonts w:cstheme="minorHAnsi"/>
          <w:color w:val="000000" w:themeColor="text1"/>
        </w:rPr>
        <w:t xml:space="preserve"> risks </w:t>
      </w:r>
      <w:r w:rsidR="00BB6FA0">
        <w:rPr>
          <w:rFonts w:cstheme="minorHAnsi"/>
          <w:color w:val="000000" w:themeColor="text1"/>
        </w:rPr>
        <w:t xml:space="preserve">to program implementation </w:t>
      </w:r>
      <w:r w:rsidRPr="008F332A">
        <w:rPr>
          <w:rFonts w:cstheme="minorHAnsi"/>
          <w:color w:val="000000" w:themeColor="text1"/>
        </w:rPr>
        <w:t>that may impact</w:t>
      </w:r>
      <w:r w:rsidR="00A30A82" w:rsidRPr="008F332A">
        <w:rPr>
          <w:rFonts w:cstheme="minorHAnsi"/>
          <w:color w:val="000000" w:themeColor="text1"/>
        </w:rPr>
        <w:t xml:space="preserve"> the pathways of change identified in the TOC, and mitigation strategies, </w:t>
      </w:r>
      <w:r w:rsidRPr="008F332A">
        <w:rPr>
          <w:rFonts w:cstheme="minorHAnsi"/>
          <w:color w:val="000000" w:themeColor="text1"/>
        </w:rPr>
        <w:t>are detailed in</w:t>
      </w:r>
      <w:r w:rsidR="002C31F8" w:rsidRPr="008F332A">
        <w:rPr>
          <w:rFonts w:cstheme="minorHAnsi"/>
          <w:color w:val="000000" w:themeColor="text1"/>
        </w:rPr>
        <w:t xml:space="preserve"> Table 2</w:t>
      </w:r>
      <w:r w:rsidR="009A2003" w:rsidRPr="008F332A">
        <w:rPr>
          <w:rFonts w:cstheme="minorHAnsi"/>
          <w:color w:val="000000" w:themeColor="text1"/>
        </w:rPr>
        <w:t xml:space="preserve">. </w:t>
      </w:r>
    </w:p>
    <w:p w14:paraId="68663115" w14:textId="573F5A00" w:rsidR="009A2003" w:rsidRPr="008F332A" w:rsidRDefault="009A2003" w:rsidP="003A2CCC">
      <w:pPr>
        <w:pStyle w:val="Caption"/>
        <w:rPr>
          <w:rFonts w:asciiTheme="minorHAnsi" w:hAnsiTheme="minorHAnsi" w:cstheme="minorHAnsi"/>
          <w:b w:val="0"/>
          <w:color w:val="002D88" w:themeColor="accent6" w:themeTint="E6"/>
          <w:sz w:val="22"/>
          <w:szCs w:val="22"/>
        </w:rPr>
      </w:pPr>
      <w:bookmarkStart w:id="17" w:name="_Ref514052459"/>
      <w:r w:rsidRPr="008F332A">
        <w:rPr>
          <w:rFonts w:asciiTheme="minorHAnsi" w:hAnsiTheme="minorHAnsi" w:cstheme="minorHAnsi"/>
          <w:b w:val="0"/>
          <w:color w:val="002D88" w:themeColor="accent6" w:themeTint="E6"/>
          <w:sz w:val="22"/>
          <w:szCs w:val="22"/>
        </w:rPr>
        <w:t xml:space="preserve">Table </w:t>
      </w:r>
      <w:r w:rsidRPr="008F332A">
        <w:rPr>
          <w:rFonts w:asciiTheme="minorHAnsi" w:hAnsiTheme="minorHAnsi" w:cstheme="minorHAnsi"/>
          <w:b w:val="0"/>
          <w:color w:val="002D88" w:themeColor="accent6" w:themeTint="E6"/>
          <w:sz w:val="22"/>
          <w:szCs w:val="22"/>
        </w:rPr>
        <w:fldChar w:fldCharType="begin"/>
      </w:r>
      <w:r w:rsidRPr="008F332A">
        <w:rPr>
          <w:rFonts w:asciiTheme="minorHAnsi" w:hAnsiTheme="minorHAnsi" w:cstheme="minorHAnsi"/>
          <w:b w:val="0"/>
          <w:color w:val="002D88" w:themeColor="accent6" w:themeTint="E6"/>
          <w:sz w:val="22"/>
          <w:szCs w:val="22"/>
        </w:rPr>
        <w:instrText xml:space="preserve"> SEQ Table \* ARABIC </w:instrText>
      </w:r>
      <w:r w:rsidRPr="008F332A">
        <w:rPr>
          <w:rFonts w:asciiTheme="minorHAnsi" w:hAnsiTheme="minorHAnsi" w:cstheme="minorHAnsi"/>
          <w:b w:val="0"/>
          <w:color w:val="002D88" w:themeColor="accent6" w:themeTint="E6"/>
          <w:sz w:val="22"/>
          <w:szCs w:val="22"/>
        </w:rPr>
        <w:fldChar w:fldCharType="separate"/>
      </w:r>
      <w:r w:rsidR="0082402C">
        <w:rPr>
          <w:rFonts w:asciiTheme="minorHAnsi" w:hAnsiTheme="minorHAnsi" w:cstheme="minorHAnsi"/>
          <w:b w:val="0"/>
          <w:noProof/>
          <w:color w:val="002D88" w:themeColor="accent6" w:themeTint="E6"/>
          <w:sz w:val="22"/>
          <w:szCs w:val="22"/>
        </w:rPr>
        <w:t>2</w:t>
      </w:r>
      <w:r w:rsidRPr="008F332A">
        <w:rPr>
          <w:rFonts w:asciiTheme="minorHAnsi" w:hAnsiTheme="minorHAnsi" w:cstheme="minorHAnsi"/>
          <w:b w:val="0"/>
          <w:color w:val="002D88" w:themeColor="accent6" w:themeTint="E6"/>
          <w:sz w:val="22"/>
          <w:szCs w:val="22"/>
        </w:rPr>
        <w:fldChar w:fldCharType="end"/>
      </w:r>
      <w:bookmarkEnd w:id="17"/>
      <w:r w:rsidR="002C31F8" w:rsidRPr="008F332A">
        <w:rPr>
          <w:rFonts w:asciiTheme="minorHAnsi" w:hAnsiTheme="minorHAnsi" w:cstheme="minorHAnsi"/>
          <w:b w:val="0"/>
          <w:color w:val="002D88" w:themeColor="accent6" w:themeTint="E6"/>
          <w:sz w:val="22"/>
          <w:szCs w:val="22"/>
        </w:rPr>
        <w:t>:</w:t>
      </w:r>
      <w:r w:rsidRPr="008F332A">
        <w:rPr>
          <w:rFonts w:asciiTheme="minorHAnsi" w:hAnsiTheme="minorHAnsi" w:cstheme="minorHAnsi"/>
          <w:b w:val="0"/>
          <w:color w:val="002D88" w:themeColor="accent6" w:themeTint="E6"/>
          <w:sz w:val="22"/>
          <w:szCs w:val="22"/>
        </w:rPr>
        <w:t xml:space="preserve"> Risks to program implementation</w:t>
      </w:r>
    </w:p>
    <w:tbl>
      <w:tblPr>
        <w:tblStyle w:val="CardnoTableNavy"/>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045"/>
        <w:gridCol w:w="2498"/>
        <w:gridCol w:w="6044"/>
      </w:tblGrid>
      <w:tr w:rsidR="00F71871" w:rsidRPr="008F332A" w14:paraId="66DA46F9" w14:textId="77777777" w:rsidTr="003A2CCC">
        <w:trPr>
          <w:cnfStyle w:val="100000000000" w:firstRow="1" w:lastRow="0" w:firstColumn="0" w:lastColumn="0" w:oddVBand="0" w:evenVBand="0" w:oddHBand="0" w:evenHBand="0" w:firstRowFirstColumn="0" w:firstRowLastColumn="0" w:lastRowFirstColumn="0" w:lastRowLastColumn="0"/>
          <w:trHeight w:val="312"/>
        </w:trPr>
        <w:tc>
          <w:tcPr>
            <w:tcW w:w="545" w:type="pct"/>
            <w:shd w:val="clear" w:color="auto" w:fill="99CCFF"/>
            <w:vAlign w:val="center"/>
          </w:tcPr>
          <w:p w14:paraId="3375E306" w14:textId="77777777" w:rsidR="00992252" w:rsidRPr="008F332A" w:rsidRDefault="00992252" w:rsidP="003A2CCC">
            <w:pPr>
              <w:rPr>
                <w:rFonts w:cstheme="minorHAnsi"/>
                <w:b/>
                <w:color w:val="auto"/>
              </w:rPr>
            </w:pPr>
            <w:r w:rsidRPr="008F332A">
              <w:rPr>
                <w:rFonts w:cstheme="minorHAnsi"/>
                <w:b/>
                <w:color w:val="auto"/>
              </w:rPr>
              <w:t xml:space="preserve">Category </w:t>
            </w:r>
          </w:p>
        </w:tc>
        <w:tc>
          <w:tcPr>
            <w:tcW w:w="1303" w:type="pct"/>
            <w:shd w:val="clear" w:color="auto" w:fill="99CCFF"/>
            <w:vAlign w:val="center"/>
          </w:tcPr>
          <w:p w14:paraId="4C932257" w14:textId="77777777" w:rsidR="00992252" w:rsidRPr="008F332A" w:rsidRDefault="00992252" w:rsidP="003A2CCC">
            <w:pPr>
              <w:rPr>
                <w:rFonts w:cstheme="minorHAnsi"/>
                <w:b/>
                <w:color w:val="auto"/>
              </w:rPr>
            </w:pPr>
            <w:r w:rsidRPr="008F332A">
              <w:rPr>
                <w:rFonts w:cstheme="minorHAnsi"/>
                <w:b/>
                <w:color w:val="auto"/>
              </w:rPr>
              <w:t>Risk</w:t>
            </w:r>
          </w:p>
        </w:tc>
        <w:tc>
          <w:tcPr>
            <w:tcW w:w="3153" w:type="pct"/>
            <w:shd w:val="clear" w:color="auto" w:fill="99CCFF"/>
            <w:vAlign w:val="center"/>
          </w:tcPr>
          <w:p w14:paraId="4399302F" w14:textId="77777777" w:rsidR="00992252" w:rsidRPr="008F332A" w:rsidRDefault="00992252" w:rsidP="003A2CCC">
            <w:pPr>
              <w:rPr>
                <w:rFonts w:cstheme="minorHAnsi"/>
                <w:b/>
                <w:color w:val="auto"/>
              </w:rPr>
            </w:pPr>
            <w:r w:rsidRPr="008F332A">
              <w:rPr>
                <w:rFonts w:cstheme="minorHAnsi"/>
                <w:b/>
                <w:color w:val="auto"/>
              </w:rPr>
              <w:t>Mitigation Strategy</w:t>
            </w:r>
          </w:p>
        </w:tc>
      </w:tr>
      <w:tr w:rsidR="00F71871" w:rsidRPr="008F332A" w14:paraId="7297CD1D" w14:textId="77777777" w:rsidTr="003A2CCC">
        <w:tc>
          <w:tcPr>
            <w:tcW w:w="545" w:type="pct"/>
            <w:vMerge w:val="restart"/>
          </w:tcPr>
          <w:p w14:paraId="5EE1BEBC" w14:textId="77777777" w:rsidR="004A120B" w:rsidRPr="008F332A" w:rsidRDefault="004A120B" w:rsidP="003A2CCC">
            <w:pPr>
              <w:rPr>
                <w:rFonts w:cstheme="minorHAnsi"/>
              </w:rPr>
            </w:pPr>
            <w:r w:rsidRPr="008F332A">
              <w:rPr>
                <w:rFonts w:cstheme="minorHAnsi"/>
              </w:rPr>
              <w:t>Resources</w:t>
            </w:r>
          </w:p>
          <w:p w14:paraId="155F0AF1" w14:textId="77777777" w:rsidR="004A120B" w:rsidRPr="008F332A" w:rsidRDefault="004A120B" w:rsidP="003A2CCC">
            <w:pPr>
              <w:rPr>
                <w:rFonts w:cstheme="minorHAnsi"/>
              </w:rPr>
            </w:pPr>
          </w:p>
        </w:tc>
        <w:tc>
          <w:tcPr>
            <w:tcW w:w="1303" w:type="pct"/>
          </w:tcPr>
          <w:p w14:paraId="7A336E74" w14:textId="77777777" w:rsidR="004A120B" w:rsidRPr="008F332A" w:rsidRDefault="004A120B" w:rsidP="003A2CCC">
            <w:pPr>
              <w:rPr>
                <w:rFonts w:cstheme="minorHAnsi"/>
              </w:rPr>
            </w:pPr>
            <w:r w:rsidRPr="008F332A">
              <w:rPr>
                <w:rFonts w:cstheme="minorHAnsi"/>
              </w:rPr>
              <w:t>Reduction in Nabilan’s funding</w:t>
            </w:r>
          </w:p>
        </w:tc>
        <w:tc>
          <w:tcPr>
            <w:tcW w:w="3153" w:type="pct"/>
          </w:tcPr>
          <w:p w14:paraId="22214D1B" w14:textId="77777777" w:rsidR="004A120B" w:rsidRPr="008F332A" w:rsidRDefault="004A120B" w:rsidP="003A2CCC">
            <w:pPr>
              <w:pStyle w:val="ListParagraph"/>
              <w:numPr>
                <w:ilvl w:val="0"/>
                <w:numId w:val="20"/>
              </w:numPr>
              <w:tabs>
                <w:tab w:val="left" w:pos="314"/>
              </w:tabs>
              <w:ind w:left="312" w:hanging="284"/>
              <w:contextualSpacing w:val="0"/>
              <w:rPr>
                <w:rFonts w:cstheme="minorHAnsi"/>
              </w:rPr>
            </w:pPr>
            <w:r w:rsidRPr="008F332A">
              <w:rPr>
                <w:rFonts w:cstheme="minorHAnsi"/>
              </w:rPr>
              <w:t>The Foundation and DFAT regularly monitor the budget and make flexible contracting decisions together.</w:t>
            </w:r>
          </w:p>
        </w:tc>
      </w:tr>
      <w:tr w:rsidR="00F71871" w:rsidRPr="008F332A" w14:paraId="1161E47C" w14:textId="77777777" w:rsidTr="003A2CCC">
        <w:tc>
          <w:tcPr>
            <w:tcW w:w="545" w:type="pct"/>
            <w:vMerge/>
          </w:tcPr>
          <w:p w14:paraId="44A4B63D" w14:textId="77777777" w:rsidR="004A120B" w:rsidRPr="008F332A" w:rsidRDefault="004A120B" w:rsidP="003A2CCC">
            <w:pPr>
              <w:rPr>
                <w:rFonts w:cstheme="minorHAnsi"/>
              </w:rPr>
            </w:pPr>
          </w:p>
        </w:tc>
        <w:tc>
          <w:tcPr>
            <w:tcW w:w="1303" w:type="pct"/>
          </w:tcPr>
          <w:p w14:paraId="7DF020CB" w14:textId="7D0DF46C" w:rsidR="004A120B" w:rsidRPr="008F332A" w:rsidRDefault="0098140D" w:rsidP="003A2CCC">
            <w:pPr>
              <w:rPr>
                <w:rFonts w:cstheme="minorHAnsi"/>
              </w:rPr>
            </w:pPr>
            <w:r>
              <w:rPr>
                <w:rFonts w:cstheme="minorHAnsi"/>
              </w:rPr>
              <w:t>Nabilan</w:t>
            </w:r>
            <w:r w:rsidR="004A120B" w:rsidRPr="008F332A">
              <w:rPr>
                <w:rFonts w:cstheme="minorHAnsi"/>
              </w:rPr>
              <w:t xml:space="preserve"> can no longer fund certain partners due to internal management problems</w:t>
            </w:r>
          </w:p>
        </w:tc>
        <w:tc>
          <w:tcPr>
            <w:tcW w:w="3153" w:type="pct"/>
          </w:tcPr>
          <w:p w14:paraId="0026F566" w14:textId="77777777" w:rsidR="004A120B" w:rsidRPr="008F332A" w:rsidRDefault="004A120B" w:rsidP="003A2CCC">
            <w:pPr>
              <w:pStyle w:val="ListParagraph"/>
              <w:numPr>
                <w:ilvl w:val="0"/>
                <w:numId w:val="20"/>
              </w:numPr>
              <w:tabs>
                <w:tab w:val="left" w:pos="314"/>
              </w:tabs>
              <w:ind w:left="312" w:hanging="284"/>
              <w:contextualSpacing w:val="0"/>
              <w:rPr>
                <w:rFonts w:cstheme="minorHAnsi"/>
              </w:rPr>
            </w:pPr>
            <w:r w:rsidRPr="008F332A">
              <w:rPr>
                <w:rFonts w:cstheme="minorHAnsi"/>
              </w:rPr>
              <w:t xml:space="preserve">Work with partners to strengthen their organisational, financial and management systems (currently occurring through the OIS). </w:t>
            </w:r>
          </w:p>
          <w:p w14:paraId="71A10206" w14:textId="77777777" w:rsidR="004A120B" w:rsidRPr="008F332A" w:rsidRDefault="004A120B" w:rsidP="003A2CCC">
            <w:pPr>
              <w:pStyle w:val="ListParagraph"/>
              <w:numPr>
                <w:ilvl w:val="0"/>
                <w:numId w:val="20"/>
              </w:numPr>
              <w:tabs>
                <w:tab w:val="left" w:pos="314"/>
              </w:tabs>
              <w:ind w:left="312" w:hanging="284"/>
              <w:contextualSpacing w:val="0"/>
              <w:rPr>
                <w:rFonts w:cstheme="minorHAnsi"/>
              </w:rPr>
            </w:pPr>
            <w:r w:rsidRPr="008F332A">
              <w:rPr>
                <w:rFonts w:cstheme="minorHAnsi"/>
              </w:rPr>
              <w:t xml:space="preserve">Address any issues with the partner at the earliest opportunity. </w:t>
            </w:r>
          </w:p>
          <w:p w14:paraId="48D79452" w14:textId="77777777" w:rsidR="004A120B" w:rsidRPr="008F332A" w:rsidRDefault="004A120B" w:rsidP="003A2CCC">
            <w:pPr>
              <w:pStyle w:val="ListParagraph"/>
              <w:numPr>
                <w:ilvl w:val="0"/>
                <w:numId w:val="20"/>
              </w:numPr>
              <w:tabs>
                <w:tab w:val="left" w:pos="314"/>
              </w:tabs>
              <w:ind w:left="312" w:hanging="284"/>
              <w:contextualSpacing w:val="0"/>
              <w:rPr>
                <w:rFonts w:cstheme="minorHAnsi"/>
              </w:rPr>
            </w:pPr>
            <w:r w:rsidRPr="008F332A">
              <w:rPr>
                <w:rFonts w:cstheme="minorHAnsi"/>
              </w:rPr>
              <w:t xml:space="preserve">Provide partners with clear guidelines on the Foundations expectations. </w:t>
            </w:r>
          </w:p>
        </w:tc>
      </w:tr>
      <w:tr w:rsidR="00F71871" w:rsidRPr="008F332A" w14:paraId="5F1F40C2" w14:textId="77777777" w:rsidTr="003A2CCC">
        <w:tc>
          <w:tcPr>
            <w:tcW w:w="545" w:type="pct"/>
            <w:vMerge/>
          </w:tcPr>
          <w:p w14:paraId="73872297" w14:textId="77777777" w:rsidR="004A120B" w:rsidRPr="008F332A" w:rsidRDefault="004A120B" w:rsidP="003A2CCC">
            <w:pPr>
              <w:rPr>
                <w:rFonts w:cstheme="minorHAnsi"/>
              </w:rPr>
            </w:pPr>
          </w:p>
        </w:tc>
        <w:tc>
          <w:tcPr>
            <w:tcW w:w="1303" w:type="pct"/>
          </w:tcPr>
          <w:p w14:paraId="2246E7E1" w14:textId="77777777" w:rsidR="004A120B" w:rsidRPr="008F332A" w:rsidRDefault="004A120B" w:rsidP="003A2CCC">
            <w:pPr>
              <w:rPr>
                <w:rFonts w:cstheme="minorHAnsi"/>
              </w:rPr>
            </w:pPr>
            <w:r w:rsidRPr="008F332A">
              <w:rPr>
                <w:rFonts w:cstheme="minorHAnsi"/>
              </w:rPr>
              <w:t>A limited pool of people with the right skills to deliver the Nabilan Program</w:t>
            </w:r>
          </w:p>
        </w:tc>
        <w:tc>
          <w:tcPr>
            <w:tcW w:w="3153" w:type="pct"/>
          </w:tcPr>
          <w:p w14:paraId="153A614E" w14:textId="77777777" w:rsidR="004A120B" w:rsidRPr="008F332A" w:rsidRDefault="004A120B" w:rsidP="003A2CCC">
            <w:pPr>
              <w:pStyle w:val="ListParagraph"/>
              <w:numPr>
                <w:ilvl w:val="0"/>
                <w:numId w:val="20"/>
              </w:numPr>
              <w:tabs>
                <w:tab w:val="left" w:pos="314"/>
              </w:tabs>
              <w:ind w:left="312" w:hanging="284"/>
              <w:contextualSpacing w:val="0"/>
              <w:rPr>
                <w:rFonts w:cstheme="minorHAnsi"/>
              </w:rPr>
            </w:pPr>
            <w:r w:rsidRPr="008F332A">
              <w:rPr>
                <w:rFonts w:cstheme="minorHAnsi"/>
              </w:rPr>
              <w:t xml:space="preserve">Establish a system for ongoing mentoring of team members with experience. </w:t>
            </w:r>
          </w:p>
          <w:p w14:paraId="7BB3BA82" w14:textId="77777777" w:rsidR="004A120B" w:rsidRPr="008F332A" w:rsidRDefault="004A120B" w:rsidP="003A2CCC">
            <w:pPr>
              <w:pStyle w:val="ListParagraph"/>
              <w:numPr>
                <w:ilvl w:val="0"/>
                <w:numId w:val="20"/>
              </w:numPr>
              <w:tabs>
                <w:tab w:val="left" w:pos="314"/>
              </w:tabs>
              <w:ind w:left="312" w:hanging="284"/>
              <w:contextualSpacing w:val="0"/>
              <w:rPr>
                <w:rFonts w:cstheme="minorHAnsi"/>
              </w:rPr>
            </w:pPr>
            <w:r w:rsidRPr="008F332A">
              <w:rPr>
                <w:rFonts w:cstheme="minorHAnsi"/>
              </w:rPr>
              <w:t xml:space="preserve">Include options for short-term technical assistance to mentor national staff. </w:t>
            </w:r>
          </w:p>
          <w:p w14:paraId="390710E0" w14:textId="77777777" w:rsidR="004A120B" w:rsidRPr="008F332A" w:rsidRDefault="004A120B" w:rsidP="003A2CCC">
            <w:pPr>
              <w:pStyle w:val="ListParagraph"/>
              <w:numPr>
                <w:ilvl w:val="0"/>
                <w:numId w:val="20"/>
              </w:numPr>
              <w:tabs>
                <w:tab w:val="left" w:pos="314"/>
              </w:tabs>
              <w:ind w:left="312" w:hanging="284"/>
              <w:contextualSpacing w:val="0"/>
              <w:rPr>
                <w:rFonts w:cstheme="minorHAnsi"/>
              </w:rPr>
            </w:pPr>
            <w:r w:rsidRPr="008F332A">
              <w:rPr>
                <w:rFonts w:cstheme="minorHAnsi"/>
              </w:rPr>
              <w:t>Implement strategies to retain existing skilled staff.</w:t>
            </w:r>
          </w:p>
        </w:tc>
      </w:tr>
      <w:tr w:rsidR="00F71871" w:rsidRPr="008F332A" w14:paraId="561747FD" w14:textId="77777777" w:rsidTr="003A2CCC">
        <w:tc>
          <w:tcPr>
            <w:tcW w:w="545" w:type="pct"/>
            <w:vMerge w:val="restart"/>
          </w:tcPr>
          <w:p w14:paraId="4D043515" w14:textId="77777777" w:rsidR="004A120B" w:rsidRPr="008F332A" w:rsidRDefault="004A120B" w:rsidP="003A2CCC">
            <w:pPr>
              <w:rPr>
                <w:rFonts w:cstheme="minorHAnsi"/>
              </w:rPr>
            </w:pPr>
            <w:r w:rsidRPr="008F332A">
              <w:rPr>
                <w:rFonts w:cstheme="minorHAnsi"/>
              </w:rPr>
              <w:t>Political</w:t>
            </w:r>
          </w:p>
          <w:p w14:paraId="357541F8" w14:textId="77777777" w:rsidR="004A120B" w:rsidRPr="008F332A" w:rsidRDefault="004A120B" w:rsidP="003A2CCC">
            <w:pPr>
              <w:rPr>
                <w:rFonts w:cstheme="minorHAnsi"/>
              </w:rPr>
            </w:pPr>
          </w:p>
        </w:tc>
        <w:tc>
          <w:tcPr>
            <w:tcW w:w="1303" w:type="pct"/>
          </w:tcPr>
          <w:p w14:paraId="6E708AAD" w14:textId="77777777" w:rsidR="004A120B" w:rsidRPr="008F332A" w:rsidRDefault="004A120B" w:rsidP="003A2CCC">
            <w:pPr>
              <w:rPr>
                <w:rFonts w:cstheme="minorHAnsi"/>
              </w:rPr>
            </w:pPr>
            <w:r w:rsidRPr="008F332A">
              <w:rPr>
                <w:rFonts w:cstheme="minorHAnsi"/>
              </w:rPr>
              <w:t>Other actors implement poor quality prevention initiatives</w:t>
            </w:r>
          </w:p>
        </w:tc>
        <w:tc>
          <w:tcPr>
            <w:tcW w:w="3153" w:type="pct"/>
          </w:tcPr>
          <w:p w14:paraId="6E8508E7" w14:textId="77777777" w:rsidR="004A120B" w:rsidRPr="008F332A" w:rsidRDefault="004A120B" w:rsidP="003A2CCC">
            <w:pPr>
              <w:pStyle w:val="ListParagraph"/>
              <w:numPr>
                <w:ilvl w:val="0"/>
                <w:numId w:val="20"/>
              </w:numPr>
              <w:tabs>
                <w:tab w:val="left" w:pos="314"/>
              </w:tabs>
              <w:ind w:left="312" w:hanging="284"/>
              <w:contextualSpacing w:val="0"/>
              <w:rPr>
                <w:rFonts w:cstheme="minorHAnsi"/>
              </w:rPr>
            </w:pPr>
            <w:r w:rsidRPr="008F332A">
              <w:rPr>
                <w:rFonts w:cstheme="minorHAnsi"/>
              </w:rPr>
              <w:t>Support the publication of robust, credible evidence.</w:t>
            </w:r>
          </w:p>
          <w:p w14:paraId="00B38214" w14:textId="77777777" w:rsidR="004A120B" w:rsidRPr="008F332A" w:rsidRDefault="004A120B" w:rsidP="003A2CCC">
            <w:pPr>
              <w:pStyle w:val="ListParagraph"/>
              <w:numPr>
                <w:ilvl w:val="0"/>
                <w:numId w:val="20"/>
              </w:numPr>
              <w:tabs>
                <w:tab w:val="left" w:pos="314"/>
              </w:tabs>
              <w:ind w:left="312" w:hanging="284"/>
              <w:contextualSpacing w:val="0"/>
              <w:rPr>
                <w:rFonts w:cstheme="minorHAnsi"/>
              </w:rPr>
            </w:pPr>
            <w:r w:rsidRPr="008F332A">
              <w:rPr>
                <w:rFonts w:cstheme="minorHAnsi"/>
              </w:rPr>
              <w:t>Be available for others doing prevention to discuss their approaches.</w:t>
            </w:r>
          </w:p>
          <w:p w14:paraId="0191EBFF" w14:textId="77777777" w:rsidR="004A120B" w:rsidRPr="008F332A" w:rsidRDefault="004A120B" w:rsidP="003A2CCC">
            <w:pPr>
              <w:pStyle w:val="ListParagraph"/>
              <w:numPr>
                <w:ilvl w:val="0"/>
                <w:numId w:val="20"/>
              </w:numPr>
              <w:tabs>
                <w:tab w:val="left" w:pos="314"/>
              </w:tabs>
              <w:ind w:left="312" w:hanging="284"/>
              <w:contextualSpacing w:val="0"/>
              <w:rPr>
                <w:rFonts w:cstheme="minorHAnsi"/>
              </w:rPr>
            </w:pPr>
            <w:r w:rsidRPr="008F332A">
              <w:rPr>
                <w:rFonts w:cstheme="minorHAnsi"/>
              </w:rPr>
              <w:t>Work in coalition with like-minded organisations utili</w:t>
            </w:r>
            <w:r w:rsidR="00841DC0" w:rsidRPr="008F332A">
              <w:rPr>
                <w:rFonts w:cstheme="minorHAnsi"/>
              </w:rPr>
              <w:t>s</w:t>
            </w:r>
            <w:r w:rsidRPr="008F332A">
              <w:rPr>
                <w:rFonts w:cstheme="minorHAnsi"/>
              </w:rPr>
              <w:t>ing a social norms change approach, including through the change ambassadors, independent feminist movement, other Australian aid investment programs and informal gender discussion group.</w:t>
            </w:r>
          </w:p>
        </w:tc>
      </w:tr>
      <w:tr w:rsidR="00F71871" w:rsidRPr="008F332A" w14:paraId="5B19BD4D" w14:textId="77777777" w:rsidTr="003A2CCC">
        <w:tc>
          <w:tcPr>
            <w:tcW w:w="545" w:type="pct"/>
            <w:vMerge/>
          </w:tcPr>
          <w:p w14:paraId="56319CA5" w14:textId="77777777" w:rsidR="004A120B" w:rsidRPr="008F332A" w:rsidRDefault="004A120B" w:rsidP="003A2CCC">
            <w:pPr>
              <w:rPr>
                <w:rFonts w:cstheme="minorHAnsi"/>
              </w:rPr>
            </w:pPr>
          </w:p>
        </w:tc>
        <w:tc>
          <w:tcPr>
            <w:tcW w:w="1303" w:type="pct"/>
          </w:tcPr>
          <w:p w14:paraId="48534E77" w14:textId="77777777" w:rsidR="004A120B" w:rsidRPr="008F332A" w:rsidRDefault="004A120B" w:rsidP="003A2CCC">
            <w:pPr>
              <w:rPr>
                <w:rFonts w:cstheme="minorHAnsi"/>
              </w:rPr>
            </w:pPr>
            <w:r w:rsidRPr="008F332A">
              <w:rPr>
                <w:rFonts w:cstheme="minorHAnsi"/>
              </w:rPr>
              <w:t>Backlash towards prevention work</w:t>
            </w:r>
          </w:p>
        </w:tc>
        <w:tc>
          <w:tcPr>
            <w:tcW w:w="3153" w:type="pct"/>
          </w:tcPr>
          <w:p w14:paraId="3EF613FB" w14:textId="77777777" w:rsidR="004A120B" w:rsidRPr="008F332A" w:rsidRDefault="004A120B" w:rsidP="003A2CCC">
            <w:pPr>
              <w:pStyle w:val="ListParagraph"/>
              <w:numPr>
                <w:ilvl w:val="0"/>
                <w:numId w:val="20"/>
              </w:numPr>
              <w:tabs>
                <w:tab w:val="left" w:pos="314"/>
              </w:tabs>
              <w:ind w:left="312" w:hanging="284"/>
              <w:contextualSpacing w:val="0"/>
              <w:rPr>
                <w:rFonts w:cstheme="minorHAnsi"/>
              </w:rPr>
            </w:pPr>
            <w:r w:rsidRPr="008F332A">
              <w:rPr>
                <w:rFonts w:cstheme="minorHAnsi"/>
              </w:rPr>
              <w:t xml:space="preserve">Use positive messaging i.e. focus on promoting positive social norms rather than blaming. </w:t>
            </w:r>
          </w:p>
          <w:p w14:paraId="01695B7B" w14:textId="77777777" w:rsidR="004A120B" w:rsidRPr="008F332A" w:rsidRDefault="004A120B" w:rsidP="003A2CCC">
            <w:pPr>
              <w:pStyle w:val="ListParagraph"/>
              <w:numPr>
                <w:ilvl w:val="0"/>
                <w:numId w:val="20"/>
              </w:numPr>
              <w:tabs>
                <w:tab w:val="left" w:pos="314"/>
              </w:tabs>
              <w:ind w:left="312" w:hanging="284"/>
              <w:contextualSpacing w:val="0"/>
              <w:rPr>
                <w:rFonts w:cstheme="minorHAnsi"/>
              </w:rPr>
            </w:pPr>
            <w:r w:rsidRPr="008F332A">
              <w:rPr>
                <w:rFonts w:cstheme="minorHAnsi"/>
              </w:rPr>
              <w:t>Monitor for any negative attitudes and develop strategies to address these.</w:t>
            </w:r>
          </w:p>
          <w:p w14:paraId="41E72240" w14:textId="77777777" w:rsidR="004A120B" w:rsidRPr="008F332A" w:rsidRDefault="004A120B" w:rsidP="003A2CCC">
            <w:pPr>
              <w:pStyle w:val="ListParagraph"/>
              <w:numPr>
                <w:ilvl w:val="0"/>
                <w:numId w:val="20"/>
              </w:numPr>
              <w:tabs>
                <w:tab w:val="left" w:pos="314"/>
              </w:tabs>
              <w:ind w:left="312" w:hanging="284"/>
              <w:contextualSpacing w:val="0"/>
              <w:rPr>
                <w:rFonts w:cstheme="minorHAnsi"/>
              </w:rPr>
            </w:pPr>
            <w:r w:rsidRPr="008F332A">
              <w:rPr>
                <w:rFonts w:cstheme="minorHAnsi"/>
              </w:rPr>
              <w:t xml:space="preserve">Work closely with local leaders, engage with ‘champions’ within GoTL etc. </w:t>
            </w:r>
          </w:p>
        </w:tc>
      </w:tr>
    </w:tbl>
    <w:p w14:paraId="0580264B" w14:textId="77777777" w:rsidR="004A6A18" w:rsidRPr="008F332A" w:rsidRDefault="004A6A18" w:rsidP="003A2CCC">
      <w:pPr>
        <w:rPr>
          <w:rFonts w:cstheme="minorHAnsi"/>
        </w:rPr>
      </w:pPr>
    </w:p>
    <w:p w14:paraId="2049AD44" w14:textId="77777777" w:rsidR="00390151" w:rsidRPr="008F332A" w:rsidRDefault="002524D0" w:rsidP="003A2CCC">
      <w:pPr>
        <w:pStyle w:val="Heading1"/>
        <w:numPr>
          <w:ilvl w:val="0"/>
          <w:numId w:val="19"/>
        </w:numPr>
        <w:rPr>
          <w:rFonts w:asciiTheme="minorHAnsi" w:hAnsiTheme="minorHAnsi" w:cstheme="minorHAnsi"/>
        </w:rPr>
      </w:pPr>
      <w:bookmarkStart w:id="18" w:name="_Toc517960097"/>
      <w:r w:rsidRPr="008F332A">
        <w:rPr>
          <w:rFonts w:asciiTheme="minorHAnsi" w:hAnsiTheme="minorHAnsi" w:cstheme="minorHAnsi"/>
        </w:rPr>
        <w:t xml:space="preserve">PURPOSE AND SCOPE </w:t>
      </w:r>
      <w:r w:rsidR="00A57781" w:rsidRPr="008F332A">
        <w:rPr>
          <w:rFonts w:asciiTheme="minorHAnsi" w:hAnsiTheme="minorHAnsi" w:cstheme="minorHAnsi"/>
        </w:rPr>
        <w:t xml:space="preserve">OF </w:t>
      </w:r>
      <w:r w:rsidRPr="008F332A">
        <w:rPr>
          <w:rFonts w:asciiTheme="minorHAnsi" w:hAnsiTheme="minorHAnsi" w:cstheme="minorHAnsi"/>
        </w:rPr>
        <w:t xml:space="preserve">THE </w:t>
      </w:r>
      <w:r w:rsidR="00A57781" w:rsidRPr="008F332A">
        <w:rPr>
          <w:rFonts w:asciiTheme="minorHAnsi" w:hAnsiTheme="minorHAnsi" w:cstheme="minorHAnsi"/>
        </w:rPr>
        <w:t>MEL</w:t>
      </w:r>
      <w:r w:rsidR="00047E5C" w:rsidRPr="008F332A">
        <w:rPr>
          <w:rFonts w:asciiTheme="minorHAnsi" w:hAnsiTheme="minorHAnsi" w:cstheme="minorHAnsi"/>
        </w:rPr>
        <w:t>P</w:t>
      </w:r>
      <w:bookmarkEnd w:id="18"/>
    </w:p>
    <w:p w14:paraId="4588CF03" w14:textId="77777777" w:rsidR="004C2959" w:rsidRPr="008F332A" w:rsidRDefault="00390151" w:rsidP="003A2CCC">
      <w:pPr>
        <w:pStyle w:val="Heading2"/>
        <w:numPr>
          <w:ilvl w:val="1"/>
          <w:numId w:val="19"/>
        </w:numPr>
        <w:rPr>
          <w:rFonts w:asciiTheme="minorHAnsi" w:hAnsiTheme="minorHAnsi" w:cstheme="minorHAnsi"/>
          <w:color w:val="002D88" w:themeColor="accent6" w:themeTint="E6"/>
        </w:rPr>
      </w:pPr>
      <w:bookmarkStart w:id="19" w:name="_Toc517960098"/>
      <w:r w:rsidRPr="008F332A">
        <w:rPr>
          <w:rFonts w:asciiTheme="minorHAnsi" w:hAnsiTheme="minorHAnsi" w:cstheme="minorHAnsi"/>
          <w:color w:val="002D88" w:themeColor="accent6" w:themeTint="E6"/>
        </w:rPr>
        <w:t>Purpose</w:t>
      </w:r>
      <w:r w:rsidR="00681483" w:rsidRPr="008F332A">
        <w:rPr>
          <w:rFonts w:asciiTheme="minorHAnsi" w:hAnsiTheme="minorHAnsi" w:cstheme="minorHAnsi"/>
          <w:color w:val="002D88" w:themeColor="accent6" w:themeTint="E6"/>
        </w:rPr>
        <w:t xml:space="preserve"> of the MEL</w:t>
      </w:r>
      <w:r w:rsidR="00047E5C" w:rsidRPr="008F332A">
        <w:rPr>
          <w:rFonts w:asciiTheme="minorHAnsi" w:hAnsiTheme="minorHAnsi" w:cstheme="minorHAnsi"/>
          <w:color w:val="002D88" w:themeColor="accent6" w:themeTint="E6"/>
        </w:rPr>
        <w:t>P</w:t>
      </w:r>
      <w:bookmarkEnd w:id="19"/>
    </w:p>
    <w:p w14:paraId="2C7A809B" w14:textId="77777777" w:rsidR="0079068C" w:rsidRPr="00D45EF8" w:rsidRDefault="002E3E26" w:rsidP="003A2CCC">
      <w:pPr>
        <w:pStyle w:val="BodyText"/>
        <w:spacing w:line="240" w:lineRule="auto"/>
        <w:jc w:val="both"/>
      </w:pPr>
      <w:r w:rsidRPr="008F332A">
        <w:rPr>
          <w:rFonts w:cstheme="minorHAnsi"/>
          <w:color w:val="000000" w:themeColor="text1"/>
        </w:rPr>
        <w:t>The purpose of th</w:t>
      </w:r>
      <w:r w:rsidR="002F2FE1" w:rsidRPr="008F332A">
        <w:rPr>
          <w:rFonts w:cstheme="minorHAnsi"/>
          <w:color w:val="000000" w:themeColor="text1"/>
        </w:rPr>
        <w:t>e Nabilan MELP</w:t>
      </w:r>
      <w:r w:rsidRPr="008F332A">
        <w:rPr>
          <w:rFonts w:cstheme="minorHAnsi"/>
          <w:color w:val="000000" w:themeColor="text1"/>
        </w:rPr>
        <w:t xml:space="preserve"> is to document the MEL system that Nabilan will use to provide evidence, learning and improvements to achieve the Nabilan E</w:t>
      </w:r>
      <w:r w:rsidR="0079068C">
        <w:rPr>
          <w:rFonts w:cstheme="minorHAnsi"/>
          <w:color w:val="000000" w:themeColor="text1"/>
        </w:rPr>
        <w:t>OPOs</w:t>
      </w:r>
      <w:r w:rsidRPr="008F332A">
        <w:rPr>
          <w:rFonts w:cstheme="minorHAnsi"/>
          <w:color w:val="000000" w:themeColor="text1"/>
        </w:rPr>
        <w:t xml:space="preserve"> and to contribute to the overall Nabilan goal.</w:t>
      </w:r>
      <w:r w:rsidR="002F2FE1" w:rsidRPr="008F332A">
        <w:rPr>
          <w:rFonts w:cstheme="minorHAnsi"/>
          <w:color w:val="000000" w:themeColor="text1"/>
        </w:rPr>
        <w:t xml:space="preserve"> </w:t>
      </w:r>
      <w:r w:rsidR="0079068C" w:rsidRPr="00D45EF8">
        <w:t xml:space="preserve">The MELP provides a framework for </w:t>
      </w:r>
      <w:r w:rsidR="0079068C">
        <w:t>Nabilan</w:t>
      </w:r>
      <w:r w:rsidR="0079068C" w:rsidRPr="00D45EF8">
        <w:t xml:space="preserve"> to </w:t>
      </w:r>
      <w:r w:rsidR="0079068C">
        <w:t xml:space="preserve">consider </w:t>
      </w:r>
      <w:r w:rsidR="0079068C" w:rsidRPr="00D45EF8">
        <w:t>and communicate program achievements based on documented evidence</w:t>
      </w:r>
      <w:r w:rsidR="0079068C">
        <w:t xml:space="preserve">, and a plan to implement that framework. </w:t>
      </w:r>
      <w:r w:rsidR="0079068C" w:rsidRPr="00D45EF8">
        <w:t xml:space="preserve"> </w:t>
      </w:r>
    </w:p>
    <w:p w14:paraId="72A47DF7" w14:textId="77777777" w:rsidR="00A57781" w:rsidRPr="008F332A" w:rsidRDefault="0079068C" w:rsidP="003A2CCC">
      <w:pPr>
        <w:pStyle w:val="BodyText"/>
        <w:spacing w:line="240" w:lineRule="auto"/>
        <w:jc w:val="both"/>
        <w:rPr>
          <w:rFonts w:cstheme="minorHAnsi"/>
          <w:color w:val="000000" w:themeColor="text1"/>
        </w:rPr>
      </w:pPr>
      <w:r>
        <w:rPr>
          <w:rFonts w:cstheme="minorHAnsi"/>
          <w:color w:val="000000" w:themeColor="text1"/>
        </w:rPr>
        <w:t>Nabilan</w:t>
      </w:r>
      <w:r w:rsidR="002F2FE1" w:rsidRPr="008F332A">
        <w:rPr>
          <w:rFonts w:cstheme="minorHAnsi"/>
          <w:color w:val="000000" w:themeColor="text1"/>
        </w:rPr>
        <w:t xml:space="preserve"> will use the MELP</w:t>
      </w:r>
      <w:r w:rsidR="00A57781" w:rsidRPr="008F332A">
        <w:rPr>
          <w:rFonts w:cstheme="minorHAnsi"/>
          <w:color w:val="000000" w:themeColor="text1"/>
        </w:rPr>
        <w:t xml:space="preserve"> </w:t>
      </w:r>
      <w:r w:rsidR="002E3E26" w:rsidRPr="008F332A">
        <w:rPr>
          <w:rFonts w:cstheme="minorHAnsi"/>
          <w:color w:val="000000" w:themeColor="text1"/>
        </w:rPr>
        <w:t>for</w:t>
      </w:r>
      <w:r w:rsidR="002F2FE1" w:rsidRPr="008F332A">
        <w:rPr>
          <w:rFonts w:cstheme="minorHAnsi"/>
          <w:color w:val="000000" w:themeColor="text1"/>
        </w:rPr>
        <w:t>:</w:t>
      </w:r>
      <w:r w:rsidR="00A57781" w:rsidRPr="008F332A">
        <w:rPr>
          <w:rFonts w:cstheme="minorHAnsi"/>
          <w:color w:val="000000" w:themeColor="text1"/>
        </w:rPr>
        <w:t xml:space="preserve"> </w:t>
      </w:r>
    </w:p>
    <w:p w14:paraId="2B816DC2" w14:textId="77777777" w:rsidR="00A57781" w:rsidRPr="008F332A" w:rsidRDefault="002E3E26" w:rsidP="003A2CCC">
      <w:pPr>
        <w:pStyle w:val="BodyText"/>
        <w:numPr>
          <w:ilvl w:val="0"/>
          <w:numId w:val="8"/>
        </w:numPr>
        <w:spacing w:line="240" w:lineRule="auto"/>
        <w:ind w:left="360"/>
        <w:jc w:val="both"/>
        <w:rPr>
          <w:rFonts w:cstheme="minorHAnsi"/>
          <w:color w:val="000000" w:themeColor="text1"/>
        </w:rPr>
      </w:pPr>
      <w:r w:rsidRPr="008F332A">
        <w:rPr>
          <w:rFonts w:cstheme="minorHAnsi"/>
          <w:b/>
          <w:color w:val="000000" w:themeColor="text1"/>
        </w:rPr>
        <w:t>Learning and Improvement</w:t>
      </w:r>
      <w:r w:rsidR="00A57781" w:rsidRPr="008F332A">
        <w:rPr>
          <w:rFonts w:cstheme="minorHAnsi"/>
          <w:color w:val="000000" w:themeColor="text1"/>
        </w:rPr>
        <w:t xml:space="preserve"> </w:t>
      </w:r>
    </w:p>
    <w:p w14:paraId="1F5C7D3A" w14:textId="77777777" w:rsidR="002E3E26" w:rsidRPr="008F332A" w:rsidRDefault="002E3E26" w:rsidP="003A2CCC">
      <w:pPr>
        <w:pStyle w:val="BodyText"/>
        <w:spacing w:line="240" w:lineRule="auto"/>
        <w:jc w:val="both"/>
        <w:rPr>
          <w:rFonts w:cstheme="minorHAnsi"/>
          <w:color w:val="000000" w:themeColor="text1"/>
        </w:rPr>
      </w:pPr>
      <w:r w:rsidRPr="008F332A">
        <w:rPr>
          <w:rFonts w:cstheme="minorHAnsi"/>
          <w:color w:val="000000" w:themeColor="text1"/>
        </w:rPr>
        <w:t>We will use evidence generated to learn and improve our approach to supporting the delivery of services</w:t>
      </w:r>
      <w:r w:rsidR="008541E2" w:rsidRPr="008F332A">
        <w:rPr>
          <w:rFonts w:cstheme="minorHAnsi"/>
          <w:color w:val="000000" w:themeColor="text1"/>
        </w:rPr>
        <w:t xml:space="preserve"> for women and children </w:t>
      </w:r>
      <w:r w:rsidR="004A120B" w:rsidRPr="008F332A">
        <w:rPr>
          <w:rFonts w:cstheme="minorHAnsi"/>
          <w:color w:val="000000" w:themeColor="text1"/>
        </w:rPr>
        <w:t>who experience violence</w:t>
      </w:r>
      <w:r w:rsidR="008541E2" w:rsidRPr="008F332A">
        <w:rPr>
          <w:rFonts w:cstheme="minorHAnsi"/>
          <w:color w:val="000000" w:themeColor="text1"/>
        </w:rPr>
        <w:t xml:space="preserve">, </w:t>
      </w:r>
      <w:r w:rsidRPr="008F332A">
        <w:rPr>
          <w:rFonts w:cstheme="minorHAnsi"/>
          <w:color w:val="000000" w:themeColor="text1"/>
        </w:rPr>
        <w:t>establishing effective social norms changes approaches</w:t>
      </w:r>
      <w:r w:rsidR="008541E2" w:rsidRPr="008F332A">
        <w:rPr>
          <w:rFonts w:cstheme="minorHAnsi"/>
          <w:color w:val="000000" w:themeColor="text1"/>
        </w:rPr>
        <w:t>,</w:t>
      </w:r>
      <w:r w:rsidRPr="008F332A">
        <w:rPr>
          <w:rFonts w:cstheme="minorHAnsi"/>
          <w:color w:val="000000" w:themeColor="text1"/>
        </w:rPr>
        <w:t xml:space="preserve"> and building coalitions for change.</w:t>
      </w:r>
      <w:r w:rsidR="00A34509">
        <w:rPr>
          <w:rFonts w:cstheme="minorHAnsi"/>
          <w:color w:val="000000" w:themeColor="text1"/>
        </w:rPr>
        <w:t xml:space="preserve"> We</w:t>
      </w:r>
      <w:r w:rsidR="00A34509" w:rsidRPr="00BD6469">
        <w:t xml:space="preserve"> will use evidence to understand and document what has worked well, and to identify any improvements required to achieve </w:t>
      </w:r>
      <w:r w:rsidR="00A34509">
        <w:t>our EOPOs</w:t>
      </w:r>
      <w:r w:rsidR="00A34509" w:rsidRPr="00BD6469">
        <w:t>.</w:t>
      </w:r>
    </w:p>
    <w:p w14:paraId="3A3CD411" w14:textId="77777777" w:rsidR="002E3E26" w:rsidRPr="008F332A" w:rsidRDefault="002E3E26" w:rsidP="003A2CCC">
      <w:pPr>
        <w:pStyle w:val="BodyText"/>
        <w:numPr>
          <w:ilvl w:val="0"/>
          <w:numId w:val="8"/>
        </w:numPr>
        <w:spacing w:line="240" w:lineRule="auto"/>
        <w:ind w:left="360"/>
        <w:jc w:val="both"/>
        <w:rPr>
          <w:rFonts w:cstheme="minorHAnsi"/>
          <w:b/>
          <w:color w:val="000000" w:themeColor="text1"/>
        </w:rPr>
      </w:pPr>
      <w:r w:rsidRPr="008F332A">
        <w:rPr>
          <w:rFonts w:cstheme="minorHAnsi"/>
          <w:b/>
          <w:color w:val="000000" w:themeColor="text1"/>
        </w:rPr>
        <w:t>Accountability and proving</w:t>
      </w:r>
      <w:r w:rsidR="00321B29" w:rsidRPr="008F332A">
        <w:rPr>
          <w:rFonts w:cstheme="minorHAnsi"/>
          <w:b/>
          <w:color w:val="000000" w:themeColor="text1"/>
        </w:rPr>
        <w:t xml:space="preserve"> </w:t>
      </w:r>
    </w:p>
    <w:p w14:paraId="4AA05A48" w14:textId="77777777" w:rsidR="002E3E26" w:rsidRPr="008F332A" w:rsidRDefault="002E3E26" w:rsidP="003A2CCC">
      <w:pPr>
        <w:pStyle w:val="BodyText"/>
        <w:spacing w:line="240" w:lineRule="auto"/>
        <w:jc w:val="both"/>
        <w:rPr>
          <w:rFonts w:cstheme="minorHAnsi"/>
          <w:color w:val="000000" w:themeColor="text1"/>
        </w:rPr>
      </w:pPr>
      <w:r w:rsidRPr="008F332A">
        <w:rPr>
          <w:rFonts w:cstheme="minorHAnsi"/>
          <w:color w:val="000000" w:themeColor="text1"/>
        </w:rPr>
        <w:t>We will establish and refine M&amp;E systems to provide clear evidence on progress towards EOPOs</w:t>
      </w:r>
      <w:r w:rsidR="008541E2" w:rsidRPr="008F332A">
        <w:rPr>
          <w:rFonts w:cstheme="minorHAnsi"/>
          <w:color w:val="000000" w:themeColor="text1"/>
        </w:rPr>
        <w:t xml:space="preserve">. </w:t>
      </w:r>
      <w:r w:rsidR="0079068C" w:rsidRPr="00BD6469">
        <w:t>The monitoring framework</w:t>
      </w:r>
      <w:r w:rsidR="0079068C" w:rsidRPr="00A47B2B">
        <w:rPr>
          <w:color w:val="7F7F7F" w:themeColor="text1" w:themeTint="80"/>
        </w:rPr>
        <w:t xml:space="preserve"> </w:t>
      </w:r>
      <w:r w:rsidR="009157E4" w:rsidRPr="0061262A">
        <w:rPr>
          <w:b/>
        </w:rPr>
        <w:t xml:space="preserve">(Annex </w:t>
      </w:r>
      <w:r w:rsidR="009965E7" w:rsidRPr="0061262A">
        <w:rPr>
          <w:b/>
        </w:rPr>
        <w:t>1</w:t>
      </w:r>
      <w:r w:rsidR="009157E4" w:rsidRPr="0061262A">
        <w:rPr>
          <w:b/>
        </w:rPr>
        <w:t>)</w:t>
      </w:r>
      <w:r w:rsidR="009157E4" w:rsidRPr="0061262A">
        <w:t xml:space="preserve"> </w:t>
      </w:r>
      <w:r w:rsidR="0079068C" w:rsidRPr="00BD6469">
        <w:t xml:space="preserve">outlines the information needed to answer </w:t>
      </w:r>
      <w:r w:rsidR="009157E4">
        <w:t>our evaluation questions</w:t>
      </w:r>
      <w:r w:rsidR="0079068C" w:rsidRPr="00BD6469">
        <w:t xml:space="preserve">, where to find this information, baselines and targets. </w:t>
      </w:r>
    </w:p>
    <w:p w14:paraId="04B4484A" w14:textId="77777777" w:rsidR="00A57781" w:rsidRPr="008F332A" w:rsidRDefault="00321B29" w:rsidP="003A2CCC">
      <w:pPr>
        <w:pStyle w:val="BodyText"/>
        <w:numPr>
          <w:ilvl w:val="0"/>
          <w:numId w:val="8"/>
        </w:numPr>
        <w:spacing w:line="240" w:lineRule="auto"/>
        <w:ind w:left="360"/>
        <w:jc w:val="both"/>
        <w:rPr>
          <w:rFonts w:cstheme="minorHAnsi"/>
          <w:b/>
          <w:color w:val="000000" w:themeColor="text1"/>
        </w:rPr>
      </w:pPr>
      <w:r w:rsidRPr="008F332A">
        <w:rPr>
          <w:rFonts w:cstheme="minorHAnsi"/>
          <w:b/>
          <w:color w:val="000000" w:themeColor="text1"/>
        </w:rPr>
        <w:t xml:space="preserve">Knowledge </w:t>
      </w:r>
    </w:p>
    <w:p w14:paraId="1345E0FA" w14:textId="77777777" w:rsidR="008541E2" w:rsidRPr="008F332A" w:rsidRDefault="008541E2" w:rsidP="003A2CCC">
      <w:pPr>
        <w:pStyle w:val="BodyText"/>
        <w:spacing w:line="240" w:lineRule="auto"/>
        <w:jc w:val="both"/>
        <w:rPr>
          <w:rFonts w:cstheme="minorHAnsi"/>
          <w:color w:val="000000" w:themeColor="text1"/>
        </w:rPr>
      </w:pPr>
      <w:r w:rsidRPr="008F332A">
        <w:rPr>
          <w:rFonts w:cstheme="minorHAnsi"/>
          <w:color w:val="000000" w:themeColor="text1"/>
        </w:rPr>
        <w:t xml:space="preserve">We will contribute to generation of a body of knowledge about what works to prevent </w:t>
      </w:r>
      <w:r w:rsidR="00F53437" w:rsidRPr="008F332A">
        <w:rPr>
          <w:rFonts w:cstheme="minorHAnsi"/>
          <w:color w:val="000000" w:themeColor="text1"/>
        </w:rPr>
        <w:t>VAWC</w:t>
      </w:r>
      <w:r w:rsidRPr="008F332A">
        <w:rPr>
          <w:rFonts w:cstheme="minorHAnsi"/>
          <w:color w:val="000000" w:themeColor="text1"/>
        </w:rPr>
        <w:t>, to be utilised by GoTL and CSOs in Timor-Leste, and in a broader international context.</w:t>
      </w:r>
      <w:r w:rsidR="006A125D">
        <w:rPr>
          <w:rFonts w:cstheme="minorHAnsi"/>
          <w:color w:val="000000" w:themeColor="text1"/>
        </w:rPr>
        <w:t xml:space="preserve"> </w:t>
      </w:r>
      <w:r w:rsidR="00A30A82" w:rsidRPr="008F332A">
        <w:rPr>
          <w:rFonts w:cstheme="minorHAnsi"/>
          <w:color w:val="000000" w:themeColor="text1"/>
        </w:rPr>
        <w:t>This will include documenting and evalua</w:t>
      </w:r>
      <w:r w:rsidR="006A125D">
        <w:rPr>
          <w:rFonts w:cstheme="minorHAnsi"/>
          <w:color w:val="000000" w:themeColor="text1"/>
        </w:rPr>
        <w:t>t</w:t>
      </w:r>
      <w:r w:rsidR="00A30A82" w:rsidRPr="008F332A">
        <w:rPr>
          <w:rFonts w:cstheme="minorHAnsi"/>
          <w:color w:val="000000" w:themeColor="text1"/>
        </w:rPr>
        <w:t>ing the</w:t>
      </w:r>
      <w:r w:rsidR="00841DC0" w:rsidRPr="008F332A">
        <w:rPr>
          <w:rFonts w:cstheme="minorHAnsi"/>
          <w:color w:val="000000" w:themeColor="text1"/>
        </w:rPr>
        <w:t xml:space="preserve"> pilot of the</w:t>
      </w:r>
      <w:r w:rsidR="00A30A82" w:rsidRPr="008F332A">
        <w:rPr>
          <w:rFonts w:cstheme="minorHAnsi"/>
          <w:color w:val="000000" w:themeColor="text1"/>
        </w:rPr>
        <w:t xml:space="preserve"> Community Based Approach to determine </w:t>
      </w:r>
      <w:r w:rsidR="00841DC0" w:rsidRPr="008F332A">
        <w:rPr>
          <w:rFonts w:cstheme="minorHAnsi"/>
          <w:color w:val="000000" w:themeColor="text1"/>
        </w:rPr>
        <w:t>its</w:t>
      </w:r>
      <w:r w:rsidR="00A30A82" w:rsidRPr="008F332A">
        <w:rPr>
          <w:rFonts w:cstheme="minorHAnsi"/>
          <w:color w:val="000000" w:themeColor="text1"/>
        </w:rPr>
        <w:t xml:space="preserve"> utility in the Timor-Leste context</w:t>
      </w:r>
      <w:r w:rsidR="0079068C">
        <w:rPr>
          <w:rFonts w:cstheme="minorHAnsi"/>
          <w:color w:val="000000" w:themeColor="text1"/>
        </w:rPr>
        <w:t>, and</w:t>
      </w:r>
      <w:r w:rsidR="0079068C" w:rsidRPr="008F332A">
        <w:rPr>
          <w:rFonts w:cstheme="minorHAnsi"/>
          <w:color w:val="000000" w:themeColor="text1"/>
        </w:rPr>
        <w:t xml:space="preserve"> test</w:t>
      </w:r>
      <w:r w:rsidR="0079068C">
        <w:rPr>
          <w:rFonts w:cstheme="minorHAnsi"/>
          <w:color w:val="000000" w:themeColor="text1"/>
        </w:rPr>
        <w:t>ing</w:t>
      </w:r>
      <w:r w:rsidR="0079068C" w:rsidRPr="008F332A">
        <w:rPr>
          <w:rFonts w:cstheme="minorHAnsi"/>
          <w:color w:val="000000" w:themeColor="text1"/>
        </w:rPr>
        <w:t xml:space="preserve"> and adapt</w:t>
      </w:r>
      <w:r w:rsidR="0079068C">
        <w:rPr>
          <w:rFonts w:cstheme="minorHAnsi"/>
          <w:color w:val="000000" w:themeColor="text1"/>
        </w:rPr>
        <w:t>ing</w:t>
      </w:r>
      <w:r w:rsidR="0079068C" w:rsidRPr="008F332A">
        <w:rPr>
          <w:rFonts w:cstheme="minorHAnsi"/>
          <w:color w:val="000000" w:themeColor="text1"/>
        </w:rPr>
        <w:t xml:space="preserve"> strategies for bringing about key policy reforms</w:t>
      </w:r>
      <w:r w:rsidR="00A30A82" w:rsidRPr="008F332A">
        <w:rPr>
          <w:rFonts w:cstheme="minorHAnsi"/>
          <w:color w:val="000000" w:themeColor="text1"/>
        </w:rPr>
        <w:t>.</w:t>
      </w:r>
    </w:p>
    <w:p w14:paraId="7AD4A318" w14:textId="77777777" w:rsidR="001D26C0" w:rsidRPr="008F332A" w:rsidRDefault="001D26C0" w:rsidP="003A2CCC">
      <w:pPr>
        <w:pStyle w:val="Heading2"/>
        <w:numPr>
          <w:ilvl w:val="1"/>
          <w:numId w:val="19"/>
        </w:numPr>
        <w:jc w:val="both"/>
        <w:rPr>
          <w:rFonts w:asciiTheme="minorHAnsi" w:hAnsiTheme="minorHAnsi" w:cstheme="minorHAnsi"/>
          <w:color w:val="002D88" w:themeColor="accent6" w:themeTint="E6"/>
        </w:rPr>
      </w:pPr>
      <w:bookmarkStart w:id="20" w:name="_Toc517960099"/>
      <w:bookmarkStart w:id="21" w:name="_Hlk483466618"/>
      <w:r w:rsidRPr="008F332A">
        <w:rPr>
          <w:rFonts w:asciiTheme="minorHAnsi" w:hAnsiTheme="minorHAnsi" w:cstheme="minorHAnsi"/>
          <w:color w:val="002D88" w:themeColor="accent6" w:themeTint="E6"/>
        </w:rPr>
        <w:t>Boundaries</w:t>
      </w:r>
      <w:bookmarkEnd w:id="20"/>
    </w:p>
    <w:p w14:paraId="4A81CC79" w14:textId="77777777" w:rsidR="008541E2" w:rsidRPr="008F332A" w:rsidRDefault="008541E2" w:rsidP="003A2CCC">
      <w:pPr>
        <w:pStyle w:val="BodyText"/>
        <w:spacing w:line="240" w:lineRule="auto"/>
        <w:jc w:val="both"/>
        <w:rPr>
          <w:rFonts w:cstheme="minorHAnsi"/>
          <w:color w:val="000000" w:themeColor="text1"/>
        </w:rPr>
      </w:pPr>
      <w:r w:rsidRPr="008F332A">
        <w:rPr>
          <w:rFonts w:cstheme="minorHAnsi"/>
          <w:color w:val="000000" w:themeColor="text1"/>
        </w:rPr>
        <w:t xml:space="preserve">The </w:t>
      </w:r>
      <w:r w:rsidR="006F548F">
        <w:rPr>
          <w:rFonts w:cstheme="minorHAnsi"/>
          <w:color w:val="000000" w:themeColor="text1"/>
        </w:rPr>
        <w:t xml:space="preserve">timeframe for the MELP is from May 2018 to the end of Nabilan Phase 2 in mid-2022. The </w:t>
      </w:r>
      <w:r w:rsidRPr="008F332A">
        <w:rPr>
          <w:rFonts w:cstheme="minorHAnsi"/>
          <w:color w:val="000000" w:themeColor="text1"/>
        </w:rPr>
        <w:t>MEL</w:t>
      </w:r>
      <w:r w:rsidR="006F548F">
        <w:rPr>
          <w:rFonts w:cstheme="minorHAnsi"/>
          <w:color w:val="000000" w:themeColor="text1"/>
        </w:rPr>
        <w:t>P</w:t>
      </w:r>
      <w:r w:rsidRPr="008F332A">
        <w:rPr>
          <w:rFonts w:cstheme="minorHAnsi"/>
          <w:color w:val="000000" w:themeColor="text1"/>
        </w:rPr>
        <w:t xml:space="preserve"> covers the activities and operations within the </w:t>
      </w:r>
      <w:r w:rsidR="00A30A82" w:rsidRPr="008F332A">
        <w:rPr>
          <w:rFonts w:cstheme="minorHAnsi"/>
          <w:color w:val="000000" w:themeColor="text1"/>
        </w:rPr>
        <w:t>TOC</w:t>
      </w:r>
      <w:r w:rsidRPr="008F332A">
        <w:rPr>
          <w:rFonts w:cstheme="minorHAnsi"/>
          <w:color w:val="000000" w:themeColor="text1"/>
        </w:rPr>
        <w:t>.  It also includes</w:t>
      </w:r>
      <w:r w:rsidR="004A120B" w:rsidRPr="008F332A">
        <w:rPr>
          <w:rFonts w:cstheme="minorHAnsi"/>
          <w:color w:val="000000" w:themeColor="text1"/>
        </w:rPr>
        <w:t xml:space="preserve"> program</w:t>
      </w:r>
      <w:r w:rsidRPr="008F332A">
        <w:rPr>
          <w:rFonts w:cstheme="minorHAnsi"/>
          <w:color w:val="000000" w:themeColor="text1"/>
        </w:rPr>
        <w:t xml:space="preserve"> principles and risks. The line of accountability extends to the</w:t>
      </w:r>
      <w:r w:rsidR="00A30A82" w:rsidRPr="008F332A">
        <w:rPr>
          <w:rFonts w:cstheme="minorHAnsi"/>
          <w:color w:val="000000" w:themeColor="text1"/>
        </w:rPr>
        <w:t xml:space="preserve"> EOPOs</w:t>
      </w:r>
      <w:r w:rsidRPr="008F332A">
        <w:rPr>
          <w:rFonts w:cstheme="minorHAnsi"/>
          <w:color w:val="000000" w:themeColor="text1"/>
        </w:rPr>
        <w:t xml:space="preserve"> in mid</w:t>
      </w:r>
      <w:r w:rsidR="00CE3056" w:rsidRPr="008F332A">
        <w:rPr>
          <w:rFonts w:cstheme="minorHAnsi"/>
          <w:color w:val="000000" w:themeColor="text1"/>
        </w:rPr>
        <w:t>-</w:t>
      </w:r>
      <w:r w:rsidRPr="008F332A">
        <w:rPr>
          <w:rFonts w:cstheme="minorHAnsi"/>
          <w:color w:val="000000" w:themeColor="text1"/>
        </w:rPr>
        <w:t>2022. It is expected that Nabilan</w:t>
      </w:r>
      <w:r w:rsidR="004A120B" w:rsidRPr="008F332A">
        <w:rPr>
          <w:rFonts w:cstheme="minorHAnsi"/>
          <w:color w:val="000000" w:themeColor="text1"/>
        </w:rPr>
        <w:t>’s</w:t>
      </w:r>
      <w:r w:rsidRPr="008F332A">
        <w:rPr>
          <w:rFonts w:cstheme="minorHAnsi"/>
          <w:color w:val="000000" w:themeColor="text1"/>
        </w:rPr>
        <w:t xml:space="preserve"> contribution to EOPOs will be evaluable through an endline</w:t>
      </w:r>
      <w:r w:rsidR="004A120B" w:rsidRPr="008F332A">
        <w:rPr>
          <w:rFonts w:cstheme="minorHAnsi"/>
          <w:color w:val="000000" w:themeColor="text1"/>
        </w:rPr>
        <w:t xml:space="preserve"> survey</w:t>
      </w:r>
      <w:r w:rsidRPr="008F332A">
        <w:rPr>
          <w:rFonts w:cstheme="minorHAnsi"/>
          <w:color w:val="000000" w:themeColor="text1"/>
        </w:rPr>
        <w:t xml:space="preserve"> conducted in 2021.  </w:t>
      </w:r>
    </w:p>
    <w:p w14:paraId="708E286D" w14:textId="77777777" w:rsidR="00390151" w:rsidRPr="008F332A" w:rsidRDefault="00390151" w:rsidP="003A2CCC">
      <w:pPr>
        <w:pStyle w:val="Heading2"/>
        <w:numPr>
          <w:ilvl w:val="1"/>
          <w:numId w:val="19"/>
        </w:numPr>
        <w:jc w:val="both"/>
        <w:rPr>
          <w:rFonts w:asciiTheme="minorHAnsi" w:hAnsiTheme="minorHAnsi" w:cstheme="minorHAnsi"/>
          <w:color w:val="002D88" w:themeColor="accent6" w:themeTint="E6"/>
        </w:rPr>
      </w:pPr>
      <w:bookmarkStart w:id="22" w:name="_Toc517960100"/>
      <w:bookmarkEnd w:id="8"/>
      <w:bookmarkEnd w:id="21"/>
      <w:r w:rsidRPr="008F332A">
        <w:rPr>
          <w:rFonts w:asciiTheme="minorHAnsi" w:hAnsiTheme="minorHAnsi" w:cstheme="minorHAnsi"/>
          <w:color w:val="002D88" w:themeColor="accent6" w:themeTint="E6"/>
        </w:rPr>
        <w:t>Audience</w:t>
      </w:r>
      <w:bookmarkEnd w:id="22"/>
    </w:p>
    <w:p w14:paraId="18B1E213" w14:textId="77777777" w:rsidR="00A30A82" w:rsidRPr="008F332A" w:rsidRDefault="00A30A82" w:rsidP="003A2CCC">
      <w:pPr>
        <w:rPr>
          <w:rFonts w:cstheme="minorHAnsi"/>
        </w:rPr>
      </w:pPr>
      <w:r w:rsidRPr="008F332A">
        <w:rPr>
          <w:rFonts w:cstheme="minorHAnsi"/>
        </w:rPr>
        <w:t xml:space="preserve">The primary audiences of the MELP are the Nabilan team, Foundation management and DFAT. Secondary audiences are GoTL and partners. The </w:t>
      </w:r>
      <w:r w:rsidR="009B541A" w:rsidRPr="008F332A">
        <w:rPr>
          <w:rFonts w:cstheme="minorHAnsi"/>
        </w:rPr>
        <w:t>information needs</w:t>
      </w:r>
      <w:r w:rsidRPr="008F332A">
        <w:rPr>
          <w:rFonts w:cstheme="minorHAnsi"/>
        </w:rPr>
        <w:t xml:space="preserve"> of these stakeholders are outlined in Table </w:t>
      </w:r>
      <w:r w:rsidR="002C31F8" w:rsidRPr="008F332A">
        <w:rPr>
          <w:rFonts w:cstheme="minorHAnsi"/>
        </w:rPr>
        <w:t>3</w:t>
      </w:r>
      <w:r w:rsidRPr="008F332A">
        <w:rPr>
          <w:rFonts w:cstheme="minorHAnsi"/>
        </w:rPr>
        <w:t xml:space="preserve">. </w:t>
      </w:r>
    </w:p>
    <w:p w14:paraId="7B3AABC5" w14:textId="77777777" w:rsidR="00A30A82" w:rsidRPr="008F332A" w:rsidRDefault="00A30A82" w:rsidP="003A2CCC">
      <w:pPr>
        <w:rPr>
          <w:rFonts w:cstheme="minorHAnsi"/>
          <w:color w:val="002D88" w:themeColor="accent6" w:themeTint="E6"/>
        </w:rPr>
      </w:pPr>
      <w:r w:rsidRPr="008F332A">
        <w:rPr>
          <w:rFonts w:cstheme="minorHAnsi"/>
          <w:color w:val="002D88" w:themeColor="accent6" w:themeTint="E6"/>
        </w:rPr>
        <w:t xml:space="preserve">Table </w:t>
      </w:r>
      <w:r w:rsidR="002C31F8" w:rsidRPr="008F332A">
        <w:rPr>
          <w:rFonts w:cstheme="minorHAnsi"/>
          <w:color w:val="002D88" w:themeColor="accent6" w:themeTint="E6"/>
        </w:rPr>
        <w:t>3</w:t>
      </w:r>
      <w:r w:rsidRPr="008F332A">
        <w:rPr>
          <w:rFonts w:cstheme="minorHAnsi"/>
          <w:color w:val="002D88" w:themeColor="accent6" w:themeTint="E6"/>
        </w:rPr>
        <w:t>. Audience for the MELP</w:t>
      </w:r>
    </w:p>
    <w:tbl>
      <w:tblPr>
        <w:tblStyle w:val="TableGrid3"/>
        <w:tblW w:w="5000" w:type="pct"/>
        <w:tblLook w:val="04A0" w:firstRow="1" w:lastRow="0" w:firstColumn="1" w:lastColumn="0" w:noHBand="0" w:noVBand="1"/>
        <w:tblCaption w:val="Table 1"/>
      </w:tblPr>
      <w:tblGrid>
        <w:gridCol w:w="1917"/>
        <w:gridCol w:w="7670"/>
      </w:tblGrid>
      <w:tr w:rsidR="00F71871" w:rsidRPr="008F332A" w14:paraId="2BBD91D6" w14:textId="77777777" w:rsidTr="003A2CCC">
        <w:trPr>
          <w:trHeight w:val="57"/>
        </w:trPr>
        <w:tc>
          <w:tcPr>
            <w:tcW w:w="1000" w:type="pct"/>
            <w:shd w:val="clear" w:color="auto" w:fill="99CCFF"/>
          </w:tcPr>
          <w:p w14:paraId="14DC9F9A" w14:textId="77777777" w:rsidR="009B541A" w:rsidRPr="008F332A" w:rsidRDefault="009B541A" w:rsidP="003A2CCC">
            <w:pPr>
              <w:pStyle w:val="BodyText"/>
              <w:spacing w:after="80" w:line="240" w:lineRule="auto"/>
              <w:rPr>
                <w:rFonts w:cstheme="minorHAnsi"/>
                <w:b/>
                <w:sz w:val="20"/>
                <w:szCs w:val="20"/>
              </w:rPr>
            </w:pPr>
            <w:r w:rsidRPr="008F332A">
              <w:rPr>
                <w:rFonts w:cstheme="minorHAnsi"/>
                <w:b/>
                <w:sz w:val="20"/>
                <w:szCs w:val="20"/>
              </w:rPr>
              <w:t>Stakeholder</w:t>
            </w:r>
          </w:p>
        </w:tc>
        <w:tc>
          <w:tcPr>
            <w:tcW w:w="4000" w:type="pct"/>
            <w:shd w:val="clear" w:color="auto" w:fill="99CCFF"/>
          </w:tcPr>
          <w:p w14:paraId="6EE3944F" w14:textId="77777777" w:rsidR="009B541A" w:rsidRPr="008F332A" w:rsidRDefault="009B541A" w:rsidP="003A2CCC">
            <w:pPr>
              <w:pStyle w:val="Bullets"/>
              <w:numPr>
                <w:ilvl w:val="0"/>
                <w:numId w:val="0"/>
              </w:numPr>
              <w:spacing w:after="80"/>
              <w:rPr>
                <w:rFonts w:cstheme="minorHAnsi"/>
                <w:b/>
                <w:sz w:val="20"/>
                <w:szCs w:val="20"/>
              </w:rPr>
            </w:pPr>
            <w:r w:rsidRPr="008F332A">
              <w:rPr>
                <w:rFonts w:cstheme="minorHAnsi"/>
                <w:b/>
                <w:sz w:val="20"/>
                <w:szCs w:val="20"/>
              </w:rPr>
              <w:t>Information needs</w:t>
            </w:r>
          </w:p>
        </w:tc>
      </w:tr>
      <w:tr w:rsidR="00F71871" w:rsidRPr="008F332A" w14:paraId="1FC5A55C" w14:textId="77777777" w:rsidTr="003A2CCC">
        <w:trPr>
          <w:trHeight w:val="57"/>
        </w:trPr>
        <w:tc>
          <w:tcPr>
            <w:tcW w:w="1000" w:type="pct"/>
          </w:tcPr>
          <w:p w14:paraId="22909164" w14:textId="77777777" w:rsidR="00D5682F" w:rsidRPr="008F332A" w:rsidRDefault="00D5682F" w:rsidP="003A2CCC">
            <w:pPr>
              <w:pStyle w:val="BodyText"/>
              <w:spacing w:after="80" w:line="240" w:lineRule="auto"/>
              <w:rPr>
                <w:rFonts w:cstheme="minorHAnsi"/>
                <w:sz w:val="20"/>
                <w:szCs w:val="20"/>
              </w:rPr>
            </w:pPr>
            <w:r w:rsidRPr="008F332A">
              <w:rPr>
                <w:rFonts w:cstheme="minorHAnsi"/>
                <w:sz w:val="20"/>
                <w:szCs w:val="20"/>
              </w:rPr>
              <w:t xml:space="preserve">Nabilan Team </w:t>
            </w:r>
          </w:p>
        </w:tc>
        <w:tc>
          <w:tcPr>
            <w:tcW w:w="4000" w:type="pct"/>
          </w:tcPr>
          <w:p w14:paraId="1F266A38" w14:textId="77777777" w:rsidR="00D5682F" w:rsidRPr="008F332A" w:rsidRDefault="00D5682F" w:rsidP="003A2CCC">
            <w:pPr>
              <w:pStyle w:val="Bullets"/>
              <w:numPr>
                <w:ilvl w:val="0"/>
                <w:numId w:val="0"/>
              </w:numPr>
              <w:spacing w:after="80"/>
              <w:rPr>
                <w:rFonts w:cstheme="minorHAnsi"/>
                <w:sz w:val="20"/>
                <w:szCs w:val="20"/>
              </w:rPr>
            </w:pPr>
            <w:r w:rsidRPr="008F332A">
              <w:rPr>
                <w:rFonts w:cstheme="minorHAnsi"/>
                <w:sz w:val="20"/>
                <w:szCs w:val="20"/>
              </w:rPr>
              <w:t>Information for learning, improvement</w:t>
            </w:r>
            <w:r w:rsidR="00056A2C" w:rsidRPr="008F332A">
              <w:rPr>
                <w:rFonts w:cstheme="minorHAnsi"/>
                <w:sz w:val="20"/>
                <w:szCs w:val="20"/>
              </w:rPr>
              <w:t>, proving</w:t>
            </w:r>
            <w:r w:rsidRPr="008F332A">
              <w:rPr>
                <w:rFonts w:cstheme="minorHAnsi"/>
                <w:sz w:val="20"/>
                <w:szCs w:val="20"/>
              </w:rPr>
              <w:t xml:space="preserve"> and accountability </w:t>
            </w:r>
          </w:p>
        </w:tc>
      </w:tr>
      <w:tr w:rsidR="00F71871" w:rsidRPr="008F332A" w14:paraId="71338C00" w14:textId="77777777" w:rsidTr="003A2CCC">
        <w:trPr>
          <w:trHeight w:val="57"/>
        </w:trPr>
        <w:tc>
          <w:tcPr>
            <w:tcW w:w="1000" w:type="pct"/>
          </w:tcPr>
          <w:p w14:paraId="7C658B0B" w14:textId="77777777" w:rsidR="00D5682F" w:rsidRPr="008F332A" w:rsidRDefault="004A120B" w:rsidP="003A2CCC">
            <w:pPr>
              <w:pStyle w:val="BodyText"/>
              <w:spacing w:after="80" w:line="240" w:lineRule="auto"/>
              <w:rPr>
                <w:rFonts w:cstheme="minorHAnsi"/>
                <w:sz w:val="20"/>
                <w:szCs w:val="20"/>
              </w:rPr>
            </w:pPr>
            <w:r w:rsidRPr="008F332A">
              <w:rPr>
                <w:rFonts w:cstheme="minorHAnsi"/>
                <w:sz w:val="20"/>
                <w:szCs w:val="20"/>
              </w:rPr>
              <w:t>Foundation</w:t>
            </w:r>
            <w:r w:rsidR="00D5682F" w:rsidRPr="008F332A">
              <w:rPr>
                <w:rFonts w:cstheme="minorHAnsi"/>
                <w:sz w:val="20"/>
                <w:szCs w:val="20"/>
              </w:rPr>
              <w:t xml:space="preserve"> Management</w:t>
            </w:r>
          </w:p>
        </w:tc>
        <w:tc>
          <w:tcPr>
            <w:tcW w:w="4000" w:type="pct"/>
          </w:tcPr>
          <w:p w14:paraId="5E940FEB" w14:textId="77777777" w:rsidR="00D5682F" w:rsidRPr="008F332A" w:rsidRDefault="00D5682F" w:rsidP="003A2CCC">
            <w:pPr>
              <w:pStyle w:val="Bullets"/>
              <w:numPr>
                <w:ilvl w:val="0"/>
                <w:numId w:val="0"/>
              </w:numPr>
              <w:spacing w:after="80"/>
              <w:rPr>
                <w:rFonts w:cstheme="minorHAnsi"/>
                <w:sz w:val="20"/>
                <w:szCs w:val="20"/>
              </w:rPr>
            </w:pPr>
            <w:r w:rsidRPr="008F332A">
              <w:rPr>
                <w:rFonts w:cstheme="minorHAnsi"/>
                <w:sz w:val="20"/>
                <w:szCs w:val="20"/>
              </w:rPr>
              <w:t xml:space="preserve">Information for accountability and cross-program learning </w:t>
            </w:r>
          </w:p>
        </w:tc>
      </w:tr>
      <w:tr w:rsidR="00F71871" w:rsidRPr="008F332A" w14:paraId="2301557C" w14:textId="77777777" w:rsidTr="003A2CCC">
        <w:trPr>
          <w:trHeight w:val="57"/>
        </w:trPr>
        <w:tc>
          <w:tcPr>
            <w:tcW w:w="1000" w:type="pct"/>
          </w:tcPr>
          <w:p w14:paraId="618ECFD6" w14:textId="77777777" w:rsidR="00D5682F" w:rsidRPr="008F332A" w:rsidRDefault="00D5682F" w:rsidP="003A2CCC">
            <w:pPr>
              <w:pStyle w:val="BodyText"/>
              <w:spacing w:after="80" w:line="240" w:lineRule="auto"/>
              <w:rPr>
                <w:rFonts w:cstheme="minorHAnsi"/>
                <w:sz w:val="20"/>
                <w:szCs w:val="20"/>
              </w:rPr>
            </w:pPr>
            <w:r w:rsidRPr="008F332A">
              <w:rPr>
                <w:rFonts w:cstheme="minorHAnsi"/>
                <w:sz w:val="20"/>
                <w:szCs w:val="20"/>
              </w:rPr>
              <w:t xml:space="preserve">DFAT </w:t>
            </w:r>
          </w:p>
        </w:tc>
        <w:tc>
          <w:tcPr>
            <w:tcW w:w="4000" w:type="pct"/>
          </w:tcPr>
          <w:p w14:paraId="3EC83E0D" w14:textId="77777777" w:rsidR="00D5682F" w:rsidRPr="008F332A" w:rsidRDefault="00056A2C" w:rsidP="003A2CCC">
            <w:pPr>
              <w:pStyle w:val="Bullets"/>
              <w:numPr>
                <w:ilvl w:val="0"/>
                <w:numId w:val="0"/>
              </w:numPr>
              <w:spacing w:after="80"/>
              <w:rPr>
                <w:rFonts w:cstheme="minorHAnsi"/>
                <w:sz w:val="20"/>
                <w:szCs w:val="20"/>
              </w:rPr>
            </w:pPr>
            <w:r w:rsidRPr="008F332A">
              <w:rPr>
                <w:rFonts w:cstheme="minorHAnsi"/>
                <w:sz w:val="20"/>
                <w:szCs w:val="20"/>
              </w:rPr>
              <w:t>Information for learning, proving, accountability and to</w:t>
            </w:r>
            <w:r w:rsidR="00D5682F" w:rsidRPr="008F332A">
              <w:rPr>
                <w:rFonts w:cstheme="minorHAnsi"/>
                <w:sz w:val="20"/>
                <w:szCs w:val="20"/>
              </w:rPr>
              <w:t xml:space="preserve"> contribute to AQC</w:t>
            </w:r>
            <w:r w:rsidR="001A53B8" w:rsidRPr="008F332A">
              <w:rPr>
                <w:rFonts w:cstheme="minorHAnsi"/>
                <w:sz w:val="20"/>
                <w:szCs w:val="20"/>
              </w:rPr>
              <w:t>, APPR</w:t>
            </w:r>
            <w:r w:rsidR="00D5682F" w:rsidRPr="008F332A">
              <w:rPr>
                <w:rFonts w:cstheme="minorHAnsi"/>
                <w:sz w:val="20"/>
                <w:szCs w:val="20"/>
              </w:rPr>
              <w:t xml:space="preserve"> and PAF</w:t>
            </w:r>
          </w:p>
        </w:tc>
      </w:tr>
      <w:tr w:rsidR="00F71871" w:rsidRPr="008F332A" w14:paraId="5B049052" w14:textId="77777777" w:rsidTr="003A2CCC">
        <w:trPr>
          <w:trHeight w:val="57"/>
        </w:trPr>
        <w:tc>
          <w:tcPr>
            <w:tcW w:w="1000" w:type="pct"/>
          </w:tcPr>
          <w:p w14:paraId="05394AF2" w14:textId="481277A1" w:rsidR="00D5682F" w:rsidRPr="008F332A" w:rsidRDefault="00D5682F" w:rsidP="003A2CCC">
            <w:pPr>
              <w:pStyle w:val="BodyText"/>
              <w:spacing w:after="80" w:line="240" w:lineRule="auto"/>
              <w:rPr>
                <w:rFonts w:cstheme="minorHAnsi"/>
                <w:sz w:val="20"/>
                <w:szCs w:val="20"/>
              </w:rPr>
            </w:pPr>
            <w:r w:rsidRPr="008F332A">
              <w:rPr>
                <w:rFonts w:cstheme="minorHAnsi"/>
                <w:sz w:val="20"/>
                <w:szCs w:val="20"/>
              </w:rPr>
              <w:t xml:space="preserve">GoTL </w:t>
            </w:r>
          </w:p>
        </w:tc>
        <w:tc>
          <w:tcPr>
            <w:tcW w:w="4000" w:type="pct"/>
          </w:tcPr>
          <w:p w14:paraId="01FCD1AD" w14:textId="77777777" w:rsidR="00D5682F" w:rsidRPr="008F332A" w:rsidRDefault="00D5682F" w:rsidP="003A2CCC">
            <w:pPr>
              <w:pStyle w:val="Bullets"/>
              <w:numPr>
                <w:ilvl w:val="0"/>
                <w:numId w:val="0"/>
              </w:numPr>
              <w:spacing w:after="80"/>
              <w:rPr>
                <w:rFonts w:cstheme="minorHAnsi"/>
                <w:sz w:val="20"/>
                <w:szCs w:val="20"/>
              </w:rPr>
            </w:pPr>
            <w:r w:rsidRPr="008F332A">
              <w:rPr>
                <w:rFonts w:cstheme="minorHAnsi"/>
                <w:sz w:val="20"/>
                <w:szCs w:val="20"/>
              </w:rPr>
              <w:t xml:space="preserve">Contribution to monitoring of NAP-GBV and information relevant to implementation of GoTL programming </w:t>
            </w:r>
          </w:p>
        </w:tc>
      </w:tr>
      <w:tr w:rsidR="00F71871" w:rsidRPr="008F332A" w14:paraId="1274D6A2" w14:textId="77777777" w:rsidTr="003A2CCC">
        <w:trPr>
          <w:trHeight w:val="57"/>
        </w:trPr>
        <w:tc>
          <w:tcPr>
            <w:tcW w:w="1000" w:type="pct"/>
          </w:tcPr>
          <w:p w14:paraId="592175A7" w14:textId="77777777" w:rsidR="00D5682F" w:rsidRPr="008F332A" w:rsidRDefault="00D5682F" w:rsidP="003A2CCC">
            <w:pPr>
              <w:pStyle w:val="BodyText"/>
              <w:spacing w:after="80" w:line="240" w:lineRule="auto"/>
              <w:rPr>
                <w:rFonts w:cstheme="minorHAnsi"/>
                <w:sz w:val="20"/>
                <w:szCs w:val="20"/>
              </w:rPr>
            </w:pPr>
            <w:r w:rsidRPr="008F332A">
              <w:rPr>
                <w:rFonts w:cstheme="minorHAnsi"/>
                <w:sz w:val="20"/>
                <w:szCs w:val="20"/>
              </w:rPr>
              <w:t>Partners</w:t>
            </w:r>
          </w:p>
        </w:tc>
        <w:tc>
          <w:tcPr>
            <w:tcW w:w="4000" w:type="pct"/>
          </w:tcPr>
          <w:p w14:paraId="73AB6CAB" w14:textId="77777777" w:rsidR="00D5682F" w:rsidRPr="008F332A" w:rsidRDefault="00D5682F" w:rsidP="003A2CCC">
            <w:pPr>
              <w:pStyle w:val="Bullets"/>
              <w:numPr>
                <w:ilvl w:val="0"/>
                <w:numId w:val="0"/>
              </w:numPr>
              <w:spacing w:after="80"/>
              <w:rPr>
                <w:rFonts w:cstheme="minorHAnsi"/>
                <w:sz w:val="20"/>
                <w:szCs w:val="20"/>
              </w:rPr>
            </w:pPr>
            <w:r w:rsidRPr="008F332A">
              <w:rPr>
                <w:rFonts w:cstheme="minorHAnsi"/>
                <w:sz w:val="20"/>
                <w:szCs w:val="20"/>
              </w:rPr>
              <w:t>Information for learning and improvement</w:t>
            </w:r>
          </w:p>
        </w:tc>
      </w:tr>
    </w:tbl>
    <w:p w14:paraId="275AB7BB" w14:textId="57F318E9" w:rsidR="000A5E7A" w:rsidRPr="008F332A" w:rsidRDefault="00C1473B" w:rsidP="003A2CCC">
      <w:pPr>
        <w:pStyle w:val="Heading1"/>
        <w:numPr>
          <w:ilvl w:val="0"/>
          <w:numId w:val="19"/>
        </w:numPr>
        <w:rPr>
          <w:rFonts w:asciiTheme="minorHAnsi" w:hAnsiTheme="minorHAnsi" w:cstheme="minorHAnsi"/>
        </w:rPr>
      </w:pPr>
      <w:bookmarkStart w:id="23" w:name="_Toc517960101"/>
      <w:bookmarkStart w:id="24" w:name="_Hlk483405010"/>
      <w:r w:rsidRPr="008F332A">
        <w:rPr>
          <w:rFonts w:asciiTheme="minorHAnsi" w:hAnsiTheme="minorHAnsi" w:cstheme="minorHAnsi"/>
        </w:rPr>
        <w:t>KEY EVALUATION QUESTIONS</w:t>
      </w:r>
      <w:r w:rsidR="000A5E7A" w:rsidRPr="008F332A">
        <w:rPr>
          <w:rFonts w:asciiTheme="minorHAnsi" w:hAnsiTheme="minorHAnsi" w:cstheme="minorHAnsi"/>
        </w:rPr>
        <w:t xml:space="preserve"> AND</w:t>
      </w:r>
      <w:r w:rsidR="002F00D4" w:rsidRPr="008F332A">
        <w:rPr>
          <w:rFonts w:asciiTheme="minorHAnsi" w:hAnsiTheme="minorHAnsi" w:cstheme="minorHAnsi"/>
        </w:rPr>
        <w:t xml:space="preserve"> SUB</w:t>
      </w:r>
      <w:r w:rsidR="00A30A82" w:rsidRPr="008F332A">
        <w:rPr>
          <w:rFonts w:asciiTheme="minorHAnsi" w:hAnsiTheme="minorHAnsi" w:cstheme="minorHAnsi"/>
        </w:rPr>
        <w:t>-</w:t>
      </w:r>
      <w:r w:rsidR="002F00D4" w:rsidRPr="008F332A">
        <w:rPr>
          <w:rFonts w:asciiTheme="minorHAnsi" w:hAnsiTheme="minorHAnsi" w:cstheme="minorHAnsi"/>
        </w:rPr>
        <w:t>QUESTIONS</w:t>
      </w:r>
      <w:bookmarkEnd w:id="23"/>
      <w:r w:rsidR="00F752C0" w:rsidRPr="008F332A">
        <w:rPr>
          <w:rFonts w:asciiTheme="minorHAnsi" w:hAnsiTheme="minorHAnsi" w:cstheme="minorHAnsi"/>
        </w:rPr>
        <w:t xml:space="preserve"> </w:t>
      </w:r>
    </w:p>
    <w:p w14:paraId="5E474138" w14:textId="77777777" w:rsidR="00A30A82" w:rsidRPr="008F332A" w:rsidRDefault="00E51101" w:rsidP="003A2CCC">
      <w:pPr>
        <w:pStyle w:val="Bullets"/>
        <w:numPr>
          <w:ilvl w:val="0"/>
          <w:numId w:val="0"/>
        </w:numPr>
        <w:jc w:val="both"/>
        <w:rPr>
          <w:rFonts w:cstheme="minorHAnsi"/>
          <w:b/>
          <w:color w:val="000000" w:themeColor="text1"/>
        </w:rPr>
      </w:pPr>
      <w:r w:rsidRPr="008F332A">
        <w:rPr>
          <w:rFonts w:cstheme="minorHAnsi"/>
          <w:color w:val="000000" w:themeColor="text1"/>
        </w:rPr>
        <w:t xml:space="preserve">The </w:t>
      </w:r>
      <w:r w:rsidR="00175F87" w:rsidRPr="008F332A">
        <w:rPr>
          <w:rFonts w:cstheme="minorHAnsi"/>
          <w:color w:val="000000" w:themeColor="text1"/>
        </w:rPr>
        <w:t xml:space="preserve">KEQs </w:t>
      </w:r>
      <w:r w:rsidR="00F752C0" w:rsidRPr="008F332A">
        <w:rPr>
          <w:rFonts w:cstheme="minorHAnsi"/>
          <w:color w:val="000000" w:themeColor="text1"/>
        </w:rPr>
        <w:t xml:space="preserve">were </w:t>
      </w:r>
      <w:r w:rsidR="00E021A8" w:rsidRPr="008F332A">
        <w:rPr>
          <w:rFonts w:cstheme="minorHAnsi"/>
          <w:color w:val="000000" w:themeColor="text1"/>
        </w:rPr>
        <w:t>initially developed during the October</w:t>
      </w:r>
      <w:r w:rsidR="004A120B" w:rsidRPr="008F332A">
        <w:rPr>
          <w:rFonts w:cstheme="minorHAnsi"/>
          <w:color w:val="000000" w:themeColor="text1"/>
        </w:rPr>
        <w:t xml:space="preserve"> </w:t>
      </w:r>
      <w:r w:rsidR="00E021A8" w:rsidRPr="008F332A">
        <w:rPr>
          <w:rFonts w:cstheme="minorHAnsi"/>
          <w:color w:val="000000" w:themeColor="text1"/>
        </w:rPr>
        <w:t>2017</w:t>
      </w:r>
      <w:r w:rsidR="00F752C0" w:rsidRPr="008F332A">
        <w:rPr>
          <w:rFonts w:cstheme="minorHAnsi"/>
          <w:color w:val="000000" w:themeColor="text1"/>
        </w:rPr>
        <w:t xml:space="preserve"> workshop </w:t>
      </w:r>
      <w:r w:rsidR="00E021A8" w:rsidRPr="008F332A">
        <w:rPr>
          <w:rFonts w:cstheme="minorHAnsi"/>
          <w:color w:val="000000" w:themeColor="text1"/>
        </w:rPr>
        <w:t xml:space="preserve">with further development in the </w:t>
      </w:r>
      <w:r w:rsidR="004A120B" w:rsidRPr="008F332A">
        <w:rPr>
          <w:rFonts w:cstheme="minorHAnsi"/>
          <w:color w:val="000000" w:themeColor="text1"/>
        </w:rPr>
        <w:t>April</w:t>
      </w:r>
      <w:r w:rsidR="00E021A8" w:rsidRPr="008F332A">
        <w:rPr>
          <w:rFonts w:cstheme="minorHAnsi"/>
          <w:color w:val="000000" w:themeColor="text1"/>
        </w:rPr>
        <w:t xml:space="preserve"> 2018 workshops</w:t>
      </w:r>
      <w:r w:rsidR="00F752C0" w:rsidRPr="008F332A">
        <w:rPr>
          <w:rFonts w:cstheme="minorHAnsi"/>
          <w:color w:val="000000" w:themeColor="text1"/>
        </w:rPr>
        <w:t>. They</w:t>
      </w:r>
      <w:r w:rsidR="00E125E6" w:rsidRPr="008F332A">
        <w:rPr>
          <w:rFonts w:cstheme="minorHAnsi"/>
          <w:color w:val="000000" w:themeColor="text1"/>
        </w:rPr>
        <w:t xml:space="preserve"> provide an o</w:t>
      </w:r>
      <w:r w:rsidR="009F3C54" w:rsidRPr="008F332A">
        <w:rPr>
          <w:rFonts w:cstheme="minorHAnsi"/>
          <w:color w:val="000000" w:themeColor="text1"/>
        </w:rPr>
        <w:t xml:space="preserve">rganising framework for </w:t>
      </w:r>
      <w:r w:rsidR="0022237F" w:rsidRPr="008F332A">
        <w:rPr>
          <w:rFonts w:cstheme="minorHAnsi"/>
          <w:color w:val="000000" w:themeColor="text1"/>
        </w:rPr>
        <w:t xml:space="preserve">Nabilan’s monitoring and evaluation approach, </w:t>
      </w:r>
      <w:r w:rsidR="00E125E6" w:rsidRPr="008F332A">
        <w:rPr>
          <w:rFonts w:cstheme="minorHAnsi"/>
          <w:color w:val="000000" w:themeColor="text1"/>
        </w:rPr>
        <w:t xml:space="preserve">and </w:t>
      </w:r>
      <w:r w:rsidR="00175F87" w:rsidRPr="008F332A">
        <w:rPr>
          <w:rFonts w:cstheme="minorHAnsi"/>
          <w:color w:val="000000" w:themeColor="text1"/>
        </w:rPr>
        <w:t>will be used</w:t>
      </w:r>
      <w:r w:rsidR="00A30A82" w:rsidRPr="008F332A">
        <w:rPr>
          <w:rFonts w:cstheme="minorHAnsi"/>
          <w:color w:val="000000" w:themeColor="text1"/>
        </w:rPr>
        <w:t xml:space="preserve"> </w:t>
      </w:r>
      <w:r w:rsidR="00E125E6" w:rsidRPr="008F332A">
        <w:rPr>
          <w:rFonts w:cstheme="minorHAnsi"/>
          <w:color w:val="000000" w:themeColor="text1"/>
        </w:rPr>
        <w:t>as a structure for</w:t>
      </w:r>
      <w:r w:rsidR="00A30A82" w:rsidRPr="008F332A">
        <w:rPr>
          <w:rFonts w:cstheme="minorHAnsi"/>
          <w:color w:val="000000" w:themeColor="text1"/>
        </w:rPr>
        <w:t xml:space="preserve"> </w:t>
      </w:r>
      <w:r w:rsidR="00E125E6" w:rsidRPr="008F332A">
        <w:rPr>
          <w:rFonts w:cstheme="minorHAnsi"/>
          <w:color w:val="000000" w:themeColor="text1"/>
        </w:rPr>
        <w:t xml:space="preserve">progress reports. </w:t>
      </w:r>
      <w:r w:rsidR="00A30A82" w:rsidRPr="008F332A">
        <w:rPr>
          <w:rFonts w:cstheme="minorHAnsi"/>
          <w:color w:val="000000" w:themeColor="text1"/>
        </w:rPr>
        <w:t xml:space="preserve">The KEQs and sub-questions are listed in Table </w:t>
      </w:r>
      <w:r w:rsidR="002C31F8" w:rsidRPr="008F332A">
        <w:rPr>
          <w:rFonts w:cstheme="minorHAnsi"/>
          <w:color w:val="000000" w:themeColor="text1"/>
        </w:rPr>
        <w:t>4</w:t>
      </w:r>
      <w:r w:rsidR="00A30A82" w:rsidRPr="008F332A">
        <w:rPr>
          <w:rFonts w:cstheme="minorHAnsi"/>
          <w:color w:val="000000" w:themeColor="text1"/>
        </w:rPr>
        <w:t xml:space="preserve"> below.  </w:t>
      </w:r>
    </w:p>
    <w:p w14:paraId="6E9DFBB3" w14:textId="1CE52056" w:rsidR="00770313" w:rsidRPr="008F332A" w:rsidRDefault="00A30A82" w:rsidP="003A2CCC">
      <w:pPr>
        <w:pStyle w:val="Bullets"/>
        <w:numPr>
          <w:ilvl w:val="0"/>
          <w:numId w:val="0"/>
        </w:numPr>
        <w:jc w:val="both"/>
        <w:rPr>
          <w:rFonts w:cstheme="minorHAnsi"/>
          <w:color w:val="002D88" w:themeColor="accent6" w:themeTint="E6"/>
        </w:rPr>
      </w:pPr>
      <w:r w:rsidRPr="008F332A">
        <w:rPr>
          <w:rFonts w:cstheme="minorHAnsi"/>
          <w:color w:val="002D88" w:themeColor="accent6" w:themeTint="E6"/>
        </w:rPr>
        <w:t xml:space="preserve">Table </w:t>
      </w:r>
      <w:r w:rsidR="002C31F8" w:rsidRPr="008F332A">
        <w:rPr>
          <w:rFonts w:cstheme="minorHAnsi"/>
          <w:color w:val="002D88" w:themeColor="accent6" w:themeTint="E6"/>
        </w:rPr>
        <w:t>4</w:t>
      </w:r>
      <w:r w:rsidRPr="008F332A">
        <w:rPr>
          <w:rFonts w:cstheme="minorHAnsi"/>
          <w:color w:val="002D88" w:themeColor="accent6" w:themeTint="E6"/>
        </w:rPr>
        <w:t xml:space="preserve">. </w:t>
      </w:r>
      <w:r w:rsidR="00770313" w:rsidRPr="008F332A">
        <w:rPr>
          <w:rFonts w:cstheme="minorHAnsi"/>
          <w:color w:val="002D88" w:themeColor="accent6" w:themeTint="E6"/>
        </w:rPr>
        <w:t>Key Evaluation Questions and Sub-questions</w:t>
      </w:r>
    </w:p>
    <w:tbl>
      <w:tblPr>
        <w:tblStyle w:val="TableGrid"/>
        <w:tblW w:w="5000" w:type="pct"/>
        <w:tblLook w:val="04A0" w:firstRow="1" w:lastRow="0" w:firstColumn="1" w:lastColumn="0" w:noHBand="0" w:noVBand="1"/>
      </w:tblPr>
      <w:tblGrid>
        <w:gridCol w:w="1563"/>
        <w:gridCol w:w="3530"/>
        <w:gridCol w:w="4494"/>
      </w:tblGrid>
      <w:tr w:rsidR="00F71871" w:rsidRPr="008F332A" w14:paraId="14714737" w14:textId="77777777" w:rsidTr="003A2CCC">
        <w:trPr>
          <w:trHeight w:val="360"/>
          <w:tblHeader/>
        </w:trPr>
        <w:tc>
          <w:tcPr>
            <w:tcW w:w="815" w:type="pct"/>
            <w:shd w:val="clear" w:color="auto" w:fill="99CCFF"/>
          </w:tcPr>
          <w:p w14:paraId="3DCDF39E" w14:textId="77777777" w:rsidR="00042D7D" w:rsidRPr="008F332A" w:rsidRDefault="00042D7D" w:rsidP="003A2CCC">
            <w:pPr>
              <w:spacing w:before="60" w:after="60"/>
              <w:jc w:val="left"/>
              <w:rPr>
                <w:rFonts w:cstheme="minorHAnsi"/>
                <w:b/>
                <w:sz w:val="20"/>
                <w:szCs w:val="20"/>
              </w:rPr>
            </w:pPr>
            <w:r w:rsidRPr="008F332A">
              <w:rPr>
                <w:rFonts w:cstheme="minorHAnsi"/>
                <w:b/>
                <w:sz w:val="20"/>
                <w:szCs w:val="20"/>
              </w:rPr>
              <w:t>Evaluation Criteria</w:t>
            </w:r>
          </w:p>
        </w:tc>
        <w:tc>
          <w:tcPr>
            <w:tcW w:w="1841" w:type="pct"/>
            <w:shd w:val="clear" w:color="auto" w:fill="99CCFF"/>
          </w:tcPr>
          <w:p w14:paraId="2107DC54" w14:textId="77777777" w:rsidR="00042D7D" w:rsidRPr="008F332A" w:rsidRDefault="00042D7D" w:rsidP="003A2CCC">
            <w:pPr>
              <w:spacing w:before="60" w:after="60"/>
              <w:jc w:val="center"/>
              <w:rPr>
                <w:rFonts w:cstheme="minorHAnsi"/>
                <w:b/>
                <w:sz w:val="20"/>
                <w:szCs w:val="20"/>
              </w:rPr>
            </w:pPr>
            <w:r w:rsidRPr="008F332A">
              <w:rPr>
                <w:rFonts w:cstheme="minorHAnsi"/>
                <w:b/>
                <w:sz w:val="20"/>
                <w:szCs w:val="20"/>
              </w:rPr>
              <w:t>Key Evaluation Questions</w:t>
            </w:r>
          </w:p>
        </w:tc>
        <w:tc>
          <w:tcPr>
            <w:tcW w:w="2345" w:type="pct"/>
            <w:shd w:val="clear" w:color="auto" w:fill="99CCFF"/>
          </w:tcPr>
          <w:p w14:paraId="459C3385" w14:textId="77777777" w:rsidR="00042D7D" w:rsidRPr="008F332A" w:rsidRDefault="00042D7D" w:rsidP="003A2CCC">
            <w:pPr>
              <w:spacing w:before="60" w:after="60"/>
              <w:jc w:val="left"/>
              <w:rPr>
                <w:rFonts w:cstheme="minorHAnsi"/>
                <w:b/>
                <w:sz w:val="20"/>
                <w:szCs w:val="20"/>
              </w:rPr>
            </w:pPr>
            <w:r w:rsidRPr="008F332A">
              <w:rPr>
                <w:rFonts w:cstheme="minorHAnsi"/>
                <w:b/>
                <w:sz w:val="20"/>
                <w:szCs w:val="20"/>
              </w:rPr>
              <w:t xml:space="preserve">Sub-Questions </w:t>
            </w:r>
          </w:p>
        </w:tc>
      </w:tr>
      <w:tr w:rsidR="00F71871" w:rsidRPr="008F332A" w14:paraId="6215D93D" w14:textId="77777777" w:rsidTr="003A2CCC">
        <w:trPr>
          <w:trHeight w:val="360"/>
        </w:trPr>
        <w:tc>
          <w:tcPr>
            <w:tcW w:w="815" w:type="pct"/>
            <w:vMerge w:val="restart"/>
          </w:tcPr>
          <w:p w14:paraId="58C5D0E9" w14:textId="77777777" w:rsidR="00F77914" w:rsidRPr="008F332A" w:rsidRDefault="00F77914" w:rsidP="003A2CCC">
            <w:pPr>
              <w:pStyle w:val="tablebullets"/>
              <w:rPr>
                <w:rFonts w:cstheme="minorHAnsi"/>
              </w:rPr>
            </w:pPr>
            <w:r w:rsidRPr="008F332A">
              <w:rPr>
                <w:rFonts w:cstheme="minorHAnsi"/>
              </w:rPr>
              <w:t>Effectiveness</w:t>
            </w:r>
          </w:p>
        </w:tc>
        <w:tc>
          <w:tcPr>
            <w:tcW w:w="1841" w:type="pct"/>
            <w:vMerge w:val="restart"/>
          </w:tcPr>
          <w:p w14:paraId="37EC62DF" w14:textId="418888C0" w:rsidR="00F77914" w:rsidRPr="008F332A" w:rsidRDefault="00F77914" w:rsidP="00AC0567">
            <w:pPr>
              <w:pStyle w:val="Bullets"/>
              <w:numPr>
                <w:ilvl w:val="0"/>
                <w:numId w:val="0"/>
              </w:numPr>
              <w:rPr>
                <w:rFonts w:cstheme="minorHAnsi"/>
                <w:sz w:val="20"/>
                <w:szCs w:val="20"/>
              </w:rPr>
            </w:pPr>
            <w:r w:rsidRPr="008F332A">
              <w:rPr>
                <w:rFonts w:cstheme="minorHAnsi"/>
                <w:sz w:val="20"/>
                <w:szCs w:val="20"/>
              </w:rPr>
              <w:t xml:space="preserve">KEQ1 How effective was the Nabilan program in </w:t>
            </w:r>
            <w:r w:rsidR="00AC0567">
              <w:rPr>
                <w:rFonts w:cstheme="minorHAnsi"/>
                <w:sz w:val="20"/>
                <w:szCs w:val="20"/>
              </w:rPr>
              <w:t>ensuring</w:t>
            </w:r>
            <w:r w:rsidR="00AC0567" w:rsidRPr="008F332A">
              <w:rPr>
                <w:rFonts w:cstheme="minorHAnsi"/>
                <w:sz w:val="20"/>
                <w:szCs w:val="20"/>
              </w:rPr>
              <w:t xml:space="preserve"> </w:t>
            </w:r>
            <w:r w:rsidRPr="008F332A">
              <w:rPr>
                <w:rFonts w:cstheme="minorHAnsi"/>
                <w:sz w:val="20"/>
                <w:szCs w:val="20"/>
              </w:rPr>
              <w:t xml:space="preserve">women and children </w:t>
            </w:r>
            <w:r w:rsidR="009B541A" w:rsidRPr="008F332A">
              <w:rPr>
                <w:rFonts w:cstheme="minorHAnsi"/>
                <w:sz w:val="20"/>
                <w:szCs w:val="20"/>
              </w:rPr>
              <w:t>who experience violence</w:t>
            </w:r>
            <w:r w:rsidR="009A09A9" w:rsidRPr="008F332A">
              <w:rPr>
                <w:rFonts w:cstheme="minorHAnsi"/>
                <w:sz w:val="20"/>
                <w:szCs w:val="20"/>
              </w:rPr>
              <w:t xml:space="preserve"> </w:t>
            </w:r>
            <w:r w:rsidR="009B541A" w:rsidRPr="008F332A">
              <w:rPr>
                <w:rFonts w:cstheme="minorHAnsi"/>
                <w:sz w:val="20"/>
                <w:szCs w:val="20"/>
              </w:rPr>
              <w:t>have</w:t>
            </w:r>
            <w:r w:rsidRPr="008F332A">
              <w:rPr>
                <w:rFonts w:cstheme="minorHAnsi"/>
                <w:sz w:val="20"/>
                <w:szCs w:val="20"/>
              </w:rPr>
              <w:t xml:space="preserve"> access to adequate and responsive services?</w:t>
            </w:r>
          </w:p>
        </w:tc>
        <w:tc>
          <w:tcPr>
            <w:tcW w:w="2345" w:type="pct"/>
          </w:tcPr>
          <w:p w14:paraId="0299D1E4" w14:textId="77777777" w:rsidR="00F77914" w:rsidRPr="008F332A" w:rsidRDefault="00F77914" w:rsidP="003A2CCC">
            <w:pPr>
              <w:jc w:val="left"/>
              <w:rPr>
                <w:rFonts w:cstheme="minorHAnsi"/>
                <w:sz w:val="20"/>
                <w:szCs w:val="20"/>
              </w:rPr>
            </w:pPr>
            <w:r w:rsidRPr="008F332A">
              <w:rPr>
                <w:rFonts w:cstheme="minorHAnsi"/>
                <w:sz w:val="20"/>
                <w:szCs w:val="20"/>
              </w:rPr>
              <w:t>1.1 To what extent are service provider staff using their knowledge and skills for improved service delivery?</w:t>
            </w:r>
          </w:p>
        </w:tc>
      </w:tr>
      <w:tr w:rsidR="00F71871" w:rsidRPr="008F332A" w14:paraId="68FEE22F" w14:textId="77777777" w:rsidTr="003A2CCC">
        <w:trPr>
          <w:trHeight w:val="360"/>
        </w:trPr>
        <w:tc>
          <w:tcPr>
            <w:tcW w:w="815" w:type="pct"/>
            <w:vMerge/>
          </w:tcPr>
          <w:p w14:paraId="7B3BE8F4" w14:textId="77777777" w:rsidR="00F77914" w:rsidRPr="008F332A" w:rsidRDefault="00F77914" w:rsidP="003A2CCC">
            <w:pPr>
              <w:pStyle w:val="tablebullets"/>
              <w:rPr>
                <w:rFonts w:cstheme="minorHAnsi"/>
              </w:rPr>
            </w:pPr>
          </w:p>
        </w:tc>
        <w:tc>
          <w:tcPr>
            <w:tcW w:w="1841" w:type="pct"/>
            <w:vMerge/>
          </w:tcPr>
          <w:p w14:paraId="4464C9C8" w14:textId="77777777" w:rsidR="00F77914" w:rsidRPr="008F332A" w:rsidRDefault="00F77914" w:rsidP="003A2CCC">
            <w:pPr>
              <w:pStyle w:val="tablebullets"/>
              <w:ind w:left="1617" w:hanging="341"/>
              <w:rPr>
                <w:rFonts w:cstheme="minorHAnsi"/>
              </w:rPr>
            </w:pPr>
          </w:p>
        </w:tc>
        <w:tc>
          <w:tcPr>
            <w:tcW w:w="2345" w:type="pct"/>
          </w:tcPr>
          <w:p w14:paraId="699DE248" w14:textId="77777777" w:rsidR="00F77914" w:rsidRPr="008F332A" w:rsidRDefault="00F77914" w:rsidP="003A2CCC">
            <w:pPr>
              <w:jc w:val="left"/>
              <w:rPr>
                <w:rFonts w:cstheme="minorHAnsi"/>
                <w:sz w:val="20"/>
                <w:szCs w:val="20"/>
              </w:rPr>
            </w:pPr>
            <w:r w:rsidRPr="008F332A">
              <w:rPr>
                <w:rFonts w:cstheme="minorHAnsi"/>
                <w:sz w:val="20"/>
                <w:szCs w:val="20"/>
              </w:rPr>
              <w:t>1.2 To what extent did Nabilan contribute to high quality service delivery?</w:t>
            </w:r>
          </w:p>
        </w:tc>
      </w:tr>
      <w:tr w:rsidR="00F71871" w:rsidRPr="008F332A" w14:paraId="7F955C1A" w14:textId="77777777" w:rsidTr="003A2CCC">
        <w:trPr>
          <w:trHeight w:val="360"/>
        </w:trPr>
        <w:tc>
          <w:tcPr>
            <w:tcW w:w="815" w:type="pct"/>
            <w:vMerge/>
          </w:tcPr>
          <w:p w14:paraId="153812D9" w14:textId="77777777" w:rsidR="00F77914" w:rsidRPr="008F332A" w:rsidRDefault="00F77914" w:rsidP="003A2CCC">
            <w:pPr>
              <w:jc w:val="left"/>
              <w:rPr>
                <w:rFonts w:cstheme="minorHAnsi"/>
                <w:sz w:val="20"/>
                <w:szCs w:val="20"/>
              </w:rPr>
            </w:pPr>
          </w:p>
        </w:tc>
        <w:tc>
          <w:tcPr>
            <w:tcW w:w="1841" w:type="pct"/>
            <w:vMerge/>
          </w:tcPr>
          <w:p w14:paraId="2337C648" w14:textId="77777777" w:rsidR="00F77914" w:rsidRPr="008F332A" w:rsidRDefault="00F77914" w:rsidP="003A2CCC">
            <w:pPr>
              <w:jc w:val="left"/>
              <w:rPr>
                <w:rFonts w:cstheme="minorHAnsi"/>
                <w:sz w:val="20"/>
                <w:szCs w:val="20"/>
              </w:rPr>
            </w:pPr>
          </w:p>
        </w:tc>
        <w:tc>
          <w:tcPr>
            <w:tcW w:w="2345" w:type="pct"/>
          </w:tcPr>
          <w:p w14:paraId="2DBE7B85" w14:textId="77777777" w:rsidR="00F77914" w:rsidRPr="008F332A" w:rsidRDefault="00F77914" w:rsidP="003A2CCC">
            <w:pPr>
              <w:pStyle w:val="tablebullets"/>
              <w:rPr>
                <w:rFonts w:cstheme="minorHAnsi"/>
              </w:rPr>
            </w:pPr>
            <w:r w:rsidRPr="008F332A">
              <w:rPr>
                <w:rFonts w:cstheme="minorHAnsi"/>
              </w:rPr>
              <w:t>1.3 To what extent did Nabilan contribute to inclusive service delivery?</w:t>
            </w:r>
          </w:p>
        </w:tc>
      </w:tr>
      <w:tr w:rsidR="00F71871" w:rsidRPr="008F332A" w14:paraId="3AC2640A" w14:textId="77777777" w:rsidTr="003A2CCC">
        <w:trPr>
          <w:trHeight w:val="305"/>
        </w:trPr>
        <w:tc>
          <w:tcPr>
            <w:tcW w:w="815" w:type="pct"/>
            <w:vMerge/>
          </w:tcPr>
          <w:p w14:paraId="1FFB59E4" w14:textId="77777777" w:rsidR="00F77914" w:rsidRPr="008F332A" w:rsidRDefault="00F77914" w:rsidP="003A2CCC">
            <w:pPr>
              <w:jc w:val="left"/>
              <w:rPr>
                <w:rFonts w:cstheme="minorHAnsi"/>
                <w:sz w:val="20"/>
                <w:szCs w:val="20"/>
              </w:rPr>
            </w:pPr>
          </w:p>
        </w:tc>
        <w:tc>
          <w:tcPr>
            <w:tcW w:w="1841" w:type="pct"/>
            <w:vMerge/>
          </w:tcPr>
          <w:p w14:paraId="08B450D4" w14:textId="77777777" w:rsidR="00F77914" w:rsidRPr="008F332A" w:rsidRDefault="00F77914" w:rsidP="003A2CCC">
            <w:pPr>
              <w:jc w:val="left"/>
              <w:rPr>
                <w:rFonts w:cstheme="minorHAnsi"/>
                <w:sz w:val="20"/>
                <w:szCs w:val="20"/>
              </w:rPr>
            </w:pPr>
          </w:p>
        </w:tc>
        <w:tc>
          <w:tcPr>
            <w:tcW w:w="2345" w:type="pct"/>
          </w:tcPr>
          <w:p w14:paraId="088D960F" w14:textId="77777777" w:rsidR="00F77914" w:rsidRPr="008F332A" w:rsidRDefault="00F77914" w:rsidP="003A2CCC">
            <w:pPr>
              <w:pStyle w:val="tablebullets"/>
              <w:rPr>
                <w:rFonts w:cstheme="minorHAnsi"/>
              </w:rPr>
            </w:pPr>
            <w:r w:rsidRPr="008F332A">
              <w:rPr>
                <w:rFonts w:cstheme="minorHAnsi"/>
              </w:rPr>
              <w:t>1.4 How has Nabilan strengthened referral pathways?</w:t>
            </w:r>
          </w:p>
        </w:tc>
      </w:tr>
      <w:tr w:rsidR="00F71871" w:rsidRPr="008F332A" w14:paraId="2C9127B8" w14:textId="77777777" w:rsidTr="003A2CCC">
        <w:trPr>
          <w:trHeight w:val="360"/>
        </w:trPr>
        <w:tc>
          <w:tcPr>
            <w:tcW w:w="815" w:type="pct"/>
            <w:vMerge/>
          </w:tcPr>
          <w:p w14:paraId="4E849C03" w14:textId="77777777" w:rsidR="00F77914" w:rsidRPr="008F332A" w:rsidRDefault="00F77914" w:rsidP="003A2CCC">
            <w:pPr>
              <w:jc w:val="left"/>
              <w:rPr>
                <w:rFonts w:cstheme="minorHAnsi"/>
                <w:sz w:val="20"/>
                <w:szCs w:val="20"/>
              </w:rPr>
            </w:pPr>
          </w:p>
        </w:tc>
        <w:tc>
          <w:tcPr>
            <w:tcW w:w="1841" w:type="pct"/>
            <w:vMerge/>
          </w:tcPr>
          <w:p w14:paraId="50620AC3" w14:textId="77777777" w:rsidR="00F77914" w:rsidRPr="008F332A" w:rsidRDefault="00F77914" w:rsidP="003A2CCC">
            <w:pPr>
              <w:jc w:val="left"/>
              <w:rPr>
                <w:rFonts w:cstheme="minorHAnsi"/>
                <w:sz w:val="20"/>
                <w:szCs w:val="20"/>
              </w:rPr>
            </w:pPr>
          </w:p>
        </w:tc>
        <w:tc>
          <w:tcPr>
            <w:tcW w:w="2345" w:type="pct"/>
          </w:tcPr>
          <w:p w14:paraId="5C43B55A" w14:textId="77777777" w:rsidR="00F77914" w:rsidRPr="008F332A" w:rsidRDefault="00E67FB2" w:rsidP="003A2CCC">
            <w:pPr>
              <w:pStyle w:val="tablebullets"/>
              <w:rPr>
                <w:rFonts w:cstheme="minorHAnsi"/>
              </w:rPr>
            </w:pPr>
            <w:r w:rsidRPr="008F332A">
              <w:rPr>
                <w:rFonts w:cstheme="minorHAnsi"/>
              </w:rPr>
              <w:t>1.5</w:t>
            </w:r>
            <w:r w:rsidR="00F77914" w:rsidRPr="008F332A">
              <w:rPr>
                <w:rFonts w:cstheme="minorHAnsi"/>
              </w:rPr>
              <w:t xml:space="preserve"> How has Nabilan contributed to improving the justice sector response to VAWC?</w:t>
            </w:r>
          </w:p>
        </w:tc>
      </w:tr>
      <w:tr w:rsidR="00551D7F" w:rsidRPr="008F332A" w14:paraId="08965C41" w14:textId="77777777" w:rsidTr="003A2CCC">
        <w:trPr>
          <w:trHeight w:val="493"/>
        </w:trPr>
        <w:tc>
          <w:tcPr>
            <w:tcW w:w="815" w:type="pct"/>
            <w:vMerge w:val="restart"/>
          </w:tcPr>
          <w:p w14:paraId="57AD9882" w14:textId="77777777" w:rsidR="00551D7F" w:rsidRPr="008F332A" w:rsidRDefault="00551D7F" w:rsidP="003A2CCC">
            <w:pPr>
              <w:pStyle w:val="tablebullets"/>
              <w:rPr>
                <w:rFonts w:cstheme="minorHAnsi"/>
              </w:rPr>
            </w:pPr>
            <w:r w:rsidRPr="008F332A">
              <w:rPr>
                <w:rFonts w:cstheme="minorHAnsi"/>
              </w:rPr>
              <w:t>Effectiveness</w:t>
            </w:r>
          </w:p>
        </w:tc>
        <w:tc>
          <w:tcPr>
            <w:tcW w:w="1841" w:type="pct"/>
            <w:vMerge w:val="restart"/>
          </w:tcPr>
          <w:p w14:paraId="39C084D3" w14:textId="77777777" w:rsidR="00551D7F" w:rsidRPr="008F332A" w:rsidRDefault="00551D7F" w:rsidP="003A2CCC">
            <w:pPr>
              <w:pStyle w:val="Bullets"/>
              <w:numPr>
                <w:ilvl w:val="0"/>
                <w:numId w:val="0"/>
              </w:numPr>
              <w:rPr>
                <w:rFonts w:cstheme="minorHAnsi"/>
                <w:sz w:val="20"/>
                <w:szCs w:val="20"/>
              </w:rPr>
            </w:pPr>
            <w:r w:rsidRPr="008F332A">
              <w:rPr>
                <w:rFonts w:cstheme="minorHAnsi"/>
                <w:sz w:val="20"/>
                <w:szCs w:val="20"/>
              </w:rPr>
              <w:t>KEQ 2 To what extent are individuals, communities and institutions taking action to reduce violence against women?</w:t>
            </w:r>
          </w:p>
        </w:tc>
        <w:tc>
          <w:tcPr>
            <w:tcW w:w="2345" w:type="pct"/>
          </w:tcPr>
          <w:p w14:paraId="29B46513" w14:textId="77777777" w:rsidR="00551D7F" w:rsidRPr="008F332A" w:rsidRDefault="00551D7F" w:rsidP="003A2CCC">
            <w:pPr>
              <w:pStyle w:val="tablebullets"/>
              <w:rPr>
                <w:rFonts w:cstheme="minorHAnsi"/>
              </w:rPr>
            </w:pPr>
            <w:r w:rsidRPr="008F332A">
              <w:rPr>
                <w:rFonts w:cstheme="minorHAnsi"/>
              </w:rPr>
              <w:t>2.1 Is Nabilan effectively supporting partner agencies to undertake quality prevention programming?</w:t>
            </w:r>
          </w:p>
        </w:tc>
      </w:tr>
      <w:tr w:rsidR="00551D7F" w:rsidRPr="008F332A" w14:paraId="35290DEB" w14:textId="77777777" w:rsidTr="003A2CCC">
        <w:trPr>
          <w:trHeight w:val="360"/>
        </w:trPr>
        <w:tc>
          <w:tcPr>
            <w:tcW w:w="815" w:type="pct"/>
            <w:vMerge/>
          </w:tcPr>
          <w:p w14:paraId="0B5DCEA2" w14:textId="77777777" w:rsidR="00551D7F" w:rsidRPr="008F332A" w:rsidRDefault="00551D7F" w:rsidP="003A2CCC">
            <w:pPr>
              <w:pStyle w:val="tablebullets"/>
              <w:rPr>
                <w:rFonts w:cstheme="minorHAnsi"/>
              </w:rPr>
            </w:pPr>
          </w:p>
        </w:tc>
        <w:tc>
          <w:tcPr>
            <w:tcW w:w="1841" w:type="pct"/>
            <w:vMerge/>
          </w:tcPr>
          <w:p w14:paraId="28CCC5FD" w14:textId="77777777" w:rsidR="00551D7F" w:rsidRPr="008F332A" w:rsidRDefault="00551D7F" w:rsidP="003A2CCC">
            <w:pPr>
              <w:pStyle w:val="tablebullets"/>
              <w:rPr>
                <w:rFonts w:cstheme="minorHAnsi"/>
              </w:rPr>
            </w:pPr>
          </w:p>
        </w:tc>
        <w:tc>
          <w:tcPr>
            <w:tcW w:w="2345" w:type="pct"/>
          </w:tcPr>
          <w:p w14:paraId="52D44A09" w14:textId="77777777" w:rsidR="00551D7F" w:rsidRPr="008F332A" w:rsidRDefault="00551D7F" w:rsidP="003A2CCC">
            <w:pPr>
              <w:pStyle w:val="tablebullets"/>
              <w:rPr>
                <w:rFonts w:cstheme="minorHAnsi"/>
              </w:rPr>
            </w:pPr>
            <w:r w:rsidRPr="008F332A">
              <w:rPr>
                <w:rFonts w:cstheme="minorHAnsi"/>
              </w:rPr>
              <w:t>2.2 How has Nabilan contributed to the independent women's movement’s advocacy on gender equity and ending VAWC?</w:t>
            </w:r>
          </w:p>
        </w:tc>
      </w:tr>
      <w:tr w:rsidR="00551D7F" w:rsidRPr="008F332A" w14:paraId="638C2222" w14:textId="77777777" w:rsidTr="003A2CCC">
        <w:trPr>
          <w:trHeight w:val="360"/>
        </w:trPr>
        <w:tc>
          <w:tcPr>
            <w:tcW w:w="815" w:type="pct"/>
            <w:vMerge/>
          </w:tcPr>
          <w:p w14:paraId="0307B143" w14:textId="77777777" w:rsidR="00551D7F" w:rsidRPr="008F332A" w:rsidRDefault="00551D7F" w:rsidP="003A2CCC">
            <w:pPr>
              <w:pStyle w:val="tablebullets"/>
              <w:rPr>
                <w:rFonts w:cstheme="minorHAnsi"/>
              </w:rPr>
            </w:pPr>
          </w:p>
        </w:tc>
        <w:tc>
          <w:tcPr>
            <w:tcW w:w="1841" w:type="pct"/>
            <w:vMerge/>
          </w:tcPr>
          <w:p w14:paraId="5928165A" w14:textId="77777777" w:rsidR="00551D7F" w:rsidRPr="008F332A" w:rsidRDefault="00551D7F" w:rsidP="003A2CCC">
            <w:pPr>
              <w:pStyle w:val="tablebullets"/>
              <w:rPr>
                <w:rFonts w:cstheme="minorHAnsi"/>
              </w:rPr>
            </w:pPr>
          </w:p>
        </w:tc>
        <w:tc>
          <w:tcPr>
            <w:tcW w:w="2345" w:type="pct"/>
          </w:tcPr>
          <w:p w14:paraId="71EE71AE" w14:textId="77777777" w:rsidR="00551D7F" w:rsidRPr="008F332A" w:rsidRDefault="00551D7F" w:rsidP="003A2CCC">
            <w:pPr>
              <w:pStyle w:val="tablebullets"/>
              <w:rPr>
                <w:rFonts w:cstheme="minorHAnsi"/>
              </w:rPr>
            </w:pPr>
            <w:r w:rsidRPr="008F332A">
              <w:rPr>
                <w:rFonts w:cstheme="minorHAnsi"/>
              </w:rPr>
              <w:t>2.3 To what extent has Nabilan influenced increased GOTL dialogue and action on preventing VAWC?</w:t>
            </w:r>
          </w:p>
        </w:tc>
      </w:tr>
      <w:tr w:rsidR="00551D7F" w:rsidRPr="008F332A" w14:paraId="18116522" w14:textId="77777777" w:rsidTr="003A2CCC">
        <w:trPr>
          <w:trHeight w:val="360"/>
        </w:trPr>
        <w:tc>
          <w:tcPr>
            <w:tcW w:w="815" w:type="pct"/>
            <w:vMerge/>
          </w:tcPr>
          <w:p w14:paraId="1206715C" w14:textId="77777777" w:rsidR="00551D7F" w:rsidRPr="008F332A" w:rsidRDefault="00551D7F" w:rsidP="003A2CCC">
            <w:pPr>
              <w:pStyle w:val="tablebullets"/>
              <w:rPr>
                <w:rFonts w:cstheme="minorHAnsi"/>
              </w:rPr>
            </w:pPr>
          </w:p>
        </w:tc>
        <w:tc>
          <w:tcPr>
            <w:tcW w:w="1841" w:type="pct"/>
            <w:vMerge/>
          </w:tcPr>
          <w:p w14:paraId="1C378554" w14:textId="77777777" w:rsidR="00551D7F" w:rsidRPr="008F332A" w:rsidRDefault="00551D7F" w:rsidP="003A2CCC">
            <w:pPr>
              <w:pStyle w:val="tablebullets"/>
              <w:rPr>
                <w:rFonts w:cstheme="minorHAnsi"/>
              </w:rPr>
            </w:pPr>
          </w:p>
        </w:tc>
        <w:tc>
          <w:tcPr>
            <w:tcW w:w="2345" w:type="pct"/>
          </w:tcPr>
          <w:p w14:paraId="1902B61E" w14:textId="77777777" w:rsidR="00551D7F" w:rsidRPr="008F332A" w:rsidRDefault="00551D7F" w:rsidP="003A2CCC">
            <w:pPr>
              <w:pStyle w:val="tablebullets"/>
              <w:rPr>
                <w:rFonts w:cstheme="minorHAnsi"/>
              </w:rPr>
            </w:pPr>
            <w:r w:rsidRPr="008F332A">
              <w:rPr>
                <w:rFonts w:cstheme="minorHAnsi"/>
              </w:rPr>
              <w:t>2.4 Is Nabilan effectively supporting Change Ambassadors to influence their programs on quality prevention approaches?</w:t>
            </w:r>
          </w:p>
        </w:tc>
      </w:tr>
      <w:tr w:rsidR="00551D7F" w:rsidRPr="008F332A" w14:paraId="25DC5607" w14:textId="77777777" w:rsidTr="003A2CCC">
        <w:trPr>
          <w:trHeight w:val="360"/>
        </w:trPr>
        <w:tc>
          <w:tcPr>
            <w:tcW w:w="815" w:type="pct"/>
            <w:vMerge/>
          </w:tcPr>
          <w:p w14:paraId="6E6180B9" w14:textId="77777777" w:rsidR="00551D7F" w:rsidRPr="008F332A" w:rsidRDefault="00551D7F" w:rsidP="003A2CCC">
            <w:pPr>
              <w:pStyle w:val="tablebullets"/>
              <w:rPr>
                <w:rFonts w:cstheme="minorHAnsi"/>
              </w:rPr>
            </w:pPr>
          </w:p>
        </w:tc>
        <w:tc>
          <w:tcPr>
            <w:tcW w:w="1841" w:type="pct"/>
            <w:vMerge/>
          </w:tcPr>
          <w:p w14:paraId="2D941BF7" w14:textId="77777777" w:rsidR="00551D7F" w:rsidRPr="008F332A" w:rsidRDefault="00551D7F" w:rsidP="003A2CCC">
            <w:pPr>
              <w:pStyle w:val="tablebullets"/>
              <w:rPr>
                <w:rFonts w:cstheme="minorHAnsi"/>
              </w:rPr>
            </w:pPr>
          </w:p>
        </w:tc>
        <w:tc>
          <w:tcPr>
            <w:tcW w:w="2345" w:type="pct"/>
          </w:tcPr>
          <w:p w14:paraId="260195CB" w14:textId="77777777" w:rsidR="00551D7F" w:rsidRPr="008F332A" w:rsidRDefault="00551D7F" w:rsidP="003A2CCC">
            <w:pPr>
              <w:pStyle w:val="tablebullets"/>
              <w:rPr>
                <w:rFonts w:cstheme="minorHAnsi"/>
              </w:rPr>
            </w:pPr>
            <w:r w:rsidRPr="008F332A">
              <w:rPr>
                <w:rFonts w:cstheme="minorHAnsi"/>
              </w:rPr>
              <w:t>2.5 To what extent has Nabilan supported individuals, communities and institutions to recognise VAWC as a problem?</w:t>
            </w:r>
          </w:p>
        </w:tc>
      </w:tr>
      <w:tr w:rsidR="00551D7F" w:rsidRPr="008F332A" w14:paraId="2B707C9D" w14:textId="77777777" w:rsidTr="003A2CCC">
        <w:trPr>
          <w:trHeight w:val="360"/>
        </w:trPr>
        <w:tc>
          <w:tcPr>
            <w:tcW w:w="815" w:type="pct"/>
            <w:vMerge/>
          </w:tcPr>
          <w:p w14:paraId="10DD16C0" w14:textId="77777777" w:rsidR="00551D7F" w:rsidRPr="008F332A" w:rsidRDefault="00551D7F" w:rsidP="003A2CCC">
            <w:pPr>
              <w:pStyle w:val="tablebullets"/>
              <w:rPr>
                <w:rFonts w:cstheme="minorHAnsi"/>
              </w:rPr>
            </w:pPr>
          </w:p>
        </w:tc>
        <w:tc>
          <w:tcPr>
            <w:tcW w:w="1841" w:type="pct"/>
            <w:vMerge/>
          </w:tcPr>
          <w:p w14:paraId="0CBE6CD0" w14:textId="77777777" w:rsidR="00551D7F" w:rsidRPr="008F332A" w:rsidRDefault="00551D7F" w:rsidP="003A2CCC">
            <w:pPr>
              <w:pStyle w:val="tablebullets"/>
              <w:rPr>
                <w:rFonts w:cstheme="minorHAnsi"/>
              </w:rPr>
            </w:pPr>
          </w:p>
        </w:tc>
        <w:tc>
          <w:tcPr>
            <w:tcW w:w="2345" w:type="pct"/>
          </w:tcPr>
          <w:p w14:paraId="00612FB9" w14:textId="77777777" w:rsidR="00551D7F" w:rsidRPr="008F332A" w:rsidRDefault="00551D7F" w:rsidP="003A2CCC">
            <w:pPr>
              <w:pStyle w:val="tablebullets"/>
              <w:rPr>
                <w:rFonts w:cstheme="minorHAnsi"/>
              </w:rPr>
            </w:pPr>
            <w:r w:rsidRPr="00527B15">
              <w:rPr>
                <w:rFonts w:cstheme="minorHAnsi"/>
              </w:rPr>
              <w:t>2.</w:t>
            </w:r>
            <w:r>
              <w:rPr>
                <w:rFonts w:cstheme="minorHAnsi"/>
              </w:rPr>
              <w:t>6</w:t>
            </w:r>
            <w:r w:rsidRPr="00527B15">
              <w:rPr>
                <w:rFonts w:cstheme="minorHAnsi"/>
              </w:rPr>
              <w:t xml:space="preserve"> To what extent has Nabilan supported communities to take independent action to prevent VAWC?</w:t>
            </w:r>
          </w:p>
        </w:tc>
      </w:tr>
      <w:tr w:rsidR="00551D7F" w:rsidRPr="008F332A" w14:paraId="34F8E273" w14:textId="77777777" w:rsidTr="003A2CCC">
        <w:trPr>
          <w:trHeight w:val="360"/>
        </w:trPr>
        <w:tc>
          <w:tcPr>
            <w:tcW w:w="815" w:type="pct"/>
            <w:vMerge/>
          </w:tcPr>
          <w:p w14:paraId="1569538E" w14:textId="77777777" w:rsidR="00551D7F" w:rsidRPr="008F332A" w:rsidRDefault="00551D7F" w:rsidP="003A2CCC">
            <w:pPr>
              <w:pStyle w:val="tablebullets"/>
              <w:rPr>
                <w:rFonts w:cstheme="minorHAnsi"/>
              </w:rPr>
            </w:pPr>
          </w:p>
        </w:tc>
        <w:tc>
          <w:tcPr>
            <w:tcW w:w="1841" w:type="pct"/>
            <w:vMerge/>
          </w:tcPr>
          <w:p w14:paraId="04B71926" w14:textId="77777777" w:rsidR="00551D7F" w:rsidRPr="008F332A" w:rsidRDefault="00551D7F" w:rsidP="003A2CCC">
            <w:pPr>
              <w:pStyle w:val="tablebullets"/>
              <w:rPr>
                <w:rFonts w:cstheme="minorHAnsi"/>
              </w:rPr>
            </w:pPr>
          </w:p>
        </w:tc>
        <w:tc>
          <w:tcPr>
            <w:tcW w:w="2345" w:type="pct"/>
          </w:tcPr>
          <w:p w14:paraId="7F4C80DF" w14:textId="77777777" w:rsidR="00551D7F" w:rsidRPr="00527B15" w:rsidRDefault="00551D7F" w:rsidP="003A2CCC">
            <w:pPr>
              <w:pStyle w:val="tablebullets"/>
              <w:rPr>
                <w:rFonts w:cstheme="minorHAnsi"/>
              </w:rPr>
            </w:pPr>
            <w:r>
              <w:rPr>
                <w:rFonts w:cstheme="minorHAnsi"/>
              </w:rPr>
              <w:t>2.7</w:t>
            </w:r>
            <w:r w:rsidRPr="008F332A">
              <w:rPr>
                <w:rFonts w:cstheme="minorHAnsi"/>
              </w:rPr>
              <w:t xml:space="preserve"> To what extent has the evidence from the CBA pilot influenced prevention programming by other agencies?</w:t>
            </w:r>
          </w:p>
        </w:tc>
      </w:tr>
      <w:tr w:rsidR="00F4216E" w:rsidRPr="008F332A" w14:paraId="2FA5A9D6" w14:textId="77777777" w:rsidTr="003A2CCC">
        <w:trPr>
          <w:trHeight w:val="360"/>
        </w:trPr>
        <w:tc>
          <w:tcPr>
            <w:tcW w:w="815" w:type="pct"/>
            <w:vMerge w:val="restart"/>
          </w:tcPr>
          <w:p w14:paraId="4B141DEF" w14:textId="77777777" w:rsidR="00F4216E" w:rsidRPr="008F332A" w:rsidRDefault="00F4216E" w:rsidP="003A2CCC">
            <w:pPr>
              <w:pStyle w:val="Bullets"/>
              <w:numPr>
                <w:ilvl w:val="0"/>
                <w:numId w:val="0"/>
              </w:numPr>
              <w:rPr>
                <w:rFonts w:cstheme="minorHAnsi"/>
                <w:sz w:val="20"/>
                <w:szCs w:val="20"/>
              </w:rPr>
            </w:pPr>
            <w:r w:rsidRPr="008F332A">
              <w:rPr>
                <w:rFonts w:cstheme="minorHAnsi"/>
                <w:sz w:val="20"/>
                <w:szCs w:val="20"/>
              </w:rPr>
              <w:t>Sustainability</w:t>
            </w:r>
          </w:p>
        </w:tc>
        <w:tc>
          <w:tcPr>
            <w:tcW w:w="1841" w:type="pct"/>
            <w:vMerge w:val="restart"/>
          </w:tcPr>
          <w:p w14:paraId="5DCD3097" w14:textId="494FAE79" w:rsidR="00F4216E" w:rsidRPr="008F332A" w:rsidRDefault="00F4216E" w:rsidP="003A2CCC">
            <w:pPr>
              <w:pStyle w:val="Bullets"/>
              <w:numPr>
                <w:ilvl w:val="0"/>
                <w:numId w:val="0"/>
              </w:numPr>
              <w:rPr>
                <w:rFonts w:cstheme="minorHAnsi"/>
                <w:sz w:val="20"/>
                <w:szCs w:val="20"/>
              </w:rPr>
            </w:pPr>
            <w:r w:rsidRPr="008F332A">
              <w:rPr>
                <w:rFonts w:cstheme="minorHAnsi"/>
                <w:sz w:val="20"/>
                <w:szCs w:val="20"/>
              </w:rPr>
              <w:t>KEQ 3 What key factors will contribute to the sustainability of the Nabilan program outcomes beyond the end of the program?</w:t>
            </w:r>
          </w:p>
        </w:tc>
        <w:tc>
          <w:tcPr>
            <w:tcW w:w="2345" w:type="pct"/>
          </w:tcPr>
          <w:p w14:paraId="23CDF7BC" w14:textId="6F9B737E" w:rsidR="00F4216E" w:rsidRPr="008F332A" w:rsidRDefault="00F4216E" w:rsidP="003A2CCC">
            <w:pPr>
              <w:pStyle w:val="Bullets"/>
              <w:numPr>
                <w:ilvl w:val="0"/>
                <w:numId w:val="0"/>
              </w:numPr>
              <w:rPr>
                <w:rFonts w:cstheme="minorHAnsi"/>
                <w:sz w:val="20"/>
                <w:szCs w:val="20"/>
              </w:rPr>
            </w:pPr>
            <w:r w:rsidRPr="008F332A">
              <w:rPr>
                <w:rFonts w:cstheme="minorHAnsi"/>
                <w:sz w:val="20"/>
                <w:szCs w:val="20"/>
              </w:rPr>
              <w:t>3.1 To what extent is GOTL resourcing prevention activities and essential services for women and children impacted by violence</w:t>
            </w:r>
            <w:r>
              <w:rPr>
                <w:rFonts w:cstheme="minorHAnsi"/>
                <w:sz w:val="20"/>
                <w:szCs w:val="20"/>
              </w:rPr>
              <w:t>?</w:t>
            </w:r>
            <w:r w:rsidRPr="008F332A">
              <w:rPr>
                <w:rFonts w:cstheme="minorHAnsi"/>
                <w:sz w:val="20"/>
                <w:szCs w:val="20"/>
              </w:rPr>
              <w:t xml:space="preserve"> </w:t>
            </w:r>
            <w:r>
              <w:rPr>
                <w:rFonts w:cstheme="minorHAnsi"/>
                <w:sz w:val="20"/>
                <w:szCs w:val="20"/>
              </w:rPr>
              <w:t>How did Nabilan contribute to this?</w:t>
            </w:r>
          </w:p>
        </w:tc>
      </w:tr>
      <w:tr w:rsidR="00F4216E" w:rsidRPr="008F332A" w14:paraId="27D67921" w14:textId="77777777" w:rsidTr="003A2CCC">
        <w:trPr>
          <w:trHeight w:val="360"/>
        </w:trPr>
        <w:tc>
          <w:tcPr>
            <w:tcW w:w="815" w:type="pct"/>
            <w:vMerge/>
          </w:tcPr>
          <w:p w14:paraId="0171359C" w14:textId="77777777" w:rsidR="00F4216E" w:rsidRPr="008F332A" w:rsidRDefault="00F4216E" w:rsidP="003A2CCC">
            <w:pPr>
              <w:pStyle w:val="tablebullets"/>
              <w:rPr>
                <w:rFonts w:cstheme="minorHAnsi"/>
              </w:rPr>
            </w:pPr>
          </w:p>
        </w:tc>
        <w:tc>
          <w:tcPr>
            <w:tcW w:w="1841" w:type="pct"/>
            <w:vMerge/>
          </w:tcPr>
          <w:p w14:paraId="6F22645B" w14:textId="77777777" w:rsidR="00F4216E" w:rsidRPr="008F332A" w:rsidRDefault="00F4216E" w:rsidP="003A2CCC">
            <w:pPr>
              <w:pStyle w:val="tablebullets"/>
              <w:rPr>
                <w:rFonts w:cstheme="minorHAnsi"/>
              </w:rPr>
            </w:pPr>
          </w:p>
        </w:tc>
        <w:tc>
          <w:tcPr>
            <w:tcW w:w="2345" w:type="pct"/>
          </w:tcPr>
          <w:p w14:paraId="1570EA3A" w14:textId="39AA890F" w:rsidR="00F4216E" w:rsidRPr="008F332A" w:rsidRDefault="00F4216E" w:rsidP="003A2CCC">
            <w:pPr>
              <w:pStyle w:val="Bullets"/>
              <w:numPr>
                <w:ilvl w:val="0"/>
                <w:numId w:val="0"/>
              </w:numPr>
              <w:rPr>
                <w:rFonts w:cstheme="minorHAnsi"/>
                <w:sz w:val="20"/>
                <w:szCs w:val="20"/>
              </w:rPr>
            </w:pPr>
            <w:r w:rsidRPr="008F332A">
              <w:rPr>
                <w:rFonts w:cstheme="minorHAnsi"/>
                <w:sz w:val="20"/>
                <w:szCs w:val="20"/>
              </w:rPr>
              <w:t>3.2 Is there evidence of change of community attitudes and practices relating to VAWC?   </w:t>
            </w:r>
          </w:p>
        </w:tc>
      </w:tr>
      <w:tr w:rsidR="00F4216E" w:rsidRPr="008F332A" w14:paraId="0CF0FE82" w14:textId="77777777" w:rsidTr="003A2CCC">
        <w:trPr>
          <w:trHeight w:val="360"/>
        </w:trPr>
        <w:tc>
          <w:tcPr>
            <w:tcW w:w="815" w:type="pct"/>
            <w:vMerge/>
          </w:tcPr>
          <w:p w14:paraId="69F1BA75" w14:textId="77777777" w:rsidR="00F4216E" w:rsidRPr="008F332A" w:rsidRDefault="00F4216E" w:rsidP="003A2CCC">
            <w:pPr>
              <w:pStyle w:val="tablebullets"/>
              <w:rPr>
                <w:rFonts w:cstheme="minorHAnsi"/>
              </w:rPr>
            </w:pPr>
          </w:p>
        </w:tc>
        <w:tc>
          <w:tcPr>
            <w:tcW w:w="1841" w:type="pct"/>
            <w:vMerge/>
          </w:tcPr>
          <w:p w14:paraId="798B01AD" w14:textId="77777777" w:rsidR="00F4216E" w:rsidRPr="008F332A" w:rsidRDefault="00F4216E" w:rsidP="003A2CCC">
            <w:pPr>
              <w:pStyle w:val="tablebullets"/>
              <w:rPr>
                <w:rFonts w:cstheme="minorHAnsi"/>
              </w:rPr>
            </w:pPr>
          </w:p>
        </w:tc>
        <w:tc>
          <w:tcPr>
            <w:tcW w:w="2345" w:type="pct"/>
          </w:tcPr>
          <w:p w14:paraId="64CC4E9E" w14:textId="5E58D333" w:rsidR="00F4216E" w:rsidRPr="008F332A" w:rsidRDefault="00F4216E" w:rsidP="003A2CCC">
            <w:pPr>
              <w:pStyle w:val="Bullets"/>
              <w:numPr>
                <w:ilvl w:val="0"/>
                <w:numId w:val="0"/>
              </w:numPr>
              <w:rPr>
                <w:rFonts w:cstheme="minorHAnsi"/>
                <w:sz w:val="20"/>
                <w:szCs w:val="20"/>
              </w:rPr>
            </w:pPr>
            <w:r w:rsidRPr="008F332A">
              <w:rPr>
                <w:rFonts w:cstheme="minorHAnsi"/>
                <w:sz w:val="20"/>
                <w:szCs w:val="20"/>
              </w:rPr>
              <w:t>3.3 Is there evidence of strengthened local capacity and systems to continue implementation of quality services and prevention approaches? </w:t>
            </w:r>
          </w:p>
        </w:tc>
      </w:tr>
      <w:tr w:rsidR="00F4216E" w:rsidRPr="008F332A" w14:paraId="17120056" w14:textId="77777777" w:rsidTr="003A2CCC">
        <w:trPr>
          <w:trHeight w:val="360"/>
        </w:trPr>
        <w:tc>
          <w:tcPr>
            <w:tcW w:w="815" w:type="pct"/>
            <w:vMerge/>
          </w:tcPr>
          <w:p w14:paraId="1460856A" w14:textId="77777777" w:rsidR="00F4216E" w:rsidRPr="008F332A" w:rsidRDefault="00F4216E" w:rsidP="003A2CCC">
            <w:pPr>
              <w:pStyle w:val="tablebullets"/>
              <w:rPr>
                <w:rFonts w:cstheme="minorHAnsi"/>
              </w:rPr>
            </w:pPr>
          </w:p>
        </w:tc>
        <w:tc>
          <w:tcPr>
            <w:tcW w:w="1841" w:type="pct"/>
            <w:vMerge/>
          </w:tcPr>
          <w:p w14:paraId="55EAF239" w14:textId="77777777" w:rsidR="00F4216E" w:rsidRPr="008F332A" w:rsidRDefault="00F4216E" w:rsidP="003A2CCC">
            <w:pPr>
              <w:pStyle w:val="tablebullets"/>
              <w:rPr>
                <w:rFonts w:cstheme="minorHAnsi"/>
              </w:rPr>
            </w:pPr>
          </w:p>
        </w:tc>
        <w:tc>
          <w:tcPr>
            <w:tcW w:w="2345" w:type="pct"/>
          </w:tcPr>
          <w:p w14:paraId="315B4FD2" w14:textId="10387F29" w:rsidR="00F4216E" w:rsidRPr="008F332A" w:rsidRDefault="00F4216E" w:rsidP="003A2CCC">
            <w:pPr>
              <w:pStyle w:val="Bullets"/>
              <w:numPr>
                <w:ilvl w:val="0"/>
                <w:numId w:val="0"/>
              </w:numPr>
              <w:rPr>
                <w:rFonts w:cstheme="minorHAnsi"/>
                <w:sz w:val="20"/>
                <w:szCs w:val="20"/>
              </w:rPr>
            </w:pPr>
            <w:r>
              <w:rPr>
                <w:rFonts w:cstheme="minorHAnsi"/>
                <w:sz w:val="20"/>
                <w:szCs w:val="20"/>
              </w:rPr>
              <w:t>3.4</w:t>
            </w:r>
            <w:r w:rsidRPr="008F332A">
              <w:rPr>
                <w:rFonts w:cstheme="minorHAnsi"/>
                <w:sz w:val="20"/>
                <w:szCs w:val="20"/>
              </w:rPr>
              <w:t xml:space="preserve"> To what extent is the CBA approach</w:t>
            </w:r>
            <w:r>
              <w:rPr>
                <w:rFonts w:cstheme="minorHAnsi"/>
                <w:sz w:val="20"/>
                <w:szCs w:val="20"/>
              </w:rPr>
              <w:t xml:space="preserve"> likely to be </w:t>
            </w:r>
            <w:r w:rsidRPr="008F332A">
              <w:rPr>
                <w:rFonts w:cstheme="minorHAnsi"/>
                <w:sz w:val="20"/>
                <w:szCs w:val="20"/>
              </w:rPr>
              <w:t>replicable in the context of Timor-Leste?</w:t>
            </w:r>
          </w:p>
        </w:tc>
      </w:tr>
      <w:tr w:rsidR="00F4216E" w:rsidRPr="008F332A" w14:paraId="54F3631E" w14:textId="77777777" w:rsidTr="003A2CCC">
        <w:trPr>
          <w:trHeight w:val="360"/>
        </w:trPr>
        <w:tc>
          <w:tcPr>
            <w:tcW w:w="815" w:type="pct"/>
            <w:vMerge w:val="restart"/>
          </w:tcPr>
          <w:p w14:paraId="38AC368B" w14:textId="77777777" w:rsidR="00F4216E" w:rsidRPr="008F332A" w:rsidRDefault="00F4216E" w:rsidP="003A2CCC">
            <w:pPr>
              <w:pStyle w:val="tablebullets"/>
              <w:rPr>
                <w:rFonts w:cstheme="minorHAnsi"/>
              </w:rPr>
            </w:pPr>
            <w:r w:rsidRPr="008F332A">
              <w:rPr>
                <w:rFonts w:cstheme="minorHAnsi"/>
              </w:rPr>
              <w:t>Appropriateness</w:t>
            </w:r>
          </w:p>
        </w:tc>
        <w:tc>
          <w:tcPr>
            <w:tcW w:w="1841" w:type="pct"/>
            <w:vMerge w:val="restart"/>
          </w:tcPr>
          <w:p w14:paraId="41B54E95" w14:textId="3C3157B8" w:rsidR="00F4216E" w:rsidRPr="008F332A" w:rsidRDefault="00F4216E" w:rsidP="003A2CCC">
            <w:pPr>
              <w:autoSpaceDE w:val="0"/>
              <w:autoSpaceDN w:val="0"/>
              <w:adjustRightInd w:val="0"/>
              <w:jc w:val="left"/>
              <w:rPr>
                <w:rFonts w:cstheme="minorHAnsi"/>
                <w:sz w:val="20"/>
                <w:szCs w:val="20"/>
              </w:rPr>
            </w:pPr>
            <w:r w:rsidRPr="008F332A">
              <w:rPr>
                <w:rFonts w:cstheme="minorHAnsi"/>
                <w:sz w:val="20"/>
                <w:szCs w:val="20"/>
              </w:rPr>
              <w:t>KEQ 4 Are there indications that the Nabilan programming model has contributed, or could contribute, to changing social norms relating to VAWC in Timor-Leste?</w:t>
            </w:r>
          </w:p>
        </w:tc>
        <w:tc>
          <w:tcPr>
            <w:tcW w:w="2345" w:type="pct"/>
          </w:tcPr>
          <w:p w14:paraId="63948D08" w14:textId="7A6497DC" w:rsidR="00F4216E" w:rsidRPr="008F332A" w:rsidRDefault="00F4216E" w:rsidP="00EF10E6">
            <w:pPr>
              <w:pStyle w:val="Bullets"/>
              <w:numPr>
                <w:ilvl w:val="0"/>
                <w:numId w:val="0"/>
              </w:numPr>
              <w:rPr>
                <w:rFonts w:cstheme="minorHAnsi"/>
                <w:sz w:val="20"/>
                <w:szCs w:val="20"/>
              </w:rPr>
            </w:pPr>
            <w:r w:rsidRPr="008F332A">
              <w:rPr>
                <w:rFonts w:cstheme="minorHAnsi"/>
                <w:sz w:val="20"/>
                <w:szCs w:val="20"/>
              </w:rPr>
              <w:t xml:space="preserve">4.1 In </w:t>
            </w:r>
            <w:r w:rsidR="00EF10E6">
              <w:rPr>
                <w:rFonts w:cstheme="minorHAnsi"/>
                <w:sz w:val="20"/>
                <w:szCs w:val="20"/>
              </w:rPr>
              <w:t xml:space="preserve">communities targeted by </w:t>
            </w:r>
            <w:r w:rsidRPr="008F332A">
              <w:rPr>
                <w:rFonts w:cstheme="minorHAnsi"/>
                <w:sz w:val="20"/>
                <w:szCs w:val="20"/>
              </w:rPr>
              <w:t>Nabilan and partners , what evidence is there of change in community members’ and leaders’ attitudes to VAWC?</w:t>
            </w:r>
          </w:p>
        </w:tc>
      </w:tr>
      <w:tr w:rsidR="00F4216E" w:rsidRPr="008F332A" w14:paraId="01A9E148" w14:textId="77777777" w:rsidTr="003A2CCC">
        <w:trPr>
          <w:trHeight w:val="360"/>
        </w:trPr>
        <w:tc>
          <w:tcPr>
            <w:tcW w:w="815" w:type="pct"/>
            <w:vMerge/>
          </w:tcPr>
          <w:p w14:paraId="182E4F5E" w14:textId="77777777" w:rsidR="00F4216E" w:rsidRPr="008F332A" w:rsidRDefault="00F4216E" w:rsidP="003A2CCC">
            <w:pPr>
              <w:pStyle w:val="tablebullets"/>
              <w:rPr>
                <w:rFonts w:cstheme="minorHAnsi"/>
              </w:rPr>
            </w:pPr>
          </w:p>
        </w:tc>
        <w:tc>
          <w:tcPr>
            <w:tcW w:w="1841" w:type="pct"/>
            <w:vMerge/>
          </w:tcPr>
          <w:p w14:paraId="43A777FB" w14:textId="77777777" w:rsidR="00F4216E" w:rsidRPr="008F332A" w:rsidRDefault="00F4216E" w:rsidP="003A2CCC">
            <w:pPr>
              <w:pStyle w:val="tablebullets"/>
              <w:rPr>
                <w:rFonts w:cstheme="minorHAnsi"/>
              </w:rPr>
            </w:pPr>
          </w:p>
        </w:tc>
        <w:tc>
          <w:tcPr>
            <w:tcW w:w="2345" w:type="pct"/>
          </w:tcPr>
          <w:p w14:paraId="0AB29FD2" w14:textId="4C75AE34" w:rsidR="00F4216E" w:rsidRPr="008F332A" w:rsidRDefault="00F4216E" w:rsidP="003A2CCC">
            <w:pPr>
              <w:pStyle w:val="Bullets"/>
              <w:numPr>
                <w:ilvl w:val="0"/>
                <w:numId w:val="0"/>
              </w:numPr>
              <w:rPr>
                <w:rFonts w:cstheme="minorHAnsi"/>
                <w:sz w:val="20"/>
                <w:szCs w:val="20"/>
              </w:rPr>
            </w:pPr>
            <w:r w:rsidRPr="008F332A">
              <w:rPr>
                <w:rFonts w:cstheme="minorHAnsi"/>
                <w:sz w:val="20"/>
                <w:szCs w:val="20"/>
              </w:rPr>
              <w:t>4.</w:t>
            </w:r>
            <w:r>
              <w:rPr>
                <w:rFonts w:cstheme="minorHAnsi"/>
                <w:sz w:val="20"/>
                <w:szCs w:val="20"/>
              </w:rPr>
              <w:t>2</w:t>
            </w:r>
            <w:r w:rsidRPr="008F332A">
              <w:rPr>
                <w:rFonts w:cstheme="minorHAnsi"/>
                <w:sz w:val="20"/>
                <w:szCs w:val="20"/>
              </w:rPr>
              <w:t xml:space="preserve"> Was the approach taken appropriate to contribute to changes in social norms?</w:t>
            </w:r>
          </w:p>
        </w:tc>
      </w:tr>
    </w:tbl>
    <w:p w14:paraId="6D343E27" w14:textId="77777777" w:rsidR="00BC1B9B" w:rsidRPr="008F332A" w:rsidRDefault="001908F2" w:rsidP="003A2CCC">
      <w:pPr>
        <w:pStyle w:val="Heading1"/>
        <w:numPr>
          <w:ilvl w:val="0"/>
          <w:numId w:val="19"/>
        </w:numPr>
        <w:rPr>
          <w:rFonts w:asciiTheme="minorHAnsi" w:hAnsiTheme="minorHAnsi" w:cstheme="minorHAnsi"/>
        </w:rPr>
      </w:pPr>
      <w:bookmarkStart w:id="25" w:name="_Toc517960102"/>
      <w:r>
        <w:rPr>
          <w:rFonts w:asciiTheme="minorHAnsi" w:hAnsiTheme="minorHAnsi" w:cstheme="minorHAnsi"/>
        </w:rPr>
        <w:t>MONITORING AND EVALUATION METHODS</w:t>
      </w:r>
      <w:bookmarkEnd w:id="25"/>
    </w:p>
    <w:p w14:paraId="08414473" w14:textId="77777777" w:rsidR="001908F2" w:rsidRPr="00625C00" w:rsidRDefault="001908F2" w:rsidP="003A2CCC">
      <w:pPr>
        <w:pStyle w:val="Heading2"/>
        <w:numPr>
          <w:ilvl w:val="1"/>
          <w:numId w:val="19"/>
        </w:numPr>
        <w:rPr>
          <w:rFonts w:asciiTheme="minorHAnsi" w:hAnsiTheme="minorHAnsi" w:cstheme="minorHAnsi"/>
          <w:color w:val="002D88" w:themeColor="accent6" w:themeTint="E6"/>
        </w:rPr>
      </w:pPr>
      <w:bookmarkStart w:id="26" w:name="_Toc514408343"/>
      <w:bookmarkStart w:id="27" w:name="_Toc517960103"/>
      <w:r w:rsidRPr="00625C00">
        <w:rPr>
          <w:rFonts w:asciiTheme="minorHAnsi" w:hAnsiTheme="minorHAnsi" w:cstheme="minorHAnsi"/>
          <w:color w:val="002D88" w:themeColor="accent6" w:themeTint="E6"/>
        </w:rPr>
        <w:t>Monitoring, Evaluation and Learning Framework</w:t>
      </w:r>
      <w:bookmarkEnd w:id="26"/>
      <w:bookmarkEnd w:id="27"/>
    </w:p>
    <w:p w14:paraId="4AEBAC8B" w14:textId="77777777" w:rsidR="001908F2" w:rsidRPr="00851C7B" w:rsidRDefault="001908F2" w:rsidP="003A2CCC">
      <w:pPr>
        <w:pStyle w:val="BodyText"/>
        <w:spacing w:line="240" w:lineRule="auto"/>
        <w:jc w:val="both"/>
      </w:pPr>
      <w:r w:rsidRPr="00851C7B">
        <w:t>The monitoring</w:t>
      </w:r>
      <w:r>
        <w:t xml:space="preserve">, evaluation and learning framework (MELF), </w:t>
      </w:r>
      <w:r w:rsidRPr="009D40A7">
        <w:t xml:space="preserve">in </w:t>
      </w:r>
      <w:r w:rsidRPr="00423871">
        <w:rPr>
          <w:b/>
        </w:rPr>
        <w:t xml:space="preserve">Annex </w:t>
      </w:r>
      <w:r w:rsidR="009965E7" w:rsidRPr="00423871">
        <w:rPr>
          <w:b/>
        </w:rPr>
        <w:t>1</w:t>
      </w:r>
      <w:r w:rsidRPr="009D40A7">
        <w:t>,</w:t>
      </w:r>
      <w:r w:rsidRPr="009D40A7">
        <w:rPr>
          <w:b/>
        </w:rPr>
        <w:t xml:space="preserve"> </w:t>
      </w:r>
      <w:r w:rsidRPr="001652F8">
        <w:t xml:space="preserve">identifies the KEQs, sub-questions, </w:t>
      </w:r>
      <w:r>
        <w:t xml:space="preserve">indicators, data collection methods, and targets. </w:t>
      </w:r>
      <w:r w:rsidRPr="00851C7B">
        <w:t xml:space="preserve">It will guide </w:t>
      </w:r>
      <w:r>
        <w:t xml:space="preserve">Nabilan’s </w:t>
      </w:r>
      <w:r w:rsidRPr="00851C7B">
        <w:t>data collection activities to inform its progress against outcomes.</w:t>
      </w:r>
    </w:p>
    <w:p w14:paraId="4E473640" w14:textId="77777777" w:rsidR="001908F2" w:rsidRPr="00851C7B" w:rsidRDefault="001908F2" w:rsidP="003A2CCC">
      <w:pPr>
        <w:pStyle w:val="BodyText"/>
        <w:spacing w:after="0" w:line="240" w:lineRule="auto"/>
        <w:jc w:val="both"/>
      </w:pPr>
      <w:r w:rsidRPr="00851C7B">
        <w:t>The MEL</w:t>
      </w:r>
      <w:r>
        <w:t>F</w:t>
      </w:r>
      <w:r w:rsidRPr="00851C7B">
        <w:t xml:space="preserve"> will: </w:t>
      </w:r>
    </w:p>
    <w:p w14:paraId="1CF9025B" w14:textId="77777777" w:rsidR="001908F2" w:rsidRPr="00851C7B" w:rsidRDefault="001908F2" w:rsidP="003A2CCC">
      <w:pPr>
        <w:pStyle w:val="BodyText"/>
        <w:numPr>
          <w:ilvl w:val="0"/>
          <w:numId w:val="43"/>
        </w:numPr>
        <w:spacing w:after="0" w:line="240" w:lineRule="auto"/>
        <w:jc w:val="both"/>
      </w:pPr>
      <w:r w:rsidRPr="00851C7B">
        <w:t>utilise a mix</w:t>
      </w:r>
      <w:r>
        <w:t>ed</w:t>
      </w:r>
      <w:r w:rsidRPr="00851C7B">
        <w:t>-method approach, using both qualitative and quantitative methods;</w:t>
      </w:r>
    </w:p>
    <w:p w14:paraId="17DC0D04" w14:textId="77777777" w:rsidR="001908F2" w:rsidRPr="00851C7B" w:rsidRDefault="001908F2" w:rsidP="003A2CCC">
      <w:pPr>
        <w:pStyle w:val="BodyText"/>
        <w:numPr>
          <w:ilvl w:val="0"/>
          <w:numId w:val="43"/>
        </w:numPr>
        <w:spacing w:after="0" w:line="240" w:lineRule="auto"/>
        <w:jc w:val="both"/>
      </w:pPr>
      <w:r w:rsidRPr="00851C7B">
        <w:t>be ‘lean’ – i.e. focus</w:t>
      </w:r>
      <w:r>
        <w:t>sed</w:t>
      </w:r>
      <w:r w:rsidRPr="00851C7B">
        <w:t xml:space="preserve"> on the quality and usefulness of information collected rather than the amount of information collected; </w:t>
      </w:r>
    </w:p>
    <w:p w14:paraId="6FEC0F84" w14:textId="77777777" w:rsidR="001908F2" w:rsidRPr="00851C7B" w:rsidRDefault="001908F2" w:rsidP="003A2CCC">
      <w:pPr>
        <w:pStyle w:val="BodyText"/>
        <w:numPr>
          <w:ilvl w:val="0"/>
          <w:numId w:val="43"/>
        </w:numPr>
        <w:spacing w:after="0" w:line="240" w:lineRule="auto"/>
        <w:jc w:val="both"/>
      </w:pPr>
      <w:r w:rsidRPr="00851C7B">
        <w:t xml:space="preserve">collect and report data disaggregated by </w:t>
      </w:r>
      <w:r>
        <w:t>gender</w:t>
      </w:r>
      <w:r w:rsidRPr="00851C7B">
        <w:t xml:space="preserve"> and inclusion (people with a disability</w:t>
      </w:r>
      <w:r>
        <w:t>, populations outside Dili, and other indicators of vulnerability as appropriate);</w:t>
      </w:r>
    </w:p>
    <w:p w14:paraId="4E1C3C94" w14:textId="77777777" w:rsidR="001908F2" w:rsidRPr="00851C7B" w:rsidRDefault="001908F2" w:rsidP="003A2CCC">
      <w:pPr>
        <w:pStyle w:val="BodyText"/>
        <w:numPr>
          <w:ilvl w:val="0"/>
          <w:numId w:val="43"/>
        </w:numPr>
        <w:spacing w:after="0" w:line="240" w:lineRule="auto"/>
        <w:jc w:val="both"/>
      </w:pPr>
      <w:r w:rsidRPr="00851C7B">
        <w:t>triangulate information from different data sources</w:t>
      </w:r>
      <w:r>
        <w:t xml:space="preserve"> to improve strength of evidence</w:t>
      </w:r>
      <w:r w:rsidRPr="00851C7B">
        <w:t>;</w:t>
      </w:r>
    </w:p>
    <w:p w14:paraId="2C4CDCE6" w14:textId="77777777" w:rsidR="001908F2" w:rsidRPr="00851C7B" w:rsidRDefault="001908F2" w:rsidP="003A2CCC">
      <w:pPr>
        <w:pStyle w:val="BodyText"/>
        <w:numPr>
          <w:ilvl w:val="0"/>
          <w:numId w:val="43"/>
        </w:numPr>
        <w:spacing w:after="0" w:line="240" w:lineRule="auto"/>
        <w:jc w:val="both"/>
      </w:pPr>
      <w:r w:rsidRPr="00851C7B">
        <w:t>set realistic expectations about what data can be collected and what can be reported; and</w:t>
      </w:r>
    </w:p>
    <w:p w14:paraId="1BC322F2" w14:textId="77777777" w:rsidR="001908F2" w:rsidRPr="00851C7B" w:rsidRDefault="00625C00" w:rsidP="003A2CCC">
      <w:pPr>
        <w:pStyle w:val="BodyText"/>
        <w:numPr>
          <w:ilvl w:val="0"/>
          <w:numId w:val="43"/>
        </w:numPr>
        <w:spacing w:after="0" w:line="240" w:lineRule="auto"/>
        <w:jc w:val="both"/>
      </w:pPr>
      <w:r>
        <w:t>p</w:t>
      </w:r>
      <w:r w:rsidR="001908F2" w:rsidRPr="00851C7B">
        <w:t>rovide evidence</w:t>
      </w:r>
      <w:r w:rsidR="001908F2">
        <w:t xml:space="preserve"> to inform</w:t>
      </w:r>
      <w:r w:rsidR="001908F2" w:rsidRPr="00851C7B">
        <w:t xml:space="preserve"> the </w:t>
      </w:r>
      <w:r w:rsidR="001908F2">
        <w:t>Nabilan mid-term review and</w:t>
      </w:r>
      <w:r w:rsidR="001908F2" w:rsidRPr="00851C7B">
        <w:t xml:space="preserve"> learning dialogue</w:t>
      </w:r>
      <w:r w:rsidR="001908F2">
        <w:t>s</w:t>
      </w:r>
      <w:r w:rsidR="001908F2" w:rsidRPr="00851C7B">
        <w:t xml:space="preserve">. </w:t>
      </w:r>
    </w:p>
    <w:p w14:paraId="28206B04" w14:textId="77777777" w:rsidR="001908F2" w:rsidRPr="00851C7B" w:rsidRDefault="001908F2" w:rsidP="003A2CCC">
      <w:pPr>
        <w:pStyle w:val="BodyText"/>
        <w:spacing w:line="240" w:lineRule="auto"/>
        <w:jc w:val="both"/>
      </w:pPr>
      <w:r w:rsidRPr="00851C7B">
        <w:t>Key evaluation questions, monitoring questions and indicators align with the outcomes and indicators in DFAT’s draft Timor-Leste Performa</w:t>
      </w:r>
      <w:r>
        <w:t xml:space="preserve">nce Assessment Framework (PAF), to demonstrate where Nabilan contributes towards the PAF. </w:t>
      </w:r>
      <w:r w:rsidRPr="00851C7B">
        <w:t xml:space="preserve">As such, </w:t>
      </w:r>
      <w:r>
        <w:t>Nabilan</w:t>
      </w:r>
      <w:r w:rsidRPr="00851C7B">
        <w:t xml:space="preserve"> will use the PAF technical notes in developing tools for data collection</w:t>
      </w:r>
      <w:r>
        <w:t xml:space="preserve"> against PAF indicators</w:t>
      </w:r>
      <w:r w:rsidRPr="00851C7B">
        <w:t>.</w:t>
      </w:r>
    </w:p>
    <w:p w14:paraId="7EB64EC4" w14:textId="77777777" w:rsidR="00770313" w:rsidRPr="008F332A" w:rsidRDefault="00770313" w:rsidP="003A2CCC">
      <w:pPr>
        <w:pStyle w:val="Heading2"/>
        <w:numPr>
          <w:ilvl w:val="1"/>
          <w:numId w:val="19"/>
        </w:numPr>
        <w:jc w:val="both"/>
        <w:rPr>
          <w:rFonts w:asciiTheme="minorHAnsi" w:hAnsiTheme="minorHAnsi" w:cstheme="minorHAnsi"/>
          <w:color w:val="002D88" w:themeColor="accent6" w:themeTint="E6"/>
        </w:rPr>
      </w:pPr>
      <w:bookmarkStart w:id="28" w:name="_Toc517960104"/>
      <w:r w:rsidRPr="008F332A">
        <w:rPr>
          <w:rFonts w:asciiTheme="minorHAnsi" w:hAnsiTheme="minorHAnsi" w:cstheme="minorHAnsi"/>
          <w:color w:val="002D88" w:themeColor="accent6" w:themeTint="E6"/>
        </w:rPr>
        <w:t>Data Collection Methods Overview</w:t>
      </w:r>
      <w:bookmarkEnd w:id="28"/>
      <w:r w:rsidRPr="008F332A">
        <w:rPr>
          <w:rFonts w:asciiTheme="minorHAnsi" w:hAnsiTheme="minorHAnsi" w:cstheme="minorHAnsi"/>
          <w:color w:val="002D88" w:themeColor="accent6" w:themeTint="E6"/>
        </w:rPr>
        <w:t xml:space="preserve"> </w:t>
      </w:r>
    </w:p>
    <w:p w14:paraId="32F8BEFF" w14:textId="487FF952" w:rsidR="00625C00" w:rsidRPr="00625C00" w:rsidRDefault="00800E89" w:rsidP="003A2CCC">
      <w:pPr>
        <w:pStyle w:val="Heading2"/>
        <w:jc w:val="both"/>
        <w:rPr>
          <w:rFonts w:asciiTheme="minorHAnsi" w:eastAsiaTheme="minorHAnsi" w:hAnsiTheme="minorHAnsi" w:cstheme="minorBidi"/>
          <w:b w:val="0"/>
          <w:color w:val="auto"/>
          <w:sz w:val="22"/>
          <w:szCs w:val="22"/>
        </w:rPr>
      </w:pPr>
      <w:bookmarkStart w:id="29" w:name="_Toc517960105"/>
      <w:r w:rsidRPr="00625C00">
        <w:rPr>
          <w:rFonts w:asciiTheme="minorHAnsi" w:eastAsiaTheme="minorHAnsi" w:hAnsiTheme="minorHAnsi" w:cstheme="minorBidi"/>
          <w:b w:val="0"/>
          <w:color w:val="auto"/>
          <w:sz w:val="22"/>
          <w:szCs w:val="22"/>
        </w:rPr>
        <w:t xml:space="preserve">Nabilan has identified a range of data collection methods which will be used to answer the KEQs and sub-questions. </w:t>
      </w:r>
      <w:r w:rsidRPr="00EF60D2">
        <w:rPr>
          <w:rFonts w:asciiTheme="minorHAnsi" w:eastAsiaTheme="minorHAnsi" w:hAnsiTheme="minorHAnsi" w:cstheme="minorBidi"/>
          <w:color w:val="auto"/>
          <w:sz w:val="22"/>
          <w:szCs w:val="22"/>
        </w:rPr>
        <w:t xml:space="preserve">Annex </w:t>
      </w:r>
      <w:r w:rsidR="009965E7" w:rsidRPr="00EF60D2">
        <w:rPr>
          <w:rFonts w:asciiTheme="minorHAnsi" w:eastAsiaTheme="minorHAnsi" w:hAnsiTheme="minorHAnsi" w:cstheme="minorBidi"/>
          <w:color w:val="auto"/>
          <w:sz w:val="22"/>
          <w:szCs w:val="22"/>
        </w:rPr>
        <w:t>2</w:t>
      </w:r>
      <w:r w:rsidRPr="00625C00">
        <w:rPr>
          <w:rFonts w:asciiTheme="minorHAnsi" w:eastAsiaTheme="minorHAnsi" w:hAnsiTheme="minorHAnsi" w:cstheme="minorBidi"/>
          <w:b w:val="0"/>
          <w:color w:val="auto"/>
          <w:sz w:val="22"/>
          <w:szCs w:val="22"/>
        </w:rPr>
        <w:t xml:space="preserve"> provides a summary of the data collection methods and tools. </w:t>
      </w:r>
      <w:r w:rsidR="00E763E6" w:rsidRPr="00625C00">
        <w:rPr>
          <w:rFonts w:asciiTheme="minorHAnsi" w:eastAsiaTheme="minorHAnsi" w:hAnsiTheme="minorHAnsi" w:cstheme="minorBidi"/>
          <w:b w:val="0"/>
          <w:color w:val="auto"/>
          <w:sz w:val="22"/>
          <w:szCs w:val="22"/>
        </w:rPr>
        <w:t>The majority of these</w:t>
      </w:r>
      <w:r w:rsidRPr="00625C00">
        <w:rPr>
          <w:rFonts w:asciiTheme="minorHAnsi" w:eastAsiaTheme="minorHAnsi" w:hAnsiTheme="minorHAnsi" w:cstheme="minorBidi"/>
          <w:b w:val="0"/>
          <w:color w:val="auto"/>
          <w:sz w:val="22"/>
          <w:szCs w:val="22"/>
        </w:rPr>
        <w:t xml:space="preserve"> methods</w:t>
      </w:r>
      <w:r w:rsidR="00E763E6" w:rsidRPr="00625C00">
        <w:rPr>
          <w:rFonts w:asciiTheme="minorHAnsi" w:eastAsiaTheme="minorHAnsi" w:hAnsiTheme="minorHAnsi" w:cstheme="minorBidi"/>
          <w:b w:val="0"/>
          <w:color w:val="auto"/>
          <w:sz w:val="22"/>
          <w:szCs w:val="22"/>
        </w:rPr>
        <w:t xml:space="preserve"> tools were used in Phase 1</w:t>
      </w:r>
      <w:r w:rsidRPr="00625C00">
        <w:rPr>
          <w:rFonts w:asciiTheme="minorHAnsi" w:eastAsiaTheme="minorHAnsi" w:hAnsiTheme="minorHAnsi" w:cstheme="minorBidi"/>
          <w:b w:val="0"/>
          <w:color w:val="auto"/>
          <w:sz w:val="22"/>
          <w:szCs w:val="22"/>
        </w:rPr>
        <w:t>, however some will need to be refined</w:t>
      </w:r>
      <w:r w:rsidR="005B2469">
        <w:rPr>
          <w:rFonts w:asciiTheme="minorHAnsi" w:eastAsiaTheme="minorHAnsi" w:hAnsiTheme="minorHAnsi" w:cstheme="minorBidi"/>
          <w:b w:val="0"/>
          <w:color w:val="auto"/>
          <w:sz w:val="22"/>
          <w:szCs w:val="22"/>
        </w:rPr>
        <w:t xml:space="preserve"> and others developed for Phase </w:t>
      </w:r>
      <w:r w:rsidRPr="00625C00">
        <w:rPr>
          <w:rFonts w:asciiTheme="minorHAnsi" w:eastAsiaTheme="minorHAnsi" w:hAnsiTheme="minorHAnsi" w:cstheme="minorBidi"/>
          <w:b w:val="0"/>
          <w:color w:val="auto"/>
          <w:sz w:val="22"/>
          <w:szCs w:val="22"/>
        </w:rPr>
        <w:t>2.</w:t>
      </w:r>
      <w:bookmarkEnd w:id="29"/>
    </w:p>
    <w:p w14:paraId="0BC417FA" w14:textId="77777777" w:rsidR="00800E89" w:rsidRPr="008F332A" w:rsidRDefault="00800E89" w:rsidP="003A2CCC">
      <w:pPr>
        <w:pStyle w:val="Heading2"/>
        <w:numPr>
          <w:ilvl w:val="1"/>
          <w:numId w:val="19"/>
        </w:numPr>
        <w:jc w:val="both"/>
        <w:rPr>
          <w:rFonts w:asciiTheme="minorHAnsi" w:hAnsiTheme="minorHAnsi" w:cstheme="minorHAnsi"/>
          <w:color w:val="002D88" w:themeColor="accent6" w:themeTint="E6"/>
        </w:rPr>
      </w:pPr>
      <w:bookmarkStart w:id="30" w:name="_Toc517960106"/>
      <w:r w:rsidRPr="008F332A">
        <w:rPr>
          <w:rFonts w:asciiTheme="minorHAnsi" w:hAnsiTheme="minorHAnsi" w:cstheme="minorHAnsi"/>
          <w:color w:val="002D88" w:themeColor="accent6" w:themeTint="E6"/>
        </w:rPr>
        <w:t xml:space="preserve">Data </w:t>
      </w:r>
      <w:r>
        <w:rPr>
          <w:rFonts w:asciiTheme="minorHAnsi" w:hAnsiTheme="minorHAnsi" w:cstheme="minorHAnsi"/>
          <w:color w:val="002D88" w:themeColor="accent6" w:themeTint="E6"/>
        </w:rPr>
        <w:t>Analysis and Synthesis</w:t>
      </w:r>
      <w:bookmarkEnd w:id="30"/>
      <w:r w:rsidRPr="008F332A">
        <w:rPr>
          <w:rFonts w:asciiTheme="minorHAnsi" w:hAnsiTheme="minorHAnsi" w:cstheme="minorHAnsi"/>
          <w:color w:val="002D88" w:themeColor="accent6" w:themeTint="E6"/>
        </w:rPr>
        <w:t xml:space="preserve"> </w:t>
      </w:r>
    </w:p>
    <w:p w14:paraId="7CD89567" w14:textId="4ABB1D00" w:rsidR="00016C9E" w:rsidRDefault="00800E89" w:rsidP="003A2CCC">
      <w:pPr>
        <w:rPr>
          <w:rFonts w:cstheme="minorHAnsi"/>
          <w:color w:val="000000" w:themeColor="text1"/>
        </w:rPr>
      </w:pPr>
      <w:r>
        <w:t xml:space="preserve">Each of the data collection methods will be undertaken discretely, and data analysed and reported separately. Every six months, the data will be collated into an evidence </w:t>
      </w:r>
      <w:r w:rsidRPr="00625C00">
        <w:t xml:space="preserve">matrix </w:t>
      </w:r>
      <w:r w:rsidRPr="00423871">
        <w:rPr>
          <w:b/>
        </w:rPr>
        <w:t xml:space="preserve">(Annex </w:t>
      </w:r>
      <w:r w:rsidR="009965E7" w:rsidRPr="00423871">
        <w:rPr>
          <w:b/>
        </w:rPr>
        <w:t>3</w:t>
      </w:r>
      <w:r w:rsidRPr="005F36D3">
        <w:rPr>
          <w:b/>
        </w:rPr>
        <w:t>)</w:t>
      </w:r>
      <w:r w:rsidRPr="00625C00">
        <w:t xml:space="preserve"> </w:t>
      </w:r>
      <w:r>
        <w:t xml:space="preserve">where the evidence will be gathered against each KEQ and sub-question. </w:t>
      </w:r>
      <w:r w:rsidRPr="0026372F">
        <w:t xml:space="preserve">This matrix will ensure triangulation across multiple sources of information, </w:t>
      </w:r>
      <w:r>
        <w:t>thereby</w:t>
      </w:r>
      <w:r w:rsidRPr="0026372F">
        <w:t xml:space="preserve"> strengthening the quality and credibility of the evidence</w:t>
      </w:r>
      <w:r>
        <w:t xml:space="preserve"> to answer each question</w:t>
      </w:r>
      <w:r w:rsidRPr="0026372F">
        <w:t>. Analysis of th</w:t>
      </w:r>
      <w:r>
        <w:t>e evidence to generate key findings and recommendations will be undertaken during annual learning dialogues (see below) and reported in annual progress reports</w:t>
      </w:r>
      <w:r w:rsidR="00901AEA">
        <w:t>; the schedule for these activities is outlined in Section 6.2</w:t>
      </w:r>
      <w:r>
        <w:t>.</w:t>
      </w:r>
      <w:r w:rsidR="00901AEA">
        <w:t xml:space="preserve"> In addition to routine annual reporting, a mid-term review will be undertaken </w:t>
      </w:r>
      <w:r w:rsidR="006D4449" w:rsidRPr="008F332A">
        <w:rPr>
          <w:rFonts w:cstheme="minorHAnsi"/>
          <w:color w:val="000000" w:themeColor="text1"/>
        </w:rPr>
        <w:t>in 2020</w:t>
      </w:r>
      <w:r w:rsidR="00AC0567">
        <w:rPr>
          <w:rFonts w:cstheme="minorHAnsi"/>
          <w:color w:val="000000" w:themeColor="text1"/>
        </w:rPr>
        <w:t>/2021</w:t>
      </w:r>
      <w:r w:rsidR="004234DA">
        <w:rPr>
          <w:rFonts w:cstheme="minorHAnsi"/>
          <w:color w:val="000000" w:themeColor="text1"/>
        </w:rPr>
        <w:t>.</w:t>
      </w:r>
      <w:r w:rsidR="006D4449" w:rsidRPr="008F332A">
        <w:rPr>
          <w:rFonts w:cstheme="minorHAnsi"/>
          <w:color w:val="000000" w:themeColor="text1"/>
        </w:rPr>
        <w:t xml:space="preserve"> Nabilan</w:t>
      </w:r>
      <w:r w:rsidR="00901AEA">
        <w:rPr>
          <w:rFonts w:cstheme="minorHAnsi"/>
          <w:color w:val="000000" w:themeColor="text1"/>
        </w:rPr>
        <w:t xml:space="preserve"> also</w:t>
      </w:r>
      <w:r w:rsidR="006D4449" w:rsidRPr="008F332A">
        <w:rPr>
          <w:rFonts w:cstheme="minorHAnsi"/>
          <w:color w:val="000000" w:themeColor="text1"/>
        </w:rPr>
        <w:t xml:space="preserve"> plans to undertake an endline survey in 2021, to provide a comparison to the baseline undertaken in 2015. Nabilan currently does not have funding for the endline</w:t>
      </w:r>
      <w:r w:rsidR="005C277E" w:rsidRPr="008F332A">
        <w:rPr>
          <w:rFonts w:cstheme="minorHAnsi"/>
          <w:color w:val="000000" w:themeColor="text1"/>
        </w:rPr>
        <w:t xml:space="preserve"> survey</w:t>
      </w:r>
      <w:r w:rsidR="006D4449" w:rsidRPr="008F332A">
        <w:rPr>
          <w:rFonts w:cstheme="minorHAnsi"/>
          <w:color w:val="000000" w:themeColor="text1"/>
        </w:rPr>
        <w:t xml:space="preserve">, and thus will seek additional funding. </w:t>
      </w:r>
    </w:p>
    <w:p w14:paraId="6FBAC36B" w14:textId="77777777" w:rsidR="00B153EB" w:rsidRPr="008F332A" w:rsidRDefault="00B153EB" w:rsidP="003A2CCC">
      <w:pPr>
        <w:rPr>
          <w:rFonts w:cstheme="minorHAnsi"/>
          <w:color w:val="000000" w:themeColor="text1"/>
        </w:rPr>
      </w:pPr>
      <w:r w:rsidRPr="00EF60D2">
        <w:rPr>
          <w:rFonts w:cstheme="minorHAnsi"/>
          <w:b/>
          <w:color w:val="000000" w:themeColor="text1"/>
        </w:rPr>
        <w:t>Annex 6</w:t>
      </w:r>
      <w:r w:rsidRPr="008F332A">
        <w:rPr>
          <w:rFonts w:cstheme="minorHAnsi"/>
          <w:color w:val="000000" w:themeColor="text1"/>
        </w:rPr>
        <w:t xml:space="preserve"> provides a </w:t>
      </w:r>
      <w:r>
        <w:rPr>
          <w:rFonts w:cstheme="minorHAnsi"/>
          <w:color w:val="000000" w:themeColor="text1"/>
        </w:rPr>
        <w:t xml:space="preserve">timeline for data collection. </w:t>
      </w:r>
      <w:r w:rsidRPr="008F332A">
        <w:rPr>
          <w:rFonts w:cstheme="minorHAnsi"/>
          <w:color w:val="000000" w:themeColor="text1"/>
        </w:rPr>
        <w:t xml:space="preserve"> </w:t>
      </w:r>
    </w:p>
    <w:p w14:paraId="4315401D" w14:textId="77777777" w:rsidR="00550C9C" w:rsidRPr="008F332A" w:rsidRDefault="00FE2CCB" w:rsidP="003A2CCC">
      <w:pPr>
        <w:pStyle w:val="Heading1"/>
        <w:numPr>
          <w:ilvl w:val="0"/>
          <w:numId w:val="19"/>
        </w:numPr>
        <w:jc w:val="both"/>
        <w:rPr>
          <w:rFonts w:asciiTheme="minorHAnsi" w:hAnsiTheme="minorHAnsi" w:cstheme="minorHAnsi"/>
        </w:rPr>
      </w:pPr>
      <w:bookmarkStart w:id="31" w:name="_Toc517960107"/>
      <w:bookmarkStart w:id="32" w:name="_Toc517960108"/>
      <w:bookmarkEnd w:id="24"/>
      <w:bookmarkEnd w:id="31"/>
      <w:r w:rsidRPr="008F332A">
        <w:rPr>
          <w:rFonts w:asciiTheme="minorHAnsi" w:hAnsiTheme="minorHAnsi" w:cstheme="minorHAnsi"/>
        </w:rPr>
        <w:t>LEARNING</w:t>
      </w:r>
      <w:r w:rsidR="002E7674" w:rsidRPr="008F332A">
        <w:rPr>
          <w:rFonts w:asciiTheme="minorHAnsi" w:hAnsiTheme="minorHAnsi" w:cstheme="minorHAnsi"/>
        </w:rPr>
        <w:t>,</w:t>
      </w:r>
      <w:r w:rsidR="00550C9C" w:rsidRPr="008F332A">
        <w:rPr>
          <w:rFonts w:asciiTheme="minorHAnsi" w:hAnsiTheme="minorHAnsi" w:cstheme="minorHAnsi"/>
        </w:rPr>
        <w:t xml:space="preserve"> DISSEMINATION</w:t>
      </w:r>
      <w:r w:rsidR="002E7674" w:rsidRPr="008F332A">
        <w:rPr>
          <w:rFonts w:asciiTheme="minorHAnsi" w:hAnsiTheme="minorHAnsi" w:cstheme="minorHAnsi"/>
        </w:rPr>
        <w:t xml:space="preserve"> AND REPORTING</w:t>
      </w:r>
      <w:bookmarkEnd w:id="32"/>
    </w:p>
    <w:p w14:paraId="2149718D" w14:textId="77777777" w:rsidR="008E77B6" w:rsidRPr="008F332A" w:rsidRDefault="008E77B6" w:rsidP="003A2CCC">
      <w:pPr>
        <w:pStyle w:val="Heading2"/>
        <w:numPr>
          <w:ilvl w:val="1"/>
          <w:numId w:val="19"/>
        </w:numPr>
        <w:jc w:val="both"/>
        <w:rPr>
          <w:rFonts w:asciiTheme="minorHAnsi" w:hAnsiTheme="minorHAnsi" w:cstheme="minorHAnsi"/>
          <w:color w:val="002D88" w:themeColor="accent6" w:themeTint="E6"/>
        </w:rPr>
      </w:pPr>
      <w:bookmarkStart w:id="33" w:name="_Toc517960109"/>
      <w:r w:rsidRPr="008F332A">
        <w:rPr>
          <w:rFonts w:asciiTheme="minorHAnsi" w:hAnsiTheme="minorHAnsi" w:cstheme="minorHAnsi"/>
          <w:color w:val="002D88" w:themeColor="accent6" w:themeTint="E6"/>
        </w:rPr>
        <w:t>Summary of process</w:t>
      </w:r>
      <w:bookmarkEnd w:id="33"/>
    </w:p>
    <w:p w14:paraId="1995FFF9" w14:textId="3EC05ECD" w:rsidR="002E7674" w:rsidRPr="008F332A" w:rsidRDefault="002E7674" w:rsidP="003A2CCC">
      <w:pPr>
        <w:pStyle w:val="BodyText"/>
        <w:spacing w:line="240" w:lineRule="auto"/>
        <w:jc w:val="both"/>
        <w:rPr>
          <w:rFonts w:cstheme="minorHAnsi"/>
        </w:rPr>
      </w:pPr>
      <w:r w:rsidRPr="008F332A">
        <w:rPr>
          <w:rFonts w:cstheme="minorHAnsi"/>
        </w:rPr>
        <w:t xml:space="preserve">The </w:t>
      </w:r>
      <w:r w:rsidR="005C277E" w:rsidRPr="008F332A">
        <w:rPr>
          <w:rFonts w:cstheme="minorHAnsi"/>
        </w:rPr>
        <w:t>M&amp;E</w:t>
      </w:r>
      <w:r w:rsidRPr="008F332A">
        <w:rPr>
          <w:rFonts w:cstheme="minorHAnsi"/>
        </w:rPr>
        <w:t xml:space="preserve"> processes described above </w:t>
      </w:r>
      <w:r w:rsidR="008E77B6" w:rsidRPr="008F332A">
        <w:rPr>
          <w:rFonts w:cstheme="minorHAnsi"/>
        </w:rPr>
        <w:t xml:space="preserve">will feed into </w:t>
      </w:r>
      <w:r w:rsidRPr="008F332A">
        <w:rPr>
          <w:rFonts w:cstheme="minorHAnsi"/>
        </w:rPr>
        <w:t>program learning</w:t>
      </w:r>
      <w:r w:rsidR="00E763E6" w:rsidRPr="008F332A">
        <w:rPr>
          <w:rFonts w:cstheme="minorHAnsi"/>
        </w:rPr>
        <w:t xml:space="preserve"> and decision-making </w:t>
      </w:r>
      <w:r w:rsidRPr="008F332A">
        <w:rPr>
          <w:rFonts w:cstheme="minorHAnsi"/>
        </w:rPr>
        <w:t xml:space="preserve">through: </w:t>
      </w:r>
    </w:p>
    <w:p w14:paraId="2A89AD74" w14:textId="75998B08" w:rsidR="004A73DC" w:rsidRPr="008F332A" w:rsidRDefault="004A73DC" w:rsidP="003A2CCC">
      <w:pPr>
        <w:pStyle w:val="BodyText"/>
        <w:numPr>
          <w:ilvl w:val="0"/>
          <w:numId w:val="21"/>
        </w:numPr>
        <w:spacing w:line="240" w:lineRule="auto"/>
        <w:ind w:left="408" w:hanging="357"/>
        <w:jc w:val="both"/>
        <w:rPr>
          <w:rFonts w:cstheme="minorHAnsi"/>
        </w:rPr>
      </w:pPr>
      <w:r w:rsidRPr="008F332A">
        <w:rPr>
          <w:rFonts w:cstheme="minorHAnsi"/>
          <w:b/>
        </w:rPr>
        <w:t xml:space="preserve">Regular meetings between Nabilan and </w:t>
      </w:r>
      <w:r w:rsidR="00E763E6" w:rsidRPr="008F332A">
        <w:rPr>
          <w:rFonts w:cstheme="minorHAnsi"/>
          <w:b/>
        </w:rPr>
        <w:t>DFAT</w:t>
      </w:r>
      <w:r w:rsidRPr="008F332A">
        <w:rPr>
          <w:rFonts w:cstheme="minorHAnsi"/>
          <w:b/>
        </w:rPr>
        <w:t xml:space="preserve"> - </w:t>
      </w:r>
      <w:r w:rsidRPr="008F332A">
        <w:rPr>
          <w:rFonts w:cstheme="minorHAnsi"/>
        </w:rPr>
        <w:t xml:space="preserve">Regular update meetings will be held to </w:t>
      </w:r>
      <w:r w:rsidR="003962CD" w:rsidRPr="008F332A">
        <w:rPr>
          <w:rFonts w:cstheme="minorHAnsi"/>
        </w:rPr>
        <w:t>review progress against the workplan, seek feedback and identify priorities.</w:t>
      </w:r>
    </w:p>
    <w:p w14:paraId="7ED0053E" w14:textId="77777777" w:rsidR="004A73DC" w:rsidRPr="008F332A" w:rsidRDefault="004A73DC" w:rsidP="003A2CCC">
      <w:pPr>
        <w:pStyle w:val="BodyText"/>
        <w:numPr>
          <w:ilvl w:val="0"/>
          <w:numId w:val="21"/>
        </w:numPr>
        <w:spacing w:line="240" w:lineRule="auto"/>
        <w:ind w:left="408" w:hanging="357"/>
        <w:jc w:val="both"/>
        <w:rPr>
          <w:rFonts w:cstheme="minorHAnsi"/>
        </w:rPr>
      </w:pPr>
      <w:r w:rsidRPr="008F332A">
        <w:rPr>
          <w:rFonts w:cstheme="minorHAnsi"/>
          <w:b/>
        </w:rPr>
        <w:t>Regular meetings between Nabilan and</w:t>
      </w:r>
      <w:r w:rsidR="002E7674" w:rsidRPr="008F332A">
        <w:rPr>
          <w:rFonts w:cstheme="minorHAnsi"/>
          <w:b/>
        </w:rPr>
        <w:t xml:space="preserve"> </w:t>
      </w:r>
      <w:r w:rsidR="003962CD" w:rsidRPr="008F332A">
        <w:rPr>
          <w:rFonts w:cstheme="minorHAnsi"/>
          <w:b/>
        </w:rPr>
        <w:t>partners</w:t>
      </w:r>
      <w:r w:rsidR="002E7674" w:rsidRPr="008F332A">
        <w:rPr>
          <w:rFonts w:cstheme="minorHAnsi"/>
          <w:b/>
        </w:rPr>
        <w:t xml:space="preserve"> </w:t>
      </w:r>
      <w:r w:rsidR="00756DDC" w:rsidRPr="008F332A">
        <w:rPr>
          <w:rFonts w:cstheme="minorHAnsi"/>
        </w:rPr>
        <w:t xml:space="preserve">– Nabilan will hold regular </w:t>
      </w:r>
      <w:r w:rsidR="002E7674" w:rsidRPr="008F332A">
        <w:rPr>
          <w:rFonts w:cstheme="minorHAnsi"/>
        </w:rPr>
        <w:t xml:space="preserve">meetings </w:t>
      </w:r>
      <w:r w:rsidR="00756DDC" w:rsidRPr="008F332A">
        <w:rPr>
          <w:rFonts w:cstheme="minorHAnsi"/>
        </w:rPr>
        <w:t xml:space="preserve">with partners </w:t>
      </w:r>
      <w:r w:rsidRPr="008F332A">
        <w:rPr>
          <w:rFonts w:cstheme="minorHAnsi"/>
        </w:rPr>
        <w:t>to discuss the</w:t>
      </w:r>
      <w:r w:rsidR="00756DDC" w:rsidRPr="008F332A">
        <w:rPr>
          <w:rFonts w:cstheme="minorHAnsi"/>
        </w:rPr>
        <w:t>ir</w:t>
      </w:r>
      <w:r w:rsidRPr="008F332A">
        <w:rPr>
          <w:rFonts w:cstheme="minorHAnsi"/>
        </w:rPr>
        <w:t xml:space="preserve"> </w:t>
      </w:r>
      <w:r w:rsidR="002E7674" w:rsidRPr="008F332A">
        <w:rPr>
          <w:rFonts w:cstheme="minorHAnsi"/>
        </w:rPr>
        <w:t>progress against the</w:t>
      </w:r>
      <w:r w:rsidR="00756DDC" w:rsidRPr="008F332A">
        <w:rPr>
          <w:rFonts w:cstheme="minorHAnsi"/>
        </w:rPr>
        <w:t>ir</w:t>
      </w:r>
      <w:r w:rsidR="002E7674" w:rsidRPr="008F332A">
        <w:rPr>
          <w:rFonts w:cstheme="minorHAnsi"/>
        </w:rPr>
        <w:t xml:space="preserve"> work plan</w:t>
      </w:r>
      <w:r w:rsidR="00756DDC" w:rsidRPr="008F332A">
        <w:rPr>
          <w:rFonts w:cstheme="minorHAnsi"/>
        </w:rPr>
        <w:t>s and to update on implementation, noting successes and any constraints</w:t>
      </w:r>
      <w:r w:rsidR="003962CD" w:rsidRPr="008F332A">
        <w:rPr>
          <w:rFonts w:cstheme="minorHAnsi"/>
        </w:rPr>
        <w:t xml:space="preserve">, and </w:t>
      </w:r>
      <w:r w:rsidR="00756DDC" w:rsidRPr="008F332A">
        <w:rPr>
          <w:rFonts w:cstheme="minorHAnsi"/>
        </w:rPr>
        <w:t xml:space="preserve">agree </w:t>
      </w:r>
      <w:r w:rsidR="003962CD" w:rsidRPr="008F332A">
        <w:rPr>
          <w:rFonts w:cstheme="minorHAnsi"/>
        </w:rPr>
        <w:t xml:space="preserve">on mitigation strategies as required. </w:t>
      </w:r>
      <w:r w:rsidR="002E7674" w:rsidRPr="008F332A">
        <w:rPr>
          <w:rFonts w:cstheme="minorHAnsi"/>
        </w:rPr>
        <w:t xml:space="preserve"> </w:t>
      </w:r>
    </w:p>
    <w:p w14:paraId="0D660E04" w14:textId="1E779F3B" w:rsidR="008A286F" w:rsidRPr="008F332A" w:rsidRDefault="002E7674" w:rsidP="003A2CCC">
      <w:pPr>
        <w:pStyle w:val="BodyText"/>
        <w:numPr>
          <w:ilvl w:val="0"/>
          <w:numId w:val="21"/>
        </w:numPr>
        <w:spacing w:line="240" w:lineRule="auto"/>
        <w:ind w:hanging="357"/>
        <w:jc w:val="both"/>
        <w:rPr>
          <w:rFonts w:cstheme="minorHAnsi"/>
        </w:rPr>
      </w:pPr>
      <w:r w:rsidRPr="008F332A">
        <w:rPr>
          <w:rFonts w:cstheme="minorHAnsi"/>
          <w:b/>
        </w:rPr>
        <w:t>Learning Dialogue</w:t>
      </w:r>
      <w:r w:rsidR="009B30C2" w:rsidRPr="008F332A">
        <w:rPr>
          <w:rFonts w:cstheme="minorHAnsi"/>
          <w:b/>
        </w:rPr>
        <w:t>s</w:t>
      </w:r>
      <w:r w:rsidRPr="008F332A">
        <w:rPr>
          <w:rFonts w:cstheme="minorHAnsi"/>
          <w:b/>
        </w:rPr>
        <w:t xml:space="preserve"> (LD)</w:t>
      </w:r>
      <w:r w:rsidR="005C277E" w:rsidRPr="008F332A">
        <w:rPr>
          <w:rFonts w:cstheme="minorHAnsi"/>
          <w:b/>
        </w:rPr>
        <w:t xml:space="preserve"> -</w:t>
      </w:r>
      <w:r w:rsidRPr="008F332A">
        <w:rPr>
          <w:rFonts w:cstheme="minorHAnsi"/>
        </w:rPr>
        <w:t xml:space="preserve"> A learning dialogue is a participatory process that brings together key stakeholders to make sense of monitoring and evaluation data through an engaging exercise incorporating multiple perspectives. Learning dialogues help organisations reduce the burden of reporting, improve fit-for-purpose reporting, and regularise the lessons learned and improvement cycles as part of good program management. The learning dialogue is a facilitated workshop with key stakeholders and decision</w:t>
      </w:r>
      <w:r w:rsidR="00822FC9" w:rsidRPr="008F332A">
        <w:rPr>
          <w:rFonts w:cstheme="minorHAnsi"/>
        </w:rPr>
        <w:t>-</w:t>
      </w:r>
      <w:r w:rsidRPr="008F332A">
        <w:rPr>
          <w:rFonts w:cstheme="minorHAnsi"/>
        </w:rPr>
        <w:t>makers from the program. By conducting this in advance of the reporting deadline, it becomes possible to use the evidence, analysis, and recommendations to inform the progress reporting.  The workshop will be an opportunity t</w:t>
      </w:r>
      <w:r w:rsidR="002C3340" w:rsidRPr="008F332A">
        <w:rPr>
          <w:rFonts w:cstheme="minorHAnsi"/>
        </w:rPr>
        <w:t>o review the evidence available for each key component of the theory of change</w:t>
      </w:r>
      <w:r w:rsidRPr="008F332A">
        <w:rPr>
          <w:rFonts w:cstheme="minorHAnsi"/>
        </w:rPr>
        <w:t>, reflect upon what it means, interpret findings for the program, and decide what to do differently.  The process works best with an independent facilitator; though internal engagement is essential.  The output of the workshop is an evidence matrix that can be used as the basis of reporting and improvement.</w:t>
      </w:r>
    </w:p>
    <w:p w14:paraId="1F3477E9" w14:textId="77777777" w:rsidR="00625C00" w:rsidRDefault="00502ACE" w:rsidP="003A2CCC">
      <w:pPr>
        <w:pStyle w:val="BodyText"/>
        <w:numPr>
          <w:ilvl w:val="0"/>
          <w:numId w:val="21"/>
        </w:numPr>
        <w:spacing w:line="240" w:lineRule="auto"/>
        <w:jc w:val="both"/>
      </w:pPr>
      <w:r w:rsidRPr="00901AEA">
        <w:rPr>
          <w:rFonts w:cstheme="minorHAnsi"/>
          <w:b/>
        </w:rPr>
        <w:t xml:space="preserve">Annual </w:t>
      </w:r>
      <w:r w:rsidR="002E7674" w:rsidRPr="00901AEA">
        <w:rPr>
          <w:rFonts w:cstheme="minorHAnsi"/>
          <w:b/>
        </w:rPr>
        <w:t>Progress Reports</w:t>
      </w:r>
      <w:r w:rsidR="002E7674" w:rsidRPr="00901AEA">
        <w:rPr>
          <w:rFonts w:cstheme="minorHAnsi"/>
        </w:rPr>
        <w:t xml:space="preserve"> </w:t>
      </w:r>
      <w:r w:rsidR="000E4020" w:rsidRPr="00901AEA">
        <w:rPr>
          <w:rFonts w:cstheme="minorHAnsi"/>
        </w:rPr>
        <w:t xml:space="preserve">– </w:t>
      </w:r>
      <w:r w:rsidR="00351885" w:rsidRPr="00901AEA">
        <w:rPr>
          <w:rFonts w:eastAsia="Times New Roman" w:cstheme="minorHAnsi"/>
          <w:color w:val="000000"/>
          <w:lang w:eastAsia="en-AU"/>
        </w:rPr>
        <w:t>Annual progress reports will be the main document collating evidence, results, and l</w:t>
      </w:r>
      <w:r w:rsidR="00351885" w:rsidRPr="004234DA">
        <w:rPr>
          <w:rFonts w:eastAsia="Times New Roman" w:cstheme="minorHAnsi"/>
          <w:color w:val="000000"/>
          <w:lang w:eastAsia="en-AU"/>
        </w:rPr>
        <w:t>earning against the</w:t>
      </w:r>
      <w:r w:rsidR="003962CD" w:rsidRPr="004234DA">
        <w:rPr>
          <w:rFonts w:eastAsia="Times New Roman" w:cstheme="minorHAnsi"/>
          <w:color w:val="000000"/>
          <w:lang w:eastAsia="en-AU"/>
        </w:rPr>
        <w:t xml:space="preserve"> </w:t>
      </w:r>
      <w:r w:rsidR="00351885" w:rsidRPr="004234DA">
        <w:rPr>
          <w:rFonts w:eastAsia="Times New Roman" w:cstheme="minorHAnsi"/>
          <w:color w:val="000000"/>
          <w:lang w:eastAsia="en-AU"/>
        </w:rPr>
        <w:t>MELP. The progress reports will comply with the DFAT M&amp;E Standards and the DFAT Timor-Leste Good Practice Note on Reporting (see</w:t>
      </w:r>
      <w:r w:rsidR="00901AEA" w:rsidRPr="001D0BD5">
        <w:rPr>
          <w:rFonts w:eastAsia="Times New Roman" w:cstheme="minorHAnsi"/>
          <w:color w:val="000000"/>
          <w:lang w:eastAsia="en-AU"/>
        </w:rPr>
        <w:t xml:space="preserve"> </w:t>
      </w:r>
      <w:r w:rsidR="00901AEA" w:rsidRPr="001D0BD5">
        <w:rPr>
          <w:rFonts w:eastAsia="Times New Roman" w:cstheme="minorHAnsi"/>
          <w:b/>
          <w:color w:val="000000"/>
          <w:lang w:eastAsia="en-AU"/>
        </w:rPr>
        <w:t>Annex 6</w:t>
      </w:r>
      <w:r w:rsidR="00351885" w:rsidRPr="001D0BD5">
        <w:rPr>
          <w:rFonts w:eastAsia="Times New Roman" w:cstheme="minorHAnsi"/>
          <w:color w:val="000000"/>
          <w:lang w:eastAsia="en-AU"/>
        </w:rPr>
        <w:t xml:space="preserve"> for a checklist on progress report requirements). </w:t>
      </w:r>
      <w:r w:rsidR="00901AEA">
        <w:t>Important elements are: that an assessment of the adequacy of progress towards EOPO is described; an assessment of the adequacy of planned inputs to meet the expected EOPOs is provided, credible support evidence is provided for claims of achievement or barriers to achievement, the report includes lessons learned from implementation, and proposed management responses and recommendations are summarised.</w:t>
      </w:r>
      <w:r w:rsidR="00901AEA">
        <w:rPr>
          <w:rFonts w:cstheme="minorHAnsi"/>
        </w:rPr>
        <w:t xml:space="preserve"> </w:t>
      </w:r>
      <w:r w:rsidR="00901AEA">
        <w:t xml:space="preserve">The Evidence Matrix </w:t>
      </w:r>
      <w:r w:rsidR="00901AEA" w:rsidRPr="00EF60D2">
        <w:rPr>
          <w:b/>
        </w:rPr>
        <w:t>(Annex 4)</w:t>
      </w:r>
      <w:r w:rsidR="00901AEA" w:rsidRPr="00EF60D2">
        <w:t xml:space="preserve"> </w:t>
      </w:r>
      <w:r w:rsidR="00901AEA">
        <w:t xml:space="preserve">and Learning Dialogue will collate the information and analysis required to complete the progress reports. </w:t>
      </w:r>
    </w:p>
    <w:p w14:paraId="3AE8F1EC" w14:textId="77777777" w:rsidR="00901AEA" w:rsidRPr="009B04FC" w:rsidRDefault="00901AEA" w:rsidP="003A2CCC">
      <w:pPr>
        <w:pStyle w:val="BodyText"/>
        <w:numPr>
          <w:ilvl w:val="0"/>
          <w:numId w:val="21"/>
        </w:numPr>
        <w:spacing w:line="240" w:lineRule="auto"/>
        <w:jc w:val="both"/>
      </w:pPr>
      <w:r w:rsidRPr="009B04FC">
        <w:rPr>
          <w:b/>
        </w:rPr>
        <w:t>Performance Assessment Framework</w:t>
      </w:r>
      <w:r>
        <w:t xml:space="preserve"> – All investment partners, including Nabilan, are also required to report against the Timor-Leste Performance Assessment Framework (PAF), for which there are 9 outcomes and 19 indicators. The PAF indicators Nabilan will report against have been incorporated into the MELF in </w:t>
      </w:r>
      <w:r w:rsidRPr="00625C00">
        <w:rPr>
          <w:b/>
        </w:rPr>
        <w:t xml:space="preserve">Annex </w:t>
      </w:r>
      <w:r w:rsidR="00625C00" w:rsidRPr="00625C00">
        <w:rPr>
          <w:b/>
        </w:rPr>
        <w:t>1</w:t>
      </w:r>
      <w:r w:rsidRPr="00625C00">
        <w:t xml:space="preserve">. </w:t>
      </w:r>
    </w:p>
    <w:p w14:paraId="1595C121" w14:textId="34CADC6A" w:rsidR="002E7674" w:rsidRPr="008F332A" w:rsidRDefault="00C23B4A" w:rsidP="003A2CCC">
      <w:pPr>
        <w:pStyle w:val="BodyText"/>
        <w:numPr>
          <w:ilvl w:val="0"/>
          <w:numId w:val="21"/>
        </w:numPr>
        <w:spacing w:line="240" w:lineRule="auto"/>
        <w:ind w:left="414"/>
        <w:jc w:val="both"/>
        <w:rPr>
          <w:rFonts w:cstheme="minorHAnsi"/>
        </w:rPr>
      </w:pPr>
      <w:r w:rsidRPr="008F332A">
        <w:rPr>
          <w:rFonts w:cstheme="minorHAnsi"/>
          <w:b/>
          <w:noProof/>
          <w:lang w:eastAsia="en-AU"/>
        </w:rPr>
        <mc:AlternateContent>
          <mc:Choice Requires="wps">
            <w:drawing>
              <wp:anchor distT="0" distB="0" distL="114300" distR="114300" simplePos="0" relativeHeight="251660288" behindDoc="1" locked="0" layoutInCell="1" allowOverlap="1" wp14:anchorId="74898169" wp14:editId="6862DBDB">
                <wp:simplePos x="0" y="0"/>
                <wp:positionH relativeFrom="margin">
                  <wp:align>right</wp:align>
                </wp:positionH>
                <wp:positionV relativeFrom="paragraph">
                  <wp:posOffset>715010</wp:posOffset>
                </wp:positionV>
                <wp:extent cx="5948680" cy="2657475"/>
                <wp:effectExtent l="0" t="0" r="13970" b="28575"/>
                <wp:wrapTight wrapText="bothSides">
                  <wp:wrapPolygon edited="0">
                    <wp:start x="0" y="0"/>
                    <wp:lineTo x="0" y="21677"/>
                    <wp:lineTo x="21582" y="21677"/>
                    <wp:lineTo x="21582" y="0"/>
                    <wp:lineTo x="0" y="0"/>
                  </wp:wrapPolygon>
                </wp:wrapTight>
                <wp:docPr id="31" name="Text Box 31"/>
                <wp:cNvGraphicFramePr/>
                <a:graphic xmlns:a="http://schemas.openxmlformats.org/drawingml/2006/main">
                  <a:graphicData uri="http://schemas.microsoft.com/office/word/2010/wordprocessingShape">
                    <wps:wsp>
                      <wps:cNvSpPr txBox="1"/>
                      <wps:spPr>
                        <a:xfrm>
                          <a:off x="0" y="0"/>
                          <a:ext cx="5948680" cy="2657475"/>
                        </a:xfrm>
                        <a:prstGeom prst="rect">
                          <a:avLst/>
                        </a:prstGeom>
                        <a:solidFill>
                          <a:schemeClr val="lt1"/>
                        </a:solidFill>
                        <a:ln w="6350">
                          <a:solidFill>
                            <a:prstClr val="black"/>
                          </a:solidFill>
                        </a:ln>
                      </wps:spPr>
                      <wps:txbx>
                        <w:txbxContent>
                          <w:p w14:paraId="4658A017" w14:textId="77777777" w:rsidR="00356727" w:rsidRPr="009B541A" w:rsidRDefault="00356727" w:rsidP="000A57C5">
                            <w:pPr>
                              <w:spacing w:after="0"/>
                              <w:rPr>
                                <w:b/>
                                <w:sz w:val="20"/>
                                <w:szCs w:val="20"/>
                              </w:rPr>
                            </w:pPr>
                            <w:r w:rsidRPr="009B541A">
                              <w:rPr>
                                <w:b/>
                                <w:sz w:val="20"/>
                                <w:szCs w:val="20"/>
                              </w:rPr>
                              <w:t>Box 2: Summary of Dissemination Approaches</w:t>
                            </w:r>
                          </w:p>
                          <w:p w14:paraId="51027F9A" w14:textId="77777777" w:rsidR="00356727" w:rsidRPr="009B541A" w:rsidRDefault="00356727" w:rsidP="00346A94">
                            <w:pPr>
                              <w:pStyle w:val="Bullets"/>
                              <w:numPr>
                                <w:ilvl w:val="0"/>
                                <w:numId w:val="23"/>
                              </w:numPr>
                              <w:spacing w:after="0"/>
                              <w:rPr>
                                <w:sz w:val="20"/>
                                <w:szCs w:val="20"/>
                              </w:rPr>
                            </w:pPr>
                            <w:r w:rsidRPr="009B541A">
                              <w:rPr>
                                <w:sz w:val="20"/>
                                <w:szCs w:val="20"/>
                              </w:rPr>
                              <w:t xml:space="preserve">Regular meetings with DFAT, GoTL and partners </w:t>
                            </w:r>
                          </w:p>
                          <w:p w14:paraId="67E60A57" w14:textId="77777777" w:rsidR="00356727" w:rsidRPr="009B541A" w:rsidRDefault="00356727" w:rsidP="00346A94">
                            <w:pPr>
                              <w:pStyle w:val="Bullets"/>
                              <w:numPr>
                                <w:ilvl w:val="0"/>
                                <w:numId w:val="23"/>
                              </w:numPr>
                              <w:spacing w:after="0"/>
                              <w:rPr>
                                <w:sz w:val="20"/>
                                <w:szCs w:val="20"/>
                              </w:rPr>
                            </w:pPr>
                            <w:r w:rsidRPr="009B541A">
                              <w:rPr>
                                <w:sz w:val="20"/>
                                <w:szCs w:val="20"/>
                              </w:rPr>
                              <w:t>Internal coordination meetings within Nabilan team</w:t>
                            </w:r>
                          </w:p>
                          <w:p w14:paraId="7F278BCF" w14:textId="77777777" w:rsidR="00356727" w:rsidRPr="009B541A" w:rsidRDefault="00356727" w:rsidP="00346A94">
                            <w:pPr>
                              <w:pStyle w:val="Bullets"/>
                              <w:numPr>
                                <w:ilvl w:val="0"/>
                                <w:numId w:val="23"/>
                              </w:numPr>
                              <w:spacing w:after="0"/>
                              <w:rPr>
                                <w:sz w:val="20"/>
                                <w:szCs w:val="20"/>
                              </w:rPr>
                            </w:pPr>
                            <w:r w:rsidRPr="009B541A">
                              <w:rPr>
                                <w:sz w:val="20"/>
                                <w:szCs w:val="20"/>
                              </w:rPr>
                              <w:t>Cross-Foundation meetings and collaboration</w:t>
                            </w:r>
                          </w:p>
                          <w:p w14:paraId="2B2B8D18" w14:textId="77777777" w:rsidR="00356727" w:rsidRPr="009B541A" w:rsidRDefault="00356727" w:rsidP="00346A94">
                            <w:pPr>
                              <w:pStyle w:val="Bullets"/>
                              <w:numPr>
                                <w:ilvl w:val="0"/>
                                <w:numId w:val="23"/>
                              </w:numPr>
                              <w:spacing w:after="0"/>
                              <w:rPr>
                                <w:sz w:val="20"/>
                                <w:szCs w:val="20"/>
                              </w:rPr>
                            </w:pPr>
                            <w:r w:rsidRPr="009B541A">
                              <w:rPr>
                                <w:sz w:val="20"/>
                                <w:szCs w:val="20"/>
                              </w:rPr>
                              <w:t>Learning dialogues and internal reflections</w:t>
                            </w:r>
                          </w:p>
                          <w:p w14:paraId="40D0A62A" w14:textId="77777777" w:rsidR="00356727" w:rsidRPr="009B541A" w:rsidRDefault="00356727" w:rsidP="00346A94">
                            <w:pPr>
                              <w:pStyle w:val="Bullets"/>
                              <w:numPr>
                                <w:ilvl w:val="0"/>
                                <w:numId w:val="23"/>
                              </w:numPr>
                              <w:spacing w:after="0"/>
                              <w:rPr>
                                <w:sz w:val="20"/>
                                <w:szCs w:val="20"/>
                              </w:rPr>
                            </w:pPr>
                            <w:r w:rsidRPr="009B541A">
                              <w:rPr>
                                <w:sz w:val="20"/>
                                <w:szCs w:val="20"/>
                              </w:rPr>
                              <w:t>Program Review and Planning Forum (PRPF)</w:t>
                            </w:r>
                          </w:p>
                          <w:p w14:paraId="1F8367EF" w14:textId="6AEAD1F0" w:rsidR="00356727" w:rsidRDefault="00356727" w:rsidP="00346A94">
                            <w:pPr>
                              <w:pStyle w:val="Bullets"/>
                              <w:numPr>
                                <w:ilvl w:val="0"/>
                                <w:numId w:val="23"/>
                              </w:numPr>
                              <w:spacing w:after="0"/>
                              <w:rPr>
                                <w:sz w:val="20"/>
                                <w:szCs w:val="20"/>
                              </w:rPr>
                            </w:pPr>
                            <w:r w:rsidRPr="009B541A">
                              <w:rPr>
                                <w:sz w:val="20"/>
                                <w:szCs w:val="20"/>
                              </w:rPr>
                              <w:t>Change Ambassador Network meetings</w:t>
                            </w:r>
                          </w:p>
                          <w:p w14:paraId="4D84E703" w14:textId="48EE86C5" w:rsidR="00356727" w:rsidRPr="009B541A" w:rsidRDefault="00356727" w:rsidP="00346A94">
                            <w:pPr>
                              <w:pStyle w:val="Bullets"/>
                              <w:numPr>
                                <w:ilvl w:val="0"/>
                                <w:numId w:val="23"/>
                              </w:numPr>
                              <w:spacing w:after="0"/>
                              <w:rPr>
                                <w:sz w:val="20"/>
                                <w:szCs w:val="20"/>
                              </w:rPr>
                            </w:pPr>
                            <w:r>
                              <w:rPr>
                                <w:sz w:val="20"/>
                                <w:szCs w:val="20"/>
                              </w:rPr>
                              <w:t xml:space="preserve">Participation in Embassy gender and disability working group fora. </w:t>
                            </w:r>
                          </w:p>
                          <w:p w14:paraId="0F370B07" w14:textId="77777777" w:rsidR="00356727" w:rsidRPr="009B541A" w:rsidRDefault="00356727" w:rsidP="00346A94">
                            <w:pPr>
                              <w:pStyle w:val="Bullets"/>
                              <w:numPr>
                                <w:ilvl w:val="0"/>
                                <w:numId w:val="23"/>
                              </w:numPr>
                              <w:spacing w:after="0"/>
                              <w:rPr>
                                <w:sz w:val="20"/>
                                <w:szCs w:val="20"/>
                              </w:rPr>
                            </w:pPr>
                            <w:r w:rsidRPr="009B541A">
                              <w:rPr>
                                <w:sz w:val="20"/>
                                <w:szCs w:val="20"/>
                              </w:rPr>
                              <w:t>Training programs, workshops</w:t>
                            </w:r>
                          </w:p>
                          <w:p w14:paraId="4DAEBECB" w14:textId="77777777" w:rsidR="00356727" w:rsidRPr="009B541A" w:rsidRDefault="00356727" w:rsidP="00346A94">
                            <w:pPr>
                              <w:pStyle w:val="Bullets"/>
                              <w:numPr>
                                <w:ilvl w:val="0"/>
                                <w:numId w:val="23"/>
                              </w:numPr>
                              <w:spacing w:after="0"/>
                              <w:rPr>
                                <w:sz w:val="20"/>
                                <w:szCs w:val="20"/>
                              </w:rPr>
                            </w:pPr>
                            <w:r w:rsidRPr="009B541A">
                              <w:rPr>
                                <w:sz w:val="20"/>
                                <w:szCs w:val="20"/>
                              </w:rPr>
                              <w:t>Publication and launch of research reports, fact-sheets etc.</w:t>
                            </w:r>
                          </w:p>
                          <w:p w14:paraId="43DA54E0" w14:textId="77777777" w:rsidR="00356727" w:rsidRPr="009B541A" w:rsidRDefault="00356727" w:rsidP="00346A94">
                            <w:pPr>
                              <w:pStyle w:val="Bullets"/>
                              <w:numPr>
                                <w:ilvl w:val="0"/>
                                <w:numId w:val="23"/>
                              </w:numPr>
                              <w:spacing w:after="0"/>
                              <w:rPr>
                                <w:sz w:val="20"/>
                                <w:szCs w:val="20"/>
                              </w:rPr>
                            </w:pPr>
                            <w:r w:rsidRPr="009B541A">
                              <w:rPr>
                                <w:sz w:val="20"/>
                                <w:szCs w:val="20"/>
                              </w:rPr>
                              <w:t>Media, including social media, short films</w:t>
                            </w:r>
                          </w:p>
                          <w:p w14:paraId="29F6FB21" w14:textId="77777777" w:rsidR="00356727" w:rsidRPr="009B541A" w:rsidRDefault="00356727" w:rsidP="00346A94">
                            <w:pPr>
                              <w:pStyle w:val="Bullets"/>
                              <w:numPr>
                                <w:ilvl w:val="0"/>
                                <w:numId w:val="23"/>
                              </w:numPr>
                              <w:spacing w:after="0"/>
                              <w:rPr>
                                <w:sz w:val="20"/>
                                <w:szCs w:val="20"/>
                              </w:rPr>
                            </w:pPr>
                            <w:r w:rsidRPr="009B541A">
                              <w:rPr>
                                <w:sz w:val="20"/>
                                <w:szCs w:val="20"/>
                              </w:rPr>
                              <w:t>Support for partner’s dissemination strategies</w:t>
                            </w:r>
                          </w:p>
                          <w:p w14:paraId="030CEE18" w14:textId="77777777" w:rsidR="00356727" w:rsidRPr="009B541A" w:rsidRDefault="00356727" w:rsidP="00346A94">
                            <w:pPr>
                              <w:pStyle w:val="Bullets"/>
                              <w:numPr>
                                <w:ilvl w:val="0"/>
                                <w:numId w:val="23"/>
                              </w:numPr>
                              <w:spacing w:after="0"/>
                              <w:rPr>
                                <w:sz w:val="20"/>
                                <w:szCs w:val="20"/>
                              </w:rPr>
                            </w:pPr>
                            <w:r w:rsidRPr="009B541A">
                              <w:rPr>
                                <w:sz w:val="20"/>
                                <w:szCs w:val="20"/>
                              </w:rPr>
                              <w:t xml:space="preserve">Contribution to the DFAT Performance Assessment Framework </w:t>
                            </w:r>
                          </w:p>
                          <w:p w14:paraId="2216BEAD" w14:textId="77777777" w:rsidR="00356727" w:rsidRPr="009B541A" w:rsidRDefault="00356727" w:rsidP="00346A94">
                            <w:pPr>
                              <w:pStyle w:val="Bullets"/>
                              <w:numPr>
                                <w:ilvl w:val="0"/>
                                <w:numId w:val="23"/>
                              </w:numPr>
                              <w:spacing w:after="0"/>
                              <w:rPr>
                                <w:sz w:val="20"/>
                                <w:szCs w:val="20"/>
                              </w:rPr>
                            </w:pPr>
                            <w:r w:rsidRPr="009B541A">
                              <w:rPr>
                                <w:sz w:val="20"/>
                                <w:szCs w:val="20"/>
                              </w:rPr>
                              <w:t>Participation in M&amp;E House Community of Practice events</w:t>
                            </w:r>
                          </w:p>
                          <w:p w14:paraId="5D9DAFEA" w14:textId="77777777" w:rsidR="00356727" w:rsidRPr="009B541A" w:rsidRDefault="00356727" w:rsidP="00346A94">
                            <w:pPr>
                              <w:pStyle w:val="Bullets"/>
                              <w:numPr>
                                <w:ilvl w:val="0"/>
                                <w:numId w:val="23"/>
                              </w:numPr>
                              <w:spacing w:after="0"/>
                              <w:rPr>
                                <w:sz w:val="20"/>
                                <w:szCs w:val="20"/>
                              </w:rPr>
                            </w:pPr>
                            <w:r w:rsidRPr="009B541A">
                              <w:rPr>
                                <w:sz w:val="20"/>
                                <w:szCs w:val="20"/>
                              </w:rPr>
                              <w:t>Annual Review of Program Approach and Logic</w:t>
                            </w:r>
                          </w:p>
                          <w:p w14:paraId="05729647" w14:textId="77777777" w:rsidR="00356727" w:rsidRPr="009B541A" w:rsidRDefault="00356727" w:rsidP="00346A94">
                            <w:pPr>
                              <w:pStyle w:val="Bullets"/>
                              <w:numPr>
                                <w:ilvl w:val="0"/>
                                <w:numId w:val="23"/>
                              </w:numPr>
                              <w:spacing w:after="0"/>
                              <w:rPr>
                                <w:sz w:val="20"/>
                                <w:szCs w:val="20"/>
                              </w:rPr>
                            </w:pPr>
                            <w:r w:rsidRPr="009B541A">
                              <w:rPr>
                                <w:sz w:val="20"/>
                                <w:szCs w:val="20"/>
                              </w:rPr>
                              <w:t xml:space="preserve">Annual Review of the MELP </w:t>
                            </w:r>
                          </w:p>
                          <w:p w14:paraId="17FBD559" w14:textId="77777777" w:rsidR="00356727" w:rsidRDefault="0035672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898169" id="Text Box 31" o:spid="_x0000_s1027" type="#_x0000_t202" style="position:absolute;left:0;text-align:left;margin-left:417.2pt;margin-top:56.3pt;width:468.4pt;height:209.25pt;z-index:-2516561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" fillcolor="white [3201]" strokeweight=".5pt">
                <v:textbox>
                  <w:txbxContent>
                    <w:p w14:paraId="4658A017" w14:textId="77777777" w:rsidR="00356727" w:rsidRPr="009B541A" w:rsidRDefault="00356727" w:rsidP="000A57C5">
                      <w:pPr>
                        <w:spacing w:after="0"/>
                        <w:rPr>
                          <w:b/>
                          <w:sz w:val="20"/>
                          <w:szCs w:val="20"/>
                        </w:rPr>
                      </w:pPr>
                      <w:r w:rsidRPr="009B541A">
                        <w:rPr>
                          <w:b/>
                          <w:sz w:val="20"/>
                          <w:szCs w:val="20"/>
                        </w:rPr>
                        <w:t>Box 2: Summary of Dissemination Approaches</w:t>
                      </w:r>
                    </w:p>
                    <w:p w14:paraId="51027F9A" w14:textId="77777777" w:rsidR="00356727" w:rsidRPr="009B541A" w:rsidRDefault="00356727" w:rsidP="00346A94">
                      <w:pPr>
                        <w:pStyle w:val="Bullets"/>
                        <w:numPr>
                          <w:ilvl w:val="0"/>
                          <w:numId w:val="23"/>
                        </w:numPr>
                        <w:spacing w:after="0"/>
                        <w:rPr>
                          <w:sz w:val="20"/>
                          <w:szCs w:val="20"/>
                        </w:rPr>
                      </w:pPr>
                      <w:r w:rsidRPr="009B541A">
                        <w:rPr>
                          <w:sz w:val="20"/>
                          <w:szCs w:val="20"/>
                        </w:rPr>
                        <w:t xml:space="preserve">Regular meetings with DFAT, GoTL and partners </w:t>
                      </w:r>
                    </w:p>
                    <w:p w14:paraId="67E60A57" w14:textId="77777777" w:rsidR="00356727" w:rsidRPr="009B541A" w:rsidRDefault="00356727" w:rsidP="00346A94">
                      <w:pPr>
                        <w:pStyle w:val="Bullets"/>
                        <w:numPr>
                          <w:ilvl w:val="0"/>
                          <w:numId w:val="23"/>
                        </w:numPr>
                        <w:spacing w:after="0"/>
                        <w:rPr>
                          <w:sz w:val="20"/>
                          <w:szCs w:val="20"/>
                        </w:rPr>
                      </w:pPr>
                      <w:r w:rsidRPr="009B541A">
                        <w:rPr>
                          <w:sz w:val="20"/>
                          <w:szCs w:val="20"/>
                        </w:rPr>
                        <w:t>Internal coordination meetings within Nabilan team</w:t>
                      </w:r>
                    </w:p>
                    <w:p w14:paraId="7F278BCF" w14:textId="77777777" w:rsidR="00356727" w:rsidRPr="009B541A" w:rsidRDefault="00356727" w:rsidP="00346A94">
                      <w:pPr>
                        <w:pStyle w:val="Bullets"/>
                        <w:numPr>
                          <w:ilvl w:val="0"/>
                          <w:numId w:val="23"/>
                        </w:numPr>
                        <w:spacing w:after="0"/>
                        <w:rPr>
                          <w:sz w:val="20"/>
                          <w:szCs w:val="20"/>
                        </w:rPr>
                      </w:pPr>
                      <w:r w:rsidRPr="009B541A">
                        <w:rPr>
                          <w:sz w:val="20"/>
                          <w:szCs w:val="20"/>
                        </w:rPr>
                        <w:t>Cross-Foundation meetings and collaboration</w:t>
                      </w:r>
                    </w:p>
                    <w:p w14:paraId="2B2B8D18" w14:textId="77777777" w:rsidR="00356727" w:rsidRPr="009B541A" w:rsidRDefault="00356727" w:rsidP="00346A94">
                      <w:pPr>
                        <w:pStyle w:val="Bullets"/>
                        <w:numPr>
                          <w:ilvl w:val="0"/>
                          <w:numId w:val="23"/>
                        </w:numPr>
                        <w:spacing w:after="0"/>
                        <w:rPr>
                          <w:sz w:val="20"/>
                          <w:szCs w:val="20"/>
                        </w:rPr>
                      </w:pPr>
                      <w:r w:rsidRPr="009B541A">
                        <w:rPr>
                          <w:sz w:val="20"/>
                          <w:szCs w:val="20"/>
                        </w:rPr>
                        <w:t>Learning dialogues and internal reflections</w:t>
                      </w:r>
                    </w:p>
                    <w:p w14:paraId="40D0A62A" w14:textId="77777777" w:rsidR="00356727" w:rsidRPr="009B541A" w:rsidRDefault="00356727" w:rsidP="00346A94">
                      <w:pPr>
                        <w:pStyle w:val="Bullets"/>
                        <w:numPr>
                          <w:ilvl w:val="0"/>
                          <w:numId w:val="23"/>
                        </w:numPr>
                        <w:spacing w:after="0"/>
                        <w:rPr>
                          <w:sz w:val="20"/>
                          <w:szCs w:val="20"/>
                        </w:rPr>
                      </w:pPr>
                      <w:r w:rsidRPr="009B541A">
                        <w:rPr>
                          <w:sz w:val="20"/>
                          <w:szCs w:val="20"/>
                        </w:rPr>
                        <w:t>Program Review and Planning Forum (PRPF)</w:t>
                      </w:r>
                    </w:p>
                    <w:p w14:paraId="1F8367EF" w14:textId="6AEAD1F0" w:rsidR="00356727" w:rsidRDefault="00356727" w:rsidP="00346A94">
                      <w:pPr>
                        <w:pStyle w:val="Bullets"/>
                        <w:numPr>
                          <w:ilvl w:val="0"/>
                          <w:numId w:val="23"/>
                        </w:numPr>
                        <w:spacing w:after="0"/>
                        <w:rPr>
                          <w:sz w:val="20"/>
                          <w:szCs w:val="20"/>
                        </w:rPr>
                      </w:pPr>
                      <w:r w:rsidRPr="009B541A">
                        <w:rPr>
                          <w:sz w:val="20"/>
                          <w:szCs w:val="20"/>
                        </w:rPr>
                        <w:t>Change Ambassador Network meetings</w:t>
                      </w:r>
                    </w:p>
                    <w:p w14:paraId="4D84E703" w14:textId="48EE86C5" w:rsidR="00356727" w:rsidRPr="009B541A" w:rsidRDefault="00356727" w:rsidP="00346A94">
                      <w:pPr>
                        <w:pStyle w:val="Bullets"/>
                        <w:numPr>
                          <w:ilvl w:val="0"/>
                          <w:numId w:val="23"/>
                        </w:numPr>
                        <w:spacing w:after="0"/>
                        <w:rPr>
                          <w:sz w:val="20"/>
                          <w:szCs w:val="20"/>
                        </w:rPr>
                      </w:pPr>
                      <w:r>
                        <w:rPr>
                          <w:sz w:val="20"/>
                          <w:szCs w:val="20"/>
                        </w:rPr>
                        <w:t xml:space="preserve">Participation in Embassy gender and disability working group fora. </w:t>
                      </w:r>
                    </w:p>
                    <w:p w14:paraId="0F370B07" w14:textId="77777777" w:rsidR="00356727" w:rsidRPr="009B541A" w:rsidRDefault="00356727" w:rsidP="00346A94">
                      <w:pPr>
                        <w:pStyle w:val="Bullets"/>
                        <w:numPr>
                          <w:ilvl w:val="0"/>
                          <w:numId w:val="23"/>
                        </w:numPr>
                        <w:spacing w:after="0"/>
                        <w:rPr>
                          <w:sz w:val="20"/>
                          <w:szCs w:val="20"/>
                        </w:rPr>
                      </w:pPr>
                      <w:r w:rsidRPr="009B541A">
                        <w:rPr>
                          <w:sz w:val="20"/>
                          <w:szCs w:val="20"/>
                        </w:rPr>
                        <w:t>Training programs, workshops</w:t>
                      </w:r>
                    </w:p>
                    <w:p w14:paraId="4DAEBECB" w14:textId="77777777" w:rsidR="00356727" w:rsidRPr="009B541A" w:rsidRDefault="00356727" w:rsidP="00346A94">
                      <w:pPr>
                        <w:pStyle w:val="Bullets"/>
                        <w:numPr>
                          <w:ilvl w:val="0"/>
                          <w:numId w:val="23"/>
                        </w:numPr>
                        <w:spacing w:after="0"/>
                        <w:rPr>
                          <w:sz w:val="20"/>
                          <w:szCs w:val="20"/>
                        </w:rPr>
                      </w:pPr>
                      <w:r w:rsidRPr="009B541A">
                        <w:rPr>
                          <w:sz w:val="20"/>
                          <w:szCs w:val="20"/>
                        </w:rPr>
                        <w:t>Publication and launch of research reports, fact-sheets etc.</w:t>
                      </w:r>
                    </w:p>
                    <w:p w14:paraId="43DA54E0" w14:textId="77777777" w:rsidR="00356727" w:rsidRPr="009B541A" w:rsidRDefault="00356727" w:rsidP="00346A94">
                      <w:pPr>
                        <w:pStyle w:val="Bullets"/>
                        <w:numPr>
                          <w:ilvl w:val="0"/>
                          <w:numId w:val="23"/>
                        </w:numPr>
                        <w:spacing w:after="0"/>
                        <w:rPr>
                          <w:sz w:val="20"/>
                          <w:szCs w:val="20"/>
                        </w:rPr>
                      </w:pPr>
                      <w:r w:rsidRPr="009B541A">
                        <w:rPr>
                          <w:sz w:val="20"/>
                          <w:szCs w:val="20"/>
                        </w:rPr>
                        <w:t>Media, including social media, short films</w:t>
                      </w:r>
                    </w:p>
                    <w:p w14:paraId="29F6FB21" w14:textId="77777777" w:rsidR="00356727" w:rsidRPr="009B541A" w:rsidRDefault="00356727" w:rsidP="00346A94">
                      <w:pPr>
                        <w:pStyle w:val="Bullets"/>
                        <w:numPr>
                          <w:ilvl w:val="0"/>
                          <w:numId w:val="23"/>
                        </w:numPr>
                        <w:spacing w:after="0"/>
                        <w:rPr>
                          <w:sz w:val="20"/>
                          <w:szCs w:val="20"/>
                        </w:rPr>
                      </w:pPr>
                      <w:r w:rsidRPr="009B541A">
                        <w:rPr>
                          <w:sz w:val="20"/>
                          <w:szCs w:val="20"/>
                        </w:rPr>
                        <w:t>Support for partner’s dissemination strategies</w:t>
                      </w:r>
                    </w:p>
                    <w:p w14:paraId="030CEE18" w14:textId="77777777" w:rsidR="00356727" w:rsidRPr="009B541A" w:rsidRDefault="00356727" w:rsidP="00346A94">
                      <w:pPr>
                        <w:pStyle w:val="Bullets"/>
                        <w:numPr>
                          <w:ilvl w:val="0"/>
                          <w:numId w:val="23"/>
                        </w:numPr>
                        <w:spacing w:after="0"/>
                        <w:rPr>
                          <w:sz w:val="20"/>
                          <w:szCs w:val="20"/>
                        </w:rPr>
                      </w:pPr>
                      <w:r w:rsidRPr="009B541A">
                        <w:rPr>
                          <w:sz w:val="20"/>
                          <w:szCs w:val="20"/>
                        </w:rPr>
                        <w:t xml:space="preserve">Contribution to the DFAT Performance Assessment Framework </w:t>
                      </w:r>
                    </w:p>
                    <w:p w14:paraId="2216BEAD" w14:textId="77777777" w:rsidR="00356727" w:rsidRPr="009B541A" w:rsidRDefault="00356727" w:rsidP="00346A94">
                      <w:pPr>
                        <w:pStyle w:val="Bullets"/>
                        <w:numPr>
                          <w:ilvl w:val="0"/>
                          <w:numId w:val="23"/>
                        </w:numPr>
                        <w:spacing w:after="0"/>
                        <w:rPr>
                          <w:sz w:val="20"/>
                          <w:szCs w:val="20"/>
                        </w:rPr>
                      </w:pPr>
                      <w:r w:rsidRPr="009B541A">
                        <w:rPr>
                          <w:sz w:val="20"/>
                          <w:szCs w:val="20"/>
                        </w:rPr>
                        <w:t>Participation in M&amp;E House Community of Practice events</w:t>
                      </w:r>
                    </w:p>
                    <w:p w14:paraId="5D9DAFEA" w14:textId="77777777" w:rsidR="00356727" w:rsidRPr="009B541A" w:rsidRDefault="00356727" w:rsidP="00346A94">
                      <w:pPr>
                        <w:pStyle w:val="Bullets"/>
                        <w:numPr>
                          <w:ilvl w:val="0"/>
                          <w:numId w:val="23"/>
                        </w:numPr>
                        <w:spacing w:after="0"/>
                        <w:rPr>
                          <w:sz w:val="20"/>
                          <w:szCs w:val="20"/>
                        </w:rPr>
                      </w:pPr>
                      <w:r w:rsidRPr="009B541A">
                        <w:rPr>
                          <w:sz w:val="20"/>
                          <w:szCs w:val="20"/>
                        </w:rPr>
                        <w:t>Annual Review of Program Approach and Logic</w:t>
                      </w:r>
                    </w:p>
                    <w:p w14:paraId="05729647" w14:textId="77777777" w:rsidR="00356727" w:rsidRPr="009B541A" w:rsidRDefault="00356727" w:rsidP="00346A94">
                      <w:pPr>
                        <w:pStyle w:val="Bullets"/>
                        <w:numPr>
                          <w:ilvl w:val="0"/>
                          <w:numId w:val="23"/>
                        </w:numPr>
                        <w:spacing w:after="0"/>
                        <w:rPr>
                          <w:sz w:val="20"/>
                          <w:szCs w:val="20"/>
                        </w:rPr>
                      </w:pPr>
                      <w:r w:rsidRPr="009B541A">
                        <w:rPr>
                          <w:sz w:val="20"/>
                          <w:szCs w:val="20"/>
                        </w:rPr>
                        <w:t xml:space="preserve">Annual Review of the MELP </w:t>
                      </w:r>
                    </w:p>
                    <w:p w14:paraId="17FBD559" w14:textId="77777777" w:rsidR="00356727" w:rsidRDefault="00356727"/>
                  </w:txbxContent>
                </v:textbox>
                <w10:wrap type="tight" anchorx="margin"/>
              </v:shape>
            </w:pict>
          </mc:Fallback>
        </mc:AlternateContent>
      </w:r>
      <w:r w:rsidR="002E7674" w:rsidRPr="008F332A">
        <w:rPr>
          <w:rFonts w:cstheme="minorHAnsi"/>
          <w:b/>
        </w:rPr>
        <w:t>Broader dissemination</w:t>
      </w:r>
      <w:r w:rsidR="008A286F" w:rsidRPr="008F332A">
        <w:rPr>
          <w:rFonts w:cstheme="minorHAnsi"/>
          <w:b/>
        </w:rPr>
        <w:t xml:space="preserve"> of the Nabilan Program learning -</w:t>
      </w:r>
      <w:r w:rsidR="000E4020" w:rsidRPr="008F332A">
        <w:rPr>
          <w:rFonts w:cstheme="minorHAnsi"/>
        </w:rPr>
        <w:t xml:space="preserve"> Nabilan will utilise a range of means to </w:t>
      </w:r>
      <w:r w:rsidR="00162C08">
        <w:rPr>
          <w:rFonts w:cstheme="minorHAnsi"/>
        </w:rPr>
        <w:t>d</w:t>
      </w:r>
      <w:r w:rsidR="000E4020" w:rsidRPr="008F332A">
        <w:rPr>
          <w:rFonts w:cstheme="minorHAnsi"/>
        </w:rPr>
        <w:t>isseminate program learning</w:t>
      </w:r>
      <w:r w:rsidR="00901AEA" w:rsidRPr="00E3438F">
        <w:t xml:space="preserve"> to relevant stakeholders including other GoTL ministries, DFAT and other donors, </w:t>
      </w:r>
      <w:r w:rsidR="00901AEA">
        <w:t xml:space="preserve">and </w:t>
      </w:r>
      <w:r w:rsidR="00901AEA" w:rsidRPr="00E3438F">
        <w:t xml:space="preserve">NGOs. </w:t>
      </w:r>
      <w:r w:rsidR="009D1112" w:rsidRPr="008F332A">
        <w:rPr>
          <w:rFonts w:cstheme="minorHAnsi"/>
          <w:b/>
        </w:rPr>
        <w:t>Box 2</w:t>
      </w:r>
      <w:r w:rsidR="000E4020" w:rsidRPr="008F332A">
        <w:rPr>
          <w:rFonts w:cstheme="minorHAnsi"/>
        </w:rPr>
        <w:t xml:space="preserve"> provi</w:t>
      </w:r>
      <w:r w:rsidR="00502ACE" w:rsidRPr="008F332A">
        <w:rPr>
          <w:rFonts w:cstheme="minorHAnsi"/>
        </w:rPr>
        <w:t>des a summary of dissemination</w:t>
      </w:r>
      <w:r w:rsidR="000E4020" w:rsidRPr="008F332A">
        <w:rPr>
          <w:rFonts w:cstheme="minorHAnsi"/>
        </w:rPr>
        <w:t xml:space="preserve"> avenues utilised by the Nabilan program</w:t>
      </w:r>
      <w:r w:rsidR="00502ACE" w:rsidRPr="008F332A">
        <w:rPr>
          <w:rFonts w:cstheme="minorHAnsi"/>
        </w:rPr>
        <w:t xml:space="preserve">. </w:t>
      </w:r>
    </w:p>
    <w:p w14:paraId="2D1ED306" w14:textId="77777777" w:rsidR="00251257" w:rsidRPr="008F332A" w:rsidRDefault="00950F10" w:rsidP="003A2CCC">
      <w:pPr>
        <w:pStyle w:val="Heading1"/>
        <w:numPr>
          <w:ilvl w:val="0"/>
          <w:numId w:val="19"/>
        </w:numPr>
        <w:rPr>
          <w:rFonts w:asciiTheme="minorHAnsi" w:hAnsiTheme="minorHAnsi" w:cstheme="minorHAnsi"/>
        </w:rPr>
      </w:pPr>
      <w:bookmarkStart w:id="34" w:name="_Toc517960110"/>
      <w:r>
        <w:rPr>
          <w:rFonts w:asciiTheme="minorHAnsi" w:hAnsiTheme="minorHAnsi" w:cstheme="minorHAnsi"/>
        </w:rPr>
        <w:t>IMPLEMENTATION OF THE MELP</w:t>
      </w:r>
      <w:bookmarkEnd w:id="34"/>
      <w:r w:rsidR="001011B5" w:rsidRPr="008F332A">
        <w:rPr>
          <w:rFonts w:asciiTheme="minorHAnsi" w:hAnsiTheme="minorHAnsi" w:cstheme="minorHAnsi"/>
        </w:rPr>
        <w:t xml:space="preserve"> </w:t>
      </w:r>
    </w:p>
    <w:p w14:paraId="12926453" w14:textId="77777777" w:rsidR="008E77B6" w:rsidRPr="008F332A" w:rsidRDefault="002E7674" w:rsidP="003A2CCC">
      <w:pPr>
        <w:pStyle w:val="Heading2"/>
        <w:numPr>
          <w:ilvl w:val="1"/>
          <w:numId w:val="19"/>
        </w:numPr>
        <w:rPr>
          <w:rFonts w:asciiTheme="minorHAnsi" w:hAnsiTheme="minorHAnsi" w:cstheme="minorHAnsi"/>
          <w:color w:val="002D88" w:themeColor="accent6" w:themeTint="E6"/>
        </w:rPr>
      </w:pPr>
      <w:bookmarkStart w:id="35" w:name="_Toc517960111"/>
      <w:bookmarkStart w:id="36" w:name="_Toc513457695"/>
      <w:r w:rsidRPr="008F332A">
        <w:rPr>
          <w:rFonts w:asciiTheme="minorHAnsi" w:hAnsiTheme="minorHAnsi" w:cstheme="minorHAnsi"/>
          <w:color w:val="002D88" w:themeColor="accent6" w:themeTint="E6"/>
        </w:rPr>
        <w:t>Resources</w:t>
      </w:r>
      <w:bookmarkEnd w:id="35"/>
    </w:p>
    <w:p w14:paraId="521B973E" w14:textId="3D435BEC" w:rsidR="00AB0FF4" w:rsidRDefault="00AB0FF4" w:rsidP="003A2CCC">
      <w:r>
        <w:t>During the first six months of Phase 2, Monitoring and Evaluation will be supported principally by existing staff and TAF manage</w:t>
      </w:r>
      <w:r w:rsidR="00DD40F8">
        <w:t>ment, with a</w:t>
      </w:r>
      <w:r>
        <w:t xml:space="preserve"> M&amp;E Adviser on an STA basis as required. During the remainder of Phase 2 </w:t>
      </w:r>
      <w:r w:rsidR="00DD40F8">
        <w:t>M&amp;E will be resourced through a</w:t>
      </w:r>
      <w:r>
        <w:t xml:space="preserve"> M&amp;E Adviser who will be contracted on an STA basis as required, and an internal M&amp;E Officer for limited days per month. This person will not only provide advice to the social norms change side of the program, but will also undertake monitoring of the CBA work which is a labour-intensive process.</w:t>
      </w:r>
    </w:p>
    <w:p w14:paraId="07860FC7" w14:textId="77777777" w:rsidR="00AB0FF4" w:rsidRPr="00162C08" w:rsidRDefault="00AB0FF4" w:rsidP="003A2CCC">
      <w:pPr>
        <w:rPr>
          <w:color w:val="000000" w:themeColor="text1"/>
        </w:rPr>
      </w:pPr>
      <w:r w:rsidRPr="00162C08">
        <w:rPr>
          <w:rFonts w:cstheme="minorHAnsi"/>
          <w:color w:val="000000" w:themeColor="text1"/>
        </w:rPr>
        <w:t xml:space="preserve">Nabilan will allocate approximately 5% of their budget to the conduct of M&amp;E over the life of the program. The conduct of an endline survey in 2021 will require additional funding. </w:t>
      </w:r>
      <w:r w:rsidRPr="00162C08">
        <w:rPr>
          <w:color w:val="000000" w:themeColor="text1"/>
        </w:rPr>
        <w:t>Although not currently budgeted, Nabilan will be seeking additional funding to undertake the endline research in 2021 to identify any changes since the 2015 Nabilan Baseline. Together with results from the M&amp;E Framework, this will be a key way that the Program can demonstrate the impact of the Program, contribute data to the Performance Assessment Framework (PAF) for Timor-Leste, and contribute to data on implementation of Sustainable Development Goal 5.</w:t>
      </w:r>
    </w:p>
    <w:p w14:paraId="332204EB" w14:textId="77777777" w:rsidR="002E7674" w:rsidRPr="008F332A" w:rsidRDefault="002E7674" w:rsidP="003A2CCC">
      <w:pPr>
        <w:pStyle w:val="Heading2"/>
        <w:numPr>
          <w:ilvl w:val="1"/>
          <w:numId w:val="19"/>
        </w:numPr>
        <w:rPr>
          <w:rFonts w:asciiTheme="minorHAnsi" w:hAnsiTheme="minorHAnsi" w:cstheme="minorHAnsi"/>
          <w:color w:val="002D88" w:themeColor="accent6" w:themeTint="E6"/>
        </w:rPr>
      </w:pPr>
      <w:bookmarkStart w:id="37" w:name="_Toc517960112"/>
      <w:r w:rsidRPr="008F332A">
        <w:rPr>
          <w:rFonts w:asciiTheme="minorHAnsi" w:hAnsiTheme="minorHAnsi" w:cstheme="minorHAnsi"/>
          <w:color w:val="002D88" w:themeColor="accent6" w:themeTint="E6"/>
        </w:rPr>
        <w:t>Responsibilities</w:t>
      </w:r>
      <w:bookmarkEnd w:id="36"/>
      <w:bookmarkEnd w:id="37"/>
    </w:p>
    <w:p w14:paraId="13EBC1E9" w14:textId="533C2EC7" w:rsidR="005B2469" w:rsidRPr="005B2469" w:rsidRDefault="002E7674" w:rsidP="005B2469">
      <w:pPr>
        <w:pStyle w:val="BodyText"/>
        <w:spacing w:line="240" w:lineRule="auto"/>
        <w:jc w:val="both"/>
        <w:rPr>
          <w:rFonts w:cstheme="minorHAnsi"/>
        </w:rPr>
      </w:pPr>
      <w:r w:rsidRPr="008F332A">
        <w:rPr>
          <w:rFonts w:cstheme="minorHAnsi"/>
        </w:rPr>
        <w:t xml:space="preserve">Responsibilities relating to </w:t>
      </w:r>
      <w:r w:rsidR="00986511" w:rsidRPr="008F332A">
        <w:rPr>
          <w:rFonts w:cstheme="minorHAnsi"/>
        </w:rPr>
        <w:t xml:space="preserve">monitoring, evaluation and learning </w:t>
      </w:r>
      <w:r w:rsidRPr="008F332A">
        <w:rPr>
          <w:rFonts w:cstheme="minorHAnsi"/>
        </w:rPr>
        <w:t>are summarised in</w:t>
      </w:r>
      <w:r w:rsidR="002C31F8" w:rsidRPr="008F332A">
        <w:rPr>
          <w:rFonts w:cstheme="minorHAnsi"/>
        </w:rPr>
        <w:t xml:space="preserve"> Table 7</w:t>
      </w:r>
      <w:r w:rsidRPr="008F332A">
        <w:rPr>
          <w:rFonts w:cstheme="minorHAnsi"/>
        </w:rPr>
        <w:t xml:space="preserve">. </w:t>
      </w:r>
      <w:r w:rsidR="00950F10" w:rsidRPr="008F332A">
        <w:rPr>
          <w:rFonts w:cstheme="minorHAnsi"/>
          <w:color w:val="000000" w:themeColor="text1"/>
        </w:rPr>
        <w:t xml:space="preserve">Reduced funding means that M&amp;E will be supported principally by existing staff and Foundation management. </w:t>
      </w:r>
      <w:r w:rsidR="00950F10">
        <w:rPr>
          <w:rFonts w:cstheme="minorHAnsi"/>
          <w:color w:val="000000" w:themeColor="text1"/>
        </w:rPr>
        <w:t xml:space="preserve">All Nabilan staff are engaged in M&amp;E activities. </w:t>
      </w:r>
      <w:r w:rsidR="004462E0">
        <w:rPr>
          <w:rFonts w:cstheme="minorHAnsi"/>
          <w:color w:val="000000" w:themeColor="text1"/>
        </w:rPr>
        <w:t>The Nabilan Team Leader</w:t>
      </w:r>
      <w:r w:rsidR="004D37DA" w:rsidRPr="008F332A">
        <w:rPr>
          <w:rFonts w:cstheme="minorHAnsi"/>
          <w:color w:val="000000" w:themeColor="text1"/>
        </w:rPr>
        <w:t xml:space="preserve"> </w:t>
      </w:r>
      <w:r w:rsidR="00950F10" w:rsidRPr="008F332A">
        <w:rPr>
          <w:rFonts w:cstheme="minorHAnsi"/>
          <w:color w:val="000000" w:themeColor="text1"/>
        </w:rPr>
        <w:t>will lead M&amp;E, with support from a M&amp;E Adviser contracted on a short-term basis as required. M&amp;E House is available to provide specific advice and technical support on both the use of tools, analysis and to facilitate learning events. M&amp;E House and Nabilan will meet each year to plan assistance to be provided.</w:t>
      </w:r>
      <w:bookmarkStart w:id="38" w:name="_Ref514103573"/>
    </w:p>
    <w:p w14:paraId="5DD6CD7C" w14:textId="5E8E4B4D" w:rsidR="00A25569" w:rsidRPr="008F332A" w:rsidRDefault="002C31F8" w:rsidP="005B2469">
      <w:pPr>
        <w:pStyle w:val="Caption"/>
        <w:jc w:val="both"/>
        <w:rPr>
          <w:rFonts w:asciiTheme="minorHAnsi" w:hAnsiTheme="minorHAnsi" w:cstheme="minorHAnsi"/>
          <w:b w:val="0"/>
          <w:color w:val="002D88" w:themeColor="accent6" w:themeTint="E6"/>
          <w:sz w:val="22"/>
          <w:szCs w:val="22"/>
        </w:rPr>
      </w:pPr>
      <w:r w:rsidRPr="008F332A">
        <w:rPr>
          <w:rFonts w:asciiTheme="minorHAnsi" w:hAnsiTheme="minorHAnsi" w:cstheme="minorHAnsi"/>
          <w:b w:val="0"/>
          <w:color w:val="002D88" w:themeColor="accent6" w:themeTint="E6"/>
          <w:sz w:val="22"/>
          <w:szCs w:val="22"/>
        </w:rPr>
        <w:t xml:space="preserve">Table 7: </w:t>
      </w:r>
      <w:bookmarkEnd w:id="38"/>
      <w:r w:rsidR="00A25569" w:rsidRPr="008F332A">
        <w:rPr>
          <w:rFonts w:asciiTheme="minorHAnsi" w:hAnsiTheme="minorHAnsi" w:cstheme="minorHAnsi"/>
          <w:b w:val="0"/>
          <w:color w:val="002D88" w:themeColor="accent6" w:themeTint="E6"/>
          <w:sz w:val="22"/>
          <w:szCs w:val="22"/>
        </w:rPr>
        <w:t>M</w:t>
      </w:r>
      <w:r w:rsidR="00EE4E7E" w:rsidRPr="008F332A">
        <w:rPr>
          <w:rFonts w:asciiTheme="minorHAnsi" w:hAnsiTheme="minorHAnsi" w:cstheme="minorHAnsi"/>
          <w:b w:val="0"/>
          <w:color w:val="002D88" w:themeColor="accent6" w:themeTint="E6"/>
          <w:sz w:val="22"/>
          <w:szCs w:val="22"/>
        </w:rPr>
        <w:t xml:space="preserve">onitoring, </w:t>
      </w:r>
      <w:r w:rsidR="00A25569" w:rsidRPr="008F332A">
        <w:rPr>
          <w:rFonts w:asciiTheme="minorHAnsi" w:hAnsiTheme="minorHAnsi" w:cstheme="minorHAnsi"/>
          <w:b w:val="0"/>
          <w:color w:val="002D88" w:themeColor="accent6" w:themeTint="E6"/>
          <w:sz w:val="22"/>
          <w:szCs w:val="22"/>
        </w:rPr>
        <w:t>E</w:t>
      </w:r>
      <w:r w:rsidR="00EE4E7E" w:rsidRPr="008F332A">
        <w:rPr>
          <w:rFonts w:asciiTheme="minorHAnsi" w:hAnsiTheme="minorHAnsi" w:cstheme="minorHAnsi"/>
          <w:b w:val="0"/>
          <w:color w:val="002D88" w:themeColor="accent6" w:themeTint="E6"/>
          <w:sz w:val="22"/>
          <w:szCs w:val="22"/>
        </w:rPr>
        <w:t xml:space="preserve">valuation and </w:t>
      </w:r>
      <w:r w:rsidR="00A25569" w:rsidRPr="008F332A">
        <w:rPr>
          <w:rFonts w:asciiTheme="minorHAnsi" w:hAnsiTheme="minorHAnsi" w:cstheme="minorHAnsi"/>
          <w:b w:val="0"/>
          <w:color w:val="002D88" w:themeColor="accent6" w:themeTint="E6"/>
          <w:sz w:val="22"/>
          <w:szCs w:val="22"/>
        </w:rPr>
        <w:t>L</w:t>
      </w:r>
      <w:r w:rsidR="00EE4E7E" w:rsidRPr="008F332A">
        <w:rPr>
          <w:rFonts w:asciiTheme="minorHAnsi" w:hAnsiTheme="minorHAnsi" w:cstheme="minorHAnsi"/>
          <w:b w:val="0"/>
          <w:color w:val="002D88" w:themeColor="accent6" w:themeTint="E6"/>
          <w:sz w:val="22"/>
          <w:szCs w:val="22"/>
        </w:rPr>
        <w:t>earning</w:t>
      </w:r>
      <w:r w:rsidR="00A25569" w:rsidRPr="008F332A">
        <w:rPr>
          <w:rFonts w:asciiTheme="minorHAnsi" w:hAnsiTheme="minorHAnsi" w:cstheme="minorHAnsi"/>
          <w:b w:val="0"/>
          <w:color w:val="002D88" w:themeColor="accent6" w:themeTint="E6"/>
          <w:sz w:val="22"/>
          <w:szCs w:val="22"/>
        </w:rPr>
        <w:t xml:space="preserve"> Responsibilities</w:t>
      </w:r>
    </w:p>
    <w:tbl>
      <w:tblPr>
        <w:tblStyle w:val="TableGrid"/>
        <w:tblW w:w="5000" w:type="pct"/>
        <w:tblCellMar>
          <w:top w:w="57" w:type="dxa"/>
          <w:bottom w:w="57" w:type="dxa"/>
        </w:tblCellMar>
        <w:tblLook w:val="04A0" w:firstRow="1" w:lastRow="0" w:firstColumn="1" w:lastColumn="0" w:noHBand="0" w:noVBand="1"/>
      </w:tblPr>
      <w:tblGrid>
        <w:gridCol w:w="1536"/>
        <w:gridCol w:w="8051"/>
      </w:tblGrid>
      <w:tr w:rsidR="002E7674" w:rsidRPr="008F332A" w14:paraId="14E01351" w14:textId="77777777" w:rsidTr="003A2CCC">
        <w:trPr>
          <w:trHeight w:val="218"/>
        </w:trPr>
        <w:tc>
          <w:tcPr>
            <w:tcW w:w="801" w:type="pct"/>
            <w:shd w:val="clear" w:color="auto" w:fill="99CCFF"/>
          </w:tcPr>
          <w:p w14:paraId="1495F573" w14:textId="77777777" w:rsidR="002E7674" w:rsidRPr="008F332A" w:rsidRDefault="002E7674" w:rsidP="005B2469">
            <w:pPr>
              <w:keepNext/>
              <w:contextualSpacing/>
              <w:jc w:val="left"/>
              <w:rPr>
                <w:rFonts w:cstheme="minorHAnsi"/>
                <w:b/>
                <w:sz w:val="20"/>
                <w:szCs w:val="20"/>
              </w:rPr>
            </w:pPr>
            <w:r w:rsidRPr="008F332A">
              <w:rPr>
                <w:rFonts w:cstheme="minorHAnsi"/>
                <w:b/>
                <w:sz w:val="20"/>
                <w:szCs w:val="20"/>
              </w:rPr>
              <w:t>Role</w:t>
            </w:r>
          </w:p>
        </w:tc>
        <w:tc>
          <w:tcPr>
            <w:tcW w:w="4199" w:type="pct"/>
            <w:shd w:val="clear" w:color="auto" w:fill="99CCFF"/>
          </w:tcPr>
          <w:p w14:paraId="57F609BA" w14:textId="77777777" w:rsidR="002E7674" w:rsidRPr="008F332A" w:rsidRDefault="002E7674" w:rsidP="005B2469">
            <w:pPr>
              <w:keepNext/>
              <w:contextualSpacing/>
              <w:rPr>
                <w:rFonts w:cstheme="minorHAnsi"/>
                <w:b/>
                <w:sz w:val="20"/>
                <w:szCs w:val="20"/>
              </w:rPr>
            </w:pPr>
            <w:r w:rsidRPr="008F332A">
              <w:rPr>
                <w:rFonts w:cstheme="minorHAnsi"/>
                <w:b/>
                <w:sz w:val="20"/>
                <w:szCs w:val="20"/>
              </w:rPr>
              <w:t xml:space="preserve">Responsibilities </w:t>
            </w:r>
          </w:p>
        </w:tc>
      </w:tr>
      <w:tr w:rsidR="00A25569" w:rsidRPr="008F332A" w14:paraId="249B39D0" w14:textId="77777777" w:rsidTr="003A2CCC">
        <w:trPr>
          <w:trHeight w:val="218"/>
        </w:trPr>
        <w:tc>
          <w:tcPr>
            <w:tcW w:w="5000" w:type="pct"/>
            <w:gridSpan w:val="2"/>
            <w:shd w:val="clear" w:color="auto" w:fill="99CCFF"/>
          </w:tcPr>
          <w:p w14:paraId="7351CFBB" w14:textId="77777777" w:rsidR="00A25569" w:rsidRPr="008F332A" w:rsidRDefault="00A25569" w:rsidP="005B2469">
            <w:pPr>
              <w:keepNext/>
              <w:contextualSpacing/>
              <w:rPr>
                <w:rFonts w:cstheme="minorHAnsi"/>
                <w:b/>
                <w:sz w:val="20"/>
                <w:szCs w:val="20"/>
              </w:rPr>
            </w:pPr>
            <w:r w:rsidRPr="008F332A">
              <w:rPr>
                <w:rFonts w:cstheme="minorHAnsi"/>
                <w:b/>
                <w:sz w:val="20"/>
                <w:szCs w:val="20"/>
              </w:rPr>
              <w:t>The Asia Foundation</w:t>
            </w:r>
          </w:p>
        </w:tc>
      </w:tr>
      <w:tr w:rsidR="00A25569" w:rsidRPr="008F332A" w14:paraId="203F6E2C" w14:textId="77777777" w:rsidTr="003A2CCC">
        <w:trPr>
          <w:trHeight w:val="809"/>
        </w:trPr>
        <w:tc>
          <w:tcPr>
            <w:tcW w:w="801" w:type="pct"/>
          </w:tcPr>
          <w:p w14:paraId="7205A438" w14:textId="77777777" w:rsidR="00A25569" w:rsidRPr="008F332A" w:rsidRDefault="00A25569" w:rsidP="003A2CCC">
            <w:pPr>
              <w:contextualSpacing/>
              <w:jc w:val="left"/>
              <w:rPr>
                <w:rFonts w:cstheme="minorHAnsi"/>
                <w:sz w:val="20"/>
                <w:szCs w:val="20"/>
              </w:rPr>
            </w:pPr>
            <w:r w:rsidRPr="008F332A">
              <w:rPr>
                <w:rFonts w:cstheme="minorHAnsi"/>
                <w:sz w:val="20"/>
                <w:szCs w:val="20"/>
              </w:rPr>
              <w:t>Nabilan Team Leader</w:t>
            </w:r>
          </w:p>
        </w:tc>
        <w:tc>
          <w:tcPr>
            <w:tcW w:w="4199" w:type="pct"/>
          </w:tcPr>
          <w:p w14:paraId="5D79F95E" w14:textId="77777777" w:rsidR="00A25569" w:rsidRPr="008F332A" w:rsidRDefault="00A25569" w:rsidP="003A2CCC">
            <w:pPr>
              <w:pStyle w:val="BodyText"/>
              <w:spacing w:after="0" w:line="240" w:lineRule="auto"/>
              <w:rPr>
                <w:rFonts w:cstheme="minorHAnsi"/>
                <w:sz w:val="20"/>
                <w:szCs w:val="20"/>
              </w:rPr>
            </w:pPr>
            <w:r w:rsidRPr="008F332A">
              <w:rPr>
                <w:rFonts w:cstheme="minorHAnsi"/>
                <w:sz w:val="20"/>
                <w:szCs w:val="20"/>
              </w:rPr>
              <w:t xml:space="preserve">Overall responsibility for program operation and M&amp;E. This includes: </w:t>
            </w:r>
          </w:p>
          <w:p w14:paraId="2B608343" w14:textId="77777777" w:rsidR="00A25569" w:rsidRPr="008F332A" w:rsidRDefault="00A25569" w:rsidP="003A2CCC">
            <w:pPr>
              <w:pStyle w:val="tablebullets"/>
              <w:numPr>
                <w:ilvl w:val="0"/>
                <w:numId w:val="22"/>
              </w:numPr>
              <w:ind w:left="284" w:hanging="284"/>
              <w:contextualSpacing/>
              <w:rPr>
                <w:rFonts w:cstheme="minorHAnsi"/>
              </w:rPr>
            </w:pPr>
            <w:r w:rsidRPr="008F332A">
              <w:rPr>
                <w:rFonts w:cstheme="minorHAnsi"/>
              </w:rPr>
              <w:t xml:space="preserve">Review the preparation of all reports specified in this M&amp;E Plan, supervise the local M&amp;E staff. </w:t>
            </w:r>
          </w:p>
          <w:p w14:paraId="30985B56" w14:textId="0AA2AC4A" w:rsidR="00A25569" w:rsidRPr="008F332A" w:rsidRDefault="00A25569" w:rsidP="003A2CCC">
            <w:pPr>
              <w:pStyle w:val="tablebullets"/>
              <w:numPr>
                <w:ilvl w:val="0"/>
                <w:numId w:val="22"/>
              </w:numPr>
              <w:ind w:left="284" w:hanging="284"/>
              <w:contextualSpacing/>
              <w:rPr>
                <w:rFonts w:cstheme="minorHAnsi"/>
              </w:rPr>
            </w:pPr>
            <w:r w:rsidRPr="008F332A">
              <w:rPr>
                <w:rFonts w:cstheme="minorHAnsi"/>
              </w:rPr>
              <w:t xml:space="preserve">Work with M&amp;E House to agree any refinement of the program’s M&amp;E system, comply with data collection and reporting protocols defined by DFAT and M&amp;E House. </w:t>
            </w:r>
          </w:p>
          <w:p w14:paraId="5FF4BC58" w14:textId="77777777" w:rsidR="00A25569" w:rsidRPr="008F332A" w:rsidRDefault="00A25569" w:rsidP="003A2CCC">
            <w:pPr>
              <w:pStyle w:val="tablebullets"/>
              <w:numPr>
                <w:ilvl w:val="0"/>
                <w:numId w:val="22"/>
              </w:numPr>
              <w:ind w:left="284" w:hanging="284"/>
              <w:contextualSpacing/>
              <w:rPr>
                <w:rFonts w:cstheme="minorHAnsi"/>
              </w:rPr>
            </w:pPr>
            <w:r w:rsidRPr="008F332A">
              <w:rPr>
                <w:rFonts w:cstheme="minorHAnsi"/>
              </w:rPr>
              <w:t>Routinely engage in review processes.</w:t>
            </w:r>
          </w:p>
          <w:p w14:paraId="4AEA6E75" w14:textId="77777777" w:rsidR="00A25569" w:rsidRPr="008F332A" w:rsidRDefault="00A25569" w:rsidP="003A2CCC">
            <w:pPr>
              <w:pStyle w:val="tablebullets"/>
              <w:numPr>
                <w:ilvl w:val="0"/>
                <w:numId w:val="22"/>
              </w:numPr>
              <w:ind w:left="284" w:hanging="284"/>
              <w:contextualSpacing/>
              <w:rPr>
                <w:rFonts w:cstheme="minorHAnsi"/>
              </w:rPr>
            </w:pPr>
            <w:r w:rsidRPr="008F332A">
              <w:rPr>
                <w:rFonts w:cstheme="minorHAnsi"/>
              </w:rPr>
              <w:t xml:space="preserve">Coordinate quarterly adviser reports. </w:t>
            </w:r>
          </w:p>
          <w:p w14:paraId="1E9C6D53" w14:textId="77777777" w:rsidR="00A25569" w:rsidRPr="008F332A" w:rsidRDefault="00A25569" w:rsidP="003A2CCC">
            <w:pPr>
              <w:pStyle w:val="tablebullets"/>
              <w:numPr>
                <w:ilvl w:val="0"/>
                <w:numId w:val="22"/>
              </w:numPr>
              <w:ind w:left="284" w:hanging="284"/>
              <w:contextualSpacing/>
              <w:rPr>
                <w:rFonts w:cstheme="minorHAnsi"/>
              </w:rPr>
            </w:pPr>
            <w:r w:rsidRPr="008F332A">
              <w:rPr>
                <w:rFonts w:cstheme="minorHAnsi"/>
              </w:rPr>
              <w:t xml:space="preserve">Contribute to </w:t>
            </w:r>
            <w:r w:rsidR="00241B93" w:rsidRPr="008F332A">
              <w:rPr>
                <w:rFonts w:cstheme="minorHAnsi"/>
              </w:rPr>
              <w:t>Aid Quality Check (</w:t>
            </w:r>
            <w:r w:rsidRPr="008F332A">
              <w:rPr>
                <w:rFonts w:cstheme="minorHAnsi"/>
              </w:rPr>
              <w:t>AQC</w:t>
            </w:r>
            <w:r w:rsidR="00241B93" w:rsidRPr="008F332A">
              <w:rPr>
                <w:rFonts w:cstheme="minorHAnsi"/>
              </w:rPr>
              <w:t>)</w:t>
            </w:r>
            <w:r w:rsidRPr="008F332A">
              <w:rPr>
                <w:rFonts w:cstheme="minorHAnsi"/>
              </w:rPr>
              <w:t>.</w:t>
            </w:r>
          </w:p>
          <w:p w14:paraId="721AD56D" w14:textId="347FD417" w:rsidR="00A25569" w:rsidRPr="008F332A" w:rsidRDefault="00A25569" w:rsidP="003A2CCC">
            <w:pPr>
              <w:pStyle w:val="tablebullets"/>
              <w:numPr>
                <w:ilvl w:val="0"/>
                <w:numId w:val="22"/>
              </w:numPr>
              <w:ind w:left="284" w:hanging="284"/>
              <w:contextualSpacing/>
              <w:rPr>
                <w:rFonts w:cstheme="minorHAnsi"/>
              </w:rPr>
            </w:pPr>
            <w:r w:rsidRPr="008F332A">
              <w:rPr>
                <w:rFonts w:cstheme="minorHAnsi"/>
              </w:rPr>
              <w:t xml:space="preserve">Prepare </w:t>
            </w:r>
            <w:r w:rsidR="00AE485F">
              <w:rPr>
                <w:rFonts w:cstheme="minorHAnsi"/>
              </w:rPr>
              <w:t xml:space="preserve">six-monthly and </w:t>
            </w:r>
            <w:r w:rsidRPr="008F332A">
              <w:rPr>
                <w:rFonts w:cstheme="minorHAnsi"/>
              </w:rPr>
              <w:t>annual Nabilan Reports (assistance from STA)</w:t>
            </w:r>
            <w:r w:rsidR="00DD40F8">
              <w:rPr>
                <w:rFonts w:cstheme="minorHAnsi"/>
              </w:rPr>
              <w:t>.</w:t>
            </w:r>
          </w:p>
          <w:p w14:paraId="0A7AB35B" w14:textId="77777777" w:rsidR="00A25569" w:rsidRPr="008F332A" w:rsidRDefault="00A25569" w:rsidP="003A2CCC">
            <w:pPr>
              <w:pStyle w:val="tablebullets"/>
              <w:numPr>
                <w:ilvl w:val="0"/>
                <w:numId w:val="22"/>
              </w:numPr>
              <w:ind w:left="284" w:hanging="284"/>
              <w:contextualSpacing/>
              <w:rPr>
                <w:rFonts w:cstheme="minorHAnsi"/>
              </w:rPr>
            </w:pPr>
            <w:r w:rsidRPr="008F332A">
              <w:rPr>
                <w:rFonts w:cstheme="minorHAnsi"/>
              </w:rPr>
              <w:t xml:space="preserve">Collate data for the Evidence Matrix. </w:t>
            </w:r>
          </w:p>
        </w:tc>
      </w:tr>
      <w:tr w:rsidR="00A25569" w:rsidRPr="008F332A" w14:paraId="690076B3" w14:textId="77777777" w:rsidTr="003A2CCC">
        <w:trPr>
          <w:trHeight w:val="809"/>
        </w:trPr>
        <w:tc>
          <w:tcPr>
            <w:tcW w:w="801" w:type="pct"/>
          </w:tcPr>
          <w:p w14:paraId="3C7245BB" w14:textId="77777777" w:rsidR="00A25569" w:rsidRPr="008F332A" w:rsidRDefault="00A25569" w:rsidP="003A2CCC">
            <w:pPr>
              <w:contextualSpacing/>
              <w:jc w:val="left"/>
              <w:rPr>
                <w:rFonts w:cstheme="minorHAnsi"/>
                <w:sz w:val="20"/>
                <w:szCs w:val="20"/>
              </w:rPr>
            </w:pPr>
            <w:r w:rsidRPr="008F332A">
              <w:rPr>
                <w:rFonts w:cstheme="minorHAnsi"/>
                <w:sz w:val="20"/>
                <w:szCs w:val="20"/>
              </w:rPr>
              <w:t>Nabilan Program Managers (&amp; their teams)</w:t>
            </w:r>
          </w:p>
        </w:tc>
        <w:tc>
          <w:tcPr>
            <w:tcW w:w="4199" w:type="pct"/>
          </w:tcPr>
          <w:p w14:paraId="06E9F62C" w14:textId="066A41EE" w:rsidR="00A25569" w:rsidRPr="008F332A" w:rsidRDefault="00A25569" w:rsidP="003A2CCC">
            <w:pPr>
              <w:pStyle w:val="tablebullets"/>
              <w:numPr>
                <w:ilvl w:val="0"/>
                <w:numId w:val="22"/>
              </w:numPr>
              <w:ind w:left="284" w:hanging="284"/>
              <w:contextualSpacing/>
              <w:rPr>
                <w:rFonts w:cstheme="minorHAnsi"/>
              </w:rPr>
            </w:pPr>
            <w:r w:rsidRPr="008F332A">
              <w:rPr>
                <w:rFonts w:cstheme="minorHAnsi"/>
              </w:rPr>
              <w:t>Review partner reports</w:t>
            </w:r>
            <w:r w:rsidR="00DD40F8">
              <w:rPr>
                <w:rFonts w:cstheme="minorHAnsi"/>
              </w:rPr>
              <w:t>.</w:t>
            </w:r>
          </w:p>
          <w:p w14:paraId="5895A44A" w14:textId="77777777" w:rsidR="00A25569" w:rsidRPr="008F332A" w:rsidRDefault="00A25569" w:rsidP="003A2CCC">
            <w:pPr>
              <w:pStyle w:val="tablebullets"/>
              <w:numPr>
                <w:ilvl w:val="0"/>
                <w:numId w:val="22"/>
              </w:numPr>
              <w:ind w:left="284" w:hanging="284"/>
              <w:contextualSpacing/>
              <w:rPr>
                <w:rFonts w:cstheme="minorHAnsi"/>
              </w:rPr>
            </w:pPr>
            <w:r w:rsidRPr="008F332A">
              <w:rPr>
                <w:rFonts w:cstheme="minorHAnsi"/>
              </w:rPr>
              <w:t>Coordinate partner reports for input to Nabilan’s Annual Report.</w:t>
            </w:r>
          </w:p>
          <w:p w14:paraId="7FCC8E75" w14:textId="3067DCC2" w:rsidR="00A25569" w:rsidRPr="008F332A" w:rsidRDefault="00A25569" w:rsidP="003A2CCC">
            <w:pPr>
              <w:pStyle w:val="tablebullets"/>
              <w:numPr>
                <w:ilvl w:val="0"/>
                <w:numId w:val="22"/>
              </w:numPr>
              <w:ind w:left="284" w:hanging="284"/>
              <w:contextualSpacing/>
              <w:rPr>
                <w:rFonts w:cstheme="minorHAnsi"/>
              </w:rPr>
            </w:pPr>
            <w:r w:rsidRPr="008F332A">
              <w:rPr>
                <w:rFonts w:cstheme="minorHAnsi"/>
              </w:rPr>
              <w:t>Contribute to Nabilan Annual Report</w:t>
            </w:r>
            <w:r w:rsidR="00DD40F8">
              <w:rPr>
                <w:rFonts w:cstheme="minorHAnsi"/>
              </w:rPr>
              <w:t>.</w:t>
            </w:r>
          </w:p>
          <w:p w14:paraId="65822E11" w14:textId="77777777" w:rsidR="00A25569" w:rsidRPr="008F332A" w:rsidRDefault="00A25569" w:rsidP="003A2CCC">
            <w:pPr>
              <w:pStyle w:val="tablebullets"/>
              <w:numPr>
                <w:ilvl w:val="0"/>
                <w:numId w:val="22"/>
              </w:numPr>
              <w:ind w:left="284" w:hanging="284"/>
              <w:contextualSpacing/>
              <w:rPr>
                <w:rFonts w:cstheme="minorHAnsi"/>
              </w:rPr>
            </w:pPr>
            <w:r w:rsidRPr="008F332A">
              <w:rPr>
                <w:rFonts w:cstheme="minorHAnsi"/>
              </w:rPr>
              <w:t>Contribute to relevant M&amp;E workshops and activities.</w:t>
            </w:r>
          </w:p>
          <w:p w14:paraId="4E2E1CEA" w14:textId="43C1E4B4" w:rsidR="00A25569" w:rsidRPr="008F332A" w:rsidRDefault="00A25569" w:rsidP="003A2CCC">
            <w:pPr>
              <w:pStyle w:val="tablebullets"/>
              <w:numPr>
                <w:ilvl w:val="0"/>
                <w:numId w:val="22"/>
              </w:numPr>
              <w:ind w:left="284" w:hanging="284"/>
              <w:contextualSpacing/>
              <w:rPr>
                <w:rFonts w:cstheme="minorHAnsi"/>
              </w:rPr>
            </w:pPr>
            <w:r w:rsidRPr="008F332A">
              <w:rPr>
                <w:rFonts w:cstheme="minorHAnsi"/>
              </w:rPr>
              <w:t xml:space="preserve">Collate data using </w:t>
            </w:r>
            <w:r w:rsidR="005C277E" w:rsidRPr="008F332A">
              <w:rPr>
                <w:rFonts w:cstheme="minorHAnsi"/>
              </w:rPr>
              <w:t>relevant</w:t>
            </w:r>
            <w:r w:rsidRPr="008F332A">
              <w:rPr>
                <w:rFonts w:cstheme="minorHAnsi"/>
              </w:rPr>
              <w:t xml:space="preserve"> tools</w:t>
            </w:r>
            <w:r w:rsidR="00DD40F8">
              <w:rPr>
                <w:rFonts w:cstheme="minorHAnsi"/>
              </w:rPr>
              <w:t>.</w:t>
            </w:r>
          </w:p>
          <w:p w14:paraId="5A181592" w14:textId="77777777" w:rsidR="00A25569" w:rsidRPr="008F332A" w:rsidRDefault="00A25569" w:rsidP="003A2CCC">
            <w:pPr>
              <w:pStyle w:val="tablebullets"/>
              <w:numPr>
                <w:ilvl w:val="0"/>
                <w:numId w:val="22"/>
              </w:numPr>
              <w:ind w:left="284" w:hanging="284"/>
              <w:contextualSpacing/>
              <w:rPr>
                <w:rFonts w:cstheme="minorHAnsi"/>
              </w:rPr>
            </w:pPr>
            <w:r w:rsidRPr="008F332A">
              <w:rPr>
                <w:rFonts w:cstheme="minorHAnsi"/>
              </w:rPr>
              <w:t>Provide data for the Nabilan Evidence Matrix.</w:t>
            </w:r>
          </w:p>
        </w:tc>
      </w:tr>
      <w:tr w:rsidR="00241B93" w:rsidRPr="008F332A" w14:paraId="2919D0D0" w14:textId="77777777" w:rsidTr="003A2CCC">
        <w:trPr>
          <w:trHeight w:val="809"/>
        </w:trPr>
        <w:tc>
          <w:tcPr>
            <w:tcW w:w="801" w:type="pct"/>
          </w:tcPr>
          <w:p w14:paraId="51D6AA1C" w14:textId="77777777" w:rsidR="00241B93" w:rsidRPr="008F332A" w:rsidRDefault="00241B93" w:rsidP="003A2CCC">
            <w:pPr>
              <w:contextualSpacing/>
              <w:jc w:val="left"/>
              <w:rPr>
                <w:rFonts w:cstheme="minorHAnsi"/>
                <w:sz w:val="20"/>
                <w:szCs w:val="20"/>
              </w:rPr>
            </w:pPr>
            <w:r w:rsidRPr="008F332A">
              <w:rPr>
                <w:rFonts w:cstheme="minorHAnsi"/>
                <w:sz w:val="20"/>
                <w:szCs w:val="20"/>
              </w:rPr>
              <w:t>The Asia Foundation Management</w:t>
            </w:r>
          </w:p>
        </w:tc>
        <w:tc>
          <w:tcPr>
            <w:tcW w:w="4199" w:type="pct"/>
          </w:tcPr>
          <w:p w14:paraId="3348E264" w14:textId="59954E53" w:rsidR="00241B93" w:rsidRPr="008F332A" w:rsidRDefault="00241B93" w:rsidP="003A2CCC">
            <w:pPr>
              <w:pStyle w:val="tablebullets"/>
              <w:numPr>
                <w:ilvl w:val="0"/>
                <w:numId w:val="22"/>
              </w:numPr>
              <w:ind w:left="284" w:hanging="284"/>
              <w:contextualSpacing/>
              <w:rPr>
                <w:rFonts w:cstheme="minorHAnsi"/>
              </w:rPr>
            </w:pPr>
            <w:r w:rsidRPr="008F332A">
              <w:rPr>
                <w:rFonts w:cstheme="minorHAnsi"/>
              </w:rPr>
              <w:t>Final quality check on Annual Reports</w:t>
            </w:r>
            <w:r w:rsidR="00DD40F8">
              <w:rPr>
                <w:rFonts w:cstheme="minorHAnsi"/>
              </w:rPr>
              <w:t>.</w:t>
            </w:r>
          </w:p>
          <w:p w14:paraId="0E21F797" w14:textId="77777777" w:rsidR="00241B93" w:rsidRPr="008F332A" w:rsidRDefault="00241B93" w:rsidP="003A2CCC">
            <w:pPr>
              <w:pStyle w:val="tablebullets"/>
              <w:numPr>
                <w:ilvl w:val="0"/>
                <w:numId w:val="22"/>
              </w:numPr>
              <w:ind w:left="284" w:hanging="284"/>
              <w:contextualSpacing/>
              <w:rPr>
                <w:rFonts w:cstheme="minorHAnsi"/>
              </w:rPr>
            </w:pPr>
            <w:r w:rsidRPr="008F332A">
              <w:rPr>
                <w:rFonts w:cstheme="minorHAnsi"/>
              </w:rPr>
              <w:t xml:space="preserve">Contribute to the AQC. </w:t>
            </w:r>
          </w:p>
          <w:p w14:paraId="4824067D" w14:textId="27096A22" w:rsidR="00AC120C" w:rsidRPr="008F332A" w:rsidRDefault="00AC120C" w:rsidP="003A2CCC">
            <w:pPr>
              <w:pStyle w:val="tablebullets"/>
              <w:numPr>
                <w:ilvl w:val="0"/>
                <w:numId w:val="22"/>
              </w:numPr>
              <w:ind w:left="284" w:hanging="284"/>
              <w:contextualSpacing/>
              <w:rPr>
                <w:rFonts w:cstheme="minorHAnsi"/>
              </w:rPr>
            </w:pPr>
            <w:r w:rsidRPr="008F332A">
              <w:rPr>
                <w:rFonts w:cstheme="minorHAnsi"/>
              </w:rPr>
              <w:t>Participate in Learning Dialogues</w:t>
            </w:r>
            <w:r w:rsidR="00DD40F8">
              <w:rPr>
                <w:rFonts w:cstheme="minorHAnsi"/>
              </w:rPr>
              <w:t>.</w:t>
            </w:r>
          </w:p>
        </w:tc>
      </w:tr>
      <w:tr w:rsidR="002E7674" w:rsidRPr="008F332A" w14:paraId="04BDF856" w14:textId="77777777" w:rsidTr="003A2CCC">
        <w:trPr>
          <w:trHeight w:val="218"/>
        </w:trPr>
        <w:tc>
          <w:tcPr>
            <w:tcW w:w="5000" w:type="pct"/>
            <w:gridSpan w:val="2"/>
            <w:shd w:val="clear" w:color="auto" w:fill="99CCFF"/>
          </w:tcPr>
          <w:p w14:paraId="5E6C8883" w14:textId="77777777" w:rsidR="002E7674" w:rsidRPr="008F332A" w:rsidRDefault="002E7674" w:rsidP="003A2CCC">
            <w:pPr>
              <w:contextualSpacing/>
              <w:rPr>
                <w:rFonts w:cstheme="minorHAnsi"/>
                <w:b/>
                <w:color w:val="FFFFFF" w:themeColor="background1"/>
                <w:sz w:val="20"/>
                <w:szCs w:val="20"/>
              </w:rPr>
            </w:pPr>
            <w:r w:rsidRPr="008F332A">
              <w:rPr>
                <w:rFonts w:cstheme="minorHAnsi"/>
                <w:b/>
                <w:sz w:val="20"/>
                <w:szCs w:val="20"/>
              </w:rPr>
              <w:t xml:space="preserve">DFAT and Program Managers </w:t>
            </w:r>
          </w:p>
        </w:tc>
      </w:tr>
      <w:tr w:rsidR="002E7674" w:rsidRPr="008F332A" w14:paraId="0AB5DC14" w14:textId="77777777" w:rsidTr="003A2CCC">
        <w:trPr>
          <w:trHeight w:val="473"/>
        </w:trPr>
        <w:tc>
          <w:tcPr>
            <w:tcW w:w="801" w:type="pct"/>
          </w:tcPr>
          <w:p w14:paraId="06ECC08E" w14:textId="77777777" w:rsidR="002E7674" w:rsidRPr="008F332A" w:rsidRDefault="002E7674" w:rsidP="003A2CCC">
            <w:pPr>
              <w:contextualSpacing/>
              <w:jc w:val="left"/>
              <w:rPr>
                <w:rFonts w:cstheme="minorHAnsi"/>
                <w:sz w:val="20"/>
                <w:szCs w:val="20"/>
              </w:rPr>
            </w:pPr>
          </w:p>
        </w:tc>
        <w:tc>
          <w:tcPr>
            <w:tcW w:w="4199" w:type="pct"/>
          </w:tcPr>
          <w:p w14:paraId="43A3BBBC" w14:textId="77777777" w:rsidR="002E7674" w:rsidRPr="008F332A" w:rsidRDefault="002E7674" w:rsidP="003A2CCC">
            <w:pPr>
              <w:pStyle w:val="BodyText"/>
              <w:spacing w:after="0" w:line="240" w:lineRule="auto"/>
              <w:rPr>
                <w:rFonts w:cstheme="minorHAnsi"/>
                <w:sz w:val="20"/>
                <w:szCs w:val="20"/>
              </w:rPr>
            </w:pPr>
            <w:r w:rsidRPr="008F332A">
              <w:rPr>
                <w:rFonts w:cstheme="minorHAnsi"/>
                <w:sz w:val="20"/>
                <w:szCs w:val="20"/>
              </w:rPr>
              <w:t xml:space="preserve">DFAT’s corporate performance monitoring and reporting requirements include: </w:t>
            </w:r>
          </w:p>
          <w:p w14:paraId="7B660551" w14:textId="77777777" w:rsidR="002E7674" w:rsidRPr="008F332A" w:rsidRDefault="002E7674" w:rsidP="003A2CCC">
            <w:pPr>
              <w:pStyle w:val="tablebullets"/>
              <w:numPr>
                <w:ilvl w:val="0"/>
                <w:numId w:val="22"/>
              </w:numPr>
              <w:ind w:left="284" w:hanging="284"/>
              <w:contextualSpacing/>
              <w:rPr>
                <w:rFonts w:cstheme="minorHAnsi"/>
              </w:rPr>
            </w:pPr>
            <w:r w:rsidRPr="008F332A">
              <w:rPr>
                <w:rFonts w:cstheme="minorHAnsi"/>
              </w:rPr>
              <w:t>Monitoring implementation – meetings with program staff, stakeholders, project visits etc.</w:t>
            </w:r>
          </w:p>
          <w:p w14:paraId="13E6F575" w14:textId="77777777" w:rsidR="002E7674" w:rsidRPr="008F332A" w:rsidRDefault="002E7674" w:rsidP="003A2CCC">
            <w:pPr>
              <w:pStyle w:val="tablebullets"/>
              <w:numPr>
                <w:ilvl w:val="0"/>
                <w:numId w:val="22"/>
              </w:numPr>
              <w:ind w:left="284" w:hanging="284"/>
              <w:contextualSpacing/>
              <w:rPr>
                <w:rFonts w:cstheme="minorHAnsi"/>
              </w:rPr>
            </w:pPr>
            <w:r w:rsidRPr="008F332A">
              <w:rPr>
                <w:rFonts w:cstheme="minorHAnsi"/>
              </w:rPr>
              <w:t>Aid Quality Checks that assess and report how aid investments are performing against the criteria: efficiency, effectiveness, gender equality, M&amp;E, sustainability and relevance.</w:t>
            </w:r>
          </w:p>
          <w:p w14:paraId="1E6334E4" w14:textId="77777777" w:rsidR="002E7674" w:rsidRPr="008F332A" w:rsidRDefault="002E7674" w:rsidP="003A2CCC">
            <w:pPr>
              <w:pStyle w:val="tablebullets"/>
              <w:numPr>
                <w:ilvl w:val="0"/>
                <w:numId w:val="22"/>
              </w:numPr>
              <w:ind w:left="284" w:hanging="284"/>
              <w:contextualSpacing/>
              <w:rPr>
                <w:rFonts w:cstheme="minorHAnsi"/>
              </w:rPr>
            </w:pPr>
            <w:r w:rsidRPr="008F332A">
              <w:rPr>
                <w:rFonts w:cstheme="minorHAnsi"/>
              </w:rPr>
              <w:t>Approve all performance reports.</w:t>
            </w:r>
          </w:p>
          <w:p w14:paraId="5EF0C8D2" w14:textId="77777777" w:rsidR="002E7674" w:rsidRPr="008F332A" w:rsidRDefault="002E7674" w:rsidP="003A2CCC">
            <w:pPr>
              <w:pStyle w:val="tablebullets"/>
              <w:numPr>
                <w:ilvl w:val="0"/>
                <w:numId w:val="22"/>
              </w:numPr>
              <w:ind w:left="284" w:hanging="284"/>
              <w:contextualSpacing/>
              <w:rPr>
                <w:rFonts w:cstheme="minorHAnsi"/>
              </w:rPr>
            </w:pPr>
            <w:r w:rsidRPr="008F332A">
              <w:rPr>
                <w:rFonts w:cstheme="minorHAnsi"/>
              </w:rPr>
              <w:t>Approve management responses arising from performance reports.</w:t>
            </w:r>
          </w:p>
          <w:p w14:paraId="565510C1" w14:textId="77777777" w:rsidR="002E7674" w:rsidRPr="008F332A" w:rsidRDefault="002E7674" w:rsidP="003A2CCC">
            <w:pPr>
              <w:pStyle w:val="tablebullets"/>
              <w:numPr>
                <w:ilvl w:val="0"/>
                <w:numId w:val="22"/>
              </w:numPr>
              <w:ind w:left="284" w:hanging="284"/>
              <w:contextualSpacing/>
              <w:rPr>
                <w:rFonts w:cstheme="minorHAnsi"/>
              </w:rPr>
            </w:pPr>
            <w:r w:rsidRPr="008F332A">
              <w:rPr>
                <w:rFonts w:cstheme="minorHAnsi"/>
              </w:rPr>
              <w:t>Oversee strategic direction of</w:t>
            </w:r>
            <w:r w:rsidR="0026675F" w:rsidRPr="008F332A">
              <w:rPr>
                <w:rFonts w:cstheme="minorHAnsi"/>
              </w:rPr>
              <w:t xml:space="preserve"> Nabilan</w:t>
            </w:r>
            <w:r w:rsidRPr="008F332A">
              <w:rPr>
                <w:rFonts w:cstheme="minorHAnsi"/>
              </w:rPr>
              <w:t>, including new designs, evaluations etc.</w:t>
            </w:r>
          </w:p>
          <w:p w14:paraId="1870AE9B" w14:textId="77777777" w:rsidR="002E7674" w:rsidRPr="008F332A" w:rsidRDefault="0026675F" w:rsidP="003A2CCC">
            <w:pPr>
              <w:pStyle w:val="tablebullets"/>
              <w:numPr>
                <w:ilvl w:val="0"/>
                <w:numId w:val="22"/>
              </w:numPr>
              <w:ind w:left="284" w:hanging="284"/>
              <w:contextualSpacing/>
              <w:rPr>
                <w:rFonts w:cstheme="minorHAnsi"/>
              </w:rPr>
            </w:pPr>
            <w:r w:rsidRPr="008F332A">
              <w:rPr>
                <w:rFonts w:cstheme="minorHAnsi"/>
              </w:rPr>
              <w:t>R</w:t>
            </w:r>
            <w:r w:rsidR="002E7674" w:rsidRPr="008F332A">
              <w:rPr>
                <w:rFonts w:cstheme="minorHAnsi"/>
              </w:rPr>
              <w:t xml:space="preserve">elay relevant management responses to </w:t>
            </w:r>
            <w:r w:rsidRPr="008F332A">
              <w:rPr>
                <w:rFonts w:cstheme="minorHAnsi"/>
              </w:rPr>
              <w:t>The Asia Foundation and the Nabilan Team Leader</w:t>
            </w:r>
            <w:r w:rsidR="002E7674" w:rsidRPr="008F332A">
              <w:rPr>
                <w:rFonts w:cstheme="minorHAnsi"/>
              </w:rPr>
              <w:t>.</w:t>
            </w:r>
          </w:p>
          <w:p w14:paraId="35E738C4" w14:textId="65B06D1A" w:rsidR="0026675F" w:rsidRPr="008F332A" w:rsidRDefault="0026675F" w:rsidP="003A2CCC">
            <w:pPr>
              <w:pStyle w:val="tablebullets"/>
              <w:numPr>
                <w:ilvl w:val="0"/>
                <w:numId w:val="22"/>
              </w:numPr>
              <w:ind w:left="284" w:hanging="284"/>
              <w:contextualSpacing/>
              <w:rPr>
                <w:rFonts w:cstheme="minorHAnsi"/>
              </w:rPr>
            </w:pPr>
            <w:r w:rsidRPr="008F332A">
              <w:rPr>
                <w:rFonts w:cstheme="minorHAnsi"/>
              </w:rPr>
              <w:t xml:space="preserve">Contribute to the </w:t>
            </w:r>
            <w:r w:rsidR="00AC120C" w:rsidRPr="008F332A">
              <w:rPr>
                <w:rFonts w:cstheme="minorHAnsi"/>
              </w:rPr>
              <w:t>A</w:t>
            </w:r>
            <w:r w:rsidRPr="008F332A">
              <w:rPr>
                <w:rFonts w:cstheme="minorHAnsi"/>
              </w:rPr>
              <w:t xml:space="preserve">nnual </w:t>
            </w:r>
            <w:r w:rsidR="00AC120C" w:rsidRPr="008F332A">
              <w:rPr>
                <w:rFonts w:cstheme="minorHAnsi"/>
              </w:rPr>
              <w:t>Program Performance Report (</w:t>
            </w:r>
            <w:r w:rsidRPr="008F332A">
              <w:rPr>
                <w:rFonts w:cstheme="minorHAnsi"/>
              </w:rPr>
              <w:t>APPR</w:t>
            </w:r>
            <w:r w:rsidR="00AC120C" w:rsidRPr="008F332A">
              <w:rPr>
                <w:rFonts w:cstheme="minorHAnsi"/>
              </w:rPr>
              <w:t>)</w:t>
            </w:r>
            <w:r w:rsidR="00DD40F8">
              <w:rPr>
                <w:rFonts w:cstheme="minorHAnsi"/>
              </w:rPr>
              <w:t>.</w:t>
            </w:r>
          </w:p>
          <w:p w14:paraId="0279837C" w14:textId="37D17E2D" w:rsidR="0026675F" w:rsidRPr="008F332A" w:rsidRDefault="0026675F" w:rsidP="003A2CCC">
            <w:pPr>
              <w:pStyle w:val="tablebullets"/>
              <w:numPr>
                <w:ilvl w:val="0"/>
                <w:numId w:val="22"/>
              </w:numPr>
              <w:ind w:left="284" w:hanging="284"/>
              <w:contextualSpacing/>
              <w:rPr>
                <w:rFonts w:cstheme="minorHAnsi"/>
              </w:rPr>
            </w:pPr>
            <w:r w:rsidRPr="008F332A">
              <w:rPr>
                <w:rFonts w:cstheme="minorHAnsi"/>
              </w:rPr>
              <w:t>Coordinate support from M&amp;E House as needed (and in cooperation with M&amp;E House Program Manager at the Embassy)</w:t>
            </w:r>
            <w:r w:rsidR="00DD40F8">
              <w:rPr>
                <w:rFonts w:cstheme="minorHAnsi"/>
              </w:rPr>
              <w:t>.</w:t>
            </w:r>
          </w:p>
        </w:tc>
      </w:tr>
      <w:tr w:rsidR="00ED49B2" w:rsidRPr="008F332A" w14:paraId="16FA0B1C" w14:textId="77777777" w:rsidTr="003A2CCC">
        <w:trPr>
          <w:trHeight w:val="269"/>
        </w:trPr>
        <w:tc>
          <w:tcPr>
            <w:tcW w:w="5000" w:type="pct"/>
            <w:gridSpan w:val="2"/>
            <w:shd w:val="clear" w:color="auto" w:fill="99CCFF"/>
          </w:tcPr>
          <w:p w14:paraId="7DC8AF4D" w14:textId="77777777" w:rsidR="00ED49B2" w:rsidRPr="008F332A" w:rsidRDefault="00ED49B2" w:rsidP="003A2CCC">
            <w:pPr>
              <w:pStyle w:val="BodyText"/>
              <w:spacing w:after="0" w:line="240" w:lineRule="auto"/>
              <w:jc w:val="both"/>
              <w:rPr>
                <w:rFonts w:cstheme="minorHAnsi"/>
                <w:b/>
                <w:color w:val="FFFFFF" w:themeColor="background1"/>
                <w:sz w:val="20"/>
                <w:szCs w:val="20"/>
              </w:rPr>
            </w:pPr>
            <w:r w:rsidRPr="008F332A">
              <w:rPr>
                <w:rFonts w:cstheme="minorHAnsi"/>
                <w:b/>
                <w:sz w:val="20"/>
                <w:szCs w:val="20"/>
              </w:rPr>
              <w:t>M&amp;E House</w:t>
            </w:r>
          </w:p>
        </w:tc>
      </w:tr>
      <w:tr w:rsidR="002E7674" w:rsidRPr="008F332A" w14:paraId="0E102133" w14:textId="77777777" w:rsidTr="003A2CCC">
        <w:trPr>
          <w:trHeight w:val="473"/>
        </w:trPr>
        <w:tc>
          <w:tcPr>
            <w:tcW w:w="801" w:type="pct"/>
          </w:tcPr>
          <w:p w14:paraId="1188FC54" w14:textId="77777777" w:rsidR="002E7674" w:rsidRPr="008F332A" w:rsidRDefault="002E7674" w:rsidP="003A2CCC">
            <w:pPr>
              <w:contextualSpacing/>
              <w:jc w:val="left"/>
              <w:rPr>
                <w:rFonts w:cstheme="minorHAnsi"/>
                <w:sz w:val="20"/>
                <w:szCs w:val="20"/>
              </w:rPr>
            </w:pPr>
            <w:r w:rsidRPr="008F332A">
              <w:rPr>
                <w:rFonts w:cstheme="minorHAnsi"/>
                <w:sz w:val="20"/>
                <w:szCs w:val="20"/>
              </w:rPr>
              <w:t>M&amp;E House</w:t>
            </w:r>
          </w:p>
        </w:tc>
        <w:tc>
          <w:tcPr>
            <w:tcW w:w="4199" w:type="pct"/>
          </w:tcPr>
          <w:p w14:paraId="4F44DD1C" w14:textId="77777777" w:rsidR="002E7674" w:rsidRPr="008F332A" w:rsidRDefault="002E7674" w:rsidP="003A2CCC">
            <w:pPr>
              <w:pStyle w:val="BodyText"/>
              <w:spacing w:after="0" w:line="240" w:lineRule="auto"/>
              <w:rPr>
                <w:rFonts w:cstheme="minorHAnsi"/>
                <w:sz w:val="20"/>
                <w:szCs w:val="20"/>
              </w:rPr>
            </w:pPr>
            <w:r w:rsidRPr="008F332A">
              <w:rPr>
                <w:rFonts w:cstheme="minorHAnsi"/>
                <w:sz w:val="20"/>
                <w:szCs w:val="20"/>
              </w:rPr>
              <w:t xml:space="preserve">M&amp;E House will provide technical and strategic guidance to </w:t>
            </w:r>
            <w:r w:rsidR="00A25569" w:rsidRPr="008F332A">
              <w:rPr>
                <w:rFonts w:cstheme="minorHAnsi"/>
                <w:sz w:val="20"/>
                <w:szCs w:val="20"/>
              </w:rPr>
              <w:t>Nabilan</w:t>
            </w:r>
            <w:r w:rsidR="00AC120C" w:rsidRPr="008F332A">
              <w:rPr>
                <w:rFonts w:cstheme="minorHAnsi"/>
                <w:sz w:val="20"/>
                <w:szCs w:val="20"/>
              </w:rPr>
              <w:t xml:space="preserve"> </w:t>
            </w:r>
            <w:r w:rsidRPr="008F332A">
              <w:rPr>
                <w:rFonts w:cstheme="minorHAnsi"/>
                <w:sz w:val="20"/>
                <w:szCs w:val="20"/>
              </w:rPr>
              <w:t xml:space="preserve">regarding monitoring, evaluation and learning systems. This includes: </w:t>
            </w:r>
          </w:p>
          <w:p w14:paraId="1FE356A9" w14:textId="0C9FB3C0" w:rsidR="002E7674" w:rsidRPr="008F332A" w:rsidRDefault="002E7674" w:rsidP="003A2CCC">
            <w:pPr>
              <w:pStyle w:val="tablebullets"/>
              <w:numPr>
                <w:ilvl w:val="0"/>
                <w:numId w:val="22"/>
              </w:numPr>
              <w:ind w:left="284" w:hanging="284"/>
              <w:contextualSpacing/>
              <w:rPr>
                <w:rFonts w:cstheme="minorHAnsi"/>
              </w:rPr>
            </w:pPr>
            <w:r w:rsidRPr="008F332A">
              <w:rPr>
                <w:rFonts w:cstheme="minorHAnsi"/>
              </w:rPr>
              <w:t xml:space="preserve">Technical advice and facilitation support for MELP </w:t>
            </w:r>
            <w:r w:rsidR="00A25569" w:rsidRPr="008F332A">
              <w:rPr>
                <w:rFonts w:cstheme="minorHAnsi"/>
              </w:rPr>
              <w:t xml:space="preserve">revision including the ToC and </w:t>
            </w:r>
            <w:r w:rsidRPr="008F332A">
              <w:rPr>
                <w:rFonts w:cstheme="minorHAnsi"/>
              </w:rPr>
              <w:t>MELF</w:t>
            </w:r>
            <w:r w:rsidR="00767116">
              <w:rPr>
                <w:rFonts w:cstheme="minorHAnsi"/>
              </w:rPr>
              <w:t>.</w:t>
            </w:r>
            <w:r w:rsidRPr="008F332A">
              <w:rPr>
                <w:rFonts w:cstheme="minorHAnsi"/>
              </w:rPr>
              <w:t xml:space="preserve"> </w:t>
            </w:r>
          </w:p>
          <w:p w14:paraId="6F8062EA" w14:textId="77777777" w:rsidR="002E7674" w:rsidRPr="008F332A" w:rsidRDefault="002E7674" w:rsidP="003A2CCC">
            <w:pPr>
              <w:pStyle w:val="tablebullets"/>
              <w:numPr>
                <w:ilvl w:val="0"/>
                <w:numId w:val="22"/>
              </w:numPr>
              <w:ind w:left="284" w:hanging="284"/>
              <w:contextualSpacing/>
              <w:rPr>
                <w:rFonts w:cstheme="minorHAnsi"/>
              </w:rPr>
            </w:pPr>
            <w:r w:rsidRPr="008F332A">
              <w:rPr>
                <w:rFonts w:cstheme="minorHAnsi"/>
              </w:rPr>
              <w:t xml:space="preserve">Technical support to finalising the design of monitoring methods and tools and data analysis.  </w:t>
            </w:r>
          </w:p>
          <w:p w14:paraId="2B5F9CD3" w14:textId="77777777" w:rsidR="002E7674" w:rsidRPr="008F332A" w:rsidRDefault="002E7674" w:rsidP="003A2CCC">
            <w:pPr>
              <w:pStyle w:val="tablebullets"/>
              <w:numPr>
                <w:ilvl w:val="0"/>
                <w:numId w:val="22"/>
              </w:numPr>
              <w:ind w:left="284" w:hanging="284"/>
              <w:contextualSpacing/>
              <w:rPr>
                <w:rFonts w:cstheme="minorHAnsi"/>
              </w:rPr>
            </w:pPr>
            <w:r w:rsidRPr="008F332A">
              <w:rPr>
                <w:rFonts w:cstheme="minorHAnsi"/>
              </w:rPr>
              <w:t xml:space="preserve">Technical guidance to prepare for the </w:t>
            </w:r>
            <w:r w:rsidR="00A25569" w:rsidRPr="008F332A">
              <w:rPr>
                <w:rFonts w:cstheme="minorHAnsi"/>
              </w:rPr>
              <w:t xml:space="preserve">Nabilan </w:t>
            </w:r>
            <w:r w:rsidRPr="008F332A">
              <w:rPr>
                <w:rFonts w:cstheme="minorHAnsi"/>
              </w:rPr>
              <w:t>learning dialogue, facilitate if required.</w:t>
            </w:r>
          </w:p>
        </w:tc>
      </w:tr>
    </w:tbl>
    <w:p w14:paraId="1BD64D23" w14:textId="77777777" w:rsidR="00950F10" w:rsidRPr="008F332A" w:rsidRDefault="00950F10" w:rsidP="003A2CCC">
      <w:pPr>
        <w:pStyle w:val="Heading2"/>
        <w:numPr>
          <w:ilvl w:val="1"/>
          <w:numId w:val="19"/>
        </w:numPr>
        <w:rPr>
          <w:rFonts w:asciiTheme="minorHAnsi" w:hAnsiTheme="minorHAnsi" w:cstheme="minorHAnsi"/>
          <w:color w:val="002D88" w:themeColor="accent6" w:themeTint="E6"/>
        </w:rPr>
      </w:pPr>
      <w:bookmarkStart w:id="39" w:name="_Toc517960113"/>
      <w:r w:rsidRPr="008F332A">
        <w:rPr>
          <w:rFonts w:asciiTheme="minorHAnsi" w:hAnsiTheme="minorHAnsi" w:cstheme="minorHAnsi"/>
          <w:color w:val="002D88" w:themeColor="accent6" w:themeTint="E6"/>
        </w:rPr>
        <w:t xml:space="preserve">Timetable for </w:t>
      </w:r>
      <w:r>
        <w:rPr>
          <w:rFonts w:asciiTheme="minorHAnsi" w:hAnsiTheme="minorHAnsi" w:cstheme="minorHAnsi"/>
          <w:color w:val="002D88" w:themeColor="accent6" w:themeTint="E6"/>
        </w:rPr>
        <w:t>Planning, Evaluation and Reporting</w:t>
      </w:r>
      <w:bookmarkEnd w:id="39"/>
    </w:p>
    <w:p w14:paraId="075A069E" w14:textId="77777777" w:rsidR="00950F10" w:rsidRPr="008F332A" w:rsidRDefault="00950F10" w:rsidP="003A2CCC">
      <w:pPr>
        <w:rPr>
          <w:rFonts w:cstheme="minorHAnsi"/>
        </w:rPr>
      </w:pPr>
      <w:r w:rsidRPr="008F332A">
        <w:rPr>
          <w:rFonts w:cstheme="minorHAnsi"/>
        </w:rPr>
        <w:t>Re</w:t>
      </w:r>
      <w:r>
        <w:rPr>
          <w:rFonts w:cstheme="minorHAnsi"/>
        </w:rPr>
        <w:t xml:space="preserve">porting </w:t>
      </w:r>
      <w:r w:rsidRPr="008F332A">
        <w:rPr>
          <w:rFonts w:cstheme="minorHAnsi"/>
        </w:rPr>
        <w:t>will occur according to the following schedule.</w:t>
      </w:r>
    </w:p>
    <w:p w14:paraId="23BC9924" w14:textId="77777777" w:rsidR="00950F10" w:rsidRPr="008F332A" w:rsidRDefault="00950F10" w:rsidP="003A2CCC">
      <w:pPr>
        <w:rPr>
          <w:rFonts w:cstheme="minorHAnsi"/>
          <w:color w:val="002D88" w:themeColor="accent6" w:themeTint="E6"/>
        </w:rPr>
      </w:pPr>
      <w:r w:rsidRPr="008F332A">
        <w:rPr>
          <w:rFonts w:cstheme="minorHAnsi"/>
          <w:color w:val="002D88" w:themeColor="accent6" w:themeTint="E6"/>
        </w:rPr>
        <w:t>Table 5: Nabilan reporting schedule</w:t>
      </w:r>
    </w:p>
    <w:tbl>
      <w:tblPr>
        <w:tblStyle w:val="TableGrid"/>
        <w:tblW w:w="5000" w:type="pct"/>
        <w:tblLook w:val="04A0" w:firstRow="1" w:lastRow="0" w:firstColumn="1" w:lastColumn="0" w:noHBand="0" w:noVBand="1"/>
      </w:tblPr>
      <w:tblGrid>
        <w:gridCol w:w="1083"/>
        <w:gridCol w:w="6249"/>
        <w:gridCol w:w="2255"/>
      </w:tblGrid>
      <w:tr w:rsidR="00950F10" w:rsidRPr="008F332A" w14:paraId="02D45521" w14:textId="77777777" w:rsidTr="003A2CCC">
        <w:trPr>
          <w:trHeight w:val="329"/>
        </w:trPr>
        <w:tc>
          <w:tcPr>
            <w:tcW w:w="565" w:type="pct"/>
            <w:shd w:val="clear" w:color="auto" w:fill="99CCFF"/>
          </w:tcPr>
          <w:p w14:paraId="154BC755" w14:textId="77777777" w:rsidR="00950F10" w:rsidRPr="008F332A" w:rsidRDefault="00950F10" w:rsidP="003A2CCC">
            <w:pPr>
              <w:rPr>
                <w:rFonts w:cstheme="minorHAnsi"/>
                <w:b/>
                <w:sz w:val="20"/>
                <w:szCs w:val="20"/>
              </w:rPr>
            </w:pPr>
            <w:r w:rsidRPr="008F332A">
              <w:rPr>
                <w:rFonts w:cstheme="minorHAnsi"/>
                <w:b/>
                <w:sz w:val="20"/>
                <w:szCs w:val="20"/>
              </w:rPr>
              <w:t>Year</w:t>
            </w:r>
          </w:p>
        </w:tc>
        <w:tc>
          <w:tcPr>
            <w:tcW w:w="3259" w:type="pct"/>
            <w:shd w:val="clear" w:color="auto" w:fill="99CCFF"/>
          </w:tcPr>
          <w:p w14:paraId="172AC5C6" w14:textId="77777777" w:rsidR="00950F10" w:rsidRPr="008F332A" w:rsidRDefault="00950F10" w:rsidP="003A2CCC">
            <w:pPr>
              <w:rPr>
                <w:rFonts w:cstheme="minorHAnsi"/>
                <w:b/>
                <w:sz w:val="20"/>
                <w:szCs w:val="20"/>
              </w:rPr>
            </w:pPr>
            <w:r w:rsidRPr="008F332A">
              <w:rPr>
                <w:rFonts w:cstheme="minorHAnsi"/>
                <w:b/>
                <w:sz w:val="20"/>
                <w:szCs w:val="20"/>
              </w:rPr>
              <w:t>Reporting</w:t>
            </w:r>
          </w:p>
        </w:tc>
        <w:tc>
          <w:tcPr>
            <w:tcW w:w="1177" w:type="pct"/>
            <w:shd w:val="clear" w:color="auto" w:fill="99CCFF"/>
          </w:tcPr>
          <w:p w14:paraId="5EF1F1C1" w14:textId="77777777" w:rsidR="00950F10" w:rsidRPr="008F332A" w:rsidRDefault="00950F10" w:rsidP="003A2CCC">
            <w:pPr>
              <w:rPr>
                <w:rFonts w:cstheme="minorHAnsi"/>
                <w:b/>
                <w:sz w:val="20"/>
                <w:szCs w:val="20"/>
              </w:rPr>
            </w:pPr>
            <w:r w:rsidRPr="008F332A">
              <w:rPr>
                <w:rFonts w:cstheme="minorHAnsi"/>
                <w:b/>
                <w:sz w:val="20"/>
                <w:szCs w:val="20"/>
              </w:rPr>
              <w:t>Indicative Date</w:t>
            </w:r>
          </w:p>
        </w:tc>
      </w:tr>
      <w:tr w:rsidR="00950F10" w:rsidRPr="008F332A" w14:paraId="593711E6" w14:textId="77777777" w:rsidTr="003A2CCC">
        <w:trPr>
          <w:trHeight w:val="180"/>
        </w:trPr>
        <w:tc>
          <w:tcPr>
            <w:tcW w:w="565" w:type="pct"/>
            <w:vMerge w:val="restart"/>
            <w:shd w:val="clear" w:color="auto" w:fill="auto"/>
          </w:tcPr>
          <w:p w14:paraId="26D28890" w14:textId="77777777" w:rsidR="00950F10" w:rsidRPr="008F332A" w:rsidRDefault="00950F10" w:rsidP="003A2CCC">
            <w:pPr>
              <w:rPr>
                <w:rFonts w:cstheme="minorHAnsi"/>
                <w:sz w:val="20"/>
                <w:szCs w:val="20"/>
              </w:rPr>
            </w:pPr>
            <w:r w:rsidRPr="008F332A">
              <w:rPr>
                <w:rFonts w:cstheme="minorHAnsi"/>
                <w:sz w:val="20"/>
                <w:szCs w:val="20"/>
              </w:rPr>
              <w:t>5 (2018)</w:t>
            </w:r>
          </w:p>
        </w:tc>
        <w:tc>
          <w:tcPr>
            <w:tcW w:w="3259" w:type="pct"/>
            <w:shd w:val="clear" w:color="auto" w:fill="auto"/>
          </w:tcPr>
          <w:p w14:paraId="75CDD148" w14:textId="77777777" w:rsidR="00950F10" w:rsidRPr="008F332A" w:rsidRDefault="00950F10" w:rsidP="003A2CCC">
            <w:pPr>
              <w:rPr>
                <w:rFonts w:cstheme="minorHAnsi"/>
                <w:sz w:val="20"/>
                <w:szCs w:val="20"/>
              </w:rPr>
            </w:pPr>
            <w:r w:rsidRPr="008F332A">
              <w:rPr>
                <w:rFonts w:cstheme="minorHAnsi"/>
                <w:sz w:val="20"/>
                <w:szCs w:val="20"/>
              </w:rPr>
              <w:t>6 monthly progress report (covering Jul-Dec 2017)</w:t>
            </w:r>
          </w:p>
        </w:tc>
        <w:tc>
          <w:tcPr>
            <w:tcW w:w="1177" w:type="pct"/>
            <w:shd w:val="clear" w:color="auto" w:fill="auto"/>
          </w:tcPr>
          <w:p w14:paraId="73E2A73F" w14:textId="77777777" w:rsidR="00950F10" w:rsidRPr="008F332A" w:rsidRDefault="00950F10" w:rsidP="003A2CCC">
            <w:pPr>
              <w:rPr>
                <w:rFonts w:cstheme="minorHAnsi"/>
                <w:sz w:val="20"/>
                <w:szCs w:val="20"/>
              </w:rPr>
            </w:pPr>
            <w:r w:rsidRPr="008F332A">
              <w:rPr>
                <w:rFonts w:cstheme="minorHAnsi"/>
                <w:sz w:val="20"/>
                <w:szCs w:val="20"/>
              </w:rPr>
              <w:t>28 February 2018</w:t>
            </w:r>
          </w:p>
        </w:tc>
      </w:tr>
      <w:tr w:rsidR="001E3C05" w:rsidRPr="008F332A" w14:paraId="56D9647E" w14:textId="77777777" w:rsidTr="003A2CCC">
        <w:trPr>
          <w:trHeight w:val="92"/>
        </w:trPr>
        <w:tc>
          <w:tcPr>
            <w:tcW w:w="565" w:type="pct"/>
            <w:vMerge/>
            <w:shd w:val="clear" w:color="auto" w:fill="auto"/>
          </w:tcPr>
          <w:p w14:paraId="30B681B1" w14:textId="77777777" w:rsidR="001E3C05" w:rsidRPr="008F332A" w:rsidRDefault="001E3C05" w:rsidP="003A2CCC">
            <w:pPr>
              <w:rPr>
                <w:rFonts w:cstheme="minorHAnsi"/>
                <w:sz w:val="20"/>
                <w:szCs w:val="20"/>
              </w:rPr>
            </w:pPr>
          </w:p>
        </w:tc>
        <w:tc>
          <w:tcPr>
            <w:tcW w:w="3259" w:type="pct"/>
            <w:shd w:val="clear" w:color="auto" w:fill="auto"/>
          </w:tcPr>
          <w:p w14:paraId="649A34AC" w14:textId="77777777" w:rsidR="001E3C05" w:rsidRPr="008F332A" w:rsidRDefault="001E3C05" w:rsidP="003A2CCC">
            <w:pPr>
              <w:rPr>
                <w:rFonts w:cstheme="minorHAnsi"/>
                <w:sz w:val="20"/>
                <w:szCs w:val="20"/>
              </w:rPr>
            </w:pPr>
            <w:r>
              <w:rPr>
                <w:rFonts w:cstheme="minorHAnsi"/>
                <w:sz w:val="20"/>
                <w:szCs w:val="20"/>
              </w:rPr>
              <w:t>Learning dialogue</w:t>
            </w:r>
          </w:p>
        </w:tc>
        <w:tc>
          <w:tcPr>
            <w:tcW w:w="1177" w:type="pct"/>
            <w:shd w:val="clear" w:color="auto" w:fill="auto"/>
          </w:tcPr>
          <w:p w14:paraId="0AE38E5E" w14:textId="77777777" w:rsidR="001E3C05" w:rsidRPr="008F332A" w:rsidRDefault="001E3C05" w:rsidP="003A2CCC">
            <w:pPr>
              <w:rPr>
                <w:rFonts w:cstheme="minorHAnsi"/>
                <w:sz w:val="20"/>
                <w:szCs w:val="20"/>
              </w:rPr>
            </w:pPr>
            <w:r>
              <w:rPr>
                <w:rFonts w:cstheme="minorHAnsi"/>
                <w:sz w:val="20"/>
                <w:szCs w:val="20"/>
              </w:rPr>
              <w:t>August 2018</w:t>
            </w:r>
          </w:p>
        </w:tc>
      </w:tr>
      <w:tr w:rsidR="00950F10" w:rsidRPr="008F332A" w14:paraId="70212F1F" w14:textId="77777777" w:rsidTr="003A2CCC">
        <w:trPr>
          <w:trHeight w:val="92"/>
        </w:trPr>
        <w:tc>
          <w:tcPr>
            <w:tcW w:w="565" w:type="pct"/>
            <w:vMerge/>
            <w:shd w:val="clear" w:color="auto" w:fill="auto"/>
          </w:tcPr>
          <w:p w14:paraId="6CF12663" w14:textId="77777777" w:rsidR="00950F10" w:rsidRPr="008F332A" w:rsidRDefault="00950F10" w:rsidP="003A2CCC">
            <w:pPr>
              <w:rPr>
                <w:rFonts w:cstheme="minorHAnsi"/>
                <w:sz w:val="20"/>
                <w:szCs w:val="20"/>
              </w:rPr>
            </w:pPr>
          </w:p>
        </w:tc>
        <w:tc>
          <w:tcPr>
            <w:tcW w:w="3259" w:type="pct"/>
            <w:shd w:val="clear" w:color="auto" w:fill="auto"/>
          </w:tcPr>
          <w:p w14:paraId="7A5AA464" w14:textId="77777777" w:rsidR="00950F10" w:rsidRPr="008F332A" w:rsidRDefault="00950F10" w:rsidP="003A2CCC">
            <w:pPr>
              <w:rPr>
                <w:rFonts w:cstheme="minorHAnsi"/>
                <w:sz w:val="20"/>
                <w:szCs w:val="20"/>
              </w:rPr>
            </w:pPr>
            <w:r w:rsidRPr="008F332A">
              <w:rPr>
                <w:rFonts w:cstheme="minorHAnsi"/>
                <w:sz w:val="20"/>
                <w:szCs w:val="20"/>
              </w:rPr>
              <w:t>6 monthly verbal update (covering Jan-Jun 2018)</w:t>
            </w:r>
          </w:p>
        </w:tc>
        <w:tc>
          <w:tcPr>
            <w:tcW w:w="1177" w:type="pct"/>
            <w:shd w:val="clear" w:color="auto" w:fill="auto"/>
          </w:tcPr>
          <w:p w14:paraId="0261770F" w14:textId="77777777" w:rsidR="00950F10" w:rsidRPr="008F332A" w:rsidRDefault="00950F10" w:rsidP="003A2CCC">
            <w:pPr>
              <w:rPr>
                <w:rFonts w:cstheme="minorHAnsi"/>
                <w:sz w:val="20"/>
                <w:szCs w:val="20"/>
              </w:rPr>
            </w:pPr>
            <w:r w:rsidRPr="008F332A">
              <w:rPr>
                <w:rFonts w:cstheme="minorHAnsi"/>
                <w:sz w:val="20"/>
                <w:szCs w:val="20"/>
              </w:rPr>
              <w:t>31 August 2018</w:t>
            </w:r>
          </w:p>
        </w:tc>
      </w:tr>
      <w:tr w:rsidR="00950F10" w:rsidRPr="008F332A" w14:paraId="07CA046B" w14:textId="77777777" w:rsidTr="003A2CCC">
        <w:trPr>
          <w:trHeight w:val="92"/>
        </w:trPr>
        <w:tc>
          <w:tcPr>
            <w:tcW w:w="565" w:type="pct"/>
            <w:vMerge/>
            <w:shd w:val="clear" w:color="auto" w:fill="auto"/>
          </w:tcPr>
          <w:p w14:paraId="4419ACB4" w14:textId="77777777" w:rsidR="00950F10" w:rsidRPr="008F332A" w:rsidRDefault="00950F10" w:rsidP="003A2CCC">
            <w:pPr>
              <w:rPr>
                <w:rFonts w:cstheme="minorHAnsi"/>
                <w:sz w:val="20"/>
                <w:szCs w:val="20"/>
              </w:rPr>
            </w:pPr>
          </w:p>
        </w:tc>
        <w:tc>
          <w:tcPr>
            <w:tcW w:w="3259" w:type="pct"/>
            <w:shd w:val="clear" w:color="auto" w:fill="auto"/>
          </w:tcPr>
          <w:p w14:paraId="28034A49" w14:textId="77777777" w:rsidR="00950F10" w:rsidRPr="008F332A" w:rsidRDefault="00950F10" w:rsidP="003A2CCC">
            <w:pPr>
              <w:rPr>
                <w:rFonts w:cstheme="minorHAnsi"/>
                <w:sz w:val="20"/>
                <w:szCs w:val="20"/>
              </w:rPr>
            </w:pPr>
            <w:r w:rsidRPr="008F332A">
              <w:rPr>
                <w:rFonts w:cstheme="minorHAnsi"/>
                <w:sz w:val="20"/>
                <w:szCs w:val="20"/>
              </w:rPr>
              <w:t>Annual workplan submitted to DFAT</w:t>
            </w:r>
          </w:p>
        </w:tc>
        <w:tc>
          <w:tcPr>
            <w:tcW w:w="1177" w:type="pct"/>
            <w:shd w:val="clear" w:color="auto" w:fill="auto"/>
          </w:tcPr>
          <w:p w14:paraId="2145A4A5" w14:textId="77777777" w:rsidR="00950F10" w:rsidRPr="008F332A" w:rsidRDefault="00950F10" w:rsidP="003A2CCC">
            <w:pPr>
              <w:rPr>
                <w:rFonts w:cstheme="minorHAnsi"/>
                <w:sz w:val="20"/>
                <w:szCs w:val="20"/>
              </w:rPr>
            </w:pPr>
            <w:r w:rsidRPr="008F332A">
              <w:rPr>
                <w:rFonts w:cstheme="minorHAnsi"/>
                <w:sz w:val="20"/>
                <w:szCs w:val="20"/>
              </w:rPr>
              <w:t>30 October 2018</w:t>
            </w:r>
          </w:p>
        </w:tc>
      </w:tr>
      <w:tr w:rsidR="00950F10" w:rsidRPr="008F332A" w14:paraId="36D60AC2" w14:textId="77777777" w:rsidTr="003A2CCC">
        <w:trPr>
          <w:trHeight w:val="92"/>
        </w:trPr>
        <w:tc>
          <w:tcPr>
            <w:tcW w:w="565" w:type="pct"/>
            <w:vMerge/>
            <w:shd w:val="clear" w:color="auto" w:fill="auto"/>
          </w:tcPr>
          <w:p w14:paraId="6C18325E" w14:textId="77777777" w:rsidR="00950F10" w:rsidRPr="008F332A" w:rsidRDefault="00950F10" w:rsidP="003A2CCC">
            <w:pPr>
              <w:rPr>
                <w:rFonts w:cstheme="minorHAnsi"/>
                <w:sz w:val="20"/>
                <w:szCs w:val="20"/>
              </w:rPr>
            </w:pPr>
          </w:p>
        </w:tc>
        <w:tc>
          <w:tcPr>
            <w:tcW w:w="3259" w:type="pct"/>
            <w:shd w:val="clear" w:color="auto" w:fill="auto"/>
          </w:tcPr>
          <w:p w14:paraId="77513482" w14:textId="77777777" w:rsidR="00950F10" w:rsidRPr="008F332A" w:rsidRDefault="00950F10" w:rsidP="003A2CCC">
            <w:pPr>
              <w:rPr>
                <w:rFonts w:cstheme="minorHAnsi"/>
                <w:sz w:val="20"/>
                <w:szCs w:val="20"/>
              </w:rPr>
            </w:pPr>
            <w:r w:rsidRPr="008F332A">
              <w:rPr>
                <w:rFonts w:cstheme="minorHAnsi"/>
                <w:sz w:val="20"/>
                <w:szCs w:val="20"/>
              </w:rPr>
              <w:t>Governance meeting</w:t>
            </w:r>
          </w:p>
        </w:tc>
        <w:tc>
          <w:tcPr>
            <w:tcW w:w="1177" w:type="pct"/>
            <w:shd w:val="clear" w:color="auto" w:fill="auto"/>
          </w:tcPr>
          <w:p w14:paraId="015862E1" w14:textId="77777777" w:rsidR="00950F10" w:rsidRPr="008F332A" w:rsidRDefault="00950F10" w:rsidP="003A2CCC">
            <w:pPr>
              <w:rPr>
                <w:rFonts w:cstheme="minorHAnsi"/>
                <w:sz w:val="20"/>
                <w:szCs w:val="20"/>
              </w:rPr>
            </w:pPr>
            <w:r w:rsidRPr="008F332A">
              <w:rPr>
                <w:rFonts w:cstheme="minorHAnsi"/>
                <w:sz w:val="20"/>
                <w:szCs w:val="20"/>
              </w:rPr>
              <w:t>15 November 2018</w:t>
            </w:r>
          </w:p>
        </w:tc>
      </w:tr>
      <w:tr w:rsidR="00950F10" w:rsidRPr="008F332A" w14:paraId="3E1B3C2E" w14:textId="77777777" w:rsidTr="003A2CCC">
        <w:trPr>
          <w:trHeight w:val="92"/>
        </w:trPr>
        <w:tc>
          <w:tcPr>
            <w:tcW w:w="565" w:type="pct"/>
            <w:vMerge w:val="restart"/>
            <w:shd w:val="clear" w:color="auto" w:fill="auto"/>
          </w:tcPr>
          <w:p w14:paraId="4C679715" w14:textId="77777777" w:rsidR="00950F10" w:rsidRPr="008F332A" w:rsidRDefault="00950F10" w:rsidP="003A2CCC">
            <w:pPr>
              <w:rPr>
                <w:rFonts w:cstheme="minorHAnsi"/>
                <w:sz w:val="20"/>
                <w:szCs w:val="20"/>
              </w:rPr>
            </w:pPr>
            <w:r w:rsidRPr="008F332A">
              <w:rPr>
                <w:rFonts w:cstheme="minorHAnsi"/>
                <w:sz w:val="20"/>
                <w:szCs w:val="20"/>
              </w:rPr>
              <w:t>6 (2019)</w:t>
            </w:r>
          </w:p>
        </w:tc>
        <w:tc>
          <w:tcPr>
            <w:tcW w:w="3259" w:type="pct"/>
            <w:shd w:val="clear" w:color="auto" w:fill="auto"/>
          </w:tcPr>
          <w:p w14:paraId="3D1BE76E" w14:textId="77777777" w:rsidR="00950F10" w:rsidRPr="008F332A" w:rsidRDefault="00950F10" w:rsidP="003A2CCC">
            <w:pPr>
              <w:rPr>
                <w:rFonts w:cstheme="minorHAnsi"/>
                <w:sz w:val="20"/>
                <w:szCs w:val="20"/>
              </w:rPr>
            </w:pPr>
            <w:r w:rsidRPr="008F332A">
              <w:rPr>
                <w:rFonts w:cstheme="minorHAnsi"/>
                <w:sz w:val="20"/>
                <w:szCs w:val="20"/>
              </w:rPr>
              <w:t>Learning dialogue</w:t>
            </w:r>
          </w:p>
        </w:tc>
        <w:tc>
          <w:tcPr>
            <w:tcW w:w="1177" w:type="pct"/>
            <w:shd w:val="clear" w:color="auto" w:fill="auto"/>
          </w:tcPr>
          <w:p w14:paraId="728A48E4" w14:textId="77777777" w:rsidR="00950F10" w:rsidRPr="008F332A" w:rsidRDefault="00950F10" w:rsidP="003A2CCC">
            <w:pPr>
              <w:rPr>
                <w:rFonts w:cstheme="minorHAnsi"/>
                <w:sz w:val="20"/>
                <w:szCs w:val="20"/>
              </w:rPr>
            </w:pPr>
            <w:r w:rsidRPr="008F332A">
              <w:rPr>
                <w:rFonts w:cstheme="minorHAnsi"/>
                <w:sz w:val="20"/>
                <w:szCs w:val="20"/>
              </w:rPr>
              <w:t>January 2019</w:t>
            </w:r>
          </w:p>
        </w:tc>
      </w:tr>
      <w:tr w:rsidR="00950F10" w:rsidRPr="008F332A" w14:paraId="1903592B" w14:textId="77777777" w:rsidTr="003A2CCC">
        <w:trPr>
          <w:trHeight w:val="92"/>
        </w:trPr>
        <w:tc>
          <w:tcPr>
            <w:tcW w:w="565" w:type="pct"/>
            <w:vMerge/>
            <w:shd w:val="clear" w:color="auto" w:fill="auto"/>
          </w:tcPr>
          <w:p w14:paraId="35E0732C" w14:textId="77777777" w:rsidR="00950F10" w:rsidRPr="008F332A" w:rsidRDefault="00950F10" w:rsidP="003A2CCC">
            <w:pPr>
              <w:rPr>
                <w:rFonts w:cstheme="minorHAnsi"/>
                <w:sz w:val="20"/>
                <w:szCs w:val="20"/>
              </w:rPr>
            </w:pPr>
          </w:p>
        </w:tc>
        <w:tc>
          <w:tcPr>
            <w:tcW w:w="3259" w:type="pct"/>
            <w:shd w:val="clear" w:color="auto" w:fill="auto"/>
          </w:tcPr>
          <w:p w14:paraId="7EAF3D3E" w14:textId="77777777" w:rsidR="00950F10" w:rsidRPr="008F332A" w:rsidRDefault="00950F10" w:rsidP="003A2CCC">
            <w:pPr>
              <w:rPr>
                <w:rFonts w:cstheme="minorHAnsi"/>
                <w:sz w:val="20"/>
                <w:szCs w:val="20"/>
              </w:rPr>
            </w:pPr>
            <w:r w:rsidRPr="008F332A">
              <w:rPr>
                <w:rFonts w:cstheme="minorHAnsi"/>
                <w:sz w:val="20"/>
                <w:szCs w:val="20"/>
              </w:rPr>
              <w:t xml:space="preserve">Annual progress report (covering Jan-Dec 2018) </w:t>
            </w:r>
          </w:p>
        </w:tc>
        <w:tc>
          <w:tcPr>
            <w:tcW w:w="1177" w:type="pct"/>
            <w:shd w:val="clear" w:color="auto" w:fill="auto"/>
          </w:tcPr>
          <w:p w14:paraId="23CD60B2" w14:textId="77777777" w:rsidR="00950F10" w:rsidRPr="008F332A" w:rsidRDefault="00950F10" w:rsidP="003A2CCC">
            <w:pPr>
              <w:rPr>
                <w:rFonts w:cstheme="minorHAnsi"/>
                <w:sz w:val="20"/>
                <w:szCs w:val="20"/>
              </w:rPr>
            </w:pPr>
            <w:r w:rsidRPr="008F332A">
              <w:rPr>
                <w:rFonts w:cstheme="minorHAnsi"/>
                <w:sz w:val="20"/>
                <w:szCs w:val="20"/>
              </w:rPr>
              <w:t>28 February 2019</w:t>
            </w:r>
          </w:p>
        </w:tc>
      </w:tr>
      <w:tr w:rsidR="00950F10" w:rsidRPr="008F332A" w14:paraId="77232554" w14:textId="77777777" w:rsidTr="003A2CCC">
        <w:trPr>
          <w:trHeight w:val="92"/>
        </w:trPr>
        <w:tc>
          <w:tcPr>
            <w:tcW w:w="565" w:type="pct"/>
            <w:vMerge/>
            <w:shd w:val="clear" w:color="auto" w:fill="auto"/>
          </w:tcPr>
          <w:p w14:paraId="30808B8E" w14:textId="77777777" w:rsidR="00950F10" w:rsidRPr="008F332A" w:rsidRDefault="00950F10" w:rsidP="003A2CCC">
            <w:pPr>
              <w:rPr>
                <w:rFonts w:cstheme="minorHAnsi"/>
                <w:sz w:val="20"/>
                <w:szCs w:val="20"/>
              </w:rPr>
            </w:pPr>
          </w:p>
        </w:tc>
        <w:tc>
          <w:tcPr>
            <w:tcW w:w="3259" w:type="pct"/>
            <w:shd w:val="clear" w:color="auto" w:fill="auto"/>
          </w:tcPr>
          <w:p w14:paraId="4E76A49F" w14:textId="77777777" w:rsidR="00950F10" w:rsidRPr="008F332A" w:rsidRDefault="00950F10" w:rsidP="003A2CCC">
            <w:pPr>
              <w:rPr>
                <w:rFonts w:cstheme="minorHAnsi"/>
                <w:sz w:val="20"/>
                <w:szCs w:val="20"/>
              </w:rPr>
            </w:pPr>
            <w:r w:rsidRPr="008F332A">
              <w:rPr>
                <w:rFonts w:cstheme="minorHAnsi"/>
                <w:sz w:val="20"/>
                <w:szCs w:val="20"/>
              </w:rPr>
              <w:t>Budget report</w:t>
            </w:r>
          </w:p>
        </w:tc>
        <w:tc>
          <w:tcPr>
            <w:tcW w:w="1177" w:type="pct"/>
            <w:shd w:val="clear" w:color="auto" w:fill="auto"/>
          </w:tcPr>
          <w:p w14:paraId="38964007" w14:textId="77777777" w:rsidR="00950F10" w:rsidRPr="008F332A" w:rsidRDefault="00950F10" w:rsidP="003A2CCC">
            <w:pPr>
              <w:rPr>
                <w:rFonts w:cstheme="minorHAnsi"/>
                <w:sz w:val="20"/>
                <w:szCs w:val="20"/>
              </w:rPr>
            </w:pPr>
            <w:r w:rsidRPr="008F332A">
              <w:rPr>
                <w:rFonts w:cstheme="minorHAnsi"/>
                <w:sz w:val="20"/>
                <w:szCs w:val="20"/>
              </w:rPr>
              <w:t>30 May 2019</w:t>
            </w:r>
          </w:p>
        </w:tc>
      </w:tr>
      <w:tr w:rsidR="00950F10" w:rsidRPr="008F332A" w14:paraId="58EC4B8A" w14:textId="77777777" w:rsidTr="003A2CCC">
        <w:trPr>
          <w:trHeight w:val="92"/>
        </w:trPr>
        <w:tc>
          <w:tcPr>
            <w:tcW w:w="565" w:type="pct"/>
            <w:vMerge/>
            <w:shd w:val="clear" w:color="auto" w:fill="auto"/>
          </w:tcPr>
          <w:p w14:paraId="1A5C1116" w14:textId="77777777" w:rsidR="00950F10" w:rsidRPr="008F332A" w:rsidRDefault="00950F10" w:rsidP="003A2CCC">
            <w:pPr>
              <w:rPr>
                <w:rFonts w:cstheme="minorHAnsi"/>
                <w:sz w:val="20"/>
                <w:szCs w:val="20"/>
              </w:rPr>
            </w:pPr>
          </w:p>
        </w:tc>
        <w:tc>
          <w:tcPr>
            <w:tcW w:w="3259" w:type="pct"/>
            <w:shd w:val="clear" w:color="auto" w:fill="auto"/>
          </w:tcPr>
          <w:p w14:paraId="59083F59" w14:textId="77777777" w:rsidR="00950F10" w:rsidRPr="008F332A" w:rsidRDefault="00950F10" w:rsidP="003A2CCC">
            <w:pPr>
              <w:rPr>
                <w:rFonts w:cstheme="minorHAnsi"/>
                <w:sz w:val="20"/>
                <w:szCs w:val="20"/>
              </w:rPr>
            </w:pPr>
            <w:r w:rsidRPr="008F332A">
              <w:rPr>
                <w:rFonts w:cstheme="minorHAnsi"/>
                <w:sz w:val="20"/>
                <w:szCs w:val="20"/>
              </w:rPr>
              <w:t>6 monthly verbal update (covering Jan-Jun 2019)</w:t>
            </w:r>
          </w:p>
        </w:tc>
        <w:tc>
          <w:tcPr>
            <w:tcW w:w="1177" w:type="pct"/>
            <w:shd w:val="clear" w:color="auto" w:fill="auto"/>
          </w:tcPr>
          <w:p w14:paraId="2C7328AD" w14:textId="77777777" w:rsidR="00950F10" w:rsidRPr="008F332A" w:rsidRDefault="00950F10" w:rsidP="003A2CCC">
            <w:pPr>
              <w:rPr>
                <w:rFonts w:cstheme="minorHAnsi"/>
                <w:sz w:val="20"/>
                <w:szCs w:val="20"/>
              </w:rPr>
            </w:pPr>
            <w:r w:rsidRPr="008F332A">
              <w:rPr>
                <w:rFonts w:cstheme="minorHAnsi"/>
                <w:sz w:val="20"/>
                <w:szCs w:val="20"/>
              </w:rPr>
              <w:t>31 August 2019</w:t>
            </w:r>
          </w:p>
        </w:tc>
      </w:tr>
      <w:tr w:rsidR="00950F10" w:rsidRPr="008F332A" w14:paraId="6488E6C2" w14:textId="77777777" w:rsidTr="003A2CCC">
        <w:trPr>
          <w:trHeight w:val="92"/>
        </w:trPr>
        <w:tc>
          <w:tcPr>
            <w:tcW w:w="565" w:type="pct"/>
            <w:vMerge/>
            <w:shd w:val="clear" w:color="auto" w:fill="auto"/>
          </w:tcPr>
          <w:p w14:paraId="7C1ACD0A" w14:textId="77777777" w:rsidR="00950F10" w:rsidRPr="008F332A" w:rsidRDefault="00950F10" w:rsidP="003A2CCC">
            <w:pPr>
              <w:rPr>
                <w:rFonts w:cstheme="minorHAnsi"/>
                <w:sz w:val="20"/>
                <w:szCs w:val="20"/>
              </w:rPr>
            </w:pPr>
          </w:p>
        </w:tc>
        <w:tc>
          <w:tcPr>
            <w:tcW w:w="3259" w:type="pct"/>
            <w:shd w:val="clear" w:color="auto" w:fill="auto"/>
          </w:tcPr>
          <w:p w14:paraId="2B38E5A8" w14:textId="77777777" w:rsidR="00950F10" w:rsidRPr="008F332A" w:rsidRDefault="00950F10" w:rsidP="003A2CCC">
            <w:pPr>
              <w:rPr>
                <w:rFonts w:cstheme="minorHAnsi"/>
                <w:sz w:val="20"/>
                <w:szCs w:val="20"/>
              </w:rPr>
            </w:pPr>
            <w:r w:rsidRPr="008F332A">
              <w:rPr>
                <w:rFonts w:cstheme="minorHAnsi"/>
                <w:sz w:val="20"/>
                <w:szCs w:val="20"/>
              </w:rPr>
              <w:t>Annual workplan submitted to DFAT</w:t>
            </w:r>
          </w:p>
        </w:tc>
        <w:tc>
          <w:tcPr>
            <w:tcW w:w="1177" w:type="pct"/>
            <w:shd w:val="clear" w:color="auto" w:fill="auto"/>
          </w:tcPr>
          <w:p w14:paraId="40CF1C99" w14:textId="77777777" w:rsidR="00950F10" w:rsidRPr="008F332A" w:rsidRDefault="00950F10" w:rsidP="003A2CCC">
            <w:pPr>
              <w:rPr>
                <w:rFonts w:cstheme="minorHAnsi"/>
                <w:sz w:val="20"/>
                <w:szCs w:val="20"/>
              </w:rPr>
            </w:pPr>
            <w:r w:rsidRPr="008F332A">
              <w:rPr>
                <w:rFonts w:cstheme="minorHAnsi"/>
                <w:sz w:val="20"/>
                <w:szCs w:val="20"/>
              </w:rPr>
              <w:t>30 October 2019</w:t>
            </w:r>
          </w:p>
        </w:tc>
      </w:tr>
      <w:tr w:rsidR="00950F10" w:rsidRPr="008F332A" w14:paraId="31655083" w14:textId="77777777" w:rsidTr="003A2CCC">
        <w:trPr>
          <w:trHeight w:val="92"/>
        </w:trPr>
        <w:tc>
          <w:tcPr>
            <w:tcW w:w="565" w:type="pct"/>
            <w:vMerge/>
            <w:shd w:val="clear" w:color="auto" w:fill="auto"/>
          </w:tcPr>
          <w:p w14:paraId="73097DC2" w14:textId="77777777" w:rsidR="00950F10" w:rsidRPr="008F332A" w:rsidRDefault="00950F10" w:rsidP="003A2CCC">
            <w:pPr>
              <w:rPr>
                <w:rFonts w:cstheme="minorHAnsi"/>
                <w:sz w:val="20"/>
                <w:szCs w:val="20"/>
              </w:rPr>
            </w:pPr>
          </w:p>
        </w:tc>
        <w:tc>
          <w:tcPr>
            <w:tcW w:w="3259" w:type="pct"/>
            <w:shd w:val="clear" w:color="auto" w:fill="auto"/>
          </w:tcPr>
          <w:p w14:paraId="4E2A8126" w14:textId="77777777" w:rsidR="00950F10" w:rsidRPr="008F332A" w:rsidRDefault="00950F10" w:rsidP="003A2CCC">
            <w:pPr>
              <w:rPr>
                <w:rFonts w:cstheme="minorHAnsi"/>
                <w:sz w:val="20"/>
                <w:szCs w:val="20"/>
              </w:rPr>
            </w:pPr>
            <w:r w:rsidRPr="008F332A">
              <w:rPr>
                <w:rFonts w:cstheme="minorHAnsi"/>
                <w:sz w:val="20"/>
                <w:szCs w:val="20"/>
              </w:rPr>
              <w:t>Governance meeting</w:t>
            </w:r>
          </w:p>
        </w:tc>
        <w:tc>
          <w:tcPr>
            <w:tcW w:w="1177" w:type="pct"/>
            <w:shd w:val="clear" w:color="auto" w:fill="auto"/>
          </w:tcPr>
          <w:p w14:paraId="4FA96A71" w14:textId="77777777" w:rsidR="00950F10" w:rsidRPr="008F332A" w:rsidRDefault="00950F10" w:rsidP="003A2CCC">
            <w:pPr>
              <w:rPr>
                <w:rFonts w:cstheme="minorHAnsi"/>
                <w:sz w:val="20"/>
                <w:szCs w:val="20"/>
              </w:rPr>
            </w:pPr>
            <w:r w:rsidRPr="008F332A">
              <w:rPr>
                <w:rFonts w:cstheme="minorHAnsi"/>
                <w:sz w:val="20"/>
                <w:szCs w:val="20"/>
              </w:rPr>
              <w:t>15 November 2019</w:t>
            </w:r>
          </w:p>
        </w:tc>
      </w:tr>
      <w:tr w:rsidR="00950F10" w:rsidRPr="008F332A" w14:paraId="54C74783" w14:textId="77777777" w:rsidTr="003A2CCC">
        <w:trPr>
          <w:trHeight w:val="92"/>
        </w:trPr>
        <w:tc>
          <w:tcPr>
            <w:tcW w:w="565" w:type="pct"/>
            <w:vMerge/>
            <w:shd w:val="clear" w:color="auto" w:fill="auto"/>
          </w:tcPr>
          <w:p w14:paraId="16CE74CE" w14:textId="77777777" w:rsidR="00950F10" w:rsidRPr="008F332A" w:rsidRDefault="00950F10" w:rsidP="003A2CCC">
            <w:pPr>
              <w:rPr>
                <w:rFonts w:cstheme="minorHAnsi"/>
                <w:sz w:val="20"/>
                <w:szCs w:val="20"/>
              </w:rPr>
            </w:pPr>
          </w:p>
        </w:tc>
        <w:tc>
          <w:tcPr>
            <w:tcW w:w="3259" w:type="pct"/>
            <w:shd w:val="clear" w:color="auto" w:fill="auto"/>
          </w:tcPr>
          <w:p w14:paraId="0963B3B1" w14:textId="77777777" w:rsidR="00950F10" w:rsidRPr="008F332A" w:rsidRDefault="00950F10" w:rsidP="003A2CCC">
            <w:pPr>
              <w:rPr>
                <w:rFonts w:cstheme="minorHAnsi"/>
                <w:sz w:val="20"/>
                <w:szCs w:val="20"/>
              </w:rPr>
            </w:pPr>
            <w:r w:rsidRPr="008F332A">
              <w:rPr>
                <w:rFonts w:cstheme="minorHAnsi"/>
                <w:sz w:val="20"/>
                <w:szCs w:val="20"/>
              </w:rPr>
              <w:t>Budget report</w:t>
            </w:r>
          </w:p>
        </w:tc>
        <w:tc>
          <w:tcPr>
            <w:tcW w:w="1177" w:type="pct"/>
            <w:shd w:val="clear" w:color="auto" w:fill="auto"/>
          </w:tcPr>
          <w:p w14:paraId="50F15143" w14:textId="77777777" w:rsidR="00950F10" w:rsidRPr="008F332A" w:rsidRDefault="00950F10" w:rsidP="003A2CCC">
            <w:pPr>
              <w:rPr>
                <w:rFonts w:cstheme="minorHAnsi"/>
                <w:sz w:val="20"/>
                <w:szCs w:val="20"/>
              </w:rPr>
            </w:pPr>
            <w:r w:rsidRPr="008F332A">
              <w:rPr>
                <w:rFonts w:cstheme="minorHAnsi"/>
                <w:sz w:val="20"/>
                <w:szCs w:val="20"/>
              </w:rPr>
              <w:t>30 November 2019</w:t>
            </w:r>
          </w:p>
        </w:tc>
      </w:tr>
      <w:tr w:rsidR="00950F10" w:rsidRPr="008F332A" w14:paraId="3E6A90BA" w14:textId="77777777" w:rsidTr="003A2CCC">
        <w:trPr>
          <w:trHeight w:val="92"/>
        </w:trPr>
        <w:tc>
          <w:tcPr>
            <w:tcW w:w="565" w:type="pct"/>
            <w:vMerge w:val="restart"/>
            <w:shd w:val="clear" w:color="auto" w:fill="auto"/>
          </w:tcPr>
          <w:p w14:paraId="7C0F5410" w14:textId="77777777" w:rsidR="00950F10" w:rsidRPr="008F332A" w:rsidRDefault="00950F10" w:rsidP="003A2CCC">
            <w:pPr>
              <w:rPr>
                <w:rFonts w:cstheme="minorHAnsi"/>
                <w:sz w:val="20"/>
                <w:szCs w:val="20"/>
              </w:rPr>
            </w:pPr>
            <w:r w:rsidRPr="008F332A">
              <w:rPr>
                <w:rFonts w:cstheme="minorHAnsi"/>
                <w:sz w:val="20"/>
                <w:szCs w:val="20"/>
              </w:rPr>
              <w:t>7 (2020)</w:t>
            </w:r>
          </w:p>
        </w:tc>
        <w:tc>
          <w:tcPr>
            <w:tcW w:w="3259" w:type="pct"/>
            <w:shd w:val="clear" w:color="auto" w:fill="auto"/>
          </w:tcPr>
          <w:p w14:paraId="7318E418" w14:textId="77777777" w:rsidR="00950F10" w:rsidRPr="008F332A" w:rsidRDefault="00950F10" w:rsidP="003A2CCC">
            <w:pPr>
              <w:rPr>
                <w:rFonts w:cstheme="minorHAnsi"/>
                <w:sz w:val="20"/>
                <w:szCs w:val="20"/>
              </w:rPr>
            </w:pPr>
            <w:r w:rsidRPr="008F332A">
              <w:rPr>
                <w:rFonts w:cstheme="minorHAnsi"/>
                <w:sz w:val="20"/>
                <w:szCs w:val="20"/>
              </w:rPr>
              <w:t>Learning dialogue</w:t>
            </w:r>
          </w:p>
        </w:tc>
        <w:tc>
          <w:tcPr>
            <w:tcW w:w="1177" w:type="pct"/>
            <w:shd w:val="clear" w:color="auto" w:fill="auto"/>
          </w:tcPr>
          <w:p w14:paraId="1CF35758" w14:textId="77777777" w:rsidR="00950F10" w:rsidRPr="008F332A" w:rsidRDefault="00950F10" w:rsidP="003A2CCC">
            <w:pPr>
              <w:rPr>
                <w:rFonts w:cstheme="minorHAnsi"/>
                <w:sz w:val="20"/>
                <w:szCs w:val="20"/>
              </w:rPr>
            </w:pPr>
            <w:r w:rsidRPr="008F332A">
              <w:rPr>
                <w:rFonts w:cstheme="minorHAnsi"/>
                <w:sz w:val="20"/>
                <w:szCs w:val="20"/>
              </w:rPr>
              <w:t>January 2020</w:t>
            </w:r>
          </w:p>
        </w:tc>
      </w:tr>
      <w:tr w:rsidR="00950F10" w:rsidRPr="008F332A" w14:paraId="76B2ADCD" w14:textId="77777777" w:rsidTr="003A2CCC">
        <w:trPr>
          <w:trHeight w:val="92"/>
        </w:trPr>
        <w:tc>
          <w:tcPr>
            <w:tcW w:w="565" w:type="pct"/>
            <w:vMerge/>
            <w:shd w:val="clear" w:color="auto" w:fill="auto"/>
          </w:tcPr>
          <w:p w14:paraId="193F0D88" w14:textId="77777777" w:rsidR="00950F10" w:rsidRPr="008F332A" w:rsidRDefault="00950F10" w:rsidP="003A2CCC">
            <w:pPr>
              <w:rPr>
                <w:rFonts w:cstheme="minorHAnsi"/>
                <w:sz w:val="20"/>
                <w:szCs w:val="20"/>
              </w:rPr>
            </w:pPr>
          </w:p>
        </w:tc>
        <w:tc>
          <w:tcPr>
            <w:tcW w:w="3259" w:type="pct"/>
            <w:shd w:val="clear" w:color="auto" w:fill="auto"/>
          </w:tcPr>
          <w:p w14:paraId="22F6EBB5" w14:textId="77777777" w:rsidR="00950F10" w:rsidRPr="008F332A" w:rsidRDefault="00950F10" w:rsidP="003A2CCC">
            <w:pPr>
              <w:rPr>
                <w:rFonts w:cstheme="minorHAnsi"/>
                <w:sz w:val="20"/>
                <w:szCs w:val="20"/>
              </w:rPr>
            </w:pPr>
            <w:r w:rsidRPr="008F332A">
              <w:rPr>
                <w:rFonts w:cstheme="minorHAnsi"/>
                <w:sz w:val="20"/>
                <w:szCs w:val="20"/>
              </w:rPr>
              <w:t>Annual progress report (covering Jan-Dec 2019)</w:t>
            </w:r>
          </w:p>
        </w:tc>
        <w:tc>
          <w:tcPr>
            <w:tcW w:w="1177" w:type="pct"/>
            <w:shd w:val="clear" w:color="auto" w:fill="auto"/>
          </w:tcPr>
          <w:p w14:paraId="75BD354C" w14:textId="77777777" w:rsidR="00950F10" w:rsidRPr="008F332A" w:rsidRDefault="00950F10" w:rsidP="003A2CCC">
            <w:pPr>
              <w:rPr>
                <w:rFonts w:cstheme="minorHAnsi"/>
                <w:sz w:val="20"/>
                <w:szCs w:val="20"/>
              </w:rPr>
            </w:pPr>
            <w:r w:rsidRPr="008F332A">
              <w:rPr>
                <w:rFonts w:cstheme="minorHAnsi"/>
                <w:sz w:val="20"/>
                <w:szCs w:val="20"/>
              </w:rPr>
              <w:t>28 February 2020</w:t>
            </w:r>
          </w:p>
        </w:tc>
      </w:tr>
      <w:tr w:rsidR="00950F10" w:rsidRPr="008F332A" w14:paraId="77743AE1" w14:textId="77777777" w:rsidTr="003A2CCC">
        <w:trPr>
          <w:trHeight w:val="92"/>
        </w:trPr>
        <w:tc>
          <w:tcPr>
            <w:tcW w:w="565" w:type="pct"/>
            <w:vMerge/>
            <w:shd w:val="clear" w:color="auto" w:fill="auto"/>
          </w:tcPr>
          <w:p w14:paraId="3FC281CA" w14:textId="77777777" w:rsidR="00950F10" w:rsidRPr="008F332A" w:rsidRDefault="00950F10" w:rsidP="003A2CCC">
            <w:pPr>
              <w:rPr>
                <w:rFonts w:cstheme="minorHAnsi"/>
                <w:sz w:val="20"/>
                <w:szCs w:val="20"/>
              </w:rPr>
            </w:pPr>
          </w:p>
        </w:tc>
        <w:tc>
          <w:tcPr>
            <w:tcW w:w="3259" w:type="pct"/>
            <w:shd w:val="clear" w:color="auto" w:fill="auto"/>
          </w:tcPr>
          <w:p w14:paraId="23FA0703" w14:textId="77777777" w:rsidR="00950F10" w:rsidRPr="008F332A" w:rsidRDefault="00950F10" w:rsidP="003A2CCC">
            <w:pPr>
              <w:rPr>
                <w:rFonts w:cstheme="minorHAnsi"/>
                <w:sz w:val="20"/>
                <w:szCs w:val="20"/>
              </w:rPr>
            </w:pPr>
            <w:r w:rsidRPr="008F332A">
              <w:rPr>
                <w:rFonts w:cstheme="minorHAnsi"/>
                <w:sz w:val="20"/>
                <w:szCs w:val="20"/>
              </w:rPr>
              <w:t>Quarterly budget report</w:t>
            </w:r>
          </w:p>
        </w:tc>
        <w:tc>
          <w:tcPr>
            <w:tcW w:w="1177" w:type="pct"/>
            <w:shd w:val="clear" w:color="auto" w:fill="auto"/>
          </w:tcPr>
          <w:p w14:paraId="49EBD5C1" w14:textId="77777777" w:rsidR="00950F10" w:rsidRPr="008F332A" w:rsidRDefault="00950F10" w:rsidP="003A2CCC">
            <w:pPr>
              <w:rPr>
                <w:rFonts w:cstheme="minorHAnsi"/>
                <w:sz w:val="20"/>
                <w:szCs w:val="20"/>
              </w:rPr>
            </w:pPr>
            <w:r w:rsidRPr="008F332A">
              <w:rPr>
                <w:rFonts w:cstheme="minorHAnsi"/>
                <w:sz w:val="20"/>
                <w:szCs w:val="20"/>
              </w:rPr>
              <w:t>30 May 2020</w:t>
            </w:r>
          </w:p>
        </w:tc>
      </w:tr>
      <w:tr w:rsidR="00950F10" w:rsidRPr="008F332A" w14:paraId="7D74100D" w14:textId="77777777" w:rsidTr="003A2CCC">
        <w:trPr>
          <w:trHeight w:val="92"/>
        </w:trPr>
        <w:tc>
          <w:tcPr>
            <w:tcW w:w="565" w:type="pct"/>
            <w:vMerge/>
            <w:shd w:val="clear" w:color="auto" w:fill="auto"/>
          </w:tcPr>
          <w:p w14:paraId="4103CDE9" w14:textId="77777777" w:rsidR="00950F10" w:rsidRPr="008F332A" w:rsidRDefault="00950F10" w:rsidP="003A2CCC">
            <w:pPr>
              <w:rPr>
                <w:rFonts w:cstheme="minorHAnsi"/>
                <w:sz w:val="20"/>
                <w:szCs w:val="20"/>
              </w:rPr>
            </w:pPr>
          </w:p>
        </w:tc>
        <w:tc>
          <w:tcPr>
            <w:tcW w:w="3259" w:type="pct"/>
            <w:shd w:val="clear" w:color="auto" w:fill="auto"/>
          </w:tcPr>
          <w:p w14:paraId="49FF4D5E" w14:textId="77777777" w:rsidR="00950F10" w:rsidRPr="008F332A" w:rsidRDefault="00950F10" w:rsidP="003A2CCC">
            <w:pPr>
              <w:rPr>
                <w:rFonts w:cstheme="minorHAnsi"/>
                <w:sz w:val="20"/>
                <w:szCs w:val="20"/>
              </w:rPr>
            </w:pPr>
            <w:r w:rsidRPr="008F332A">
              <w:rPr>
                <w:rFonts w:cstheme="minorHAnsi"/>
                <w:sz w:val="20"/>
                <w:szCs w:val="20"/>
              </w:rPr>
              <w:t xml:space="preserve">Mid-term </w:t>
            </w:r>
            <w:r>
              <w:rPr>
                <w:rFonts w:cstheme="minorHAnsi"/>
                <w:sz w:val="20"/>
                <w:szCs w:val="20"/>
              </w:rPr>
              <w:t>r</w:t>
            </w:r>
            <w:r w:rsidRPr="008F332A">
              <w:rPr>
                <w:rFonts w:cstheme="minorHAnsi"/>
                <w:sz w:val="20"/>
                <w:szCs w:val="20"/>
              </w:rPr>
              <w:t xml:space="preserve">eview </w:t>
            </w:r>
          </w:p>
        </w:tc>
        <w:tc>
          <w:tcPr>
            <w:tcW w:w="1177" w:type="pct"/>
            <w:shd w:val="clear" w:color="auto" w:fill="auto"/>
          </w:tcPr>
          <w:p w14:paraId="6247F44D" w14:textId="77777777" w:rsidR="00950F10" w:rsidRPr="008F332A" w:rsidRDefault="00950F10" w:rsidP="003A2CCC">
            <w:pPr>
              <w:rPr>
                <w:rFonts w:cstheme="minorHAnsi"/>
                <w:sz w:val="20"/>
                <w:szCs w:val="20"/>
              </w:rPr>
            </w:pPr>
            <w:r w:rsidRPr="008F332A">
              <w:rPr>
                <w:rFonts w:cstheme="minorHAnsi"/>
                <w:sz w:val="20"/>
                <w:szCs w:val="20"/>
              </w:rPr>
              <w:t>TBC</w:t>
            </w:r>
          </w:p>
        </w:tc>
      </w:tr>
      <w:tr w:rsidR="00950F10" w:rsidRPr="008F332A" w14:paraId="764FEA19" w14:textId="77777777" w:rsidTr="003A2CCC">
        <w:trPr>
          <w:trHeight w:val="92"/>
        </w:trPr>
        <w:tc>
          <w:tcPr>
            <w:tcW w:w="565" w:type="pct"/>
            <w:vMerge/>
            <w:shd w:val="clear" w:color="auto" w:fill="auto"/>
          </w:tcPr>
          <w:p w14:paraId="6898BA02" w14:textId="77777777" w:rsidR="00950F10" w:rsidRPr="008F332A" w:rsidRDefault="00950F10" w:rsidP="003A2CCC">
            <w:pPr>
              <w:rPr>
                <w:rFonts w:cstheme="minorHAnsi"/>
                <w:sz w:val="20"/>
                <w:szCs w:val="20"/>
              </w:rPr>
            </w:pPr>
          </w:p>
        </w:tc>
        <w:tc>
          <w:tcPr>
            <w:tcW w:w="3259" w:type="pct"/>
            <w:shd w:val="clear" w:color="auto" w:fill="auto"/>
          </w:tcPr>
          <w:p w14:paraId="4624BF29" w14:textId="77777777" w:rsidR="00950F10" w:rsidRPr="008F332A" w:rsidRDefault="00950F10" w:rsidP="003A2CCC">
            <w:pPr>
              <w:rPr>
                <w:rFonts w:cstheme="minorHAnsi"/>
                <w:sz w:val="20"/>
                <w:szCs w:val="20"/>
              </w:rPr>
            </w:pPr>
            <w:r w:rsidRPr="008F332A">
              <w:rPr>
                <w:rFonts w:cstheme="minorHAnsi"/>
                <w:sz w:val="20"/>
                <w:szCs w:val="20"/>
              </w:rPr>
              <w:t>6 monthly verbal update (covering Jan-Jun 2020)</w:t>
            </w:r>
          </w:p>
        </w:tc>
        <w:tc>
          <w:tcPr>
            <w:tcW w:w="1177" w:type="pct"/>
            <w:shd w:val="clear" w:color="auto" w:fill="auto"/>
          </w:tcPr>
          <w:p w14:paraId="0AC658F8" w14:textId="77777777" w:rsidR="00950F10" w:rsidRPr="008F332A" w:rsidRDefault="00950F10" w:rsidP="003A2CCC">
            <w:pPr>
              <w:rPr>
                <w:rFonts w:cstheme="minorHAnsi"/>
                <w:sz w:val="20"/>
                <w:szCs w:val="20"/>
              </w:rPr>
            </w:pPr>
            <w:r w:rsidRPr="008F332A">
              <w:rPr>
                <w:rFonts w:cstheme="minorHAnsi"/>
                <w:sz w:val="20"/>
                <w:szCs w:val="20"/>
              </w:rPr>
              <w:t>31 August 2020</w:t>
            </w:r>
          </w:p>
        </w:tc>
      </w:tr>
      <w:tr w:rsidR="00950F10" w:rsidRPr="008F332A" w14:paraId="19D8CBDF" w14:textId="77777777" w:rsidTr="003A2CCC">
        <w:trPr>
          <w:trHeight w:val="92"/>
        </w:trPr>
        <w:tc>
          <w:tcPr>
            <w:tcW w:w="565" w:type="pct"/>
            <w:vMerge/>
            <w:shd w:val="clear" w:color="auto" w:fill="auto"/>
          </w:tcPr>
          <w:p w14:paraId="72D4B046" w14:textId="77777777" w:rsidR="00950F10" w:rsidRPr="008F332A" w:rsidRDefault="00950F10" w:rsidP="003A2CCC">
            <w:pPr>
              <w:rPr>
                <w:rFonts w:cstheme="minorHAnsi"/>
                <w:sz w:val="20"/>
                <w:szCs w:val="20"/>
              </w:rPr>
            </w:pPr>
          </w:p>
        </w:tc>
        <w:tc>
          <w:tcPr>
            <w:tcW w:w="3259" w:type="pct"/>
            <w:shd w:val="clear" w:color="auto" w:fill="auto"/>
          </w:tcPr>
          <w:p w14:paraId="647B5C8C" w14:textId="77777777" w:rsidR="00950F10" w:rsidRPr="008F332A" w:rsidRDefault="00950F10" w:rsidP="003A2CCC">
            <w:pPr>
              <w:rPr>
                <w:rFonts w:cstheme="minorHAnsi"/>
                <w:sz w:val="20"/>
                <w:szCs w:val="20"/>
              </w:rPr>
            </w:pPr>
            <w:r w:rsidRPr="008F332A">
              <w:rPr>
                <w:rFonts w:cstheme="minorHAnsi"/>
                <w:sz w:val="20"/>
                <w:szCs w:val="20"/>
              </w:rPr>
              <w:t>Annual workplan submitted to DFAT</w:t>
            </w:r>
          </w:p>
        </w:tc>
        <w:tc>
          <w:tcPr>
            <w:tcW w:w="1177" w:type="pct"/>
            <w:shd w:val="clear" w:color="auto" w:fill="auto"/>
          </w:tcPr>
          <w:p w14:paraId="6B9A4F15" w14:textId="77777777" w:rsidR="00950F10" w:rsidRPr="008F332A" w:rsidRDefault="00950F10" w:rsidP="003A2CCC">
            <w:pPr>
              <w:rPr>
                <w:rFonts w:cstheme="minorHAnsi"/>
                <w:sz w:val="20"/>
                <w:szCs w:val="20"/>
              </w:rPr>
            </w:pPr>
            <w:r w:rsidRPr="008F332A">
              <w:rPr>
                <w:rFonts w:cstheme="minorHAnsi"/>
                <w:sz w:val="20"/>
                <w:szCs w:val="20"/>
              </w:rPr>
              <w:t>30 October 2020</w:t>
            </w:r>
          </w:p>
        </w:tc>
      </w:tr>
      <w:tr w:rsidR="00950F10" w:rsidRPr="008F332A" w14:paraId="02A21D2A" w14:textId="77777777" w:rsidTr="003A2CCC">
        <w:trPr>
          <w:trHeight w:val="92"/>
        </w:trPr>
        <w:tc>
          <w:tcPr>
            <w:tcW w:w="565" w:type="pct"/>
            <w:vMerge/>
            <w:shd w:val="clear" w:color="auto" w:fill="auto"/>
          </w:tcPr>
          <w:p w14:paraId="2D11EB93" w14:textId="77777777" w:rsidR="00950F10" w:rsidRPr="008F332A" w:rsidRDefault="00950F10" w:rsidP="003A2CCC">
            <w:pPr>
              <w:rPr>
                <w:rFonts w:cstheme="minorHAnsi"/>
                <w:sz w:val="20"/>
                <w:szCs w:val="20"/>
              </w:rPr>
            </w:pPr>
          </w:p>
        </w:tc>
        <w:tc>
          <w:tcPr>
            <w:tcW w:w="3259" w:type="pct"/>
            <w:shd w:val="clear" w:color="auto" w:fill="auto"/>
          </w:tcPr>
          <w:p w14:paraId="23873DC5" w14:textId="77777777" w:rsidR="00950F10" w:rsidRPr="008F332A" w:rsidRDefault="00950F10" w:rsidP="003A2CCC">
            <w:pPr>
              <w:rPr>
                <w:rFonts w:cstheme="minorHAnsi"/>
                <w:sz w:val="20"/>
                <w:szCs w:val="20"/>
              </w:rPr>
            </w:pPr>
            <w:r w:rsidRPr="008F332A">
              <w:rPr>
                <w:rFonts w:cstheme="minorHAnsi"/>
                <w:sz w:val="20"/>
                <w:szCs w:val="20"/>
              </w:rPr>
              <w:t>Quarterly budget report</w:t>
            </w:r>
          </w:p>
        </w:tc>
        <w:tc>
          <w:tcPr>
            <w:tcW w:w="1177" w:type="pct"/>
            <w:shd w:val="clear" w:color="auto" w:fill="auto"/>
          </w:tcPr>
          <w:p w14:paraId="16598077" w14:textId="77777777" w:rsidR="00950F10" w:rsidRPr="008F332A" w:rsidRDefault="00950F10" w:rsidP="003A2CCC">
            <w:pPr>
              <w:rPr>
                <w:rFonts w:cstheme="minorHAnsi"/>
                <w:sz w:val="20"/>
                <w:szCs w:val="20"/>
              </w:rPr>
            </w:pPr>
            <w:r w:rsidRPr="008F332A">
              <w:rPr>
                <w:rFonts w:cstheme="minorHAnsi"/>
                <w:sz w:val="20"/>
                <w:szCs w:val="20"/>
              </w:rPr>
              <w:t>30 November 2020</w:t>
            </w:r>
          </w:p>
        </w:tc>
      </w:tr>
      <w:tr w:rsidR="00950F10" w:rsidRPr="008F332A" w14:paraId="7636617F" w14:textId="77777777" w:rsidTr="003A2CCC">
        <w:trPr>
          <w:trHeight w:val="92"/>
        </w:trPr>
        <w:tc>
          <w:tcPr>
            <w:tcW w:w="565" w:type="pct"/>
            <w:vMerge w:val="restart"/>
            <w:shd w:val="clear" w:color="auto" w:fill="auto"/>
          </w:tcPr>
          <w:p w14:paraId="2045961F" w14:textId="77777777" w:rsidR="00950F10" w:rsidRPr="008F332A" w:rsidRDefault="00950F10" w:rsidP="003A2CCC">
            <w:pPr>
              <w:rPr>
                <w:rFonts w:cstheme="minorHAnsi"/>
                <w:sz w:val="20"/>
                <w:szCs w:val="20"/>
              </w:rPr>
            </w:pPr>
            <w:r w:rsidRPr="008F332A">
              <w:rPr>
                <w:rFonts w:cstheme="minorHAnsi"/>
                <w:sz w:val="20"/>
                <w:szCs w:val="20"/>
              </w:rPr>
              <w:t>8 (2021)</w:t>
            </w:r>
          </w:p>
        </w:tc>
        <w:tc>
          <w:tcPr>
            <w:tcW w:w="3259" w:type="pct"/>
            <w:shd w:val="clear" w:color="auto" w:fill="auto"/>
          </w:tcPr>
          <w:p w14:paraId="289CF024" w14:textId="77777777" w:rsidR="00950F10" w:rsidRPr="008F332A" w:rsidRDefault="00950F10" w:rsidP="003A2CCC">
            <w:pPr>
              <w:rPr>
                <w:rFonts w:cstheme="minorHAnsi"/>
                <w:sz w:val="20"/>
                <w:szCs w:val="20"/>
              </w:rPr>
            </w:pPr>
            <w:r w:rsidRPr="008F332A">
              <w:rPr>
                <w:rFonts w:cstheme="minorHAnsi"/>
                <w:sz w:val="20"/>
                <w:szCs w:val="20"/>
              </w:rPr>
              <w:t>Learning dialogue</w:t>
            </w:r>
          </w:p>
        </w:tc>
        <w:tc>
          <w:tcPr>
            <w:tcW w:w="1177" w:type="pct"/>
            <w:shd w:val="clear" w:color="auto" w:fill="auto"/>
          </w:tcPr>
          <w:p w14:paraId="27B56D7F" w14:textId="77777777" w:rsidR="00950F10" w:rsidRPr="008F332A" w:rsidRDefault="00950F10" w:rsidP="003A2CCC">
            <w:pPr>
              <w:rPr>
                <w:rFonts w:cstheme="minorHAnsi"/>
                <w:sz w:val="20"/>
                <w:szCs w:val="20"/>
              </w:rPr>
            </w:pPr>
            <w:r w:rsidRPr="008F332A">
              <w:rPr>
                <w:rFonts w:cstheme="minorHAnsi"/>
                <w:sz w:val="20"/>
                <w:szCs w:val="20"/>
              </w:rPr>
              <w:t>January 2021</w:t>
            </w:r>
          </w:p>
        </w:tc>
      </w:tr>
      <w:tr w:rsidR="00950F10" w:rsidRPr="008F332A" w14:paraId="6978151F" w14:textId="77777777" w:rsidTr="003A2CCC">
        <w:trPr>
          <w:trHeight w:val="92"/>
        </w:trPr>
        <w:tc>
          <w:tcPr>
            <w:tcW w:w="565" w:type="pct"/>
            <w:vMerge/>
            <w:shd w:val="clear" w:color="auto" w:fill="auto"/>
          </w:tcPr>
          <w:p w14:paraId="1F474677" w14:textId="77777777" w:rsidR="00950F10" w:rsidRPr="008F332A" w:rsidRDefault="00950F10" w:rsidP="003A2CCC">
            <w:pPr>
              <w:rPr>
                <w:rFonts w:cstheme="minorHAnsi"/>
                <w:sz w:val="20"/>
                <w:szCs w:val="20"/>
              </w:rPr>
            </w:pPr>
          </w:p>
        </w:tc>
        <w:tc>
          <w:tcPr>
            <w:tcW w:w="3259" w:type="pct"/>
            <w:shd w:val="clear" w:color="auto" w:fill="auto"/>
          </w:tcPr>
          <w:p w14:paraId="0C670A7E" w14:textId="77777777" w:rsidR="00950F10" w:rsidRPr="008F332A" w:rsidRDefault="00950F10" w:rsidP="003A2CCC">
            <w:pPr>
              <w:rPr>
                <w:rFonts w:cstheme="minorHAnsi"/>
                <w:sz w:val="20"/>
                <w:szCs w:val="20"/>
              </w:rPr>
            </w:pPr>
            <w:r w:rsidRPr="008F332A">
              <w:rPr>
                <w:rFonts w:cstheme="minorHAnsi"/>
                <w:sz w:val="20"/>
                <w:szCs w:val="20"/>
              </w:rPr>
              <w:t>Annual progress report (covering Jan-Dec 2020)</w:t>
            </w:r>
          </w:p>
        </w:tc>
        <w:tc>
          <w:tcPr>
            <w:tcW w:w="1177" w:type="pct"/>
            <w:shd w:val="clear" w:color="auto" w:fill="auto"/>
          </w:tcPr>
          <w:p w14:paraId="680A2D48" w14:textId="77777777" w:rsidR="00950F10" w:rsidRPr="008F332A" w:rsidRDefault="00950F10" w:rsidP="003A2CCC">
            <w:pPr>
              <w:rPr>
                <w:rFonts w:cstheme="minorHAnsi"/>
                <w:sz w:val="20"/>
                <w:szCs w:val="20"/>
              </w:rPr>
            </w:pPr>
            <w:r w:rsidRPr="008F332A">
              <w:rPr>
                <w:rFonts w:cstheme="minorHAnsi"/>
                <w:sz w:val="20"/>
                <w:szCs w:val="20"/>
              </w:rPr>
              <w:t>28 February 2021</w:t>
            </w:r>
          </w:p>
        </w:tc>
      </w:tr>
      <w:tr w:rsidR="00950F10" w:rsidRPr="008F332A" w14:paraId="5FC358B2" w14:textId="77777777" w:rsidTr="003A2CCC">
        <w:trPr>
          <w:trHeight w:val="92"/>
        </w:trPr>
        <w:tc>
          <w:tcPr>
            <w:tcW w:w="565" w:type="pct"/>
            <w:vMerge/>
            <w:shd w:val="clear" w:color="auto" w:fill="auto"/>
          </w:tcPr>
          <w:p w14:paraId="3ECF2AAB" w14:textId="77777777" w:rsidR="00950F10" w:rsidRPr="008F332A" w:rsidRDefault="00950F10" w:rsidP="003A2CCC">
            <w:pPr>
              <w:rPr>
                <w:rFonts w:cstheme="minorHAnsi"/>
                <w:sz w:val="20"/>
                <w:szCs w:val="20"/>
              </w:rPr>
            </w:pPr>
          </w:p>
        </w:tc>
        <w:tc>
          <w:tcPr>
            <w:tcW w:w="3259" w:type="pct"/>
            <w:shd w:val="clear" w:color="auto" w:fill="auto"/>
          </w:tcPr>
          <w:p w14:paraId="2CA4A4E2" w14:textId="77777777" w:rsidR="00950F10" w:rsidRPr="008F332A" w:rsidRDefault="00950F10" w:rsidP="003A2CCC">
            <w:pPr>
              <w:rPr>
                <w:rFonts w:cstheme="minorHAnsi"/>
                <w:sz w:val="20"/>
                <w:szCs w:val="20"/>
              </w:rPr>
            </w:pPr>
            <w:r w:rsidRPr="008F332A">
              <w:rPr>
                <w:rFonts w:cstheme="minorHAnsi"/>
                <w:sz w:val="20"/>
                <w:szCs w:val="20"/>
              </w:rPr>
              <w:t>Budget report</w:t>
            </w:r>
          </w:p>
        </w:tc>
        <w:tc>
          <w:tcPr>
            <w:tcW w:w="1177" w:type="pct"/>
            <w:shd w:val="clear" w:color="auto" w:fill="auto"/>
          </w:tcPr>
          <w:p w14:paraId="435645DF" w14:textId="77777777" w:rsidR="00950F10" w:rsidRPr="008F332A" w:rsidRDefault="00950F10" w:rsidP="003A2CCC">
            <w:pPr>
              <w:rPr>
                <w:rFonts w:cstheme="minorHAnsi"/>
                <w:sz w:val="20"/>
                <w:szCs w:val="20"/>
              </w:rPr>
            </w:pPr>
            <w:r w:rsidRPr="008F332A">
              <w:rPr>
                <w:rFonts w:cstheme="minorHAnsi"/>
                <w:sz w:val="20"/>
                <w:szCs w:val="20"/>
              </w:rPr>
              <w:t>30 May 2021</w:t>
            </w:r>
          </w:p>
        </w:tc>
      </w:tr>
      <w:tr w:rsidR="00950F10" w:rsidRPr="008F332A" w14:paraId="7A7813B1" w14:textId="77777777" w:rsidTr="003A2CCC">
        <w:trPr>
          <w:trHeight w:val="92"/>
        </w:trPr>
        <w:tc>
          <w:tcPr>
            <w:tcW w:w="565" w:type="pct"/>
            <w:vMerge/>
            <w:shd w:val="clear" w:color="auto" w:fill="auto"/>
          </w:tcPr>
          <w:p w14:paraId="642E98F3" w14:textId="77777777" w:rsidR="00950F10" w:rsidRPr="008F332A" w:rsidRDefault="00950F10" w:rsidP="003A2CCC">
            <w:pPr>
              <w:rPr>
                <w:rFonts w:cstheme="minorHAnsi"/>
                <w:sz w:val="20"/>
                <w:szCs w:val="20"/>
              </w:rPr>
            </w:pPr>
          </w:p>
        </w:tc>
        <w:tc>
          <w:tcPr>
            <w:tcW w:w="3259" w:type="pct"/>
            <w:shd w:val="clear" w:color="auto" w:fill="auto"/>
          </w:tcPr>
          <w:p w14:paraId="6AAE9EE1" w14:textId="77777777" w:rsidR="00950F10" w:rsidRPr="008F332A" w:rsidRDefault="00950F10" w:rsidP="003A2CCC">
            <w:pPr>
              <w:rPr>
                <w:rFonts w:cstheme="minorHAnsi"/>
                <w:sz w:val="20"/>
                <w:szCs w:val="20"/>
              </w:rPr>
            </w:pPr>
            <w:r w:rsidRPr="008F332A">
              <w:rPr>
                <w:rFonts w:cstheme="minorHAnsi"/>
                <w:sz w:val="20"/>
                <w:szCs w:val="20"/>
              </w:rPr>
              <w:t>6 monthly verbal update (covering Jan-Jun 2021)</w:t>
            </w:r>
          </w:p>
        </w:tc>
        <w:tc>
          <w:tcPr>
            <w:tcW w:w="1177" w:type="pct"/>
            <w:shd w:val="clear" w:color="auto" w:fill="auto"/>
          </w:tcPr>
          <w:p w14:paraId="48122090" w14:textId="77777777" w:rsidR="00950F10" w:rsidRPr="008F332A" w:rsidRDefault="00950F10" w:rsidP="003A2CCC">
            <w:pPr>
              <w:rPr>
                <w:rFonts w:cstheme="minorHAnsi"/>
                <w:sz w:val="20"/>
                <w:szCs w:val="20"/>
              </w:rPr>
            </w:pPr>
            <w:r w:rsidRPr="008F332A">
              <w:rPr>
                <w:rFonts w:cstheme="minorHAnsi"/>
                <w:sz w:val="20"/>
                <w:szCs w:val="20"/>
              </w:rPr>
              <w:t>31 August 2021</w:t>
            </w:r>
          </w:p>
        </w:tc>
      </w:tr>
      <w:tr w:rsidR="00950F10" w:rsidRPr="008F332A" w14:paraId="54EAAEB7" w14:textId="77777777" w:rsidTr="003A2CCC">
        <w:trPr>
          <w:trHeight w:val="92"/>
        </w:trPr>
        <w:tc>
          <w:tcPr>
            <w:tcW w:w="565" w:type="pct"/>
            <w:vMerge/>
            <w:shd w:val="clear" w:color="auto" w:fill="auto"/>
          </w:tcPr>
          <w:p w14:paraId="6B987644" w14:textId="77777777" w:rsidR="00950F10" w:rsidRPr="008F332A" w:rsidRDefault="00950F10" w:rsidP="003A2CCC">
            <w:pPr>
              <w:rPr>
                <w:rFonts w:cstheme="minorHAnsi"/>
                <w:sz w:val="20"/>
                <w:szCs w:val="20"/>
              </w:rPr>
            </w:pPr>
          </w:p>
        </w:tc>
        <w:tc>
          <w:tcPr>
            <w:tcW w:w="3259" w:type="pct"/>
            <w:shd w:val="clear" w:color="auto" w:fill="auto"/>
          </w:tcPr>
          <w:p w14:paraId="52FE1067" w14:textId="77777777" w:rsidR="00950F10" w:rsidRPr="008F332A" w:rsidRDefault="00950F10" w:rsidP="003A2CCC">
            <w:pPr>
              <w:rPr>
                <w:rFonts w:cstheme="minorHAnsi"/>
                <w:sz w:val="20"/>
                <w:szCs w:val="20"/>
              </w:rPr>
            </w:pPr>
            <w:r w:rsidRPr="008F332A">
              <w:rPr>
                <w:rFonts w:cstheme="minorHAnsi"/>
                <w:sz w:val="20"/>
                <w:szCs w:val="20"/>
              </w:rPr>
              <w:t>Governance meeting</w:t>
            </w:r>
          </w:p>
        </w:tc>
        <w:tc>
          <w:tcPr>
            <w:tcW w:w="1177" w:type="pct"/>
            <w:shd w:val="clear" w:color="auto" w:fill="auto"/>
          </w:tcPr>
          <w:p w14:paraId="77C82970" w14:textId="77777777" w:rsidR="00950F10" w:rsidRPr="008F332A" w:rsidRDefault="00950F10" w:rsidP="003A2CCC">
            <w:pPr>
              <w:rPr>
                <w:rFonts w:cstheme="minorHAnsi"/>
                <w:sz w:val="20"/>
                <w:szCs w:val="20"/>
              </w:rPr>
            </w:pPr>
            <w:r w:rsidRPr="008F332A">
              <w:rPr>
                <w:rFonts w:cstheme="minorHAnsi"/>
                <w:sz w:val="20"/>
                <w:szCs w:val="20"/>
              </w:rPr>
              <w:t>15 November 2021</w:t>
            </w:r>
          </w:p>
        </w:tc>
      </w:tr>
      <w:tr w:rsidR="00950F10" w:rsidRPr="008F332A" w14:paraId="3DE4E34E" w14:textId="77777777" w:rsidTr="003A2CCC">
        <w:trPr>
          <w:trHeight w:val="92"/>
        </w:trPr>
        <w:tc>
          <w:tcPr>
            <w:tcW w:w="565" w:type="pct"/>
            <w:vMerge/>
            <w:shd w:val="clear" w:color="auto" w:fill="auto"/>
          </w:tcPr>
          <w:p w14:paraId="4A3D743A" w14:textId="77777777" w:rsidR="00950F10" w:rsidRPr="008F332A" w:rsidRDefault="00950F10" w:rsidP="003A2CCC">
            <w:pPr>
              <w:rPr>
                <w:rFonts w:cstheme="minorHAnsi"/>
                <w:sz w:val="20"/>
                <w:szCs w:val="20"/>
              </w:rPr>
            </w:pPr>
          </w:p>
        </w:tc>
        <w:tc>
          <w:tcPr>
            <w:tcW w:w="3259" w:type="pct"/>
            <w:shd w:val="clear" w:color="auto" w:fill="auto"/>
          </w:tcPr>
          <w:p w14:paraId="32A0B56E" w14:textId="77777777" w:rsidR="00950F10" w:rsidRPr="008F332A" w:rsidRDefault="00950F10" w:rsidP="003A2CCC">
            <w:pPr>
              <w:rPr>
                <w:rFonts w:cstheme="minorHAnsi"/>
                <w:sz w:val="20"/>
                <w:szCs w:val="20"/>
              </w:rPr>
            </w:pPr>
            <w:r w:rsidRPr="008F332A">
              <w:rPr>
                <w:rFonts w:cstheme="minorHAnsi"/>
                <w:sz w:val="20"/>
                <w:szCs w:val="20"/>
              </w:rPr>
              <w:t>Budget report</w:t>
            </w:r>
          </w:p>
        </w:tc>
        <w:tc>
          <w:tcPr>
            <w:tcW w:w="1177" w:type="pct"/>
            <w:shd w:val="clear" w:color="auto" w:fill="auto"/>
          </w:tcPr>
          <w:p w14:paraId="5A5D0710" w14:textId="77777777" w:rsidR="00950F10" w:rsidRPr="008F332A" w:rsidRDefault="00950F10" w:rsidP="003A2CCC">
            <w:pPr>
              <w:rPr>
                <w:rFonts w:cstheme="minorHAnsi"/>
                <w:sz w:val="20"/>
                <w:szCs w:val="20"/>
              </w:rPr>
            </w:pPr>
            <w:r w:rsidRPr="008F332A">
              <w:rPr>
                <w:rFonts w:cstheme="minorHAnsi"/>
                <w:sz w:val="20"/>
                <w:szCs w:val="20"/>
              </w:rPr>
              <w:t>30 November 2021</w:t>
            </w:r>
          </w:p>
        </w:tc>
      </w:tr>
      <w:tr w:rsidR="00950F10" w:rsidRPr="008F332A" w14:paraId="0ABBBA71" w14:textId="77777777" w:rsidTr="003A2CCC">
        <w:trPr>
          <w:trHeight w:val="92"/>
        </w:trPr>
        <w:tc>
          <w:tcPr>
            <w:tcW w:w="565" w:type="pct"/>
            <w:vMerge/>
            <w:shd w:val="clear" w:color="auto" w:fill="auto"/>
          </w:tcPr>
          <w:p w14:paraId="10F0EFCB" w14:textId="77777777" w:rsidR="00950F10" w:rsidRPr="008F332A" w:rsidRDefault="00950F10" w:rsidP="003A2CCC">
            <w:pPr>
              <w:rPr>
                <w:rFonts w:cstheme="minorHAnsi"/>
                <w:sz w:val="20"/>
                <w:szCs w:val="20"/>
              </w:rPr>
            </w:pPr>
          </w:p>
        </w:tc>
        <w:tc>
          <w:tcPr>
            <w:tcW w:w="3259" w:type="pct"/>
            <w:shd w:val="clear" w:color="auto" w:fill="auto"/>
          </w:tcPr>
          <w:p w14:paraId="062C0B07" w14:textId="77777777" w:rsidR="00950F10" w:rsidRPr="008F332A" w:rsidRDefault="00950F10" w:rsidP="003A2CCC">
            <w:pPr>
              <w:rPr>
                <w:rFonts w:cstheme="minorHAnsi"/>
                <w:sz w:val="20"/>
                <w:szCs w:val="20"/>
              </w:rPr>
            </w:pPr>
            <w:r w:rsidRPr="008F332A">
              <w:rPr>
                <w:rFonts w:cstheme="minorHAnsi"/>
                <w:sz w:val="20"/>
                <w:szCs w:val="20"/>
              </w:rPr>
              <w:t xml:space="preserve">Endline survey </w:t>
            </w:r>
          </w:p>
        </w:tc>
        <w:tc>
          <w:tcPr>
            <w:tcW w:w="1177" w:type="pct"/>
            <w:shd w:val="clear" w:color="auto" w:fill="auto"/>
          </w:tcPr>
          <w:p w14:paraId="62AFBB92" w14:textId="77777777" w:rsidR="00950F10" w:rsidRPr="008F332A" w:rsidRDefault="00950F10" w:rsidP="003A2CCC">
            <w:pPr>
              <w:rPr>
                <w:rFonts w:cstheme="minorHAnsi"/>
                <w:sz w:val="20"/>
                <w:szCs w:val="20"/>
              </w:rPr>
            </w:pPr>
            <w:r w:rsidRPr="008F332A">
              <w:rPr>
                <w:rFonts w:cstheme="minorHAnsi"/>
                <w:sz w:val="20"/>
                <w:szCs w:val="20"/>
              </w:rPr>
              <w:t>TBC</w:t>
            </w:r>
          </w:p>
        </w:tc>
      </w:tr>
      <w:tr w:rsidR="00950F10" w:rsidRPr="008F332A" w14:paraId="625D72EF" w14:textId="77777777" w:rsidTr="003A2CCC">
        <w:trPr>
          <w:trHeight w:val="92"/>
        </w:trPr>
        <w:tc>
          <w:tcPr>
            <w:tcW w:w="565" w:type="pct"/>
            <w:vMerge w:val="restart"/>
            <w:shd w:val="clear" w:color="auto" w:fill="auto"/>
          </w:tcPr>
          <w:p w14:paraId="5EEC31D4" w14:textId="77777777" w:rsidR="00950F10" w:rsidRPr="008F332A" w:rsidRDefault="00950F10" w:rsidP="003A2CCC">
            <w:pPr>
              <w:jc w:val="left"/>
              <w:rPr>
                <w:rFonts w:cstheme="minorHAnsi"/>
                <w:sz w:val="20"/>
                <w:szCs w:val="20"/>
              </w:rPr>
            </w:pPr>
            <w:r w:rsidRPr="008F332A">
              <w:rPr>
                <w:rFonts w:cstheme="minorHAnsi"/>
                <w:sz w:val="20"/>
                <w:szCs w:val="20"/>
              </w:rPr>
              <w:t>End of program (2022)</w:t>
            </w:r>
          </w:p>
        </w:tc>
        <w:tc>
          <w:tcPr>
            <w:tcW w:w="3259" w:type="pct"/>
            <w:shd w:val="clear" w:color="auto" w:fill="auto"/>
          </w:tcPr>
          <w:p w14:paraId="2640755F" w14:textId="77777777" w:rsidR="00950F10" w:rsidRPr="008F332A" w:rsidRDefault="00950F10" w:rsidP="003A2CCC">
            <w:pPr>
              <w:rPr>
                <w:rFonts w:cstheme="minorHAnsi"/>
                <w:sz w:val="20"/>
                <w:szCs w:val="20"/>
              </w:rPr>
            </w:pPr>
            <w:r w:rsidRPr="008F332A">
              <w:rPr>
                <w:rFonts w:cstheme="minorHAnsi"/>
                <w:sz w:val="20"/>
                <w:szCs w:val="20"/>
              </w:rPr>
              <w:t>Annual report (covering Jan-Dec 2021)</w:t>
            </w:r>
          </w:p>
        </w:tc>
        <w:tc>
          <w:tcPr>
            <w:tcW w:w="1177" w:type="pct"/>
            <w:shd w:val="clear" w:color="auto" w:fill="auto"/>
          </w:tcPr>
          <w:p w14:paraId="11E391CF" w14:textId="77777777" w:rsidR="00950F10" w:rsidRPr="008F332A" w:rsidRDefault="00950F10" w:rsidP="003A2CCC">
            <w:pPr>
              <w:rPr>
                <w:rFonts w:cstheme="minorHAnsi"/>
                <w:sz w:val="20"/>
                <w:szCs w:val="20"/>
              </w:rPr>
            </w:pPr>
            <w:r w:rsidRPr="008F332A">
              <w:rPr>
                <w:rFonts w:cstheme="minorHAnsi"/>
                <w:sz w:val="20"/>
                <w:szCs w:val="20"/>
              </w:rPr>
              <w:t>28 February 2022</w:t>
            </w:r>
          </w:p>
        </w:tc>
      </w:tr>
      <w:tr w:rsidR="00950F10" w:rsidRPr="008F332A" w14:paraId="5BD1D440" w14:textId="77777777" w:rsidTr="003A2CCC">
        <w:trPr>
          <w:trHeight w:val="92"/>
        </w:trPr>
        <w:tc>
          <w:tcPr>
            <w:tcW w:w="565" w:type="pct"/>
            <w:vMerge/>
            <w:shd w:val="clear" w:color="auto" w:fill="auto"/>
          </w:tcPr>
          <w:p w14:paraId="360F38A1" w14:textId="77777777" w:rsidR="00950F10" w:rsidRPr="008F332A" w:rsidRDefault="00950F10" w:rsidP="003A2CCC">
            <w:pPr>
              <w:rPr>
                <w:rFonts w:cstheme="minorHAnsi"/>
                <w:sz w:val="20"/>
                <w:szCs w:val="20"/>
              </w:rPr>
            </w:pPr>
          </w:p>
        </w:tc>
        <w:tc>
          <w:tcPr>
            <w:tcW w:w="3259" w:type="pct"/>
            <w:shd w:val="clear" w:color="auto" w:fill="auto"/>
          </w:tcPr>
          <w:p w14:paraId="00FC515B" w14:textId="77777777" w:rsidR="00950F10" w:rsidRPr="008F332A" w:rsidRDefault="00950F10" w:rsidP="003A2CCC">
            <w:pPr>
              <w:rPr>
                <w:rFonts w:cstheme="minorHAnsi"/>
                <w:sz w:val="20"/>
                <w:szCs w:val="20"/>
              </w:rPr>
            </w:pPr>
            <w:r w:rsidRPr="008F332A">
              <w:rPr>
                <w:rFonts w:cstheme="minorHAnsi"/>
                <w:sz w:val="20"/>
                <w:szCs w:val="20"/>
              </w:rPr>
              <w:t>End of program report (covering 2014-202</w:t>
            </w:r>
            <w:r w:rsidR="005B0B58">
              <w:rPr>
                <w:rFonts w:cstheme="minorHAnsi"/>
                <w:sz w:val="20"/>
                <w:szCs w:val="20"/>
              </w:rPr>
              <w:t>2</w:t>
            </w:r>
            <w:r w:rsidRPr="008F332A">
              <w:rPr>
                <w:rFonts w:cstheme="minorHAnsi"/>
                <w:sz w:val="20"/>
                <w:szCs w:val="20"/>
              </w:rPr>
              <w:t>)</w:t>
            </w:r>
          </w:p>
        </w:tc>
        <w:tc>
          <w:tcPr>
            <w:tcW w:w="1177" w:type="pct"/>
            <w:shd w:val="clear" w:color="auto" w:fill="auto"/>
          </w:tcPr>
          <w:p w14:paraId="6AC9D3DE" w14:textId="77777777" w:rsidR="00950F10" w:rsidRPr="008F332A" w:rsidRDefault="005B0B58" w:rsidP="003A2CCC">
            <w:pPr>
              <w:rPr>
                <w:rFonts w:cstheme="minorHAnsi"/>
                <w:sz w:val="20"/>
                <w:szCs w:val="20"/>
              </w:rPr>
            </w:pPr>
            <w:r>
              <w:rPr>
                <w:rFonts w:cstheme="minorHAnsi"/>
                <w:sz w:val="20"/>
                <w:szCs w:val="20"/>
              </w:rPr>
              <w:t>June</w:t>
            </w:r>
            <w:r w:rsidR="00950F10" w:rsidRPr="008F332A">
              <w:rPr>
                <w:rFonts w:cstheme="minorHAnsi"/>
                <w:sz w:val="20"/>
                <w:szCs w:val="20"/>
              </w:rPr>
              <w:t xml:space="preserve"> 2022</w:t>
            </w:r>
          </w:p>
        </w:tc>
      </w:tr>
    </w:tbl>
    <w:p w14:paraId="1BC87025" w14:textId="77777777" w:rsidR="009B541A" w:rsidRPr="008F332A" w:rsidRDefault="009B541A" w:rsidP="003A2CCC">
      <w:pPr>
        <w:pStyle w:val="Heading1"/>
        <w:numPr>
          <w:ilvl w:val="0"/>
          <w:numId w:val="0"/>
        </w:numPr>
        <w:rPr>
          <w:rFonts w:asciiTheme="minorHAnsi" w:hAnsiTheme="minorHAnsi" w:cstheme="minorHAnsi"/>
          <w:b w:val="0"/>
          <w:color w:val="002060" w:themeColor="accent6"/>
          <w14:textFill>
            <w14:solidFill>
              <w14:schemeClr w14:val="accent6">
                <w14:lumMod w14:val="90000"/>
                <w14:lumOff w14:val="10000"/>
                <w14:lumMod w14:val="90000"/>
                <w14:lumOff w14:val="10000"/>
              </w14:schemeClr>
            </w14:solidFill>
          </w14:textFill>
        </w:rPr>
        <w:sectPr w:rsidR="009B541A" w:rsidRPr="008F332A" w:rsidSect="007B0C50">
          <w:pgSz w:w="11899" w:h="16838"/>
          <w:pgMar w:top="1134" w:right="1151" w:bottom="1134" w:left="1151" w:header="289" w:footer="289" w:gutter="0"/>
          <w:cols w:space="708"/>
          <w:titlePg/>
          <w:docGrid w:linePitch="360"/>
        </w:sectPr>
      </w:pPr>
    </w:p>
    <w:p w14:paraId="73830D8F" w14:textId="77777777" w:rsidR="006562DD" w:rsidRPr="008F332A" w:rsidRDefault="0085717E" w:rsidP="003A2CCC">
      <w:pPr>
        <w:pStyle w:val="Heading1"/>
        <w:numPr>
          <w:ilvl w:val="0"/>
          <w:numId w:val="0"/>
        </w:numPr>
        <w:rPr>
          <w:rFonts w:asciiTheme="minorHAnsi" w:hAnsiTheme="minorHAnsi" w:cstheme="minorHAnsi"/>
        </w:rPr>
      </w:pPr>
      <w:bookmarkStart w:id="40" w:name="_Toc517960114"/>
      <w:r w:rsidRPr="008F332A">
        <w:rPr>
          <w:rFonts w:asciiTheme="minorHAnsi" w:hAnsiTheme="minorHAnsi" w:cstheme="minorHAnsi"/>
        </w:rPr>
        <w:t xml:space="preserve">Annex </w:t>
      </w:r>
      <w:r w:rsidR="00547E25">
        <w:rPr>
          <w:rFonts w:asciiTheme="minorHAnsi" w:hAnsiTheme="minorHAnsi" w:cstheme="minorHAnsi"/>
        </w:rPr>
        <w:t>1</w:t>
      </w:r>
      <w:r w:rsidR="009B541A" w:rsidRPr="008F332A">
        <w:rPr>
          <w:rFonts w:asciiTheme="minorHAnsi" w:hAnsiTheme="minorHAnsi" w:cstheme="minorHAnsi"/>
        </w:rPr>
        <w:t>:</w:t>
      </w:r>
      <w:r w:rsidR="000A5E7A" w:rsidRPr="008F332A">
        <w:rPr>
          <w:rFonts w:asciiTheme="minorHAnsi" w:hAnsiTheme="minorHAnsi" w:cstheme="minorHAnsi"/>
        </w:rPr>
        <w:t xml:space="preserve"> Monitoring</w:t>
      </w:r>
      <w:r w:rsidR="005C277E" w:rsidRPr="008F332A">
        <w:rPr>
          <w:rFonts w:asciiTheme="minorHAnsi" w:hAnsiTheme="minorHAnsi" w:cstheme="minorHAnsi"/>
        </w:rPr>
        <w:t xml:space="preserve"> Evaluation and Learning</w:t>
      </w:r>
      <w:r w:rsidR="000A5E7A" w:rsidRPr="008F332A">
        <w:rPr>
          <w:rFonts w:asciiTheme="minorHAnsi" w:hAnsiTheme="minorHAnsi" w:cstheme="minorHAnsi"/>
        </w:rPr>
        <w:t xml:space="preserve"> Framework</w:t>
      </w:r>
      <w:bookmarkEnd w:id="4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5"/>
        <w:gridCol w:w="1763"/>
        <w:gridCol w:w="3167"/>
        <w:gridCol w:w="1704"/>
        <w:gridCol w:w="1750"/>
        <w:gridCol w:w="2397"/>
        <w:gridCol w:w="2092"/>
      </w:tblGrid>
      <w:tr w:rsidR="001D06BF" w:rsidRPr="001D0BD5" w14:paraId="792C31AE" w14:textId="77777777" w:rsidTr="00F01362">
        <w:trPr>
          <w:trHeight w:val="20"/>
          <w:tblHeader/>
        </w:trPr>
        <w:tc>
          <w:tcPr>
            <w:tcW w:w="0" w:type="auto"/>
            <w:tcBorders>
              <w:bottom w:val="single" w:sz="4" w:space="0" w:color="auto"/>
            </w:tcBorders>
            <w:shd w:val="clear" w:color="auto" w:fill="99CCFF"/>
            <w:hideMark/>
          </w:tcPr>
          <w:p w14:paraId="05AC2A27" w14:textId="77777777" w:rsidR="00111DAD" w:rsidRPr="001D0BD5" w:rsidRDefault="00111DAD" w:rsidP="003A2CCC">
            <w:pPr>
              <w:spacing w:after="0"/>
              <w:jc w:val="left"/>
              <w:rPr>
                <w:rFonts w:eastAsia="Times New Roman" w:cstheme="minorHAnsi"/>
                <w:b/>
                <w:bCs/>
                <w:sz w:val="16"/>
                <w:szCs w:val="16"/>
                <w:lang w:val="en-US"/>
              </w:rPr>
            </w:pPr>
            <w:r w:rsidRPr="001D0BD5">
              <w:rPr>
                <w:rFonts w:eastAsia="Times New Roman" w:cstheme="minorHAnsi"/>
                <w:b/>
                <w:bCs/>
                <w:sz w:val="16"/>
                <w:szCs w:val="16"/>
                <w:lang w:val="en-US"/>
              </w:rPr>
              <w:t>KEQ and Sub-Questions</w:t>
            </w:r>
          </w:p>
        </w:tc>
        <w:tc>
          <w:tcPr>
            <w:tcW w:w="0" w:type="auto"/>
            <w:tcBorders>
              <w:bottom w:val="single" w:sz="4" w:space="0" w:color="auto"/>
            </w:tcBorders>
            <w:shd w:val="clear" w:color="auto" w:fill="99CCFF"/>
          </w:tcPr>
          <w:p w14:paraId="38D9CFBE" w14:textId="77777777" w:rsidR="00111DAD" w:rsidRPr="001D0BD5" w:rsidRDefault="00111DAD" w:rsidP="003A2CCC">
            <w:pPr>
              <w:spacing w:after="0"/>
              <w:jc w:val="left"/>
              <w:rPr>
                <w:rFonts w:eastAsia="Times New Roman" w:cstheme="minorHAnsi"/>
                <w:b/>
                <w:bCs/>
                <w:sz w:val="16"/>
                <w:szCs w:val="16"/>
                <w:lang w:val="en-US"/>
              </w:rPr>
            </w:pPr>
            <w:r w:rsidRPr="001D0BD5">
              <w:rPr>
                <w:rFonts w:eastAsia="Times New Roman" w:cstheme="minorHAnsi"/>
                <w:b/>
                <w:bCs/>
                <w:sz w:val="16"/>
                <w:szCs w:val="16"/>
                <w:lang w:val="en-US"/>
              </w:rPr>
              <w:t>Relevant outcome</w:t>
            </w:r>
          </w:p>
        </w:tc>
        <w:tc>
          <w:tcPr>
            <w:tcW w:w="0" w:type="auto"/>
            <w:shd w:val="clear" w:color="auto" w:fill="99CCFF"/>
            <w:hideMark/>
          </w:tcPr>
          <w:p w14:paraId="170380FF" w14:textId="77777777" w:rsidR="00111DAD" w:rsidRPr="001D0BD5" w:rsidRDefault="00111DAD" w:rsidP="003A2CCC">
            <w:pPr>
              <w:spacing w:after="0"/>
              <w:jc w:val="left"/>
              <w:rPr>
                <w:rFonts w:eastAsia="Times New Roman" w:cstheme="minorHAnsi"/>
                <w:b/>
                <w:bCs/>
                <w:sz w:val="16"/>
                <w:szCs w:val="16"/>
                <w:lang w:val="en-US"/>
              </w:rPr>
            </w:pPr>
            <w:r w:rsidRPr="001D0BD5">
              <w:rPr>
                <w:rFonts w:eastAsia="Times New Roman" w:cstheme="minorHAnsi"/>
                <w:b/>
                <w:bCs/>
                <w:sz w:val="16"/>
                <w:szCs w:val="16"/>
                <w:lang w:val="en-US"/>
              </w:rPr>
              <w:t>Indicators</w:t>
            </w:r>
          </w:p>
        </w:tc>
        <w:tc>
          <w:tcPr>
            <w:tcW w:w="0" w:type="auto"/>
            <w:shd w:val="clear" w:color="auto" w:fill="99CCFF"/>
            <w:hideMark/>
          </w:tcPr>
          <w:p w14:paraId="7C78695C" w14:textId="77777777" w:rsidR="00111DAD" w:rsidRPr="001D0BD5" w:rsidRDefault="00111DAD" w:rsidP="003A2CCC">
            <w:pPr>
              <w:spacing w:after="0"/>
              <w:jc w:val="left"/>
              <w:rPr>
                <w:rFonts w:eastAsia="Times New Roman" w:cstheme="minorHAnsi"/>
                <w:b/>
                <w:bCs/>
                <w:sz w:val="16"/>
                <w:szCs w:val="16"/>
                <w:lang w:val="en-US"/>
              </w:rPr>
            </w:pPr>
            <w:r w:rsidRPr="001D0BD5">
              <w:rPr>
                <w:rFonts w:eastAsia="Times New Roman" w:cstheme="minorHAnsi"/>
                <w:b/>
                <w:bCs/>
                <w:sz w:val="16"/>
                <w:szCs w:val="16"/>
                <w:lang w:val="en-US"/>
              </w:rPr>
              <w:t>Corresponding PAF Indicator</w:t>
            </w:r>
          </w:p>
        </w:tc>
        <w:tc>
          <w:tcPr>
            <w:tcW w:w="0" w:type="auto"/>
            <w:shd w:val="clear" w:color="auto" w:fill="99CCFF"/>
            <w:hideMark/>
          </w:tcPr>
          <w:p w14:paraId="326EED80" w14:textId="77777777" w:rsidR="00111DAD" w:rsidRPr="001D0BD5" w:rsidRDefault="00111DAD" w:rsidP="003A2CCC">
            <w:pPr>
              <w:spacing w:after="0"/>
              <w:jc w:val="left"/>
              <w:rPr>
                <w:rFonts w:eastAsia="Times New Roman" w:cstheme="minorHAnsi"/>
                <w:b/>
                <w:bCs/>
                <w:sz w:val="16"/>
                <w:szCs w:val="16"/>
                <w:lang w:val="en-US"/>
              </w:rPr>
            </w:pPr>
            <w:r w:rsidRPr="001D0BD5">
              <w:rPr>
                <w:rFonts w:eastAsia="Times New Roman" w:cstheme="minorHAnsi"/>
                <w:b/>
                <w:bCs/>
                <w:sz w:val="16"/>
                <w:szCs w:val="16"/>
                <w:lang w:val="en-US"/>
              </w:rPr>
              <w:t>Data Collection Method</w:t>
            </w:r>
          </w:p>
        </w:tc>
        <w:tc>
          <w:tcPr>
            <w:tcW w:w="0" w:type="auto"/>
            <w:shd w:val="clear" w:color="auto" w:fill="99CCFF"/>
            <w:hideMark/>
          </w:tcPr>
          <w:p w14:paraId="649A23BC" w14:textId="7B629BCD" w:rsidR="00111DAD" w:rsidRPr="001D0BD5" w:rsidRDefault="00111DAD" w:rsidP="003A2CCC">
            <w:pPr>
              <w:spacing w:after="0"/>
              <w:jc w:val="left"/>
              <w:rPr>
                <w:rFonts w:eastAsia="Times New Roman" w:cstheme="minorHAnsi"/>
                <w:b/>
                <w:bCs/>
                <w:sz w:val="16"/>
                <w:szCs w:val="16"/>
                <w:lang w:val="en-US"/>
              </w:rPr>
            </w:pPr>
            <w:r w:rsidRPr="001D0BD5">
              <w:rPr>
                <w:rFonts w:eastAsia="Times New Roman" w:cstheme="minorHAnsi"/>
                <w:b/>
                <w:bCs/>
                <w:sz w:val="16"/>
                <w:szCs w:val="16"/>
                <w:lang w:val="en-US"/>
              </w:rPr>
              <w:t>Baseline</w:t>
            </w:r>
          </w:p>
        </w:tc>
        <w:tc>
          <w:tcPr>
            <w:tcW w:w="0" w:type="auto"/>
            <w:shd w:val="clear" w:color="auto" w:fill="99CCFF"/>
            <w:hideMark/>
          </w:tcPr>
          <w:p w14:paraId="0859D425" w14:textId="77777777" w:rsidR="00111DAD" w:rsidRPr="001D0BD5" w:rsidRDefault="00111DAD" w:rsidP="003A2CCC">
            <w:pPr>
              <w:spacing w:after="0"/>
              <w:jc w:val="left"/>
              <w:rPr>
                <w:rFonts w:eastAsia="Times New Roman" w:cstheme="minorHAnsi"/>
                <w:b/>
                <w:bCs/>
                <w:sz w:val="16"/>
                <w:szCs w:val="16"/>
                <w:lang w:val="en-US"/>
              </w:rPr>
            </w:pPr>
            <w:r w:rsidRPr="001D0BD5">
              <w:rPr>
                <w:rFonts w:eastAsia="Times New Roman" w:cstheme="minorHAnsi"/>
                <w:b/>
                <w:bCs/>
                <w:sz w:val="16"/>
                <w:szCs w:val="16"/>
                <w:lang w:val="en-US"/>
              </w:rPr>
              <w:t>Target</w:t>
            </w:r>
          </w:p>
        </w:tc>
      </w:tr>
      <w:tr w:rsidR="001D06BF" w:rsidRPr="001D0BD5" w14:paraId="53DFFCFE" w14:textId="77777777" w:rsidTr="00F01362">
        <w:trPr>
          <w:trHeight w:val="20"/>
        </w:trPr>
        <w:tc>
          <w:tcPr>
            <w:tcW w:w="0" w:type="auto"/>
            <w:tcBorders>
              <w:top w:val="single" w:sz="4" w:space="0" w:color="auto"/>
              <w:left w:val="single" w:sz="4" w:space="0" w:color="auto"/>
              <w:bottom w:val="nil"/>
              <w:right w:val="single" w:sz="4" w:space="0" w:color="auto"/>
            </w:tcBorders>
            <w:shd w:val="clear" w:color="auto" w:fill="auto"/>
            <w:hideMark/>
          </w:tcPr>
          <w:p w14:paraId="2F7AE0CA" w14:textId="77777777" w:rsidR="00111DAD" w:rsidRPr="008F51CC" w:rsidRDefault="00111DAD" w:rsidP="003A2CCC">
            <w:pPr>
              <w:spacing w:after="0"/>
              <w:jc w:val="left"/>
              <w:rPr>
                <w:rFonts w:eastAsia="Times New Roman" w:cstheme="minorHAnsi"/>
                <w:b/>
                <w:color w:val="000000"/>
                <w:sz w:val="16"/>
                <w:szCs w:val="16"/>
                <w:lang w:val="en-US"/>
              </w:rPr>
            </w:pPr>
            <w:r w:rsidRPr="008F51CC">
              <w:rPr>
                <w:rFonts w:eastAsia="Times New Roman" w:cstheme="minorHAnsi"/>
                <w:b/>
                <w:color w:val="000000"/>
                <w:sz w:val="16"/>
                <w:szCs w:val="16"/>
                <w:lang w:val="en-US"/>
              </w:rPr>
              <w:t xml:space="preserve">KEQ1 How effective was the Nabilan program in guaranteeing women and children who experience violence have access to adequate and responsive services? </w:t>
            </w:r>
          </w:p>
        </w:tc>
        <w:tc>
          <w:tcPr>
            <w:tcW w:w="0" w:type="auto"/>
            <w:tcBorders>
              <w:top w:val="single" w:sz="4" w:space="0" w:color="auto"/>
              <w:left w:val="single" w:sz="4" w:space="0" w:color="auto"/>
              <w:bottom w:val="nil"/>
              <w:right w:val="single" w:sz="4" w:space="0" w:color="auto"/>
            </w:tcBorders>
            <w:shd w:val="clear" w:color="auto" w:fill="auto"/>
          </w:tcPr>
          <w:p w14:paraId="180E7389" w14:textId="77777777" w:rsidR="00111DAD" w:rsidRPr="001D0BD5" w:rsidRDefault="00111DAD" w:rsidP="003A2CCC">
            <w:pPr>
              <w:spacing w:after="0"/>
              <w:jc w:val="left"/>
              <w:rPr>
                <w:rFonts w:eastAsia="Times New Roman" w:cstheme="minorHAnsi"/>
                <w:color w:val="000000"/>
                <w:sz w:val="16"/>
                <w:szCs w:val="16"/>
                <w:lang w:val="en-US"/>
              </w:rPr>
            </w:pPr>
            <w:r w:rsidRPr="001D0BD5">
              <w:rPr>
                <w:rFonts w:eastAsia="Times New Roman" w:cstheme="minorHAnsi"/>
                <w:color w:val="000000"/>
                <w:sz w:val="16"/>
                <w:szCs w:val="16"/>
                <w:lang w:val="en-US"/>
              </w:rPr>
              <w:t>EOPO1:  Women and children who experience violence have access to quality and inclusive services</w:t>
            </w:r>
          </w:p>
        </w:tc>
        <w:tc>
          <w:tcPr>
            <w:tcW w:w="0" w:type="auto"/>
            <w:tcBorders>
              <w:left w:val="single" w:sz="4" w:space="0" w:color="auto"/>
            </w:tcBorders>
            <w:shd w:val="clear" w:color="auto" w:fill="auto"/>
            <w:hideMark/>
          </w:tcPr>
          <w:p w14:paraId="7D73138D" w14:textId="66DADA2F" w:rsidR="00111DAD" w:rsidRPr="006D4F0A" w:rsidRDefault="00111DAD" w:rsidP="003A2CCC">
            <w:pPr>
              <w:pStyle w:val="ListParagraph"/>
              <w:numPr>
                <w:ilvl w:val="0"/>
                <w:numId w:val="71"/>
              </w:numPr>
              <w:rPr>
                <w:rFonts w:eastAsia="Times New Roman" w:cstheme="minorHAnsi"/>
                <w:color w:val="000000"/>
                <w:sz w:val="16"/>
                <w:szCs w:val="16"/>
              </w:rPr>
            </w:pPr>
            <w:r w:rsidRPr="006D4F0A">
              <w:rPr>
                <w:rFonts w:eastAsia="Times New Roman" w:cstheme="minorHAnsi"/>
                <w:color w:val="000000"/>
                <w:sz w:val="16"/>
                <w:szCs w:val="16"/>
              </w:rPr>
              <w:t xml:space="preserve">Number of new clients supported by Nabilan partners. </w:t>
            </w:r>
            <w:r w:rsidRPr="006D4F0A">
              <w:rPr>
                <w:rFonts w:eastAsia="Times New Roman" w:cstheme="minorHAnsi"/>
                <w:b/>
                <w:color w:val="000000"/>
                <w:sz w:val="16"/>
                <w:szCs w:val="16"/>
              </w:rPr>
              <w:t>Disaggregation:</w:t>
            </w:r>
            <w:r w:rsidRPr="006D4F0A">
              <w:rPr>
                <w:rFonts w:eastAsia="Times New Roman" w:cstheme="minorHAnsi"/>
                <w:color w:val="000000"/>
                <w:sz w:val="16"/>
                <w:szCs w:val="16"/>
              </w:rPr>
              <w:t xml:space="preserve"> gender, age, municipality, disability, type of case</w:t>
            </w:r>
          </w:p>
        </w:tc>
        <w:tc>
          <w:tcPr>
            <w:tcW w:w="0" w:type="auto"/>
            <w:shd w:val="clear" w:color="auto" w:fill="auto"/>
            <w:hideMark/>
          </w:tcPr>
          <w:p w14:paraId="42C1FEAF" w14:textId="4187DBF7" w:rsidR="00111DAD" w:rsidRPr="001D0BD5" w:rsidRDefault="00111DAD" w:rsidP="003A2CCC">
            <w:pPr>
              <w:spacing w:after="0"/>
              <w:jc w:val="left"/>
              <w:rPr>
                <w:rFonts w:eastAsia="Times New Roman" w:cstheme="minorHAnsi"/>
                <w:color w:val="000000"/>
                <w:sz w:val="16"/>
                <w:szCs w:val="16"/>
                <w:lang w:val="en-US"/>
              </w:rPr>
            </w:pPr>
            <w:r>
              <w:rPr>
                <w:rFonts w:eastAsia="Times New Roman" w:cstheme="minorHAnsi"/>
                <w:color w:val="000000"/>
                <w:sz w:val="16"/>
                <w:szCs w:val="16"/>
                <w:lang w:val="en-US"/>
              </w:rPr>
              <w:t xml:space="preserve">PAF </w:t>
            </w:r>
            <w:r w:rsidRPr="001D0BD5">
              <w:rPr>
                <w:rFonts w:eastAsia="Times New Roman" w:cstheme="minorHAnsi"/>
                <w:color w:val="000000"/>
                <w:sz w:val="16"/>
                <w:szCs w:val="16"/>
                <w:lang w:val="en-US"/>
              </w:rPr>
              <w:t>Indicator 10: Number of additional people who receive services</w:t>
            </w:r>
          </w:p>
        </w:tc>
        <w:tc>
          <w:tcPr>
            <w:tcW w:w="0" w:type="auto"/>
            <w:shd w:val="clear" w:color="auto" w:fill="auto"/>
            <w:hideMark/>
          </w:tcPr>
          <w:p w14:paraId="27546029" w14:textId="643F3DF7" w:rsidR="00111DAD" w:rsidRPr="001D0BD5" w:rsidRDefault="00111DAD" w:rsidP="003A2CCC">
            <w:pPr>
              <w:spacing w:after="0"/>
              <w:jc w:val="left"/>
              <w:rPr>
                <w:rFonts w:eastAsia="Times New Roman" w:cstheme="minorHAnsi"/>
                <w:color w:val="000000"/>
                <w:sz w:val="16"/>
                <w:szCs w:val="16"/>
                <w:lang w:val="en-US"/>
              </w:rPr>
            </w:pPr>
            <w:r w:rsidRPr="001D0BD5">
              <w:rPr>
                <w:rFonts w:eastAsia="Times New Roman" w:cstheme="minorHAnsi"/>
                <w:color w:val="000000"/>
                <w:sz w:val="16"/>
                <w:szCs w:val="16"/>
                <w:lang w:val="en-US"/>
              </w:rPr>
              <w:t>Partner reports</w:t>
            </w:r>
          </w:p>
        </w:tc>
        <w:tc>
          <w:tcPr>
            <w:tcW w:w="0" w:type="auto"/>
            <w:shd w:val="clear" w:color="auto" w:fill="auto"/>
          </w:tcPr>
          <w:p w14:paraId="6AF9BD8A" w14:textId="4952E83F" w:rsidR="00111DAD" w:rsidRPr="001D0BD5" w:rsidRDefault="00111DAD" w:rsidP="003A2CCC">
            <w:pPr>
              <w:spacing w:after="0"/>
              <w:jc w:val="left"/>
              <w:rPr>
                <w:rFonts w:eastAsia="Times New Roman" w:cstheme="minorHAnsi"/>
                <w:color w:val="000000"/>
                <w:sz w:val="16"/>
                <w:szCs w:val="16"/>
                <w:lang w:val="en-US"/>
              </w:rPr>
            </w:pPr>
            <w:r>
              <w:rPr>
                <w:rFonts w:eastAsia="Times New Roman" w:cstheme="minorHAnsi"/>
                <w:color w:val="000000"/>
                <w:sz w:val="16"/>
                <w:szCs w:val="16"/>
                <w:lang w:val="en-US"/>
              </w:rPr>
              <w:t>Available - 2017</w:t>
            </w:r>
          </w:p>
        </w:tc>
        <w:tc>
          <w:tcPr>
            <w:tcW w:w="0" w:type="auto"/>
            <w:shd w:val="clear" w:color="auto" w:fill="auto"/>
            <w:hideMark/>
          </w:tcPr>
          <w:p w14:paraId="09E93D44" w14:textId="77777777" w:rsidR="00111DAD" w:rsidRPr="002037BD" w:rsidRDefault="00111DAD" w:rsidP="003A2CCC">
            <w:pPr>
              <w:jc w:val="left"/>
              <w:rPr>
                <w:rFonts w:eastAsia="Times New Roman" w:cstheme="minorHAnsi"/>
                <w:color w:val="000000"/>
                <w:sz w:val="16"/>
                <w:szCs w:val="16"/>
              </w:rPr>
            </w:pPr>
            <w:r w:rsidRPr="00741E23">
              <w:rPr>
                <w:rFonts w:eastAsia="Times New Roman" w:cstheme="minorHAnsi"/>
                <w:color w:val="000000"/>
                <w:sz w:val="16"/>
                <w:szCs w:val="16"/>
              </w:rPr>
              <w:t>Number of new clients steady compared with 2017 levels</w:t>
            </w:r>
          </w:p>
        </w:tc>
      </w:tr>
      <w:tr w:rsidR="001D06BF" w:rsidRPr="001D0BD5" w14:paraId="51ADFA06" w14:textId="77777777" w:rsidTr="00F01362">
        <w:trPr>
          <w:trHeight w:val="20"/>
        </w:trPr>
        <w:tc>
          <w:tcPr>
            <w:tcW w:w="0" w:type="auto"/>
            <w:tcBorders>
              <w:top w:val="nil"/>
              <w:left w:val="single" w:sz="4" w:space="0" w:color="auto"/>
              <w:bottom w:val="single" w:sz="4" w:space="0" w:color="auto"/>
              <w:right w:val="single" w:sz="4" w:space="0" w:color="auto"/>
            </w:tcBorders>
            <w:shd w:val="clear" w:color="auto" w:fill="auto"/>
            <w:hideMark/>
          </w:tcPr>
          <w:p w14:paraId="52F98B51" w14:textId="77777777" w:rsidR="00111DAD" w:rsidRPr="001D0BD5" w:rsidRDefault="00111DAD" w:rsidP="003A2CCC">
            <w:pPr>
              <w:spacing w:after="0"/>
              <w:jc w:val="left"/>
              <w:rPr>
                <w:rFonts w:eastAsia="Times New Roman" w:cstheme="minorHAnsi"/>
                <w:color w:val="000000"/>
                <w:sz w:val="16"/>
                <w:szCs w:val="16"/>
                <w:lang w:val="en-US"/>
              </w:rPr>
            </w:pPr>
            <w:r w:rsidRPr="001D0BD5">
              <w:rPr>
                <w:rFonts w:eastAsia="Times New Roman" w:cstheme="minorHAnsi"/>
                <w:color w:val="000000"/>
                <w:sz w:val="16"/>
                <w:szCs w:val="16"/>
                <w:lang w:val="en-US"/>
              </w:rPr>
              <w:t> </w:t>
            </w:r>
          </w:p>
        </w:tc>
        <w:tc>
          <w:tcPr>
            <w:tcW w:w="0" w:type="auto"/>
            <w:tcBorders>
              <w:top w:val="nil"/>
              <w:left w:val="single" w:sz="4" w:space="0" w:color="auto"/>
              <w:bottom w:val="single" w:sz="4" w:space="0" w:color="auto"/>
              <w:right w:val="single" w:sz="4" w:space="0" w:color="auto"/>
            </w:tcBorders>
            <w:shd w:val="clear" w:color="auto" w:fill="auto"/>
          </w:tcPr>
          <w:p w14:paraId="4A62839C" w14:textId="77777777" w:rsidR="00111DAD" w:rsidRPr="001D0BD5" w:rsidRDefault="00111DAD" w:rsidP="003A2CCC">
            <w:pPr>
              <w:spacing w:after="0"/>
              <w:jc w:val="left"/>
              <w:rPr>
                <w:rFonts w:eastAsia="Times New Roman" w:cstheme="minorHAnsi"/>
                <w:color w:val="000000"/>
                <w:sz w:val="16"/>
                <w:szCs w:val="16"/>
                <w:lang w:val="en-US"/>
              </w:rPr>
            </w:pPr>
          </w:p>
        </w:tc>
        <w:tc>
          <w:tcPr>
            <w:tcW w:w="0" w:type="auto"/>
            <w:tcBorders>
              <w:left w:val="single" w:sz="4" w:space="0" w:color="auto"/>
            </w:tcBorders>
            <w:shd w:val="clear" w:color="auto" w:fill="auto"/>
            <w:hideMark/>
          </w:tcPr>
          <w:p w14:paraId="33E83B13" w14:textId="77777777" w:rsidR="00111DAD" w:rsidRPr="00EE07AA" w:rsidRDefault="00111DAD" w:rsidP="003A2CCC">
            <w:pPr>
              <w:pStyle w:val="ListParagraph"/>
              <w:numPr>
                <w:ilvl w:val="0"/>
                <w:numId w:val="71"/>
              </w:numPr>
              <w:rPr>
                <w:rFonts w:eastAsia="Times New Roman" w:cstheme="minorHAnsi"/>
                <w:color w:val="000000"/>
                <w:sz w:val="16"/>
                <w:szCs w:val="16"/>
              </w:rPr>
            </w:pPr>
            <w:r w:rsidRPr="006D4F0A">
              <w:rPr>
                <w:rFonts w:eastAsia="Times New Roman" w:cstheme="minorHAnsi"/>
                <w:color w:val="000000"/>
                <w:sz w:val="16"/>
                <w:szCs w:val="16"/>
              </w:rPr>
              <w:t>Number of services provided by Nabilan p</w:t>
            </w:r>
            <w:r w:rsidRPr="006D4F0A">
              <w:rPr>
                <w:rFonts w:eastAsia="Times New Roman" w:cstheme="minorHAnsi"/>
                <w:sz w:val="16"/>
                <w:szCs w:val="16"/>
              </w:rPr>
              <w:t>artners</w:t>
            </w:r>
          </w:p>
          <w:p w14:paraId="405FC1B4" w14:textId="5DDEAA28" w:rsidR="00111DAD" w:rsidRPr="00EE07AA" w:rsidRDefault="00111DAD" w:rsidP="005B2469">
            <w:pPr>
              <w:pStyle w:val="ListParagraph"/>
              <w:ind w:left="360" w:firstLine="0"/>
              <w:rPr>
                <w:rFonts w:eastAsia="Times New Roman" w:cstheme="minorHAnsi"/>
                <w:color w:val="000000"/>
                <w:sz w:val="16"/>
                <w:szCs w:val="16"/>
              </w:rPr>
            </w:pPr>
            <w:r w:rsidRPr="00EE07AA">
              <w:rPr>
                <w:rFonts w:eastAsia="Times New Roman" w:cstheme="minorHAnsi"/>
                <w:b/>
                <w:sz w:val="16"/>
                <w:szCs w:val="16"/>
              </w:rPr>
              <w:t>Disaggregation:</w:t>
            </w:r>
            <w:r>
              <w:rPr>
                <w:rFonts w:eastAsia="Times New Roman" w:cstheme="minorHAnsi"/>
                <w:sz w:val="16"/>
                <w:szCs w:val="16"/>
              </w:rPr>
              <w:t xml:space="preserve"> type of service</w:t>
            </w:r>
          </w:p>
        </w:tc>
        <w:tc>
          <w:tcPr>
            <w:tcW w:w="0" w:type="auto"/>
            <w:shd w:val="clear" w:color="auto" w:fill="auto"/>
            <w:hideMark/>
          </w:tcPr>
          <w:p w14:paraId="3496DB8D" w14:textId="15AFBB12" w:rsidR="00111DAD" w:rsidRPr="001D0BD5" w:rsidRDefault="00111DAD" w:rsidP="003A2CCC">
            <w:pPr>
              <w:spacing w:after="0"/>
              <w:jc w:val="left"/>
              <w:rPr>
                <w:rFonts w:eastAsia="Times New Roman" w:cstheme="minorHAnsi"/>
                <w:color w:val="000000"/>
                <w:sz w:val="16"/>
                <w:szCs w:val="16"/>
                <w:lang w:val="en-US"/>
              </w:rPr>
            </w:pPr>
            <w:r>
              <w:rPr>
                <w:rFonts w:eastAsia="Times New Roman" w:cstheme="minorHAnsi"/>
                <w:color w:val="000000"/>
                <w:sz w:val="16"/>
                <w:szCs w:val="16"/>
                <w:lang w:val="en-US"/>
              </w:rPr>
              <w:t xml:space="preserve">PAF </w:t>
            </w:r>
            <w:r w:rsidRPr="001D0BD5">
              <w:rPr>
                <w:rFonts w:eastAsia="Times New Roman" w:cstheme="minorHAnsi"/>
                <w:color w:val="000000"/>
                <w:sz w:val="16"/>
                <w:szCs w:val="16"/>
                <w:lang w:val="en-US"/>
              </w:rPr>
              <w:t xml:space="preserve">Indicator 12: Number of additional services provided </w:t>
            </w:r>
          </w:p>
        </w:tc>
        <w:tc>
          <w:tcPr>
            <w:tcW w:w="0" w:type="auto"/>
            <w:shd w:val="clear" w:color="auto" w:fill="auto"/>
            <w:hideMark/>
          </w:tcPr>
          <w:p w14:paraId="1A717CCD" w14:textId="4E4A635A" w:rsidR="00111DAD" w:rsidRPr="001D0BD5" w:rsidRDefault="00111DAD" w:rsidP="003A2CCC">
            <w:pPr>
              <w:spacing w:after="0"/>
              <w:jc w:val="left"/>
              <w:rPr>
                <w:rFonts w:eastAsia="Times New Roman" w:cstheme="minorHAnsi"/>
                <w:color w:val="000000"/>
                <w:sz w:val="16"/>
                <w:szCs w:val="16"/>
                <w:lang w:val="en-US"/>
              </w:rPr>
            </w:pPr>
            <w:r w:rsidRPr="001D0BD5">
              <w:rPr>
                <w:rFonts w:eastAsia="Times New Roman" w:cstheme="minorHAnsi"/>
                <w:color w:val="000000"/>
                <w:sz w:val="16"/>
                <w:szCs w:val="16"/>
                <w:lang w:val="en-US"/>
              </w:rPr>
              <w:t>Partner reports</w:t>
            </w:r>
          </w:p>
        </w:tc>
        <w:tc>
          <w:tcPr>
            <w:tcW w:w="0" w:type="auto"/>
            <w:shd w:val="clear" w:color="auto" w:fill="auto"/>
          </w:tcPr>
          <w:p w14:paraId="0ECD9061" w14:textId="2197CFFE" w:rsidR="00111DAD" w:rsidRPr="001D0BD5" w:rsidRDefault="00111DAD" w:rsidP="003A2CCC">
            <w:pPr>
              <w:spacing w:after="0"/>
              <w:jc w:val="left"/>
              <w:rPr>
                <w:rFonts w:eastAsia="Times New Roman" w:cstheme="minorHAnsi"/>
                <w:color w:val="000000"/>
                <w:sz w:val="16"/>
                <w:szCs w:val="16"/>
                <w:lang w:val="en-US"/>
              </w:rPr>
            </w:pPr>
            <w:r>
              <w:rPr>
                <w:rFonts w:eastAsia="Times New Roman" w:cstheme="minorHAnsi"/>
                <w:color w:val="000000"/>
                <w:sz w:val="16"/>
                <w:szCs w:val="16"/>
                <w:lang w:val="en-US"/>
              </w:rPr>
              <w:t>Available - 2017</w:t>
            </w:r>
          </w:p>
        </w:tc>
        <w:tc>
          <w:tcPr>
            <w:tcW w:w="0" w:type="auto"/>
            <w:shd w:val="clear" w:color="auto" w:fill="auto"/>
            <w:hideMark/>
          </w:tcPr>
          <w:p w14:paraId="7F288CC9" w14:textId="77777777" w:rsidR="00111DAD" w:rsidRPr="001D0BD5" w:rsidRDefault="00111DAD" w:rsidP="003A2CCC">
            <w:pPr>
              <w:spacing w:after="0"/>
              <w:jc w:val="left"/>
              <w:rPr>
                <w:rFonts w:eastAsia="Times New Roman" w:cstheme="minorHAnsi"/>
                <w:color w:val="000000"/>
                <w:sz w:val="16"/>
                <w:szCs w:val="16"/>
                <w:lang w:val="en-US"/>
              </w:rPr>
            </w:pPr>
            <w:r w:rsidRPr="001D0BD5">
              <w:rPr>
                <w:rFonts w:eastAsia="Times New Roman" w:cstheme="minorHAnsi"/>
                <w:color w:val="000000"/>
                <w:sz w:val="16"/>
                <w:szCs w:val="16"/>
                <w:lang w:val="en-US"/>
              </w:rPr>
              <w:t>Number of services provided steady compared with 2017 levels</w:t>
            </w:r>
          </w:p>
        </w:tc>
      </w:tr>
      <w:tr w:rsidR="001D06BF" w:rsidRPr="001D0BD5" w14:paraId="21CFC042" w14:textId="77777777" w:rsidTr="00F01362">
        <w:trPr>
          <w:trHeight w:val="20"/>
        </w:trPr>
        <w:tc>
          <w:tcPr>
            <w:tcW w:w="0" w:type="auto"/>
            <w:tcBorders>
              <w:top w:val="single" w:sz="4" w:space="0" w:color="auto"/>
              <w:left w:val="single" w:sz="4" w:space="0" w:color="auto"/>
              <w:bottom w:val="nil"/>
              <w:right w:val="single" w:sz="4" w:space="0" w:color="auto"/>
            </w:tcBorders>
            <w:shd w:val="clear" w:color="auto" w:fill="auto"/>
            <w:hideMark/>
          </w:tcPr>
          <w:p w14:paraId="1A5D8D87" w14:textId="77777777" w:rsidR="00111DAD" w:rsidRPr="001D0BD5" w:rsidRDefault="00111DAD" w:rsidP="003A2CCC">
            <w:pPr>
              <w:spacing w:after="0"/>
              <w:jc w:val="left"/>
              <w:rPr>
                <w:rFonts w:eastAsia="Times New Roman" w:cstheme="minorHAnsi"/>
                <w:color w:val="000000"/>
                <w:sz w:val="16"/>
                <w:szCs w:val="16"/>
                <w:lang w:val="en-US"/>
              </w:rPr>
            </w:pPr>
            <w:r w:rsidRPr="001D0BD5">
              <w:rPr>
                <w:rFonts w:eastAsia="Times New Roman" w:cstheme="minorHAnsi"/>
                <w:color w:val="000000"/>
                <w:sz w:val="16"/>
                <w:szCs w:val="16"/>
                <w:lang w:val="en-US"/>
              </w:rPr>
              <w:t>1.1 To what extent are service provider staff using their knowledge and skills for improved service delivery?</w:t>
            </w:r>
          </w:p>
        </w:tc>
        <w:tc>
          <w:tcPr>
            <w:tcW w:w="0" w:type="auto"/>
            <w:vMerge w:val="restart"/>
            <w:tcBorders>
              <w:top w:val="single" w:sz="4" w:space="0" w:color="auto"/>
              <w:left w:val="single" w:sz="4" w:space="0" w:color="auto"/>
            </w:tcBorders>
            <w:shd w:val="clear" w:color="auto" w:fill="auto"/>
          </w:tcPr>
          <w:p w14:paraId="120B2340" w14:textId="77777777" w:rsidR="00111DAD" w:rsidRDefault="00111DAD" w:rsidP="003A2CCC">
            <w:pPr>
              <w:jc w:val="left"/>
              <w:rPr>
                <w:rFonts w:eastAsia="Times New Roman" w:cstheme="minorHAnsi"/>
                <w:color w:val="000000"/>
                <w:sz w:val="16"/>
                <w:szCs w:val="16"/>
              </w:rPr>
            </w:pPr>
            <w:r>
              <w:rPr>
                <w:rFonts w:eastAsia="Times New Roman" w:cstheme="minorHAnsi"/>
                <w:color w:val="000000"/>
                <w:sz w:val="16"/>
                <w:szCs w:val="16"/>
              </w:rPr>
              <w:t>I</w:t>
            </w:r>
            <w:r w:rsidRPr="001D0BD5">
              <w:rPr>
                <w:rFonts w:eastAsia="Times New Roman" w:cstheme="minorHAnsi"/>
                <w:color w:val="000000"/>
                <w:sz w:val="16"/>
                <w:szCs w:val="16"/>
              </w:rPr>
              <w:t>O1.1: Service providers use increased skills, knowledge and sensitivity to deliver services</w:t>
            </w:r>
          </w:p>
          <w:p w14:paraId="5054125C" w14:textId="77777777" w:rsidR="00111DAD" w:rsidRPr="001D0BD5" w:rsidRDefault="00111DAD" w:rsidP="003A2CCC">
            <w:pPr>
              <w:jc w:val="left"/>
              <w:rPr>
                <w:rFonts w:eastAsia="Times New Roman" w:cstheme="minorHAnsi"/>
                <w:color w:val="000000"/>
                <w:sz w:val="16"/>
                <w:szCs w:val="16"/>
              </w:rPr>
            </w:pPr>
            <w:r w:rsidRPr="001D0BD5">
              <w:rPr>
                <w:rFonts w:eastAsia="Times New Roman" w:cstheme="minorHAnsi"/>
                <w:color w:val="000000"/>
                <w:sz w:val="16"/>
                <w:szCs w:val="16"/>
              </w:rPr>
              <w:t>ImO1.1 Key service provider staff have improved knowledge and skills</w:t>
            </w:r>
          </w:p>
        </w:tc>
        <w:tc>
          <w:tcPr>
            <w:tcW w:w="0" w:type="auto"/>
            <w:shd w:val="clear" w:color="auto" w:fill="auto"/>
            <w:hideMark/>
          </w:tcPr>
          <w:p w14:paraId="44513188" w14:textId="34C8F7DC" w:rsidR="00111DAD" w:rsidRPr="006D4F0A" w:rsidRDefault="00111DAD" w:rsidP="003A2CCC">
            <w:pPr>
              <w:pStyle w:val="ListParagraph"/>
              <w:numPr>
                <w:ilvl w:val="0"/>
                <w:numId w:val="18"/>
              </w:numPr>
              <w:rPr>
                <w:rFonts w:eastAsia="Times New Roman" w:cstheme="minorHAnsi"/>
                <w:color w:val="000000"/>
                <w:sz w:val="16"/>
                <w:szCs w:val="16"/>
              </w:rPr>
            </w:pPr>
            <w:r w:rsidRPr="006D4F0A">
              <w:rPr>
                <w:rFonts w:eastAsia="Times New Roman" w:cstheme="minorHAnsi"/>
                <w:color w:val="000000"/>
                <w:sz w:val="16"/>
                <w:szCs w:val="16"/>
              </w:rPr>
              <w:t xml:space="preserve">Number of Nabilan partner and non-partner staff completing training (Certificate III in Social Services, Medical Forensic Examiner Training, 4R). </w:t>
            </w:r>
            <w:r w:rsidRPr="006D4F0A">
              <w:rPr>
                <w:rFonts w:eastAsia="Times New Roman" w:cstheme="minorHAnsi"/>
                <w:b/>
                <w:color w:val="000000"/>
                <w:sz w:val="16"/>
                <w:szCs w:val="16"/>
              </w:rPr>
              <w:t>Disaggregation:</w:t>
            </w:r>
            <w:r w:rsidRPr="006D4F0A">
              <w:rPr>
                <w:rFonts w:eastAsia="Times New Roman" w:cstheme="minorHAnsi"/>
                <w:color w:val="000000"/>
                <w:sz w:val="16"/>
                <w:szCs w:val="16"/>
              </w:rPr>
              <w:t xml:space="preserve"> gender, disability, service.</w:t>
            </w:r>
          </w:p>
        </w:tc>
        <w:tc>
          <w:tcPr>
            <w:tcW w:w="0" w:type="auto"/>
            <w:shd w:val="clear" w:color="auto" w:fill="auto"/>
            <w:hideMark/>
          </w:tcPr>
          <w:p w14:paraId="79E60DA3" w14:textId="77777777" w:rsidR="00111DAD" w:rsidRPr="001D0BD5" w:rsidRDefault="00111DAD" w:rsidP="003A2CCC">
            <w:pPr>
              <w:spacing w:after="0"/>
              <w:jc w:val="left"/>
              <w:rPr>
                <w:rFonts w:eastAsia="Times New Roman" w:cstheme="minorHAnsi"/>
                <w:color w:val="000000"/>
                <w:sz w:val="16"/>
                <w:szCs w:val="16"/>
                <w:lang w:val="en-US"/>
              </w:rPr>
            </w:pPr>
            <w:r w:rsidRPr="001D0BD5">
              <w:rPr>
                <w:rFonts w:eastAsia="Times New Roman" w:cstheme="minorHAnsi"/>
                <w:color w:val="000000"/>
                <w:sz w:val="16"/>
                <w:szCs w:val="16"/>
                <w:lang w:val="en-US"/>
              </w:rPr>
              <w:t> </w:t>
            </w:r>
          </w:p>
        </w:tc>
        <w:tc>
          <w:tcPr>
            <w:tcW w:w="0" w:type="auto"/>
            <w:shd w:val="clear" w:color="auto" w:fill="auto"/>
            <w:hideMark/>
          </w:tcPr>
          <w:p w14:paraId="09A62140" w14:textId="74F1297E" w:rsidR="00111DAD" w:rsidRPr="001D0BD5" w:rsidRDefault="00111DAD" w:rsidP="003A2CCC">
            <w:pPr>
              <w:jc w:val="left"/>
              <w:rPr>
                <w:rFonts w:eastAsia="Times New Roman" w:cstheme="minorHAnsi"/>
                <w:color w:val="000000"/>
                <w:sz w:val="16"/>
                <w:szCs w:val="16"/>
              </w:rPr>
            </w:pPr>
            <w:r w:rsidRPr="001D0BD5">
              <w:rPr>
                <w:rFonts w:eastAsia="Times New Roman" w:cstheme="minorHAnsi"/>
                <w:color w:val="000000"/>
                <w:sz w:val="16"/>
                <w:szCs w:val="16"/>
              </w:rPr>
              <w:t>Training re</w:t>
            </w:r>
            <w:r>
              <w:rPr>
                <w:rFonts w:eastAsia="Times New Roman" w:cstheme="minorHAnsi"/>
                <w:color w:val="000000"/>
                <w:sz w:val="16"/>
                <w:szCs w:val="16"/>
              </w:rPr>
              <w:t>ports</w:t>
            </w:r>
          </w:p>
        </w:tc>
        <w:tc>
          <w:tcPr>
            <w:tcW w:w="0" w:type="auto"/>
            <w:shd w:val="clear" w:color="auto" w:fill="auto"/>
          </w:tcPr>
          <w:p w14:paraId="4556519E" w14:textId="6E42AADF" w:rsidR="00111DAD" w:rsidRPr="001D0BD5" w:rsidRDefault="00111DAD" w:rsidP="003A2CCC">
            <w:pPr>
              <w:spacing w:after="0"/>
              <w:jc w:val="left"/>
              <w:rPr>
                <w:rFonts w:eastAsia="Times New Roman" w:cstheme="minorHAnsi"/>
                <w:color w:val="000000"/>
                <w:sz w:val="16"/>
                <w:szCs w:val="16"/>
                <w:lang w:val="en-US"/>
              </w:rPr>
            </w:pPr>
            <w:r>
              <w:rPr>
                <w:rFonts w:eastAsia="Times New Roman" w:cstheme="minorHAnsi"/>
                <w:color w:val="000000"/>
                <w:sz w:val="16"/>
                <w:szCs w:val="16"/>
                <w:lang w:val="en-US"/>
              </w:rPr>
              <w:t>Available - 2017</w:t>
            </w:r>
          </w:p>
        </w:tc>
        <w:tc>
          <w:tcPr>
            <w:tcW w:w="0" w:type="auto"/>
            <w:shd w:val="clear" w:color="auto" w:fill="auto"/>
            <w:hideMark/>
          </w:tcPr>
          <w:p w14:paraId="1B85EB2C" w14:textId="77777777" w:rsidR="00111DAD" w:rsidRDefault="00111DAD" w:rsidP="003A2CCC">
            <w:pPr>
              <w:pStyle w:val="ListParagraph"/>
              <w:numPr>
                <w:ilvl w:val="0"/>
                <w:numId w:val="45"/>
              </w:numPr>
              <w:rPr>
                <w:rFonts w:eastAsia="Times New Roman" w:cstheme="minorHAnsi"/>
                <w:color w:val="000000"/>
                <w:sz w:val="16"/>
                <w:szCs w:val="16"/>
              </w:rPr>
            </w:pPr>
            <w:r w:rsidRPr="002037BD">
              <w:rPr>
                <w:rFonts w:eastAsia="Times New Roman" w:cstheme="minorHAnsi"/>
                <w:b/>
                <w:color w:val="000000"/>
                <w:sz w:val="16"/>
                <w:szCs w:val="16"/>
              </w:rPr>
              <w:t>Certificate III:</w:t>
            </w:r>
            <w:r w:rsidRPr="002037BD">
              <w:rPr>
                <w:rFonts w:eastAsia="Times New Roman" w:cstheme="minorHAnsi"/>
                <w:color w:val="000000"/>
                <w:sz w:val="16"/>
                <w:szCs w:val="16"/>
              </w:rPr>
              <w:t xml:space="preserve"> 20 in 2018; 20 in 2019; 20 in 2020; 20 in 2021</w:t>
            </w:r>
          </w:p>
          <w:p w14:paraId="7B9BC97A" w14:textId="77777777" w:rsidR="00111DAD" w:rsidRDefault="00111DAD" w:rsidP="003A2CCC">
            <w:pPr>
              <w:pStyle w:val="ListParagraph"/>
              <w:numPr>
                <w:ilvl w:val="0"/>
                <w:numId w:val="45"/>
              </w:numPr>
              <w:rPr>
                <w:rFonts w:eastAsia="Times New Roman" w:cstheme="minorHAnsi"/>
                <w:color w:val="000000"/>
                <w:sz w:val="16"/>
                <w:szCs w:val="16"/>
              </w:rPr>
            </w:pPr>
            <w:r w:rsidRPr="002037BD">
              <w:rPr>
                <w:rFonts w:eastAsia="Times New Roman" w:cstheme="minorHAnsi"/>
                <w:b/>
                <w:color w:val="000000"/>
                <w:sz w:val="16"/>
                <w:szCs w:val="16"/>
              </w:rPr>
              <w:t>4R:</w:t>
            </w:r>
            <w:r w:rsidRPr="002037BD">
              <w:rPr>
                <w:rFonts w:eastAsia="Times New Roman" w:cstheme="minorHAnsi"/>
                <w:color w:val="000000"/>
                <w:sz w:val="16"/>
                <w:szCs w:val="16"/>
              </w:rPr>
              <w:t xml:space="preserve"> 30 in 2018; 45 in 2019; 45 in 2020; 45 in 2021</w:t>
            </w:r>
          </w:p>
          <w:p w14:paraId="228D4D00" w14:textId="77777777" w:rsidR="00111DAD" w:rsidRPr="002037BD" w:rsidRDefault="00111DAD" w:rsidP="003A2CCC">
            <w:pPr>
              <w:pStyle w:val="ListParagraph"/>
              <w:numPr>
                <w:ilvl w:val="0"/>
                <w:numId w:val="45"/>
              </w:numPr>
              <w:rPr>
                <w:rFonts w:eastAsia="Times New Roman" w:cstheme="minorHAnsi"/>
                <w:color w:val="000000"/>
                <w:sz w:val="16"/>
                <w:szCs w:val="16"/>
              </w:rPr>
            </w:pPr>
            <w:r w:rsidRPr="002037BD">
              <w:rPr>
                <w:rFonts w:eastAsia="Times New Roman" w:cstheme="minorHAnsi"/>
                <w:b/>
                <w:color w:val="000000"/>
                <w:sz w:val="16"/>
                <w:szCs w:val="16"/>
              </w:rPr>
              <w:t>Medical forensic examiner training:</w:t>
            </w:r>
            <w:r w:rsidRPr="002037BD">
              <w:rPr>
                <w:rFonts w:eastAsia="Times New Roman" w:cstheme="minorHAnsi"/>
                <w:color w:val="000000"/>
                <w:sz w:val="16"/>
                <w:szCs w:val="16"/>
              </w:rPr>
              <w:t xml:space="preserve"> 15 new examiners by end of 2019</w:t>
            </w:r>
          </w:p>
        </w:tc>
      </w:tr>
      <w:tr w:rsidR="001D06BF" w:rsidRPr="001D0BD5" w14:paraId="66ECA07F" w14:textId="77777777" w:rsidTr="00F01362">
        <w:trPr>
          <w:trHeight w:val="20"/>
        </w:trPr>
        <w:tc>
          <w:tcPr>
            <w:tcW w:w="0" w:type="auto"/>
            <w:tcBorders>
              <w:top w:val="nil"/>
              <w:left w:val="single" w:sz="4" w:space="0" w:color="auto"/>
              <w:bottom w:val="single" w:sz="4" w:space="0" w:color="auto"/>
              <w:right w:val="single" w:sz="4" w:space="0" w:color="auto"/>
            </w:tcBorders>
            <w:shd w:val="clear" w:color="auto" w:fill="auto"/>
            <w:hideMark/>
          </w:tcPr>
          <w:p w14:paraId="3A0F73DA" w14:textId="77777777" w:rsidR="00111DAD" w:rsidRPr="001D0BD5" w:rsidRDefault="00111DAD" w:rsidP="003A2CCC">
            <w:pPr>
              <w:spacing w:after="0"/>
              <w:jc w:val="left"/>
              <w:rPr>
                <w:rFonts w:eastAsia="Times New Roman" w:cstheme="minorHAnsi"/>
                <w:color w:val="000000"/>
                <w:sz w:val="16"/>
                <w:szCs w:val="16"/>
                <w:lang w:val="en-US"/>
              </w:rPr>
            </w:pPr>
            <w:r w:rsidRPr="001D0BD5">
              <w:rPr>
                <w:rFonts w:eastAsia="Times New Roman" w:cstheme="minorHAnsi"/>
                <w:color w:val="000000"/>
                <w:sz w:val="16"/>
                <w:szCs w:val="16"/>
                <w:lang w:val="en-US"/>
              </w:rPr>
              <w:t> </w:t>
            </w:r>
          </w:p>
        </w:tc>
        <w:tc>
          <w:tcPr>
            <w:tcW w:w="0" w:type="auto"/>
            <w:vMerge/>
            <w:tcBorders>
              <w:left w:val="single" w:sz="4" w:space="0" w:color="auto"/>
            </w:tcBorders>
            <w:shd w:val="clear" w:color="auto" w:fill="auto"/>
          </w:tcPr>
          <w:p w14:paraId="7DDC3DCB" w14:textId="77777777" w:rsidR="00111DAD" w:rsidRPr="001D0BD5" w:rsidRDefault="00111DAD" w:rsidP="003A2CCC">
            <w:pPr>
              <w:spacing w:after="0"/>
              <w:jc w:val="left"/>
              <w:rPr>
                <w:rFonts w:eastAsia="Times New Roman" w:cstheme="minorHAnsi"/>
                <w:color w:val="000000"/>
                <w:sz w:val="16"/>
                <w:szCs w:val="16"/>
                <w:lang w:val="en-US"/>
              </w:rPr>
            </w:pPr>
          </w:p>
        </w:tc>
        <w:tc>
          <w:tcPr>
            <w:tcW w:w="0" w:type="auto"/>
            <w:shd w:val="clear" w:color="auto" w:fill="auto"/>
            <w:hideMark/>
          </w:tcPr>
          <w:p w14:paraId="7A5AC122" w14:textId="178C01E1" w:rsidR="00111DAD" w:rsidRDefault="00111DAD" w:rsidP="003A2CCC">
            <w:pPr>
              <w:pStyle w:val="ListParagraph"/>
              <w:numPr>
                <w:ilvl w:val="0"/>
                <w:numId w:val="18"/>
              </w:numPr>
              <w:rPr>
                <w:rFonts w:eastAsia="Times New Roman" w:cstheme="minorHAnsi"/>
                <w:color w:val="000000"/>
                <w:sz w:val="16"/>
                <w:szCs w:val="16"/>
              </w:rPr>
            </w:pPr>
            <w:r w:rsidRPr="006D4F0A">
              <w:rPr>
                <w:rFonts w:eastAsia="Times New Roman" w:cstheme="minorHAnsi"/>
                <w:color w:val="000000"/>
                <w:sz w:val="16"/>
                <w:szCs w:val="16"/>
              </w:rPr>
              <w:t>Proportion of Nabilan-trained participants who demonstrate improved knowledge/skills</w:t>
            </w:r>
            <w:r>
              <w:rPr>
                <w:rFonts w:eastAsia="Times New Roman" w:cstheme="minorHAnsi"/>
                <w:color w:val="000000"/>
                <w:sz w:val="16"/>
                <w:szCs w:val="16"/>
              </w:rPr>
              <w:t xml:space="preserve">. </w:t>
            </w:r>
          </w:p>
          <w:p w14:paraId="053B9F84" w14:textId="5260DCEA" w:rsidR="00111DAD" w:rsidRPr="001D0BD5" w:rsidRDefault="00111DAD" w:rsidP="003A2CCC">
            <w:pPr>
              <w:pStyle w:val="ListParagraph"/>
              <w:ind w:left="360" w:firstLine="0"/>
              <w:rPr>
                <w:rFonts w:eastAsia="Times New Roman"/>
              </w:rPr>
            </w:pPr>
            <w:r w:rsidRPr="006D4F0A">
              <w:rPr>
                <w:rFonts w:eastAsia="Times New Roman" w:cstheme="minorHAnsi"/>
                <w:b/>
                <w:color w:val="000000"/>
                <w:sz w:val="16"/>
                <w:szCs w:val="16"/>
              </w:rPr>
              <w:t>Disaggregation:</w:t>
            </w:r>
            <w:r>
              <w:rPr>
                <w:rFonts w:eastAsia="Times New Roman" w:cstheme="minorHAnsi"/>
                <w:color w:val="000000"/>
                <w:sz w:val="16"/>
                <w:szCs w:val="16"/>
              </w:rPr>
              <w:t xml:space="preserve"> gender, disability, service</w:t>
            </w:r>
          </w:p>
        </w:tc>
        <w:tc>
          <w:tcPr>
            <w:tcW w:w="0" w:type="auto"/>
            <w:shd w:val="clear" w:color="auto" w:fill="auto"/>
            <w:hideMark/>
          </w:tcPr>
          <w:p w14:paraId="5B634DB6" w14:textId="77777777" w:rsidR="00111DAD" w:rsidRPr="001D0BD5" w:rsidRDefault="00111DAD" w:rsidP="003A2CCC">
            <w:pPr>
              <w:spacing w:after="0"/>
              <w:jc w:val="left"/>
              <w:rPr>
                <w:rFonts w:eastAsia="Times New Roman" w:cstheme="minorHAnsi"/>
                <w:color w:val="000000"/>
                <w:sz w:val="16"/>
                <w:szCs w:val="16"/>
                <w:lang w:val="en-US"/>
              </w:rPr>
            </w:pPr>
            <w:r>
              <w:rPr>
                <w:rFonts w:eastAsia="Times New Roman" w:cstheme="minorHAnsi"/>
                <w:color w:val="000000"/>
                <w:sz w:val="16"/>
                <w:szCs w:val="16"/>
                <w:lang w:val="en-US"/>
              </w:rPr>
              <w:t>Indicator 8: Number of people who apply improved skills to deliver better quality services</w:t>
            </w:r>
          </w:p>
        </w:tc>
        <w:tc>
          <w:tcPr>
            <w:tcW w:w="0" w:type="auto"/>
            <w:shd w:val="clear" w:color="auto" w:fill="auto"/>
            <w:hideMark/>
          </w:tcPr>
          <w:p w14:paraId="0BA93941" w14:textId="62D1C09B" w:rsidR="00111DAD" w:rsidRPr="005615DD" w:rsidRDefault="00111DAD" w:rsidP="00767116">
            <w:pPr>
              <w:jc w:val="left"/>
              <w:rPr>
                <w:rFonts w:eastAsia="Times New Roman" w:cstheme="minorHAnsi"/>
                <w:color w:val="000000"/>
                <w:sz w:val="16"/>
                <w:szCs w:val="16"/>
              </w:rPr>
            </w:pPr>
            <w:r w:rsidRPr="005615DD">
              <w:rPr>
                <w:rFonts w:eastAsia="Times New Roman" w:cstheme="minorHAnsi"/>
                <w:color w:val="000000"/>
                <w:sz w:val="16"/>
                <w:szCs w:val="16"/>
              </w:rPr>
              <w:t>Training re</w:t>
            </w:r>
            <w:r>
              <w:rPr>
                <w:rFonts w:eastAsia="Times New Roman" w:cstheme="minorHAnsi"/>
                <w:color w:val="000000"/>
                <w:sz w:val="16"/>
                <w:szCs w:val="16"/>
              </w:rPr>
              <w:t>po</w:t>
            </w:r>
            <w:r w:rsidR="008F51CC">
              <w:rPr>
                <w:rFonts w:eastAsia="Times New Roman" w:cstheme="minorHAnsi"/>
                <w:color w:val="000000"/>
                <w:sz w:val="16"/>
                <w:szCs w:val="16"/>
              </w:rPr>
              <w:t>r</w:t>
            </w:r>
            <w:r>
              <w:rPr>
                <w:rFonts w:eastAsia="Times New Roman" w:cstheme="minorHAnsi"/>
                <w:color w:val="000000"/>
                <w:sz w:val="16"/>
                <w:szCs w:val="16"/>
              </w:rPr>
              <w:t>ts</w:t>
            </w:r>
            <w:r w:rsidRPr="005615DD">
              <w:rPr>
                <w:rFonts w:eastAsia="Times New Roman" w:cstheme="minorHAnsi"/>
                <w:color w:val="000000"/>
                <w:sz w:val="16"/>
                <w:szCs w:val="16"/>
              </w:rPr>
              <w:t xml:space="preserve"> (pre- and post-training assessment, Certificate III workplace assessment)</w:t>
            </w:r>
          </w:p>
          <w:p w14:paraId="760628EF" w14:textId="77777777" w:rsidR="00111DAD" w:rsidRPr="002037BD" w:rsidRDefault="00111DAD" w:rsidP="003A2CCC">
            <w:pPr>
              <w:pStyle w:val="ListParagraph"/>
              <w:ind w:left="360" w:firstLine="0"/>
              <w:rPr>
                <w:rFonts w:eastAsia="Times New Roman" w:cstheme="minorHAnsi"/>
                <w:color w:val="000000"/>
                <w:sz w:val="16"/>
                <w:szCs w:val="16"/>
              </w:rPr>
            </w:pPr>
          </w:p>
        </w:tc>
        <w:tc>
          <w:tcPr>
            <w:tcW w:w="0" w:type="auto"/>
            <w:shd w:val="clear" w:color="auto" w:fill="auto"/>
            <w:hideMark/>
          </w:tcPr>
          <w:p w14:paraId="655D4D1C" w14:textId="7CA52035" w:rsidR="00111DAD" w:rsidRPr="001D0BD5" w:rsidRDefault="00111DAD" w:rsidP="003A2CCC">
            <w:pPr>
              <w:spacing w:after="0"/>
              <w:jc w:val="left"/>
              <w:rPr>
                <w:rFonts w:eastAsia="Times New Roman" w:cstheme="minorHAnsi"/>
                <w:color w:val="000000"/>
                <w:sz w:val="16"/>
                <w:szCs w:val="16"/>
                <w:lang w:val="en-US"/>
              </w:rPr>
            </w:pPr>
            <w:r w:rsidRPr="001D0BD5">
              <w:rPr>
                <w:rFonts w:eastAsia="Times New Roman" w:cstheme="minorHAnsi"/>
                <w:color w:val="000000"/>
                <w:sz w:val="16"/>
                <w:szCs w:val="16"/>
                <w:lang w:val="en-US"/>
              </w:rPr>
              <w:t> </w:t>
            </w:r>
            <w:r>
              <w:rPr>
                <w:rFonts w:eastAsia="Times New Roman" w:cstheme="minorHAnsi"/>
                <w:color w:val="000000"/>
                <w:sz w:val="16"/>
                <w:szCs w:val="16"/>
                <w:lang w:val="en-US"/>
              </w:rPr>
              <w:t>Available - 2017</w:t>
            </w:r>
          </w:p>
        </w:tc>
        <w:tc>
          <w:tcPr>
            <w:tcW w:w="0" w:type="auto"/>
            <w:shd w:val="clear" w:color="auto" w:fill="auto"/>
            <w:hideMark/>
          </w:tcPr>
          <w:p w14:paraId="476427C7" w14:textId="77777777" w:rsidR="00111DAD" w:rsidRPr="00120103" w:rsidRDefault="00111DAD" w:rsidP="005B2469">
            <w:pPr>
              <w:jc w:val="left"/>
              <w:rPr>
                <w:rFonts w:eastAsia="Times New Roman" w:cstheme="minorHAnsi"/>
                <w:color w:val="000000"/>
                <w:sz w:val="16"/>
                <w:szCs w:val="16"/>
              </w:rPr>
            </w:pPr>
            <w:r w:rsidRPr="00120103">
              <w:rPr>
                <w:rFonts w:eastAsia="Times New Roman" w:cstheme="minorHAnsi"/>
                <w:color w:val="000000"/>
                <w:sz w:val="16"/>
                <w:szCs w:val="16"/>
              </w:rPr>
              <w:t>At least 50% of participants in each training demonstrate improved knowledge/skills at end of training</w:t>
            </w:r>
          </w:p>
          <w:p w14:paraId="6856D9C1" w14:textId="77777777" w:rsidR="00111DAD" w:rsidRPr="002037BD" w:rsidRDefault="00111DAD" w:rsidP="003A2CCC">
            <w:pPr>
              <w:pStyle w:val="ListParagraph"/>
              <w:ind w:left="360" w:firstLine="0"/>
              <w:rPr>
                <w:rFonts w:eastAsia="Times New Roman" w:cstheme="minorHAnsi"/>
                <w:color w:val="000000"/>
                <w:sz w:val="16"/>
                <w:szCs w:val="16"/>
              </w:rPr>
            </w:pPr>
          </w:p>
        </w:tc>
      </w:tr>
      <w:tr w:rsidR="001D06BF" w:rsidRPr="001D0BD5" w14:paraId="49090326" w14:textId="77777777" w:rsidTr="00F01362">
        <w:trPr>
          <w:trHeight w:val="909"/>
        </w:trPr>
        <w:tc>
          <w:tcPr>
            <w:tcW w:w="0" w:type="auto"/>
            <w:vMerge w:val="restart"/>
            <w:tcBorders>
              <w:top w:val="single" w:sz="4" w:space="0" w:color="auto"/>
            </w:tcBorders>
            <w:shd w:val="clear" w:color="auto" w:fill="auto"/>
            <w:hideMark/>
          </w:tcPr>
          <w:p w14:paraId="1ED60ABF" w14:textId="77777777" w:rsidR="00111DAD" w:rsidRPr="001D0BD5" w:rsidRDefault="00111DAD" w:rsidP="003A2CCC">
            <w:pPr>
              <w:spacing w:after="0"/>
              <w:jc w:val="left"/>
              <w:rPr>
                <w:rFonts w:eastAsia="Times New Roman" w:cstheme="minorHAnsi"/>
                <w:color w:val="000000"/>
                <w:sz w:val="16"/>
                <w:szCs w:val="16"/>
                <w:lang w:val="en-US"/>
              </w:rPr>
            </w:pPr>
            <w:r w:rsidRPr="001D0BD5">
              <w:rPr>
                <w:rFonts w:eastAsia="Times New Roman" w:cstheme="minorHAnsi"/>
                <w:color w:val="000000"/>
                <w:sz w:val="16"/>
                <w:szCs w:val="16"/>
                <w:lang w:val="en-US"/>
              </w:rPr>
              <w:t>1.2 To what extent did Nabilan contribute to high quality service delivery?</w:t>
            </w:r>
          </w:p>
        </w:tc>
        <w:tc>
          <w:tcPr>
            <w:tcW w:w="0" w:type="auto"/>
            <w:vMerge w:val="restart"/>
            <w:shd w:val="clear" w:color="auto" w:fill="auto"/>
          </w:tcPr>
          <w:p w14:paraId="1466F65D" w14:textId="77777777" w:rsidR="00111DAD" w:rsidRDefault="00111DAD" w:rsidP="003A2CCC">
            <w:pPr>
              <w:jc w:val="left"/>
              <w:rPr>
                <w:rFonts w:eastAsia="Times New Roman" w:cstheme="minorHAnsi"/>
                <w:color w:val="000000"/>
                <w:sz w:val="16"/>
                <w:szCs w:val="16"/>
              </w:rPr>
            </w:pPr>
            <w:r w:rsidRPr="001D0BD5">
              <w:rPr>
                <w:rFonts w:eastAsia="Times New Roman" w:cstheme="minorHAnsi"/>
                <w:color w:val="000000"/>
                <w:sz w:val="16"/>
                <w:szCs w:val="16"/>
                <w:lang w:val="en-US"/>
              </w:rPr>
              <w:t> </w:t>
            </w:r>
            <w:r>
              <w:rPr>
                <w:rFonts w:eastAsia="Times New Roman" w:cstheme="minorHAnsi"/>
                <w:color w:val="000000"/>
                <w:sz w:val="16"/>
                <w:szCs w:val="16"/>
              </w:rPr>
              <w:t>I</w:t>
            </w:r>
            <w:r w:rsidRPr="001D0BD5">
              <w:rPr>
                <w:rFonts w:eastAsia="Times New Roman" w:cstheme="minorHAnsi"/>
                <w:color w:val="000000"/>
                <w:sz w:val="16"/>
                <w:szCs w:val="16"/>
              </w:rPr>
              <w:t>O1.1: Service providers use increased skills, knowledge and sensitivity to deliver services</w:t>
            </w:r>
          </w:p>
          <w:p w14:paraId="4D06115F" w14:textId="77777777" w:rsidR="00111DAD" w:rsidRPr="001D0BD5" w:rsidRDefault="00111DAD" w:rsidP="003A2CCC">
            <w:pPr>
              <w:spacing w:after="0"/>
              <w:jc w:val="left"/>
              <w:rPr>
                <w:rFonts w:eastAsia="Times New Roman" w:cstheme="minorHAnsi"/>
                <w:color w:val="000000"/>
                <w:sz w:val="16"/>
                <w:szCs w:val="16"/>
                <w:lang w:val="en-US"/>
              </w:rPr>
            </w:pPr>
            <w:r w:rsidRPr="001D0BD5">
              <w:rPr>
                <w:rFonts w:eastAsia="Times New Roman" w:cstheme="minorHAnsi"/>
                <w:color w:val="000000"/>
                <w:sz w:val="16"/>
                <w:szCs w:val="16"/>
              </w:rPr>
              <w:t>ImO1.1 Key service provider staff have improved knowledge and skills</w:t>
            </w:r>
          </w:p>
        </w:tc>
        <w:tc>
          <w:tcPr>
            <w:tcW w:w="0" w:type="auto"/>
            <w:shd w:val="clear" w:color="auto" w:fill="auto"/>
            <w:hideMark/>
          </w:tcPr>
          <w:p w14:paraId="7CD53D34" w14:textId="7E496FDF" w:rsidR="00111DAD" w:rsidRPr="006D4F0A" w:rsidRDefault="00111DAD" w:rsidP="003A2CCC">
            <w:pPr>
              <w:pStyle w:val="ListParagraph"/>
              <w:numPr>
                <w:ilvl w:val="0"/>
                <w:numId w:val="18"/>
              </w:numPr>
              <w:rPr>
                <w:rFonts w:eastAsia="Times New Roman" w:cstheme="minorHAnsi"/>
                <w:color w:val="000000"/>
                <w:sz w:val="16"/>
                <w:szCs w:val="16"/>
              </w:rPr>
            </w:pPr>
            <w:r w:rsidRPr="006D4F0A">
              <w:rPr>
                <w:rFonts w:eastAsia="Times New Roman" w:cstheme="minorHAnsi"/>
                <w:color w:val="000000"/>
                <w:sz w:val="16"/>
                <w:szCs w:val="16"/>
              </w:rPr>
              <w:t xml:space="preserve">Case reviews showing increase in quality at service provider-level </w:t>
            </w:r>
          </w:p>
        </w:tc>
        <w:tc>
          <w:tcPr>
            <w:tcW w:w="0" w:type="auto"/>
            <w:shd w:val="clear" w:color="auto" w:fill="auto"/>
            <w:hideMark/>
          </w:tcPr>
          <w:p w14:paraId="1B99EFF9" w14:textId="77777777" w:rsidR="00111DAD" w:rsidRPr="001D0BD5" w:rsidRDefault="00111DAD" w:rsidP="003A2CCC">
            <w:pPr>
              <w:spacing w:after="0"/>
              <w:jc w:val="left"/>
              <w:rPr>
                <w:rFonts w:eastAsia="Times New Roman" w:cstheme="minorHAnsi"/>
                <w:color w:val="000000"/>
                <w:sz w:val="16"/>
                <w:szCs w:val="16"/>
                <w:lang w:val="en-US"/>
              </w:rPr>
            </w:pPr>
            <w:r w:rsidRPr="001D0BD5">
              <w:rPr>
                <w:rFonts w:eastAsia="Times New Roman" w:cstheme="minorHAnsi"/>
                <w:color w:val="000000"/>
                <w:sz w:val="16"/>
                <w:szCs w:val="16"/>
                <w:lang w:val="en-US"/>
              </w:rPr>
              <w:t>Indicator 9: Number of service delivery improvements at service level</w:t>
            </w:r>
          </w:p>
        </w:tc>
        <w:tc>
          <w:tcPr>
            <w:tcW w:w="0" w:type="auto"/>
            <w:shd w:val="clear" w:color="auto" w:fill="auto"/>
            <w:hideMark/>
          </w:tcPr>
          <w:p w14:paraId="037CA96D" w14:textId="77777777" w:rsidR="00111DAD" w:rsidRDefault="00111DAD" w:rsidP="003A2CCC">
            <w:pPr>
              <w:pStyle w:val="ListParagraph"/>
              <w:numPr>
                <w:ilvl w:val="0"/>
                <w:numId w:val="74"/>
              </w:numPr>
              <w:rPr>
                <w:rFonts w:eastAsia="Times New Roman" w:cstheme="minorHAnsi"/>
                <w:color w:val="000000"/>
                <w:sz w:val="16"/>
                <w:szCs w:val="16"/>
              </w:rPr>
            </w:pPr>
            <w:r w:rsidRPr="00B153EB">
              <w:rPr>
                <w:rFonts w:eastAsia="Times New Roman" w:cstheme="minorHAnsi"/>
                <w:color w:val="000000"/>
                <w:sz w:val="16"/>
                <w:szCs w:val="16"/>
              </w:rPr>
              <w:t>Case Management Assessment Tool</w:t>
            </w:r>
          </w:p>
          <w:p w14:paraId="7B97F580" w14:textId="7F783F70" w:rsidR="00111DAD" w:rsidRPr="00B153EB" w:rsidRDefault="005B2469" w:rsidP="003A2CCC">
            <w:pPr>
              <w:pStyle w:val="ListParagraph"/>
              <w:numPr>
                <w:ilvl w:val="0"/>
                <w:numId w:val="74"/>
              </w:numPr>
              <w:rPr>
                <w:rFonts w:eastAsia="Times New Roman" w:cstheme="minorHAnsi"/>
                <w:color w:val="000000"/>
                <w:sz w:val="16"/>
                <w:szCs w:val="16"/>
              </w:rPr>
            </w:pPr>
            <w:r>
              <w:rPr>
                <w:rFonts w:eastAsia="Times New Roman" w:cstheme="minorHAnsi"/>
                <w:color w:val="000000"/>
                <w:sz w:val="16"/>
                <w:szCs w:val="16"/>
              </w:rPr>
              <w:t xml:space="preserve">ALFeLa </w:t>
            </w:r>
            <w:r w:rsidR="00111DAD" w:rsidRPr="00B153EB">
              <w:rPr>
                <w:rFonts w:eastAsia="Times New Roman" w:cstheme="minorHAnsi"/>
                <w:color w:val="000000"/>
                <w:sz w:val="16"/>
                <w:szCs w:val="16"/>
              </w:rPr>
              <w:t>Case Audit</w:t>
            </w:r>
          </w:p>
        </w:tc>
        <w:tc>
          <w:tcPr>
            <w:tcW w:w="0" w:type="auto"/>
            <w:shd w:val="clear" w:color="auto" w:fill="auto"/>
            <w:hideMark/>
          </w:tcPr>
          <w:p w14:paraId="0FB22BBC" w14:textId="329834E8" w:rsidR="00111DAD" w:rsidRPr="001D0BD5" w:rsidRDefault="00111DAD" w:rsidP="003A2CCC">
            <w:pPr>
              <w:spacing w:after="0"/>
              <w:jc w:val="left"/>
              <w:rPr>
                <w:rFonts w:eastAsia="Times New Roman" w:cstheme="minorHAnsi"/>
                <w:color w:val="000000"/>
                <w:sz w:val="16"/>
                <w:szCs w:val="16"/>
                <w:lang w:val="en-US"/>
              </w:rPr>
            </w:pPr>
            <w:r w:rsidRPr="001D0BD5">
              <w:rPr>
                <w:rFonts w:eastAsia="Times New Roman" w:cstheme="minorHAnsi"/>
                <w:color w:val="000000"/>
                <w:sz w:val="16"/>
                <w:szCs w:val="16"/>
                <w:lang w:val="en-US"/>
              </w:rPr>
              <w:t> </w:t>
            </w:r>
            <w:r>
              <w:rPr>
                <w:rFonts w:eastAsia="Times New Roman" w:cstheme="minorHAnsi"/>
                <w:color w:val="000000"/>
                <w:sz w:val="16"/>
                <w:szCs w:val="16"/>
                <w:lang w:val="en-US"/>
              </w:rPr>
              <w:t>Available - 2017</w:t>
            </w:r>
          </w:p>
        </w:tc>
        <w:tc>
          <w:tcPr>
            <w:tcW w:w="0" w:type="auto"/>
            <w:shd w:val="clear" w:color="auto" w:fill="auto"/>
            <w:hideMark/>
          </w:tcPr>
          <w:p w14:paraId="41448511" w14:textId="77777777" w:rsidR="00111DAD" w:rsidRDefault="00111DAD" w:rsidP="003A2CCC">
            <w:pPr>
              <w:pStyle w:val="ListParagraph"/>
              <w:numPr>
                <w:ilvl w:val="0"/>
                <w:numId w:val="44"/>
              </w:numPr>
              <w:rPr>
                <w:rFonts w:eastAsia="Times New Roman" w:cstheme="minorHAnsi"/>
                <w:color w:val="000000"/>
                <w:sz w:val="16"/>
                <w:szCs w:val="16"/>
              </w:rPr>
            </w:pPr>
            <w:r w:rsidRPr="002037BD">
              <w:rPr>
                <w:rFonts w:eastAsia="Times New Roman" w:cstheme="minorHAnsi"/>
                <w:color w:val="000000"/>
                <w:sz w:val="16"/>
                <w:szCs w:val="16"/>
              </w:rPr>
              <w:t>By June 2019, at least 70% of cases meet minimum standards.</w:t>
            </w:r>
          </w:p>
          <w:p w14:paraId="7CB1B8BC" w14:textId="77777777" w:rsidR="00111DAD" w:rsidRPr="002037BD" w:rsidRDefault="00111DAD" w:rsidP="003A2CCC">
            <w:pPr>
              <w:pStyle w:val="ListParagraph"/>
              <w:numPr>
                <w:ilvl w:val="0"/>
                <w:numId w:val="44"/>
              </w:numPr>
              <w:rPr>
                <w:rFonts w:eastAsia="Times New Roman" w:cstheme="minorHAnsi"/>
                <w:color w:val="000000"/>
                <w:sz w:val="16"/>
                <w:szCs w:val="16"/>
              </w:rPr>
            </w:pPr>
            <w:r w:rsidRPr="002037BD">
              <w:rPr>
                <w:rFonts w:eastAsia="Times New Roman" w:cstheme="minorHAnsi"/>
                <w:color w:val="000000"/>
                <w:sz w:val="16"/>
                <w:szCs w:val="16"/>
              </w:rPr>
              <w:t>By June 2021, at least 70% cases demonstrate high quality.</w:t>
            </w:r>
          </w:p>
        </w:tc>
      </w:tr>
      <w:tr w:rsidR="001D06BF" w:rsidRPr="001D0BD5" w14:paraId="242AF4DC" w14:textId="77777777" w:rsidTr="00F01362">
        <w:trPr>
          <w:trHeight w:val="20"/>
        </w:trPr>
        <w:tc>
          <w:tcPr>
            <w:tcW w:w="0" w:type="auto"/>
            <w:vMerge/>
            <w:shd w:val="clear" w:color="auto" w:fill="auto"/>
            <w:hideMark/>
          </w:tcPr>
          <w:p w14:paraId="79CAB692" w14:textId="77777777" w:rsidR="00111DAD" w:rsidRPr="001D0BD5" w:rsidRDefault="00111DAD" w:rsidP="003A2CCC">
            <w:pPr>
              <w:spacing w:after="0"/>
              <w:jc w:val="left"/>
              <w:rPr>
                <w:rFonts w:eastAsia="Times New Roman" w:cstheme="minorHAnsi"/>
                <w:color w:val="000000"/>
                <w:sz w:val="16"/>
                <w:szCs w:val="16"/>
                <w:lang w:val="en-US"/>
              </w:rPr>
            </w:pPr>
          </w:p>
        </w:tc>
        <w:tc>
          <w:tcPr>
            <w:tcW w:w="0" w:type="auto"/>
            <w:vMerge/>
            <w:shd w:val="clear" w:color="auto" w:fill="auto"/>
          </w:tcPr>
          <w:p w14:paraId="70CB0336" w14:textId="77777777" w:rsidR="00111DAD" w:rsidRPr="001D0BD5" w:rsidRDefault="00111DAD" w:rsidP="003A2CCC">
            <w:pPr>
              <w:spacing w:after="0"/>
              <w:jc w:val="left"/>
              <w:rPr>
                <w:rFonts w:eastAsia="Times New Roman" w:cstheme="minorHAnsi"/>
                <w:color w:val="000000"/>
                <w:sz w:val="16"/>
                <w:szCs w:val="16"/>
                <w:lang w:val="en-US"/>
              </w:rPr>
            </w:pPr>
          </w:p>
        </w:tc>
        <w:tc>
          <w:tcPr>
            <w:tcW w:w="0" w:type="auto"/>
            <w:shd w:val="clear" w:color="auto" w:fill="auto"/>
            <w:hideMark/>
          </w:tcPr>
          <w:p w14:paraId="37471858" w14:textId="12DA1609" w:rsidR="00111DAD" w:rsidRPr="006D4F0A" w:rsidRDefault="00111DAD" w:rsidP="003A2CCC">
            <w:pPr>
              <w:pStyle w:val="ListParagraph"/>
              <w:numPr>
                <w:ilvl w:val="0"/>
                <w:numId w:val="18"/>
              </w:numPr>
              <w:rPr>
                <w:rFonts w:eastAsia="Times New Roman" w:cstheme="minorHAnsi"/>
                <w:color w:val="000000"/>
                <w:sz w:val="16"/>
                <w:szCs w:val="16"/>
              </w:rPr>
            </w:pPr>
            <w:r w:rsidRPr="006D4F0A">
              <w:rPr>
                <w:rFonts w:eastAsia="Times New Roman" w:cstheme="minorHAnsi"/>
                <w:color w:val="000000"/>
                <w:sz w:val="16"/>
                <w:szCs w:val="16"/>
              </w:rPr>
              <w:t xml:space="preserve">Instances of Nabilan contributing to improved quality of support and legal services </w:t>
            </w:r>
          </w:p>
        </w:tc>
        <w:tc>
          <w:tcPr>
            <w:tcW w:w="0" w:type="auto"/>
            <w:shd w:val="clear" w:color="auto" w:fill="auto"/>
            <w:hideMark/>
          </w:tcPr>
          <w:p w14:paraId="3D7DA6D6" w14:textId="77777777" w:rsidR="00111DAD" w:rsidRPr="001D0BD5" w:rsidRDefault="00111DAD" w:rsidP="003A2CCC">
            <w:pPr>
              <w:spacing w:after="0"/>
              <w:jc w:val="left"/>
              <w:rPr>
                <w:rFonts w:eastAsia="Times New Roman" w:cstheme="minorHAnsi"/>
                <w:color w:val="000000"/>
                <w:sz w:val="16"/>
                <w:szCs w:val="16"/>
                <w:lang w:val="en-US"/>
              </w:rPr>
            </w:pPr>
            <w:r w:rsidRPr="001D0BD5">
              <w:rPr>
                <w:rFonts w:eastAsia="Times New Roman" w:cstheme="minorHAnsi"/>
                <w:color w:val="000000"/>
                <w:sz w:val="16"/>
                <w:szCs w:val="16"/>
                <w:lang w:val="en-US"/>
              </w:rPr>
              <w:t>Indicator 7: Instances of improved service delivery at systems level</w:t>
            </w:r>
          </w:p>
        </w:tc>
        <w:tc>
          <w:tcPr>
            <w:tcW w:w="0" w:type="auto"/>
            <w:shd w:val="clear" w:color="auto" w:fill="auto"/>
            <w:hideMark/>
          </w:tcPr>
          <w:p w14:paraId="1876226E" w14:textId="77777777" w:rsidR="00111DAD" w:rsidRPr="001D0BD5" w:rsidRDefault="00111DAD" w:rsidP="003A2CCC">
            <w:pPr>
              <w:spacing w:after="0"/>
              <w:jc w:val="left"/>
              <w:rPr>
                <w:rFonts w:eastAsia="Times New Roman" w:cstheme="minorHAnsi"/>
                <w:color w:val="000000"/>
                <w:sz w:val="16"/>
                <w:szCs w:val="16"/>
                <w:lang w:val="en-US"/>
              </w:rPr>
            </w:pPr>
            <w:r w:rsidRPr="001D0BD5">
              <w:rPr>
                <w:rFonts w:eastAsia="Times New Roman" w:cstheme="minorHAnsi"/>
                <w:color w:val="000000"/>
                <w:sz w:val="16"/>
                <w:szCs w:val="16"/>
                <w:lang w:val="en-US"/>
              </w:rPr>
              <w:t>Stories of significant change</w:t>
            </w:r>
          </w:p>
        </w:tc>
        <w:tc>
          <w:tcPr>
            <w:tcW w:w="0" w:type="auto"/>
            <w:shd w:val="clear" w:color="auto" w:fill="auto"/>
            <w:hideMark/>
          </w:tcPr>
          <w:p w14:paraId="0713A2C4" w14:textId="6E976960" w:rsidR="00111DAD" w:rsidRPr="001D0BD5" w:rsidRDefault="00111DAD" w:rsidP="003A2CCC">
            <w:pPr>
              <w:spacing w:after="0"/>
              <w:jc w:val="left"/>
              <w:rPr>
                <w:rFonts w:eastAsia="Times New Roman" w:cstheme="minorHAnsi"/>
                <w:color w:val="000000"/>
                <w:sz w:val="16"/>
                <w:szCs w:val="16"/>
                <w:lang w:val="en-US"/>
              </w:rPr>
            </w:pPr>
            <w:r w:rsidRPr="001D0BD5">
              <w:rPr>
                <w:rFonts w:eastAsia="Times New Roman" w:cstheme="minorHAnsi"/>
                <w:color w:val="000000"/>
                <w:sz w:val="16"/>
                <w:szCs w:val="16"/>
                <w:lang w:val="en-US"/>
              </w:rPr>
              <w:t> </w:t>
            </w:r>
            <w:r>
              <w:rPr>
                <w:rFonts w:eastAsia="Times New Roman" w:cstheme="minorHAnsi"/>
                <w:color w:val="000000"/>
                <w:sz w:val="16"/>
                <w:szCs w:val="16"/>
                <w:lang w:val="en-US"/>
              </w:rPr>
              <w:t>N/A</w:t>
            </w:r>
          </w:p>
        </w:tc>
        <w:tc>
          <w:tcPr>
            <w:tcW w:w="0" w:type="auto"/>
            <w:shd w:val="clear" w:color="auto" w:fill="auto"/>
            <w:hideMark/>
          </w:tcPr>
          <w:p w14:paraId="1757F3A6" w14:textId="286A8F5C" w:rsidR="00111DAD" w:rsidRPr="001D0BD5" w:rsidRDefault="00111DAD" w:rsidP="003A2CCC">
            <w:pPr>
              <w:spacing w:after="0"/>
              <w:jc w:val="left"/>
              <w:rPr>
                <w:rFonts w:eastAsia="Times New Roman" w:cstheme="minorHAnsi"/>
                <w:color w:val="000000"/>
                <w:sz w:val="16"/>
                <w:szCs w:val="16"/>
                <w:lang w:val="en-US"/>
              </w:rPr>
            </w:pPr>
            <w:r>
              <w:rPr>
                <w:rFonts w:eastAsia="Times New Roman" w:cstheme="minorHAnsi"/>
                <w:color w:val="000000"/>
                <w:sz w:val="16"/>
                <w:szCs w:val="16"/>
                <w:lang w:val="en-US"/>
              </w:rPr>
              <w:t>N/A</w:t>
            </w:r>
          </w:p>
        </w:tc>
      </w:tr>
      <w:tr w:rsidR="001D06BF" w:rsidRPr="001D0BD5" w14:paraId="0C53DDC8" w14:textId="77777777" w:rsidTr="00F01362">
        <w:trPr>
          <w:trHeight w:val="20"/>
        </w:trPr>
        <w:tc>
          <w:tcPr>
            <w:tcW w:w="0" w:type="auto"/>
            <w:vMerge w:val="restart"/>
            <w:shd w:val="clear" w:color="auto" w:fill="auto"/>
            <w:hideMark/>
          </w:tcPr>
          <w:p w14:paraId="1F004F53" w14:textId="77777777" w:rsidR="00111DAD" w:rsidRPr="001D0BD5" w:rsidRDefault="00111DAD" w:rsidP="003A2CCC">
            <w:pPr>
              <w:spacing w:after="0"/>
              <w:jc w:val="left"/>
              <w:rPr>
                <w:rFonts w:eastAsia="Times New Roman" w:cstheme="minorHAnsi"/>
                <w:color w:val="000000"/>
                <w:sz w:val="16"/>
                <w:szCs w:val="16"/>
                <w:lang w:val="en-US"/>
              </w:rPr>
            </w:pPr>
            <w:r w:rsidRPr="001D0BD5">
              <w:rPr>
                <w:rFonts w:eastAsia="Times New Roman" w:cstheme="minorHAnsi"/>
                <w:color w:val="000000"/>
                <w:sz w:val="16"/>
                <w:szCs w:val="16"/>
                <w:lang w:val="en-US"/>
              </w:rPr>
              <w:t>1.3 To what extent did Nabilan contribute to inclusive service delivery?</w:t>
            </w:r>
          </w:p>
        </w:tc>
        <w:tc>
          <w:tcPr>
            <w:tcW w:w="0" w:type="auto"/>
            <w:vMerge w:val="restart"/>
            <w:shd w:val="clear" w:color="auto" w:fill="auto"/>
          </w:tcPr>
          <w:p w14:paraId="3484C812" w14:textId="4D386DBC" w:rsidR="00111DAD" w:rsidRPr="00F4216E" w:rsidRDefault="00111DAD" w:rsidP="003A2CCC">
            <w:pPr>
              <w:jc w:val="left"/>
              <w:rPr>
                <w:rFonts w:eastAsia="Times New Roman" w:cstheme="minorHAnsi"/>
                <w:color w:val="000000"/>
                <w:sz w:val="16"/>
                <w:szCs w:val="16"/>
              </w:rPr>
            </w:pPr>
            <w:r>
              <w:rPr>
                <w:rFonts w:eastAsia="Times New Roman" w:cstheme="minorHAnsi"/>
                <w:color w:val="000000"/>
                <w:sz w:val="16"/>
                <w:szCs w:val="16"/>
              </w:rPr>
              <w:t>I</w:t>
            </w:r>
            <w:r w:rsidRPr="001D0BD5">
              <w:rPr>
                <w:rFonts w:eastAsia="Times New Roman" w:cstheme="minorHAnsi"/>
                <w:color w:val="000000"/>
                <w:sz w:val="16"/>
                <w:szCs w:val="16"/>
              </w:rPr>
              <w:t>O1.1: Service providers use increased skills, knowledge and sensitivity to deliver services</w:t>
            </w:r>
          </w:p>
        </w:tc>
        <w:tc>
          <w:tcPr>
            <w:tcW w:w="0" w:type="auto"/>
            <w:shd w:val="clear" w:color="auto" w:fill="auto"/>
            <w:hideMark/>
          </w:tcPr>
          <w:p w14:paraId="64FC2863" w14:textId="6D4B242F" w:rsidR="00111DAD" w:rsidRPr="006D4F0A" w:rsidRDefault="00111DAD" w:rsidP="003A2CCC">
            <w:pPr>
              <w:pStyle w:val="ListParagraph"/>
              <w:numPr>
                <w:ilvl w:val="0"/>
                <w:numId w:val="18"/>
              </w:numPr>
              <w:rPr>
                <w:rFonts w:eastAsia="Times New Roman" w:cstheme="minorHAnsi"/>
                <w:color w:val="000000"/>
                <w:sz w:val="16"/>
                <w:szCs w:val="16"/>
              </w:rPr>
            </w:pPr>
            <w:r w:rsidRPr="006D4F0A">
              <w:rPr>
                <w:rFonts w:eastAsia="Times New Roman" w:cstheme="minorHAnsi"/>
                <w:color w:val="000000"/>
                <w:sz w:val="16"/>
                <w:szCs w:val="16"/>
              </w:rPr>
              <w:t>Instances of Nabilan contributing to partners delivering inclusive services for marginalized clients</w:t>
            </w:r>
          </w:p>
        </w:tc>
        <w:tc>
          <w:tcPr>
            <w:tcW w:w="0" w:type="auto"/>
            <w:shd w:val="clear" w:color="auto" w:fill="auto"/>
            <w:hideMark/>
          </w:tcPr>
          <w:p w14:paraId="38A6539A" w14:textId="77777777" w:rsidR="00111DAD" w:rsidRPr="001D0BD5" w:rsidRDefault="00111DAD" w:rsidP="003A2CCC">
            <w:pPr>
              <w:spacing w:after="0"/>
              <w:jc w:val="left"/>
              <w:rPr>
                <w:rFonts w:eastAsia="Times New Roman" w:cstheme="minorHAnsi"/>
                <w:color w:val="000000"/>
                <w:sz w:val="16"/>
                <w:szCs w:val="16"/>
                <w:lang w:val="en-US"/>
              </w:rPr>
            </w:pPr>
            <w:r w:rsidRPr="001D0BD5">
              <w:rPr>
                <w:rFonts w:eastAsia="Times New Roman" w:cstheme="minorHAnsi"/>
                <w:color w:val="000000"/>
                <w:sz w:val="16"/>
                <w:szCs w:val="16"/>
                <w:lang w:val="en-US"/>
              </w:rPr>
              <w:t> Indicator 7: Instances of improved service delivery at systems level</w:t>
            </w:r>
          </w:p>
        </w:tc>
        <w:tc>
          <w:tcPr>
            <w:tcW w:w="0" w:type="auto"/>
            <w:shd w:val="clear" w:color="auto" w:fill="auto"/>
            <w:hideMark/>
          </w:tcPr>
          <w:p w14:paraId="5FE21B87" w14:textId="4E8DD8C3" w:rsidR="00111DAD" w:rsidRPr="001D0BD5" w:rsidRDefault="00111DAD" w:rsidP="003A2CCC">
            <w:pPr>
              <w:spacing w:after="240"/>
              <w:jc w:val="left"/>
              <w:rPr>
                <w:rFonts w:eastAsia="Times New Roman" w:cstheme="minorHAnsi"/>
                <w:color w:val="000000"/>
                <w:sz w:val="16"/>
                <w:szCs w:val="16"/>
                <w:lang w:val="en-US"/>
              </w:rPr>
            </w:pPr>
            <w:r>
              <w:rPr>
                <w:rFonts w:eastAsia="Times New Roman" w:cstheme="minorHAnsi"/>
                <w:color w:val="000000"/>
                <w:sz w:val="16"/>
                <w:szCs w:val="16"/>
                <w:lang w:val="en-US"/>
              </w:rPr>
              <w:t>Stories of significant change</w:t>
            </w:r>
            <w:r w:rsidRPr="001D0BD5">
              <w:rPr>
                <w:rFonts w:eastAsia="Times New Roman" w:cstheme="minorHAnsi"/>
                <w:color w:val="000000"/>
                <w:sz w:val="16"/>
                <w:szCs w:val="16"/>
                <w:lang w:val="en-US"/>
              </w:rPr>
              <w:br/>
            </w:r>
            <w:r w:rsidRPr="001D0BD5">
              <w:rPr>
                <w:rFonts w:eastAsia="Times New Roman" w:cstheme="minorHAnsi"/>
                <w:color w:val="000000"/>
                <w:sz w:val="16"/>
                <w:szCs w:val="16"/>
                <w:lang w:val="en-US"/>
              </w:rPr>
              <w:br/>
            </w:r>
            <w:r w:rsidRPr="001D0BD5">
              <w:rPr>
                <w:rFonts w:eastAsia="Times New Roman" w:cstheme="minorHAnsi"/>
                <w:color w:val="000000"/>
                <w:sz w:val="16"/>
                <w:szCs w:val="16"/>
                <w:lang w:val="en-US"/>
              </w:rPr>
              <w:br/>
            </w:r>
          </w:p>
        </w:tc>
        <w:tc>
          <w:tcPr>
            <w:tcW w:w="0" w:type="auto"/>
            <w:shd w:val="clear" w:color="auto" w:fill="auto"/>
            <w:hideMark/>
          </w:tcPr>
          <w:p w14:paraId="0046E90E" w14:textId="7507C7E1" w:rsidR="00111DAD" w:rsidRPr="001D0BD5" w:rsidRDefault="00111DAD" w:rsidP="003A2CCC">
            <w:pPr>
              <w:spacing w:after="0"/>
              <w:jc w:val="left"/>
              <w:rPr>
                <w:rFonts w:eastAsia="Times New Roman" w:cstheme="minorHAnsi"/>
                <w:color w:val="000000"/>
                <w:sz w:val="16"/>
                <w:szCs w:val="16"/>
                <w:lang w:val="en-US"/>
              </w:rPr>
            </w:pPr>
            <w:r w:rsidRPr="001D0BD5">
              <w:rPr>
                <w:rFonts w:eastAsia="Times New Roman" w:cstheme="minorHAnsi"/>
                <w:color w:val="000000"/>
                <w:sz w:val="16"/>
                <w:szCs w:val="16"/>
                <w:lang w:val="en-US"/>
              </w:rPr>
              <w:t> </w:t>
            </w:r>
            <w:r>
              <w:rPr>
                <w:rFonts w:eastAsia="Times New Roman" w:cstheme="minorHAnsi"/>
                <w:color w:val="000000"/>
                <w:sz w:val="16"/>
                <w:szCs w:val="16"/>
                <w:lang w:val="en-US"/>
              </w:rPr>
              <w:t>N/A</w:t>
            </w:r>
          </w:p>
        </w:tc>
        <w:tc>
          <w:tcPr>
            <w:tcW w:w="0" w:type="auto"/>
            <w:shd w:val="clear" w:color="auto" w:fill="auto"/>
            <w:hideMark/>
          </w:tcPr>
          <w:p w14:paraId="3B677DDA" w14:textId="12A34AD1" w:rsidR="00111DAD" w:rsidRPr="001D0BD5" w:rsidRDefault="00111DAD" w:rsidP="003A2CCC">
            <w:pPr>
              <w:spacing w:after="0"/>
              <w:jc w:val="left"/>
              <w:rPr>
                <w:rFonts w:eastAsia="Times New Roman" w:cstheme="minorHAnsi"/>
                <w:color w:val="000000"/>
                <w:sz w:val="16"/>
                <w:szCs w:val="16"/>
                <w:lang w:val="en-US"/>
              </w:rPr>
            </w:pPr>
            <w:r>
              <w:rPr>
                <w:rFonts w:eastAsia="Times New Roman" w:cstheme="minorHAnsi"/>
                <w:color w:val="000000"/>
                <w:sz w:val="16"/>
                <w:szCs w:val="16"/>
                <w:lang w:val="en-US"/>
              </w:rPr>
              <w:t>N/A</w:t>
            </w:r>
            <w:r w:rsidRPr="001D0BD5">
              <w:rPr>
                <w:rFonts w:eastAsia="Times New Roman" w:cstheme="minorHAnsi"/>
                <w:color w:val="000000"/>
                <w:sz w:val="16"/>
                <w:szCs w:val="16"/>
                <w:lang w:val="en-US"/>
              </w:rPr>
              <w:br/>
            </w:r>
            <w:r w:rsidRPr="001D0BD5">
              <w:rPr>
                <w:rFonts w:eastAsia="Times New Roman" w:cstheme="minorHAnsi"/>
                <w:color w:val="000000"/>
                <w:sz w:val="16"/>
                <w:szCs w:val="16"/>
                <w:lang w:val="en-US"/>
              </w:rPr>
              <w:br/>
            </w:r>
            <w:r w:rsidRPr="001D0BD5">
              <w:rPr>
                <w:rFonts w:eastAsia="Times New Roman" w:cstheme="minorHAnsi"/>
                <w:color w:val="000000"/>
                <w:sz w:val="16"/>
                <w:szCs w:val="16"/>
                <w:lang w:val="en-US"/>
              </w:rPr>
              <w:br/>
            </w:r>
          </w:p>
        </w:tc>
      </w:tr>
      <w:tr w:rsidR="001D06BF" w:rsidRPr="001D0BD5" w14:paraId="6B156114" w14:textId="77777777" w:rsidTr="00F01362">
        <w:trPr>
          <w:trHeight w:val="20"/>
        </w:trPr>
        <w:tc>
          <w:tcPr>
            <w:tcW w:w="0" w:type="auto"/>
            <w:vMerge/>
            <w:shd w:val="clear" w:color="auto" w:fill="auto"/>
          </w:tcPr>
          <w:p w14:paraId="086FEB65" w14:textId="77777777" w:rsidR="00111DAD" w:rsidRPr="001D0BD5" w:rsidRDefault="00111DAD" w:rsidP="003A2CCC">
            <w:pPr>
              <w:spacing w:after="0"/>
              <w:jc w:val="left"/>
              <w:rPr>
                <w:rFonts w:eastAsia="Times New Roman" w:cstheme="minorHAnsi"/>
                <w:color w:val="000000"/>
                <w:sz w:val="16"/>
                <w:szCs w:val="16"/>
                <w:lang w:val="en-US"/>
              </w:rPr>
            </w:pPr>
          </w:p>
        </w:tc>
        <w:tc>
          <w:tcPr>
            <w:tcW w:w="0" w:type="auto"/>
            <w:vMerge/>
            <w:shd w:val="clear" w:color="auto" w:fill="auto"/>
          </w:tcPr>
          <w:p w14:paraId="48A63BD6" w14:textId="77777777" w:rsidR="00111DAD" w:rsidRPr="001D0BD5" w:rsidRDefault="00111DAD" w:rsidP="003A2CCC">
            <w:pPr>
              <w:spacing w:after="0"/>
              <w:jc w:val="left"/>
              <w:rPr>
                <w:rFonts w:eastAsia="Times New Roman" w:cstheme="minorHAnsi"/>
                <w:color w:val="000000"/>
                <w:sz w:val="16"/>
                <w:szCs w:val="16"/>
                <w:lang w:val="en-US"/>
              </w:rPr>
            </w:pPr>
          </w:p>
        </w:tc>
        <w:tc>
          <w:tcPr>
            <w:tcW w:w="0" w:type="auto"/>
            <w:shd w:val="clear" w:color="auto" w:fill="auto"/>
          </w:tcPr>
          <w:p w14:paraId="2C5258C9" w14:textId="13D54EEA" w:rsidR="00111DAD" w:rsidRPr="006D4F0A" w:rsidRDefault="00111DAD" w:rsidP="003A2CCC">
            <w:pPr>
              <w:pStyle w:val="ListParagraph"/>
              <w:numPr>
                <w:ilvl w:val="0"/>
                <w:numId w:val="18"/>
              </w:numPr>
              <w:rPr>
                <w:rFonts w:eastAsia="Times New Roman" w:cstheme="minorHAnsi"/>
                <w:color w:val="000000"/>
                <w:sz w:val="16"/>
                <w:szCs w:val="16"/>
              </w:rPr>
            </w:pPr>
            <w:r w:rsidRPr="006D4F0A">
              <w:rPr>
                <w:rFonts w:eastAsia="Times New Roman" w:cstheme="minorHAnsi"/>
                <w:color w:val="000000"/>
                <w:sz w:val="16"/>
                <w:szCs w:val="16"/>
              </w:rPr>
              <w:t>Proportion of clients supported by Nabilan partners that are vulnerable</w:t>
            </w:r>
          </w:p>
        </w:tc>
        <w:tc>
          <w:tcPr>
            <w:tcW w:w="0" w:type="auto"/>
            <w:shd w:val="clear" w:color="auto" w:fill="auto"/>
          </w:tcPr>
          <w:p w14:paraId="6E24DAE7" w14:textId="77777777" w:rsidR="00111DAD" w:rsidRPr="001D0BD5" w:rsidRDefault="00111DAD" w:rsidP="003A2CCC">
            <w:pPr>
              <w:spacing w:after="0"/>
              <w:jc w:val="left"/>
              <w:rPr>
                <w:rFonts w:eastAsia="Times New Roman" w:cstheme="minorHAnsi"/>
                <w:color w:val="000000"/>
                <w:sz w:val="16"/>
                <w:szCs w:val="16"/>
                <w:lang w:val="en-US"/>
              </w:rPr>
            </w:pPr>
          </w:p>
        </w:tc>
        <w:tc>
          <w:tcPr>
            <w:tcW w:w="0" w:type="auto"/>
            <w:shd w:val="clear" w:color="auto" w:fill="auto"/>
          </w:tcPr>
          <w:p w14:paraId="16EEBF7D" w14:textId="77777777" w:rsidR="00111DAD" w:rsidRPr="001D0BD5" w:rsidRDefault="00111DAD" w:rsidP="003A2CCC">
            <w:pPr>
              <w:spacing w:after="240"/>
              <w:jc w:val="left"/>
              <w:rPr>
                <w:rFonts w:eastAsia="Times New Roman" w:cstheme="minorHAnsi"/>
                <w:color w:val="000000"/>
                <w:sz w:val="16"/>
                <w:szCs w:val="16"/>
                <w:lang w:val="en-US"/>
              </w:rPr>
            </w:pPr>
            <w:r w:rsidRPr="001D0BD5">
              <w:rPr>
                <w:rFonts w:eastAsia="Times New Roman" w:cstheme="minorHAnsi"/>
                <w:color w:val="000000"/>
                <w:sz w:val="16"/>
                <w:szCs w:val="16"/>
                <w:lang w:val="en-US"/>
              </w:rPr>
              <w:t>Partner reports</w:t>
            </w:r>
          </w:p>
        </w:tc>
        <w:tc>
          <w:tcPr>
            <w:tcW w:w="0" w:type="auto"/>
            <w:shd w:val="clear" w:color="auto" w:fill="auto"/>
          </w:tcPr>
          <w:p w14:paraId="6034E3B8" w14:textId="043FCA8A" w:rsidR="00111DAD" w:rsidRPr="001D0BD5" w:rsidRDefault="00111DAD" w:rsidP="003A2CCC">
            <w:pPr>
              <w:spacing w:after="0"/>
              <w:jc w:val="left"/>
              <w:rPr>
                <w:rFonts w:eastAsia="Times New Roman" w:cstheme="minorHAnsi"/>
                <w:color w:val="000000"/>
                <w:sz w:val="16"/>
                <w:szCs w:val="16"/>
                <w:lang w:val="en-US"/>
              </w:rPr>
            </w:pPr>
            <w:r>
              <w:rPr>
                <w:rFonts w:eastAsia="Times New Roman" w:cstheme="minorHAnsi"/>
                <w:color w:val="000000"/>
                <w:sz w:val="16"/>
                <w:szCs w:val="16"/>
                <w:lang w:val="en-US"/>
              </w:rPr>
              <w:t>Available - 2017</w:t>
            </w:r>
          </w:p>
        </w:tc>
        <w:tc>
          <w:tcPr>
            <w:tcW w:w="0" w:type="auto"/>
            <w:shd w:val="clear" w:color="auto" w:fill="auto"/>
          </w:tcPr>
          <w:p w14:paraId="6810E45B" w14:textId="77777777" w:rsidR="00111DAD" w:rsidRPr="001D0BD5" w:rsidRDefault="00111DAD" w:rsidP="003A2CCC">
            <w:pPr>
              <w:spacing w:after="0"/>
              <w:jc w:val="left"/>
              <w:rPr>
                <w:rFonts w:eastAsia="Times New Roman" w:cstheme="minorHAnsi"/>
                <w:color w:val="000000"/>
                <w:sz w:val="16"/>
                <w:szCs w:val="16"/>
                <w:lang w:val="en-US"/>
              </w:rPr>
            </w:pPr>
            <w:r>
              <w:rPr>
                <w:rFonts w:eastAsia="Times New Roman" w:cstheme="minorHAnsi"/>
                <w:color w:val="000000"/>
                <w:sz w:val="16"/>
                <w:szCs w:val="16"/>
              </w:rPr>
              <w:t>M</w:t>
            </w:r>
            <w:r w:rsidRPr="002037BD">
              <w:rPr>
                <w:rFonts w:eastAsia="Times New Roman" w:cstheme="minorHAnsi"/>
                <w:color w:val="000000"/>
                <w:sz w:val="16"/>
                <w:szCs w:val="16"/>
                <w:lang w:val="en-US"/>
              </w:rPr>
              <w:t>aintain or increase in proportion of clients with disabilities</w:t>
            </w:r>
            <w:r>
              <w:rPr>
                <w:rFonts w:eastAsia="Times New Roman" w:cstheme="minorHAnsi"/>
                <w:color w:val="000000"/>
                <w:sz w:val="16"/>
                <w:szCs w:val="16"/>
                <w:lang w:val="en-US"/>
              </w:rPr>
              <w:t xml:space="preserve"> (and other vulnerable clients)</w:t>
            </w:r>
            <w:r w:rsidRPr="002037BD">
              <w:rPr>
                <w:rFonts w:eastAsia="Times New Roman" w:cstheme="minorHAnsi"/>
                <w:color w:val="000000"/>
                <w:sz w:val="16"/>
                <w:szCs w:val="16"/>
                <w:lang w:val="en-US"/>
              </w:rPr>
              <w:t xml:space="preserve"> compared with 2014 baseline </w:t>
            </w:r>
          </w:p>
        </w:tc>
      </w:tr>
      <w:tr w:rsidR="001D06BF" w:rsidRPr="001D0BD5" w14:paraId="40186C13" w14:textId="77777777" w:rsidTr="00F01362">
        <w:trPr>
          <w:trHeight w:val="20"/>
        </w:trPr>
        <w:tc>
          <w:tcPr>
            <w:tcW w:w="0" w:type="auto"/>
            <w:shd w:val="clear" w:color="auto" w:fill="auto"/>
            <w:hideMark/>
          </w:tcPr>
          <w:p w14:paraId="2E3A3D4B" w14:textId="77777777" w:rsidR="00111DAD" w:rsidRPr="001D0BD5" w:rsidRDefault="00111DAD" w:rsidP="003A2CCC">
            <w:pPr>
              <w:spacing w:after="0"/>
              <w:jc w:val="left"/>
              <w:rPr>
                <w:rFonts w:eastAsia="Times New Roman" w:cstheme="minorHAnsi"/>
                <w:color w:val="000000"/>
                <w:sz w:val="16"/>
                <w:szCs w:val="16"/>
                <w:lang w:val="en-US"/>
              </w:rPr>
            </w:pPr>
            <w:r w:rsidRPr="001D0BD5">
              <w:rPr>
                <w:rFonts w:eastAsia="Times New Roman" w:cstheme="minorHAnsi"/>
                <w:color w:val="000000"/>
                <w:sz w:val="16"/>
                <w:szCs w:val="16"/>
                <w:lang w:val="en-US"/>
              </w:rPr>
              <w:t>1.4 How has Nabilan strengthened referral pathways?</w:t>
            </w:r>
          </w:p>
        </w:tc>
        <w:tc>
          <w:tcPr>
            <w:tcW w:w="0" w:type="auto"/>
            <w:shd w:val="clear" w:color="auto" w:fill="auto"/>
          </w:tcPr>
          <w:p w14:paraId="0B4E37FF" w14:textId="785F9B03" w:rsidR="00111DAD" w:rsidRPr="001D0BD5" w:rsidRDefault="00111DAD" w:rsidP="003A2CCC">
            <w:pPr>
              <w:spacing w:after="0"/>
              <w:jc w:val="left"/>
              <w:rPr>
                <w:rFonts w:eastAsia="Times New Roman" w:cstheme="minorHAnsi"/>
                <w:color w:val="000000"/>
                <w:sz w:val="16"/>
                <w:szCs w:val="16"/>
                <w:lang w:val="en-US"/>
              </w:rPr>
            </w:pPr>
            <w:r w:rsidRPr="001D0BD5">
              <w:rPr>
                <w:rFonts w:eastAsia="Times New Roman" w:cstheme="minorHAnsi"/>
                <w:color w:val="000000"/>
                <w:sz w:val="16"/>
                <w:szCs w:val="16"/>
                <w:lang w:val="en-US"/>
              </w:rPr>
              <w:t>IO1.2: Women and children experiencing violence are referred to appropriate services</w:t>
            </w:r>
          </w:p>
          <w:p w14:paraId="52C6EBA1" w14:textId="77777777" w:rsidR="00111DAD" w:rsidRPr="001D0BD5" w:rsidRDefault="00111DAD" w:rsidP="003A2CCC">
            <w:pPr>
              <w:spacing w:after="0"/>
              <w:jc w:val="left"/>
              <w:rPr>
                <w:rFonts w:eastAsia="Times New Roman" w:cstheme="minorHAnsi"/>
                <w:color w:val="000000"/>
                <w:sz w:val="16"/>
                <w:szCs w:val="16"/>
                <w:lang w:val="en-US"/>
              </w:rPr>
            </w:pPr>
          </w:p>
          <w:p w14:paraId="344A6FF5" w14:textId="77777777" w:rsidR="00111DAD" w:rsidRPr="001D0BD5" w:rsidRDefault="00111DAD" w:rsidP="003A2CCC">
            <w:pPr>
              <w:spacing w:after="0"/>
              <w:jc w:val="left"/>
              <w:rPr>
                <w:rFonts w:eastAsia="Times New Roman" w:cstheme="minorHAnsi"/>
                <w:color w:val="000000"/>
                <w:sz w:val="16"/>
                <w:szCs w:val="16"/>
                <w:lang w:val="en-US"/>
              </w:rPr>
            </w:pPr>
            <w:r w:rsidRPr="001D0BD5">
              <w:rPr>
                <w:rFonts w:eastAsia="Times New Roman" w:cstheme="minorHAnsi"/>
                <w:color w:val="000000"/>
                <w:sz w:val="16"/>
                <w:szCs w:val="16"/>
                <w:lang w:val="en-US"/>
              </w:rPr>
              <w:t>ImO1.2 Non-referral network service providers have knowledge and skills to respond appropriately to women and children who</w:t>
            </w:r>
            <w:r>
              <w:rPr>
                <w:rFonts w:eastAsia="Times New Roman" w:cstheme="minorHAnsi"/>
                <w:color w:val="000000"/>
                <w:sz w:val="16"/>
                <w:szCs w:val="16"/>
                <w:lang w:val="en-US"/>
              </w:rPr>
              <w:t xml:space="preserve"> experience</w:t>
            </w:r>
            <w:r w:rsidRPr="001D0BD5">
              <w:rPr>
                <w:rFonts w:eastAsia="Times New Roman" w:cstheme="minorHAnsi"/>
                <w:color w:val="000000"/>
                <w:sz w:val="16"/>
                <w:szCs w:val="16"/>
                <w:lang w:val="en-US"/>
              </w:rPr>
              <w:t xml:space="preserve"> violence</w:t>
            </w:r>
          </w:p>
        </w:tc>
        <w:tc>
          <w:tcPr>
            <w:tcW w:w="0" w:type="auto"/>
            <w:shd w:val="clear" w:color="auto" w:fill="auto"/>
            <w:hideMark/>
          </w:tcPr>
          <w:p w14:paraId="26B5D622" w14:textId="3B6C5874" w:rsidR="00111DAD" w:rsidRPr="006D4F0A" w:rsidRDefault="00111DAD" w:rsidP="003A2CCC">
            <w:pPr>
              <w:pStyle w:val="ListParagraph"/>
              <w:numPr>
                <w:ilvl w:val="0"/>
                <w:numId w:val="18"/>
              </w:numPr>
              <w:rPr>
                <w:rFonts w:eastAsia="Times New Roman" w:cstheme="minorHAnsi"/>
                <w:color w:val="000000"/>
                <w:sz w:val="16"/>
                <w:szCs w:val="16"/>
              </w:rPr>
            </w:pPr>
            <w:r w:rsidRPr="006D4F0A">
              <w:rPr>
                <w:rFonts w:eastAsia="Times New Roman" w:cstheme="minorHAnsi"/>
                <w:color w:val="000000"/>
                <w:sz w:val="16"/>
                <w:szCs w:val="16"/>
              </w:rPr>
              <w:t xml:space="preserve">Number of women and children being referred to partner services. </w:t>
            </w:r>
            <w:r w:rsidRPr="006D4F0A">
              <w:rPr>
                <w:rFonts w:eastAsia="Times New Roman" w:cstheme="minorHAnsi"/>
                <w:b/>
                <w:color w:val="000000"/>
                <w:sz w:val="16"/>
                <w:szCs w:val="16"/>
              </w:rPr>
              <w:t>Disaggregation:</w:t>
            </w:r>
            <w:r w:rsidRPr="006D4F0A">
              <w:rPr>
                <w:rFonts w:eastAsia="Times New Roman" w:cstheme="minorHAnsi"/>
                <w:color w:val="000000"/>
                <w:sz w:val="16"/>
                <w:szCs w:val="16"/>
              </w:rPr>
              <w:t xml:space="preserve"> referral source (from referral-network partners or outside the referral network (DPOs; health workers; community leaders; self-referred))</w:t>
            </w:r>
          </w:p>
        </w:tc>
        <w:tc>
          <w:tcPr>
            <w:tcW w:w="0" w:type="auto"/>
            <w:shd w:val="clear" w:color="auto" w:fill="auto"/>
            <w:hideMark/>
          </w:tcPr>
          <w:p w14:paraId="28E49ECF" w14:textId="77777777" w:rsidR="00111DAD" w:rsidRPr="001D0BD5" w:rsidRDefault="00111DAD" w:rsidP="003A2CCC">
            <w:pPr>
              <w:spacing w:after="0"/>
              <w:jc w:val="left"/>
              <w:rPr>
                <w:rFonts w:eastAsia="Times New Roman" w:cstheme="minorHAnsi"/>
                <w:color w:val="000000"/>
                <w:sz w:val="16"/>
                <w:szCs w:val="16"/>
                <w:lang w:val="en-US"/>
              </w:rPr>
            </w:pPr>
            <w:r w:rsidRPr="001D0BD5">
              <w:rPr>
                <w:rFonts w:eastAsia="Times New Roman" w:cstheme="minorHAnsi"/>
                <w:color w:val="000000"/>
                <w:sz w:val="16"/>
                <w:szCs w:val="16"/>
                <w:lang w:val="en-US"/>
              </w:rPr>
              <w:t> </w:t>
            </w:r>
          </w:p>
        </w:tc>
        <w:tc>
          <w:tcPr>
            <w:tcW w:w="0" w:type="auto"/>
            <w:shd w:val="clear" w:color="auto" w:fill="auto"/>
            <w:hideMark/>
          </w:tcPr>
          <w:p w14:paraId="65AD3779" w14:textId="77777777" w:rsidR="00111DAD" w:rsidRPr="001D0BD5" w:rsidRDefault="00111DAD" w:rsidP="003A2CCC">
            <w:pPr>
              <w:spacing w:after="0"/>
              <w:jc w:val="left"/>
              <w:rPr>
                <w:rFonts w:eastAsia="Times New Roman" w:cstheme="minorHAnsi"/>
                <w:color w:val="000000"/>
                <w:sz w:val="16"/>
                <w:szCs w:val="16"/>
                <w:lang w:val="en-US"/>
              </w:rPr>
            </w:pPr>
            <w:r w:rsidRPr="001D0BD5">
              <w:rPr>
                <w:rFonts w:eastAsia="Times New Roman" w:cstheme="minorHAnsi"/>
                <w:color w:val="000000"/>
                <w:sz w:val="16"/>
                <w:szCs w:val="16"/>
                <w:lang w:val="en-US"/>
              </w:rPr>
              <w:t>Partner reports</w:t>
            </w:r>
          </w:p>
        </w:tc>
        <w:tc>
          <w:tcPr>
            <w:tcW w:w="0" w:type="auto"/>
            <w:shd w:val="clear" w:color="auto" w:fill="auto"/>
            <w:hideMark/>
          </w:tcPr>
          <w:p w14:paraId="413619B6" w14:textId="10B69444" w:rsidR="00111DAD" w:rsidRPr="001D0BD5" w:rsidRDefault="00111DAD" w:rsidP="003A2CCC">
            <w:pPr>
              <w:spacing w:after="0"/>
              <w:jc w:val="left"/>
              <w:rPr>
                <w:rFonts w:eastAsia="Times New Roman" w:cstheme="minorHAnsi"/>
                <w:color w:val="000000"/>
                <w:sz w:val="16"/>
                <w:szCs w:val="16"/>
                <w:lang w:val="en-US"/>
              </w:rPr>
            </w:pPr>
            <w:r w:rsidRPr="001D0BD5">
              <w:rPr>
                <w:rFonts w:eastAsia="Times New Roman" w:cstheme="minorHAnsi"/>
                <w:color w:val="000000"/>
                <w:sz w:val="16"/>
                <w:szCs w:val="16"/>
                <w:lang w:val="en-US"/>
              </w:rPr>
              <w:t> </w:t>
            </w:r>
            <w:r>
              <w:rPr>
                <w:rFonts w:eastAsia="Times New Roman" w:cstheme="minorHAnsi"/>
                <w:color w:val="000000"/>
                <w:sz w:val="16"/>
                <w:szCs w:val="16"/>
                <w:lang w:val="en-US"/>
              </w:rPr>
              <w:t>Available - 2017</w:t>
            </w:r>
          </w:p>
        </w:tc>
        <w:tc>
          <w:tcPr>
            <w:tcW w:w="0" w:type="auto"/>
            <w:shd w:val="clear" w:color="auto" w:fill="auto"/>
            <w:hideMark/>
          </w:tcPr>
          <w:p w14:paraId="53854584" w14:textId="77777777" w:rsidR="00111DAD" w:rsidRPr="001D0BD5" w:rsidRDefault="00111DAD" w:rsidP="003A2CCC">
            <w:pPr>
              <w:pStyle w:val="ListParagraph"/>
              <w:numPr>
                <w:ilvl w:val="0"/>
                <w:numId w:val="24"/>
              </w:numPr>
              <w:rPr>
                <w:rFonts w:eastAsia="Times New Roman" w:cstheme="minorHAnsi"/>
                <w:color w:val="000000"/>
                <w:sz w:val="16"/>
                <w:szCs w:val="16"/>
              </w:rPr>
            </w:pPr>
            <w:r w:rsidRPr="001D0BD5">
              <w:rPr>
                <w:rFonts w:eastAsia="Times New Roman" w:cstheme="minorHAnsi"/>
                <w:color w:val="000000"/>
                <w:sz w:val="16"/>
                <w:szCs w:val="16"/>
              </w:rPr>
              <w:t>5% increase in referrals from outside the referral network by 2020</w:t>
            </w:r>
          </w:p>
          <w:p w14:paraId="3AC8B018" w14:textId="77777777" w:rsidR="00111DAD" w:rsidRPr="001D0BD5" w:rsidRDefault="00111DAD" w:rsidP="003A2CCC">
            <w:pPr>
              <w:pStyle w:val="ListParagraph"/>
              <w:numPr>
                <w:ilvl w:val="0"/>
                <w:numId w:val="24"/>
              </w:numPr>
              <w:rPr>
                <w:rFonts w:eastAsia="Times New Roman" w:cstheme="minorHAnsi"/>
                <w:color w:val="000000"/>
                <w:sz w:val="16"/>
                <w:szCs w:val="16"/>
              </w:rPr>
            </w:pPr>
            <w:r w:rsidRPr="001D0BD5">
              <w:rPr>
                <w:rFonts w:eastAsia="Times New Roman" w:cstheme="minorHAnsi"/>
                <w:color w:val="000000"/>
                <w:sz w:val="16"/>
                <w:szCs w:val="16"/>
              </w:rPr>
              <w:t>10% increase in number of referrals made between service providers</w:t>
            </w:r>
          </w:p>
        </w:tc>
      </w:tr>
      <w:tr w:rsidR="001D06BF" w:rsidRPr="001D0BD5" w14:paraId="632BB971" w14:textId="77777777" w:rsidTr="00F01362">
        <w:trPr>
          <w:trHeight w:val="20"/>
        </w:trPr>
        <w:tc>
          <w:tcPr>
            <w:tcW w:w="0" w:type="auto"/>
            <w:vMerge w:val="restart"/>
            <w:shd w:val="clear" w:color="auto" w:fill="auto"/>
            <w:hideMark/>
          </w:tcPr>
          <w:p w14:paraId="03F6E933" w14:textId="77777777" w:rsidR="00111DAD" w:rsidRPr="001D0BD5" w:rsidRDefault="00111DAD" w:rsidP="003A2CCC">
            <w:pPr>
              <w:spacing w:after="0"/>
              <w:jc w:val="left"/>
              <w:rPr>
                <w:rFonts w:eastAsia="Times New Roman" w:cstheme="minorHAnsi"/>
                <w:color w:val="000000"/>
                <w:sz w:val="16"/>
                <w:szCs w:val="16"/>
                <w:lang w:val="en-US"/>
              </w:rPr>
            </w:pPr>
            <w:r w:rsidRPr="001D0BD5">
              <w:rPr>
                <w:rFonts w:eastAsia="Times New Roman" w:cstheme="minorHAnsi"/>
                <w:color w:val="000000"/>
                <w:sz w:val="16"/>
                <w:szCs w:val="16"/>
                <w:lang w:val="en-US"/>
              </w:rPr>
              <w:t>1.5 How has Nabilan contributed to improving the justice sector response to VAWC?</w:t>
            </w:r>
          </w:p>
          <w:p w14:paraId="325D0A44" w14:textId="77777777" w:rsidR="00111DAD" w:rsidRPr="001D0BD5" w:rsidRDefault="00111DAD" w:rsidP="003A2CCC">
            <w:pPr>
              <w:spacing w:after="0"/>
              <w:jc w:val="left"/>
              <w:rPr>
                <w:rFonts w:eastAsia="Times New Roman" w:cstheme="minorHAnsi"/>
                <w:color w:val="000000"/>
                <w:sz w:val="16"/>
                <w:szCs w:val="16"/>
                <w:lang w:val="en-US"/>
              </w:rPr>
            </w:pPr>
            <w:r w:rsidRPr="001D0BD5">
              <w:rPr>
                <w:rFonts w:eastAsia="Times New Roman" w:cstheme="minorHAnsi"/>
                <w:color w:val="000000"/>
                <w:sz w:val="16"/>
                <w:szCs w:val="16"/>
                <w:lang w:val="en-US"/>
              </w:rPr>
              <w:t> </w:t>
            </w:r>
          </w:p>
        </w:tc>
        <w:tc>
          <w:tcPr>
            <w:tcW w:w="0" w:type="auto"/>
            <w:vMerge w:val="restart"/>
            <w:shd w:val="clear" w:color="auto" w:fill="auto"/>
          </w:tcPr>
          <w:p w14:paraId="365FAA25" w14:textId="77777777" w:rsidR="00111DAD" w:rsidRDefault="00111DAD" w:rsidP="003A2CCC">
            <w:pPr>
              <w:spacing w:after="0"/>
              <w:jc w:val="left"/>
              <w:rPr>
                <w:rFonts w:eastAsia="Times New Roman" w:cstheme="minorHAnsi"/>
                <w:color w:val="000000"/>
                <w:sz w:val="16"/>
                <w:szCs w:val="16"/>
                <w:lang w:val="en-US"/>
              </w:rPr>
            </w:pPr>
            <w:r w:rsidRPr="001D0BD5">
              <w:rPr>
                <w:rFonts w:eastAsia="Times New Roman" w:cstheme="minorHAnsi"/>
                <w:color w:val="000000"/>
                <w:sz w:val="16"/>
                <w:szCs w:val="16"/>
                <w:lang w:val="en-US"/>
              </w:rPr>
              <w:t xml:space="preserve">IO1.4: The justice sector improves its response to VAWC </w:t>
            </w:r>
          </w:p>
          <w:p w14:paraId="0F0F264F" w14:textId="77777777" w:rsidR="00111DAD" w:rsidRDefault="00111DAD" w:rsidP="003A2CCC">
            <w:pPr>
              <w:spacing w:after="0"/>
              <w:jc w:val="left"/>
              <w:rPr>
                <w:rFonts w:eastAsia="Times New Roman" w:cstheme="minorHAnsi"/>
                <w:color w:val="000000"/>
                <w:sz w:val="16"/>
                <w:szCs w:val="16"/>
                <w:lang w:val="en-US"/>
              </w:rPr>
            </w:pPr>
          </w:p>
          <w:p w14:paraId="533D6882" w14:textId="77777777" w:rsidR="00111DAD" w:rsidRPr="001D0BD5" w:rsidRDefault="00111DAD" w:rsidP="003A2CCC">
            <w:pPr>
              <w:spacing w:after="0"/>
              <w:jc w:val="left"/>
              <w:rPr>
                <w:rFonts w:eastAsia="Times New Roman" w:cstheme="minorHAnsi"/>
                <w:color w:val="000000"/>
                <w:sz w:val="16"/>
                <w:szCs w:val="16"/>
                <w:lang w:val="en-US"/>
              </w:rPr>
            </w:pPr>
            <w:r w:rsidRPr="001D0BD5">
              <w:rPr>
                <w:rFonts w:eastAsia="Times New Roman" w:cstheme="minorHAnsi"/>
                <w:color w:val="000000"/>
                <w:sz w:val="16"/>
                <w:szCs w:val="16"/>
                <w:lang w:val="en-US"/>
              </w:rPr>
              <w:t>ImO1.4 Partners and service providers advocate for improved justice sector response to VAWC</w:t>
            </w:r>
          </w:p>
        </w:tc>
        <w:tc>
          <w:tcPr>
            <w:tcW w:w="0" w:type="auto"/>
            <w:shd w:val="clear" w:color="auto" w:fill="auto"/>
            <w:hideMark/>
          </w:tcPr>
          <w:p w14:paraId="75DF2BD3" w14:textId="0F3EEB84" w:rsidR="00111DAD" w:rsidRPr="006D4F0A" w:rsidRDefault="00111DAD" w:rsidP="003A2CCC">
            <w:pPr>
              <w:pStyle w:val="ListParagraph"/>
              <w:numPr>
                <w:ilvl w:val="0"/>
                <w:numId w:val="18"/>
              </w:numPr>
              <w:rPr>
                <w:rFonts w:eastAsia="Times New Roman" w:cstheme="minorHAnsi"/>
                <w:color w:val="000000"/>
                <w:sz w:val="16"/>
                <w:szCs w:val="16"/>
              </w:rPr>
            </w:pPr>
            <w:r w:rsidRPr="006D4F0A">
              <w:rPr>
                <w:rFonts w:eastAsia="Times New Roman" w:cstheme="minorHAnsi"/>
                <w:color w:val="000000"/>
                <w:sz w:val="16"/>
                <w:szCs w:val="16"/>
              </w:rPr>
              <w:t xml:space="preserve">Evidence of appropriate charging and sentencing in the formal justice system: </w:t>
            </w:r>
          </w:p>
          <w:p w14:paraId="0DA12D60" w14:textId="77777777" w:rsidR="00111DAD" w:rsidRPr="001D0BD5" w:rsidRDefault="00111DAD" w:rsidP="003A2CCC">
            <w:pPr>
              <w:pStyle w:val="ListParagraph"/>
              <w:numPr>
                <w:ilvl w:val="0"/>
                <w:numId w:val="38"/>
              </w:numPr>
              <w:rPr>
                <w:rFonts w:eastAsia="Times New Roman" w:cstheme="minorHAnsi"/>
                <w:color w:val="000000"/>
                <w:sz w:val="16"/>
                <w:szCs w:val="16"/>
              </w:rPr>
            </w:pPr>
            <w:r w:rsidRPr="002037BD">
              <w:rPr>
                <w:rFonts w:eastAsia="Times New Roman" w:cstheme="minorHAnsi"/>
                <w:color w:val="000000"/>
                <w:sz w:val="16"/>
                <w:szCs w:val="16"/>
              </w:rPr>
              <w:t xml:space="preserve">number of DV cases resulting in suspended sentence with monitoring obligation; </w:t>
            </w:r>
          </w:p>
          <w:p w14:paraId="7B5668C1" w14:textId="77777777" w:rsidR="00111DAD" w:rsidRPr="001D0BD5" w:rsidRDefault="00111DAD" w:rsidP="003A2CCC">
            <w:pPr>
              <w:pStyle w:val="ListParagraph"/>
              <w:numPr>
                <w:ilvl w:val="0"/>
                <w:numId w:val="38"/>
              </w:numPr>
              <w:rPr>
                <w:rFonts w:eastAsia="Times New Roman" w:cstheme="minorHAnsi"/>
                <w:color w:val="000000"/>
                <w:sz w:val="16"/>
                <w:szCs w:val="16"/>
              </w:rPr>
            </w:pPr>
            <w:r w:rsidRPr="002037BD">
              <w:rPr>
                <w:rFonts w:eastAsia="Times New Roman" w:cstheme="minorHAnsi"/>
                <w:color w:val="000000"/>
                <w:sz w:val="16"/>
                <w:szCs w:val="16"/>
              </w:rPr>
              <w:t xml:space="preserve">number of DV cases being charged as serious assault or mistreatment of a spouse; </w:t>
            </w:r>
          </w:p>
          <w:p w14:paraId="3CFDACC0" w14:textId="77777777" w:rsidR="00111DAD" w:rsidRPr="002037BD" w:rsidRDefault="00111DAD" w:rsidP="003A2CCC">
            <w:pPr>
              <w:pStyle w:val="ListParagraph"/>
              <w:numPr>
                <w:ilvl w:val="0"/>
                <w:numId w:val="38"/>
              </w:numPr>
              <w:rPr>
                <w:rFonts w:eastAsia="Times New Roman" w:cstheme="minorHAnsi"/>
                <w:color w:val="000000"/>
                <w:sz w:val="16"/>
                <w:szCs w:val="16"/>
              </w:rPr>
            </w:pPr>
            <w:r w:rsidRPr="002037BD">
              <w:rPr>
                <w:rFonts w:eastAsia="Times New Roman" w:cstheme="minorHAnsi"/>
                <w:color w:val="000000"/>
                <w:sz w:val="16"/>
                <w:szCs w:val="16"/>
              </w:rPr>
              <w:t xml:space="preserve">number of DV cases resulting in fine </w:t>
            </w:r>
          </w:p>
        </w:tc>
        <w:tc>
          <w:tcPr>
            <w:tcW w:w="0" w:type="auto"/>
            <w:shd w:val="clear" w:color="auto" w:fill="auto"/>
            <w:hideMark/>
          </w:tcPr>
          <w:p w14:paraId="6AD9064F" w14:textId="77777777" w:rsidR="00111DAD" w:rsidRPr="001D0BD5" w:rsidRDefault="00111DAD" w:rsidP="003A2CCC">
            <w:pPr>
              <w:spacing w:after="0"/>
              <w:jc w:val="left"/>
              <w:rPr>
                <w:rFonts w:eastAsia="Times New Roman" w:cstheme="minorHAnsi"/>
                <w:color w:val="000000"/>
                <w:sz w:val="16"/>
                <w:szCs w:val="16"/>
                <w:lang w:val="en-US"/>
              </w:rPr>
            </w:pPr>
            <w:r w:rsidRPr="001D0BD5">
              <w:rPr>
                <w:rFonts w:eastAsia="Times New Roman" w:cstheme="minorHAnsi"/>
                <w:color w:val="000000"/>
                <w:sz w:val="16"/>
                <w:szCs w:val="16"/>
                <w:lang w:val="en-US"/>
              </w:rPr>
              <w:t> </w:t>
            </w:r>
          </w:p>
        </w:tc>
        <w:tc>
          <w:tcPr>
            <w:tcW w:w="0" w:type="auto"/>
            <w:shd w:val="clear" w:color="auto" w:fill="auto"/>
            <w:hideMark/>
          </w:tcPr>
          <w:p w14:paraId="22D3E642" w14:textId="77777777" w:rsidR="00111DAD" w:rsidRPr="001D0BD5" w:rsidRDefault="00111DAD" w:rsidP="003A2CCC">
            <w:pPr>
              <w:spacing w:after="0"/>
              <w:jc w:val="left"/>
              <w:rPr>
                <w:rFonts w:eastAsia="Times New Roman" w:cstheme="minorHAnsi"/>
                <w:color w:val="000000"/>
                <w:sz w:val="16"/>
                <w:szCs w:val="16"/>
                <w:lang w:val="en-US"/>
              </w:rPr>
            </w:pPr>
            <w:r w:rsidRPr="001D0BD5">
              <w:rPr>
                <w:rFonts w:eastAsia="Times New Roman" w:cstheme="minorHAnsi"/>
                <w:color w:val="000000"/>
                <w:sz w:val="16"/>
                <w:szCs w:val="16"/>
                <w:lang w:val="en-US"/>
              </w:rPr>
              <w:t>Court monitoring</w:t>
            </w:r>
          </w:p>
        </w:tc>
        <w:tc>
          <w:tcPr>
            <w:tcW w:w="0" w:type="auto"/>
            <w:shd w:val="clear" w:color="auto" w:fill="auto"/>
            <w:hideMark/>
          </w:tcPr>
          <w:p w14:paraId="363538A3" w14:textId="319AFEB3" w:rsidR="00111DAD" w:rsidRPr="001D0BD5" w:rsidRDefault="00111DAD" w:rsidP="003A2CCC">
            <w:pPr>
              <w:spacing w:after="0"/>
              <w:jc w:val="left"/>
              <w:rPr>
                <w:rFonts w:eastAsia="Times New Roman" w:cstheme="minorHAnsi"/>
                <w:color w:val="000000"/>
                <w:sz w:val="16"/>
                <w:szCs w:val="16"/>
                <w:lang w:val="en-US"/>
              </w:rPr>
            </w:pPr>
            <w:r w:rsidRPr="001D0BD5">
              <w:rPr>
                <w:rFonts w:eastAsia="Times New Roman" w:cstheme="minorHAnsi"/>
                <w:color w:val="000000"/>
                <w:sz w:val="16"/>
                <w:szCs w:val="16"/>
                <w:lang w:val="en-US"/>
              </w:rPr>
              <w:t> </w:t>
            </w:r>
            <w:r>
              <w:rPr>
                <w:rFonts w:eastAsia="Times New Roman" w:cstheme="minorHAnsi"/>
                <w:color w:val="000000"/>
                <w:sz w:val="16"/>
                <w:szCs w:val="16"/>
                <w:lang w:val="en-US"/>
              </w:rPr>
              <w:t>Available - 2017</w:t>
            </w:r>
          </w:p>
        </w:tc>
        <w:tc>
          <w:tcPr>
            <w:tcW w:w="0" w:type="auto"/>
            <w:shd w:val="clear" w:color="auto" w:fill="auto"/>
            <w:hideMark/>
          </w:tcPr>
          <w:p w14:paraId="32CA83B5" w14:textId="77777777" w:rsidR="00111DAD" w:rsidRPr="001D0BD5" w:rsidRDefault="00111DAD" w:rsidP="003A2CCC">
            <w:pPr>
              <w:spacing w:after="0"/>
              <w:jc w:val="left"/>
              <w:rPr>
                <w:rFonts w:eastAsia="Times New Roman" w:cstheme="minorHAnsi"/>
                <w:color w:val="000000"/>
                <w:sz w:val="16"/>
                <w:szCs w:val="16"/>
                <w:lang w:val="en-US"/>
              </w:rPr>
            </w:pPr>
            <w:r w:rsidRPr="001D0BD5">
              <w:rPr>
                <w:rFonts w:eastAsia="Times New Roman" w:cstheme="minorHAnsi"/>
                <w:color w:val="000000"/>
                <w:sz w:val="16"/>
                <w:szCs w:val="16"/>
                <w:lang w:val="en-US"/>
              </w:rPr>
              <w:t>Compared against 2017 baseline:</w:t>
            </w:r>
          </w:p>
          <w:p w14:paraId="1E2B7CF7" w14:textId="77777777" w:rsidR="00111DAD" w:rsidRPr="001D0BD5" w:rsidRDefault="00111DAD" w:rsidP="003A2CCC">
            <w:pPr>
              <w:pStyle w:val="ListParagraph"/>
              <w:numPr>
                <w:ilvl w:val="0"/>
                <w:numId w:val="25"/>
              </w:numPr>
              <w:rPr>
                <w:rFonts w:eastAsia="Times New Roman" w:cstheme="minorHAnsi"/>
                <w:color w:val="000000"/>
                <w:sz w:val="16"/>
                <w:szCs w:val="16"/>
              </w:rPr>
            </w:pPr>
            <w:r w:rsidRPr="001D0BD5">
              <w:rPr>
                <w:rFonts w:eastAsia="Times New Roman" w:cstheme="minorHAnsi"/>
                <w:color w:val="000000"/>
                <w:sz w:val="16"/>
                <w:szCs w:val="16"/>
              </w:rPr>
              <w:t xml:space="preserve">increase in number of DV cases resulting in suspended sentence with monitoring obligation; </w:t>
            </w:r>
          </w:p>
          <w:p w14:paraId="0565CAC7" w14:textId="77777777" w:rsidR="00111DAD" w:rsidRPr="001D0BD5" w:rsidRDefault="00111DAD" w:rsidP="003A2CCC">
            <w:pPr>
              <w:pStyle w:val="ListParagraph"/>
              <w:numPr>
                <w:ilvl w:val="0"/>
                <w:numId w:val="25"/>
              </w:numPr>
              <w:rPr>
                <w:rFonts w:eastAsia="Times New Roman" w:cstheme="minorHAnsi"/>
                <w:color w:val="000000"/>
                <w:sz w:val="16"/>
                <w:szCs w:val="16"/>
              </w:rPr>
            </w:pPr>
            <w:r w:rsidRPr="001D0BD5">
              <w:rPr>
                <w:rFonts w:eastAsia="Times New Roman" w:cstheme="minorHAnsi"/>
                <w:color w:val="000000"/>
                <w:sz w:val="16"/>
                <w:szCs w:val="16"/>
              </w:rPr>
              <w:t xml:space="preserve">increase in number of DV cases being charged as serious assault or mistreatment of a spouse; </w:t>
            </w:r>
          </w:p>
          <w:p w14:paraId="2D20ECDE" w14:textId="77777777" w:rsidR="00111DAD" w:rsidRPr="001D0BD5" w:rsidRDefault="00111DAD" w:rsidP="003A2CCC">
            <w:pPr>
              <w:pStyle w:val="ListParagraph"/>
              <w:numPr>
                <w:ilvl w:val="0"/>
                <w:numId w:val="25"/>
              </w:numPr>
              <w:rPr>
                <w:rFonts w:eastAsia="Times New Roman" w:cstheme="minorHAnsi"/>
                <w:color w:val="000000"/>
                <w:sz w:val="16"/>
                <w:szCs w:val="16"/>
              </w:rPr>
            </w:pPr>
            <w:r w:rsidRPr="001D0BD5">
              <w:rPr>
                <w:rFonts w:eastAsia="Times New Roman" w:cstheme="minorHAnsi"/>
                <w:color w:val="000000"/>
                <w:sz w:val="16"/>
                <w:szCs w:val="16"/>
              </w:rPr>
              <w:t>decrease in number of DV cases resulting in fine</w:t>
            </w:r>
          </w:p>
        </w:tc>
      </w:tr>
      <w:tr w:rsidR="001D06BF" w:rsidRPr="001D0BD5" w14:paraId="6D65C831" w14:textId="77777777" w:rsidTr="00F01362">
        <w:trPr>
          <w:trHeight w:val="20"/>
        </w:trPr>
        <w:tc>
          <w:tcPr>
            <w:tcW w:w="0" w:type="auto"/>
            <w:vMerge/>
            <w:shd w:val="clear" w:color="auto" w:fill="auto"/>
            <w:hideMark/>
          </w:tcPr>
          <w:p w14:paraId="1F76181E" w14:textId="77777777" w:rsidR="00111DAD" w:rsidRPr="001D0BD5" w:rsidRDefault="00111DAD" w:rsidP="003A2CCC">
            <w:pPr>
              <w:spacing w:after="0"/>
              <w:jc w:val="left"/>
              <w:rPr>
                <w:rFonts w:eastAsia="Times New Roman" w:cstheme="minorHAnsi"/>
                <w:color w:val="000000"/>
                <w:sz w:val="16"/>
                <w:szCs w:val="16"/>
                <w:lang w:val="en-US"/>
              </w:rPr>
            </w:pPr>
          </w:p>
        </w:tc>
        <w:tc>
          <w:tcPr>
            <w:tcW w:w="0" w:type="auto"/>
            <w:vMerge/>
            <w:shd w:val="clear" w:color="auto" w:fill="auto"/>
          </w:tcPr>
          <w:p w14:paraId="1087F83D" w14:textId="77777777" w:rsidR="00111DAD" w:rsidRPr="001D0BD5" w:rsidRDefault="00111DAD" w:rsidP="003A2CCC">
            <w:pPr>
              <w:spacing w:after="0"/>
              <w:jc w:val="left"/>
              <w:rPr>
                <w:rFonts w:eastAsia="Times New Roman" w:cstheme="minorHAnsi"/>
                <w:color w:val="000000"/>
                <w:sz w:val="16"/>
                <w:szCs w:val="16"/>
                <w:lang w:val="en-US"/>
              </w:rPr>
            </w:pPr>
          </w:p>
        </w:tc>
        <w:tc>
          <w:tcPr>
            <w:tcW w:w="0" w:type="auto"/>
            <w:shd w:val="clear" w:color="auto" w:fill="auto"/>
            <w:hideMark/>
          </w:tcPr>
          <w:p w14:paraId="27BA682F" w14:textId="77777777" w:rsidR="00111DAD" w:rsidRDefault="00111DAD" w:rsidP="003A2CCC">
            <w:pPr>
              <w:pStyle w:val="ListParagraph"/>
              <w:numPr>
                <w:ilvl w:val="0"/>
                <w:numId w:val="18"/>
              </w:numPr>
              <w:rPr>
                <w:rFonts w:eastAsia="Times New Roman" w:cstheme="minorHAnsi"/>
                <w:color w:val="000000"/>
                <w:sz w:val="16"/>
                <w:szCs w:val="16"/>
              </w:rPr>
            </w:pPr>
            <w:r w:rsidRPr="006D4F0A">
              <w:rPr>
                <w:rFonts w:eastAsia="Times New Roman" w:cstheme="minorHAnsi"/>
                <w:color w:val="000000"/>
                <w:sz w:val="16"/>
                <w:szCs w:val="16"/>
              </w:rPr>
              <w:t xml:space="preserve">Number of cases of VAWC reaching the courts monitored by JSMP </w:t>
            </w:r>
          </w:p>
          <w:p w14:paraId="4B4AFE9F" w14:textId="14FC223E" w:rsidR="00111DAD" w:rsidRPr="001F1B65" w:rsidRDefault="00111DAD" w:rsidP="003A2CCC">
            <w:pPr>
              <w:pStyle w:val="ListParagraph"/>
              <w:ind w:left="360" w:firstLine="0"/>
              <w:rPr>
                <w:rFonts w:eastAsia="Times New Roman" w:cstheme="minorHAnsi"/>
                <w:color w:val="000000"/>
                <w:sz w:val="16"/>
                <w:szCs w:val="16"/>
              </w:rPr>
            </w:pPr>
            <w:r w:rsidRPr="001F1B65">
              <w:rPr>
                <w:rFonts w:eastAsia="Times New Roman" w:cstheme="minorHAnsi"/>
                <w:b/>
                <w:color w:val="000000"/>
                <w:sz w:val="16"/>
                <w:szCs w:val="16"/>
              </w:rPr>
              <w:t>Disaggregation:</w:t>
            </w:r>
            <w:r w:rsidRPr="001F1B65">
              <w:rPr>
                <w:rFonts w:eastAsia="Times New Roman" w:cstheme="minorHAnsi"/>
                <w:color w:val="000000"/>
                <w:sz w:val="16"/>
                <w:szCs w:val="16"/>
              </w:rPr>
              <w:t xml:space="preserve"> case type; special features such as defendant has disability, use of medical evidence; represented by ALFeLa</w:t>
            </w:r>
          </w:p>
        </w:tc>
        <w:tc>
          <w:tcPr>
            <w:tcW w:w="0" w:type="auto"/>
            <w:shd w:val="clear" w:color="auto" w:fill="auto"/>
            <w:hideMark/>
          </w:tcPr>
          <w:p w14:paraId="1716F806" w14:textId="77777777" w:rsidR="00111DAD" w:rsidRPr="001D0BD5" w:rsidRDefault="00111DAD" w:rsidP="003A2CCC">
            <w:pPr>
              <w:spacing w:after="0"/>
              <w:jc w:val="left"/>
              <w:rPr>
                <w:rFonts w:eastAsia="Times New Roman" w:cstheme="minorHAnsi"/>
                <w:color w:val="000000"/>
                <w:sz w:val="16"/>
                <w:szCs w:val="16"/>
                <w:lang w:val="en-US"/>
              </w:rPr>
            </w:pPr>
            <w:r w:rsidRPr="001D0BD5">
              <w:rPr>
                <w:rFonts w:eastAsia="Times New Roman" w:cstheme="minorHAnsi"/>
                <w:color w:val="000000"/>
                <w:sz w:val="16"/>
                <w:szCs w:val="16"/>
                <w:lang w:val="en-US"/>
              </w:rPr>
              <w:t> </w:t>
            </w:r>
          </w:p>
        </w:tc>
        <w:tc>
          <w:tcPr>
            <w:tcW w:w="0" w:type="auto"/>
            <w:shd w:val="clear" w:color="auto" w:fill="auto"/>
            <w:hideMark/>
          </w:tcPr>
          <w:p w14:paraId="6735C4FC" w14:textId="77777777" w:rsidR="00111DAD" w:rsidRPr="001D0BD5" w:rsidRDefault="00111DAD" w:rsidP="003A2CCC">
            <w:pPr>
              <w:spacing w:after="0"/>
              <w:jc w:val="left"/>
              <w:rPr>
                <w:rFonts w:eastAsia="Times New Roman" w:cstheme="minorHAnsi"/>
                <w:color w:val="000000"/>
                <w:sz w:val="16"/>
                <w:szCs w:val="16"/>
                <w:lang w:val="en-US"/>
              </w:rPr>
            </w:pPr>
            <w:r w:rsidRPr="001D0BD5">
              <w:rPr>
                <w:rFonts w:eastAsia="Times New Roman" w:cstheme="minorHAnsi"/>
                <w:color w:val="000000"/>
                <w:sz w:val="16"/>
                <w:szCs w:val="16"/>
                <w:lang w:val="en-US"/>
              </w:rPr>
              <w:t>Court monitoring</w:t>
            </w:r>
          </w:p>
        </w:tc>
        <w:tc>
          <w:tcPr>
            <w:tcW w:w="0" w:type="auto"/>
            <w:shd w:val="clear" w:color="auto" w:fill="auto"/>
            <w:hideMark/>
          </w:tcPr>
          <w:p w14:paraId="14D2EA57" w14:textId="3C71362D" w:rsidR="00111DAD" w:rsidRPr="001D0BD5" w:rsidRDefault="00111DAD" w:rsidP="003A2CCC">
            <w:pPr>
              <w:spacing w:after="0"/>
              <w:jc w:val="left"/>
              <w:rPr>
                <w:rFonts w:eastAsia="Times New Roman" w:cstheme="minorHAnsi"/>
                <w:color w:val="000000"/>
                <w:sz w:val="16"/>
                <w:szCs w:val="16"/>
                <w:lang w:val="en-US"/>
              </w:rPr>
            </w:pPr>
            <w:r w:rsidRPr="001D0BD5">
              <w:rPr>
                <w:rFonts w:eastAsia="Times New Roman" w:cstheme="minorHAnsi"/>
                <w:color w:val="000000"/>
                <w:sz w:val="16"/>
                <w:szCs w:val="16"/>
                <w:lang w:val="en-US"/>
              </w:rPr>
              <w:t> </w:t>
            </w:r>
            <w:r>
              <w:rPr>
                <w:rFonts w:eastAsia="Times New Roman" w:cstheme="minorHAnsi"/>
                <w:color w:val="000000"/>
                <w:sz w:val="16"/>
                <w:szCs w:val="16"/>
                <w:lang w:val="en-US"/>
              </w:rPr>
              <w:t>Available - 2017</w:t>
            </w:r>
          </w:p>
        </w:tc>
        <w:tc>
          <w:tcPr>
            <w:tcW w:w="0" w:type="auto"/>
            <w:shd w:val="clear" w:color="auto" w:fill="auto"/>
            <w:hideMark/>
          </w:tcPr>
          <w:p w14:paraId="7A74C991" w14:textId="77777777" w:rsidR="00111DAD" w:rsidRPr="001D0BD5" w:rsidRDefault="00111DAD" w:rsidP="003A2CCC">
            <w:pPr>
              <w:spacing w:after="0"/>
              <w:jc w:val="left"/>
              <w:rPr>
                <w:rFonts w:eastAsia="Times New Roman" w:cstheme="minorHAnsi"/>
                <w:color w:val="000000"/>
                <w:sz w:val="16"/>
                <w:szCs w:val="16"/>
                <w:lang w:val="en-US"/>
              </w:rPr>
            </w:pPr>
            <w:r w:rsidRPr="001D0BD5">
              <w:rPr>
                <w:rFonts w:eastAsia="Times New Roman" w:cstheme="minorHAnsi"/>
                <w:color w:val="000000"/>
                <w:sz w:val="16"/>
                <w:szCs w:val="16"/>
                <w:lang w:val="en-US"/>
              </w:rPr>
              <w:t>Number of cases holding steady against 2017</w:t>
            </w:r>
          </w:p>
        </w:tc>
      </w:tr>
      <w:tr w:rsidR="001D06BF" w:rsidRPr="001D0BD5" w14:paraId="53960D97" w14:textId="77777777" w:rsidTr="00F01362">
        <w:trPr>
          <w:trHeight w:val="20"/>
        </w:trPr>
        <w:tc>
          <w:tcPr>
            <w:tcW w:w="0" w:type="auto"/>
            <w:vMerge/>
            <w:shd w:val="clear" w:color="auto" w:fill="auto"/>
          </w:tcPr>
          <w:p w14:paraId="74BDFE34" w14:textId="77777777" w:rsidR="00111DAD" w:rsidRPr="001D0BD5" w:rsidRDefault="00111DAD" w:rsidP="003A2CCC">
            <w:pPr>
              <w:spacing w:after="0"/>
              <w:jc w:val="left"/>
              <w:rPr>
                <w:rFonts w:eastAsia="Times New Roman" w:cstheme="minorHAnsi"/>
                <w:color w:val="000000"/>
                <w:sz w:val="16"/>
                <w:szCs w:val="16"/>
                <w:lang w:val="en-US"/>
              </w:rPr>
            </w:pPr>
          </w:p>
        </w:tc>
        <w:tc>
          <w:tcPr>
            <w:tcW w:w="0" w:type="auto"/>
            <w:vMerge/>
            <w:shd w:val="clear" w:color="auto" w:fill="auto"/>
          </w:tcPr>
          <w:p w14:paraId="37CDFB37" w14:textId="77777777" w:rsidR="00111DAD" w:rsidRPr="001D0BD5" w:rsidRDefault="00111DAD" w:rsidP="003A2CCC">
            <w:pPr>
              <w:spacing w:after="0"/>
              <w:jc w:val="left"/>
              <w:rPr>
                <w:rFonts w:eastAsia="Times New Roman" w:cstheme="minorHAnsi"/>
                <w:color w:val="000000"/>
                <w:sz w:val="16"/>
                <w:szCs w:val="16"/>
                <w:lang w:val="en-US"/>
              </w:rPr>
            </w:pPr>
          </w:p>
        </w:tc>
        <w:tc>
          <w:tcPr>
            <w:tcW w:w="0" w:type="auto"/>
            <w:shd w:val="clear" w:color="auto" w:fill="auto"/>
          </w:tcPr>
          <w:p w14:paraId="742B3D3A" w14:textId="411028F0" w:rsidR="00111DAD" w:rsidRPr="001F1B65" w:rsidRDefault="00111DAD" w:rsidP="003A2CCC">
            <w:pPr>
              <w:pStyle w:val="ListParagraph"/>
              <w:numPr>
                <w:ilvl w:val="0"/>
                <w:numId w:val="18"/>
              </w:numPr>
              <w:rPr>
                <w:rFonts w:eastAsia="Times New Roman" w:cstheme="minorHAnsi"/>
                <w:color w:val="000000"/>
                <w:sz w:val="16"/>
                <w:szCs w:val="16"/>
              </w:rPr>
            </w:pPr>
            <w:r w:rsidRPr="001F1B65">
              <w:rPr>
                <w:rFonts w:eastAsia="Times New Roman" w:cstheme="minorHAnsi"/>
                <w:color w:val="000000"/>
                <w:sz w:val="16"/>
                <w:szCs w:val="16"/>
              </w:rPr>
              <w:t>Evidence of Nabilan partners and service providers advocating for improved justice sector response to VAWC</w:t>
            </w:r>
          </w:p>
        </w:tc>
        <w:tc>
          <w:tcPr>
            <w:tcW w:w="0" w:type="auto"/>
            <w:shd w:val="clear" w:color="auto" w:fill="auto"/>
          </w:tcPr>
          <w:p w14:paraId="39D8C884" w14:textId="77777777" w:rsidR="00111DAD" w:rsidRPr="001D0BD5" w:rsidRDefault="00111DAD" w:rsidP="003A2CCC">
            <w:pPr>
              <w:spacing w:after="0"/>
              <w:jc w:val="left"/>
              <w:rPr>
                <w:rFonts w:eastAsia="Times New Roman" w:cstheme="minorHAnsi"/>
                <w:color w:val="000000"/>
                <w:sz w:val="16"/>
                <w:szCs w:val="16"/>
                <w:lang w:val="en-US"/>
              </w:rPr>
            </w:pPr>
          </w:p>
        </w:tc>
        <w:tc>
          <w:tcPr>
            <w:tcW w:w="0" w:type="auto"/>
            <w:shd w:val="clear" w:color="auto" w:fill="auto"/>
          </w:tcPr>
          <w:p w14:paraId="4C913FE7" w14:textId="77777777" w:rsidR="00111DAD" w:rsidRDefault="00111DAD" w:rsidP="003A2CCC">
            <w:pPr>
              <w:pStyle w:val="ListParagraph"/>
              <w:numPr>
                <w:ilvl w:val="0"/>
                <w:numId w:val="46"/>
              </w:numPr>
              <w:rPr>
                <w:rFonts w:eastAsia="Times New Roman" w:cstheme="minorHAnsi"/>
                <w:color w:val="000000"/>
                <w:sz w:val="16"/>
                <w:szCs w:val="16"/>
              </w:rPr>
            </w:pPr>
            <w:r>
              <w:rPr>
                <w:rFonts w:eastAsia="Times New Roman" w:cstheme="minorHAnsi"/>
                <w:color w:val="000000"/>
                <w:sz w:val="16"/>
                <w:szCs w:val="16"/>
              </w:rPr>
              <w:t>Partner reports</w:t>
            </w:r>
          </w:p>
          <w:p w14:paraId="7B4D537C" w14:textId="77777777" w:rsidR="00111DAD" w:rsidRPr="00E57A4D" w:rsidRDefault="00111DAD" w:rsidP="003A2CCC">
            <w:pPr>
              <w:pStyle w:val="ListParagraph"/>
              <w:numPr>
                <w:ilvl w:val="0"/>
                <w:numId w:val="46"/>
              </w:numPr>
              <w:rPr>
                <w:rFonts w:eastAsia="Times New Roman" w:cstheme="minorHAnsi"/>
                <w:color w:val="000000"/>
                <w:sz w:val="16"/>
                <w:szCs w:val="16"/>
              </w:rPr>
            </w:pPr>
            <w:r>
              <w:rPr>
                <w:rFonts w:eastAsia="Times New Roman" w:cstheme="minorHAnsi"/>
                <w:color w:val="000000"/>
                <w:sz w:val="16"/>
                <w:szCs w:val="16"/>
              </w:rPr>
              <w:t>JSMP newsletter and thematic reports</w:t>
            </w:r>
          </w:p>
        </w:tc>
        <w:tc>
          <w:tcPr>
            <w:tcW w:w="0" w:type="auto"/>
            <w:shd w:val="clear" w:color="auto" w:fill="auto"/>
          </w:tcPr>
          <w:p w14:paraId="6088C2B1" w14:textId="2E5577AC" w:rsidR="00111DAD" w:rsidRPr="001D0BD5" w:rsidRDefault="00111DAD" w:rsidP="003A2CCC">
            <w:pPr>
              <w:spacing w:after="0"/>
              <w:jc w:val="left"/>
              <w:rPr>
                <w:rFonts w:eastAsia="Times New Roman" w:cstheme="minorHAnsi"/>
                <w:color w:val="000000"/>
                <w:sz w:val="16"/>
                <w:szCs w:val="16"/>
                <w:lang w:val="en-US"/>
              </w:rPr>
            </w:pPr>
            <w:r>
              <w:rPr>
                <w:rFonts w:eastAsia="Times New Roman" w:cstheme="minorHAnsi"/>
                <w:color w:val="000000"/>
                <w:sz w:val="16"/>
                <w:szCs w:val="16"/>
                <w:lang w:val="en-US"/>
              </w:rPr>
              <w:t>N/A</w:t>
            </w:r>
          </w:p>
        </w:tc>
        <w:tc>
          <w:tcPr>
            <w:tcW w:w="0" w:type="auto"/>
            <w:shd w:val="clear" w:color="auto" w:fill="auto"/>
          </w:tcPr>
          <w:p w14:paraId="79A1E9DF" w14:textId="453191EC" w:rsidR="00111DAD" w:rsidRPr="001D0BD5" w:rsidRDefault="00111DAD" w:rsidP="003A2CCC">
            <w:pPr>
              <w:spacing w:after="0"/>
              <w:jc w:val="left"/>
              <w:rPr>
                <w:rFonts w:eastAsia="Times New Roman" w:cstheme="minorHAnsi"/>
                <w:color w:val="000000"/>
                <w:sz w:val="16"/>
                <w:szCs w:val="16"/>
                <w:lang w:val="en-US"/>
              </w:rPr>
            </w:pPr>
            <w:r>
              <w:rPr>
                <w:rFonts w:eastAsia="Times New Roman" w:cstheme="minorHAnsi"/>
                <w:color w:val="000000"/>
                <w:sz w:val="16"/>
                <w:szCs w:val="16"/>
                <w:lang w:val="en-US"/>
              </w:rPr>
              <w:t>N/A</w:t>
            </w:r>
          </w:p>
        </w:tc>
      </w:tr>
      <w:tr w:rsidR="001D06BF" w:rsidRPr="001D0BD5" w14:paraId="73AE43E0" w14:textId="77777777" w:rsidTr="00F01362">
        <w:trPr>
          <w:trHeight w:val="20"/>
        </w:trPr>
        <w:tc>
          <w:tcPr>
            <w:tcW w:w="0" w:type="auto"/>
            <w:shd w:val="clear" w:color="auto" w:fill="auto"/>
            <w:hideMark/>
          </w:tcPr>
          <w:p w14:paraId="3E94442E" w14:textId="77777777" w:rsidR="00111DAD" w:rsidRPr="008F51CC" w:rsidRDefault="00111DAD" w:rsidP="003A2CCC">
            <w:pPr>
              <w:spacing w:after="0"/>
              <w:jc w:val="left"/>
              <w:rPr>
                <w:rFonts w:eastAsia="Times New Roman" w:cstheme="minorHAnsi"/>
                <w:b/>
                <w:color w:val="000000"/>
                <w:sz w:val="16"/>
                <w:szCs w:val="16"/>
                <w:lang w:val="en-US"/>
              </w:rPr>
            </w:pPr>
            <w:r w:rsidRPr="008F51CC">
              <w:rPr>
                <w:rFonts w:eastAsia="Times New Roman" w:cstheme="minorHAnsi"/>
                <w:b/>
                <w:color w:val="000000"/>
                <w:sz w:val="16"/>
                <w:szCs w:val="16"/>
                <w:lang w:val="en-US"/>
              </w:rPr>
              <w:t>KEQ 2 To what extent are individuals, communities and institutions taking action to reduce violence against women?</w:t>
            </w:r>
          </w:p>
        </w:tc>
        <w:tc>
          <w:tcPr>
            <w:tcW w:w="0" w:type="auto"/>
            <w:shd w:val="clear" w:color="auto" w:fill="auto"/>
          </w:tcPr>
          <w:p w14:paraId="590868E2" w14:textId="77777777" w:rsidR="00111DAD" w:rsidRPr="001D0BD5" w:rsidRDefault="00111DAD" w:rsidP="003A2CCC">
            <w:pPr>
              <w:spacing w:after="0"/>
              <w:jc w:val="left"/>
              <w:rPr>
                <w:rFonts w:eastAsia="Times New Roman" w:cstheme="minorHAnsi"/>
                <w:color w:val="000000"/>
                <w:sz w:val="16"/>
                <w:szCs w:val="16"/>
                <w:lang w:val="en-US"/>
              </w:rPr>
            </w:pPr>
            <w:r w:rsidRPr="001D0BD5">
              <w:rPr>
                <w:rFonts w:eastAsia="Times New Roman" w:cstheme="minorHAnsi"/>
                <w:color w:val="000000"/>
                <w:sz w:val="16"/>
                <w:szCs w:val="16"/>
                <w:lang w:val="en-US"/>
              </w:rPr>
              <w:t xml:space="preserve">EOPO2: Individuals, communities and institutions take action to reduce violence against women and children </w:t>
            </w:r>
          </w:p>
        </w:tc>
        <w:tc>
          <w:tcPr>
            <w:tcW w:w="0" w:type="auto"/>
            <w:shd w:val="clear" w:color="auto" w:fill="auto"/>
            <w:hideMark/>
          </w:tcPr>
          <w:p w14:paraId="32AC8D94" w14:textId="1E4383E8" w:rsidR="00111DAD" w:rsidRPr="001F1B65" w:rsidRDefault="00111DAD" w:rsidP="003A2CCC">
            <w:pPr>
              <w:pStyle w:val="ListParagraph"/>
              <w:numPr>
                <w:ilvl w:val="0"/>
                <w:numId w:val="18"/>
              </w:numPr>
              <w:rPr>
                <w:rFonts w:eastAsia="Times New Roman" w:cstheme="minorHAnsi"/>
                <w:color w:val="000000"/>
                <w:sz w:val="16"/>
                <w:szCs w:val="16"/>
              </w:rPr>
            </w:pPr>
            <w:r w:rsidRPr="001F1B65">
              <w:rPr>
                <w:rFonts w:eastAsia="Times New Roman" w:cstheme="minorHAnsi"/>
                <w:color w:val="000000"/>
                <w:sz w:val="16"/>
                <w:szCs w:val="16"/>
              </w:rPr>
              <w:t xml:space="preserve">Selected members at each level of the ecological model (individuals, communities, institutions) can demonstrate examples of action taken to reduce violence </w:t>
            </w:r>
          </w:p>
        </w:tc>
        <w:tc>
          <w:tcPr>
            <w:tcW w:w="0" w:type="auto"/>
            <w:shd w:val="clear" w:color="auto" w:fill="auto"/>
            <w:hideMark/>
          </w:tcPr>
          <w:p w14:paraId="20C03AB0" w14:textId="77777777" w:rsidR="00111DAD" w:rsidRPr="001D0BD5" w:rsidRDefault="00111DAD" w:rsidP="003A2CCC">
            <w:pPr>
              <w:spacing w:after="0"/>
              <w:jc w:val="left"/>
              <w:rPr>
                <w:rFonts w:eastAsia="Times New Roman" w:cstheme="minorHAnsi"/>
                <w:color w:val="000000"/>
                <w:sz w:val="16"/>
                <w:szCs w:val="16"/>
                <w:lang w:val="en-US"/>
              </w:rPr>
            </w:pPr>
            <w:r w:rsidRPr="001D0BD5">
              <w:rPr>
                <w:rFonts w:eastAsia="Times New Roman" w:cstheme="minorHAnsi"/>
                <w:color w:val="000000"/>
                <w:sz w:val="16"/>
                <w:szCs w:val="16"/>
                <w:lang w:val="en-US"/>
              </w:rPr>
              <w:t> </w:t>
            </w:r>
          </w:p>
        </w:tc>
        <w:tc>
          <w:tcPr>
            <w:tcW w:w="0" w:type="auto"/>
            <w:shd w:val="clear" w:color="auto" w:fill="auto"/>
            <w:hideMark/>
          </w:tcPr>
          <w:p w14:paraId="09983633" w14:textId="63C7E0CC" w:rsidR="00111DAD" w:rsidRPr="001D0BD5" w:rsidRDefault="00111DAD" w:rsidP="003A2CCC">
            <w:pPr>
              <w:pStyle w:val="ListParagraph"/>
              <w:numPr>
                <w:ilvl w:val="0"/>
                <w:numId w:val="39"/>
              </w:numPr>
              <w:rPr>
                <w:rFonts w:eastAsia="Times New Roman" w:cstheme="minorHAnsi"/>
                <w:color w:val="000000"/>
                <w:sz w:val="16"/>
                <w:szCs w:val="16"/>
              </w:rPr>
            </w:pPr>
            <w:r w:rsidRPr="001D0BD5">
              <w:rPr>
                <w:rFonts w:eastAsia="Times New Roman" w:cstheme="minorHAnsi"/>
                <w:color w:val="000000"/>
                <w:sz w:val="16"/>
                <w:szCs w:val="16"/>
              </w:rPr>
              <w:t>Change Ambassador survey</w:t>
            </w:r>
          </w:p>
          <w:p w14:paraId="2F640836" w14:textId="77777777" w:rsidR="00111DAD" w:rsidRDefault="00111DAD" w:rsidP="003A2CCC">
            <w:pPr>
              <w:pStyle w:val="ListParagraph"/>
              <w:numPr>
                <w:ilvl w:val="0"/>
                <w:numId w:val="39"/>
              </w:numPr>
              <w:rPr>
                <w:rFonts w:eastAsia="Times New Roman" w:cstheme="minorHAnsi"/>
                <w:color w:val="000000"/>
                <w:sz w:val="16"/>
                <w:szCs w:val="16"/>
              </w:rPr>
            </w:pPr>
            <w:r>
              <w:rPr>
                <w:rFonts w:eastAsia="Times New Roman" w:cstheme="minorHAnsi"/>
                <w:color w:val="000000"/>
                <w:sz w:val="16"/>
                <w:szCs w:val="16"/>
              </w:rPr>
              <w:t>Change Ambassador interviews</w:t>
            </w:r>
          </w:p>
          <w:p w14:paraId="2B9BD69C" w14:textId="77777777" w:rsidR="00111DAD" w:rsidRDefault="00111DAD" w:rsidP="003A2CCC">
            <w:pPr>
              <w:pStyle w:val="ListParagraph"/>
              <w:numPr>
                <w:ilvl w:val="0"/>
                <w:numId w:val="39"/>
              </w:numPr>
              <w:rPr>
                <w:rFonts w:eastAsia="Times New Roman" w:cstheme="minorHAnsi"/>
                <w:color w:val="000000"/>
                <w:sz w:val="16"/>
                <w:szCs w:val="16"/>
              </w:rPr>
            </w:pPr>
            <w:r>
              <w:rPr>
                <w:rFonts w:eastAsia="Times New Roman" w:cstheme="minorHAnsi"/>
                <w:color w:val="000000"/>
                <w:sz w:val="16"/>
                <w:szCs w:val="16"/>
              </w:rPr>
              <w:t>Partner reports</w:t>
            </w:r>
          </w:p>
          <w:p w14:paraId="1484F418" w14:textId="77777777" w:rsidR="00111DAD" w:rsidRDefault="00111DAD" w:rsidP="003A2CCC">
            <w:pPr>
              <w:pStyle w:val="ListParagraph"/>
              <w:numPr>
                <w:ilvl w:val="0"/>
                <w:numId w:val="39"/>
              </w:numPr>
              <w:rPr>
                <w:rFonts w:eastAsia="Times New Roman" w:cstheme="minorHAnsi"/>
                <w:color w:val="000000"/>
                <w:sz w:val="16"/>
                <w:szCs w:val="16"/>
              </w:rPr>
            </w:pPr>
            <w:r>
              <w:rPr>
                <w:rFonts w:eastAsia="Times New Roman" w:cstheme="minorHAnsi"/>
                <w:color w:val="000000"/>
                <w:sz w:val="16"/>
                <w:szCs w:val="16"/>
              </w:rPr>
              <w:t>CBA monitoring</w:t>
            </w:r>
          </w:p>
          <w:p w14:paraId="4B94F2E4" w14:textId="306C643A" w:rsidR="00111DAD" w:rsidRPr="002037BD" w:rsidRDefault="00111DAD" w:rsidP="003A2CCC">
            <w:pPr>
              <w:pStyle w:val="ListParagraph"/>
              <w:numPr>
                <w:ilvl w:val="0"/>
                <w:numId w:val="39"/>
              </w:numPr>
              <w:rPr>
                <w:rFonts w:eastAsia="Times New Roman" w:cstheme="minorHAnsi"/>
                <w:color w:val="000000"/>
                <w:sz w:val="16"/>
                <w:szCs w:val="16"/>
              </w:rPr>
            </w:pPr>
            <w:r>
              <w:rPr>
                <w:rFonts w:eastAsia="Times New Roman" w:cstheme="minorHAnsi"/>
                <w:color w:val="000000"/>
                <w:sz w:val="16"/>
                <w:szCs w:val="16"/>
              </w:rPr>
              <w:t>Other information: media reports, meeting minutes</w:t>
            </w:r>
          </w:p>
        </w:tc>
        <w:tc>
          <w:tcPr>
            <w:tcW w:w="0" w:type="auto"/>
            <w:shd w:val="clear" w:color="auto" w:fill="auto"/>
            <w:hideMark/>
          </w:tcPr>
          <w:p w14:paraId="2C36FB2F" w14:textId="23D6E1A3" w:rsidR="00111DAD" w:rsidRPr="001D0BD5" w:rsidRDefault="00111DAD" w:rsidP="003A2CCC">
            <w:pPr>
              <w:spacing w:after="0"/>
              <w:jc w:val="left"/>
              <w:rPr>
                <w:rFonts w:eastAsia="Times New Roman" w:cstheme="minorHAnsi"/>
                <w:color w:val="000000"/>
                <w:sz w:val="16"/>
                <w:szCs w:val="16"/>
                <w:lang w:val="en-US"/>
              </w:rPr>
            </w:pPr>
            <w:r>
              <w:rPr>
                <w:rFonts w:eastAsia="Times New Roman" w:cstheme="minorHAnsi"/>
                <w:color w:val="000000"/>
                <w:sz w:val="16"/>
                <w:szCs w:val="16"/>
                <w:lang w:val="en-US"/>
              </w:rPr>
              <w:t>No baseline data available</w:t>
            </w:r>
          </w:p>
        </w:tc>
        <w:tc>
          <w:tcPr>
            <w:tcW w:w="0" w:type="auto"/>
            <w:shd w:val="clear" w:color="auto" w:fill="auto"/>
            <w:hideMark/>
          </w:tcPr>
          <w:p w14:paraId="544EF232" w14:textId="7D79D98F" w:rsidR="00111DAD" w:rsidRPr="001D0BD5" w:rsidRDefault="00111DAD" w:rsidP="003A2CCC">
            <w:pPr>
              <w:spacing w:after="0"/>
              <w:jc w:val="left"/>
              <w:rPr>
                <w:rFonts w:eastAsia="Times New Roman" w:cstheme="minorHAnsi"/>
                <w:color w:val="000000"/>
                <w:sz w:val="16"/>
                <w:szCs w:val="16"/>
                <w:lang w:val="en-US"/>
              </w:rPr>
            </w:pPr>
            <w:r w:rsidRPr="001D0BD5">
              <w:rPr>
                <w:rFonts w:eastAsia="Times New Roman" w:cstheme="minorHAnsi"/>
                <w:color w:val="000000"/>
                <w:sz w:val="16"/>
                <w:szCs w:val="16"/>
                <w:lang w:val="en-US"/>
              </w:rPr>
              <w:t xml:space="preserve">20% of respondents </w:t>
            </w:r>
            <w:r>
              <w:rPr>
                <w:rFonts w:eastAsia="Times New Roman" w:cstheme="minorHAnsi"/>
                <w:color w:val="000000"/>
                <w:sz w:val="16"/>
                <w:szCs w:val="16"/>
                <w:lang w:val="en-US"/>
              </w:rPr>
              <w:t xml:space="preserve">to Change Ambassador Survey and CBA monitoring survey </w:t>
            </w:r>
            <w:r w:rsidRPr="001D0BD5">
              <w:rPr>
                <w:rFonts w:eastAsia="Times New Roman" w:cstheme="minorHAnsi"/>
                <w:color w:val="000000"/>
                <w:sz w:val="16"/>
                <w:szCs w:val="16"/>
                <w:lang w:val="en-US"/>
              </w:rPr>
              <w:t xml:space="preserve">can demonstrate </w:t>
            </w:r>
            <w:r w:rsidR="007F3210">
              <w:rPr>
                <w:rFonts w:eastAsia="Times New Roman" w:cstheme="minorHAnsi"/>
                <w:color w:val="000000"/>
                <w:sz w:val="16"/>
                <w:szCs w:val="16"/>
                <w:lang w:val="en-US"/>
              </w:rPr>
              <w:t xml:space="preserve">appropriate </w:t>
            </w:r>
            <w:r w:rsidRPr="001D0BD5">
              <w:rPr>
                <w:rFonts w:eastAsia="Times New Roman" w:cstheme="minorHAnsi"/>
                <w:color w:val="000000"/>
                <w:sz w:val="16"/>
                <w:szCs w:val="16"/>
                <w:lang w:val="en-US"/>
              </w:rPr>
              <w:t>examples of action taken to reduce violence </w:t>
            </w:r>
          </w:p>
        </w:tc>
      </w:tr>
      <w:tr w:rsidR="001D06BF" w:rsidRPr="001D0BD5" w14:paraId="503E2732" w14:textId="77777777" w:rsidTr="00F01362">
        <w:trPr>
          <w:trHeight w:val="20"/>
        </w:trPr>
        <w:tc>
          <w:tcPr>
            <w:tcW w:w="0" w:type="auto"/>
            <w:vMerge w:val="restart"/>
            <w:shd w:val="clear" w:color="auto" w:fill="auto"/>
            <w:hideMark/>
          </w:tcPr>
          <w:p w14:paraId="7F6ECECC" w14:textId="77777777" w:rsidR="00111DAD" w:rsidRPr="001D0BD5" w:rsidRDefault="00111DAD" w:rsidP="003A2CCC">
            <w:pPr>
              <w:spacing w:after="0"/>
              <w:jc w:val="left"/>
              <w:rPr>
                <w:rFonts w:eastAsia="Times New Roman" w:cstheme="minorHAnsi"/>
                <w:color w:val="000000"/>
                <w:sz w:val="16"/>
                <w:szCs w:val="16"/>
                <w:lang w:val="en-US"/>
              </w:rPr>
            </w:pPr>
            <w:r w:rsidRPr="001D0BD5">
              <w:rPr>
                <w:rFonts w:eastAsia="Times New Roman" w:cstheme="minorHAnsi"/>
                <w:color w:val="000000"/>
                <w:sz w:val="16"/>
                <w:szCs w:val="16"/>
                <w:lang w:val="en-US"/>
              </w:rPr>
              <w:t xml:space="preserve"> 2.1 Is Nabilan effectively supporting partner agencies to undertake quality prevention programming?</w:t>
            </w:r>
          </w:p>
        </w:tc>
        <w:tc>
          <w:tcPr>
            <w:tcW w:w="0" w:type="auto"/>
            <w:vMerge w:val="restart"/>
            <w:shd w:val="clear" w:color="auto" w:fill="auto"/>
          </w:tcPr>
          <w:p w14:paraId="59007400" w14:textId="77777777" w:rsidR="00111DAD" w:rsidRPr="001D0BD5" w:rsidRDefault="00111DAD" w:rsidP="003A2CCC">
            <w:pPr>
              <w:spacing w:after="240"/>
              <w:jc w:val="left"/>
              <w:rPr>
                <w:rFonts w:eastAsia="Times New Roman" w:cstheme="minorHAnsi"/>
                <w:color w:val="000000"/>
                <w:sz w:val="16"/>
                <w:szCs w:val="16"/>
                <w:lang w:val="en-US"/>
              </w:rPr>
            </w:pPr>
            <w:r w:rsidRPr="001D0BD5">
              <w:rPr>
                <w:rFonts w:eastAsia="Times New Roman" w:cstheme="minorHAnsi"/>
                <w:color w:val="000000"/>
                <w:sz w:val="16"/>
                <w:szCs w:val="16"/>
                <w:lang w:val="en-US"/>
              </w:rPr>
              <w:t>IO2.1 Quality VAWC  prevention initiatives which target individuals, communities and institutions are implemented</w:t>
            </w:r>
          </w:p>
          <w:p w14:paraId="016F02A3" w14:textId="77777777" w:rsidR="00111DAD" w:rsidRPr="001D0BD5" w:rsidRDefault="00111DAD" w:rsidP="003A2CCC">
            <w:pPr>
              <w:spacing w:after="240"/>
              <w:jc w:val="left"/>
              <w:rPr>
                <w:rFonts w:eastAsia="Times New Roman" w:cstheme="minorHAnsi"/>
                <w:color w:val="000000"/>
                <w:sz w:val="16"/>
                <w:szCs w:val="16"/>
                <w:lang w:val="en-US"/>
              </w:rPr>
            </w:pPr>
            <w:r w:rsidRPr="001D0BD5">
              <w:rPr>
                <w:rFonts w:eastAsia="Times New Roman" w:cstheme="minorHAnsi"/>
                <w:color w:val="000000"/>
                <w:sz w:val="16"/>
                <w:szCs w:val="16"/>
                <w:lang w:val="en-US"/>
              </w:rPr>
              <w:t>ImO2.2 Partner staff have knowledge &amp; skills to implement effective prevention approaches</w:t>
            </w:r>
          </w:p>
        </w:tc>
        <w:tc>
          <w:tcPr>
            <w:tcW w:w="0" w:type="auto"/>
            <w:shd w:val="clear" w:color="auto" w:fill="auto"/>
            <w:hideMark/>
          </w:tcPr>
          <w:p w14:paraId="1AC4EA81" w14:textId="403666FE" w:rsidR="00111DAD" w:rsidRPr="001F1B65" w:rsidRDefault="00111DAD" w:rsidP="003A2CCC">
            <w:pPr>
              <w:pStyle w:val="ListParagraph"/>
              <w:numPr>
                <w:ilvl w:val="0"/>
                <w:numId w:val="18"/>
              </w:numPr>
              <w:spacing w:after="240"/>
              <w:rPr>
                <w:rFonts w:eastAsia="Times New Roman" w:cstheme="minorHAnsi"/>
                <w:color w:val="000000"/>
                <w:sz w:val="16"/>
                <w:szCs w:val="16"/>
              </w:rPr>
            </w:pPr>
            <w:r w:rsidRPr="001F1B65">
              <w:rPr>
                <w:rFonts w:eastAsia="Times New Roman" w:cstheme="minorHAnsi"/>
                <w:color w:val="000000"/>
                <w:sz w:val="16"/>
                <w:szCs w:val="16"/>
              </w:rPr>
              <w:t>Number of Nabilan-supported prevention activities reaching: individuals, families/relationship level, communities, institutions, society</w:t>
            </w:r>
          </w:p>
          <w:p w14:paraId="0F650EB0" w14:textId="22E0ACB3" w:rsidR="00111DAD" w:rsidRPr="001F1B65" w:rsidRDefault="00111DAD" w:rsidP="003A2CCC">
            <w:pPr>
              <w:pStyle w:val="ListParagraph"/>
              <w:numPr>
                <w:ilvl w:val="0"/>
                <w:numId w:val="18"/>
              </w:numPr>
              <w:spacing w:after="240"/>
              <w:rPr>
                <w:rFonts w:eastAsia="Times New Roman" w:cstheme="minorHAnsi"/>
                <w:color w:val="000000"/>
                <w:sz w:val="16"/>
                <w:szCs w:val="16"/>
              </w:rPr>
            </w:pPr>
            <w:r w:rsidRPr="001D0BD5">
              <w:rPr>
                <w:rFonts w:eastAsia="Times New Roman" w:cstheme="minorHAnsi"/>
                <w:color w:val="000000"/>
                <w:sz w:val="16"/>
                <w:szCs w:val="16"/>
              </w:rPr>
              <w:t xml:space="preserve">Number of people reached by each </w:t>
            </w:r>
            <w:r>
              <w:rPr>
                <w:rFonts w:eastAsia="Times New Roman" w:cstheme="minorHAnsi"/>
                <w:color w:val="000000"/>
                <w:sz w:val="16"/>
                <w:szCs w:val="16"/>
              </w:rPr>
              <w:t xml:space="preserve">prevention </w:t>
            </w:r>
            <w:r w:rsidRPr="001D0BD5">
              <w:rPr>
                <w:rFonts w:eastAsia="Times New Roman" w:cstheme="minorHAnsi"/>
                <w:color w:val="000000"/>
                <w:sz w:val="16"/>
                <w:szCs w:val="16"/>
              </w:rPr>
              <w:t xml:space="preserve">activity. </w:t>
            </w:r>
            <w:r w:rsidRPr="001F1B65">
              <w:rPr>
                <w:rFonts w:eastAsia="Times New Roman" w:cstheme="minorHAnsi"/>
                <w:b/>
                <w:color w:val="000000"/>
                <w:sz w:val="16"/>
                <w:szCs w:val="16"/>
              </w:rPr>
              <w:t>Disaggregation:</w:t>
            </w:r>
            <w:r w:rsidRPr="001F1B65">
              <w:rPr>
                <w:rFonts w:eastAsia="Times New Roman" w:cstheme="minorHAnsi"/>
                <w:color w:val="000000"/>
                <w:sz w:val="16"/>
                <w:szCs w:val="16"/>
              </w:rPr>
              <w:t xml:space="preserve"> gender, disability, location (when available)</w:t>
            </w:r>
          </w:p>
        </w:tc>
        <w:tc>
          <w:tcPr>
            <w:tcW w:w="0" w:type="auto"/>
            <w:shd w:val="clear" w:color="auto" w:fill="auto"/>
            <w:hideMark/>
          </w:tcPr>
          <w:p w14:paraId="32F14147" w14:textId="77777777" w:rsidR="00111DAD" w:rsidRPr="001D0BD5" w:rsidRDefault="00111DAD" w:rsidP="003A2CCC">
            <w:pPr>
              <w:spacing w:after="0"/>
              <w:jc w:val="left"/>
              <w:rPr>
                <w:rFonts w:eastAsia="Times New Roman" w:cstheme="minorHAnsi"/>
                <w:color w:val="000000"/>
                <w:sz w:val="16"/>
                <w:szCs w:val="16"/>
                <w:lang w:val="en-US"/>
              </w:rPr>
            </w:pPr>
            <w:r w:rsidRPr="001D0BD5">
              <w:rPr>
                <w:rFonts w:eastAsia="Times New Roman" w:cstheme="minorHAnsi"/>
                <w:color w:val="000000"/>
                <w:sz w:val="16"/>
                <w:szCs w:val="16"/>
                <w:lang w:val="en-US"/>
              </w:rPr>
              <w:t> </w:t>
            </w:r>
          </w:p>
        </w:tc>
        <w:tc>
          <w:tcPr>
            <w:tcW w:w="0" w:type="auto"/>
            <w:shd w:val="clear" w:color="auto" w:fill="auto"/>
            <w:hideMark/>
          </w:tcPr>
          <w:p w14:paraId="6C621FFD" w14:textId="77777777" w:rsidR="00111DAD" w:rsidRPr="001D0BD5" w:rsidRDefault="00111DAD" w:rsidP="003A2CCC">
            <w:pPr>
              <w:spacing w:after="240"/>
              <w:jc w:val="left"/>
              <w:rPr>
                <w:rFonts w:eastAsia="Times New Roman" w:cstheme="minorHAnsi"/>
                <w:color w:val="000000"/>
                <w:sz w:val="16"/>
                <w:szCs w:val="16"/>
                <w:lang w:val="en-US"/>
              </w:rPr>
            </w:pPr>
            <w:r w:rsidRPr="001D0BD5">
              <w:rPr>
                <w:rFonts w:eastAsia="Times New Roman" w:cstheme="minorHAnsi"/>
                <w:color w:val="000000"/>
                <w:sz w:val="16"/>
                <w:szCs w:val="16"/>
                <w:lang w:val="en-US"/>
              </w:rPr>
              <w:t>Partner reports</w:t>
            </w:r>
          </w:p>
        </w:tc>
        <w:tc>
          <w:tcPr>
            <w:tcW w:w="0" w:type="auto"/>
            <w:shd w:val="clear" w:color="auto" w:fill="auto"/>
            <w:hideMark/>
          </w:tcPr>
          <w:p w14:paraId="0B721148" w14:textId="08FA739E" w:rsidR="00111DAD" w:rsidRPr="001D0BD5" w:rsidRDefault="00111DAD" w:rsidP="003A2CCC">
            <w:pPr>
              <w:spacing w:after="0"/>
              <w:jc w:val="left"/>
              <w:rPr>
                <w:rFonts w:eastAsia="Times New Roman" w:cstheme="minorHAnsi"/>
                <w:color w:val="000000"/>
                <w:sz w:val="16"/>
                <w:szCs w:val="16"/>
                <w:lang w:val="en-US"/>
              </w:rPr>
            </w:pPr>
            <w:r w:rsidRPr="001D0BD5">
              <w:rPr>
                <w:rFonts w:eastAsia="Times New Roman" w:cstheme="minorHAnsi"/>
                <w:color w:val="000000"/>
                <w:sz w:val="16"/>
                <w:szCs w:val="16"/>
                <w:lang w:val="en-US"/>
              </w:rPr>
              <w:t> </w:t>
            </w:r>
            <w:r>
              <w:rPr>
                <w:rFonts w:eastAsia="Times New Roman" w:cstheme="minorHAnsi"/>
                <w:color w:val="000000"/>
                <w:sz w:val="16"/>
                <w:szCs w:val="16"/>
                <w:lang w:val="en-US"/>
              </w:rPr>
              <w:t>Available - 2017</w:t>
            </w:r>
          </w:p>
        </w:tc>
        <w:tc>
          <w:tcPr>
            <w:tcW w:w="0" w:type="auto"/>
            <w:shd w:val="clear" w:color="auto" w:fill="auto"/>
            <w:hideMark/>
          </w:tcPr>
          <w:p w14:paraId="320DA34A" w14:textId="77777777" w:rsidR="00111DAD" w:rsidRPr="001D0BD5" w:rsidRDefault="00111DAD" w:rsidP="003A2CCC">
            <w:pPr>
              <w:spacing w:after="0"/>
              <w:jc w:val="left"/>
              <w:rPr>
                <w:rFonts w:eastAsia="Times New Roman" w:cstheme="minorHAnsi"/>
                <w:color w:val="000000"/>
                <w:sz w:val="16"/>
                <w:szCs w:val="16"/>
                <w:lang w:val="en-US"/>
              </w:rPr>
            </w:pPr>
            <w:r w:rsidRPr="001D0BD5">
              <w:rPr>
                <w:rFonts w:eastAsia="Times New Roman" w:cstheme="minorHAnsi"/>
                <w:color w:val="000000"/>
                <w:sz w:val="16"/>
                <w:szCs w:val="16"/>
                <w:lang w:val="en-US"/>
              </w:rPr>
              <w:t>At least one activity at each level.</w:t>
            </w:r>
          </w:p>
        </w:tc>
      </w:tr>
      <w:tr w:rsidR="001D06BF" w:rsidRPr="001D0BD5" w14:paraId="79D9EC5E" w14:textId="77777777" w:rsidTr="00F01362">
        <w:trPr>
          <w:trHeight w:val="20"/>
        </w:trPr>
        <w:tc>
          <w:tcPr>
            <w:tcW w:w="0" w:type="auto"/>
            <w:vMerge/>
            <w:shd w:val="clear" w:color="auto" w:fill="auto"/>
            <w:hideMark/>
          </w:tcPr>
          <w:p w14:paraId="7B7296C8" w14:textId="77777777" w:rsidR="00111DAD" w:rsidRPr="001D0BD5" w:rsidRDefault="00111DAD" w:rsidP="003A2CCC">
            <w:pPr>
              <w:spacing w:after="0"/>
              <w:jc w:val="left"/>
              <w:rPr>
                <w:rFonts w:eastAsia="Times New Roman" w:cstheme="minorHAnsi"/>
                <w:color w:val="000000"/>
                <w:sz w:val="16"/>
                <w:szCs w:val="16"/>
                <w:lang w:val="en-US"/>
              </w:rPr>
            </w:pPr>
          </w:p>
        </w:tc>
        <w:tc>
          <w:tcPr>
            <w:tcW w:w="0" w:type="auto"/>
            <w:vMerge/>
            <w:shd w:val="clear" w:color="auto" w:fill="auto"/>
          </w:tcPr>
          <w:p w14:paraId="760F6CE4" w14:textId="77777777" w:rsidR="00111DAD" w:rsidRPr="001D0BD5" w:rsidRDefault="00111DAD" w:rsidP="003A2CCC">
            <w:pPr>
              <w:spacing w:after="0"/>
              <w:jc w:val="left"/>
              <w:rPr>
                <w:rFonts w:eastAsia="Times New Roman" w:cstheme="minorHAnsi"/>
                <w:color w:val="000000"/>
                <w:sz w:val="16"/>
                <w:szCs w:val="16"/>
                <w:lang w:val="en-US"/>
              </w:rPr>
            </w:pPr>
          </w:p>
        </w:tc>
        <w:tc>
          <w:tcPr>
            <w:tcW w:w="0" w:type="auto"/>
            <w:shd w:val="clear" w:color="auto" w:fill="auto"/>
            <w:hideMark/>
          </w:tcPr>
          <w:p w14:paraId="48D158F2" w14:textId="4E10D5F3" w:rsidR="00111DAD" w:rsidRPr="001F1B65" w:rsidRDefault="00111DAD" w:rsidP="003A2CCC">
            <w:pPr>
              <w:pStyle w:val="ListParagraph"/>
              <w:numPr>
                <w:ilvl w:val="0"/>
                <w:numId w:val="18"/>
              </w:numPr>
              <w:rPr>
                <w:rFonts w:eastAsia="Times New Roman" w:cstheme="minorHAnsi"/>
                <w:color w:val="000000"/>
                <w:sz w:val="16"/>
                <w:szCs w:val="16"/>
              </w:rPr>
            </w:pPr>
            <w:r w:rsidRPr="001F1B65">
              <w:rPr>
                <w:rFonts w:eastAsia="Times New Roman" w:cstheme="minorHAnsi"/>
                <w:color w:val="000000"/>
                <w:sz w:val="16"/>
                <w:szCs w:val="16"/>
              </w:rPr>
              <w:t>Effectiveness score for partner prevention programming</w:t>
            </w:r>
          </w:p>
        </w:tc>
        <w:tc>
          <w:tcPr>
            <w:tcW w:w="0" w:type="auto"/>
            <w:shd w:val="clear" w:color="auto" w:fill="auto"/>
            <w:hideMark/>
          </w:tcPr>
          <w:p w14:paraId="224E07F8" w14:textId="77777777" w:rsidR="00111DAD" w:rsidRPr="001D0BD5" w:rsidRDefault="00111DAD" w:rsidP="003A2CCC">
            <w:pPr>
              <w:spacing w:after="0"/>
              <w:jc w:val="left"/>
              <w:rPr>
                <w:rFonts w:eastAsia="Times New Roman" w:cstheme="minorHAnsi"/>
                <w:color w:val="000000"/>
                <w:sz w:val="16"/>
                <w:szCs w:val="16"/>
                <w:lang w:val="en-US"/>
              </w:rPr>
            </w:pPr>
            <w:r w:rsidRPr="001D0BD5">
              <w:rPr>
                <w:rFonts w:eastAsia="Times New Roman" w:cstheme="minorHAnsi"/>
                <w:color w:val="000000"/>
                <w:sz w:val="16"/>
                <w:szCs w:val="16"/>
                <w:lang w:val="en-US"/>
              </w:rPr>
              <w:t> </w:t>
            </w:r>
          </w:p>
        </w:tc>
        <w:tc>
          <w:tcPr>
            <w:tcW w:w="0" w:type="auto"/>
            <w:shd w:val="clear" w:color="auto" w:fill="auto"/>
            <w:hideMark/>
          </w:tcPr>
          <w:p w14:paraId="26947695" w14:textId="77777777" w:rsidR="00111DAD" w:rsidRPr="001D0BD5" w:rsidRDefault="00111DAD" w:rsidP="003A2CCC">
            <w:pPr>
              <w:spacing w:after="0"/>
              <w:jc w:val="left"/>
              <w:rPr>
                <w:rFonts w:eastAsia="Times New Roman" w:cstheme="minorHAnsi"/>
                <w:color w:val="000000"/>
                <w:sz w:val="16"/>
                <w:szCs w:val="16"/>
                <w:lang w:val="en-US"/>
              </w:rPr>
            </w:pPr>
            <w:r w:rsidRPr="001D0BD5">
              <w:rPr>
                <w:rFonts w:eastAsia="Times New Roman" w:cstheme="minorHAnsi"/>
                <w:color w:val="000000"/>
                <w:sz w:val="16"/>
                <w:szCs w:val="16"/>
                <w:lang w:val="en-US"/>
              </w:rPr>
              <w:t>Lancet Effectiveness Scale</w:t>
            </w:r>
          </w:p>
        </w:tc>
        <w:tc>
          <w:tcPr>
            <w:tcW w:w="0" w:type="auto"/>
            <w:shd w:val="clear" w:color="auto" w:fill="auto"/>
            <w:hideMark/>
          </w:tcPr>
          <w:p w14:paraId="28960287" w14:textId="1CC09E9A" w:rsidR="00111DAD" w:rsidRPr="001D0BD5" w:rsidRDefault="00111DAD" w:rsidP="003A2CCC">
            <w:pPr>
              <w:spacing w:after="0"/>
              <w:jc w:val="left"/>
              <w:rPr>
                <w:rFonts w:eastAsia="Times New Roman" w:cstheme="minorHAnsi"/>
                <w:color w:val="000000"/>
                <w:sz w:val="16"/>
                <w:szCs w:val="16"/>
                <w:lang w:val="en-US"/>
              </w:rPr>
            </w:pPr>
            <w:r w:rsidRPr="001D0BD5">
              <w:rPr>
                <w:rFonts w:eastAsia="Times New Roman" w:cstheme="minorHAnsi"/>
                <w:color w:val="000000"/>
                <w:sz w:val="16"/>
                <w:szCs w:val="16"/>
                <w:lang w:val="en-US"/>
              </w:rPr>
              <w:t> </w:t>
            </w:r>
            <w:r>
              <w:rPr>
                <w:rFonts w:eastAsia="Times New Roman" w:cstheme="minorHAnsi"/>
                <w:color w:val="000000"/>
                <w:sz w:val="16"/>
                <w:szCs w:val="16"/>
                <w:lang w:val="en-US"/>
              </w:rPr>
              <w:t>Available – 2017</w:t>
            </w:r>
          </w:p>
        </w:tc>
        <w:tc>
          <w:tcPr>
            <w:tcW w:w="0" w:type="auto"/>
            <w:shd w:val="clear" w:color="auto" w:fill="auto"/>
            <w:hideMark/>
          </w:tcPr>
          <w:p w14:paraId="1DEBCB10" w14:textId="77777777" w:rsidR="00111DAD" w:rsidRPr="001D0BD5" w:rsidRDefault="00111DAD" w:rsidP="003A2CCC">
            <w:pPr>
              <w:spacing w:after="0"/>
              <w:jc w:val="left"/>
              <w:rPr>
                <w:rFonts w:eastAsia="Times New Roman" w:cstheme="minorHAnsi"/>
                <w:color w:val="000000"/>
                <w:sz w:val="16"/>
                <w:szCs w:val="16"/>
                <w:lang w:val="en-US"/>
              </w:rPr>
            </w:pPr>
            <w:r w:rsidRPr="001D0BD5">
              <w:rPr>
                <w:rFonts w:eastAsia="Times New Roman" w:cstheme="minorHAnsi"/>
                <w:color w:val="000000"/>
                <w:sz w:val="16"/>
                <w:szCs w:val="16"/>
                <w:lang w:val="en-US"/>
              </w:rPr>
              <w:t>Each partner has an annual score increase of at least 5%, or reaches score of 28 by 2022.</w:t>
            </w:r>
          </w:p>
        </w:tc>
      </w:tr>
      <w:tr w:rsidR="001D06BF" w:rsidRPr="001D0BD5" w14:paraId="2BB6386E" w14:textId="77777777" w:rsidTr="00F01362">
        <w:trPr>
          <w:trHeight w:val="20"/>
        </w:trPr>
        <w:tc>
          <w:tcPr>
            <w:tcW w:w="0" w:type="auto"/>
            <w:shd w:val="clear" w:color="auto" w:fill="auto"/>
            <w:hideMark/>
          </w:tcPr>
          <w:p w14:paraId="384DBDE5" w14:textId="07EFFAB1" w:rsidR="00111DAD" w:rsidRPr="001D0BD5" w:rsidRDefault="00111DAD" w:rsidP="003A2CCC">
            <w:pPr>
              <w:spacing w:after="0"/>
              <w:jc w:val="left"/>
              <w:rPr>
                <w:rFonts w:eastAsia="Times New Roman" w:cstheme="minorHAnsi"/>
                <w:color w:val="000000"/>
                <w:sz w:val="16"/>
                <w:szCs w:val="16"/>
                <w:lang w:val="en-US"/>
              </w:rPr>
            </w:pPr>
            <w:r w:rsidRPr="001D0BD5">
              <w:rPr>
                <w:rFonts w:eastAsia="Times New Roman" w:cstheme="minorHAnsi"/>
                <w:color w:val="000000"/>
                <w:sz w:val="16"/>
                <w:szCs w:val="16"/>
                <w:lang w:val="en-US"/>
              </w:rPr>
              <w:t>2.2 How has Nabilan contributed to independent women's movement's advocacy on gender equity and ending VAWC?</w:t>
            </w:r>
          </w:p>
        </w:tc>
        <w:tc>
          <w:tcPr>
            <w:tcW w:w="0" w:type="auto"/>
            <w:shd w:val="clear" w:color="auto" w:fill="auto"/>
          </w:tcPr>
          <w:p w14:paraId="197ADBD3" w14:textId="77777777" w:rsidR="00111DAD" w:rsidRPr="001D0BD5" w:rsidRDefault="00111DAD" w:rsidP="003A2CCC">
            <w:pPr>
              <w:spacing w:after="0"/>
              <w:jc w:val="left"/>
              <w:rPr>
                <w:rFonts w:eastAsia="Times New Roman" w:cstheme="minorHAnsi"/>
                <w:color w:val="000000"/>
                <w:sz w:val="16"/>
                <w:szCs w:val="16"/>
                <w:lang w:val="en-US"/>
              </w:rPr>
            </w:pPr>
            <w:r w:rsidRPr="001D0BD5">
              <w:rPr>
                <w:rFonts w:eastAsia="Times New Roman" w:cstheme="minorHAnsi"/>
                <w:color w:val="000000"/>
                <w:sz w:val="16"/>
                <w:szCs w:val="16"/>
                <w:lang w:val="en-US"/>
              </w:rPr>
              <w:t xml:space="preserve">ImO2.1 The Independent women’s movement is supported to promote gender equity and is empowered to advocate for social change  </w:t>
            </w:r>
          </w:p>
        </w:tc>
        <w:tc>
          <w:tcPr>
            <w:tcW w:w="0" w:type="auto"/>
            <w:shd w:val="clear" w:color="auto" w:fill="auto"/>
            <w:hideMark/>
          </w:tcPr>
          <w:p w14:paraId="194FFB22" w14:textId="7989B9A4" w:rsidR="00111DAD" w:rsidRPr="001F1B65" w:rsidRDefault="00111DAD" w:rsidP="003A2CCC">
            <w:pPr>
              <w:pStyle w:val="ListParagraph"/>
              <w:numPr>
                <w:ilvl w:val="0"/>
                <w:numId w:val="18"/>
              </w:numPr>
              <w:rPr>
                <w:rFonts w:eastAsia="Times New Roman" w:cstheme="minorHAnsi"/>
                <w:color w:val="000000"/>
                <w:sz w:val="16"/>
                <w:szCs w:val="16"/>
              </w:rPr>
            </w:pPr>
            <w:r w:rsidRPr="001F1B65">
              <w:rPr>
                <w:rFonts w:eastAsia="Times New Roman" w:cstheme="minorHAnsi"/>
                <w:color w:val="000000"/>
                <w:sz w:val="16"/>
                <w:szCs w:val="16"/>
              </w:rPr>
              <w:t>Instances of Nabilan support to the independent women's movement to advocate on preventing VAWC</w:t>
            </w:r>
          </w:p>
        </w:tc>
        <w:tc>
          <w:tcPr>
            <w:tcW w:w="0" w:type="auto"/>
            <w:shd w:val="clear" w:color="auto" w:fill="auto"/>
            <w:hideMark/>
          </w:tcPr>
          <w:p w14:paraId="2C61F3C9" w14:textId="77777777" w:rsidR="00111DAD" w:rsidRPr="001D0BD5" w:rsidRDefault="00111DAD" w:rsidP="003A2CCC">
            <w:pPr>
              <w:spacing w:after="0"/>
              <w:jc w:val="left"/>
              <w:rPr>
                <w:rFonts w:eastAsia="Times New Roman" w:cstheme="minorHAnsi"/>
                <w:color w:val="000000"/>
                <w:sz w:val="16"/>
                <w:szCs w:val="16"/>
                <w:lang w:val="en-US"/>
              </w:rPr>
            </w:pPr>
            <w:r w:rsidRPr="001D0BD5">
              <w:rPr>
                <w:rFonts w:eastAsia="Times New Roman" w:cstheme="minorHAnsi"/>
                <w:color w:val="000000"/>
                <w:sz w:val="16"/>
                <w:szCs w:val="16"/>
                <w:lang w:val="en-US"/>
              </w:rPr>
              <w:t>Indicator 14: Instances of women’s leadership opportunities and empowerment</w:t>
            </w:r>
          </w:p>
        </w:tc>
        <w:tc>
          <w:tcPr>
            <w:tcW w:w="0" w:type="auto"/>
            <w:shd w:val="clear" w:color="auto" w:fill="auto"/>
            <w:hideMark/>
          </w:tcPr>
          <w:p w14:paraId="44D234D8" w14:textId="77777777" w:rsidR="00111DAD" w:rsidRPr="008C7A40" w:rsidRDefault="00111DAD" w:rsidP="003A2CCC">
            <w:pPr>
              <w:jc w:val="left"/>
              <w:rPr>
                <w:rFonts w:eastAsia="Times New Roman" w:cstheme="minorHAnsi"/>
                <w:color w:val="000000"/>
                <w:sz w:val="16"/>
                <w:szCs w:val="16"/>
              </w:rPr>
            </w:pPr>
            <w:r w:rsidRPr="008C7A40">
              <w:rPr>
                <w:rFonts w:eastAsia="Times New Roman" w:cstheme="minorHAnsi"/>
                <w:color w:val="000000"/>
                <w:sz w:val="16"/>
                <w:szCs w:val="16"/>
              </w:rPr>
              <w:t xml:space="preserve">Stories of significant change </w:t>
            </w:r>
          </w:p>
          <w:p w14:paraId="36C34EAE" w14:textId="77777777" w:rsidR="00111DAD" w:rsidRPr="00375B52" w:rsidRDefault="00111DAD" w:rsidP="003A2CCC">
            <w:pPr>
              <w:pStyle w:val="ListParagraph"/>
              <w:ind w:left="360" w:firstLine="0"/>
              <w:rPr>
                <w:rFonts w:eastAsia="Times New Roman" w:cstheme="minorHAnsi"/>
                <w:color w:val="000000"/>
                <w:sz w:val="16"/>
                <w:szCs w:val="16"/>
              </w:rPr>
            </w:pPr>
          </w:p>
        </w:tc>
        <w:tc>
          <w:tcPr>
            <w:tcW w:w="0" w:type="auto"/>
            <w:shd w:val="clear" w:color="auto" w:fill="auto"/>
            <w:hideMark/>
          </w:tcPr>
          <w:p w14:paraId="7DAE4D16" w14:textId="74C6E905" w:rsidR="00111DAD" w:rsidRPr="001D0BD5" w:rsidRDefault="00111DAD" w:rsidP="003A2CCC">
            <w:pPr>
              <w:spacing w:after="0"/>
              <w:jc w:val="left"/>
              <w:rPr>
                <w:rFonts w:eastAsia="Times New Roman" w:cstheme="minorHAnsi"/>
                <w:color w:val="000000"/>
                <w:sz w:val="16"/>
                <w:szCs w:val="16"/>
                <w:lang w:val="en-US"/>
              </w:rPr>
            </w:pPr>
            <w:r w:rsidRPr="001D0BD5">
              <w:rPr>
                <w:rFonts w:eastAsia="Times New Roman" w:cstheme="minorHAnsi"/>
                <w:color w:val="000000"/>
                <w:sz w:val="16"/>
                <w:szCs w:val="16"/>
                <w:lang w:val="en-US"/>
              </w:rPr>
              <w:t> </w:t>
            </w:r>
            <w:r>
              <w:rPr>
                <w:rFonts w:eastAsia="Times New Roman" w:cstheme="minorHAnsi"/>
                <w:color w:val="000000"/>
                <w:sz w:val="16"/>
                <w:szCs w:val="16"/>
                <w:lang w:val="en-US"/>
              </w:rPr>
              <w:t>N/A</w:t>
            </w:r>
          </w:p>
        </w:tc>
        <w:tc>
          <w:tcPr>
            <w:tcW w:w="0" w:type="auto"/>
            <w:shd w:val="clear" w:color="auto" w:fill="auto"/>
            <w:hideMark/>
          </w:tcPr>
          <w:p w14:paraId="22D04A11" w14:textId="1A1A6DFE" w:rsidR="00111DAD" w:rsidRPr="001D0BD5" w:rsidRDefault="00111DAD" w:rsidP="003A2CCC">
            <w:pPr>
              <w:spacing w:after="0"/>
              <w:jc w:val="left"/>
              <w:rPr>
                <w:rFonts w:eastAsia="Times New Roman" w:cstheme="minorHAnsi"/>
                <w:color w:val="000000"/>
                <w:sz w:val="16"/>
                <w:szCs w:val="16"/>
                <w:lang w:val="en-US"/>
              </w:rPr>
            </w:pPr>
            <w:r>
              <w:rPr>
                <w:rFonts w:eastAsia="Times New Roman" w:cstheme="minorHAnsi"/>
                <w:color w:val="000000"/>
                <w:sz w:val="16"/>
                <w:szCs w:val="16"/>
                <w:lang w:val="en-US"/>
              </w:rPr>
              <w:t>N/A</w:t>
            </w:r>
          </w:p>
        </w:tc>
      </w:tr>
      <w:tr w:rsidR="001D06BF" w:rsidRPr="001D0BD5" w14:paraId="75A70931" w14:textId="77777777" w:rsidTr="00F01362">
        <w:trPr>
          <w:trHeight w:val="20"/>
        </w:trPr>
        <w:tc>
          <w:tcPr>
            <w:tcW w:w="0" w:type="auto"/>
            <w:shd w:val="clear" w:color="auto" w:fill="auto"/>
            <w:hideMark/>
          </w:tcPr>
          <w:p w14:paraId="089FAE07" w14:textId="77777777" w:rsidR="00111DAD" w:rsidRPr="001D0BD5" w:rsidRDefault="00111DAD" w:rsidP="003A2CCC">
            <w:pPr>
              <w:spacing w:after="0"/>
              <w:jc w:val="left"/>
              <w:rPr>
                <w:rFonts w:eastAsia="Times New Roman" w:cstheme="minorHAnsi"/>
                <w:color w:val="000000"/>
                <w:sz w:val="16"/>
                <w:szCs w:val="16"/>
                <w:lang w:val="en-US"/>
              </w:rPr>
            </w:pPr>
            <w:r w:rsidRPr="001D0BD5">
              <w:rPr>
                <w:rFonts w:eastAsia="Times New Roman" w:cstheme="minorHAnsi"/>
                <w:color w:val="000000"/>
                <w:sz w:val="16"/>
                <w:szCs w:val="16"/>
                <w:lang w:val="en-US"/>
              </w:rPr>
              <w:t>2.3 To what extent has Nabilan influenced increased GOTL dialogue and action on preventing VAWC?</w:t>
            </w:r>
          </w:p>
        </w:tc>
        <w:tc>
          <w:tcPr>
            <w:tcW w:w="0" w:type="auto"/>
            <w:shd w:val="clear" w:color="auto" w:fill="auto"/>
          </w:tcPr>
          <w:p w14:paraId="70E402C1" w14:textId="77777777" w:rsidR="00111DAD" w:rsidRPr="001D0BD5" w:rsidRDefault="00111DAD" w:rsidP="003A2CCC">
            <w:pPr>
              <w:spacing w:after="0"/>
              <w:jc w:val="left"/>
              <w:rPr>
                <w:rFonts w:eastAsia="Times New Roman" w:cstheme="minorHAnsi"/>
                <w:color w:val="000000"/>
                <w:sz w:val="16"/>
                <w:szCs w:val="16"/>
                <w:lang w:val="en-US"/>
              </w:rPr>
            </w:pPr>
            <w:r w:rsidRPr="001D0BD5">
              <w:rPr>
                <w:rFonts w:eastAsia="Times New Roman" w:cstheme="minorHAnsi"/>
                <w:color w:val="000000"/>
                <w:sz w:val="16"/>
                <w:szCs w:val="16"/>
                <w:lang w:val="en-US"/>
              </w:rPr>
              <w:t xml:space="preserve">ImO2.3 Selected GoTL agencies have improved knowledge to implement effective prevention approaches </w:t>
            </w:r>
          </w:p>
        </w:tc>
        <w:tc>
          <w:tcPr>
            <w:tcW w:w="0" w:type="auto"/>
            <w:shd w:val="clear" w:color="auto" w:fill="auto"/>
            <w:hideMark/>
          </w:tcPr>
          <w:p w14:paraId="764A9980" w14:textId="0DF2ECD8" w:rsidR="00111DAD" w:rsidRPr="001F1B65" w:rsidRDefault="00111DAD" w:rsidP="003A2CCC">
            <w:pPr>
              <w:pStyle w:val="ListParagraph"/>
              <w:numPr>
                <w:ilvl w:val="0"/>
                <w:numId w:val="18"/>
              </w:numPr>
              <w:rPr>
                <w:rFonts w:eastAsia="Times New Roman" w:cstheme="minorHAnsi"/>
                <w:color w:val="000000"/>
                <w:sz w:val="16"/>
                <w:szCs w:val="16"/>
              </w:rPr>
            </w:pPr>
            <w:r w:rsidRPr="001F1B65">
              <w:rPr>
                <w:rFonts w:eastAsia="Times New Roman" w:cstheme="minorHAnsi"/>
                <w:color w:val="000000"/>
                <w:sz w:val="16"/>
                <w:szCs w:val="16"/>
              </w:rPr>
              <w:t>Instances of Nabilan supporting Government agencies to integrate effective prevention messaging in their own programs</w:t>
            </w:r>
          </w:p>
        </w:tc>
        <w:tc>
          <w:tcPr>
            <w:tcW w:w="0" w:type="auto"/>
            <w:shd w:val="clear" w:color="auto" w:fill="auto"/>
            <w:hideMark/>
          </w:tcPr>
          <w:p w14:paraId="26EFB937" w14:textId="0B6BC737" w:rsidR="00111DAD" w:rsidRPr="001D0BD5" w:rsidRDefault="00111DAD" w:rsidP="003A2CCC">
            <w:pPr>
              <w:spacing w:after="0"/>
              <w:jc w:val="left"/>
              <w:rPr>
                <w:rFonts w:eastAsia="Times New Roman" w:cstheme="minorHAnsi"/>
                <w:color w:val="000000"/>
                <w:sz w:val="16"/>
                <w:szCs w:val="16"/>
                <w:lang w:val="en-US"/>
              </w:rPr>
            </w:pPr>
            <w:r>
              <w:rPr>
                <w:rFonts w:eastAsia="Times New Roman" w:cstheme="minorHAnsi"/>
                <w:color w:val="000000"/>
                <w:sz w:val="16"/>
                <w:szCs w:val="16"/>
                <w:lang w:val="en-US"/>
              </w:rPr>
              <w:t>Indicator 18: Instances of improved policy and implementation; Indicator 19: Instances of evidence available for decision makers</w:t>
            </w:r>
          </w:p>
        </w:tc>
        <w:tc>
          <w:tcPr>
            <w:tcW w:w="0" w:type="auto"/>
            <w:shd w:val="clear" w:color="auto" w:fill="auto"/>
            <w:hideMark/>
          </w:tcPr>
          <w:p w14:paraId="55A1343E" w14:textId="479EEE28" w:rsidR="00111DAD" w:rsidRPr="001D0BD5" w:rsidRDefault="00111DAD" w:rsidP="003A2CCC">
            <w:pPr>
              <w:spacing w:after="0"/>
              <w:jc w:val="left"/>
              <w:rPr>
                <w:rFonts w:eastAsia="Times New Roman" w:cstheme="minorHAnsi"/>
                <w:color w:val="000000"/>
                <w:sz w:val="16"/>
                <w:szCs w:val="16"/>
                <w:lang w:val="en-US"/>
              </w:rPr>
            </w:pPr>
            <w:r>
              <w:rPr>
                <w:rFonts w:eastAsia="Times New Roman" w:cstheme="minorHAnsi"/>
                <w:color w:val="000000"/>
                <w:sz w:val="16"/>
                <w:szCs w:val="16"/>
                <w:lang w:val="en-US"/>
              </w:rPr>
              <w:t>Stories of significant change</w:t>
            </w:r>
          </w:p>
        </w:tc>
        <w:tc>
          <w:tcPr>
            <w:tcW w:w="0" w:type="auto"/>
            <w:shd w:val="clear" w:color="auto" w:fill="auto"/>
            <w:hideMark/>
          </w:tcPr>
          <w:p w14:paraId="245E1062" w14:textId="5731EB6E" w:rsidR="00111DAD" w:rsidRPr="001D0BD5" w:rsidRDefault="00111DAD" w:rsidP="003A2CCC">
            <w:pPr>
              <w:spacing w:after="0"/>
              <w:jc w:val="left"/>
              <w:rPr>
                <w:rFonts w:eastAsia="Times New Roman" w:cstheme="minorHAnsi"/>
                <w:color w:val="000000"/>
                <w:sz w:val="16"/>
                <w:szCs w:val="16"/>
                <w:lang w:val="en-US"/>
              </w:rPr>
            </w:pPr>
            <w:r w:rsidRPr="001D0BD5">
              <w:rPr>
                <w:rFonts w:eastAsia="Times New Roman" w:cstheme="minorHAnsi"/>
                <w:color w:val="000000"/>
                <w:sz w:val="16"/>
                <w:szCs w:val="16"/>
                <w:lang w:val="en-US"/>
              </w:rPr>
              <w:t> </w:t>
            </w:r>
            <w:r>
              <w:rPr>
                <w:rFonts w:eastAsia="Times New Roman" w:cstheme="minorHAnsi"/>
                <w:color w:val="000000"/>
                <w:sz w:val="16"/>
                <w:szCs w:val="16"/>
                <w:lang w:val="en-US"/>
              </w:rPr>
              <w:t>N/A</w:t>
            </w:r>
          </w:p>
        </w:tc>
        <w:tc>
          <w:tcPr>
            <w:tcW w:w="0" w:type="auto"/>
            <w:shd w:val="clear" w:color="auto" w:fill="auto"/>
            <w:hideMark/>
          </w:tcPr>
          <w:p w14:paraId="47A73B9E" w14:textId="60689462" w:rsidR="00111DAD" w:rsidRPr="001D0BD5" w:rsidRDefault="00111DAD" w:rsidP="003A2CCC">
            <w:pPr>
              <w:spacing w:after="0"/>
              <w:jc w:val="left"/>
              <w:rPr>
                <w:rFonts w:eastAsia="Times New Roman" w:cstheme="minorHAnsi"/>
                <w:color w:val="000000"/>
                <w:sz w:val="16"/>
                <w:szCs w:val="16"/>
                <w:lang w:val="en-US"/>
              </w:rPr>
            </w:pPr>
            <w:r>
              <w:rPr>
                <w:rFonts w:eastAsia="Times New Roman" w:cstheme="minorHAnsi"/>
                <w:color w:val="000000"/>
                <w:sz w:val="16"/>
                <w:szCs w:val="16"/>
                <w:lang w:val="en-US"/>
              </w:rPr>
              <w:t>N/A</w:t>
            </w:r>
          </w:p>
        </w:tc>
      </w:tr>
      <w:tr w:rsidR="00EC782D" w:rsidRPr="001D0BD5" w14:paraId="64BD8AE9" w14:textId="77777777" w:rsidTr="00410AC6">
        <w:trPr>
          <w:trHeight w:val="1573"/>
        </w:trPr>
        <w:tc>
          <w:tcPr>
            <w:tcW w:w="0" w:type="auto"/>
            <w:vMerge w:val="restart"/>
            <w:shd w:val="clear" w:color="auto" w:fill="auto"/>
            <w:hideMark/>
          </w:tcPr>
          <w:p w14:paraId="2418931D" w14:textId="77777777" w:rsidR="00EC782D" w:rsidRPr="001D0BD5" w:rsidRDefault="00EC782D" w:rsidP="003A2CCC">
            <w:pPr>
              <w:spacing w:after="0"/>
              <w:jc w:val="left"/>
              <w:rPr>
                <w:rFonts w:eastAsia="Times New Roman" w:cstheme="minorHAnsi"/>
                <w:color w:val="000000"/>
                <w:sz w:val="16"/>
                <w:szCs w:val="16"/>
                <w:lang w:val="en-US"/>
              </w:rPr>
            </w:pPr>
            <w:r w:rsidRPr="001D0BD5">
              <w:rPr>
                <w:rFonts w:eastAsia="Times New Roman" w:cstheme="minorHAnsi"/>
                <w:color w:val="000000"/>
                <w:sz w:val="16"/>
                <w:szCs w:val="16"/>
                <w:lang w:val="en-US"/>
              </w:rPr>
              <w:t xml:space="preserve">2.4 Is Nabilan effectively supporting Change Ambassadors to influence their programs </w:t>
            </w:r>
            <w:r>
              <w:rPr>
                <w:rFonts w:eastAsia="Times New Roman" w:cstheme="minorHAnsi"/>
                <w:color w:val="000000"/>
                <w:sz w:val="16"/>
                <w:szCs w:val="16"/>
                <w:lang w:val="en-US"/>
              </w:rPr>
              <w:t>to integrate</w:t>
            </w:r>
            <w:r w:rsidRPr="001D0BD5">
              <w:rPr>
                <w:rFonts w:eastAsia="Times New Roman" w:cstheme="minorHAnsi"/>
                <w:color w:val="000000"/>
                <w:sz w:val="16"/>
                <w:szCs w:val="16"/>
                <w:lang w:val="en-US"/>
              </w:rPr>
              <w:t xml:space="preserve"> quality prevention approaches? </w:t>
            </w:r>
          </w:p>
          <w:p w14:paraId="5DD0922E" w14:textId="77777777" w:rsidR="00EC782D" w:rsidRPr="001D0BD5" w:rsidRDefault="00EC782D" w:rsidP="003A2CCC">
            <w:pPr>
              <w:spacing w:after="0"/>
              <w:jc w:val="left"/>
              <w:rPr>
                <w:rFonts w:eastAsia="Times New Roman" w:cstheme="minorHAnsi"/>
                <w:color w:val="000000"/>
                <w:sz w:val="16"/>
                <w:szCs w:val="16"/>
                <w:lang w:val="en-US"/>
              </w:rPr>
            </w:pPr>
            <w:r w:rsidRPr="001D0BD5">
              <w:rPr>
                <w:rFonts w:eastAsia="Times New Roman" w:cstheme="minorHAnsi"/>
                <w:color w:val="000000"/>
                <w:sz w:val="16"/>
                <w:szCs w:val="16"/>
                <w:lang w:val="en-US"/>
              </w:rPr>
              <w:t> </w:t>
            </w:r>
          </w:p>
          <w:p w14:paraId="2584D5F7" w14:textId="77777777" w:rsidR="00EC782D" w:rsidRPr="001D0BD5" w:rsidRDefault="00EC782D" w:rsidP="003A2CCC">
            <w:pPr>
              <w:spacing w:after="0"/>
              <w:jc w:val="left"/>
              <w:rPr>
                <w:rFonts w:eastAsia="Times New Roman" w:cstheme="minorHAnsi"/>
                <w:color w:val="000000"/>
                <w:sz w:val="16"/>
                <w:szCs w:val="16"/>
                <w:lang w:val="en-US"/>
              </w:rPr>
            </w:pPr>
            <w:r w:rsidRPr="001D0BD5">
              <w:rPr>
                <w:rFonts w:eastAsia="Times New Roman" w:cstheme="minorHAnsi"/>
                <w:color w:val="000000"/>
                <w:sz w:val="16"/>
                <w:szCs w:val="16"/>
                <w:lang w:val="en-US"/>
              </w:rPr>
              <w:t> </w:t>
            </w:r>
          </w:p>
        </w:tc>
        <w:tc>
          <w:tcPr>
            <w:tcW w:w="0" w:type="auto"/>
            <w:vMerge w:val="restart"/>
            <w:shd w:val="clear" w:color="auto" w:fill="auto"/>
          </w:tcPr>
          <w:p w14:paraId="741123BE" w14:textId="77777777" w:rsidR="00EC782D" w:rsidRPr="001D0BD5" w:rsidRDefault="00EC782D" w:rsidP="003A2CCC">
            <w:pPr>
              <w:spacing w:after="0"/>
              <w:jc w:val="left"/>
              <w:rPr>
                <w:rFonts w:eastAsia="Times New Roman" w:cstheme="minorHAnsi"/>
                <w:color w:val="000000"/>
                <w:sz w:val="16"/>
                <w:szCs w:val="16"/>
                <w:lang w:val="en-US"/>
              </w:rPr>
            </w:pPr>
            <w:r w:rsidRPr="001D0BD5">
              <w:rPr>
                <w:rFonts w:eastAsia="Times New Roman" w:cstheme="minorHAnsi"/>
                <w:color w:val="000000"/>
                <w:sz w:val="16"/>
                <w:szCs w:val="16"/>
                <w:lang w:val="en-US"/>
              </w:rPr>
              <w:t xml:space="preserve">ImO2.4 Change Ambassadors have the knowledge and are supported to influence the integration of quality prevention approaches </w:t>
            </w:r>
          </w:p>
          <w:p w14:paraId="50952702" w14:textId="77777777" w:rsidR="00EC782D" w:rsidRPr="001D0BD5" w:rsidRDefault="00EC782D" w:rsidP="003A2CCC">
            <w:pPr>
              <w:spacing w:after="0"/>
              <w:jc w:val="left"/>
              <w:rPr>
                <w:rFonts w:eastAsia="Times New Roman" w:cstheme="minorHAnsi"/>
                <w:color w:val="000000"/>
                <w:sz w:val="16"/>
                <w:szCs w:val="16"/>
                <w:lang w:val="en-US"/>
              </w:rPr>
            </w:pPr>
            <w:r w:rsidRPr="001D0BD5">
              <w:rPr>
                <w:rFonts w:eastAsia="Times New Roman" w:cstheme="minorHAnsi"/>
                <w:color w:val="000000"/>
                <w:sz w:val="16"/>
                <w:szCs w:val="16"/>
                <w:lang w:val="en-US"/>
              </w:rPr>
              <w:t> </w:t>
            </w:r>
          </w:p>
        </w:tc>
        <w:tc>
          <w:tcPr>
            <w:tcW w:w="0" w:type="auto"/>
            <w:shd w:val="clear" w:color="auto" w:fill="auto"/>
            <w:hideMark/>
          </w:tcPr>
          <w:p w14:paraId="050662A7" w14:textId="1DFE0D11" w:rsidR="00EC782D" w:rsidRPr="001F1B65" w:rsidRDefault="00EC782D" w:rsidP="003A2CCC">
            <w:pPr>
              <w:pStyle w:val="ListParagraph"/>
              <w:numPr>
                <w:ilvl w:val="0"/>
                <w:numId w:val="18"/>
              </w:numPr>
              <w:rPr>
                <w:rFonts w:eastAsia="Times New Roman" w:cstheme="minorHAnsi"/>
                <w:color w:val="000000"/>
                <w:sz w:val="16"/>
                <w:szCs w:val="16"/>
              </w:rPr>
            </w:pPr>
            <w:r w:rsidRPr="001F1B65">
              <w:rPr>
                <w:rFonts w:eastAsia="Times New Roman" w:cstheme="minorHAnsi"/>
                <w:color w:val="000000"/>
                <w:sz w:val="16"/>
                <w:szCs w:val="16"/>
              </w:rPr>
              <w:t>Examples of Change Ambassadors integrating quality prevention approaches into their own programs</w:t>
            </w:r>
          </w:p>
        </w:tc>
        <w:tc>
          <w:tcPr>
            <w:tcW w:w="0" w:type="auto"/>
            <w:shd w:val="clear" w:color="auto" w:fill="auto"/>
            <w:hideMark/>
          </w:tcPr>
          <w:p w14:paraId="61035BDC" w14:textId="77777777" w:rsidR="00EC782D" w:rsidRPr="001D0BD5" w:rsidRDefault="00EC782D" w:rsidP="003A2CCC">
            <w:pPr>
              <w:spacing w:after="0"/>
              <w:jc w:val="left"/>
              <w:rPr>
                <w:rFonts w:eastAsia="Times New Roman" w:cstheme="minorHAnsi"/>
                <w:color w:val="000000"/>
                <w:sz w:val="16"/>
                <w:szCs w:val="16"/>
                <w:lang w:val="en-US"/>
              </w:rPr>
            </w:pPr>
            <w:r w:rsidRPr="001D0BD5">
              <w:rPr>
                <w:rFonts w:eastAsia="Times New Roman" w:cstheme="minorHAnsi"/>
                <w:color w:val="000000"/>
                <w:sz w:val="16"/>
                <w:szCs w:val="16"/>
                <w:lang w:val="en-US"/>
              </w:rPr>
              <w:t> </w:t>
            </w:r>
          </w:p>
        </w:tc>
        <w:tc>
          <w:tcPr>
            <w:tcW w:w="0" w:type="auto"/>
            <w:shd w:val="clear" w:color="auto" w:fill="auto"/>
            <w:hideMark/>
          </w:tcPr>
          <w:p w14:paraId="58E7F3CB" w14:textId="6E68737A" w:rsidR="00EC782D" w:rsidRPr="001D0BD5" w:rsidRDefault="00EC782D" w:rsidP="003A2CCC">
            <w:pPr>
              <w:spacing w:after="0"/>
              <w:jc w:val="left"/>
              <w:rPr>
                <w:rFonts w:eastAsia="Times New Roman" w:cstheme="minorHAnsi"/>
                <w:color w:val="000000"/>
                <w:sz w:val="16"/>
                <w:szCs w:val="16"/>
                <w:lang w:val="en-US"/>
              </w:rPr>
            </w:pPr>
            <w:r>
              <w:rPr>
                <w:rFonts w:eastAsia="Times New Roman" w:cstheme="minorHAnsi"/>
                <w:color w:val="000000"/>
                <w:sz w:val="16"/>
                <w:szCs w:val="16"/>
                <w:lang w:val="en-US"/>
              </w:rPr>
              <w:t>Change Ambassador interviews</w:t>
            </w:r>
          </w:p>
        </w:tc>
        <w:tc>
          <w:tcPr>
            <w:tcW w:w="0" w:type="auto"/>
            <w:shd w:val="clear" w:color="auto" w:fill="auto"/>
            <w:hideMark/>
          </w:tcPr>
          <w:p w14:paraId="558089A9" w14:textId="33E16D74" w:rsidR="00EC782D" w:rsidRPr="001D0BD5" w:rsidRDefault="00EC782D" w:rsidP="003A2CCC">
            <w:pPr>
              <w:spacing w:after="0"/>
              <w:jc w:val="left"/>
              <w:rPr>
                <w:rFonts w:eastAsia="Times New Roman" w:cstheme="minorHAnsi"/>
                <w:color w:val="000000"/>
                <w:sz w:val="16"/>
                <w:szCs w:val="16"/>
                <w:lang w:val="en-US"/>
              </w:rPr>
            </w:pPr>
            <w:r>
              <w:rPr>
                <w:rFonts w:eastAsia="Times New Roman" w:cstheme="minorHAnsi"/>
                <w:color w:val="000000"/>
                <w:sz w:val="16"/>
                <w:szCs w:val="16"/>
                <w:lang w:val="en-US"/>
              </w:rPr>
              <w:t>N/A</w:t>
            </w:r>
          </w:p>
        </w:tc>
        <w:tc>
          <w:tcPr>
            <w:tcW w:w="0" w:type="auto"/>
            <w:shd w:val="clear" w:color="auto" w:fill="auto"/>
            <w:hideMark/>
          </w:tcPr>
          <w:p w14:paraId="3F2E0D35" w14:textId="70439974" w:rsidR="00EC782D" w:rsidRPr="001D0BD5" w:rsidRDefault="00EC782D" w:rsidP="003A2CCC">
            <w:pPr>
              <w:spacing w:after="0"/>
              <w:jc w:val="left"/>
              <w:rPr>
                <w:rFonts w:eastAsia="Times New Roman" w:cstheme="minorHAnsi"/>
                <w:color w:val="000000"/>
                <w:sz w:val="16"/>
                <w:szCs w:val="16"/>
                <w:lang w:val="en-US"/>
              </w:rPr>
            </w:pPr>
            <w:r>
              <w:rPr>
                <w:rFonts w:eastAsia="Times New Roman" w:cstheme="minorHAnsi"/>
                <w:color w:val="000000"/>
                <w:sz w:val="16"/>
                <w:szCs w:val="16"/>
                <w:lang w:val="en-US"/>
              </w:rPr>
              <w:t>N/A</w:t>
            </w:r>
          </w:p>
        </w:tc>
      </w:tr>
      <w:tr w:rsidR="001D06BF" w:rsidRPr="001D0BD5" w14:paraId="7DA575D1" w14:textId="77777777" w:rsidTr="00F01362">
        <w:trPr>
          <w:trHeight w:val="20"/>
        </w:trPr>
        <w:tc>
          <w:tcPr>
            <w:tcW w:w="0" w:type="auto"/>
            <w:vMerge/>
            <w:shd w:val="clear" w:color="auto" w:fill="auto"/>
            <w:hideMark/>
          </w:tcPr>
          <w:p w14:paraId="3B42A387" w14:textId="77777777" w:rsidR="00111DAD" w:rsidRPr="001D0BD5" w:rsidRDefault="00111DAD" w:rsidP="003A2CCC">
            <w:pPr>
              <w:spacing w:after="0"/>
              <w:jc w:val="left"/>
              <w:rPr>
                <w:rFonts w:eastAsia="Times New Roman" w:cstheme="minorHAnsi"/>
                <w:color w:val="000000"/>
                <w:sz w:val="16"/>
                <w:szCs w:val="16"/>
                <w:lang w:val="en-US"/>
              </w:rPr>
            </w:pPr>
          </w:p>
        </w:tc>
        <w:tc>
          <w:tcPr>
            <w:tcW w:w="0" w:type="auto"/>
            <w:vMerge/>
            <w:shd w:val="clear" w:color="auto" w:fill="auto"/>
          </w:tcPr>
          <w:p w14:paraId="06884E22" w14:textId="77777777" w:rsidR="00111DAD" w:rsidRPr="001D0BD5" w:rsidRDefault="00111DAD" w:rsidP="003A2CCC">
            <w:pPr>
              <w:spacing w:after="0"/>
              <w:jc w:val="left"/>
              <w:rPr>
                <w:rFonts w:eastAsia="Times New Roman" w:cstheme="minorHAnsi"/>
                <w:color w:val="000000"/>
                <w:sz w:val="16"/>
                <w:szCs w:val="16"/>
                <w:lang w:val="en-US"/>
              </w:rPr>
            </w:pPr>
          </w:p>
        </w:tc>
        <w:tc>
          <w:tcPr>
            <w:tcW w:w="0" w:type="auto"/>
            <w:shd w:val="clear" w:color="auto" w:fill="auto"/>
            <w:hideMark/>
          </w:tcPr>
          <w:p w14:paraId="362A2AE5" w14:textId="4ED01174" w:rsidR="00111DAD" w:rsidRPr="001F1B65" w:rsidRDefault="00111DAD" w:rsidP="003A2CCC">
            <w:pPr>
              <w:pStyle w:val="ListParagraph"/>
              <w:numPr>
                <w:ilvl w:val="0"/>
                <w:numId w:val="18"/>
              </w:numPr>
              <w:rPr>
                <w:rFonts w:eastAsia="Times New Roman" w:cstheme="minorHAnsi"/>
                <w:color w:val="000000"/>
                <w:sz w:val="16"/>
                <w:szCs w:val="16"/>
              </w:rPr>
            </w:pPr>
            <w:r w:rsidRPr="001F1B65">
              <w:rPr>
                <w:rFonts w:eastAsia="Times New Roman" w:cstheme="minorHAnsi"/>
                <w:color w:val="000000"/>
                <w:sz w:val="16"/>
                <w:szCs w:val="16"/>
              </w:rPr>
              <w:t>Number of Change Ambassadors who continue to participate in the network</w:t>
            </w:r>
          </w:p>
        </w:tc>
        <w:tc>
          <w:tcPr>
            <w:tcW w:w="0" w:type="auto"/>
            <w:shd w:val="clear" w:color="auto" w:fill="auto"/>
            <w:hideMark/>
          </w:tcPr>
          <w:p w14:paraId="0ABC640B" w14:textId="77777777" w:rsidR="00111DAD" w:rsidRPr="001D0BD5" w:rsidRDefault="00111DAD" w:rsidP="003A2CCC">
            <w:pPr>
              <w:spacing w:after="0"/>
              <w:jc w:val="left"/>
              <w:rPr>
                <w:rFonts w:eastAsia="Times New Roman" w:cstheme="minorHAnsi"/>
                <w:color w:val="000000"/>
                <w:sz w:val="16"/>
                <w:szCs w:val="16"/>
                <w:lang w:val="en-US"/>
              </w:rPr>
            </w:pPr>
            <w:r w:rsidRPr="001D0BD5">
              <w:rPr>
                <w:rFonts w:eastAsia="Times New Roman" w:cstheme="minorHAnsi"/>
                <w:color w:val="000000"/>
                <w:sz w:val="16"/>
                <w:szCs w:val="16"/>
                <w:lang w:val="en-US"/>
              </w:rPr>
              <w:t> </w:t>
            </w:r>
          </w:p>
        </w:tc>
        <w:tc>
          <w:tcPr>
            <w:tcW w:w="0" w:type="auto"/>
            <w:shd w:val="clear" w:color="auto" w:fill="auto"/>
            <w:hideMark/>
          </w:tcPr>
          <w:p w14:paraId="7856AD18" w14:textId="3039D7D5" w:rsidR="00111DAD" w:rsidRPr="001D0BD5" w:rsidRDefault="00111DAD" w:rsidP="003A2CCC">
            <w:pPr>
              <w:spacing w:after="0"/>
              <w:jc w:val="left"/>
              <w:rPr>
                <w:rFonts w:eastAsia="Times New Roman" w:cstheme="minorHAnsi"/>
                <w:color w:val="000000"/>
                <w:sz w:val="16"/>
                <w:szCs w:val="16"/>
                <w:lang w:val="en-US"/>
              </w:rPr>
            </w:pPr>
            <w:r>
              <w:rPr>
                <w:rFonts w:eastAsia="Times New Roman" w:cstheme="minorHAnsi"/>
                <w:color w:val="000000"/>
                <w:sz w:val="16"/>
                <w:szCs w:val="16"/>
                <w:lang w:val="en-US"/>
              </w:rPr>
              <w:t>Change Ambassador survey</w:t>
            </w:r>
          </w:p>
        </w:tc>
        <w:tc>
          <w:tcPr>
            <w:tcW w:w="0" w:type="auto"/>
            <w:shd w:val="clear" w:color="auto" w:fill="auto"/>
            <w:hideMark/>
          </w:tcPr>
          <w:p w14:paraId="303B6D47" w14:textId="3A3E4E45" w:rsidR="00111DAD" w:rsidRPr="001D0BD5" w:rsidRDefault="00111DAD" w:rsidP="003A2CCC">
            <w:pPr>
              <w:spacing w:after="0"/>
              <w:jc w:val="left"/>
              <w:rPr>
                <w:rFonts w:eastAsia="Times New Roman" w:cstheme="minorHAnsi"/>
                <w:color w:val="000000"/>
                <w:sz w:val="16"/>
                <w:szCs w:val="16"/>
                <w:lang w:val="en-US"/>
              </w:rPr>
            </w:pPr>
            <w:r>
              <w:rPr>
                <w:rFonts w:eastAsia="Times New Roman" w:cstheme="minorHAnsi"/>
                <w:color w:val="000000"/>
                <w:sz w:val="16"/>
                <w:szCs w:val="16"/>
                <w:lang w:val="en-US"/>
              </w:rPr>
              <w:t>No baseline data available</w:t>
            </w:r>
          </w:p>
        </w:tc>
        <w:tc>
          <w:tcPr>
            <w:tcW w:w="0" w:type="auto"/>
            <w:shd w:val="clear" w:color="auto" w:fill="auto"/>
            <w:hideMark/>
          </w:tcPr>
          <w:p w14:paraId="72DC047F" w14:textId="77777777" w:rsidR="00111DAD" w:rsidRPr="001D0BD5" w:rsidRDefault="00111DAD" w:rsidP="003A2CCC">
            <w:pPr>
              <w:spacing w:after="0"/>
              <w:jc w:val="left"/>
              <w:rPr>
                <w:rFonts w:eastAsia="Times New Roman" w:cstheme="minorHAnsi"/>
                <w:color w:val="000000"/>
                <w:sz w:val="16"/>
                <w:szCs w:val="16"/>
                <w:lang w:val="en-US"/>
              </w:rPr>
            </w:pPr>
            <w:r w:rsidRPr="001D0BD5">
              <w:rPr>
                <w:rFonts w:eastAsia="Times New Roman" w:cstheme="minorHAnsi"/>
                <w:color w:val="000000"/>
                <w:sz w:val="16"/>
                <w:szCs w:val="16"/>
                <w:lang w:val="en-US"/>
              </w:rPr>
              <w:t>20 by end 2019 have continued to participate in the network.</w:t>
            </w:r>
          </w:p>
        </w:tc>
      </w:tr>
      <w:tr w:rsidR="001D06BF" w:rsidRPr="001D0BD5" w14:paraId="0AC906E3" w14:textId="77777777" w:rsidTr="00F01362">
        <w:trPr>
          <w:trHeight w:val="20"/>
        </w:trPr>
        <w:tc>
          <w:tcPr>
            <w:tcW w:w="0" w:type="auto"/>
            <w:vMerge/>
            <w:shd w:val="clear" w:color="auto" w:fill="auto"/>
            <w:hideMark/>
          </w:tcPr>
          <w:p w14:paraId="4FA5D287" w14:textId="77777777" w:rsidR="00111DAD" w:rsidRPr="001D0BD5" w:rsidRDefault="00111DAD" w:rsidP="003A2CCC">
            <w:pPr>
              <w:spacing w:after="0"/>
              <w:jc w:val="left"/>
              <w:rPr>
                <w:rFonts w:eastAsia="Times New Roman" w:cstheme="minorHAnsi"/>
                <w:color w:val="000000"/>
                <w:sz w:val="16"/>
                <w:szCs w:val="16"/>
                <w:lang w:val="en-US"/>
              </w:rPr>
            </w:pPr>
          </w:p>
        </w:tc>
        <w:tc>
          <w:tcPr>
            <w:tcW w:w="0" w:type="auto"/>
            <w:vMerge/>
            <w:shd w:val="clear" w:color="auto" w:fill="auto"/>
          </w:tcPr>
          <w:p w14:paraId="278A6BC5" w14:textId="77777777" w:rsidR="00111DAD" w:rsidRPr="001D0BD5" w:rsidRDefault="00111DAD" w:rsidP="003A2CCC">
            <w:pPr>
              <w:spacing w:after="0"/>
              <w:jc w:val="left"/>
              <w:rPr>
                <w:rFonts w:eastAsia="Times New Roman" w:cstheme="minorHAnsi"/>
                <w:color w:val="000000"/>
                <w:sz w:val="16"/>
                <w:szCs w:val="16"/>
                <w:lang w:val="en-US"/>
              </w:rPr>
            </w:pPr>
          </w:p>
        </w:tc>
        <w:tc>
          <w:tcPr>
            <w:tcW w:w="0" w:type="auto"/>
            <w:shd w:val="clear" w:color="auto" w:fill="auto"/>
            <w:hideMark/>
          </w:tcPr>
          <w:p w14:paraId="04553F89" w14:textId="059AF034" w:rsidR="00111DAD" w:rsidRPr="001F1B65" w:rsidRDefault="00111DAD" w:rsidP="003A2CCC">
            <w:pPr>
              <w:pStyle w:val="ListParagraph"/>
              <w:numPr>
                <w:ilvl w:val="0"/>
                <w:numId w:val="18"/>
              </w:numPr>
              <w:rPr>
                <w:rFonts w:eastAsia="Times New Roman" w:cstheme="minorHAnsi"/>
                <w:color w:val="000000"/>
                <w:sz w:val="16"/>
                <w:szCs w:val="16"/>
              </w:rPr>
            </w:pPr>
            <w:r w:rsidRPr="001F1B65">
              <w:rPr>
                <w:rFonts w:eastAsia="Times New Roman" w:cstheme="minorHAnsi"/>
                <w:color w:val="000000"/>
                <w:sz w:val="16"/>
                <w:szCs w:val="16"/>
              </w:rPr>
              <w:t xml:space="preserve">Proportion of Change Ambassadors with improved knowledge and confidence to </w:t>
            </w:r>
            <w:r w:rsidR="00357FD8">
              <w:rPr>
                <w:rFonts w:eastAsia="Times New Roman" w:cstheme="minorHAnsi"/>
                <w:color w:val="000000"/>
                <w:sz w:val="16"/>
                <w:szCs w:val="16"/>
              </w:rPr>
              <w:t>advocate for the integration of</w:t>
            </w:r>
            <w:r w:rsidR="00357FD8" w:rsidRPr="001F1B65">
              <w:rPr>
                <w:rFonts w:eastAsia="Times New Roman" w:cstheme="minorHAnsi"/>
                <w:color w:val="000000"/>
                <w:sz w:val="16"/>
                <w:szCs w:val="16"/>
              </w:rPr>
              <w:t xml:space="preserve"> </w:t>
            </w:r>
            <w:r w:rsidRPr="001F1B65">
              <w:rPr>
                <w:rFonts w:eastAsia="Times New Roman" w:cstheme="minorHAnsi"/>
                <w:color w:val="000000"/>
                <w:sz w:val="16"/>
                <w:szCs w:val="16"/>
              </w:rPr>
              <w:t>effective prevention messaging into their own programs</w:t>
            </w:r>
          </w:p>
        </w:tc>
        <w:tc>
          <w:tcPr>
            <w:tcW w:w="0" w:type="auto"/>
            <w:shd w:val="clear" w:color="auto" w:fill="auto"/>
            <w:hideMark/>
          </w:tcPr>
          <w:p w14:paraId="55730B83" w14:textId="77777777" w:rsidR="00111DAD" w:rsidRPr="001D0BD5" w:rsidRDefault="00111DAD" w:rsidP="003A2CCC">
            <w:pPr>
              <w:spacing w:after="0"/>
              <w:jc w:val="left"/>
              <w:rPr>
                <w:rFonts w:eastAsia="Times New Roman" w:cstheme="minorHAnsi"/>
                <w:color w:val="000000"/>
                <w:sz w:val="16"/>
                <w:szCs w:val="16"/>
                <w:lang w:val="en-US"/>
              </w:rPr>
            </w:pPr>
            <w:r w:rsidRPr="001D0BD5">
              <w:rPr>
                <w:rFonts w:eastAsia="Times New Roman" w:cstheme="minorHAnsi"/>
                <w:color w:val="000000"/>
                <w:sz w:val="16"/>
                <w:szCs w:val="16"/>
                <w:lang w:val="en-US"/>
              </w:rPr>
              <w:t> </w:t>
            </w:r>
          </w:p>
        </w:tc>
        <w:tc>
          <w:tcPr>
            <w:tcW w:w="0" w:type="auto"/>
            <w:shd w:val="clear" w:color="auto" w:fill="auto"/>
            <w:hideMark/>
          </w:tcPr>
          <w:p w14:paraId="398D88E4" w14:textId="77777777" w:rsidR="00111DAD" w:rsidRPr="001D0BD5" w:rsidRDefault="00111DAD" w:rsidP="003A2CCC">
            <w:pPr>
              <w:spacing w:after="0"/>
              <w:jc w:val="left"/>
              <w:rPr>
                <w:rFonts w:eastAsia="Times New Roman" w:cstheme="minorHAnsi"/>
                <w:color w:val="000000"/>
                <w:sz w:val="16"/>
                <w:szCs w:val="16"/>
                <w:lang w:val="en-US"/>
              </w:rPr>
            </w:pPr>
            <w:r w:rsidRPr="001D0BD5">
              <w:rPr>
                <w:rFonts w:eastAsia="Times New Roman" w:cstheme="minorHAnsi"/>
                <w:color w:val="000000"/>
                <w:sz w:val="16"/>
                <w:szCs w:val="16"/>
                <w:lang w:val="en-US"/>
              </w:rPr>
              <w:t>Change Ambassador survey</w:t>
            </w:r>
          </w:p>
        </w:tc>
        <w:tc>
          <w:tcPr>
            <w:tcW w:w="0" w:type="auto"/>
            <w:shd w:val="clear" w:color="auto" w:fill="auto"/>
            <w:hideMark/>
          </w:tcPr>
          <w:p w14:paraId="05C966AD" w14:textId="509C1FAF" w:rsidR="00111DAD" w:rsidRPr="001D0BD5" w:rsidRDefault="00111DAD" w:rsidP="003A2CCC">
            <w:pPr>
              <w:spacing w:after="0"/>
              <w:jc w:val="left"/>
              <w:rPr>
                <w:rFonts w:eastAsia="Times New Roman" w:cstheme="minorHAnsi"/>
                <w:color w:val="000000"/>
                <w:sz w:val="16"/>
                <w:szCs w:val="16"/>
                <w:lang w:val="en-US"/>
              </w:rPr>
            </w:pPr>
            <w:r w:rsidRPr="001D0BD5">
              <w:rPr>
                <w:rFonts w:eastAsia="Times New Roman" w:cstheme="minorHAnsi"/>
                <w:color w:val="000000"/>
                <w:sz w:val="16"/>
                <w:szCs w:val="16"/>
                <w:lang w:val="en-US"/>
              </w:rPr>
              <w:t> </w:t>
            </w:r>
            <w:r>
              <w:rPr>
                <w:rFonts w:eastAsia="Times New Roman" w:cstheme="minorHAnsi"/>
                <w:color w:val="000000"/>
                <w:sz w:val="16"/>
                <w:szCs w:val="16"/>
                <w:lang w:val="en-US"/>
              </w:rPr>
              <w:t>No baseline data available</w:t>
            </w:r>
          </w:p>
        </w:tc>
        <w:tc>
          <w:tcPr>
            <w:tcW w:w="0" w:type="auto"/>
            <w:shd w:val="clear" w:color="auto" w:fill="auto"/>
            <w:hideMark/>
          </w:tcPr>
          <w:p w14:paraId="1A74B824" w14:textId="77777777" w:rsidR="00111DAD" w:rsidRPr="001D0BD5" w:rsidRDefault="00111DAD" w:rsidP="003A2CCC">
            <w:pPr>
              <w:spacing w:after="0"/>
              <w:jc w:val="left"/>
              <w:rPr>
                <w:rFonts w:eastAsia="Times New Roman" w:cstheme="minorHAnsi"/>
                <w:color w:val="000000"/>
                <w:sz w:val="16"/>
                <w:szCs w:val="16"/>
                <w:lang w:val="en-US"/>
              </w:rPr>
            </w:pPr>
            <w:r w:rsidRPr="001D0BD5">
              <w:rPr>
                <w:rFonts w:eastAsia="Times New Roman" w:cstheme="minorHAnsi"/>
                <w:color w:val="000000"/>
                <w:sz w:val="16"/>
                <w:szCs w:val="16"/>
                <w:lang w:val="en-US"/>
              </w:rPr>
              <w:t xml:space="preserve">At least 70% of Change Ambassadors have improved knowledge and feel confident about integrating effective prevention messaging into their programs. </w:t>
            </w:r>
          </w:p>
        </w:tc>
      </w:tr>
      <w:tr w:rsidR="001D06BF" w:rsidRPr="001D0BD5" w14:paraId="104579B1" w14:textId="77777777" w:rsidTr="00F01362">
        <w:trPr>
          <w:trHeight w:val="20"/>
        </w:trPr>
        <w:tc>
          <w:tcPr>
            <w:tcW w:w="0" w:type="auto"/>
            <w:shd w:val="clear" w:color="auto" w:fill="auto"/>
            <w:hideMark/>
          </w:tcPr>
          <w:p w14:paraId="5D19E2B8" w14:textId="77777777" w:rsidR="00111DAD" w:rsidRPr="001D0BD5" w:rsidRDefault="00111DAD" w:rsidP="003A2CCC">
            <w:pPr>
              <w:spacing w:after="0"/>
              <w:jc w:val="left"/>
              <w:rPr>
                <w:rFonts w:eastAsia="Times New Roman" w:cstheme="minorHAnsi"/>
                <w:sz w:val="16"/>
                <w:szCs w:val="16"/>
                <w:lang w:val="en-US"/>
              </w:rPr>
            </w:pPr>
            <w:r w:rsidRPr="001D0BD5">
              <w:rPr>
                <w:rFonts w:eastAsia="Times New Roman" w:cstheme="minorHAnsi"/>
                <w:sz w:val="16"/>
                <w:szCs w:val="16"/>
                <w:lang w:val="en-US"/>
              </w:rPr>
              <w:t>2.</w:t>
            </w:r>
            <w:r>
              <w:rPr>
                <w:rFonts w:eastAsia="Times New Roman" w:cstheme="minorHAnsi"/>
                <w:sz w:val="16"/>
                <w:szCs w:val="16"/>
                <w:lang w:val="en-US"/>
              </w:rPr>
              <w:t>5</w:t>
            </w:r>
            <w:r w:rsidRPr="001D0BD5">
              <w:rPr>
                <w:rFonts w:eastAsia="Times New Roman" w:cstheme="minorHAnsi"/>
                <w:sz w:val="16"/>
                <w:szCs w:val="16"/>
                <w:lang w:val="en-US"/>
              </w:rPr>
              <w:t xml:space="preserve"> To what extent has Nabilan supported individuals, communities and institutions to recognise VAWC as a problem? </w:t>
            </w:r>
          </w:p>
        </w:tc>
        <w:tc>
          <w:tcPr>
            <w:tcW w:w="0" w:type="auto"/>
            <w:shd w:val="clear" w:color="auto" w:fill="auto"/>
          </w:tcPr>
          <w:p w14:paraId="451B85C9" w14:textId="77777777" w:rsidR="00111DAD" w:rsidRPr="001D0BD5" w:rsidRDefault="00111DAD" w:rsidP="003A2CCC">
            <w:pPr>
              <w:spacing w:after="0"/>
              <w:jc w:val="left"/>
              <w:rPr>
                <w:rFonts w:eastAsia="Times New Roman" w:cstheme="minorHAnsi"/>
                <w:sz w:val="16"/>
                <w:szCs w:val="16"/>
                <w:lang w:val="en-US"/>
              </w:rPr>
            </w:pPr>
            <w:r w:rsidRPr="001D0BD5">
              <w:rPr>
                <w:rFonts w:eastAsia="Times New Roman" w:cstheme="minorHAnsi"/>
                <w:sz w:val="16"/>
                <w:szCs w:val="16"/>
                <w:lang w:val="en-US"/>
              </w:rPr>
              <w:t xml:space="preserve">IO2.2 Individuals, communities and institutions recognise VAWC as a problem </w:t>
            </w:r>
          </w:p>
        </w:tc>
        <w:tc>
          <w:tcPr>
            <w:tcW w:w="0" w:type="auto"/>
            <w:shd w:val="clear" w:color="auto" w:fill="auto"/>
            <w:hideMark/>
          </w:tcPr>
          <w:p w14:paraId="4BE83ACC" w14:textId="5D31BF48" w:rsidR="00111DAD" w:rsidRPr="001F1B65" w:rsidRDefault="00111DAD" w:rsidP="003A2CCC">
            <w:pPr>
              <w:pStyle w:val="ListParagraph"/>
              <w:numPr>
                <w:ilvl w:val="0"/>
                <w:numId w:val="18"/>
              </w:numPr>
              <w:rPr>
                <w:rFonts w:eastAsia="Times New Roman" w:cstheme="minorHAnsi"/>
                <w:sz w:val="16"/>
                <w:szCs w:val="16"/>
              </w:rPr>
            </w:pPr>
            <w:r w:rsidRPr="001F1B65">
              <w:rPr>
                <w:rFonts w:eastAsia="Times New Roman" w:cstheme="minorHAnsi"/>
                <w:sz w:val="16"/>
                <w:szCs w:val="16"/>
              </w:rPr>
              <w:t xml:space="preserve">Proportion of participants displaying improved knowledge and attitudes related about VAWC </w:t>
            </w:r>
            <w:r w:rsidRPr="001F1B65">
              <w:rPr>
                <w:rFonts w:eastAsia="Times New Roman" w:cstheme="minorHAnsi"/>
                <w:b/>
                <w:sz w:val="16"/>
                <w:szCs w:val="16"/>
              </w:rPr>
              <w:t>Disaggregation:</w:t>
            </w:r>
            <w:r w:rsidRPr="001F1B65">
              <w:rPr>
                <w:rFonts w:eastAsia="Times New Roman" w:cstheme="minorHAnsi"/>
                <w:sz w:val="16"/>
                <w:szCs w:val="16"/>
              </w:rPr>
              <w:t xml:space="preserve"> gender </w:t>
            </w:r>
          </w:p>
          <w:p w14:paraId="27248897" w14:textId="77777777" w:rsidR="00111DAD" w:rsidRPr="001D0BD5" w:rsidRDefault="00111DAD" w:rsidP="003A2CCC">
            <w:pPr>
              <w:spacing w:after="0"/>
              <w:jc w:val="left"/>
              <w:rPr>
                <w:rFonts w:eastAsia="Times New Roman" w:cstheme="minorHAnsi"/>
                <w:sz w:val="16"/>
                <w:szCs w:val="16"/>
                <w:lang w:val="en-US"/>
              </w:rPr>
            </w:pPr>
          </w:p>
          <w:p w14:paraId="3F98D296" w14:textId="09A96B1E" w:rsidR="00111DAD" w:rsidRPr="001D0BD5" w:rsidRDefault="00111DAD" w:rsidP="00777231">
            <w:pPr>
              <w:spacing w:after="0"/>
              <w:jc w:val="left"/>
              <w:rPr>
                <w:rFonts w:eastAsia="Times New Roman" w:cstheme="minorHAnsi"/>
                <w:sz w:val="16"/>
                <w:szCs w:val="16"/>
                <w:lang w:val="en-US"/>
              </w:rPr>
            </w:pPr>
            <w:r w:rsidRPr="001D0BD5">
              <w:rPr>
                <w:rFonts w:eastAsia="Times New Roman" w:cstheme="minorHAnsi"/>
                <w:sz w:val="16"/>
                <w:szCs w:val="16"/>
                <w:lang w:val="en-US"/>
              </w:rPr>
              <w:t>Reported separately for:</w:t>
            </w:r>
            <w:r w:rsidRPr="001D0BD5">
              <w:rPr>
                <w:rFonts w:eastAsia="Times New Roman" w:cstheme="minorHAnsi"/>
                <w:sz w:val="16"/>
                <w:szCs w:val="16"/>
                <w:lang w:val="en-US"/>
              </w:rPr>
              <w:br/>
              <w:t>* Participants in primary preven</w:t>
            </w:r>
            <w:r w:rsidR="00EC782D">
              <w:rPr>
                <w:rFonts w:eastAsia="Times New Roman" w:cstheme="minorHAnsi"/>
                <w:sz w:val="16"/>
                <w:szCs w:val="16"/>
                <w:lang w:val="en-US"/>
              </w:rPr>
              <w:t>tion initiatives</w:t>
            </w:r>
            <w:r w:rsidRPr="001D0BD5">
              <w:rPr>
                <w:rFonts w:eastAsia="Times New Roman" w:cstheme="minorHAnsi"/>
                <w:sz w:val="16"/>
                <w:szCs w:val="16"/>
                <w:lang w:val="en-US"/>
              </w:rPr>
              <w:br/>
              <w:t>* Target groups of other Nabilan-supported prevention activities</w:t>
            </w:r>
          </w:p>
        </w:tc>
        <w:tc>
          <w:tcPr>
            <w:tcW w:w="0" w:type="auto"/>
            <w:shd w:val="clear" w:color="auto" w:fill="auto"/>
            <w:hideMark/>
          </w:tcPr>
          <w:p w14:paraId="64D39424" w14:textId="41589E5E" w:rsidR="00111DAD" w:rsidRPr="001D0BD5" w:rsidRDefault="00111DAD" w:rsidP="003A2CCC">
            <w:pPr>
              <w:spacing w:after="0"/>
              <w:jc w:val="left"/>
              <w:rPr>
                <w:rFonts w:eastAsia="Times New Roman" w:cstheme="minorHAnsi"/>
                <w:sz w:val="16"/>
                <w:szCs w:val="16"/>
                <w:lang w:val="en-US"/>
              </w:rPr>
            </w:pPr>
            <w:r>
              <w:rPr>
                <w:rFonts w:eastAsia="Times New Roman" w:cstheme="minorHAnsi"/>
                <w:sz w:val="16"/>
                <w:szCs w:val="16"/>
                <w:lang w:val="en-US"/>
              </w:rPr>
              <w:t xml:space="preserve">PAF </w:t>
            </w:r>
            <w:r w:rsidRPr="001D0BD5">
              <w:rPr>
                <w:rFonts w:eastAsia="Times New Roman" w:cstheme="minorHAnsi"/>
                <w:sz w:val="16"/>
                <w:szCs w:val="16"/>
                <w:lang w:val="en-US"/>
              </w:rPr>
              <w:t>Indicator 13: Number of people that demonstrate improved attitudes to women and girls</w:t>
            </w:r>
          </w:p>
        </w:tc>
        <w:tc>
          <w:tcPr>
            <w:tcW w:w="0" w:type="auto"/>
            <w:shd w:val="clear" w:color="auto" w:fill="auto"/>
            <w:hideMark/>
          </w:tcPr>
          <w:p w14:paraId="70E35D7B" w14:textId="77777777" w:rsidR="00111DAD" w:rsidRDefault="00111DAD" w:rsidP="003A2CCC">
            <w:pPr>
              <w:pStyle w:val="ListParagraph"/>
              <w:numPr>
                <w:ilvl w:val="0"/>
                <w:numId w:val="41"/>
              </w:numPr>
              <w:rPr>
                <w:rFonts w:eastAsia="Times New Roman" w:cstheme="minorHAnsi"/>
                <w:sz w:val="16"/>
                <w:szCs w:val="16"/>
              </w:rPr>
            </w:pPr>
            <w:r w:rsidRPr="001D0BD5">
              <w:rPr>
                <w:rFonts w:eastAsia="Times New Roman" w:cstheme="minorHAnsi"/>
                <w:sz w:val="16"/>
                <w:szCs w:val="16"/>
              </w:rPr>
              <w:t>Prevention program monitorin</w:t>
            </w:r>
            <w:r>
              <w:rPr>
                <w:rFonts w:eastAsia="Times New Roman" w:cstheme="minorHAnsi"/>
                <w:sz w:val="16"/>
                <w:szCs w:val="16"/>
              </w:rPr>
              <w:t>g</w:t>
            </w:r>
          </w:p>
          <w:p w14:paraId="5D861FAF" w14:textId="5BF35779" w:rsidR="00111DAD" w:rsidRPr="00CE6920" w:rsidRDefault="00111DAD" w:rsidP="003A2CCC">
            <w:pPr>
              <w:pStyle w:val="ListParagraph"/>
              <w:numPr>
                <w:ilvl w:val="0"/>
                <w:numId w:val="41"/>
              </w:numPr>
              <w:rPr>
                <w:rFonts w:eastAsia="Times New Roman" w:cstheme="minorHAnsi"/>
                <w:sz w:val="16"/>
                <w:szCs w:val="16"/>
              </w:rPr>
            </w:pPr>
            <w:r>
              <w:rPr>
                <w:rFonts w:eastAsia="Times New Roman" w:cstheme="minorHAnsi"/>
                <w:sz w:val="16"/>
                <w:szCs w:val="16"/>
              </w:rPr>
              <w:t>Partner reports (these contain pre- and post-testing of participants in prevention initiatives)</w:t>
            </w:r>
          </w:p>
        </w:tc>
        <w:tc>
          <w:tcPr>
            <w:tcW w:w="0" w:type="auto"/>
            <w:shd w:val="clear" w:color="auto" w:fill="auto"/>
            <w:hideMark/>
          </w:tcPr>
          <w:p w14:paraId="23B4DF43" w14:textId="393E6CB0" w:rsidR="00F50B75" w:rsidRPr="00F50B75" w:rsidRDefault="00F50B75" w:rsidP="003A2CCC">
            <w:pPr>
              <w:spacing w:after="0"/>
              <w:jc w:val="left"/>
              <w:rPr>
                <w:rFonts w:eastAsia="Times New Roman" w:cstheme="minorHAnsi"/>
                <w:bCs/>
                <w:sz w:val="16"/>
                <w:szCs w:val="16"/>
                <w:lang w:val="en-US"/>
              </w:rPr>
            </w:pPr>
            <w:r w:rsidRPr="00F50B75">
              <w:rPr>
                <w:rFonts w:eastAsia="Times New Roman" w:cstheme="minorHAnsi"/>
                <w:bCs/>
                <w:sz w:val="16"/>
                <w:szCs w:val="16"/>
                <w:lang w:val="en-US"/>
              </w:rPr>
              <w:t>Baseline</w:t>
            </w:r>
            <w:r>
              <w:rPr>
                <w:rFonts w:eastAsia="Times New Roman" w:cstheme="minorHAnsi"/>
                <w:bCs/>
                <w:sz w:val="16"/>
                <w:szCs w:val="16"/>
                <w:lang w:val="en-US"/>
              </w:rPr>
              <w:t xml:space="preserve"> – pre-testing for each prevention activity.</w:t>
            </w:r>
          </w:p>
          <w:p w14:paraId="7D7A5AE8" w14:textId="2A036DF4" w:rsidR="00111DAD" w:rsidRPr="001D0BD5" w:rsidRDefault="00111DAD" w:rsidP="003A2CCC">
            <w:pPr>
              <w:spacing w:after="0"/>
              <w:jc w:val="left"/>
              <w:rPr>
                <w:rFonts w:eastAsia="Times New Roman" w:cstheme="minorHAnsi"/>
                <w:sz w:val="16"/>
                <w:szCs w:val="16"/>
                <w:lang w:val="en-US"/>
              </w:rPr>
            </w:pPr>
          </w:p>
        </w:tc>
        <w:tc>
          <w:tcPr>
            <w:tcW w:w="0" w:type="auto"/>
            <w:shd w:val="clear" w:color="auto" w:fill="auto"/>
            <w:hideMark/>
          </w:tcPr>
          <w:p w14:paraId="59FE6A6B" w14:textId="77777777" w:rsidR="00111DAD" w:rsidRPr="001D0BD5" w:rsidRDefault="00111DAD" w:rsidP="003A2CCC">
            <w:pPr>
              <w:spacing w:after="0"/>
              <w:jc w:val="left"/>
              <w:rPr>
                <w:rFonts w:eastAsia="Times New Roman" w:cstheme="minorHAnsi"/>
                <w:sz w:val="16"/>
                <w:szCs w:val="16"/>
                <w:lang w:val="en-US"/>
              </w:rPr>
            </w:pPr>
            <w:r w:rsidRPr="001D0BD5">
              <w:rPr>
                <w:rFonts w:eastAsia="Times New Roman" w:cstheme="minorHAnsi"/>
                <w:sz w:val="16"/>
                <w:szCs w:val="16"/>
                <w:lang w:val="en-US"/>
              </w:rPr>
              <w:t xml:space="preserve">TBC </w:t>
            </w:r>
          </w:p>
        </w:tc>
      </w:tr>
      <w:tr w:rsidR="001D06BF" w:rsidRPr="001D0BD5" w14:paraId="0CF0F95C" w14:textId="77777777" w:rsidTr="00F01362">
        <w:trPr>
          <w:trHeight w:val="20"/>
        </w:trPr>
        <w:tc>
          <w:tcPr>
            <w:tcW w:w="0" w:type="auto"/>
            <w:vMerge w:val="restart"/>
            <w:shd w:val="clear" w:color="auto" w:fill="auto"/>
          </w:tcPr>
          <w:p w14:paraId="40AC18F9" w14:textId="5C61937E" w:rsidR="00777231" w:rsidRDefault="00777231" w:rsidP="003A2CCC">
            <w:pPr>
              <w:spacing w:after="0"/>
              <w:jc w:val="left"/>
              <w:rPr>
                <w:rFonts w:eastAsia="Times New Roman" w:cstheme="minorHAnsi"/>
                <w:sz w:val="16"/>
                <w:szCs w:val="16"/>
                <w:lang w:val="en-US"/>
              </w:rPr>
            </w:pPr>
            <w:r>
              <w:rPr>
                <w:rFonts w:eastAsia="Times New Roman" w:cstheme="minorHAnsi"/>
                <w:sz w:val="16"/>
                <w:szCs w:val="16"/>
                <w:lang w:val="en-US"/>
              </w:rPr>
              <w:t>2.6</w:t>
            </w:r>
            <w:r w:rsidRPr="001D0BD5">
              <w:rPr>
                <w:rFonts w:eastAsia="Times New Roman" w:cstheme="minorHAnsi"/>
                <w:sz w:val="16"/>
                <w:szCs w:val="16"/>
                <w:lang w:val="en-US"/>
              </w:rPr>
              <w:t xml:space="preserve"> To what extent has Nabilan supported communities to take independent action to prevent VAWC?</w:t>
            </w:r>
          </w:p>
        </w:tc>
        <w:tc>
          <w:tcPr>
            <w:tcW w:w="0" w:type="auto"/>
            <w:vMerge w:val="restart"/>
            <w:shd w:val="clear" w:color="auto" w:fill="auto"/>
          </w:tcPr>
          <w:p w14:paraId="2546CEBE" w14:textId="1E79D230" w:rsidR="00777231" w:rsidRPr="001D0BD5" w:rsidRDefault="00777231" w:rsidP="003A2CCC">
            <w:pPr>
              <w:spacing w:after="0"/>
              <w:jc w:val="left"/>
              <w:rPr>
                <w:rFonts w:eastAsia="Times New Roman" w:cstheme="minorHAnsi"/>
                <w:sz w:val="16"/>
                <w:szCs w:val="16"/>
                <w:lang w:val="en-US"/>
              </w:rPr>
            </w:pPr>
            <w:r w:rsidRPr="001D0BD5">
              <w:rPr>
                <w:rFonts w:eastAsia="Times New Roman" w:cstheme="minorHAnsi"/>
                <w:sz w:val="16"/>
                <w:szCs w:val="16"/>
                <w:lang w:val="en-US"/>
              </w:rPr>
              <w:t>IO2.3 Communities in Suku Letefoho and other focus areas are taking independent action to prevent VAWC</w:t>
            </w:r>
          </w:p>
        </w:tc>
        <w:tc>
          <w:tcPr>
            <w:tcW w:w="0" w:type="auto"/>
            <w:shd w:val="clear" w:color="auto" w:fill="auto"/>
          </w:tcPr>
          <w:p w14:paraId="3656CF10" w14:textId="51D9B952" w:rsidR="00777231" w:rsidRDefault="006B0FAD" w:rsidP="003A2CCC">
            <w:pPr>
              <w:pStyle w:val="ListParagraph"/>
              <w:numPr>
                <w:ilvl w:val="0"/>
                <w:numId w:val="18"/>
              </w:numPr>
              <w:rPr>
                <w:rFonts w:eastAsia="Times New Roman" w:cstheme="minorHAnsi"/>
                <w:sz w:val="16"/>
                <w:szCs w:val="16"/>
              </w:rPr>
            </w:pPr>
            <w:r>
              <w:rPr>
                <w:rFonts w:eastAsia="Times New Roman" w:cstheme="minorHAnsi"/>
                <w:sz w:val="16"/>
                <w:szCs w:val="16"/>
              </w:rPr>
              <w:t>Completion of all four phases of SASA! in Suku Letefoho by July 2020.</w:t>
            </w:r>
          </w:p>
          <w:p w14:paraId="47415F43" w14:textId="77777777" w:rsidR="006B0FAD" w:rsidRDefault="006B0FAD" w:rsidP="006B0FAD">
            <w:pPr>
              <w:spacing w:after="0"/>
              <w:jc w:val="left"/>
              <w:rPr>
                <w:rFonts w:eastAsia="Times New Roman" w:cstheme="minorHAnsi"/>
                <w:sz w:val="16"/>
                <w:szCs w:val="16"/>
                <w:lang w:val="en-US"/>
              </w:rPr>
            </w:pPr>
          </w:p>
          <w:p w14:paraId="28761109" w14:textId="1F54CA63" w:rsidR="006B0FAD" w:rsidRPr="006B0FAD" w:rsidRDefault="006B0FAD" w:rsidP="00671821">
            <w:pPr>
              <w:spacing w:after="0"/>
              <w:jc w:val="left"/>
              <w:rPr>
                <w:rFonts w:eastAsia="Times New Roman" w:cstheme="minorHAnsi"/>
                <w:sz w:val="16"/>
                <w:szCs w:val="16"/>
              </w:rPr>
            </w:pPr>
            <w:r>
              <w:rPr>
                <w:rFonts w:eastAsia="Times New Roman" w:cstheme="minorHAnsi"/>
                <w:sz w:val="16"/>
                <w:szCs w:val="16"/>
              </w:rPr>
              <w:t xml:space="preserve">Note: SASA! methodology requires community members to reach a threshold of </w:t>
            </w:r>
            <w:r w:rsidR="00F50B75">
              <w:rPr>
                <w:rFonts w:eastAsia="Times New Roman" w:cstheme="minorHAnsi"/>
                <w:sz w:val="16"/>
                <w:szCs w:val="16"/>
              </w:rPr>
              <w:t xml:space="preserve">knowledge, attitudes, skills, and behaviour </w:t>
            </w:r>
            <w:r>
              <w:rPr>
                <w:rFonts w:eastAsia="Times New Roman" w:cstheme="minorHAnsi"/>
                <w:sz w:val="16"/>
                <w:szCs w:val="16"/>
              </w:rPr>
              <w:t xml:space="preserve">before moving onto each phase. This will be assessed through </w:t>
            </w:r>
            <w:r w:rsidR="00671821">
              <w:rPr>
                <w:rFonts w:eastAsia="Times New Roman" w:cstheme="minorHAnsi"/>
                <w:sz w:val="16"/>
                <w:szCs w:val="16"/>
              </w:rPr>
              <w:t xml:space="preserve">qualitative and quantitative </w:t>
            </w:r>
            <w:r>
              <w:rPr>
                <w:rFonts w:eastAsia="Times New Roman" w:cstheme="minorHAnsi"/>
                <w:sz w:val="16"/>
                <w:szCs w:val="16"/>
              </w:rPr>
              <w:t>CBA monitoring tools</w:t>
            </w:r>
            <w:r w:rsidR="00671821">
              <w:rPr>
                <w:rFonts w:eastAsia="Times New Roman" w:cstheme="minorHAnsi"/>
                <w:sz w:val="16"/>
                <w:szCs w:val="16"/>
              </w:rPr>
              <w:t>, FGDs and Rapid Assessment Surveys (RAS), deployed at the beginning and end of each of the four phases of the CBA work in Manufahi.</w:t>
            </w:r>
          </w:p>
        </w:tc>
        <w:tc>
          <w:tcPr>
            <w:tcW w:w="0" w:type="auto"/>
            <w:shd w:val="clear" w:color="auto" w:fill="auto"/>
          </w:tcPr>
          <w:p w14:paraId="54786115" w14:textId="77777777" w:rsidR="00777231" w:rsidRPr="001D0BD5" w:rsidRDefault="00777231" w:rsidP="003A2CCC">
            <w:pPr>
              <w:spacing w:after="0"/>
              <w:jc w:val="left"/>
              <w:rPr>
                <w:rFonts w:eastAsia="Times New Roman" w:cstheme="minorHAnsi"/>
                <w:sz w:val="16"/>
                <w:szCs w:val="16"/>
                <w:lang w:val="en-US"/>
              </w:rPr>
            </w:pPr>
          </w:p>
        </w:tc>
        <w:tc>
          <w:tcPr>
            <w:tcW w:w="0" w:type="auto"/>
            <w:shd w:val="clear" w:color="auto" w:fill="auto"/>
          </w:tcPr>
          <w:p w14:paraId="2931422A" w14:textId="30389DC4" w:rsidR="00777231" w:rsidRPr="00AC09C3" w:rsidRDefault="008D0589" w:rsidP="003A2CCC">
            <w:pPr>
              <w:rPr>
                <w:rFonts w:eastAsia="Times New Roman" w:cstheme="minorHAnsi"/>
                <w:sz w:val="16"/>
                <w:szCs w:val="16"/>
              </w:rPr>
            </w:pPr>
            <w:r w:rsidRPr="00AC09C3">
              <w:rPr>
                <w:rFonts w:eastAsia="Times New Roman" w:cstheme="minorHAnsi"/>
                <w:sz w:val="16"/>
                <w:szCs w:val="16"/>
              </w:rPr>
              <w:t>CBA monitoring</w:t>
            </w:r>
          </w:p>
        </w:tc>
        <w:tc>
          <w:tcPr>
            <w:tcW w:w="0" w:type="auto"/>
            <w:shd w:val="clear" w:color="auto" w:fill="auto"/>
          </w:tcPr>
          <w:p w14:paraId="3F420685" w14:textId="62CB600A" w:rsidR="00671821" w:rsidRPr="00671821" w:rsidRDefault="00671821" w:rsidP="00671821">
            <w:pPr>
              <w:spacing w:after="0"/>
              <w:jc w:val="left"/>
              <w:rPr>
                <w:rFonts w:eastAsia="Times New Roman" w:cstheme="minorHAnsi"/>
                <w:sz w:val="16"/>
                <w:szCs w:val="16"/>
                <w:lang w:val="en-US"/>
              </w:rPr>
            </w:pPr>
            <w:r>
              <w:rPr>
                <w:rFonts w:eastAsia="Times New Roman" w:cstheme="minorHAnsi"/>
                <w:sz w:val="16"/>
                <w:szCs w:val="16"/>
                <w:lang w:val="en-US"/>
              </w:rPr>
              <w:t>2018: Baseline for k</w:t>
            </w:r>
            <w:r w:rsidRPr="00671821">
              <w:rPr>
                <w:rFonts w:eastAsia="Times New Roman" w:cstheme="minorHAnsi"/>
                <w:sz w:val="16"/>
                <w:szCs w:val="16"/>
                <w:lang w:val="en-US"/>
              </w:rPr>
              <w:t>nowledge &amp; attitudes</w:t>
            </w:r>
            <w:r w:rsidR="007E7BD2">
              <w:rPr>
                <w:rFonts w:eastAsia="Times New Roman" w:cstheme="minorHAnsi"/>
                <w:sz w:val="16"/>
                <w:szCs w:val="16"/>
                <w:lang w:val="en-US"/>
              </w:rPr>
              <w:t xml:space="preserve"> (awareness), support skills</w:t>
            </w:r>
            <w:r w:rsidRPr="00671821">
              <w:rPr>
                <w:rFonts w:eastAsia="Times New Roman" w:cstheme="minorHAnsi"/>
                <w:sz w:val="16"/>
                <w:szCs w:val="16"/>
                <w:lang w:val="en-US"/>
              </w:rPr>
              <w:t xml:space="preserve"> </w:t>
            </w:r>
            <w:r w:rsidR="007E7BD2">
              <w:rPr>
                <w:rFonts w:eastAsia="Times New Roman" w:cstheme="minorHAnsi"/>
                <w:sz w:val="16"/>
                <w:szCs w:val="16"/>
                <w:lang w:val="en-US"/>
              </w:rPr>
              <w:t xml:space="preserve">and behavior in relation to power and </w:t>
            </w:r>
            <w:r w:rsidRPr="00671821">
              <w:rPr>
                <w:rFonts w:eastAsia="Times New Roman" w:cstheme="minorHAnsi"/>
                <w:sz w:val="16"/>
                <w:szCs w:val="16"/>
                <w:lang w:val="en-US"/>
              </w:rPr>
              <w:t>violence against women</w:t>
            </w:r>
            <w:r>
              <w:rPr>
                <w:rFonts w:eastAsia="Times New Roman" w:cstheme="minorHAnsi"/>
                <w:sz w:val="16"/>
                <w:szCs w:val="16"/>
                <w:lang w:val="en-US"/>
              </w:rPr>
              <w:t>:</w:t>
            </w:r>
          </w:p>
          <w:p w14:paraId="46D03AC0" w14:textId="5D0603C5" w:rsidR="00671821" w:rsidRDefault="00671821" w:rsidP="00671821">
            <w:pPr>
              <w:pStyle w:val="ListParagraph"/>
              <w:numPr>
                <w:ilvl w:val="0"/>
                <w:numId w:val="74"/>
              </w:numPr>
              <w:rPr>
                <w:rFonts w:eastAsia="Times New Roman" w:cstheme="minorHAnsi"/>
                <w:sz w:val="16"/>
                <w:szCs w:val="16"/>
              </w:rPr>
            </w:pPr>
            <w:r>
              <w:rPr>
                <w:rFonts w:eastAsia="Times New Roman" w:cstheme="minorHAnsi"/>
                <w:sz w:val="16"/>
                <w:szCs w:val="16"/>
              </w:rPr>
              <w:t>50% women and 40% men think VAW is normal in a relationship;</w:t>
            </w:r>
          </w:p>
          <w:p w14:paraId="4ACB8025" w14:textId="37C61778" w:rsidR="00671821" w:rsidRDefault="003C1EE4" w:rsidP="00671821">
            <w:pPr>
              <w:pStyle w:val="ListParagraph"/>
              <w:numPr>
                <w:ilvl w:val="0"/>
                <w:numId w:val="74"/>
              </w:numPr>
              <w:rPr>
                <w:rFonts w:eastAsia="Times New Roman" w:cstheme="minorHAnsi"/>
                <w:sz w:val="16"/>
                <w:szCs w:val="16"/>
              </w:rPr>
            </w:pPr>
            <w:r>
              <w:rPr>
                <w:rFonts w:eastAsia="Times New Roman" w:cstheme="minorHAnsi"/>
                <w:sz w:val="16"/>
                <w:szCs w:val="16"/>
              </w:rPr>
              <w:t>90% women and 100% men believe when men discipline their wives it makes their family stronger;</w:t>
            </w:r>
          </w:p>
          <w:p w14:paraId="457F323B" w14:textId="778898FA" w:rsidR="003C1EE4" w:rsidRDefault="003C1EE4" w:rsidP="00671821">
            <w:pPr>
              <w:pStyle w:val="ListParagraph"/>
              <w:numPr>
                <w:ilvl w:val="0"/>
                <w:numId w:val="74"/>
              </w:numPr>
              <w:rPr>
                <w:rFonts w:eastAsia="Times New Roman" w:cstheme="minorHAnsi"/>
                <w:sz w:val="16"/>
                <w:szCs w:val="16"/>
              </w:rPr>
            </w:pPr>
            <w:r>
              <w:rPr>
                <w:rFonts w:eastAsia="Times New Roman" w:cstheme="minorHAnsi"/>
                <w:sz w:val="16"/>
                <w:szCs w:val="16"/>
              </w:rPr>
              <w:t>43% of women and 34% of men believe women are to blame for violence against them;</w:t>
            </w:r>
          </w:p>
          <w:p w14:paraId="4E619FA9" w14:textId="0FF2AECE" w:rsidR="003C1EE4" w:rsidRDefault="003C1EE4" w:rsidP="00671821">
            <w:pPr>
              <w:pStyle w:val="ListParagraph"/>
              <w:numPr>
                <w:ilvl w:val="0"/>
                <w:numId w:val="74"/>
              </w:numPr>
              <w:rPr>
                <w:rFonts w:eastAsia="Times New Roman" w:cstheme="minorHAnsi"/>
                <w:sz w:val="16"/>
                <w:szCs w:val="16"/>
              </w:rPr>
            </w:pPr>
            <w:r>
              <w:rPr>
                <w:rFonts w:eastAsia="Times New Roman" w:cstheme="minorHAnsi"/>
                <w:sz w:val="16"/>
                <w:szCs w:val="16"/>
              </w:rPr>
              <w:t>57% of women and 53% of men report having supported someone experiencing or using violence in the last 12 months;*</w:t>
            </w:r>
          </w:p>
          <w:p w14:paraId="16AD4F28" w14:textId="06E8BA49" w:rsidR="003C1EE4" w:rsidRPr="003C1EE4" w:rsidRDefault="003C1EE4" w:rsidP="003C1EE4">
            <w:pPr>
              <w:pStyle w:val="ListParagraph"/>
              <w:numPr>
                <w:ilvl w:val="0"/>
                <w:numId w:val="74"/>
              </w:numPr>
              <w:rPr>
                <w:rFonts w:eastAsia="Times New Roman" w:cstheme="minorHAnsi"/>
                <w:sz w:val="16"/>
                <w:szCs w:val="16"/>
              </w:rPr>
            </w:pPr>
            <w:r>
              <w:rPr>
                <w:rFonts w:eastAsia="Times New Roman" w:cstheme="minorHAnsi"/>
                <w:sz w:val="16"/>
                <w:szCs w:val="16"/>
              </w:rPr>
              <w:t>40% of women and 49% of men reported having being involved with others in promoting non-violence relationships.*</w:t>
            </w:r>
          </w:p>
          <w:p w14:paraId="3162C7F3" w14:textId="0C8DB6DE" w:rsidR="003C1EE4" w:rsidRPr="003C1EE4" w:rsidRDefault="003C1EE4" w:rsidP="001D06BF">
            <w:pPr>
              <w:jc w:val="left"/>
              <w:rPr>
                <w:rFonts w:eastAsia="Times New Roman" w:cstheme="minorHAnsi"/>
                <w:sz w:val="16"/>
                <w:szCs w:val="16"/>
              </w:rPr>
            </w:pPr>
            <w:r>
              <w:rPr>
                <w:rFonts w:eastAsia="Times New Roman" w:cstheme="minorHAnsi"/>
                <w:sz w:val="16"/>
                <w:szCs w:val="16"/>
              </w:rPr>
              <w:t xml:space="preserve">* note: FGDs </w:t>
            </w:r>
            <w:r w:rsidR="001D06BF">
              <w:rPr>
                <w:rFonts w:eastAsia="Times New Roman" w:cstheme="minorHAnsi"/>
                <w:sz w:val="16"/>
                <w:szCs w:val="16"/>
              </w:rPr>
              <w:t>show only more serious cases of VAW are typically considered ‘violence’ and methods of VAW prevention at the community level are generally not effective and do not promote non-violent relationships. Quantitative and qualitative data is required.</w:t>
            </w:r>
          </w:p>
          <w:p w14:paraId="4C77095E" w14:textId="24AFA9A9" w:rsidR="00777231" w:rsidRDefault="001D06BF" w:rsidP="003A2CCC">
            <w:pPr>
              <w:spacing w:after="0"/>
              <w:jc w:val="left"/>
              <w:rPr>
                <w:rFonts w:eastAsia="Times New Roman" w:cstheme="minorHAnsi"/>
                <w:sz w:val="16"/>
                <w:szCs w:val="16"/>
                <w:lang w:val="en-US"/>
              </w:rPr>
            </w:pPr>
            <w:r>
              <w:rPr>
                <w:rFonts w:eastAsia="Times New Roman" w:cstheme="minorHAnsi"/>
                <w:sz w:val="16"/>
                <w:szCs w:val="16"/>
                <w:lang w:val="en-US"/>
              </w:rPr>
              <w:t xml:space="preserve">2017: </w:t>
            </w:r>
            <w:r w:rsidR="008D0589" w:rsidRPr="001D0BD5">
              <w:rPr>
                <w:rFonts w:eastAsia="Times New Roman" w:cstheme="minorHAnsi"/>
                <w:sz w:val="16"/>
                <w:szCs w:val="16"/>
                <w:lang w:val="en-US"/>
              </w:rPr>
              <w:t>Baseline for tolerance compiled and analysed from Activity Outcome Tool data gathered in Suku Letefoho from May to 15 August 2017: score for knowledge was 1.4 and score for attitude was 1.5 (out of a highest possible score of 4).</w:t>
            </w:r>
          </w:p>
          <w:p w14:paraId="61C40F6F" w14:textId="6C67DD51" w:rsidR="008D0589" w:rsidRPr="001D0BD5" w:rsidRDefault="008D0589" w:rsidP="00574606">
            <w:pPr>
              <w:spacing w:after="0"/>
              <w:jc w:val="left"/>
              <w:rPr>
                <w:rFonts w:eastAsia="Times New Roman" w:cstheme="minorHAnsi"/>
                <w:sz w:val="16"/>
                <w:szCs w:val="16"/>
                <w:lang w:val="en-US"/>
              </w:rPr>
            </w:pPr>
          </w:p>
        </w:tc>
        <w:tc>
          <w:tcPr>
            <w:tcW w:w="0" w:type="auto"/>
            <w:shd w:val="clear" w:color="auto" w:fill="auto"/>
          </w:tcPr>
          <w:p w14:paraId="3B37789F" w14:textId="77777777" w:rsidR="00777231" w:rsidRDefault="001D06BF" w:rsidP="001D06BF">
            <w:pPr>
              <w:spacing w:after="0"/>
              <w:jc w:val="left"/>
              <w:rPr>
                <w:rFonts w:eastAsia="Times New Roman" w:cstheme="minorHAnsi"/>
                <w:sz w:val="16"/>
                <w:szCs w:val="16"/>
                <w:lang w:val="en-US"/>
              </w:rPr>
            </w:pPr>
            <w:r>
              <w:rPr>
                <w:rFonts w:eastAsia="Times New Roman" w:cstheme="minorHAnsi"/>
                <w:sz w:val="16"/>
                <w:szCs w:val="16"/>
                <w:lang w:val="en-US"/>
              </w:rPr>
              <w:t>Completion of Phase II (Awareness) between July 2018 – June 2019;</w:t>
            </w:r>
          </w:p>
          <w:p w14:paraId="0C34C255" w14:textId="77777777" w:rsidR="001D06BF" w:rsidRDefault="001D06BF" w:rsidP="001D06BF">
            <w:pPr>
              <w:spacing w:after="0"/>
              <w:jc w:val="left"/>
              <w:rPr>
                <w:rFonts w:eastAsia="Times New Roman" w:cstheme="minorHAnsi"/>
                <w:sz w:val="16"/>
                <w:szCs w:val="16"/>
                <w:lang w:val="en-US"/>
              </w:rPr>
            </w:pPr>
            <w:r>
              <w:rPr>
                <w:rFonts w:eastAsia="Times New Roman" w:cstheme="minorHAnsi"/>
                <w:sz w:val="16"/>
                <w:szCs w:val="16"/>
                <w:lang w:val="en-US"/>
              </w:rPr>
              <w:t>Completion of Phase III (Support) between July – December 2019;</w:t>
            </w:r>
          </w:p>
          <w:p w14:paraId="5371AD3E" w14:textId="77777777" w:rsidR="001D06BF" w:rsidRDefault="001D06BF" w:rsidP="001D06BF">
            <w:pPr>
              <w:spacing w:after="0"/>
              <w:jc w:val="left"/>
              <w:rPr>
                <w:rFonts w:eastAsia="Times New Roman" w:cstheme="minorHAnsi"/>
                <w:sz w:val="16"/>
                <w:szCs w:val="16"/>
                <w:lang w:val="en-US"/>
              </w:rPr>
            </w:pPr>
            <w:r>
              <w:rPr>
                <w:rFonts w:eastAsia="Times New Roman" w:cstheme="minorHAnsi"/>
                <w:sz w:val="16"/>
                <w:szCs w:val="16"/>
                <w:lang w:val="en-US"/>
              </w:rPr>
              <w:t>Completion of Phase III (Action) between Jan – July 2020.</w:t>
            </w:r>
          </w:p>
          <w:p w14:paraId="0C9A9B54" w14:textId="77777777" w:rsidR="001D06BF" w:rsidRDefault="001D06BF" w:rsidP="001D06BF">
            <w:pPr>
              <w:spacing w:after="0"/>
              <w:jc w:val="left"/>
              <w:rPr>
                <w:rFonts w:eastAsia="Times New Roman" w:cstheme="minorHAnsi"/>
                <w:sz w:val="16"/>
                <w:szCs w:val="16"/>
                <w:lang w:val="en-US"/>
              </w:rPr>
            </w:pPr>
          </w:p>
          <w:p w14:paraId="39910EC9" w14:textId="3650331B" w:rsidR="001D06BF" w:rsidRPr="001D0BD5" w:rsidRDefault="001D06BF" w:rsidP="001D06BF">
            <w:pPr>
              <w:spacing w:after="0"/>
              <w:jc w:val="left"/>
              <w:rPr>
                <w:rFonts w:eastAsia="Times New Roman" w:cstheme="minorHAnsi"/>
                <w:sz w:val="16"/>
                <w:szCs w:val="16"/>
                <w:lang w:val="en-US"/>
              </w:rPr>
            </w:pPr>
            <w:r>
              <w:rPr>
                <w:rFonts w:eastAsia="Times New Roman" w:cstheme="minorHAnsi"/>
                <w:sz w:val="16"/>
                <w:szCs w:val="16"/>
                <w:lang w:val="en-US"/>
              </w:rPr>
              <w:t xml:space="preserve">Target will combine analysis of both quantitative and qualitative data and decision made by Nabilan team on if there is sufficient change in the community to progress to the next phase of SASA!. </w:t>
            </w:r>
          </w:p>
        </w:tc>
      </w:tr>
      <w:tr w:rsidR="001D06BF" w:rsidRPr="001D0BD5" w14:paraId="698A0246" w14:textId="77777777" w:rsidTr="00F01362">
        <w:trPr>
          <w:trHeight w:val="20"/>
        </w:trPr>
        <w:tc>
          <w:tcPr>
            <w:tcW w:w="0" w:type="auto"/>
            <w:vMerge/>
            <w:shd w:val="clear" w:color="auto" w:fill="auto"/>
          </w:tcPr>
          <w:p w14:paraId="545A4794" w14:textId="10C3BB2F" w:rsidR="00777231" w:rsidRPr="001D0BD5" w:rsidRDefault="00777231" w:rsidP="003A2CCC">
            <w:pPr>
              <w:spacing w:after="0"/>
              <w:jc w:val="left"/>
              <w:rPr>
                <w:rFonts w:eastAsia="Times New Roman" w:cstheme="minorHAnsi"/>
                <w:sz w:val="16"/>
                <w:szCs w:val="16"/>
                <w:lang w:val="en-US"/>
              </w:rPr>
            </w:pPr>
          </w:p>
        </w:tc>
        <w:tc>
          <w:tcPr>
            <w:tcW w:w="0" w:type="auto"/>
            <w:vMerge/>
            <w:shd w:val="clear" w:color="auto" w:fill="auto"/>
          </w:tcPr>
          <w:p w14:paraId="2678CF29" w14:textId="2018B030" w:rsidR="00777231" w:rsidRPr="001D0BD5" w:rsidRDefault="00777231" w:rsidP="003A2CCC">
            <w:pPr>
              <w:spacing w:after="0"/>
              <w:jc w:val="left"/>
              <w:rPr>
                <w:rFonts w:eastAsia="Times New Roman" w:cstheme="minorHAnsi"/>
                <w:sz w:val="16"/>
                <w:szCs w:val="16"/>
                <w:lang w:val="en-US"/>
              </w:rPr>
            </w:pPr>
          </w:p>
        </w:tc>
        <w:tc>
          <w:tcPr>
            <w:tcW w:w="0" w:type="auto"/>
            <w:shd w:val="clear" w:color="auto" w:fill="auto"/>
          </w:tcPr>
          <w:p w14:paraId="03B01BEF" w14:textId="50961C13" w:rsidR="00777231" w:rsidRPr="001F1B65" w:rsidRDefault="00777231" w:rsidP="00AE1DF5">
            <w:pPr>
              <w:pStyle w:val="ListParagraph"/>
              <w:numPr>
                <w:ilvl w:val="0"/>
                <w:numId w:val="18"/>
              </w:numPr>
              <w:rPr>
                <w:rFonts w:eastAsia="Times New Roman" w:cstheme="minorHAnsi"/>
                <w:sz w:val="16"/>
                <w:szCs w:val="16"/>
              </w:rPr>
            </w:pPr>
            <w:r w:rsidRPr="001F1B65">
              <w:rPr>
                <w:rFonts w:eastAsia="Times New Roman" w:cstheme="minorHAnsi"/>
                <w:sz w:val="16"/>
                <w:szCs w:val="16"/>
              </w:rPr>
              <w:t xml:space="preserve">Number of </w:t>
            </w:r>
            <w:r w:rsidR="00AE1DF5">
              <w:rPr>
                <w:rFonts w:eastAsia="Times New Roman" w:cstheme="minorHAnsi"/>
                <w:sz w:val="16"/>
                <w:szCs w:val="16"/>
              </w:rPr>
              <w:t xml:space="preserve">activities conducted by community mobilisers to </w:t>
            </w:r>
            <w:r w:rsidRPr="001F1B65">
              <w:rPr>
                <w:rFonts w:eastAsia="Times New Roman" w:cstheme="minorHAnsi"/>
                <w:sz w:val="16"/>
                <w:szCs w:val="16"/>
              </w:rPr>
              <w:t xml:space="preserve">prevent VAWC </w:t>
            </w:r>
            <w:r w:rsidR="00AE1DF5">
              <w:rPr>
                <w:rFonts w:eastAsia="Times New Roman" w:cstheme="minorHAnsi"/>
                <w:sz w:val="16"/>
                <w:szCs w:val="16"/>
              </w:rPr>
              <w:t>in suku Letefoho.</w:t>
            </w:r>
          </w:p>
        </w:tc>
        <w:tc>
          <w:tcPr>
            <w:tcW w:w="0" w:type="auto"/>
            <w:shd w:val="clear" w:color="auto" w:fill="auto"/>
          </w:tcPr>
          <w:p w14:paraId="162C509B" w14:textId="08D13D0A" w:rsidR="00777231" w:rsidRPr="001D0BD5" w:rsidRDefault="00777231" w:rsidP="003A2CCC">
            <w:pPr>
              <w:spacing w:after="0"/>
              <w:jc w:val="left"/>
              <w:rPr>
                <w:rFonts w:eastAsia="Times New Roman" w:cstheme="minorHAnsi"/>
                <w:sz w:val="16"/>
                <w:szCs w:val="16"/>
                <w:lang w:val="en-US"/>
              </w:rPr>
            </w:pPr>
          </w:p>
        </w:tc>
        <w:tc>
          <w:tcPr>
            <w:tcW w:w="0" w:type="auto"/>
            <w:shd w:val="clear" w:color="auto" w:fill="auto"/>
          </w:tcPr>
          <w:p w14:paraId="3D1D074D" w14:textId="77777777" w:rsidR="00777231" w:rsidRPr="00AC09C3" w:rsidRDefault="00777231" w:rsidP="003A2CCC">
            <w:pPr>
              <w:rPr>
                <w:rFonts w:eastAsia="Times New Roman" w:cstheme="minorHAnsi"/>
                <w:sz w:val="16"/>
                <w:szCs w:val="16"/>
              </w:rPr>
            </w:pPr>
            <w:r w:rsidRPr="00AC09C3">
              <w:rPr>
                <w:rFonts w:eastAsia="Times New Roman" w:cstheme="minorHAnsi"/>
                <w:sz w:val="16"/>
                <w:szCs w:val="16"/>
              </w:rPr>
              <w:t>CBA monitoring</w:t>
            </w:r>
          </w:p>
        </w:tc>
        <w:tc>
          <w:tcPr>
            <w:tcW w:w="0" w:type="auto"/>
            <w:shd w:val="clear" w:color="auto" w:fill="auto"/>
          </w:tcPr>
          <w:p w14:paraId="1DADE945" w14:textId="253C98CD" w:rsidR="00777231" w:rsidRPr="001D0BD5" w:rsidRDefault="00777231" w:rsidP="00AE1DF5">
            <w:pPr>
              <w:spacing w:after="0"/>
              <w:jc w:val="left"/>
              <w:rPr>
                <w:rFonts w:eastAsia="Times New Roman" w:cstheme="minorHAnsi"/>
                <w:b/>
                <w:bCs/>
                <w:sz w:val="16"/>
                <w:szCs w:val="16"/>
                <w:lang w:val="en-US"/>
              </w:rPr>
            </w:pPr>
            <w:r w:rsidRPr="001D0BD5">
              <w:rPr>
                <w:rFonts w:eastAsia="Times New Roman" w:cstheme="minorHAnsi"/>
                <w:sz w:val="16"/>
                <w:szCs w:val="16"/>
                <w:lang w:val="en-US"/>
              </w:rPr>
              <w:t>0 prior to 2017</w:t>
            </w:r>
          </w:p>
        </w:tc>
        <w:tc>
          <w:tcPr>
            <w:tcW w:w="0" w:type="auto"/>
            <w:shd w:val="clear" w:color="auto" w:fill="auto"/>
          </w:tcPr>
          <w:p w14:paraId="778318B7" w14:textId="37AAE3C4" w:rsidR="00777231" w:rsidRDefault="00AE1DF5" w:rsidP="003A2CCC">
            <w:pPr>
              <w:spacing w:after="0"/>
              <w:jc w:val="left"/>
              <w:rPr>
                <w:rFonts w:eastAsia="Times New Roman" w:cstheme="minorHAnsi"/>
                <w:sz w:val="16"/>
                <w:szCs w:val="16"/>
                <w:lang w:val="en-US"/>
              </w:rPr>
            </w:pPr>
            <w:r>
              <w:rPr>
                <w:rFonts w:eastAsia="Times New Roman" w:cstheme="minorHAnsi"/>
                <w:sz w:val="16"/>
                <w:szCs w:val="16"/>
                <w:lang w:val="en-US"/>
              </w:rPr>
              <w:t xml:space="preserve"> Phase 1: minimum 2 activities per CM per month</w:t>
            </w:r>
          </w:p>
          <w:p w14:paraId="71F9F572" w14:textId="77777777" w:rsidR="00AE1DF5" w:rsidRDefault="00AE1DF5" w:rsidP="003A2CCC">
            <w:pPr>
              <w:spacing w:after="0"/>
              <w:jc w:val="left"/>
              <w:rPr>
                <w:rFonts w:eastAsia="Times New Roman" w:cstheme="minorHAnsi"/>
                <w:sz w:val="16"/>
                <w:szCs w:val="16"/>
                <w:lang w:val="en-US"/>
              </w:rPr>
            </w:pPr>
            <w:r>
              <w:rPr>
                <w:rFonts w:eastAsia="Times New Roman" w:cstheme="minorHAnsi"/>
                <w:sz w:val="16"/>
                <w:szCs w:val="16"/>
                <w:lang w:val="en-US"/>
              </w:rPr>
              <w:t>Phase 2: minimum 4 activities per CM per month;</w:t>
            </w:r>
          </w:p>
          <w:p w14:paraId="33DABCCE" w14:textId="60CB82FB" w:rsidR="00AE1DF5" w:rsidRPr="001D0BD5" w:rsidRDefault="00AE1DF5" w:rsidP="003A2CCC">
            <w:pPr>
              <w:spacing w:after="0"/>
              <w:jc w:val="left"/>
              <w:rPr>
                <w:rFonts w:eastAsia="Times New Roman" w:cstheme="minorHAnsi"/>
                <w:sz w:val="16"/>
                <w:szCs w:val="16"/>
                <w:lang w:val="en-US"/>
              </w:rPr>
            </w:pPr>
            <w:r>
              <w:rPr>
                <w:rFonts w:eastAsia="Times New Roman" w:cstheme="minorHAnsi"/>
                <w:sz w:val="16"/>
                <w:szCs w:val="16"/>
                <w:lang w:val="en-US"/>
              </w:rPr>
              <w:t>Phase 3 &amp; 4: TBC</w:t>
            </w:r>
          </w:p>
        </w:tc>
      </w:tr>
      <w:tr w:rsidR="00EC782D" w:rsidRPr="001D0BD5" w14:paraId="11B8369B" w14:textId="77777777" w:rsidTr="00B348DE">
        <w:trPr>
          <w:trHeight w:val="1172"/>
        </w:trPr>
        <w:tc>
          <w:tcPr>
            <w:tcW w:w="0" w:type="auto"/>
            <w:vMerge/>
            <w:shd w:val="clear" w:color="auto" w:fill="auto"/>
          </w:tcPr>
          <w:p w14:paraId="6E8636A8" w14:textId="77777777" w:rsidR="00EC782D" w:rsidRPr="001D0BD5" w:rsidRDefault="00EC782D" w:rsidP="003A2CCC">
            <w:pPr>
              <w:spacing w:after="0"/>
              <w:jc w:val="left"/>
              <w:rPr>
                <w:rFonts w:eastAsia="Times New Roman" w:cstheme="minorHAnsi"/>
                <w:sz w:val="16"/>
                <w:szCs w:val="16"/>
                <w:lang w:val="en-US"/>
              </w:rPr>
            </w:pPr>
          </w:p>
        </w:tc>
        <w:tc>
          <w:tcPr>
            <w:tcW w:w="0" w:type="auto"/>
            <w:vMerge/>
            <w:shd w:val="clear" w:color="auto" w:fill="auto"/>
          </w:tcPr>
          <w:p w14:paraId="2DEBB535" w14:textId="77777777" w:rsidR="00EC782D" w:rsidRPr="001D0BD5" w:rsidRDefault="00EC782D" w:rsidP="003A2CCC">
            <w:pPr>
              <w:spacing w:after="0"/>
              <w:jc w:val="left"/>
              <w:rPr>
                <w:rFonts w:eastAsia="Times New Roman" w:cstheme="minorHAnsi"/>
                <w:sz w:val="16"/>
                <w:szCs w:val="16"/>
                <w:lang w:val="en-US"/>
              </w:rPr>
            </w:pPr>
          </w:p>
        </w:tc>
        <w:tc>
          <w:tcPr>
            <w:tcW w:w="0" w:type="auto"/>
            <w:shd w:val="clear" w:color="auto" w:fill="auto"/>
          </w:tcPr>
          <w:p w14:paraId="46937491" w14:textId="3F679C53" w:rsidR="00EC782D" w:rsidRPr="00EC782D" w:rsidRDefault="00EC782D" w:rsidP="00EC782D">
            <w:pPr>
              <w:pStyle w:val="ListParagraph"/>
              <w:numPr>
                <w:ilvl w:val="0"/>
                <w:numId w:val="18"/>
              </w:numPr>
              <w:rPr>
                <w:rFonts w:eastAsia="Times New Roman" w:cstheme="minorHAnsi"/>
                <w:sz w:val="16"/>
                <w:szCs w:val="16"/>
              </w:rPr>
            </w:pPr>
            <w:r w:rsidRPr="00EC782D">
              <w:rPr>
                <w:rFonts w:eastAsia="Times New Roman" w:cstheme="minorHAnsi"/>
                <w:sz w:val="16"/>
                <w:szCs w:val="16"/>
              </w:rPr>
              <w:t xml:space="preserve">Number of collective action taken by community members in Suku Letefoho to prevent VAWC. </w:t>
            </w:r>
          </w:p>
        </w:tc>
        <w:tc>
          <w:tcPr>
            <w:tcW w:w="0" w:type="auto"/>
            <w:shd w:val="clear" w:color="auto" w:fill="auto"/>
          </w:tcPr>
          <w:p w14:paraId="21EBAF00" w14:textId="076AA9D4" w:rsidR="00EC782D" w:rsidRPr="001D0BD5" w:rsidRDefault="00EC782D" w:rsidP="003A2CCC">
            <w:pPr>
              <w:spacing w:after="0"/>
              <w:jc w:val="left"/>
              <w:rPr>
                <w:rFonts w:eastAsia="Times New Roman" w:cstheme="minorHAnsi"/>
                <w:sz w:val="16"/>
                <w:szCs w:val="16"/>
                <w:lang w:val="en-US"/>
              </w:rPr>
            </w:pPr>
            <w:r w:rsidRPr="001D0BD5">
              <w:rPr>
                <w:rFonts w:eastAsia="Times New Roman" w:cstheme="minorHAnsi"/>
                <w:sz w:val="16"/>
                <w:szCs w:val="16"/>
                <w:lang w:val="en-US"/>
              </w:rPr>
              <w:t>Indicator 13: Number of people that demonstrate improved attitudes to women and girls</w:t>
            </w:r>
          </w:p>
        </w:tc>
        <w:tc>
          <w:tcPr>
            <w:tcW w:w="0" w:type="auto"/>
            <w:shd w:val="clear" w:color="auto" w:fill="auto"/>
          </w:tcPr>
          <w:p w14:paraId="69A5620C" w14:textId="73CDECA4" w:rsidR="00EC782D" w:rsidRPr="00AC09C3" w:rsidRDefault="00EC782D" w:rsidP="003A2CCC">
            <w:pPr>
              <w:spacing w:after="0"/>
              <w:jc w:val="left"/>
              <w:rPr>
                <w:rFonts w:eastAsia="Times New Roman" w:cstheme="minorHAnsi"/>
                <w:sz w:val="16"/>
                <w:szCs w:val="16"/>
              </w:rPr>
            </w:pPr>
            <w:r w:rsidRPr="00406916">
              <w:rPr>
                <w:rFonts w:eastAsia="Times New Roman" w:cstheme="minorHAnsi"/>
                <w:sz w:val="16"/>
                <w:szCs w:val="16"/>
              </w:rPr>
              <w:t xml:space="preserve">CBA monitoring </w:t>
            </w:r>
          </w:p>
        </w:tc>
        <w:tc>
          <w:tcPr>
            <w:tcW w:w="0" w:type="auto"/>
            <w:shd w:val="clear" w:color="auto" w:fill="auto"/>
          </w:tcPr>
          <w:p w14:paraId="08AF5867" w14:textId="100E461D" w:rsidR="00EC782D" w:rsidRPr="001D0BD5" w:rsidRDefault="00EC782D" w:rsidP="003A2CCC">
            <w:pPr>
              <w:spacing w:after="0"/>
              <w:jc w:val="left"/>
              <w:rPr>
                <w:rFonts w:eastAsia="Times New Roman" w:cstheme="minorHAnsi"/>
                <w:b/>
                <w:bCs/>
                <w:sz w:val="16"/>
                <w:szCs w:val="16"/>
                <w:lang w:val="en-US"/>
              </w:rPr>
            </w:pPr>
            <w:r w:rsidRPr="001D0BD5">
              <w:rPr>
                <w:rFonts w:eastAsia="Times New Roman" w:cstheme="minorHAnsi"/>
                <w:sz w:val="16"/>
                <w:szCs w:val="16"/>
                <w:lang w:val="en-US"/>
              </w:rPr>
              <w:t>0 prior to 2017</w:t>
            </w:r>
          </w:p>
        </w:tc>
        <w:tc>
          <w:tcPr>
            <w:tcW w:w="0" w:type="auto"/>
            <w:shd w:val="clear" w:color="auto" w:fill="auto"/>
          </w:tcPr>
          <w:p w14:paraId="49DF2C6D" w14:textId="00B16D73" w:rsidR="00EC782D" w:rsidRPr="001D0BD5" w:rsidRDefault="00EC782D" w:rsidP="003A2CCC">
            <w:pPr>
              <w:spacing w:after="0"/>
              <w:jc w:val="left"/>
              <w:rPr>
                <w:rFonts w:eastAsia="Times New Roman" w:cstheme="minorHAnsi"/>
                <w:sz w:val="16"/>
                <w:szCs w:val="16"/>
                <w:lang w:val="en-US"/>
              </w:rPr>
            </w:pPr>
            <w:r w:rsidRPr="001D0BD5">
              <w:rPr>
                <w:rFonts w:eastAsia="Times New Roman" w:cstheme="minorHAnsi"/>
                <w:sz w:val="16"/>
                <w:szCs w:val="16"/>
                <w:lang w:val="en-US"/>
              </w:rPr>
              <w:t xml:space="preserve">At least 3 </w:t>
            </w:r>
            <w:r>
              <w:rPr>
                <w:rFonts w:eastAsia="Times New Roman" w:cstheme="minorHAnsi"/>
                <w:sz w:val="16"/>
                <w:szCs w:val="16"/>
                <w:lang w:val="en-US"/>
              </w:rPr>
              <w:t xml:space="preserve">instances of collective action taken </w:t>
            </w:r>
            <w:r w:rsidRPr="001D0BD5">
              <w:rPr>
                <w:rFonts w:eastAsia="Times New Roman" w:cstheme="minorHAnsi"/>
                <w:sz w:val="16"/>
                <w:szCs w:val="16"/>
                <w:lang w:val="en-US"/>
              </w:rPr>
              <w:t>by 2020</w:t>
            </w:r>
          </w:p>
        </w:tc>
      </w:tr>
      <w:tr w:rsidR="001D06BF" w:rsidRPr="001D0BD5" w14:paraId="677B3DFE" w14:textId="77777777" w:rsidTr="00F01362">
        <w:trPr>
          <w:trHeight w:val="20"/>
        </w:trPr>
        <w:tc>
          <w:tcPr>
            <w:tcW w:w="0" w:type="auto"/>
            <w:shd w:val="clear" w:color="auto" w:fill="auto"/>
          </w:tcPr>
          <w:p w14:paraId="38000FEC" w14:textId="77777777" w:rsidR="00111DAD" w:rsidRPr="001D0BD5" w:rsidRDefault="00111DAD" w:rsidP="003A2CCC">
            <w:pPr>
              <w:spacing w:after="0"/>
              <w:jc w:val="left"/>
              <w:rPr>
                <w:rFonts w:eastAsia="Times New Roman" w:cstheme="minorHAnsi"/>
                <w:sz w:val="16"/>
                <w:szCs w:val="16"/>
                <w:lang w:val="en-US"/>
              </w:rPr>
            </w:pPr>
            <w:r>
              <w:rPr>
                <w:rFonts w:eastAsia="Times New Roman" w:cstheme="minorHAnsi"/>
                <w:color w:val="000000"/>
                <w:sz w:val="16"/>
                <w:szCs w:val="16"/>
                <w:lang w:val="en-US"/>
              </w:rPr>
              <w:t>2.7</w:t>
            </w:r>
            <w:r w:rsidRPr="001D0BD5">
              <w:rPr>
                <w:rFonts w:eastAsia="Times New Roman" w:cstheme="minorHAnsi"/>
                <w:color w:val="000000"/>
                <w:sz w:val="16"/>
                <w:szCs w:val="16"/>
                <w:lang w:val="en-US"/>
              </w:rPr>
              <w:t xml:space="preserve"> To what extent </w:t>
            </w:r>
            <w:r>
              <w:rPr>
                <w:rFonts w:eastAsia="Times New Roman" w:cstheme="minorHAnsi"/>
                <w:color w:val="000000"/>
                <w:sz w:val="16"/>
                <w:szCs w:val="16"/>
                <w:lang w:val="en-US"/>
              </w:rPr>
              <w:t>h</w:t>
            </w:r>
            <w:r w:rsidRPr="001D0BD5">
              <w:rPr>
                <w:rFonts w:eastAsia="Times New Roman" w:cstheme="minorHAnsi"/>
                <w:color w:val="000000"/>
                <w:sz w:val="16"/>
                <w:szCs w:val="16"/>
                <w:lang w:val="en-US"/>
              </w:rPr>
              <w:t xml:space="preserve">as the evidence from the CBA pilot influenced prevention programming by other agencies? </w:t>
            </w:r>
          </w:p>
        </w:tc>
        <w:tc>
          <w:tcPr>
            <w:tcW w:w="0" w:type="auto"/>
            <w:shd w:val="clear" w:color="auto" w:fill="auto"/>
          </w:tcPr>
          <w:p w14:paraId="756FAD7E" w14:textId="77777777" w:rsidR="00111DAD" w:rsidRPr="001D0BD5" w:rsidRDefault="00111DAD" w:rsidP="003A2CCC">
            <w:pPr>
              <w:spacing w:after="0"/>
              <w:jc w:val="left"/>
              <w:rPr>
                <w:rFonts w:eastAsia="Times New Roman" w:cstheme="minorHAnsi"/>
                <w:sz w:val="16"/>
                <w:szCs w:val="16"/>
                <w:lang w:val="en-US"/>
              </w:rPr>
            </w:pPr>
            <w:r w:rsidRPr="001D0BD5">
              <w:rPr>
                <w:rFonts w:eastAsia="Times New Roman" w:cstheme="minorHAnsi"/>
                <w:color w:val="000000"/>
                <w:sz w:val="16"/>
                <w:szCs w:val="16"/>
                <w:lang w:val="en-US"/>
              </w:rPr>
              <w:t xml:space="preserve">ImO2.5 Learning from the Community Based Approach in Suku Letefoho is documented analysed and used by Nabilan and other organisations. </w:t>
            </w:r>
          </w:p>
        </w:tc>
        <w:tc>
          <w:tcPr>
            <w:tcW w:w="0" w:type="auto"/>
            <w:shd w:val="clear" w:color="auto" w:fill="auto"/>
          </w:tcPr>
          <w:p w14:paraId="585FB608" w14:textId="549159D8" w:rsidR="00111DAD" w:rsidRPr="001F1B65" w:rsidRDefault="00111DAD" w:rsidP="003A2CCC">
            <w:pPr>
              <w:pStyle w:val="ListParagraph"/>
              <w:numPr>
                <w:ilvl w:val="0"/>
                <w:numId w:val="18"/>
              </w:numPr>
              <w:rPr>
                <w:rFonts w:eastAsia="Times New Roman" w:cstheme="minorHAnsi"/>
                <w:sz w:val="16"/>
                <w:szCs w:val="16"/>
              </w:rPr>
            </w:pPr>
            <w:r w:rsidRPr="001F1B65">
              <w:rPr>
                <w:rFonts w:eastAsia="Times New Roman" w:cstheme="minorHAnsi"/>
                <w:color w:val="000000"/>
                <w:sz w:val="16"/>
                <w:szCs w:val="16"/>
              </w:rPr>
              <w:t>Instances where other agencies have adopted the key approaches and learning from the CBA pilot.</w:t>
            </w:r>
          </w:p>
        </w:tc>
        <w:tc>
          <w:tcPr>
            <w:tcW w:w="0" w:type="auto"/>
            <w:shd w:val="clear" w:color="auto" w:fill="auto"/>
          </w:tcPr>
          <w:p w14:paraId="6AD7231A" w14:textId="77777777" w:rsidR="00111DAD" w:rsidRPr="001D0BD5" w:rsidRDefault="00111DAD" w:rsidP="003A2CCC">
            <w:pPr>
              <w:spacing w:after="0"/>
              <w:jc w:val="left"/>
              <w:rPr>
                <w:rFonts w:eastAsia="Times New Roman" w:cstheme="minorHAnsi"/>
                <w:sz w:val="16"/>
                <w:szCs w:val="16"/>
                <w:lang w:val="en-US"/>
              </w:rPr>
            </w:pPr>
            <w:r w:rsidRPr="001D0BD5">
              <w:rPr>
                <w:rFonts w:eastAsia="Times New Roman" w:cstheme="minorHAnsi"/>
                <w:color w:val="000000"/>
                <w:sz w:val="16"/>
                <w:szCs w:val="16"/>
                <w:lang w:val="en-US"/>
              </w:rPr>
              <w:t> </w:t>
            </w:r>
          </w:p>
        </w:tc>
        <w:tc>
          <w:tcPr>
            <w:tcW w:w="0" w:type="auto"/>
            <w:shd w:val="clear" w:color="auto" w:fill="auto"/>
          </w:tcPr>
          <w:p w14:paraId="5A6A8040" w14:textId="43FF908F" w:rsidR="00111DAD" w:rsidRPr="00494CBB" w:rsidRDefault="00111DAD" w:rsidP="003A2CCC">
            <w:pPr>
              <w:rPr>
                <w:rFonts w:eastAsia="Times New Roman" w:cstheme="minorHAnsi"/>
                <w:sz w:val="16"/>
                <w:szCs w:val="16"/>
              </w:rPr>
            </w:pPr>
            <w:r w:rsidRPr="00494CBB">
              <w:rPr>
                <w:rFonts w:eastAsia="Times New Roman" w:cstheme="minorHAnsi"/>
                <w:color w:val="000000"/>
                <w:sz w:val="16"/>
                <w:szCs w:val="16"/>
              </w:rPr>
              <w:t>Activity tracking</w:t>
            </w:r>
          </w:p>
        </w:tc>
        <w:tc>
          <w:tcPr>
            <w:tcW w:w="0" w:type="auto"/>
            <w:shd w:val="clear" w:color="auto" w:fill="auto"/>
          </w:tcPr>
          <w:p w14:paraId="42C6EEFE" w14:textId="13065D59" w:rsidR="00111DAD" w:rsidRPr="001D0BD5" w:rsidRDefault="00111DAD" w:rsidP="003A2CCC">
            <w:pPr>
              <w:spacing w:after="0"/>
              <w:jc w:val="left"/>
              <w:rPr>
                <w:rFonts w:eastAsia="Times New Roman" w:cstheme="minorHAnsi"/>
                <w:sz w:val="16"/>
                <w:szCs w:val="16"/>
                <w:lang w:val="en-US"/>
              </w:rPr>
            </w:pPr>
            <w:r w:rsidRPr="001D0BD5">
              <w:rPr>
                <w:rFonts w:eastAsia="Times New Roman" w:cstheme="minorHAnsi"/>
                <w:color w:val="000000"/>
                <w:sz w:val="16"/>
                <w:szCs w:val="16"/>
                <w:lang w:val="en-US"/>
              </w:rPr>
              <w:t> </w:t>
            </w:r>
            <w:r>
              <w:rPr>
                <w:rFonts w:eastAsia="Times New Roman" w:cstheme="minorHAnsi"/>
                <w:color w:val="000000"/>
                <w:sz w:val="16"/>
                <w:szCs w:val="16"/>
                <w:lang w:val="en-US"/>
              </w:rPr>
              <w:t>N/A</w:t>
            </w:r>
          </w:p>
        </w:tc>
        <w:tc>
          <w:tcPr>
            <w:tcW w:w="0" w:type="auto"/>
            <w:shd w:val="clear" w:color="auto" w:fill="auto"/>
          </w:tcPr>
          <w:p w14:paraId="64CB54A6" w14:textId="2C413CFA" w:rsidR="00111DAD" w:rsidRPr="001D0BD5" w:rsidRDefault="00111DAD" w:rsidP="003A2CCC">
            <w:pPr>
              <w:spacing w:after="0"/>
              <w:jc w:val="left"/>
              <w:rPr>
                <w:rFonts w:eastAsia="Times New Roman" w:cstheme="minorHAnsi"/>
                <w:sz w:val="16"/>
                <w:szCs w:val="16"/>
                <w:lang w:val="en-US"/>
              </w:rPr>
            </w:pPr>
            <w:r>
              <w:rPr>
                <w:rFonts w:eastAsia="Times New Roman" w:cstheme="minorHAnsi"/>
                <w:sz w:val="16"/>
                <w:szCs w:val="16"/>
                <w:lang w:val="en-US"/>
              </w:rPr>
              <w:t>N/A</w:t>
            </w:r>
          </w:p>
        </w:tc>
      </w:tr>
      <w:tr w:rsidR="001D06BF" w:rsidRPr="001D0BD5" w14:paraId="1ACBF2E6" w14:textId="77777777" w:rsidTr="00F01362">
        <w:trPr>
          <w:trHeight w:val="20"/>
        </w:trPr>
        <w:tc>
          <w:tcPr>
            <w:tcW w:w="0" w:type="auto"/>
            <w:shd w:val="clear" w:color="auto" w:fill="auto"/>
            <w:hideMark/>
          </w:tcPr>
          <w:p w14:paraId="7E06235E" w14:textId="77777777" w:rsidR="00111DAD" w:rsidRPr="008F51CC" w:rsidRDefault="00111DAD" w:rsidP="003A2CCC">
            <w:pPr>
              <w:spacing w:after="0"/>
              <w:jc w:val="left"/>
              <w:rPr>
                <w:rFonts w:eastAsia="Times New Roman" w:cstheme="minorHAnsi"/>
                <w:b/>
                <w:sz w:val="16"/>
                <w:szCs w:val="16"/>
                <w:lang w:val="en-US"/>
              </w:rPr>
            </w:pPr>
            <w:r w:rsidRPr="008F51CC">
              <w:rPr>
                <w:rFonts w:eastAsia="Times New Roman" w:cstheme="minorHAnsi"/>
                <w:b/>
                <w:sz w:val="16"/>
                <w:szCs w:val="16"/>
                <w:lang w:val="en-US"/>
              </w:rPr>
              <w:t>KEQ 3 What key factors will contribute to the sustainability of the Nabilan program outcomes beyond the end of the program?</w:t>
            </w:r>
          </w:p>
        </w:tc>
        <w:tc>
          <w:tcPr>
            <w:tcW w:w="0" w:type="auto"/>
            <w:shd w:val="clear" w:color="auto" w:fill="auto"/>
          </w:tcPr>
          <w:p w14:paraId="4C87D525" w14:textId="77777777" w:rsidR="00111DAD" w:rsidRPr="001D0BD5" w:rsidRDefault="00111DAD" w:rsidP="003A2CCC">
            <w:pPr>
              <w:spacing w:after="0"/>
              <w:jc w:val="left"/>
              <w:rPr>
                <w:rFonts w:eastAsia="Times New Roman" w:cstheme="minorHAnsi"/>
                <w:sz w:val="16"/>
                <w:szCs w:val="16"/>
                <w:lang w:val="en-US"/>
              </w:rPr>
            </w:pPr>
            <w:r w:rsidRPr="001D0BD5">
              <w:rPr>
                <w:rFonts w:eastAsia="Times New Roman" w:cstheme="minorHAnsi"/>
                <w:sz w:val="16"/>
                <w:szCs w:val="16"/>
                <w:lang w:val="en-US"/>
              </w:rPr>
              <w:t>Principle: Sustainability</w:t>
            </w:r>
          </w:p>
        </w:tc>
        <w:tc>
          <w:tcPr>
            <w:tcW w:w="0" w:type="auto"/>
            <w:shd w:val="clear" w:color="auto" w:fill="auto"/>
          </w:tcPr>
          <w:p w14:paraId="1208B9FF" w14:textId="57B39DDF" w:rsidR="00111DAD" w:rsidRPr="004515B1" w:rsidRDefault="00111DAD" w:rsidP="003A2CCC">
            <w:pPr>
              <w:spacing w:after="0"/>
              <w:jc w:val="left"/>
              <w:rPr>
                <w:rFonts w:eastAsia="Times New Roman" w:cstheme="minorHAnsi"/>
                <w:i/>
                <w:sz w:val="16"/>
                <w:szCs w:val="16"/>
                <w:lang w:val="en-US"/>
              </w:rPr>
            </w:pPr>
            <w:r>
              <w:rPr>
                <w:rFonts w:eastAsia="Times New Roman" w:cstheme="minorHAnsi"/>
                <w:i/>
                <w:sz w:val="16"/>
                <w:szCs w:val="16"/>
                <w:lang w:val="en-US"/>
              </w:rPr>
              <w:t xml:space="preserve">Addressing KEQ3 and its sub-questions will be a key focus of the mid-term review. To answer these questions, the  mid-term review will synthesise data from a range of sources, including key informant interviews, reviews of existing documents and literature, existing data collected to answer KEQs </w:t>
            </w:r>
            <w:r w:rsidRPr="00B56DBA">
              <w:rPr>
                <w:rFonts w:eastAsia="Times New Roman" w:cstheme="minorHAnsi"/>
                <w:i/>
                <w:sz w:val="16"/>
                <w:szCs w:val="16"/>
                <w:lang w:val="en-US"/>
              </w:rPr>
              <w:t>1 and 2,</w:t>
            </w:r>
            <w:r w:rsidRPr="004515B1">
              <w:rPr>
                <w:rFonts w:eastAsia="Times New Roman" w:cstheme="minorHAnsi"/>
                <w:i/>
                <w:sz w:val="16"/>
                <w:szCs w:val="16"/>
                <w:lang w:val="en-US"/>
              </w:rPr>
              <w:t xml:space="preserve"> </w:t>
            </w:r>
          </w:p>
        </w:tc>
        <w:tc>
          <w:tcPr>
            <w:tcW w:w="0" w:type="auto"/>
            <w:shd w:val="clear" w:color="auto" w:fill="auto"/>
          </w:tcPr>
          <w:p w14:paraId="73D41F09" w14:textId="216F9513" w:rsidR="00111DAD" w:rsidRPr="001D0BD5" w:rsidRDefault="00111DAD" w:rsidP="003A2CCC">
            <w:pPr>
              <w:spacing w:after="0"/>
              <w:jc w:val="left"/>
              <w:rPr>
                <w:rFonts w:eastAsia="Times New Roman" w:cstheme="minorHAnsi"/>
                <w:sz w:val="16"/>
                <w:szCs w:val="16"/>
                <w:lang w:val="en-US"/>
              </w:rPr>
            </w:pPr>
          </w:p>
        </w:tc>
        <w:tc>
          <w:tcPr>
            <w:tcW w:w="0" w:type="auto"/>
            <w:shd w:val="clear" w:color="auto" w:fill="auto"/>
          </w:tcPr>
          <w:p w14:paraId="2BB78D57" w14:textId="50B6C4C1" w:rsidR="00111DAD" w:rsidRPr="001D0BD5" w:rsidRDefault="00111DAD" w:rsidP="003A2CCC">
            <w:pPr>
              <w:spacing w:after="0"/>
              <w:jc w:val="left"/>
              <w:rPr>
                <w:rFonts w:eastAsia="Times New Roman" w:cstheme="minorHAnsi"/>
                <w:sz w:val="16"/>
                <w:szCs w:val="16"/>
                <w:lang w:val="en-US"/>
              </w:rPr>
            </w:pPr>
            <w:r w:rsidRPr="001D0BD5">
              <w:rPr>
                <w:rFonts w:eastAsia="Times New Roman" w:cstheme="minorHAnsi"/>
                <w:sz w:val="16"/>
                <w:szCs w:val="16"/>
                <w:lang w:val="en-US"/>
              </w:rPr>
              <w:t>Mid-term review</w:t>
            </w:r>
          </w:p>
        </w:tc>
        <w:tc>
          <w:tcPr>
            <w:tcW w:w="0" w:type="auto"/>
            <w:shd w:val="clear" w:color="auto" w:fill="auto"/>
          </w:tcPr>
          <w:p w14:paraId="3BB5F9D4" w14:textId="5A0EB94C" w:rsidR="00111DAD" w:rsidRPr="001D0BD5" w:rsidRDefault="00111DAD" w:rsidP="003A2CCC">
            <w:pPr>
              <w:spacing w:after="0"/>
              <w:jc w:val="left"/>
              <w:rPr>
                <w:rFonts w:eastAsia="Times New Roman" w:cstheme="minorHAnsi"/>
                <w:sz w:val="16"/>
                <w:szCs w:val="16"/>
                <w:lang w:val="en-US"/>
              </w:rPr>
            </w:pPr>
            <w:r>
              <w:rPr>
                <w:rFonts w:eastAsia="Times New Roman" w:cstheme="minorHAnsi"/>
                <w:sz w:val="16"/>
                <w:szCs w:val="16"/>
                <w:lang w:val="en-US"/>
              </w:rPr>
              <w:t>N/A</w:t>
            </w:r>
          </w:p>
        </w:tc>
        <w:tc>
          <w:tcPr>
            <w:tcW w:w="0" w:type="auto"/>
            <w:shd w:val="clear" w:color="auto" w:fill="auto"/>
          </w:tcPr>
          <w:p w14:paraId="4F3E0ED5" w14:textId="397358EC" w:rsidR="00111DAD" w:rsidRPr="001D0BD5" w:rsidRDefault="00111DAD" w:rsidP="003A2CCC">
            <w:pPr>
              <w:spacing w:after="0"/>
              <w:jc w:val="left"/>
              <w:rPr>
                <w:rFonts w:eastAsia="Times New Roman" w:cstheme="minorHAnsi"/>
                <w:sz w:val="16"/>
                <w:szCs w:val="16"/>
                <w:lang w:val="en-US"/>
              </w:rPr>
            </w:pPr>
            <w:r>
              <w:rPr>
                <w:rFonts w:eastAsia="Times New Roman" w:cstheme="minorHAnsi"/>
                <w:sz w:val="16"/>
                <w:szCs w:val="16"/>
                <w:lang w:val="en-US"/>
              </w:rPr>
              <w:t>N/A</w:t>
            </w:r>
          </w:p>
        </w:tc>
      </w:tr>
      <w:tr w:rsidR="001D06BF" w:rsidRPr="001D0BD5" w14:paraId="3A9F65FE" w14:textId="77777777" w:rsidTr="00F01362">
        <w:trPr>
          <w:trHeight w:val="20"/>
        </w:trPr>
        <w:tc>
          <w:tcPr>
            <w:tcW w:w="0" w:type="auto"/>
            <w:vMerge w:val="restart"/>
            <w:shd w:val="clear" w:color="auto" w:fill="auto"/>
            <w:hideMark/>
          </w:tcPr>
          <w:p w14:paraId="1D321C27" w14:textId="77777777" w:rsidR="00111DAD" w:rsidRPr="001D0BD5" w:rsidRDefault="00111DAD" w:rsidP="003A2CCC">
            <w:pPr>
              <w:spacing w:after="0"/>
              <w:jc w:val="left"/>
              <w:rPr>
                <w:rFonts w:eastAsia="Times New Roman" w:cstheme="minorHAnsi"/>
                <w:sz w:val="16"/>
                <w:szCs w:val="16"/>
                <w:lang w:val="en-US"/>
              </w:rPr>
            </w:pPr>
            <w:r w:rsidRPr="001D0BD5">
              <w:rPr>
                <w:rFonts w:eastAsia="Times New Roman" w:cstheme="minorHAnsi"/>
                <w:sz w:val="16"/>
                <w:szCs w:val="16"/>
                <w:lang w:val="en-US"/>
              </w:rPr>
              <w:t>3.1 To what extent is GOTL resourcing prevention activities and essential services for women and children impacted by violence? How has Nabilan influenced this?</w:t>
            </w:r>
          </w:p>
        </w:tc>
        <w:tc>
          <w:tcPr>
            <w:tcW w:w="0" w:type="auto"/>
            <w:vMerge w:val="restart"/>
            <w:shd w:val="clear" w:color="auto" w:fill="auto"/>
          </w:tcPr>
          <w:p w14:paraId="266EB94B" w14:textId="77777777" w:rsidR="00111DAD" w:rsidRPr="001D0BD5" w:rsidRDefault="00111DAD" w:rsidP="003A2CCC">
            <w:pPr>
              <w:spacing w:after="0"/>
              <w:jc w:val="left"/>
              <w:rPr>
                <w:rFonts w:eastAsia="Times New Roman" w:cstheme="minorHAnsi"/>
                <w:sz w:val="16"/>
                <w:szCs w:val="16"/>
                <w:lang w:val="en-US"/>
              </w:rPr>
            </w:pPr>
            <w:r w:rsidRPr="001D0BD5">
              <w:rPr>
                <w:rFonts w:eastAsia="Times New Roman" w:cstheme="minorHAnsi"/>
                <w:sz w:val="16"/>
                <w:szCs w:val="16"/>
                <w:lang w:val="en-US"/>
              </w:rPr>
              <w:t>IO1.3: Relevant Ministries use evidence to allocate funding of essential services</w:t>
            </w:r>
          </w:p>
          <w:p w14:paraId="00C743C6" w14:textId="77777777" w:rsidR="00111DAD" w:rsidRPr="001D0BD5" w:rsidRDefault="00111DAD" w:rsidP="003A2CCC">
            <w:pPr>
              <w:spacing w:after="0"/>
              <w:jc w:val="left"/>
              <w:rPr>
                <w:rFonts w:eastAsia="Times New Roman" w:cstheme="minorHAnsi"/>
                <w:sz w:val="16"/>
                <w:szCs w:val="16"/>
                <w:lang w:val="en-US"/>
              </w:rPr>
            </w:pPr>
          </w:p>
          <w:p w14:paraId="777FA804" w14:textId="77777777" w:rsidR="00111DAD" w:rsidRPr="001D0BD5" w:rsidRDefault="00111DAD" w:rsidP="003A2CCC">
            <w:pPr>
              <w:spacing w:after="0"/>
              <w:jc w:val="left"/>
              <w:rPr>
                <w:rFonts w:eastAsia="Times New Roman" w:cstheme="minorHAnsi"/>
                <w:sz w:val="16"/>
                <w:szCs w:val="16"/>
                <w:lang w:val="en-US"/>
              </w:rPr>
            </w:pPr>
            <w:r w:rsidRPr="001D0BD5">
              <w:rPr>
                <w:rFonts w:eastAsia="Times New Roman" w:cstheme="minorHAnsi"/>
                <w:sz w:val="16"/>
                <w:szCs w:val="16"/>
                <w:lang w:val="en-US"/>
              </w:rPr>
              <w:t>ImO1.3 Partners advocate for increased GoTL funding of essential VAWC services</w:t>
            </w:r>
          </w:p>
        </w:tc>
        <w:tc>
          <w:tcPr>
            <w:tcW w:w="0" w:type="auto"/>
            <w:shd w:val="clear" w:color="auto" w:fill="auto"/>
            <w:hideMark/>
          </w:tcPr>
          <w:p w14:paraId="775D9E48" w14:textId="192725C3" w:rsidR="00111DAD" w:rsidRPr="001F1B65" w:rsidRDefault="00111DAD" w:rsidP="003A2CCC">
            <w:pPr>
              <w:pStyle w:val="ListParagraph"/>
              <w:numPr>
                <w:ilvl w:val="0"/>
                <w:numId w:val="18"/>
              </w:numPr>
              <w:rPr>
                <w:rFonts w:eastAsia="Times New Roman" w:cstheme="minorHAnsi"/>
                <w:sz w:val="16"/>
                <w:szCs w:val="16"/>
              </w:rPr>
            </w:pPr>
            <w:r w:rsidRPr="001F1B65">
              <w:rPr>
                <w:rFonts w:eastAsia="Times New Roman" w:cstheme="minorHAnsi"/>
                <w:sz w:val="16"/>
                <w:szCs w:val="16"/>
              </w:rPr>
              <w:t>Instances that reflect GoTL recognition of the need for sustainable funding for services</w:t>
            </w:r>
          </w:p>
          <w:p w14:paraId="5D8E2D0F" w14:textId="77777777" w:rsidR="00111DAD" w:rsidRPr="001D0BD5" w:rsidRDefault="00111DAD" w:rsidP="003A2CCC">
            <w:pPr>
              <w:spacing w:after="0"/>
              <w:jc w:val="left"/>
              <w:rPr>
                <w:rFonts w:eastAsia="Times New Roman" w:cstheme="minorHAnsi"/>
                <w:sz w:val="16"/>
                <w:szCs w:val="16"/>
                <w:lang w:val="en-US"/>
              </w:rPr>
            </w:pPr>
          </w:p>
          <w:p w14:paraId="326390DC" w14:textId="77777777" w:rsidR="00111DAD" w:rsidRPr="001D0BD5" w:rsidRDefault="00111DAD" w:rsidP="003A2CCC">
            <w:pPr>
              <w:spacing w:after="0"/>
              <w:jc w:val="left"/>
              <w:rPr>
                <w:rFonts w:eastAsia="Times New Roman" w:cstheme="minorHAnsi"/>
                <w:sz w:val="16"/>
                <w:szCs w:val="16"/>
                <w:lang w:val="en-US"/>
              </w:rPr>
            </w:pPr>
          </w:p>
        </w:tc>
        <w:tc>
          <w:tcPr>
            <w:tcW w:w="0" w:type="auto"/>
            <w:shd w:val="clear" w:color="auto" w:fill="auto"/>
            <w:hideMark/>
          </w:tcPr>
          <w:p w14:paraId="30B91DCA" w14:textId="77777777" w:rsidR="00111DAD" w:rsidRPr="001D0BD5" w:rsidRDefault="00111DAD" w:rsidP="003A2CCC">
            <w:pPr>
              <w:spacing w:after="0"/>
              <w:jc w:val="left"/>
              <w:rPr>
                <w:rFonts w:eastAsia="Times New Roman" w:cstheme="minorHAnsi"/>
                <w:sz w:val="16"/>
                <w:szCs w:val="16"/>
                <w:lang w:val="en-US"/>
              </w:rPr>
            </w:pPr>
            <w:r w:rsidRPr="001D0BD5">
              <w:rPr>
                <w:rFonts w:eastAsia="Times New Roman" w:cstheme="minorHAnsi"/>
                <w:sz w:val="16"/>
                <w:szCs w:val="16"/>
                <w:lang w:val="en-US"/>
              </w:rPr>
              <w:t> </w:t>
            </w:r>
          </w:p>
        </w:tc>
        <w:tc>
          <w:tcPr>
            <w:tcW w:w="0" w:type="auto"/>
            <w:shd w:val="clear" w:color="auto" w:fill="auto"/>
            <w:hideMark/>
          </w:tcPr>
          <w:p w14:paraId="48B8AE5E" w14:textId="77777777" w:rsidR="00111DAD" w:rsidRPr="001D0BD5" w:rsidRDefault="00111DAD" w:rsidP="003A2CCC">
            <w:pPr>
              <w:pStyle w:val="ListParagraph"/>
              <w:numPr>
                <w:ilvl w:val="0"/>
                <w:numId w:val="27"/>
              </w:numPr>
              <w:rPr>
                <w:rFonts w:eastAsia="Times New Roman" w:cstheme="minorHAnsi"/>
                <w:sz w:val="16"/>
                <w:szCs w:val="16"/>
              </w:rPr>
            </w:pPr>
            <w:r w:rsidRPr="001D0BD5">
              <w:rPr>
                <w:rFonts w:eastAsia="Times New Roman" w:cstheme="minorHAnsi"/>
                <w:sz w:val="16"/>
                <w:szCs w:val="16"/>
              </w:rPr>
              <w:t>Partner reports</w:t>
            </w:r>
          </w:p>
          <w:p w14:paraId="700619C6" w14:textId="77777777" w:rsidR="00111DAD" w:rsidRDefault="00111DAD" w:rsidP="003A2CCC">
            <w:pPr>
              <w:pStyle w:val="ListParagraph"/>
              <w:numPr>
                <w:ilvl w:val="0"/>
                <w:numId w:val="27"/>
              </w:numPr>
              <w:rPr>
                <w:rFonts w:eastAsia="Times New Roman" w:cstheme="minorHAnsi"/>
                <w:sz w:val="16"/>
                <w:szCs w:val="16"/>
              </w:rPr>
            </w:pPr>
            <w:r w:rsidRPr="001D0BD5">
              <w:rPr>
                <w:rFonts w:eastAsia="Times New Roman" w:cstheme="minorHAnsi"/>
                <w:sz w:val="16"/>
                <w:szCs w:val="16"/>
              </w:rPr>
              <w:t>Meeting minutes and public statements from GoTL</w:t>
            </w:r>
          </w:p>
          <w:p w14:paraId="3517A1AA" w14:textId="77777777" w:rsidR="00111DAD" w:rsidRPr="00547E25" w:rsidRDefault="00111DAD" w:rsidP="003A2CCC">
            <w:pPr>
              <w:pStyle w:val="ListParagraph"/>
              <w:numPr>
                <w:ilvl w:val="0"/>
                <w:numId w:val="27"/>
              </w:numPr>
              <w:rPr>
                <w:rFonts w:eastAsia="Times New Roman" w:cstheme="minorHAnsi"/>
                <w:sz w:val="16"/>
                <w:szCs w:val="16"/>
              </w:rPr>
            </w:pPr>
            <w:r w:rsidRPr="001D0BD5">
              <w:rPr>
                <w:rFonts w:eastAsia="Times New Roman" w:cstheme="minorHAnsi"/>
                <w:sz w:val="16"/>
                <w:szCs w:val="16"/>
              </w:rPr>
              <w:t>Mid-term review</w:t>
            </w:r>
          </w:p>
        </w:tc>
        <w:tc>
          <w:tcPr>
            <w:tcW w:w="0" w:type="auto"/>
            <w:shd w:val="clear" w:color="auto" w:fill="auto"/>
            <w:hideMark/>
          </w:tcPr>
          <w:p w14:paraId="66A1BD6A" w14:textId="27CAEFB1" w:rsidR="00111DAD" w:rsidRPr="001D0BD5" w:rsidRDefault="00111DAD" w:rsidP="003A2CCC">
            <w:pPr>
              <w:spacing w:after="0"/>
              <w:jc w:val="left"/>
              <w:rPr>
                <w:rFonts w:eastAsia="Times New Roman" w:cstheme="minorHAnsi"/>
                <w:sz w:val="16"/>
                <w:szCs w:val="16"/>
                <w:lang w:val="en-US"/>
              </w:rPr>
            </w:pPr>
            <w:r w:rsidRPr="001D0BD5">
              <w:rPr>
                <w:rFonts w:eastAsia="Times New Roman" w:cstheme="minorHAnsi"/>
                <w:sz w:val="16"/>
                <w:szCs w:val="16"/>
                <w:lang w:val="en-US"/>
              </w:rPr>
              <w:t> </w:t>
            </w:r>
            <w:r>
              <w:rPr>
                <w:rFonts w:eastAsia="Times New Roman" w:cstheme="minorHAnsi"/>
                <w:sz w:val="16"/>
                <w:szCs w:val="16"/>
                <w:lang w:val="en-US"/>
              </w:rPr>
              <w:t>N/A</w:t>
            </w:r>
          </w:p>
        </w:tc>
        <w:tc>
          <w:tcPr>
            <w:tcW w:w="0" w:type="auto"/>
            <w:shd w:val="clear" w:color="auto" w:fill="auto"/>
            <w:hideMark/>
          </w:tcPr>
          <w:p w14:paraId="65EC705C" w14:textId="77777777" w:rsidR="00111DAD" w:rsidRPr="001D0BD5" w:rsidRDefault="00111DAD" w:rsidP="003A2CCC">
            <w:pPr>
              <w:spacing w:after="0"/>
              <w:jc w:val="left"/>
              <w:rPr>
                <w:rFonts w:eastAsia="Times New Roman" w:cstheme="minorHAnsi"/>
                <w:sz w:val="16"/>
                <w:szCs w:val="16"/>
                <w:lang w:val="en-US"/>
              </w:rPr>
            </w:pPr>
            <w:r w:rsidRPr="001D0BD5">
              <w:rPr>
                <w:rFonts w:eastAsia="Times New Roman" w:cstheme="minorHAnsi"/>
                <w:sz w:val="16"/>
                <w:szCs w:val="16"/>
                <w:lang w:val="en-US"/>
              </w:rPr>
              <w:t>1 MoU with MoH signed; 1 PRPF held each year; funding discussed at coordination meetings with UN agencies, government and other donors</w:t>
            </w:r>
          </w:p>
        </w:tc>
      </w:tr>
      <w:tr w:rsidR="001D06BF" w:rsidRPr="001D0BD5" w14:paraId="63C14AC3" w14:textId="77777777" w:rsidTr="00F01362">
        <w:trPr>
          <w:trHeight w:val="20"/>
        </w:trPr>
        <w:tc>
          <w:tcPr>
            <w:tcW w:w="0" w:type="auto"/>
            <w:vMerge/>
            <w:shd w:val="clear" w:color="auto" w:fill="auto"/>
          </w:tcPr>
          <w:p w14:paraId="1018A2AF" w14:textId="77777777" w:rsidR="00111DAD" w:rsidRPr="001D0BD5" w:rsidRDefault="00111DAD" w:rsidP="003A2CCC">
            <w:pPr>
              <w:spacing w:after="0"/>
              <w:jc w:val="left"/>
              <w:rPr>
                <w:rFonts w:eastAsia="Times New Roman" w:cstheme="minorHAnsi"/>
                <w:sz w:val="16"/>
                <w:szCs w:val="16"/>
                <w:lang w:val="en-US"/>
              </w:rPr>
            </w:pPr>
          </w:p>
        </w:tc>
        <w:tc>
          <w:tcPr>
            <w:tcW w:w="0" w:type="auto"/>
            <w:vMerge/>
            <w:shd w:val="clear" w:color="auto" w:fill="auto"/>
          </w:tcPr>
          <w:p w14:paraId="1C25CC26" w14:textId="77777777" w:rsidR="00111DAD" w:rsidRPr="001D0BD5" w:rsidRDefault="00111DAD" w:rsidP="003A2CCC">
            <w:pPr>
              <w:spacing w:after="0"/>
              <w:jc w:val="left"/>
              <w:rPr>
                <w:rFonts w:eastAsia="Times New Roman" w:cstheme="minorHAnsi"/>
                <w:sz w:val="16"/>
                <w:szCs w:val="16"/>
                <w:lang w:val="en-US"/>
              </w:rPr>
            </w:pPr>
          </w:p>
        </w:tc>
        <w:tc>
          <w:tcPr>
            <w:tcW w:w="0" w:type="auto"/>
            <w:shd w:val="clear" w:color="auto" w:fill="auto"/>
          </w:tcPr>
          <w:p w14:paraId="71158699" w14:textId="0DBD4CA5" w:rsidR="00111DAD" w:rsidRPr="001F1B65" w:rsidRDefault="00111DAD" w:rsidP="003A2CCC">
            <w:pPr>
              <w:pStyle w:val="ListParagraph"/>
              <w:numPr>
                <w:ilvl w:val="0"/>
                <w:numId w:val="18"/>
              </w:numPr>
              <w:rPr>
                <w:rFonts w:eastAsia="Times New Roman" w:cstheme="minorHAnsi"/>
                <w:sz w:val="16"/>
                <w:szCs w:val="16"/>
              </w:rPr>
            </w:pPr>
            <w:r w:rsidRPr="001F1B65">
              <w:rPr>
                <w:rFonts w:eastAsia="Times New Roman" w:cstheme="minorHAnsi"/>
                <w:sz w:val="16"/>
                <w:szCs w:val="16"/>
              </w:rPr>
              <w:t>Evidence of changed funding portfolio (%) provided by Nabilan/other donors/government to for Nabilan partners</w:t>
            </w:r>
          </w:p>
        </w:tc>
        <w:tc>
          <w:tcPr>
            <w:tcW w:w="0" w:type="auto"/>
            <w:shd w:val="clear" w:color="auto" w:fill="auto"/>
          </w:tcPr>
          <w:p w14:paraId="61D98FA5" w14:textId="77777777" w:rsidR="00111DAD" w:rsidRPr="001D0BD5" w:rsidRDefault="00111DAD" w:rsidP="003A2CCC">
            <w:pPr>
              <w:spacing w:after="0"/>
              <w:jc w:val="left"/>
              <w:rPr>
                <w:rFonts w:eastAsia="Times New Roman" w:cstheme="minorHAnsi"/>
                <w:sz w:val="16"/>
                <w:szCs w:val="16"/>
                <w:lang w:val="en-US"/>
              </w:rPr>
            </w:pPr>
          </w:p>
        </w:tc>
        <w:tc>
          <w:tcPr>
            <w:tcW w:w="0" w:type="auto"/>
            <w:shd w:val="clear" w:color="auto" w:fill="auto"/>
          </w:tcPr>
          <w:p w14:paraId="726894B7" w14:textId="77777777" w:rsidR="00111DAD" w:rsidRPr="00AC09C3" w:rsidRDefault="00111DAD" w:rsidP="003A2CCC">
            <w:pPr>
              <w:rPr>
                <w:rFonts w:eastAsia="Times New Roman" w:cstheme="minorHAnsi"/>
                <w:sz w:val="16"/>
                <w:szCs w:val="16"/>
              </w:rPr>
            </w:pPr>
            <w:r w:rsidRPr="00AC09C3">
              <w:rPr>
                <w:rFonts w:eastAsia="Times New Roman" w:cstheme="minorHAnsi"/>
                <w:sz w:val="16"/>
                <w:szCs w:val="16"/>
              </w:rPr>
              <w:t>GoTL budget allocations</w:t>
            </w:r>
          </w:p>
          <w:p w14:paraId="311E2046" w14:textId="77777777" w:rsidR="00111DAD" w:rsidRPr="001D0BD5" w:rsidRDefault="00111DAD" w:rsidP="003A2CCC">
            <w:pPr>
              <w:pStyle w:val="ListParagraph"/>
              <w:ind w:left="360" w:firstLine="0"/>
              <w:rPr>
                <w:rFonts w:eastAsia="Times New Roman" w:cstheme="minorHAnsi"/>
                <w:sz w:val="16"/>
                <w:szCs w:val="16"/>
              </w:rPr>
            </w:pPr>
          </w:p>
        </w:tc>
        <w:tc>
          <w:tcPr>
            <w:tcW w:w="0" w:type="auto"/>
            <w:shd w:val="clear" w:color="auto" w:fill="auto"/>
          </w:tcPr>
          <w:p w14:paraId="6BC8F791" w14:textId="2FC83304" w:rsidR="00111DAD" w:rsidRPr="001D0BD5" w:rsidRDefault="00111DAD" w:rsidP="003A2CCC">
            <w:pPr>
              <w:spacing w:after="0"/>
              <w:jc w:val="left"/>
              <w:rPr>
                <w:rFonts w:eastAsia="Times New Roman" w:cstheme="minorHAnsi"/>
                <w:sz w:val="16"/>
                <w:szCs w:val="16"/>
                <w:lang w:val="en-US"/>
              </w:rPr>
            </w:pPr>
            <w:r>
              <w:rPr>
                <w:rFonts w:eastAsia="Times New Roman" w:cstheme="minorHAnsi"/>
                <w:sz w:val="16"/>
                <w:szCs w:val="16"/>
                <w:lang w:val="en-US"/>
              </w:rPr>
              <w:t>Available - 2017</w:t>
            </w:r>
          </w:p>
        </w:tc>
        <w:tc>
          <w:tcPr>
            <w:tcW w:w="0" w:type="auto"/>
            <w:shd w:val="clear" w:color="auto" w:fill="auto"/>
          </w:tcPr>
          <w:p w14:paraId="17CE6339" w14:textId="7AFA7EA7" w:rsidR="00111DAD" w:rsidRPr="001D0BD5" w:rsidRDefault="00111DAD" w:rsidP="003A2CCC">
            <w:pPr>
              <w:spacing w:after="0"/>
              <w:jc w:val="left"/>
              <w:rPr>
                <w:rFonts w:eastAsia="Times New Roman" w:cstheme="minorHAnsi"/>
                <w:sz w:val="16"/>
                <w:szCs w:val="16"/>
                <w:lang w:val="en-US"/>
              </w:rPr>
            </w:pPr>
            <w:r>
              <w:rPr>
                <w:rFonts w:eastAsia="Times New Roman" w:cstheme="minorHAnsi"/>
                <w:sz w:val="16"/>
                <w:szCs w:val="16"/>
                <w:lang w:val="en-US"/>
              </w:rPr>
              <w:t>N/A</w:t>
            </w:r>
          </w:p>
        </w:tc>
      </w:tr>
      <w:tr w:rsidR="001D06BF" w:rsidRPr="001D0BD5" w14:paraId="4992B509" w14:textId="77777777" w:rsidTr="00F01362">
        <w:trPr>
          <w:trHeight w:val="20"/>
        </w:trPr>
        <w:tc>
          <w:tcPr>
            <w:tcW w:w="0" w:type="auto"/>
            <w:vMerge/>
            <w:shd w:val="clear" w:color="auto" w:fill="auto"/>
          </w:tcPr>
          <w:p w14:paraId="095DF881" w14:textId="77777777" w:rsidR="00111DAD" w:rsidRPr="001D0BD5" w:rsidRDefault="00111DAD" w:rsidP="003A2CCC">
            <w:pPr>
              <w:spacing w:after="0"/>
              <w:jc w:val="left"/>
              <w:rPr>
                <w:rFonts w:eastAsia="Times New Roman" w:cstheme="minorHAnsi"/>
                <w:sz w:val="16"/>
                <w:szCs w:val="16"/>
                <w:lang w:val="en-US"/>
              </w:rPr>
            </w:pPr>
          </w:p>
        </w:tc>
        <w:tc>
          <w:tcPr>
            <w:tcW w:w="0" w:type="auto"/>
            <w:vMerge/>
            <w:shd w:val="clear" w:color="auto" w:fill="auto"/>
          </w:tcPr>
          <w:p w14:paraId="75132249" w14:textId="77777777" w:rsidR="00111DAD" w:rsidRPr="001D0BD5" w:rsidRDefault="00111DAD" w:rsidP="003A2CCC">
            <w:pPr>
              <w:spacing w:after="0"/>
              <w:jc w:val="left"/>
              <w:rPr>
                <w:rFonts w:eastAsia="Times New Roman" w:cstheme="minorHAnsi"/>
                <w:sz w:val="16"/>
                <w:szCs w:val="16"/>
                <w:lang w:val="en-US"/>
              </w:rPr>
            </w:pPr>
          </w:p>
        </w:tc>
        <w:tc>
          <w:tcPr>
            <w:tcW w:w="0" w:type="auto"/>
            <w:shd w:val="clear" w:color="auto" w:fill="auto"/>
          </w:tcPr>
          <w:p w14:paraId="7A1737E9" w14:textId="16DD34FB" w:rsidR="00111DAD" w:rsidRPr="001F1B65" w:rsidRDefault="00111DAD" w:rsidP="003A2CCC">
            <w:pPr>
              <w:pStyle w:val="ListParagraph"/>
              <w:numPr>
                <w:ilvl w:val="0"/>
                <w:numId w:val="18"/>
              </w:numPr>
              <w:rPr>
                <w:rFonts w:eastAsia="Times New Roman" w:cstheme="minorHAnsi"/>
                <w:sz w:val="16"/>
                <w:szCs w:val="16"/>
              </w:rPr>
            </w:pPr>
            <w:r w:rsidRPr="001F1B65">
              <w:rPr>
                <w:rFonts w:eastAsia="Times New Roman" w:cstheme="minorHAnsi"/>
                <w:sz w:val="16"/>
                <w:szCs w:val="16"/>
              </w:rPr>
              <w:t>Evidence of Nabilan partners advocating to GoTL for increased funding</w:t>
            </w:r>
          </w:p>
        </w:tc>
        <w:tc>
          <w:tcPr>
            <w:tcW w:w="0" w:type="auto"/>
            <w:shd w:val="clear" w:color="auto" w:fill="auto"/>
          </w:tcPr>
          <w:p w14:paraId="67C8ED56" w14:textId="77777777" w:rsidR="00111DAD" w:rsidRPr="001D0BD5" w:rsidRDefault="00111DAD" w:rsidP="003A2CCC">
            <w:pPr>
              <w:spacing w:after="0"/>
              <w:jc w:val="left"/>
              <w:rPr>
                <w:rFonts w:eastAsia="Times New Roman" w:cstheme="minorHAnsi"/>
                <w:sz w:val="16"/>
                <w:szCs w:val="16"/>
                <w:lang w:val="en-US"/>
              </w:rPr>
            </w:pPr>
          </w:p>
        </w:tc>
        <w:tc>
          <w:tcPr>
            <w:tcW w:w="0" w:type="auto"/>
            <w:shd w:val="clear" w:color="auto" w:fill="auto"/>
          </w:tcPr>
          <w:p w14:paraId="2245FAA6" w14:textId="77777777" w:rsidR="00111DAD" w:rsidRPr="00AC09C3" w:rsidRDefault="00111DAD" w:rsidP="003A2CCC">
            <w:pPr>
              <w:rPr>
                <w:rFonts w:eastAsia="Times New Roman" w:cstheme="minorHAnsi"/>
                <w:sz w:val="16"/>
                <w:szCs w:val="16"/>
              </w:rPr>
            </w:pPr>
            <w:r w:rsidRPr="00AC09C3">
              <w:rPr>
                <w:rFonts w:eastAsia="Times New Roman" w:cstheme="minorHAnsi"/>
                <w:sz w:val="16"/>
                <w:szCs w:val="16"/>
              </w:rPr>
              <w:t>Partner reports</w:t>
            </w:r>
          </w:p>
        </w:tc>
        <w:tc>
          <w:tcPr>
            <w:tcW w:w="0" w:type="auto"/>
            <w:shd w:val="clear" w:color="auto" w:fill="auto"/>
          </w:tcPr>
          <w:p w14:paraId="71AD7630" w14:textId="4C40084A" w:rsidR="00111DAD" w:rsidRPr="001D0BD5" w:rsidRDefault="00111DAD" w:rsidP="003A2CCC">
            <w:pPr>
              <w:spacing w:after="0"/>
              <w:jc w:val="left"/>
              <w:rPr>
                <w:rFonts w:eastAsia="Times New Roman" w:cstheme="minorHAnsi"/>
                <w:sz w:val="16"/>
                <w:szCs w:val="16"/>
                <w:lang w:val="en-US"/>
              </w:rPr>
            </w:pPr>
            <w:r>
              <w:rPr>
                <w:rFonts w:eastAsia="Times New Roman" w:cstheme="minorHAnsi"/>
                <w:sz w:val="16"/>
                <w:szCs w:val="16"/>
                <w:lang w:val="en-US"/>
              </w:rPr>
              <w:t>N/A</w:t>
            </w:r>
          </w:p>
        </w:tc>
        <w:tc>
          <w:tcPr>
            <w:tcW w:w="0" w:type="auto"/>
            <w:shd w:val="clear" w:color="auto" w:fill="auto"/>
          </w:tcPr>
          <w:p w14:paraId="269BFF02" w14:textId="5AA37AA5" w:rsidR="00111DAD" w:rsidRPr="001D0BD5" w:rsidRDefault="00111DAD" w:rsidP="003A2CCC">
            <w:pPr>
              <w:spacing w:after="0"/>
              <w:jc w:val="left"/>
              <w:rPr>
                <w:rFonts w:eastAsia="Times New Roman" w:cstheme="minorHAnsi"/>
                <w:sz w:val="16"/>
                <w:szCs w:val="16"/>
                <w:lang w:val="en-US"/>
              </w:rPr>
            </w:pPr>
            <w:r>
              <w:rPr>
                <w:rFonts w:eastAsia="Times New Roman" w:cstheme="minorHAnsi"/>
                <w:sz w:val="16"/>
                <w:szCs w:val="16"/>
                <w:lang w:val="en-US"/>
              </w:rPr>
              <w:t>N/A</w:t>
            </w:r>
          </w:p>
        </w:tc>
      </w:tr>
      <w:tr w:rsidR="001D06BF" w:rsidRPr="001D0BD5" w14:paraId="0032FE38" w14:textId="77777777" w:rsidTr="00F01362">
        <w:trPr>
          <w:trHeight w:val="20"/>
        </w:trPr>
        <w:tc>
          <w:tcPr>
            <w:tcW w:w="0" w:type="auto"/>
            <w:shd w:val="clear" w:color="auto" w:fill="auto"/>
            <w:hideMark/>
          </w:tcPr>
          <w:p w14:paraId="1C37F4C9" w14:textId="77777777" w:rsidR="00111DAD" w:rsidRPr="001D0BD5" w:rsidRDefault="00111DAD" w:rsidP="003A2CCC">
            <w:pPr>
              <w:spacing w:after="0"/>
              <w:jc w:val="left"/>
              <w:rPr>
                <w:rFonts w:eastAsia="Times New Roman" w:cstheme="minorHAnsi"/>
                <w:sz w:val="16"/>
                <w:szCs w:val="16"/>
                <w:lang w:val="en-US"/>
              </w:rPr>
            </w:pPr>
            <w:r w:rsidRPr="001D0BD5">
              <w:rPr>
                <w:rFonts w:eastAsia="Times New Roman" w:cstheme="minorHAnsi"/>
                <w:sz w:val="16"/>
                <w:szCs w:val="16"/>
                <w:lang w:val="en-US"/>
              </w:rPr>
              <w:t xml:space="preserve">3.2 Is there evidence of changes in community attitudes and practices relating to VAWC?   </w:t>
            </w:r>
          </w:p>
        </w:tc>
        <w:tc>
          <w:tcPr>
            <w:tcW w:w="0" w:type="auto"/>
            <w:shd w:val="clear" w:color="auto" w:fill="auto"/>
          </w:tcPr>
          <w:p w14:paraId="29B686AE" w14:textId="77777777" w:rsidR="00111DAD" w:rsidRPr="001D0BD5" w:rsidRDefault="00111DAD" w:rsidP="003A2CCC">
            <w:pPr>
              <w:spacing w:after="0"/>
              <w:jc w:val="left"/>
              <w:rPr>
                <w:rFonts w:eastAsia="Times New Roman" w:cstheme="minorHAnsi"/>
                <w:sz w:val="16"/>
                <w:szCs w:val="16"/>
                <w:lang w:val="en-US"/>
              </w:rPr>
            </w:pPr>
          </w:p>
        </w:tc>
        <w:tc>
          <w:tcPr>
            <w:tcW w:w="0" w:type="auto"/>
            <w:shd w:val="clear" w:color="auto" w:fill="auto"/>
            <w:hideMark/>
          </w:tcPr>
          <w:p w14:paraId="5A599BDF" w14:textId="10C23399" w:rsidR="00111DAD" w:rsidRPr="0023735F" w:rsidRDefault="00111DAD" w:rsidP="003A2CCC">
            <w:pPr>
              <w:spacing w:after="0"/>
              <w:jc w:val="left"/>
              <w:rPr>
                <w:rFonts w:eastAsia="Times New Roman" w:cstheme="minorHAnsi"/>
                <w:i/>
                <w:sz w:val="16"/>
                <w:szCs w:val="16"/>
                <w:lang w:val="en-US"/>
              </w:rPr>
            </w:pPr>
            <w:r w:rsidRPr="0023735F">
              <w:rPr>
                <w:rFonts w:eastAsia="Times New Roman" w:cstheme="minorHAnsi"/>
                <w:i/>
                <w:sz w:val="16"/>
                <w:szCs w:val="16"/>
                <w:lang w:val="en-US"/>
              </w:rPr>
              <w:t> Refer to</w:t>
            </w:r>
            <w:r>
              <w:rPr>
                <w:rFonts w:eastAsia="Times New Roman" w:cstheme="minorHAnsi"/>
                <w:i/>
                <w:sz w:val="16"/>
                <w:szCs w:val="16"/>
                <w:lang w:val="en-US"/>
              </w:rPr>
              <w:t xml:space="preserve"> Indicators 13 and 23 above</w:t>
            </w:r>
            <w:r w:rsidRPr="0023735F">
              <w:rPr>
                <w:rFonts w:eastAsia="Times New Roman" w:cstheme="minorHAnsi"/>
                <w:i/>
                <w:sz w:val="16"/>
                <w:szCs w:val="16"/>
                <w:lang w:val="en-US"/>
              </w:rPr>
              <w:t xml:space="preserve"> </w:t>
            </w:r>
          </w:p>
        </w:tc>
        <w:tc>
          <w:tcPr>
            <w:tcW w:w="0" w:type="auto"/>
            <w:shd w:val="clear" w:color="auto" w:fill="auto"/>
            <w:hideMark/>
          </w:tcPr>
          <w:p w14:paraId="3ABDB1F9" w14:textId="77777777" w:rsidR="00111DAD" w:rsidRPr="001D0BD5" w:rsidRDefault="00111DAD" w:rsidP="003A2CCC">
            <w:pPr>
              <w:spacing w:after="0"/>
              <w:jc w:val="left"/>
              <w:rPr>
                <w:rFonts w:eastAsia="Times New Roman" w:cstheme="minorHAnsi"/>
                <w:sz w:val="16"/>
                <w:szCs w:val="16"/>
                <w:lang w:val="en-US"/>
              </w:rPr>
            </w:pPr>
            <w:r w:rsidRPr="001D0BD5">
              <w:rPr>
                <w:rFonts w:eastAsia="Times New Roman" w:cstheme="minorHAnsi"/>
                <w:sz w:val="16"/>
                <w:szCs w:val="16"/>
                <w:lang w:val="en-US"/>
              </w:rPr>
              <w:t> </w:t>
            </w:r>
          </w:p>
        </w:tc>
        <w:tc>
          <w:tcPr>
            <w:tcW w:w="0" w:type="auto"/>
            <w:shd w:val="clear" w:color="auto" w:fill="auto"/>
            <w:hideMark/>
          </w:tcPr>
          <w:p w14:paraId="1A616FE1" w14:textId="77777777" w:rsidR="00111DAD" w:rsidRPr="00CE6920" w:rsidRDefault="00111DAD" w:rsidP="003A2CCC">
            <w:pPr>
              <w:pStyle w:val="ListParagraph"/>
              <w:numPr>
                <w:ilvl w:val="0"/>
                <w:numId w:val="48"/>
              </w:numPr>
              <w:rPr>
                <w:rFonts w:eastAsia="Times New Roman" w:cstheme="minorHAnsi"/>
                <w:sz w:val="16"/>
                <w:szCs w:val="16"/>
              </w:rPr>
            </w:pPr>
            <w:r w:rsidRPr="00CE6920">
              <w:rPr>
                <w:rFonts w:eastAsia="Times New Roman" w:cstheme="minorHAnsi"/>
                <w:sz w:val="16"/>
                <w:szCs w:val="16"/>
              </w:rPr>
              <w:t>CBA monitoring</w:t>
            </w:r>
          </w:p>
          <w:p w14:paraId="270DDD16" w14:textId="77777777" w:rsidR="00111DAD" w:rsidRPr="00CE6920" w:rsidRDefault="00111DAD" w:rsidP="003A2CCC">
            <w:pPr>
              <w:pStyle w:val="ListParagraph"/>
              <w:numPr>
                <w:ilvl w:val="0"/>
                <w:numId w:val="48"/>
              </w:numPr>
              <w:rPr>
                <w:rFonts w:eastAsia="Times New Roman" w:cstheme="minorHAnsi"/>
                <w:sz w:val="16"/>
                <w:szCs w:val="16"/>
              </w:rPr>
            </w:pPr>
            <w:r w:rsidRPr="00CE6920">
              <w:rPr>
                <w:rFonts w:eastAsia="Times New Roman" w:cstheme="minorHAnsi"/>
                <w:sz w:val="16"/>
                <w:szCs w:val="16"/>
              </w:rPr>
              <w:t>Mid-term review</w:t>
            </w:r>
          </w:p>
        </w:tc>
        <w:tc>
          <w:tcPr>
            <w:tcW w:w="0" w:type="auto"/>
            <w:shd w:val="clear" w:color="auto" w:fill="auto"/>
            <w:hideMark/>
          </w:tcPr>
          <w:p w14:paraId="59E7605E" w14:textId="1D4CDB82" w:rsidR="00111DAD" w:rsidRPr="001D0BD5" w:rsidRDefault="00111DAD" w:rsidP="003A2CCC">
            <w:pPr>
              <w:spacing w:after="0"/>
              <w:jc w:val="left"/>
              <w:rPr>
                <w:rFonts w:eastAsia="Times New Roman" w:cstheme="minorHAnsi"/>
                <w:sz w:val="16"/>
                <w:szCs w:val="16"/>
                <w:lang w:val="en-US"/>
              </w:rPr>
            </w:pPr>
            <w:r w:rsidRPr="001D0BD5">
              <w:rPr>
                <w:rFonts w:eastAsia="Times New Roman" w:cstheme="minorHAnsi"/>
                <w:sz w:val="16"/>
                <w:szCs w:val="16"/>
                <w:lang w:val="en-US"/>
              </w:rPr>
              <w:t> </w:t>
            </w:r>
            <w:r w:rsidRPr="0023735F">
              <w:rPr>
                <w:rFonts w:eastAsia="Times New Roman" w:cstheme="minorHAnsi"/>
                <w:i/>
                <w:sz w:val="16"/>
                <w:szCs w:val="16"/>
                <w:lang w:val="en-US"/>
              </w:rPr>
              <w:t>Refer to</w:t>
            </w:r>
            <w:r>
              <w:rPr>
                <w:rFonts w:eastAsia="Times New Roman" w:cstheme="minorHAnsi"/>
                <w:i/>
                <w:sz w:val="16"/>
                <w:szCs w:val="16"/>
                <w:lang w:val="en-US"/>
              </w:rPr>
              <w:t xml:space="preserve"> Indicators 13 and 23 above</w:t>
            </w:r>
          </w:p>
        </w:tc>
        <w:tc>
          <w:tcPr>
            <w:tcW w:w="0" w:type="auto"/>
            <w:shd w:val="clear" w:color="auto" w:fill="auto"/>
            <w:hideMark/>
          </w:tcPr>
          <w:p w14:paraId="1C68EC03" w14:textId="6F49241D" w:rsidR="00111DAD" w:rsidRPr="001D0BD5" w:rsidRDefault="00111DAD" w:rsidP="003A2CCC">
            <w:pPr>
              <w:spacing w:after="0"/>
              <w:jc w:val="left"/>
              <w:rPr>
                <w:rFonts w:eastAsia="Times New Roman" w:cstheme="minorHAnsi"/>
                <w:sz w:val="16"/>
                <w:szCs w:val="16"/>
                <w:lang w:val="en-US"/>
              </w:rPr>
            </w:pPr>
            <w:r w:rsidRPr="0023735F">
              <w:rPr>
                <w:rFonts w:eastAsia="Times New Roman" w:cstheme="minorHAnsi"/>
                <w:i/>
                <w:sz w:val="16"/>
                <w:szCs w:val="16"/>
                <w:lang w:val="en-US"/>
              </w:rPr>
              <w:t>Refer to</w:t>
            </w:r>
            <w:r>
              <w:rPr>
                <w:rFonts w:eastAsia="Times New Roman" w:cstheme="minorHAnsi"/>
                <w:i/>
                <w:sz w:val="16"/>
                <w:szCs w:val="16"/>
                <w:lang w:val="en-US"/>
              </w:rPr>
              <w:t xml:space="preserve"> Indicators 13 and 23 above</w:t>
            </w:r>
          </w:p>
        </w:tc>
      </w:tr>
      <w:tr w:rsidR="001D06BF" w:rsidRPr="001D0BD5" w14:paraId="6ED9E68E" w14:textId="77777777" w:rsidTr="00F01362">
        <w:trPr>
          <w:trHeight w:val="20"/>
        </w:trPr>
        <w:tc>
          <w:tcPr>
            <w:tcW w:w="0" w:type="auto"/>
            <w:vMerge w:val="restart"/>
            <w:shd w:val="clear" w:color="auto" w:fill="auto"/>
            <w:hideMark/>
          </w:tcPr>
          <w:p w14:paraId="3F4F56A0" w14:textId="77777777" w:rsidR="008F51CC" w:rsidRPr="001D0BD5" w:rsidRDefault="008F51CC" w:rsidP="003A2CCC">
            <w:pPr>
              <w:spacing w:after="0"/>
              <w:jc w:val="left"/>
              <w:rPr>
                <w:rFonts w:eastAsia="Times New Roman" w:cstheme="minorHAnsi"/>
                <w:sz w:val="16"/>
                <w:szCs w:val="16"/>
                <w:lang w:val="en-US"/>
              </w:rPr>
            </w:pPr>
            <w:r w:rsidRPr="001D0BD5">
              <w:rPr>
                <w:rFonts w:eastAsia="Times New Roman" w:cstheme="minorHAnsi"/>
                <w:sz w:val="16"/>
                <w:szCs w:val="16"/>
                <w:lang w:val="en-US"/>
              </w:rPr>
              <w:t xml:space="preserve">3.3 Is there evidence of strengthened local capacity and systems to continue implementation of quality services and prevention approaches? </w:t>
            </w:r>
          </w:p>
        </w:tc>
        <w:tc>
          <w:tcPr>
            <w:tcW w:w="0" w:type="auto"/>
            <w:vMerge w:val="restart"/>
            <w:shd w:val="clear" w:color="auto" w:fill="auto"/>
          </w:tcPr>
          <w:p w14:paraId="61BB1F60" w14:textId="77777777" w:rsidR="008F51CC" w:rsidRPr="001D0BD5" w:rsidRDefault="008F51CC" w:rsidP="003A2CCC">
            <w:pPr>
              <w:spacing w:after="0"/>
              <w:jc w:val="left"/>
              <w:rPr>
                <w:rFonts w:eastAsia="Times New Roman" w:cstheme="minorHAnsi"/>
                <w:sz w:val="16"/>
                <w:szCs w:val="16"/>
                <w:lang w:val="en-US"/>
              </w:rPr>
            </w:pPr>
          </w:p>
        </w:tc>
        <w:tc>
          <w:tcPr>
            <w:tcW w:w="0" w:type="auto"/>
            <w:shd w:val="clear" w:color="auto" w:fill="auto"/>
            <w:hideMark/>
          </w:tcPr>
          <w:p w14:paraId="073DACA5" w14:textId="54936935" w:rsidR="008F51CC" w:rsidRPr="008F51CC" w:rsidRDefault="008F51CC" w:rsidP="003A2CCC">
            <w:pPr>
              <w:pStyle w:val="ListParagraph"/>
              <w:numPr>
                <w:ilvl w:val="0"/>
                <w:numId w:val="18"/>
              </w:numPr>
              <w:rPr>
                <w:rFonts w:eastAsia="Times New Roman" w:cstheme="minorHAnsi"/>
                <w:sz w:val="16"/>
                <w:szCs w:val="16"/>
              </w:rPr>
            </w:pPr>
            <w:r w:rsidRPr="008F51CC">
              <w:rPr>
                <w:rFonts w:eastAsia="Times New Roman" w:cstheme="minorHAnsi"/>
                <w:sz w:val="16"/>
                <w:szCs w:val="16"/>
              </w:rPr>
              <w:t xml:space="preserve">Organisational Institutional Strengthening assessment </w:t>
            </w:r>
            <w:r>
              <w:rPr>
                <w:rFonts w:eastAsia="Times New Roman" w:cstheme="minorHAnsi"/>
                <w:sz w:val="16"/>
                <w:szCs w:val="16"/>
              </w:rPr>
              <w:t>ratings</w:t>
            </w:r>
          </w:p>
          <w:p w14:paraId="11DE18F3" w14:textId="77777777" w:rsidR="008F51CC" w:rsidRDefault="008F51CC" w:rsidP="003A2CCC">
            <w:pPr>
              <w:spacing w:after="0"/>
              <w:jc w:val="left"/>
              <w:rPr>
                <w:rFonts w:eastAsia="Times New Roman" w:cstheme="minorHAnsi"/>
                <w:i/>
                <w:sz w:val="16"/>
                <w:szCs w:val="16"/>
                <w:lang w:val="en-US"/>
              </w:rPr>
            </w:pPr>
          </w:p>
          <w:p w14:paraId="62AF99A3" w14:textId="2D293EB7" w:rsidR="008F51CC" w:rsidRPr="0023735F" w:rsidRDefault="008F51CC" w:rsidP="003A2CCC">
            <w:pPr>
              <w:spacing w:after="0"/>
              <w:jc w:val="left"/>
              <w:rPr>
                <w:rFonts w:eastAsia="Times New Roman" w:cstheme="minorHAnsi"/>
                <w:i/>
                <w:sz w:val="16"/>
                <w:szCs w:val="16"/>
                <w:lang w:val="en-US"/>
              </w:rPr>
            </w:pPr>
          </w:p>
        </w:tc>
        <w:tc>
          <w:tcPr>
            <w:tcW w:w="0" w:type="auto"/>
            <w:shd w:val="clear" w:color="auto" w:fill="auto"/>
            <w:hideMark/>
          </w:tcPr>
          <w:p w14:paraId="05A5F469" w14:textId="77777777" w:rsidR="008F51CC" w:rsidRPr="001D0BD5" w:rsidRDefault="008F51CC" w:rsidP="003A2CCC">
            <w:pPr>
              <w:spacing w:after="0"/>
              <w:jc w:val="left"/>
              <w:rPr>
                <w:rFonts w:eastAsia="Times New Roman" w:cstheme="minorHAnsi"/>
                <w:sz w:val="16"/>
                <w:szCs w:val="16"/>
                <w:lang w:val="en-US"/>
              </w:rPr>
            </w:pPr>
            <w:r w:rsidRPr="001D0BD5">
              <w:rPr>
                <w:rFonts w:eastAsia="Times New Roman" w:cstheme="minorHAnsi"/>
                <w:sz w:val="16"/>
                <w:szCs w:val="16"/>
                <w:lang w:val="en-US"/>
              </w:rPr>
              <w:t> </w:t>
            </w:r>
          </w:p>
        </w:tc>
        <w:tc>
          <w:tcPr>
            <w:tcW w:w="0" w:type="auto"/>
            <w:shd w:val="clear" w:color="auto" w:fill="auto"/>
            <w:hideMark/>
          </w:tcPr>
          <w:p w14:paraId="2C5B1855" w14:textId="1C1B44EA" w:rsidR="008F51CC" w:rsidRPr="001D0BD5" w:rsidRDefault="008F51CC" w:rsidP="003A2CCC">
            <w:pPr>
              <w:pStyle w:val="ListParagraph"/>
              <w:numPr>
                <w:ilvl w:val="0"/>
                <w:numId w:val="29"/>
              </w:numPr>
              <w:rPr>
                <w:rFonts w:eastAsia="Times New Roman" w:cstheme="minorHAnsi"/>
                <w:sz w:val="16"/>
                <w:szCs w:val="16"/>
              </w:rPr>
            </w:pPr>
            <w:r w:rsidRPr="006B4C21">
              <w:rPr>
                <w:rFonts w:cstheme="minorHAnsi"/>
                <w:sz w:val="16"/>
                <w:szCs w:val="16"/>
              </w:rPr>
              <w:t>Nabilan Partner Civil Society Organisations (CSOs) Capacity Assessment Grid</w:t>
            </w:r>
            <w:r w:rsidRPr="001D0BD5" w:rsidDel="00111DAD">
              <w:rPr>
                <w:rFonts w:eastAsia="Times New Roman" w:cstheme="minorHAnsi"/>
                <w:sz w:val="16"/>
                <w:szCs w:val="16"/>
              </w:rPr>
              <w:t xml:space="preserve"> </w:t>
            </w:r>
          </w:p>
        </w:tc>
        <w:tc>
          <w:tcPr>
            <w:tcW w:w="0" w:type="auto"/>
            <w:shd w:val="clear" w:color="auto" w:fill="auto"/>
            <w:hideMark/>
          </w:tcPr>
          <w:p w14:paraId="3DC149C6" w14:textId="2F1F9D45" w:rsidR="008F51CC" w:rsidRPr="001D0BD5" w:rsidRDefault="008F51CC" w:rsidP="003A2CCC">
            <w:pPr>
              <w:spacing w:after="0"/>
              <w:jc w:val="left"/>
              <w:rPr>
                <w:rFonts w:eastAsia="Times New Roman" w:cstheme="minorHAnsi"/>
                <w:sz w:val="16"/>
                <w:szCs w:val="16"/>
                <w:lang w:val="en-US"/>
              </w:rPr>
            </w:pPr>
            <w:r w:rsidRPr="001D0BD5">
              <w:rPr>
                <w:rFonts w:eastAsia="Times New Roman" w:cstheme="minorHAnsi"/>
                <w:sz w:val="16"/>
                <w:szCs w:val="16"/>
                <w:lang w:val="en-US"/>
              </w:rPr>
              <w:t> </w:t>
            </w:r>
            <w:r>
              <w:rPr>
                <w:rFonts w:eastAsia="Times New Roman" w:cstheme="minorHAnsi"/>
                <w:sz w:val="16"/>
                <w:szCs w:val="16"/>
                <w:lang w:val="en-US"/>
              </w:rPr>
              <w:t>Available - 2017</w:t>
            </w:r>
          </w:p>
        </w:tc>
        <w:tc>
          <w:tcPr>
            <w:tcW w:w="0" w:type="auto"/>
            <w:shd w:val="clear" w:color="auto" w:fill="auto"/>
            <w:hideMark/>
          </w:tcPr>
          <w:p w14:paraId="3B38030D" w14:textId="260677A8" w:rsidR="002707A6" w:rsidRPr="001D0BD5" w:rsidRDefault="002707A6" w:rsidP="003A2CCC">
            <w:pPr>
              <w:spacing w:after="0"/>
              <w:jc w:val="left"/>
              <w:rPr>
                <w:rFonts w:eastAsia="Times New Roman" w:cstheme="minorHAnsi"/>
                <w:sz w:val="16"/>
                <w:szCs w:val="16"/>
                <w:lang w:val="en-US"/>
              </w:rPr>
            </w:pPr>
            <w:r>
              <w:rPr>
                <w:rFonts w:eastAsia="Times New Roman" w:cstheme="minorHAnsi"/>
                <w:sz w:val="16"/>
                <w:szCs w:val="16"/>
                <w:lang w:val="en-US"/>
              </w:rPr>
              <w:t xml:space="preserve">By 2022 each organisation is meeting at least 80% of all OIS milestones across all nine categories </w:t>
            </w:r>
          </w:p>
        </w:tc>
      </w:tr>
      <w:tr w:rsidR="001D06BF" w:rsidRPr="001D0BD5" w14:paraId="6F9EF6BF" w14:textId="77777777" w:rsidTr="00F01362">
        <w:trPr>
          <w:trHeight w:val="20"/>
        </w:trPr>
        <w:tc>
          <w:tcPr>
            <w:tcW w:w="0" w:type="auto"/>
            <w:vMerge/>
            <w:shd w:val="clear" w:color="auto" w:fill="auto"/>
          </w:tcPr>
          <w:p w14:paraId="7C3D85BC" w14:textId="77777777" w:rsidR="008F51CC" w:rsidRPr="001D0BD5" w:rsidRDefault="008F51CC" w:rsidP="003A2CCC">
            <w:pPr>
              <w:spacing w:after="0"/>
              <w:jc w:val="left"/>
              <w:rPr>
                <w:rFonts w:eastAsia="Times New Roman" w:cstheme="minorHAnsi"/>
                <w:sz w:val="16"/>
                <w:szCs w:val="16"/>
                <w:lang w:val="en-US"/>
              </w:rPr>
            </w:pPr>
          </w:p>
        </w:tc>
        <w:tc>
          <w:tcPr>
            <w:tcW w:w="0" w:type="auto"/>
            <w:vMerge/>
            <w:shd w:val="clear" w:color="auto" w:fill="auto"/>
          </w:tcPr>
          <w:p w14:paraId="5F407448" w14:textId="77777777" w:rsidR="008F51CC" w:rsidRPr="001D0BD5" w:rsidRDefault="008F51CC" w:rsidP="003A2CCC">
            <w:pPr>
              <w:spacing w:after="0"/>
              <w:jc w:val="left"/>
              <w:rPr>
                <w:rFonts w:eastAsia="Times New Roman" w:cstheme="minorHAnsi"/>
                <w:sz w:val="16"/>
                <w:szCs w:val="16"/>
                <w:lang w:val="en-US"/>
              </w:rPr>
            </w:pPr>
          </w:p>
        </w:tc>
        <w:tc>
          <w:tcPr>
            <w:tcW w:w="0" w:type="auto"/>
            <w:shd w:val="clear" w:color="auto" w:fill="auto"/>
          </w:tcPr>
          <w:p w14:paraId="46B9D914" w14:textId="7EA2525E" w:rsidR="008F51CC" w:rsidRPr="008F51CC" w:rsidRDefault="008F51CC" w:rsidP="003A2CCC">
            <w:pPr>
              <w:rPr>
                <w:rFonts w:eastAsia="Times New Roman" w:cstheme="minorHAnsi"/>
                <w:i/>
                <w:sz w:val="16"/>
                <w:szCs w:val="16"/>
              </w:rPr>
            </w:pPr>
            <w:r w:rsidRPr="0023735F">
              <w:rPr>
                <w:rFonts w:eastAsia="Times New Roman" w:cstheme="minorHAnsi"/>
                <w:i/>
                <w:sz w:val="16"/>
                <w:szCs w:val="16"/>
                <w:lang w:val="en-US"/>
              </w:rPr>
              <w:t xml:space="preserve">Refer to </w:t>
            </w:r>
            <w:r>
              <w:rPr>
                <w:rFonts w:eastAsia="Times New Roman" w:cstheme="minorHAnsi"/>
                <w:i/>
                <w:sz w:val="16"/>
                <w:szCs w:val="16"/>
                <w:lang w:val="en-US"/>
              </w:rPr>
              <w:t>Indicators 5-8 above</w:t>
            </w:r>
          </w:p>
        </w:tc>
        <w:tc>
          <w:tcPr>
            <w:tcW w:w="0" w:type="auto"/>
            <w:shd w:val="clear" w:color="auto" w:fill="auto"/>
          </w:tcPr>
          <w:p w14:paraId="62C9B5D2" w14:textId="77777777" w:rsidR="008F51CC" w:rsidRPr="001D0BD5" w:rsidRDefault="008F51CC" w:rsidP="003A2CCC">
            <w:pPr>
              <w:spacing w:after="0"/>
              <w:jc w:val="left"/>
              <w:rPr>
                <w:rFonts w:eastAsia="Times New Roman" w:cstheme="minorHAnsi"/>
                <w:sz w:val="16"/>
                <w:szCs w:val="16"/>
                <w:lang w:val="en-US"/>
              </w:rPr>
            </w:pPr>
          </w:p>
        </w:tc>
        <w:tc>
          <w:tcPr>
            <w:tcW w:w="0" w:type="auto"/>
            <w:shd w:val="clear" w:color="auto" w:fill="auto"/>
          </w:tcPr>
          <w:p w14:paraId="53DCCC77" w14:textId="77777777" w:rsidR="008F51CC" w:rsidRDefault="008F51CC" w:rsidP="003A2CCC">
            <w:pPr>
              <w:pStyle w:val="ListParagraph"/>
              <w:numPr>
                <w:ilvl w:val="0"/>
                <w:numId w:val="29"/>
              </w:numPr>
              <w:rPr>
                <w:rFonts w:eastAsia="Times New Roman" w:cstheme="minorHAnsi"/>
                <w:sz w:val="16"/>
                <w:szCs w:val="16"/>
              </w:rPr>
            </w:pPr>
            <w:r w:rsidRPr="001D0BD5">
              <w:rPr>
                <w:rFonts w:eastAsia="Times New Roman" w:cstheme="minorHAnsi"/>
                <w:sz w:val="16"/>
                <w:szCs w:val="16"/>
              </w:rPr>
              <w:t>Case Management Assessment Tool</w:t>
            </w:r>
          </w:p>
          <w:p w14:paraId="589CE5BE" w14:textId="77777777" w:rsidR="008F51CC" w:rsidRPr="001D0BD5" w:rsidRDefault="008F51CC" w:rsidP="003A2CCC">
            <w:pPr>
              <w:pStyle w:val="ListParagraph"/>
              <w:numPr>
                <w:ilvl w:val="0"/>
                <w:numId w:val="29"/>
              </w:numPr>
              <w:rPr>
                <w:rFonts w:eastAsia="Times New Roman" w:cstheme="minorHAnsi"/>
                <w:sz w:val="16"/>
                <w:szCs w:val="16"/>
              </w:rPr>
            </w:pPr>
            <w:r>
              <w:rPr>
                <w:rFonts w:eastAsia="Times New Roman" w:cstheme="minorHAnsi"/>
                <w:sz w:val="16"/>
                <w:szCs w:val="16"/>
              </w:rPr>
              <w:t>Case Audit</w:t>
            </w:r>
          </w:p>
          <w:p w14:paraId="6F512628" w14:textId="1626952C" w:rsidR="008F51CC" w:rsidRPr="001D0BD5" w:rsidRDefault="008F51CC" w:rsidP="003A2CCC">
            <w:pPr>
              <w:pStyle w:val="ListParagraph"/>
              <w:numPr>
                <w:ilvl w:val="0"/>
                <w:numId w:val="29"/>
              </w:numPr>
              <w:rPr>
                <w:rFonts w:eastAsia="Times New Roman" w:cstheme="minorHAnsi"/>
                <w:sz w:val="16"/>
                <w:szCs w:val="16"/>
              </w:rPr>
            </w:pPr>
            <w:r w:rsidRPr="001D0BD5">
              <w:rPr>
                <w:rFonts w:eastAsia="Times New Roman" w:cstheme="minorHAnsi"/>
                <w:sz w:val="16"/>
                <w:szCs w:val="16"/>
              </w:rPr>
              <w:t>Mid-term review</w:t>
            </w:r>
          </w:p>
        </w:tc>
        <w:tc>
          <w:tcPr>
            <w:tcW w:w="0" w:type="auto"/>
            <w:shd w:val="clear" w:color="auto" w:fill="auto"/>
          </w:tcPr>
          <w:p w14:paraId="1731C9D0" w14:textId="4026E006" w:rsidR="008F51CC" w:rsidRPr="001D0BD5" w:rsidRDefault="008F51CC" w:rsidP="003A2CCC">
            <w:pPr>
              <w:spacing w:after="0"/>
              <w:jc w:val="left"/>
              <w:rPr>
                <w:rFonts w:eastAsia="Times New Roman" w:cstheme="minorHAnsi"/>
                <w:sz w:val="16"/>
                <w:szCs w:val="16"/>
                <w:lang w:val="en-US"/>
              </w:rPr>
            </w:pPr>
            <w:r w:rsidRPr="0023735F">
              <w:rPr>
                <w:rFonts w:eastAsia="Times New Roman" w:cstheme="minorHAnsi"/>
                <w:i/>
                <w:sz w:val="16"/>
                <w:szCs w:val="16"/>
                <w:lang w:val="en-US"/>
              </w:rPr>
              <w:t xml:space="preserve">Refer to </w:t>
            </w:r>
            <w:r>
              <w:rPr>
                <w:rFonts w:eastAsia="Times New Roman" w:cstheme="minorHAnsi"/>
                <w:i/>
                <w:sz w:val="16"/>
                <w:szCs w:val="16"/>
                <w:lang w:val="en-US"/>
              </w:rPr>
              <w:t>Indicators 5-8 above</w:t>
            </w:r>
          </w:p>
        </w:tc>
        <w:tc>
          <w:tcPr>
            <w:tcW w:w="0" w:type="auto"/>
            <w:shd w:val="clear" w:color="auto" w:fill="auto"/>
          </w:tcPr>
          <w:p w14:paraId="6C17FF03" w14:textId="6E19E7E0" w:rsidR="008F51CC" w:rsidRPr="001D0BD5" w:rsidRDefault="008F51CC" w:rsidP="003A2CCC">
            <w:pPr>
              <w:spacing w:after="0"/>
              <w:jc w:val="left"/>
              <w:rPr>
                <w:rFonts w:eastAsia="Times New Roman" w:cstheme="minorHAnsi"/>
                <w:sz w:val="16"/>
                <w:szCs w:val="16"/>
                <w:lang w:val="en-US"/>
              </w:rPr>
            </w:pPr>
            <w:r w:rsidRPr="0023735F">
              <w:rPr>
                <w:rFonts w:eastAsia="Times New Roman" w:cstheme="minorHAnsi"/>
                <w:i/>
                <w:sz w:val="16"/>
                <w:szCs w:val="16"/>
                <w:lang w:val="en-US"/>
              </w:rPr>
              <w:t>Refer to</w:t>
            </w:r>
            <w:r>
              <w:rPr>
                <w:rFonts w:eastAsia="Times New Roman" w:cstheme="minorHAnsi"/>
                <w:i/>
                <w:sz w:val="16"/>
                <w:szCs w:val="16"/>
                <w:lang w:val="en-US"/>
              </w:rPr>
              <w:t xml:space="preserve"> Indicators 5-8 above</w:t>
            </w:r>
          </w:p>
        </w:tc>
      </w:tr>
      <w:tr w:rsidR="001D06BF" w:rsidRPr="001D0BD5" w14:paraId="61473ED9" w14:textId="77777777" w:rsidTr="00F01362">
        <w:trPr>
          <w:trHeight w:val="20"/>
        </w:trPr>
        <w:tc>
          <w:tcPr>
            <w:tcW w:w="0" w:type="auto"/>
            <w:shd w:val="clear" w:color="auto" w:fill="auto"/>
          </w:tcPr>
          <w:p w14:paraId="386ED7D0" w14:textId="03A7C11F" w:rsidR="00111DAD" w:rsidRPr="00AC09C3" w:rsidRDefault="00111DAD" w:rsidP="003A2CCC">
            <w:pPr>
              <w:rPr>
                <w:rFonts w:eastAsia="Times New Roman" w:cstheme="minorHAnsi"/>
                <w:sz w:val="16"/>
                <w:szCs w:val="16"/>
              </w:rPr>
            </w:pPr>
            <w:r>
              <w:rPr>
                <w:rFonts w:eastAsia="Times New Roman" w:cstheme="minorHAnsi"/>
                <w:sz w:val="16"/>
                <w:szCs w:val="16"/>
              </w:rPr>
              <w:t>3.4</w:t>
            </w:r>
            <w:r w:rsidRPr="00AC09C3">
              <w:rPr>
                <w:rFonts w:eastAsia="Times New Roman" w:cstheme="minorHAnsi"/>
                <w:sz w:val="16"/>
                <w:szCs w:val="16"/>
              </w:rPr>
              <w:t xml:space="preserve"> To what extent is the CBA approach </w:t>
            </w:r>
            <w:r>
              <w:rPr>
                <w:rFonts w:eastAsia="Times New Roman" w:cstheme="minorHAnsi"/>
                <w:sz w:val="16"/>
                <w:szCs w:val="16"/>
              </w:rPr>
              <w:t xml:space="preserve">likely to be replicable </w:t>
            </w:r>
            <w:r w:rsidRPr="00AC09C3">
              <w:rPr>
                <w:rFonts w:eastAsia="Times New Roman" w:cstheme="minorHAnsi"/>
                <w:sz w:val="16"/>
                <w:szCs w:val="16"/>
              </w:rPr>
              <w:t>in the context of Timor-Leste?</w:t>
            </w:r>
          </w:p>
        </w:tc>
        <w:tc>
          <w:tcPr>
            <w:tcW w:w="0" w:type="auto"/>
            <w:shd w:val="clear" w:color="auto" w:fill="auto"/>
          </w:tcPr>
          <w:p w14:paraId="0F5A14B7" w14:textId="77777777" w:rsidR="00111DAD" w:rsidRPr="001D0BD5" w:rsidRDefault="00111DAD" w:rsidP="003A2CCC">
            <w:pPr>
              <w:spacing w:after="0"/>
              <w:jc w:val="left"/>
              <w:rPr>
                <w:rFonts w:eastAsia="Times New Roman" w:cstheme="minorHAnsi"/>
                <w:sz w:val="16"/>
                <w:szCs w:val="16"/>
                <w:lang w:val="en-US"/>
              </w:rPr>
            </w:pPr>
          </w:p>
        </w:tc>
        <w:tc>
          <w:tcPr>
            <w:tcW w:w="0" w:type="auto"/>
            <w:shd w:val="clear" w:color="auto" w:fill="auto"/>
          </w:tcPr>
          <w:p w14:paraId="6A7481CD" w14:textId="7A673715" w:rsidR="00111DAD" w:rsidRPr="001F1B65" w:rsidDel="00627E75" w:rsidRDefault="00111DAD" w:rsidP="003A2CCC">
            <w:pPr>
              <w:pStyle w:val="ListParagraph"/>
              <w:numPr>
                <w:ilvl w:val="0"/>
                <w:numId w:val="18"/>
              </w:numPr>
              <w:rPr>
                <w:rFonts w:eastAsia="Times New Roman" w:cstheme="minorHAnsi"/>
                <w:i/>
                <w:sz w:val="16"/>
                <w:szCs w:val="16"/>
              </w:rPr>
            </w:pPr>
            <w:r w:rsidRPr="001F1B65">
              <w:rPr>
                <w:rFonts w:eastAsia="Times New Roman" w:cstheme="minorHAnsi"/>
                <w:sz w:val="16"/>
                <w:szCs w:val="16"/>
              </w:rPr>
              <w:t>Stakeholder perceptions of appropriateness of the CBA approach in the context of Timor-Leste</w:t>
            </w:r>
          </w:p>
        </w:tc>
        <w:tc>
          <w:tcPr>
            <w:tcW w:w="0" w:type="auto"/>
            <w:shd w:val="clear" w:color="auto" w:fill="auto"/>
          </w:tcPr>
          <w:p w14:paraId="12A475FC" w14:textId="77777777" w:rsidR="00111DAD" w:rsidRPr="001D0BD5" w:rsidRDefault="00111DAD" w:rsidP="003A2CCC">
            <w:pPr>
              <w:spacing w:after="0"/>
              <w:jc w:val="left"/>
              <w:rPr>
                <w:rFonts w:eastAsia="Times New Roman" w:cstheme="minorHAnsi"/>
                <w:sz w:val="16"/>
                <w:szCs w:val="16"/>
                <w:lang w:val="en-US"/>
              </w:rPr>
            </w:pPr>
            <w:r w:rsidRPr="001D0BD5">
              <w:rPr>
                <w:rFonts w:eastAsia="Times New Roman" w:cstheme="minorHAnsi"/>
                <w:sz w:val="16"/>
                <w:szCs w:val="16"/>
                <w:lang w:val="en-US"/>
              </w:rPr>
              <w:t> </w:t>
            </w:r>
          </w:p>
        </w:tc>
        <w:tc>
          <w:tcPr>
            <w:tcW w:w="0" w:type="auto"/>
            <w:shd w:val="clear" w:color="auto" w:fill="auto"/>
          </w:tcPr>
          <w:p w14:paraId="4A4EF639" w14:textId="0D081573" w:rsidR="00111DAD" w:rsidRPr="005615DD" w:rsidRDefault="00111DAD" w:rsidP="003A2CCC">
            <w:pPr>
              <w:rPr>
                <w:rFonts w:eastAsia="Times New Roman" w:cstheme="minorHAnsi"/>
                <w:sz w:val="16"/>
                <w:szCs w:val="16"/>
              </w:rPr>
            </w:pPr>
            <w:r w:rsidRPr="005615DD">
              <w:rPr>
                <w:rFonts w:eastAsia="Times New Roman" w:cstheme="minorHAnsi"/>
                <w:sz w:val="16"/>
                <w:szCs w:val="16"/>
              </w:rPr>
              <w:t xml:space="preserve">Mid-term review </w:t>
            </w:r>
          </w:p>
        </w:tc>
        <w:tc>
          <w:tcPr>
            <w:tcW w:w="0" w:type="auto"/>
            <w:shd w:val="clear" w:color="auto" w:fill="auto"/>
          </w:tcPr>
          <w:p w14:paraId="5248D2F4" w14:textId="5D9159F1" w:rsidR="00111DAD" w:rsidRPr="001D0BD5" w:rsidRDefault="00111DAD" w:rsidP="003A2CCC">
            <w:pPr>
              <w:spacing w:after="0"/>
              <w:jc w:val="left"/>
              <w:rPr>
                <w:rFonts w:eastAsia="Times New Roman" w:cstheme="minorHAnsi"/>
                <w:sz w:val="16"/>
                <w:szCs w:val="16"/>
                <w:lang w:val="en-US"/>
              </w:rPr>
            </w:pPr>
            <w:r w:rsidRPr="001D0BD5">
              <w:rPr>
                <w:rFonts w:eastAsia="Times New Roman" w:cstheme="minorHAnsi"/>
                <w:sz w:val="16"/>
                <w:szCs w:val="16"/>
                <w:lang w:val="en-US"/>
              </w:rPr>
              <w:t> </w:t>
            </w:r>
            <w:r>
              <w:rPr>
                <w:rFonts w:eastAsia="Times New Roman" w:cstheme="minorHAnsi"/>
                <w:sz w:val="16"/>
                <w:szCs w:val="16"/>
                <w:lang w:val="en-US"/>
              </w:rPr>
              <w:t>N/A</w:t>
            </w:r>
          </w:p>
        </w:tc>
        <w:tc>
          <w:tcPr>
            <w:tcW w:w="0" w:type="auto"/>
            <w:shd w:val="clear" w:color="auto" w:fill="auto"/>
          </w:tcPr>
          <w:p w14:paraId="4ED1CA35" w14:textId="0A2B973A" w:rsidR="00111DAD" w:rsidRPr="001D0BD5" w:rsidRDefault="00111DAD" w:rsidP="003A2CCC">
            <w:pPr>
              <w:spacing w:after="0"/>
              <w:jc w:val="left"/>
              <w:rPr>
                <w:rFonts w:eastAsia="Times New Roman" w:cstheme="minorHAnsi"/>
                <w:sz w:val="16"/>
                <w:szCs w:val="16"/>
                <w:lang w:val="en-US"/>
              </w:rPr>
            </w:pPr>
            <w:r>
              <w:rPr>
                <w:rFonts w:eastAsia="Times New Roman" w:cstheme="minorHAnsi"/>
                <w:sz w:val="16"/>
                <w:szCs w:val="16"/>
                <w:lang w:val="en-US"/>
              </w:rPr>
              <w:t>N/A</w:t>
            </w:r>
          </w:p>
        </w:tc>
      </w:tr>
      <w:tr w:rsidR="001D06BF" w:rsidRPr="001D0BD5" w14:paraId="1D17FC96" w14:textId="77777777" w:rsidTr="00F01362">
        <w:trPr>
          <w:trHeight w:val="20"/>
        </w:trPr>
        <w:tc>
          <w:tcPr>
            <w:tcW w:w="0" w:type="auto"/>
            <w:shd w:val="clear" w:color="auto" w:fill="auto"/>
            <w:hideMark/>
          </w:tcPr>
          <w:p w14:paraId="054304BF" w14:textId="3E4E0C30" w:rsidR="00111DAD" w:rsidRPr="008F51CC" w:rsidRDefault="00111DAD" w:rsidP="003A2CCC">
            <w:pPr>
              <w:spacing w:after="0"/>
              <w:jc w:val="left"/>
              <w:rPr>
                <w:rFonts w:eastAsia="Times New Roman" w:cstheme="minorHAnsi"/>
                <w:b/>
                <w:sz w:val="16"/>
                <w:szCs w:val="16"/>
                <w:lang w:val="en-US"/>
              </w:rPr>
            </w:pPr>
            <w:r w:rsidRPr="008F51CC">
              <w:rPr>
                <w:rFonts w:eastAsia="Times New Roman" w:cstheme="minorHAnsi"/>
                <w:b/>
                <w:sz w:val="16"/>
                <w:szCs w:val="16"/>
                <w:lang w:val="en-US"/>
              </w:rPr>
              <w:t>KEQ 4 Are there indications that the Nabilan programming model has contributed, or could contribute, to changing social norms relating to VAWC in Timor-Leste?</w:t>
            </w:r>
          </w:p>
        </w:tc>
        <w:tc>
          <w:tcPr>
            <w:tcW w:w="0" w:type="auto"/>
            <w:vMerge w:val="restart"/>
            <w:shd w:val="clear" w:color="auto" w:fill="auto"/>
          </w:tcPr>
          <w:p w14:paraId="7719B4CD" w14:textId="77777777" w:rsidR="00111DAD" w:rsidRDefault="00111DAD" w:rsidP="003A2CCC">
            <w:pPr>
              <w:spacing w:after="0"/>
              <w:jc w:val="left"/>
              <w:rPr>
                <w:rFonts w:eastAsia="Times New Roman" w:cstheme="minorHAnsi"/>
                <w:sz w:val="16"/>
                <w:szCs w:val="16"/>
                <w:lang w:val="en-US"/>
              </w:rPr>
            </w:pPr>
            <w:r w:rsidRPr="001D0BD5">
              <w:rPr>
                <w:rFonts w:eastAsia="Times New Roman" w:cstheme="minorHAnsi"/>
                <w:sz w:val="16"/>
                <w:szCs w:val="16"/>
                <w:lang w:val="en-US"/>
              </w:rPr>
              <w:t xml:space="preserve">Principle: </w:t>
            </w:r>
            <w:r>
              <w:rPr>
                <w:rFonts w:eastAsia="Times New Roman" w:cstheme="minorHAnsi"/>
                <w:sz w:val="16"/>
                <w:szCs w:val="16"/>
                <w:lang w:val="en-US"/>
              </w:rPr>
              <w:t>Appropriateness</w:t>
            </w:r>
          </w:p>
          <w:p w14:paraId="303A1D20" w14:textId="77777777" w:rsidR="00111DAD" w:rsidRDefault="00111DAD" w:rsidP="003A2CCC">
            <w:pPr>
              <w:spacing w:after="0"/>
              <w:jc w:val="left"/>
              <w:rPr>
                <w:rFonts w:eastAsia="Times New Roman" w:cstheme="minorHAnsi"/>
                <w:sz w:val="16"/>
                <w:szCs w:val="16"/>
                <w:lang w:val="en-US"/>
              </w:rPr>
            </w:pPr>
          </w:p>
          <w:p w14:paraId="407C29D2" w14:textId="77777777" w:rsidR="00111DAD" w:rsidRPr="001D0BD5" w:rsidRDefault="00111DAD" w:rsidP="003A2CCC">
            <w:pPr>
              <w:spacing w:after="0"/>
              <w:jc w:val="left"/>
              <w:rPr>
                <w:rFonts w:eastAsia="Times New Roman" w:cstheme="minorHAnsi"/>
                <w:sz w:val="16"/>
                <w:szCs w:val="16"/>
                <w:lang w:val="en-US"/>
              </w:rPr>
            </w:pPr>
          </w:p>
        </w:tc>
        <w:tc>
          <w:tcPr>
            <w:tcW w:w="0" w:type="auto"/>
            <w:vMerge w:val="restart"/>
            <w:shd w:val="clear" w:color="auto" w:fill="auto"/>
            <w:hideMark/>
          </w:tcPr>
          <w:p w14:paraId="39A23BCF" w14:textId="5FCA5949" w:rsidR="00111DAD" w:rsidRPr="00B56DBA" w:rsidRDefault="00111DAD" w:rsidP="003A2CCC">
            <w:pPr>
              <w:spacing w:after="0"/>
              <w:jc w:val="left"/>
              <w:rPr>
                <w:rFonts w:eastAsia="Times New Roman" w:cstheme="minorHAnsi"/>
                <w:sz w:val="16"/>
                <w:szCs w:val="16"/>
                <w:lang w:val="en-US"/>
              </w:rPr>
            </w:pPr>
            <w:r>
              <w:rPr>
                <w:rFonts w:eastAsia="Times New Roman" w:cstheme="minorHAnsi"/>
                <w:i/>
                <w:sz w:val="16"/>
                <w:szCs w:val="16"/>
                <w:lang w:val="en-US"/>
              </w:rPr>
              <w:t xml:space="preserve">Addressing KEQ4 and its sub-questions will be a key focus of the mid-term review. To answer these questions, the mid-term review will synthesise data from a range of sources, including key informant interviews, reviews of existing documents and literature, existing data collected to answer KEQs </w:t>
            </w:r>
            <w:r w:rsidRPr="00B56DBA">
              <w:rPr>
                <w:rFonts w:eastAsia="Times New Roman" w:cstheme="minorHAnsi"/>
                <w:i/>
                <w:sz w:val="16"/>
                <w:szCs w:val="16"/>
                <w:lang w:val="en-US"/>
              </w:rPr>
              <w:t>1 and 2</w:t>
            </w:r>
            <w:r w:rsidR="00F01362">
              <w:rPr>
                <w:rFonts w:eastAsia="Times New Roman" w:cstheme="minorHAnsi"/>
                <w:i/>
                <w:sz w:val="16"/>
                <w:szCs w:val="16"/>
                <w:lang w:val="en-US"/>
              </w:rPr>
              <w:t xml:space="preserve">. </w:t>
            </w:r>
            <w:r w:rsidRPr="00B56DBA">
              <w:rPr>
                <w:rFonts w:eastAsia="Times New Roman" w:cstheme="minorHAnsi"/>
                <w:i/>
                <w:sz w:val="16"/>
                <w:szCs w:val="16"/>
                <w:lang w:val="en-US"/>
              </w:rPr>
              <w:t>The Nabilan Endline survey will provide additional data against this KEQ.</w:t>
            </w:r>
          </w:p>
          <w:p w14:paraId="1FDD4E57" w14:textId="709C44BD" w:rsidR="00111DAD" w:rsidRPr="001D0BD5" w:rsidRDefault="00111DAD" w:rsidP="003A2CCC">
            <w:pPr>
              <w:spacing w:after="0"/>
              <w:jc w:val="left"/>
              <w:rPr>
                <w:rFonts w:eastAsia="Times New Roman" w:cstheme="minorHAnsi"/>
                <w:sz w:val="16"/>
                <w:szCs w:val="16"/>
                <w:lang w:val="en-US"/>
              </w:rPr>
            </w:pPr>
          </w:p>
          <w:p w14:paraId="765D24EB" w14:textId="1DFD7828" w:rsidR="00111DAD" w:rsidRPr="001D0BD5" w:rsidRDefault="00111DAD" w:rsidP="003A2CCC">
            <w:pPr>
              <w:rPr>
                <w:rFonts w:eastAsia="Times New Roman" w:cstheme="minorHAnsi"/>
                <w:sz w:val="16"/>
                <w:szCs w:val="16"/>
                <w:lang w:val="en-US"/>
              </w:rPr>
            </w:pPr>
          </w:p>
        </w:tc>
        <w:tc>
          <w:tcPr>
            <w:tcW w:w="0" w:type="auto"/>
            <w:vMerge w:val="restart"/>
            <w:shd w:val="clear" w:color="auto" w:fill="auto"/>
            <w:hideMark/>
          </w:tcPr>
          <w:p w14:paraId="6BE0CD2B" w14:textId="77777777" w:rsidR="00111DAD" w:rsidRPr="001D0BD5" w:rsidRDefault="00111DAD" w:rsidP="003A2CCC">
            <w:pPr>
              <w:spacing w:after="0"/>
              <w:jc w:val="left"/>
              <w:rPr>
                <w:rFonts w:eastAsia="Times New Roman" w:cstheme="minorHAnsi"/>
                <w:sz w:val="16"/>
                <w:szCs w:val="16"/>
                <w:lang w:val="en-US"/>
              </w:rPr>
            </w:pPr>
            <w:r w:rsidRPr="001D0BD5">
              <w:rPr>
                <w:rFonts w:eastAsia="Times New Roman" w:cstheme="minorHAnsi"/>
                <w:sz w:val="16"/>
                <w:szCs w:val="16"/>
                <w:lang w:val="en-US"/>
              </w:rPr>
              <w:t> </w:t>
            </w:r>
          </w:p>
          <w:p w14:paraId="2A2BE043" w14:textId="77777777" w:rsidR="00111DAD" w:rsidRPr="001D0BD5" w:rsidRDefault="00111DAD" w:rsidP="003A2CCC">
            <w:pPr>
              <w:spacing w:after="0"/>
              <w:jc w:val="left"/>
              <w:rPr>
                <w:rFonts w:eastAsia="Times New Roman" w:cstheme="minorHAnsi"/>
                <w:sz w:val="16"/>
                <w:szCs w:val="16"/>
                <w:lang w:val="en-US"/>
              </w:rPr>
            </w:pPr>
            <w:r w:rsidRPr="001D0BD5">
              <w:rPr>
                <w:rFonts w:eastAsia="Times New Roman" w:cstheme="minorHAnsi"/>
                <w:sz w:val="16"/>
                <w:szCs w:val="16"/>
                <w:lang w:val="en-US"/>
              </w:rPr>
              <w:t> </w:t>
            </w:r>
          </w:p>
          <w:p w14:paraId="6E5E3E15" w14:textId="704724B5" w:rsidR="00111DAD" w:rsidRPr="001D0BD5" w:rsidRDefault="00111DAD" w:rsidP="003A2CCC">
            <w:pPr>
              <w:spacing w:after="0"/>
              <w:jc w:val="left"/>
              <w:rPr>
                <w:rFonts w:eastAsia="Times New Roman" w:cstheme="minorHAnsi"/>
                <w:sz w:val="16"/>
                <w:szCs w:val="16"/>
                <w:lang w:val="en-US"/>
              </w:rPr>
            </w:pPr>
            <w:r w:rsidRPr="001D0BD5">
              <w:rPr>
                <w:rFonts w:eastAsia="Times New Roman" w:cstheme="minorHAnsi"/>
                <w:sz w:val="16"/>
                <w:szCs w:val="16"/>
                <w:lang w:val="en-US"/>
              </w:rPr>
              <w:t> </w:t>
            </w:r>
          </w:p>
        </w:tc>
        <w:tc>
          <w:tcPr>
            <w:tcW w:w="0" w:type="auto"/>
            <w:vMerge w:val="restart"/>
            <w:shd w:val="clear" w:color="auto" w:fill="auto"/>
            <w:hideMark/>
          </w:tcPr>
          <w:p w14:paraId="3BFB13A8" w14:textId="77777777" w:rsidR="00111DAD" w:rsidRDefault="00111DAD" w:rsidP="003A2CCC">
            <w:pPr>
              <w:pStyle w:val="ListParagraph"/>
              <w:numPr>
                <w:ilvl w:val="0"/>
                <w:numId w:val="49"/>
              </w:numPr>
              <w:rPr>
                <w:rFonts w:eastAsia="Times New Roman" w:cstheme="minorHAnsi"/>
                <w:sz w:val="16"/>
                <w:szCs w:val="16"/>
              </w:rPr>
            </w:pPr>
            <w:r>
              <w:rPr>
                <w:rFonts w:eastAsia="Times New Roman" w:cstheme="minorHAnsi"/>
                <w:sz w:val="16"/>
                <w:szCs w:val="16"/>
              </w:rPr>
              <w:t>Mid-term review</w:t>
            </w:r>
          </w:p>
          <w:p w14:paraId="4872C007" w14:textId="3194FEAD" w:rsidR="00111DAD" w:rsidRPr="00EF60D2" w:rsidRDefault="00111DAD" w:rsidP="003A2CCC">
            <w:pPr>
              <w:pStyle w:val="ListParagraph"/>
              <w:numPr>
                <w:ilvl w:val="0"/>
                <w:numId w:val="49"/>
              </w:numPr>
              <w:rPr>
                <w:rFonts w:eastAsia="Times New Roman" w:cstheme="minorHAnsi"/>
                <w:sz w:val="16"/>
                <w:szCs w:val="16"/>
              </w:rPr>
            </w:pPr>
            <w:r>
              <w:rPr>
                <w:rFonts w:eastAsia="Times New Roman" w:cstheme="minorHAnsi"/>
                <w:sz w:val="16"/>
                <w:szCs w:val="16"/>
              </w:rPr>
              <w:t>Endline survey</w:t>
            </w:r>
          </w:p>
          <w:p w14:paraId="53D6D5EB" w14:textId="0AA7C2F0" w:rsidR="00111DAD" w:rsidRPr="00EC3A9B" w:rsidRDefault="00111DAD" w:rsidP="003A2CCC">
            <w:pPr>
              <w:rPr>
                <w:rFonts w:eastAsia="Times New Roman" w:cstheme="minorHAnsi"/>
                <w:sz w:val="16"/>
                <w:szCs w:val="16"/>
              </w:rPr>
            </w:pPr>
          </w:p>
        </w:tc>
        <w:tc>
          <w:tcPr>
            <w:tcW w:w="0" w:type="auto"/>
            <w:vMerge w:val="restart"/>
            <w:shd w:val="clear" w:color="auto" w:fill="auto"/>
            <w:hideMark/>
          </w:tcPr>
          <w:p w14:paraId="21F7B375" w14:textId="6D328C32" w:rsidR="00111DAD" w:rsidRPr="001D0BD5" w:rsidRDefault="00111DAD" w:rsidP="003A2CCC">
            <w:pPr>
              <w:spacing w:after="0"/>
              <w:jc w:val="left"/>
              <w:rPr>
                <w:rFonts w:eastAsia="Times New Roman" w:cstheme="minorHAnsi"/>
                <w:sz w:val="16"/>
                <w:szCs w:val="16"/>
                <w:lang w:val="en-US"/>
              </w:rPr>
            </w:pPr>
            <w:r w:rsidRPr="001D0BD5">
              <w:rPr>
                <w:rFonts w:eastAsia="Times New Roman" w:cstheme="minorHAnsi"/>
                <w:sz w:val="16"/>
                <w:szCs w:val="16"/>
                <w:lang w:val="en-US"/>
              </w:rPr>
              <w:t> </w:t>
            </w:r>
            <w:r>
              <w:rPr>
                <w:rFonts w:eastAsia="Times New Roman" w:cstheme="minorHAnsi"/>
                <w:sz w:val="16"/>
                <w:szCs w:val="16"/>
                <w:lang w:val="en-US"/>
              </w:rPr>
              <w:t>N/A</w:t>
            </w:r>
          </w:p>
          <w:p w14:paraId="36AC4A19" w14:textId="77777777" w:rsidR="00111DAD" w:rsidRPr="001D0BD5" w:rsidRDefault="00111DAD" w:rsidP="003A2CCC">
            <w:pPr>
              <w:spacing w:after="0"/>
              <w:jc w:val="left"/>
              <w:rPr>
                <w:rFonts w:eastAsia="Times New Roman" w:cstheme="minorHAnsi"/>
                <w:sz w:val="16"/>
                <w:szCs w:val="16"/>
                <w:lang w:val="en-US"/>
              </w:rPr>
            </w:pPr>
            <w:r w:rsidRPr="001D0BD5">
              <w:rPr>
                <w:rFonts w:eastAsia="Times New Roman" w:cstheme="minorHAnsi"/>
                <w:sz w:val="16"/>
                <w:szCs w:val="16"/>
                <w:lang w:val="en-US"/>
              </w:rPr>
              <w:t> </w:t>
            </w:r>
          </w:p>
          <w:p w14:paraId="73D972BB" w14:textId="0AA37C93" w:rsidR="00111DAD" w:rsidRPr="001D0BD5" w:rsidRDefault="00111DAD" w:rsidP="003A2CCC">
            <w:pPr>
              <w:spacing w:after="0"/>
              <w:jc w:val="left"/>
              <w:rPr>
                <w:rFonts w:eastAsia="Times New Roman" w:cstheme="minorHAnsi"/>
                <w:sz w:val="16"/>
                <w:szCs w:val="16"/>
                <w:lang w:val="en-US"/>
              </w:rPr>
            </w:pPr>
            <w:r w:rsidRPr="001D0BD5">
              <w:rPr>
                <w:rFonts w:eastAsia="Times New Roman" w:cstheme="minorHAnsi"/>
                <w:sz w:val="16"/>
                <w:szCs w:val="16"/>
                <w:lang w:val="en-US"/>
              </w:rPr>
              <w:t> </w:t>
            </w:r>
          </w:p>
        </w:tc>
        <w:tc>
          <w:tcPr>
            <w:tcW w:w="0" w:type="auto"/>
            <w:vMerge w:val="restart"/>
            <w:shd w:val="clear" w:color="auto" w:fill="auto"/>
            <w:hideMark/>
          </w:tcPr>
          <w:p w14:paraId="473A07AE" w14:textId="139DE46A" w:rsidR="00111DAD" w:rsidRPr="001D0BD5" w:rsidRDefault="00111DAD" w:rsidP="003A2CCC">
            <w:pPr>
              <w:spacing w:after="0"/>
              <w:jc w:val="left"/>
              <w:rPr>
                <w:rFonts w:eastAsia="Times New Roman" w:cstheme="minorHAnsi"/>
                <w:sz w:val="16"/>
                <w:szCs w:val="16"/>
                <w:lang w:val="en-US"/>
              </w:rPr>
            </w:pPr>
            <w:r w:rsidRPr="001D0BD5">
              <w:rPr>
                <w:rFonts w:eastAsia="Times New Roman" w:cstheme="minorHAnsi"/>
                <w:sz w:val="16"/>
                <w:szCs w:val="16"/>
                <w:lang w:val="en-US"/>
              </w:rPr>
              <w:t> </w:t>
            </w:r>
            <w:r>
              <w:rPr>
                <w:rFonts w:eastAsia="Times New Roman" w:cstheme="minorHAnsi"/>
                <w:sz w:val="16"/>
                <w:szCs w:val="16"/>
                <w:lang w:val="en-US"/>
              </w:rPr>
              <w:t>N/A</w:t>
            </w:r>
          </w:p>
          <w:p w14:paraId="1845682B" w14:textId="77777777" w:rsidR="00111DAD" w:rsidRPr="001D0BD5" w:rsidRDefault="00111DAD" w:rsidP="003A2CCC">
            <w:pPr>
              <w:spacing w:after="0"/>
              <w:jc w:val="left"/>
              <w:rPr>
                <w:rFonts w:eastAsia="Times New Roman" w:cstheme="minorHAnsi"/>
                <w:sz w:val="16"/>
                <w:szCs w:val="16"/>
                <w:lang w:val="en-US"/>
              </w:rPr>
            </w:pPr>
            <w:r w:rsidRPr="001D0BD5">
              <w:rPr>
                <w:rFonts w:eastAsia="Times New Roman" w:cstheme="minorHAnsi"/>
                <w:sz w:val="16"/>
                <w:szCs w:val="16"/>
                <w:lang w:val="en-US"/>
              </w:rPr>
              <w:t> </w:t>
            </w:r>
          </w:p>
          <w:p w14:paraId="78137261" w14:textId="39B9F7D0" w:rsidR="00111DAD" w:rsidRPr="001D0BD5" w:rsidRDefault="00111DAD" w:rsidP="003A2CCC">
            <w:pPr>
              <w:spacing w:after="0"/>
              <w:jc w:val="left"/>
              <w:rPr>
                <w:rFonts w:eastAsia="Times New Roman" w:cstheme="minorHAnsi"/>
                <w:sz w:val="16"/>
                <w:szCs w:val="16"/>
                <w:lang w:val="en-US"/>
              </w:rPr>
            </w:pPr>
            <w:r w:rsidRPr="001D0BD5">
              <w:rPr>
                <w:rFonts w:eastAsia="Times New Roman" w:cstheme="minorHAnsi"/>
                <w:sz w:val="16"/>
                <w:szCs w:val="16"/>
                <w:lang w:val="en-US"/>
              </w:rPr>
              <w:t> </w:t>
            </w:r>
          </w:p>
        </w:tc>
      </w:tr>
      <w:tr w:rsidR="001D06BF" w:rsidRPr="001D0BD5" w14:paraId="015EF2DB" w14:textId="77777777" w:rsidTr="00F01362">
        <w:trPr>
          <w:trHeight w:val="20"/>
        </w:trPr>
        <w:tc>
          <w:tcPr>
            <w:tcW w:w="0" w:type="auto"/>
            <w:shd w:val="clear" w:color="auto" w:fill="auto"/>
            <w:hideMark/>
          </w:tcPr>
          <w:p w14:paraId="3C41B805" w14:textId="71DE26D8" w:rsidR="00111DAD" w:rsidRPr="001D0BD5" w:rsidRDefault="00111DAD" w:rsidP="003A2CCC">
            <w:pPr>
              <w:spacing w:after="0"/>
              <w:jc w:val="left"/>
              <w:rPr>
                <w:rFonts w:eastAsia="Times New Roman" w:cstheme="minorHAnsi"/>
                <w:sz w:val="16"/>
                <w:szCs w:val="16"/>
                <w:lang w:val="en-US"/>
              </w:rPr>
            </w:pPr>
            <w:r w:rsidRPr="001D0BD5">
              <w:rPr>
                <w:rFonts w:eastAsia="Times New Roman" w:cstheme="minorHAnsi"/>
                <w:sz w:val="16"/>
                <w:szCs w:val="16"/>
                <w:lang w:val="en-US"/>
              </w:rPr>
              <w:t>4.1 In Nabilan and partners supported focal areas, what evidence is there of change in community members’ and leaders’ attitudes to VAWC??</w:t>
            </w:r>
          </w:p>
        </w:tc>
        <w:tc>
          <w:tcPr>
            <w:tcW w:w="0" w:type="auto"/>
            <w:vMerge/>
            <w:shd w:val="clear" w:color="auto" w:fill="auto"/>
          </w:tcPr>
          <w:p w14:paraId="403D7421" w14:textId="77777777" w:rsidR="00111DAD" w:rsidRPr="001D0BD5" w:rsidRDefault="00111DAD" w:rsidP="003A2CCC">
            <w:pPr>
              <w:spacing w:after="0"/>
              <w:jc w:val="left"/>
              <w:rPr>
                <w:rFonts w:eastAsia="Times New Roman" w:cstheme="minorHAnsi"/>
                <w:sz w:val="16"/>
                <w:szCs w:val="16"/>
                <w:lang w:val="en-US"/>
              </w:rPr>
            </w:pPr>
          </w:p>
        </w:tc>
        <w:tc>
          <w:tcPr>
            <w:tcW w:w="0" w:type="auto"/>
            <w:vMerge/>
            <w:shd w:val="clear" w:color="auto" w:fill="auto"/>
            <w:hideMark/>
          </w:tcPr>
          <w:p w14:paraId="109CE770" w14:textId="7CB151F6" w:rsidR="00111DAD" w:rsidRPr="001D0BD5" w:rsidRDefault="00111DAD" w:rsidP="003A2CCC">
            <w:pPr>
              <w:rPr>
                <w:rFonts w:eastAsia="Times New Roman" w:cstheme="minorHAnsi"/>
                <w:sz w:val="16"/>
                <w:szCs w:val="16"/>
                <w:lang w:val="en-US"/>
              </w:rPr>
            </w:pPr>
          </w:p>
        </w:tc>
        <w:tc>
          <w:tcPr>
            <w:tcW w:w="0" w:type="auto"/>
            <w:vMerge/>
            <w:shd w:val="clear" w:color="auto" w:fill="auto"/>
            <w:hideMark/>
          </w:tcPr>
          <w:p w14:paraId="6E67782B" w14:textId="5B5F2379" w:rsidR="00111DAD" w:rsidRPr="001D0BD5" w:rsidRDefault="00111DAD" w:rsidP="003A2CCC">
            <w:pPr>
              <w:spacing w:after="0"/>
              <w:jc w:val="left"/>
              <w:rPr>
                <w:rFonts w:eastAsia="Times New Roman" w:cstheme="minorHAnsi"/>
                <w:sz w:val="16"/>
                <w:szCs w:val="16"/>
                <w:lang w:val="en-US"/>
              </w:rPr>
            </w:pPr>
          </w:p>
        </w:tc>
        <w:tc>
          <w:tcPr>
            <w:tcW w:w="0" w:type="auto"/>
            <w:vMerge/>
            <w:shd w:val="clear" w:color="auto" w:fill="auto"/>
            <w:hideMark/>
          </w:tcPr>
          <w:p w14:paraId="6EF4741A" w14:textId="26A6E12B" w:rsidR="00111DAD" w:rsidRPr="00EF60D2" w:rsidRDefault="00111DAD" w:rsidP="003A2CCC">
            <w:pPr>
              <w:rPr>
                <w:rFonts w:eastAsia="Times New Roman" w:cstheme="minorHAnsi"/>
                <w:sz w:val="16"/>
                <w:szCs w:val="16"/>
              </w:rPr>
            </w:pPr>
          </w:p>
        </w:tc>
        <w:tc>
          <w:tcPr>
            <w:tcW w:w="0" w:type="auto"/>
            <w:vMerge/>
            <w:shd w:val="clear" w:color="auto" w:fill="auto"/>
            <w:hideMark/>
          </w:tcPr>
          <w:p w14:paraId="33170D52" w14:textId="7D3B861A" w:rsidR="00111DAD" w:rsidRPr="001D0BD5" w:rsidRDefault="00111DAD" w:rsidP="003A2CCC">
            <w:pPr>
              <w:spacing w:after="0"/>
              <w:jc w:val="left"/>
              <w:rPr>
                <w:rFonts w:eastAsia="Times New Roman" w:cstheme="minorHAnsi"/>
                <w:sz w:val="16"/>
                <w:szCs w:val="16"/>
                <w:lang w:val="en-US"/>
              </w:rPr>
            </w:pPr>
          </w:p>
        </w:tc>
        <w:tc>
          <w:tcPr>
            <w:tcW w:w="0" w:type="auto"/>
            <w:vMerge/>
            <w:shd w:val="clear" w:color="auto" w:fill="auto"/>
            <w:hideMark/>
          </w:tcPr>
          <w:p w14:paraId="1666D0A4" w14:textId="20E6899D" w:rsidR="00111DAD" w:rsidRPr="001D0BD5" w:rsidRDefault="00111DAD" w:rsidP="003A2CCC">
            <w:pPr>
              <w:spacing w:after="0"/>
              <w:jc w:val="left"/>
              <w:rPr>
                <w:rFonts w:eastAsia="Times New Roman" w:cstheme="minorHAnsi"/>
                <w:sz w:val="16"/>
                <w:szCs w:val="16"/>
                <w:lang w:val="en-US"/>
              </w:rPr>
            </w:pPr>
          </w:p>
        </w:tc>
      </w:tr>
      <w:tr w:rsidR="001D06BF" w:rsidRPr="001D0BD5" w14:paraId="07E53C6B" w14:textId="77777777" w:rsidTr="00F01362">
        <w:trPr>
          <w:trHeight w:val="20"/>
        </w:trPr>
        <w:tc>
          <w:tcPr>
            <w:tcW w:w="0" w:type="auto"/>
            <w:shd w:val="clear" w:color="auto" w:fill="auto"/>
            <w:hideMark/>
          </w:tcPr>
          <w:p w14:paraId="329775C7" w14:textId="728533C9" w:rsidR="00111DAD" w:rsidRPr="001D0BD5" w:rsidRDefault="00111DAD" w:rsidP="003A2CCC">
            <w:pPr>
              <w:spacing w:after="0"/>
              <w:jc w:val="left"/>
              <w:rPr>
                <w:rFonts w:eastAsia="Times New Roman" w:cstheme="minorHAnsi"/>
                <w:sz w:val="16"/>
                <w:szCs w:val="16"/>
                <w:lang w:val="en-US"/>
              </w:rPr>
            </w:pPr>
            <w:r w:rsidRPr="001D0BD5">
              <w:rPr>
                <w:rFonts w:eastAsia="Times New Roman" w:cstheme="minorHAnsi"/>
                <w:sz w:val="16"/>
                <w:szCs w:val="16"/>
                <w:lang w:val="en-US"/>
              </w:rPr>
              <w:t>4.2 Was the</w:t>
            </w:r>
            <w:r>
              <w:rPr>
                <w:rFonts w:eastAsia="Times New Roman" w:cstheme="minorHAnsi"/>
                <w:sz w:val="16"/>
                <w:szCs w:val="16"/>
                <w:lang w:val="en-US"/>
              </w:rPr>
              <w:t xml:space="preserve"> </w:t>
            </w:r>
            <w:r w:rsidRPr="001D0BD5">
              <w:rPr>
                <w:rFonts w:eastAsia="Times New Roman" w:cstheme="minorHAnsi"/>
                <w:sz w:val="16"/>
                <w:szCs w:val="16"/>
                <w:lang w:val="en-US"/>
              </w:rPr>
              <w:t>approach taken appropriate to contribute to changes in social norms?</w:t>
            </w:r>
          </w:p>
        </w:tc>
        <w:tc>
          <w:tcPr>
            <w:tcW w:w="0" w:type="auto"/>
            <w:vMerge/>
            <w:shd w:val="clear" w:color="auto" w:fill="auto"/>
          </w:tcPr>
          <w:p w14:paraId="778E324D" w14:textId="77777777" w:rsidR="00111DAD" w:rsidRPr="001D0BD5" w:rsidRDefault="00111DAD" w:rsidP="003A2CCC">
            <w:pPr>
              <w:spacing w:after="0"/>
              <w:jc w:val="left"/>
              <w:rPr>
                <w:rFonts w:eastAsia="Times New Roman" w:cstheme="minorHAnsi"/>
                <w:sz w:val="16"/>
                <w:szCs w:val="16"/>
                <w:lang w:val="en-US"/>
              </w:rPr>
            </w:pPr>
          </w:p>
        </w:tc>
        <w:tc>
          <w:tcPr>
            <w:tcW w:w="0" w:type="auto"/>
            <w:vMerge/>
            <w:shd w:val="clear" w:color="auto" w:fill="auto"/>
            <w:hideMark/>
          </w:tcPr>
          <w:p w14:paraId="252CA59A" w14:textId="37504D85" w:rsidR="00111DAD" w:rsidRPr="00C83063" w:rsidRDefault="00111DAD" w:rsidP="003A2CCC">
            <w:pPr>
              <w:rPr>
                <w:rFonts w:eastAsia="Times New Roman" w:cstheme="minorHAnsi"/>
                <w:sz w:val="16"/>
                <w:szCs w:val="16"/>
              </w:rPr>
            </w:pPr>
          </w:p>
        </w:tc>
        <w:tc>
          <w:tcPr>
            <w:tcW w:w="0" w:type="auto"/>
            <w:vMerge/>
            <w:shd w:val="clear" w:color="auto" w:fill="auto"/>
            <w:hideMark/>
          </w:tcPr>
          <w:p w14:paraId="3CD9DD49" w14:textId="57448B29" w:rsidR="00111DAD" w:rsidRPr="001D0BD5" w:rsidRDefault="00111DAD" w:rsidP="003A2CCC">
            <w:pPr>
              <w:spacing w:after="0"/>
              <w:jc w:val="left"/>
              <w:rPr>
                <w:rFonts w:eastAsia="Times New Roman" w:cstheme="minorHAnsi"/>
                <w:sz w:val="16"/>
                <w:szCs w:val="16"/>
                <w:lang w:val="en-US"/>
              </w:rPr>
            </w:pPr>
          </w:p>
        </w:tc>
        <w:tc>
          <w:tcPr>
            <w:tcW w:w="0" w:type="auto"/>
            <w:vMerge/>
            <w:shd w:val="clear" w:color="auto" w:fill="auto"/>
            <w:hideMark/>
          </w:tcPr>
          <w:p w14:paraId="0D0B1948" w14:textId="31663653" w:rsidR="00111DAD" w:rsidRPr="00406916" w:rsidRDefault="00111DAD" w:rsidP="003A2CCC">
            <w:pPr>
              <w:rPr>
                <w:rFonts w:eastAsia="Times New Roman" w:cstheme="minorHAnsi"/>
                <w:sz w:val="16"/>
                <w:szCs w:val="16"/>
              </w:rPr>
            </w:pPr>
          </w:p>
        </w:tc>
        <w:tc>
          <w:tcPr>
            <w:tcW w:w="0" w:type="auto"/>
            <w:vMerge/>
            <w:shd w:val="clear" w:color="auto" w:fill="auto"/>
            <w:hideMark/>
          </w:tcPr>
          <w:p w14:paraId="7DD597E0" w14:textId="330DAC53" w:rsidR="00111DAD" w:rsidRPr="001D0BD5" w:rsidRDefault="00111DAD" w:rsidP="003A2CCC">
            <w:pPr>
              <w:spacing w:after="0"/>
              <w:jc w:val="left"/>
              <w:rPr>
                <w:rFonts w:eastAsia="Times New Roman" w:cstheme="minorHAnsi"/>
                <w:sz w:val="16"/>
                <w:szCs w:val="16"/>
                <w:lang w:val="en-US"/>
              </w:rPr>
            </w:pPr>
          </w:p>
        </w:tc>
        <w:tc>
          <w:tcPr>
            <w:tcW w:w="0" w:type="auto"/>
            <w:vMerge/>
            <w:shd w:val="clear" w:color="auto" w:fill="auto"/>
            <w:hideMark/>
          </w:tcPr>
          <w:p w14:paraId="06305979" w14:textId="12BBED2C" w:rsidR="00111DAD" w:rsidRPr="001D0BD5" w:rsidRDefault="00111DAD" w:rsidP="003A2CCC">
            <w:pPr>
              <w:spacing w:after="0"/>
              <w:jc w:val="left"/>
              <w:rPr>
                <w:rFonts w:eastAsia="Times New Roman" w:cstheme="minorHAnsi"/>
                <w:sz w:val="16"/>
                <w:szCs w:val="16"/>
                <w:lang w:val="en-US"/>
              </w:rPr>
            </w:pPr>
          </w:p>
        </w:tc>
      </w:tr>
    </w:tbl>
    <w:p w14:paraId="6EEB16C8" w14:textId="5B06E9E5" w:rsidR="002567C9" w:rsidRPr="003A2CCC" w:rsidRDefault="004A47E2" w:rsidP="003A2CCC">
      <w:pPr>
        <w:pStyle w:val="Heading1"/>
        <w:numPr>
          <w:ilvl w:val="0"/>
          <w:numId w:val="0"/>
        </w:numPr>
        <w:rPr>
          <w:rFonts w:asciiTheme="minorHAnsi" w:hAnsiTheme="minorHAnsi" w:cstheme="minorHAnsi"/>
        </w:rPr>
      </w:pPr>
      <w:r w:rsidRPr="008F332A">
        <w:rPr>
          <w:rFonts w:asciiTheme="minorHAnsi" w:hAnsiTheme="minorHAnsi" w:cstheme="minorHAnsi"/>
        </w:rPr>
        <w:br w:type="column"/>
      </w:r>
      <w:bookmarkStart w:id="41" w:name="_Toc517960115"/>
      <w:r w:rsidR="000365CD" w:rsidRPr="008F332A">
        <w:rPr>
          <w:rFonts w:asciiTheme="minorHAnsi" w:hAnsiTheme="minorHAnsi" w:cstheme="minorHAnsi"/>
        </w:rPr>
        <w:t xml:space="preserve">Annex </w:t>
      </w:r>
      <w:r w:rsidR="00547E25">
        <w:rPr>
          <w:rFonts w:asciiTheme="minorHAnsi" w:hAnsiTheme="minorHAnsi" w:cstheme="minorHAnsi"/>
        </w:rPr>
        <w:t>2</w:t>
      </w:r>
      <w:r w:rsidR="000365CD" w:rsidRPr="008F332A">
        <w:rPr>
          <w:rFonts w:asciiTheme="minorHAnsi" w:hAnsiTheme="minorHAnsi" w:cstheme="minorHAnsi"/>
        </w:rPr>
        <w:t xml:space="preserve"> Data Collection </w:t>
      </w:r>
      <w:r w:rsidR="005C277E" w:rsidRPr="008F332A">
        <w:rPr>
          <w:rFonts w:asciiTheme="minorHAnsi" w:hAnsiTheme="minorHAnsi" w:cstheme="minorHAnsi"/>
        </w:rPr>
        <w:t>Strategy</w:t>
      </w:r>
      <w:bookmarkEnd w:id="41"/>
      <w:r w:rsidR="005C277E" w:rsidRPr="008F332A">
        <w:rPr>
          <w:rFonts w:asciiTheme="minorHAnsi" w:hAnsiTheme="minorHAnsi" w:cstheme="minorHAnsi"/>
        </w:rPr>
        <w:t xml:space="preserve"> </w:t>
      </w:r>
    </w:p>
    <w:tbl>
      <w:tblPr>
        <w:tblStyle w:val="TableGrid"/>
        <w:tblW w:w="5000" w:type="pct"/>
        <w:tblLook w:val="04A0" w:firstRow="1" w:lastRow="0" w:firstColumn="1" w:lastColumn="0" w:noHBand="0" w:noVBand="1"/>
      </w:tblPr>
      <w:tblGrid>
        <w:gridCol w:w="1341"/>
        <w:gridCol w:w="2115"/>
        <w:gridCol w:w="3608"/>
        <w:gridCol w:w="1986"/>
        <w:gridCol w:w="1590"/>
        <w:gridCol w:w="1440"/>
        <w:gridCol w:w="1382"/>
        <w:gridCol w:w="1206"/>
      </w:tblGrid>
      <w:tr w:rsidR="0016109D" w:rsidRPr="001D0BD5" w14:paraId="69C12FC6" w14:textId="77777777" w:rsidTr="003A2CCC">
        <w:trPr>
          <w:trHeight w:val="234"/>
          <w:tblHeader/>
        </w:trPr>
        <w:tc>
          <w:tcPr>
            <w:tcW w:w="457" w:type="pct"/>
            <w:shd w:val="clear" w:color="auto" w:fill="99CCFF"/>
          </w:tcPr>
          <w:p w14:paraId="4BD5F86F" w14:textId="77777777" w:rsidR="00B462FE" w:rsidRPr="001D0BD5" w:rsidRDefault="00B462FE" w:rsidP="003A2CCC">
            <w:pPr>
              <w:jc w:val="left"/>
              <w:rPr>
                <w:rFonts w:cstheme="minorHAnsi"/>
                <w:b/>
                <w:sz w:val="16"/>
                <w:szCs w:val="16"/>
              </w:rPr>
            </w:pPr>
            <w:r w:rsidRPr="001D0BD5">
              <w:rPr>
                <w:rFonts w:cstheme="minorHAnsi"/>
                <w:b/>
                <w:sz w:val="16"/>
                <w:szCs w:val="16"/>
              </w:rPr>
              <w:t xml:space="preserve">Data Collection Methods </w:t>
            </w:r>
          </w:p>
        </w:tc>
        <w:tc>
          <w:tcPr>
            <w:tcW w:w="721" w:type="pct"/>
            <w:shd w:val="clear" w:color="auto" w:fill="99CCFF"/>
          </w:tcPr>
          <w:p w14:paraId="6AA89343" w14:textId="77777777" w:rsidR="00B462FE" w:rsidRPr="001D0BD5" w:rsidRDefault="00B462FE" w:rsidP="003A2CCC">
            <w:pPr>
              <w:jc w:val="left"/>
              <w:rPr>
                <w:rFonts w:cstheme="minorHAnsi"/>
                <w:b/>
                <w:sz w:val="16"/>
                <w:szCs w:val="16"/>
              </w:rPr>
            </w:pPr>
            <w:r w:rsidRPr="001D0BD5">
              <w:rPr>
                <w:rFonts w:cstheme="minorHAnsi"/>
                <w:b/>
                <w:sz w:val="16"/>
                <w:szCs w:val="16"/>
              </w:rPr>
              <w:t>Aim</w:t>
            </w:r>
          </w:p>
        </w:tc>
        <w:tc>
          <w:tcPr>
            <w:tcW w:w="1230" w:type="pct"/>
            <w:shd w:val="clear" w:color="auto" w:fill="99CCFF"/>
          </w:tcPr>
          <w:p w14:paraId="6026627B" w14:textId="77777777" w:rsidR="00B462FE" w:rsidRPr="001D0BD5" w:rsidRDefault="00B462FE" w:rsidP="003A2CCC">
            <w:pPr>
              <w:jc w:val="left"/>
              <w:rPr>
                <w:rFonts w:cstheme="minorHAnsi"/>
                <w:b/>
                <w:sz w:val="16"/>
                <w:szCs w:val="16"/>
              </w:rPr>
            </w:pPr>
            <w:r w:rsidRPr="001D0BD5">
              <w:rPr>
                <w:rFonts w:cstheme="minorHAnsi"/>
                <w:b/>
                <w:sz w:val="16"/>
                <w:szCs w:val="16"/>
              </w:rPr>
              <w:t>Method</w:t>
            </w:r>
          </w:p>
        </w:tc>
        <w:tc>
          <w:tcPr>
            <w:tcW w:w="677" w:type="pct"/>
            <w:shd w:val="clear" w:color="auto" w:fill="99CCFF"/>
          </w:tcPr>
          <w:p w14:paraId="3B9CED2A" w14:textId="77777777" w:rsidR="00B462FE" w:rsidRPr="001D0BD5" w:rsidRDefault="00B462FE" w:rsidP="003A2CCC">
            <w:pPr>
              <w:jc w:val="left"/>
              <w:rPr>
                <w:rFonts w:cstheme="minorHAnsi"/>
                <w:b/>
                <w:sz w:val="16"/>
                <w:szCs w:val="16"/>
              </w:rPr>
            </w:pPr>
            <w:r w:rsidRPr="001D0BD5">
              <w:rPr>
                <w:rFonts w:cstheme="minorHAnsi"/>
                <w:b/>
                <w:sz w:val="16"/>
                <w:szCs w:val="16"/>
              </w:rPr>
              <w:t>Tools</w:t>
            </w:r>
          </w:p>
        </w:tc>
        <w:tc>
          <w:tcPr>
            <w:tcW w:w="542" w:type="pct"/>
            <w:shd w:val="clear" w:color="auto" w:fill="99CCFF"/>
          </w:tcPr>
          <w:p w14:paraId="0E432DFE" w14:textId="68B4C582" w:rsidR="00B462FE" w:rsidRPr="001D0BD5" w:rsidRDefault="00B462FE" w:rsidP="003A2CCC">
            <w:pPr>
              <w:jc w:val="left"/>
              <w:rPr>
                <w:rFonts w:cstheme="minorHAnsi"/>
                <w:b/>
                <w:sz w:val="16"/>
                <w:szCs w:val="16"/>
              </w:rPr>
            </w:pPr>
            <w:r w:rsidRPr="001D0BD5">
              <w:rPr>
                <w:rFonts w:cstheme="minorHAnsi"/>
                <w:b/>
                <w:sz w:val="16"/>
                <w:szCs w:val="16"/>
              </w:rPr>
              <w:t>Who</w:t>
            </w:r>
            <w:r w:rsidR="009122B2">
              <w:rPr>
                <w:rFonts w:cstheme="minorHAnsi"/>
                <w:b/>
                <w:sz w:val="16"/>
                <w:szCs w:val="16"/>
              </w:rPr>
              <w:t xml:space="preserve"> is responsible to collect this data?</w:t>
            </w:r>
            <w:r w:rsidRPr="001D0BD5">
              <w:rPr>
                <w:rFonts w:cstheme="minorHAnsi"/>
                <w:b/>
                <w:sz w:val="16"/>
                <w:szCs w:val="16"/>
              </w:rPr>
              <w:t xml:space="preserve"> </w:t>
            </w:r>
          </w:p>
        </w:tc>
        <w:tc>
          <w:tcPr>
            <w:tcW w:w="491" w:type="pct"/>
            <w:shd w:val="clear" w:color="auto" w:fill="99CCFF"/>
          </w:tcPr>
          <w:p w14:paraId="4248128F" w14:textId="77777777" w:rsidR="00B462FE" w:rsidRPr="001D0BD5" w:rsidRDefault="00B462FE" w:rsidP="003A2CCC">
            <w:pPr>
              <w:jc w:val="left"/>
              <w:rPr>
                <w:rFonts w:cstheme="minorHAnsi"/>
                <w:b/>
                <w:sz w:val="16"/>
                <w:szCs w:val="16"/>
              </w:rPr>
            </w:pPr>
            <w:r w:rsidRPr="001D0BD5">
              <w:rPr>
                <w:rFonts w:cstheme="minorHAnsi"/>
                <w:b/>
                <w:sz w:val="16"/>
                <w:szCs w:val="16"/>
              </w:rPr>
              <w:t xml:space="preserve">How frequently is this data collected? </w:t>
            </w:r>
          </w:p>
        </w:tc>
        <w:tc>
          <w:tcPr>
            <w:tcW w:w="471" w:type="pct"/>
            <w:shd w:val="clear" w:color="auto" w:fill="99CCFF"/>
          </w:tcPr>
          <w:p w14:paraId="61FCD502" w14:textId="77777777" w:rsidR="00B462FE" w:rsidRPr="001D0BD5" w:rsidRDefault="00B462FE" w:rsidP="003A2CCC">
            <w:pPr>
              <w:jc w:val="left"/>
              <w:rPr>
                <w:rFonts w:cstheme="minorHAnsi"/>
                <w:b/>
                <w:sz w:val="16"/>
                <w:szCs w:val="16"/>
              </w:rPr>
            </w:pPr>
            <w:r w:rsidRPr="001D0BD5">
              <w:rPr>
                <w:rFonts w:cstheme="minorHAnsi"/>
                <w:b/>
                <w:sz w:val="16"/>
                <w:szCs w:val="16"/>
              </w:rPr>
              <w:t xml:space="preserve">Who is responsible to analyse and collate this data?  </w:t>
            </w:r>
          </w:p>
        </w:tc>
        <w:tc>
          <w:tcPr>
            <w:tcW w:w="411" w:type="pct"/>
            <w:shd w:val="clear" w:color="auto" w:fill="99CCFF"/>
          </w:tcPr>
          <w:p w14:paraId="3B849E7F" w14:textId="77777777" w:rsidR="00B462FE" w:rsidRPr="001D0BD5" w:rsidRDefault="00B462FE" w:rsidP="003A2CCC">
            <w:pPr>
              <w:jc w:val="left"/>
              <w:rPr>
                <w:rFonts w:cstheme="minorHAnsi"/>
                <w:b/>
                <w:sz w:val="16"/>
                <w:szCs w:val="16"/>
              </w:rPr>
            </w:pPr>
            <w:r w:rsidRPr="001D0BD5">
              <w:rPr>
                <w:rFonts w:cstheme="minorHAnsi"/>
                <w:b/>
                <w:sz w:val="16"/>
                <w:szCs w:val="16"/>
              </w:rPr>
              <w:t xml:space="preserve">When will data be collated and reported? </w:t>
            </w:r>
          </w:p>
        </w:tc>
      </w:tr>
      <w:tr w:rsidR="0016109D" w:rsidRPr="001D0BD5" w14:paraId="470DE35C" w14:textId="77777777" w:rsidTr="003A2CCC">
        <w:trPr>
          <w:trHeight w:val="1307"/>
        </w:trPr>
        <w:tc>
          <w:tcPr>
            <w:tcW w:w="457" w:type="pct"/>
          </w:tcPr>
          <w:p w14:paraId="33529D44" w14:textId="77777777" w:rsidR="00B462FE" w:rsidRPr="001D0BD5" w:rsidRDefault="00B462FE" w:rsidP="003A2CCC">
            <w:pPr>
              <w:jc w:val="left"/>
              <w:rPr>
                <w:rFonts w:cstheme="minorHAnsi"/>
                <w:i/>
                <w:sz w:val="16"/>
                <w:szCs w:val="16"/>
              </w:rPr>
            </w:pPr>
            <w:r w:rsidRPr="001D0BD5">
              <w:rPr>
                <w:rFonts w:cstheme="minorHAnsi"/>
                <w:sz w:val="16"/>
                <w:szCs w:val="16"/>
              </w:rPr>
              <w:t>Activity tracking</w:t>
            </w:r>
          </w:p>
          <w:p w14:paraId="0368077C" w14:textId="77777777" w:rsidR="00B462FE" w:rsidRPr="001D0BD5" w:rsidRDefault="00B462FE" w:rsidP="003A2CCC">
            <w:pPr>
              <w:jc w:val="left"/>
              <w:rPr>
                <w:rFonts w:cstheme="minorHAnsi"/>
                <w:sz w:val="16"/>
                <w:szCs w:val="16"/>
              </w:rPr>
            </w:pPr>
          </w:p>
        </w:tc>
        <w:tc>
          <w:tcPr>
            <w:tcW w:w="721" w:type="pct"/>
          </w:tcPr>
          <w:p w14:paraId="48F3C1FD" w14:textId="77777777" w:rsidR="00B462FE" w:rsidRPr="001D0BD5" w:rsidRDefault="00B462FE" w:rsidP="003A2CCC">
            <w:pPr>
              <w:spacing w:after="120"/>
              <w:jc w:val="left"/>
              <w:rPr>
                <w:rFonts w:cstheme="minorHAnsi"/>
                <w:sz w:val="16"/>
                <w:szCs w:val="16"/>
              </w:rPr>
            </w:pPr>
            <w:r w:rsidRPr="001D0BD5">
              <w:rPr>
                <w:rFonts w:cstheme="minorHAnsi"/>
                <w:sz w:val="16"/>
                <w:szCs w:val="16"/>
              </w:rPr>
              <w:t xml:space="preserve">To collect information about implementation of Nabilan’s foundational and influence activities, in order to track progress against the Nabilan workplan. </w:t>
            </w:r>
          </w:p>
          <w:p w14:paraId="4A65EB9D" w14:textId="77777777" w:rsidR="00B462FE" w:rsidRPr="001D0BD5" w:rsidRDefault="00B462FE" w:rsidP="003A2CCC">
            <w:pPr>
              <w:spacing w:after="120"/>
              <w:jc w:val="left"/>
              <w:rPr>
                <w:rFonts w:cstheme="minorHAnsi"/>
                <w:sz w:val="16"/>
                <w:szCs w:val="16"/>
              </w:rPr>
            </w:pPr>
          </w:p>
        </w:tc>
        <w:tc>
          <w:tcPr>
            <w:tcW w:w="1230" w:type="pct"/>
          </w:tcPr>
          <w:p w14:paraId="430CC4AB" w14:textId="2EDAA75A" w:rsidR="00B462FE" w:rsidRPr="001D0BD5" w:rsidRDefault="00B462FE" w:rsidP="003A2CCC">
            <w:pPr>
              <w:jc w:val="left"/>
              <w:rPr>
                <w:rFonts w:cstheme="minorHAnsi"/>
                <w:sz w:val="16"/>
                <w:szCs w:val="16"/>
              </w:rPr>
            </w:pPr>
            <w:r w:rsidRPr="001D0BD5">
              <w:rPr>
                <w:rFonts w:cstheme="minorHAnsi"/>
                <w:sz w:val="16"/>
                <w:szCs w:val="16"/>
              </w:rPr>
              <w:t xml:space="preserve">Nabilan staff use a variety of methods to collect data on program activities, such as trainings conducted, resources developed, and attendance at events. This information is routinely collected by all Nabilan staff as part of usual work, and is </w:t>
            </w:r>
            <w:r w:rsidR="0096688B">
              <w:rPr>
                <w:rFonts w:cstheme="minorHAnsi"/>
                <w:sz w:val="16"/>
                <w:szCs w:val="16"/>
              </w:rPr>
              <w:t>reviewed monthly to</w:t>
            </w:r>
            <w:r w:rsidRPr="001D0BD5">
              <w:rPr>
                <w:rFonts w:cstheme="minorHAnsi"/>
                <w:sz w:val="16"/>
                <w:szCs w:val="16"/>
              </w:rPr>
              <w:t xml:space="preserve"> track progress on implementation of the Nabilan workplan. The data will be collated in the annual report.</w:t>
            </w:r>
          </w:p>
        </w:tc>
        <w:tc>
          <w:tcPr>
            <w:tcW w:w="677" w:type="pct"/>
          </w:tcPr>
          <w:p w14:paraId="5BE1BDC5" w14:textId="77777777" w:rsidR="00B462FE" w:rsidRPr="001D0BD5" w:rsidRDefault="00B462FE" w:rsidP="003A2CCC">
            <w:pPr>
              <w:pStyle w:val="ListParagraph"/>
              <w:numPr>
                <w:ilvl w:val="0"/>
                <w:numId w:val="33"/>
              </w:numPr>
              <w:rPr>
                <w:rFonts w:cstheme="minorHAnsi"/>
                <w:sz w:val="16"/>
                <w:szCs w:val="16"/>
              </w:rPr>
            </w:pPr>
            <w:r w:rsidRPr="001D0BD5">
              <w:rPr>
                <w:rFonts w:cstheme="minorHAnsi"/>
                <w:sz w:val="16"/>
                <w:szCs w:val="16"/>
              </w:rPr>
              <w:t>Activity tracking tools</w:t>
            </w:r>
          </w:p>
          <w:p w14:paraId="7E3A0CBF" w14:textId="77777777" w:rsidR="00B462FE" w:rsidRPr="001D0BD5" w:rsidRDefault="00B462FE" w:rsidP="003A2CCC">
            <w:pPr>
              <w:pStyle w:val="ListParagraph"/>
              <w:numPr>
                <w:ilvl w:val="0"/>
                <w:numId w:val="33"/>
              </w:numPr>
              <w:rPr>
                <w:rFonts w:cstheme="minorHAnsi"/>
                <w:sz w:val="16"/>
                <w:szCs w:val="16"/>
              </w:rPr>
            </w:pPr>
            <w:r w:rsidRPr="001D0BD5">
              <w:rPr>
                <w:rFonts w:cstheme="minorHAnsi"/>
                <w:sz w:val="16"/>
                <w:szCs w:val="16"/>
              </w:rPr>
              <w:t xml:space="preserve">Nabilan Workplan </w:t>
            </w:r>
          </w:p>
          <w:p w14:paraId="140807F5" w14:textId="77777777" w:rsidR="00B462FE" w:rsidRPr="001D0BD5" w:rsidRDefault="00B462FE" w:rsidP="003A2CCC">
            <w:pPr>
              <w:pStyle w:val="ListParagraph"/>
              <w:ind w:left="360" w:firstLine="0"/>
              <w:rPr>
                <w:rFonts w:cstheme="minorHAnsi"/>
                <w:sz w:val="16"/>
                <w:szCs w:val="16"/>
              </w:rPr>
            </w:pPr>
          </w:p>
        </w:tc>
        <w:tc>
          <w:tcPr>
            <w:tcW w:w="542" w:type="pct"/>
          </w:tcPr>
          <w:p w14:paraId="1325EC31" w14:textId="22A840CE" w:rsidR="00B462FE" w:rsidRPr="001D0BD5" w:rsidRDefault="00B153EB" w:rsidP="003A2CCC">
            <w:pPr>
              <w:jc w:val="left"/>
              <w:rPr>
                <w:rFonts w:cstheme="minorHAnsi"/>
                <w:sz w:val="16"/>
                <w:szCs w:val="16"/>
              </w:rPr>
            </w:pPr>
            <w:r>
              <w:rPr>
                <w:rFonts w:cstheme="minorHAnsi"/>
                <w:sz w:val="16"/>
                <w:szCs w:val="16"/>
              </w:rPr>
              <w:t>All Nabilan staff</w:t>
            </w:r>
            <w:r w:rsidR="00B462FE" w:rsidRPr="001D0BD5">
              <w:rPr>
                <w:rFonts w:cstheme="minorHAnsi"/>
                <w:sz w:val="16"/>
                <w:szCs w:val="16"/>
              </w:rPr>
              <w:t xml:space="preserve"> </w:t>
            </w:r>
          </w:p>
        </w:tc>
        <w:tc>
          <w:tcPr>
            <w:tcW w:w="491" w:type="pct"/>
          </w:tcPr>
          <w:p w14:paraId="30E2D165" w14:textId="77777777" w:rsidR="00B462FE" w:rsidRPr="001D0BD5" w:rsidRDefault="00B462FE" w:rsidP="003A2CCC">
            <w:pPr>
              <w:jc w:val="left"/>
              <w:rPr>
                <w:rFonts w:cstheme="minorHAnsi"/>
                <w:sz w:val="16"/>
                <w:szCs w:val="16"/>
              </w:rPr>
            </w:pPr>
            <w:r w:rsidRPr="001D0BD5">
              <w:rPr>
                <w:rFonts w:cstheme="minorHAnsi"/>
                <w:sz w:val="16"/>
                <w:szCs w:val="16"/>
              </w:rPr>
              <w:t xml:space="preserve">Ongoing </w:t>
            </w:r>
          </w:p>
        </w:tc>
        <w:tc>
          <w:tcPr>
            <w:tcW w:w="471" w:type="pct"/>
          </w:tcPr>
          <w:p w14:paraId="0887CF02" w14:textId="77777777" w:rsidR="00B462FE" w:rsidRPr="001D0BD5" w:rsidRDefault="00B462FE" w:rsidP="003A2CCC">
            <w:pPr>
              <w:jc w:val="left"/>
              <w:rPr>
                <w:rFonts w:cstheme="minorHAnsi"/>
                <w:sz w:val="16"/>
                <w:szCs w:val="16"/>
              </w:rPr>
            </w:pPr>
            <w:r w:rsidRPr="001D0BD5">
              <w:rPr>
                <w:rFonts w:cstheme="minorHAnsi"/>
                <w:sz w:val="16"/>
                <w:szCs w:val="16"/>
              </w:rPr>
              <w:t>All Nabilan staff</w:t>
            </w:r>
          </w:p>
        </w:tc>
        <w:tc>
          <w:tcPr>
            <w:tcW w:w="411" w:type="pct"/>
          </w:tcPr>
          <w:p w14:paraId="5D1D45DC" w14:textId="1523DD2F" w:rsidR="00B462FE" w:rsidRPr="001D0BD5" w:rsidRDefault="00C83063" w:rsidP="003A2CCC">
            <w:pPr>
              <w:jc w:val="left"/>
              <w:rPr>
                <w:rFonts w:cstheme="minorHAnsi"/>
                <w:sz w:val="16"/>
                <w:szCs w:val="16"/>
              </w:rPr>
            </w:pPr>
            <w:r w:rsidRPr="001D0BD5">
              <w:rPr>
                <w:rFonts w:cstheme="minorHAnsi"/>
                <w:sz w:val="16"/>
                <w:szCs w:val="16"/>
              </w:rPr>
              <w:t>6-monthly (reporting period January-June; July-December)</w:t>
            </w:r>
          </w:p>
        </w:tc>
      </w:tr>
      <w:tr w:rsidR="0016109D" w:rsidRPr="001D0BD5" w14:paraId="70C68797" w14:textId="77777777" w:rsidTr="003A2CCC">
        <w:trPr>
          <w:trHeight w:val="3798"/>
        </w:trPr>
        <w:tc>
          <w:tcPr>
            <w:tcW w:w="457" w:type="pct"/>
          </w:tcPr>
          <w:p w14:paraId="7AD82379" w14:textId="77777777" w:rsidR="00B462FE" w:rsidRPr="001D0BD5" w:rsidRDefault="00B462FE" w:rsidP="003A2CCC">
            <w:pPr>
              <w:jc w:val="left"/>
              <w:rPr>
                <w:rFonts w:cstheme="minorHAnsi"/>
                <w:i/>
                <w:sz w:val="16"/>
                <w:szCs w:val="16"/>
              </w:rPr>
            </w:pPr>
            <w:r w:rsidRPr="001D0BD5">
              <w:rPr>
                <w:rFonts w:cstheme="minorHAnsi"/>
                <w:sz w:val="16"/>
                <w:szCs w:val="16"/>
              </w:rPr>
              <w:t>Partner reports</w:t>
            </w:r>
          </w:p>
          <w:p w14:paraId="50D5DE1B" w14:textId="77777777" w:rsidR="00B462FE" w:rsidRPr="001D0BD5" w:rsidRDefault="00B462FE" w:rsidP="003A2CCC">
            <w:pPr>
              <w:jc w:val="left"/>
              <w:rPr>
                <w:rFonts w:cstheme="minorHAnsi"/>
                <w:b/>
                <w:sz w:val="16"/>
                <w:szCs w:val="16"/>
              </w:rPr>
            </w:pPr>
          </w:p>
        </w:tc>
        <w:tc>
          <w:tcPr>
            <w:tcW w:w="721" w:type="pct"/>
          </w:tcPr>
          <w:p w14:paraId="37B6831B" w14:textId="1BE9211A" w:rsidR="00B462FE" w:rsidRPr="001D0BD5" w:rsidRDefault="00B462FE" w:rsidP="003A2CCC">
            <w:pPr>
              <w:jc w:val="left"/>
              <w:rPr>
                <w:rFonts w:cstheme="minorHAnsi"/>
                <w:sz w:val="16"/>
                <w:szCs w:val="16"/>
              </w:rPr>
            </w:pPr>
            <w:r w:rsidRPr="001D0BD5">
              <w:rPr>
                <w:rFonts w:cstheme="minorHAnsi"/>
                <w:sz w:val="16"/>
                <w:szCs w:val="16"/>
              </w:rPr>
              <w:t xml:space="preserve">To gather information on partner organisations’ activities, </w:t>
            </w:r>
            <w:r w:rsidR="0096688B">
              <w:rPr>
                <w:rFonts w:cstheme="minorHAnsi"/>
                <w:sz w:val="16"/>
                <w:szCs w:val="16"/>
              </w:rPr>
              <w:t xml:space="preserve">key achievements, </w:t>
            </w:r>
            <w:r w:rsidRPr="001D0BD5">
              <w:rPr>
                <w:rFonts w:cstheme="minorHAnsi"/>
                <w:sz w:val="16"/>
                <w:szCs w:val="16"/>
              </w:rPr>
              <w:t xml:space="preserve">challenges and lessons learned. </w:t>
            </w:r>
          </w:p>
          <w:p w14:paraId="6FD07FB8" w14:textId="77777777" w:rsidR="00B462FE" w:rsidRPr="001D0BD5" w:rsidRDefault="00B462FE" w:rsidP="003A2CCC">
            <w:pPr>
              <w:jc w:val="left"/>
              <w:rPr>
                <w:rFonts w:cstheme="minorHAnsi"/>
                <w:sz w:val="16"/>
                <w:szCs w:val="16"/>
              </w:rPr>
            </w:pPr>
          </w:p>
          <w:p w14:paraId="2CC098AD" w14:textId="77777777" w:rsidR="00B462FE" w:rsidRPr="001D0BD5" w:rsidRDefault="00B462FE" w:rsidP="003A2CCC">
            <w:pPr>
              <w:jc w:val="left"/>
              <w:rPr>
                <w:rFonts w:cstheme="minorHAnsi"/>
                <w:sz w:val="16"/>
                <w:szCs w:val="16"/>
              </w:rPr>
            </w:pPr>
          </w:p>
        </w:tc>
        <w:tc>
          <w:tcPr>
            <w:tcW w:w="1230" w:type="pct"/>
          </w:tcPr>
          <w:p w14:paraId="73ADEECD" w14:textId="115CA04D" w:rsidR="00B462FE" w:rsidRPr="001D0BD5" w:rsidRDefault="00B462FE" w:rsidP="003A2CCC">
            <w:pPr>
              <w:jc w:val="left"/>
              <w:rPr>
                <w:rFonts w:cstheme="minorHAnsi"/>
                <w:sz w:val="16"/>
                <w:szCs w:val="16"/>
              </w:rPr>
            </w:pPr>
            <w:r w:rsidRPr="001D0BD5">
              <w:rPr>
                <w:rFonts w:cstheme="minorHAnsi"/>
                <w:sz w:val="16"/>
                <w:szCs w:val="16"/>
              </w:rPr>
              <w:t>Service delivery data is routinely collected by partners, using existing data collection and storage systems. Each partner funded by Nabilan is contractually required to provide 6-monthly reports on service outputs (e.g. number of clients, demographic characteristics of clients, number of services provided, number of referrals received), prevention activities undertaken,</w:t>
            </w:r>
            <w:r w:rsidR="0096688B">
              <w:rPr>
                <w:rFonts w:cstheme="minorHAnsi"/>
                <w:sz w:val="16"/>
                <w:szCs w:val="16"/>
              </w:rPr>
              <w:t xml:space="preserve"> key achievements,</w:t>
            </w:r>
            <w:r w:rsidRPr="001D0BD5">
              <w:rPr>
                <w:rFonts w:cstheme="minorHAnsi"/>
                <w:sz w:val="16"/>
                <w:szCs w:val="16"/>
              </w:rPr>
              <w:t xml:space="preserve"> funding sources and expenditure, and challenges and lessons learned.</w:t>
            </w:r>
            <w:r w:rsidR="00BB032A">
              <w:rPr>
                <w:rFonts w:cstheme="minorHAnsi"/>
                <w:sz w:val="16"/>
                <w:szCs w:val="16"/>
              </w:rPr>
              <w:t xml:space="preserve"> Partners also conduct pre-and post-testing of participants’ in prevention activities, assessing their knowledge and attitudes about VAWC, and present collated results in partner reports. </w:t>
            </w:r>
            <w:r w:rsidRPr="001D0BD5">
              <w:rPr>
                <w:rFonts w:cstheme="minorHAnsi"/>
                <w:sz w:val="16"/>
                <w:szCs w:val="16"/>
              </w:rPr>
              <w:t>Partners report this data to Nabilan, who then analyse and aggregate this data using the Nabilan Partner Beneficiary tool.</w:t>
            </w:r>
          </w:p>
        </w:tc>
        <w:tc>
          <w:tcPr>
            <w:tcW w:w="677" w:type="pct"/>
          </w:tcPr>
          <w:p w14:paraId="72AF1306" w14:textId="565D55E3" w:rsidR="0096688B" w:rsidRDefault="00B462FE" w:rsidP="003A2CCC">
            <w:pPr>
              <w:pStyle w:val="ListParagraph"/>
              <w:numPr>
                <w:ilvl w:val="0"/>
                <w:numId w:val="28"/>
              </w:numPr>
              <w:rPr>
                <w:rFonts w:cstheme="minorHAnsi"/>
                <w:sz w:val="16"/>
                <w:szCs w:val="16"/>
              </w:rPr>
            </w:pPr>
            <w:r w:rsidRPr="001D0BD5">
              <w:rPr>
                <w:rFonts w:cstheme="minorHAnsi"/>
                <w:sz w:val="16"/>
                <w:szCs w:val="16"/>
              </w:rPr>
              <w:t>Partner report</w:t>
            </w:r>
            <w:r w:rsidR="0096688B">
              <w:rPr>
                <w:rFonts w:cstheme="minorHAnsi"/>
                <w:sz w:val="16"/>
                <w:szCs w:val="16"/>
              </w:rPr>
              <w:t xml:space="preserve"> template</w:t>
            </w:r>
          </w:p>
          <w:p w14:paraId="7556FE38" w14:textId="610DB69F" w:rsidR="00BB032A" w:rsidRPr="001D0BD5" w:rsidRDefault="00BB032A" w:rsidP="003A2CCC">
            <w:pPr>
              <w:pStyle w:val="ListParagraph"/>
              <w:numPr>
                <w:ilvl w:val="0"/>
                <w:numId w:val="28"/>
              </w:numPr>
              <w:rPr>
                <w:rFonts w:cstheme="minorHAnsi"/>
                <w:sz w:val="16"/>
                <w:szCs w:val="16"/>
              </w:rPr>
            </w:pPr>
            <w:r>
              <w:rPr>
                <w:rFonts w:cstheme="minorHAnsi"/>
                <w:sz w:val="16"/>
                <w:szCs w:val="16"/>
              </w:rPr>
              <w:t>Pre- and post-intervention assessment tools</w:t>
            </w:r>
          </w:p>
          <w:p w14:paraId="777009DD" w14:textId="77777777" w:rsidR="00B462FE" w:rsidRPr="001D0BD5" w:rsidRDefault="00B462FE" w:rsidP="003A2CCC">
            <w:pPr>
              <w:pStyle w:val="ListParagraph"/>
              <w:numPr>
                <w:ilvl w:val="0"/>
                <w:numId w:val="28"/>
              </w:numPr>
              <w:rPr>
                <w:rFonts w:cstheme="minorHAnsi"/>
                <w:sz w:val="16"/>
                <w:szCs w:val="16"/>
              </w:rPr>
            </w:pPr>
            <w:r w:rsidRPr="001D0BD5">
              <w:rPr>
                <w:rFonts w:cstheme="minorHAnsi"/>
                <w:sz w:val="16"/>
                <w:szCs w:val="16"/>
              </w:rPr>
              <w:t xml:space="preserve">Nabilan Partner Beneficiary Tool </w:t>
            </w:r>
          </w:p>
        </w:tc>
        <w:tc>
          <w:tcPr>
            <w:tcW w:w="542" w:type="pct"/>
          </w:tcPr>
          <w:p w14:paraId="203765D0" w14:textId="77777777" w:rsidR="00B462FE" w:rsidRPr="001D0BD5" w:rsidRDefault="00B462FE" w:rsidP="003A2CCC">
            <w:pPr>
              <w:jc w:val="left"/>
              <w:rPr>
                <w:rFonts w:cstheme="minorHAnsi"/>
                <w:sz w:val="16"/>
                <w:szCs w:val="16"/>
              </w:rPr>
            </w:pPr>
            <w:r w:rsidRPr="001D0BD5">
              <w:rPr>
                <w:rFonts w:cstheme="minorHAnsi"/>
                <w:sz w:val="16"/>
                <w:szCs w:val="16"/>
              </w:rPr>
              <w:t>Partners (with some support from Nabilan staff)</w:t>
            </w:r>
          </w:p>
        </w:tc>
        <w:tc>
          <w:tcPr>
            <w:tcW w:w="491" w:type="pct"/>
          </w:tcPr>
          <w:p w14:paraId="0849A03A" w14:textId="77777777" w:rsidR="00B462FE" w:rsidRPr="001D0BD5" w:rsidRDefault="00B462FE" w:rsidP="003A2CCC">
            <w:pPr>
              <w:jc w:val="left"/>
              <w:rPr>
                <w:rFonts w:cstheme="minorHAnsi"/>
                <w:sz w:val="16"/>
                <w:szCs w:val="16"/>
              </w:rPr>
            </w:pPr>
            <w:r w:rsidRPr="001D0BD5">
              <w:rPr>
                <w:rFonts w:cstheme="minorHAnsi"/>
                <w:sz w:val="16"/>
                <w:szCs w:val="16"/>
              </w:rPr>
              <w:t>Ongoing</w:t>
            </w:r>
          </w:p>
        </w:tc>
        <w:tc>
          <w:tcPr>
            <w:tcW w:w="471" w:type="pct"/>
          </w:tcPr>
          <w:p w14:paraId="0B948560" w14:textId="77777777" w:rsidR="00B462FE" w:rsidRPr="001D0BD5" w:rsidRDefault="00B462FE" w:rsidP="003A2CCC">
            <w:pPr>
              <w:jc w:val="left"/>
              <w:rPr>
                <w:rFonts w:cstheme="minorHAnsi"/>
                <w:sz w:val="16"/>
                <w:szCs w:val="16"/>
              </w:rPr>
            </w:pPr>
            <w:r w:rsidRPr="001D0BD5">
              <w:rPr>
                <w:rFonts w:cstheme="minorHAnsi"/>
                <w:sz w:val="16"/>
                <w:szCs w:val="16"/>
              </w:rPr>
              <w:t>Nabilan Team Leader</w:t>
            </w:r>
          </w:p>
        </w:tc>
        <w:tc>
          <w:tcPr>
            <w:tcW w:w="411" w:type="pct"/>
          </w:tcPr>
          <w:p w14:paraId="5BCD5F1B" w14:textId="77777777" w:rsidR="00B462FE" w:rsidRPr="001D0BD5" w:rsidRDefault="00B462FE" w:rsidP="003A2CCC">
            <w:pPr>
              <w:jc w:val="left"/>
              <w:rPr>
                <w:rFonts w:cstheme="minorHAnsi"/>
                <w:sz w:val="16"/>
                <w:szCs w:val="16"/>
              </w:rPr>
            </w:pPr>
            <w:r w:rsidRPr="001D0BD5">
              <w:rPr>
                <w:rFonts w:cstheme="minorHAnsi"/>
                <w:sz w:val="16"/>
                <w:szCs w:val="16"/>
              </w:rPr>
              <w:t>6-monthly (reporting period January-June; July-December)</w:t>
            </w:r>
          </w:p>
        </w:tc>
      </w:tr>
      <w:tr w:rsidR="0016109D" w:rsidRPr="001D0BD5" w14:paraId="62B4227B" w14:textId="77777777" w:rsidTr="003A2CCC">
        <w:trPr>
          <w:trHeight w:val="1102"/>
        </w:trPr>
        <w:tc>
          <w:tcPr>
            <w:tcW w:w="457" w:type="pct"/>
          </w:tcPr>
          <w:p w14:paraId="0B4CA492" w14:textId="2BCAF588" w:rsidR="00B462FE" w:rsidRPr="001D0BD5" w:rsidRDefault="00B462FE" w:rsidP="003A2CCC">
            <w:pPr>
              <w:jc w:val="left"/>
              <w:rPr>
                <w:rFonts w:cstheme="minorHAnsi"/>
                <w:i/>
                <w:sz w:val="16"/>
                <w:szCs w:val="16"/>
              </w:rPr>
            </w:pPr>
            <w:r w:rsidRPr="001D0BD5">
              <w:rPr>
                <w:rFonts w:cstheme="minorHAnsi"/>
                <w:sz w:val="16"/>
                <w:szCs w:val="16"/>
              </w:rPr>
              <w:t>Training re</w:t>
            </w:r>
            <w:r w:rsidR="00654905">
              <w:rPr>
                <w:rFonts w:cstheme="minorHAnsi"/>
                <w:sz w:val="16"/>
                <w:szCs w:val="16"/>
              </w:rPr>
              <w:t>ports</w:t>
            </w:r>
            <w:r w:rsidRPr="001D0BD5" w:rsidDel="009131D1">
              <w:rPr>
                <w:rFonts w:cstheme="minorHAnsi"/>
                <w:sz w:val="16"/>
                <w:szCs w:val="16"/>
              </w:rPr>
              <w:t xml:space="preserve"> </w:t>
            </w:r>
          </w:p>
          <w:p w14:paraId="16521A22" w14:textId="77777777" w:rsidR="00B462FE" w:rsidRPr="001D0BD5" w:rsidRDefault="00B462FE" w:rsidP="003A2CCC">
            <w:pPr>
              <w:jc w:val="left"/>
              <w:rPr>
                <w:rFonts w:cstheme="minorHAnsi"/>
                <w:sz w:val="16"/>
                <w:szCs w:val="16"/>
              </w:rPr>
            </w:pPr>
          </w:p>
        </w:tc>
        <w:tc>
          <w:tcPr>
            <w:tcW w:w="721" w:type="pct"/>
          </w:tcPr>
          <w:p w14:paraId="66C13A74" w14:textId="77777777" w:rsidR="00B462FE" w:rsidRPr="001D0BD5" w:rsidRDefault="00B462FE" w:rsidP="003A2CCC">
            <w:pPr>
              <w:spacing w:after="120"/>
              <w:jc w:val="left"/>
              <w:rPr>
                <w:rFonts w:cstheme="minorHAnsi"/>
                <w:sz w:val="16"/>
                <w:szCs w:val="16"/>
              </w:rPr>
            </w:pPr>
            <w:r w:rsidRPr="001D0BD5">
              <w:rPr>
                <w:rFonts w:cstheme="minorHAnsi"/>
                <w:sz w:val="16"/>
                <w:szCs w:val="16"/>
              </w:rPr>
              <w:t>To collect information from participants in training provided by Nabilan and partners, including feedback on participants experiences of the training, and pre- and post-training assessment of knowledge and skills.</w:t>
            </w:r>
          </w:p>
          <w:p w14:paraId="1DEC6582" w14:textId="77777777" w:rsidR="00B462FE" w:rsidRPr="001D0BD5" w:rsidRDefault="00B462FE" w:rsidP="003A2CCC">
            <w:pPr>
              <w:jc w:val="left"/>
              <w:rPr>
                <w:rFonts w:cstheme="minorHAnsi"/>
                <w:sz w:val="16"/>
                <w:szCs w:val="16"/>
              </w:rPr>
            </w:pPr>
          </w:p>
        </w:tc>
        <w:tc>
          <w:tcPr>
            <w:tcW w:w="1230" w:type="pct"/>
          </w:tcPr>
          <w:p w14:paraId="10FEFF40" w14:textId="77777777" w:rsidR="00B462FE" w:rsidRPr="001D0BD5" w:rsidRDefault="00B462FE" w:rsidP="003A2CCC">
            <w:pPr>
              <w:spacing w:after="120"/>
              <w:jc w:val="left"/>
              <w:rPr>
                <w:rFonts w:cstheme="minorHAnsi"/>
                <w:sz w:val="16"/>
                <w:szCs w:val="16"/>
              </w:rPr>
            </w:pPr>
            <w:r w:rsidRPr="001D0BD5">
              <w:rPr>
                <w:rFonts w:cstheme="minorHAnsi"/>
                <w:sz w:val="16"/>
                <w:szCs w:val="16"/>
              </w:rPr>
              <w:t>Participant feedback is collected for all training conducted by Nabilan and partners.</w:t>
            </w:r>
          </w:p>
          <w:p w14:paraId="2192F79E" w14:textId="6FFC14A3" w:rsidR="00B462FE" w:rsidRPr="001D0BD5" w:rsidRDefault="00B462FE" w:rsidP="003A2CCC">
            <w:pPr>
              <w:jc w:val="left"/>
              <w:rPr>
                <w:rFonts w:cstheme="minorHAnsi"/>
                <w:sz w:val="16"/>
                <w:szCs w:val="16"/>
              </w:rPr>
            </w:pPr>
            <w:r w:rsidRPr="001D0BD5">
              <w:rPr>
                <w:rFonts w:cstheme="minorHAnsi"/>
                <w:sz w:val="16"/>
                <w:szCs w:val="16"/>
              </w:rPr>
              <w:t>For each training, each participant provides feedback (during and post-training) on the relevance of content and learning outcomes, perceptions of the training methods, materials, opportunities to apply the learning and quality of assessment feedback. Participants also complete pre- and post-training assessments of knowledge and skills</w:t>
            </w:r>
            <w:r w:rsidR="0096688B">
              <w:rPr>
                <w:rFonts w:cstheme="minorHAnsi"/>
                <w:sz w:val="16"/>
                <w:szCs w:val="16"/>
              </w:rPr>
              <w:t xml:space="preserve"> using a combination of objective and self-report methods; for Certificate III training this includes an observational assessment in the workplace</w:t>
            </w:r>
            <w:r w:rsidRPr="001D0BD5">
              <w:rPr>
                <w:rFonts w:cstheme="minorHAnsi"/>
                <w:sz w:val="16"/>
                <w:szCs w:val="16"/>
              </w:rPr>
              <w:t>. Participant demographic details (e.g. gender, employer, disability) are also collected.</w:t>
            </w:r>
          </w:p>
          <w:p w14:paraId="1E32392C" w14:textId="77777777" w:rsidR="00B462FE" w:rsidRPr="001D0BD5" w:rsidRDefault="00B462FE" w:rsidP="003A2CCC">
            <w:pPr>
              <w:pStyle w:val="ListParagraph"/>
              <w:ind w:left="360" w:firstLine="0"/>
              <w:rPr>
                <w:rFonts w:eastAsiaTheme="minorHAnsi" w:cstheme="minorHAnsi"/>
                <w:sz w:val="16"/>
                <w:szCs w:val="16"/>
                <w:lang w:val="en-AU" w:eastAsia="en-US"/>
              </w:rPr>
            </w:pPr>
          </w:p>
          <w:p w14:paraId="07C81F7C" w14:textId="77777777" w:rsidR="00B462FE" w:rsidRPr="001D0BD5" w:rsidRDefault="00B462FE" w:rsidP="003A2CCC">
            <w:pPr>
              <w:jc w:val="left"/>
              <w:rPr>
                <w:rFonts w:cstheme="minorHAnsi"/>
                <w:sz w:val="16"/>
                <w:szCs w:val="16"/>
              </w:rPr>
            </w:pPr>
            <w:r w:rsidRPr="001D0BD5">
              <w:rPr>
                <w:rFonts w:cstheme="minorHAnsi"/>
                <w:sz w:val="16"/>
                <w:szCs w:val="16"/>
              </w:rPr>
              <w:t>This information is collated in the Nabilan training database (for Nabilan-led training) or in partner reports (for partner-led training). A brief summary report is produced for each training, and collated in annual reports.</w:t>
            </w:r>
          </w:p>
          <w:p w14:paraId="236C8B00" w14:textId="77777777" w:rsidR="00B462FE" w:rsidRPr="001D0BD5" w:rsidRDefault="00B462FE" w:rsidP="003A2CCC">
            <w:pPr>
              <w:jc w:val="left"/>
              <w:rPr>
                <w:rFonts w:cstheme="minorHAnsi"/>
                <w:sz w:val="16"/>
                <w:szCs w:val="16"/>
              </w:rPr>
            </w:pPr>
          </w:p>
        </w:tc>
        <w:tc>
          <w:tcPr>
            <w:tcW w:w="677" w:type="pct"/>
          </w:tcPr>
          <w:p w14:paraId="161D4642" w14:textId="77777777" w:rsidR="00B462FE" w:rsidRPr="001D0BD5" w:rsidRDefault="00B462FE" w:rsidP="003A2CCC">
            <w:pPr>
              <w:pStyle w:val="ListParagraph"/>
              <w:numPr>
                <w:ilvl w:val="0"/>
                <w:numId w:val="30"/>
              </w:numPr>
              <w:rPr>
                <w:rFonts w:eastAsiaTheme="minorHAnsi" w:cstheme="minorHAnsi"/>
                <w:sz w:val="16"/>
                <w:szCs w:val="16"/>
                <w:lang w:val="en-AU" w:eastAsia="en-US"/>
              </w:rPr>
            </w:pPr>
            <w:r w:rsidRPr="001D0BD5">
              <w:rPr>
                <w:rFonts w:eastAsiaTheme="minorHAnsi" w:cstheme="minorHAnsi"/>
                <w:sz w:val="16"/>
                <w:szCs w:val="16"/>
                <w:lang w:val="en-AU" w:eastAsia="en-US"/>
              </w:rPr>
              <w:t>Training feedback form</w:t>
            </w:r>
          </w:p>
          <w:p w14:paraId="7C1D21D9" w14:textId="77777777" w:rsidR="00B462FE" w:rsidRPr="001D0BD5" w:rsidRDefault="00B462FE" w:rsidP="003A2CCC">
            <w:pPr>
              <w:pStyle w:val="ListParagraph"/>
              <w:numPr>
                <w:ilvl w:val="0"/>
                <w:numId w:val="30"/>
              </w:numPr>
              <w:rPr>
                <w:rFonts w:eastAsiaTheme="minorHAnsi" w:cstheme="minorHAnsi"/>
                <w:sz w:val="16"/>
                <w:szCs w:val="16"/>
                <w:lang w:val="en-AU" w:eastAsia="en-US"/>
              </w:rPr>
            </w:pPr>
            <w:r w:rsidRPr="001D0BD5">
              <w:rPr>
                <w:rFonts w:eastAsiaTheme="minorHAnsi" w:cstheme="minorHAnsi"/>
                <w:sz w:val="16"/>
                <w:szCs w:val="16"/>
                <w:lang w:val="en-AU" w:eastAsia="en-US"/>
              </w:rPr>
              <w:t>Training database</w:t>
            </w:r>
          </w:p>
          <w:p w14:paraId="04A873CD" w14:textId="77777777" w:rsidR="00B462FE" w:rsidRPr="001D0BD5" w:rsidRDefault="00B462FE" w:rsidP="003A2CCC">
            <w:pPr>
              <w:pStyle w:val="ListParagraph"/>
              <w:numPr>
                <w:ilvl w:val="0"/>
                <w:numId w:val="30"/>
              </w:numPr>
              <w:rPr>
                <w:rFonts w:cstheme="minorHAnsi"/>
                <w:sz w:val="16"/>
                <w:szCs w:val="16"/>
              </w:rPr>
            </w:pPr>
            <w:r w:rsidRPr="001D0BD5">
              <w:rPr>
                <w:rFonts w:eastAsiaTheme="minorHAnsi" w:cstheme="minorHAnsi"/>
                <w:sz w:val="16"/>
                <w:szCs w:val="16"/>
                <w:lang w:val="en-AU" w:eastAsia="en-US"/>
              </w:rPr>
              <w:t>Partner reports</w:t>
            </w:r>
          </w:p>
        </w:tc>
        <w:tc>
          <w:tcPr>
            <w:tcW w:w="542" w:type="pct"/>
          </w:tcPr>
          <w:p w14:paraId="4D6F3D96" w14:textId="77777777" w:rsidR="00B462FE" w:rsidRPr="001D0BD5" w:rsidRDefault="00B462FE" w:rsidP="003A2CCC">
            <w:pPr>
              <w:jc w:val="left"/>
              <w:rPr>
                <w:rFonts w:cstheme="minorHAnsi"/>
                <w:sz w:val="16"/>
                <w:szCs w:val="16"/>
              </w:rPr>
            </w:pPr>
            <w:r w:rsidRPr="001D0BD5">
              <w:rPr>
                <w:rFonts w:cstheme="minorHAnsi"/>
                <w:sz w:val="16"/>
                <w:szCs w:val="16"/>
              </w:rPr>
              <w:t>The trainer (Nabilan staff, consultants, partner staff)</w:t>
            </w:r>
            <w:r w:rsidRPr="001D0BD5" w:rsidDel="009131D1">
              <w:rPr>
                <w:rFonts w:cstheme="minorHAnsi"/>
                <w:sz w:val="16"/>
                <w:szCs w:val="16"/>
              </w:rPr>
              <w:t xml:space="preserve"> </w:t>
            </w:r>
          </w:p>
        </w:tc>
        <w:tc>
          <w:tcPr>
            <w:tcW w:w="491" w:type="pct"/>
          </w:tcPr>
          <w:p w14:paraId="3F9A9396" w14:textId="77777777" w:rsidR="00B462FE" w:rsidRPr="001D0BD5" w:rsidRDefault="00B462FE" w:rsidP="003A2CCC">
            <w:pPr>
              <w:jc w:val="left"/>
              <w:rPr>
                <w:rFonts w:cstheme="minorHAnsi"/>
                <w:sz w:val="16"/>
                <w:szCs w:val="16"/>
              </w:rPr>
            </w:pPr>
            <w:r w:rsidRPr="001D0BD5">
              <w:rPr>
                <w:rFonts w:cstheme="minorHAnsi"/>
                <w:sz w:val="16"/>
                <w:szCs w:val="16"/>
              </w:rPr>
              <w:t>After each training event</w:t>
            </w:r>
          </w:p>
        </w:tc>
        <w:tc>
          <w:tcPr>
            <w:tcW w:w="471" w:type="pct"/>
          </w:tcPr>
          <w:p w14:paraId="281CB125" w14:textId="77777777" w:rsidR="00B462FE" w:rsidRPr="001D0BD5" w:rsidRDefault="00B462FE" w:rsidP="003A2CCC">
            <w:pPr>
              <w:jc w:val="left"/>
              <w:rPr>
                <w:rFonts w:cstheme="minorHAnsi"/>
                <w:sz w:val="16"/>
                <w:szCs w:val="16"/>
              </w:rPr>
            </w:pPr>
            <w:r w:rsidRPr="001D0BD5">
              <w:rPr>
                <w:rFonts w:cstheme="minorHAnsi"/>
                <w:sz w:val="16"/>
                <w:szCs w:val="16"/>
              </w:rPr>
              <w:t xml:space="preserve">Nabilan Pillar Coordinators </w:t>
            </w:r>
          </w:p>
        </w:tc>
        <w:tc>
          <w:tcPr>
            <w:tcW w:w="411" w:type="pct"/>
          </w:tcPr>
          <w:p w14:paraId="6FC48F23" w14:textId="769C49C2" w:rsidR="00B462FE" w:rsidRPr="001D0BD5" w:rsidRDefault="00C83063" w:rsidP="003A2CCC">
            <w:pPr>
              <w:jc w:val="left"/>
              <w:rPr>
                <w:rFonts w:cstheme="minorHAnsi"/>
                <w:sz w:val="16"/>
                <w:szCs w:val="16"/>
              </w:rPr>
            </w:pPr>
            <w:r w:rsidRPr="001D0BD5">
              <w:rPr>
                <w:rFonts w:cstheme="minorHAnsi"/>
                <w:sz w:val="16"/>
                <w:szCs w:val="16"/>
              </w:rPr>
              <w:t>6-monthly (reporting period January-June; July-December)</w:t>
            </w:r>
          </w:p>
        </w:tc>
      </w:tr>
      <w:tr w:rsidR="0016109D" w:rsidRPr="001D0BD5" w14:paraId="0BFC9797" w14:textId="77777777" w:rsidTr="003A2CCC">
        <w:trPr>
          <w:trHeight w:val="234"/>
        </w:trPr>
        <w:tc>
          <w:tcPr>
            <w:tcW w:w="457" w:type="pct"/>
          </w:tcPr>
          <w:p w14:paraId="339BB0C3" w14:textId="77777777" w:rsidR="00B462FE" w:rsidRPr="001D0BD5" w:rsidRDefault="00B462FE" w:rsidP="003A2CCC">
            <w:pPr>
              <w:jc w:val="left"/>
              <w:rPr>
                <w:rFonts w:cstheme="minorHAnsi"/>
                <w:i/>
                <w:sz w:val="16"/>
                <w:szCs w:val="16"/>
              </w:rPr>
            </w:pPr>
            <w:r w:rsidRPr="001D0BD5">
              <w:rPr>
                <w:rFonts w:cstheme="minorHAnsi"/>
                <w:sz w:val="16"/>
                <w:szCs w:val="16"/>
              </w:rPr>
              <w:t xml:space="preserve">Trainee follow-up </w:t>
            </w:r>
          </w:p>
          <w:p w14:paraId="76D8E7C7" w14:textId="77777777" w:rsidR="00B462FE" w:rsidRPr="009948E6" w:rsidRDefault="0096688B" w:rsidP="003A2CCC">
            <w:pPr>
              <w:rPr>
                <w:rFonts w:eastAsiaTheme="minorEastAsia" w:cstheme="minorHAnsi"/>
                <w:i/>
                <w:sz w:val="16"/>
                <w:szCs w:val="16"/>
                <w:lang w:val="en-US" w:eastAsia="ja-JP"/>
              </w:rPr>
            </w:pPr>
            <w:r w:rsidRPr="009948E6">
              <w:rPr>
                <w:rFonts w:cstheme="minorHAnsi"/>
                <w:i/>
                <w:sz w:val="16"/>
                <w:szCs w:val="16"/>
              </w:rPr>
              <w:t>*New tool</w:t>
            </w:r>
          </w:p>
        </w:tc>
        <w:tc>
          <w:tcPr>
            <w:tcW w:w="721" w:type="pct"/>
          </w:tcPr>
          <w:p w14:paraId="7A40AD4F" w14:textId="77777777" w:rsidR="00B462FE" w:rsidRPr="001D0BD5" w:rsidRDefault="00B462FE" w:rsidP="003A2CCC">
            <w:pPr>
              <w:jc w:val="left"/>
              <w:rPr>
                <w:rFonts w:cstheme="minorHAnsi"/>
                <w:sz w:val="16"/>
                <w:szCs w:val="16"/>
              </w:rPr>
            </w:pPr>
            <w:r w:rsidRPr="001D0BD5">
              <w:rPr>
                <w:rFonts w:cstheme="minorHAnsi"/>
                <w:sz w:val="16"/>
                <w:szCs w:val="16"/>
              </w:rPr>
              <w:t>To collect information about how participants have applied the skills learned in training</w:t>
            </w:r>
          </w:p>
          <w:p w14:paraId="1E459ED2" w14:textId="77777777" w:rsidR="00B462FE" w:rsidRPr="001D0BD5" w:rsidRDefault="00B462FE" w:rsidP="003A2CCC">
            <w:pPr>
              <w:jc w:val="left"/>
              <w:rPr>
                <w:rFonts w:cstheme="minorHAnsi"/>
                <w:sz w:val="16"/>
                <w:szCs w:val="16"/>
              </w:rPr>
            </w:pPr>
          </w:p>
          <w:p w14:paraId="6FEAA026" w14:textId="77777777" w:rsidR="00B462FE" w:rsidRPr="001D0BD5" w:rsidRDefault="00B462FE" w:rsidP="003A2CCC">
            <w:pPr>
              <w:jc w:val="left"/>
              <w:rPr>
                <w:rFonts w:cstheme="minorHAnsi"/>
                <w:sz w:val="16"/>
                <w:szCs w:val="16"/>
              </w:rPr>
            </w:pPr>
          </w:p>
        </w:tc>
        <w:tc>
          <w:tcPr>
            <w:tcW w:w="1230" w:type="pct"/>
          </w:tcPr>
          <w:p w14:paraId="170EC50C" w14:textId="243A1BF4" w:rsidR="00B462FE" w:rsidRPr="001D0BD5" w:rsidRDefault="00B462FE" w:rsidP="003A2CCC">
            <w:pPr>
              <w:jc w:val="left"/>
              <w:rPr>
                <w:rFonts w:cstheme="minorHAnsi"/>
                <w:sz w:val="16"/>
                <w:szCs w:val="16"/>
              </w:rPr>
            </w:pPr>
            <w:r w:rsidRPr="001D0BD5">
              <w:rPr>
                <w:rFonts w:cstheme="minorHAnsi"/>
                <w:sz w:val="16"/>
                <w:szCs w:val="16"/>
              </w:rPr>
              <w:t>Partic</w:t>
            </w:r>
            <w:r w:rsidR="009948E6">
              <w:rPr>
                <w:rFonts w:cstheme="minorHAnsi"/>
                <w:sz w:val="16"/>
                <w:szCs w:val="16"/>
              </w:rPr>
              <w:t>i</w:t>
            </w:r>
            <w:r w:rsidRPr="001D0BD5">
              <w:rPr>
                <w:rFonts w:cstheme="minorHAnsi"/>
                <w:sz w:val="16"/>
                <w:szCs w:val="16"/>
              </w:rPr>
              <w:t xml:space="preserve">pants of Nabilan-supported training </w:t>
            </w:r>
            <w:r w:rsidR="00195441">
              <w:rPr>
                <w:rFonts w:cstheme="minorHAnsi"/>
                <w:sz w:val="16"/>
                <w:szCs w:val="16"/>
              </w:rPr>
              <w:t>will be</w:t>
            </w:r>
            <w:r w:rsidRPr="001D0BD5">
              <w:rPr>
                <w:rFonts w:cstheme="minorHAnsi"/>
                <w:sz w:val="16"/>
                <w:szCs w:val="16"/>
              </w:rPr>
              <w:t xml:space="preserve"> followed up </w:t>
            </w:r>
            <w:r w:rsidR="00B153EB">
              <w:rPr>
                <w:rFonts w:cstheme="minorHAnsi"/>
                <w:sz w:val="16"/>
                <w:szCs w:val="16"/>
              </w:rPr>
              <w:t>6</w:t>
            </w:r>
            <w:r w:rsidR="00195441">
              <w:rPr>
                <w:rFonts w:cstheme="minorHAnsi"/>
                <w:sz w:val="16"/>
                <w:szCs w:val="16"/>
              </w:rPr>
              <w:t xml:space="preserve"> months </w:t>
            </w:r>
            <w:r w:rsidRPr="001D0BD5">
              <w:rPr>
                <w:rFonts w:cstheme="minorHAnsi"/>
                <w:sz w:val="16"/>
                <w:szCs w:val="16"/>
              </w:rPr>
              <w:t xml:space="preserve">post-training. Information is gathered on how the participants have used their new skills post-training, and how useful the skills have been. </w:t>
            </w:r>
          </w:p>
          <w:p w14:paraId="2CAA1EEC" w14:textId="77777777" w:rsidR="00B462FE" w:rsidRPr="001D0BD5" w:rsidRDefault="00B462FE" w:rsidP="003A2CCC">
            <w:pPr>
              <w:jc w:val="left"/>
              <w:rPr>
                <w:rFonts w:cstheme="minorHAnsi"/>
                <w:sz w:val="16"/>
                <w:szCs w:val="16"/>
              </w:rPr>
            </w:pPr>
            <w:r w:rsidRPr="001D0BD5">
              <w:rPr>
                <w:rFonts w:cstheme="minorHAnsi"/>
                <w:sz w:val="16"/>
                <w:szCs w:val="16"/>
              </w:rPr>
              <w:t xml:space="preserve">The data </w:t>
            </w:r>
            <w:r w:rsidR="00195441">
              <w:rPr>
                <w:rFonts w:cstheme="minorHAnsi"/>
                <w:sz w:val="16"/>
                <w:szCs w:val="16"/>
              </w:rPr>
              <w:t xml:space="preserve">will be </w:t>
            </w:r>
            <w:r w:rsidRPr="001D0BD5">
              <w:rPr>
                <w:rFonts w:cstheme="minorHAnsi"/>
                <w:sz w:val="16"/>
                <w:szCs w:val="16"/>
              </w:rPr>
              <w:t>compiled in post-training follow-up reports prepared by Nabilan and partners.</w:t>
            </w:r>
          </w:p>
          <w:p w14:paraId="15711B1B" w14:textId="77777777" w:rsidR="00B462FE" w:rsidRPr="001D0BD5" w:rsidRDefault="00B462FE" w:rsidP="003A2CCC">
            <w:pPr>
              <w:pStyle w:val="Bullets"/>
              <w:numPr>
                <w:ilvl w:val="0"/>
                <w:numId w:val="0"/>
              </w:numPr>
              <w:spacing w:after="0"/>
              <w:rPr>
                <w:rFonts w:cstheme="minorHAnsi"/>
                <w:sz w:val="16"/>
                <w:szCs w:val="16"/>
              </w:rPr>
            </w:pPr>
          </w:p>
        </w:tc>
        <w:tc>
          <w:tcPr>
            <w:tcW w:w="677" w:type="pct"/>
          </w:tcPr>
          <w:p w14:paraId="6713A5E6" w14:textId="13A608FA" w:rsidR="00B462FE" w:rsidRPr="00654905" w:rsidRDefault="00B462FE" w:rsidP="003A2CCC">
            <w:pPr>
              <w:pStyle w:val="Bullets"/>
              <w:numPr>
                <w:ilvl w:val="0"/>
                <w:numId w:val="73"/>
              </w:numPr>
              <w:spacing w:after="0"/>
              <w:rPr>
                <w:rFonts w:cstheme="minorHAnsi"/>
                <w:sz w:val="16"/>
                <w:szCs w:val="16"/>
              </w:rPr>
            </w:pPr>
            <w:r w:rsidRPr="00654905">
              <w:rPr>
                <w:rFonts w:cstheme="minorHAnsi"/>
                <w:sz w:val="16"/>
                <w:szCs w:val="16"/>
              </w:rPr>
              <w:t>Post-training follow-up surveys</w:t>
            </w:r>
          </w:p>
          <w:p w14:paraId="4F9E563F" w14:textId="77777777" w:rsidR="00B462FE" w:rsidRPr="001D0BD5" w:rsidRDefault="00B462FE" w:rsidP="003A2CCC">
            <w:pPr>
              <w:pStyle w:val="Bullets"/>
              <w:numPr>
                <w:ilvl w:val="0"/>
                <w:numId w:val="0"/>
              </w:numPr>
              <w:spacing w:after="0"/>
              <w:ind w:left="360"/>
              <w:rPr>
                <w:rFonts w:cstheme="minorHAnsi"/>
                <w:sz w:val="16"/>
                <w:szCs w:val="16"/>
              </w:rPr>
            </w:pPr>
          </w:p>
        </w:tc>
        <w:tc>
          <w:tcPr>
            <w:tcW w:w="542" w:type="pct"/>
          </w:tcPr>
          <w:p w14:paraId="085F80C9" w14:textId="77777777" w:rsidR="00B462FE" w:rsidRPr="001D0BD5" w:rsidRDefault="00B462FE" w:rsidP="003A2CCC">
            <w:pPr>
              <w:jc w:val="left"/>
              <w:rPr>
                <w:rFonts w:cstheme="minorHAnsi"/>
                <w:sz w:val="16"/>
                <w:szCs w:val="16"/>
              </w:rPr>
            </w:pPr>
            <w:r w:rsidRPr="001D0BD5">
              <w:rPr>
                <w:rFonts w:cstheme="minorHAnsi"/>
                <w:sz w:val="16"/>
                <w:szCs w:val="16"/>
              </w:rPr>
              <w:t>Nabilan and partners</w:t>
            </w:r>
          </w:p>
        </w:tc>
        <w:tc>
          <w:tcPr>
            <w:tcW w:w="491" w:type="pct"/>
          </w:tcPr>
          <w:p w14:paraId="52DC66F3" w14:textId="77777777" w:rsidR="00B462FE" w:rsidRPr="001D0BD5" w:rsidRDefault="00B462FE" w:rsidP="003A2CCC">
            <w:pPr>
              <w:jc w:val="left"/>
              <w:rPr>
                <w:rFonts w:cstheme="minorHAnsi"/>
                <w:sz w:val="16"/>
                <w:szCs w:val="16"/>
              </w:rPr>
            </w:pPr>
            <w:r w:rsidRPr="001D0BD5">
              <w:rPr>
                <w:rFonts w:cstheme="minorHAnsi"/>
                <w:sz w:val="16"/>
                <w:szCs w:val="16"/>
              </w:rPr>
              <w:t>Ongoing</w:t>
            </w:r>
          </w:p>
        </w:tc>
        <w:tc>
          <w:tcPr>
            <w:tcW w:w="471" w:type="pct"/>
          </w:tcPr>
          <w:p w14:paraId="6C666080" w14:textId="4B7D1676" w:rsidR="00B462FE" w:rsidRPr="001D0BD5" w:rsidRDefault="00B462FE" w:rsidP="003A2CCC">
            <w:pPr>
              <w:jc w:val="left"/>
              <w:rPr>
                <w:rFonts w:cstheme="minorHAnsi"/>
                <w:sz w:val="16"/>
                <w:szCs w:val="16"/>
                <w:highlight w:val="yellow"/>
              </w:rPr>
            </w:pPr>
            <w:r w:rsidRPr="001D0BD5">
              <w:rPr>
                <w:rFonts w:cstheme="minorHAnsi"/>
                <w:sz w:val="16"/>
                <w:szCs w:val="16"/>
              </w:rPr>
              <w:t xml:space="preserve">Nabilan </w:t>
            </w:r>
            <w:r w:rsidR="009948E6">
              <w:rPr>
                <w:rFonts w:cstheme="minorHAnsi"/>
                <w:sz w:val="16"/>
                <w:szCs w:val="16"/>
              </w:rPr>
              <w:t>Training</w:t>
            </w:r>
            <w:r w:rsidR="00B153EB">
              <w:rPr>
                <w:rFonts w:cstheme="minorHAnsi"/>
                <w:sz w:val="16"/>
                <w:szCs w:val="16"/>
              </w:rPr>
              <w:t xml:space="preserve">, </w:t>
            </w:r>
            <w:r w:rsidR="00C15260">
              <w:rPr>
                <w:rFonts w:cstheme="minorHAnsi"/>
                <w:sz w:val="16"/>
                <w:szCs w:val="16"/>
              </w:rPr>
              <w:t>TA and Services</w:t>
            </w:r>
            <w:r w:rsidRPr="001D0BD5">
              <w:rPr>
                <w:rFonts w:cstheme="minorHAnsi"/>
                <w:sz w:val="16"/>
                <w:szCs w:val="16"/>
              </w:rPr>
              <w:t xml:space="preserve"> Coordinator</w:t>
            </w:r>
            <w:r w:rsidR="00B153EB">
              <w:rPr>
                <w:rFonts w:cstheme="minorHAnsi"/>
                <w:sz w:val="16"/>
                <w:szCs w:val="16"/>
              </w:rPr>
              <w:t>s</w:t>
            </w:r>
          </w:p>
        </w:tc>
        <w:tc>
          <w:tcPr>
            <w:tcW w:w="411" w:type="pct"/>
          </w:tcPr>
          <w:p w14:paraId="2E9101BE" w14:textId="77777777" w:rsidR="00B462FE" w:rsidRPr="001D0BD5" w:rsidRDefault="00B462FE" w:rsidP="003A2CCC">
            <w:pPr>
              <w:pStyle w:val="Bullets"/>
              <w:numPr>
                <w:ilvl w:val="0"/>
                <w:numId w:val="0"/>
              </w:numPr>
              <w:rPr>
                <w:rFonts w:cstheme="minorHAnsi"/>
                <w:sz w:val="16"/>
                <w:szCs w:val="16"/>
              </w:rPr>
            </w:pPr>
            <w:r w:rsidRPr="001D0BD5">
              <w:rPr>
                <w:rFonts w:cstheme="minorHAnsi"/>
                <w:sz w:val="16"/>
                <w:szCs w:val="16"/>
              </w:rPr>
              <w:t>Annually (reporting period January-December)</w:t>
            </w:r>
          </w:p>
        </w:tc>
      </w:tr>
      <w:tr w:rsidR="0016109D" w:rsidRPr="001D0BD5" w14:paraId="504DB58C" w14:textId="77777777" w:rsidTr="003A2CCC">
        <w:trPr>
          <w:trHeight w:val="234"/>
        </w:trPr>
        <w:tc>
          <w:tcPr>
            <w:tcW w:w="457" w:type="pct"/>
          </w:tcPr>
          <w:p w14:paraId="74502CDB" w14:textId="18D39971" w:rsidR="00B462FE" w:rsidRPr="001D0BD5" w:rsidRDefault="00B462FE" w:rsidP="003A2CCC">
            <w:pPr>
              <w:jc w:val="left"/>
              <w:rPr>
                <w:rFonts w:cstheme="minorHAnsi"/>
                <w:i/>
                <w:sz w:val="16"/>
                <w:szCs w:val="16"/>
              </w:rPr>
            </w:pPr>
            <w:r w:rsidRPr="001D0BD5">
              <w:rPr>
                <w:rFonts w:cstheme="minorHAnsi"/>
                <w:sz w:val="16"/>
                <w:szCs w:val="16"/>
              </w:rPr>
              <w:t>Case Management Assessment Tool</w:t>
            </w:r>
          </w:p>
          <w:p w14:paraId="42D5C5D2" w14:textId="15BDD48C" w:rsidR="00B462FE" w:rsidRPr="008F51CC" w:rsidRDefault="00654905" w:rsidP="003A2CCC">
            <w:pPr>
              <w:jc w:val="left"/>
              <w:rPr>
                <w:rFonts w:eastAsiaTheme="minorEastAsia" w:cstheme="minorHAnsi"/>
                <w:i/>
                <w:sz w:val="16"/>
                <w:szCs w:val="16"/>
                <w:lang w:val="en-US" w:eastAsia="ja-JP"/>
              </w:rPr>
            </w:pPr>
            <w:r w:rsidRPr="008F51CC">
              <w:rPr>
                <w:rFonts w:eastAsiaTheme="minorEastAsia" w:cstheme="minorHAnsi"/>
                <w:i/>
                <w:sz w:val="16"/>
                <w:szCs w:val="16"/>
                <w:lang w:val="en-US" w:eastAsia="ja-JP"/>
              </w:rPr>
              <w:t>*Tool currently under review</w:t>
            </w:r>
          </w:p>
        </w:tc>
        <w:tc>
          <w:tcPr>
            <w:tcW w:w="721" w:type="pct"/>
          </w:tcPr>
          <w:p w14:paraId="1E12D14C" w14:textId="061ED8D5" w:rsidR="00B462FE" w:rsidRPr="001D0BD5" w:rsidRDefault="00B462FE" w:rsidP="003A2CCC">
            <w:pPr>
              <w:jc w:val="left"/>
              <w:rPr>
                <w:rFonts w:cstheme="minorHAnsi"/>
                <w:sz w:val="16"/>
                <w:szCs w:val="16"/>
              </w:rPr>
            </w:pPr>
            <w:r w:rsidRPr="001D0BD5">
              <w:rPr>
                <w:rFonts w:cstheme="minorHAnsi"/>
                <w:sz w:val="16"/>
                <w:szCs w:val="16"/>
              </w:rPr>
              <w:t xml:space="preserve">To provide a summary of the quality of support services provided to women and children </w:t>
            </w:r>
            <w:r w:rsidR="00AA335A">
              <w:rPr>
                <w:rFonts w:cstheme="minorHAnsi"/>
                <w:sz w:val="16"/>
                <w:szCs w:val="16"/>
              </w:rPr>
              <w:t xml:space="preserve">who </w:t>
            </w:r>
            <w:r w:rsidRPr="001D0BD5">
              <w:rPr>
                <w:rFonts w:cstheme="minorHAnsi"/>
                <w:sz w:val="16"/>
                <w:szCs w:val="16"/>
              </w:rPr>
              <w:t>experienc</w:t>
            </w:r>
            <w:r w:rsidR="00AA335A">
              <w:rPr>
                <w:rFonts w:cstheme="minorHAnsi"/>
                <w:sz w:val="16"/>
                <w:szCs w:val="16"/>
              </w:rPr>
              <w:t>e</w:t>
            </w:r>
            <w:r w:rsidRPr="001D0BD5">
              <w:rPr>
                <w:rFonts w:cstheme="minorHAnsi"/>
                <w:sz w:val="16"/>
                <w:szCs w:val="16"/>
              </w:rPr>
              <w:t xml:space="preserve"> violence. </w:t>
            </w:r>
          </w:p>
          <w:p w14:paraId="52F41970" w14:textId="77777777" w:rsidR="00B462FE" w:rsidRPr="001D0BD5" w:rsidRDefault="00B462FE" w:rsidP="003A2CCC">
            <w:pPr>
              <w:jc w:val="left"/>
              <w:rPr>
                <w:rFonts w:cstheme="minorHAnsi"/>
                <w:sz w:val="16"/>
                <w:szCs w:val="16"/>
              </w:rPr>
            </w:pPr>
          </w:p>
          <w:p w14:paraId="7980CCCE" w14:textId="77777777" w:rsidR="00B462FE" w:rsidRPr="001D0BD5" w:rsidRDefault="00B462FE" w:rsidP="003A2CCC">
            <w:pPr>
              <w:jc w:val="left"/>
              <w:rPr>
                <w:rFonts w:cstheme="minorHAnsi"/>
                <w:sz w:val="16"/>
                <w:szCs w:val="16"/>
              </w:rPr>
            </w:pPr>
          </w:p>
        </w:tc>
        <w:tc>
          <w:tcPr>
            <w:tcW w:w="1230" w:type="pct"/>
          </w:tcPr>
          <w:p w14:paraId="5D3DE2FC" w14:textId="08B23F19" w:rsidR="00B462FE" w:rsidRPr="001D0BD5" w:rsidRDefault="00B462FE" w:rsidP="003A2CCC">
            <w:pPr>
              <w:jc w:val="left"/>
              <w:rPr>
                <w:rFonts w:cstheme="minorHAnsi"/>
                <w:sz w:val="16"/>
                <w:szCs w:val="16"/>
              </w:rPr>
            </w:pPr>
            <w:r w:rsidRPr="001D0BD5">
              <w:rPr>
                <w:rFonts w:cstheme="minorHAnsi"/>
                <w:sz w:val="16"/>
                <w:szCs w:val="16"/>
              </w:rPr>
              <w:t>A sample of case files from each partner support service is assessed annually using the Case Management Assessment Tool. Cases are assessed against</w:t>
            </w:r>
            <w:r w:rsidR="00D35717">
              <w:rPr>
                <w:rFonts w:cstheme="minorHAnsi"/>
                <w:sz w:val="16"/>
                <w:szCs w:val="16"/>
              </w:rPr>
              <w:t xml:space="preserve"> adherence to SOPs, using</w:t>
            </w:r>
            <w:r w:rsidRPr="001D0BD5">
              <w:rPr>
                <w:rFonts w:cstheme="minorHAnsi"/>
                <w:sz w:val="16"/>
                <w:szCs w:val="16"/>
              </w:rPr>
              <w:t xml:space="preserve"> criteria for quality case management that are relevant to the context of Timor-Leste. </w:t>
            </w:r>
          </w:p>
          <w:p w14:paraId="2A39C9F8" w14:textId="77777777" w:rsidR="00B462FE" w:rsidRPr="001D0BD5" w:rsidRDefault="00B462FE" w:rsidP="003A2CCC">
            <w:pPr>
              <w:jc w:val="left"/>
              <w:rPr>
                <w:rFonts w:cstheme="minorHAnsi"/>
                <w:sz w:val="16"/>
                <w:szCs w:val="16"/>
              </w:rPr>
            </w:pPr>
          </w:p>
          <w:p w14:paraId="06060291" w14:textId="77777777" w:rsidR="00B462FE" w:rsidRPr="001D0BD5" w:rsidRDefault="00B462FE" w:rsidP="003A2CCC">
            <w:pPr>
              <w:jc w:val="left"/>
              <w:rPr>
                <w:rFonts w:cstheme="minorHAnsi"/>
                <w:sz w:val="16"/>
                <w:szCs w:val="16"/>
              </w:rPr>
            </w:pPr>
          </w:p>
        </w:tc>
        <w:tc>
          <w:tcPr>
            <w:tcW w:w="677" w:type="pct"/>
          </w:tcPr>
          <w:p w14:paraId="2F9D357D" w14:textId="77777777" w:rsidR="00B462FE" w:rsidRPr="001D0BD5" w:rsidRDefault="00B462FE" w:rsidP="003A2CCC">
            <w:pPr>
              <w:pStyle w:val="ListParagraph"/>
              <w:numPr>
                <w:ilvl w:val="0"/>
                <w:numId w:val="42"/>
              </w:numPr>
              <w:ind w:left="360"/>
              <w:rPr>
                <w:rFonts w:cstheme="minorHAnsi"/>
                <w:sz w:val="16"/>
                <w:szCs w:val="16"/>
              </w:rPr>
            </w:pPr>
            <w:r w:rsidRPr="001D0BD5">
              <w:rPr>
                <w:rFonts w:cstheme="minorHAnsi"/>
                <w:sz w:val="16"/>
                <w:szCs w:val="16"/>
              </w:rPr>
              <w:t>Case Management Assessment Tool (comprising Psycho-social Assessment tool, Reintegration checklist, Safety Assessment)</w:t>
            </w:r>
          </w:p>
          <w:p w14:paraId="23EC7F09" w14:textId="6F794CB9" w:rsidR="00B462FE" w:rsidRPr="001D0BD5" w:rsidRDefault="00B462FE" w:rsidP="003A2CCC">
            <w:pPr>
              <w:rPr>
                <w:rFonts w:cstheme="minorHAnsi"/>
                <w:sz w:val="16"/>
                <w:szCs w:val="16"/>
              </w:rPr>
            </w:pPr>
          </w:p>
        </w:tc>
        <w:tc>
          <w:tcPr>
            <w:tcW w:w="542" w:type="pct"/>
          </w:tcPr>
          <w:p w14:paraId="2F7F2F57" w14:textId="77777777" w:rsidR="00AB4B98" w:rsidRPr="001D0BD5" w:rsidRDefault="00AB4B98" w:rsidP="003A2CCC">
            <w:pPr>
              <w:jc w:val="left"/>
              <w:rPr>
                <w:rFonts w:cstheme="minorHAnsi"/>
                <w:sz w:val="16"/>
                <w:szCs w:val="16"/>
              </w:rPr>
            </w:pPr>
            <w:r w:rsidRPr="001D0BD5">
              <w:rPr>
                <w:rFonts w:cstheme="minorHAnsi"/>
                <w:sz w:val="16"/>
                <w:szCs w:val="16"/>
              </w:rPr>
              <w:t>Nabilan - Services Coordinator</w:t>
            </w:r>
          </w:p>
          <w:p w14:paraId="42D24074" w14:textId="391626B9" w:rsidR="00B462FE" w:rsidRPr="001D0BD5" w:rsidRDefault="00B462FE" w:rsidP="003A2CCC">
            <w:pPr>
              <w:jc w:val="left"/>
              <w:rPr>
                <w:rFonts w:cstheme="minorHAnsi"/>
                <w:sz w:val="16"/>
                <w:szCs w:val="16"/>
              </w:rPr>
            </w:pPr>
          </w:p>
        </w:tc>
        <w:tc>
          <w:tcPr>
            <w:tcW w:w="491" w:type="pct"/>
          </w:tcPr>
          <w:p w14:paraId="16FF8739" w14:textId="77777777" w:rsidR="00B462FE" w:rsidRPr="001D0BD5" w:rsidRDefault="00B462FE" w:rsidP="003A2CCC">
            <w:pPr>
              <w:jc w:val="left"/>
              <w:rPr>
                <w:rFonts w:cstheme="minorHAnsi"/>
                <w:sz w:val="16"/>
                <w:szCs w:val="16"/>
              </w:rPr>
            </w:pPr>
            <w:r w:rsidRPr="001D0BD5">
              <w:rPr>
                <w:rFonts w:cstheme="minorHAnsi"/>
                <w:sz w:val="16"/>
                <w:szCs w:val="16"/>
              </w:rPr>
              <w:t xml:space="preserve">Ongoing </w:t>
            </w:r>
          </w:p>
        </w:tc>
        <w:tc>
          <w:tcPr>
            <w:tcW w:w="471" w:type="pct"/>
          </w:tcPr>
          <w:p w14:paraId="63F34A74" w14:textId="77777777" w:rsidR="00B462FE" w:rsidRPr="001D0BD5" w:rsidRDefault="00B462FE" w:rsidP="003A2CCC">
            <w:pPr>
              <w:jc w:val="left"/>
              <w:rPr>
                <w:rFonts w:cstheme="minorHAnsi"/>
                <w:sz w:val="16"/>
                <w:szCs w:val="16"/>
              </w:rPr>
            </w:pPr>
            <w:r w:rsidRPr="001D0BD5">
              <w:rPr>
                <w:rFonts w:cstheme="minorHAnsi"/>
                <w:sz w:val="16"/>
                <w:szCs w:val="16"/>
              </w:rPr>
              <w:t>Nabilan - Services Coordinator</w:t>
            </w:r>
          </w:p>
          <w:p w14:paraId="077C3F8D" w14:textId="77777777" w:rsidR="00B462FE" w:rsidRPr="001D0BD5" w:rsidRDefault="00B462FE" w:rsidP="003A2CCC">
            <w:pPr>
              <w:jc w:val="left"/>
              <w:rPr>
                <w:rFonts w:cstheme="minorHAnsi"/>
                <w:sz w:val="16"/>
                <w:szCs w:val="16"/>
              </w:rPr>
            </w:pPr>
          </w:p>
          <w:p w14:paraId="449EBDEB" w14:textId="77777777" w:rsidR="00B462FE" w:rsidRPr="001D0BD5" w:rsidRDefault="00B462FE" w:rsidP="003A2CCC">
            <w:pPr>
              <w:jc w:val="left"/>
              <w:rPr>
                <w:rFonts w:cstheme="minorHAnsi"/>
                <w:sz w:val="16"/>
                <w:szCs w:val="16"/>
              </w:rPr>
            </w:pPr>
          </w:p>
          <w:p w14:paraId="18E8B4F8" w14:textId="77777777" w:rsidR="00B462FE" w:rsidRPr="001D0BD5" w:rsidRDefault="00B462FE" w:rsidP="003A2CCC">
            <w:pPr>
              <w:jc w:val="left"/>
              <w:rPr>
                <w:rFonts w:cstheme="minorHAnsi"/>
                <w:sz w:val="16"/>
                <w:szCs w:val="16"/>
              </w:rPr>
            </w:pPr>
          </w:p>
          <w:p w14:paraId="32734458" w14:textId="77777777" w:rsidR="00B462FE" w:rsidRPr="001D0BD5" w:rsidRDefault="00B462FE" w:rsidP="003A2CCC">
            <w:pPr>
              <w:jc w:val="left"/>
              <w:rPr>
                <w:rFonts w:cstheme="minorHAnsi"/>
                <w:sz w:val="16"/>
                <w:szCs w:val="16"/>
              </w:rPr>
            </w:pPr>
          </w:p>
          <w:p w14:paraId="0B11AAEE" w14:textId="77777777" w:rsidR="00B462FE" w:rsidRPr="001D0BD5" w:rsidRDefault="00B462FE" w:rsidP="003A2CCC">
            <w:pPr>
              <w:jc w:val="left"/>
              <w:rPr>
                <w:rFonts w:cstheme="minorHAnsi"/>
                <w:sz w:val="16"/>
                <w:szCs w:val="16"/>
              </w:rPr>
            </w:pPr>
          </w:p>
          <w:p w14:paraId="3FD72076" w14:textId="77777777" w:rsidR="00B462FE" w:rsidRPr="001D0BD5" w:rsidRDefault="00B462FE" w:rsidP="003A2CCC">
            <w:pPr>
              <w:jc w:val="left"/>
              <w:rPr>
                <w:rFonts w:cstheme="minorHAnsi"/>
                <w:sz w:val="16"/>
                <w:szCs w:val="16"/>
              </w:rPr>
            </w:pPr>
          </w:p>
        </w:tc>
        <w:tc>
          <w:tcPr>
            <w:tcW w:w="411" w:type="pct"/>
          </w:tcPr>
          <w:p w14:paraId="3B052AF4" w14:textId="77777777" w:rsidR="00B462FE" w:rsidRPr="001D0BD5" w:rsidRDefault="00B462FE" w:rsidP="003A2CCC">
            <w:pPr>
              <w:jc w:val="left"/>
              <w:rPr>
                <w:rFonts w:cstheme="minorHAnsi"/>
                <w:sz w:val="16"/>
                <w:szCs w:val="16"/>
              </w:rPr>
            </w:pPr>
            <w:r w:rsidRPr="001D0BD5">
              <w:rPr>
                <w:rFonts w:cstheme="minorHAnsi"/>
                <w:sz w:val="16"/>
                <w:szCs w:val="16"/>
              </w:rPr>
              <w:t>Annually (reporting period January-December)</w:t>
            </w:r>
          </w:p>
        </w:tc>
      </w:tr>
      <w:tr w:rsidR="0016109D" w:rsidRPr="001D0BD5" w14:paraId="7E0224E5" w14:textId="77777777" w:rsidTr="003A2CCC">
        <w:trPr>
          <w:trHeight w:val="234"/>
        </w:trPr>
        <w:tc>
          <w:tcPr>
            <w:tcW w:w="457" w:type="pct"/>
          </w:tcPr>
          <w:p w14:paraId="5B8DE9D5" w14:textId="77777777" w:rsidR="00654905" w:rsidRDefault="00654905" w:rsidP="003A2CCC">
            <w:pPr>
              <w:jc w:val="left"/>
              <w:rPr>
                <w:rFonts w:cstheme="minorHAnsi"/>
                <w:sz w:val="16"/>
                <w:szCs w:val="16"/>
              </w:rPr>
            </w:pPr>
            <w:r>
              <w:rPr>
                <w:rFonts w:cstheme="minorHAnsi"/>
                <w:sz w:val="16"/>
                <w:szCs w:val="16"/>
              </w:rPr>
              <w:t>Case Audit</w:t>
            </w:r>
          </w:p>
          <w:p w14:paraId="176CC402" w14:textId="4CA5471F" w:rsidR="00654905" w:rsidRPr="002B0C42" w:rsidRDefault="00654905" w:rsidP="003A2CCC">
            <w:pPr>
              <w:jc w:val="left"/>
              <w:rPr>
                <w:rFonts w:cstheme="minorHAnsi"/>
                <w:i/>
                <w:sz w:val="16"/>
                <w:szCs w:val="16"/>
              </w:rPr>
            </w:pPr>
            <w:r w:rsidRPr="002B0C42">
              <w:rPr>
                <w:rFonts w:cstheme="minorHAnsi"/>
                <w:i/>
                <w:sz w:val="16"/>
                <w:szCs w:val="16"/>
              </w:rPr>
              <w:t>*Tool currently under review</w:t>
            </w:r>
          </w:p>
        </w:tc>
        <w:tc>
          <w:tcPr>
            <w:tcW w:w="721" w:type="pct"/>
          </w:tcPr>
          <w:p w14:paraId="42A82E48" w14:textId="77777777" w:rsidR="00654905" w:rsidRPr="001D0BD5" w:rsidRDefault="00654905" w:rsidP="003A2CCC">
            <w:pPr>
              <w:jc w:val="left"/>
              <w:rPr>
                <w:rFonts w:cstheme="minorHAnsi"/>
                <w:sz w:val="16"/>
                <w:szCs w:val="16"/>
              </w:rPr>
            </w:pPr>
          </w:p>
        </w:tc>
        <w:tc>
          <w:tcPr>
            <w:tcW w:w="1230" w:type="pct"/>
          </w:tcPr>
          <w:p w14:paraId="49046AC7" w14:textId="0DD48CA1" w:rsidR="00654905" w:rsidRPr="001D0BD5" w:rsidRDefault="00654905" w:rsidP="003A2CCC">
            <w:pPr>
              <w:jc w:val="left"/>
              <w:rPr>
                <w:rFonts w:cstheme="minorHAnsi"/>
                <w:sz w:val="16"/>
                <w:szCs w:val="16"/>
              </w:rPr>
            </w:pPr>
            <w:r>
              <w:rPr>
                <w:rFonts w:cstheme="minorHAnsi"/>
                <w:sz w:val="16"/>
                <w:szCs w:val="16"/>
              </w:rPr>
              <w:t xml:space="preserve">A sample of case files for clients receiving legal support from ALFeLa is audited against quality criteria. </w:t>
            </w:r>
            <w:r w:rsidRPr="001D0BD5">
              <w:rPr>
                <w:rFonts w:cstheme="minorHAnsi"/>
                <w:sz w:val="16"/>
                <w:szCs w:val="16"/>
              </w:rPr>
              <w:t xml:space="preserve"> </w:t>
            </w:r>
          </w:p>
        </w:tc>
        <w:tc>
          <w:tcPr>
            <w:tcW w:w="677" w:type="pct"/>
          </w:tcPr>
          <w:p w14:paraId="22C412A4" w14:textId="77777777" w:rsidR="00654905" w:rsidRDefault="00654905" w:rsidP="003A2CCC">
            <w:pPr>
              <w:pStyle w:val="ListParagraph"/>
              <w:numPr>
                <w:ilvl w:val="0"/>
                <w:numId w:val="42"/>
              </w:numPr>
              <w:ind w:left="360"/>
              <w:rPr>
                <w:rFonts w:cstheme="minorHAnsi"/>
                <w:sz w:val="16"/>
                <w:szCs w:val="16"/>
              </w:rPr>
            </w:pPr>
            <w:r w:rsidRPr="001D0BD5">
              <w:rPr>
                <w:rFonts w:cstheme="minorHAnsi"/>
                <w:sz w:val="16"/>
                <w:szCs w:val="16"/>
              </w:rPr>
              <w:t xml:space="preserve">Case Audit checklist, </w:t>
            </w:r>
          </w:p>
          <w:p w14:paraId="5AFD488C" w14:textId="7ED2500D" w:rsidR="00654905" w:rsidRPr="001D0BD5" w:rsidRDefault="00654905" w:rsidP="003A2CCC">
            <w:pPr>
              <w:pStyle w:val="ListParagraph"/>
              <w:numPr>
                <w:ilvl w:val="0"/>
                <w:numId w:val="42"/>
              </w:numPr>
              <w:ind w:left="360"/>
              <w:rPr>
                <w:rFonts w:cstheme="minorHAnsi"/>
                <w:sz w:val="16"/>
                <w:szCs w:val="16"/>
              </w:rPr>
            </w:pPr>
            <w:r>
              <w:rPr>
                <w:rFonts w:cstheme="minorHAnsi"/>
                <w:sz w:val="16"/>
                <w:szCs w:val="16"/>
              </w:rPr>
              <w:t>S</w:t>
            </w:r>
            <w:r w:rsidRPr="001D0BD5">
              <w:rPr>
                <w:rFonts w:cstheme="minorHAnsi"/>
                <w:sz w:val="16"/>
                <w:szCs w:val="16"/>
              </w:rPr>
              <w:t>ample of case files</w:t>
            </w:r>
            <w:r w:rsidRPr="001D0BD5">
              <w:rPr>
                <w:rFonts w:cstheme="minorHAnsi"/>
                <w:i/>
                <w:sz w:val="16"/>
                <w:szCs w:val="16"/>
              </w:rPr>
              <w:t xml:space="preserve"> </w:t>
            </w:r>
          </w:p>
          <w:p w14:paraId="49814057" w14:textId="77777777" w:rsidR="00654905" w:rsidRPr="001D0BD5" w:rsidRDefault="00654905" w:rsidP="003A2CCC">
            <w:pPr>
              <w:pStyle w:val="ListParagraph"/>
              <w:ind w:left="360" w:firstLine="0"/>
              <w:rPr>
                <w:rFonts w:cstheme="minorHAnsi"/>
                <w:sz w:val="16"/>
                <w:szCs w:val="16"/>
              </w:rPr>
            </w:pPr>
          </w:p>
        </w:tc>
        <w:tc>
          <w:tcPr>
            <w:tcW w:w="542" w:type="pct"/>
          </w:tcPr>
          <w:p w14:paraId="7E8E2098" w14:textId="29A68B5D" w:rsidR="00654905" w:rsidRPr="001D0BD5" w:rsidRDefault="00AB4B98" w:rsidP="003A2CCC">
            <w:pPr>
              <w:jc w:val="left"/>
              <w:rPr>
                <w:rFonts w:cstheme="minorHAnsi"/>
                <w:sz w:val="16"/>
                <w:szCs w:val="16"/>
              </w:rPr>
            </w:pPr>
            <w:r>
              <w:rPr>
                <w:rFonts w:cstheme="minorHAnsi"/>
                <w:sz w:val="16"/>
                <w:szCs w:val="16"/>
              </w:rPr>
              <w:t>Consultant</w:t>
            </w:r>
          </w:p>
        </w:tc>
        <w:tc>
          <w:tcPr>
            <w:tcW w:w="491" w:type="pct"/>
          </w:tcPr>
          <w:p w14:paraId="2D856300" w14:textId="2C368E1D" w:rsidR="00654905" w:rsidRPr="001D0BD5" w:rsidRDefault="00F14E6B" w:rsidP="003A2CCC">
            <w:pPr>
              <w:jc w:val="left"/>
              <w:rPr>
                <w:rFonts w:cstheme="minorHAnsi"/>
                <w:sz w:val="16"/>
                <w:szCs w:val="16"/>
              </w:rPr>
            </w:pPr>
            <w:r>
              <w:rPr>
                <w:rFonts w:cstheme="minorHAnsi"/>
                <w:sz w:val="16"/>
                <w:szCs w:val="16"/>
              </w:rPr>
              <w:t>Annually</w:t>
            </w:r>
          </w:p>
        </w:tc>
        <w:tc>
          <w:tcPr>
            <w:tcW w:w="471" w:type="pct"/>
          </w:tcPr>
          <w:p w14:paraId="7133D389" w14:textId="4903582E" w:rsidR="00654905" w:rsidRPr="001D0BD5" w:rsidRDefault="00F14E6B" w:rsidP="003A2CCC">
            <w:pPr>
              <w:jc w:val="left"/>
              <w:rPr>
                <w:rFonts w:cstheme="minorHAnsi"/>
                <w:sz w:val="16"/>
                <w:szCs w:val="16"/>
              </w:rPr>
            </w:pPr>
            <w:r>
              <w:rPr>
                <w:rFonts w:cstheme="minorHAnsi"/>
                <w:sz w:val="16"/>
                <w:szCs w:val="16"/>
              </w:rPr>
              <w:t>Consultant</w:t>
            </w:r>
          </w:p>
        </w:tc>
        <w:tc>
          <w:tcPr>
            <w:tcW w:w="411" w:type="pct"/>
          </w:tcPr>
          <w:p w14:paraId="6C47151F" w14:textId="25BCBE07" w:rsidR="00654905" w:rsidRPr="001D0BD5" w:rsidRDefault="00F14E6B" w:rsidP="003A2CCC">
            <w:pPr>
              <w:jc w:val="left"/>
              <w:rPr>
                <w:rFonts w:cstheme="minorHAnsi"/>
                <w:sz w:val="16"/>
                <w:szCs w:val="16"/>
              </w:rPr>
            </w:pPr>
            <w:r w:rsidRPr="001D0BD5">
              <w:rPr>
                <w:rFonts w:cstheme="minorHAnsi"/>
                <w:sz w:val="16"/>
                <w:szCs w:val="16"/>
              </w:rPr>
              <w:t>Annually (reporting period January-December)</w:t>
            </w:r>
          </w:p>
        </w:tc>
      </w:tr>
      <w:tr w:rsidR="0016109D" w:rsidRPr="001D0BD5" w14:paraId="5CEB305D" w14:textId="77777777" w:rsidTr="003A2CCC">
        <w:trPr>
          <w:trHeight w:val="234"/>
        </w:trPr>
        <w:tc>
          <w:tcPr>
            <w:tcW w:w="457" w:type="pct"/>
          </w:tcPr>
          <w:p w14:paraId="503A8CB5" w14:textId="77777777" w:rsidR="00B462FE" w:rsidRPr="001D0BD5" w:rsidRDefault="00B462FE" w:rsidP="003A2CCC">
            <w:pPr>
              <w:jc w:val="left"/>
              <w:rPr>
                <w:rFonts w:cstheme="minorHAnsi"/>
                <w:i/>
                <w:sz w:val="16"/>
                <w:szCs w:val="16"/>
              </w:rPr>
            </w:pPr>
            <w:r w:rsidRPr="001D0BD5">
              <w:rPr>
                <w:rFonts w:cstheme="minorHAnsi"/>
                <w:sz w:val="16"/>
                <w:szCs w:val="16"/>
              </w:rPr>
              <w:t>Stories of Significant Change (SSC)</w:t>
            </w:r>
          </w:p>
          <w:p w14:paraId="7134D537" w14:textId="77777777" w:rsidR="00B462FE" w:rsidRPr="001D0BD5" w:rsidRDefault="00B462FE" w:rsidP="003A2CCC">
            <w:pPr>
              <w:jc w:val="left"/>
              <w:rPr>
                <w:rFonts w:cstheme="minorHAnsi"/>
                <w:sz w:val="16"/>
                <w:szCs w:val="16"/>
              </w:rPr>
            </w:pPr>
          </w:p>
        </w:tc>
        <w:tc>
          <w:tcPr>
            <w:tcW w:w="721" w:type="pct"/>
          </w:tcPr>
          <w:p w14:paraId="12E49A8A" w14:textId="77777777" w:rsidR="00B462FE" w:rsidRPr="001D0BD5" w:rsidRDefault="00B462FE" w:rsidP="003A2CCC">
            <w:pPr>
              <w:spacing w:after="120"/>
              <w:jc w:val="left"/>
              <w:rPr>
                <w:rFonts w:cstheme="minorHAnsi"/>
                <w:sz w:val="16"/>
                <w:szCs w:val="16"/>
              </w:rPr>
            </w:pPr>
            <w:r w:rsidRPr="001D0BD5">
              <w:rPr>
                <w:rFonts w:cstheme="minorHAnsi"/>
                <w:sz w:val="16"/>
                <w:szCs w:val="16"/>
              </w:rPr>
              <w:t>To document significant instances of change which have occurred as a result of Nabilan’s activities.</w:t>
            </w:r>
          </w:p>
          <w:p w14:paraId="670967D6" w14:textId="77777777" w:rsidR="00B462FE" w:rsidRPr="001D0BD5" w:rsidRDefault="00B462FE" w:rsidP="003A2CCC">
            <w:pPr>
              <w:jc w:val="left"/>
              <w:rPr>
                <w:rFonts w:cstheme="minorHAnsi"/>
                <w:sz w:val="16"/>
                <w:szCs w:val="16"/>
                <w:highlight w:val="yellow"/>
              </w:rPr>
            </w:pPr>
          </w:p>
        </w:tc>
        <w:tc>
          <w:tcPr>
            <w:tcW w:w="1230" w:type="pct"/>
          </w:tcPr>
          <w:p w14:paraId="6EE1766C" w14:textId="77777777" w:rsidR="00B462FE" w:rsidRPr="001D0BD5" w:rsidRDefault="00B462FE" w:rsidP="003A2CCC">
            <w:pPr>
              <w:spacing w:after="120"/>
              <w:jc w:val="left"/>
              <w:rPr>
                <w:rFonts w:cstheme="minorHAnsi"/>
                <w:sz w:val="16"/>
                <w:szCs w:val="16"/>
              </w:rPr>
            </w:pPr>
            <w:r w:rsidRPr="001D0BD5">
              <w:rPr>
                <w:rFonts w:cstheme="minorHAnsi"/>
                <w:sz w:val="16"/>
                <w:szCs w:val="16"/>
              </w:rPr>
              <w:t>This method involves gathering data from multiple sources to develop a narrative story about a specific change that may have occurred, and the relative contribution of the program towards that change. Data are collected form multiple sources including key informant interviews, focus group discussions, and other sources such as reports, meeting minutes and publications. Data are collated in a narrative report, to tell a ‘story’ about a specific change that occurred in the reporting period.</w:t>
            </w:r>
            <w:r w:rsidRPr="001D0BD5">
              <w:rPr>
                <w:rFonts w:cstheme="minorHAnsi"/>
                <w:color w:val="808080" w:themeColor="background1" w:themeShade="80"/>
                <w:sz w:val="16"/>
                <w:szCs w:val="16"/>
              </w:rPr>
              <w:t xml:space="preserve"> </w:t>
            </w:r>
          </w:p>
          <w:p w14:paraId="5A890CD6" w14:textId="77777777" w:rsidR="00B462FE" w:rsidRPr="001D0BD5" w:rsidRDefault="00B462FE" w:rsidP="003A2CCC">
            <w:pPr>
              <w:jc w:val="left"/>
              <w:rPr>
                <w:rFonts w:cstheme="minorHAnsi"/>
                <w:sz w:val="16"/>
                <w:szCs w:val="16"/>
              </w:rPr>
            </w:pPr>
            <w:r w:rsidRPr="001D0BD5">
              <w:rPr>
                <w:rFonts w:cstheme="minorHAnsi"/>
                <w:sz w:val="16"/>
                <w:szCs w:val="16"/>
              </w:rPr>
              <w:t xml:space="preserve"> SSCs that are used to report against narrative PAF indicators will be verified by an independent verification panel.</w:t>
            </w:r>
          </w:p>
          <w:p w14:paraId="56BE5478" w14:textId="77777777" w:rsidR="00B462FE" w:rsidRPr="001D0BD5" w:rsidRDefault="00B462FE" w:rsidP="003A2CCC">
            <w:pPr>
              <w:jc w:val="left"/>
              <w:rPr>
                <w:rFonts w:cstheme="minorHAnsi"/>
                <w:sz w:val="16"/>
                <w:szCs w:val="16"/>
              </w:rPr>
            </w:pPr>
          </w:p>
        </w:tc>
        <w:tc>
          <w:tcPr>
            <w:tcW w:w="677" w:type="pct"/>
          </w:tcPr>
          <w:p w14:paraId="5EBB5A8E" w14:textId="77777777" w:rsidR="00B462FE" w:rsidRPr="001D0BD5" w:rsidRDefault="00B462FE" w:rsidP="003A2CCC">
            <w:pPr>
              <w:jc w:val="left"/>
              <w:rPr>
                <w:rFonts w:cstheme="minorHAnsi"/>
                <w:sz w:val="16"/>
                <w:szCs w:val="16"/>
                <w:highlight w:val="yellow"/>
              </w:rPr>
            </w:pPr>
            <w:r w:rsidRPr="001D0BD5">
              <w:rPr>
                <w:rFonts w:cstheme="minorHAnsi"/>
                <w:sz w:val="16"/>
                <w:szCs w:val="16"/>
              </w:rPr>
              <w:t xml:space="preserve">SSC template  </w:t>
            </w:r>
          </w:p>
        </w:tc>
        <w:tc>
          <w:tcPr>
            <w:tcW w:w="542" w:type="pct"/>
          </w:tcPr>
          <w:p w14:paraId="548DE70E" w14:textId="77777777" w:rsidR="00B462FE" w:rsidRPr="001D0BD5" w:rsidRDefault="00B462FE" w:rsidP="003A2CCC">
            <w:pPr>
              <w:jc w:val="left"/>
              <w:rPr>
                <w:rFonts w:cstheme="minorHAnsi"/>
                <w:sz w:val="16"/>
                <w:szCs w:val="16"/>
                <w:highlight w:val="yellow"/>
              </w:rPr>
            </w:pPr>
            <w:r w:rsidRPr="001D0BD5">
              <w:rPr>
                <w:rFonts w:cstheme="minorHAnsi"/>
                <w:sz w:val="16"/>
                <w:szCs w:val="16"/>
              </w:rPr>
              <w:t>Nabilan team collect data</w:t>
            </w:r>
            <w:r w:rsidR="002037BD">
              <w:rPr>
                <w:rFonts w:cstheme="minorHAnsi"/>
                <w:sz w:val="16"/>
                <w:szCs w:val="16"/>
              </w:rPr>
              <w:t xml:space="preserve"> from a range of sources as appropriate for each SSC</w:t>
            </w:r>
          </w:p>
        </w:tc>
        <w:tc>
          <w:tcPr>
            <w:tcW w:w="491" w:type="pct"/>
          </w:tcPr>
          <w:p w14:paraId="62E5EC62" w14:textId="77777777" w:rsidR="00B462FE" w:rsidRPr="001D0BD5" w:rsidRDefault="00B462FE" w:rsidP="003A2CCC">
            <w:pPr>
              <w:jc w:val="left"/>
              <w:rPr>
                <w:rFonts w:cstheme="minorHAnsi"/>
                <w:sz w:val="16"/>
                <w:szCs w:val="16"/>
              </w:rPr>
            </w:pPr>
            <w:r w:rsidRPr="001D0BD5">
              <w:rPr>
                <w:rFonts w:cstheme="minorHAnsi"/>
                <w:sz w:val="16"/>
                <w:szCs w:val="16"/>
              </w:rPr>
              <w:t>As appropriate for each SSC</w:t>
            </w:r>
          </w:p>
        </w:tc>
        <w:tc>
          <w:tcPr>
            <w:tcW w:w="471" w:type="pct"/>
          </w:tcPr>
          <w:p w14:paraId="29AA65D0" w14:textId="77777777" w:rsidR="00B462FE" w:rsidRPr="001D0BD5" w:rsidRDefault="00B462FE" w:rsidP="003A2CCC">
            <w:pPr>
              <w:jc w:val="left"/>
              <w:rPr>
                <w:rFonts w:cstheme="minorHAnsi"/>
                <w:sz w:val="16"/>
                <w:szCs w:val="16"/>
              </w:rPr>
            </w:pPr>
            <w:r w:rsidRPr="001D0BD5">
              <w:rPr>
                <w:rFonts w:cstheme="minorHAnsi"/>
                <w:sz w:val="16"/>
                <w:szCs w:val="16"/>
              </w:rPr>
              <w:t xml:space="preserve">Data collected by Nabilan team members, analysed by Social Norms Change Adviser </w:t>
            </w:r>
          </w:p>
        </w:tc>
        <w:tc>
          <w:tcPr>
            <w:tcW w:w="411" w:type="pct"/>
          </w:tcPr>
          <w:p w14:paraId="091099DC" w14:textId="77777777" w:rsidR="00B462FE" w:rsidRPr="001D0BD5" w:rsidRDefault="00B462FE" w:rsidP="003A2CCC">
            <w:pPr>
              <w:jc w:val="left"/>
              <w:rPr>
                <w:rFonts w:cstheme="minorHAnsi"/>
                <w:sz w:val="16"/>
                <w:szCs w:val="16"/>
              </w:rPr>
            </w:pPr>
            <w:r w:rsidRPr="001D0BD5">
              <w:rPr>
                <w:rFonts w:cstheme="minorHAnsi"/>
                <w:sz w:val="16"/>
                <w:szCs w:val="16"/>
              </w:rPr>
              <w:t>Annually (reporting period January-December)</w:t>
            </w:r>
          </w:p>
        </w:tc>
      </w:tr>
      <w:tr w:rsidR="0016109D" w:rsidRPr="001D0BD5" w14:paraId="59D2F34A" w14:textId="77777777" w:rsidTr="003A2CCC">
        <w:trPr>
          <w:trHeight w:val="234"/>
        </w:trPr>
        <w:tc>
          <w:tcPr>
            <w:tcW w:w="457" w:type="pct"/>
          </w:tcPr>
          <w:p w14:paraId="45AB3667" w14:textId="77777777" w:rsidR="00B462FE" w:rsidRPr="001D0BD5" w:rsidRDefault="00B462FE" w:rsidP="003A2CCC">
            <w:pPr>
              <w:jc w:val="left"/>
              <w:rPr>
                <w:rFonts w:cstheme="minorHAnsi"/>
                <w:sz w:val="16"/>
                <w:szCs w:val="16"/>
              </w:rPr>
            </w:pPr>
            <w:r w:rsidRPr="001D0BD5">
              <w:rPr>
                <w:rFonts w:cstheme="minorHAnsi"/>
                <w:sz w:val="16"/>
                <w:szCs w:val="16"/>
              </w:rPr>
              <w:t>Case studies</w:t>
            </w:r>
          </w:p>
          <w:p w14:paraId="5452E65B" w14:textId="77777777" w:rsidR="00B462FE" w:rsidRPr="001D0BD5" w:rsidRDefault="00B462FE" w:rsidP="003A2CCC">
            <w:pPr>
              <w:pStyle w:val="ListParagraph"/>
              <w:ind w:left="360"/>
              <w:rPr>
                <w:rFonts w:cstheme="minorHAnsi"/>
                <w:sz w:val="16"/>
                <w:szCs w:val="16"/>
              </w:rPr>
            </w:pPr>
          </w:p>
        </w:tc>
        <w:tc>
          <w:tcPr>
            <w:tcW w:w="721" w:type="pct"/>
          </w:tcPr>
          <w:p w14:paraId="0B5C2234" w14:textId="77777777" w:rsidR="00B462FE" w:rsidRPr="001D0BD5" w:rsidRDefault="00B462FE" w:rsidP="003A2CCC">
            <w:pPr>
              <w:pStyle w:val="NormalWeb"/>
              <w:rPr>
                <w:rFonts w:asciiTheme="minorHAnsi" w:hAnsiTheme="minorHAnsi" w:cstheme="minorHAnsi"/>
                <w:sz w:val="16"/>
                <w:szCs w:val="16"/>
              </w:rPr>
            </w:pPr>
            <w:r w:rsidRPr="001D0BD5">
              <w:rPr>
                <w:rFonts w:asciiTheme="minorHAnsi" w:hAnsiTheme="minorHAnsi" w:cstheme="minorHAnsi"/>
                <w:sz w:val="16"/>
                <w:szCs w:val="16"/>
              </w:rPr>
              <w:t xml:space="preserve">To develop an in-depth understanding of a situation or change. </w:t>
            </w:r>
          </w:p>
          <w:p w14:paraId="6898E301" w14:textId="77777777" w:rsidR="00B462FE" w:rsidRPr="001D0BD5" w:rsidRDefault="00B462FE" w:rsidP="003A2CCC">
            <w:pPr>
              <w:pStyle w:val="NormalWeb"/>
              <w:rPr>
                <w:rFonts w:asciiTheme="minorHAnsi" w:hAnsiTheme="minorHAnsi" w:cstheme="minorHAnsi"/>
                <w:sz w:val="16"/>
                <w:szCs w:val="16"/>
              </w:rPr>
            </w:pPr>
          </w:p>
          <w:p w14:paraId="4C498D75" w14:textId="77777777" w:rsidR="00B462FE" w:rsidRPr="001D0BD5" w:rsidRDefault="00B462FE" w:rsidP="003A2CCC">
            <w:pPr>
              <w:jc w:val="left"/>
              <w:rPr>
                <w:rFonts w:cstheme="minorHAnsi"/>
                <w:sz w:val="16"/>
                <w:szCs w:val="16"/>
              </w:rPr>
            </w:pPr>
          </w:p>
          <w:p w14:paraId="3CC49127" w14:textId="77777777" w:rsidR="00B462FE" w:rsidRPr="001D0BD5" w:rsidRDefault="00B462FE" w:rsidP="003A2CCC">
            <w:pPr>
              <w:jc w:val="left"/>
              <w:rPr>
                <w:rFonts w:cstheme="minorHAnsi"/>
                <w:sz w:val="16"/>
                <w:szCs w:val="16"/>
              </w:rPr>
            </w:pPr>
          </w:p>
        </w:tc>
        <w:tc>
          <w:tcPr>
            <w:tcW w:w="1230" w:type="pct"/>
          </w:tcPr>
          <w:p w14:paraId="5C01623A" w14:textId="77777777" w:rsidR="00B462FE" w:rsidRPr="001D0BD5" w:rsidRDefault="00B462FE" w:rsidP="003A2CCC">
            <w:pPr>
              <w:pStyle w:val="NormalWeb"/>
              <w:rPr>
                <w:rFonts w:asciiTheme="minorHAnsi" w:hAnsiTheme="minorHAnsi" w:cstheme="minorHAnsi"/>
                <w:sz w:val="16"/>
                <w:szCs w:val="16"/>
              </w:rPr>
            </w:pPr>
            <w:r w:rsidRPr="001D0BD5">
              <w:rPr>
                <w:rFonts w:asciiTheme="minorHAnsi" w:hAnsiTheme="minorHAnsi" w:cstheme="minorHAnsi"/>
                <w:sz w:val="16"/>
                <w:szCs w:val="16"/>
              </w:rPr>
              <w:t>Case studies draw on a range of qualitative and quantitative data sources, as appropriate to the case study topic. The narrative case study report describes the specific case, and identify key contributing factors. Where possible, case studies are analysed using an accepted theoretical framework.</w:t>
            </w:r>
          </w:p>
          <w:p w14:paraId="3C223BD7" w14:textId="77777777" w:rsidR="00B462FE" w:rsidRPr="001D0BD5" w:rsidRDefault="00B462FE" w:rsidP="003A2CCC">
            <w:pPr>
              <w:pStyle w:val="tablebullets"/>
              <w:shd w:val="clear" w:color="auto" w:fill="FFFFFF" w:themeFill="background1"/>
              <w:spacing w:after="0"/>
              <w:rPr>
                <w:rFonts w:cstheme="minorHAnsi"/>
                <w:sz w:val="16"/>
                <w:szCs w:val="16"/>
              </w:rPr>
            </w:pPr>
          </w:p>
        </w:tc>
        <w:tc>
          <w:tcPr>
            <w:tcW w:w="677" w:type="pct"/>
          </w:tcPr>
          <w:p w14:paraId="085E68BF" w14:textId="77777777" w:rsidR="00B462FE" w:rsidRPr="001D0BD5" w:rsidRDefault="00B462FE" w:rsidP="003A2CCC">
            <w:pPr>
              <w:pStyle w:val="tablebullets"/>
              <w:numPr>
                <w:ilvl w:val="0"/>
                <w:numId w:val="32"/>
              </w:numPr>
              <w:shd w:val="clear" w:color="auto" w:fill="FFFFFF" w:themeFill="background1"/>
              <w:spacing w:after="0"/>
              <w:rPr>
                <w:rFonts w:cstheme="minorHAnsi"/>
                <w:sz w:val="16"/>
                <w:szCs w:val="16"/>
              </w:rPr>
            </w:pPr>
            <w:r w:rsidRPr="001D0BD5">
              <w:rPr>
                <w:rFonts w:cstheme="minorHAnsi"/>
                <w:sz w:val="16"/>
                <w:szCs w:val="16"/>
              </w:rPr>
              <w:t>Semi-structured interview guide</w:t>
            </w:r>
          </w:p>
          <w:p w14:paraId="28E51F5C" w14:textId="77777777" w:rsidR="00B462FE" w:rsidRDefault="00B462FE" w:rsidP="003A2CCC">
            <w:pPr>
              <w:pStyle w:val="tablebullets"/>
              <w:numPr>
                <w:ilvl w:val="0"/>
                <w:numId w:val="32"/>
              </w:numPr>
              <w:shd w:val="clear" w:color="auto" w:fill="FFFFFF" w:themeFill="background1"/>
              <w:spacing w:after="0"/>
              <w:rPr>
                <w:rFonts w:cstheme="minorHAnsi"/>
                <w:sz w:val="16"/>
                <w:szCs w:val="16"/>
              </w:rPr>
            </w:pPr>
            <w:r w:rsidRPr="001D0BD5">
              <w:rPr>
                <w:rFonts w:cstheme="minorHAnsi"/>
                <w:sz w:val="16"/>
                <w:szCs w:val="16"/>
              </w:rPr>
              <w:t>Interview to be in Tetun if required</w:t>
            </w:r>
          </w:p>
          <w:p w14:paraId="78F0DA32" w14:textId="77777777" w:rsidR="009948E6" w:rsidRPr="001D0BD5" w:rsidRDefault="009948E6" w:rsidP="003A2CCC">
            <w:pPr>
              <w:pStyle w:val="tablebullets"/>
              <w:numPr>
                <w:ilvl w:val="0"/>
                <w:numId w:val="32"/>
              </w:numPr>
              <w:shd w:val="clear" w:color="auto" w:fill="FFFFFF" w:themeFill="background1"/>
              <w:spacing w:after="0"/>
              <w:rPr>
                <w:rFonts w:cstheme="minorHAnsi"/>
                <w:sz w:val="16"/>
                <w:szCs w:val="16"/>
              </w:rPr>
            </w:pPr>
            <w:r>
              <w:rPr>
                <w:rFonts w:cstheme="minorHAnsi"/>
                <w:sz w:val="16"/>
                <w:szCs w:val="16"/>
              </w:rPr>
              <w:t>Partner reports</w:t>
            </w:r>
          </w:p>
          <w:p w14:paraId="4AEF9ED5" w14:textId="77777777" w:rsidR="00B462FE" w:rsidRPr="001D0BD5" w:rsidRDefault="00B462FE" w:rsidP="003A2CCC">
            <w:pPr>
              <w:pStyle w:val="tablebullets"/>
              <w:shd w:val="clear" w:color="auto" w:fill="FFFFFF" w:themeFill="background1"/>
              <w:spacing w:after="0"/>
              <w:ind w:left="360"/>
              <w:rPr>
                <w:rFonts w:cstheme="minorHAnsi"/>
                <w:sz w:val="16"/>
                <w:szCs w:val="16"/>
              </w:rPr>
            </w:pPr>
          </w:p>
        </w:tc>
        <w:tc>
          <w:tcPr>
            <w:tcW w:w="542" w:type="pct"/>
          </w:tcPr>
          <w:p w14:paraId="65AD3628" w14:textId="77777777" w:rsidR="00B462FE" w:rsidRPr="001D0BD5" w:rsidRDefault="00B462FE" w:rsidP="003A2CCC">
            <w:pPr>
              <w:jc w:val="left"/>
              <w:rPr>
                <w:rFonts w:cstheme="minorHAnsi"/>
                <w:sz w:val="16"/>
                <w:szCs w:val="16"/>
                <w:highlight w:val="yellow"/>
              </w:rPr>
            </w:pPr>
            <w:r w:rsidRPr="001D0BD5">
              <w:rPr>
                <w:rFonts w:cstheme="minorHAnsi"/>
                <w:sz w:val="16"/>
                <w:szCs w:val="16"/>
              </w:rPr>
              <w:t>Case study interviews will be conducted by Nabilan team members</w:t>
            </w:r>
            <w:r w:rsidR="009948E6">
              <w:rPr>
                <w:rFonts w:cstheme="minorHAnsi"/>
                <w:sz w:val="16"/>
                <w:szCs w:val="16"/>
              </w:rPr>
              <w:t>; partners also conduct case studies and include them in partner reports</w:t>
            </w:r>
          </w:p>
        </w:tc>
        <w:tc>
          <w:tcPr>
            <w:tcW w:w="491" w:type="pct"/>
          </w:tcPr>
          <w:p w14:paraId="41038222" w14:textId="77777777" w:rsidR="00B462FE" w:rsidRPr="001D0BD5" w:rsidRDefault="00B462FE" w:rsidP="003A2CCC">
            <w:pPr>
              <w:jc w:val="left"/>
              <w:rPr>
                <w:rFonts w:cstheme="minorHAnsi"/>
                <w:sz w:val="16"/>
                <w:szCs w:val="16"/>
              </w:rPr>
            </w:pPr>
            <w:r w:rsidRPr="001D0BD5">
              <w:rPr>
                <w:rFonts w:cstheme="minorHAnsi"/>
                <w:sz w:val="16"/>
                <w:szCs w:val="16"/>
              </w:rPr>
              <w:t xml:space="preserve">Data will be collected at key times e.g. at the completion of a key activity, or when a significant change is observed. </w:t>
            </w:r>
          </w:p>
        </w:tc>
        <w:tc>
          <w:tcPr>
            <w:tcW w:w="471" w:type="pct"/>
          </w:tcPr>
          <w:p w14:paraId="3EA437E1" w14:textId="77777777" w:rsidR="00B462FE" w:rsidRPr="001D0BD5" w:rsidRDefault="00B462FE" w:rsidP="003A2CCC">
            <w:pPr>
              <w:jc w:val="left"/>
              <w:rPr>
                <w:rFonts w:cstheme="minorHAnsi"/>
                <w:sz w:val="16"/>
                <w:szCs w:val="16"/>
                <w:highlight w:val="yellow"/>
              </w:rPr>
            </w:pPr>
            <w:r w:rsidRPr="001D0BD5">
              <w:rPr>
                <w:rFonts w:cstheme="minorHAnsi"/>
                <w:sz w:val="16"/>
                <w:szCs w:val="16"/>
              </w:rPr>
              <w:t>Nabilan - Social Norms Change Adviser</w:t>
            </w:r>
          </w:p>
        </w:tc>
        <w:tc>
          <w:tcPr>
            <w:tcW w:w="411" w:type="pct"/>
          </w:tcPr>
          <w:p w14:paraId="3D00914C" w14:textId="77777777" w:rsidR="00B462FE" w:rsidRPr="001D0BD5" w:rsidRDefault="00B462FE" w:rsidP="003A2CCC">
            <w:pPr>
              <w:jc w:val="left"/>
              <w:rPr>
                <w:rFonts w:cstheme="minorHAnsi"/>
                <w:sz w:val="16"/>
                <w:szCs w:val="16"/>
              </w:rPr>
            </w:pPr>
            <w:r w:rsidRPr="001D0BD5">
              <w:rPr>
                <w:rFonts w:cstheme="minorHAnsi"/>
                <w:sz w:val="16"/>
                <w:szCs w:val="16"/>
              </w:rPr>
              <w:t>Annually (reporting period January-December)</w:t>
            </w:r>
          </w:p>
        </w:tc>
      </w:tr>
      <w:tr w:rsidR="0016109D" w:rsidRPr="001D0BD5" w14:paraId="48CFE230" w14:textId="77777777" w:rsidTr="003A2CCC">
        <w:trPr>
          <w:trHeight w:val="234"/>
        </w:trPr>
        <w:tc>
          <w:tcPr>
            <w:tcW w:w="457" w:type="pct"/>
          </w:tcPr>
          <w:p w14:paraId="0CCC4031" w14:textId="77777777" w:rsidR="00B462FE" w:rsidRPr="001D0BD5" w:rsidRDefault="00B462FE" w:rsidP="003A2CCC">
            <w:pPr>
              <w:spacing w:after="120"/>
              <w:jc w:val="left"/>
              <w:rPr>
                <w:rFonts w:cstheme="minorHAnsi"/>
                <w:sz w:val="16"/>
                <w:szCs w:val="16"/>
              </w:rPr>
            </w:pPr>
            <w:r w:rsidRPr="001D0BD5">
              <w:rPr>
                <w:rFonts w:cstheme="minorHAnsi"/>
                <w:sz w:val="16"/>
                <w:szCs w:val="16"/>
              </w:rPr>
              <w:t xml:space="preserve">CBA monitoring </w:t>
            </w:r>
          </w:p>
          <w:p w14:paraId="12C75745" w14:textId="77777777" w:rsidR="00B462FE" w:rsidRPr="001D0BD5" w:rsidRDefault="00B462FE" w:rsidP="003A2CCC">
            <w:pPr>
              <w:jc w:val="left"/>
              <w:rPr>
                <w:rFonts w:cstheme="minorHAnsi"/>
                <w:i/>
                <w:sz w:val="16"/>
                <w:szCs w:val="16"/>
              </w:rPr>
            </w:pPr>
          </w:p>
          <w:p w14:paraId="046B9FC7" w14:textId="77777777" w:rsidR="00B462FE" w:rsidRPr="001D0BD5" w:rsidRDefault="00B462FE" w:rsidP="003A2CCC">
            <w:pPr>
              <w:jc w:val="left"/>
              <w:rPr>
                <w:rFonts w:cstheme="minorHAnsi"/>
                <w:sz w:val="16"/>
                <w:szCs w:val="16"/>
              </w:rPr>
            </w:pPr>
          </w:p>
        </w:tc>
        <w:tc>
          <w:tcPr>
            <w:tcW w:w="721" w:type="pct"/>
          </w:tcPr>
          <w:p w14:paraId="2FDD4121" w14:textId="77777777" w:rsidR="00B462FE" w:rsidRPr="001D0BD5" w:rsidRDefault="00B462FE" w:rsidP="003A2CCC">
            <w:pPr>
              <w:jc w:val="left"/>
              <w:rPr>
                <w:rFonts w:cstheme="minorHAnsi"/>
                <w:sz w:val="16"/>
                <w:szCs w:val="16"/>
              </w:rPr>
            </w:pPr>
            <w:r w:rsidRPr="001D0BD5">
              <w:rPr>
                <w:rFonts w:cstheme="minorHAnsi"/>
                <w:sz w:val="16"/>
                <w:szCs w:val="16"/>
              </w:rPr>
              <w:t>To collect information about community members’ knowledge, attitudes, skills and behaviours related to VAWC in CBA focus areas</w:t>
            </w:r>
          </w:p>
          <w:p w14:paraId="56184C6E" w14:textId="77777777" w:rsidR="00B462FE" w:rsidRPr="001D0BD5" w:rsidRDefault="00B462FE" w:rsidP="003A2CCC">
            <w:pPr>
              <w:jc w:val="left"/>
              <w:rPr>
                <w:rFonts w:cstheme="minorHAnsi"/>
                <w:i/>
                <w:sz w:val="16"/>
                <w:szCs w:val="16"/>
              </w:rPr>
            </w:pPr>
          </w:p>
        </w:tc>
        <w:tc>
          <w:tcPr>
            <w:tcW w:w="1230" w:type="pct"/>
          </w:tcPr>
          <w:p w14:paraId="7D38EFB3" w14:textId="39E4D30C" w:rsidR="00B462FE" w:rsidRPr="001D0BD5" w:rsidRDefault="00B462FE" w:rsidP="003A2CCC">
            <w:pPr>
              <w:jc w:val="left"/>
              <w:rPr>
                <w:rFonts w:cstheme="minorHAnsi"/>
                <w:sz w:val="16"/>
                <w:szCs w:val="16"/>
              </w:rPr>
            </w:pPr>
            <w:r w:rsidRPr="001D0BD5">
              <w:rPr>
                <w:rFonts w:cstheme="minorHAnsi"/>
                <w:sz w:val="16"/>
                <w:szCs w:val="16"/>
              </w:rPr>
              <w:t xml:space="preserve">Rapid Assessment Surveys and </w:t>
            </w:r>
            <w:r w:rsidR="009948E6">
              <w:rPr>
                <w:rFonts w:cstheme="minorHAnsi"/>
                <w:sz w:val="16"/>
                <w:szCs w:val="16"/>
              </w:rPr>
              <w:t>Focus Group Discussions</w:t>
            </w:r>
            <w:r w:rsidR="00111DAD">
              <w:rPr>
                <w:rFonts w:cstheme="minorHAnsi"/>
                <w:sz w:val="16"/>
                <w:szCs w:val="16"/>
              </w:rPr>
              <w:t xml:space="preserve"> </w:t>
            </w:r>
            <w:r w:rsidRPr="001D0BD5">
              <w:rPr>
                <w:rFonts w:cstheme="minorHAnsi"/>
                <w:sz w:val="16"/>
                <w:szCs w:val="16"/>
              </w:rPr>
              <w:t xml:space="preserve">will be conducted with a sample of community members. The surveys and </w:t>
            </w:r>
            <w:r w:rsidR="009948E6">
              <w:rPr>
                <w:rFonts w:cstheme="minorHAnsi"/>
                <w:sz w:val="16"/>
                <w:szCs w:val="16"/>
              </w:rPr>
              <w:t>discussion</w:t>
            </w:r>
            <w:r w:rsidRPr="001D0BD5">
              <w:rPr>
                <w:rFonts w:cstheme="minorHAnsi"/>
                <w:sz w:val="16"/>
                <w:szCs w:val="16"/>
              </w:rPr>
              <w:t xml:space="preserve"> guides are tailored to suit each of the phases of the CBA approach (Baseline,Awareness, Support and Action, Endline), and ask about community members knowledge, attitudes, skills and positive behaviours related to VAWC.</w:t>
            </w:r>
          </w:p>
        </w:tc>
        <w:tc>
          <w:tcPr>
            <w:tcW w:w="677" w:type="pct"/>
            <w:shd w:val="clear" w:color="auto" w:fill="auto"/>
          </w:tcPr>
          <w:p w14:paraId="0C509AC5" w14:textId="77777777" w:rsidR="00B462FE" w:rsidRPr="001D0BD5" w:rsidRDefault="00B462FE" w:rsidP="003A2CCC">
            <w:pPr>
              <w:pStyle w:val="ListParagraph"/>
              <w:numPr>
                <w:ilvl w:val="0"/>
                <w:numId w:val="37"/>
              </w:numPr>
              <w:rPr>
                <w:rFonts w:cstheme="minorHAnsi"/>
                <w:sz w:val="16"/>
                <w:szCs w:val="16"/>
              </w:rPr>
            </w:pPr>
            <w:r w:rsidRPr="001D0BD5">
              <w:rPr>
                <w:rFonts w:cstheme="minorHAnsi"/>
                <w:sz w:val="16"/>
                <w:szCs w:val="16"/>
              </w:rPr>
              <w:t>Rapid Assessment Surveys</w:t>
            </w:r>
          </w:p>
          <w:p w14:paraId="0B4E2B0C" w14:textId="10C2AE0E" w:rsidR="00B462FE" w:rsidRPr="001D0BD5" w:rsidRDefault="009948E6" w:rsidP="003A2CCC">
            <w:pPr>
              <w:pStyle w:val="ListParagraph"/>
              <w:numPr>
                <w:ilvl w:val="0"/>
                <w:numId w:val="37"/>
              </w:numPr>
              <w:rPr>
                <w:rFonts w:cstheme="minorHAnsi"/>
                <w:sz w:val="16"/>
                <w:szCs w:val="16"/>
              </w:rPr>
            </w:pPr>
            <w:r>
              <w:rPr>
                <w:rFonts w:cstheme="minorHAnsi"/>
                <w:sz w:val="16"/>
                <w:szCs w:val="16"/>
              </w:rPr>
              <w:t>Focus Group Discussion</w:t>
            </w:r>
            <w:r w:rsidR="00B462FE" w:rsidRPr="001D0BD5">
              <w:rPr>
                <w:rFonts w:cstheme="minorHAnsi"/>
                <w:sz w:val="16"/>
                <w:szCs w:val="16"/>
              </w:rPr>
              <w:t xml:space="preserve"> guides</w:t>
            </w:r>
          </w:p>
        </w:tc>
        <w:tc>
          <w:tcPr>
            <w:tcW w:w="542" w:type="pct"/>
            <w:shd w:val="clear" w:color="auto" w:fill="auto"/>
          </w:tcPr>
          <w:p w14:paraId="50D616AB" w14:textId="603AE689" w:rsidR="00B462FE" w:rsidRPr="001D0BD5" w:rsidRDefault="00111DAD" w:rsidP="003A2CCC">
            <w:pPr>
              <w:jc w:val="left"/>
              <w:rPr>
                <w:rFonts w:cstheme="minorHAnsi"/>
                <w:sz w:val="16"/>
                <w:szCs w:val="16"/>
              </w:rPr>
            </w:pPr>
            <w:r>
              <w:rPr>
                <w:rFonts w:cstheme="minorHAnsi"/>
                <w:sz w:val="16"/>
                <w:szCs w:val="16"/>
              </w:rPr>
              <w:t xml:space="preserve">Nabilan - </w:t>
            </w:r>
            <w:r w:rsidR="0016109D">
              <w:rPr>
                <w:rFonts w:cstheme="minorHAnsi"/>
                <w:sz w:val="16"/>
                <w:szCs w:val="16"/>
              </w:rPr>
              <w:t>Social Norms Change t</w:t>
            </w:r>
            <w:r>
              <w:rPr>
                <w:rFonts w:cstheme="minorHAnsi"/>
                <w:sz w:val="16"/>
                <w:szCs w:val="16"/>
              </w:rPr>
              <w:t>eam</w:t>
            </w:r>
          </w:p>
        </w:tc>
        <w:tc>
          <w:tcPr>
            <w:tcW w:w="491" w:type="pct"/>
          </w:tcPr>
          <w:p w14:paraId="40307783" w14:textId="77777777" w:rsidR="00B462FE" w:rsidRPr="001D0BD5" w:rsidRDefault="00B462FE" w:rsidP="003A2CCC">
            <w:pPr>
              <w:jc w:val="left"/>
              <w:rPr>
                <w:rFonts w:cstheme="minorHAnsi"/>
                <w:sz w:val="16"/>
                <w:szCs w:val="16"/>
              </w:rPr>
            </w:pPr>
            <w:r w:rsidRPr="001D0BD5">
              <w:rPr>
                <w:rFonts w:cstheme="minorHAnsi"/>
                <w:sz w:val="16"/>
                <w:szCs w:val="16"/>
              </w:rPr>
              <w:t>Ongoing</w:t>
            </w:r>
          </w:p>
        </w:tc>
        <w:tc>
          <w:tcPr>
            <w:tcW w:w="471" w:type="pct"/>
          </w:tcPr>
          <w:p w14:paraId="1E65AAD1" w14:textId="77777777" w:rsidR="00B462FE" w:rsidRPr="001D0BD5" w:rsidRDefault="00B462FE" w:rsidP="003A2CCC">
            <w:pPr>
              <w:jc w:val="left"/>
              <w:rPr>
                <w:rFonts w:cstheme="minorHAnsi"/>
                <w:sz w:val="16"/>
                <w:szCs w:val="16"/>
              </w:rPr>
            </w:pPr>
            <w:r w:rsidRPr="001D0BD5">
              <w:rPr>
                <w:rFonts w:cstheme="minorHAnsi"/>
                <w:sz w:val="16"/>
                <w:szCs w:val="16"/>
              </w:rPr>
              <w:t>Nabilan - Social Norms Change Adviser</w:t>
            </w:r>
          </w:p>
        </w:tc>
        <w:tc>
          <w:tcPr>
            <w:tcW w:w="411" w:type="pct"/>
          </w:tcPr>
          <w:p w14:paraId="3D56DFAE" w14:textId="77777777" w:rsidR="00B462FE" w:rsidRPr="001D0BD5" w:rsidRDefault="00B462FE" w:rsidP="003A2CCC">
            <w:pPr>
              <w:jc w:val="left"/>
              <w:rPr>
                <w:rFonts w:cstheme="minorHAnsi"/>
                <w:sz w:val="16"/>
                <w:szCs w:val="16"/>
              </w:rPr>
            </w:pPr>
            <w:r w:rsidRPr="001D0BD5">
              <w:rPr>
                <w:rFonts w:cstheme="minorHAnsi"/>
                <w:sz w:val="16"/>
                <w:szCs w:val="16"/>
              </w:rPr>
              <w:t>Mid-term review (2020)</w:t>
            </w:r>
          </w:p>
        </w:tc>
      </w:tr>
      <w:tr w:rsidR="0016109D" w:rsidRPr="001D0BD5" w14:paraId="76216544" w14:textId="77777777" w:rsidTr="003A2CCC">
        <w:trPr>
          <w:trHeight w:val="234"/>
        </w:trPr>
        <w:tc>
          <w:tcPr>
            <w:tcW w:w="457" w:type="pct"/>
          </w:tcPr>
          <w:p w14:paraId="6A252C51" w14:textId="77777777" w:rsidR="00B462FE" w:rsidRPr="001D0BD5" w:rsidRDefault="00B462FE" w:rsidP="003A2CCC">
            <w:pPr>
              <w:jc w:val="left"/>
              <w:rPr>
                <w:rFonts w:cstheme="minorHAnsi"/>
                <w:i/>
                <w:sz w:val="16"/>
                <w:szCs w:val="16"/>
              </w:rPr>
            </w:pPr>
            <w:r w:rsidRPr="001D0BD5">
              <w:rPr>
                <w:rFonts w:cstheme="minorHAnsi"/>
                <w:sz w:val="16"/>
                <w:szCs w:val="16"/>
              </w:rPr>
              <w:t>Court Monitoring</w:t>
            </w:r>
          </w:p>
          <w:p w14:paraId="2F221A4F" w14:textId="77777777" w:rsidR="00B462FE" w:rsidRPr="001D0BD5" w:rsidRDefault="00B462FE" w:rsidP="003A2CCC">
            <w:pPr>
              <w:jc w:val="left"/>
              <w:rPr>
                <w:rFonts w:cstheme="minorHAnsi"/>
                <w:i/>
                <w:sz w:val="16"/>
                <w:szCs w:val="16"/>
              </w:rPr>
            </w:pPr>
          </w:p>
          <w:p w14:paraId="4A581E58" w14:textId="77777777" w:rsidR="00B462FE" w:rsidRPr="001D0BD5" w:rsidRDefault="00B462FE" w:rsidP="003A2CCC">
            <w:pPr>
              <w:jc w:val="left"/>
              <w:rPr>
                <w:rFonts w:cstheme="minorHAnsi"/>
                <w:sz w:val="16"/>
                <w:szCs w:val="16"/>
              </w:rPr>
            </w:pPr>
          </w:p>
        </w:tc>
        <w:tc>
          <w:tcPr>
            <w:tcW w:w="721" w:type="pct"/>
          </w:tcPr>
          <w:p w14:paraId="3190E10C" w14:textId="77777777" w:rsidR="00B462FE" w:rsidRPr="001D0BD5" w:rsidRDefault="00B462FE" w:rsidP="003A2CCC">
            <w:pPr>
              <w:jc w:val="left"/>
              <w:rPr>
                <w:rFonts w:cstheme="minorHAnsi"/>
                <w:sz w:val="16"/>
                <w:szCs w:val="16"/>
              </w:rPr>
            </w:pPr>
            <w:r w:rsidRPr="001D0BD5">
              <w:rPr>
                <w:rFonts w:cstheme="minorHAnsi"/>
                <w:sz w:val="16"/>
                <w:szCs w:val="16"/>
              </w:rPr>
              <w:t>To monitor court</w:t>
            </w:r>
            <w:r w:rsidR="009948E6">
              <w:rPr>
                <w:rFonts w:cstheme="minorHAnsi"/>
                <w:sz w:val="16"/>
                <w:szCs w:val="16"/>
              </w:rPr>
              <w:t xml:space="preserve"> rulings and</w:t>
            </w:r>
            <w:r w:rsidRPr="001D0BD5">
              <w:rPr>
                <w:rFonts w:cstheme="minorHAnsi"/>
                <w:sz w:val="16"/>
                <w:szCs w:val="16"/>
              </w:rPr>
              <w:t xml:space="preserve"> practices in cases of VAWC</w:t>
            </w:r>
          </w:p>
          <w:p w14:paraId="1E16635A" w14:textId="77777777" w:rsidR="00B462FE" w:rsidRPr="001D0BD5" w:rsidRDefault="00B462FE" w:rsidP="003A2CCC">
            <w:pPr>
              <w:jc w:val="left"/>
              <w:rPr>
                <w:rFonts w:cstheme="minorHAnsi"/>
                <w:sz w:val="16"/>
                <w:szCs w:val="16"/>
              </w:rPr>
            </w:pPr>
          </w:p>
          <w:p w14:paraId="5BEE2CF0" w14:textId="77777777" w:rsidR="00B462FE" w:rsidRPr="001D0BD5" w:rsidRDefault="00B462FE" w:rsidP="003A2CCC">
            <w:pPr>
              <w:jc w:val="left"/>
              <w:rPr>
                <w:rFonts w:cstheme="minorHAnsi"/>
                <w:sz w:val="16"/>
                <w:szCs w:val="16"/>
              </w:rPr>
            </w:pPr>
          </w:p>
        </w:tc>
        <w:tc>
          <w:tcPr>
            <w:tcW w:w="1230" w:type="pct"/>
          </w:tcPr>
          <w:p w14:paraId="5B3EEAB2" w14:textId="77777777" w:rsidR="00B462FE" w:rsidRPr="001D0BD5" w:rsidRDefault="00B462FE" w:rsidP="003A2CCC">
            <w:pPr>
              <w:jc w:val="left"/>
              <w:rPr>
                <w:rFonts w:cstheme="minorHAnsi"/>
                <w:sz w:val="16"/>
                <w:szCs w:val="16"/>
              </w:rPr>
            </w:pPr>
            <w:r w:rsidRPr="001D0BD5">
              <w:rPr>
                <w:rFonts w:cstheme="minorHAnsi"/>
                <w:sz w:val="16"/>
                <w:szCs w:val="16"/>
              </w:rPr>
              <w:t>Court monitoring is conducted for selected cases of domestic violence. Monitoring assesses the extent to which court actors activities reflect key areas of good practice in domestic violence. All courts in Timor-Leste are monitored, specific cases to be monitored are selected by JSMP. Data are collated, analysed and reported by JSMP, and reports submitted to Nabilan every 6 months.</w:t>
            </w:r>
          </w:p>
          <w:p w14:paraId="17BEA401" w14:textId="77777777" w:rsidR="00B462FE" w:rsidRPr="001D0BD5" w:rsidRDefault="00B462FE" w:rsidP="003A2CCC">
            <w:pPr>
              <w:jc w:val="left"/>
              <w:rPr>
                <w:rFonts w:cstheme="minorHAnsi"/>
                <w:sz w:val="16"/>
                <w:szCs w:val="16"/>
              </w:rPr>
            </w:pPr>
          </w:p>
        </w:tc>
        <w:tc>
          <w:tcPr>
            <w:tcW w:w="677" w:type="pct"/>
          </w:tcPr>
          <w:p w14:paraId="07A67F14" w14:textId="77777777" w:rsidR="00B462FE" w:rsidRPr="001D0BD5" w:rsidRDefault="00B462FE" w:rsidP="003A2CCC">
            <w:pPr>
              <w:pStyle w:val="ListParagraph"/>
              <w:numPr>
                <w:ilvl w:val="0"/>
                <w:numId w:val="37"/>
              </w:numPr>
              <w:rPr>
                <w:rFonts w:cstheme="minorHAnsi"/>
                <w:sz w:val="16"/>
                <w:szCs w:val="16"/>
              </w:rPr>
            </w:pPr>
            <w:r w:rsidRPr="001D0BD5">
              <w:rPr>
                <w:rFonts w:cstheme="minorHAnsi"/>
                <w:sz w:val="16"/>
                <w:szCs w:val="16"/>
              </w:rPr>
              <w:t>Court Monitoring Report</w:t>
            </w:r>
          </w:p>
        </w:tc>
        <w:tc>
          <w:tcPr>
            <w:tcW w:w="542" w:type="pct"/>
          </w:tcPr>
          <w:p w14:paraId="1965C509" w14:textId="4EAAF407" w:rsidR="00B462FE" w:rsidRPr="001D0BD5" w:rsidRDefault="00B462FE" w:rsidP="003A2CCC">
            <w:pPr>
              <w:jc w:val="left"/>
              <w:rPr>
                <w:rFonts w:cstheme="minorHAnsi"/>
                <w:sz w:val="16"/>
                <w:szCs w:val="16"/>
              </w:rPr>
            </w:pPr>
            <w:r w:rsidRPr="001D0BD5">
              <w:rPr>
                <w:rFonts w:cstheme="minorHAnsi"/>
                <w:sz w:val="16"/>
                <w:szCs w:val="16"/>
              </w:rPr>
              <w:t xml:space="preserve">JSMP </w:t>
            </w:r>
          </w:p>
        </w:tc>
        <w:tc>
          <w:tcPr>
            <w:tcW w:w="491" w:type="pct"/>
          </w:tcPr>
          <w:p w14:paraId="7044A888" w14:textId="77777777" w:rsidR="00B462FE" w:rsidRPr="001D0BD5" w:rsidRDefault="00B462FE" w:rsidP="003A2CCC">
            <w:pPr>
              <w:jc w:val="left"/>
              <w:rPr>
                <w:rFonts w:cstheme="minorHAnsi"/>
                <w:sz w:val="16"/>
                <w:szCs w:val="16"/>
              </w:rPr>
            </w:pPr>
            <w:r w:rsidRPr="001D0BD5">
              <w:rPr>
                <w:rFonts w:cstheme="minorHAnsi"/>
                <w:sz w:val="16"/>
                <w:szCs w:val="16"/>
              </w:rPr>
              <w:t>Ongoing</w:t>
            </w:r>
          </w:p>
        </w:tc>
        <w:tc>
          <w:tcPr>
            <w:tcW w:w="471" w:type="pct"/>
          </w:tcPr>
          <w:p w14:paraId="15026770" w14:textId="0F609DB7" w:rsidR="00B462FE" w:rsidRPr="001D0BD5" w:rsidRDefault="00B462FE" w:rsidP="003A2CCC">
            <w:pPr>
              <w:jc w:val="left"/>
              <w:rPr>
                <w:rFonts w:cstheme="minorHAnsi"/>
                <w:sz w:val="16"/>
                <w:szCs w:val="16"/>
              </w:rPr>
            </w:pPr>
            <w:r w:rsidRPr="001D0BD5">
              <w:rPr>
                <w:rFonts w:cstheme="minorHAnsi"/>
                <w:sz w:val="16"/>
                <w:szCs w:val="16"/>
              </w:rPr>
              <w:t>JSMP</w:t>
            </w:r>
          </w:p>
        </w:tc>
        <w:tc>
          <w:tcPr>
            <w:tcW w:w="411" w:type="pct"/>
          </w:tcPr>
          <w:p w14:paraId="1846FB3F" w14:textId="77777777" w:rsidR="00B462FE" w:rsidRPr="001D0BD5" w:rsidRDefault="00B462FE" w:rsidP="003A2CCC">
            <w:pPr>
              <w:jc w:val="left"/>
              <w:rPr>
                <w:rFonts w:cstheme="minorHAnsi"/>
                <w:sz w:val="16"/>
                <w:szCs w:val="16"/>
              </w:rPr>
            </w:pPr>
            <w:r w:rsidRPr="001D0BD5">
              <w:rPr>
                <w:rFonts w:cstheme="minorHAnsi"/>
                <w:sz w:val="16"/>
                <w:szCs w:val="16"/>
              </w:rPr>
              <w:t>6-monthly (reporting period January-June, July-December)</w:t>
            </w:r>
          </w:p>
        </w:tc>
      </w:tr>
      <w:tr w:rsidR="0016109D" w:rsidRPr="001D0BD5" w14:paraId="0F988403" w14:textId="77777777" w:rsidTr="003A2CCC">
        <w:trPr>
          <w:trHeight w:val="234"/>
        </w:trPr>
        <w:tc>
          <w:tcPr>
            <w:tcW w:w="457" w:type="pct"/>
          </w:tcPr>
          <w:p w14:paraId="7A36E98B" w14:textId="77777777" w:rsidR="00B462FE" w:rsidRPr="001D0BD5" w:rsidRDefault="00B462FE" w:rsidP="003A2CCC">
            <w:pPr>
              <w:spacing w:after="120"/>
              <w:jc w:val="left"/>
              <w:rPr>
                <w:rFonts w:cstheme="minorHAnsi"/>
                <w:sz w:val="16"/>
                <w:szCs w:val="16"/>
              </w:rPr>
            </w:pPr>
            <w:r w:rsidRPr="001D0BD5">
              <w:rPr>
                <w:rFonts w:cstheme="minorHAnsi"/>
                <w:sz w:val="16"/>
                <w:szCs w:val="16"/>
              </w:rPr>
              <w:t>Lancet Effectiveness Scale</w:t>
            </w:r>
          </w:p>
          <w:p w14:paraId="27AA85D7" w14:textId="77777777" w:rsidR="00B462FE" w:rsidRPr="001D0BD5" w:rsidRDefault="00B462FE" w:rsidP="003A2CCC">
            <w:pPr>
              <w:jc w:val="left"/>
              <w:rPr>
                <w:rFonts w:cstheme="minorHAnsi"/>
                <w:sz w:val="16"/>
                <w:szCs w:val="16"/>
              </w:rPr>
            </w:pPr>
          </w:p>
        </w:tc>
        <w:tc>
          <w:tcPr>
            <w:tcW w:w="721" w:type="pct"/>
          </w:tcPr>
          <w:p w14:paraId="53DD44D3" w14:textId="77777777" w:rsidR="00B462FE" w:rsidRPr="001D0BD5" w:rsidRDefault="00B462FE" w:rsidP="003A2CCC">
            <w:pPr>
              <w:jc w:val="left"/>
              <w:rPr>
                <w:rFonts w:cstheme="minorHAnsi"/>
                <w:sz w:val="16"/>
                <w:szCs w:val="16"/>
                <w:shd w:val="clear" w:color="auto" w:fill="FFFFFF"/>
              </w:rPr>
            </w:pPr>
            <w:r w:rsidRPr="001D0BD5">
              <w:rPr>
                <w:rFonts w:cstheme="minorHAnsi"/>
                <w:sz w:val="16"/>
                <w:szCs w:val="16"/>
                <w:shd w:val="clear" w:color="auto" w:fill="FFFFFF"/>
              </w:rPr>
              <w:t>To assess the quality of prevention programming implemented by partners</w:t>
            </w:r>
          </w:p>
          <w:p w14:paraId="6AA62393" w14:textId="77777777" w:rsidR="00B462FE" w:rsidRPr="001D0BD5" w:rsidRDefault="00B462FE" w:rsidP="003A2CCC">
            <w:pPr>
              <w:jc w:val="left"/>
              <w:rPr>
                <w:rFonts w:cstheme="minorHAnsi"/>
                <w:sz w:val="16"/>
                <w:szCs w:val="16"/>
                <w:shd w:val="clear" w:color="auto" w:fill="FFFFFF"/>
              </w:rPr>
            </w:pPr>
          </w:p>
        </w:tc>
        <w:tc>
          <w:tcPr>
            <w:tcW w:w="1230" w:type="pct"/>
          </w:tcPr>
          <w:p w14:paraId="02AF9ED7" w14:textId="179BF826" w:rsidR="00B462FE" w:rsidRPr="001D0BD5" w:rsidRDefault="009948E6" w:rsidP="003A2CCC">
            <w:pPr>
              <w:jc w:val="left"/>
              <w:rPr>
                <w:rFonts w:cstheme="minorHAnsi"/>
                <w:sz w:val="16"/>
                <w:szCs w:val="16"/>
              </w:rPr>
            </w:pPr>
            <w:r>
              <w:rPr>
                <w:rFonts w:cstheme="minorHAnsi"/>
                <w:sz w:val="16"/>
                <w:szCs w:val="16"/>
                <w:shd w:val="clear" w:color="auto" w:fill="FFFFFF"/>
              </w:rPr>
              <w:t xml:space="preserve">This scale </w:t>
            </w:r>
            <w:r w:rsidR="00B462FE" w:rsidRPr="001D0BD5">
              <w:rPr>
                <w:rFonts w:cstheme="minorHAnsi"/>
                <w:sz w:val="16"/>
                <w:szCs w:val="16"/>
                <w:shd w:val="clear" w:color="auto" w:fill="FFFFFF"/>
              </w:rPr>
              <w:t>assess</w:t>
            </w:r>
            <w:r>
              <w:rPr>
                <w:rFonts w:cstheme="minorHAnsi"/>
                <w:sz w:val="16"/>
                <w:szCs w:val="16"/>
                <w:shd w:val="clear" w:color="auto" w:fill="FFFFFF"/>
              </w:rPr>
              <w:t>es</w:t>
            </w:r>
            <w:r w:rsidR="00B462FE" w:rsidRPr="001D0BD5">
              <w:rPr>
                <w:rFonts w:cstheme="minorHAnsi"/>
                <w:sz w:val="16"/>
                <w:szCs w:val="16"/>
                <w:shd w:val="clear" w:color="auto" w:fill="FFFFFF"/>
              </w:rPr>
              <w:t xml:space="preserve"> the quality of prevention program delivery across a range of key evidence-based principles for effective programming for ending VAWC.</w:t>
            </w:r>
            <w:r>
              <w:rPr>
                <w:rFonts w:cstheme="minorHAnsi"/>
                <w:sz w:val="16"/>
                <w:szCs w:val="16"/>
                <w:shd w:val="clear" w:color="auto" w:fill="FFFFFF"/>
              </w:rPr>
              <w:t xml:space="preserve"> The scale is completed annually by Nabilan staff for each partner</w:t>
            </w:r>
          </w:p>
        </w:tc>
        <w:tc>
          <w:tcPr>
            <w:tcW w:w="677" w:type="pct"/>
          </w:tcPr>
          <w:p w14:paraId="266D48D1" w14:textId="77777777" w:rsidR="00B462FE" w:rsidRDefault="00B462FE" w:rsidP="003A2CCC">
            <w:pPr>
              <w:pStyle w:val="ListParagraph"/>
              <w:numPr>
                <w:ilvl w:val="0"/>
                <w:numId w:val="36"/>
              </w:numPr>
              <w:rPr>
                <w:rFonts w:cstheme="minorHAnsi"/>
                <w:sz w:val="16"/>
                <w:szCs w:val="16"/>
              </w:rPr>
            </w:pPr>
            <w:r w:rsidRPr="001D0BD5">
              <w:rPr>
                <w:rFonts w:cstheme="minorHAnsi"/>
                <w:sz w:val="16"/>
                <w:szCs w:val="16"/>
              </w:rPr>
              <w:t>Lancet Effectiveness Scale checklist</w:t>
            </w:r>
          </w:p>
          <w:p w14:paraId="498F41EF" w14:textId="77777777" w:rsidR="009948E6" w:rsidRPr="001D0BD5" w:rsidRDefault="009948E6" w:rsidP="003A2CCC">
            <w:pPr>
              <w:pStyle w:val="ListParagraph"/>
              <w:ind w:left="360" w:firstLine="0"/>
              <w:rPr>
                <w:rFonts w:cstheme="minorHAnsi"/>
                <w:sz w:val="16"/>
                <w:szCs w:val="16"/>
              </w:rPr>
            </w:pPr>
          </w:p>
        </w:tc>
        <w:tc>
          <w:tcPr>
            <w:tcW w:w="542" w:type="pct"/>
          </w:tcPr>
          <w:p w14:paraId="17E14DA9" w14:textId="7AE0459B" w:rsidR="00B462FE" w:rsidRPr="001D0BD5" w:rsidRDefault="009948E6" w:rsidP="003A2CCC">
            <w:pPr>
              <w:jc w:val="left"/>
              <w:rPr>
                <w:rFonts w:cstheme="minorHAnsi"/>
                <w:sz w:val="16"/>
                <w:szCs w:val="16"/>
              </w:rPr>
            </w:pPr>
            <w:r>
              <w:rPr>
                <w:rFonts w:cstheme="minorHAnsi"/>
                <w:sz w:val="16"/>
                <w:szCs w:val="16"/>
              </w:rPr>
              <w:t xml:space="preserve">Nabilan </w:t>
            </w:r>
            <w:r w:rsidR="00111DAD">
              <w:rPr>
                <w:rFonts w:cstheme="minorHAnsi"/>
                <w:sz w:val="16"/>
                <w:szCs w:val="16"/>
              </w:rPr>
              <w:t xml:space="preserve">– </w:t>
            </w:r>
            <w:r w:rsidR="0016109D">
              <w:rPr>
                <w:rFonts w:cstheme="minorHAnsi"/>
                <w:sz w:val="16"/>
                <w:szCs w:val="16"/>
              </w:rPr>
              <w:t xml:space="preserve">Social Norms Change </w:t>
            </w:r>
            <w:r w:rsidR="00111DAD">
              <w:rPr>
                <w:rFonts w:cstheme="minorHAnsi"/>
                <w:sz w:val="16"/>
                <w:szCs w:val="16"/>
              </w:rPr>
              <w:t>team</w:t>
            </w:r>
          </w:p>
        </w:tc>
        <w:tc>
          <w:tcPr>
            <w:tcW w:w="491" w:type="pct"/>
          </w:tcPr>
          <w:p w14:paraId="396D0C16" w14:textId="77777777" w:rsidR="00B462FE" w:rsidRPr="001D0BD5" w:rsidRDefault="00B462FE" w:rsidP="003A2CCC">
            <w:pPr>
              <w:jc w:val="left"/>
              <w:rPr>
                <w:rFonts w:cstheme="minorHAnsi"/>
                <w:sz w:val="16"/>
                <w:szCs w:val="16"/>
              </w:rPr>
            </w:pPr>
            <w:r w:rsidRPr="001D0BD5">
              <w:rPr>
                <w:rFonts w:cstheme="minorHAnsi"/>
                <w:sz w:val="16"/>
                <w:szCs w:val="16"/>
              </w:rPr>
              <w:t>Annually</w:t>
            </w:r>
          </w:p>
        </w:tc>
        <w:tc>
          <w:tcPr>
            <w:tcW w:w="471" w:type="pct"/>
          </w:tcPr>
          <w:p w14:paraId="27756A9B" w14:textId="08DB53D5" w:rsidR="00B462FE" w:rsidRPr="001D0BD5" w:rsidRDefault="002037BD" w:rsidP="003A2CCC">
            <w:pPr>
              <w:jc w:val="left"/>
              <w:rPr>
                <w:rFonts w:cstheme="minorHAnsi"/>
                <w:sz w:val="16"/>
                <w:szCs w:val="16"/>
              </w:rPr>
            </w:pPr>
            <w:r>
              <w:rPr>
                <w:rFonts w:cstheme="minorHAnsi"/>
                <w:sz w:val="16"/>
                <w:szCs w:val="16"/>
              </w:rPr>
              <w:t xml:space="preserve">Nabilan </w:t>
            </w:r>
            <w:r w:rsidR="00111DAD">
              <w:rPr>
                <w:rFonts w:cstheme="minorHAnsi"/>
                <w:sz w:val="16"/>
                <w:szCs w:val="16"/>
              </w:rPr>
              <w:t>– Prevention team</w:t>
            </w:r>
          </w:p>
        </w:tc>
        <w:tc>
          <w:tcPr>
            <w:tcW w:w="411" w:type="pct"/>
          </w:tcPr>
          <w:p w14:paraId="5E878224" w14:textId="77777777" w:rsidR="00B462FE" w:rsidRPr="001D0BD5" w:rsidRDefault="00B462FE" w:rsidP="003A2CCC">
            <w:pPr>
              <w:jc w:val="left"/>
              <w:rPr>
                <w:rFonts w:cstheme="minorHAnsi"/>
                <w:sz w:val="16"/>
                <w:szCs w:val="16"/>
              </w:rPr>
            </w:pPr>
            <w:r w:rsidRPr="001D0BD5">
              <w:rPr>
                <w:rFonts w:cstheme="minorHAnsi"/>
                <w:sz w:val="16"/>
                <w:szCs w:val="16"/>
              </w:rPr>
              <w:t>Annually (reporting period January-December)</w:t>
            </w:r>
          </w:p>
        </w:tc>
      </w:tr>
      <w:tr w:rsidR="0016109D" w:rsidRPr="001D0BD5" w14:paraId="2A1FE834" w14:textId="77777777" w:rsidTr="003A2CCC">
        <w:trPr>
          <w:trHeight w:val="234"/>
        </w:trPr>
        <w:tc>
          <w:tcPr>
            <w:tcW w:w="457" w:type="pct"/>
          </w:tcPr>
          <w:p w14:paraId="690D0DE7" w14:textId="77777777" w:rsidR="00B462FE" w:rsidRPr="001D0BD5" w:rsidRDefault="00B462FE" w:rsidP="003A2CCC">
            <w:pPr>
              <w:spacing w:after="120"/>
              <w:jc w:val="left"/>
              <w:rPr>
                <w:rFonts w:cstheme="minorHAnsi"/>
                <w:sz w:val="16"/>
                <w:szCs w:val="16"/>
              </w:rPr>
            </w:pPr>
            <w:r w:rsidRPr="001D0BD5">
              <w:rPr>
                <w:rFonts w:cstheme="minorHAnsi"/>
                <w:sz w:val="16"/>
                <w:szCs w:val="16"/>
              </w:rPr>
              <w:t>Mid-term Review</w:t>
            </w:r>
          </w:p>
        </w:tc>
        <w:tc>
          <w:tcPr>
            <w:tcW w:w="721" w:type="pct"/>
          </w:tcPr>
          <w:p w14:paraId="34DB3434" w14:textId="77777777" w:rsidR="00B462FE" w:rsidRPr="001D0BD5" w:rsidRDefault="00B462FE" w:rsidP="003A2CCC">
            <w:pPr>
              <w:spacing w:after="60"/>
              <w:jc w:val="left"/>
              <w:rPr>
                <w:rFonts w:cstheme="minorHAnsi"/>
                <w:sz w:val="16"/>
                <w:szCs w:val="16"/>
              </w:rPr>
            </w:pPr>
            <w:r w:rsidRPr="001D0BD5">
              <w:rPr>
                <w:rFonts w:cstheme="minorHAnsi"/>
                <w:sz w:val="16"/>
                <w:szCs w:val="16"/>
              </w:rPr>
              <w:t xml:space="preserve">To assess the results of Nabilan’s collective activities over an extended period of time. </w:t>
            </w:r>
          </w:p>
          <w:p w14:paraId="586E8E33" w14:textId="77777777" w:rsidR="00B462FE" w:rsidRPr="001D0BD5" w:rsidRDefault="00B462FE" w:rsidP="003A2CCC">
            <w:pPr>
              <w:jc w:val="left"/>
              <w:rPr>
                <w:rFonts w:cstheme="minorHAnsi"/>
                <w:sz w:val="16"/>
                <w:szCs w:val="16"/>
              </w:rPr>
            </w:pPr>
          </w:p>
          <w:p w14:paraId="2452162B" w14:textId="77777777" w:rsidR="00B462FE" w:rsidRPr="001D0BD5" w:rsidRDefault="00B462FE" w:rsidP="003A2CCC">
            <w:pPr>
              <w:jc w:val="left"/>
              <w:rPr>
                <w:rFonts w:cstheme="minorHAnsi"/>
                <w:sz w:val="16"/>
                <w:szCs w:val="16"/>
              </w:rPr>
            </w:pPr>
          </w:p>
          <w:p w14:paraId="7C2928B7" w14:textId="77777777" w:rsidR="00B462FE" w:rsidRPr="001D0BD5" w:rsidRDefault="00B462FE" w:rsidP="003A2CCC">
            <w:pPr>
              <w:jc w:val="left"/>
              <w:rPr>
                <w:rFonts w:cstheme="minorHAnsi"/>
                <w:sz w:val="16"/>
                <w:szCs w:val="16"/>
                <w:highlight w:val="yellow"/>
              </w:rPr>
            </w:pPr>
          </w:p>
        </w:tc>
        <w:tc>
          <w:tcPr>
            <w:tcW w:w="1230" w:type="pct"/>
          </w:tcPr>
          <w:p w14:paraId="520BDE0E" w14:textId="7F373367" w:rsidR="00B462FE" w:rsidRPr="001D0BD5" w:rsidRDefault="00B462FE" w:rsidP="003A2CCC">
            <w:pPr>
              <w:spacing w:after="60"/>
              <w:jc w:val="left"/>
              <w:rPr>
                <w:rFonts w:cstheme="minorHAnsi"/>
                <w:sz w:val="16"/>
                <w:szCs w:val="16"/>
              </w:rPr>
            </w:pPr>
            <w:r w:rsidRPr="001D0BD5">
              <w:rPr>
                <w:rFonts w:cstheme="minorHAnsi"/>
                <w:sz w:val="16"/>
                <w:szCs w:val="16"/>
              </w:rPr>
              <w:t>A mid-term review will be conducted in 2020</w:t>
            </w:r>
            <w:r w:rsidR="00AE485F">
              <w:rPr>
                <w:rFonts w:cstheme="minorHAnsi"/>
                <w:sz w:val="16"/>
                <w:szCs w:val="16"/>
              </w:rPr>
              <w:t>/21</w:t>
            </w:r>
            <w:r w:rsidRPr="001D0BD5">
              <w:rPr>
                <w:rFonts w:cstheme="minorHAnsi"/>
                <w:sz w:val="16"/>
                <w:szCs w:val="16"/>
              </w:rPr>
              <w:t xml:space="preserve"> by an external evaluation organisation, overseen by </w:t>
            </w:r>
            <w:r w:rsidR="00AE485F">
              <w:rPr>
                <w:rFonts w:cstheme="minorHAnsi"/>
                <w:sz w:val="16"/>
                <w:szCs w:val="16"/>
              </w:rPr>
              <w:t>the Embassy</w:t>
            </w:r>
            <w:r w:rsidRPr="001D0BD5">
              <w:rPr>
                <w:rFonts w:cstheme="minorHAnsi"/>
                <w:sz w:val="16"/>
                <w:szCs w:val="16"/>
              </w:rPr>
              <w:t xml:space="preserve"> and M&amp;E House. The review will draw on multiple data sources to respond to the key evaluation questions and assess the collective impact of Nabilan’s programming to date. The mid-term review </w:t>
            </w:r>
            <w:r w:rsidR="00AE485F">
              <w:rPr>
                <w:rFonts w:cstheme="minorHAnsi"/>
                <w:sz w:val="16"/>
                <w:szCs w:val="16"/>
              </w:rPr>
              <w:t>may</w:t>
            </w:r>
            <w:r w:rsidRPr="001D0BD5">
              <w:rPr>
                <w:rFonts w:cstheme="minorHAnsi"/>
                <w:sz w:val="16"/>
                <w:szCs w:val="16"/>
              </w:rPr>
              <w:t xml:space="preserve"> investigate the effectiveness, appropriateness and sustainability of the CBA approach piloted in suku Letefoho, and identify lessons learned from this approach that could inform replication and scale-up in other locations.</w:t>
            </w:r>
            <w:r w:rsidR="002037BD">
              <w:rPr>
                <w:rFonts w:cstheme="minorHAnsi"/>
                <w:sz w:val="16"/>
                <w:szCs w:val="16"/>
              </w:rPr>
              <w:t xml:space="preserve"> </w:t>
            </w:r>
            <w:r w:rsidR="002037BD" w:rsidRPr="001D0BD5">
              <w:rPr>
                <w:rFonts w:cstheme="minorHAnsi"/>
                <w:sz w:val="16"/>
                <w:szCs w:val="16"/>
              </w:rPr>
              <w:t>It is anticipated the review would draw on existing data sources and international literature, and include Key Informant Interviews with a range of stakeholders such as government counterparts, CSOs and beneficiaries.</w:t>
            </w:r>
          </w:p>
          <w:p w14:paraId="2C529661" w14:textId="03BBF773" w:rsidR="00B462FE" w:rsidRPr="001D0BD5" w:rsidRDefault="00AE485F" w:rsidP="003A2CCC">
            <w:pPr>
              <w:jc w:val="left"/>
              <w:rPr>
                <w:rFonts w:cstheme="minorHAnsi"/>
                <w:sz w:val="16"/>
                <w:szCs w:val="16"/>
              </w:rPr>
            </w:pPr>
            <w:r>
              <w:rPr>
                <w:rFonts w:cstheme="minorHAnsi"/>
                <w:sz w:val="16"/>
                <w:szCs w:val="16"/>
              </w:rPr>
              <w:t>The Embassy</w:t>
            </w:r>
            <w:r w:rsidRPr="001D0BD5">
              <w:rPr>
                <w:rFonts w:cstheme="minorHAnsi"/>
                <w:sz w:val="16"/>
                <w:szCs w:val="16"/>
              </w:rPr>
              <w:t xml:space="preserve"> </w:t>
            </w:r>
            <w:r w:rsidR="00B462FE" w:rsidRPr="001D0BD5">
              <w:rPr>
                <w:rFonts w:cstheme="minorHAnsi"/>
                <w:sz w:val="16"/>
                <w:szCs w:val="16"/>
              </w:rPr>
              <w:t>will be responsible for developing the Terms of Reference for the Mid-term review and identifying key evaluation questions for the review (based on the MELF). The external organisation will be responsible for planning the review, collecting and analysing data, and preparing a report.</w:t>
            </w:r>
          </w:p>
          <w:p w14:paraId="775FD22A" w14:textId="77777777" w:rsidR="00B462FE" w:rsidRPr="001D0BD5" w:rsidRDefault="00B462FE" w:rsidP="003A2CCC">
            <w:pPr>
              <w:jc w:val="left"/>
              <w:rPr>
                <w:rFonts w:cstheme="minorHAnsi"/>
                <w:sz w:val="16"/>
                <w:szCs w:val="16"/>
              </w:rPr>
            </w:pPr>
          </w:p>
          <w:p w14:paraId="320E87AD" w14:textId="252CDE1E" w:rsidR="00B462FE" w:rsidRPr="001D0BD5" w:rsidRDefault="00B462FE" w:rsidP="003A2CCC">
            <w:pPr>
              <w:jc w:val="left"/>
              <w:rPr>
                <w:rFonts w:cstheme="minorHAnsi"/>
                <w:sz w:val="16"/>
                <w:szCs w:val="16"/>
              </w:rPr>
            </w:pPr>
            <w:r w:rsidRPr="001D0BD5">
              <w:rPr>
                <w:rFonts w:cstheme="minorHAnsi"/>
                <w:sz w:val="16"/>
                <w:szCs w:val="16"/>
              </w:rPr>
              <w:t xml:space="preserve">In addition to the mid-term review, </w:t>
            </w:r>
            <w:r w:rsidR="00AE485F">
              <w:rPr>
                <w:rFonts w:cstheme="minorHAnsi"/>
                <w:sz w:val="16"/>
                <w:szCs w:val="16"/>
              </w:rPr>
              <w:t xml:space="preserve">additional </w:t>
            </w:r>
            <w:r w:rsidRPr="001D0BD5">
              <w:rPr>
                <w:rFonts w:cstheme="minorHAnsi"/>
                <w:sz w:val="16"/>
                <w:szCs w:val="16"/>
              </w:rPr>
              <w:t>strategic reviews undertaken by the Australian Embassy (with support from M&amp;E House) are also likely to focus on core Nabilan work areas such as gender, which will provide additional evidence for the program.</w:t>
            </w:r>
          </w:p>
          <w:p w14:paraId="7277B968" w14:textId="77777777" w:rsidR="00B462FE" w:rsidRPr="001D0BD5" w:rsidRDefault="00B462FE" w:rsidP="003A2CCC">
            <w:pPr>
              <w:jc w:val="left"/>
              <w:rPr>
                <w:rFonts w:cstheme="minorHAnsi"/>
                <w:sz w:val="16"/>
                <w:szCs w:val="16"/>
              </w:rPr>
            </w:pPr>
          </w:p>
        </w:tc>
        <w:tc>
          <w:tcPr>
            <w:tcW w:w="677" w:type="pct"/>
          </w:tcPr>
          <w:p w14:paraId="7610C882" w14:textId="77777777" w:rsidR="00B462FE" w:rsidRPr="001D0BD5" w:rsidRDefault="00B462FE" w:rsidP="003A2CCC">
            <w:pPr>
              <w:pStyle w:val="ListParagraph"/>
              <w:numPr>
                <w:ilvl w:val="0"/>
                <w:numId w:val="35"/>
              </w:numPr>
              <w:rPr>
                <w:rFonts w:cstheme="minorHAnsi"/>
                <w:sz w:val="16"/>
                <w:szCs w:val="16"/>
              </w:rPr>
            </w:pPr>
            <w:r w:rsidRPr="001D0BD5">
              <w:rPr>
                <w:rFonts w:cstheme="minorHAnsi"/>
                <w:sz w:val="16"/>
                <w:szCs w:val="16"/>
              </w:rPr>
              <w:t>Terms of Reference for Mid-term review</w:t>
            </w:r>
          </w:p>
          <w:p w14:paraId="7CE91BA2" w14:textId="77777777" w:rsidR="00B462FE" w:rsidRPr="001D0BD5" w:rsidRDefault="00B462FE" w:rsidP="003A2CCC">
            <w:pPr>
              <w:pStyle w:val="ListParagraph"/>
              <w:numPr>
                <w:ilvl w:val="0"/>
                <w:numId w:val="35"/>
              </w:numPr>
              <w:rPr>
                <w:rFonts w:cstheme="minorHAnsi"/>
                <w:sz w:val="16"/>
                <w:szCs w:val="16"/>
              </w:rPr>
            </w:pPr>
            <w:r w:rsidRPr="001D0BD5">
              <w:rPr>
                <w:rFonts w:cstheme="minorHAnsi"/>
                <w:sz w:val="16"/>
                <w:szCs w:val="16"/>
              </w:rPr>
              <w:t xml:space="preserve">Data collection tools to be developed by contracted external evaluation organization.   </w:t>
            </w:r>
          </w:p>
        </w:tc>
        <w:tc>
          <w:tcPr>
            <w:tcW w:w="542" w:type="pct"/>
          </w:tcPr>
          <w:p w14:paraId="15D61229" w14:textId="670D3755" w:rsidR="00B462FE" w:rsidRPr="001D0BD5" w:rsidRDefault="00111DAD" w:rsidP="003A2CCC">
            <w:pPr>
              <w:jc w:val="left"/>
              <w:rPr>
                <w:rFonts w:cstheme="minorHAnsi"/>
                <w:sz w:val="16"/>
                <w:szCs w:val="16"/>
                <w:highlight w:val="yellow"/>
              </w:rPr>
            </w:pPr>
            <w:r w:rsidRPr="001D0BD5">
              <w:rPr>
                <w:rFonts w:cstheme="minorHAnsi"/>
                <w:sz w:val="16"/>
                <w:szCs w:val="16"/>
              </w:rPr>
              <w:t>External evaluation organisation</w:t>
            </w:r>
          </w:p>
        </w:tc>
        <w:tc>
          <w:tcPr>
            <w:tcW w:w="491" w:type="pct"/>
          </w:tcPr>
          <w:p w14:paraId="50836F8F" w14:textId="77777777" w:rsidR="00B462FE" w:rsidRPr="001D0BD5" w:rsidRDefault="00B462FE" w:rsidP="003A2CCC">
            <w:pPr>
              <w:jc w:val="left"/>
              <w:rPr>
                <w:rFonts w:cstheme="minorHAnsi"/>
                <w:sz w:val="16"/>
                <w:szCs w:val="16"/>
              </w:rPr>
            </w:pPr>
            <w:r w:rsidRPr="001D0BD5">
              <w:rPr>
                <w:rFonts w:cstheme="minorHAnsi"/>
                <w:sz w:val="16"/>
                <w:szCs w:val="16"/>
              </w:rPr>
              <w:t>One-off</w:t>
            </w:r>
          </w:p>
        </w:tc>
        <w:tc>
          <w:tcPr>
            <w:tcW w:w="471" w:type="pct"/>
          </w:tcPr>
          <w:p w14:paraId="5D5B916C" w14:textId="21B85868" w:rsidR="00B462FE" w:rsidRPr="001D0BD5" w:rsidRDefault="00B462FE" w:rsidP="003A2CCC">
            <w:pPr>
              <w:jc w:val="left"/>
              <w:rPr>
                <w:rFonts w:cstheme="minorHAnsi"/>
                <w:sz w:val="16"/>
                <w:szCs w:val="16"/>
              </w:rPr>
            </w:pPr>
            <w:r w:rsidRPr="001D0BD5">
              <w:rPr>
                <w:rFonts w:cstheme="minorHAnsi"/>
                <w:sz w:val="16"/>
                <w:szCs w:val="16"/>
              </w:rPr>
              <w:t xml:space="preserve">External evaluation organisation; managed by </w:t>
            </w:r>
            <w:r w:rsidR="00AE485F">
              <w:rPr>
                <w:rFonts w:cstheme="minorHAnsi"/>
                <w:sz w:val="16"/>
                <w:szCs w:val="16"/>
              </w:rPr>
              <w:t xml:space="preserve">Embassy </w:t>
            </w:r>
            <w:r w:rsidRPr="001D0BD5">
              <w:rPr>
                <w:rFonts w:cstheme="minorHAnsi"/>
                <w:sz w:val="16"/>
                <w:szCs w:val="16"/>
              </w:rPr>
              <w:t xml:space="preserve">with support of M&amp;E House </w:t>
            </w:r>
          </w:p>
          <w:p w14:paraId="1CE6B939" w14:textId="77777777" w:rsidR="00B462FE" w:rsidRPr="001D0BD5" w:rsidRDefault="00B462FE" w:rsidP="003A2CCC">
            <w:pPr>
              <w:jc w:val="left"/>
              <w:rPr>
                <w:rFonts w:cstheme="minorHAnsi"/>
                <w:sz w:val="16"/>
                <w:szCs w:val="16"/>
              </w:rPr>
            </w:pPr>
          </w:p>
        </w:tc>
        <w:tc>
          <w:tcPr>
            <w:tcW w:w="411" w:type="pct"/>
          </w:tcPr>
          <w:p w14:paraId="5A5C8324" w14:textId="77777777" w:rsidR="00B462FE" w:rsidRPr="001D0BD5" w:rsidRDefault="00B462FE" w:rsidP="003A2CCC">
            <w:pPr>
              <w:jc w:val="left"/>
              <w:rPr>
                <w:rFonts w:cstheme="minorHAnsi"/>
                <w:sz w:val="16"/>
                <w:szCs w:val="16"/>
              </w:rPr>
            </w:pPr>
            <w:r w:rsidRPr="001D0BD5">
              <w:rPr>
                <w:rFonts w:cstheme="minorHAnsi"/>
                <w:sz w:val="16"/>
                <w:szCs w:val="16"/>
              </w:rPr>
              <w:t>2020, after completion of CBA pilot</w:t>
            </w:r>
          </w:p>
        </w:tc>
      </w:tr>
      <w:tr w:rsidR="0016109D" w:rsidRPr="001D0BD5" w14:paraId="142EA905" w14:textId="77777777" w:rsidTr="003A2CCC">
        <w:trPr>
          <w:trHeight w:val="234"/>
        </w:trPr>
        <w:tc>
          <w:tcPr>
            <w:tcW w:w="457" w:type="pct"/>
          </w:tcPr>
          <w:p w14:paraId="251BCA7D" w14:textId="77777777" w:rsidR="00B462FE" w:rsidRPr="001D0BD5" w:rsidRDefault="00B462FE" w:rsidP="003A2CCC">
            <w:pPr>
              <w:spacing w:after="120"/>
              <w:jc w:val="left"/>
              <w:rPr>
                <w:rFonts w:cstheme="minorHAnsi"/>
                <w:sz w:val="16"/>
                <w:szCs w:val="16"/>
              </w:rPr>
            </w:pPr>
            <w:r w:rsidRPr="001D0BD5">
              <w:rPr>
                <w:rFonts w:cstheme="minorHAnsi"/>
                <w:sz w:val="16"/>
                <w:szCs w:val="16"/>
              </w:rPr>
              <w:t>Change Ambassadors survey</w:t>
            </w:r>
          </w:p>
          <w:p w14:paraId="3633EEB5" w14:textId="77777777" w:rsidR="00B462FE" w:rsidRPr="001D0BD5" w:rsidRDefault="00B462FE" w:rsidP="003A2CCC">
            <w:pPr>
              <w:spacing w:after="120"/>
              <w:jc w:val="left"/>
              <w:rPr>
                <w:rFonts w:cstheme="minorHAnsi"/>
                <w:i/>
                <w:sz w:val="16"/>
                <w:szCs w:val="16"/>
              </w:rPr>
            </w:pPr>
            <w:r w:rsidRPr="001D0BD5">
              <w:rPr>
                <w:rFonts w:cstheme="minorHAnsi"/>
                <w:i/>
                <w:sz w:val="16"/>
                <w:szCs w:val="16"/>
              </w:rPr>
              <w:t>*New tool</w:t>
            </w:r>
          </w:p>
        </w:tc>
        <w:tc>
          <w:tcPr>
            <w:tcW w:w="721" w:type="pct"/>
          </w:tcPr>
          <w:p w14:paraId="015972AB" w14:textId="77777777" w:rsidR="00B462FE" w:rsidRPr="001D0BD5" w:rsidRDefault="00B462FE" w:rsidP="003A2CCC">
            <w:pPr>
              <w:jc w:val="left"/>
              <w:rPr>
                <w:rFonts w:cstheme="minorHAnsi"/>
                <w:sz w:val="16"/>
                <w:szCs w:val="16"/>
              </w:rPr>
            </w:pPr>
            <w:r w:rsidRPr="001D0BD5">
              <w:rPr>
                <w:rFonts w:cstheme="minorHAnsi"/>
                <w:sz w:val="16"/>
                <w:szCs w:val="16"/>
              </w:rPr>
              <w:t>To collect information about Change Ambassadors’ influence in their organisations.</w:t>
            </w:r>
          </w:p>
          <w:p w14:paraId="5F90C696" w14:textId="77777777" w:rsidR="00B462FE" w:rsidRPr="001D0BD5" w:rsidRDefault="00B462FE" w:rsidP="003A2CCC">
            <w:pPr>
              <w:jc w:val="left"/>
              <w:rPr>
                <w:rFonts w:cstheme="minorHAnsi"/>
                <w:sz w:val="16"/>
                <w:szCs w:val="16"/>
              </w:rPr>
            </w:pPr>
          </w:p>
          <w:p w14:paraId="501F58BC" w14:textId="77777777" w:rsidR="00B462FE" w:rsidRPr="001D0BD5" w:rsidRDefault="00B462FE" w:rsidP="003A2CCC">
            <w:pPr>
              <w:jc w:val="left"/>
              <w:rPr>
                <w:rFonts w:cstheme="minorHAnsi"/>
                <w:sz w:val="16"/>
                <w:szCs w:val="16"/>
              </w:rPr>
            </w:pPr>
          </w:p>
        </w:tc>
        <w:tc>
          <w:tcPr>
            <w:tcW w:w="1230" w:type="pct"/>
          </w:tcPr>
          <w:p w14:paraId="5D9C0D58" w14:textId="4472BA9C" w:rsidR="00B462FE" w:rsidRPr="001D0BD5" w:rsidRDefault="00B462FE" w:rsidP="003A2CCC">
            <w:pPr>
              <w:jc w:val="left"/>
              <w:rPr>
                <w:rFonts w:cstheme="minorHAnsi"/>
                <w:sz w:val="16"/>
                <w:szCs w:val="16"/>
              </w:rPr>
            </w:pPr>
            <w:r w:rsidRPr="001D0BD5">
              <w:rPr>
                <w:rFonts w:cstheme="minorHAnsi"/>
                <w:sz w:val="16"/>
                <w:szCs w:val="16"/>
              </w:rPr>
              <w:t>An annual survey of Change Ambassadors will be conducted</w:t>
            </w:r>
            <w:r w:rsidR="00F14E6B">
              <w:rPr>
                <w:rFonts w:cstheme="minorHAnsi"/>
                <w:sz w:val="16"/>
                <w:szCs w:val="16"/>
              </w:rPr>
              <w:t xml:space="preserve">, to collect information about </w:t>
            </w:r>
            <w:r w:rsidRPr="001D0BD5">
              <w:rPr>
                <w:rFonts w:cstheme="minorHAnsi"/>
                <w:sz w:val="16"/>
                <w:szCs w:val="16"/>
              </w:rPr>
              <w:t xml:space="preserve">the quality and relevance of support provided, </w:t>
            </w:r>
            <w:r w:rsidR="00F14E6B">
              <w:rPr>
                <w:rFonts w:cstheme="minorHAnsi"/>
                <w:sz w:val="16"/>
                <w:szCs w:val="16"/>
              </w:rPr>
              <w:t>and Ambassadors’</w:t>
            </w:r>
            <w:r w:rsidRPr="001D0BD5">
              <w:rPr>
                <w:rFonts w:cstheme="minorHAnsi"/>
                <w:sz w:val="16"/>
                <w:szCs w:val="16"/>
              </w:rPr>
              <w:t xml:space="preserve"> knowledge and skills to integrate prevention messages into their work</w:t>
            </w:r>
            <w:r w:rsidR="00F14E6B">
              <w:rPr>
                <w:rFonts w:cstheme="minorHAnsi"/>
                <w:sz w:val="16"/>
                <w:szCs w:val="16"/>
              </w:rPr>
              <w:t xml:space="preserve">. </w:t>
            </w:r>
            <w:r w:rsidRPr="001D0BD5">
              <w:rPr>
                <w:rFonts w:cstheme="minorHAnsi"/>
                <w:sz w:val="16"/>
                <w:szCs w:val="16"/>
              </w:rPr>
              <w:t>The survey will be conducted either online, or paper-based at a Change Ambassadors network event as appropriate. Data will be analysed by Nabilan and presented in an annual summary report.</w:t>
            </w:r>
          </w:p>
        </w:tc>
        <w:tc>
          <w:tcPr>
            <w:tcW w:w="677" w:type="pct"/>
          </w:tcPr>
          <w:p w14:paraId="46B8DC22" w14:textId="77777777" w:rsidR="00B462FE" w:rsidRPr="001D0BD5" w:rsidRDefault="00B462FE" w:rsidP="003A2CCC">
            <w:pPr>
              <w:pStyle w:val="ListParagraph"/>
              <w:numPr>
                <w:ilvl w:val="0"/>
                <w:numId w:val="34"/>
              </w:numPr>
              <w:rPr>
                <w:rFonts w:cstheme="minorHAnsi"/>
                <w:sz w:val="16"/>
                <w:szCs w:val="16"/>
              </w:rPr>
            </w:pPr>
            <w:r w:rsidRPr="001D0BD5">
              <w:rPr>
                <w:rFonts w:cstheme="minorHAnsi"/>
                <w:sz w:val="16"/>
                <w:szCs w:val="16"/>
              </w:rPr>
              <w:t>Change Ambassador Survey tool</w:t>
            </w:r>
          </w:p>
        </w:tc>
        <w:tc>
          <w:tcPr>
            <w:tcW w:w="542" w:type="pct"/>
          </w:tcPr>
          <w:p w14:paraId="3CE1E529" w14:textId="103FE446" w:rsidR="00B462FE" w:rsidRPr="001D0BD5" w:rsidRDefault="00111DAD" w:rsidP="003A2CCC">
            <w:pPr>
              <w:jc w:val="left"/>
              <w:rPr>
                <w:rFonts w:cstheme="minorHAnsi"/>
                <w:sz w:val="16"/>
                <w:szCs w:val="16"/>
              </w:rPr>
            </w:pPr>
            <w:r>
              <w:rPr>
                <w:rFonts w:cstheme="minorHAnsi"/>
                <w:sz w:val="16"/>
                <w:szCs w:val="16"/>
              </w:rPr>
              <w:t xml:space="preserve">Nabilan – </w:t>
            </w:r>
            <w:r w:rsidR="0016109D">
              <w:rPr>
                <w:rFonts w:cstheme="minorHAnsi"/>
                <w:sz w:val="16"/>
                <w:szCs w:val="16"/>
              </w:rPr>
              <w:t>Social Norms Change</w:t>
            </w:r>
            <w:r>
              <w:rPr>
                <w:rFonts w:cstheme="minorHAnsi"/>
                <w:sz w:val="16"/>
                <w:szCs w:val="16"/>
              </w:rPr>
              <w:t xml:space="preserve"> team</w:t>
            </w:r>
          </w:p>
        </w:tc>
        <w:tc>
          <w:tcPr>
            <w:tcW w:w="491" w:type="pct"/>
          </w:tcPr>
          <w:p w14:paraId="41212372" w14:textId="77777777" w:rsidR="00B462FE" w:rsidRPr="001D0BD5" w:rsidRDefault="00B462FE" w:rsidP="003A2CCC">
            <w:pPr>
              <w:jc w:val="left"/>
              <w:rPr>
                <w:rFonts w:cstheme="minorHAnsi"/>
                <w:sz w:val="16"/>
                <w:szCs w:val="16"/>
              </w:rPr>
            </w:pPr>
            <w:r w:rsidRPr="001D0BD5">
              <w:rPr>
                <w:rFonts w:cstheme="minorHAnsi"/>
                <w:sz w:val="16"/>
                <w:szCs w:val="16"/>
              </w:rPr>
              <w:t>Annually</w:t>
            </w:r>
          </w:p>
        </w:tc>
        <w:tc>
          <w:tcPr>
            <w:tcW w:w="471" w:type="pct"/>
          </w:tcPr>
          <w:p w14:paraId="2F59A62E" w14:textId="7E24FF6F" w:rsidR="00B462FE" w:rsidRPr="001D0BD5" w:rsidRDefault="00111DAD" w:rsidP="003A2CCC">
            <w:pPr>
              <w:jc w:val="left"/>
              <w:rPr>
                <w:rFonts w:cstheme="minorHAnsi"/>
                <w:sz w:val="16"/>
                <w:szCs w:val="16"/>
              </w:rPr>
            </w:pPr>
            <w:r>
              <w:rPr>
                <w:rFonts w:cstheme="minorHAnsi"/>
                <w:sz w:val="16"/>
                <w:szCs w:val="16"/>
              </w:rPr>
              <w:t>Nabilan – Prevention team</w:t>
            </w:r>
          </w:p>
        </w:tc>
        <w:tc>
          <w:tcPr>
            <w:tcW w:w="411" w:type="pct"/>
          </w:tcPr>
          <w:p w14:paraId="1D48FD6B" w14:textId="77777777" w:rsidR="00B462FE" w:rsidRPr="001D0BD5" w:rsidRDefault="00B462FE" w:rsidP="003A2CCC">
            <w:pPr>
              <w:jc w:val="left"/>
              <w:rPr>
                <w:rFonts w:cstheme="minorHAnsi"/>
                <w:sz w:val="16"/>
                <w:szCs w:val="16"/>
              </w:rPr>
            </w:pPr>
            <w:r w:rsidRPr="001D0BD5">
              <w:rPr>
                <w:rFonts w:cstheme="minorHAnsi"/>
                <w:sz w:val="16"/>
                <w:szCs w:val="16"/>
              </w:rPr>
              <w:t>Annually (reporting period January-December)</w:t>
            </w:r>
          </w:p>
        </w:tc>
      </w:tr>
      <w:tr w:rsidR="0016109D" w:rsidRPr="001D0BD5" w14:paraId="06B9EC4D" w14:textId="77777777" w:rsidTr="003A2CCC">
        <w:trPr>
          <w:trHeight w:val="234"/>
        </w:trPr>
        <w:tc>
          <w:tcPr>
            <w:tcW w:w="457" w:type="pct"/>
          </w:tcPr>
          <w:p w14:paraId="5D16F2AA" w14:textId="77777777" w:rsidR="009948E6" w:rsidRPr="001D0BD5" w:rsidRDefault="009948E6" w:rsidP="003A2CCC">
            <w:pPr>
              <w:spacing w:after="120"/>
              <w:jc w:val="left"/>
              <w:rPr>
                <w:rFonts w:cstheme="minorHAnsi"/>
                <w:sz w:val="16"/>
                <w:szCs w:val="16"/>
              </w:rPr>
            </w:pPr>
            <w:r>
              <w:rPr>
                <w:rFonts w:cstheme="minorHAnsi"/>
                <w:sz w:val="16"/>
                <w:szCs w:val="16"/>
              </w:rPr>
              <w:t>Change Ambassador interviews</w:t>
            </w:r>
          </w:p>
        </w:tc>
        <w:tc>
          <w:tcPr>
            <w:tcW w:w="721" w:type="pct"/>
          </w:tcPr>
          <w:p w14:paraId="54685965" w14:textId="77777777" w:rsidR="009948E6" w:rsidRPr="001D0BD5" w:rsidRDefault="009948E6" w:rsidP="003A2CCC">
            <w:pPr>
              <w:jc w:val="left"/>
              <w:rPr>
                <w:rFonts w:cstheme="minorHAnsi"/>
                <w:sz w:val="16"/>
                <w:szCs w:val="16"/>
              </w:rPr>
            </w:pPr>
            <w:r>
              <w:rPr>
                <w:rFonts w:cstheme="minorHAnsi"/>
                <w:sz w:val="16"/>
                <w:szCs w:val="16"/>
              </w:rPr>
              <w:t>To collect qualitative information about Change Ambassadors’ activities</w:t>
            </w:r>
          </w:p>
        </w:tc>
        <w:tc>
          <w:tcPr>
            <w:tcW w:w="1230" w:type="pct"/>
          </w:tcPr>
          <w:p w14:paraId="423A5846" w14:textId="6C683EE5" w:rsidR="009948E6" w:rsidRPr="001D0BD5" w:rsidRDefault="009948E6" w:rsidP="003A2CCC">
            <w:pPr>
              <w:jc w:val="left"/>
              <w:rPr>
                <w:rFonts w:cstheme="minorHAnsi"/>
                <w:sz w:val="16"/>
                <w:szCs w:val="16"/>
              </w:rPr>
            </w:pPr>
            <w:r w:rsidRPr="001D0BD5">
              <w:rPr>
                <w:rFonts w:cstheme="minorHAnsi"/>
                <w:sz w:val="16"/>
                <w:szCs w:val="16"/>
              </w:rPr>
              <w:t>The</w:t>
            </w:r>
            <w:r>
              <w:rPr>
                <w:rFonts w:cstheme="minorHAnsi"/>
                <w:sz w:val="16"/>
                <w:szCs w:val="16"/>
              </w:rPr>
              <w:t xml:space="preserve"> interviews </w:t>
            </w:r>
            <w:r w:rsidR="00E55775">
              <w:rPr>
                <w:rFonts w:cstheme="minorHAnsi"/>
                <w:sz w:val="16"/>
                <w:szCs w:val="16"/>
              </w:rPr>
              <w:t xml:space="preserve">collect </w:t>
            </w:r>
            <w:r w:rsidRPr="001D0BD5">
              <w:rPr>
                <w:rFonts w:cstheme="minorHAnsi"/>
                <w:sz w:val="16"/>
                <w:szCs w:val="16"/>
              </w:rPr>
              <w:t xml:space="preserve">feedback from Change Ambassadors about the quality and relevance of support provided, their participation in the Change Ambassadors network,  and the extent to which they have influenced their organisation to integrate prevention approaches. </w:t>
            </w:r>
            <w:r>
              <w:rPr>
                <w:rFonts w:cstheme="minorHAnsi"/>
                <w:sz w:val="16"/>
                <w:szCs w:val="16"/>
              </w:rPr>
              <w:t xml:space="preserve">Interviews are conducted face-to-face on an annual basis. All Change Ambassadors are interviewed. Interviews are conducted by a member of the Nabilan team. </w:t>
            </w:r>
          </w:p>
        </w:tc>
        <w:tc>
          <w:tcPr>
            <w:tcW w:w="677" w:type="pct"/>
          </w:tcPr>
          <w:p w14:paraId="53595470" w14:textId="77777777" w:rsidR="009948E6" w:rsidRPr="001D0BD5" w:rsidRDefault="00E55775" w:rsidP="003A2CCC">
            <w:pPr>
              <w:pStyle w:val="ListParagraph"/>
              <w:numPr>
                <w:ilvl w:val="0"/>
                <w:numId w:val="34"/>
              </w:numPr>
              <w:rPr>
                <w:rFonts w:cstheme="minorHAnsi"/>
                <w:sz w:val="16"/>
                <w:szCs w:val="16"/>
              </w:rPr>
            </w:pPr>
            <w:r>
              <w:rPr>
                <w:rFonts w:cstheme="minorHAnsi"/>
                <w:sz w:val="16"/>
                <w:szCs w:val="16"/>
              </w:rPr>
              <w:t>Interview guide</w:t>
            </w:r>
          </w:p>
        </w:tc>
        <w:tc>
          <w:tcPr>
            <w:tcW w:w="542" w:type="pct"/>
          </w:tcPr>
          <w:p w14:paraId="250932D1" w14:textId="6ED4DE7C" w:rsidR="009948E6" w:rsidRPr="001D0BD5" w:rsidRDefault="00111DAD" w:rsidP="003A2CCC">
            <w:pPr>
              <w:jc w:val="left"/>
              <w:rPr>
                <w:rFonts w:cstheme="minorHAnsi"/>
                <w:sz w:val="16"/>
                <w:szCs w:val="16"/>
              </w:rPr>
            </w:pPr>
            <w:r>
              <w:rPr>
                <w:rFonts w:cstheme="minorHAnsi"/>
                <w:sz w:val="16"/>
                <w:szCs w:val="16"/>
              </w:rPr>
              <w:t xml:space="preserve">Nabilan – </w:t>
            </w:r>
            <w:r w:rsidR="0016109D">
              <w:rPr>
                <w:rFonts w:cstheme="minorHAnsi"/>
                <w:sz w:val="16"/>
                <w:szCs w:val="16"/>
              </w:rPr>
              <w:t xml:space="preserve">Social Norms Change </w:t>
            </w:r>
            <w:r>
              <w:rPr>
                <w:rFonts w:cstheme="minorHAnsi"/>
                <w:sz w:val="16"/>
                <w:szCs w:val="16"/>
              </w:rPr>
              <w:t>team</w:t>
            </w:r>
          </w:p>
        </w:tc>
        <w:tc>
          <w:tcPr>
            <w:tcW w:w="491" w:type="pct"/>
          </w:tcPr>
          <w:p w14:paraId="6CEF4581" w14:textId="77777777" w:rsidR="009948E6" w:rsidRPr="001D0BD5" w:rsidRDefault="00E55775" w:rsidP="003A2CCC">
            <w:pPr>
              <w:jc w:val="left"/>
              <w:rPr>
                <w:rFonts w:cstheme="minorHAnsi"/>
                <w:sz w:val="16"/>
                <w:szCs w:val="16"/>
              </w:rPr>
            </w:pPr>
            <w:r>
              <w:rPr>
                <w:rFonts w:cstheme="minorHAnsi"/>
                <w:sz w:val="16"/>
                <w:szCs w:val="16"/>
              </w:rPr>
              <w:t>Annually</w:t>
            </w:r>
          </w:p>
        </w:tc>
        <w:tc>
          <w:tcPr>
            <w:tcW w:w="471" w:type="pct"/>
          </w:tcPr>
          <w:p w14:paraId="324A4DF1" w14:textId="77777777" w:rsidR="009948E6" w:rsidRPr="001D0BD5" w:rsidRDefault="00E55775" w:rsidP="003A2CCC">
            <w:pPr>
              <w:jc w:val="left"/>
              <w:rPr>
                <w:rFonts w:cstheme="minorHAnsi"/>
                <w:sz w:val="16"/>
                <w:szCs w:val="16"/>
              </w:rPr>
            </w:pPr>
            <w:r>
              <w:rPr>
                <w:rFonts w:cstheme="minorHAnsi"/>
                <w:sz w:val="16"/>
                <w:szCs w:val="16"/>
              </w:rPr>
              <w:t xml:space="preserve">Nabilan – Social </w:t>
            </w:r>
            <w:r w:rsidR="00506F19">
              <w:rPr>
                <w:rFonts w:cstheme="minorHAnsi"/>
                <w:sz w:val="16"/>
                <w:szCs w:val="16"/>
              </w:rPr>
              <w:t>Norms</w:t>
            </w:r>
            <w:r>
              <w:rPr>
                <w:rFonts w:cstheme="minorHAnsi"/>
                <w:sz w:val="16"/>
                <w:szCs w:val="16"/>
              </w:rPr>
              <w:t xml:space="preserve"> Change Adviser</w:t>
            </w:r>
          </w:p>
        </w:tc>
        <w:tc>
          <w:tcPr>
            <w:tcW w:w="411" w:type="pct"/>
          </w:tcPr>
          <w:p w14:paraId="679CD590" w14:textId="77777777" w:rsidR="009948E6" w:rsidRPr="001D0BD5" w:rsidRDefault="00E55775" w:rsidP="003A2CCC">
            <w:pPr>
              <w:jc w:val="left"/>
              <w:rPr>
                <w:rFonts w:cstheme="minorHAnsi"/>
                <w:sz w:val="16"/>
                <w:szCs w:val="16"/>
              </w:rPr>
            </w:pPr>
            <w:r>
              <w:rPr>
                <w:rFonts w:cstheme="minorHAnsi"/>
                <w:sz w:val="16"/>
                <w:szCs w:val="16"/>
              </w:rPr>
              <w:t xml:space="preserve">Annually </w:t>
            </w:r>
          </w:p>
        </w:tc>
      </w:tr>
      <w:tr w:rsidR="0016109D" w:rsidRPr="001D0BD5" w14:paraId="28C3E202" w14:textId="77777777" w:rsidTr="003A2CCC">
        <w:trPr>
          <w:trHeight w:val="234"/>
        </w:trPr>
        <w:tc>
          <w:tcPr>
            <w:tcW w:w="457" w:type="pct"/>
          </w:tcPr>
          <w:p w14:paraId="25AB0A89" w14:textId="77777777" w:rsidR="00B462FE" w:rsidRPr="001D0BD5" w:rsidRDefault="00B462FE" w:rsidP="003A2CCC">
            <w:pPr>
              <w:spacing w:after="120"/>
              <w:jc w:val="left"/>
              <w:rPr>
                <w:rFonts w:cstheme="minorHAnsi"/>
                <w:sz w:val="16"/>
                <w:szCs w:val="16"/>
              </w:rPr>
            </w:pPr>
            <w:r w:rsidRPr="001D0BD5">
              <w:rPr>
                <w:rFonts w:cstheme="minorHAnsi"/>
                <w:sz w:val="16"/>
                <w:szCs w:val="16"/>
              </w:rPr>
              <w:t>Endline Survey</w:t>
            </w:r>
          </w:p>
          <w:p w14:paraId="2DBFE4F7" w14:textId="77777777" w:rsidR="00B462FE" w:rsidRPr="001D0BD5" w:rsidRDefault="00B462FE" w:rsidP="003A2CCC">
            <w:pPr>
              <w:jc w:val="left"/>
              <w:rPr>
                <w:rFonts w:cstheme="minorHAnsi"/>
                <w:sz w:val="16"/>
                <w:szCs w:val="16"/>
              </w:rPr>
            </w:pPr>
          </w:p>
        </w:tc>
        <w:tc>
          <w:tcPr>
            <w:tcW w:w="721" w:type="pct"/>
          </w:tcPr>
          <w:p w14:paraId="35BF9E3D" w14:textId="77777777" w:rsidR="00B462FE" w:rsidRPr="001D0BD5" w:rsidRDefault="00B462FE" w:rsidP="003A2CCC">
            <w:pPr>
              <w:jc w:val="left"/>
              <w:rPr>
                <w:rFonts w:cstheme="minorHAnsi"/>
                <w:sz w:val="16"/>
                <w:szCs w:val="16"/>
              </w:rPr>
            </w:pPr>
            <w:r w:rsidRPr="001D0BD5">
              <w:rPr>
                <w:rFonts w:cstheme="minorHAnsi"/>
                <w:sz w:val="16"/>
                <w:szCs w:val="16"/>
              </w:rPr>
              <w:t>To collect population-level data about the prevalence of violence against women and children.</w:t>
            </w:r>
          </w:p>
          <w:p w14:paraId="13266114" w14:textId="77777777" w:rsidR="00B462FE" w:rsidRPr="001D0BD5" w:rsidRDefault="00B462FE" w:rsidP="003A2CCC">
            <w:pPr>
              <w:jc w:val="left"/>
              <w:rPr>
                <w:rFonts w:cstheme="minorHAnsi"/>
                <w:sz w:val="16"/>
                <w:szCs w:val="16"/>
              </w:rPr>
            </w:pPr>
          </w:p>
          <w:p w14:paraId="42670AB7" w14:textId="77777777" w:rsidR="00B462FE" w:rsidRPr="001D0BD5" w:rsidRDefault="00B462FE" w:rsidP="003A2CCC">
            <w:pPr>
              <w:jc w:val="left"/>
              <w:rPr>
                <w:rFonts w:cstheme="minorHAnsi"/>
                <w:sz w:val="16"/>
                <w:szCs w:val="16"/>
              </w:rPr>
            </w:pPr>
          </w:p>
        </w:tc>
        <w:tc>
          <w:tcPr>
            <w:tcW w:w="1230" w:type="pct"/>
          </w:tcPr>
          <w:p w14:paraId="0612EF24" w14:textId="77777777" w:rsidR="00B462FE" w:rsidRPr="001D0BD5" w:rsidRDefault="001D0BD5" w:rsidP="003A2CCC">
            <w:pPr>
              <w:jc w:val="left"/>
              <w:rPr>
                <w:rFonts w:cstheme="minorHAnsi"/>
                <w:sz w:val="16"/>
                <w:szCs w:val="16"/>
              </w:rPr>
            </w:pPr>
            <w:r w:rsidRPr="001D0BD5">
              <w:rPr>
                <w:rFonts w:cstheme="minorHAnsi"/>
                <w:sz w:val="16"/>
                <w:szCs w:val="16"/>
              </w:rPr>
              <w:t>The Nabilan endline survey will replicate the Nabilan baseline study conducted in 2015, to provide data on changes over the program period. The survey will be a household survey assessing both women’s experienced of violence, and men’s perpetration of violence. Structured household questionnaires will be administered to two sample groups -women aged 15 to 49 years, and men aged 18 to 49 years. Data will be collected, analysed and reported by a contracted research team.</w:t>
            </w:r>
          </w:p>
        </w:tc>
        <w:tc>
          <w:tcPr>
            <w:tcW w:w="677" w:type="pct"/>
          </w:tcPr>
          <w:p w14:paraId="1F6CF7B2" w14:textId="77777777" w:rsidR="00B462FE" w:rsidRPr="001D0BD5" w:rsidRDefault="00B462FE" w:rsidP="003A2CCC">
            <w:pPr>
              <w:pStyle w:val="ListParagraph"/>
              <w:numPr>
                <w:ilvl w:val="0"/>
                <w:numId w:val="32"/>
              </w:numPr>
              <w:rPr>
                <w:rFonts w:cstheme="minorHAnsi"/>
                <w:sz w:val="16"/>
                <w:szCs w:val="16"/>
              </w:rPr>
            </w:pPr>
            <w:r w:rsidRPr="001D0BD5">
              <w:rPr>
                <w:rFonts w:cstheme="minorHAnsi"/>
                <w:sz w:val="16"/>
                <w:szCs w:val="16"/>
              </w:rPr>
              <w:t>Questionnaire</w:t>
            </w:r>
          </w:p>
          <w:p w14:paraId="3267234F" w14:textId="77777777" w:rsidR="00B462FE" w:rsidRPr="001D0BD5" w:rsidRDefault="00B462FE" w:rsidP="003A2CCC">
            <w:pPr>
              <w:pStyle w:val="ListParagraph"/>
              <w:numPr>
                <w:ilvl w:val="0"/>
                <w:numId w:val="32"/>
              </w:numPr>
              <w:rPr>
                <w:rFonts w:cstheme="minorHAnsi"/>
                <w:sz w:val="16"/>
                <w:szCs w:val="16"/>
              </w:rPr>
            </w:pPr>
            <w:r w:rsidRPr="001D0BD5">
              <w:rPr>
                <w:rFonts w:cstheme="minorHAnsi"/>
                <w:sz w:val="16"/>
                <w:szCs w:val="16"/>
              </w:rPr>
              <w:t>Associated tools and resources for household survey methodology</w:t>
            </w:r>
          </w:p>
        </w:tc>
        <w:tc>
          <w:tcPr>
            <w:tcW w:w="542" w:type="pct"/>
          </w:tcPr>
          <w:p w14:paraId="39C257A7" w14:textId="49DF52E9" w:rsidR="00B462FE" w:rsidRPr="001D0BD5" w:rsidRDefault="00111DAD" w:rsidP="003A2CCC">
            <w:pPr>
              <w:jc w:val="left"/>
              <w:rPr>
                <w:rFonts w:cstheme="minorHAnsi"/>
                <w:sz w:val="16"/>
                <w:szCs w:val="16"/>
              </w:rPr>
            </w:pPr>
            <w:r w:rsidRPr="001D0BD5">
              <w:rPr>
                <w:rFonts w:cstheme="minorHAnsi"/>
                <w:sz w:val="16"/>
                <w:szCs w:val="16"/>
              </w:rPr>
              <w:t>Contracted research team</w:t>
            </w:r>
          </w:p>
        </w:tc>
        <w:tc>
          <w:tcPr>
            <w:tcW w:w="491" w:type="pct"/>
          </w:tcPr>
          <w:p w14:paraId="6FA98638" w14:textId="77777777" w:rsidR="00B462FE" w:rsidRPr="001D0BD5" w:rsidRDefault="00B462FE" w:rsidP="003A2CCC">
            <w:pPr>
              <w:jc w:val="left"/>
              <w:rPr>
                <w:rFonts w:cstheme="minorHAnsi"/>
                <w:sz w:val="16"/>
                <w:szCs w:val="16"/>
              </w:rPr>
            </w:pPr>
            <w:r w:rsidRPr="001D0BD5">
              <w:rPr>
                <w:rFonts w:cstheme="minorHAnsi"/>
                <w:sz w:val="16"/>
                <w:szCs w:val="16"/>
              </w:rPr>
              <w:t>End of the program</w:t>
            </w:r>
          </w:p>
        </w:tc>
        <w:tc>
          <w:tcPr>
            <w:tcW w:w="471" w:type="pct"/>
          </w:tcPr>
          <w:p w14:paraId="558F0967" w14:textId="77777777" w:rsidR="00B462FE" w:rsidRPr="001D0BD5" w:rsidRDefault="00B462FE" w:rsidP="003A2CCC">
            <w:pPr>
              <w:jc w:val="left"/>
              <w:rPr>
                <w:rFonts w:cstheme="minorHAnsi"/>
                <w:sz w:val="16"/>
                <w:szCs w:val="16"/>
              </w:rPr>
            </w:pPr>
            <w:r w:rsidRPr="001D0BD5">
              <w:rPr>
                <w:rFonts w:cstheme="minorHAnsi"/>
                <w:sz w:val="16"/>
                <w:szCs w:val="16"/>
              </w:rPr>
              <w:t>Contracted research team</w:t>
            </w:r>
          </w:p>
        </w:tc>
        <w:tc>
          <w:tcPr>
            <w:tcW w:w="411" w:type="pct"/>
          </w:tcPr>
          <w:p w14:paraId="6B68A662" w14:textId="77777777" w:rsidR="00B462FE" w:rsidRPr="001D0BD5" w:rsidRDefault="00B462FE" w:rsidP="003A2CCC">
            <w:pPr>
              <w:jc w:val="left"/>
              <w:rPr>
                <w:rFonts w:cstheme="minorHAnsi"/>
                <w:sz w:val="16"/>
                <w:szCs w:val="16"/>
              </w:rPr>
            </w:pPr>
            <w:r w:rsidRPr="001D0BD5">
              <w:rPr>
                <w:rFonts w:cstheme="minorHAnsi"/>
                <w:sz w:val="16"/>
                <w:szCs w:val="16"/>
              </w:rPr>
              <w:t>Late 2021, or early 2022 (data collection will take at least 6 months)</w:t>
            </w:r>
          </w:p>
        </w:tc>
      </w:tr>
      <w:tr w:rsidR="0016109D" w:rsidRPr="001D0BD5" w14:paraId="3D647316" w14:textId="77777777" w:rsidTr="003A2CCC">
        <w:trPr>
          <w:trHeight w:val="234"/>
        </w:trPr>
        <w:tc>
          <w:tcPr>
            <w:tcW w:w="457" w:type="pct"/>
          </w:tcPr>
          <w:p w14:paraId="3BEBC59C" w14:textId="754241DA" w:rsidR="00111DAD" w:rsidRPr="001D0BD5" w:rsidRDefault="00111DAD" w:rsidP="003A2CCC">
            <w:pPr>
              <w:spacing w:after="120"/>
              <w:jc w:val="left"/>
              <w:rPr>
                <w:rFonts w:cstheme="minorHAnsi"/>
                <w:sz w:val="16"/>
                <w:szCs w:val="16"/>
              </w:rPr>
            </w:pPr>
            <w:r>
              <w:rPr>
                <w:rFonts w:cstheme="minorHAnsi"/>
                <w:sz w:val="16"/>
                <w:szCs w:val="16"/>
              </w:rPr>
              <w:t>Organisational Institutional Strengthening</w:t>
            </w:r>
            <w:r w:rsidR="006B4C21">
              <w:rPr>
                <w:rFonts w:cstheme="minorHAnsi"/>
                <w:sz w:val="16"/>
                <w:szCs w:val="16"/>
              </w:rPr>
              <w:t xml:space="preserve"> assessment</w:t>
            </w:r>
          </w:p>
        </w:tc>
        <w:tc>
          <w:tcPr>
            <w:tcW w:w="721" w:type="pct"/>
          </w:tcPr>
          <w:p w14:paraId="5F08B901" w14:textId="232D7D4B" w:rsidR="00111DAD" w:rsidRPr="001D0BD5" w:rsidRDefault="006B4C21" w:rsidP="003A2CCC">
            <w:pPr>
              <w:jc w:val="left"/>
              <w:rPr>
                <w:rFonts w:cstheme="minorHAnsi"/>
                <w:sz w:val="16"/>
                <w:szCs w:val="16"/>
              </w:rPr>
            </w:pPr>
            <w:r>
              <w:rPr>
                <w:rFonts w:cstheme="minorHAnsi"/>
                <w:sz w:val="16"/>
                <w:szCs w:val="16"/>
              </w:rPr>
              <w:t xml:space="preserve">To assess </w:t>
            </w:r>
            <w:r w:rsidRPr="006B4C21">
              <w:rPr>
                <w:rFonts w:cstheme="minorHAnsi"/>
                <w:sz w:val="16"/>
                <w:szCs w:val="16"/>
              </w:rPr>
              <w:t xml:space="preserve">organisational capacity of </w:t>
            </w:r>
            <w:r>
              <w:rPr>
                <w:rFonts w:cstheme="minorHAnsi"/>
                <w:sz w:val="16"/>
                <w:szCs w:val="16"/>
              </w:rPr>
              <w:t xml:space="preserve">Nabilan CSO partners </w:t>
            </w:r>
          </w:p>
        </w:tc>
        <w:tc>
          <w:tcPr>
            <w:tcW w:w="1230" w:type="pct"/>
          </w:tcPr>
          <w:p w14:paraId="6CAE3234" w14:textId="232C7BAB" w:rsidR="00111DAD" w:rsidRPr="001D0BD5" w:rsidRDefault="006B4C21" w:rsidP="003A2CCC">
            <w:pPr>
              <w:jc w:val="left"/>
              <w:rPr>
                <w:rFonts w:cstheme="minorHAnsi"/>
                <w:sz w:val="16"/>
                <w:szCs w:val="16"/>
              </w:rPr>
            </w:pPr>
            <w:r w:rsidRPr="006B4C21">
              <w:rPr>
                <w:rFonts w:cstheme="minorHAnsi"/>
                <w:sz w:val="16"/>
                <w:szCs w:val="16"/>
              </w:rPr>
              <w:t>The</w:t>
            </w:r>
            <w:r>
              <w:rPr>
                <w:rFonts w:cstheme="minorHAnsi"/>
                <w:sz w:val="16"/>
                <w:szCs w:val="16"/>
              </w:rPr>
              <w:t xml:space="preserve"> assessment uses the </w:t>
            </w:r>
            <w:r w:rsidRPr="006B4C21">
              <w:rPr>
                <w:rFonts w:cstheme="minorHAnsi"/>
                <w:sz w:val="16"/>
                <w:szCs w:val="16"/>
              </w:rPr>
              <w:t>Nabilan Partner Civil Society Organisations Capacity Assessment Grid</w:t>
            </w:r>
            <w:r>
              <w:rPr>
                <w:rFonts w:cstheme="minorHAnsi"/>
                <w:sz w:val="16"/>
                <w:szCs w:val="16"/>
              </w:rPr>
              <w:t xml:space="preserve">, </w:t>
            </w:r>
            <w:r w:rsidRPr="006B4C21">
              <w:rPr>
                <w:rFonts w:cstheme="minorHAnsi"/>
                <w:sz w:val="16"/>
                <w:szCs w:val="16"/>
              </w:rPr>
              <w:t>a diagnostic tool</w:t>
            </w:r>
            <w:r>
              <w:rPr>
                <w:rFonts w:cstheme="minorHAnsi"/>
                <w:sz w:val="16"/>
                <w:szCs w:val="16"/>
              </w:rPr>
              <w:t xml:space="preserve"> comprising 24 indicators of organisational capacity </w:t>
            </w:r>
            <w:r w:rsidRPr="006B4C21">
              <w:rPr>
                <w:rFonts w:cstheme="minorHAnsi"/>
                <w:sz w:val="16"/>
                <w:szCs w:val="16"/>
              </w:rPr>
              <w:t>in the areas of: governance; financial management; sustainability, gender equality; disability inclusiveness; and monitoring and evaluation.</w:t>
            </w:r>
            <w:r>
              <w:rPr>
                <w:rFonts w:cstheme="minorHAnsi"/>
                <w:sz w:val="16"/>
                <w:szCs w:val="16"/>
              </w:rPr>
              <w:t xml:space="preserve"> </w:t>
            </w:r>
          </w:p>
        </w:tc>
        <w:tc>
          <w:tcPr>
            <w:tcW w:w="677" w:type="pct"/>
          </w:tcPr>
          <w:p w14:paraId="71C8E2BC" w14:textId="039E510C" w:rsidR="00111DAD" w:rsidRPr="001D0BD5" w:rsidRDefault="006B4C21" w:rsidP="003A2CCC">
            <w:pPr>
              <w:pStyle w:val="ListParagraph"/>
              <w:numPr>
                <w:ilvl w:val="0"/>
                <w:numId w:val="32"/>
              </w:numPr>
              <w:rPr>
                <w:rFonts w:cstheme="minorHAnsi"/>
                <w:sz w:val="16"/>
                <w:szCs w:val="16"/>
              </w:rPr>
            </w:pPr>
            <w:r w:rsidRPr="006B4C21">
              <w:rPr>
                <w:rFonts w:cstheme="minorHAnsi"/>
                <w:sz w:val="16"/>
                <w:szCs w:val="16"/>
              </w:rPr>
              <w:t>Nabilan Partner Civil Society Organisations (CSOs) Capacity Assessment Grid</w:t>
            </w:r>
          </w:p>
        </w:tc>
        <w:tc>
          <w:tcPr>
            <w:tcW w:w="542" w:type="pct"/>
          </w:tcPr>
          <w:p w14:paraId="42AF2B3A" w14:textId="7C91054A" w:rsidR="00111DAD" w:rsidRPr="001D0BD5" w:rsidRDefault="00043944" w:rsidP="003A2CCC">
            <w:pPr>
              <w:jc w:val="left"/>
              <w:rPr>
                <w:rFonts w:cstheme="minorHAnsi"/>
                <w:sz w:val="16"/>
                <w:szCs w:val="16"/>
              </w:rPr>
            </w:pPr>
            <w:r>
              <w:rPr>
                <w:rFonts w:cstheme="minorHAnsi"/>
                <w:sz w:val="16"/>
                <w:szCs w:val="16"/>
              </w:rPr>
              <w:t xml:space="preserve">Nabilan </w:t>
            </w:r>
            <w:r w:rsidR="0016109D">
              <w:rPr>
                <w:rFonts w:cstheme="minorHAnsi"/>
                <w:sz w:val="16"/>
                <w:szCs w:val="16"/>
              </w:rPr>
              <w:t>- Partnerships Manager</w:t>
            </w:r>
          </w:p>
        </w:tc>
        <w:tc>
          <w:tcPr>
            <w:tcW w:w="491" w:type="pct"/>
          </w:tcPr>
          <w:p w14:paraId="551A1D52" w14:textId="6284F499" w:rsidR="00111DAD" w:rsidRPr="001D0BD5" w:rsidRDefault="00B9400E" w:rsidP="003A2CCC">
            <w:pPr>
              <w:jc w:val="left"/>
              <w:rPr>
                <w:rFonts w:cstheme="minorHAnsi"/>
                <w:sz w:val="16"/>
                <w:szCs w:val="16"/>
              </w:rPr>
            </w:pPr>
            <w:r>
              <w:rPr>
                <w:rFonts w:cstheme="minorHAnsi"/>
                <w:sz w:val="16"/>
                <w:szCs w:val="16"/>
              </w:rPr>
              <w:t xml:space="preserve"> </w:t>
            </w:r>
            <w:r w:rsidR="0016109D">
              <w:rPr>
                <w:rFonts w:cstheme="minorHAnsi"/>
                <w:sz w:val="16"/>
                <w:szCs w:val="16"/>
              </w:rPr>
              <w:t xml:space="preserve">6-monthly </w:t>
            </w:r>
          </w:p>
        </w:tc>
        <w:tc>
          <w:tcPr>
            <w:tcW w:w="471" w:type="pct"/>
          </w:tcPr>
          <w:p w14:paraId="65E3B70B" w14:textId="12BBD40F" w:rsidR="00111DAD" w:rsidRPr="001D0BD5" w:rsidRDefault="006B4C21" w:rsidP="003A2CCC">
            <w:pPr>
              <w:jc w:val="left"/>
              <w:rPr>
                <w:rFonts w:cstheme="minorHAnsi"/>
                <w:sz w:val="16"/>
                <w:szCs w:val="16"/>
              </w:rPr>
            </w:pPr>
            <w:r>
              <w:rPr>
                <w:rFonts w:cstheme="minorHAnsi"/>
                <w:sz w:val="16"/>
                <w:szCs w:val="16"/>
              </w:rPr>
              <w:t xml:space="preserve">Consultant </w:t>
            </w:r>
          </w:p>
        </w:tc>
        <w:tc>
          <w:tcPr>
            <w:tcW w:w="411" w:type="pct"/>
          </w:tcPr>
          <w:p w14:paraId="6BF1FC2E" w14:textId="58B0E87D" w:rsidR="00111DAD" w:rsidRPr="001D0BD5" w:rsidRDefault="008F51CC" w:rsidP="003A2CCC">
            <w:pPr>
              <w:jc w:val="left"/>
              <w:rPr>
                <w:rFonts w:cstheme="minorHAnsi"/>
                <w:sz w:val="16"/>
                <w:szCs w:val="16"/>
              </w:rPr>
            </w:pPr>
            <w:r>
              <w:rPr>
                <w:rFonts w:cstheme="minorHAnsi"/>
                <w:sz w:val="16"/>
                <w:szCs w:val="16"/>
              </w:rPr>
              <w:t>Annually (October)</w:t>
            </w:r>
          </w:p>
        </w:tc>
      </w:tr>
    </w:tbl>
    <w:p w14:paraId="7DC2297C" w14:textId="77777777" w:rsidR="005C277E" w:rsidRPr="008F332A" w:rsidRDefault="005C277E" w:rsidP="003A2CCC">
      <w:pPr>
        <w:rPr>
          <w:rFonts w:cstheme="minorHAnsi"/>
        </w:rPr>
      </w:pPr>
    </w:p>
    <w:p w14:paraId="1CBE742F" w14:textId="77777777" w:rsidR="00A23B68" w:rsidRPr="008F332A" w:rsidRDefault="00A23B68" w:rsidP="003A2CCC">
      <w:pPr>
        <w:rPr>
          <w:rFonts w:cstheme="minorHAnsi"/>
        </w:rPr>
      </w:pPr>
    </w:p>
    <w:p w14:paraId="517BE58C" w14:textId="77777777" w:rsidR="006562DD" w:rsidRPr="008F332A" w:rsidRDefault="006562DD" w:rsidP="003A2CCC">
      <w:pPr>
        <w:pStyle w:val="Heading1"/>
        <w:numPr>
          <w:ilvl w:val="0"/>
          <w:numId w:val="0"/>
        </w:numPr>
        <w:rPr>
          <w:rFonts w:asciiTheme="minorHAnsi" w:hAnsiTheme="minorHAnsi" w:cstheme="minorHAnsi"/>
        </w:rPr>
      </w:pPr>
      <w:r w:rsidRPr="008F332A">
        <w:rPr>
          <w:rFonts w:asciiTheme="minorHAnsi" w:hAnsiTheme="minorHAnsi" w:cstheme="minorHAnsi"/>
        </w:rPr>
        <w:br w:type="column"/>
      </w:r>
      <w:bookmarkStart w:id="42" w:name="_Toc517960116"/>
      <w:r w:rsidRPr="008F332A">
        <w:rPr>
          <w:rFonts w:asciiTheme="minorHAnsi" w:hAnsiTheme="minorHAnsi" w:cstheme="minorHAnsi"/>
        </w:rPr>
        <w:t xml:space="preserve">Annex </w:t>
      </w:r>
      <w:r w:rsidR="00547E25">
        <w:rPr>
          <w:rFonts w:asciiTheme="minorHAnsi" w:hAnsiTheme="minorHAnsi" w:cstheme="minorHAnsi"/>
        </w:rPr>
        <w:t>3</w:t>
      </w:r>
      <w:r w:rsidRPr="008F332A">
        <w:rPr>
          <w:rFonts w:asciiTheme="minorHAnsi" w:hAnsiTheme="minorHAnsi" w:cstheme="minorHAnsi"/>
        </w:rPr>
        <w:t xml:space="preserve"> Evidence Matrix Template</w:t>
      </w:r>
      <w:bookmarkEnd w:id="42"/>
    </w:p>
    <w:p w14:paraId="192207B9" w14:textId="77777777" w:rsidR="006562DD" w:rsidRPr="008F332A" w:rsidRDefault="00460C25" w:rsidP="003A2CCC">
      <w:pPr>
        <w:rPr>
          <w:rFonts w:cstheme="minorHAnsi"/>
        </w:rPr>
      </w:pPr>
      <w:r>
        <w:rPr>
          <w:rFonts w:cstheme="minorHAnsi"/>
        </w:rPr>
        <w:t>An evidence matrix is a template to map program monitoring and evaluation data against key evaluation questions and sub-questions. The Evidence column should be completed before the Learning Dialogue. At the Learning Dialogue, the team will reflect on the evidence to identify key findings and recommendations.</w:t>
      </w:r>
    </w:p>
    <w:tbl>
      <w:tblPr>
        <w:tblStyle w:val="TableGrid"/>
        <w:tblW w:w="5000" w:type="pct"/>
        <w:tblCellMar>
          <w:top w:w="57" w:type="dxa"/>
          <w:bottom w:w="57" w:type="dxa"/>
        </w:tblCellMar>
        <w:tblLook w:val="04A0" w:firstRow="1" w:lastRow="0" w:firstColumn="1" w:lastColumn="0" w:noHBand="0" w:noVBand="1"/>
      </w:tblPr>
      <w:tblGrid>
        <w:gridCol w:w="4224"/>
        <w:gridCol w:w="4591"/>
        <w:gridCol w:w="2969"/>
        <w:gridCol w:w="2884"/>
      </w:tblGrid>
      <w:tr w:rsidR="00506F19" w:rsidRPr="00506F19" w14:paraId="58A41F03" w14:textId="77777777" w:rsidTr="0061262A">
        <w:trPr>
          <w:trHeight w:val="313"/>
          <w:tblHeader/>
        </w:trPr>
        <w:tc>
          <w:tcPr>
            <w:tcW w:w="1440" w:type="pct"/>
            <w:shd w:val="clear" w:color="auto" w:fill="99CCFF"/>
          </w:tcPr>
          <w:p w14:paraId="498F1235" w14:textId="77777777" w:rsidR="00506F19" w:rsidRPr="00506F19" w:rsidRDefault="00506F19" w:rsidP="003A2CCC">
            <w:pPr>
              <w:jc w:val="center"/>
              <w:rPr>
                <w:rFonts w:cstheme="minorHAnsi"/>
                <w:b/>
                <w:sz w:val="20"/>
                <w:szCs w:val="20"/>
              </w:rPr>
            </w:pPr>
            <w:r w:rsidRPr="00506F19">
              <w:rPr>
                <w:rFonts w:cstheme="minorHAnsi"/>
                <w:b/>
                <w:sz w:val="20"/>
                <w:szCs w:val="20"/>
              </w:rPr>
              <w:t>KEY EVALUATION QUESTIONS AND SUB-QUESTIONS</w:t>
            </w:r>
          </w:p>
        </w:tc>
        <w:tc>
          <w:tcPr>
            <w:tcW w:w="1565" w:type="pct"/>
            <w:shd w:val="clear" w:color="auto" w:fill="99CCFF"/>
          </w:tcPr>
          <w:p w14:paraId="10BA5878" w14:textId="77777777" w:rsidR="00506F19" w:rsidRPr="00506F19" w:rsidRDefault="00506F19" w:rsidP="003A2CCC">
            <w:pPr>
              <w:jc w:val="center"/>
              <w:rPr>
                <w:rFonts w:cstheme="minorHAnsi"/>
                <w:b/>
                <w:sz w:val="20"/>
                <w:szCs w:val="20"/>
              </w:rPr>
            </w:pPr>
            <w:r w:rsidRPr="00506F19">
              <w:rPr>
                <w:rFonts w:cstheme="minorHAnsi"/>
                <w:b/>
                <w:sz w:val="20"/>
                <w:szCs w:val="20"/>
              </w:rPr>
              <w:t xml:space="preserve">EVIDENCE </w:t>
            </w:r>
          </w:p>
          <w:p w14:paraId="57E0A592" w14:textId="77777777" w:rsidR="00506F19" w:rsidRPr="00506F19" w:rsidRDefault="00506F19" w:rsidP="003A2CCC">
            <w:pPr>
              <w:jc w:val="center"/>
              <w:rPr>
                <w:rFonts w:cstheme="minorHAnsi"/>
                <w:b/>
                <w:sz w:val="20"/>
                <w:szCs w:val="20"/>
              </w:rPr>
            </w:pPr>
            <w:r w:rsidRPr="00506F19">
              <w:rPr>
                <w:rFonts w:cstheme="minorHAnsi"/>
                <w:b/>
                <w:sz w:val="20"/>
                <w:szCs w:val="20"/>
              </w:rPr>
              <w:t xml:space="preserve"> What did we </w:t>
            </w:r>
            <w:r w:rsidRPr="00506F19">
              <w:rPr>
                <w:rFonts w:cstheme="minorHAnsi"/>
                <w:b/>
                <w:sz w:val="20"/>
                <w:szCs w:val="20"/>
                <w:u w:val="single"/>
              </w:rPr>
              <w:t>do</w:t>
            </w:r>
            <w:r w:rsidRPr="00506F19">
              <w:rPr>
                <w:rFonts w:cstheme="minorHAnsi"/>
                <w:b/>
                <w:sz w:val="20"/>
                <w:szCs w:val="20"/>
              </w:rPr>
              <w:t>?</w:t>
            </w:r>
          </w:p>
          <w:p w14:paraId="603CB1CC" w14:textId="77777777" w:rsidR="00506F19" w:rsidRPr="00506F19" w:rsidRDefault="00506F19" w:rsidP="003A2CCC">
            <w:pPr>
              <w:jc w:val="center"/>
              <w:rPr>
                <w:rFonts w:cstheme="minorHAnsi"/>
                <w:b/>
                <w:sz w:val="20"/>
                <w:szCs w:val="20"/>
              </w:rPr>
            </w:pPr>
            <w:r w:rsidRPr="00506F19">
              <w:rPr>
                <w:rFonts w:cstheme="minorHAnsi"/>
                <w:b/>
                <w:sz w:val="20"/>
                <w:szCs w:val="20"/>
              </w:rPr>
              <w:t xml:space="preserve">What </w:t>
            </w:r>
            <w:r w:rsidRPr="00506F19">
              <w:rPr>
                <w:rFonts w:cstheme="minorHAnsi"/>
                <w:b/>
                <w:sz w:val="20"/>
                <w:szCs w:val="20"/>
                <w:u w:val="single"/>
              </w:rPr>
              <w:t>changed</w:t>
            </w:r>
            <w:r w:rsidRPr="00506F19">
              <w:rPr>
                <w:rFonts w:cstheme="minorHAnsi"/>
                <w:b/>
                <w:sz w:val="20"/>
                <w:szCs w:val="20"/>
              </w:rPr>
              <w:t xml:space="preserve"> as a result?</w:t>
            </w:r>
          </w:p>
        </w:tc>
        <w:tc>
          <w:tcPr>
            <w:tcW w:w="1012" w:type="pct"/>
            <w:shd w:val="clear" w:color="auto" w:fill="99CCFF"/>
          </w:tcPr>
          <w:p w14:paraId="7B10A0F0" w14:textId="77777777" w:rsidR="00506F19" w:rsidRDefault="00506F19" w:rsidP="003A2CCC">
            <w:pPr>
              <w:jc w:val="center"/>
              <w:rPr>
                <w:rFonts w:cstheme="minorHAnsi"/>
                <w:b/>
                <w:sz w:val="20"/>
                <w:szCs w:val="20"/>
              </w:rPr>
            </w:pPr>
            <w:r w:rsidRPr="00506F19">
              <w:rPr>
                <w:rFonts w:cstheme="minorHAnsi"/>
                <w:b/>
                <w:sz w:val="20"/>
                <w:szCs w:val="20"/>
              </w:rPr>
              <w:t xml:space="preserve">FINDINGS </w:t>
            </w:r>
          </w:p>
          <w:p w14:paraId="137DBE32" w14:textId="33FE3F20" w:rsidR="00F01362" w:rsidRPr="00506F19" w:rsidRDefault="00F01362" w:rsidP="003A2CCC">
            <w:pPr>
              <w:jc w:val="center"/>
              <w:rPr>
                <w:rFonts w:cstheme="minorHAnsi"/>
                <w:b/>
                <w:sz w:val="20"/>
                <w:szCs w:val="20"/>
              </w:rPr>
            </w:pPr>
            <w:r>
              <w:rPr>
                <w:rFonts w:cstheme="minorHAnsi"/>
                <w:b/>
                <w:sz w:val="20"/>
                <w:szCs w:val="20"/>
              </w:rPr>
              <w:t>So what?</w:t>
            </w:r>
          </w:p>
        </w:tc>
        <w:tc>
          <w:tcPr>
            <w:tcW w:w="983" w:type="pct"/>
            <w:shd w:val="clear" w:color="auto" w:fill="99CCFF"/>
          </w:tcPr>
          <w:p w14:paraId="0504DAAF" w14:textId="77777777" w:rsidR="00F01362" w:rsidRDefault="00506F19" w:rsidP="003A2CCC">
            <w:pPr>
              <w:jc w:val="center"/>
              <w:rPr>
                <w:rFonts w:cstheme="minorHAnsi"/>
                <w:b/>
                <w:sz w:val="20"/>
                <w:szCs w:val="20"/>
              </w:rPr>
            </w:pPr>
            <w:r w:rsidRPr="00506F19">
              <w:rPr>
                <w:rFonts w:cstheme="minorHAnsi"/>
                <w:b/>
                <w:sz w:val="20"/>
                <w:szCs w:val="20"/>
              </w:rPr>
              <w:t>RECOMMENDATION</w:t>
            </w:r>
            <w:r w:rsidR="00F01362">
              <w:rPr>
                <w:rFonts w:cstheme="minorHAnsi"/>
                <w:b/>
                <w:sz w:val="20"/>
                <w:szCs w:val="20"/>
              </w:rPr>
              <w:t>S</w:t>
            </w:r>
          </w:p>
          <w:p w14:paraId="59F64AE5" w14:textId="4AC20B5D" w:rsidR="00506F19" w:rsidRPr="00506F19" w:rsidRDefault="00F01362" w:rsidP="003A2CCC">
            <w:pPr>
              <w:jc w:val="center"/>
              <w:rPr>
                <w:rFonts w:cstheme="minorHAnsi"/>
                <w:b/>
                <w:sz w:val="20"/>
                <w:szCs w:val="20"/>
              </w:rPr>
            </w:pPr>
            <w:r>
              <w:rPr>
                <w:rFonts w:cstheme="minorHAnsi"/>
                <w:b/>
                <w:sz w:val="20"/>
                <w:szCs w:val="20"/>
              </w:rPr>
              <w:t>What now?</w:t>
            </w:r>
            <w:r w:rsidR="00506F19" w:rsidRPr="00506F19">
              <w:rPr>
                <w:rFonts w:cstheme="minorHAnsi"/>
                <w:b/>
                <w:sz w:val="20"/>
                <w:szCs w:val="20"/>
              </w:rPr>
              <w:t xml:space="preserve"> </w:t>
            </w:r>
          </w:p>
        </w:tc>
      </w:tr>
      <w:tr w:rsidR="00506F19" w:rsidRPr="00506F19" w14:paraId="2A1C9F09" w14:textId="77777777" w:rsidTr="0061262A">
        <w:trPr>
          <w:trHeight w:val="20"/>
        </w:trPr>
        <w:tc>
          <w:tcPr>
            <w:tcW w:w="1440" w:type="pct"/>
            <w:shd w:val="clear" w:color="auto" w:fill="D5DCE4" w:themeFill="text2" w:themeFillTint="33"/>
          </w:tcPr>
          <w:p w14:paraId="2B469E8B" w14:textId="77777777" w:rsidR="00506F19" w:rsidRPr="00506F19" w:rsidRDefault="00506F19" w:rsidP="003A2CCC">
            <w:pPr>
              <w:pStyle w:val="Bullets"/>
              <w:numPr>
                <w:ilvl w:val="0"/>
                <w:numId w:val="0"/>
              </w:numPr>
              <w:rPr>
                <w:rFonts w:cstheme="minorHAnsi"/>
                <w:b/>
                <w:sz w:val="20"/>
                <w:szCs w:val="20"/>
              </w:rPr>
            </w:pPr>
            <w:r w:rsidRPr="00506F19">
              <w:rPr>
                <w:rFonts w:cstheme="minorHAnsi"/>
                <w:color w:val="000000" w:themeColor="text1"/>
                <w:sz w:val="20"/>
                <w:szCs w:val="20"/>
              </w:rPr>
              <w:t>KEQ1 How effective was the Nabilan program in guaranteeing women and children victims access to adequate and responsive services?</w:t>
            </w:r>
          </w:p>
        </w:tc>
        <w:tc>
          <w:tcPr>
            <w:tcW w:w="1565" w:type="pct"/>
            <w:shd w:val="clear" w:color="auto" w:fill="D5DCE4" w:themeFill="text2" w:themeFillTint="33"/>
          </w:tcPr>
          <w:p w14:paraId="3BF477BA" w14:textId="043F45E9" w:rsidR="008F51CC" w:rsidRPr="008F51CC" w:rsidRDefault="008F51CC" w:rsidP="003A2CCC">
            <w:pPr>
              <w:jc w:val="left"/>
              <w:rPr>
                <w:rFonts w:cstheme="minorHAnsi"/>
                <w:i/>
                <w:sz w:val="20"/>
                <w:szCs w:val="20"/>
              </w:rPr>
            </w:pPr>
            <w:r w:rsidRPr="008F51CC">
              <w:rPr>
                <w:rFonts w:cstheme="minorHAnsi"/>
                <w:i/>
                <w:sz w:val="20"/>
                <w:szCs w:val="20"/>
              </w:rPr>
              <w:t xml:space="preserve">For each KEQ/sub-question, present evidence </w:t>
            </w:r>
            <w:r>
              <w:rPr>
                <w:rFonts w:cstheme="minorHAnsi"/>
                <w:i/>
                <w:sz w:val="20"/>
                <w:szCs w:val="20"/>
              </w:rPr>
              <w:t>from a range of sources</w:t>
            </w:r>
            <w:r w:rsidRPr="008F51CC">
              <w:rPr>
                <w:rFonts w:cstheme="minorHAnsi"/>
                <w:i/>
                <w:sz w:val="20"/>
                <w:szCs w:val="20"/>
              </w:rPr>
              <w:t xml:space="preserve"> to answer the questions: </w:t>
            </w:r>
          </w:p>
          <w:p w14:paraId="5DE560F5" w14:textId="1D1EA6DF" w:rsidR="008F51CC" w:rsidRPr="008F51CC" w:rsidRDefault="008F51CC" w:rsidP="003A2CCC">
            <w:pPr>
              <w:pStyle w:val="ListParagraph"/>
              <w:numPr>
                <w:ilvl w:val="0"/>
                <w:numId w:val="32"/>
              </w:numPr>
              <w:rPr>
                <w:rFonts w:cstheme="minorHAnsi"/>
                <w:i/>
                <w:sz w:val="20"/>
                <w:szCs w:val="20"/>
              </w:rPr>
            </w:pPr>
            <w:r w:rsidRPr="008F51CC">
              <w:rPr>
                <w:rFonts w:cstheme="minorHAnsi"/>
                <w:i/>
                <w:sz w:val="20"/>
                <w:szCs w:val="20"/>
              </w:rPr>
              <w:t xml:space="preserve">What did we </w:t>
            </w:r>
            <w:r w:rsidRPr="008F51CC">
              <w:rPr>
                <w:rFonts w:cstheme="minorHAnsi"/>
                <w:i/>
                <w:sz w:val="20"/>
                <w:szCs w:val="20"/>
                <w:u w:val="single"/>
              </w:rPr>
              <w:t>do</w:t>
            </w:r>
            <w:r w:rsidRPr="008F51CC">
              <w:rPr>
                <w:rFonts w:cstheme="minorHAnsi"/>
                <w:i/>
                <w:sz w:val="20"/>
                <w:szCs w:val="20"/>
              </w:rPr>
              <w:t>?</w:t>
            </w:r>
          </w:p>
          <w:p w14:paraId="260661DF" w14:textId="43C572A4" w:rsidR="008F51CC" w:rsidRPr="008F51CC" w:rsidRDefault="008F51CC" w:rsidP="003A2CCC">
            <w:pPr>
              <w:pStyle w:val="ListParagraph"/>
              <w:numPr>
                <w:ilvl w:val="0"/>
                <w:numId w:val="32"/>
              </w:numPr>
              <w:rPr>
                <w:rFonts w:cstheme="minorHAnsi"/>
                <w:i/>
                <w:sz w:val="20"/>
                <w:szCs w:val="20"/>
              </w:rPr>
            </w:pPr>
            <w:r w:rsidRPr="008F51CC">
              <w:rPr>
                <w:rFonts w:cstheme="minorHAnsi"/>
                <w:i/>
                <w:sz w:val="20"/>
                <w:szCs w:val="20"/>
              </w:rPr>
              <w:t xml:space="preserve">What </w:t>
            </w:r>
            <w:r w:rsidRPr="008F51CC">
              <w:rPr>
                <w:rFonts w:cstheme="minorHAnsi"/>
                <w:i/>
                <w:sz w:val="20"/>
                <w:szCs w:val="20"/>
                <w:u w:val="single"/>
              </w:rPr>
              <w:t>changed</w:t>
            </w:r>
            <w:r w:rsidRPr="008F51CC">
              <w:rPr>
                <w:rFonts w:cstheme="minorHAnsi"/>
                <w:i/>
                <w:sz w:val="20"/>
                <w:szCs w:val="20"/>
              </w:rPr>
              <w:t xml:space="preserve"> as a result?</w:t>
            </w:r>
          </w:p>
          <w:p w14:paraId="5C5B0F9E" w14:textId="77777777" w:rsidR="008F51CC" w:rsidRPr="008F51CC" w:rsidRDefault="008F51CC" w:rsidP="003A2CCC">
            <w:pPr>
              <w:jc w:val="left"/>
              <w:rPr>
                <w:rFonts w:cstheme="minorHAnsi"/>
                <w:i/>
                <w:sz w:val="20"/>
                <w:szCs w:val="20"/>
              </w:rPr>
            </w:pPr>
          </w:p>
          <w:p w14:paraId="3C8368A5" w14:textId="77777777" w:rsidR="00F01362" w:rsidRDefault="008F51CC" w:rsidP="003A2CCC">
            <w:pPr>
              <w:jc w:val="left"/>
              <w:rPr>
                <w:rFonts w:cstheme="minorHAnsi"/>
                <w:i/>
                <w:sz w:val="20"/>
                <w:szCs w:val="20"/>
              </w:rPr>
            </w:pPr>
            <w:r w:rsidRPr="008F51CC">
              <w:rPr>
                <w:rFonts w:cstheme="minorHAnsi"/>
                <w:i/>
                <w:sz w:val="20"/>
                <w:szCs w:val="20"/>
              </w:rPr>
              <w:t>Organise</w:t>
            </w:r>
            <w:r>
              <w:rPr>
                <w:rFonts w:cstheme="minorHAnsi"/>
                <w:i/>
                <w:sz w:val="20"/>
                <w:szCs w:val="20"/>
              </w:rPr>
              <w:t xml:space="preserve"> the evidence </w:t>
            </w:r>
            <w:r w:rsidRPr="008F51CC">
              <w:rPr>
                <w:rFonts w:cstheme="minorHAnsi"/>
                <w:i/>
                <w:sz w:val="20"/>
                <w:szCs w:val="20"/>
              </w:rPr>
              <w:t xml:space="preserve">against the indicators </w:t>
            </w:r>
            <w:r w:rsidR="00F01362">
              <w:rPr>
                <w:rFonts w:cstheme="minorHAnsi"/>
                <w:i/>
                <w:sz w:val="20"/>
                <w:szCs w:val="20"/>
              </w:rPr>
              <w:t xml:space="preserve">for </w:t>
            </w:r>
            <w:r w:rsidRPr="008F51CC">
              <w:rPr>
                <w:rFonts w:cstheme="minorHAnsi"/>
                <w:i/>
                <w:sz w:val="20"/>
                <w:szCs w:val="20"/>
              </w:rPr>
              <w:t>each KEQ/sub-question (refer to Annex 1)</w:t>
            </w:r>
            <w:r>
              <w:rPr>
                <w:rFonts w:cstheme="minorHAnsi"/>
                <w:i/>
                <w:sz w:val="20"/>
                <w:szCs w:val="20"/>
              </w:rPr>
              <w:t xml:space="preserve">. </w:t>
            </w:r>
          </w:p>
          <w:p w14:paraId="29198A88" w14:textId="77777777" w:rsidR="00F01362" w:rsidRDefault="00F01362" w:rsidP="003A2CCC">
            <w:pPr>
              <w:jc w:val="left"/>
              <w:rPr>
                <w:rFonts w:cstheme="minorHAnsi"/>
                <w:i/>
                <w:sz w:val="20"/>
                <w:szCs w:val="20"/>
              </w:rPr>
            </w:pPr>
          </w:p>
          <w:p w14:paraId="4F3CF5EA" w14:textId="185251D1" w:rsidR="00506F19" w:rsidRPr="00506F19" w:rsidRDefault="008F51CC" w:rsidP="003A2CCC">
            <w:pPr>
              <w:jc w:val="left"/>
              <w:rPr>
                <w:rFonts w:cstheme="minorHAnsi"/>
                <w:b/>
                <w:sz w:val="20"/>
                <w:szCs w:val="20"/>
              </w:rPr>
            </w:pPr>
            <w:r>
              <w:rPr>
                <w:rFonts w:cstheme="minorHAnsi"/>
                <w:i/>
                <w:sz w:val="20"/>
                <w:szCs w:val="20"/>
              </w:rPr>
              <w:t>Clearly state the data source for each piece of evidence.</w:t>
            </w:r>
          </w:p>
        </w:tc>
        <w:tc>
          <w:tcPr>
            <w:tcW w:w="1012" w:type="pct"/>
            <w:shd w:val="clear" w:color="auto" w:fill="D5DCE4" w:themeFill="text2" w:themeFillTint="33"/>
          </w:tcPr>
          <w:p w14:paraId="70B2ED6B" w14:textId="2AC6CA81" w:rsidR="00506F19" w:rsidRPr="008F51CC" w:rsidRDefault="008F51CC" w:rsidP="003A2CCC">
            <w:pPr>
              <w:jc w:val="left"/>
              <w:rPr>
                <w:rFonts w:cstheme="minorHAnsi"/>
                <w:i/>
                <w:sz w:val="20"/>
                <w:szCs w:val="20"/>
              </w:rPr>
            </w:pPr>
            <w:r w:rsidRPr="008F51CC">
              <w:rPr>
                <w:rFonts w:cstheme="minorHAnsi"/>
                <w:i/>
                <w:sz w:val="20"/>
                <w:szCs w:val="20"/>
              </w:rPr>
              <w:t>Completed in Learning Dialogue</w:t>
            </w:r>
          </w:p>
        </w:tc>
        <w:tc>
          <w:tcPr>
            <w:tcW w:w="983" w:type="pct"/>
            <w:shd w:val="clear" w:color="auto" w:fill="D5DCE4" w:themeFill="text2" w:themeFillTint="33"/>
          </w:tcPr>
          <w:p w14:paraId="1B4B12CA" w14:textId="083F565F" w:rsidR="00506F19" w:rsidRPr="008F51CC" w:rsidRDefault="008F51CC" w:rsidP="003A2CCC">
            <w:pPr>
              <w:jc w:val="left"/>
              <w:rPr>
                <w:rFonts w:cstheme="minorHAnsi"/>
                <w:i/>
                <w:sz w:val="20"/>
                <w:szCs w:val="20"/>
              </w:rPr>
            </w:pPr>
            <w:r w:rsidRPr="008F51CC">
              <w:rPr>
                <w:rFonts w:cstheme="minorHAnsi"/>
                <w:i/>
                <w:sz w:val="20"/>
                <w:szCs w:val="20"/>
              </w:rPr>
              <w:t>Completed in Learning Dialogue</w:t>
            </w:r>
          </w:p>
        </w:tc>
      </w:tr>
      <w:tr w:rsidR="00506F19" w:rsidRPr="00506F19" w14:paraId="6D94EF92" w14:textId="77777777" w:rsidTr="0061262A">
        <w:trPr>
          <w:trHeight w:val="252"/>
        </w:trPr>
        <w:tc>
          <w:tcPr>
            <w:tcW w:w="1440" w:type="pct"/>
          </w:tcPr>
          <w:p w14:paraId="270DD2F8" w14:textId="77777777" w:rsidR="00506F19" w:rsidRPr="00506F19" w:rsidRDefault="00506F19" w:rsidP="003A2CCC">
            <w:pPr>
              <w:jc w:val="left"/>
              <w:rPr>
                <w:rFonts w:cstheme="minorHAnsi"/>
                <w:color w:val="000000" w:themeColor="text1"/>
                <w:sz w:val="20"/>
                <w:szCs w:val="20"/>
              </w:rPr>
            </w:pPr>
            <w:r w:rsidRPr="00506F19">
              <w:rPr>
                <w:rFonts w:cstheme="minorHAnsi"/>
                <w:sz w:val="20"/>
                <w:szCs w:val="20"/>
              </w:rPr>
              <w:t>1.1 To what extent are service provider staff using their knowledge and skills for improved service delivery?</w:t>
            </w:r>
          </w:p>
        </w:tc>
        <w:tc>
          <w:tcPr>
            <w:tcW w:w="1565" w:type="pct"/>
          </w:tcPr>
          <w:p w14:paraId="58633E7F" w14:textId="77777777" w:rsidR="00506F19" w:rsidRPr="00506F19" w:rsidRDefault="00506F19" w:rsidP="003A2CCC">
            <w:pPr>
              <w:tabs>
                <w:tab w:val="left" w:pos="447"/>
              </w:tabs>
              <w:ind w:left="39"/>
              <w:rPr>
                <w:rFonts w:cstheme="minorHAnsi"/>
                <w:sz w:val="20"/>
                <w:szCs w:val="20"/>
              </w:rPr>
            </w:pPr>
          </w:p>
        </w:tc>
        <w:tc>
          <w:tcPr>
            <w:tcW w:w="1012" w:type="pct"/>
          </w:tcPr>
          <w:p w14:paraId="72617622" w14:textId="77777777" w:rsidR="00506F19" w:rsidRPr="00506F19" w:rsidRDefault="00506F19" w:rsidP="003A2CCC">
            <w:pPr>
              <w:tabs>
                <w:tab w:val="left" w:pos="447"/>
              </w:tabs>
              <w:rPr>
                <w:rFonts w:cstheme="minorHAnsi"/>
                <w:sz w:val="20"/>
                <w:szCs w:val="20"/>
              </w:rPr>
            </w:pPr>
          </w:p>
        </w:tc>
        <w:tc>
          <w:tcPr>
            <w:tcW w:w="983" w:type="pct"/>
          </w:tcPr>
          <w:p w14:paraId="1FFDFB0D" w14:textId="77777777" w:rsidR="00506F19" w:rsidRPr="00506F19" w:rsidRDefault="00506F19" w:rsidP="003A2CCC">
            <w:pPr>
              <w:tabs>
                <w:tab w:val="left" w:pos="447"/>
              </w:tabs>
              <w:rPr>
                <w:rFonts w:cstheme="minorHAnsi"/>
                <w:sz w:val="20"/>
                <w:szCs w:val="20"/>
              </w:rPr>
            </w:pPr>
          </w:p>
        </w:tc>
      </w:tr>
      <w:tr w:rsidR="00506F19" w:rsidRPr="00506F19" w14:paraId="0B9B2870" w14:textId="77777777" w:rsidTr="0061262A">
        <w:trPr>
          <w:trHeight w:val="252"/>
        </w:trPr>
        <w:tc>
          <w:tcPr>
            <w:tcW w:w="1440" w:type="pct"/>
          </w:tcPr>
          <w:p w14:paraId="05B7A9AE" w14:textId="77777777" w:rsidR="00506F19" w:rsidRPr="00506F19" w:rsidRDefault="00506F19" w:rsidP="003A2CCC">
            <w:pPr>
              <w:jc w:val="left"/>
              <w:rPr>
                <w:rFonts w:cstheme="minorHAnsi"/>
                <w:color w:val="000000" w:themeColor="text1"/>
                <w:sz w:val="20"/>
                <w:szCs w:val="20"/>
              </w:rPr>
            </w:pPr>
            <w:r w:rsidRPr="00506F19">
              <w:rPr>
                <w:rFonts w:cstheme="minorHAnsi"/>
                <w:sz w:val="20"/>
                <w:szCs w:val="20"/>
              </w:rPr>
              <w:t>1.2 To what extent did Nabilan contribute to high quality service delivery?</w:t>
            </w:r>
          </w:p>
        </w:tc>
        <w:tc>
          <w:tcPr>
            <w:tcW w:w="1565" w:type="pct"/>
          </w:tcPr>
          <w:p w14:paraId="71F53294" w14:textId="77777777" w:rsidR="00506F19" w:rsidRPr="00506F19" w:rsidRDefault="00506F19" w:rsidP="003A2CCC">
            <w:pPr>
              <w:tabs>
                <w:tab w:val="left" w:pos="447"/>
              </w:tabs>
              <w:ind w:left="39"/>
              <w:rPr>
                <w:rFonts w:cstheme="minorHAnsi"/>
                <w:sz w:val="20"/>
                <w:szCs w:val="20"/>
              </w:rPr>
            </w:pPr>
          </w:p>
        </w:tc>
        <w:tc>
          <w:tcPr>
            <w:tcW w:w="1012" w:type="pct"/>
          </w:tcPr>
          <w:p w14:paraId="66A244B6" w14:textId="77777777" w:rsidR="00506F19" w:rsidRPr="00506F19" w:rsidRDefault="00506F19" w:rsidP="003A2CCC">
            <w:pPr>
              <w:tabs>
                <w:tab w:val="left" w:pos="447"/>
              </w:tabs>
              <w:rPr>
                <w:rFonts w:cstheme="minorHAnsi"/>
                <w:sz w:val="20"/>
                <w:szCs w:val="20"/>
              </w:rPr>
            </w:pPr>
          </w:p>
        </w:tc>
        <w:tc>
          <w:tcPr>
            <w:tcW w:w="983" w:type="pct"/>
          </w:tcPr>
          <w:p w14:paraId="7A32D826" w14:textId="77777777" w:rsidR="00506F19" w:rsidRPr="00506F19" w:rsidRDefault="00506F19" w:rsidP="003A2CCC">
            <w:pPr>
              <w:tabs>
                <w:tab w:val="left" w:pos="447"/>
              </w:tabs>
              <w:rPr>
                <w:rFonts w:cstheme="minorHAnsi"/>
                <w:sz w:val="20"/>
                <w:szCs w:val="20"/>
              </w:rPr>
            </w:pPr>
          </w:p>
        </w:tc>
      </w:tr>
      <w:tr w:rsidR="00506F19" w:rsidRPr="00506F19" w14:paraId="3B15828F" w14:textId="77777777" w:rsidTr="0061262A">
        <w:trPr>
          <w:trHeight w:val="252"/>
        </w:trPr>
        <w:tc>
          <w:tcPr>
            <w:tcW w:w="1440" w:type="pct"/>
          </w:tcPr>
          <w:p w14:paraId="5A6B0343" w14:textId="77777777" w:rsidR="00506F19" w:rsidRPr="00506F19" w:rsidRDefault="00506F19" w:rsidP="003A2CCC">
            <w:pPr>
              <w:pStyle w:val="tablebullets"/>
              <w:rPr>
                <w:rFonts w:cstheme="minorHAnsi"/>
                <w:color w:val="000000" w:themeColor="text1"/>
              </w:rPr>
            </w:pPr>
            <w:r w:rsidRPr="00506F19">
              <w:rPr>
                <w:rFonts w:cstheme="minorHAnsi"/>
              </w:rPr>
              <w:t>1.3 To what extent did Nabilan contribute to inclusive service delivery?</w:t>
            </w:r>
          </w:p>
        </w:tc>
        <w:tc>
          <w:tcPr>
            <w:tcW w:w="1565" w:type="pct"/>
          </w:tcPr>
          <w:p w14:paraId="5669127B" w14:textId="77777777" w:rsidR="00506F19" w:rsidRPr="00506F19" w:rsidRDefault="00506F19" w:rsidP="003A2CCC">
            <w:pPr>
              <w:tabs>
                <w:tab w:val="left" w:pos="447"/>
              </w:tabs>
              <w:ind w:left="-20"/>
              <w:rPr>
                <w:rFonts w:cstheme="minorHAnsi"/>
                <w:sz w:val="20"/>
                <w:szCs w:val="20"/>
              </w:rPr>
            </w:pPr>
          </w:p>
        </w:tc>
        <w:tc>
          <w:tcPr>
            <w:tcW w:w="1012" w:type="pct"/>
          </w:tcPr>
          <w:p w14:paraId="17F6DD2A" w14:textId="77777777" w:rsidR="00506F19" w:rsidRPr="00506F19" w:rsidRDefault="00506F19" w:rsidP="003A2CCC">
            <w:pPr>
              <w:tabs>
                <w:tab w:val="left" w:pos="447"/>
              </w:tabs>
              <w:rPr>
                <w:rFonts w:cstheme="minorHAnsi"/>
                <w:sz w:val="20"/>
                <w:szCs w:val="20"/>
              </w:rPr>
            </w:pPr>
          </w:p>
        </w:tc>
        <w:tc>
          <w:tcPr>
            <w:tcW w:w="983" w:type="pct"/>
          </w:tcPr>
          <w:p w14:paraId="748F5DFC" w14:textId="77777777" w:rsidR="00506F19" w:rsidRPr="00506F19" w:rsidRDefault="00506F19" w:rsidP="003A2CCC">
            <w:pPr>
              <w:tabs>
                <w:tab w:val="left" w:pos="447"/>
              </w:tabs>
              <w:rPr>
                <w:rFonts w:cstheme="minorHAnsi"/>
                <w:sz w:val="20"/>
                <w:szCs w:val="20"/>
              </w:rPr>
            </w:pPr>
          </w:p>
        </w:tc>
      </w:tr>
      <w:tr w:rsidR="00506F19" w:rsidRPr="00506F19" w14:paraId="5E798ED9" w14:textId="77777777" w:rsidTr="0061262A">
        <w:trPr>
          <w:trHeight w:val="252"/>
        </w:trPr>
        <w:tc>
          <w:tcPr>
            <w:tcW w:w="1440" w:type="pct"/>
          </w:tcPr>
          <w:p w14:paraId="433E8516" w14:textId="77777777" w:rsidR="00506F19" w:rsidRPr="00506F19" w:rsidRDefault="00506F19" w:rsidP="003A2CCC">
            <w:pPr>
              <w:pStyle w:val="tablebullets"/>
              <w:rPr>
                <w:rFonts w:cstheme="minorHAnsi"/>
                <w:color w:val="000000" w:themeColor="text1"/>
              </w:rPr>
            </w:pPr>
            <w:r w:rsidRPr="00506F19">
              <w:rPr>
                <w:rFonts w:cstheme="minorHAnsi"/>
              </w:rPr>
              <w:t>1.4 How has Nabilan strengthened referral pathways?</w:t>
            </w:r>
          </w:p>
        </w:tc>
        <w:tc>
          <w:tcPr>
            <w:tcW w:w="1565" w:type="pct"/>
          </w:tcPr>
          <w:p w14:paraId="50846E5D" w14:textId="77777777" w:rsidR="00506F19" w:rsidRPr="00506F19" w:rsidRDefault="00506F19" w:rsidP="003A2CCC">
            <w:pPr>
              <w:tabs>
                <w:tab w:val="left" w:pos="447"/>
              </w:tabs>
              <w:ind w:left="-20"/>
              <w:rPr>
                <w:rFonts w:cstheme="minorHAnsi"/>
                <w:sz w:val="20"/>
                <w:szCs w:val="20"/>
              </w:rPr>
            </w:pPr>
          </w:p>
        </w:tc>
        <w:tc>
          <w:tcPr>
            <w:tcW w:w="1012" w:type="pct"/>
          </w:tcPr>
          <w:p w14:paraId="038AC9AB" w14:textId="77777777" w:rsidR="00506F19" w:rsidRPr="00506F19" w:rsidRDefault="00506F19" w:rsidP="003A2CCC">
            <w:pPr>
              <w:tabs>
                <w:tab w:val="left" w:pos="447"/>
              </w:tabs>
              <w:rPr>
                <w:rFonts w:cstheme="minorHAnsi"/>
                <w:sz w:val="20"/>
                <w:szCs w:val="20"/>
              </w:rPr>
            </w:pPr>
          </w:p>
        </w:tc>
        <w:tc>
          <w:tcPr>
            <w:tcW w:w="983" w:type="pct"/>
          </w:tcPr>
          <w:p w14:paraId="7E675D77" w14:textId="77777777" w:rsidR="00506F19" w:rsidRPr="00506F19" w:rsidRDefault="00506F19" w:rsidP="003A2CCC">
            <w:pPr>
              <w:tabs>
                <w:tab w:val="left" w:pos="447"/>
              </w:tabs>
              <w:rPr>
                <w:rFonts w:cstheme="minorHAnsi"/>
                <w:sz w:val="20"/>
                <w:szCs w:val="20"/>
              </w:rPr>
            </w:pPr>
          </w:p>
        </w:tc>
      </w:tr>
      <w:tr w:rsidR="00506F19" w:rsidRPr="00506F19" w14:paraId="12D67461" w14:textId="77777777" w:rsidTr="0061262A">
        <w:trPr>
          <w:trHeight w:val="252"/>
        </w:trPr>
        <w:tc>
          <w:tcPr>
            <w:tcW w:w="1440" w:type="pct"/>
          </w:tcPr>
          <w:p w14:paraId="7869F4F8" w14:textId="77777777" w:rsidR="00506F19" w:rsidRPr="00506F19" w:rsidRDefault="00506F19" w:rsidP="003A2CCC">
            <w:pPr>
              <w:pStyle w:val="tablebullets"/>
              <w:rPr>
                <w:rFonts w:cstheme="minorHAnsi"/>
                <w:color w:val="000000" w:themeColor="text1"/>
              </w:rPr>
            </w:pPr>
            <w:r w:rsidRPr="00506F19">
              <w:rPr>
                <w:rFonts w:cstheme="minorHAnsi"/>
              </w:rPr>
              <w:t>1.5 How has Nabilan contributed to improving the justice sector response to VAWC?</w:t>
            </w:r>
          </w:p>
        </w:tc>
        <w:tc>
          <w:tcPr>
            <w:tcW w:w="1565" w:type="pct"/>
          </w:tcPr>
          <w:p w14:paraId="13E7BBA4" w14:textId="77777777" w:rsidR="00506F19" w:rsidRPr="00506F19" w:rsidRDefault="00506F19" w:rsidP="003A2CCC">
            <w:pPr>
              <w:tabs>
                <w:tab w:val="left" w:pos="447"/>
              </w:tabs>
              <w:ind w:left="-20"/>
              <w:rPr>
                <w:rFonts w:cstheme="minorHAnsi"/>
                <w:sz w:val="20"/>
                <w:szCs w:val="20"/>
              </w:rPr>
            </w:pPr>
          </w:p>
        </w:tc>
        <w:tc>
          <w:tcPr>
            <w:tcW w:w="1012" w:type="pct"/>
          </w:tcPr>
          <w:p w14:paraId="3C164BA2" w14:textId="77777777" w:rsidR="00506F19" w:rsidRPr="00506F19" w:rsidRDefault="00506F19" w:rsidP="003A2CCC">
            <w:pPr>
              <w:tabs>
                <w:tab w:val="left" w:pos="447"/>
              </w:tabs>
              <w:rPr>
                <w:rFonts w:cstheme="minorHAnsi"/>
                <w:sz w:val="20"/>
                <w:szCs w:val="20"/>
              </w:rPr>
            </w:pPr>
          </w:p>
        </w:tc>
        <w:tc>
          <w:tcPr>
            <w:tcW w:w="983" w:type="pct"/>
          </w:tcPr>
          <w:p w14:paraId="3E606383" w14:textId="77777777" w:rsidR="00506F19" w:rsidRPr="00506F19" w:rsidRDefault="00506F19" w:rsidP="003A2CCC">
            <w:pPr>
              <w:tabs>
                <w:tab w:val="left" w:pos="447"/>
              </w:tabs>
              <w:rPr>
                <w:rFonts w:cstheme="minorHAnsi"/>
                <w:sz w:val="20"/>
                <w:szCs w:val="20"/>
              </w:rPr>
            </w:pPr>
          </w:p>
        </w:tc>
      </w:tr>
      <w:tr w:rsidR="00506F19" w:rsidRPr="00506F19" w14:paraId="59137868" w14:textId="77777777" w:rsidTr="0061262A">
        <w:trPr>
          <w:trHeight w:val="57"/>
        </w:trPr>
        <w:tc>
          <w:tcPr>
            <w:tcW w:w="1440" w:type="pct"/>
            <w:shd w:val="clear" w:color="auto" w:fill="D5DCE4" w:themeFill="text2" w:themeFillTint="33"/>
            <w:vAlign w:val="center"/>
          </w:tcPr>
          <w:p w14:paraId="483B7445" w14:textId="77777777" w:rsidR="00506F19" w:rsidRPr="00506F19" w:rsidRDefault="00506F19" w:rsidP="003A2CCC">
            <w:pPr>
              <w:jc w:val="left"/>
              <w:rPr>
                <w:rFonts w:cstheme="minorHAnsi"/>
                <w:b/>
                <w:sz w:val="20"/>
                <w:szCs w:val="20"/>
              </w:rPr>
            </w:pPr>
            <w:r w:rsidRPr="00506F19">
              <w:rPr>
                <w:rFonts w:cstheme="minorHAnsi"/>
                <w:color w:val="000000" w:themeColor="text1"/>
                <w:sz w:val="20"/>
                <w:szCs w:val="20"/>
              </w:rPr>
              <w:t>KEQ 2 To what extent are individuals, communities and institutions taking action to reduce violence against women?</w:t>
            </w:r>
          </w:p>
        </w:tc>
        <w:tc>
          <w:tcPr>
            <w:tcW w:w="1565" w:type="pct"/>
            <w:shd w:val="clear" w:color="auto" w:fill="D5DCE4" w:themeFill="text2" w:themeFillTint="33"/>
          </w:tcPr>
          <w:p w14:paraId="2BE85C66" w14:textId="77777777" w:rsidR="00506F19" w:rsidRPr="00506F19" w:rsidRDefault="00506F19" w:rsidP="003A2CCC">
            <w:pPr>
              <w:jc w:val="center"/>
              <w:rPr>
                <w:rFonts w:cstheme="minorHAnsi"/>
                <w:b/>
                <w:sz w:val="20"/>
                <w:szCs w:val="20"/>
              </w:rPr>
            </w:pPr>
          </w:p>
        </w:tc>
        <w:tc>
          <w:tcPr>
            <w:tcW w:w="1012" w:type="pct"/>
            <w:shd w:val="clear" w:color="auto" w:fill="D5DCE4" w:themeFill="text2" w:themeFillTint="33"/>
          </w:tcPr>
          <w:p w14:paraId="0C2D8D06" w14:textId="77777777" w:rsidR="00506F19" w:rsidRPr="00506F19" w:rsidRDefault="00506F19" w:rsidP="003A2CCC">
            <w:pPr>
              <w:jc w:val="center"/>
              <w:rPr>
                <w:rFonts w:cstheme="minorHAnsi"/>
                <w:b/>
                <w:sz w:val="20"/>
                <w:szCs w:val="20"/>
              </w:rPr>
            </w:pPr>
          </w:p>
        </w:tc>
        <w:tc>
          <w:tcPr>
            <w:tcW w:w="983" w:type="pct"/>
            <w:shd w:val="clear" w:color="auto" w:fill="D5DCE4" w:themeFill="text2" w:themeFillTint="33"/>
          </w:tcPr>
          <w:p w14:paraId="4A87DC19" w14:textId="77777777" w:rsidR="00506F19" w:rsidRPr="00506F19" w:rsidRDefault="00506F19" w:rsidP="003A2CCC">
            <w:pPr>
              <w:jc w:val="center"/>
              <w:rPr>
                <w:rFonts w:cstheme="minorHAnsi"/>
                <w:b/>
                <w:sz w:val="20"/>
                <w:szCs w:val="20"/>
              </w:rPr>
            </w:pPr>
          </w:p>
        </w:tc>
      </w:tr>
      <w:tr w:rsidR="00506F19" w:rsidRPr="00506F19" w14:paraId="33BDAE1D" w14:textId="77777777" w:rsidTr="0061262A">
        <w:trPr>
          <w:trHeight w:val="252"/>
        </w:trPr>
        <w:tc>
          <w:tcPr>
            <w:tcW w:w="1440" w:type="pct"/>
          </w:tcPr>
          <w:p w14:paraId="5AFF1901" w14:textId="77777777" w:rsidR="00506F19" w:rsidRPr="00506F19" w:rsidRDefault="00506F19" w:rsidP="003A2CCC">
            <w:pPr>
              <w:pStyle w:val="tablebullets"/>
              <w:rPr>
                <w:rFonts w:cstheme="minorHAnsi"/>
                <w:color w:val="000000" w:themeColor="text1"/>
              </w:rPr>
            </w:pPr>
            <w:r w:rsidRPr="00506F19">
              <w:rPr>
                <w:rFonts w:cstheme="minorHAnsi"/>
              </w:rPr>
              <w:t>2.1 Is Nabilan effectively supporting partner agencies to undertake quality prevention programming?</w:t>
            </w:r>
          </w:p>
        </w:tc>
        <w:tc>
          <w:tcPr>
            <w:tcW w:w="1565" w:type="pct"/>
          </w:tcPr>
          <w:p w14:paraId="076F126F" w14:textId="77777777" w:rsidR="00506F19" w:rsidRPr="00506F19" w:rsidRDefault="00506F19" w:rsidP="003A2CCC">
            <w:pPr>
              <w:tabs>
                <w:tab w:val="left" w:pos="447"/>
              </w:tabs>
              <w:ind w:left="39"/>
              <w:rPr>
                <w:rFonts w:cstheme="minorHAnsi"/>
                <w:sz w:val="20"/>
                <w:szCs w:val="20"/>
              </w:rPr>
            </w:pPr>
          </w:p>
        </w:tc>
        <w:tc>
          <w:tcPr>
            <w:tcW w:w="1012" w:type="pct"/>
          </w:tcPr>
          <w:p w14:paraId="4B22E259" w14:textId="77777777" w:rsidR="00506F19" w:rsidRPr="00506F19" w:rsidRDefault="00506F19" w:rsidP="003A2CCC">
            <w:pPr>
              <w:tabs>
                <w:tab w:val="left" w:pos="447"/>
              </w:tabs>
              <w:rPr>
                <w:rFonts w:cstheme="minorHAnsi"/>
                <w:sz w:val="20"/>
                <w:szCs w:val="20"/>
              </w:rPr>
            </w:pPr>
          </w:p>
        </w:tc>
        <w:tc>
          <w:tcPr>
            <w:tcW w:w="983" w:type="pct"/>
          </w:tcPr>
          <w:p w14:paraId="145248C0" w14:textId="77777777" w:rsidR="00506F19" w:rsidRPr="00506F19" w:rsidRDefault="00506F19" w:rsidP="003A2CCC">
            <w:pPr>
              <w:tabs>
                <w:tab w:val="left" w:pos="447"/>
              </w:tabs>
              <w:rPr>
                <w:rFonts w:cstheme="minorHAnsi"/>
                <w:sz w:val="20"/>
                <w:szCs w:val="20"/>
              </w:rPr>
            </w:pPr>
          </w:p>
        </w:tc>
      </w:tr>
      <w:tr w:rsidR="00506F19" w:rsidRPr="00506F19" w14:paraId="796A0179" w14:textId="77777777" w:rsidTr="0061262A">
        <w:trPr>
          <w:trHeight w:val="252"/>
        </w:trPr>
        <w:tc>
          <w:tcPr>
            <w:tcW w:w="1440" w:type="pct"/>
          </w:tcPr>
          <w:p w14:paraId="0ECD6980" w14:textId="77777777" w:rsidR="00506F19" w:rsidRPr="00506F19" w:rsidRDefault="00506F19" w:rsidP="003A2CCC">
            <w:pPr>
              <w:pStyle w:val="tablebullets"/>
              <w:rPr>
                <w:rFonts w:cstheme="minorHAnsi"/>
                <w:color w:val="000000" w:themeColor="text1"/>
              </w:rPr>
            </w:pPr>
            <w:r w:rsidRPr="00506F19">
              <w:rPr>
                <w:rFonts w:cstheme="minorHAnsi"/>
              </w:rPr>
              <w:t>2.2 How has Nabilan contributed to the independent women's movement’s advocacy on gender equity and ending VAWC?</w:t>
            </w:r>
          </w:p>
        </w:tc>
        <w:tc>
          <w:tcPr>
            <w:tcW w:w="1565" w:type="pct"/>
          </w:tcPr>
          <w:p w14:paraId="79551A9B" w14:textId="77777777" w:rsidR="00506F19" w:rsidRPr="00506F19" w:rsidRDefault="00506F19" w:rsidP="003A2CCC">
            <w:pPr>
              <w:tabs>
                <w:tab w:val="left" w:pos="447"/>
              </w:tabs>
              <w:ind w:left="70"/>
              <w:rPr>
                <w:rFonts w:cstheme="minorHAnsi"/>
                <w:sz w:val="20"/>
                <w:szCs w:val="20"/>
              </w:rPr>
            </w:pPr>
          </w:p>
          <w:p w14:paraId="50EA949C" w14:textId="77777777" w:rsidR="00506F19" w:rsidRPr="00506F19" w:rsidRDefault="00506F19" w:rsidP="003A2CCC">
            <w:pPr>
              <w:tabs>
                <w:tab w:val="left" w:pos="447"/>
              </w:tabs>
              <w:ind w:left="70"/>
              <w:rPr>
                <w:rFonts w:cstheme="minorHAnsi"/>
                <w:sz w:val="20"/>
                <w:szCs w:val="20"/>
              </w:rPr>
            </w:pPr>
          </w:p>
        </w:tc>
        <w:tc>
          <w:tcPr>
            <w:tcW w:w="1012" w:type="pct"/>
          </w:tcPr>
          <w:p w14:paraId="5253F884" w14:textId="77777777" w:rsidR="00506F19" w:rsidRPr="00506F19" w:rsidRDefault="00506F19" w:rsidP="003A2CCC">
            <w:pPr>
              <w:tabs>
                <w:tab w:val="left" w:pos="447"/>
              </w:tabs>
              <w:rPr>
                <w:rFonts w:cstheme="minorHAnsi"/>
                <w:sz w:val="20"/>
                <w:szCs w:val="20"/>
              </w:rPr>
            </w:pPr>
          </w:p>
        </w:tc>
        <w:tc>
          <w:tcPr>
            <w:tcW w:w="983" w:type="pct"/>
          </w:tcPr>
          <w:p w14:paraId="7A71C39B" w14:textId="77777777" w:rsidR="00506F19" w:rsidRPr="00506F19" w:rsidRDefault="00506F19" w:rsidP="003A2CCC">
            <w:pPr>
              <w:tabs>
                <w:tab w:val="left" w:pos="447"/>
              </w:tabs>
              <w:rPr>
                <w:rFonts w:cstheme="minorHAnsi"/>
                <w:sz w:val="20"/>
                <w:szCs w:val="20"/>
              </w:rPr>
            </w:pPr>
          </w:p>
        </w:tc>
      </w:tr>
      <w:tr w:rsidR="00506F19" w:rsidRPr="00506F19" w14:paraId="462C02C4" w14:textId="77777777" w:rsidTr="0061262A">
        <w:trPr>
          <w:trHeight w:val="252"/>
        </w:trPr>
        <w:tc>
          <w:tcPr>
            <w:tcW w:w="1440" w:type="pct"/>
          </w:tcPr>
          <w:p w14:paraId="72C77C02" w14:textId="77777777" w:rsidR="00506F19" w:rsidRPr="00506F19" w:rsidRDefault="00506F19" w:rsidP="003A2CCC">
            <w:pPr>
              <w:pStyle w:val="tablebullets"/>
              <w:rPr>
                <w:rFonts w:cstheme="minorHAnsi"/>
                <w:color w:val="000000" w:themeColor="text1"/>
              </w:rPr>
            </w:pPr>
            <w:r w:rsidRPr="00506F19">
              <w:rPr>
                <w:rFonts w:cstheme="minorHAnsi"/>
              </w:rPr>
              <w:t>2.3 To what extent has Nabilan influenced increased GOTL dialogue and action on preventing VAWC?</w:t>
            </w:r>
          </w:p>
        </w:tc>
        <w:tc>
          <w:tcPr>
            <w:tcW w:w="1565" w:type="pct"/>
          </w:tcPr>
          <w:p w14:paraId="69ED5F12" w14:textId="77777777" w:rsidR="00506F19" w:rsidRPr="00506F19" w:rsidRDefault="00506F19" w:rsidP="003A2CCC">
            <w:pPr>
              <w:tabs>
                <w:tab w:val="left" w:pos="447"/>
              </w:tabs>
              <w:ind w:left="70"/>
              <w:rPr>
                <w:rFonts w:cstheme="minorHAnsi"/>
                <w:sz w:val="20"/>
                <w:szCs w:val="20"/>
              </w:rPr>
            </w:pPr>
          </w:p>
        </w:tc>
        <w:tc>
          <w:tcPr>
            <w:tcW w:w="1012" w:type="pct"/>
          </w:tcPr>
          <w:p w14:paraId="5265299A" w14:textId="77777777" w:rsidR="00506F19" w:rsidRPr="00506F19" w:rsidRDefault="00506F19" w:rsidP="003A2CCC">
            <w:pPr>
              <w:tabs>
                <w:tab w:val="left" w:pos="447"/>
              </w:tabs>
              <w:rPr>
                <w:rFonts w:cstheme="minorHAnsi"/>
                <w:sz w:val="20"/>
                <w:szCs w:val="20"/>
              </w:rPr>
            </w:pPr>
          </w:p>
        </w:tc>
        <w:tc>
          <w:tcPr>
            <w:tcW w:w="983" w:type="pct"/>
          </w:tcPr>
          <w:p w14:paraId="0DF9E0A6" w14:textId="77777777" w:rsidR="00506F19" w:rsidRPr="00506F19" w:rsidRDefault="00506F19" w:rsidP="003A2CCC">
            <w:pPr>
              <w:tabs>
                <w:tab w:val="left" w:pos="447"/>
              </w:tabs>
              <w:rPr>
                <w:rFonts w:cstheme="minorHAnsi"/>
                <w:sz w:val="20"/>
                <w:szCs w:val="20"/>
              </w:rPr>
            </w:pPr>
          </w:p>
        </w:tc>
      </w:tr>
      <w:tr w:rsidR="00506F19" w:rsidRPr="00506F19" w14:paraId="24E7CA87" w14:textId="77777777" w:rsidTr="0061262A">
        <w:trPr>
          <w:trHeight w:val="252"/>
        </w:trPr>
        <w:tc>
          <w:tcPr>
            <w:tcW w:w="1440" w:type="pct"/>
          </w:tcPr>
          <w:p w14:paraId="2172F777" w14:textId="77777777" w:rsidR="00506F19" w:rsidRPr="00506F19" w:rsidRDefault="00506F19" w:rsidP="003A2CCC">
            <w:pPr>
              <w:pStyle w:val="tablebullets"/>
              <w:rPr>
                <w:rFonts w:cstheme="minorHAnsi"/>
                <w:color w:val="000000" w:themeColor="text1"/>
              </w:rPr>
            </w:pPr>
            <w:r w:rsidRPr="00506F19">
              <w:rPr>
                <w:rFonts w:cstheme="minorHAnsi"/>
              </w:rPr>
              <w:t>2.4 Is Nabilan effectively supporting Change Ambassadors to influence their programs on quality prevention approaches?</w:t>
            </w:r>
          </w:p>
        </w:tc>
        <w:tc>
          <w:tcPr>
            <w:tcW w:w="1565" w:type="pct"/>
          </w:tcPr>
          <w:p w14:paraId="528C5709" w14:textId="77777777" w:rsidR="00506F19" w:rsidRPr="00506F19" w:rsidRDefault="00506F19" w:rsidP="003A2CCC">
            <w:pPr>
              <w:tabs>
                <w:tab w:val="left" w:pos="447"/>
              </w:tabs>
              <w:ind w:left="70"/>
              <w:rPr>
                <w:rFonts w:cstheme="minorHAnsi"/>
                <w:sz w:val="20"/>
                <w:szCs w:val="20"/>
              </w:rPr>
            </w:pPr>
          </w:p>
        </w:tc>
        <w:tc>
          <w:tcPr>
            <w:tcW w:w="1012" w:type="pct"/>
          </w:tcPr>
          <w:p w14:paraId="6CF3E70F" w14:textId="77777777" w:rsidR="00506F19" w:rsidRPr="00506F19" w:rsidRDefault="00506F19" w:rsidP="003A2CCC">
            <w:pPr>
              <w:tabs>
                <w:tab w:val="left" w:pos="447"/>
              </w:tabs>
              <w:rPr>
                <w:rFonts w:cstheme="minorHAnsi"/>
                <w:sz w:val="20"/>
                <w:szCs w:val="20"/>
              </w:rPr>
            </w:pPr>
          </w:p>
        </w:tc>
        <w:tc>
          <w:tcPr>
            <w:tcW w:w="983" w:type="pct"/>
          </w:tcPr>
          <w:p w14:paraId="63F40EC7" w14:textId="77777777" w:rsidR="00506F19" w:rsidRPr="00506F19" w:rsidRDefault="00506F19" w:rsidP="003A2CCC">
            <w:pPr>
              <w:tabs>
                <w:tab w:val="left" w:pos="447"/>
              </w:tabs>
              <w:rPr>
                <w:rFonts w:cstheme="minorHAnsi"/>
                <w:sz w:val="20"/>
                <w:szCs w:val="20"/>
              </w:rPr>
            </w:pPr>
          </w:p>
        </w:tc>
      </w:tr>
      <w:tr w:rsidR="00506F19" w:rsidRPr="00506F19" w14:paraId="643AFF24" w14:textId="77777777" w:rsidTr="0061262A">
        <w:trPr>
          <w:trHeight w:val="252"/>
        </w:trPr>
        <w:tc>
          <w:tcPr>
            <w:tcW w:w="1440" w:type="pct"/>
          </w:tcPr>
          <w:p w14:paraId="6B515589" w14:textId="77777777" w:rsidR="00506F19" w:rsidRPr="00506F19" w:rsidRDefault="00506F19" w:rsidP="003A2CCC">
            <w:pPr>
              <w:pStyle w:val="tablebullets"/>
              <w:rPr>
                <w:rFonts w:cstheme="minorHAnsi"/>
                <w:color w:val="000000" w:themeColor="text1"/>
              </w:rPr>
            </w:pPr>
            <w:r w:rsidRPr="00506F19">
              <w:rPr>
                <w:rFonts w:cstheme="minorHAnsi"/>
              </w:rPr>
              <w:t>2.5 To what extent has Nabilan supported individuals, communities and institutions to recognise VAWC as a problem?</w:t>
            </w:r>
          </w:p>
        </w:tc>
        <w:tc>
          <w:tcPr>
            <w:tcW w:w="1565" w:type="pct"/>
          </w:tcPr>
          <w:p w14:paraId="2A4B6753" w14:textId="77777777" w:rsidR="00506F19" w:rsidRPr="00506F19" w:rsidRDefault="00506F19" w:rsidP="003A2CCC">
            <w:pPr>
              <w:tabs>
                <w:tab w:val="left" w:pos="447"/>
              </w:tabs>
              <w:ind w:left="70"/>
              <w:rPr>
                <w:rFonts w:cstheme="minorHAnsi"/>
                <w:sz w:val="20"/>
                <w:szCs w:val="20"/>
              </w:rPr>
            </w:pPr>
          </w:p>
          <w:p w14:paraId="29C7AD0D" w14:textId="77777777" w:rsidR="00506F19" w:rsidRPr="00506F19" w:rsidRDefault="00506F19" w:rsidP="003A2CCC">
            <w:pPr>
              <w:tabs>
                <w:tab w:val="left" w:pos="447"/>
              </w:tabs>
              <w:ind w:left="70"/>
              <w:rPr>
                <w:rFonts w:cstheme="minorHAnsi"/>
                <w:sz w:val="20"/>
                <w:szCs w:val="20"/>
              </w:rPr>
            </w:pPr>
          </w:p>
        </w:tc>
        <w:tc>
          <w:tcPr>
            <w:tcW w:w="1012" w:type="pct"/>
          </w:tcPr>
          <w:p w14:paraId="6C4693A7" w14:textId="77777777" w:rsidR="00506F19" w:rsidRPr="00506F19" w:rsidRDefault="00506F19" w:rsidP="003A2CCC">
            <w:pPr>
              <w:tabs>
                <w:tab w:val="left" w:pos="447"/>
              </w:tabs>
              <w:rPr>
                <w:rFonts w:cstheme="minorHAnsi"/>
                <w:sz w:val="20"/>
                <w:szCs w:val="20"/>
              </w:rPr>
            </w:pPr>
          </w:p>
        </w:tc>
        <w:tc>
          <w:tcPr>
            <w:tcW w:w="983" w:type="pct"/>
          </w:tcPr>
          <w:p w14:paraId="6A9B55E4" w14:textId="77777777" w:rsidR="00506F19" w:rsidRPr="00506F19" w:rsidRDefault="00506F19" w:rsidP="003A2CCC">
            <w:pPr>
              <w:tabs>
                <w:tab w:val="left" w:pos="447"/>
              </w:tabs>
              <w:rPr>
                <w:rFonts w:cstheme="minorHAnsi"/>
                <w:sz w:val="20"/>
                <w:szCs w:val="20"/>
              </w:rPr>
            </w:pPr>
          </w:p>
        </w:tc>
      </w:tr>
      <w:tr w:rsidR="00506F19" w:rsidRPr="00506F19" w14:paraId="15970482" w14:textId="77777777" w:rsidTr="0061262A">
        <w:trPr>
          <w:trHeight w:val="252"/>
        </w:trPr>
        <w:tc>
          <w:tcPr>
            <w:tcW w:w="1440" w:type="pct"/>
          </w:tcPr>
          <w:p w14:paraId="465AF6D2" w14:textId="77777777" w:rsidR="00506F19" w:rsidRPr="00506F19" w:rsidRDefault="00506F19" w:rsidP="003A2CCC">
            <w:pPr>
              <w:pStyle w:val="tablebullets"/>
              <w:rPr>
                <w:rFonts w:cstheme="minorHAnsi"/>
                <w:color w:val="000000" w:themeColor="text1"/>
              </w:rPr>
            </w:pPr>
            <w:r w:rsidRPr="00506F19">
              <w:rPr>
                <w:rFonts w:cstheme="minorHAnsi"/>
              </w:rPr>
              <w:t>2.6 To what extent has Nabilan supported communities to take independent action to prevent VAWC?</w:t>
            </w:r>
          </w:p>
        </w:tc>
        <w:tc>
          <w:tcPr>
            <w:tcW w:w="1565" w:type="pct"/>
          </w:tcPr>
          <w:p w14:paraId="2ABBC1F6" w14:textId="77777777" w:rsidR="00506F19" w:rsidRPr="00506F19" w:rsidRDefault="00506F19" w:rsidP="003A2CCC">
            <w:pPr>
              <w:tabs>
                <w:tab w:val="left" w:pos="447"/>
              </w:tabs>
              <w:ind w:left="70"/>
              <w:rPr>
                <w:rFonts w:cstheme="minorHAnsi"/>
                <w:sz w:val="20"/>
                <w:szCs w:val="20"/>
              </w:rPr>
            </w:pPr>
          </w:p>
        </w:tc>
        <w:tc>
          <w:tcPr>
            <w:tcW w:w="1012" w:type="pct"/>
          </w:tcPr>
          <w:p w14:paraId="000CD4E3" w14:textId="77777777" w:rsidR="00506F19" w:rsidRPr="00506F19" w:rsidRDefault="00506F19" w:rsidP="003A2CCC">
            <w:pPr>
              <w:tabs>
                <w:tab w:val="left" w:pos="447"/>
              </w:tabs>
              <w:rPr>
                <w:rFonts w:cstheme="minorHAnsi"/>
                <w:sz w:val="20"/>
                <w:szCs w:val="20"/>
              </w:rPr>
            </w:pPr>
          </w:p>
        </w:tc>
        <w:tc>
          <w:tcPr>
            <w:tcW w:w="983" w:type="pct"/>
          </w:tcPr>
          <w:p w14:paraId="074FA5C4" w14:textId="77777777" w:rsidR="00506F19" w:rsidRPr="00506F19" w:rsidRDefault="00506F19" w:rsidP="003A2CCC">
            <w:pPr>
              <w:tabs>
                <w:tab w:val="left" w:pos="447"/>
              </w:tabs>
              <w:rPr>
                <w:rFonts w:cstheme="minorHAnsi"/>
                <w:sz w:val="20"/>
                <w:szCs w:val="20"/>
              </w:rPr>
            </w:pPr>
          </w:p>
        </w:tc>
      </w:tr>
      <w:tr w:rsidR="00506F19" w:rsidRPr="00506F19" w14:paraId="67F6BD96" w14:textId="77777777" w:rsidTr="0061262A">
        <w:trPr>
          <w:trHeight w:val="252"/>
        </w:trPr>
        <w:tc>
          <w:tcPr>
            <w:tcW w:w="1440" w:type="pct"/>
          </w:tcPr>
          <w:p w14:paraId="5D94A81D" w14:textId="77777777" w:rsidR="00506F19" w:rsidRPr="00506F19" w:rsidRDefault="00506F19" w:rsidP="003A2CCC">
            <w:pPr>
              <w:pStyle w:val="tablebullets"/>
              <w:rPr>
                <w:rFonts w:cstheme="minorHAnsi"/>
                <w:color w:val="000000" w:themeColor="text1"/>
              </w:rPr>
            </w:pPr>
            <w:r w:rsidRPr="00506F19">
              <w:rPr>
                <w:rFonts w:cstheme="minorHAnsi"/>
              </w:rPr>
              <w:t>2.7 To what extent has the evidence from the CBA pilot influenced prevention programming by other agencies?</w:t>
            </w:r>
          </w:p>
        </w:tc>
        <w:tc>
          <w:tcPr>
            <w:tcW w:w="1565" w:type="pct"/>
          </w:tcPr>
          <w:p w14:paraId="2B0253B8" w14:textId="77777777" w:rsidR="00506F19" w:rsidRPr="00506F19" w:rsidRDefault="00506F19" w:rsidP="003A2CCC">
            <w:pPr>
              <w:tabs>
                <w:tab w:val="left" w:pos="447"/>
              </w:tabs>
              <w:ind w:left="70"/>
              <w:rPr>
                <w:rFonts w:cstheme="minorHAnsi"/>
                <w:sz w:val="20"/>
                <w:szCs w:val="20"/>
              </w:rPr>
            </w:pPr>
          </w:p>
        </w:tc>
        <w:tc>
          <w:tcPr>
            <w:tcW w:w="1012" w:type="pct"/>
          </w:tcPr>
          <w:p w14:paraId="135292C9" w14:textId="77777777" w:rsidR="00506F19" w:rsidRPr="00506F19" w:rsidRDefault="00506F19" w:rsidP="003A2CCC">
            <w:pPr>
              <w:tabs>
                <w:tab w:val="left" w:pos="447"/>
              </w:tabs>
              <w:rPr>
                <w:rFonts w:cstheme="minorHAnsi"/>
                <w:sz w:val="20"/>
                <w:szCs w:val="20"/>
              </w:rPr>
            </w:pPr>
          </w:p>
        </w:tc>
        <w:tc>
          <w:tcPr>
            <w:tcW w:w="983" w:type="pct"/>
          </w:tcPr>
          <w:p w14:paraId="61D5F3CC" w14:textId="77777777" w:rsidR="00506F19" w:rsidRPr="00506F19" w:rsidRDefault="00506F19" w:rsidP="003A2CCC">
            <w:pPr>
              <w:tabs>
                <w:tab w:val="left" w:pos="447"/>
              </w:tabs>
              <w:rPr>
                <w:rFonts w:cstheme="minorHAnsi"/>
                <w:sz w:val="20"/>
                <w:szCs w:val="20"/>
              </w:rPr>
            </w:pPr>
          </w:p>
        </w:tc>
      </w:tr>
      <w:tr w:rsidR="00506F19" w:rsidRPr="00506F19" w14:paraId="33539A93" w14:textId="77777777" w:rsidTr="0061262A">
        <w:trPr>
          <w:trHeight w:val="20"/>
        </w:trPr>
        <w:tc>
          <w:tcPr>
            <w:tcW w:w="1440" w:type="pct"/>
            <w:shd w:val="clear" w:color="auto" w:fill="D5DCE4" w:themeFill="text2" w:themeFillTint="33"/>
          </w:tcPr>
          <w:p w14:paraId="7FD41395" w14:textId="77777777" w:rsidR="00506F19" w:rsidRPr="00506F19" w:rsidRDefault="00506F19" w:rsidP="003A2CCC">
            <w:pPr>
              <w:jc w:val="left"/>
              <w:rPr>
                <w:rFonts w:cstheme="minorHAnsi"/>
                <w:b/>
                <w:sz w:val="20"/>
                <w:szCs w:val="20"/>
              </w:rPr>
            </w:pPr>
            <w:r w:rsidRPr="00506F19">
              <w:rPr>
                <w:rFonts w:cstheme="minorHAnsi"/>
                <w:color w:val="000000" w:themeColor="text1"/>
                <w:sz w:val="20"/>
                <w:szCs w:val="20"/>
              </w:rPr>
              <w:t>KEQ 3 What key factors will contribute to the sustainability of the Nabilan program outcomes beyond the end of the program?</w:t>
            </w:r>
          </w:p>
        </w:tc>
        <w:tc>
          <w:tcPr>
            <w:tcW w:w="1565" w:type="pct"/>
            <w:shd w:val="clear" w:color="auto" w:fill="D5DCE4" w:themeFill="text2" w:themeFillTint="33"/>
          </w:tcPr>
          <w:p w14:paraId="06003125" w14:textId="77777777" w:rsidR="00506F19" w:rsidRPr="00506F19" w:rsidRDefault="00506F19" w:rsidP="003A2CCC">
            <w:pPr>
              <w:jc w:val="center"/>
              <w:rPr>
                <w:rFonts w:cstheme="minorHAnsi"/>
                <w:b/>
                <w:sz w:val="20"/>
                <w:szCs w:val="20"/>
              </w:rPr>
            </w:pPr>
          </w:p>
        </w:tc>
        <w:tc>
          <w:tcPr>
            <w:tcW w:w="1012" w:type="pct"/>
            <w:shd w:val="clear" w:color="auto" w:fill="D5DCE4" w:themeFill="text2" w:themeFillTint="33"/>
          </w:tcPr>
          <w:p w14:paraId="506A0F37" w14:textId="77777777" w:rsidR="00506F19" w:rsidRPr="00506F19" w:rsidRDefault="00506F19" w:rsidP="003A2CCC">
            <w:pPr>
              <w:jc w:val="center"/>
              <w:rPr>
                <w:rFonts w:cstheme="minorHAnsi"/>
                <w:b/>
                <w:sz w:val="20"/>
                <w:szCs w:val="20"/>
              </w:rPr>
            </w:pPr>
          </w:p>
        </w:tc>
        <w:tc>
          <w:tcPr>
            <w:tcW w:w="983" w:type="pct"/>
            <w:shd w:val="clear" w:color="auto" w:fill="D5DCE4" w:themeFill="text2" w:themeFillTint="33"/>
          </w:tcPr>
          <w:p w14:paraId="0FD6825B" w14:textId="77777777" w:rsidR="00506F19" w:rsidRPr="00506F19" w:rsidRDefault="00506F19" w:rsidP="003A2CCC">
            <w:pPr>
              <w:jc w:val="center"/>
              <w:rPr>
                <w:rFonts w:cstheme="minorHAnsi"/>
                <w:b/>
                <w:sz w:val="20"/>
                <w:szCs w:val="20"/>
              </w:rPr>
            </w:pPr>
          </w:p>
        </w:tc>
      </w:tr>
      <w:tr w:rsidR="00506F19" w:rsidRPr="00506F19" w14:paraId="44750A52" w14:textId="77777777" w:rsidTr="0061262A">
        <w:trPr>
          <w:trHeight w:val="252"/>
        </w:trPr>
        <w:tc>
          <w:tcPr>
            <w:tcW w:w="1440" w:type="pct"/>
          </w:tcPr>
          <w:p w14:paraId="295DD81D" w14:textId="77777777" w:rsidR="00506F19" w:rsidRPr="00506F19" w:rsidRDefault="00506F19" w:rsidP="003A2CCC">
            <w:pPr>
              <w:pStyle w:val="Bullets"/>
              <w:numPr>
                <w:ilvl w:val="0"/>
                <w:numId w:val="0"/>
              </w:numPr>
              <w:rPr>
                <w:rFonts w:cstheme="minorHAnsi"/>
                <w:color w:val="000000" w:themeColor="text1"/>
                <w:sz w:val="20"/>
                <w:szCs w:val="20"/>
              </w:rPr>
            </w:pPr>
            <w:r w:rsidRPr="00506F19">
              <w:rPr>
                <w:rFonts w:cstheme="minorHAnsi"/>
                <w:sz w:val="20"/>
                <w:szCs w:val="20"/>
              </w:rPr>
              <w:t>3.1 To what extent is GOTL resourcing prevention activities and essential services for women and children impacted by violence? How did Nabilan contribute to this?</w:t>
            </w:r>
          </w:p>
        </w:tc>
        <w:tc>
          <w:tcPr>
            <w:tcW w:w="1565" w:type="pct"/>
          </w:tcPr>
          <w:p w14:paraId="10389ACB" w14:textId="77777777" w:rsidR="00506F19" w:rsidRPr="00506F19" w:rsidRDefault="00506F19" w:rsidP="003A2CCC">
            <w:pPr>
              <w:tabs>
                <w:tab w:val="left" w:pos="447"/>
              </w:tabs>
              <w:ind w:left="39"/>
              <w:rPr>
                <w:rFonts w:cstheme="minorHAnsi"/>
                <w:sz w:val="20"/>
                <w:szCs w:val="20"/>
              </w:rPr>
            </w:pPr>
          </w:p>
          <w:p w14:paraId="66971172" w14:textId="77777777" w:rsidR="00506F19" w:rsidRPr="00506F19" w:rsidRDefault="00506F19" w:rsidP="003A2CCC">
            <w:pPr>
              <w:tabs>
                <w:tab w:val="left" w:pos="447"/>
              </w:tabs>
              <w:ind w:left="39"/>
              <w:rPr>
                <w:rFonts w:cstheme="minorHAnsi"/>
                <w:sz w:val="20"/>
                <w:szCs w:val="20"/>
              </w:rPr>
            </w:pPr>
          </w:p>
        </w:tc>
        <w:tc>
          <w:tcPr>
            <w:tcW w:w="1012" w:type="pct"/>
          </w:tcPr>
          <w:p w14:paraId="4C8528FE" w14:textId="77777777" w:rsidR="00506F19" w:rsidRPr="00506F19" w:rsidRDefault="00506F19" w:rsidP="003A2CCC">
            <w:pPr>
              <w:tabs>
                <w:tab w:val="left" w:pos="447"/>
              </w:tabs>
              <w:rPr>
                <w:rFonts w:cstheme="minorHAnsi"/>
                <w:sz w:val="20"/>
                <w:szCs w:val="20"/>
              </w:rPr>
            </w:pPr>
          </w:p>
        </w:tc>
        <w:tc>
          <w:tcPr>
            <w:tcW w:w="983" w:type="pct"/>
          </w:tcPr>
          <w:p w14:paraId="2B82654D" w14:textId="77777777" w:rsidR="00506F19" w:rsidRPr="00506F19" w:rsidRDefault="00506F19" w:rsidP="003A2CCC">
            <w:pPr>
              <w:tabs>
                <w:tab w:val="left" w:pos="447"/>
              </w:tabs>
              <w:rPr>
                <w:rFonts w:cstheme="minorHAnsi"/>
                <w:sz w:val="20"/>
                <w:szCs w:val="20"/>
              </w:rPr>
            </w:pPr>
          </w:p>
        </w:tc>
      </w:tr>
      <w:tr w:rsidR="00506F19" w:rsidRPr="00506F19" w14:paraId="167C62AB" w14:textId="77777777" w:rsidTr="0061262A">
        <w:trPr>
          <w:trHeight w:val="252"/>
        </w:trPr>
        <w:tc>
          <w:tcPr>
            <w:tcW w:w="1440" w:type="pct"/>
          </w:tcPr>
          <w:p w14:paraId="5919D357" w14:textId="77777777" w:rsidR="00506F19" w:rsidRPr="00506F19" w:rsidRDefault="00506F19" w:rsidP="003A2CCC">
            <w:pPr>
              <w:pStyle w:val="Bullets"/>
              <w:numPr>
                <w:ilvl w:val="0"/>
                <w:numId w:val="0"/>
              </w:numPr>
              <w:rPr>
                <w:rFonts w:cstheme="minorHAnsi"/>
                <w:color w:val="000000" w:themeColor="text1"/>
                <w:sz w:val="20"/>
                <w:szCs w:val="20"/>
              </w:rPr>
            </w:pPr>
            <w:r w:rsidRPr="00506F19">
              <w:rPr>
                <w:rFonts w:cstheme="minorHAnsi"/>
                <w:sz w:val="20"/>
                <w:szCs w:val="20"/>
              </w:rPr>
              <w:t>3.2 Is there evidence of change of community attitudes and practices relating to VAWC?   </w:t>
            </w:r>
          </w:p>
        </w:tc>
        <w:tc>
          <w:tcPr>
            <w:tcW w:w="1565" w:type="pct"/>
          </w:tcPr>
          <w:p w14:paraId="4ECD8B7E" w14:textId="77777777" w:rsidR="00506F19" w:rsidRPr="00506F19" w:rsidRDefault="00506F19" w:rsidP="003A2CCC">
            <w:pPr>
              <w:tabs>
                <w:tab w:val="left" w:pos="447"/>
              </w:tabs>
              <w:ind w:left="70"/>
              <w:rPr>
                <w:rFonts w:cstheme="minorHAnsi"/>
                <w:sz w:val="20"/>
                <w:szCs w:val="20"/>
              </w:rPr>
            </w:pPr>
          </w:p>
        </w:tc>
        <w:tc>
          <w:tcPr>
            <w:tcW w:w="1012" w:type="pct"/>
          </w:tcPr>
          <w:p w14:paraId="3E6D4747" w14:textId="77777777" w:rsidR="00506F19" w:rsidRPr="00506F19" w:rsidRDefault="00506F19" w:rsidP="003A2CCC">
            <w:pPr>
              <w:tabs>
                <w:tab w:val="left" w:pos="447"/>
              </w:tabs>
              <w:rPr>
                <w:rFonts w:cstheme="minorHAnsi"/>
                <w:sz w:val="20"/>
                <w:szCs w:val="20"/>
              </w:rPr>
            </w:pPr>
          </w:p>
        </w:tc>
        <w:tc>
          <w:tcPr>
            <w:tcW w:w="983" w:type="pct"/>
          </w:tcPr>
          <w:p w14:paraId="015434DB" w14:textId="77777777" w:rsidR="00506F19" w:rsidRPr="00506F19" w:rsidRDefault="00506F19" w:rsidP="003A2CCC">
            <w:pPr>
              <w:tabs>
                <w:tab w:val="left" w:pos="447"/>
              </w:tabs>
              <w:rPr>
                <w:rFonts w:cstheme="minorHAnsi"/>
                <w:sz w:val="20"/>
                <w:szCs w:val="20"/>
              </w:rPr>
            </w:pPr>
          </w:p>
        </w:tc>
      </w:tr>
      <w:tr w:rsidR="00506F19" w:rsidRPr="00506F19" w14:paraId="31F47978" w14:textId="77777777" w:rsidTr="0061262A">
        <w:trPr>
          <w:trHeight w:val="252"/>
        </w:trPr>
        <w:tc>
          <w:tcPr>
            <w:tcW w:w="1440" w:type="pct"/>
          </w:tcPr>
          <w:p w14:paraId="3CE1FAF0" w14:textId="77777777" w:rsidR="00506F19" w:rsidRPr="00506F19" w:rsidRDefault="00506F19" w:rsidP="003A2CCC">
            <w:pPr>
              <w:pStyle w:val="Bullets"/>
              <w:numPr>
                <w:ilvl w:val="0"/>
                <w:numId w:val="0"/>
              </w:numPr>
              <w:rPr>
                <w:rFonts w:cstheme="minorHAnsi"/>
                <w:color w:val="000000" w:themeColor="text1"/>
                <w:sz w:val="20"/>
                <w:szCs w:val="20"/>
              </w:rPr>
            </w:pPr>
            <w:r w:rsidRPr="00506F19">
              <w:rPr>
                <w:rFonts w:cstheme="minorHAnsi"/>
                <w:sz w:val="20"/>
                <w:szCs w:val="20"/>
              </w:rPr>
              <w:t>3.3 Is there evidence of strengthened local capacity and systems to continue implementation of quality services and prevention approaches? </w:t>
            </w:r>
          </w:p>
        </w:tc>
        <w:tc>
          <w:tcPr>
            <w:tcW w:w="1565" w:type="pct"/>
          </w:tcPr>
          <w:p w14:paraId="44648CBC" w14:textId="77777777" w:rsidR="00506F19" w:rsidRPr="00506F19" w:rsidRDefault="00506F19" w:rsidP="003A2CCC">
            <w:pPr>
              <w:tabs>
                <w:tab w:val="left" w:pos="447"/>
              </w:tabs>
              <w:ind w:left="70"/>
              <w:rPr>
                <w:rFonts w:cstheme="minorHAnsi"/>
                <w:sz w:val="20"/>
                <w:szCs w:val="20"/>
              </w:rPr>
            </w:pPr>
          </w:p>
        </w:tc>
        <w:tc>
          <w:tcPr>
            <w:tcW w:w="1012" w:type="pct"/>
          </w:tcPr>
          <w:p w14:paraId="6077EBA6" w14:textId="77777777" w:rsidR="00506F19" w:rsidRPr="00506F19" w:rsidRDefault="00506F19" w:rsidP="003A2CCC">
            <w:pPr>
              <w:tabs>
                <w:tab w:val="left" w:pos="447"/>
              </w:tabs>
              <w:rPr>
                <w:rFonts w:cstheme="minorHAnsi"/>
                <w:sz w:val="20"/>
                <w:szCs w:val="20"/>
              </w:rPr>
            </w:pPr>
          </w:p>
        </w:tc>
        <w:tc>
          <w:tcPr>
            <w:tcW w:w="983" w:type="pct"/>
          </w:tcPr>
          <w:p w14:paraId="739839F6" w14:textId="77777777" w:rsidR="00506F19" w:rsidRPr="00506F19" w:rsidRDefault="00506F19" w:rsidP="003A2CCC">
            <w:pPr>
              <w:tabs>
                <w:tab w:val="left" w:pos="447"/>
              </w:tabs>
              <w:rPr>
                <w:rFonts w:cstheme="minorHAnsi"/>
                <w:sz w:val="20"/>
                <w:szCs w:val="20"/>
              </w:rPr>
            </w:pPr>
          </w:p>
        </w:tc>
      </w:tr>
      <w:tr w:rsidR="00506F19" w:rsidRPr="00506F19" w14:paraId="2BD55083" w14:textId="77777777" w:rsidTr="0061262A">
        <w:trPr>
          <w:trHeight w:val="252"/>
        </w:trPr>
        <w:tc>
          <w:tcPr>
            <w:tcW w:w="1440" w:type="pct"/>
          </w:tcPr>
          <w:p w14:paraId="0AE4C80A" w14:textId="5CA2CCE9" w:rsidR="00506F19" w:rsidRPr="00506F19" w:rsidRDefault="00506F19" w:rsidP="003A2CCC">
            <w:pPr>
              <w:pStyle w:val="Bullets"/>
              <w:numPr>
                <w:ilvl w:val="0"/>
                <w:numId w:val="0"/>
              </w:numPr>
              <w:rPr>
                <w:rFonts w:cstheme="minorHAnsi"/>
                <w:color w:val="000000" w:themeColor="text1"/>
                <w:sz w:val="20"/>
                <w:szCs w:val="20"/>
              </w:rPr>
            </w:pPr>
            <w:r w:rsidRPr="00506F19">
              <w:rPr>
                <w:rFonts w:cstheme="minorHAnsi"/>
                <w:sz w:val="20"/>
                <w:szCs w:val="20"/>
              </w:rPr>
              <w:t xml:space="preserve">3.4 To what extent is the CBA approach </w:t>
            </w:r>
            <w:r w:rsidR="00B56DBA">
              <w:rPr>
                <w:rFonts w:cstheme="minorHAnsi"/>
                <w:sz w:val="20"/>
                <w:szCs w:val="20"/>
              </w:rPr>
              <w:t>likely to be replicable</w:t>
            </w:r>
            <w:r w:rsidRPr="00506F19">
              <w:rPr>
                <w:rFonts w:cstheme="minorHAnsi"/>
                <w:sz w:val="20"/>
                <w:szCs w:val="20"/>
              </w:rPr>
              <w:t xml:space="preserve"> in the context of Timor-Leste?</w:t>
            </w:r>
          </w:p>
        </w:tc>
        <w:tc>
          <w:tcPr>
            <w:tcW w:w="1565" w:type="pct"/>
          </w:tcPr>
          <w:p w14:paraId="05DADA23" w14:textId="77777777" w:rsidR="00506F19" w:rsidRPr="00506F19" w:rsidRDefault="00506F19" w:rsidP="003A2CCC">
            <w:pPr>
              <w:tabs>
                <w:tab w:val="left" w:pos="447"/>
              </w:tabs>
              <w:ind w:left="70"/>
              <w:rPr>
                <w:rFonts w:cstheme="minorHAnsi"/>
                <w:sz w:val="20"/>
                <w:szCs w:val="20"/>
              </w:rPr>
            </w:pPr>
          </w:p>
        </w:tc>
        <w:tc>
          <w:tcPr>
            <w:tcW w:w="1012" w:type="pct"/>
          </w:tcPr>
          <w:p w14:paraId="37EF3487" w14:textId="77777777" w:rsidR="00506F19" w:rsidRPr="00506F19" w:rsidRDefault="00506F19" w:rsidP="003A2CCC">
            <w:pPr>
              <w:tabs>
                <w:tab w:val="left" w:pos="447"/>
              </w:tabs>
              <w:rPr>
                <w:rFonts w:cstheme="minorHAnsi"/>
                <w:sz w:val="20"/>
                <w:szCs w:val="20"/>
              </w:rPr>
            </w:pPr>
          </w:p>
        </w:tc>
        <w:tc>
          <w:tcPr>
            <w:tcW w:w="983" w:type="pct"/>
          </w:tcPr>
          <w:p w14:paraId="6EBEE147" w14:textId="77777777" w:rsidR="00506F19" w:rsidRPr="00506F19" w:rsidRDefault="00506F19" w:rsidP="003A2CCC">
            <w:pPr>
              <w:tabs>
                <w:tab w:val="left" w:pos="447"/>
              </w:tabs>
              <w:rPr>
                <w:rFonts w:cstheme="minorHAnsi"/>
                <w:sz w:val="20"/>
                <w:szCs w:val="20"/>
              </w:rPr>
            </w:pPr>
          </w:p>
        </w:tc>
      </w:tr>
      <w:tr w:rsidR="00506F19" w:rsidRPr="00506F19" w14:paraId="20335D08" w14:textId="77777777" w:rsidTr="0061262A">
        <w:trPr>
          <w:trHeight w:val="20"/>
        </w:trPr>
        <w:tc>
          <w:tcPr>
            <w:tcW w:w="1440" w:type="pct"/>
            <w:shd w:val="clear" w:color="auto" w:fill="D5DCE4" w:themeFill="text2" w:themeFillTint="33"/>
          </w:tcPr>
          <w:p w14:paraId="317E84D6" w14:textId="77777777" w:rsidR="00506F19" w:rsidRPr="00506F19" w:rsidRDefault="00506F19" w:rsidP="003A2CCC">
            <w:pPr>
              <w:jc w:val="left"/>
              <w:rPr>
                <w:rFonts w:cstheme="minorHAnsi"/>
                <w:b/>
                <w:sz w:val="20"/>
                <w:szCs w:val="20"/>
              </w:rPr>
            </w:pPr>
            <w:r w:rsidRPr="00506F19">
              <w:rPr>
                <w:rFonts w:cstheme="minorHAnsi"/>
                <w:color w:val="000000" w:themeColor="text1"/>
                <w:sz w:val="20"/>
                <w:szCs w:val="20"/>
              </w:rPr>
              <w:t>KEQ 4 Are there indications that the Nabilan programming model has contributed, or could contribute, to changing social norms relating to GBV in Timor-Leste?</w:t>
            </w:r>
          </w:p>
        </w:tc>
        <w:tc>
          <w:tcPr>
            <w:tcW w:w="1565" w:type="pct"/>
            <w:shd w:val="clear" w:color="auto" w:fill="D5DCE4" w:themeFill="text2" w:themeFillTint="33"/>
          </w:tcPr>
          <w:p w14:paraId="5DBAD803" w14:textId="77777777" w:rsidR="00506F19" w:rsidRPr="00506F19" w:rsidRDefault="00506F19" w:rsidP="003A2CCC">
            <w:pPr>
              <w:jc w:val="center"/>
              <w:rPr>
                <w:rFonts w:cstheme="minorHAnsi"/>
                <w:b/>
                <w:sz w:val="20"/>
                <w:szCs w:val="20"/>
              </w:rPr>
            </w:pPr>
          </w:p>
        </w:tc>
        <w:tc>
          <w:tcPr>
            <w:tcW w:w="1012" w:type="pct"/>
            <w:shd w:val="clear" w:color="auto" w:fill="D5DCE4" w:themeFill="text2" w:themeFillTint="33"/>
          </w:tcPr>
          <w:p w14:paraId="63FDD5DC" w14:textId="77777777" w:rsidR="00506F19" w:rsidRPr="00506F19" w:rsidRDefault="00506F19" w:rsidP="003A2CCC">
            <w:pPr>
              <w:jc w:val="center"/>
              <w:rPr>
                <w:rFonts w:cstheme="minorHAnsi"/>
                <w:b/>
                <w:sz w:val="20"/>
                <w:szCs w:val="20"/>
              </w:rPr>
            </w:pPr>
          </w:p>
        </w:tc>
        <w:tc>
          <w:tcPr>
            <w:tcW w:w="983" w:type="pct"/>
            <w:shd w:val="clear" w:color="auto" w:fill="D5DCE4" w:themeFill="text2" w:themeFillTint="33"/>
          </w:tcPr>
          <w:p w14:paraId="1C0252E8" w14:textId="77777777" w:rsidR="00506F19" w:rsidRPr="00506F19" w:rsidRDefault="00506F19" w:rsidP="003A2CCC">
            <w:pPr>
              <w:jc w:val="center"/>
              <w:rPr>
                <w:rFonts w:cstheme="minorHAnsi"/>
                <w:b/>
                <w:sz w:val="20"/>
                <w:szCs w:val="20"/>
              </w:rPr>
            </w:pPr>
          </w:p>
        </w:tc>
      </w:tr>
      <w:tr w:rsidR="00506F19" w:rsidRPr="00506F19" w14:paraId="24A3D971" w14:textId="77777777" w:rsidTr="0061262A">
        <w:trPr>
          <w:trHeight w:val="252"/>
        </w:trPr>
        <w:tc>
          <w:tcPr>
            <w:tcW w:w="1440" w:type="pct"/>
          </w:tcPr>
          <w:p w14:paraId="6D84D212" w14:textId="77777777" w:rsidR="00506F19" w:rsidRPr="00506F19" w:rsidRDefault="00506F19" w:rsidP="003A2CCC">
            <w:pPr>
              <w:pStyle w:val="Bullets"/>
              <w:numPr>
                <w:ilvl w:val="0"/>
                <w:numId w:val="0"/>
              </w:numPr>
              <w:rPr>
                <w:rFonts w:cstheme="minorHAnsi"/>
                <w:color w:val="000000" w:themeColor="text1"/>
                <w:sz w:val="20"/>
                <w:szCs w:val="20"/>
              </w:rPr>
            </w:pPr>
            <w:r w:rsidRPr="00506F19">
              <w:rPr>
                <w:rFonts w:cstheme="minorHAnsi"/>
                <w:sz w:val="20"/>
                <w:szCs w:val="20"/>
              </w:rPr>
              <w:t>4.1 In Nabilan and partners supported focal areas, what evidence is there of change in community members’ and leaders’ attitudes to VAWC??</w:t>
            </w:r>
          </w:p>
        </w:tc>
        <w:tc>
          <w:tcPr>
            <w:tcW w:w="1565" w:type="pct"/>
          </w:tcPr>
          <w:p w14:paraId="1B7BF866" w14:textId="77777777" w:rsidR="00506F19" w:rsidRPr="00506F19" w:rsidRDefault="00506F19" w:rsidP="003A2CCC">
            <w:pPr>
              <w:tabs>
                <w:tab w:val="left" w:pos="447"/>
              </w:tabs>
              <w:ind w:left="39"/>
              <w:rPr>
                <w:rFonts w:cstheme="minorHAnsi"/>
                <w:sz w:val="20"/>
                <w:szCs w:val="20"/>
              </w:rPr>
            </w:pPr>
          </w:p>
        </w:tc>
        <w:tc>
          <w:tcPr>
            <w:tcW w:w="1012" w:type="pct"/>
          </w:tcPr>
          <w:p w14:paraId="7DF51E45" w14:textId="77777777" w:rsidR="00506F19" w:rsidRPr="00506F19" w:rsidRDefault="00506F19" w:rsidP="003A2CCC">
            <w:pPr>
              <w:tabs>
                <w:tab w:val="left" w:pos="447"/>
              </w:tabs>
              <w:rPr>
                <w:rFonts w:cstheme="minorHAnsi"/>
                <w:sz w:val="20"/>
                <w:szCs w:val="20"/>
              </w:rPr>
            </w:pPr>
          </w:p>
        </w:tc>
        <w:tc>
          <w:tcPr>
            <w:tcW w:w="983" w:type="pct"/>
          </w:tcPr>
          <w:p w14:paraId="3F972644" w14:textId="77777777" w:rsidR="00506F19" w:rsidRPr="00506F19" w:rsidRDefault="00506F19" w:rsidP="003A2CCC">
            <w:pPr>
              <w:tabs>
                <w:tab w:val="left" w:pos="447"/>
              </w:tabs>
              <w:rPr>
                <w:rFonts w:cstheme="minorHAnsi"/>
                <w:sz w:val="20"/>
                <w:szCs w:val="20"/>
              </w:rPr>
            </w:pPr>
          </w:p>
        </w:tc>
      </w:tr>
      <w:tr w:rsidR="00506F19" w:rsidRPr="00506F19" w14:paraId="7A56A490" w14:textId="77777777" w:rsidTr="0061262A">
        <w:trPr>
          <w:trHeight w:val="252"/>
        </w:trPr>
        <w:tc>
          <w:tcPr>
            <w:tcW w:w="1440" w:type="pct"/>
          </w:tcPr>
          <w:p w14:paraId="3CD99C9E" w14:textId="77777777" w:rsidR="00506F19" w:rsidRPr="00506F19" w:rsidRDefault="00506F19" w:rsidP="003A2CCC">
            <w:pPr>
              <w:pStyle w:val="Bullets"/>
              <w:numPr>
                <w:ilvl w:val="0"/>
                <w:numId w:val="0"/>
              </w:numPr>
              <w:rPr>
                <w:rFonts w:cstheme="minorHAnsi"/>
                <w:color w:val="000000" w:themeColor="text1"/>
                <w:sz w:val="20"/>
                <w:szCs w:val="20"/>
              </w:rPr>
            </w:pPr>
            <w:r w:rsidRPr="00506F19">
              <w:rPr>
                <w:rFonts w:cstheme="minorHAnsi"/>
                <w:sz w:val="20"/>
                <w:szCs w:val="20"/>
              </w:rPr>
              <w:t>4.</w:t>
            </w:r>
            <w:r>
              <w:rPr>
                <w:rFonts w:cstheme="minorHAnsi"/>
                <w:sz w:val="20"/>
                <w:szCs w:val="20"/>
              </w:rPr>
              <w:t>2</w:t>
            </w:r>
            <w:r w:rsidRPr="00506F19">
              <w:rPr>
                <w:rFonts w:cstheme="minorHAnsi"/>
                <w:sz w:val="20"/>
                <w:szCs w:val="20"/>
              </w:rPr>
              <w:t xml:space="preserve"> Was the approach taken appropriate to contribute to changes in social norms?</w:t>
            </w:r>
          </w:p>
        </w:tc>
        <w:tc>
          <w:tcPr>
            <w:tcW w:w="1565" w:type="pct"/>
          </w:tcPr>
          <w:p w14:paraId="035A27B4" w14:textId="77777777" w:rsidR="00506F19" w:rsidRPr="00506F19" w:rsidRDefault="00506F19" w:rsidP="003A2CCC">
            <w:pPr>
              <w:tabs>
                <w:tab w:val="left" w:pos="447"/>
              </w:tabs>
              <w:ind w:left="-20"/>
              <w:rPr>
                <w:rFonts w:cstheme="minorHAnsi"/>
                <w:sz w:val="20"/>
                <w:szCs w:val="20"/>
              </w:rPr>
            </w:pPr>
          </w:p>
        </w:tc>
        <w:tc>
          <w:tcPr>
            <w:tcW w:w="1012" w:type="pct"/>
          </w:tcPr>
          <w:p w14:paraId="34B1D0C0" w14:textId="77777777" w:rsidR="00506F19" w:rsidRPr="00506F19" w:rsidRDefault="00506F19" w:rsidP="003A2CCC">
            <w:pPr>
              <w:tabs>
                <w:tab w:val="left" w:pos="447"/>
              </w:tabs>
              <w:rPr>
                <w:rFonts w:cstheme="minorHAnsi"/>
                <w:sz w:val="20"/>
                <w:szCs w:val="20"/>
              </w:rPr>
            </w:pPr>
          </w:p>
        </w:tc>
        <w:tc>
          <w:tcPr>
            <w:tcW w:w="983" w:type="pct"/>
          </w:tcPr>
          <w:p w14:paraId="24A21D9C" w14:textId="77777777" w:rsidR="00506F19" w:rsidRPr="00506F19" w:rsidRDefault="00506F19" w:rsidP="003A2CCC">
            <w:pPr>
              <w:tabs>
                <w:tab w:val="left" w:pos="447"/>
              </w:tabs>
              <w:rPr>
                <w:rFonts w:cstheme="minorHAnsi"/>
                <w:sz w:val="20"/>
                <w:szCs w:val="20"/>
              </w:rPr>
            </w:pPr>
          </w:p>
        </w:tc>
      </w:tr>
    </w:tbl>
    <w:p w14:paraId="68F41FAC" w14:textId="77777777" w:rsidR="006562DD" w:rsidRPr="008F332A" w:rsidRDefault="006562DD" w:rsidP="003A2CCC">
      <w:pPr>
        <w:rPr>
          <w:rFonts w:cstheme="minorHAnsi"/>
        </w:rPr>
      </w:pPr>
    </w:p>
    <w:p w14:paraId="797BE149" w14:textId="68B6BC30" w:rsidR="0085717E" w:rsidRPr="008F332A" w:rsidRDefault="0061262A" w:rsidP="003A2CCC">
      <w:pPr>
        <w:pStyle w:val="Heading1"/>
        <w:numPr>
          <w:ilvl w:val="0"/>
          <w:numId w:val="0"/>
        </w:numPr>
        <w:rPr>
          <w:rFonts w:asciiTheme="minorHAnsi" w:hAnsiTheme="minorHAnsi" w:cstheme="minorHAnsi"/>
        </w:rPr>
      </w:pPr>
      <w:bookmarkStart w:id="43" w:name="_Toc517960117"/>
      <w:r>
        <w:rPr>
          <w:rFonts w:asciiTheme="minorHAnsi" w:hAnsiTheme="minorHAnsi" w:cstheme="minorHAnsi"/>
        </w:rPr>
        <w:br w:type="column"/>
        <w:t>A</w:t>
      </w:r>
      <w:r w:rsidR="0085717E" w:rsidRPr="008F332A">
        <w:rPr>
          <w:rFonts w:asciiTheme="minorHAnsi" w:hAnsiTheme="minorHAnsi" w:cstheme="minorHAnsi"/>
        </w:rPr>
        <w:t xml:space="preserve">nnex </w:t>
      </w:r>
      <w:r w:rsidR="00547E25">
        <w:rPr>
          <w:rFonts w:asciiTheme="minorHAnsi" w:hAnsiTheme="minorHAnsi" w:cstheme="minorHAnsi"/>
        </w:rPr>
        <w:t>4</w:t>
      </w:r>
      <w:r w:rsidR="0085717E" w:rsidRPr="008F332A">
        <w:rPr>
          <w:rFonts w:asciiTheme="minorHAnsi" w:hAnsiTheme="minorHAnsi" w:cstheme="minorHAnsi"/>
        </w:rPr>
        <w:t xml:space="preserve"> </w:t>
      </w:r>
      <w:r w:rsidR="00911498" w:rsidRPr="008F332A">
        <w:rPr>
          <w:rFonts w:asciiTheme="minorHAnsi" w:hAnsiTheme="minorHAnsi" w:cstheme="minorHAnsi"/>
        </w:rPr>
        <w:t>Nabilan Phase 2 Risk Matrix</w:t>
      </w:r>
      <w:bookmarkEnd w:id="43"/>
      <w:r w:rsidR="00911498" w:rsidRPr="008F332A">
        <w:rPr>
          <w:rFonts w:asciiTheme="minorHAnsi" w:hAnsiTheme="minorHAnsi" w:cstheme="minorHAnsi"/>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77"/>
        <w:gridCol w:w="3291"/>
        <w:gridCol w:w="455"/>
        <w:gridCol w:w="455"/>
        <w:gridCol w:w="455"/>
        <w:gridCol w:w="5539"/>
        <w:gridCol w:w="1696"/>
      </w:tblGrid>
      <w:tr w:rsidR="00911498" w:rsidRPr="008F332A" w14:paraId="1A8A3797" w14:textId="77777777" w:rsidTr="003A2CCC">
        <w:trPr>
          <w:cantSplit/>
          <w:trHeight w:val="86"/>
          <w:tblHeader/>
        </w:trPr>
        <w:tc>
          <w:tcPr>
            <w:tcW w:w="947" w:type="pct"/>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323E4F" w:themeFill="text2" w:themeFillShade="BF"/>
            <w:vAlign w:val="center"/>
          </w:tcPr>
          <w:p w14:paraId="207E9825" w14:textId="77777777" w:rsidR="00911498" w:rsidRPr="008F332A" w:rsidRDefault="00911498" w:rsidP="003A2CCC">
            <w:pPr>
              <w:rPr>
                <w:rFonts w:cstheme="minorHAnsi"/>
                <w:sz w:val="20"/>
                <w:szCs w:val="16"/>
              </w:rPr>
            </w:pPr>
            <w:r w:rsidRPr="008F332A">
              <w:rPr>
                <w:rFonts w:cstheme="minorHAnsi"/>
                <w:sz w:val="20"/>
                <w:szCs w:val="16"/>
              </w:rPr>
              <w:t>RISK EVENT</w:t>
            </w:r>
          </w:p>
        </w:tc>
        <w:tc>
          <w:tcPr>
            <w:tcW w:w="1122" w:type="pct"/>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323E4F" w:themeFill="text2" w:themeFillShade="BF"/>
            <w:vAlign w:val="center"/>
          </w:tcPr>
          <w:p w14:paraId="339F8933" w14:textId="77777777" w:rsidR="00911498" w:rsidRPr="008F332A" w:rsidRDefault="00911498" w:rsidP="003A2CCC">
            <w:pPr>
              <w:rPr>
                <w:rFonts w:cstheme="minorHAnsi"/>
                <w:sz w:val="20"/>
                <w:szCs w:val="16"/>
              </w:rPr>
            </w:pPr>
            <w:r w:rsidRPr="008F332A">
              <w:rPr>
                <w:rFonts w:cstheme="minorHAnsi"/>
                <w:sz w:val="20"/>
                <w:szCs w:val="16"/>
              </w:rPr>
              <w:t>Potential Impact</w:t>
            </w:r>
          </w:p>
        </w:tc>
        <w:tc>
          <w:tcPr>
            <w:tcW w:w="465" w:type="pct"/>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323E4F" w:themeFill="text2" w:themeFillShade="BF"/>
            <w:vAlign w:val="bottom"/>
          </w:tcPr>
          <w:p w14:paraId="0A5F477E" w14:textId="77777777" w:rsidR="00911498" w:rsidRPr="008F332A" w:rsidRDefault="00911498" w:rsidP="003A2CCC">
            <w:pPr>
              <w:rPr>
                <w:rFonts w:cstheme="minorHAnsi"/>
                <w:sz w:val="20"/>
                <w:szCs w:val="16"/>
              </w:rPr>
            </w:pPr>
            <w:r w:rsidRPr="008F332A">
              <w:rPr>
                <w:rFonts w:cstheme="minorHAnsi"/>
                <w:sz w:val="20"/>
                <w:szCs w:val="16"/>
              </w:rPr>
              <w:t>Current Risk Level</w:t>
            </w:r>
          </w:p>
        </w:tc>
        <w:tc>
          <w:tcPr>
            <w:tcW w:w="1888" w:type="pct"/>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323E4F" w:themeFill="text2" w:themeFillShade="BF"/>
            <w:vAlign w:val="center"/>
          </w:tcPr>
          <w:p w14:paraId="044657B6" w14:textId="77777777" w:rsidR="00911498" w:rsidRPr="008F332A" w:rsidRDefault="00911498" w:rsidP="003A2CCC">
            <w:pPr>
              <w:rPr>
                <w:rFonts w:cstheme="minorHAnsi"/>
                <w:sz w:val="20"/>
                <w:szCs w:val="16"/>
              </w:rPr>
            </w:pPr>
            <w:r w:rsidRPr="008F332A">
              <w:rPr>
                <w:rFonts w:cstheme="minorHAnsi"/>
                <w:sz w:val="20"/>
                <w:szCs w:val="16"/>
              </w:rPr>
              <w:t>Risk Management Strategy</w:t>
            </w:r>
          </w:p>
        </w:tc>
        <w:tc>
          <w:tcPr>
            <w:tcW w:w="578" w:type="pct"/>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323E4F" w:themeFill="text2" w:themeFillShade="BF"/>
            <w:vAlign w:val="center"/>
          </w:tcPr>
          <w:p w14:paraId="199F97AB" w14:textId="77777777" w:rsidR="00911498" w:rsidRPr="008F332A" w:rsidRDefault="00911498" w:rsidP="003A2CCC">
            <w:pPr>
              <w:rPr>
                <w:rFonts w:cstheme="minorHAnsi"/>
                <w:sz w:val="20"/>
                <w:szCs w:val="16"/>
              </w:rPr>
            </w:pPr>
            <w:r w:rsidRPr="008F332A">
              <w:rPr>
                <w:rFonts w:cstheme="minorHAnsi"/>
                <w:sz w:val="20"/>
                <w:szCs w:val="16"/>
              </w:rPr>
              <w:t>Responsibility</w:t>
            </w:r>
          </w:p>
        </w:tc>
      </w:tr>
      <w:tr w:rsidR="00911498" w:rsidRPr="008F332A" w14:paraId="4D929C7B" w14:textId="77777777" w:rsidTr="003A2CCC">
        <w:trPr>
          <w:cantSplit/>
          <w:trHeight w:val="86"/>
          <w:tblHeader/>
        </w:trPr>
        <w:tc>
          <w:tcPr>
            <w:tcW w:w="947" w:type="pct"/>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8CCE4"/>
            <w:vAlign w:val="bottom"/>
          </w:tcPr>
          <w:p w14:paraId="438365BC" w14:textId="77777777" w:rsidR="00911498" w:rsidRPr="008F332A" w:rsidRDefault="00911498" w:rsidP="003A2CCC">
            <w:pPr>
              <w:rPr>
                <w:rFonts w:cstheme="minorHAnsi"/>
                <w:sz w:val="20"/>
                <w:szCs w:val="16"/>
              </w:rPr>
            </w:pPr>
          </w:p>
        </w:tc>
        <w:tc>
          <w:tcPr>
            <w:tcW w:w="1122" w:type="pct"/>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8CCE4"/>
            <w:vAlign w:val="bottom"/>
          </w:tcPr>
          <w:p w14:paraId="22E2BAE2" w14:textId="77777777" w:rsidR="00911498" w:rsidRPr="008F332A" w:rsidRDefault="00911498" w:rsidP="003A2CCC">
            <w:pPr>
              <w:rPr>
                <w:rFonts w:cstheme="minorHAnsi"/>
                <w:sz w:val="20"/>
                <w:szCs w:val="16"/>
              </w:rPr>
            </w:pPr>
          </w:p>
        </w:tc>
        <w:tc>
          <w:tcPr>
            <w:tcW w:w="15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323E4F" w:themeFill="text2" w:themeFillShade="BF"/>
            <w:vAlign w:val="bottom"/>
          </w:tcPr>
          <w:p w14:paraId="6F2844EB" w14:textId="77777777" w:rsidR="00911498" w:rsidRPr="008F332A" w:rsidRDefault="00911498" w:rsidP="003A2CCC">
            <w:pPr>
              <w:rPr>
                <w:rFonts w:cstheme="minorHAnsi"/>
                <w:sz w:val="20"/>
                <w:szCs w:val="16"/>
              </w:rPr>
            </w:pPr>
            <w:r w:rsidRPr="008F332A">
              <w:rPr>
                <w:rFonts w:cstheme="minorHAnsi"/>
                <w:sz w:val="20"/>
                <w:szCs w:val="16"/>
              </w:rPr>
              <w:t>L</w:t>
            </w:r>
          </w:p>
        </w:tc>
        <w:tc>
          <w:tcPr>
            <w:tcW w:w="15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323E4F" w:themeFill="text2" w:themeFillShade="BF"/>
            <w:vAlign w:val="bottom"/>
          </w:tcPr>
          <w:p w14:paraId="76E8DCE2" w14:textId="77777777" w:rsidR="00911498" w:rsidRPr="008F332A" w:rsidRDefault="00911498" w:rsidP="003A2CCC">
            <w:pPr>
              <w:rPr>
                <w:rFonts w:cstheme="minorHAnsi"/>
                <w:sz w:val="20"/>
                <w:szCs w:val="16"/>
              </w:rPr>
            </w:pPr>
            <w:r w:rsidRPr="008F332A">
              <w:rPr>
                <w:rFonts w:cstheme="minorHAnsi"/>
                <w:sz w:val="20"/>
                <w:szCs w:val="16"/>
              </w:rPr>
              <w:t>C</w:t>
            </w:r>
          </w:p>
        </w:tc>
        <w:tc>
          <w:tcPr>
            <w:tcW w:w="15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323E4F" w:themeFill="text2" w:themeFillShade="BF"/>
            <w:vAlign w:val="bottom"/>
          </w:tcPr>
          <w:p w14:paraId="5E6ED17F" w14:textId="77777777" w:rsidR="00911498" w:rsidRPr="008F332A" w:rsidRDefault="00911498" w:rsidP="003A2CCC">
            <w:pPr>
              <w:rPr>
                <w:rFonts w:cstheme="minorHAnsi"/>
                <w:sz w:val="20"/>
                <w:szCs w:val="16"/>
              </w:rPr>
            </w:pPr>
            <w:r w:rsidRPr="008F332A">
              <w:rPr>
                <w:rFonts w:cstheme="minorHAnsi"/>
                <w:sz w:val="20"/>
                <w:szCs w:val="16"/>
              </w:rPr>
              <w:t>I</w:t>
            </w:r>
          </w:p>
        </w:tc>
        <w:tc>
          <w:tcPr>
            <w:tcW w:w="1888" w:type="pct"/>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6D9F1"/>
            <w:vAlign w:val="bottom"/>
          </w:tcPr>
          <w:p w14:paraId="5C67D7AA" w14:textId="77777777" w:rsidR="00911498" w:rsidRPr="008F332A" w:rsidRDefault="00911498" w:rsidP="003A2CCC">
            <w:pPr>
              <w:rPr>
                <w:rFonts w:cstheme="minorHAnsi"/>
                <w:sz w:val="20"/>
                <w:szCs w:val="16"/>
              </w:rPr>
            </w:pPr>
          </w:p>
        </w:tc>
        <w:tc>
          <w:tcPr>
            <w:tcW w:w="578" w:type="pct"/>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8CCE4"/>
            <w:vAlign w:val="bottom"/>
          </w:tcPr>
          <w:p w14:paraId="16C98F7E" w14:textId="77777777" w:rsidR="00911498" w:rsidRPr="008F332A" w:rsidRDefault="00911498" w:rsidP="003A2CCC">
            <w:pPr>
              <w:rPr>
                <w:rFonts w:cstheme="minorHAnsi"/>
                <w:sz w:val="20"/>
                <w:szCs w:val="16"/>
              </w:rPr>
            </w:pPr>
          </w:p>
        </w:tc>
      </w:tr>
      <w:tr w:rsidR="00911498" w:rsidRPr="008F332A" w14:paraId="227C759B" w14:textId="77777777" w:rsidTr="003A2CCC">
        <w:trPr>
          <w:trHeight w:val="327"/>
        </w:trPr>
        <w:tc>
          <w:tcPr>
            <w:tcW w:w="5000" w:type="pct"/>
            <w:gridSpan w:val="7"/>
            <w:tcBorders>
              <w:top w:val="single" w:sz="4" w:space="0" w:color="FFFFFF" w:themeColor="background1"/>
              <w:left w:val="single" w:sz="4" w:space="0" w:color="FFFFFF" w:themeColor="background1"/>
              <w:right w:val="single" w:sz="4" w:space="0" w:color="FFFFFF" w:themeColor="background1"/>
            </w:tcBorders>
            <w:shd w:val="clear" w:color="auto" w:fill="D5DCE4" w:themeFill="text2" w:themeFillTint="33"/>
          </w:tcPr>
          <w:p w14:paraId="0C89EE02" w14:textId="77777777" w:rsidR="00911498" w:rsidRPr="008F332A" w:rsidRDefault="00911498" w:rsidP="003A2CCC">
            <w:pPr>
              <w:widowControl w:val="0"/>
              <w:autoSpaceDE w:val="0"/>
              <w:autoSpaceDN w:val="0"/>
              <w:adjustRightInd w:val="0"/>
              <w:spacing w:after="0"/>
              <w:rPr>
                <w:rFonts w:cstheme="minorHAnsi"/>
                <w:sz w:val="20"/>
                <w:szCs w:val="16"/>
              </w:rPr>
            </w:pPr>
            <w:r w:rsidRPr="008F332A">
              <w:rPr>
                <w:rFonts w:eastAsiaTheme="minorEastAsia" w:cstheme="minorHAnsi"/>
                <w:sz w:val="20"/>
              </w:rPr>
              <w:t>Contextual Risks</w:t>
            </w:r>
          </w:p>
        </w:tc>
      </w:tr>
      <w:tr w:rsidR="00911498" w:rsidRPr="008F332A" w14:paraId="2B54D5C2" w14:textId="77777777" w:rsidTr="003A2CCC">
        <w:trPr>
          <w:trHeight w:val="1376"/>
        </w:trPr>
        <w:tc>
          <w:tcPr>
            <w:tcW w:w="947" w:type="pct"/>
            <w:tcBorders>
              <w:top w:val="single" w:sz="4" w:space="0" w:color="000000"/>
            </w:tcBorders>
            <w:shd w:val="clear" w:color="auto" w:fill="D5DCE4" w:themeFill="text2" w:themeFillTint="33"/>
          </w:tcPr>
          <w:p w14:paraId="1BB87B9A" w14:textId="77777777" w:rsidR="00911498" w:rsidRPr="008F332A" w:rsidRDefault="00911498" w:rsidP="003A2CCC">
            <w:pPr>
              <w:spacing w:after="80"/>
              <w:rPr>
                <w:rFonts w:eastAsiaTheme="minorEastAsia" w:cstheme="minorHAnsi"/>
                <w:sz w:val="20"/>
              </w:rPr>
            </w:pPr>
            <w:r w:rsidRPr="008F332A">
              <w:rPr>
                <w:rFonts w:eastAsiaTheme="minorEastAsia" w:cstheme="minorHAnsi"/>
                <w:sz w:val="20"/>
              </w:rPr>
              <w:t xml:space="preserve">1. Stereotypes and bias shape the prevailing understanding of violence against women (VAW) in Timor-Leste </w:t>
            </w:r>
          </w:p>
        </w:tc>
        <w:tc>
          <w:tcPr>
            <w:tcW w:w="1122" w:type="pct"/>
            <w:tcBorders>
              <w:top w:val="single" w:sz="4" w:space="0" w:color="000000"/>
            </w:tcBorders>
          </w:tcPr>
          <w:p w14:paraId="0F6A7094" w14:textId="77777777" w:rsidR="00911498" w:rsidRPr="008F332A" w:rsidRDefault="00911498" w:rsidP="003A2CCC">
            <w:pPr>
              <w:spacing w:after="80"/>
              <w:rPr>
                <w:rFonts w:cstheme="minorHAnsi"/>
                <w:sz w:val="20"/>
              </w:rPr>
            </w:pPr>
            <w:r w:rsidRPr="008F332A">
              <w:rPr>
                <w:rFonts w:eastAsiaTheme="minorEastAsia" w:cstheme="minorHAnsi"/>
                <w:sz w:val="20"/>
              </w:rPr>
              <w:t>These misperceptions can negatively impact on VAW prevention strategies, investment in VAW prevention and services, and public perceptions of consequences.</w:t>
            </w:r>
          </w:p>
        </w:tc>
        <w:tc>
          <w:tcPr>
            <w:tcW w:w="155" w:type="pct"/>
            <w:vAlign w:val="center"/>
          </w:tcPr>
          <w:p w14:paraId="016DA8FF" w14:textId="77777777" w:rsidR="00911498" w:rsidRPr="008F332A" w:rsidRDefault="00911498" w:rsidP="003A2CCC">
            <w:pPr>
              <w:spacing w:after="80"/>
              <w:rPr>
                <w:rFonts w:cstheme="minorHAnsi"/>
                <w:sz w:val="20"/>
              </w:rPr>
            </w:pPr>
            <w:r w:rsidRPr="008F332A">
              <w:rPr>
                <w:rFonts w:cstheme="minorHAnsi"/>
                <w:sz w:val="20"/>
              </w:rPr>
              <w:t>4</w:t>
            </w:r>
          </w:p>
        </w:tc>
        <w:tc>
          <w:tcPr>
            <w:tcW w:w="155" w:type="pct"/>
            <w:vAlign w:val="center"/>
          </w:tcPr>
          <w:p w14:paraId="66F90032" w14:textId="77777777" w:rsidR="00911498" w:rsidRPr="008F332A" w:rsidRDefault="00911498" w:rsidP="003A2CCC">
            <w:pPr>
              <w:spacing w:after="80"/>
              <w:rPr>
                <w:rFonts w:cstheme="minorHAnsi"/>
                <w:sz w:val="20"/>
              </w:rPr>
            </w:pPr>
            <w:r w:rsidRPr="008F332A">
              <w:rPr>
                <w:rFonts w:cstheme="minorHAnsi"/>
                <w:sz w:val="20"/>
              </w:rPr>
              <w:t>2</w:t>
            </w:r>
          </w:p>
        </w:tc>
        <w:tc>
          <w:tcPr>
            <w:tcW w:w="155" w:type="pct"/>
            <w:vAlign w:val="center"/>
          </w:tcPr>
          <w:p w14:paraId="79897BE4" w14:textId="77777777" w:rsidR="00911498" w:rsidRPr="008F332A" w:rsidRDefault="00911498" w:rsidP="003A2CCC">
            <w:pPr>
              <w:spacing w:after="80"/>
              <w:rPr>
                <w:rFonts w:cstheme="minorHAnsi"/>
                <w:sz w:val="20"/>
              </w:rPr>
            </w:pPr>
            <w:r w:rsidRPr="008F332A">
              <w:rPr>
                <w:rFonts w:cstheme="minorHAnsi"/>
                <w:sz w:val="20"/>
              </w:rPr>
              <w:t>M</w:t>
            </w:r>
          </w:p>
        </w:tc>
        <w:tc>
          <w:tcPr>
            <w:tcW w:w="1888" w:type="pct"/>
          </w:tcPr>
          <w:p w14:paraId="2A62DD8E" w14:textId="77777777" w:rsidR="00911498" w:rsidRPr="008F332A" w:rsidRDefault="00911498" w:rsidP="003A2CCC">
            <w:pPr>
              <w:spacing w:after="80"/>
              <w:rPr>
                <w:rFonts w:eastAsiaTheme="minorEastAsia" w:cstheme="minorHAnsi"/>
                <w:sz w:val="20"/>
              </w:rPr>
            </w:pPr>
            <w:r w:rsidRPr="008F332A">
              <w:rPr>
                <w:rFonts w:eastAsiaTheme="minorEastAsia" w:cstheme="minorHAnsi"/>
                <w:sz w:val="20"/>
              </w:rPr>
              <w:t xml:space="preserve">Nabilan has completed formative research to understand those biases and stereotypes and uses current approaches to behaviour change to respond to these. In Phase 2 the Social Norms Change Pillar will partner with a variety of organisations receptive to integrating prevention messaging into their work, establish the Change Ambassador’s Network to leverage other GoA and TAF programming and build a cadre of people able to integrate messaging into their programs, and work with the independent women’s movement to address stereotypes and bias relating to violence against women and children. </w:t>
            </w:r>
          </w:p>
        </w:tc>
        <w:tc>
          <w:tcPr>
            <w:tcW w:w="578" w:type="pct"/>
            <w:vAlign w:val="center"/>
          </w:tcPr>
          <w:p w14:paraId="2DDA50A7" w14:textId="77777777" w:rsidR="00911498" w:rsidRPr="008F332A" w:rsidRDefault="00911498" w:rsidP="003A2CCC">
            <w:pPr>
              <w:spacing w:after="80"/>
              <w:jc w:val="left"/>
              <w:rPr>
                <w:rFonts w:eastAsiaTheme="minorEastAsia" w:cstheme="minorHAnsi"/>
                <w:sz w:val="20"/>
              </w:rPr>
            </w:pPr>
            <w:r w:rsidRPr="008F332A">
              <w:rPr>
                <w:rFonts w:eastAsiaTheme="minorEastAsia" w:cstheme="minorHAnsi"/>
                <w:sz w:val="20"/>
              </w:rPr>
              <w:t>Nabilan Program, Social Norms Change Pillar</w:t>
            </w:r>
          </w:p>
        </w:tc>
      </w:tr>
      <w:tr w:rsidR="00911498" w:rsidRPr="008F332A" w14:paraId="70431EA2" w14:textId="77777777" w:rsidTr="003A2CCC">
        <w:trPr>
          <w:trHeight w:val="1376"/>
        </w:trPr>
        <w:tc>
          <w:tcPr>
            <w:tcW w:w="947" w:type="pct"/>
            <w:tcBorders>
              <w:top w:val="single" w:sz="4" w:space="0" w:color="000000"/>
            </w:tcBorders>
            <w:shd w:val="clear" w:color="auto" w:fill="D5DCE4" w:themeFill="text2" w:themeFillTint="33"/>
          </w:tcPr>
          <w:p w14:paraId="70994B11" w14:textId="77777777" w:rsidR="00911498" w:rsidRPr="008F332A" w:rsidRDefault="00911498" w:rsidP="003A2CCC">
            <w:pPr>
              <w:spacing w:after="80"/>
              <w:rPr>
                <w:rFonts w:eastAsiaTheme="minorEastAsia" w:cstheme="minorHAnsi"/>
                <w:sz w:val="20"/>
              </w:rPr>
            </w:pPr>
            <w:r w:rsidRPr="008F332A">
              <w:rPr>
                <w:rFonts w:eastAsiaTheme="minorEastAsia" w:cstheme="minorHAnsi"/>
                <w:sz w:val="20"/>
              </w:rPr>
              <w:t>2. Media promotes negative messaging about VAW</w:t>
            </w:r>
          </w:p>
        </w:tc>
        <w:tc>
          <w:tcPr>
            <w:tcW w:w="1122" w:type="pct"/>
            <w:tcBorders>
              <w:top w:val="single" w:sz="4" w:space="0" w:color="000000"/>
            </w:tcBorders>
          </w:tcPr>
          <w:p w14:paraId="43E1B1FA" w14:textId="77777777" w:rsidR="00911498" w:rsidRPr="008F332A" w:rsidRDefault="00911498" w:rsidP="003A2CCC">
            <w:pPr>
              <w:spacing w:after="80"/>
              <w:rPr>
                <w:rFonts w:eastAsiaTheme="minorEastAsia" w:cstheme="minorHAnsi"/>
                <w:sz w:val="20"/>
              </w:rPr>
            </w:pPr>
            <w:r w:rsidRPr="008F332A">
              <w:rPr>
                <w:rFonts w:eastAsiaTheme="minorEastAsia" w:cstheme="minorHAnsi"/>
                <w:sz w:val="20"/>
              </w:rPr>
              <w:t>These misperceptions can negatively impact on VAW prevention strategies, investment in VAW prevention and services, and public perceptions of consequences.</w:t>
            </w:r>
          </w:p>
        </w:tc>
        <w:tc>
          <w:tcPr>
            <w:tcW w:w="155" w:type="pct"/>
            <w:vAlign w:val="center"/>
          </w:tcPr>
          <w:p w14:paraId="4475A5C0" w14:textId="77777777" w:rsidR="00911498" w:rsidRPr="008F332A" w:rsidRDefault="00911498" w:rsidP="003A2CCC">
            <w:pPr>
              <w:spacing w:after="80"/>
              <w:rPr>
                <w:rFonts w:cstheme="minorHAnsi"/>
                <w:sz w:val="20"/>
              </w:rPr>
            </w:pPr>
            <w:r w:rsidRPr="008F332A">
              <w:rPr>
                <w:rFonts w:cstheme="minorHAnsi"/>
                <w:sz w:val="20"/>
              </w:rPr>
              <w:t>4</w:t>
            </w:r>
          </w:p>
        </w:tc>
        <w:tc>
          <w:tcPr>
            <w:tcW w:w="155" w:type="pct"/>
            <w:vAlign w:val="center"/>
          </w:tcPr>
          <w:p w14:paraId="7064A019" w14:textId="77777777" w:rsidR="00911498" w:rsidRPr="008F332A" w:rsidRDefault="00911498" w:rsidP="003A2CCC">
            <w:pPr>
              <w:spacing w:after="80"/>
              <w:rPr>
                <w:rFonts w:cstheme="minorHAnsi"/>
                <w:sz w:val="20"/>
              </w:rPr>
            </w:pPr>
            <w:r w:rsidRPr="008F332A">
              <w:rPr>
                <w:rFonts w:cstheme="minorHAnsi"/>
                <w:sz w:val="20"/>
              </w:rPr>
              <w:t>2</w:t>
            </w:r>
          </w:p>
        </w:tc>
        <w:tc>
          <w:tcPr>
            <w:tcW w:w="155" w:type="pct"/>
            <w:vAlign w:val="center"/>
          </w:tcPr>
          <w:p w14:paraId="5F5EC7C1" w14:textId="77777777" w:rsidR="00911498" w:rsidRPr="008F332A" w:rsidRDefault="00911498" w:rsidP="003A2CCC">
            <w:pPr>
              <w:spacing w:after="80"/>
              <w:rPr>
                <w:rFonts w:cstheme="minorHAnsi"/>
                <w:sz w:val="20"/>
              </w:rPr>
            </w:pPr>
            <w:r w:rsidRPr="008F332A">
              <w:rPr>
                <w:rFonts w:cstheme="minorHAnsi"/>
                <w:sz w:val="20"/>
              </w:rPr>
              <w:t>M</w:t>
            </w:r>
          </w:p>
        </w:tc>
        <w:tc>
          <w:tcPr>
            <w:tcW w:w="1888" w:type="pct"/>
          </w:tcPr>
          <w:p w14:paraId="52222DE0" w14:textId="77777777" w:rsidR="00911498" w:rsidRPr="008F332A" w:rsidRDefault="00911498" w:rsidP="003A2CCC">
            <w:pPr>
              <w:spacing w:after="80"/>
              <w:rPr>
                <w:rFonts w:eastAsiaTheme="minorEastAsia" w:cstheme="minorHAnsi"/>
                <w:sz w:val="20"/>
              </w:rPr>
            </w:pPr>
            <w:r w:rsidRPr="008F332A">
              <w:rPr>
                <w:rFonts w:eastAsiaTheme="minorEastAsia" w:cstheme="minorHAnsi"/>
                <w:sz w:val="20"/>
              </w:rPr>
              <w:t>Promote alternative messaging, provide grants to media organisations to promote positive messaging.</w:t>
            </w:r>
          </w:p>
        </w:tc>
        <w:tc>
          <w:tcPr>
            <w:tcW w:w="578" w:type="pct"/>
            <w:vAlign w:val="center"/>
          </w:tcPr>
          <w:p w14:paraId="0446C066" w14:textId="77777777" w:rsidR="00911498" w:rsidRPr="008F332A" w:rsidRDefault="00911498" w:rsidP="003A2CCC">
            <w:pPr>
              <w:spacing w:after="80"/>
              <w:jc w:val="left"/>
              <w:rPr>
                <w:rFonts w:eastAsiaTheme="minorEastAsia" w:cstheme="minorHAnsi"/>
                <w:sz w:val="20"/>
              </w:rPr>
            </w:pPr>
            <w:r w:rsidRPr="008F332A">
              <w:rPr>
                <w:rFonts w:eastAsiaTheme="minorEastAsia" w:cstheme="minorHAnsi"/>
                <w:sz w:val="20"/>
              </w:rPr>
              <w:t xml:space="preserve">Nabilan Program </w:t>
            </w:r>
          </w:p>
          <w:p w14:paraId="294FAA40" w14:textId="77777777" w:rsidR="00911498" w:rsidRPr="008F332A" w:rsidRDefault="00911498" w:rsidP="003A2CCC">
            <w:pPr>
              <w:spacing w:after="80"/>
              <w:jc w:val="left"/>
              <w:rPr>
                <w:rFonts w:eastAsiaTheme="minorEastAsia" w:cstheme="minorHAnsi"/>
                <w:sz w:val="20"/>
              </w:rPr>
            </w:pPr>
            <w:r w:rsidRPr="008F332A">
              <w:rPr>
                <w:rFonts w:eastAsiaTheme="minorEastAsia" w:cstheme="minorHAnsi"/>
                <w:sz w:val="20"/>
              </w:rPr>
              <w:t>CSO partners</w:t>
            </w:r>
          </w:p>
        </w:tc>
      </w:tr>
      <w:tr w:rsidR="00911498" w:rsidRPr="008F332A" w14:paraId="42F50F64" w14:textId="77777777" w:rsidTr="003A2CCC">
        <w:trPr>
          <w:trHeight w:val="518"/>
        </w:trPr>
        <w:tc>
          <w:tcPr>
            <w:tcW w:w="947" w:type="pct"/>
            <w:shd w:val="clear" w:color="auto" w:fill="D5DCE4" w:themeFill="text2" w:themeFillTint="33"/>
          </w:tcPr>
          <w:p w14:paraId="59FB0E55" w14:textId="77777777" w:rsidR="00911498" w:rsidRPr="008F332A" w:rsidRDefault="00911498" w:rsidP="003A2CCC">
            <w:pPr>
              <w:widowControl w:val="0"/>
              <w:autoSpaceDE w:val="0"/>
              <w:autoSpaceDN w:val="0"/>
              <w:adjustRightInd w:val="0"/>
              <w:spacing w:after="0"/>
              <w:rPr>
                <w:rFonts w:eastAsiaTheme="minorEastAsia" w:cstheme="minorHAnsi"/>
                <w:sz w:val="20"/>
              </w:rPr>
            </w:pPr>
            <w:r w:rsidRPr="008F332A">
              <w:rPr>
                <w:rFonts w:eastAsiaTheme="minorEastAsia" w:cstheme="minorHAnsi"/>
                <w:sz w:val="20"/>
              </w:rPr>
              <w:t xml:space="preserve">3. Re-emergent violence and insecurity </w:t>
            </w:r>
          </w:p>
          <w:p w14:paraId="0F61B8DC" w14:textId="77777777" w:rsidR="00911498" w:rsidRPr="008F332A" w:rsidRDefault="00911498" w:rsidP="003A2CCC">
            <w:pPr>
              <w:widowControl w:val="0"/>
              <w:autoSpaceDE w:val="0"/>
              <w:autoSpaceDN w:val="0"/>
              <w:adjustRightInd w:val="0"/>
              <w:spacing w:after="0"/>
              <w:rPr>
                <w:rFonts w:eastAsiaTheme="minorEastAsia" w:cstheme="minorHAnsi"/>
                <w:sz w:val="20"/>
              </w:rPr>
            </w:pPr>
          </w:p>
        </w:tc>
        <w:tc>
          <w:tcPr>
            <w:tcW w:w="1122" w:type="pct"/>
          </w:tcPr>
          <w:p w14:paraId="32FD8B91" w14:textId="77777777" w:rsidR="00911498" w:rsidRPr="008F332A" w:rsidRDefault="00911498" w:rsidP="003A2CCC">
            <w:pPr>
              <w:widowControl w:val="0"/>
              <w:autoSpaceDE w:val="0"/>
              <w:autoSpaceDN w:val="0"/>
              <w:adjustRightInd w:val="0"/>
              <w:spacing w:after="0"/>
              <w:rPr>
                <w:rFonts w:eastAsiaTheme="minorEastAsia" w:cstheme="minorHAnsi"/>
                <w:sz w:val="20"/>
              </w:rPr>
            </w:pPr>
            <w:r w:rsidRPr="008F332A">
              <w:rPr>
                <w:rFonts w:eastAsiaTheme="minorEastAsia" w:cstheme="minorHAnsi"/>
                <w:sz w:val="20"/>
              </w:rPr>
              <w:t xml:space="preserve">May interrupt program delivery, and increased violence and tension may result in increased perpetration of VAW. </w:t>
            </w:r>
          </w:p>
        </w:tc>
        <w:tc>
          <w:tcPr>
            <w:tcW w:w="155" w:type="pct"/>
            <w:vAlign w:val="center"/>
          </w:tcPr>
          <w:p w14:paraId="43E003A1" w14:textId="77777777" w:rsidR="00911498" w:rsidRPr="008F332A" w:rsidRDefault="00911498" w:rsidP="003A2CCC">
            <w:pPr>
              <w:spacing w:after="80"/>
              <w:rPr>
                <w:rFonts w:cstheme="minorHAnsi"/>
                <w:sz w:val="20"/>
              </w:rPr>
            </w:pPr>
            <w:r w:rsidRPr="008F332A">
              <w:rPr>
                <w:rFonts w:cstheme="minorHAnsi"/>
                <w:sz w:val="20"/>
              </w:rPr>
              <w:t>2</w:t>
            </w:r>
          </w:p>
        </w:tc>
        <w:tc>
          <w:tcPr>
            <w:tcW w:w="155" w:type="pct"/>
            <w:vAlign w:val="center"/>
          </w:tcPr>
          <w:p w14:paraId="03F81C0C" w14:textId="77777777" w:rsidR="00911498" w:rsidRPr="008F332A" w:rsidRDefault="00911498" w:rsidP="003A2CCC">
            <w:pPr>
              <w:spacing w:after="80"/>
              <w:rPr>
                <w:rFonts w:cstheme="minorHAnsi"/>
                <w:sz w:val="20"/>
              </w:rPr>
            </w:pPr>
            <w:r w:rsidRPr="008F332A">
              <w:rPr>
                <w:rFonts w:cstheme="minorHAnsi"/>
                <w:sz w:val="20"/>
              </w:rPr>
              <w:t>3</w:t>
            </w:r>
          </w:p>
        </w:tc>
        <w:tc>
          <w:tcPr>
            <w:tcW w:w="155" w:type="pct"/>
            <w:vAlign w:val="center"/>
          </w:tcPr>
          <w:p w14:paraId="6058A2B1" w14:textId="77777777" w:rsidR="00911498" w:rsidRPr="008F332A" w:rsidRDefault="00911498" w:rsidP="003A2CCC">
            <w:pPr>
              <w:spacing w:after="80"/>
              <w:rPr>
                <w:rFonts w:cstheme="minorHAnsi"/>
                <w:sz w:val="20"/>
              </w:rPr>
            </w:pPr>
            <w:r w:rsidRPr="008F332A">
              <w:rPr>
                <w:rFonts w:cstheme="minorHAnsi"/>
                <w:sz w:val="20"/>
              </w:rPr>
              <w:t>M</w:t>
            </w:r>
          </w:p>
        </w:tc>
        <w:tc>
          <w:tcPr>
            <w:tcW w:w="1888" w:type="pct"/>
          </w:tcPr>
          <w:p w14:paraId="43665231" w14:textId="77777777" w:rsidR="00911498" w:rsidRPr="008F332A" w:rsidRDefault="00911498" w:rsidP="003A2CCC">
            <w:pPr>
              <w:widowControl w:val="0"/>
              <w:autoSpaceDE w:val="0"/>
              <w:autoSpaceDN w:val="0"/>
              <w:adjustRightInd w:val="0"/>
              <w:spacing w:after="0"/>
              <w:rPr>
                <w:rFonts w:eastAsiaTheme="minorEastAsia" w:cstheme="minorHAnsi"/>
                <w:sz w:val="20"/>
              </w:rPr>
            </w:pPr>
            <w:r w:rsidRPr="008F332A">
              <w:rPr>
                <w:rFonts w:eastAsiaTheme="minorEastAsia" w:cstheme="minorHAnsi"/>
                <w:sz w:val="20"/>
              </w:rPr>
              <w:t xml:space="preserve">The Foundation closely monitors any security and conflict issues. This includes assessing if there is need to target particular aspects of violence against women and children work related to conflict and insecurity. The Foundation monitors security for staff and shares information on security with partners. In the event of a deterioration of security, appropriate security precautions are put in place. </w:t>
            </w:r>
          </w:p>
        </w:tc>
        <w:tc>
          <w:tcPr>
            <w:tcW w:w="578" w:type="pct"/>
            <w:vAlign w:val="center"/>
          </w:tcPr>
          <w:p w14:paraId="476BFF3C" w14:textId="77777777" w:rsidR="00911498" w:rsidRPr="008F332A" w:rsidRDefault="00911498" w:rsidP="003A2CCC">
            <w:pPr>
              <w:spacing w:after="80"/>
              <w:jc w:val="left"/>
              <w:rPr>
                <w:rFonts w:cstheme="minorHAnsi"/>
                <w:sz w:val="20"/>
              </w:rPr>
            </w:pPr>
            <w:r w:rsidRPr="008F332A">
              <w:rPr>
                <w:rFonts w:cstheme="minorHAnsi"/>
                <w:sz w:val="20"/>
              </w:rPr>
              <w:t>Foundation Management, Nabilan Team Leader,</w:t>
            </w:r>
          </w:p>
          <w:p w14:paraId="152B8E0C" w14:textId="77777777" w:rsidR="00911498" w:rsidRPr="008F332A" w:rsidRDefault="00911498" w:rsidP="003A2CCC">
            <w:pPr>
              <w:spacing w:after="80"/>
              <w:jc w:val="left"/>
              <w:rPr>
                <w:rFonts w:cstheme="minorHAnsi"/>
                <w:sz w:val="20"/>
              </w:rPr>
            </w:pPr>
          </w:p>
        </w:tc>
      </w:tr>
      <w:tr w:rsidR="00911498" w:rsidRPr="008F332A" w14:paraId="39ABFAE6" w14:textId="77777777" w:rsidTr="003A2CCC">
        <w:trPr>
          <w:trHeight w:val="518"/>
        </w:trPr>
        <w:tc>
          <w:tcPr>
            <w:tcW w:w="947" w:type="pct"/>
            <w:shd w:val="clear" w:color="auto" w:fill="D5DCE4" w:themeFill="text2" w:themeFillTint="33"/>
          </w:tcPr>
          <w:p w14:paraId="4E5C4F89" w14:textId="77777777" w:rsidR="00911498" w:rsidRPr="008F332A" w:rsidRDefault="00911498" w:rsidP="003A2CCC">
            <w:pPr>
              <w:widowControl w:val="0"/>
              <w:autoSpaceDE w:val="0"/>
              <w:autoSpaceDN w:val="0"/>
              <w:adjustRightInd w:val="0"/>
              <w:spacing w:after="0"/>
              <w:rPr>
                <w:rFonts w:eastAsiaTheme="minorEastAsia" w:cstheme="minorHAnsi"/>
                <w:sz w:val="20"/>
              </w:rPr>
            </w:pPr>
            <w:r w:rsidRPr="008F332A">
              <w:rPr>
                <w:rFonts w:eastAsiaTheme="minorEastAsia" w:cstheme="minorHAnsi"/>
                <w:sz w:val="20"/>
              </w:rPr>
              <w:t xml:space="preserve">4. Inadequacy of justice sector response to cases of VAWC </w:t>
            </w:r>
          </w:p>
          <w:p w14:paraId="46641D4D" w14:textId="77777777" w:rsidR="00911498" w:rsidRPr="008F332A" w:rsidRDefault="00911498" w:rsidP="003A2CCC">
            <w:pPr>
              <w:widowControl w:val="0"/>
              <w:autoSpaceDE w:val="0"/>
              <w:autoSpaceDN w:val="0"/>
              <w:adjustRightInd w:val="0"/>
              <w:spacing w:after="0"/>
              <w:rPr>
                <w:rFonts w:eastAsiaTheme="minorEastAsia" w:cstheme="minorHAnsi"/>
                <w:sz w:val="20"/>
              </w:rPr>
            </w:pPr>
          </w:p>
          <w:p w14:paraId="09C4E758" w14:textId="77777777" w:rsidR="00911498" w:rsidRPr="008F332A" w:rsidRDefault="00911498" w:rsidP="003A2CCC">
            <w:pPr>
              <w:tabs>
                <w:tab w:val="num" w:pos="181"/>
              </w:tabs>
              <w:spacing w:after="80"/>
              <w:rPr>
                <w:rFonts w:cstheme="minorHAnsi"/>
                <w:sz w:val="20"/>
              </w:rPr>
            </w:pPr>
          </w:p>
        </w:tc>
        <w:tc>
          <w:tcPr>
            <w:tcW w:w="1122" w:type="pct"/>
          </w:tcPr>
          <w:p w14:paraId="61EBE2AC" w14:textId="77777777" w:rsidR="00911498" w:rsidRPr="008F332A" w:rsidRDefault="00911498" w:rsidP="003A2CCC">
            <w:pPr>
              <w:spacing w:after="80"/>
              <w:rPr>
                <w:rFonts w:cstheme="minorHAnsi"/>
                <w:sz w:val="20"/>
              </w:rPr>
            </w:pPr>
            <w:r w:rsidRPr="008F332A">
              <w:rPr>
                <w:rFonts w:cstheme="minorHAnsi"/>
                <w:sz w:val="20"/>
              </w:rPr>
              <w:t xml:space="preserve">Women and communities lose confidence in the formal court process and thus do not report to the police. </w:t>
            </w:r>
          </w:p>
          <w:p w14:paraId="3163DA2B" w14:textId="77777777" w:rsidR="00911498" w:rsidRPr="008F332A" w:rsidRDefault="00911498" w:rsidP="003A2CCC">
            <w:pPr>
              <w:spacing w:after="80"/>
              <w:rPr>
                <w:rFonts w:cstheme="minorHAnsi"/>
                <w:sz w:val="20"/>
              </w:rPr>
            </w:pPr>
            <w:r w:rsidRPr="008F332A">
              <w:rPr>
                <w:rFonts w:cstheme="minorHAnsi"/>
                <w:sz w:val="20"/>
              </w:rPr>
              <w:t xml:space="preserve">Delays in the processing of cases of VAWC cases. Delayed training of key judicial officers’ impacts on the capacity of courts to address the caseload. </w:t>
            </w:r>
          </w:p>
          <w:p w14:paraId="5EB57CDC" w14:textId="77777777" w:rsidR="00911498" w:rsidRPr="008F332A" w:rsidRDefault="00911498" w:rsidP="003A2CCC">
            <w:pPr>
              <w:spacing w:after="80"/>
              <w:rPr>
                <w:rFonts w:cstheme="minorHAnsi"/>
                <w:sz w:val="20"/>
              </w:rPr>
            </w:pPr>
            <w:r w:rsidRPr="008F332A">
              <w:rPr>
                <w:rFonts w:cstheme="minorHAnsi"/>
                <w:sz w:val="20"/>
              </w:rPr>
              <w:t>Perpetrators do not face legal consequences, therefore there is reduced deterrent value.</w:t>
            </w:r>
          </w:p>
          <w:p w14:paraId="7383EA92" w14:textId="77777777" w:rsidR="00911498" w:rsidRPr="008F332A" w:rsidRDefault="00911498" w:rsidP="003A2CCC">
            <w:pPr>
              <w:spacing w:after="80"/>
              <w:rPr>
                <w:rFonts w:cstheme="minorHAnsi"/>
                <w:sz w:val="20"/>
              </w:rPr>
            </w:pPr>
            <w:r w:rsidRPr="008F332A">
              <w:rPr>
                <w:rFonts w:cstheme="minorHAnsi"/>
                <w:sz w:val="20"/>
              </w:rPr>
              <w:t xml:space="preserve">Women and children are not adequately protected by the justice system, resulting in re-victimisation and continuing abuse. </w:t>
            </w:r>
          </w:p>
        </w:tc>
        <w:tc>
          <w:tcPr>
            <w:tcW w:w="155" w:type="pct"/>
            <w:vAlign w:val="center"/>
          </w:tcPr>
          <w:p w14:paraId="26CADD66" w14:textId="77777777" w:rsidR="00911498" w:rsidRPr="008F332A" w:rsidRDefault="00911498" w:rsidP="003A2CCC">
            <w:pPr>
              <w:spacing w:after="80"/>
              <w:rPr>
                <w:rFonts w:cstheme="minorHAnsi"/>
                <w:sz w:val="20"/>
              </w:rPr>
            </w:pPr>
            <w:r w:rsidRPr="008F332A">
              <w:rPr>
                <w:rFonts w:cstheme="minorHAnsi"/>
                <w:sz w:val="20"/>
              </w:rPr>
              <w:t>3</w:t>
            </w:r>
          </w:p>
        </w:tc>
        <w:tc>
          <w:tcPr>
            <w:tcW w:w="155" w:type="pct"/>
            <w:vAlign w:val="center"/>
          </w:tcPr>
          <w:p w14:paraId="4F9C5D5B" w14:textId="77777777" w:rsidR="00911498" w:rsidRPr="008F332A" w:rsidRDefault="00911498" w:rsidP="003A2CCC">
            <w:pPr>
              <w:spacing w:after="80"/>
              <w:rPr>
                <w:rFonts w:cstheme="minorHAnsi"/>
                <w:sz w:val="20"/>
              </w:rPr>
            </w:pPr>
            <w:r w:rsidRPr="008F332A">
              <w:rPr>
                <w:rFonts w:cstheme="minorHAnsi"/>
                <w:sz w:val="20"/>
              </w:rPr>
              <w:t>3</w:t>
            </w:r>
          </w:p>
        </w:tc>
        <w:tc>
          <w:tcPr>
            <w:tcW w:w="155" w:type="pct"/>
            <w:vAlign w:val="center"/>
          </w:tcPr>
          <w:p w14:paraId="3CB65AF4" w14:textId="77777777" w:rsidR="00911498" w:rsidRPr="008F332A" w:rsidRDefault="00911498" w:rsidP="003A2CCC">
            <w:pPr>
              <w:spacing w:after="80"/>
              <w:rPr>
                <w:rFonts w:cstheme="minorHAnsi"/>
                <w:sz w:val="20"/>
              </w:rPr>
            </w:pPr>
            <w:r w:rsidRPr="008F332A">
              <w:rPr>
                <w:rFonts w:cstheme="minorHAnsi"/>
                <w:sz w:val="20"/>
              </w:rPr>
              <w:t>M</w:t>
            </w:r>
          </w:p>
        </w:tc>
        <w:tc>
          <w:tcPr>
            <w:tcW w:w="1888" w:type="pct"/>
          </w:tcPr>
          <w:p w14:paraId="3ACC15E3" w14:textId="77777777" w:rsidR="00911498" w:rsidRPr="008F332A" w:rsidRDefault="00911498" w:rsidP="003A2CCC">
            <w:pPr>
              <w:widowControl w:val="0"/>
              <w:autoSpaceDE w:val="0"/>
              <w:autoSpaceDN w:val="0"/>
              <w:adjustRightInd w:val="0"/>
              <w:spacing w:after="0"/>
              <w:rPr>
                <w:rFonts w:eastAsiaTheme="minorEastAsia" w:cstheme="minorHAnsi"/>
                <w:sz w:val="20"/>
              </w:rPr>
            </w:pPr>
            <w:r w:rsidRPr="008F332A">
              <w:rPr>
                <w:rFonts w:eastAsiaTheme="minorEastAsia" w:cstheme="minorHAnsi"/>
                <w:sz w:val="20"/>
              </w:rPr>
              <w:t>Nabilan mitigates this risk through ongoing assessment of program impact and supporting monitoring and advocacy through JSMP. This continued support can build on significant progress that has been achieved in Phase 1, for example there has been demonstrated change in sentencing outcomes and judges are starting to take measures to protect victims and witnesses during trial.</w:t>
            </w:r>
          </w:p>
          <w:p w14:paraId="427077BC" w14:textId="77777777" w:rsidR="00911498" w:rsidRPr="008F332A" w:rsidRDefault="00911498" w:rsidP="003A2CCC">
            <w:pPr>
              <w:widowControl w:val="0"/>
              <w:autoSpaceDE w:val="0"/>
              <w:autoSpaceDN w:val="0"/>
              <w:adjustRightInd w:val="0"/>
              <w:spacing w:after="0"/>
              <w:rPr>
                <w:rFonts w:eastAsiaTheme="minorEastAsia" w:cstheme="minorHAnsi"/>
                <w:sz w:val="20"/>
              </w:rPr>
            </w:pPr>
          </w:p>
          <w:p w14:paraId="6FAE5211" w14:textId="77777777" w:rsidR="00911498" w:rsidRPr="008F332A" w:rsidRDefault="00911498" w:rsidP="003A2CCC">
            <w:pPr>
              <w:widowControl w:val="0"/>
              <w:autoSpaceDE w:val="0"/>
              <w:autoSpaceDN w:val="0"/>
              <w:adjustRightInd w:val="0"/>
              <w:spacing w:after="0"/>
              <w:rPr>
                <w:rFonts w:eastAsiaTheme="minorEastAsia" w:cstheme="minorHAnsi"/>
                <w:sz w:val="20"/>
              </w:rPr>
            </w:pPr>
            <w:r w:rsidRPr="008F332A">
              <w:rPr>
                <w:rFonts w:eastAsiaTheme="minorEastAsia" w:cstheme="minorHAnsi"/>
                <w:sz w:val="20"/>
              </w:rPr>
              <w:t>When good judgements occur, they should be highlighted</w:t>
            </w:r>
          </w:p>
          <w:p w14:paraId="0D8F502A" w14:textId="77777777" w:rsidR="00911498" w:rsidRPr="008F332A" w:rsidRDefault="00911498" w:rsidP="003A2CCC">
            <w:pPr>
              <w:widowControl w:val="0"/>
              <w:autoSpaceDE w:val="0"/>
              <w:autoSpaceDN w:val="0"/>
              <w:adjustRightInd w:val="0"/>
              <w:spacing w:after="0"/>
              <w:rPr>
                <w:rFonts w:eastAsiaTheme="minorEastAsia" w:cstheme="minorHAnsi"/>
                <w:sz w:val="20"/>
              </w:rPr>
            </w:pPr>
          </w:p>
          <w:p w14:paraId="4E0303A5" w14:textId="77777777" w:rsidR="00911498" w:rsidRPr="008F332A" w:rsidRDefault="00911498" w:rsidP="003A2CCC">
            <w:pPr>
              <w:widowControl w:val="0"/>
              <w:autoSpaceDE w:val="0"/>
              <w:autoSpaceDN w:val="0"/>
              <w:adjustRightInd w:val="0"/>
              <w:spacing w:after="0"/>
              <w:rPr>
                <w:rFonts w:eastAsiaTheme="minorEastAsia" w:cstheme="minorHAnsi"/>
                <w:sz w:val="20"/>
              </w:rPr>
            </w:pPr>
            <w:r w:rsidRPr="008F332A">
              <w:rPr>
                <w:rFonts w:eastAsiaTheme="minorEastAsia" w:cstheme="minorHAnsi"/>
                <w:sz w:val="20"/>
              </w:rPr>
              <w:t>Nabilan will continue to support the CPSP program’s work with Community Policing Councils on ensuring that cases are referred to police.</w:t>
            </w:r>
          </w:p>
          <w:p w14:paraId="64AFA71B" w14:textId="77777777" w:rsidR="00911498" w:rsidRPr="008F332A" w:rsidRDefault="00911498" w:rsidP="003A2CCC">
            <w:pPr>
              <w:widowControl w:val="0"/>
              <w:autoSpaceDE w:val="0"/>
              <w:autoSpaceDN w:val="0"/>
              <w:adjustRightInd w:val="0"/>
              <w:spacing w:after="0"/>
              <w:rPr>
                <w:rFonts w:eastAsiaTheme="minorEastAsia" w:cstheme="minorHAnsi"/>
                <w:sz w:val="20"/>
              </w:rPr>
            </w:pPr>
          </w:p>
          <w:p w14:paraId="41AAB2AA" w14:textId="77777777" w:rsidR="00911498" w:rsidRPr="008F332A" w:rsidRDefault="00911498" w:rsidP="003A2CCC">
            <w:pPr>
              <w:widowControl w:val="0"/>
              <w:autoSpaceDE w:val="0"/>
              <w:autoSpaceDN w:val="0"/>
              <w:adjustRightInd w:val="0"/>
              <w:spacing w:after="0"/>
              <w:rPr>
                <w:rFonts w:eastAsiaTheme="minorEastAsia" w:cstheme="minorHAnsi"/>
                <w:sz w:val="20"/>
              </w:rPr>
            </w:pPr>
            <w:r w:rsidRPr="008F332A">
              <w:rPr>
                <w:rFonts w:eastAsiaTheme="minorEastAsia" w:cstheme="minorHAnsi"/>
                <w:sz w:val="20"/>
              </w:rPr>
              <w:t>The Program will scope an additional activity on monitoring of offenders as a foundational activity.</w:t>
            </w:r>
          </w:p>
        </w:tc>
        <w:tc>
          <w:tcPr>
            <w:tcW w:w="578" w:type="pct"/>
            <w:vAlign w:val="center"/>
          </w:tcPr>
          <w:p w14:paraId="4C950743" w14:textId="77777777" w:rsidR="00911498" w:rsidRPr="008F332A" w:rsidRDefault="00911498" w:rsidP="003A2CCC">
            <w:pPr>
              <w:spacing w:after="80"/>
              <w:jc w:val="left"/>
              <w:rPr>
                <w:rFonts w:cstheme="minorHAnsi"/>
                <w:sz w:val="20"/>
              </w:rPr>
            </w:pPr>
            <w:r w:rsidRPr="008F332A">
              <w:rPr>
                <w:rFonts w:cstheme="minorHAnsi"/>
                <w:sz w:val="20"/>
              </w:rPr>
              <w:t xml:space="preserve">Nabilan Program, Services Pillar </w:t>
            </w:r>
          </w:p>
          <w:p w14:paraId="0C447793" w14:textId="77777777" w:rsidR="00911498" w:rsidRPr="008F332A" w:rsidRDefault="00911498" w:rsidP="003A2CCC">
            <w:pPr>
              <w:spacing w:after="80"/>
              <w:jc w:val="left"/>
              <w:rPr>
                <w:rFonts w:cstheme="minorHAnsi"/>
                <w:sz w:val="20"/>
              </w:rPr>
            </w:pPr>
            <w:r w:rsidRPr="008F332A">
              <w:rPr>
                <w:rFonts w:cstheme="minorHAnsi"/>
                <w:sz w:val="20"/>
              </w:rPr>
              <w:t>CSO partners</w:t>
            </w:r>
          </w:p>
        </w:tc>
      </w:tr>
      <w:tr w:rsidR="00911498" w:rsidRPr="008F332A" w14:paraId="55980288" w14:textId="77777777" w:rsidTr="003A2CCC">
        <w:trPr>
          <w:trHeight w:val="386"/>
        </w:trPr>
        <w:tc>
          <w:tcPr>
            <w:tcW w:w="947" w:type="pct"/>
            <w:shd w:val="clear" w:color="auto" w:fill="D5DCE4" w:themeFill="text2" w:themeFillTint="33"/>
          </w:tcPr>
          <w:p w14:paraId="15C521C0" w14:textId="77777777" w:rsidR="00911498" w:rsidRPr="008F332A" w:rsidRDefault="00911498" w:rsidP="003A2CCC">
            <w:pPr>
              <w:widowControl w:val="0"/>
              <w:autoSpaceDE w:val="0"/>
              <w:autoSpaceDN w:val="0"/>
              <w:adjustRightInd w:val="0"/>
              <w:spacing w:after="0"/>
              <w:rPr>
                <w:rFonts w:eastAsiaTheme="minorEastAsia" w:cstheme="minorHAnsi"/>
                <w:sz w:val="20"/>
              </w:rPr>
            </w:pPr>
            <w:r w:rsidRPr="008F332A">
              <w:rPr>
                <w:rFonts w:eastAsiaTheme="minorEastAsia" w:cstheme="minorHAnsi"/>
                <w:sz w:val="20"/>
              </w:rPr>
              <w:t>5. Resistance from local leaders to support rights-based approaches to VAW</w:t>
            </w:r>
          </w:p>
        </w:tc>
        <w:tc>
          <w:tcPr>
            <w:tcW w:w="1122" w:type="pct"/>
          </w:tcPr>
          <w:p w14:paraId="46AC6E35" w14:textId="77777777" w:rsidR="00911498" w:rsidRPr="008F332A" w:rsidRDefault="00911498" w:rsidP="003A2CCC">
            <w:pPr>
              <w:spacing w:after="80"/>
              <w:rPr>
                <w:rFonts w:cstheme="minorHAnsi"/>
                <w:sz w:val="20"/>
              </w:rPr>
            </w:pPr>
            <w:r w:rsidRPr="008F332A">
              <w:rPr>
                <w:rFonts w:cstheme="minorHAnsi"/>
                <w:sz w:val="20"/>
              </w:rPr>
              <w:t xml:space="preserve">Limits the reach of both prevention activities and access to services beyond areas close to major towns/cities. </w:t>
            </w:r>
          </w:p>
          <w:p w14:paraId="600CCE94" w14:textId="77777777" w:rsidR="00911498" w:rsidRPr="008F332A" w:rsidRDefault="00911498" w:rsidP="003A2CCC">
            <w:pPr>
              <w:spacing w:after="80"/>
              <w:rPr>
                <w:rFonts w:cstheme="minorHAnsi"/>
                <w:sz w:val="20"/>
              </w:rPr>
            </w:pPr>
            <w:r w:rsidRPr="008F332A">
              <w:rPr>
                <w:rFonts w:cstheme="minorHAnsi"/>
                <w:sz w:val="20"/>
              </w:rPr>
              <w:t>Limits the options of working with community approaches to supporting women.</w:t>
            </w:r>
          </w:p>
        </w:tc>
        <w:tc>
          <w:tcPr>
            <w:tcW w:w="155" w:type="pct"/>
            <w:vAlign w:val="center"/>
          </w:tcPr>
          <w:p w14:paraId="665DF01C" w14:textId="77777777" w:rsidR="00911498" w:rsidRPr="008F332A" w:rsidRDefault="00911498" w:rsidP="003A2CCC">
            <w:pPr>
              <w:spacing w:after="80"/>
              <w:rPr>
                <w:rFonts w:cstheme="minorHAnsi"/>
                <w:sz w:val="20"/>
              </w:rPr>
            </w:pPr>
            <w:r w:rsidRPr="008F332A">
              <w:rPr>
                <w:rFonts w:cstheme="minorHAnsi"/>
                <w:sz w:val="20"/>
              </w:rPr>
              <w:t>3</w:t>
            </w:r>
          </w:p>
        </w:tc>
        <w:tc>
          <w:tcPr>
            <w:tcW w:w="155" w:type="pct"/>
            <w:vAlign w:val="center"/>
          </w:tcPr>
          <w:p w14:paraId="3CD1550A" w14:textId="77777777" w:rsidR="00911498" w:rsidRPr="008F332A" w:rsidRDefault="00911498" w:rsidP="003A2CCC">
            <w:pPr>
              <w:spacing w:after="80"/>
              <w:rPr>
                <w:rFonts w:cstheme="minorHAnsi"/>
                <w:sz w:val="20"/>
              </w:rPr>
            </w:pPr>
            <w:r w:rsidRPr="008F332A">
              <w:rPr>
                <w:rFonts w:cstheme="minorHAnsi"/>
                <w:sz w:val="20"/>
              </w:rPr>
              <w:t>2</w:t>
            </w:r>
          </w:p>
        </w:tc>
        <w:tc>
          <w:tcPr>
            <w:tcW w:w="155" w:type="pct"/>
            <w:vAlign w:val="center"/>
          </w:tcPr>
          <w:p w14:paraId="45B82591" w14:textId="77777777" w:rsidR="00911498" w:rsidRPr="008F332A" w:rsidRDefault="00911498" w:rsidP="003A2CCC">
            <w:pPr>
              <w:spacing w:after="80"/>
              <w:rPr>
                <w:rFonts w:cstheme="minorHAnsi"/>
                <w:sz w:val="20"/>
              </w:rPr>
            </w:pPr>
            <w:r w:rsidRPr="008F332A">
              <w:rPr>
                <w:rFonts w:cstheme="minorHAnsi"/>
                <w:sz w:val="20"/>
              </w:rPr>
              <w:t>M</w:t>
            </w:r>
          </w:p>
        </w:tc>
        <w:tc>
          <w:tcPr>
            <w:tcW w:w="1888" w:type="pct"/>
          </w:tcPr>
          <w:p w14:paraId="448609B6" w14:textId="77777777" w:rsidR="00911498" w:rsidRPr="008F332A" w:rsidRDefault="00911498" w:rsidP="003A2CCC">
            <w:pPr>
              <w:widowControl w:val="0"/>
              <w:autoSpaceDE w:val="0"/>
              <w:autoSpaceDN w:val="0"/>
              <w:adjustRightInd w:val="0"/>
              <w:spacing w:after="0"/>
              <w:rPr>
                <w:rFonts w:eastAsiaTheme="minorEastAsia" w:cstheme="minorHAnsi"/>
                <w:sz w:val="20"/>
              </w:rPr>
            </w:pPr>
            <w:r w:rsidRPr="008F332A">
              <w:rPr>
                <w:rFonts w:eastAsiaTheme="minorEastAsia" w:cstheme="minorHAnsi"/>
                <w:sz w:val="20"/>
              </w:rPr>
              <w:t xml:space="preserve">The Foundation engages with both individuals and local leaders as partners and endeavours to coordinate and report back to suku level structures on a regular basis in Suku Letefoho). Members of the Suku Council are involved directly in programming. </w:t>
            </w:r>
          </w:p>
          <w:p w14:paraId="652F6361" w14:textId="77777777" w:rsidR="00911498" w:rsidRPr="008F332A" w:rsidRDefault="00911498" w:rsidP="003A2CCC">
            <w:pPr>
              <w:widowControl w:val="0"/>
              <w:autoSpaceDE w:val="0"/>
              <w:autoSpaceDN w:val="0"/>
              <w:adjustRightInd w:val="0"/>
              <w:spacing w:after="0"/>
              <w:rPr>
                <w:rFonts w:eastAsiaTheme="minorEastAsia" w:cstheme="minorHAnsi"/>
                <w:bCs/>
                <w:iCs/>
                <w:color w:val="404040" w:themeColor="text1" w:themeTint="BF"/>
                <w:sz w:val="20"/>
              </w:rPr>
            </w:pPr>
          </w:p>
        </w:tc>
        <w:tc>
          <w:tcPr>
            <w:tcW w:w="578" w:type="pct"/>
            <w:vAlign w:val="center"/>
          </w:tcPr>
          <w:p w14:paraId="66047F64" w14:textId="77777777" w:rsidR="00911498" w:rsidRPr="008F332A" w:rsidRDefault="00911498" w:rsidP="003A2CCC">
            <w:pPr>
              <w:spacing w:after="80"/>
              <w:jc w:val="left"/>
              <w:rPr>
                <w:rFonts w:cstheme="minorHAnsi"/>
                <w:sz w:val="20"/>
              </w:rPr>
            </w:pPr>
            <w:r w:rsidRPr="008F332A">
              <w:rPr>
                <w:rFonts w:cstheme="minorHAnsi"/>
                <w:sz w:val="20"/>
              </w:rPr>
              <w:t>Nabilan Program, Social Norms Change Pillar</w:t>
            </w:r>
          </w:p>
        </w:tc>
      </w:tr>
      <w:tr w:rsidR="00911498" w:rsidRPr="008F332A" w14:paraId="60734C39" w14:textId="77777777" w:rsidTr="003A2CCC">
        <w:trPr>
          <w:trHeight w:val="734"/>
        </w:trPr>
        <w:tc>
          <w:tcPr>
            <w:tcW w:w="947" w:type="pct"/>
            <w:shd w:val="clear" w:color="auto" w:fill="D5DCE4" w:themeFill="text2" w:themeFillTint="33"/>
          </w:tcPr>
          <w:p w14:paraId="43A60821" w14:textId="77777777" w:rsidR="00911498" w:rsidRPr="008F332A" w:rsidRDefault="00911498" w:rsidP="003A2CCC">
            <w:pPr>
              <w:widowControl w:val="0"/>
              <w:autoSpaceDE w:val="0"/>
              <w:autoSpaceDN w:val="0"/>
              <w:adjustRightInd w:val="0"/>
              <w:spacing w:after="0"/>
              <w:rPr>
                <w:rFonts w:eastAsiaTheme="minorEastAsia" w:cstheme="minorHAnsi"/>
                <w:sz w:val="20"/>
              </w:rPr>
            </w:pPr>
            <w:r w:rsidRPr="008F332A">
              <w:rPr>
                <w:rFonts w:eastAsiaTheme="minorEastAsia" w:cstheme="minorHAnsi"/>
                <w:sz w:val="20"/>
              </w:rPr>
              <w:t>6. Government budget and policy making constraints</w:t>
            </w:r>
          </w:p>
          <w:p w14:paraId="5392A2F8" w14:textId="77777777" w:rsidR="00911498" w:rsidRPr="008F332A" w:rsidRDefault="00911498" w:rsidP="003A2CCC">
            <w:pPr>
              <w:spacing w:after="80"/>
              <w:rPr>
                <w:rFonts w:cstheme="minorHAnsi"/>
                <w:sz w:val="20"/>
              </w:rPr>
            </w:pPr>
          </w:p>
        </w:tc>
        <w:tc>
          <w:tcPr>
            <w:tcW w:w="1122" w:type="pct"/>
          </w:tcPr>
          <w:p w14:paraId="3B82DAC9" w14:textId="77777777" w:rsidR="00911498" w:rsidRPr="008F332A" w:rsidRDefault="00911498" w:rsidP="003A2CCC">
            <w:pPr>
              <w:spacing w:after="80"/>
              <w:rPr>
                <w:rFonts w:cstheme="minorHAnsi"/>
                <w:sz w:val="20"/>
              </w:rPr>
            </w:pPr>
            <w:r w:rsidRPr="008F332A">
              <w:rPr>
                <w:rFonts w:cstheme="minorHAnsi"/>
                <w:sz w:val="20"/>
              </w:rPr>
              <w:t xml:space="preserve">Impacts on the resources and policies that government agencies commit to on key aspects of ending violence against women and children. </w:t>
            </w:r>
          </w:p>
          <w:p w14:paraId="261030EE" w14:textId="77777777" w:rsidR="00911498" w:rsidRPr="008F332A" w:rsidRDefault="00911498" w:rsidP="003A2CCC">
            <w:pPr>
              <w:spacing w:after="80"/>
              <w:rPr>
                <w:rFonts w:cstheme="minorHAnsi"/>
                <w:sz w:val="20"/>
              </w:rPr>
            </w:pPr>
            <w:r w:rsidRPr="008F332A">
              <w:rPr>
                <w:rFonts w:cstheme="minorHAnsi"/>
                <w:sz w:val="20"/>
              </w:rPr>
              <w:t>Impacts on whole of government approach in the National Action Plan (NAP) on Gender Based Violence (GBV).</w:t>
            </w:r>
          </w:p>
        </w:tc>
        <w:tc>
          <w:tcPr>
            <w:tcW w:w="155" w:type="pct"/>
            <w:vAlign w:val="center"/>
          </w:tcPr>
          <w:p w14:paraId="5631E11E" w14:textId="77777777" w:rsidR="00911498" w:rsidRPr="008F332A" w:rsidRDefault="00911498" w:rsidP="003A2CCC">
            <w:pPr>
              <w:spacing w:after="80"/>
              <w:rPr>
                <w:rFonts w:cstheme="minorHAnsi"/>
                <w:sz w:val="20"/>
              </w:rPr>
            </w:pPr>
            <w:r w:rsidRPr="008F332A">
              <w:rPr>
                <w:rFonts w:cstheme="minorHAnsi"/>
                <w:sz w:val="20"/>
              </w:rPr>
              <w:t>5</w:t>
            </w:r>
          </w:p>
        </w:tc>
        <w:tc>
          <w:tcPr>
            <w:tcW w:w="155" w:type="pct"/>
            <w:vAlign w:val="center"/>
          </w:tcPr>
          <w:p w14:paraId="529620C0" w14:textId="77777777" w:rsidR="00911498" w:rsidRPr="008F332A" w:rsidRDefault="00911498" w:rsidP="003A2CCC">
            <w:pPr>
              <w:spacing w:after="80"/>
              <w:rPr>
                <w:rFonts w:cstheme="minorHAnsi"/>
                <w:sz w:val="20"/>
              </w:rPr>
            </w:pPr>
            <w:r w:rsidRPr="008F332A">
              <w:rPr>
                <w:rFonts w:cstheme="minorHAnsi"/>
                <w:sz w:val="20"/>
              </w:rPr>
              <w:t>4</w:t>
            </w:r>
          </w:p>
        </w:tc>
        <w:tc>
          <w:tcPr>
            <w:tcW w:w="155" w:type="pct"/>
            <w:vAlign w:val="center"/>
          </w:tcPr>
          <w:p w14:paraId="64735252" w14:textId="77777777" w:rsidR="00911498" w:rsidRPr="008F332A" w:rsidRDefault="00911498" w:rsidP="003A2CCC">
            <w:pPr>
              <w:spacing w:after="80"/>
              <w:rPr>
                <w:rFonts w:cstheme="minorHAnsi"/>
                <w:sz w:val="20"/>
              </w:rPr>
            </w:pPr>
            <w:r w:rsidRPr="008F332A">
              <w:rPr>
                <w:rFonts w:cstheme="minorHAnsi"/>
                <w:sz w:val="20"/>
              </w:rPr>
              <w:t>H</w:t>
            </w:r>
          </w:p>
        </w:tc>
        <w:tc>
          <w:tcPr>
            <w:tcW w:w="1888" w:type="pct"/>
          </w:tcPr>
          <w:p w14:paraId="3729F532" w14:textId="77777777" w:rsidR="00911498" w:rsidRPr="008F332A" w:rsidRDefault="00911498" w:rsidP="003A2CCC">
            <w:pPr>
              <w:widowControl w:val="0"/>
              <w:autoSpaceDE w:val="0"/>
              <w:autoSpaceDN w:val="0"/>
              <w:adjustRightInd w:val="0"/>
              <w:spacing w:after="0"/>
              <w:rPr>
                <w:rFonts w:eastAsiaTheme="minorEastAsia" w:cstheme="minorHAnsi"/>
                <w:bCs/>
                <w:iCs/>
                <w:color w:val="404040" w:themeColor="text1" w:themeTint="BF"/>
                <w:sz w:val="20"/>
              </w:rPr>
            </w:pPr>
            <w:r w:rsidRPr="008F332A">
              <w:rPr>
                <w:rFonts w:eastAsiaTheme="minorEastAsia" w:cstheme="minorHAnsi"/>
                <w:sz w:val="20"/>
              </w:rPr>
              <w:t xml:space="preserve">While the program has endeavoured to share a clear understanding of service needs for women and children impacted by violence, it has historically faced obstacles in engaging with MSS in planning and budgeting processes to strengthen systems and processes which impact on service delivery. The program will continue to engage with Governance for Development (GFD) program and UPMA regarding its work on budgeting and planning, and gender responsive budgeting. The program will assess for new engagement opportunities once the GoTL structures and personnel have been completed and stabilised. The new NAP on GBV provides some new entry points. </w:t>
            </w:r>
          </w:p>
        </w:tc>
        <w:tc>
          <w:tcPr>
            <w:tcW w:w="578" w:type="pct"/>
            <w:vAlign w:val="center"/>
          </w:tcPr>
          <w:p w14:paraId="5FB05E19" w14:textId="77777777" w:rsidR="00911498" w:rsidRPr="008F332A" w:rsidRDefault="00911498" w:rsidP="003A2CCC">
            <w:pPr>
              <w:spacing w:after="80"/>
              <w:jc w:val="left"/>
              <w:rPr>
                <w:rFonts w:cstheme="minorHAnsi"/>
                <w:sz w:val="20"/>
              </w:rPr>
            </w:pPr>
            <w:r w:rsidRPr="008F332A">
              <w:rPr>
                <w:rFonts w:cstheme="minorHAnsi"/>
                <w:sz w:val="20"/>
              </w:rPr>
              <w:t>Country Representative, Nabilan Team Leader, both Pillars,</w:t>
            </w:r>
          </w:p>
          <w:p w14:paraId="0C16C43F" w14:textId="77777777" w:rsidR="00911498" w:rsidRPr="008F332A" w:rsidRDefault="00911498" w:rsidP="003A2CCC">
            <w:pPr>
              <w:spacing w:after="80"/>
              <w:jc w:val="left"/>
              <w:rPr>
                <w:rFonts w:cstheme="minorHAnsi"/>
                <w:sz w:val="20"/>
              </w:rPr>
            </w:pPr>
            <w:r w:rsidRPr="008F332A">
              <w:rPr>
                <w:rFonts w:cstheme="minorHAnsi"/>
                <w:sz w:val="20"/>
              </w:rPr>
              <w:t>Australian Government</w:t>
            </w:r>
          </w:p>
        </w:tc>
      </w:tr>
      <w:tr w:rsidR="00911498" w:rsidRPr="008F332A" w14:paraId="466FE75A" w14:textId="77777777" w:rsidTr="003A2CCC">
        <w:trPr>
          <w:trHeight w:val="734"/>
        </w:trPr>
        <w:tc>
          <w:tcPr>
            <w:tcW w:w="947" w:type="pct"/>
            <w:tcBorders>
              <w:bottom w:val="single" w:sz="4" w:space="0" w:color="auto"/>
            </w:tcBorders>
            <w:shd w:val="clear" w:color="auto" w:fill="D5DCE4" w:themeFill="text2" w:themeFillTint="33"/>
          </w:tcPr>
          <w:p w14:paraId="42400E68" w14:textId="77777777" w:rsidR="00911498" w:rsidRPr="008F332A" w:rsidRDefault="00911498" w:rsidP="003A2CCC">
            <w:pPr>
              <w:widowControl w:val="0"/>
              <w:autoSpaceDE w:val="0"/>
              <w:autoSpaceDN w:val="0"/>
              <w:adjustRightInd w:val="0"/>
              <w:spacing w:after="0"/>
              <w:rPr>
                <w:rFonts w:eastAsiaTheme="minorEastAsia" w:cstheme="minorHAnsi"/>
                <w:sz w:val="20"/>
              </w:rPr>
            </w:pPr>
            <w:r w:rsidRPr="008F332A">
              <w:rPr>
                <w:rFonts w:eastAsiaTheme="minorEastAsia" w:cstheme="minorHAnsi"/>
                <w:sz w:val="20"/>
              </w:rPr>
              <w:t>7. Inadequacy of law enforcement response to violence against women</w:t>
            </w:r>
          </w:p>
        </w:tc>
        <w:tc>
          <w:tcPr>
            <w:tcW w:w="1122" w:type="pct"/>
            <w:tcBorders>
              <w:bottom w:val="single" w:sz="4" w:space="0" w:color="auto"/>
            </w:tcBorders>
          </w:tcPr>
          <w:p w14:paraId="2E75949B" w14:textId="77777777" w:rsidR="00911498" w:rsidRPr="008F332A" w:rsidRDefault="00911498" w:rsidP="003A2CCC">
            <w:pPr>
              <w:spacing w:after="80"/>
              <w:rPr>
                <w:rFonts w:cstheme="minorHAnsi"/>
                <w:sz w:val="20"/>
              </w:rPr>
            </w:pPr>
            <w:r w:rsidRPr="008F332A">
              <w:rPr>
                <w:rFonts w:cstheme="minorHAnsi"/>
                <w:sz w:val="20"/>
              </w:rPr>
              <w:t xml:space="preserve">Women are reluctant to report violence to police, resources for police to support referrals of women that do report violence to services (e.g. medical forensic services) are not adequate, both impacting on their wellbeing, and possibly impacting evidence for any legal proceedings. </w:t>
            </w:r>
          </w:p>
        </w:tc>
        <w:tc>
          <w:tcPr>
            <w:tcW w:w="155" w:type="pct"/>
            <w:tcBorders>
              <w:bottom w:val="single" w:sz="4" w:space="0" w:color="auto"/>
            </w:tcBorders>
            <w:vAlign w:val="center"/>
          </w:tcPr>
          <w:p w14:paraId="6FD2DC91" w14:textId="77777777" w:rsidR="00911498" w:rsidRPr="008F332A" w:rsidRDefault="00911498" w:rsidP="003A2CCC">
            <w:pPr>
              <w:spacing w:after="80"/>
              <w:rPr>
                <w:rFonts w:cstheme="minorHAnsi"/>
                <w:sz w:val="20"/>
              </w:rPr>
            </w:pPr>
            <w:r w:rsidRPr="008F332A">
              <w:rPr>
                <w:rFonts w:cstheme="minorHAnsi"/>
                <w:sz w:val="20"/>
              </w:rPr>
              <w:t>4</w:t>
            </w:r>
          </w:p>
        </w:tc>
        <w:tc>
          <w:tcPr>
            <w:tcW w:w="155" w:type="pct"/>
            <w:tcBorders>
              <w:bottom w:val="single" w:sz="4" w:space="0" w:color="auto"/>
            </w:tcBorders>
            <w:vAlign w:val="center"/>
          </w:tcPr>
          <w:p w14:paraId="076493DA" w14:textId="77777777" w:rsidR="00911498" w:rsidRPr="008F332A" w:rsidRDefault="00911498" w:rsidP="003A2CCC">
            <w:pPr>
              <w:spacing w:after="80"/>
              <w:rPr>
                <w:rFonts w:cstheme="minorHAnsi"/>
                <w:sz w:val="20"/>
              </w:rPr>
            </w:pPr>
            <w:r w:rsidRPr="008F332A">
              <w:rPr>
                <w:rFonts w:cstheme="minorHAnsi"/>
                <w:sz w:val="20"/>
              </w:rPr>
              <w:t>2</w:t>
            </w:r>
          </w:p>
        </w:tc>
        <w:tc>
          <w:tcPr>
            <w:tcW w:w="155" w:type="pct"/>
            <w:tcBorders>
              <w:bottom w:val="single" w:sz="4" w:space="0" w:color="auto"/>
            </w:tcBorders>
            <w:vAlign w:val="center"/>
          </w:tcPr>
          <w:p w14:paraId="3888B856" w14:textId="77777777" w:rsidR="00911498" w:rsidRPr="008F332A" w:rsidRDefault="00911498" w:rsidP="003A2CCC">
            <w:pPr>
              <w:spacing w:after="80"/>
              <w:rPr>
                <w:rFonts w:cstheme="minorHAnsi"/>
                <w:sz w:val="20"/>
              </w:rPr>
            </w:pPr>
            <w:r w:rsidRPr="008F332A">
              <w:rPr>
                <w:rFonts w:cstheme="minorHAnsi"/>
                <w:sz w:val="20"/>
              </w:rPr>
              <w:t>M</w:t>
            </w:r>
          </w:p>
        </w:tc>
        <w:tc>
          <w:tcPr>
            <w:tcW w:w="1888" w:type="pct"/>
            <w:tcBorders>
              <w:bottom w:val="single" w:sz="4" w:space="0" w:color="auto"/>
            </w:tcBorders>
          </w:tcPr>
          <w:p w14:paraId="7014802C" w14:textId="77777777" w:rsidR="00911498" w:rsidRPr="008F332A" w:rsidRDefault="00911498" w:rsidP="003A2CCC">
            <w:pPr>
              <w:widowControl w:val="0"/>
              <w:autoSpaceDE w:val="0"/>
              <w:autoSpaceDN w:val="0"/>
              <w:adjustRightInd w:val="0"/>
              <w:spacing w:after="0"/>
              <w:rPr>
                <w:rFonts w:eastAsiaTheme="minorEastAsia" w:cstheme="minorHAnsi"/>
                <w:sz w:val="20"/>
              </w:rPr>
            </w:pPr>
            <w:r w:rsidRPr="008F332A">
              <w:rPr>
                <w:rFonts w:eastAsiaTheme="minorEastAsia" w:cstheme="minorHAnsi"/>
                <w:sz w:val="20"/>
              </w:rPr>
              <w:t xml:space="preserve">Nabilan is actively engaging with other programs supporting the PNTL, including the Timor-Leste Police Development Program (TLPDP) and the Foundation’s Community Policing Support Program to improve police response to VAW. Nabilan also works through partners ALFeLa and PRADET to respond to police misconduct (such as failing to register DV cases). </w:t>
            </w:r>
          </w:p>
        </w:tc>
        <w:tc>
          <w:tcPr>
            <w:tcW w:w="578" w:type="pct"/>
            <w:tcBorders>
              <w:bottom w:val="single" w:sz="4" w:space="0" w:color="auto"/>
            </w:tcBorders>
            <w:vAlign w:val="center"/>
          </w:tcPr>
          <w:p w14:paraId="5D861C62" w14:textId="77777777" w:rsidR="00911498" w:rsidRPr="008F332A" w:rsidRDefault="00911498" w:rsidP="003A2CCC">
            <w:pPr>
              <w:spacing w:after="80"/>
              <w:jc w:val="left"/>
              <w:rPr>
                <w:rFonts w:cstheme="minorHAnsi"/>
                <w:sz w:val="20"/>
              </w:rPr>
            </w:pPr>
            <w:r w:rsidRPr="008F332A">
              <w:rPr>
                <w:rFonts w:cstheme="minorHAnsi"/>
                <w:sz w:val="20"/>
              </w:rPr>
              <w:t>Australian Government, TLPDP</w:t>
            </w:r>
          </w:p>
          <w:p w14:paraId="7CFBB3F0" w14:textId="77777777" w:rsidR="00911498" w:rsidRPr="008F332A" w:rsidRDefault="00911498" w:rsidP="003A2CCC">
            <w:pPr>
              <w:spacing w:after="80"/>
              <w:jc w:val="left"/>
              <w:rPr>
                <w:rFonts w:cstheme="minorHAnsi"/>
                <w:sz w:val="20"/>
              </w:rPr>
            </w:pPr>
          </w:p>
          <w:p w14:paraId="5F33044F" w14:textId="77777777" w:rsidR="00911498" w:rsidRPr="008F332A" w:rsidRDefault="00911498" w:rsidP="003A2CCC">
            <w:pPr>
              <w:spacing w:after="80"/>
              <w:jc w:val="left"/>
              <w:rPr>
                <w:rFonts w:cstheme="minorHAnsi"/>
                <w:sz w:val="20"/>
              </w:rPr>
            </w:pPr>
            <w:r w:rsidRPr="008F332A">
              <w:rPr>
                <w:rFonts w:cstheme="minorHAnsi"/>
                <w:sz w:val="20"/>
              </w:rPr>
              <w:t>Nabilan Team Leader, Pillar Coordinators</w:t>
            </w:r>
          </w:p>
          <w:p w14:paraId="433929EF" w14:textId="77777777" w:rsidR="00911498" w:rsidRPr="008F332A" w:rsidRDefault="00911498" w:rsidP="003A2CCC">
            <w:pPr>
              <w:spacing w:after="80"/>
              <w:jc w:val="left"/>
              <w:rPr>
                <w:rFonts w:cstheme="minorHAnsi"/>
                <w:sz w:val="20"/>
              </w:rPr>
            </w:pPr>
          </w:p>
          <w:p w14:paraId="030A8A7F" w14:textId="77777777" w:rsidR="00911498" w:rsidRPr="008F332A" w:rsidRDefault="00911498" w:rsidP="003A2CCC">
            <w:pPr>
              <w:spacing w:after="80"/>
              <w:jc w:val="left"/>
              <w:rPr>
                <w:rFonts w:cstheme="minorHAnsi"/>
                <w:sz w:val="20"/>
              </w:rPr>
            </w:pPr>
            <w:r w:rsidRPr="008F332A">
              <w:rPr>
                <w:rFonts w:cstheme="minorHAnsi"/>
                <w:sz w:val="20"/>
              </w:rPr>
              <w:t>Foundation Community Policing Support Program</w:t>
            </w:r>
          </w:p>
        </w:tc>
      </w:tr>
      <w:tr w:rsidR="00911498" w:rsidRPr="008F332A" w14:paraId="2C7CB9CA" w14:textId="77777777" w:rsidTr="003A2CCC">
        <w:trPr>
          <w:trHeight w:val="734"/>
        </w:trPr>
        <w:tc>
          <w:tcPr>
            <w:tcW w:w="947" w:type="pct"/>
            <w:tcBorders>
              <w:bottom w:val="single" w:sz="4" w:space="0" w:color="auto"/>
            </w:tcBorders>
            <w:shd w:val="clear" w:color="auto" w:fill="D5DCE4" w:themeFill="text2" w:themeFillTint="33"/>
          </w:tcPr>
          <w:p w14:paraId="4E0B50E5" w14:textId="77777777" w:rsidR="00911498" w:rsidRPr="008F332A" w:rsidRDefault="00911498" w:rsidP="003A2CCC">
            <w:pPr>
              <w:widowControl w:val="0"/>
              <w:autoSpaceDE w:val="0"/>
              <w:autoSpaceDN w:val="0"/>
              <w:adjustRightInd w:val="0"/>
              <w:spacing w:after="0"/>
              <w:rPr>
                <w:rFonts w:eastAsiaTheme="minorEastAsia" w:cstheme="minorHAnsi"/>
                <w:sz w:val="20"/>
              </w:rPr>
            </w:pPr>
            <w:r w:rsidRPr="008F332A">
              <w:rPr>
                <w:rFonts w:eastAsiaTheme="minorEastAsia" w:cstheme="minorHAnsi"/>
                <w:sz w:val="20"/>
              </w:rPr>
              <w:t>8. Limited prospects of reforms to address violence against women and children</w:t>
            </w:r>
          </w:p>
        </w:tc>
        <w:tc>
          <w:tcPr>
            <w:tcW w:w="1122" w:type="pct"/>
            <w:tcBorders>
              <w:bottom w:val="single" w:sz="4" w:space="0" w:color="auto"/>
            </w:tcBorders>
          </w:tcPr>
          <w:p w14:paraId="232B52EF" w14:textId="77777777" w:rsidR="00911498" w:rsidRPr="008F332A" w:rsidRDefault="00911498" w:rsidP="003A2CCC">
            <w:pPr>
              <w:spacing w:after="80"/>
              <w:rPr>
                <w:rFonts w:cstheme="minorHAnsi"/>
                <w:sz w:val="20"/>
              </w:rPr>
            </w:pPr>
            <w:r w:rsidRPr="008F332A">
              <w:rPr>
                <w:rFonts w:cstheme="minorHAnsi"/>
                <w:sz w:val="20"/>
              </w:rPr>
              <w:t xml:space="preserve">Limited whole of government ownership of ending violence against women and children initiatives. </w:t>
            </w:r>
          </w:p>
          <w:p w14:paraId="50196A53" w14:textId="77777777" w:rsidR="00911498" w:rsidRPr="008F332A" w:rsidRDefault="00911498" w:rsidP="003A2CCC">
            <w:pPr>
              <w:spacing w:after="80"/>
              <w:rPr>
                <w:rFonts w:cstheme="minorHAnsi"/>
                <w:sz w:val="20"/>
              </w:rPr>
            </w:pPr>
            <w:r w:rsidRPr="008F332A">
              <w:rPr>
                <w:rFonts w:cstheme="minorHAnsi"/>
                <w:sz w:val="20"/>
              </w:rPr>
              <w:t>Limited advocacy by civil society partners contributes to a lack of knowledge and lack of commitment to continuing crucial existing services.</w:t>
            </w:r>
          </w:p>
          <w:p w14:paraId="7A10C146" w14:textId="77777777" w:rsidR="00911498" w:rsidRPr="008F332A" w:rsidRDefault="00911498" w:rsidP="003A2CCC">
            <w:pPr>
              <w:spacing w:after="80"/>
              <w:rPr>
                <w:rFonts w:cstheme="minorHAnsi"/>
                <w:sz w:val="20"/>
              </w:rPr>
            </w:pPr>
            <w:r w:rsidRPr="008F332A">
              <w:rPr>
                <w:rFonts w:cstheme="minorHAnsi"/>
                <w:sz w:val="20"/>
              </w:rPr>
              <w:t xml:space="preserve">Limits the sustainability of the Nabilan program outcomes. </w:t>
            </w:r>
          </w:p>
        </w:tc>
        <w:tc>
          <w:tcPr>
            <w:tcW w:w="155" w:type="pct"/>
            <w:tcBorders>
              <w:bottom w:val="single" w:sz="4" w:space="0" w:color="auto"/>
            </w:tcBorders>
            <w:vAlign w:val="center"/>
          </w:tcPr>
          <w:p w14:paraId="6FD39370" w14:textId="77777777" w:rsidR="00911498" w:rsidRPr="008F332A" w:rsidRDefault="00911498" w:rsidP="003A2CCC">
            <w:pPr>
              <w:spacing w:after="80"/>
              <w:rPr>
                <w:rFonts w:cstheme="minorHAnsi"/>
                <w:sz w:val="20"/>
              </w:rPr>
            </w:pPr>
            <w:r w:rsidRPr="008F332A">
              <w:rPr>
                <w:rFonts w:cstheme="minorHAnsi"/>
                <w:sz w:val="20"/>
              </w:rPr>
              <w:t>4</w:t>
            </w:r>
          </w:p>
        </w:tc>
        <w:tc>
          <w:tcPr>
            <w:tcW w:w="155" w:type="pct"/>
            <w:tcBorders>
              <w:bottom w:val="single" w:sz="4" w:space="0" w:color="auto"/>
            </w:tcBorders>
            <w:vAlign w:val="center"/>
          </w:tcPr>
          <w:p w14:paraId="22CC1704" w14:textId="77777777" w:rsidR="00911498" w:rsidRPr="008F332A" w:rsidRDefault="00911498" w:rsidP="003A2CCC">
            <w:pPr>
              <w:spacing w:after="80"/>
              <w:rPr>
                <w:rFonts w:cstheme="minorHAnsi"/>
                <w:sz w:val="20"/>
              </w:rPr>
            </w:pPr>
            <w:r w:rsidRPr="008F332A">
              <w:rPr>
                <w:rFonts w:cstheme="minorHAnsi"/>
                <w:sz w:val="20"/>
              </w:rPr>
              <w:t>3</w:t>
            </w:r>
          </w:p>
        </w:tc>
        <w:tc>
          <w:tcPr>
            <w:tcW w:w="155" w:type="pct"/>
            <w:tcBorders>
              <w:bottom w:val="single" w:sz="4" w:space="0" w:color="auto"/>
            </w:tcBorders>
            <w:vAlign w:val="center"/>
          </w:tcPr>
          <w:p w14:paraId="0A9BBA84" w14:textId="77777777" w:rsidR="00911498" w:rsidRPr="008F332A" w:rsidRDefault="00911498" w:rsidP="003A2CCC">
            <w:pPr>
              <w:spacing w:after="80"/>
              <w:rPr>
                <w:rFonts w:cstheme="minorHAnsi"/>
                <w:sz w:val="20"/>
              </w:rPr>
            </w:pPr>
            <w:r w:rsidRPr="008F332A">
              <w:rPr>
                <w:rFonts w:cstheme="minorHAnsi"/>
                <w:sz w:val="20"/>
              </w:rPr>
              <w:t>H</w:t>
            </w:r>
          </w:p>
        </w:tc>
        <w:tc>
          <w:tcPr>
            <w:tcW w:w="1888" w:type="pct"/>
            <w:tcBorders>
              <w:bottom w:val="single" w:sz="4" w:space="0" w:color="auto"/>
            </w:tcBorders>
          </w:tcPr>
          <w:p w14:paraId="134F0710" w14:textId="77777777" w:rsidR="00911498" w:rsidRPr="008F332A" w:rsidRDefault="00911498" w:rsidP="003A2CCC">
            <w:pPr>
              <w:widowControl w:val="0"/>
              <w:autoSpaceDE w:val="0"/>
              <w:autoSpaceDN w:val="0"/>
              <w:adjustRightInd w:val="0"/>
              <w:spacing w:after="0"/>
              <w:rPr>
                <w:rFonts w:eastAsiaTheme="minorEastAsia" w:cstheme="minorHAnsi"/>
                <w:sz w:val="20"/>
              </w:rPr>
            </w:pPr>
            <w:r w:rsidRPr="008F332A">
              <w:rPr>
                <w:rFonts w:eastAsiaTheme="minorEastAsia" w:cstheme="minorHAnsi"/>
                <w:sz w:val="20"/>
              </w:rPr>
              <w:t xml:space="preserve">Whole of government support to address violence against women and children is required for sustainable progress, including regarding implementation of NAP GBV commitments. The revised NAP GBV was launched during the reporting period but line ministry budgeting for the NAP GBV will only occur in the next reporting period and implementation is not expected to begin until early 2018. Opportunities for further work on this will need to be assessed in the next reporting period and a new Government is announced. Nabilan takes a realistic and nuanced approach to determining politically feasible program interventions. </w:t>
            </w:r>
          </w:p>
        </w:tc>
        <w:tc>
          <w:tcPr>
            <w:tcW w:w="578" w:type="pct"/>
            <w:tcBorders>
              <w:bottom w:val="single" w:sz="4" w:space="0" w:color="auto"/>
            </w:tcBorders>
            <w:vAlign w:val="center"/>
          </w:tcPr>
          <w:p w14:paraId="59CEB1A0" w14:textId="77777777" w:rsidR="00911498" w:rsidRPr="008F332A" w:rsidRDefault="00911498" w:rsidP="003A2CCC">
            <w:pPr>
              <w:spacing w:after="80"/>
              <w:jc w:val="left"/>
              <w:rPr>
                <w:rFonts w:cstheme="minorHAnsi"/>
                <w:sz w:val="20"/>
              </w:rPr>
            </w:pPr>
            <w:r w:rsidRPr="008F332A">
              <w:rPr>
                <w:rFonts w:cstheme="minorHAnsi"/>
                <w:sz w:val="20"/>
              </w:rPr>
              <w:t>Australian Government</w:t>
            </w:r>
          </w:p>
          <w:p w14:paraId="69812588" w14:textId="77777777" w:rsidR="00911498" w:rsidRPr="008F332A" w:rsidRDefault="00911498" w:rsidP="003A2CCC">
            <w:pPr>
              <w:spacing w:after="80"/>
              <w:jc w:val="left"/>
              <w:rPr>
                <w:rFonts w:cstheme="minorHAnsi"/>
                <w:sz w:val="20"/>
              </w:rPr>
            </w:pPr>
          </w:p>
          <w:p w14:paraId="1A89CD84" w14:textId="77777777" w:rsidR="00911498" w:rsidRPr="008F332A" w:rsidRDefault="00911498" w:rsidP="003A2CCC">
            <w:pPr>
              <w:spacing w:after="80"/>
              <w:jc w:val="left"/>
              <w:rPr>
                <w:rFonts w:cstheme="minorHAnsi"/>
                <w:sz w:val="20"/>
              </w:rPr>
            </w:pPr>
            <w:r w:rsidRPr="008F332A">
              <w:rPr>
                <w:rFonts w:cstheme="minorHAnsi"/>
                <w:sz w:val="20"/>
              </w:rPr>
              <w:t>Country Representative</w:t>
            </w:r>
          </w:p>
          <w:p w14:paraId="339E0524" w14:textId="77777777" w:rsidR="00911498" w:rsidRPr="008F332A" w:rsidRDefault="00911498" w:rsidP="003A2CCC">
            <w:pPr>
              <w:spacing w:after="80"/>
              <w:jc w:val="left"/>
              <w:rPr>
                <w:rFonts w:cstheme="minorHAnsi"/>
                <w:sz w:val="20"/>
              </w:rPr>
            </w:pPr>
          </w:p>
          <w:p w14:paraId="5037F4CB" w14:textId="77777777" w:rsidR="00911498" w:rsidRPr="008F332A" w:rsidRDefault="00911498" w:rsidP="003A2CCC">
            <w:pPr>
              <w:spacing w:after="80"/>
              <w:jc w:val="left"/>
              <w:rPr>
                <w:rFonts w:cstheme="minorHAnsi"/>
                <w:sz w:val="20"/>
              </w:rPr>
            </w:pPr>
            <w:r w:rsidRPr="008F332A">
              <w:rPr>
                <w:rFonts w:cstheme="minorHAnsi"/>
                <w:sz w:val="20"/>
              </w:rPr>
              <w:t>Nabilan Team Leader, Pillar Coordinators</w:t>
            </w:r>
          </w:p>
          <w:p w14:paraId="0DB6EADD" w14:textId="77777777" w:rsidR="00911498" w:rsidRPr="008F332A" w:rsidRDefault="00911498" w:rsidP="003A2CCC">
            <w:pPr>
              <w:spacing w:after="80"/>
              <w:jc w:val="left"/>
              <w:rPr>
                <w:rFonts w:cstheme="minorHAnsi"/>
                <w:sz w:val="20"/>
              </w:rPr>
            </w:pPr>
          </w:p>
          <w:p w14:paraId="3D5CCEF7" w14:textId="77777777" w:rsidR="00911498" w:rsidRPr="008F332A" w:rsidRDefault="00911498" w:rsidP="003A2CCC">
            <w:pPr>
              <w:spacing w:after="80"/>
              <w:jc w:val="left"/>
              <w:rPr>
                <w:rFonts w:cstheme="minorHAnsi"/>
                <w:sz w:val="20"/>
              </w:rPr>
            </w:pPr>
            <w:r w:rsidRPr="008F332A">
              <w:rPr>
                <w:rFonts w:cstheme="minorHAnsi"/>
                <w:sz w:val="20"/>
              </w:rPr>
              <w:t>Nabilan partners</w:t>
            </w:r>
          </w:p>
        </w:tc>
      </w:tr>
      <w:tr w:rsidR="00911498" w:rsidRPr="008F332A" w14:paraId="2C9822F9" w14:textId="77777777" w:rsidTr="003A2CCC">
        <w:trPr>
          <w:trHeight w:val="1432"/>
        </w:trPr>
        <w:tc>
          <w:tcPr>
            <w:tcW w:w="947" w:type="pct"/>
            <w:tcBorders>
              <w:bottom w:val="single" w:sz="4" w:space="0" w:color="auto"/>
            </w:tcBorders>
            <w:shd w:val="clear" w:color="auto" w:fill="D5DCE4" w:themeFill="text2" w:themeFillTint="33"/>
          </w:tcPr>
          <w:p w14:paraId="47F04EFA" w14:textId="77777777" w:rsidR="00911498" w:rsidRPr="008F332A" w:rsidRDefault="00911498" w:rsidP="003A2CCC">
            <w:pPr>
              <w:widowControl w:val="0"/>
              <w:autoSpaceDE w:val="0"/>
              <w:autoSpaceDN w:val="0"/>
              <w:adjustRightInd w:val="0"/>
              <w:spacing w:after="0"/>
              <w:rPr>
                <w:rFonts w:eastAsiaTheme="minorEastAsia" w:cstheme="minorHAnsi"/>
                <w:sz w:val="20"/>
              </w:rPr>
            </w:pPr>
            <w:r w:rsidRPr="008F332A">
              <w:rPr>
                <w:rFonts w:eastAsiaTheme="minorEastAsia" w:cstheme="minorHAnsi"/>
                <w:sz w:val="20"/>
              </w:rPr>
              <w:t xml:space="preserve">9. Individual leaders have a vested interest in maintaining the status quo </w:t>
            </w:r>
          </w:p>
        </w:tc>
        <w:tc>
          <w:tcPr>
            <w:tcW w:w="1122" w:type="pct"/>
            <w:tcBorders>
              <w:bottom w:val="single" w:sz="4" w:space="0" w:color="auto"/>
            </w:tcBorders>
          </w:tcPr>
          <w:p w14:paraId="6912A96E" w14:textId="77777777" w:rsidR="00911498" w:rsidRPr="008F332A" w:rsidRDefault="00911498" w:rsidP="003A2CCC">
            <w:pPr>
              <w:spacing w:after="80"/>
              <w:rPr>
                <w:rFonts w:cstheme="minorHAnsi"/>
                <w:sz w:val="20"/>
              </w:rPr>
            </w:pPr>
            <w:r w:rsidRPr="008F332A">
              <w:rPr>
                <w:rFonts w:cstheme="minorHAnsi"/>
                <w:sz w:val="20"/>
              </w:rPr>
              <w:t xml:space="preserve">Impacts on public messaging (prevention, court decisions, etc.) against VAW, resulting in a perception that it is acceptable to commit VAW. </w:t>
            </w:r>
          </w:p>
        </w:tc>
        <w:tc>
          <w:tcPr>
            <w:tcW w:w="155" w:type="pct"/>
            <w:tcBorders>
              <w:bottom w:val="single" w:sz="4" w:space="0" w:color="auto"/>
            </w:tcBorders>
            <w:vAlign w:val="center"/>
          </w:tcPr>
          <w:p w14:paraId="0BFACE49" w14:textId="77777777" w:rsidR="00911498" w:rsidRPr="008F332A" w:rsidRDefault="00911498" w:rsidP="003A2CCC">
            <w:pPr>
              <w:spacing w:after="80"/>
              <w:rPr>
                <w:rFonts w:cstheme="minorHAnsi"/>
                <w:sz w:val="20"/>
              </w:rPr>
            </w:pPr>
            <w:r w:rsidRPr="008F332A">
              <w:rPr>
                <w:rFonts w:cstheme="minorHAnsi"/>
                <w:sz w:val="20"/>
              </w:rPr>
              <w:t>2</w:t>
            </w:r>
          </w:p>
        </w:tc>
        <w:tc>
          <w:tcPr>
            <w:tcW w:w="155" w:type="pct"/>
            <w:tcBorders>
              <w:bottom w:val="single" w:sz="4" w:space="0" w:color="auto"/>
            </w:tcBorders>
            <w:vAlign w:val="center"/>
          </w:tcPr>
          <w:p w14:paraId="2FC87A85" w14:textId="77777777" w:rsidR="00911498" w:rsidRPr="008F332A" w:rsidRDefault="00911498" w:rsidP="003A2CCC">
            <w:pPr>
              <w:spacing w:after="80"/>
              <w:rPr>
                <w:rFonts w:cstheme="minorHAnsi"/>
                <w:sz w:val="20"/>
              </w:rPr>
            </w:pPr>
            <w:r w:rsidRPr="008F332A">
              <w:rPr>
                <w:rFonts w:cstheme="minorHAnsi"/>
                <w:sz w:val="20"/>
              </w:rPr>
              <w:t>3</w:t>
            </w:r>
          </w:p>
        </w:tc>
        <w:tc>
          <w:tcPr>
            <w:tcW w:w="155" w:type="pct"/>
            <w:tcBorders>
              <w:bottom w:val="single" w:sz="4" w:space="0" w:color="auto"/>
            </w:tcBorders>
            <w:vAlign w:val="center"/>
          </w:tcPr>
          <w:p w14:paraId="39111C67" w14:textId="77777777" w:rsidR="00911498" w:rsidRPr="008F332A" w:rsidRDefault="00911498" w:rsidP="003A2CCC">
            <w:pPr>
              <w:spacing w:after="80"/>
              <w:rPr>
                <w:rFonts w:cstheme="minorHAnsi"/>
                <w:sz w:val="20"/>
              </w:rPr>
            </w:pPr>
            <w:r w:rsidRPr="008F332A">
              <w:rPr>
                <w:rFonts w:cstheme="minorHAnsi"/>
                <w:sz w:val="20"/>
              </w:rPr>
              <w:t>M</w:t>
            </w:r>
          </w:p>
        </w:tc>
        <w:tc>
          <w:tcPr>
            <w:tcW w:w="1888" w:type="pct"/>
            <w:tcBorders>
              <w:bottom w:val="single" w:sz="4" w:space="0" w:color="auto"/>
            </w:tcBorders>
          </w:tcPr>
          <w:p w14:paraId="607B7E52" w14:textId="77777777" w:rsidR="00911498" w:rsidRPr="008F332A" w:rsidRDefault="00911498" w:rsidP="003A2CCC">
            <w:pPr>
              <w:widowControl w:val="0"/>
              <w:autoSpaceDE w:val="0"/>
              <w:autoSpaceDN w:val="0"/>
              <w:adjustRightInd w:val="0"/>
              <w:spacing w:after="0"/>
              <w:rPr>
                <w:rFonts w:eastAsiaTheme="minorEastAsia" w:cstheme="minorHAnsi"/>
                <w:sz w:val="20"/>
              </w:rPr>
            </w:pPr>
            <w:r w:rsidRPr="008F332A">
              <w:rPr>
                <w:rFonts w:eastAsiaTheme="minorEastAsia" w:cstheme="minorHAnsi"/>
                <w:sz w:val="20"/>
              </w:rPr>
              <w:t xml:space="preserve">Nabilan counters this risk by identifying and working with leaders and organisations for change who have positive messages about gender equality and are committed to ending VAW. The program also supports an independent local feminist movement to publicly advocate for transformative and positive messaging on gender equality and violence prevention. </w:t>
            </w:r>
          </w:p>
        </w:tc>
        <w:tc>
          <w:tcPr>
            <w:tcW w:w="578" w:type="pct"/>
            <w:tcBorders>
              <w:bottom w:val="single" w:sz="4" w:space="0" w:color="auto"/>
            </w:tcBorders>
            <w:vAlign w:val="center"/>
          </w:tcPr>
          <w:p w14:paraId="7CAA06FF" w14:textId="77777777" w:rsidR="00911498" w:rsidRPr="008F332A" w:rsidRDefault="00911498" w:rsidP="003A2CCC">
            <w:pPr>
              <w:spacing w:after="80"/>
              <w:jc w:val="left"/>
              <w:rPr>
                <w:rFonts w:cstheme="minorHAnsi"/>
                <w:sz w:val="20"/>
              </w:rPr>
            </w:pPr>
          </w:p>
          <w:p w14:paraId="21DB6477" w14:textId="77777777" w:rsidR="00911498" w:rsidRPr="008F332A" w:rsidRDefault="00911498" w:rsidP="003A2CCC">
            <w:pPr>
              <w:spacing w:after="80"/>
              <w:jc w:val="left"/>
              <w:rPr>
                <w:rFonts w:cstheme="minorHAnsi"/>
                <w:sz w:val="20"/>
              </w:rPr>
            </w:pPr>
            <w:r w:rsidRPr="008F332A">
              <w:rPr>
                <w:rFonts w:cstheme="minorHAnsi"/>
                <w:sz w:val="20"/>
              </w:rPr>
              <w:t>Nabilan Team Leader</w:t>
            </w:r>
          </w:p>
          <w:p w14:paraId="78A9FE92" w14:textId="77777777" w:rsidR="00911498" w:rsidRPr="008F332A" w:rsidRDefault="00911498" w:rsidP="003A2CCC">
            <w:pPr>
              <w:spacing w:after="80"/>
              <w:jc w:val="left"/>
              <w:rPr>
                <w:rFonts w:cstheme="minorHAnsi"/>
                <w:sz w:val="20"/>
              </w:rPr>
            </w:pPr>
            <w:r w:rsidRPr="008F332A">
              <w:rPr>
                <w:rFonts w:cstheme="minorHAnsi"/>
                <w:sz w:val="20"/>
              </w:rPr>
              <w:t>Pillar Coordinators</w:t>
            </w:r>
          </w:p>
        </w:tc>
      </w:tr>
      <w:tr w:rsidR="00911498" w:rsidRPr="008F332A" w14:paraId="347F1AB4" w14:textId="77777777" w:rsidTr="003A2CCC">
        <w:trPr>
          <w:trHeight w:val="1432"/>
        </w:trPr>
        <w:tc>
          <w:tcPr>
            <w:tcW w:w="947" w:type="pct"/>
            <w:tcBorders>
              <w:bottom w:val="single" w:sz="4" w:space="0" w:color="auto"/>
            </w:tcBorders>
            <w:shd w:val="clear" w:color="auto" w:fill="D5DCE4" w:themeFill="text2" w:themeFillTint="33"/>
          </w:tcPr>
          <w:p w14:paraId="63826EB7" w14:textId="77777777" w:rsidR="00911498" w:rsidRPr="008F332A" w:rsidRDefault="00911498" w:rsidP="003A2CCC">
            <w:pPr>
              <w:widowControl w:val="0"/>
              <w:autoSpaceDE w:val="0"/>
              <w:autoSpaceDN w:val="0"/>
              <w:adjustRightInd w:val="0"/>
              <w:spacing w:after="0"/>
              <w:rPr>
                <w:rFonts w:eastAsiaTheme="minorEastAsia" w:cstheme="minorHAnsi"/>
                <w:sz w:val="20"/>
              </w:rPr>
            </w:pPr>
            <w:r w:rsidRPr="008F332A">
              <w:rPr>
                <w:rFonts w:eastAsiaTheme="minorEastAsia" w:cstheme="minorHAnsi"/>
                <w:sz w:val="20"/>
              </w:rPr>
              <w:t>10. Referral network not functioning</w:t>
            </w:r>
          </w:p>
        </w:tc>
        <w:tc>
          <w:tcPr>
            <w:tcW w:w="1122" w:type="pct"/>
            <w:tcBorders>
              <w:bottom w:val="single" w:sz="4" w:space="0" w:color="auto"/>
            </w:tcBorders>
          </w:tcPr>
          <w:p w14:paraId="1DDE4E88" w14:textId="77777777" w:rsidR="00911498" w:rsidRPr="008F332A" w:rsidRDefault="00911498" w:rsidP="003A2CCC">
            <w:pPr>
              <w:spacing w:after="80"/>
              <w:rPr>
                <w:rFonts w:cstheme="minorHAnsi"/>
                <w:sz w:val="20"/>
              </w:rPr>
            </w:pPr>
            <w:r w:rsidRPr="008F332A">
              <w:rPr>
                <w:rFonts w:cstheme="minorHAnsi"/>
                <w:sz w:val="20"/>
              </w:rPr>
              <w:t>Women and children victims of violence are not provided with a full suite of essential services.</w:t>
            </w:r>
          </w:p>
        </w:tc>
        <w:tc>
          <w:tcPr>
            <w:tcW w:w="155" w:type="pct"/>
            <w:tcBorders>
              <w:bottom w:val="single" w:sz="4" w:space="0" w:color="auto"/>
            </w:tcBorders>
            <w:vAlign w:val="center"/>
          </w:tcPr>
          <w:p w14:paraId="74776808" w14:textId="77777777" w:rsidR="00911498" w:rsidRPr="008F332A" w:rsidRDefault="00911498" w:rsidP="003A2CCC">
            <w:pPr>
              <w:spacing w:after="80"/>
              <w:rPr>
                <w:rFonts w:cstheme="minorHAnsi"/>
                <w:sz w:val="20"/>
              </w:rPr>
            </w:pPr>
            <w:r w:rsidRPr="008F332A">
              <w:rPr>
                <w:rFonts w:cstheme="minorHAnsi"/>
                <w:sz w:val="20"/>
              </w:rPr>
              <w:t>2</w:t>
            </w:r>
          </w:p>
        </w:tc>
        <w:tc>
          <w:tcPr>
            <w:tcW w:w="155" w:type="pct"/>
            <w:tcBorders>
              <w:bottom w:val="single" w:sz="4" w:space="0" w:color="auto"/>
            </w:tcBorders>
            <w:vAlign w:val="center"/>
          </w:tcPr>
          <w:p w14:paraId="23DEF6B1" w14:textId="77777777" w:rsidR="00911498" w:rsidRPr="008F332A" w:rsidRDefault="00911498" w:rsidP="003A2CCC">
            <w:pPr>
              <w:spacing w:after="80"/>
              <w:rPr>
                <w:rFonts w:cstheme="minorHAnsi"/>
                <w:sz w:val="20"/>
              </w:rPr>
            </w:pPr>
            <w:r w:rsidRPr="008F332A">
              <w:rPr>
                <w:rFonts w:cstheme="minorHAnsi"/>
                <w:sz w:val="20"/>
              </w:rPr>
              <w:t>3</w:t>
            </w:r>
          </w:p>
        </w:tc>
        <w:tc>
          <w:tcPr>
            <w:tcW w:w="155" w:type="pct"/>
            <w:tcBorders>
              <w:bottom w:val="single" w:sz="4" w:space="0" w:color="auto"/>
            </w:tcBorders>
            <w:vAlign w:val="center"/>
          </w:tcPr>
          <w:p w14:paraId="3BAA9A79" w14:textId="77777777" w:rsidR="00911498" w:rsidRPr="008F332A" w:rsidRDefault="00911498" w:rsidP="003A2CCC">
            <w:pPr>
              <w:spacing w:after="80"/>
              <w:rPr>
                <w:rFonts w:cstheme="minorHAnsi"/>
                <w:sz w:val="20"/>
              </w:rPr>
            </w:pPr>
            <w:r w:rsidRPr="008F332A">
              <w:rPr>
                <w:rFonts w:cstheme="minorHAnsi"/>
                <w:sz w:val="20"/>
              </w:rPr>
              <w:t>M</w:t>
            </w:r>
          </w:p>
        </w:tc>
        <w:tc>
          <w:tcPr>
            <w:tcW w:w="1888" w:type="pct"/>
            <w:tcBorders>
              <w:bottom w:val="single" w:sz="4" w:space="0" w:color="auto"/>
            </w:tcBorders>
          </w:tcPr>
          <w:p w14:paraId="1AF4FA50" w14:textId="77777777" w:rsidR="00911498" w:rsidRPr="008F332A" w:rsidRDefault="00911498" w:rsidP="003A2CCC">
            <w:pPr>
              <w:widowControl w:val="0"/>
              <w:autoSpaceDE w:val="0"/>
              <w:autoSpaceDN w:val="0"/>
              <w:adjustRightInd w:val="0"/>
              <w:spacing w:after="0"/>
              <w:rPr>
                <w:rFonts w:eastAsiaTheme="minorEastAsia" w:cstheme="minorHAnsi"/>
                <w:sz w:val="20"/>
              </w:rPr>
            </w:pPr>
            <w:r w:rsidRPr="008F332A">
              <w:rPr>
                <w:rFonts w:eastAsiaTheme="minorEastAsia" w:cstheme="minorHAnsi"/>
                <w:sz w:val="20"/>
              </w:rPr>
              <w:t>Nabilan and CSO Partners can seek to strengthen alternative entry points.</w:t>
            </w:r>
          </w:p>
          <w:p w14:paraId="4333872F" w14:textId="77777777" w:rsidR="00911498" w:rsidRPr="008F332A" w:rsidRDefault="00911498" w:rsidP="003A2CCC">
            <w:pPr>
              <w:widowControl w:val="0"/>
              <w:autoSpaceDE w:val="0"/>
              <w:autoSpaceDN w:val="0"/>
              <w:adjustRightInd w:val="0"/>
              <w:spacing w:after="0"/>
              <w:rPr>
                <w:rFonts w:eastAsiaTheme="minorEastAsia" w:cstheme="minorHAnsi"/>
                <w:sz w:val="20"/>
              </w:rPr>
            </w:pPr>
          </w:p>
          <w:p w14:paraId="2AD5F1CA" w14:textId="77777777" w:rsidR="00911498" w:rsidRPr="008F332A" w:rsidRDefault="00911498" w:rsidP="003A2CCC">
            <w:pPr>
              <w:widowControl w:val="0"/>
              <w:autoSpaceDE w:val="0"/>
              <w:autoSpaceDN w:val="0"/>
              <w:adjustRightInd w:val="0"/>
              <w:spacing w:after="0"/>
              <w:rPr>
                <w:rFonts w:eastAsiaTheme="minorEastAsia" w:cstheme="minorHAnsi"/>
                <w:sz w:val="20"/>
              </w:rPr>
            </w:pPr>
            <w:r w:rsidRPr="008F332A">
              <w:rPr>
                <w:rFonts w:eastAsiaTheme="minorEastAsia" w:cstheme="minorHAnsi"/>
                <w:sz w:val="20"/>
              </w:rPr>
              <w:t>Advocacy with GoTL</w:t>
            </w:r>
          </w:p>
        </w:tc>
        <w:tc>
          <w:tcPr>
            <w:tcW w:w="578" w:type="pct"/>
            <w:tcBorders>
              <w:bottom w:val="single" w:sz="4" w:space="0" w:color="auto"/>
            </w:tcBorders>
            <w:vAlign w:val="center"/>
          </w:tcPr>
          <w:p w14:paraId="6CA99272" w14:textId="77777777" w:rsidR="00911498" w:rsidRPr="008F332A" w:rsidRDefault="00911498" w:rsidP="003A2CCC">
            <w:pPr>
              <w:spacing w:after="80"/>
              <w:jc w:val="left"/>
              <w:rPr>
                <w:rFonts w:cstheme="minorHAnsi"/>
                <w:sz w:val="20"/>
              </w:rPr>
            </w:pPr>
            <w:r w:rsidRPr="008F332A">
              <w:rPr>
                <w:rFonts w:cstheme="minorHAnsi"/>
                <w:sz w:val="20"/>
              </w:rPr>
              <w:t>Nabilan Team Leader, Pillar Coordinators</w:t>
            </w:r>
          </w:p>
          <w:p w14:paraId="406404DE" w14:textId="77777777" w:rsidR="00911498" w:rsidRPr="008F332A" w:rsidRDefault="00911498" w:rsidP="003A2CCC">
            <w:pPr>
              <w:spacing w:after="80"/>
              <w:jc w:val="left"/>
              <w:rPr>
                <w:rFonts w:cstheme="minorHAnsi"/>
                <w:sz w:val="20"/>
              </w:rPr>
            </w:pPr>
            <w:r w:rsidRPr="008F332A">
              <w:rPr>
                <w:rFonts w:cstheme="minorHAnsi"/>
                <w:sz w:val="20"/>
              </w:rPr>
              <w:t>Nabilan partners</w:t>
            </w:r>
          </w:p>
          <w:p w14:paraId="581B9063" w14:textId="77777777" w:rsidR="00911498" w:rsidRPr="008F332A" w:rsidRDefault="00911498" w:rsidP="003A2CCC">
            <w:pPr>
              <w:spacing w:after="80"/>
              <w:jc w:val="left"/>
              <w:rPr>
                <w:rFonts w:cstheme="minorHAnsi"/>
                <w:sz w:val="20"/>
              </w:rPr>
            </w:pPr>
          </w:p>
        </w:tc>
      </w:tr>
      <w:tr w:rsidR="00911498" w:rsidRPr="008F332A" w14:paraId="55D6FA5D" w14:textId="77777777" w:rsidTr="003A2CCC">
        <w:trPr>
          <w:trHeight w:val="395"/>
        </w:trPr>
        <w:tc>
          <w:tcPr>
            <w:tcW w:w="5000" w:type="pct"/>
            <w:gridSpan w:val="7"/>
            <w:shd w:val="clear" w:color="auto" w:fill="D5DCE4" w:themeFill="text2" w:themeFillTint="33"/>
          </w:tcPr>
          <w:p w14:paraId="0B304515" w14:textId="77777777" w:rsidR="00911498" w:rsidRPr="008F332A" w:rsidRDefault="00911498" w:rsidP="003A2CCC">
            <w:pPr>
              <w:widowControl w:val="0"/>
              <w:autoSpaceDE w:val="0"/>
              <w:autoSpaceDN w:val="0"/>
              <w:adjustRightInd w:val="0"/>
              <w:spacing w:after="0"/>
              <w:jc w:val="left"/>
              <w:rPr>
                <w:rFonts w:cstheme="minorHAnsi"/>
                <w:sz w:val="20"/>
              </w:rPr>
            </w:pPr>
            <w:r w:rsidRPr="008F332A">
              <w:rPr>
                <w:rFonts w:eastAsiaTheme="minorEastAsia" w:cstheme="minorHAnsi"/>
                <w:sz w:val="20"/>
              </w:rPr>
              <w:t>Programmatic Risks</w:t>
            </w:r>
          </w:p>
        </w:tc>
      </w:tr>
      <w:tr w:rsidR="00911498" w:rsidRPr="008F332A" w14:paraId="0EDC9D0A" w14:textId="77777777" w:rsidTr="003A2CCC">
        <w:trPr>
          <w:trHeight w:val="307"/>
        </w:trPr>
        <w:tc>
          <w:tcPr>
            <w:tcW w:w="947" w:type="pct"/>
            <w:shd w:val="clear" w:color="auto" w:fill="D5DCE4" w:themeFill="text2" w:themeFillTint="33"/>
          </w:tcPr>
          <w:p w14:paraId="334FA36B" w14:textId="77777777" w:rsidR="00911498" w:rsidRPr="008F332A" w:rsidRDefault="00911498" w:rsidP="003A2CCC">
            <w:pPr>
              <w:widowControl w:val="0"/>
              <w:autoSpaceDE w:val="0"/>
              <w:autoSpaceDN w:val="0"/>
              <w:adjustRightInd w:val="0"/>
              <w:spacing w:after="0"/>
              <w:rPr>
                <w:rFonts w:eastAsiaTheme="minorEastAsia" w:cstheme="minorHAnsi"/>
                <w:sz w:val="20"/>
              </w:rPr>
            </w:pPr>
            <w:r w:rsidRPr="008F332A">
              <w:rPr>
                <w:rFonts w:eastAsiaTheme="minorEastAsia" w:cstheme="minorHAnsi"/>
                <w:sz w:val="20"/>
              </w:rPr>
              <w:t xml:space="preserve"> 1. Slowness in forming the new GoTL, coupled with lack of clarity regarding the positions, program, and stability of the minority GoTL mean reduced opportunity for consultation on Phase 2 of program. </w:t>
            </w:r>
          </w:p>
        </w:tc>
        <w:tc>
          <w:tcPr>
            <w:tcW w:w="1122" w:type="pct"/>
          </w:tcPr>
          <w:p w14:paraId="113D0D5A" w14:textId="77777777" w:rsidR="00911498" w:rsidRPr="008F332A" w:rsidRDefault="00911498" w:rsidP="003A2CCC">
            <w:pPr>
              <w:widowControl w:val="0"/>
              <w:autoSpaceDE w:val="0"/>
              <w:autoSpaceDN w:val="0"/>
              <w:adjustRightInd w:val="0"/>
              <w:spacing w:after="0"/>
              <w:rPr>
                <w:rFonts w:cstheme="minorHAnsi"/>
                <w:sz w:val="20"/>
              </w:rPr>
            </w:pPr>
            <w:r w:rsidRPr="008F332A">
              <w:rPr>
                <w:rFonts w:eastAsiaTheme="minorEastAsia" w:cstheme="minorHAnsi"/>
                <w:sz w:val="20"/>
              </w:rPr>
              <w:t>May result in lack of buy-in to Program by GoTL</w:t>
            </w:r>
          </w:p>
        </w:tc>
        <w:tc>
          <w:tcPr>
            <w:tcW w:w="155" w:type="pct"/>
            <w:vAlign w:val="center"/>
          </w:tcPr>
          <w:p w14:paraId="6E35E220" w14:textId="77777777" w:rsidR="00911498" w:rsidRPr="008F332A" w:rsidRDefault="00911498" w:rsidP="003A2CCC">
            <w:pPr>
              <w:spacing w:after="80"/>
              <w:rPr>
                <w:rFonts w:cstheme="minorHAnsi"/>
                <w:sz w:val="20"/>
              </w:rPr>
            </w:pPr>
            <w:r w:rsidRPr="008F332A">
              <w:rPr>
                <w:rFonts w:cstheme="minorHAnsi"/>
                <w:sz w:val="20"/>
              </w:rPr>
              <w:t>3</w:t>
            </w:r>
          </w:p>
        </w:tc>
        <w:tc>
          <w:tcPr>
            <w:tcW w:w="155" w:type="pct"/>
            <w:vAlign w:val="center"/>
          </w:tcPr>
          <w:p w14:paraId="2430DAD1" w14:textId="77777777" w:rsidR="00911498" w:rsidRPr="008F332A" w:rsidRDefault="00911498" w:rsidP="003A2CCC">
            <w:pPr>
              <w:spacing w:after="80"/>
              <w:rPr>
                <w:rFonts w:cstheme="minorHAnsi"/>
                <w:sz w:val="20"/>
              </w:rPr>
            </w:pPr>
            <w:r w:rsidRPr="008F332A">
              <w:rPr>
                <w:rFonts w:cstheme="minorHAnsi"/>
                <w:sz w:val="20"/>
              </w:rPr>
              <w:t>3</w:t>
            </w:r>
          </w:p>
        </w:tc>
        <w:tc>
          <w:tcPr>
            <w:tcW w:w="155" w:type="pct"/>
            <w:vAlign w:val="center"/>
          </w:tcPr>
          <w:p w14:paraId="01473AB4" w14:textId="77777777" w:rsidR="00911498" w:rsidRPr="008F332A" w:rsidRDefault="00911498" w:rsidP="003A2CCC">
            <w:pPr>
              <w:spacing w:after="80"/>
              <w:rPr>
                <w:rFonts w:cstheme="minorHAnsi"/>
                <w:sz w:val="20"/>
              </w:rPr>
            </w:pPr>
            <w:r w:rsidRPr="008F332A">
              <w:rPr>
                <w:rFonts w:cstheme="minorHAnsi"/>
                <w:sz w:val="20"/>
              </w:rPr>
              <w:t>M</w:t>
            </w:r>
          </w:p>
        </w:tc>
        <w:tc>
          <w:tcPr>
            <w:tcW w:w="1888" w:type="pct"/>
          </w:tcPr>
          <w:p w14:paraId="24A3B667" w14:textId="77777777" w:rsidR="00911498" w:rsidRPr="008F332A" w:rsidRDefault="00911498" w:rsidP="003A2CCC">
            <w:pPr>
              <w:widowControl w:val="0"/>
              <w:autoSpaceDE w:val="0"/>
              <w:autoSpaceDN w:val="0"/>
              <w:adjustRightInd w:val="0"/>
              <w:spacing w:after="0"/>
              <w:rPr>
                <w:rFonts w:eastAsiaTheme="minorEastAsia" w:cstheme="minorHAnsi"/>
                <w:sz w:val="20"/>
              </w:rPr>
            </w:pPr>
            <w:r w:rsidRPr="008F332A">
              <w:rPr>
                <w:rFonts w:eastAsiaTheme="minorEastAsia" w:cstheme="minorHAnsi"/>
                <w:sz w:val="20"/>
              </w:rPr>
              <w:t>Nabilan will maintain contact with the new GoTL as its structure and approach become more apparent in order to ensure maximum consultation opportunities.</w:t>
            </w:r>
          </w:p>
        </w:tc>
        <w:tc>
          <w:tcPr>
            <w:tcW w:w="578" w:type="pct"/>
            <w:vAlign w:val="center"/>
          </w:tcPr>
          <w:p w14:paraId="37994AF0" w14:textId="77777777" w:rsidR="00911498" w:rsidRPr="008F332A" w:rsidRDefault="00911498" w:rsidP="003A2CCC">
            <w:pPr>
              <w:spacing w:after="80"/>
              <w:jc w:val="left"/>
              <w:rPr>
                <w:rFonts w:cstheme="minorHAnsi"/>
                <w:sz w:val="20"/>
              </w:rPr>
            </w:pPr>
          </w:p>
        </w:tc>
      </w:tr>
      <w:tr w:rsidR="00911498" w:rsidRPr="008F332A" w14:paraId="34B8013E" w14:textId="77777777" w:rsidTr="003A2CCC">
        <w:trPr>
          <w:trHeight w:val="307"/>
        </w:trPr>
        <w:tc>
          <w:tcPr>
            <w:tcW w:w="947" w:type="pct"/>
            <w:shd w:val="clear" w:color="auto" w:fill="D5DCE4" w:themeFill="text2" w:themeFillTint="33"/>
          </w:tcPr>
          <w:p w14:paraId="40813B23" w14:textId="77777777" w:rsidR="00911498" w:rsidRPr="008F332A" w:rsidRDefault="00911498" w:rsidP="003A2CCC">
            <w:pPr>
              <w:widowControl w:val="0"/>
              <w:autoSpaceDE w:val="0"/>
              <w:autoSpaceDN w:val="0"/>
              <w:adjustRightInd w:val="0"/>
              <w:spacing w:after="0"/>
              <w:rPr>
                <w:rFonts w:eastAsiaTheme="minorEastAsia" w:cstheme="minorHAnsi"/>
                <w:sz w:val="20"/>
              </w:rPr>
            </w:pPr>
            <w:r w:rsidRPr="008F332A">
              <w:rPr>
                <w:rFonts w:eastAsiaTheme="minorEastAsia" w:cstheme="minorHAnsi"/>
                <w:sz w:val="20"/>
              </w:rPr>
              <w:t>2. Limited ownership from MSS and SEM in the program. Limited coordination among the two agencies on ending violence against women and greater focus on other priorities</w:t>
            </w:r>
          </w:p>
        </w:tc>
        <w:tc>
          <w:tcPr>
            <w:tcW w:w="1122" w:type="pct"/>
          </w:tcPr>
          <w:p w14:paraId="38C67187" w14:textId="77777777" w:rsidR="00911498" w:rsidRPr="008F332A" w:rsidRDefault="00911498" w:rsidP="003A2CCC">
            <w:pPr>
              <w:widowControl w:val="0"/>
              <w:autoSpaceDE w:val="0"/>
              <w:autoSpaceDN w:val="0"/>
              <w:adjustRightInd w:val="0"/>
              <w:spacing w:after="0"/>
              <w:rPr>
                <w:rFonts w:cstheme="minorHAnsi"/>
                <w:sz w:val="20"/>
              </w:rPr>
            </w:pPr>
            <w:r w:rsidRPr="008F332A">
              <w:rPr>
                <w:rFonts w:cstheme="minorHAnsi"/>
                <w:sz w:val="20"/>
              </w:rPr>
              <w:t xml:space="preserve">Impacts on the achievement of key outcomes if resources must address a wide range of needs. </w:t>
            </w:r>
          </w:p>
          <w:p w14:paraId="2FFE0A48" w14:textId="77777777" w:rsidR="00911498" w:rsidRPr="008F332A" w:rsidRDefault="00911498" w:rsidP="003A2CCC">
            <w:pPr>
              <w:widowControl w:val="0"/>
              <w:autoSpaceDE w:val="0"/>
              <w:autoSpaceDN w:val="0"/>
              <w:adjustRightInd w:val="0"/>
              <w:spacing w:after="0"/>
              <w:rPr>
                <w:rFonts w:cstheme="minorHAnsi"/>
                <w:sz w:val="20"/>
              </w:rPr>
            </w:pPr>
            <w:r w:rsidRPr="008F332A">
              <w:rPr>
                <w:rFonts w:cstheme="minorHAnsi"/>
                <w:sz w:val="20"/>
              </w:rPr>
              <w:t>Poor ownership, coordination and commitment, impacts on the sustainability of the program outcomes.</w:t>
            </w:r>
          </w:p>
          <w:p w14:paraId="3FDD3583" w14:textId="77777777" w:rsidR="00911498" w:rsidRPr="008F332A" w:rsidRDefault="00911498" w:rsidP="003A2CCC">
            <w:pPr>
              <w:widowControl w:val="0"/>
              <w:autoSpaceDE w:val="0"/>
              <w:autoSpaceDN w:val="0"/>
              <w:adjustRightInd w:val="0"/>
              <w:spacing w:after="0"/>
              <w:rPr>
                <w:rFonts w:cstheme="minorHAnsi"/>
                <w:sz w:val="20"/>
              </w:rPr>
            </w:pPr>
            <w:r w:rsidRPr="008F332A">
              <w:rPr>
                <w:rFonts w:cstheme="minorHAnsi"/>
                <w:sz w:val="20"/>
              </w:rPr>
              <w:t xml:space="preserve">Risks to welfare of vulnerable women and children. </w:t>
            </w:r>
          </w:p>
        </w:tc>
        <w:tc>
          <w:tcPr>
            <w:tcW w:w="155" w:type="pct"/>
            <w:vAlign w:val="center"/>
          </w:tcPr>
          <w:p w14:paraId="245AB5C3" w14:textId="77777777" w:rsidR="00911498" w:rsidRPr="008F332A" w:rsidRDefault="00911498" w:rsidP="003A2CCC">
            <w:pPr>
              <w:spacing w:after="80"/>
              <w:rPr>
                <w:rFonts w:cstheme="minorHAnsi"/>
                <w:sz w:val="20"/>
              </w:rPr>
            </w:pPr>
            <w:r w:rsidRPr="008F332A">
              <w:rPr>
                <w:rFonts w:cstheme="minorHAnsi"/>
                <w:sz w:val="20"/>
              </w:rPr>
              <w:t>4</w:t>
            </w:r>
          </w:p>
        </w:tc>
        <w:tc>
          <w:tcPr>
            <w:tcW w:w="155" w:type="pct"/>
            <w:vAlign w:val="center"/>
          </w:tcPr>
          <w:p w14:paraId="46FBC525" w14:textId="77777777" w:rsidR="00911498" w:rsidRPr="008F332A" w:rsidRDefault="00911498" w:rsidP="003A2CCC">
            <w:pPr>
              <w:spacing w:after="80"/>
              <w:rPr>
                <w:rFonts w:cstheme="minorHAnsi"/>
                <w:sz w:val="20"/>
              </w:rPr>
            </w:pPr>
            <w:r w:rsidRPr="008F332A">
              <w:rPr>
                <w:rFonts w:cstheme="minorHAnsi"/>
                <w:sz w:val="20"/>
              </w:rPr>
              <w:t>4</w:t>
            </w:r>
          </w:p>
        </w:tc>
        <w:tc>
          <w:tcPr>
            <w:tcW w:w="155" w:type="pct"/>
            <w:vAlign w:val="center"/>
          </w:tcPr>
          <w:p w14:paraId="43C6E4F9" w14:textId="77777777" w:rsidR="00911498" w:rsidRPr="008F332A" w:rsidRDefault="00911498" w:rsidP="003A2CCC">
            <w:pPr>
              <w:spacing w:after="80"/>
              <w:rPr>
                <w:rFonts w:cstheme="minorHAnsi"/>
                <w:sz w:val="20"/>
              </w:rPr>
            </w:pPr>
            <w:r w:rsidRPr="008F332A">
              <w:rPr>
                <w:rFonts w:cstheme="minorHAnsi"/>
                <w:sz w:val="20"/>
              </w:rPr>
              <w:t>H</w:t>
            </w:r>
          </w:p>
        </w:tc>
        <w:tc>
          <w:tcPr>
            <w:tcW w:w="1888" w:type="pct"/>
          </w:tcPr>
          <w:p w14:paraId="404AF7B4" w14:textId="1D511089" w:rsidR="00911498" w:rsidRPr="008F332A" w:rsidRDefault="00911498" w:rsidP="00AE485F">
            <w:pPr>
              <w:widowControl w:val="0"/>
              <w:autoSpaceDE w:val="0"/>
              <w:autoSpaceDN w:val="0"/>
              <w:adjustRightInd w:val="0"/>
              <w:spacing w:after="0"/>
              <w:rPr>
                <w:rFonts w:cstheme="minorHAnsi"/>
                <w:sz w:val="20"/>
              </w:rPr>
            </w:pPr>
            <w:r w:rsidRPr="008F332A">
              <w:rPr>
                <w:rFonts w:eastAsiaTheme="minorEastAsia" w:cstheme="minorHAnsi"/>
                <w:sz w:val="20"/>
              </w:rPr>
              <w:t>The Foundation engages regularly with MSS</w:t>
            </w:r>
            <w:r w:rsidR="00AE485F">
              <w:rPr>
                <w:rFonts w:eastAsiaTheme="minorEastAsia" w:cstheme="minorHAnsi"/>
                <w:sz w:val="20"/>
              </w:rPr>
              <w:t>I</w:t>
            </w:r>
            <w:r w:rsidRPr="008F332A">
              <w:rPr>
                <w:rFonts w:eastAsiaTheme="minorEastAsia" w:cstheme="minorHAnsi"/>
                <w:sz w:val="20"/>
              </w:rPr>
              <w:t xml:space="preserve"> and SE</w:t>
            </w:r>
            <w:r w:rsidR="00AE485F">
              <w:rPr>
                <w:rFonts w:eastAsiaTheme="minorEastAsia" w:cstheme="minorHAnsi"/>
                <w:sz w:val="20"/>
              </w:rPr>
              <w:t>II</w:t>
            </w:r>
            <w:r w:rsidRPr="008F332A">
              <w:rPr>
                <w:rFonts w:eastAsiaTheme="minorEastAsia" w:cstheme="minorHAnsi"/>
                <w:sz w:val="20"/>
              </w:rPr>
              <w:t xml:space="preserve"> to discuss the program focus and outcomes and agreed work plan, and to ensure research and related evidence is accessible and relevant. Nabilan links evidence to the program direction as one of many ways to ensure the work is relevant in the eyes of government stakeholders. Nabilan regularly reports to the Program Planning &amp; Review Forum (PPRF) to strengthen government ownership and coordination of program activities. Based on historical experience this risk remains at High, but will be reviewed if circumstances change with the new GoTL. </w:t>
            </w:r>
          </w:p>
        </w:tc>
        <w:tc>
          <w:tcPr>
            <w:tcW w:w="578" w:type="pct"/>
            <w:vAlign w:val="center"/>
          </w:tcPr>
          <w:p w14:paraId="170D86AA" w14:textId="77777777" w:rsidR="00911498" w:rsidRPr="008F332A" w:rsidRDefault="00911498" w:rsidP="003A2CCC">
            <w:pPr>
              <w:spacing w:after="80"/>
              <w:jc w:val="left"/>
              <w:rPr>
                <w:rFonts w:cstheme="minorHAnsi"/>
                <w:sz w:val="20"/>
              </w:rPr>
            </w:pPr>
            <w:r w:rsidRPr="008F332A">
              <w:rPr>
                <w:rFonts w:cstheme="minorHAnsi"/>
                <w:sz w:val="20"/>
              </w:rPr>
              <w:t>Australian Embassy</w:t>
            </w:r>
          </w:p>
          <w:p w14:paraId="7CF3EC2A" w14:textId="77777777" w:rsidR="00911498" w:rsidRPr="008F332A" w:rsidRDefault="00911498" w:rsidP="003A2CCC">
            <w:pPr>
              <w:spacing w:after="80"/>
              <w:jc w:val="left"/>
              <w:rPr>
                <w:rFonts w:cstheme="minorHAnsi"/>
                <w:sz w:val="20"/>
              </w:rPr>
            </w:pPr>
            <w:r w:rsidRPr="008F332A">
              <w:rPr>
                <w:rFonts w:cstheme="minorHAnsi"/>
                <w:sz w:val="20"/>
              </w:rPr>
              <w:t xml:space="preserve">Nabilan Team Leader </w:t>
            </w:r>
          </w:p>
        </w:tc>
      </w:tr>
      <w:tr w:rsidR="00911498" w:rsidRPr="008F332A" w14:paraId="4D639E8F" w14:textId="77777777" w:rsidTr="003A2CCC">
        <w:trPr>
          <w:trHeight w:val="60"/>
        </w:trPr>
        <w:tc>
          <w:tcPr>
            <w:tcW w:w="947" w:type="pct"/>
            <w:shd w:val="clear" w:color="auto" w:fill="D5DCE4" w:themeFill="text2" w:themeFillTint="33"/>
          </w:tcPr>
          <w:p w14:paraId="12147647" w14:textId="77777777" w:rsidR="00911498" w:rsidRPr="008F332A" w:rsidRDefault="00911498" w:rsidP="003A2CCC">
            <w:pPr>
              <w:widowControl w:val="0"/>
              <w:autoSpaceDE w:val="0"/>
              <w:autoSpaceDN w:val="0"/>
              <w:adjustRightInd w:val="0"/>
              <w:spacing w:after="0"/>
              <w:rPr>
                <w:rFonts w:eastAsiaTheme="minorEastAsia" w:cstheme="minorHAnsi"/>
                <w:sz w:val="20"/>
              </w:rPr>
            </w:pPr>
            <w:r w:rsidRPr="008F332A">
              <w:rPr>
                <w:rFonts w:eastAsiaTheme="minorEastAsia" w:cstheme="minorHAnsi"/>
                <w:sz w:val="20"/>
              </w:rPr>
              <w:t>3. Risk in reliance on CSOs to develop and implement activities (including risk that they are not adequately committed to gender equality or Nabilan’s other guiding principles), particularly the risk of working with a limited number of CSOs in particular areas such as access to justice</w:t>
            </w:r>
          </w:p>
        </w:tc>
        <w:tc>
          <w:tcPr>
            <w:tcW w:w="1122" w:type="pct"/>
          </w:tcPr>
          <w:p w14:paraId="360A3199" w14:textId="77777777" w:rsidR="00911498" w:rsidRPr="008F332A" w:rsidRDefault="00911498" w:rsidP="003A2CCC">
            <w:pPr>
              <w:spacing w:after="80"/>
              <w:rPr>
                <w:rFonts w:cstheme="minorHAnsi"/>
                <w:sz w:val="20"/>
              </w:rPr>
            </w:pPr>
            <w:r w:rsidRPr="008F332A">
              <w:rPr>
                <w:rFonts w:cstheme="minorHAnsi"/>
                <w:sz w:val="20"/>
              </w:rPr>
              <w:t>Lack of partner commitment to gender equality or a rights-based approach to victim services is a risk.</w:t>
            </w:r>
          </w:p>
          <w:p w14:paraId="401D9013" w14:textId="77777777" w:rsidR="00911498" w:rsidRPr="008F332A" w:rsidRDefault="00911498" w:rsidP="003A2CCC">
            <w:pPr>
              <w:spacing w:after="80"/>
              <w:rPr>
                <w:rFonts w:cstheme="minorHAnsi"/>
                <w:sz w:val="20"/>
              </w:rPr>
            </w:pPr>
            <w:r w:rsidRPr="008F332A">
              <w:rPr>
                <w:rFonts w:cstheme="minorHAnsi"/>
                <w:sz w:val="20"/>
              </w:rPr>
              <w:t xml:space="preserve">The sustainability and institutional capacity of the CSOs themselves impacts on the sustainability of the outcomes related to each CSO. </w:t>
            </w:r>
          </w:p>
          <w:p w14:paraId="492D0C68" w14:textId="77777777" w:rsidR="00911498" w:rsidRPr="008F332A" w:rsidRDefault="00911498" w:rsidP="003A2CCC">
            <w:pPr>
              <w:spacing w:after="80"/>
              <w:rPr>
                <w:rFonts w:cstheme="minorHAnsi"/>
                <w:sz w:val="20"/>
              </w:rPr>
            </w:pPr>
            <w:r w:rsidRPr="008F332A">
              <w:rPr>
                <w:rFonts w:cstheme="minorHAnsi"/>
                <w:sz w:val="20"/>
              </w:rPr>
              <w:t>Limited CSO capacity to scale up individual work to the extent of the program activities, particularly in relation to expanding the reach of the program. Risk of increasing client numbers.</w:t>
            </w:r>
          </w:p>
          <w:p w14:paraId="6041D403" w14:textId="77777777" w:rsidR="00911498" w:rsidRPr="008F332A" w:rsidRDefault="00911498" w:rsidP="003A2CCC">
            <w:pPr>
              <w:spacing w:after="80"/>
              <w:rPr>
                <w:rFonts w:cstheme="minorHAnsi"/>
                <w:sz w:val="20"/>
              </w:rPr>
            </w:pPr>
            <w:r w:rsidRPr="008F332A">
              <w:rPr>
                <w:rFonts w:cstheme="minorHAnsi"/>
                <w:sz w:val="20"/>
              </w:rPr>
              <w:t>Limited CSO staff capacity to fulfil even basic job requirements and needed service quality improvements.</w:t>
            </w:r>
          </w:p>
          <w:p w14:paraId="586F55F3" w14:textId="77777777" w:rsidR="00911498" w:rsidRPr="008F332A" w:rsidRDefault="00911498" w:rsidP="003A2CCC">
            <w:pPr>
              <w:spacing w:after="80"/>
              <w:rPr>
                <w:rFonts w:cstheme="minorHAnsi"/>
                <w:sz w:val="20"/>
              </w:rPr>
            </w:pPr>
          </w:p>
        </w:tc>
        <w:tc>
          <w:tcPr>
            <w:tcW w:w="155" w:type="pct"/>
            <w:vAlign w:val="center"/>
          </w:tcPr>
          <w:p w14:paraId="42412378" w14:textId="77777777" w:rsidR="00911498" w:rsidRPr="008F332A" w:rsidRDefault="00911498" w:rsidP="003A2CCC">
            <w:pPr>
              <w:spacing w:after="80"/>
              <w:rPr>
                <w:rFonts w:cstheme="minorHAnsi"/>
                <w:sz w:val="20"/>
              </w:rPr>
            </w:pPr>
            <w:r w:rsidRPr="008F332A">
              <w:rPr>
                <w:rFonts w:cstheme="minorHAnsi"/>
                <w:sz w:val="20"/>
              </w:rPr>
              <w:t>3</w:t>
            </w:r>
          </w:p>
        </w:tc>
        <w:tc>
          <w:tcPr>
            <w:tcW w:w="155" w:type="pct"/>
            <w:vAlign w:val="center"/>
          </w:tcPr>
          <w:p w14:paraId="57FA846A" w14:textId="77777777" w:rsidR="00911498" w:rsidRPr="008F332A" w:rsidRDefault="00911498" w:rsidP="003A2CCC">
            <w:pPr>
              <w:spacing w:after="80"/>
              <w:rPr>
                <w:rFonts w:cstheme="minorHAnsi"/>
                <w:sz w:val="20"/>
              </w:rPr>
            </w:pPr>
            <w:r w:rsidRPr="008F332A">
              <w:rPr>
                <w:rFonts w:cstheme="minorHAnsi"/>
                <w:sz w:val="20"/>
              </w:rPr>
              <w:t>3</w:t>
            </w:r>
          </w:p>
        </w:tc>
        <w:tc>
          <w:tcPr>
            <w:tcW w:w="155" w:type="pct"/>
            <w:vAlign w:val="center"/>
          </w:tcPr>
          <w:p w14:paraId="40B6BDD6" w14:textId="77777777" w:rsidR="00911498" w:rsidRPr="008F332A" w:rsidRDefault="00911498" w:rsidP="003A2CCC">
            <w:pPr>
              <w:spacing w:after="80"/>
              <w:rPr>
                <w:rFonts w:cstheme="minorHAnsi"/>
                <w:sz w:val="20"/>
              </w:rPr>
            </w:pPr>
            <w:r w:rsidRPr="008F332A">
              <w:rPr>
                <w:rFonts w:cstheme="minorHAnsi"/>
                <w:sz w:val="20"/>
              </w:rPr>
              <w:t>M</w:t>
            </w:r>
          </w:p>
        </w:tc>
        <w:tc>
          <w:tcPr>
            <w:tcW w:w="1888" w:type="pct"/>
          </w:tcPr>
          <w:p w14:paraId="3D9D80BA" w14:textId="77777777" w:rsidR="00911498" w:rsidRPr="008F332A" w:rsidRDefault="00911498" w:rsidP="003A2CCC">
            <w:pPr>
              <w:widowControl w:val="0"/>
              <w:autoSpaceDE w:val="0"/>
              <w:autoSpaceDN w:val="0"/>
              <w:adjustRightInd w:val="0"/>
              <w:spacing w:after="0"/>
              <w:rPr>
                <w:rFonts w:eastAsiaTheme="minorEastAsia" w:cstheme="minorHAnsi"/>
                <w:sz w:val="20"/>
              </w:rPr>
            </w:pPr>
            <w:r w:rsidRPr="008F332A">
              <w:rPr>
                <w:rFonts w:eastAsiaTheme="minorEastAsia" w:cstheme="minorHAnsi"/>
                <w:sz w:val="20"/>
              </w:rPr>
              <w:t xml:space="preserve">Nabilan has realistic expectations of CSO capacity and has developed a participatory approach to assess and monitor organisational and institutional capacity. The Foundation emphasizes quality of service provision and works with the partners to measure and review quality of program delivery. The Foundation has and will continue to carefully select and monitor grantees to ensure their suitability (commitment to gender equality, their capacity) and to minimise other risks related to implementation. A competitive call for proposals, with clearly defined criteria, from CSOS able to undertake service provision to the standard required, will occur in the first six months of Phase 2. This will be supported by the Foundations’ existing experience in partner assessments and organisational strengthening. The Foundation supports this through developing principles about rights, causes of violence, and other issues, and seeking mutual agreement on these principles with implementing partners, and providing capacity development as needed. Concerns about some CSO personnel engaging in behaviour contrary to Nabilan principles and not having basic requirements for their roles have been addressed during this period through training for some partners’ staff from Nabilan staff and direct technical support to people on the job. Poor human resource management within CSO partners makes it difficult to improve the overall quality of the work of the organisation, through weak systems for supervision and management, but the program has demonstrated significant progress in improving the quality of partner services, including through annual OIS reviews and development of the social services training which included workplace visits. </w:t>
            </w:r>
          </w:p>
        </w:tc>
        <w:tc>
          <w:tcPr>
            <w:tcW w:w="578" w:type="pct"/>
            <w:vAlign w:val="center"/>
          </w:tcPr>
          <w:p w14:paraId="5E602C12" w14:textId="77777777" w:rsidR="00911498" w:rsidRPr="008F332A" w:rsidRDefault="00911498" w:rsidP="003A2CCC">
            <w:pPr>
              <w:spacing w:after="80"/>
              <w:jc w:val="left"/>
              <w:rPr>
                <w:rFonts w:cstheme="minorHAnsi"/>
                <w:sz w:val="20"/>
              </w:rPr>
            </w:pPr>
            <w:r w:rsidRPr="008F332A">
              <w:rPr>
                <w:rFonts w:cstheme="minorHAnsi"/>
                <w:sz w:val="20"/>
              </w:rPr>
              <w:t>Nabilan Team Leader</w:t>
            </w:r>
          </w:p>
          <w:p w14:paraId="2A8799D7" w14:textId="77777777" w:rsidR="00911498" w:rsidRPr="008F332A" w:rsidRDefault="00911498" w:rsidP="003A2CCC">
            <w:pPr>
              <w:spacing w:after="80"/>
              <w:jc w:val="left"/>
              <w:rPr>
                <w:rFonts w:cstheme="minorHAnsi"/>
                <w:sz w:val="20"/>
              </w:rPr>
            </w:pPr>
          </w:p>
          <w:p w14:paraId="2F2584C7" w14:textId="77777777" w:rsidR="00911498" w:rsidRPr="008F332A" w:rsidRDefault="00911498" w:rsidP="003A2CCC">
            <w:pPr>
              <w:spacing w:after="80"/>
              <w:jc w:val="left"/>
              <w:rPr>
                <w:rFonts w:cstheme="minorHAnsi"/>
                <w:sz w:val="20"/>
              </w:rPr>
            </w:pPr>
            <w:r w:rsidRPr="008F332A">
              <w:rPr>
                <w:rFonts w:cstheme="minorHAnsi"/>
                <w:sz w:val="20"/>
              </w:rPr>
              <w:t>Pillar Coordinators</w:t>
            </w:r>
          </w:p>
        </w:tc>
      </w:tr>
      <w:tr w:rsidR="00911498" w:rsidRPr="008F332A" w14:paraId="56089DF6" w14:textId="77777777" w:rsidTr="003A2CCC">
        <w:trPr>
          <w:trHeight w:val="60"/>
        </w:trPr>
        <w:tc>
          <w:tcPr>
            <w:tcW w:w="947" w:type="pct"/>
            <w:shd w:val="clear" w:color="auto" w:fill="D5DCE4" w:themeFill="text2" w:themeFillTint="33"/>
          </w:tcPr>
          <w:p w14:paraId="01C6ACBE" w14:textId="77777777" w:rsidR="00911498" w:rsidRPr="008F332A" w:rsidDel="00D84DB1" w:rsidRDefault="00911498" w:rsidP="003A2CCC">
            <w:pPr>
              <w:widowControl w:val="0"/>
              <w:autoSpaceDE w:val="0"/>
              <w:autoSpaceDN w:val="0"/>
              <w:adjustRightInd w:val="0"/>
              <w:spacing w:after="0"/>
              <w:rPr>
                <w:rFonts w:eastAsiaTheme="minorEastAsia" w:cstheme="minorHAnsi"/>
                <w:sz w:val="20"/>
              </w:rPr>
            </w:pPr>
            <w:r w:rsidRPr="008F332A">
              <w:rPr>
                <w:rFonts w:eastAsiaTheme="minorEastAsia" w:cstheme="minorHAnsi"/>
                <w:sz w:val="20"/>
              </w:rPr>
              <w:t xml:space="preserve">4. Successful awareness raising about the availability of services may increase demand on services. </w:t>
            </w:r>
          </w:p>
        </w:tc>
        <w:tc>
          <w:tcPr>
            <w:tcW w:w="1122" w:type="pct"/>
          </w:tcPr>
          <w:p w14:paraId="3DDDB1DE" w14:textId="77777777" w:rsidR="00911498" w:rsidRPr="008F332A" w:rsidRDefault="00911498" w:rsidP="003A2CCC">
            <w:pPr>
              <w:spacing w:after="80"/>
              <w:rPr>
                <w:rFonts w:cstheme="minorHAnsi"/>
                <w:sz w:val="20"/>
              </w:rPr>
            </w:pPr>
            <w:r w:rsidRPr="008F332A">
              <w:rPr>
                <w:rFonts w:cstheme="minorHAnsi"/>
                <w:sz w:val="20"/>
              </w:rPr>
              <w:t>Services unable to meet increased demand.</w:t>
            </w:r>
          </w:p>
        </w:tc>
        <w:tc>
          <w:tcPr>
            <w:tcW w:w="155" w:type="pct"/>
            <w:vAlign w:val="center"/>
          </w:tcPr>
          <w:p w14:paraId="7CFD5801" w14:textId="77777777" w:rsidR="00911498" w:rsidRPr="008F332A" w:rsidRDefault="00911498" w:rsidP="003A2CCC">
            <w:pPr>
              <w:spacing w:after="80"/>
              <w:rPr>
                <w:rFonts w:cstheme="minorHAnsi"/>
                <w:sz w:val="20"/>
              </w:rPr>
            </w:pPr>
            <w:r w:rsidRPr="008F332A">
              <w:rPr>
                <w:rFonts w:cstheme="minorHAnsi"/>
                <w:sz w:val="20"/>
              </w:rPr>
              <w:t>3</w:t>
            </w:r>
          </w:p>
        </w:tc>
        <w:tc>
          <w:tcPr>
            <w:tcW w:w="155" w:type="pct"/>
            <w:vAlign w:val="center"/>
          </w:tcPr>
          <w:p w14:paraId="1E2624B6" w14:textId="77777777" w:rsidR="00911498" w:rsidRPr="008F332A" w:rsidRDefault="00911498" w:rsidP="003A2CCC">
            <w:pPr>
              <w:spacing w:after="80"/>
              <w:rPr>
                <w:rFonts w:cstheme="minorHAnsi"/>
                <w:sz w:val="20"/>
              </w:rPr>
            </w:pPr>
            <w:r w:rsidRPr="008F332A">
              <w:rPr>
                <w:rFonts w:cstheme="minorHAnsi"/>
                <w:sz w:val="20"/>
              </w:rPr>
              <w:t>2</w:t>
            </w:r>
          </w:p>
        </w:tc>
        <w:tc>
          <w:tcPr>
            <w:tcW w:w="155" w:type="pct"/>
            <w:vAlign w:val="center"/>
          </w:tcPr>
          <w:p w14:paraId="385B27D2" w14:textId="77777777" w:rsidR="00911498" w:rsidRPr="008F332A" w:rsidRDefault="00911498" w:rsidP="003A2CCC">
            <w:pPr>
              <w:spacing w:after="80"/>
              <w:rPr>
                <w:rFonts w:cstheme="minorHAnsi"/>
                <w:sz w:val="20"/>
              </w:rPr>
            </w:pPr>
            <w:r w:rsidRPr="008F332A">
              <w:rPr>
                <w:rFonts w:cstheme="minorHAnsi"/>
                <w:sz w:val="20"/>
              </w:rPr>
              <w:t>M</w:t>
            </w:r>
          </w:p>
        </w:tc>
        <w:tc>
          <w:tcPr>
            <w:tcW w:w="1888" w:type="pct"/>
          </w:tcPr>
          <w:p w14:paraId="1C1364A1" w14:textId="77777777" w:rsidR="00911498" w:rsidRPr="008F332A" w:rsidRDefault="00911498" w:rsidP="003A2CCC">
            <w:pPr>
              <w:widowControl w:val="0"/>
              <w:autoSpaceDE w:val="0"/>
              <w:autoSpaceDN w:val="0"/>
              <w:adjustRightInd w:val="0"/>
              <w:spacing w:after="0"/>
              <w:rPr>
                <w:rFonts w:eastAsiaTheme="minorEastAsia" w:cstheme="minorHAnsi"/>
                <w:sz w:val="20"/>
              </w:rPr>
            </w:pPr>
            <w:r w:rsidRPr="008F332A">
              <w:rPr>
                <w:rFonts w:eastAsiaTheme="minorEastAsia" w:cstheme="minorHAnsi"/>
                <w:sz w:val="20"/>
              </w:rPr>
              <w:t>Continue to advocate for increased funding from GoTL and donors.</w:t>
            </w:r>
          </w:p>
          <w:p w14:paraId="2F0836F3" w14:textId="77777777" w:rsidR="00911498" w:rsidRPr="008F332A" w:rsidRDefault="00911498" w:rsidP="003A2CCC">
            <w:pPr>
              <w:widowControl w:val="0"/>
              <w:autoSpaceDE w:val="0"/>
              <w:autoSpaceDN w:val="0"/>
              <w:adjustRightInd w:val="0"/>
              <w:spacing w:after="0"/>
              <w:rPr>
                <w:rFonts w:eastAsiaTheme="minorEastAsia" w:cstheme="minorHAnsi"/>
                <w:sz w:val="20"/>
              </w:rPr>
            </w:pPr>
          </w:p>
          <w:p w14:paraId="6930E689" w14:textId="77777777" w:rsidR="00911498" w:rsidRPr="008F332A" w:rsidRDefault="00911498" w:rsidP="003A2CCC">
            <w:pPr>
              <w:widowControl w:val="0"/>
              <w:autoSpaceDE w:val="0"/>
              <w:autoSpaceDN w:val="0"/>
              <w:adjustRightInd w:val="0"/>
              <w:spacing w:after="0"/>
              <w:rPr>
                <w:rFonts w:eastAsiaTheme="minorEastAsia" w:cstheme="minorHAnsi"/>
                <w:sz w:val="20"/>
              </w:rPr>
            </w:pPr>
            <w:r w:rsidRPr="008F332A">
              <w:rPr>
                <w:rFonts w:eastAsiaTheme="minorEastAsia" w:cstheme="minorHAnsi"/>
                <w:sz w:val="20"/>
              </w:rPr>
              <w:t>Support broadened response from clinic level.</w:t>
            </w:r>
          </w:p>
        </w:tc>
        <w:tc>
          <w:tcPr>
            <w:tcW w:w="578" w:type="pct"/>
            <w:vAlign w:val="center"/>
          </w:tcPr>
          <w:p w14:paraId="140902F1" w14:textId="77777777" w:rsidR="00911498" w:rsidRPr="008F332A" w:rsidRDefault="00911498" w:rsidP="003A2CCC">
            <w:pPr>
              <w:spacing w:after="80"/>
              <w:jc w:val="left"/>
              <w:rPr>
                <w:rFonts w:cstheme="minorHAnsi"/>
                <w:sz w:val="20"/>
              </w:rPr>
            </w:pPr>
            <w:r w:rsidRPr="008F332A">
              <w:rPr>
                <w:rFonts w:cstheme="minorHAnsi"/>
                <w:sz w:val="20"/>
              </w:rPr>
              <w:t>Nabilan</w:t>
            </w:r>
          </w:p>
          <w:p w14:paraId="38C2A3FA" w14:textId="77777777" w:rsidR="00911498" w:rsidRPr="008F332A" w:rsidRDefault="00911498" w:rsidP="003A2CCC">
            <w:pPr>
              <w:spacing w:after="80"/>
              <w:jc w:val="left"/>
              <w:rPr>
                <w:rFonts w:cstheme="minorHAnsi"/>
                <w:sz w:val="20"/>
              </w:rPr>
            </w:pPr>
          </w:p>
          <w:p w14:paraId="1E199227" w14:textId="77777777" w:rsidR="00911498" w:rsidRPr="008F332A" w:rsidRDefault="00911498" w:rsidP="003A2CCC">
            <w:pPr>
              <w:spacing w:after="80"/>
              <w:jc w:val="left"/>
              <w:rPr>
                <w:rFonts w:cstheme="minorHAnsi"/>
                <w:sz w:val="20"/>
              </w:rPr>
            </w:pPr>
            <w:r w:rsidRPr="008F332A">
              <w:rPr>
                <w:rFonts w:cstheme="minorHAnsi"/>
                <w:sz w:val="20"/>
              </w:rPr>
              <w:t>CSO and GoTL partners</w:t>
            </w:r>
          </w:p>
        </w:tc>
      </w:tr>
      <w:tr w:rsidR="00911498" w:rsidRPr="008F332A" w14:paraId="160F4F08" w14:textId="77777777" w:rsidTr="003A2CCC">
        <w:trPr>
          <w:trHeight w:val="2065"/>
        </w:trPr>
        <w:tc>
          <w:tcPr>
            <w:tcW w:w="947" w:type="pct"/>
            <w:shd w:val="clear" w:color="auto" w:fill="D5DCE4" w:themeFill="text2" w:themeFillTint="33"/>
          </w:tcPr>
          <w:p w14:paraId="23A0BE43" w14:textId="77777777" w:rsidR="00911498" w:rsidRPr="008F332A" w:rsidRDefault="00911498" w:rsidP="003A2CCC">
            <w:pPr>
              <w:widowControl w:val="0"/>
              <w:autoSpaceDE w:val="0"/>
              <w:autoSpaceDN w:val="0"/>
              <w:adjustRightInd w:val="0"/>
              <w:spacing w:after="0"/>
              <w:rPr>
                <w:rFonts w:eastAsiaTheme="minorEastAsia" w:cstheme="minorHAnsi"/>
                <w:sz w:val="20"/>
              </w:rPr>
            </w:pPr>
            <w:r w:rsidRPr="008F332A">
              <w:rPr>
                <w:rFonts w:eastAsiaTheme="minorEastAsia" w:cstheme="minorHAnsi"/>
                <w:sz w:val="20"/>
              </w:rPr>
              <w:t>5. Opening up a competitive call for proposals could lead to poor relationships with unsuccessful organisations.</w:t>
            </w:r>
          </w:p>
        </w:tc>
        <w:tc>
          <w:tcPr>
            <w:tcW w:w="1122" w:type="pct"/>
          </w:tcPr>
          <w:p w14:paraId="68AFC649" w14:textId="77777777" w:rsidR="00911498" w:rsidRPr="008F332A" w:rsidRDefault="00911498" w:rsidP="003A2CCC">
            <w:pPr>
              <w:spacing w:after="80"/>
              <w:rPr>
                <w:rFonts w:cstheme="minorHAnsi"/>
                <w:sz w:val="20"/>
              </w:rPr>
            </w:pPr>
            <w:r w:rsidRPr="008F332A">
              <w:rPr>
                <w:rFonts w:cstheme="minorHAnsi"/>
                <w:sz w:val="20"/>
              </w:rPr>
              <w:t>Existing partners will be unlikely to be able to continue their work if not funded. Prospective partners may feel that the process is biased towards existing partners if they are not selected. Either of these outcomes will impact on relationships in a tight knit community. The reality is that there are a limited number of organisations with the skills and experience to provide these services in Timor-Leste</w:t>
            </w:r>
          </w:p>
          <w:p w14:paraId="3A56D655" w14:textId="77777777" w:rsidR="00911498" w:rsidRPr="008F332A" w:rsidRDefault="00911498" w:rsidP="003A2CCC">
            <w:pPr>
              <w:spacing w:after="80"/>
              <w:rPr>
                <w:rFonts w:cstheme="minorHAnsi"/>
                <w:sz w:val="20"/>
              </w:rPr>
            </w:pPr>
          </w:p>
        </w:tc>
        <w:tc>
          <w:tcPr>
            <w:tcW w:w="155" w:type="pct"/>
            <w:vAlign w:val="center"/>
          </w:tcPr>
          <w:p w14:paraId="30693F5D" w14:textId="77777777" w:rsidR="00911498" w:rsidRPr="008F332A" w:rsidRDefault="00911498" w:rsidP="003A2CCC">
            <w:pPr>
              <w:spacing w:after="80"/>
              <w:rPr>
                <w:rFonts w:cstheme="minorHAnsi"/>
                <w:sz w:val="20"/>
              </w:rPr>
            </w:pPr>
            <w:r w:rsidRPr="008F332A">
              <w:rPr>
                <w:rFonts w:cstheme="minorHAnsi"/>
                <w:sz w:val="20"/>
              </w:rPr>
              <w:t>3</w:t>
            </w:r>
          </w:p>
        </w:tc>
        <w:tc>
          <w:tcPr>
            <w:tcW w:w="155" w:type="pct"/>
            <w:vAlign w:val="center"/>
          </w:tcPr>
          <w:p w14:paraId="50B0AD5F" w14:textId="77777777" w:rsidR="00911498" w:rsidRPr="008F332A" w:rsidRDefault="00911498" w:rsidP="003A2CCC">
            <w:pPr>
              <w:spacing w:after="80"/>
              <w:rPr>
                <w:rFonts w:cstheme="minorHAnsi"/>
                <w:sz w:val="20"/>
              </w:rPr>
            </w:pPr>
            <w:r w:rsidRPr="008F332A">
              <w:rPr>
                <w:rFonts w:cstheme="minorHAnsi"/>
                <w:sz w:val="20"/>
              </w:rPr>
              <w:t>3</w:t>
            </w:r>
          </w:p>
        </w:tc>
        <w:tc>
          <w:tcPr>
            <w:tcW w:w="155" w:type="pct"/>
            <w:vAlign w:val="center"/>
          </w:tcPr>
          <w:p w14:paraId="24F80681" w14:textId="77777777" w:rsidR="00911498" w:rsidRPr="008F332A" w:rsidRDefault="00911498" w:rsidP="003A2CCC">
            <w:pPr>
              <w:spacing w:after="80"/>
              <w:rPr>
                <w:rFonts w:cstheme="minorHAnsi"/>
                <w:sz w:val="20"/>
              </w:rPr>
            </w:pPr>
            <w:r w:rsidRPr="008F332A">
              <w:rPr>
                <w:rFonts w:cstheme="minorHAnsi"/>
                <w:sz w:val="20"/>
              </w:rPr>
              <w:t>M</w:t>
            </w:r>
          </w:p>
        </w:tc>
        <w:tc>
          <w:tcPr>
            <w:tcW w:w="1888" w:type="pct"/>
          </w:tcPr>
          <w:p w14:paraId="5A1E5967" w14:textId="77777777" w:rsidR="00911498" w:rsidRPr="008F332A" w:rsidRDefault="00911498" w:rsidP="003A2CCC">
            <w:pPr>
              <w:widowControl w:val="0"/>
              <w:autoSpaceDE w:val="0"/>
              <w:autoSpaceDN w:val="0"/>
              <w:adjustRightInd w:val="0"/>
              <w:spacing w:after="0"/>
              <w:rPr>
                <w:rFonts w:eastAsiaTheme="minorEastAsia" w:cstheme="minorHAnsi"/>
                <w:sz w:val="20"/>
              </w:rPr>
            </w:pPr>
            <w:r w:rsidRPr="008F332A">
              <w:rPr>
                <w:rFonts w:eastAsiaTheme="minorEastAsia" w:cstheme="minorHAnsi"/>
                <w:sz w:val="20"/>
              </w:rPr>
              <w:t>Nabilan will develop clear criteria in the call for, and assessment of proposals; and will ensure that the decision is made by a committee that includes Nabilan, GoTL, DFAT and independent CSOs.</w:t>
            </w:r>
          </w:p>
        </w:tc>
        <w:tc>
          <w:tcPr>
            <w:tcW w:w="578" w:type="pct"/>
            <w:vAlign w:val="center"/>
          </w:tcPr>
          <w:p w14:paraId="5958BCC0" w14:textId="77777777" w:rsidR="00911498" w:rsidRPr="008F332A" w:rsidRDefault="00911498" w:rsidP="003A2CCC">
            <w:pPr>
              <w:spacing w:after="80"/>
              <w:jc w:val="left"/>
              <w:rPr>
                <w:rFonts w:cstheme="minorHAnsi"/>
                <w:sz w:val="20"/>
              </w:rPr>
            </w:pPr>
            <w:r w:rsidRPr="008F332A">
              <w:rPr>
                <w:rFonts w:cstheme="minorHAnsi"/>
                <w:sz w:val="20"/>
              </w:rPr>
              <w:t>Nabilan,</w:t>
            </w:r>
          </w:p>
          <w:p w14:paraId="3C4E0703" w14:textId="77777777" w:rsidR="00911498" w:rsidRPr="008F332A" w:rsidRDefault="00911498" w:rsidP="003A2CCC">
            <w:pPr>
              <w:spacing w:after="80"/>
              <w:jc w:val="left"/>
              <w:rPr>
                <w:rFonts w:cstheme="minorHAnsi"/>
                <w:sz w:val="20"/>
              </w:rPr>
            </w:pPr>
            <w:r w:rsidRPr="008F332A">
              <w:rPr>
                <w:rFonts w:cstheme="minorHAnsi"/>
                <w:sz w:val="20"/>
              </w:rPr>
              <w:t>DFAT</w:t>
            </w:r>
          </w:p>
          <w:p w14:paraId="186FE232" w14:textId="77777777" w:rsidR="00911498" w:rsidRPr="008F332A" w:rsidRDefault="00911498" w:rsidP="003A2CCC">
            <w:pPr>
              <w:spacing w:after="80"/>
              <w:jc w:val="left"/>
              <w:rPr>
                <w:rFonts w:cstheme="minorHAnsi"/>
                <w:sz w:val="20"/>
              </w:rPr>
            </w:pPr>
            <w:r w:rsidRPr="008F332A">
              <w:rPr>
                <w:rFonts w:cstheme="minorHAnsi"/>
                <w:sz w:val="20"/>
              </w:rPr>
              <w:t>GoTL</w:t>
            </w:r>
          </w:p>
          <w:p w14:paraId="1745656B" w14:textId="77777777" w:rsidR="00911498" w:rsidRPr="008F332A" w:rsidRDefault="00911498" w:rsidP="003A2CCC">
            <w:pPr>
              <w:spacing w:after="80"/>
              <w:jc w:val="left"/>
              <w:rPr>
                <w:rFonts w:cstheme="minorHAnsi"/>
                <w:sz w:val="20"/>
              </w:rPr>
            </w:pPr>
            <w:r w:rsidRPr="008F332A">
              <w:rPr>
                <w:rFonts w:cstheme="minorHAnsi"/>
                <w:sz w:val="20"/>
              </w:rPr>
              <w:t>Selection committee,</w:t>
            </w:r>
          </w:p>
          <w:p w14:paraId="5C5077C3" w14:textId="77777777" w:rsidR="00911498" w:rsidRPr="008F332A" w:rsidRDefault="00911498" w:rsidP="003A2CCC">
            <w:pPr>
              <w:spacing w:after="80"/>
              <w:jc w:val="left"/>
              <w:rPr>
                <w:rFonts w:cstheme="minorHAnsi"/>
                <w:sz w:val="20"/>
              </w:rPr>
            </w:pPr>
            <w:r w:rsidRPr="008F332A">
              <w:rPr>
                <w:rFonts w:cstheme="minorHAnsi"/>
                <w:sz w:val="20"/>
              </w:rPr>
              <w:t>Partners</w:t>
            </w:r>
          </w:p>
        </w:tc>
      </w:tr>
      <w:tr w:rsidR="00911498" w:rsidRPr="008F332A" w14:paraId="013B975E" w14:textId="77777777" w:rsidTr="003A2CCC">
        <w:trPr>
          <w:trHeight w:val="350"/>
        </w:trPr>
        <w:tc>
          <w:tcPr>
            <w:tcW w:w="947" w:type="pct"/>
            <w:shd w:val="clear" w:color="auto" w:fill="D5DCE4" w:themeFill="text2" w:themeFillTint="33"/>
          </w:tcPr>
          <w:p w14:paraId="64579B8E" w14:textId="77777777" w:rsidR="00911498" w:rsidRPr="008F332A" w:rsidRDefault="00911498" w:rsidP="003A2CCC">
            <w:pPr>
              <w:widowControl w:val="0"/>
              <w:autoSpaceDE w:val="0"/>
              <w:autoSpaceDN w:val="0"/>
              <w:adjustRightInd w:val="0"/>
              <w:spacing w:after="0"/>
              <w:rPr>
                <w:rFonts w:eastAsiaTheme="minorEastAsia" w:cstheme="minorHAnsi"/>
                <w:sz w:val="20"/>
              </w:rPr>
            </w:pPr>
            <w:r w:rsidRPr="008F332A">
              <w:rPr>
                <w:rFonts w:eastAsiaTheme="minorEastAsia" w:cstheme="minorHAnsi"/>
                <w:sz w:val="20"/>
              </w:rPr>
              <w:t xml:space="preserve">6. Reduced funding for partners </w:t>
            </w:r>
          </w:p>
        </w:tc>
        <w:tc>
          <w:tcPr>
            <w:tcW w:w="1122" w:type="pct"/>
          </w:tcPr>
          <w:p w14:paraId="0FF77287" w14:textId="77777777" w:rsidR="00911498" w:rsidRPr="008F332A" w:rsidRDefault="00911498" w:rsidP="003A2CCC">
            <w:pPr>
              <w:spacing w:after="80"/>
              <w:rPr>
                <w:rFonts w:cstheme="minorHAnsi"/>
                <w:sz w:val="20"/>
              </w:rPr>
            </w:pPr>
            <w:r w:rsidRPr="008F332A">
              <w:rPr>
                <w:rFonts w:cstheme="minorHAnsi"/>
                <w:sz w:val="20"/>
              </w:rPr>
              <w:t>This could impact on Nabilan’s reputation.</w:t>
            </w:r>
          </w:p>
        </w:tc>
        <w:tc>
          <w:tcPr>
            <w:tcW w:w="155" w:type="pct"/>
            <w:vAlign w:val="center"/>
          </w:tcPr>
          <w:p w14:paraId="22F153A7" w14:textId="77777777" w:rsidR="00911498" w:rsidRPr="008F332A" w:rsidRDefault="00911498" w:rsidP="003A2CCC">
            <w:pPr>
              <w:spacing w:after="80"/>
              <w:rPr>
                <w:rFonts w:cstheme="minorHAnsi"/>
                <w:sz w:val="20"/>
              </w:rPr>
            </w:pPr>
            <w:r w:rsidRPr="008F332A">
              <w:rPr>
                <w:rFonts w:cstheme="minorHAnsi"/>
                <w:sz w:val="20"/>
              </w:rPr>
              <w:t>2</w:t>
            </w:r>
          </w:p>
        </w:tc>
        <w:tc>
          <w:tcPr>
            <w:tcW w:w="155" w:type="pct"/>
            <w:vAlign w:val="center"/>
          </w:tcPr>
          <w:p w14:paraId="1F22E066" w14:textId="77777777" w:rsidR="00911498" w:rsidRPr="008F332A" w:rsidRDefault="00911498" w:rsidP="003A2CCC">
            <w:pPr>
              <w:spacing w:after="80"/>
              <w:rPr>
                <w:rFonts w:cstheme="minorHAnsi"/>
                <w:sz w:val="20"/>
              </w:rPr>
            </w:pPr>
            <w:r w:rsidRPr="008F332A">
              <w:rPr>
                <w:rFonts w:cstheme="minorHAnsi"/>
                <w:sz w:val="20"/>
              </w:rPr>
              <w:t>3</w:t>
            </w:r>
          </w:p>
        </w:tc>
        <w:tc>
          <w:tcPr>
            <w:tcW w:w="155" w:type="pct"/>
            <w:vAlign w:val="center"/>
          </w:tcPr>
          <w:p w14:paraId="18075B69" w14:textId="77777777" w:rsidR="00911498" w:rsidRPr="008F332A" w:rsidRDefault="00911498" w:rsidP="003A2CCC">
            <w:pPr>
              <w:spacing w:after="80"/>
              <w:rPr>
                <w:rFonts w:cstheme="minorHAnsi"/>
                <w:sz w:val="20"/>
              </w:rPr>
            </w:pPr>
            <w:r w:rsidRPr="008F332A">
              <w:rPr>
                <w:rFonts w:cstheme="minorHAnsi"/>
                <w:sz w:val="20"/>
              </w:rPr>
              <w:t>M</w:t>
            </w:r>
          </w:p>
        </w:tc>
        <w:tc>
          <w:tcPr>
            <w:tcW w:w="1888" w:type="pct"/>
          </w:tcPr>
          <w:p w14:paraId="6D4A8104" w14:textId="77777777" w:rsidR="00911498" w:rsidRPr="008F332A" w:rsidRDefault="00911498" w:rsidP="003A2CCC">
            <w:pPr>
              <w:widowControl w:val="0"/>
              <w:autoSpaceDE w:val="0"/>
              <w:autoSpaceDN w:val="0"/>
              <w:adjustRightInd w:val="0"/>
              <w:spacing w:after="0"/>
              <w:rPr>
                <w:rFonts w:eastAsiaTheme="minorEastAsia" w:cstheme="minorHAnsi"/>
                <w:sz w:val="20"/>
              </w:rPr>
            </w:pPr>
            <w:r w:rsidRPr="008F332A">
              <w:rPr>
                <w:rFonts w:eastAsiaTheme="minorEastAsia" w:cstheme="minorHAnsi"/>
                <w:sz w:val="20"/>
              </w:rPr>
              <w:t>Clear messages from TAF about reduced funding capacity</w:t>
            </w:r>
          </w:p>
        </w:tc>
        <w:tc>
          <w:tcPr>
            <w:tcW w:w="578" w:type="pct"/>
            <w:vAlign w:val="center"/>
          </w:tcPr>
          <w:p w14:paraId="5E44674B" w14:textId="77777777" w:rsidR="00911498" w:rsidRPr="008F332A" w:rsidRDefault="00911498" w:rsidP="003A2CCC">
            <w:pPr>
              <w:spacing w:after="80"/>
              <w:jc w:val="left"/>
              <w:rPr>
                <w:rFonts w:cstheme="minorHAnsi"/>
                <w:sz w:val="20"/>
              </w:rPr>
            </w:pPr>
            <w:r w:rsidRPr="008F332A">
              <w:rPr>
                <w:rFonts w:cstheme="minorHAnsi"/>
                <w:sz w:val="20"/>
              </w:rPr>
              <w:t>TAF management, Nabilan programme</w:t>
            </w:r>
          </w:p>
        </w:tc>
      </w:tr>
      <w:tr w:rsidR="00911498" w:rsidRPr="008F332A" w14:paraId="595EDA46" w14:textId="77777777" w:rsidTr="003A2CCC">
        <w:trPr>
          <w:trHeight w:val="350"/>
        </w:trPr>
        <w:tc>
          <w:tcPr>
            <w:tcW w:w="947" w:type="pct"/>
            <w:shd w:val="clear" w:color="auto" w:fill="D5DCE4" w:themeFill="text2" w:themeFillTint="33"/>
          </w:tcPr>
          <w:p w14:paraId="662AB2EF" w14:textId="77777777" w:rsidR="00911498" w:rsidRPr="008F332A" w:rsidRDefault="00911498" w:rsidP="003A2CCC">
            <w:pPr>
              <w:widowControl w:val="0"/>
              <w:autoSpaceDE w:val="0"/>
              <w:autoSpaceDN w:val="0"/>
              <w:adjustRightInd w:val="0"/>
              <w:spacing w:after="0"/>
              <w:rPr>
                <w:rFonts w:eastAsiaTheme="minorEastAsia" w:cstheme="minorHAnsi"/>
                <w:sz w:val="20"/>
              </w:rPr>
            </w:pPr>
            <w:r w:rsidRPr="008F332A">
              <w:rPr>
                <w:rFonts w:eastAsiaTheme="minorEastAsia" w:cstheme="minorHAnsi"/>
                <w:sz w:val="20"/>
              </w:rPr>
              <w:t>7. Risks associated with working with vulnerable populations (children, people with disabilities, vulnerable and traumatized women)</w:t>
            </w:r>
          </w:p>
          <w:p w14:paraId="0F1F671A" w14:textId="77777777" w:rsidR="00911498" w:rsidRPr="008F332A" w:rsidRDefault="00911498" w:rsidP="003A2CCC">
            <w:pPr>
              <w:spacing w:after="80"/>
              <w:rPr>
                <w:rFonts w:cstheme="minorHAnsi"/>
                <w:sz w:val="20"/>
              </w:rPr>
            </w:pPr>
          </w:p>
        </w:tc>
        <w:tc>
          <w:tcPr>
            <w:tcW w:w="1122" w:type="pct"/>
          </w:tcPr>
          <w:p w14:paraId="42C2FB14" w14:textId="77777777" w:rsidR="00911498" w:rsidRPr="008F332A" w:rsidRDefault="00911498" w:rsidP="003A2CCC">
            <w:pPr>
              <w:spacing w:after="80"/>
              <w:rPr>
                <w:rFonts w:cstheme="minorHAnsi"/>
                <w:sz w:val="20"/>
              </w:rPr>
            </w:pPr>
            <w:r w:rsidRPr="008F332A">
              <w:rPr>
                <w:rFonts w:cstheme="minorHAnsi"/>
                <w:sz w:val="20"/>
              </w:rPr>
              <w:t xml:space="preserve">Important to ensure that client rights, including confidentiality, are fully respected and security protected. </w:t>
            </w:r>
          </w:p>
          <w:p w14:paraId="4D2715AB" w14:textId="77777777" w:rsidR="00911498" w:rsidRPr="008F332A" w:rsidRDefault="00911498" w:rsidP="003A2CCC">
            <w:pPr>
              <w:spacing w:after="80"/>
              <w:rPr>
                <w:rFonts w:cstheme="minorHAnsi"/>
                <w:sz w:val="20"/>
              </w:rPr>
            </w:pPr>
            <w:r w:rsidRPr="008F332A">
              <w:rPr>
                <w:rFonts w:cstheme="minorHAnsi"/>
                <w:sz w:val="20"/>
              </w:rPr>
              <w:t>Children are placed at further risk due to interventions of the program or program partners, including direct abuse from grantees providing services to child victims.</w:t>
            </w:r>
          </w:p>
          <w:p w14:paraId="6F770E12" w14:textId="77777777" w:rsidR="00911498" w:rsidRPr="008F332A" w:rsidRDefault="00911498" w:rsidP="003A2CCC">
            <w:pPr>
              <w:spacing w:after="80"/>
              <w:rPr>
                <w:rFonts w:cstheme="minorHAnsi"/>
                <w:sz w:val="20"/>
              </w:rPr>
            </w:pPr>
          </w:p>
          <w:p w14:paraId="4563B748" w14:textId="77777777" w:rsidR="00911498" w:rsidRPr="008F332A" w:rsidRDefault="00911498" w:rsidP="003A2CCC">
            <w:pPr>
              <w:spacing w:after="80"/>
              <w:rPr>
                <w:rFonts w:cstheme="minorHAnsi"/>
                <w:bCs/>
                <w:iCs/>
                <w:color w:val="404040" w:themeColor="text1" w:themeTint="BF"/>
                <w:sz w:val="20"/>
              </w:rPr>
            </w:pPr>
          </w:p>
        </w:tc>
        <w:tc>
          <w:tcPr>
            <w:tcW w:w="155" w:type="pct"/>
            <w:vAlign w:val="center"/>
          </w:tcPr>
          <w:p w14:paraId="1D7B30FB" w14:textId="77777777" w:rsidR="00911498" w:rsidRPr="008F332A" w:rsidRDefault="00911498" w:rsidP="003A2CCC">
            <w:pPr>
              <w:spacing w:after="80"/>
              <w:rPr>
                <w:rFonts w:cstheme="minorHAnsi"/>
                <w:sz w:val="20"/>
              </w:rPr>
            </w:pPr>
            <w:r w:rsidRPr="008F332A">
              <w:rPr>
                <w:rFonts w:cstheme="minorHAnsi"/>
                <w:sz w:val="20"/>
              </w:rPr>
              <w:t>3</w:t>
            </w:r>
          </w:p>
        </w:tc>
        <w:tc>
          <w:tcPr>
            <w:tcW w:w="155" w:type="pct"/>
            <w:vAlign w:val="center"/>
          </w:tcPr>
          <w:p w14:paraId="1A12CF46" w14:textId="77777777" w:rsidR="00911498" w:rsidRPr="008F332A" w:rsidRDefault="00911498" w:rsidP="003A2CCC">
            <w:pPr>
              <w:spacing w:after="80"/>
              <w:rPr>
                <w:rFonts w:cstheme="minorHAnsi"/>
                <w:sz w:val="20"/>
              </w:rPr>
            </w:pPr>
            <w:r w:rsidRPr="008F332A">
              <w:rPr>
                <w:rFonts w:cstheme="minorHAnsi"/>
                <w:sz w:val="20"/>
              </w:rPr>
              <w:t>3</w:t>
            </w:r>
          </w:p>
        </w:tc>
        <w:tc>
          <w:tcPr>
            <w:tcW w:w="155" w:type="pct"/>
            <w:vAlign w:val="center"/>
          </w:tcPr>
          <w:p w14:paraId="5EA66BD9" w14:textId="77777777" w:rsidR="00911498" w:rsidRPr="008F332A" w:rsidRDefault="00911498" w:rsidP="003A2CCC">
            <w:pPr>
              <w:spacing w:after="80"/>
              <w:rPr>
                <w:rFonts w:cstheme="minorHAnsi"/>
                <w:sz w:val="20"/>
              </w:rPr>
            </w:pPr>
            <w:r w:rsidRPr="008F332A">
              <w:rPr>
                <w:rFonts w:cstheme="minorHAnsi"/>
                <w:sz w:val="20"/>
              </w:rPr>
              <w:t>M</w:t>
            </w:r>
          </w:p>
        </w:tc>
        <w:tc>
          <w:tcPr>
            <w:tcW w:w="1888" w:type="pct"/>
          </w:tcPr>
          <w:p w14:paraId="31843F3F" w14:textId="77777777" w:rsidR="00911498" w:rsidRPr="008F332A" w:rsidRDefault="00911498" w:rsidP="003A2CCC">
            <w:pPr>
              <w:widowControl w:val="0"/>
              <w:autoSpaceDE w:val="0"/>
              <w:autoSpaceDN w:val="0"/>
              <w:adjustRightInd w:val="0"/>
              <w:spacing w:after="0"/>
              <w:rPr>
                <w:rFonts w:eastAsiaTheme="minorEastAsia" w:cstheme="minorHAnsi"/>
                <w:sz w:val="20"/>
              </w:rPr>
            </w:pPr>
            <w:r w:rsidRPr="008F332A">
              <w:rPr>
                <w:rFonts w:eastAsiaTheme="minorEastAsia" w:cstheme="minorHAnsi"/>
                <w:sz w:val="20"/>
              </w:rPr>
              <w:t xml:space="preserve">The Foundation has a Research Code of Conduct and a Child Protection Policy (updated 31 March 2017) and Code of Conduct. All Foundation staff have been trained on the Child Protection Policy and Code of Conduct, and the Research Code of Conduct is appended to all research-related contracts. All local partner organisations are assessed in terms of child protection risk. The Foundation supports partners to conduct thorough risk and safety planning to mitigate risks to clients. All current partners have been supported to both develop and adopt a child protection policy, including a risk assessment and criminal background checks for staff who have contact with or work directly with children, and have received training on child protection. This would need to be repeated with any new partners. However, these measures can only minimise the risk of abuse occurring. Strengthening the protection of clients and vulnerable populations across the sector’s service delivery will be undertaken through Nabilan’s support to a social services accreditation program. Learnings are generated through actual experiences with partners facing relevant situations in their organisations. More qualified workers in the sector will help guarantee better protection of victims in the long-term. </w:t>
            </w:r>
          </w:p>
        </w:tc>
        <w:tc>
          <w:tcPr>
            <w:tcW w:w="578" w:type="pct"/>
            <w:vAlign w:val="center"/>
          </w:tcPr>
          <w:p w14:paraId="397B1E71" w14:textId="77777777" w:rsidR="00911498" w:rsidRPr="008F332A" w:rsidRDefault="00911498" w:rsidP="003A2CCC">
            <w:pPr>
              <w:spacing w:after="80"/>
              <w:jc w:val="left"/>
              <w:rPr>
                <w:rFonts w:cstheme="minorHAnsi"/>
                <w:sz w:val="20"/>
              </w:rPr>
            </w:pPr>
            <w:r w:rsidRPr="008F332A">
              <w:rPr>
                <w:rFonts w:cstheme="minorHAnsi"/>
                <w:sz w:val="20"/>
              </w:rPr>
              <w:t>Foundation Management</w:t>
            </w:r>
          </w:p>
          <w:p w14:paraId="434BA4A0" w14:textId="77777777" w:rsidR="00911498" w:rsidRPr="008F332A" w:rsidRDefault="00911498" w:rsidP="003A2CCC">
            <w:pPr>
              <w:spacing w:after="80"/>
              <w:jc w:val="left"/>
              <w:rPr>
                <w:rFonts w:cstheme="minorHAnsi"/>
                <w:sz w:val="20"/>
              </w:rPr>
            </w:pPr>
            <w:r w:rsidRPr="008F332A">
              <w:rPr>
                <w:rFonts w:cstheme="minorHAnsi"/>
                <w:sz w:val="20"/>
              </w:rPr>
              <w:t>Nabilan Team Leader</w:t>
            </w:r>
          </w:p>
          <w:p w14:paraId="47F76438" w14:textId="77777777" w:rsidR="00911498" w:rsidRPr="008F332A" w:rsidRDefault="00911498" w:rsidP="003A2CCC">
            <w:pPr>
              <w:spacing w:after="80"/>
              <w:jc w:val="left"/>
              <w:rPr>
                <w:rFonts w:cstheme="minorHAnsi"/>
                <w:sz w:val="20"/>
              </w:rPr>
            </w:pPr>
            <w:r w:rsidRPr="008F332A">
              <w:rPr>
                <w:rFonts w:cstheme="minorHAnsi"/>
                <w:sz w:val="20"/>
              </w:rPr>
              <w:t>Pillar Coordinators</w:t>
            </w:r>
          </w:p>
          <w:p w14:paraId="78CC86DE" w14:textId="77777777" w:rsidR="00911498" w:rsidRPr="008F332A" w:rsidRDefault="00911498" w:rsidP="003A2CCC">
            <w:pPr>
              <w:spacing w:after="80"/>
              <w:jc w:val="left"/>
              <w:rPr>
                <w:rFonts w:cstheme="minorHAnsi"/>
                <w:sz w:val="20"/>
              </w:rPr>
            </w:pPr>
            <w:r w:rsidRPr="008F332A">
              <w:rPr>
                <w:rFonts w:cstheme="minorHAnsi"/>
                <w:sz w:val="20"/>
              </w:rPr>
              <w:t>Nabilan Partners</w:t>
            </w:r>
          </w:p>
        </w:tc>
      </w:tr>
      <w:tr w:rsidR="00911498" w:rsidRPr="008F332A" w14:paraId="277CC5C2" w14:textId="77777777" w:rsidTr="003A2CCC">
        <w:trPr>
          <w:trHeight w:val="734"/>
        </w:trPr>
        <w:tc>
          <w:tcPr>
            <w:tcW w:w="947" w:type="pct"/>
            <w:shd w:val="clear" w:color="auto" w:fill="D5DCE4" w:themeFill="text2" w:themeFillTint="33"/>
          </w:tcPr>
          <w:p w14:paraId="26E8915D" w14:textId="77777777" w:rsidR="00911498" w:rsidRPr="008F332A" w:rsidRDefault="00911498" w:rsidP="003A2CCC">
            <w:pPr>
              <w:widowControl w:val="0"/>
              <w:autoSpaceDE w:val="0"/>
              <w:autoSpaceDN w:val="0"/>
              <w:adjustRightInd w:val="0"/>
              <w:spacing w:after="0"/>
              <w:rPr>
                <w:rFonts w:eastAsiaTheme="minorEastAsia" w:cstheme="minorHAnsi"/>
                <w:sz w:val="20"/>
              </w:rPr>
            </w:pPr>
            <w:r w:rsidRPr="008F332A">
              <w:rPr>
                <w:rFonts w:eastAsiaTheme="minorEastAsia" w:cstheme="minorHAnsi"/>
                <w:sz w:val="20"/>
              </w:rPr>
              <w:t>8. Risk of CSO partner staff and government partner staff becoming involved in violence against women and children, either as victims or perpetrators</w:t>
            </w:r>
          </w:p>
        </w:tc>
        <w:tc>
          <w:tcPr>
            <w:tcW w:w="1122" w:type="pct"/>
          </w:tcPr>
          <w:p w14:paraId="431D5FC5" w14:textId="77777777" w:rsidR="00911498" w:rsidRPr="008F332A" w:rsidRDefault="00911498" w:rsidP="003A2CCC">
            <w:pPr>
              <w:spacing w:after="80"/>
              <w:rPr>
                <w:rFonts w:cstheme="minorHAnsi"/>
                <w:sz w:val="20"/>
              </w:rPr>
            </w:pPr>
            <w:r w:rsidRPr="008F332A">
              <w:rPr>
                <w:rFonts w:cstheme="minorHAnsi"/>
                <w:sz w:val="20"/>
              </w:rPr>
              <w:t>Given the high prevalence of violence against women and children found by the Nabilan Baseline Study, there is a strong likelihood that individuals engaged by the program through CSO partners are either victims or perpetrators of VAW. The program’s reputation could be damaged if it known that CSO partners are not adequately assisting their own staff or are tolerant of violence perpetrated by their own staff.</w:t>
            </w:r>
          </w:p>
        </w:tc>
        <w:tc>
          <w:tcPr>
            <w:tcW w:w="155" w:type="pct"/>
            <w:vAlign w:val="center"/>
          </w:tcPr>
          <w:p w14:paraId="58EFF13D" w14:textId="77777777" w:rsidR="00911498" w:rsidRPr="008F332A" w:rsidRDefault="00911498" w:rsidP="003A2CCC">
            <w:pPr>
              <w:spacing w:after="80"/>
              <w:rPr>
                <w:rFonts w:cstheme="minorHAnsi"/>
                <w:sz w:val="20"/>
              </w:rPr>
            </w:pPr>
            <w:r w:rsidRPr="008F332A">
              <w:rPr>
                <w:rFonts w:cstheme="minorHAnsi"/>
                <w:sz w:val="20"/>
              </w:rPr>
              <w:t>3</w:t>
            </w:r>
          </w:p>
        </w:tc>
        <w:tc>
          <w:tcPr>
            <w:tcW w:w="155" w:type="pct"/>
            <w:vAlign w:val="center"/>
          </w:tcPr>
          <w:p w14:paraId="0806A7DA" w14:textId="77777777" w:rsidR="00911498" w:rsidRPr="008F332A" w:rsidRDefault="00911498" w:rsidP="003A2CCC">
            <w:pPr>
              <w:spacing w:after="80"/>
              <w:rPr>
                <w:rFonts w:cstheme="minorHAnsi"/>
                <w:sz w:val="20"/>
              </w:rPr>
            </w:pPr>
            <w:r w:rsidRPr="008F332A">
              <w:rPr>
                <w:rFonts w:cstheme="minorHAnsi"/>
                <w:sz w:val="20"/>
              </w:rPr>
              <w:t>3</w:t>
            </w:r>
          </w:p>
        </w:tc>
        <w:tc>
          <w:tcPr>
            <w:tcW w:w="155" w:type="pct"/>
            <w:vAlign w:val="center"/>
          </w:tcPr>
          <w:p w14:paraId="0261FEE3" w14:textId="77777777" w:rsidR="00911498" w:rsidRPr="008F332A" w:rsidRDefault="00911498" w:rsidP="003A2CCC">
            <w:pPr>
              <w:spacing w:after="80"/>
              <w:rPr>
                <w:rFonts w:cstheme="minorHAnsi"/>
                <w:sz w:val="20"/>
              </w:rPr>
            </w:pPr>
            <w:r w:rsidRPr="008F332A">
              <w:rPr>
                <w:rFonts w:cstheme="minorHAnsi"/>
                <w:sz w:val="20"/>
              </w:rPr>
              <w:t>M</w:t>
            </w:r>
          </w:p>
        </w:tc>
        <w:tc>
          <w:tcPr>
            <w:tcW w:w="1888" w:type="pct"/>
          </w:tcPr>
          <w:p w14:paraId="047BEFC8" w14:textId="77777777" w:rsidR="00911498" w:rsidRPr="008F332A" w:rsidRDefault="00911498" w:rsidP="003A2CCC">
            <w:pPr>
              <w:widowControl w:val="0"/>
              <w:autoSpaceDE w:val="0"/>
              <w:autoSpaceDN w:val="0"/>
              <w:adjustRightInd w:val="0"/>
              <w:spacing w:after="0"/>
              <w:rPr>
                <w:rFonts w:eastAsiaTheme="minorEastAsia" w:cstheme="minorHAnsi"/>
                <w:sz w:val="20"/>
              </w:rPr>
            </w:pPr>
            <w:r w:rsidRPr="008F332A">
              <w:rPr>
                <w:rFonts w:cstheme="minorHAnsi"/>
                <w:sz w:val="20"/>
              </w:rPr>
              <w:t xml:space="preserve">When cases of violence being perpetrated against or by staff of CSO partners reach the attention of Nabilan staff, they are addressed promptly. However, the time required to deal with these issues draws Nabilan staff away from planned activities, compounding the risk to the program. The risk management strategy is to terminate contracts of staff who are perpetrators and provide support to staff who are victims. Nabilan will continue to closely monitor partner staff wellbeing to the extent possible, and organisational and institutional strengthening will continue to focus on gender equity, workplace safety (including responses to gender based violence), and behaviour and attitude change to address VAW. </w:t>
            </w:r>
          </w:p>
        </w:tc>
        <w:tc>
          <w:tcPr>
            <w:tcW w:w="578" w:type="pct"/>
            <w:vAlign w:val="center"/>
          </w:tcPr>
          <w:p w14:paraId="21AA90AB" w14:textId="77777777" w:rsidR="00911498" w:rsidRPr="008F332A" w:rsidDel="00004EEE" w:rsidRDefault="00911498" w:rsidP="003A2CCC">
            <w:pPr>
              <w:spacing w:after="80"/>
              <w:jc w:val="left"/>
              <w:rPr>
                <w:rFonts w:cstheme="minorHAnsi"/>
                <w:sz w:val="20"/>
              </w:rPr>
            </w:pPr>
            <w:r w:rsidRPr="008F332A">
              <w:rPr>
                <w:rFonts w:cstheme="minorHAnsi"/>
                <w:sz w:val="20"/>
              </w:rPr>
              <w:t>Nabilan Team Leader</w:t>
            </w:r>
          </w:p>
        </w:tc>
      </w:tr>
      <w:tr w:rsidR="00911498" w:rsidRPr="008F332A" w14:paraId="34AA8DCD" w14:textId="77777777" w:rsidTr="003A2CCC">
        <w:trPr>
          <w:trHeight w:val="734"/>
        </w:trPr>
        <w:tc>
          <w:tcPr>
            <w:tcW w:w="947" w:type="pct"/>
            <w:shd w:val="clear" w:color="auto" w:fill="D5DCE4" w:themeFill="text2" w:themeFillTint="33"/>
          </w:tcPr>
          <w:p w14:paraId="78BB5F4E" w14:textId="77777777" w:rsidR="00911498" w:rsidRPr="008F332A" w:rsidRDefault="00911498" w:rsidP="003A2CCC">
            <w:pPr>
              <w:widowControl w:val="0"/>
              <w:autoSpaceDE w:val="0"/>
              <w:autoSpaceDN w:val="0"/>
              <w:adjustRightInd w:val="0"/>
              <w:spacing w:after="0"/>
              <w:rPr>
                <w:rFonts w:eastAsiaTheme="minorEastAsia" w:cstheme="minorHAnsi"/>
                <w:sz w:val="20"/>
              </w:rPr>
            </w:pPr>
            <w:r w:rsidRPr="008F332A">
              <w:rPr>
                <w:rFonts w:eastAsiaTheme="minorEastAsia" w:cstheme="minorHAnsi"/>
                <w:sz w:val="20"/>
              </w:rPr>
              <w:t>9. Focus on equality and cultural change risks unintended negative consequences (backlash) for women, at individual, organisational/ partner, and community/ society levels</w:t>
            </w:r>
          </w:p>
        </w:tc>
        <w:tc>
          <w:tcPr>
            <w:tcW w:w="1122" w:type="pct"/>
          </w:tcPr>
          <w:p w14:paraId="474421E4" w14:textId="77777777" w:rsidR="00911498" w:rsidRPr="008F332A" w:rsidRDefault="00911498" w:rsidP="003A2CCC">
            <w:pPr>
              <w:widowControl w:val="0"/>
              <w:autoSpaceDE w:val="0"/>
              <w:autoSpaceDN w:val="0"/>
              <w:adjustRightInd w:val="0"/>
              <w:spacing w:after="0"/>
              <w:rPr>
                <w:rFonts w:cstheme="minorHAnsi"/>
                <w:sz w:val="20"/>
              </w:rPr>
            </w:pPr>
            <w:r w:rsidRPr="008F332A">
              <w:rPr>
                <w:rFonts w:cstheme="minorHAnsi"/>
                <w:sz w:val="20"/>
              </w:rPr>
              <w:t xml:space="preserve">Women are negatively impacted as a result of backlash. </w:t>
            </w:r>
          </w:p>
        </w:tc>
        <w:tc>
          <w:tcPr>
            <w:tcW w:w="155" w:type="pct"/>
            <w:vAlign w:val="center"/>
          </w:tcPr>
          <w:p w14:paraId="1BD5154D" w14:textId="77777777" w:rsidR="00911498" w:rsidRPr="008F332A" w:rsidRDefault="00911498" w:rsidP="003A2CCC">
            <w:pPr>
              <w:spacing w:after="80"/>
              <w:rPr>
                <w:rFonts w:cstheme="minorHAnsi"/>
                <w:sz w:val="20"/>
              </w:rPr>
            </w:pPr>
            <w:r w:rsidRPr="008F332A">
              <w:rPr>
                <w:rFonts w:cstheme="minorHAnsi"/>
                <w:sz w:val="20"/>
              </w:rPr>
              <w:t>3</w:t>
            </w:r>
          </w:p>
        </w:tc>
        <w:tc>
          <w:tcPr>
            <w:tcW w:w="155" w:type="pct"/>
            <w:vAlign w:val="center"/>
          </w:tcPr>
          <w:p w14:paraId="589EECE9" w14:textId="77777777" w:rsidR="00911498" w:rsidRPr="008F332A" w:rsidRDefault="00911498" w:rsidP="003A2CCC">
            <w:pPr>
              <w:spacing w:after="80"/>
              <w:rPr>
                <w:rFonts w:cstheme="minorHAnsi"/>
                <w:sz w:val="20"/>
              </w:rPr>
            </w:pPr>
            <w:r w:rsidRPr="008F332A">
              <w:rPr>
                <w:rFonts w:cstheme="minorHAnsi"/>
                <w:sz w:val="20"/>
              </w:rPr>
              <w:t>3</w:t>
            </w:r>
          </w:p>
        </w:tc>
        <w:tc>
          <w:tcPr>
            <w:tcW w:w="155" w:type="pct"/>
            <w:vAlign w:val="center"/>
          </w:tcPr>
          <w:p w14:paraId="63F37A7D" w14:textId="77777777" w:rsidR="00911498" w:rsidRPr="008F332A" w:rsidRDefault="00911498" w:rsidP="003A2CCC">
            <w:pPr>
              <w:spacing w:after="80"/>
              <w:rPr>
                <w:rFonts w:cstheme="minorHAnsi"/>
                <w:sz w:val="20"/>
              </w:rPr>
            </w:pPr>
            <w:r w:rsidRPr="008F332A">
              <w:rPr>
                <w:rFonts w:cstheme="minorHAnsi"/>
                <w:sz w:val="20"/>
              </w:rPr>
              <w:t>M</w:t>
            </w:r>
          </w:p>
        </w:tc>
        <w:tc>
          <w:tcPr>
            <w:tcW w:w="1888" w:type="pct"/>
          </w:tcPr>
          <w:p w14:paraId="0EAEF111" w14:textId="77777777" w:rsidR="00911498" w:rsidRPr="008F332A" w:rsidRDefault="00911498" w:rsidP="003A2CCC">
            <w:pPr>
              <w:widowControl w:val="0"/>
              <w:autoSpaceDE w:val="0"/>
              <w:autoSpaceDN w:val="0"/>
              <w:adjustRightInd w:val="0"/>
              <w:spacing w:after="0"/>
              <w:rPr>
                <w:rFonts w:eastAsiaTheme="minorEastAsia" w:cstheme="minorHAnsi"/>
                <w:sz w:val="20"/>
              </w:rPr>
            </w:pPr>
            <w:r w:rsidRPr="008F332A">
              <w:rPr>
                <w:rFonts w:eastAsiaTheme="minorEastAsia" w:cstheme="minorHAnsi"/>
                <w:sz w:val="20"/>
              </w:rPr>
              <w:t>To mitigate backlash against women, the program devotes substantial resources to mentoring and supervision with partners, partner assessments and monitoring for commitment to gender equality, and evidence-based prevention strategies to support positive cultural values and motivation for change. This includes strengthening partners’ documentation, confidentiality, and consent practices.</w:t>
            </w:r>
          </w:p>
        </w:tc>
        <w:tc>
          <w:tcPr>
            <w:tcW w:w="578" w:type="pct"/>
            <w:vAlign w:val="center"/>
          </w:tcPr>
          <w:p w14:paraId="6862E2FA" w14:textId="77777777" w:rsidR="00911498" w:rsidRPr="008F332A" w:rsidRDefault="00911498" w:rsidP="003A2CCC">
            <w:pPr>
              <w:spacing w:after="80"/>
              <w:jc w:val="left"/>
              <w:rPr>
                <w:rFonts w:cstheme="minorHAnsi"/>
                <w:sz w:val="20"/>
              </w:rPr>
            </w:pPr>
            <w:r w:rsidRPr="008F332A">
              <w:rPr>
                <w:rFonts w:cstheme="minorHAnsi"/>
                <w:sz w:val="20"/>
              </w:rPr>
              <w:t>Nabilan Team Leader, Pillar Coordinators</w:t>
            </w:r>
          </w:p>
        </w:tc>
      </w:tr>
      <w:tr w:rsidR="00911498" w:rsidRPr="008F332A" w14:paraId="05286FE5" w14:textId="77777777" w:rsidTr="003A2CCC">
        <w:trPr>
          <w:trHeight w:val="734"/>
        </w:trPr>
        <w:tc>
          <w:tcPr>
            <w:tcW w:w="947" w:type="pct"/>
            <w:shd w:val="clear" w:color="auto" w:fill="D5DCE4" w:themeFill="text2" w:themeFillTint="33"/>
          </w:tcPr>
          <w:p w14:paraId="0E0ECA6A" w14:textId="77777777" w:rsidR="00911498" w:rsidRPr="008F332A" w:rsidRDefault="00911498" w:rsidP="003A2CCC">
            <w:pPr>
              <w:widowControl w:val="0"/>
              <w:autoSpaceDE w:val="0"/>
              <w:autoSpaceDN w:val="0"/>
              <w:adjustRightInd w:val="0"/>
              <w:spacing w:after="0"/>
              <w:rPr>
                <w:rFonts w:eastAsiaTheme="minorEastAsia" w:cstheme="minorHAnsi"/>
                <w:sz w:val="20"/>
              </w:rPr>
            </w:pPr>
            <w:r w:rsidRPr="008F332A">
              <w:rPr>
                <w:rFonts w:eastAsiaTheme="minorEastAsia" w:cstheme="minorHAnsi"/>
                <w:sz w:val="20"/>
              </w:rPr>
              <w:t>10. Risk to partners and Nabilan staff in terms of their own security (backlash) or cumulative effects/stresses from dealing with survivors of violence</w:t>
            </w:r>
          </w:p>
        </w:tc>
        <w:tc>
          <w:tcPr>
            <w:tcW w:w="1122" w:type="pct"/>
          </w:tcPr>
          <w:p w14:paraId="68780F49" w14:textId="77777777" w:rsidR="00911498" w:rsidRPr="008F332A" w:rsidRDefault="00911498" w:rsidP="003A2CCC">
            <w:pPr>
              <w:spacing w:after="80"/>
              <w:rPr>
                <w:rFonts w:cstheme="minorHAnsi"/>
                <w:sz w:val="20"/>
              </w:rPr>
            </w:pPr>
            <w:r w:rsidRPr="008F332A">
              <w:rPr>
                <w:rFonts w:cstheme="minorHAnsi"/>
                <w:sz w:val="20"/>
              </w:rPr>
              <w:t xml:space="preserve">Staff of partner organisations (or Nabilan staff) are reluctant to undertake activities, resulting in increased absenteeism, impacting on program delivery. </w:t>
            </w:r>
          </w:p>
        </w:tc>
        <w:tc>
          <w:tcPr>
            <w:tcW w:w="155" w:type="pct"/>
            <w:vAlign w:val="center"/>
          </w:tcPr>
          <w:p w14:paraId="60EF47FF" w14:textId="77777777" w:rsidR="00911498" w:rsidRPr="008F332A" w:rsidRDefault="00911498" w:rsidP="003A2CCC">
            <w:pPr>
              <w:spacing w:after="80"/>
              <w:rPr>
                <w:rFonts w:cstheme="minorHAnsi"/>
                <w:sz w:val="20"/>
              </w:rPr>
            </w:pPr>
            <w:r w:rsidRPr="008F332A">
              <w:rPr>
                <w:rFonts w:cstheme="minorHAnsi"/>
                <w:sz w:val="20"/>
              </w:rPr>
              <w:t>3</w:t>
            </w:r>
          </w:p>
        </w:tc>
        <w:tc>
          <w:tcPr>
            <w:tcW w:w="155" w:type="pct"/>
            <w:vAlign w:val="center"/>
          </w:tcPr>
          <w:p w14:paraId="56A9F1BA" w14:textId="77777777" w:rsidR="00911498" w:rsidRPr="008F332A" w:rsidRDefault="00911498" w:rsidP="003A2CCC">
            <w:pPr>
              <w:spacing w:after="80"/>
              <w:rPr>
                <w:rFonts w:cstheme="minorHAnsi"/>
                <w:sz w:val="20"/>
              </w:rPr>
            </w:pPr>
            <w:r w:rsidRPr="008F332A">
              <w:rPr>
                <w:rFonts w:cstheme="minorHAnsi"/>
                <w:sz w:val="20"/>
              </w:rPr>
              <w:t>3</w:t>
            </w:r>
          </w:p>
        </w:tc>
        <w:tc>
          <w:tcPr>
            <w:tcW w:w="155" w:type="pct"/>
            <w:vAlign w:val="center"/>
          </w:tcPr>
          <w:p w14:paraId="50AB6295" w14:textId="77777777" w:rsidR="00911498" w:rsidRPr="008F332A" w:rsidRDefault="00911498" w:rsidP="003A2CCC">
            <w:pPr>
              <w:spacing w:after="80"/>
              <w:rPr>
                <w:rFonts w:cstheme="minorHAnsi"/>
                <w:sz w:val="20"/>
              </w:rPr>
            </w:pPr>
            <w:r w:rsidRPr="008F332A">
              <w:rPr>
                <w:rFonts w:cstheme="minorHAnsi"/>
                <w:sz w:val="20"/>
              </w:rPr>
              <w:t>M</w:t>
            </w:r>
          </w:p>
        </w:tc>
        <w:tc>
          <w:tcPr>
            <w:tcW w:w="1888" w:type="pct"/>
          </w:tcPr>
          <w:p w14:paraId="59F1CB30" w14:textId="77777777" w:rsidR="00911498" w:rsidRPr="008F332A" w:rsidRDefault="00911498" w:rsidP="003A2CCC">
            <w:pPr>
              <w:widowControl w:val="0"/>
              <w:autoSpaceDE w:val="0"/>
              <w:autoSpaceDN w:val="0"/>
              <w:adjustRightInd w:val="0"/>
              <w:spacing w:after="0"/>
              <w:rPr>
                <w:rFonts w:cstheme="minorHAnsi"/>
                <w:sz w:val="20"/>
              </w:rPr>
            </w:pPr>
            <w:r w:rsidRPr="008F332A">
              <w:rPr>
                <w:rFonts w:eastAsiaTheme="minorEastAsia" w:cstheme="minorHAnsi"/>
                <w:sz w:val="20"/>
              </w:rPr>
              <w:t xml:space="preserve">The program addresses issues of self-care and security issues for service providers and staff in training and monitoring of service providers. The program pays close attention to the wellbeing of Nabilan staff and encourages a safe space of open discussion about vicarious trauma. The program is able to link staff with counselling support when required. </w:t>
            </w:r>
          </w:p>
        </w:tc>
        <w:tc>
          <w:tcPr>
            <w:tcW w:w="578" w:type="pct"/>
            <w:vAlign w:val="center"/>
          </w:tcPr>
          <w:p w14:paraId="2C0CE135" w14:textId="77777777" w:rsidR="00911498" w:rsidRPr="008F332A" w:rsidRDefault="00911498" w:rsidP="003A2CCC">
            <w:pPr>
              <w:spacing w:after="80"/>
              <w:jc w:val="left"/>
              <w:rPr>
                <w:rFonts w:cstheme="minorHAnsi"/>
                <w:sz w:val="20"/>
              </w:rPr>
            </w:pPr>
            <w:r w:rsidRPr="008F332A">
              <w:rPr>
                <w:rFonts w:cstheme="minorHAnsi"/>
                <w:sz w:val="20"/>
              </w:rPr>
              <w:t>Nabilan Team Leader, Pillar Coordinators</w:t>
            </w:r>
          </w:p>
        </w:tc>
      </w:tr>
      <w:tr w:rsidR="00911498" w:rsidRPr="008F332A" w14:paraId="6B4B30A1" w14:textId="77777777" w:rsidTr="003A2CCC">
        <w:trPr>
          <w:trHeight w:val="350"/>
        </w:trPr>
        <w:tc>
          <w:tcPr>
            <w:tcW w:w="947" w:type="pct"/>
            <w:shd w:val="clear" w:color="auto" w:fill="D5DCE4" w:themeFill="text2" w:themeFillTint="33"/>
          </w:tcPr>
          <w:p w14:paraId="7B595C29" w14:textId="77777777" w:rsidR="00911498" w:rsidRPr="008F332A" w:rsidRDefault="00911498" w:rsidP="003A2CCC">
            <w:pPr>
              <w:widowControl w:val="0"/>
              <w:autoSpaceDE w:val="0"/>
              <w:autoSpaceDN w:val="0"/>
              <w:adjustRightInd w:val="0"/>
              <w:spacing w:after="0"/>
              <w:rPr>
                <w:rFonts w:eastAsiaTheme="minorEastAsia" w:cstheme="minorHAnsi"/>
                <w:sz w:val="20"/>
              </w:rPr>
            </w:pPr>
            <w:r w:rsidRPr="008F332A">
              <w:rPr>
                <w:rFonts w:eastAsiaTheme="minorEastAsia" w:cstheme="minorHAnsi"/>
                <w:sz w:val="20"/>
              </w:rPr>
              <w:t xml:space="preserve">11. Risk of judicial actors preventing justice system monitoring and legal assistance partners access to courts  </w:t>
            </w:r>
          </w:p>
        </w:tc>
        <w:tc>
          <w:tcPr>
            <w:tcW w:w="1122" w:type="pct"/>
          </w:tcPr>
          <w:p w14:paraId="2E318509" w14:textId="77777777" w:rsidR="00911498" w:rsidRPr="008F332A" w:rsidRDefault="00911498" w:rsidP="003A2CCC">
            <w:pPr>
              <w:spacing w:after="80"/>
              <w:rPr>
                <w:rFonts w:cstheme="minorHAnsi"/>
                <w:sz w:val="20"/>
              </w:rPr>
            </w:pPr>
            <w:r w:rsidRPr="008F332A">
              <w:rPr>
                <w:rFonts w:cstheme="minorHAnsi"/>
                <w:sz w:val="20"/>
              </w:rPr>
              <w:t xml:space="preserve">Reduced transparency of justice system and actors. Reduced capacity to advocate for improved justice systems. </w:t>
            </w:r>
          </w:p>
        </w:tc>
        <w:tc>
          <w:tcPr>
            <w:tcW w:w="155" w:type="pct"/>
            <w:vAlign w:val="center"/>
          </w:tcPr>
          <w:p w14:paraId="3CC972BA" w14:textId="77777777" w:rsidR="00911498" w:rsidRPr="008F332A" w:rsidRDefault="00911498" w:rsidP="003A2CCC">
            <w:pPr>
              <w:spacing w:after="80"/>
              <w:rPr>
                <w:rFonts w:cstheme="minorHAnsi"/>
                <w:sz w:val="20"/>
              </w:rPr>
            </w:pPr>
            <w:r w:rsidRPr="008F332A">
              <w:rPr>
                <w:rFonts w:cstheme="minorHAnsi"/>
                <w:sz w:val="20"/>
              </w:rPr>
              <w:t>2</w:t>
            </w:r>
          </w:p>
        </w:tc>
        <w:tc>
          <w:tcPr>
            <w:tcW w:w="155" w:type="pct"/>
            <w:vAlign w:val="center"/>
          </w:tcPr>
          <w:p w14:paraId="174315DA" w14:textId="77777777" w:rsidR="00911498" w:rsidRPr="008F332A" w:rsidRDefault="00911498" w:rsidP="003A2CCC">
            <w:pPr>
              <w:spacing w:after="80"/>
              <w:rPr>
                <w:rFonts w:cstheme="minorHAnsi"/>
                <w:sz w:val="20"/>
              </w:rPr>
            </w:pPr>
            <w:r w:rsidRPr="008F332A">
              <w:rPr>
                <w:rFonts w:cstheme="minorHAnsi"/>
                <w:sz w:val="20"/>
              </w:rPr>
              <w:t>2</w:t>
            </w:r>
          </w:p>
        </w:tc>
        <w:tc>
          <w:tcPr>
            <w:tcW w:w="155" w:type="pct"/>
            <w:vAlign w:val="center"/>
          </w:tcPr>
          <w:p w14:paraId="03A9FC3A" w14:textId="77777777" w:rsidR="00911498" w:rsidRPr="008F332A" w:rsidRDefault="00911498" w:rsidP="003A2CCC">
            <w:pPr>
              <w:spacing w:after="80"/>
              <w:rPr>
                <w:rFonts w:cstheme="minorHAnsi"/>
                <w:sz w:val="20"/>
              </w:rPr>
            </w:pPr>
            <w:r w:rsidRPr="008F332A">
              <w:rPr>
                <w:rFonts w:cstheme="minorHAnsi"/>
                <w:sz w:val="20"/>
              </w:rPr>
              <w:t>L</w:t>
            </w:r>
          </w:p>
        </w:tc>
        <w:tc>
          <w:tcPr>
            <w:tcW w:w="1888" w:type="pct"/>
          </w:tcPr>
          <w:p w14:paraId="2B3E011B" w14:textId="77777777" w:rsidR="00911498" w:rsidRPr="008F332A" w:rsidRDefault="00911498" w:rsidP="003A2CCC">
            <w:pPr>
              <w:widowControl w:val="0"/>
              <w:autoSpaceDE w:val="0"/>
              <w:autoSpaceDN w:val="0"/>
              <w:adjustRightInd w:val="0"/>
              <w:spacing w:after="0"/>
              <w:rPr>
                <w:rFonts w:eastAsiaTheme="minorEastAsia" w:cstheme="minorHAnsi"/>
                <w:bCs/>
                <w:iCs/>
                <w:color w:val="404040" w:themeColor="text1" w:themeTint="BF"/>
                <w:sz w:val="20"/>
              </w:rPr>
            </w:pPr>
            <w:r w:rsidRPr="008F332A">
              <w:rPr>
                <w:rFonts w:eastAsiaTheme="minorEastAsia" w:cstheme="minorHAnsi"/>
                <w:sz w:val="20"/>
              </w:rPr>
              <w:t xml:space="preserve">Nabilan has developed strong relationships with the Court of Appeal and Timor-Leste Judges’ Association. JSMP is also highly respected by the judiciary for its independence and quality of legal analysis. ALFeLa has effectively lobbied the Prosecutor-General when issues have arisen with individual prosecutors. Nabilan will continue to monitor the collaboration between all actors. </w:t>
            </w:r>
          </w:p>
        </w:tc>
        <w:tc>
          <w:tcPr>
            <w:tcW w:w="578" w:type="pct"/>
            <w:vAlign w:val="center"/>
          </w:tcPr>
          <w:p w14:paraId="04BD3FF4" w14:textId="77777777" w:rsidR="00911498" w:rsidRPr="008F332A" w:rsidRDefault="00911498" w:rsidP="003A2CCC">
            <w:pPr>
              <w:spacing w:after="80"/>
              <w:jc w:val="left"/>
              <w:rPr>
                <w:rFonts w:cstheme="minorHAnsi"/>
                <w:sz w:val="20"/>
              </w:rPr>
            </w:pPr>
            <w:r w:rsidRPr="008F332A">
              <w:rPr>
                <w:rFonts w:cstheme="minorHAnsi"/>
                <w:sz w:val="20"/>
              </w:rPr>
              <w:t>Nabilan Program, especially Services pillar</w:t>
            </w:r>
          </w:p>
        </w:tc>
      </w:tr>
      <w:tr w:rsidR="00911498" w:rsidRPr="008F332A" w14:paraId="0F7B28DE" w14:textId="77777777" w:rsidTr="003A2CCC">
        <w:trPr>
          <w:trHeight w:val="734"/>
        </w:trPr>
        <w:tc>
          <w:tcPr>
            <w:tcW w:w="947" w:type="pct"/>
            <w:shd w:val="clear" w:color="auto" w:fill="D5DCE4" w:themeFill="text2" w:themeFillTint="33"/>
          </w:tcPr>
          <w:p w14:paraId="3E958B25" w14:textId="77777777" w:rsidR="00911498" w:rsidRPr="008F332A" w:rsidRDefault="00911498" w:rsidP="003A2CCC">
            <w:pPr>
              <w:widowControl w:val="0"/>
              <w:autoSpaceDE w:val="0"/>
              <w:autoSpaceDN w:val="0"/>
              <w:adjustRightInd w:val="0"/>
              <w:spacing w:after="0"/>
              <w:rPr>
                <w:rFonts w:eastAsiaTheme="minorEastAsia" w:cstheme="minorHAnsi"/>
                <w:sz w:val="20"/>
              </w:rPr>
            </w:pPr>
            <w:r w:rsidRPr="008F332A">
              <w:rPr>
                <w:rFonts w:eastAsiaTheme="minorEastAsia" w:cstheme="minorHAnsi"/>
                <w:sz w:val="20"/>
              </w:rPr>
              <w:t xml:space="preserve">12. Lack of CSO and government familiarity with research techniques and evidence-based practices </w:t>
            </w:r>
          </w:p>
        </w:tc>
        <w:tc>
          <w:tcPr>
            <w:tcW w:w="1122" w:type="pct"/>
          </w:tcPr>
          <w:p w14:paraId="0A07F19F" w14:textId="77777777" w:rsidR="00911498" w:rsidRPr="008F332A" w:rsidRDefault="00911498" w:rsidP="003A2CCC">
            <w:pPr>
              <w:spacing w:after="80"/>
              <w:rPr>
                <w:rFonts w:cstheme="minorHAnsi"/>
                <w:sz w:val="20"/>
              </w:rPr>
            </w:pPr>
            <w:r w:rsidRPr="008F332A">
              <w:rPr>
                <w:rFonts w:cstheme="minorHAnsi"/>
                <w:sz w:val="20"/>
              </w:rPr>
              <w:t xml:space="preserve">Reluctance to invest time in research, and limited value can be placed on research findings. </w:t>
            </w:r>
          </w:p>
        </w:tc>
        <w:tc>
          <w:tcPr>
            <w:tcW w:w="155" w:type="pct"/>
            <w:vAlign w:val="center"/>
          </w:tcPr>
          <w:p w14:paraId="6DCD18CE" w14:textId="77777777" w:rsidR="00911498" w:rsidRPr="008F332A" w:rsidRDefault="00911498" w:rsidP="003A2CCC">
            <w:pPr>
              <w:spacing w:after="80"/>
              <w:rPr>
                <w:rFonts w:cstheme="minorHAnsi"/>
                <w:sz w:val="20"/>
              </w:rPr>
            </w:pPr>
            <w:r w:rsidRPr="008F332A">
              <w:rPr>
                <w:rFonts w:cstheme="minorHAnsi"/>
                <w:sz w:val="20"/>
              </w:rPr>
              <w:t>3</w:t>
            </w:r>
          </w:p>
        </w:tc>
        <w:tc>
          <w:tcPr>
            <w:tcW w:w="155" w:type="pct"/>
            <w:vAlign w:val="center"/>
          </w:tcPr>
          <w:p w14:paraId="703D91F1" w14:textId="77777777" w:rsidR="00911498" w:rsidRPr="008F332A" w:rsidRDefault="00911498" w:rsidP="003A2CCC">
            <w:pPr>
              <w:spacing w:after="80"/>
              <w:rPr>
                <w:rFonts w:cstheme="minorHAnsi"/>
                <w:sz w:val="20"/>
              </w:rPr>
            </w:pPr>
            <w:r w:rsidRPr="008F332A">
              <w:rPr>
                <w:rFonts w:cstheme="minorHAnsi"/>
                <w:sz w:val="20"/>
              </w:rPr>
              <w:t>3</w:t>
            </w:r>
          </w:p>
        </w:tc>
        <w:tc>
          <w:tcPr>
            <w:tcW w:w="155" w:type="pct"/>
            <w:vAlign w:val="center"/>
          </w:tcPr>
          <w:p w14:paraId="0514B52D" w14:textId="77777777" w:rsidR="00911498" w:rsidRPr="008F332A" w:rsidRDefault="00911498" w:rsidP="003A2CCC">
            <w:pPr>
              <w:spacing w:after="80"/>
              <w:rPr>
                <w:rFonts w:cstheme="minorHAnsi"/>
                <w:sz w:val="20"/>
              </w:rPr>
            </w:pPr>
            <w:r w:rsidRPr="008F332A">
              <w:rPr>
                <w:rFonts w:cstheme="minorHAnsi"/>
                <w:sz w:val="20"/>
              </w:rPr>
              <w:t>M</w:t>
            </w:r>
          </w:p>
        </w:tc>
        <w:tc>
          <w:tcPr>
            <w:tcW w:w="1888" w:type="pct"/>
          </w:tcPr>
          <w:p w14:paraId="0677451C" w14:textId="77777777" w:rsidR="00911498" w:rsidRPr="008F332A" w:rsidRDefault="00911498" w:rsidP="003A2CCC">
            <w:pPr>
              <w:widowControl w:val="0"/>
              <w:autoSpaceDE w:val="0"/>
              <w:autoSpaceDN w:val="0"/>
              <w:adjustRightInd w:val="0"/>
              <w:spacing w:after="0"/>
              <w:rPr>
                <w:rFonts w:eastAsiaTheme="minorEastAsia" w:cstheme="minorHAnsi"/>
                <w:bCs/>
                <w:iCs/>
                <w:color w:val="404040" w:themeColor="text1" w:themeTint="BF"/>
                <w:sz w:val="20"/>
              </w:rPr>
            </w:pPr>
            <w:r w:rsidRPr="008F332A">
              <w:rPr>
                <w:rFonts w:eastAsiaTheme="minorEastAsia" w:cstheme="minorHAnsi"/>
                <w:sz w:val="20"/>
              </w:rPr>
              <w:t>The research approach has increasingly involved staff undertaking research and reviewing research findings together with partners. Research “uptake” has involved discussion with relevant programs and stakeholders.</w:t>
            </w:r>
          </w:p>
        </w:tc>
        <w:tc>
          <w:tcPr>
            <w:tcW w:w="578" w:type="pct"/>
            <w:vAlign w:val="center"/>
          </w:tcPr>
          <w:p w14:paraId="28A2FAC5" w14:textId="77777777" w:rsidR="00911498" w:rsidRPr="008F332A" w:rsidRDefault="00911498" w:rsidP="003A2CCC">
            <w:pPr>
              <w:spacing w:after="80"/>
              <w:jc w:val="left"/>
              <w:rPr>
                <w:rFonts w:cstheme="minorHAnsi"/>
                <w:sz w:val="20"/>
              </w:rPr>
            </w:pPr>
            <w:r w:rsidRPr="008F332A">
              <w:rPr>
                <w:rFonts w:cstheme="minorHAnsi"/>
                <w:sz w:val="20"/>
              </w:rPr>
              <w:t>Nabilan Team Leader, Pillar Coordinators</w:t>
            </w:r>
          </w:p>
        </w:tc>
      </w:tr>
      <w:tr w:rsidR="00911498" w:rsidRPr="008F332A" w14:paraId="326F73DF" w14:textId="77777777" w:rsidTr="003A2CCC">
        <w:trPr>
          <w:trHeight w:val="734"/>
        </w:trPr>
        <w:tc>
          <w:tcPr>
            <w:tcW w:w="947" w:type="pct"/>
            <w:shd w:val="clear" w:color="auto" w:fill="D5DCE4" w:themeFill="text2" w:themeFillTint="33"/>
          </w:tcPr>
          <w:p w14:paraId="02DB8333" w14:textId="77777777" w:rsidR="00911498" w:rsidRPr="008F332A" w:rsidRDefault="00911498" w:rsidP="003A2CCC">
            <w:pPr>
              <w:widowControl w:val="0"/>
              <w:autoSpaceDE w:val="0"/>
              <w:autoSpaceDN w:val="0"/>
              <w:adjustRightInd w:val="0"/>
              <w:spacing w:after="0"/>
              <w:rPr>
                <w:rFonts w:eastAsiaTheme="minorEastAsia" w:cstheme="minorHAnsi"/>
                <w:sz w:val="20"/>
              </w:rPr>
            </w:pPr>
            <w:r w:rsidRPr="008F332A">
              <w:rPr>
                <w:rFonts w:eastAsiaTheme="minorEastAsia" w:cstheme="minorHAnsi"/>
                <w:sz w:val="20"/>
              </w:rPr>
              <w:t>13. Non-acceptance of program research findings by key stakeholders</w:t>
            </w:r>
          </w:p>
        </w:tc>
        <w:tc>
          <w:tcPr>
            <w:tcW w:w="1122" w:type="pct"/>
          </w:tcPr>
          <w:p w14:paraId="3A44F7FF" w14:textId="77777777" w:rsidR="00911498" w:rsidRPr="008F332A" w:rsidRDefault="00911498" w:rsidP="003A2CCC">
            <w:pPr>
              <w:spacing w:after="80"/>
              <w:rPr>
                <w:rFonts w:cstheme="minorHAnsi"/>
                <w:sz w:val="20"/>
              </w:rPr>
            </w:pPr>
            <w:r w:rsidRPr="008F332A">
              <w:rPr>
                <w:rFonts w:cstheme="minorHAnsi"/>
                <w:sz w:val="20"/>
              </w:rPr>
              <w:t xml:space="preserve">Limited value placed on research findings, leading to challenges in uptake of findings in developing evidence based strategies. </w:t>
            </w:r>
          </w:p>
        </w:tc>
        <w:tc>
          <w:tcPr>
            <w:tcW w:w="155" w:type="pct"/>
            <w:vAlign w:val="center"/>
          </w:tcPr>
          <w:p w14:paraId="02EABB86" w14:textId="77777777" w:rsidR="00911498" w:rsidRPr="008F332A" w:rsidRDefault="00911498" w:rsidP="003A2CCC">
            <w:pPr>
              <w:spacing w:after="80"/>
              <w:rPr>
                <w:rFonts w:cstheme="minorHAnsi"/>
                <w:sz w:val="20"/>
              </w:rPr>
            </w:pPr>
            <w:r w:rsidRPr="008F332A">
              <w:rPr>
                <w:rFonts w:cstheme="minorHAnsi"/>
                <w:sz w:val="20"/>
              </w:rPr>
              <w:t>2</w:t>
            </w:r>
          </w:p>
        </w:tc>
        <w:tc>
          <w:tcPr>
            <w:tcW w:w="155" w:type="pct"/>
            <w:vAlign w:val="center"/>
          </w:tcPr>
          <w:p w14:paraId="0228AB8C" w14:textId="77777777" w:rsidR="00911498" w:rsidRPr="008F332A" w:rsidRDefault="00911498" w:rsidP="003A2CCC">
            <w:pPr>
              <w:spacing w:after="80"/>
              <w:rPr>
                <w:rFonts w:cstheme="minorHAnsi"/>
                <w:sz w:val="20"/>
              </w:rPr>
            </w:pPr>
            <w:r w:rsidRPr="008F332A">
              <w:rPr>
                <w:rFonts w:cstheme="minorHAnsi"/>
                <w:sz w:val="20"/>
              </w:rPr>
              <w:t>3</w:t>
            </w:r>
          </w:p>
        </w:tc>
        <w:tc>
          <w:tcPr>
            <w:tcW w:w="155" w:type="pct"/>
            <w:vAlign w:val="center"/>
          </w:tcPr>
          <w:p w14:paraId="6D49BF40" w14:textId="77777777" w:rsidR="00911498" w:rsidRPr="008F332A" w:rsidRDefault="00911498" w:rsidP="003A2CCC">
            <w:pPr>
              <w:spacing w:after="80"/>
              <w:rPr>
                <w:rFonts w:cstheme="minorHAnsi"/>
                <w:sz w:val="20"/>
              </w:rPr>
            </w:pPr>
            <w:r w:rsidRPr="008F332A">
              <w:rPr>
                <w:rFonts w:cstheme="minorHAnsi"/>
                <w:sz w:val="20"/>
              </w:rPr>
              <w:t>M</w:t>
            </w:r>
          </w:p>
        </w:tc>
        <w:tc>
          <w:tcPr>
            <w:tcW w:w="1888" w:type="pct"/>
          </w:tcPr>
          <w:p w14:paraId="413ADD3A" w14:textId="77777777" w:rsidR="00911498" w:rsidRPr="008F332A" w:rsidRDefault="00911498" w:rsidP="003A2CCC">
            <w:pPr>
              <w:widowControl w:val="0"/>
              <w:autoSpaceDE w:val="0"/>
              <w:autoSpaceDN w:val="0"/>
              <w:adjustRightInd w:val="0"/>
              <w:spacing w:after="0"/>
              <w:rPr>
                <w:rFonts w:eastAsiaTheme="minorEastAsia" w:cstheme="minorHAnsi"/>
                <w:sz w:val="20"/>
              </w:rPr>
            </w:pPr>
            <w:r w:rsidRPr="008F332A">
              <w:rPr>
                <w:rFonts w:eastAsiaTheme="minorEastAsia" w:cstheme="minorHAnsi"/>
                <w:sz w:val="20"/>
              </w:rPr>
              <w:t xml:space="preserve">During Phase 1 Nabilan established a Research Reference Group to ensure research methodologies are relevant to the context of Timor-Leste, while continuing to draw on proven research methodologies used globally. Although research will be more limited in Phase 2 due to funding constraints, any research findings will continue to be presented with positive messaging that is relevant to the local context. The strategic use of research and engagement with key stakeholders on research design and findings aim to mitigate this risk. </w:t>
            </w:r>
          </w:p>
        </w:tc>
        <w:tc>
          <w:tcPr>
            <w:tcW w:w="578" w:type="pct"/>
            <w:vAlign w:val="center"/>
          </w:tcPr>
          <w:p w14:paraId="0A45CA52" w14:textId="77777777" w:rsidR="00911498" w:rsidRPr="008F332A" w:rsidRDefault="00911498" w:rsidP="003A2CCC">
            <w:pPr>
              <w:spacing w:after="80"/>
              <w:jc w:val="left"/>
              <w:rPr>
                <w:rFonts w:cstheme="minorHAnsi"/>
                <w:sz w:val="20"/>
              </w:rPr>
            </w:pPr>
            <w:r w:rsidRPr="008F332A">
              <w:rPr>
                <w:rFonts w:cstheme="minorHAnsi"/>
                <w:sz w:val="20"/>
              </w:rPr>
              <w:t xml:space="preserve">Nabilan Team Leader, Pillar Coordinators, M&amp;E team </w:t>
            </w:r>
          </w:p>
        </w:tc>
      </w:tr>
      <w:tr w:rsidR="00911498" w:rsidRPr="008F332A" w14:paraId="35BB46EE" w14:textId="77777777" w:rsidTr="003A2CCC">
        <w:trPr>
          <w:trHeight w:val="734"/>
        </w:trPr>
        <w:tc>
          <w:tcPr>
            <w:tcW w:w="947" w:type="pct"/>
            <w:shd w:val="clear" w:color="auto" w:fill="D5DCE4" w:themeFill="text2" w:themeFillTint="33"/>
          </w:tcPr>
          <w:p w14:paraId="78BD01CF" w14:textId="77777777" w:rsidR="00911498" w:rsidRPr="008F332A" w:rsidRDefault="00911498" w:rsidP="003A2CCC">
            <w:pPr>
              <w:widowControl w:val="0"/>
              <w:autoSpaceDE w:val="0"/>
              <w:autoSpaceDN w:val="0"/>
              <w:adjustRightInd w:val="0"/>
              <w:spacing w:after="0"/>
              <w:rPr>
                <w:rFonts w:eastAsiaTheme="minorEastAsia" w:cstheme="minorHAnsi"/>
                <w:sz w:val="20"/>
              </w:rPr>
            </w:pPr>
            <w:r w:rsidRPr="008F332A">
              <w:rPr>
                <w:rFonts w:eastAsiaTheme="minorEastAsia" w:cstheme="minorHAnsi"/>
                <w:sz w:val="20"/>
              </w:rPr>
              <w:t>14. Difficulty in getting traction within other DFAT sector programs</w:t>
            </w:r>
          </w:p>
          <w:p w14:paraId="05FB4D33" w14:textId="77777777" w:rsidR="00911498" w:rsidRPr="008F332A" w:rsidRDefault="00911498" w:rsidP="003A2CCC">
            <w:pPr>
              <w:spacing w:after="80"/>
              <w:rPr>
                <w:rFonts w:cstheme="minorHAnsi"/>
                <w:sz w:val="20"/>
              </w:rPr>
            </w:pPr>
          </w:p>
        </w:tc>
        <w:tc>
          <w:tcPr>
            <w:tcW w:w="1122" w:type="pct"/>
          </w:tcPr>
          <w:p w14:paraId="14CD5FB1" w14:textId="77777777" w:rsidR="00911498" w:rsidRPr="008F332A" w:rsidRDefault="00911498" w:rsidP="003A2CCC">
            <w:pPr>
              <w:spacing w:after="80"/>
              <w:rPr>
                <w:rFonts w:cstheme="minorHAnsi"/>
                <w:sz w:val="20"/>
              </w:rPr>
            </w:pPr>
            <w:r w:rsidRPr="008F332A">
              <w:rPr>
                <w:rFonts w:cstheme="minorHAnsi"/>
                <w:sz w:val="20"/>
              </w:rPr>
              <w:t>Impacts on the extent that the Australian Government can support a holistic approach to ending violence against women and children (current best practice) and maximise its investment in ending VAWC.</w:t>
            </w:r>
          </w:p>
        </w:tc>
        <w:tc>
          <w:tcPr>
            <w:tcW w:w="155" w:type="pct"/>
            <w:vAlign w:val="center"/>
          </w:tcPr>
          <w:p w14:paraId="25DCCBB0" w14:textId="77777777" w:rsidR="00911498" w:rsidRPr="008F332A" w:rsidRDefault="00911498" w:rsidP="003A2CCC">
            <w:pPr>
              <w:spacing w:after="80"/>
              <w:rPr>
                <w:rFonts w:cstheme="minorHAnsi"/>
                <w:sz w:val="20"/>
              </w:rPr>
            </w:pPr>
            <w:r w:rsidRPr="008F332A">
              <w:rPr>
                <w:rFonts w:cstheme="minorHAnsi"/>
                <w:sz w:val="20"/>
              </w:rPr>
              <w:t>3</w:t>
            </w:r>
          </w:p>
        </w:tc>
        <w:tc>
          <w:tcPr>
            <w:tcW w:w="155" w:type="pct"/>
            <w:vAlign w:val="center"/>
          </w:tcPr>
          <w:p w14:paraId="227EF63B" w14:textId="77777777" w:rsidR="00911498" w:rsidRPr="008F332A" w:rsidRDefault="00911498" w:rsidP="003A2CCC">
            <w:pPr>
              <w:spacing w:after="80"/>
              <w:rPr>
                <w:rFonts w:cstheme="minorHAnsi"/>
                <w:sz w:val="20"/>
              </w:rPr>
            </w:pPr>
            <w:r w:rsidRPr="008F332A">
              <w:rPr>
                <w:rFonts w:cstheme="minorHAnsi"/>
                <w:sz w:val="20"/>
              </w:rPr>
              <w:t>3</w:t>
            </w:r>
          </w:p>
        </w:tc>
        <w:tc>
          <w:tcPr>
            <w:tcW w:w="155" w:type="pct"/>
            <w:vAlign w:val="center"/>
          </w:tcPr>
          <w:p w14:paraId="7BB9005C" w14:textId="77777777" w:rsidR="00911498" w:rsidRPr="008F332A" w:rsidRDefault="00911498" w:rsidP="003A2CCC">
            <w:pPr>
              <w:spacing w:after="80"/>
              <w:rPr>
                <w:rFonts w:cstheme="minorHAnsi"/>
                <w:sz w:val="20"/>
              </w:rPr>
            </w:pPr>
            <w:r w:rsidRPr="008F332A">
              <w:rPr>
                <w:rFonts w:cstheme="minorHAnsi"/>
                <w:sz w:val="20"/>
              </w:rPr>
              <w:t>M</w:t>
            </w:r>
          </w:p>
        </w:tc>
        <w:tc>
          <w:tcPr>
            <w:tcW w:w="1888" w:type="pct"/>
          </w:tcPr>
          <w:p w14:paraId="034FBBD7" w14:textId="2DA6E0B0" w:rsidR="00911498" w:rsidRPr="008F332A" w:rsidRDefault="00911498" w:rsidP="00AE485F">
            <w:pPr>
              <w:widowControl w:val="0"/>
              <w:autoSpaceDE w:val="0"/>
              <w:autoSpaceDN w:val="0"/>
              <w:adjustRightInd w:val="0"/>
              <w:spacing w:after="0"/>
              <w:rPr>
                <w:rFonts w:eastAsiaTheme="minorEastAsia" w:cstheme="minorHAnsi"/>
                <w:sz w:val="20"/>
              </w:rPr>
            </w:pPr>
            <w:r w:rsidRPr="008F332A">
              <w:rPr>
                <w:rFonts w:eastAsiaTheme="minorEastAsia" w:cstheme="minorHAnsi"/>
                <w:sz w:val="20"/>
              </w:rPr>
              <w:t>Nabilan’s new Change Ambassadors Program will introduce a new approach to leveraging GoA funded programs. Early indications are that a number of DFAT programs including GfD, TOMAK and Workforce Development are keen to participate in this approach. Historically, the Foundation has attempted to use the Australian Government Gender Action Plan developed in early 2014 as a basis for securing the involvement of other sector programs. In addition, the Foundation attempted to establish regular policy dialogues per the recommendation of the Technical Advisory Group, in order to support coordination between Nabilan and other programs. Nabilan has met with sector programs outside of the policy dialogues.  This approach will be continued.</w:t>
            </w:r>
            <w:r w:rsidRPr="008F332A">
              <w:rPr>
                <w:rFonts w:cstheme="minorHAnsi"/>
                <w:sz w:val="20"/>
              </w:rPr>
              <w:t>. Nabilan Phase 2 will continue to encourage all DFAT Programs to use positive messaging on VAWC.</w:t>
            </w:r>
          </w:p>
        </w:tc>
        <w:tc>
          <w:tcPr>
            <w:tcW w:w="578" w:type="pct"/>
            <w:vAlign w:val="center"/>
          </w:tcPr>
          <w:p w14:paraId="24E5E8AB" w14:textId="77777777" w:rsidR="00911498" w:rsidRPr="008F332A" w:rsidRDefault="00911498" w:rsidP="003A2CCC">
            <w:pPr>
              <w:spacing w:after="80"/>
              <w:jc w:val="left"/>
              <w:rPr>
                <w:rFonts w:cstheme="minorHAnsi"/>
                <w:sz w:val="20"/>
              </w:rPr>
            </w:pPr>
            <w:r w:rsidRPr="008F332A">
              <w:rPr>
                <w:rFonts w:cstheme="minorHAnsi"/>
                <w:sz w:val="20"/>
              </w:rPr>
              <w:t>Australian Government</w:t>
            </w:r>
          </w:p>
          <w:p w14:paraId="231BBF7E" w14:textId="77777777" w:rsidR="00911498" w:rsidRPr="008F332A" w:rsidRDefault="00911498" w:rsidP="003A2CCC">
            <w:pPr>
              <w:spacing w:after="80"/>
              <w:jc w:val="left"/>
              <w:rPr>
                <w:rFonts w:cstheme="minorHAnsi"/>
                <w:sz w:val="20"/>
              </w:rPr>
            </w:pPr>
          </w:p>
          <w:p w14:paraId="7A8E074E" w14:textId="77777777" w:rsidR="00911498" w:rsidRPr="008F332A" w:rsidRDefault="00911498" w:rsidP="003A2CCC">
            <w:pPr>
              <w:spacing w:after="80"/>
              <w:jc w:val="left"/>
              <w:rPr>
                <w:rFonts w:cstheme="minorHAnsi"/>
                <w:sz w:val="20"/>
              </w:rPr>
            </w:pPr>
            <w:r w:rsidRPr="008F332A">
              <w:rPr>
                <w:rFonts w:cstheme="minorHAnsi"/>
                <w:sz w:val="20"/>
              </w:rPr>
              <w:t>Nabilan Team Leader</w:t>
            </w:r>
          </w:p>
        </w:tc>
      </w:tr>
      <w:tr w:rsidR="00911498" w:rsidRPr="008F332A" w14:paraId="5892ED7A" w14:textId="77777777" w:rsidTr="003A2CCC">
        <w:trPr>
          <w:trHeight w:val="306"/>
        </w:trPr>
        <w:tc>
          <w:tcPr>
            <w:tcW w:w="5000" w:type="pct"/>
            <w:gridSpan w:val="7"/>
            <w:shd w:val="clear" w:color="auto" w:fill="D5DCE4" w:themeFill="text2" w:themeFillTint="33"/>
          </w:tcPr>
          <w:p w14:paraId="6C9CDB38" w14:textId="77777777" w:rsidR="00911498" w:rsidRPr="008F332A" w:rsidRDefault="00911498" w:rsidP="003A2CCC">
            <w:pPr>
              <w:spacing w:after="80"/>
              <w:jc w:val="left"/>
              <w:rPr>
                <w:rFonts w:cstheme="minorHAnsi"/>
                <w:sz w:val="20"/>
              </w:rPr>
            </w:pPr>
            <w:r w:rsidRPr="008F332A">
              <w:rPr>
                <w:rFonts w:cstheme="minorHAnsi"/>
                <w:sz w:val="20"/>
              </w:rPr>
              <w:t>Institutional Risks</w:t>
            </w:r>
          </w:p>
        </w:tc>
      </w:tr>
      <w:tr w:rsidR="00911498" w:rsidRPr="008F332A" w14:paraId="3F9B8235" w14:textId="77777777" w:rsidTr="003A2CCC">
        <w:trPr>
          <w:trHeight w:val="306"/>
        </w:trPr>
        <w:tc>
          <w:tcPr>
            <w:tcW w:w="947" w:type="pct"/>
            <w:shd w:val="clear" w:color="auto" w:fill="D5DCE4" w:themeFill="text2" w:themeFillTint="33"/>
          </w:tcPr>
          <w:p w14:paraId="17AD3E29" w14:textId="77777777" w:rsidR="00911498" w:rsidRPr="008F332A" w:rsidRDefault="00911498" w:rsidP="003A2CCC">
            <w:pPr>
              <w:widowControl w:val="0"/>
              <w:autoSpaceDE w:val="0"/>
              <w:autoSpaceDN w:val="0"/>
              <w:adjustRightInd w:val="0"/>
              <w:spacing w:after="0"/>
              <w:rPr>
                <w:rFonts w:eastAsiaTheme="minorEastAsia" w:cstheme="minorHAnsi"/>
                <w:sz w:val="20"/>
              </w:rPr>
            </w:pPr>
            <w:r w:rsidRPr="008F332A">
              <w:rPr>
                <w:rFonts w:eastAsiaTheme="minorEastAsia" w:cstheme="minorHAnsi"/>
                <w:sz w:val="20"/>
              </w:rPr>
              <w:t>1. Financial mismanagement by grantees</w:t>
            </w:r>
          </w:p>
          <w:p w14:paraId="6C366064" w14:textId="77777777" w:rsidR="00911498" w:rsidRPr="008F332A" w:rsidRDefault="00911498" w:rsidP="003A2CCC">
            <w:pPr>
              <w:autoSpaceDE w:val="0"/>
              <w:autoSpaceDN w:val="0"/>
              <w:adjustRightInd w:val="0"/>
              <w:spacing w:after="80"/>
              <w:rPr>
                <w:rFonts w:cstheme="minorHAnsi"/>
                <w:sz w:val="20"/>
              </w:rPr>
            </w:pPr>
          </w:p>
        </w:tc>
        <w:tc>
          <w:tcPr>
            <w:tcW w:w="1122" w:type="pct"/>
          </w:tcPr>
          <w:p w14:paraId="7D1CD0B0" w14:textId="77777777" w:rsidR="00911498" w:rsidRPr="008F332A" w:rsidRDefault="00911498" w:rsidP="003A2CCC">
            <w:pPr>
              <w:spacing w:after="80"/>
              <w:rPr>
                <w:rFonts w:eastAsiaTheme="minorEastAsia" w:cstheme="minorHAnsi"/>
                <w:sz w:val="20"/>
              </w:rPr>
            </w:pPr>
            <w:r w:rsidRPr="008F332A">
              <w:rPr>
                <w:rFonts w:eastAsiaTheme="minorEastAsia" w:cstheme="minorHAnsi"/>
                <w:sz w:val="20"/>
              </w:rPr>
              <w:t>Loss of program funds, loss of confidence in the Nabilan Program, or the end of a relationship with a partner impacts on program delivery.</w:t>
            </w:r>
          </w:p>
          <w:p w14:paraId="557EF396" w14:textId="77777777" w:rsidR="00911498" w:rsidRPr="008F332A" w:rsidRDefault="00911498" w:rsidP="003A2CCC">
            <w:pPr>
              <w:spacing w:after="80"/>
              <w:rPr>
                <w:rFonts w:cstheme="minorHAnsi"/>
                <w:sz w:val="20"/>
              </w:rPr>
            </w:pPr>
            <w:r w:rsidRPr="008F332A">
              <w:rPr>
                <w:rFonts w:eastAsiaTheme="minorEastAsia" w:cstheme="minorHAnsi"/>
                <w:sz w:val="20"/>
              </w:rPr>
              <w:t>Impacts on clients if funding an organisation becomes not viable due to financial mismanagement.</w:t>
            </w:r>
          </w:p>
        </w:tc>
        <w:tc>
          <w:tcPr>
            <w:tcW w:w="155" w:type="pct"/>
            <w:vAlign w:val="center"/>
          </w:tcPr>
          <w:p w14:paraId="0253A0E1" w14:textId="77777777" w:rsidR="00911498" w:rsidRPr="008F332A" w:rsidRDefault="00911498" w:rsidP="003A2CCC">
            <w:pPr>
              <w:spacing w:after="80"/>
              <w:rPr>
                <w:rFonts w:cstheme="minorHAnsi"/>
                <w:sz w:val="20"/>
              </w:rPr>
            </w:pPr>
            <w:r w:rsidRPr="008F332A">
              <w:rPr>
                <w:rFonts w:cstheme="minorHAnsi"/>
                <w:sz w:val="20"/>
              </w:rPr>
              <w:t>3</w:t>
            </w:r>
          </w:p>
        </w:tc>
        <w:tc>
          <w:tcPr>
            <w:tcW w:w="155" w:type="pct"/>
            <w:vAlign w:val="center"/>
          </w:tcPr>
          <w:p w14:paraId="5D4F93FB" w14:textId="77777777" w:rsidR="00911498" w:rsidRPr="008F332A" w:rsidRDefault="00911498" w:rsidP="003A2CCC">
            <w:pPr>
              <w:spacing w:after="80"/>
              <w:rPr>
                <w:rFonts w:cstheme="minorHAnsi"/>
                <w:sz w:val="20"/>
              </w:rPr>
            </w:pPr>
            <w:r w:rsidRPr="008F332A">
              <w:rPr>
                <w:rFonts w:cstheme="minorHAnsi"/>
                <w:sz w:val="20"/>
              </w:rPr>
              <w:t>2</w:t>
            </w:r>
          </w:p>
        </w:tc>
        <w:tc>
          <w:tcPr>
            <w:tcW w:w="155" w:type="pct"/>
            <w:vAlign w:val="center"/>
          </w:tcPr>
          <w:p w14:paraId="50ECDF86" w14:textId="77777777" w:rsidR="00911498" w:rsidRPr="008F332A" w:rsidRDefault="00911498" w:rsidP="003A2CCC">
            <w:pPr>
              <w:spacing w:after="80"/>
              <w:rPr>
                <w:rFonts w:cstheme="minorHAnsi"/>
                <w:sz w:val="20"/>
              </w:rPr>
            </w:pPr>
            <w:r w:rsidRPr="008F332A">
              <w:rPr>
                <w:rFonts w:cstheme="minorHAnsi"/>
                <w:sz w:val="20"/>
              </w:rPr>
              <w:t>M</w:t>
            </w:r>
          </w:p>
        </w:tc>
        <w:tc>
          <w:tcPr>
            <w:tcW w:w="1888" w:type="pct"/>
          </w:tcPr>
          <w:p w14:paraId="2A47F245" w14:textId="77777777" w:rsidR="00911498" w:rsidRPr="008F332A" w:rsidRDefault="00911498" w:rsidP="003A2CCC">
            <w:pPr>
              <w:widowControl w:val="0"/>
              <w:autoSpaceDE w:val="0"/>
              <w:autoSpaceDN w:val="0"/>
              <w:adjustRightInd w:val="0"/>
              <w:spacing w:after="0"/>
              <w:rPr>
                <w:rFonts w:eastAsiaTheme="minorEastAsia" w:cstheme="minorHAnsi"/>
                <w:bCs/>
                <w:iCs/>
                <w:color w:val="404040" w:themeColor="text1" w:themeTint="BF"/>
                <w:sz w:val="20"/>
              </w:rPr>
            </w:pPr>
            <w:r w:rsidRPr="008F332A">
              <w:rPr>
                <w:rFonts w:eastAsiaTheme="minorEastAsia" w:cstheme="minorHAnsi"/>
                <w:sz w:val="20"/>
              </w:rPr>
              <w:t>The Foundation’s due diligence and financial management systems, including close monitoring and capacity building for grantees, protect against financial mismanagement. Audits are conducted and any issues raised and followed up. The Foundation has placed increased resources on management of the grants to assist with monitoring and capacity building of partners. The Foundation will ensure close communication with the Australian Government regarding any concerns.</w:t>
            </w:r>
          </w:p>
        </w:tc>
        <w:tc>
          <w:tcPr>
            <w:tcW w:w="578" w:type="pct"/>
            <w:vAlign w:val="center"/>
          </w:tcPr>
          <w:p w14:paraId="25260BB2" w14:textId="77777777" w:rsidR="00911498" w:rsidRPr="008F332A" w:rsidRDefault="00911498" w:rsidP="003A2CCC">
            <w:pPr>
              <w:spacing w:after="80"/>
              <w:jc w:val="left"/>
              <w:rPr>
                <w:rFonts w:cstheme="minorHAnsi"/>
                <w:sz w:val="20"/>
              </w:rPr>
            </w:pPr>
            <w:r w:rsidRPr="008F332A">
              <w:rPr>
                <w:rFonts w:cstheme="minorHAnsi"/>
                <w:sz w:val="20"/>
              </w:rPr>
              <w:t xml:space="preserve">Nabilan Team Leader, Finance Manager, Pillar Coordinators </w:t>
            </w:r>
          </w:p>
        </w:tc>
      </w:tr>
      <w:tr w:rsidR="00911498" w:rsidRPr="008F332A" w14:paraId="51EB337A" w14:textId="77777777" w:rsidTr="003A2CCC">
        <w:trPr>
          <w:trHeight w:val="306"/>
        </w:trPr>
        <w:tc>
          <w:tcPr>
            <w:tcW w:w="947" w:type="pct"/>
            <w:shd w:val="clear" w:color="auto" w:fill="D5DCE4" w:themeFill="text2" w:themeFillTint="33"/>
          </w:tcPr>
          <w:p w14:paraId="4BDEFD3A" w14:textId="77777777" w:rsidR="00911498" w:rsidRPr="008F332A" w:rsidRDefault="00911498" w:rsidP="003A2CCC">
            <w:pPr>
              <w:widowControl w:val="0"/>
              <w:autoSpaceDE w:val="0"/>
              <w:autoSpaceDN w:val="0"/>
              <w:adjustRightInd w:val="0"/>
              <w:spacing w:after="0"/>
              <w:rPr>
                <w:rFonts w:eastAsiaTheme="minorEastAsia" w:cstheme="minorHAnsi"/>
                <w:sz w:val="20"/>
              </w:rPr>
            </w:pPr>
            <w:r w:rsidRPr="008F332A">
              <w:rPr>
                <w:rFonts w:eastAsiaTheme="minorEastAsia" w:cstheme="minorHAnsi"/>
                <w:sz w:val="20"/>
              </w:rPr>
              <w:t xml:space="preserve">2. Difficulties in attracting and recruiting staff with appropriate knowledge and experience in VAW issues </w:t>
            </w:r>
          </w:p>
          <w:p w14:paraId="44A568F8" w14:textId="77777777" w:rsidR="00911498" w:rsidRPr="008F332A" w:rsidRDefault="00911498" w:rsidP="003A2CCC">
            <w:pPr>
              <w:widowControl w:val="0"/>
              <w:autoSpaceDE w:val="0"/>
              <w:autoSpaceDN w:val="0"/>
              <w:adjustRightInd w:val="0"/>
              <w:spacing w:after="0"/>
              <w:rPr>
                <w:rFonts w:eastAsiaTheme="minorEastAsia" w:cstheme="minorHAnsi"/>
                <w:sz w:val="20"/>
              </w:rPr>
            </w:pPr>
          </w:p>
        </w:tc>
        <w:tc>
          <w:tcPr>
            <w:tcW w:w="1122" w:type="pct"/>
          </w:tcPr>
          <w:p w14:paraId="18B8D633" w14:textId="77777777" w:rsidR="00911498" w:rsidRPr="008F332A" w:rsidRDefault="00911498" w:rsidP="003A2CCC">
            <w:pPr>
              <w:spacing w:after="80"/>
              <w:rPr>
                <w:rFonts w:eastAsiaTheme="minorEastAsia" w:cstheme="minorHAnsi"/>
                <w:sz w:val="20"/>
              </w:rPr>
            </w:pPr>
            <w:r w:rsidRPr="008F332A">
              <w:rPr>
                <w:rFonts w:eastAsiaTheme="minorEastAsia" w:cstheme="minorHAnsi"/>
                <w:sz w:val="20"/>
              </w:rPr>
              <w:t xml:space="preserve">Nabilan’s ability to provide appropriate technical support is limited. Extensive time and effort required for recruitment. </w:t>
            </w:r>
          </w:p>
        </w:tc>
        <w:tc>
          <w:tcPr>
            <w:tcW w:w="155" w:type="pct"/>
            <w:vAlign w:val="center"/>
          </w:tcPr>
          <w:p w14:paraId="05FE2FC8" w14:textId="77777777" w:rsidR="00911498" w:rsidRPr="008F332A" w:rsidRDefault="00911498" w:rsidP="003A2CCC">
            <w:pPr>
              <w:spacing w:after="80"/>
              <w:rPr>
                <w:rFonts w:cstheme="minorHAnsi"/>
                <w:sz w:val="20"/>
              </w:rPr>
            </w:pPr>
            <w:r w:rsidRPr="008F332A">
              <w:rPr>
                <w:rFonts w:cstheme="minorHAnsi"/>
                <w:sz w:val="20"/>
              </w:rPr>
              <w:t>3</w:t>
            </w:r>
          </w:p>
        </w:tc>
        <w:tc>
          <w:tcPr>
            <w:tcW w:w="155" w:type="pct"/>
            <w:vAlign w:val="center"/>
          </w:tcPr>
          <w:p w14:paraId="037BC98D" w14:textId="77777777" w:rsidR="00911498" w:rsidRPr="008F332A" w:rsidRDefault="00911498" w:rsidP="003A2CCC">
            <w:pPr>
              <w:spacing w:after="80"/>
              <w:rPr>
                <w:rFonts w:cstheme="minorHAnsi"/>
                <w:sz w:val="20"/>
              </w:rPr>
            </w:pPr>
            <w:r w:rsidRPr="008F332A">
              <w:rPr>
                <w:rFonts w:cstheme="minorHAnsi"/>
                <w:sz w:val="20"/>
              </w:rPr>
              <w:t>3</w:t>
            </w:r>
          </w:p>
        </w:tc>
        <w:tc>
          <w:tcPr>
            <w:tcW w:w="155" w:type="pct"/>
            <w:vAlign w:val="center"/>
          </w:tcPr>
          <w:p w14:paraId="3EEFDB0C" w14:textId="77777777" w:rsidR="00911498" w:rsidRPr="008F332A" w:rsidRDefault="00911498" w:rsidP="003A2CCC">
            <w:pPr>
              <w:spacing w:after="80"/>
              <w:rPr>
                <w:rFonts w:cstheme="minorHAnsi"/>
                <w:sz w:val="20"/>
              </w:rPr>
            </w:pPr>
            <w:r w:rsidRPr="008F332A">
              <w:rPr>
                <w:rFonts w:cstheme="minorHAnsi"/>
                <w:sz w:val="20"/>
              </w:rPr>
              <w:t>M</w:t>
            </w:r>
          </w:p>
        </w:tc>
        <w:tc>
          <w:tcPr>
            <w:tcW w:w="1888" w:type="pct"/>
          </w:tcPr>
          <w:p w14:paraId="12B33760" w14:textId="77777777" w:rsidR="00911498" w:rsidRPr="008F332A" w:rsidRDefault="00911498" w:rsidP="003A2CCC">
            <w:pPr>
              <w:widowControl w:val="0"/>
              <w:autoSpaceDE w:val="0"/>
              <w:autoSpaceDN w:val="0"/>
              <w:adjustRightInd w:val="0"/>
              <w:spacing w:after="0"/>
              <w:rPr>
                <w:rFonts w:eastAsiaTheme="minorEastAsia" w:cstheme="minorHAnsi"/>
                <w:sz w:val="20"/>
              </w:rPr>
            </w:pPr>
            <w:r w:rsidRPr="008F332A">
              <w:rPr>
                <w:rFonts w:eastAsiaTheme="minorEastAsia" w:cstheme="minorHAnsi"/>
                <w:sz w:val="20"/>
              </w:rPr>
              <w:t>The Accredited Social Services Training Program has been the key action to address this risk. Both students and trainers learned a great deal during the first round of training.  Finding staff with technical knowledge on violence prevention and/or staff with quick uptake of these skills continues to be a challenge.</w:t>
            </w:r>
          </w:p>
          <w:p w14:paraId="00601374" w14:textId="77777777" w:rsidR="00911498" w:rsidRPr="008F332A" w:rsidRDefault="00911498" w:rsidP="003A2CCC">
            <w:pPr>
              <w:widowControl w:val="0"/>
              <w:autoSpaceDE w:val="0"/>
              <w:autoSpaceDN w:val="0"/>
              <w:adjustRightInd w:val="0"/>
              <w:spacing w:after="0"/>
              <w:rPr>
                <w:rFonts w:eastAsiaTheme="minorEastAsia" w:cstheme="minorHAnsi"/>
                <w:sz w:val="20"/>
              </w:rPr>
            </w:pPr>
          </w:p>
        </w:tc>
        <w:tc>
          <w:tcPr>
            <w:tcW w:w="578" w:type="pct"/>
            <w:vAlign w:val="center"/>
          </w:tcPr>
          <w:p w14:paraId="00D6F7C0" w14:textId="77777777" w:rsidR="00911498" w:rsidRPr="008F332A" w:rsidRDefault="00911498" w:rsidP="003A2CCC">
            <w:pPr>
              <w:spacing w:after="80"/>
              <w:jc w:val="left"/>
              <w:rPr>
                <w:rFonts w:cstheme="minorHAnsi"/>
                <w:sz w:val="20"/>
              </w:rPr>
            </w:pPr>
            <w:r w:rsidRPr="008F332A">
              <w:rPr>
                <w:rFonts w:cstheme="minorHAnsi"/>
                <w:sz w:val="20"/>
              </w:rPr>
              <w:t xml:space="preserve">Services and Social Norms Change Coordinators, Foundation Human Resources Team, </w:t>
            </w:r>
          </w:p>
        </w:tc>
      </w:tr>
      <w:tr w:rsidR="00911498" w:rsidRPr="008F332A" w14:paraId="20B32588" w14:textId="77777777" w:rsidTr="003A2CCC">
        <w:trPr>
          <w:trHeight w:val="306"/>
        </w:trPr>
        <w:tc>
          <w:tcPr>
            <w:tcW w:w="947" w:type="pct"/>
            <w:shd w:val="clear" w:color="auto" w:fill="D5DCE4" w:themeFill="text2" w:themeFillTint="33"/>
          </w:tcPr>
          <w:p w14:paraId="4722B669" w14:textId="77777777" w:rsidR="00911498" w:rsidRPr="008F332A" w:rsidRDefault="00911498" w:rsidP="003A2CCC">
            <w:pPr>
              <w:widowControl w:val="0"/>
              <w:autoSpaceDE w:val="0"/>
              <w:autoSpaceDN w:val="0"/>
              <w:adjustRightInd w:val="0"/>
              <w:spacing w:after="0"/>
              <w:rPr>
                <w:rFonts w:eastAsiaTheme="minorEastAsia" w:cstheme="minorHAnsi"/>
                <w:sz w:val="20"/>
              </w:rPr>
            </w:pPr>
            <w:r w:rsidRPr="008F332A">
              <w:rPr>
                <w:rFonts w:eastAsiaTheme="minorEastAsia" w:cstheme="minorHAnsi"/>
                <w:sz w:val="20"/>
              </w:rPr>
              <w:t>3. Reductions in funding means reduced FTE staff time on the program</w:t>
            </w:r>
          </w:p>
        </w:tc>
        <w:tc>
          <w:tcPr>
            <w:tcW w:w="1122" w:type="pct"/>
          </w:tcPr>
          <w:p w14:paraId="19BCA633" w14:textId="77777777" w:rsidR="00911498" w:rsidRPr="008F332A" w:rsidRDefault="00911498" w:rsidP="003A2CCC">
            <w:pPr>
              <w:spacing w:after="80"/>
              <w:rPr>
                <w:rFonts w:eastAsiaTheme="minorEastAsia" w:cstheme="minorHAnsi"/>
                <w:sz w:val="20"/>
              </w:rPr>
            </w:pPr>
            <w:r w:rsidRPr="008F332A">
              <w:rPr>
                <w:rFonts w:eastAsiaTheme="minorEastAsia" w:cstheme="minorHAnsi"/>
                <w:sz w:val="20"/>
              </w:rPr>
              <w:t>Less technical support and monitoring of partners and less cross-program support and collaboration.</w:t>
            </w:r>
          </w:p>
          <w:p w14:paraId="7540B403" w14:textId="77777777" w:rsidR="00911498" w:rsidRPr="008F332A" w:rsidRDefault="00911498" w:rsidP="003A2CCC">
            <w:pPr>
              <w:spacing w:after="80"/>
              <w:rPr>
                <w:rFonts w:eastAsiaTheme="minorEastAsia" w:cstheme="minorHAnsi"/>
                <w:sz w:val="20"/>
              </w:rPr>
            </w:pPr>
            <w:r w:rsidRPr="008F332A">
              <w:rPr>
                <w:rFonts w:eastAsiaTheme="minorEastAsia" w:cstheme="minorHAnsi"/>
                <w:sz w:val="20"/>
              </w:rPr>
              <w:t>Reduction in technical support means less time for senior technical staff to help partners address complicated cases. This severely impacts on the ability to improve outcomes for women and children affected by violence, as many complicated cases would not be resolved without Nabilan’s support.</w:t>
            </w:r>
          </w:p>
          <w:p w14:paraId="4E46CDDA" w14:textId="77777777" w:rsidR="00911498" w:rsidRPr="008F332A" w:rsidRDefault="00911498" w:rsidP="003A2CCC">
            <w:pPr>
              <w:spacing w:after="80"/>
              <w:rPr>
                <w:rFonts w:eastAsiaTheme="minorEastAsia" w:cstheme="minorHAnsi"/>
                <w:sz w:val="20"/>
              </w:rPr>
            </w:pPr>
            <w:r w:rsidRPr="008F332A">
              <w:rPr>
                <w:rFonts w:eastAsiaTheme="minorEastAsia" w:cstheme="minorHAnsi"/>
                <w:sz w:val="20"/>
              </w:rPr>
              <w:t>Staff will be unable to provide ad-hoc trainings without increased resourcing</w:t>
            </w:r>
          </w:p>
        </w:tc>
        <w:tc>
          <w:tcPr>
            <w:tcW w:w="155" w:type="pct"/>
            <w:vAlign w:val="center"/>
          </w:tcPr>
          <w:p w14:paraId="0D53FA4B" w14:textId="77777777" w:rsidR="00911498" w:rsidRPr="008F332A" w:rsidRDefault="00911498" w:rsidP="003A2CCC">
            <w:pPr>
              <w:spacing w:after="80"/>
              <w:rPr>
                <w:rFonts w:cstheme="minorHAnsi"/>
                <w:sz w:val="20"/>
              </w:rPr>
            </w:pPr>
            <w:r w:rsidRPr="008F332A">
              <w:rPr>
                <w:rFonts w:cstheme="minorHAnsi"/>
                <w:sz w:val="20"/>
              </w:rPr>
              <w:t>3</w:t>
            </w:r>
          </w:p>
        </w:tc>
        <w:tc>
          <w:tcPr>
            <w:tcW w:w="155" w:type="pct"/>
            <w:vAlign w:val="center"/>
          </w:tcPr>
          <w:p w14:paraId="69B5B768" w14:textId="77777777" w:rsidR="00911498" w:rsidRPr="008F332A" w:rsidRDefault="00911498" w:rsidP="003A2CCC">
            <w:pPr>
              <w:spacing w:after="80"/>
              <w:rPr>
                <w:rFonts w:cstheme="minorHAnsi"/>
                <w:sz w:val="20"/>
              </w:rPr>
            </w:pPr>
            <w:r w:rsidRPr="008F332A">
              <w:rPr>
                <w:rFonts w:cstheme="minorHAnsi"/>
                <w:sz w:val="20"/>
              </w:rPr>
              <w:t>3</w:t>
            </w:r>
          </w:p>
        </w:tc>
        <w:tc>
          <w:tcPr>
            <w:tcW w:w="155" w:type="pct"/>
            <w:vAlign w:val="center"/>
          </w:tcPr>
          <w:p w14:paraId="7B49F867" w14:textId="77777777" w:rsidR="00911498" w:rsidRPr="008F332A" w:rsidRDefault="00911498" w:rsidP="003A2CCC">
            <w:pPr>
              <w:spacing w:after="80"/>
              <w:rPr>
                <w:rFonts w:cstheme="minorHAnsi"/>
                <w:sz w:val="20"/>
              </w:rPr>
            </w:pPr>
            <w:r w:rsidRPr="008F332A">
              <w:rPr>
                <w:rFonts w:cstheme="minorHAnsi"/>
                <w:sz w:val="20"/>
              </w:rPr>
              <w:t>M</w:t>
            </w:r>
          </w:p>
        </w:tc>
        <w:tc>
          <w:tcPr>
            <w:tcW w:w="1888" w:type="pct"/>
          </w:tcPr>
          <w:p w14:paraId="5FCB8FA3" w14:textId="77777777" w:rsidR="00911498" w:rsidRPr="008F332A" w:rsidRDefault="00911498" w:rsidP="003A2CCC">
            <w:pPr>
              <w:widowControl w:val="0"/>
              <w:autoSpaceDE w:val="0"/>
              <w:autoSpaceDN w:val="0"/>
              <w:adjustRightInd w:val="0"/>
              <w:spacing w:after="0"/>
              <w:rPr>
                <w:rFonts w:eastAsiaTheme="minorEastAsia" w:cstheme="minorHAnsi"/>
                <w:sz w:val="20"/>
              </w:rPr>
            </w:pPr>
          </w:p>
          <w:p w14:paraId="1F5242BF" w14:textId="77777777" w:rsidR="00911498" w:rsidRPr="008F332A" w:rsidRDefault="00911498" w:rsidP="003A2CCC">
            <w:pPr>
              <w:widowControl w:val="0"/>
              <w:autoSpaceDE w:val="0"/>
              <w:autoSpaceDN w:val="0"/>
              <w:adjustRightInd w:val="0"/>
              <w:spacing w:after="0"/>
              <w:rPr>
                <w:rFonts w:eastAsiaTheme="minorEastAsia" w:cstheme="minorHAnsi"/>
                <w:sz w:val="20"/>
              </w:rPr>
            </w:pPr>
            <w:r w:rsidRPr="008F332A">
              <w:rPr>
                <w:rFonts w:eastAsiaTheme="minorEastAsia" w:cstheme="minorHAnsi"/>
                <w:sz w:val="20"/>
              </w:rPr>
              <w:t>Approach to TA will be reviewed in early stages of Phase 2 to take account of new circumstances</w:t>
            </w:r>
          </w:p>
          <w:p w14:paraId="31D76DC2" w14:textId="77777777" w:rsidR="00911498" w:rsidRPr="008F332A" w:rsidRDefault="00911498" w:rsidP="003A2CCC">
            <w:pPr>
              <w:widowControl w:val="0"/>
              <w:autoSpaceDE w:val="0"/>
              <w:autoSpaceDN w:val="0"/>
              <w:adjustRightInd w:val="0"/>
              <w:spacing w:after="0"/>
              <w:rPr>
                <w:rFonts w:eastAsiaTheme="minorEastAsia" w:cstheme="minorHAnsi"/>
                <w:sz w:val="20"/>
              </w:rPr>
            </w:pPr>
          </w:p>
          <w:p w14:paraId="309A732F" w14:textId="77777777" w:rsidR="00911498" w:rsidRPr="008F332A" w:rsidRDefault="00911498" w:rsidP="003A2CCC">
            <w:pPr>
              <w:widowControl w:val="0"/>
              <w:autoSpaceDE w:val="0"/>
              <w:autoSpaceDN w:val="0"/>
              <w:adjustRightInd w:val="0"/>
              <w:spacing w:after="0"/>
              <w:rPr>
                <w:rFonts w:eastAsiaTheme="minorEastAsia" w:cstheme="minorHAnsi"/>
                <w:sz w:val="20"/>
              </w:rPr>
            </w:pPr>
            <w:r w:rsidRPr="008F332A">
              <w:rPr>
                <w:rFonts w:eastAsiaTheme="minorEastAsia" w:cstheme="minorHAnsi"/>
                <w:sz w:val="20"/>
              </w:rPr>
              <w:t>Nabilan will not be able to accommodate most requests for ad-hoc training.</w:t>
            </w:r>
          </w:p>
          <w:p w14:paraId="3041A565" w14:textId="77777777" w:rsidR="00911498" w:rsidRPr="008F332A" w:rsidRDefault="00911498" w:rsidP="003A2CCC">
            <w:pPr>
              <w:widowControl w:val="0"/>
              <w:autoSpaceDE w:val="0"/>
              <w:autoSpaceDN w:val="0"/>
              <w:adjustRightInd w:val="0"/>
              <w:spacing w:after="0"/>
              <w:rPr>
                <w:rFonts w:eastAsiaTheme="minorEastAsia" w:cstheme="minorHAnsi"/>
                <w:sz w:val="20"/>
              </w:rPr>
            </w:pPr>
          </w:p>
          <w:p w14:paraId="6172ECEE" w14:textId="77777777" w:rsidR="00911498" w:rsidRPr="008F332A" w:rsidRDefault="00911498" w:rsidP="003A2CCC">
            <w:pPr>
              <w:widowControl w:val="0"/>
              <w:autoSpaceDE w:val="0"/>
              <w:autoSpaceDN w:val="0"/>
              <w:adjustRightInd w:val="0"/>
              <w:spacing w:after="0"/>
              <w:rPr>
                <w:rFonts w:eastAsiaTheme="minorEastAsia" w:cstheme="minorHAnsi"/>
                <w:sz w:val="20"/>
              </w:rPr>
            </w:pPr>
            <w:r w:rsidRPr="008F332A">
              <w:rPr>
                <w:rFonts w:eastAsiaTheme="minorEastAsia" w:cstheme="minorHAnsi"/>
                <w:sz w:val="20"/>
              </w:rPr>
              <w:t xml:space="preserve">Possibilities for additional funding from another donor could be explored. </w:t>
            </w:r>
          </w:p>
        </w:tc>
        <w:tc>
          <w:tcPr>
            <w:tcW w:w="578" w:type="pct"/>
            <w:vAlign w:val="center"/>
          </w:tcPr>
          <w:p w14:paraId="10F84D1E" w14:textId="77777777" w:rsidR="00911498" w:rsidRPr="008F332A" w:rsidRDefault="00911498" w:rsidP="003A2CCC">
            <w:pPr>
              <w:spacing w:after="80"/>
              <w:jc w:val="left"/>
              <w:rPr>
                <w:rFonts w:cstheme="minorHAnsi"/>
                <w:sz w:val="20"/>
              </w:rPr>
            </w:pPr>
            <w:r w:rsidRPr="008F332A">
              <w:rPr>
                <w:rFonts w:cstheme="minorHAnsi"/>
                <w:sz w:val="20"/>
              </w:rPr>
              <w:t>TAF management, Nabilan Team Leader, Pillar Coordinators</w:t>
            </w:r>
          </w:p>
        </w:tc>
      </w:tr>
    </w:tbl>
    <w:p w14:paraId="13B39DA3" w14:textId="77777777" w:rsidR="007E361D" w:rsidRPr="008F332A" w:rsidRDefault="00911498" w:rsidP="003A2CCC">
      <w:pPr>
        <w:rPr>
          <w:rFonts w:cstheme="minorHAnsi"/>
          <w:color w:val="002D88" w:themeColor="accent6" w:themeTint="E6"/>
        </w:rPr>
      </w:pPr>
      <w:r w:rsidRPr="008F332A">
        <w:rPr>
          <w:rFonts w:cstheme="minorHAnsi"/>
          <w:sz w:val="16"/>
          <w:szCs w:val="16"/>
        </w:rPr>
        <w:br w:type="page"/>
      </w:r>
    </w:p>
    <w:p w14:paraId="6CB337C6" w14:textId="77777777" w:rsidR="00911498" w:rsidRPr="008F332A" w:rsidRDefault="00911498" w:rsidP="003A2CCC">
      <w:pPr>
        <w:pStyle w:val="Heading1"/>
        <w:numPr>
          <w:ilvl w:val="0"/>
          <w:numId w:val="0"/>
        </w:numPr>
        <w:rPr>
          <w:rFonts w:asciiTheme="minorHAnsi" w:hAnsiTheme="minorHAnsi" w:cstheme="minorHAnsi"/>
          <w:color w:val="002060" w:themeColor="accent6"/>
          <w14:textFill>
            <w14:solidFill>
              <w14:schemeClr w14:val="accent6">
                <w14:lumMod w14:val="90000"/>
                <w14:lumOff w14:val="10000"/>
                <w14:lumMod w14:val="90000"/>
                <w14:lumOff w14:val="10000"/>
              </w14:schemeClr>
            </w14:solidFill>
          </w14:textFill>
        </w:rPr>
        <w:sectPr w:rsidR="00911498" w:rsidRPr="008F332A" w:rsidSect="003A2CCC">
          <w:pgSz w:w="16838" w:h="11899" w:orient="landscape"/>
          <w:pgMar w:top="1440" w:right="1080" w:bottom="1440" w:left="1080" w:header="289" w:footer="289" w:gutter="0"/>
          <w:cols w:space="708"/>
          <w:titlePg/>
          <w:docGrid w:linePitch="360"/>
        </w:sectPr>
      </w:pPr>
    </w:p>
    <w:p w14:paraId="326FA4A9" w14:textId="77777777" w:rsidR="00351885" w:rsidRPr="008F332A" w:rsidRDefault="00351885" w:rsidP="003A2CCC">
      <w:pPr>
        <w:pStyle w:val="Heading1"/>
        <w:numPr>
          <w:ilvl w:val="0"/>
          <w:numId w:val="0"/>
        </w:numPr>
        <w:rPr>
          <w:rFonts w:asciiTheme="minorHAnsi" w:hAnsiTheme="minorHAnsi" w:cstheme="minorHAnsi"/>
        </w:rPr>
      </w:pPr>
      <w:bookmarkStart w:id="44" w:name="_Toc517960118"/>
      <w:r w:rsidRPr="008F332A">
        <w:rPr>
          <w:rFonts w:asciiTheme="minorHAnsi" w:hAnsiTheme="minorHAnsi" w:cstheme="minorHAnsi"/>
        </w:rPr>
        <w:t xml:space="preserve">Annex </w:t>
      </w:r>
      <w:r w:rsidR="00547E25">
        <w:rPr>
          <w:rFonts w:asciiTheme="minorHAnsi" w:hAnsiTheme="minorHAnsi" w:cstheme="minorHAnsi"/>
        </w:rPr>
        <w:t>5</w:t>
      </w:r>
      <w:r w:rsidRPr="008F332A">
        <w:rPr>
          <w:rFonts w:asciiTheme="minorHAnsi" w:hAnsiTheme="minorHAnsi" w:cstheme="minorHAnsi"/>
        </w:rPr>
        <w:t>: DFAT Reporting Standards</w:t>
      </w:r>
      <w:bookmarkEnd w:id="44"/>
    </w:p>
    <w:tbl>
      <w:tblPr>
        <w:tblW w:w="9312" w:type="dxa"/>
        <w:tblInd w:w="-108"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ayout w:type="fixed"/>
        <w:tblLook w:val="0000" w:firstRow="0" w:lastRow="0" w:firstColumn="0" w:lastColumn="0" w:noHBand="0" w:noVBand="0"/>
      </w:tblPr>
      <w:tblGrid>
        <w:gridCol w:w="659"/>
        <w:gridCol w:w="8653"/>
      </w:tblGrid>
      <w:tr w:rsidR="001A3D21" w:rsidRPr="008F332A" w14:paraId="55AA8C5B" w14:textId="77777777" w:rsidTr="00C23B4A">
        <w:trPr>
          <w:trHeight w:val="497"/>
          <w:tblHeader/>
        </w:trPr>
        <w:tc>
          <w:tcPr>
            <w:tcW w:w="659" w:type="dxa"/>
            <w:shd w:val="clear" w:color="auto" w:fill="99CCFF"/>
          </w:tcPr>
          <w:p w14:paraId="000CB972" w14:textId="77777777" w:rsidR="001A3D21" w:rsidRPr="008F332A" w:rsidRDefault="001A3D21" w:rsidP="003A2CCC">
            <w:pPr>
              <w:pStyle w:val="Default"/>
              <w:rPr>
                <w:rFonts w:asciiTheme="minorHAnsi" w:hAnsiTheme="minorHAnsi" w:cstheme="minorHAnsi"/>
                <w:color w:val="auto"/>
                <w:sz w:val="22"/>
                <w:szCs w:val="22"/>
              </w:rPr>
            </w:pPr>
            <w:r w:rsidRPr="008F332A">
              <w:rPr>
                <w:rFonts w:asciiTheme="minorHAnsi" w:hAnsiTheme="minorHAnsi" w:cstheme="minorHAnsi"/>
                <w:color w:val="auto"/>
                <w:sz w:val="22"/>
                <w:szCs w:val="22"/>
              </w:rPr>
              <w:t>REF</w:t>
            </w:r>
          </w:p>
        </w:tc>
        <w:tc>
          <w:tcPr>
            <w:tcW w:w="8653" w:type="dxa"/>
            <w:shd w:val="clear" w:color="auto" w:fill="99CCFF"/>
          </w:tcPr>
          <w:p w14:paraId="0332F9EC" w14:textId="77777777" w:rsidR="001A3D21" w:rsidRPr="008F332A" w:rsidRDefault="001A3D21" w:rsidP="003A2CCC">
            <w:pPr>
              <w:pStyle w:val="Default"/>
              <w:rPr>
                <w:rFonts w:asciiTheme="minorHAnsi" w:hAnsiTheme="minorHAnsi" w:cstheme="minorHAnsi"/>
                <w:b/>
                <w:color w:val="auto"/>
                <w:sz w:val="22"/>
                <w:szCs w:val="22"/>
              </w:rPr>
            </w:pPr>
            <w:r w:rsidRPr="008F332A">
              <w:rPr>
                <w:rFonts w:asciiTheme="minorHAnsi" w:hAnsiTheme="minorHAnsi" w:cstheme="minorHAnsi"/>
                <w:b/>
                <w:color w:val="auto"/>
                <w:sz w:val="22"/>
                <w:szCs w:val="22"/>
              </w:rPr>
              <w:t>DFAT M&amp;E Standards (Progress Reporting)</w:t>
            </w:r>
          </w:p>
        </w:tc>
      </w:tr>
      <w:tr w:rsidR="001A3D21" w:rsidRPr="008F332A" w14:paraId="1B531587" w14:textId="77777777" w:rsidTr="001A3D21">
        <w:trPr>
          <w:trHeight w:val="497"/>
        </w:trPr>
        <w:tc>
          <w:tcPr>
            <w:tcW w:w="659" w:type="dxa"/>
          </w:tcPr>
          <w:p w14:paraId="0AD75A58" w14:textId="77777777" w:rsidR="001A3D21" w:rsidRPr="008F332A" w:rsidRDefault="001A3D21" w:rsidP="003A2CCC">
            <w:pPr>
              <w:pStyle w:val="Default"/>
              <w:rPr>
                <w:rFonts w:asciiTheme="minorHAnsi" w:hAnsiTheme="minorHAnsi" w:cstheme="minorHAnsi"/>
                <w:sz w:val="22"/>
                <w:szCs w:val="22"/>
              </w:rPr>
            </w:pPr>
            <w:r w:rsidRPr="008F332A">
              <w:rPr>
                <w:rFonts w:asciiTheme="minorHAnsi" w:hAnsiTheme="minorHAnsi" w:cstheme="minorHAnsi"/>
                <w:sz w:val="22"/>
                <w:szCs w:val="22"/>
              </w:rPr>
              <w:t xml:space="preserve">3.1 </w:t>
            </w:r>
          </w:p>
        </w:tc>
        <w:tc>
          <w:tcPr>
            <w:tcW w:w="8653" w:type="dxa"/>
          </w:tcPr>
          <w:p w14:paraId="02B196B9" w14:textId="77777777" w:rsidR="001A3D21" w:rsidRPr="008F332A" w:rsidRDefault="001A3D21" w:rsidP="003A2CCC">
            <w:pPr>
              <w:pStyle w:val="Default"/>
              <w:rPr>
                <w:rFonts w:asciiTheme="minorHAnsi" w:hAnsiTheme="minorHAnsi" w:cstheme="minorHAnsi"/>
                <w:sz w:val="22"/>
                <w:szCs w:val="22"/>
              </w:rPr>
            </w:pPr>
            <w:r w:rsidRPr="008F332A">
              <w:rPr>
                <w:rFonts w:asciiTheme="minorHAnsi" w:hAnsiTheme="minorHAnsi" w:cstheme="minorHAnsi"/>
                <w:sz w:val="22"/>
                <w:szCs w:val="22"/>
              </w:rPr>
              <w:t xml:space="preserve">There is an executive summary that communicates the key information required for routine DFAT reporting and oversight. </w:t>
            </w:r>
          </w:p>
          <w:p w14:paraId="71EFE5E2" w14:textId="77777777" w:rsidR="001A3D21" w:rsidRPr="008F332A" w:rsidRDefault="001A3D21" w:rsidP="003A2CCC">
            <w:pPr>
              <w:pStyle w:val="Default"/>
              <w:rPr>
                <w:rFonts w:asciiTheme="minorHAnsi" w:hAnsiTheme="minorHAnsi" w:cstheme="minorHAnsi"/>
                <w:i/>
                <w:sz w:val="22"/>
                <w:szCs w:val="22"/>
              </w:rPr>
            </w:pPr>
            <w:r w:rsidRPr="008F332A">
              <w:rPr>
                <w:rFonts w:asciiTheme="minorHAnsi" w:hAnsiTheme="minorHAnsi" w:cstheme="minorHAnsi"/>
                <w:i/>
                <w:sz w:val="22"/>
                <w:szCs w:val="22"/>
              </w:rPr>
              <w:t>Reporting Guidelines</w:t>
            </w:r>
            <w:r w:rsidRPr="008F332A">
              <w:rPr>
                <w:rStyle w:val="FootnoteReference"/>
                <w:rFonts w:asciiTheme="minorHAnsi" w:hAnsiTheme="minorHAnsi" w:cstheme="minorHAnsi"/>
                <w:i/>
                <w:sz w:val="22"/>
                <w:szCs w:val="22"/>
              </w:rPr>
              <w:footnoteReference w:id="10"/>
            </w:r>
            <w:r w:rsidRPr="008F332A">
              <w:rPr>
                <w:rFonts w:asciiTheme="minorHAnsi" w:hAnsiTheme="minorHAnsi" w:cstheme="minorHAnsi"/>
                <w:i/>
                <w:sz w:val="22"/>
                <w:szCs w:val="22"/>
              </w:rPr>
              <w:t xml:space="preserve">: Exec Summary can be a stand-alone document </w:t>
            </w:r>
          </w:p>
        </w:tc>
      </w:tr>
      <w:tr w:rsidR="001A3D21" w:rsidRPr="008F332A" w14:paraId="59028174" w14:textId="77777777" w:rsidTr="001A3D21">
        <w:trPr>
          <w:trHeight w:val="246"/>
        </w:trPr>
        <w:tc>
          <w:tcPr>
            <w:tcW w:w="659" w:type="dxa"/>
          </w:tcPr>
          <w:p w14:paraId="5D6DA15A" w14:textId="77777777" w:rsidR="001A3D21" w:rsidRPr="008F332A" w:rsidRDefault="001A3D21" w:rsidP="003A2CCC">
            <w:pPr>
              <w:pStyle w:val="Default"/>
              <w:rPr>
                <w:rFonts w:asciiTheme="minorHAnsi" w:hAnsiTheme="minorHAnsi" w:cstheme="minorHAnsi"/>
                <w:sz w:val="22"/>
                <w:szCs w:val="22"/>
              </w:rPr>
            </w:pPr>
            <w:r w:rsidRPr="008F332A">
              <w:rPr>
                <w:rFonts w:asciiTheme="minorHAnsi" w:hAnsiTheme="minorHAnsi" w:cstheme="minorHAnsi"/>
                <w:sz w:val="22"/>
                <w:szCs w:val="22"/>
              </w:rPr>
              <w:t xml:space="preserve">3.2 </w:t>
            </w:r>
          </w:p>
        </w:tc>
        <w:tc>
          <w:tcPr>
            <w:tcW w:w="8653" w:type="dxa"/>
          </w:tcPr>
          <w:p w14:paraId="51D3D435" w14:textId="77777777" w:rsidR="001A3D21" w:rsidRPr="008F332A" w:rsidRDefault="001A3D21" w:rsidP="003A2CCC">
            <w:pPr>
              <w:pStyle w:val="Default"/>
              <w:rPr>
                <w:rFonts w:asciiTheme="minorHAnsi" w:hAnsiTheme="minorHAnsi" w:cstheme="minorHAnsi"/>
                <w:sz w:val="22"/>
                <w:szCs w:val="22"/>
              </w:rPr>
            </w:pPr>
            <w:r w:rsidRPr="008F332A">
              <w:rPr>
                <w:rFonts w:asciiTheme="minorHAnsi" w:hAnsiTheme="minorHAnsi" w:cstheme="minorHAnsi"/>
                <w:sz w:val="22"/>
                <w:szCs w:val="22"/>
              </w:rPr>
              <w:t>The relevant aspects of the context and any risks are adequately described.</w:t>
            </w:r>
          </w:p>
          <w:p w14:paraId="4680DF47" w14:textId="77777777" w:rsidR="001A3D21" w:rsidRPr="008F332A" w:rsidRDefault="001A3D21" w:rsidP="003A2CCC">
            <w:pPr>
              <w:pStyle w:val="Default"/>
              <w:pBdr>
                <w:top w:val="nil"/>
                <w:left w:val="nil"/>
                <w:bottom w:val="nil"/>
                <w:right w:val="nil"/>
                <w:between w:val="nil"/>
                <w:bar w:val="nil"/>
              </w:pBdr>
              <w:rPr>
                <w:rFonts w:asciiTheme="minorHAnsi" w:hAnsiTheme="minorHAnsi" w:cstheme="minorHAnsi"/>
                <w:sz w:val="22"/>
                <w:szCs w:val="22"/>
              </w:rPr>
            </w:pPr>
            <w:r w:rsidRPr="008F332A">
              <w:rPr>
                <w:rFonts w:asciiTheme="minorHAnsi" w:hAnsiTheme="minorHAnsi" w:cstheme="minorHAnsi"/>
                <w:i/>
                <w:sz w:val="22"/>
                <w:szCs w:val="22"/>
              </w:rPr>
              <w:t>Reporting Guidelines: also suggests including emerging opportunities focusing on aspects of the context relevant to understanding the program’s ability to achieve its outcomes</w:t>
            </w:r>
          </w:p>
        </w:tc>
      </w:tr>
      <w:tr w:rsidR="001A3D21" w:rsidRPr="008F332A" w14:paraId="4985C0FF" w14:textId="77777777" w:rsidTr="001A3D21">
        <w:trPr>
          <w:trHeight w:val="117"/>
        </w:trPr>
        <w:tc>
          <w:tcPr>
            <w:tcW w:w="659" w:type="dxa"/>
          </w:tcPr>
          <w:p w14:paraId="502D371A" w14:textId="77777777" w:rsidR="001A3D21" w:rsidRPr="008F332A" w:rsidRDefault="001A3D21" w:rsidP="003A2CCC">
            <w:pPr>
              <w:pStyle w:val="Default"/>
              <w:rPr>
                <w:rFonts w:asciiTheme="minorHAnsi" w:hAnsiTheme="minorHAnsi" w:cstheme="minorHAnsi"/>
                <w:sz w:val="22"/>
                <w:szCs w:val="22"/>
              </w:rPr>
            </w:pPr>
            <w:r w:rsidRPr="008F332A">
              <w:rPr>
                <w:rFonts w:asciiTheme="minorHAnsi" w:hAnsiTheme="minorHAnsi" w:cstheme="minorHAnsi"/>
                <w:sz w:val="22"/>
                <w:szCs w:val="22"/>
              </w:rPr>
              <w:t xml:space="preserve">3.3 </w:t>
            </w:r>
          </w:p>
        </w:tc>
        <w:tc>
          <w:tcPr>
            <w:tcW w:w="8653" w:type="dxa"/>
          </w:tcPr>
          <w:p w14:paraId="71A7B2DD" w14:textId="77777777" w:rsidR="001A3D21" w:rsidRPr="008F332A" w:rsidRDefault="001A3D21" w:rsidP="003A2CCC">
            <w:pPr>
              <w:pStyle w:val="Default"/>
              <w:rPr>
                <w:rFonts w:asciiTheme="minorHAnsi" w:hAnsiTheme="minorHAnsi" w:cstheme="minorHAnsi"/>
                <w:sz w:val="22"/>
                <w:szCs w:val="22"/>
              </w:rPr>
            </w:pPr>
            <w:r w:rsidRPr="008F332A">
              <w:rPr>
                <w:rFonts w:asciiTheme="minorHAnsi" w:hAnsiTheme="minorHAnsi" w:cstheme="minorHAnsi"/>
                <w:sz w:val="22"/>
                <w:szCs w:val="22"/>
              </w:rPr>
              <w:t xml:space="preserve">There is a reflection on the continuing relevance of the investment </w:t>
            </w:r>
          </w:p>
        </w:tc>
      </w:tr>
      <w:tr w:rsidR="001A3D21" w:rsidRPr="008F332A" w14:paraId="6CCF770D" w14:textId="77777777" w:rsidTr="001A3D21">
        <w:trPr>
          <w:trHeight w:val="117"/>
        </w:trPr>
        <w:tc>
          <w:tcPr>
            <w:tcW w:w="659" w:type="dxa"/>
          </w:tcPr>
          <w:p w14:paraId="2B49C217" w14:textId="77777777" w:rsidR="001A3D21" w:rsidRPr="008F332A" w:rsidRDefault="001A3D21" w:rsidP="003A2CCC">
            <w:pPr>
              <w:pStyle w:val="Default"/>
              <w:rPr>
                <w:rFonts w:asciiTheme="minorHAnsi" w:hAnsiTheme="minorHAnsi" w:cstheme="minorHAnsi"/>
                <w:sz w:val="22"/>
                <w:szCs w:val="22"/>
              </w:rPr>
            </w:pPr>
            <w:r w:rsidRPr="008F332A">
              <w:rPr>
                <w:rFonts w:asciiTheme="minorHAnsi" w:hAnsiTheme="minorHAnsi" w:cstheme="minorHAnsi"/>
                <w:sz w:val="22"/>
                <w:szCs w:val="22"/>
              </w:rPr>
              <w:t xml:space="preserve">3.4 </w:t>
            </w:r>
          </w:p>
        </w:tc>
        <w:tc>
          <w:tcPr>
            <w:tcW w:w="8653" w:type="dxa"/>
          </w:tcPr>
          <w:p w14:paraId="47A7C2D3" w14:textId="77777777" w:rsidR="001A3D21" w:rsidRPr="008F332A" w:rsidRDefault="001A3D21" w:rsidP="003A2CCC">
            <w:pPr>
              <w:pStyle w:val="Default"/>
              <w:rPr>
                <w:rFonts w:asciiTheme="minorHAnsi" w:hAnsiTheme="minorHAnsi" w:cstheme="minorHAnsi"/>
                <w:sz w:val="22"/>
                <w:szCs w:val="22"/>
              </w:rPr>
            </w:pPr>
            <w:r w:rsidRPr="008F332A">
              <w:rPr>
                <w:rFonts w:asciiTheme="minorHAnsi" w:hAnsiTheme="minorHAnsi" w:cstheme="minorHAnsi"/>
                <w:sz w:val="22"/>
                <w:szCs w:val="22"/>
              </w:rPr>
              <w:t xml:space="preserve">The adequacy of progress toward sustained end-of-program outcomes are assessed. </w:t>
            </w:r>
          </w:p>
          <w:p w14:paraId="09E9E3A9" w14:textId="77777777" w:rsidR="001A3D21" w:rsidRPr="008F332A" w:rsidRDefault="001A3D21" w:rsidP="003A2CCC">
            <w:pPr>
              <w:pStyle w:val="Default"/>
              <w:pBdr>
                <w:top w:val="nil"/>
                <w:left w:val="nil"/>
                <w:bottom w:val="nil"/>
                <w:right w:val="nil"/>
                <w:between w:val="nil"/>
                <w:bar w:val="nil"/>
              </w:pBdr>
              <w:rPr>
                <w:rFonts w:asciiTheme="minorHAnsi" w:hAnsiTheme="minorHAnsi" w:cstheme="minorHAnsi"/>
                <w:i/>
                <w:sz w:val="22"/>
                <w:szCs w:val="22"/>
              </w:rPr>
            </w:pPr>
            <w:r w:rsidRPr="008F332A">
              <w:rPr>
                <w:rFonts w:asciiTheme="minorHAnsi" w:hAnsiTheme="minorHAnsi" w:cstheme="minorHAnsi"/>
                <w:i/>
                <w:sz w:val="22"/>
                <w:szCs w:val="22"/>
              </w:rPr>
              <w:t>Reporting Guidelines: All findings substantiated with evidence.</w:t>
            </w:r>
            <w:r w:rsidR="003A379B" w:rsidRPr="008F332A">
              <w:rPr>
                <w:rFonts w:asciiTheme="minorHAnsi" w:hAnsiTheme="minorHAnsi" w:cstheme="minorHAnsi"/>
                <w:i/>
                <w:sz w:val="22"/>
                <w:szCs w:val="22"/>
              </w:rPr>
              <w:t xml:space="preserve"> Gender and Social Inclusion integrated across reporting for all EOPOs.</w:t>
            </w:r>
          </w:p>
        </w:tc>
      </w:tr>
      <w:tr w:rsidR="001A3D21" w:rsidRPr="008F332A" w14:paraId="17404674" w14:textId="77777777" w:rsidTr="001A3D21">
        <w:trPr>
          <w:trHeight w:val="246"/>
        </w:trPr>
        <w:tc>
          <w:tcPr>
            <w:tcW w:w="659" w:type="dxa"/>
          </w:tcPr>
          <w:p w14:paraId="6E171173" w14:textId="77777777" w:rsidR="001A3D21" w:rsidRPr="008F332A" w:rsidRDefault="001A3D21" w:rsidP="003A2CCC">
            <w:pPr>
              <w:pStyle w:val="Default"/>
              <w:rPr>
                <w:rFonts w:asciiTheme="minorHAnsi" w:hAnsiTheme="minorHAnsi" w:cstheme="minorHAnsi"/>
                <w:sz w:val="22"/>
                <w:szCs w:val="22"/>
              </w:rPr>
            </w:pPr>
            <w:r w:rsidRPr="008F332A">
              <w:rPr>
                <w:rFonts w:asciiTheme="minorHAnsi" w:hAnsiTheme="minorHAnsi" w:cstheme="minorHAnsi"/>
                <w:sz w:val="22"/>
                <w:szCs w:val="22"/>
              </w:rPr>
              <w:t xml:space="preserve">3.5 </w:t>
            </w:r>
          </w:p>
        </w:tc>
        <w:tc>
          <w:tcPr>
            <w:tcW w:w="8653" w:type="dxa"/>
          </w:tcPr>
          <w:p w14:paraId="06055FFE" w14:textId="77777777" w:rsidR="001A3D21" w:rsidRPr="008F332A" w:rsidRDefault="001A3D21" w:rsidP="003A2CCC">
            <w:pPr>
              <w:pStyle w:val="Default"/>
              <w:rPr>
                <w:rFonts w:asciiTheme="minorHAnsi" w:hAnsiTheme="minorHAnsi" w:cstheme="minorHAnsi"/>
                <w:sz w:val="22"/>
                <w:szCs w:val="22"/>
              </w:rPr>
            </w:pPr>
            <w:r w:rsidRPr="008F332A">
              <w:rPr>
                <w:rFonts w:asciiTheme="minorHAnsi" w:hAnsiTheme="minorHAnsi" w:cstheme="minorHAnsi"/>
                <w:sz w:val="22"/>
                <w:szCs w:val="22"/>
              </w:rPr>
              <w:t xml:space="preserve">The reach/coverage, quality and exposure of investment participants to relevant key outputs or deliverables for the reporting period are described. </w:t>
            </w:r>
            <w:r w:rsidR="003A379B" w:rsidRPr="008F332A">
              <w:rPr>
                <w:rFonts w:asciiTheme="minorHAnsi" w:hAnsiTheme="minorHAnsi" w:cstheme="minorHAnsi"/>
                <w:sz w:val="22"/>
                <w:szCs w:val="22"/>
              </w:rPr>
              <w:t xml:space="preserve">Gender disaggregated data, where possible disability /vulnerability disaggregated data. </w:t>
            </w:r>
          </w:p>
        </w:tc>
      </w:tr>
      <w:tr w:rsidR="001A3D21" w:rsidRPr="008F332A" w14:paraId="44C35C8A" w14:textId="77777777" w:rsidTr="001A3D21">
        <w:trPr>
          <w:trHeight w:val="117"/>
        </w:trPr>
        <w:tc>
          <w:tcPr>
            <w:tcW w:w="659" w:type="dxa"/>
          </w:tcPr>
          <w:p w14:paraId="17DB85F1" w14:textId="77777777" w:rsidR="001A3D21" w:rsidRPr="008F332A" w:rsidRDefault="001A3D21" w:rsidP="003A2CCC">
            <w:pPr>
              <w:pStyle w:val="Default"/>
              <w:rPr>
                <w:rFonts w:asciiTheme="minorHAnsi" w:hAnsiTheme="minorHAnsi" w:cstheme="minorHAnsi"/>
                <w:sz w:val="22"/>
                <w:szCs w:val="22"/>
              </w:rPr>
            </w:pPr>
            <w:r w:rsidRPr="008F332A">
              <w:rPr>
                <w:rFonts w:asciiTheme="minorHAnsi" w:hAnsiTheme="minorHAnsi" w:cstheme="minorHAnsi"/>
                <w:sz w:val="22"/>
                <w:szCs w:val="22"/>
              </w:rPr>
              <w:t xml:space="preserve">3.6 </w:t>
            </w:r>
          </w:p>
        </w:tc>
        <w:tc>
          <w:tcPr>
            <w:tcW w:w="8653" w:type="dxa"/>
          </w:tcPr>
          <w:p w14:paraId="5BAE320F" w14:textId="77777777" w:rsidR="001A3D21" w:rsidRPr="008F332A" w:rsidRDefault="001A3D21" w:rsidP="003A2CCC">
            <w:pPr>
              <w:pStyle w:val="Default"/>
              <w:rPr>
                <w:rFonts w:asciiTheme="minorHAnsi" w:hAnsiTheme="minorHAnsi" w:cstheme="minorHAnsi"/>
                <w:sz w:val="22"/>
                <w:szCs w:val="22"/>
              </w:rPr>
            </w:pPr>
            <w:r w:rsidRPr="008F332A">
              <w:rPr>
                <w:rFonts w:asciiTheme="minorHAnsi" w:hAnsiTheme="minorHAnsi" w:cstheme="minorHAnsi"/>
                <w:sz w:val="22"/>
                <w:szCs w:val="22"/>
              </w:rPr>
              <w:t xml:space="preserve">The adequacy of progress implementing the annual plan is described. </w:t>
            </w:r>
          </w:p>
        </w:tc>
      </w:tr>
      <w:tr w:rsidR="001A3D21" w:rsidRPr="008F332A" w14:paraId="0002F062" w14:textId="77777777" w:rsidTr="001A3D21">
        <w:trPr>
          <w:trHeight w:val="246"/>
        </w:trPr>
        <w:tc>
          <w:tcPr>
            <w:tcW w:w="659" w:type="dxa"/>
          </w:tcPr>
          <w:p w14:paraId="15C1F3FA" w14:textId="77777777" w:rsidR="001A3D21" w:rsidRPr="008F332A" w:rsidRDefault="001A3D21" w:rsidP="003A2CCC">
            <w:pPr>
              <w:pStyle w:val="Default"/>
              <w:rPr>
                <w:rFonts w:asciiTheme="minorHAnsi" w:hAnsiTheme="minorHAnsi" w:cstheme="minorHAnsi"/>
                <w:sz w:val="22"/>
                <w:szCs w:val="22"/>
              </w:rPr>
            </w:pPr>
            <w:r w:rsidRPr="008F332A">
              <w:rPr>
                <w:rFonts w:asciiTheme="minorHAnsi" w:hAnsiTheme="minorHAnsi" w:cstheme="minorHAnsi"/>
                <w:sz w:val="22"/>
                <w:szCs w:val="22"/>
              </w:rPr>
              <w:t xml:space="preserve">3.7 </w:t>
            </w:r>
          </w:p>
        </w:tc>
        <w:tc>
          <w:tcPr>
            <w:tcW w:w="8653" w:type="dxa"/>
          </w:tcPr>
          <w:p w14:paraId="4CB96921" w14:textId="77777777" w:rsidR="001A3D21" w:rsidRPr="008F332A" w:rsidRDefault="001A3D21" w:rsidP="003A2CCC">
            <w:pPr>
              <w:pStyle w:val="Default"/>
              <w:rPr>
                <w:rFonts w:asciiTheme="minorHAnsi" w:hAnsiTheme="minorHAnsi" w:cstheme="minorHAnsi"/>
                <w:sz w:val="22"/>
                <w:szCs w:val="22"/>
              </w:rPr>
            </w:pPr>
            <w:r w:rsidRPr="008F332A">
              <w:rPr>
                <w:rFonts w:asciiTheme="minorHAnsi" w:hAnsiTheme="minorHAnsi" w:cstheme="minorHAnsi"/>
                <w:sz w:val="22"/>
                <w:szCs w:val="22"/>
              </w:rPr>
              <w:t xml:space="preserve">An assessment of the likely adequacy of planned inputs to meet the expected end-of-program outcomes is provided. </w:t>
            </w:r>
          </w:p>
        </w:tc>
      </w:tr>
      <w:tr w:rsidR="001A3D21" w:rsidRPr="008F332A" w14:paraId="7D53BC5B" w14:textId="77777777" w:rsidTr="001A3D21">
        <w:trPr>
          <w:trHeight w:val="117"/>
        </w:trPr>
        <w:tc>
          <w:tcPr>
            <w:tcW w:w="659" w:type="dxa"/>
          </w:tcPr>
          <w:p w14:paraId="0BCC8778" w14:textId="77777777" w:rsidR="001A3D21" w:rsidRPr="008F332A" w:rsidRDefault="001A3D21" w:rsidP="003A2CCC">
            <w:pPr>
              <w:pStyle w:val="Default"/>
              <w:rPr>
                <w:rFonts w:asciiTheme="minorHAnsi" w:hAnsiTheme="minorHAnsi" w:cstheme="minorHAnsi"/>
                <w:sz w:val="22"/>
                <w:szCs w:val="22"/>
              </w:rPr>
            </w:pPr>
            <w:r w:rsidRPr="008F332A">
              <w:rPr>
                <w:rFonts w:asciiTheme="minorHAnsi" w:hAnsiTheme="minorHAnsi" w:cstheme="minorHAnsi"/>
                <w:sz w:val="22"/>
                <w:szCs w:val="22"/>
              </w:rPr>
              <w:t xml:space="preserve">3.8 </w:t>
            </w:r>
          </w:p>
        </w:tc>
        <w:tc>
          <w:tcPr>
            <w:tcW w:w="8653" w:type="dxa"/>
          </w:tcPr>
          <w:p w14:paraId="4075ABFC" w14:textId="77777777" w:rsidR="001A3D21" w:rsidRPr="008F332A" w:rsidRDefault="001A3D21" w:rsidP="003A2CCC">
            <w:pPr>
              <w:pStyle w:val="Default"/>
              <w:rPr>
                <w:rFonts w:asciiTheme="minorHAnsi" w:hAnsiTheme="minorHAnsi" w:cstheme="minorHAnsi"/>
                <w:sz w:val="22"/>
                <w:szCs w:val="22"/>
              </w:rPr>
            </w:pPr>
            <w:r w:rsidRPr="008F332A">
              <w:rPr>
                <w:rFonts w:asciiTheme="minorHAnsi" w:hAnsiTheme="minorHAnsi" w:cstheme="minorHAnsi"/>
                <w:sz w:val="22"/>
                <w:szCs w:val="22"/>
              </w:rPr>
              <w:t xml:space="preserve">The adequacy of progress </w:t>
            </w:r>
            <w:r w:rsidR="003A379B" w:rsidRPr="008F332A">
              <w:rPr>
                <w:rFonts w:asciiTheme="minorHAnsi" w:hAnsiTheme="minorHAnsi" w:cstheme="minorHAnsi"/>
                <w:sz w:val="22"/>
                <w:szCs w:val="22"/>
              </w:rPr>
              <w:t xml:space="preserve">(spending) </w:t>
            </w:r>
            <w:r w:rsidRPr="008F332A">
              <w:rPr>
                <w:rFonts w:asciiTheme="minorHAnsi" w:hAnsiTheme="minorHAnsi" w:cstheme="minorHAnsi"/>
                <w:sz w:val="22"/>
                <w:szCs w:val="22"/>
              </w:rPr>
              <w:t xml:space="preserve">against the budget is assessed. </w:t>
            </w:r>
          </w:p>
        </w:tc>
      </w:tr>
      <w:tr w:rsidR="001A3D21" w:rsidRPr="008F332A" w14:paraId="1E93B618" w14:textId="77777777" w:rsidTr="001A3D21">
        <w:trPr>
          <w:trHeight w:val="117"/>
        </w:trPr>
        <w:tc>
          <w:tcPr>
            <w:tcW w:w="659" w:type="dxa"/>
          </w:tcPr>
          <w:p w14:paraId="106DDFAE" w14:textId="77777777" w:rsidR="001A3D21" w:rsidRPr="008F332A" w:rsidRDefault="001A3D21" w:rsidP="003A2CCC">
            <w:pPr>
              <w:pStyle w:val="Default"/>
              <w:rPr>
                <w:rFonts w:asciiTheme="minorHAnsi" w:hAnsiTheme="minorHAnsi" w:cstheme="minorHAnsi"/>
                <w:sz w:val="22"/>
                <w:szCs w:val="22"/>
              </w:rPr>
            </w:pPr>
            <w:r w:rsidRPr="008F332A">
              <w:rPr>
                <w:rFonts w:asciiTheme="minorHAnsi" w:hAnsiTheme="minorHAnsi" w:cstheme="minorHAnsi"/>
                <w:sz w:val="22"/>
                <w:szCs w:val="22"/>
              </w:rPr>
              <w:t xml:space="preserve">3.9 </w:t>
            </w:r>
          </w:p>
        </w:tc>
        <w:tc>
          <w:tcPr>
            <w:tcW w:w="8653" w:type="dxa"/>
          </w:tcPr>
          <w:p w14:paraId="622AC9FC" w14:textId="77777777" w:rsidR="001A3D21" w:rsidRPr="008F332A" w:rsidRDefault="001A3D21" w:rsidP="003A2CCC">
            <w:pPr>
              <w:pStyle w:val="Default"/>
              <w:rPr>
                <w:rFonts w:asciiTheme="minorHAnsi" w:hAnsiTheme="minorHAnsi" w:cstheme="minorHAnsi"/>
                <w:sz w:val="22"/>
                <w:szCs w:val="22"/>
              </w:rPr>
            </w:pPr>
            <w:r w:rsidRPr="008F332A">
              <w:rPr>
                <w:rFonts w:asciiTheme="minorHAnsi" w:hAnsiTheme="minorHAnsi" w:cstheme="minorHAnsi"/>
                <w:sz w:val="22"/>
                <w:szCs w:val="22"/>
              </w:rPr>
              <w:t>Key management or implementation systems are described and their performance assessed.</w:t>
            </w:r>
          </w:p>
        </w:tc>
      </w:tr>
      <w:tr w:rsidR="001A3D21" w:rsidRPr="008F332A" w14:paraId="24EC24DD" w14:textId="77777777" w:rsidTr="001A3D21">
        <w:trPr>
          <w:trHeight w:val="246"/>
        </w:trPr>
        <w:tc>
          <w:tcPr>
            <w:tcW w:w="659" w:type="dxa"/>
          </w:tcPr>
          <w:p w14:paraId="23BD7FA0" w14:textId="77777777" w:rsidR="001A3D21" w:rsidRPr="008F332A" w:rsidRDefault="001A3D21" w:rsidP="003A2CCC">
            <w:pPr>
              <w:pStyle w:val="Default"/>
              <w:rPr>
                <w:rFonts w:asciiTheme="minorHAnsi" w:hAnsiTheme="minorHAnsi" w:cstheme="minorHAnsi"/>
                <w:sz w:val="22"/>
                <w:szCs w:val="22"/>
              </w:rPr>
            </w:pPr>
            <w:r w:rsidRPr="008F332A">
              <w:rPr>
                <w:rFonts w:asciiTheme="minorHAnsi" w:hAnsiTheme="minorHAnsi" w:cstheme="minorHAnsi"/>
                <w:sz w:val="22"/>
                <w:szCs w:val="22"/>
              </w:rPr>
              <w:t xml:space="preserve">3.10 </w:t>
            </w:r>
          </w:p>
        </w:tc>
        <w:tc>
          <w:tcPr>
            <w:tcW w:w="8653" w:type="dxa"/>
          </w:tcPr>
          <w:p w14:paraId="37D5ECD9" w14:textId="77777777" w:rsidR="001A3D21" w:rsidRPr="008F332A" w:rsidRDefault="001A3D21" w:rsidP="003A2CCC">
            <w:pPr>
              <w:pStyle w:val="Default"/>
              <w:rPr>
                <w:rFonts w:asciiTheme="minorHAnsi" w:hAnsiTheme="minorHAnsi" w:cstheme="minorHAnsi"/>
                <w:sz w:val="22"/>
                <w:szCs w:val="22"/>
              </w:rPr>
            </w:pPr>
            <w:r w:rsidRPr="008F332A">
              <w:rPr>
                <w:rFonts w:asciiTheme="minorHAnsi" w:hAnsiTheme="minorHAnsi" w:cstheme="minorHAnsi"/>
                <w:sz w:val="22"/>
                <w:szCs w:val="22"/>
              </w:rPr>
              <w:t xml:space="preserve">The report provides balanced and fair reporting of positive and negative issues, achievements and challenges </w:t>
            </w:r>
          </w:p>
        </w:tc>
      </w:tr>
      <w:tr w:rsidR="001A3D21" w:rsidRPr="008F332A" w14:paraId="4FEEBC89" w14:textId="77777777" w:rsidTr="001A3D21">
        <w:trPr>
          <w:trHeight w:val="117"/>
        </w:trPr>
        <w:tc>
          <w:tcPr>
            <w:tcW w:w="659" w:type="dxa"/>
          </w:tcPr>
          <w:p w14:paraId="124EF892" w14:textId="77777777" w:rsidR="001A3D21" w:rsidRPr="008F332A" w:rsidRDefault="001A3D21" w:rsidP="003A2CCC">
            <w:pPr>
              <w:pStyle w:val="Default"/>
              <w:rPr>
                <w:rFonts w:asciiTheme="minorHAnsi" w:hAnsiTheme="minorHAnsi" w:cstheme="minorHAnsi"/>
                <w:sz w:val="22"/>
                <w:szCs w:val="22"/>
              </w:rPr>
            </w:pPr>
            <w:r w:rsidRPr="008F332A">
              <w:rPr>
                <w:rFonts w:asciiTheme="minorHAnsi" w:hAnsiTheme="minorHAnsi" w:cstheme="minorHAnsi"/>
                <w:sz w:val="22"/>
                <w:szCs w:val="22"/>
              </w:rPr>
              <w:t xml:space="preserve">3.11 </w:t>
            </w:r>
          </w:p>
        </w:tc>
        <w:tc>
          <w:tcPr>
            <w:tcW w:w="8653" w:type="dxa"/>
          </w:tcPr>
          <w:p w14:paraId="7AA2BB0C" w14:textId="77777777" w:rsidR="001A3D21" w:rsidRPr="008F332A" w:rsidRDefault="001A3D21" w:rsidP="003A2CCC">
            <w:pPr>
              <w:pStyle w:val="Default"/>
              <w:rPr>
                <w:rFonts w:asciiTheme="minorHAnsi" w:hAnsiTheme="minorHAnsi" w:cstheme="minorHAnsi"/>
                <w:sz w:val="22"/>
                <w:szCs w:val="22"/>
              </w:rPr>
            </w:pPr>
            <w:r w:rsidRPr="008F332A">
              <w:rPr>
                <w:rFonts w:asciiTheme="minorHAnsi" w:hAnsiTheme="minorHAnsi" w:cstheme="minorHAnsi"/>
                <w:sz w:val="22"/>
                <w:szCs w:val="22"/>
              </w:rPr>
              <w:t>For claims of achievement or barriers to achievement, credible supportive evidence is provided.</w:t>
            </w:r>
          </w:p>
        </w:tc>
      </w:tr>
      <w:tr w:rsidR="001A3D21" w:rsidRPr="008F332A" w14:paraId="6AEF780C" w14:textId="77777777" w:rsidTr="001A3D21">
        <w:trPr>
          <w:trHeight w:val="246"/>
        </w:trPr>
        <w:tc>
          <w:tcPr>
            <w:tcW w:w="659" w:type="dxa"/>
          </w:tcPr>
          <w:p w14:paraId="14C3B34E" w14:textId="77777777" w:rsidR="001A3D21" w:rsidRPr="008F332A" w:rsidRDefault="001A3D21" w:rsidP="003A2CCC">
            <w:pPr>
              <w:pStyle w:val="Default"/>
              <w:rPr>
                <w:rFonts w:asciiTheme="minorHAnsi" w:hAnsiTheme="minorHAnsi" w:cstheme="minorHAnsi"/>
                <w:sz w:val="22"/>
                <w:szCs w:val="22"/>
              </w:rPr>
            </w:pPr>
            <w:r w:rsidRPr="008F332A">
              <w:rPr>
                <w:rFonts w:asciiTheme="minorHAnsi" w:hAnsiTheme="minorHAnsi" w:cstheme="minorHAnsi"/>
                <w:sz w:val="22"/>
                <w:szCs w:val="22"/>
              </w:rPr>
              <w:t xml:space="preserve">3.12 </w:t>
            </w:r>
          </w:p>
        </w:tc>
        <w:tc>
          <w:tcPr>
            <w:tcW w:w="8653" w:type="dxa"/>
          </w:tcPr>
          <w:p w14:paraId="32C28184" w14:textId="77777777" w:rsidR="001A3D21" w:rsidRPr="008F332A" w:rsidRDefault="001A3D21" w:rsidP="003A2CCC">
            <w:pPr>
              <w:pStyle w:val="Default"/>
              <w:rPr>
                <w:rFonts w:asciiTheme="minorHAnsi" w:hAnsiTheme="minorHAnsi" w:cstheme="minorHAnsi"/>
                <w:sz w:val="22"/>
                <w:szCs w:val="22"/>
              </w:rPr>
            </w:pPr>
            <w:r w:rsidRPr="008F332A">
              <w:rPr>
                <w:rFonts w:asciiTheme="minorHAnsi" w:hAnsiTheme="minorHAnsi" w:cstheme="minorHAnsi"/>
                <w:sz w:val="22"/>
                <w:szCs w:val="22"/>
              </w:rPr>
              <w:t xml:space="preserve">Data or findings are presented in formats that effectively and efficiently communicate important information </w:t>
            </w:r>
          </w:p>
        </w:tc>
      </w:tr>
      <w:tr w:rsidR="001A3D21" w:rsidRPr="008F332A" w14:paraId="64661B64" w14:textId="77777777" w:rsidTr="001A3D21">
        <w:trPr>
          <w:trHeight w:val="117"/>
        </w:trPr>
        <w:tc>
          <w:tcPr>
            <w:tcW w:w="659" w:type="dxa"/>
          </w:tcPr>
          <w:p w14:paraId="7FDD4F0E" w14:textId="77777777" w:rsidR="001A3D21" w:rsidRPr="008F332A" w:rsidRDefault="001A3D21" w:rsidP="003A2CCC">
            <w:pPr>
              <w:pStyle w:val="Default"/>
              <w:rPr>
                <w:rFonts w:asciiTheme="minorHAnsi" w:hAnsiTheme="minorHAnsi" w:cstheme="minorHAnsi"/>
                <w:sz w:val="22"/>
                <w:szCs w:val="22"/>
              </w:rPr>
            </w:pPr>
            <w:r w:rsidRPr="008F332A">
              <w:rPr>
                <w:rFonts w:asciiTheme="minorHAnsi" w:hAnsiTheme="minorHAnsi" w:cstheme="minorHAnsi"/>
                <w:sz w:val="22"/>
                <w:szCs w:val="22"/>
              </w:rPr>
              <w:t xml:space="preserve">3.13 </w:t>
            </w:r>
          </w:p>
        </w:tc>
        <w:tc>
          <w:tcPr>
            <w:tcW w:w="8653" w:type="dxa"/>
          </w:tcPr>
          <w:p w14:paraId="682EBF19" w14:textId="77777777" w:rsidR="001A3D21" w:rsidRPr="008F332A" w:rsidRDefault="001A3D21" w:rsidP="003A2CCC">
            <w:pPr>
              <w:pStyle w:val="Default"/>
              <w:rPr>
                <w:rFonts w:asciiTheme="minorHAnsi" w:hAnsiTheme="minorHAnsi" w:cstheme="minorHAnsi"/>
                <w:sz w:val="22"/>
                <w:szCs w:val="22"/>
              </w:rPr>
            </w:pPr>
            <w:r w:rsidRPr="008F332A">
              <w:rPr>
                <w:rFonts w:asciiTheme="minorHAnsi" w:hAnsiTheme="minorHAnsi" w:cstheme="minorHAnsi"/>
                <w:sz w:val="22"/>
                <w:szCs w:val="22"/>
              </w:rPr>
              <w:t xml:space="preserve">The frequency of reporting is suitable for effective investment management </w:t>
            </w:r>
          </w:p>
        </w:tc>
      </w:tr>
      <w:tr w:rsidR="001A3D21" w:rsidRPr="008F332A" w14:paraId="15B31C60" w14:textId="77777777" w:rsidTr="001A3D21">
        <w:trPr>
          <w:trHeight w:val="117"/>
        </w:trPr>
        <w:tc>
          <w:tcPr>
            <w:tcW w:w="659" w:type="dxa"/>
          </w:tcPr>
          <w:p w14:paraId="3C35A817" w14:textId="77777777" w:rsidR="001A3D21" w:rsidRPr="008F332A" w:rsidRDefault="001A3D21" w:rsidP="003A2CCC">
            <w:pPr>
              <w:pStyle w:val="Default"/>
              <w:rPr>
                <w:rFonts w:asciiTheme="minorHAnsi" w:hAnsiTheme="minorHAnsi" w:cstheme="minorHAnsi"/>
                <w:sz w:val="22"/>
                <w:szCs w:val="22"/>
              </w:rPr>
            </w:pPr>
            <w:r w:rsidRPr="008F332A">
              <w:rPr>
                <w:rFonts w:asciiTheme="minorHAnsi" w:hAnsiTheme="minorHAnsi" w:cstheme="minorHAnsi"/>
                <w:sz w:val="22"/>
                <w:szCs w:val="22"/>
              </w:rPr>
              <w:t xml:space="preserve">3.14 </w:t>
            </w:r>
          </w:p>
        </w:tc>
        <w:tc>
          <w:tcPr>
            <w:tcW w:w="8653" w:type="dxa"/>
          </w:tcPr>
          <w:p w14:paraId="717E4F3F" w14:textId="77777777" w:rsidR="001A3D21" w:rsidRPr="008F332A" w:rsidRDefault="001A3D21" w:rsidP="003A2CCC">
            <w:pPr>
              <w:pStyle w:val="Default"/>
              <w:rPr>
                <w:rFonts w:asciiTheme="minorHAnsi" w:hAnsiTheme="minorHAnsi" w:cstheme="minorHAnsi"/>
                <w:sz w:val="22"/>
                <w:szCs w:val="22"/>
              </w:rPr>
            </w:pPr>
            <w:r w:rsidRPr="008F332A">
              <w:rPr>
                <w:rFonts w:asciiTheme="minorHAnsi" w:hAnsiTheme="minorHAnsi" w:cstheme="minorHAnsi"/>
                <w:sz w:val="22"/>
                <w:szCs w:val="22"/>
              </w:rPr>
              <w:t xml:space="preserve">The report includes lessons learned from implementation that have potentially important implications more broadly </w:t>
            </w:r>
          </w:p>
        </w:tc>
      </w:tr>
      <w:tr w:rsidR="001A3D21" w:rsidRPr="008F332A" w14:paraId="361FA32A" w14:textId="77777777" w:rsidTr="001A3D21">
        <w:trPr>
          <w:trHeight w:val="117"/>
        </w:trPr>
        <w:tc>
          <w:tcPr>
            <w:tcW w:w="659" w:type="dxa"/>
          </w:tcPr>
          <w:p w14:paraId="1354455A" w14:textId="77777777" w:rsidR="001A3D21" w:rsidRPr="008F332A" w:rsidRDefault="001A3D21" w:rsidP="003A2CCC">
            <w:pPr>
              <w:pStyle w:val="Default"/>
              <w:rPr>
                <w:rFonts w:asciiTheme="minorHAnsi" w:hAnsiTheme="minorHAnsi" w:cstheme="minorHAnsi"/>
                <w:sz w:val="22"/>
                <w:szCs w:val="22"/>
              </w:rPr>
            </w:pPr>
            <w:r w:rsidRPr="008F332A">
              <w:rPr>
                <w:rFonts w:asciiTheme="minorHAnsi" w:hAnsiTheme="minorHAnsi" w:cstheme="minorHAnsi"/>
                <w:sz w:val="22"/>
                <w:szCs w:val="22"/>
              </w:rPr>
              <w:t xml:space="preserve">3.15 </w:t>
            </w:r>
          </w:p>
        </w:tc>
        <w:tc>
          <w:tcPr>
            <w:tcW w:w="8653" w:type="dxa"/>
          </w:tcPr>
          <w:p w14:paraId="22F54332" w14:textId="77777777" w:rsidR="001A3D21" w:rsidRPr="008F332A" w:rsidRDefault="001A3D21" w:rsidP="003A2CCC">
            <w:pPr>
              <w:pStyle w:val="Default"/>
              <w:rPr>
                <w:rFonts w:asciiTheme="minorHAnsi" w:hAnsiTheme="minorHAnsi" w:cstheme="minorHAnsi"/>
                <w:sz w:val="22"/>
                <w:szCs w:val="22"/>
              </w:rPr>
            </w:pPr>
            <w:r w:rsidRPr="008F332A">
              <w:rPr>
                <w:rFonts w:asciiTheme="minorHAnsi" w:hAnsiTheme="minorHAnsi" w:cstheme="minorHAnsi"/>
                <w:sz w:val="22"/>
                <w:szCs w:val="22"/>
              </w:rPr>
              <w:t xml:space="preserve">Previous and/or proposed management responses or recommendations are summarized </w:t>
            </w:r>
          </w:p>
        </w:tc>
      </w:tr>
    </w:tbl>
    <w:p w14:paraId="76C35F77" w14:textId="77777777" w:rsidR="001A3D21" w:rsidRPr="008F332A" w:rsidRDefault="001A3D21" w:rsidP="003A2CCC">
      <w:pPr>
        <w:rPr>
          <w:rFonts w:cstheme="minorHAnsi"/>
        </w:rPr>
      </w:pPr>
    </w:p>
    <w:p w14:paraId="403256EF" w14:textId="77777777" w:rsidR="001A3D21" w:rsidRPr="008F332A" w:rsidRDefault="001A3D21" w:rsidP="003A2CCC">
      <w:pPr>
        <w:rPr>
          <w:rFonts w:cstheme="minorHAnsi"/>
        </w:rPr>
      </w:pPr>
    </w:p>
    <w:p w14:paraId="663DEEA8" w14:textId="77777777" w:rsidR="003A379B" w:rsidRPr="008F332A" w:rsidRDefault="001A3D21" w:rsidP="003A2CCC">
      <w:pPr>
        <w:pStyle w:val="NormalWeb"/>
        <w:rPr>
          <w:rFonts w:asciiTheme="minorHAnsi" w:hAnsiTheme="minorHAnsi" w:cstheme="minorHAnsi"/>
          <w:color w:val="000000" w:themeColor="text1"/>
          <w:sz w:val="22"/>
          <w:szCs w:val="22"/>
        </w:rPr>
      </w:pPr>
      <w:r w:rsidRPr="008F332A">
        <w:rPr>
          <w:rFonts w:asciiTheme="minorHAnsi" w:hAnsiTheme="minorHAnsi" w:cstheme="minorHAnsi"/>
          <w:color w:val="000000" w:themeColor="text1"/>
          <w:sz w:val="22"/>
          <w:szCs w:val="22"/>
        </w:rPr>
        <w:t xml:space="preserve">Reference: </w:t>
      </w:r>
      <w:r w:rsidR="003A379B" w:rsidRPr="008F332A">
        <w:rPr>
          <w:rFonts w:asciiTheme="minorHAnsi" w:hAnsiTheme="minorHAnsi" w:cstheme="minorHAnsi"/>
          <w:color w:val="000000" w:themeColor="text1"/>
          <w:sz w:val="22"/>
          <w:szCs w:val="22"/>
        </w:rPr>
        <w:t xml:space="preserve"> DFAT Monitoring and Evaluation Standards, April 2017.   </w:t>
      </w:r>
    </w:p>
    <w:p w14:paraId="70F98915" w14:textId="77777777" w:rsidR="001A3D21" w:rsidRPr="008F332A" w:rsidRDefault="009D6423" w:rsidP="003A2CCC">
      <w:pPr>
        <w:rPr>
          <w:rFonts w:cstheme="minorHAnsi"/>
        </w:rPr>
      </w:pPr>
      <w:hyperlink r:id="rId16" w:history="1">
        <w:r w:rsidR="001A3D21" w:rsidRPr="008F332A">
          <w:rPr>
            <w:rStyle w:val="Hyperlink"/>
            <w:rFonts w:asciiTheme="minorHAnsi" w:hAnsiTheme="minorHAnsi" w:cstheme="minorHAnsi"/>
            <w:sz w:val="22"/>
          </w:rPr>
          <w:t>https://dfat.gov.au/about-us/publications/Documents/monitoring-evaluation-standards.pdf</w:t>
        </w:r>
      </w:hyperlink>
    </w:p>
    <w:p w14:paraId="52B6B7AC" w14:textId="77777777" w:rsidR="00D90982" w:rsidRDefault="00D90982" w:rsidP="003A2CCC">
      <w:pPr>
        <w:spacing w:after="0"/>
        <w:rPr>
          <w:rFonts w:eastAsiaTheme="majorEastAsia" w:cstheme="minorHAnsi"/>
          <w:b/>
          <w:color w:val="002D88" w:themeColor="accent6" w:themeTint="E6"/>
          <w:sz w:val="32"/>
          <w:szCs w:val="32"/>
        </w:rPr>
        <w:sectPr w:rsidR="00D90982" w:rsidSect="0061262A">
          <w:headerReference w:type="even" r:id="rId17"/>
          <w:headerReference w:type="default" r:id="rId18"/>
          <w:headerReference w:type="first" r:id="rId19"/>
          <w:pgSz w:w="11899" w:h="16838"/>
          <w:pgMar w:top="1296" w:right="1152" w:bottom="1152" w:left="1296" w:header="288" w:footer="288" w:gutter="0"/>
          <w:cols w:space="708"/>
          <w:docGrid w:linePitch="360"/>
        </w:sectPr>
      </w:pPr>
    </w:p>
    <w:p w14:paraId="63D58F54" w14:textId="66B515FF" w:rsidR="00D90982" w:rsidRPr="0031566D" w:rsidRDefault="004934D1" w:rsidP="003A2CCC">
      <w:pPr>
        <w:pStyle w:val="Heading1"/>
        <w:numPr>
          <w:ilvl w:val="0"/>
          <w:numId w:val="0"/>
        </w:numPr>
        <w:ind w:left="432" w:hanging="432"/>
        <w:rPr>
          <w:rFonts w:asciiTheme="minorHAnsi" w:hAnsiTheme="minorHAnsi" w:cstheme="minorHAnsi"/>
        </w:rPr>
      </w:pPr>
      <w:bookmarkStart w:id="48" w:name="_Toc517960119"/>
      <w:r w:rsidRPr="0031566D">
        <w:rPr>
          <w:rFonts w:asciiTheme="minorHAnsi" w:hAnsiTheme="minorHAnsi" w:cstheme="minorHAnsi"/>
        </w:rPr>
        <w:t>Annex 6: Timeline for data collection</w:t>
      </w:r>
      <w:bookmarkEnd w:id="48"/>
    </w:p>
    <w:tbl>
      <w:tblPr>
        <w:tblW w:w="5000" w:type="pct"/>
        <w:tblLook w:val="04A0" w:firstRow="1" w:lastRow="0" w:firstColumn="1" w:lastColumn="0" w:noHBand="0" w:noVBand="1"/>
      </w:tblPr>
      <w:tblGrid>
        <w:gridCol w:w="4396"/>
        <w:gridCol w:w="622"/>
        <w:gridCol w:w="619"/>
        <w:gridCol w:w="622"/>
        <w:gridCol w:w="618"/>
        <w:gridCol w:w="644"/>
        <w:gridCol w:w="618"/>
        <w:gridCol w:w="621"/>
        <w:gridCol w:w="618"/>
        <w:gridCol w:w="644"/>
        <w:gridCol w:w="618"/>
        <w:gridCol w:w="621"/>
        <w:gridCol w:w="618"/>
        <w:gridCol w:w="644"/>
        <w:gridCol w:w="618"/>
        <w:gridCol w:w="621"/>
        <w:gridCol w:w="618"/>
      </w:tblGrid>
      <w:tr w:rsidR="00B153EB" w:rsidRPr="00B153EB" w14:paraId="21902C67" w14:textId="77777777" w:rsidTr="0061262A">
        <w:trPr>
          <w:trHeight w:val="300"/>
        </w:trPr>
        <w:tc>
          <w:tcPr>
            <w:tcW w:w="1528" w:type="pct"/>
            <w:vMerge w:val="restart"/>
            <w:tcBorders>
              <w:top w:val="single" w:sz="4" w:space="0" w:color="auto"/>
              <w:left w:val="single" w:sz="4" w:space="0" w:color="auto"/>
              <w:bottom w:val="single" w:sz="4" w:space="0" w:color="auto"/>
              <w:right w:val="single" w:sz="4" w:space="0" w:color="auto"/>
            </w:tcBorders>
            <w:shd w:val="clear" w:color="000000" w:fill="9BC2E6"/>
            <w:vAlign w:val="center"/>
            <w:hideMark/>
          </w:tcPr>
          <w:p w14:paraId="33331837" w14:textId="77777777" w:rsidR="00B153EB" w:rsidRPr="00B153EB" w:rsidRDefault="00B153EB" w:rsidP="003A2CCC">
            <w:pPr>
              <w:spacing w:after="0"/>
              <w:jc w:val="left"/>
              <w:rPr>
                <w:rFonts w:ascii="Calibri" w:eastAsia="Times New Roman" w:hAnsi="Calibri" w:cs="Calibri"/>
                <w:b/>
                <w:bCs/>
                <w:color w:val="000000"/>
                <w:sz w:val="20"/>
                <w:szCs w:val="20"/>
                <w:lang w:val="en-US"/>
              </w:rPr>
            </w:pPr>
            <w:r w:rsidRPr="00B153EB">
              <w:rPr>
                <w:rFonts w:ascii="Calibri" w:eastAsia="Times New Roman" w:hAnsi="Calibri" w:cstheme="minorHAnsi"/>
                <w:b/>
                <w:bCs/>
                <w:color w:val="000000"/>
                <w:sz w:val="20"/>
                <w:szCs w:val="20"/>
              </w:rPr>
              <w:t>Data Collection</w:t>
            </w:r>
          </w:p>
        </w:tc>
        <w:tc>
          <w:tcPr>
            <w:tcW w:w="431" w:type="pct"/>
            <w:gridSpan w:val="2"/>
            <w:tcBorders>
              <w:top w:val="single" w:sz="4" w:space="0" w:color="auto"/>
              <w:left w:val="nil"/>
              <w:bottom w:val="single" w:sz="4" w:space="0" w:color="auto"/>
              <w:right w:val="single" w:sz="4" w:space="0" w:color="auto"/>
            </w:tcBorders>
            <w:shd w:val="clear" w:color="000000" w:fill="9BC2E6"/>
            <w:hideMark/>
          </w:tcPr>
          <w:p w14:paraId="4A34D570" w14:textId="77777777" w:rsidR="00B153EB" w:rsidRPr="00B153EB" w:rsidRDefault="00B153EB" w:rsidP="003A2CCC">
            <w:pPr>
              <w:spacing w:after="0"/>
              <w:jc w:val="center"/>
              <w:rPr>
                <w:rFonts w:ascii="Calibri" w:eastAsia="Times New Roman" w:hAnsi="Calibri" w:cs="Calibri"/>
                <w:b/>
                <w:bCs/>
                <w:color w:val="000000"/>
                <w:sz w:val="20"/>
                <w:szCs w:val="20"/>
                <w:lang w:val="en-US"/>
              </w:rPr>
            </w:pPr>
            <w:r w:rsidRPr="00B153EB">
              <w:rPr>
                <w:rFonts w:ascii="Calibri" w:eastAsia="Times New Roman" w:hAnsi="Calibri" w:cstheme="minorHAnsi"/>
                <w:b/>
                <w:bCs/>
                <w:color w:val="000000"/>
                <w:sz w:val="20"/>
                <w:szCs w:val="20"/>
              </w:rPr>
              <w:t>2018</w:t>
            </w:r>
          </w:p>
        </w:tc>
        <w:tc>
          <w:tcPr>
            <w:tcW w:w="870" w:type="pct"/>
            <w:gridSpan w:val="4"/>
            <w:tcBorders>
              <w:top w:val="single" w:sz="4" w:space="0" w:color="auto"/>
              <w:left w:val="nil"/>
              <w:bottom w:val="single" w:sz="4" w:space="0" w:color="auto"/>
              <w:right w:val="single" w:sz="4" w:space="0" w:color="auto"/>
            </w:tcBorders>
            <w:shd w:val="clear" w:color="000000" w:fill="9BC2E6"/>
            <w:hideMark/>
          </w:tcPr>
          <w:p w14:paraId="67ED1342" w14:textId="77777777" w:rsidR="00B153EB" w:rsidRPr="00B153EB" w:rsidRDefault="00B153EB" w:rsidP="003A2CCC">
            <w:pPr>
              <w:spacing w:after="0"/>
              <w:jc w:val="center"/>
              <w:rPr>
                <w:rFonts w:ascii="Calibri" w:eastAsia="Times New Roman" w:hAnsi="Calibri" w:cs="Calibri"/>
                <w:b/>
                <w:bCs/>
                <w:color w:val="000000"/>
                <w:sz w:val="20"/>
                <w:szCs w:val="20"/>
                <w:lang w:val="en-US"/>
              </w:rPr>
            </w:pPr>
            <w:r w:rsidRPr="00B153EB">
              <w:rPr>
                <w:rFonts w:ascii="Calibri" w:eastAsia="Times New Roman" w:hAnsi="Calibri" w:cstheme="minorHAnsi"/>
                <w:b/>
                <w:bCs/>
                <w:color w:val="000000"/>
                <w:sz w:val="20"/>
                <w:szCs w:val="20"/>
              </w:rPr>
              <w:t>2019</w:t>
            </w:r>
          </w:p>
        </w:tc>
        <w:tc>
          <w:tcPr>
            <w:tcW w:w="870" w:type="pct"/>
            <w:gridSpan w:val="4"/>
            <w:tcBorders>
              <w:top w:val="single" w:sz="4" w:space="0" w:color="auto"/>
              <w:left w:val="nil"/>
              <w:bottom w:val="single" w:sz="4" w:space="0" w:color="auto"/>
              <w:right w:val="single" w:sz="4" w:space="0" w:color="auto"/>
            </w:tcBorders>
            <w:shd w:val="clear" w:color="000000" w:fill="9BC2E6"/>
            <w:hideMark/>
          </w:tcPr>
          <w:p w14:paraId="0D08C88F" w14:textId="77777777" w:rsidR="00B153EB" w:rsidRPr="00B153EB" w:rsidRDefault="00B153EB" w:rsidP="003A2CCC">
            <w:pPr>
              <w:spacing w:after="0"/>
              <w:jc w:val="center"/>
              <w:rPr>
                <w:rFonts w:ascii="Calibri" w:eastAsia="Times New Roman" w:hAnsi="Calibri" w:cs="Calibri"/>
                <w:b/>
                <w:bCs/>
                <w:color w:val="000000"/>
                <w:sz w:val="20"/>
                <w:szCs w:val="20"/>
                <w:lang w:val="en-US"/>
              </w:rPr>
            </w:pPr>
            <w:r w:rsidRPr="00B153EB">
              <w:rPr>
                <w:rFonts w:ascii="Calibri" w:eastAsia="Times New Roman" w:hAnsi="Calibri" w:cstheme="minorHAnsi"/>
                <w:b/>
                <w:bCs/>
                <w:color w:val="000000"/>
                <w:sz w:val="20"/>
                <w:szCs w:val="20"/>
              </w:rPr>
              <w:t>2020</w:t>
            </w:r>
          </w:p>
        </w:tc>
        <w:tc>
          <w:tcPr>
            <w:tcW w:w="870" w:type="pct"/>
            <w:gridSpan w:val="4"/>
            <w:tcBorders>
              <w:top w:val="single" w:sz="4" w:space="0" w:color="auto"/>
              <w:left w:val="nil"/>
              <w:bottom w:val="single" w:sz="4" w:space="0" w:color="auto"/>
              <w:right w:val="single" w:sz="4" w:space="0" w:color="auto"/>
            </w:tcBorders>
            <w:shd w:val="clear" w:color="000000" w:fill="9BC2E6"/>
            <w:hideMark/>
          </w:tcPr>
          <w:p w14:paraId="2502D9E9" w14:textId="77777777" w:rsidR="00B153EB" w:rsidRPr="00B153EB" w:rsidRDefault="00B153EB" w:rsidP="003A2CCC">
            <w:pPr>
              <w:spacing w:after="0"/>
              <w:jc w:val="center"/>
              <w:rPr>
                <w:rFonts w:ascii="Calibri" w:eastAsia="Times New Roman" w:hAnsi="Calibri" w:cs="Calibri"/>
                <w:b/>
                <w:bCs/>
                <w:color w:val="000000"/>
                <w:sz w:val="20"/>
                <w:szCs w:val="20"/>
                <w:lang w:val="en-US"/>
              </w:rPr>
            </w:pPr>
            <w:r w:rsidRPr="00B153EB">
              <w:rPr>
                <w:rFonts w:ascii="Calibri" w:eastAsia="Times New Roman" w:hAnsi="Calibri" w:cstheme="minorHAnsi"/>
                <w:b/>
                <w:bCs/>
                <w:color w:val="000000"/>
                <w:sz w:val="20"/>
                <w:szCs w:val="20"/>
              </w:rPr>
              <w:t>2021</w:t>
            </w:r>
          </w:p>
        </w:tc>
        <w:tc>
          <w:tcPr>
            <w:tcW w:w="431" w:type="pct"/>
            <w:gridSpan w:val="2"/>
            <w:tcBorders>
              <w:top w:val="single" w:sz="4" w:space="0" w:color="auto"/>
              <w:left w:val="nil"/>
              <w:bottom w:val="single" w:sz="4" w:space="0" w:color="auto"/>
              <w:right w:val="single" w:sz="4" w:space="0" w:color="auto"/>
            </w:tcBorders>
            <w:shd w:val="clear" w:color="000000" w:fill="9BC2E6"/>
            <w:hideMark/>
          </w:tcPr>
          <w:p w14:paraId="796E8FD1" w14:textId="77777777" w:rsidR="00B153EB" w:rsidRPr="00B153EB" w:rsidRDefault="00B153EB" w:rsidP="003A2CCC">
            <w:pPr>
              <w:spacing w:after="0"/>
              <w:jc w:val="center"/>
              <w:rPr>
                <w:rFonts w:ascii="Calibri" w:eastAsia="Times New Roman" w:hAnsi="Calibri" w:cs="Calibri"/>
                <w:b/>
                <w:bCs/>
                <w:color w:val="000000"/>
                <w:sz w:val="20"/>
                <w:szCs w:val="20"/>
                <w:lang w:val="en-US"/>
              </w:rPr>
            </w:pPr>
            <w:r w:rsidRPr="00B153EB">
              <w:rPr>
                <w:rFonts w:ascii="Calibri" w:eastAsia="Times New Roman" w:hAnsi="Calibri" w:cs="Calibri"/>
                <w:b/>
                <w:bCs/>
                <w:color w:val="000000"/>
                <w:sz w:val="20"/>
                <w:szCs w:val="20"/>
                <w:lang w:val="en-US"/>
              </w:rPr>
              <w:t>2022</w:t>
            </w:r>
          </w:p>
        </w:tc>
      </w:tr>
      <w:tr w:rsidR="00B153EB" w:rsidRPr="00B153EB" w14:paraId="08831953" w14:textId="77777777" w:rsidTr="0061262A">
        <w:trPr>
          <w:trHeight w:val="300"/>
        </w:trPr>
        <w:tc>
          <w:tcPr>
            <w:tcW w:w="1528" w:type="pct"/>
            <w:vMerge/>
            <w:tcBorders>
              <w:top w:val="single" w:sz="4" w:space="0" w:color="auto"/>
              <w:left w:val="single" w:sz="4" w:space="0" w:color="auto"/>
              <w:bottom w:val="single" w:sz="4" w:space="0" w:color="auto"/>
              <w:right w:val="single" w:sz="4" w:space="0" w:color="auto"/>
            </w:tcBorders>
            <w:vAlign w:val="center"/>
            <w:hideMark/>
          </w:tcPr>
          <w:p w14:paraId="33043F6A" w14:textId="77777777" w:rsidR="00B153EB" w:rsidRPr="00B153EB" w:rsidRDefault="00B153EB" w:rsidP="003A2CCC">
            <w:pPr>
              <w:spacing w:after="0"/>
              <w:jc w:val="left"/>
              <w:rPr>
                <w:rFonts w:ascii="Calibri" w:eastAsia="Times New Roman" w:hAnsi="Calibri" w:cs="Calibri"/>
                <w:b/>
                <w:bCs/>
                <w:color w:val="000000"/>
                <w:sz w:val="20"/>
                <w:szCs w:val="20"/>
                <w:lang w:val="en-US"/>
              </w:rPr>
            </w:pPr>
          </w:p>
        </w:tc>
        <w:tc>
          <w:tcPr>
            <w:tcW w:w="216" w:type="pct"/>
            <w:tcBorders>
              <w:top w:val="nil"/>
              <w:left w:val="nil"/>
              <w:bottom w:val="single" w:sz="4" w:space="0" w:color="auto"/>
              <w:right w:val="single" w:sz="4" w:space="0" w:color="auto"/>
            </w:tcBorders>
            <w:shd w:val="clear" w:color="000000" w:fill="9BC2E6"/>
            <w:hideMark/>
          </w:tcPr>
          <w:p w14:paraId="450190BC" w14:textId="77777777" w:rsidR="00B153EB" w:rsidRPr="00B153EB" w:rsidRDefault="00B153EB" w:rsidP="003A2CCC">
            <w:pPr>
              <w:spacing w:after="0"/>
              <w:jc w:val="center"/>
              <w:rPr>
                <w:rFonts w:ascii="Calibri" w:eastAsia="Times New Roman" w:hAnsi="Calibri" w:cs="Calibri"/>
                <w:b/>
                <w:bCs/>
                <w:color w:val="000000"/>
                <w:sz w:val="20"/>
                <w:szCs w:val="20"/>
                <w:lang w:val="en-US"/>
              </w:rPr>
            </w:pPr>
            <w:r w:rsidRPr="00B153EB">
              <w:rPr>
                <w:rFonts w:ascii="Calibri" w:eastAsia="Times New Roman" w:hAnsi="Calibri" w:cs="Calibri"/>
                <w:b/>
                <w:bCs/>
                <w:color w:val="000000"/>
                <w:sz w:val="20"/>
                <w:szCs w:val="20"/>
              </w:rPr>
              <w:t>Q3</w:t>
            </w:r>
          </w:p>
        </w:tc>
        <w:tc>
          <w:tcPr>
            <w:tcW w:w="215" w:type="pct"/>
            <w:tcBorders>
              <w:top w:val="nil"/>
              <w:left w:val="nil"/>
              <w:bottom w:val="single" w:sz="4" w:space="0" w:color="auto"/>
              <w:right w:val="single" w:sz="4" w:space="0" w:color="auto"/>
            </w:tcBorders>
            <w:shd w:val="clear" w:color="000000" w:fill="9BC2E6"/>
            <w:hideMark/>
          </w:tcPr>
          <w:p w14:paraId="681A6438" w14:textId="77777777" w:rsidR="00B153EB" w:rsidRPr="00B153EB" w:rsidRDefault="00B153EB" w:rsidP="003A2CCC">
            <w:pPr>
              <w:spacing w:after="0"/>
              <w:jc w:val="center"/>
              <w:rPr>
                <w:rFonts w:ascii="Calibri" w:eastAsia="Times New Roman" w:hAnsi="Calibri" w:cs="Calibri"/>
                <w:b/>
                <w:bCs/>
                <w:color w:val="000000"/>
                <w:sz w:val="20"/>
                <w:szCs w:val="20"/>
                <w:lang w:val="en-US"/>
              </w:rPr>
            </w:pPr>
            <w:r w:rsidRPr="00B153EB">
              <w:rPr>
                <w:rFonts w:ascii="Calibri" w:eastAsia="Times New Roman" w:hAnsi="Calibri" w:cs="Calibri"/>
                <w:b/>
                <w:bCs/>
                <w:color w:val="000000"/>
                <w:sz w:val="20"/>
                <w:szCs w:val="20"/>
              </w:rPr>
              <w:t>Q4</w:t>
            </w:r>
          </w:p>
        </w:tc>
        <w:tc>
          <w:tcPr>
            <w:tcW w:w="216" w:type="pct"/>
            <w:tcBorders>
              <w:top w:val="nil"/>
              <w:left w:val="nil"/>
              <w:bottom w:val="single" w:sz="4" w:space="0" w:color="auto"/>
              <w:right w:val="single" w:sz="4" w:space="0" w:color="auto"/>
            </w:tcBorders>
            <w:shd w:val="clear" w:color="000000" w:fill="9BC2E6"/>
            <w:hideMark/>
          </w:tcPr>
          <w:p w14:paraId="5783B613" w14:textId="77777777" w:rsidR="00B153EB" w:rsidRPr="00B153EB" w:rsidRDefault="00B153EB" w:rsidP="003A2CCC">
            <w:pPr>
              <w:spacing w:after="0"/>
              <w:jc w:val="center"/>
              <w:rPr>
                <w:rFonts w:ascii="Calibri" w:eastAsia="Times New Roman" w:hAnsi="Calibri" w:cs="Calibri"/>
                <w:b/>
                <w:bCs/>
                <w:color w:val="000000"/>
                <w:sz w:val="20"/>
                <w:szCs w:val="20"/>
                <w:lang w:val="en-US"/>
              </w:rPr>
            </w:pPr>
            <w:r w:rsidRPr="00B153EB">
              <w:rPr>
                <w:rFonts w:ascii="Calibri" w:eastAsia="Times New Roman" w:hAnsi="Calibri" w:cstheme="minorHAnsi"/>
                <w:b/>
                <w:bCs/>
                <w:color w:val="000000"/>
                <w:sz w:val="20"/>
                <w:szCs w:val="20"/>
              </w:rPr>
              <w:t>Q1</w:t>
            </w:r>
          </w:p>
        </w:tc>
        <w:tc>
          <w:tcPr>
            <w:tcW w:w="215" w:type="pct"/>
            <w:tcBorders>
              <w:top w:val="nil"/>
              <w:left w:val="nil"/>
              <w:bottom w:val="single" w:sz="4" w:space="0" w:color="auto"/>
              <w:right w:val="single" w:sz="4" w:space="0" w:color="auto"/>
            </w:tcBorders>
            <w:shd w:val="clear" w:color="000000" w:fill="9BC2E6"/>
            <w:hideMark/>
          </w:tcPr>
          <w:p w14:paraId="72ECC8CC" w14:textId="77777777" w:rsidR="00B153EB" w:rsidRPr="00B153EB" w:rsidRDefault="00B153EB" w:rsidP="003A2CCC">
            <w:pPr>
              <w:spacing w:after="0"/>
              <w:jc w:val="center"/>
              <w:rPr>
                <w:rFonts w:ascii="Calibri" w:eastAsia="Times New Roman" w:hAnsi="Calibri" w:cs="Calibri"/>
                <w:b/>
                <w:bCs/>
                <w:color w:val="000000"/>
                <w:sz w:val="20"/>
                <w:szCs w:val="20"/>
                <w:lang w:val="en-US"/>
              </w:rPr>
            </w:pPr>
            <w:r w:rsidRPr="00B153EB">
              <w:rPr>
                <w:rFonts w:ascii="Calibri" w:eastAsia="Times New Roman" w:hAnsi="Calibri" w:cs="Calibri"/>
                <w:b/>
                <w:bCs/>
                <w:color w:val="000000"/>
                <w:sz w:val="20"/>
                <w:szCs w:val="20"/>
              </w:rPr>
              <w:t>Q2</w:t>
            </w:r>
          </w:p>
        </w:tc>
        <w:tc>
          <w:tcPr>
            <w:tcW w:w="224" w:type="pct"/>
            <w:tcBorders>
              <w:top w:val="nil"/>
              <w:left w:val="nil"/>
              <w:bottom w:val="single" w:sz="4" w:space="0" w:color="auto"/>
              <w:right w:val="single" w:sz="4" w:space="0" w:color="auto"/>
            </w:tcBorders>
            <w:shd w:val="clear" w:color="000000" w:fill="9BC2E6"/>
            <w:hideMark/>
          </w:tcPr>
          <w:p w14:paraId="00E02868" w14:textId="77777777" w:rsidR="00B153EB" w:rsidRPr="00B153EB" w:rsidRDefault="00B153EB" w:rsidP="003A2CCC">
            <w:pPr>
              <w:spacing w:after="0"/>
              <w:jc w:val="center"/>
              <w:rPr>
                <w:rFonts w:ascii="Calibri" w:eastAsia="Times New Roman" w:hAnsi="Calibri" w:cs="Calibri"/>
                <w:b/>
                <w:bCs/>
                <w:color w:val="000000"/>
                <w:sz w:val="20"/>
                <w:szCs w:val="20"/>
                <w:lang w:val="en-US"/>
              </w:rPr>
            </w:pPr>
            <w:r w:rsidRPr="00B153EB">
              <w:rPr>
                <w:rFonts w:ascii="Calibri" w:eastAsia="Times New Roman" w:hAnsi="Calibri" w:cs="Calibri"/>
                <w:b/>
                <w:bCs/>
                <w:color w:val="000000"/>
                <w:sz w:val="20"/>
                <w:szCs w:val="20"/>
              </w:rPr>
              <w:t>Q3</w:t>
            </w:r>
          </w:p>
        </w:tc>
        <w:tc>
          <w:tcPr>
            <w:tcW w:w="215" w:type="pct"/>
            <w:tcBorders>
              <w:top w:val="nil"/>
              <w:left w:val="nil"/>
              <w:bottom w:val="single" w:sz="4" w:space="0" w:color="auto"/>
              <w:right w:val="single" w:sz="4" w:space="0" w:color="auto"/>
            </w:tcBorders>
            <w:shd w:val="clear" w:color="000000" w:fill="9BC2E6"/>
            <w:hideMark/>
          </w:tcPr>
          <w:p w14:paraId="327ADFA5" w14:textId="77777777" w:rsidR="00B153EB" w:rsidRPr="00B153EB" w:rsidRDefault="00B153EB" w:rsidP="003A2CCC">
            <w:pPr>
              <w:spacing w:after="0"/>
              <w:jc w:val="center"/>
              <w:rPr>
                <w:rFonts w:ascii="Calibri" w:eastAsia="Times New Roman" w:hAnsi="Calibri" w:cs="Calibri"/>
                <w:b/>
                <w:bCs/>
                <w:color w:val="000000"/>
                <w:sz w:val="20"/>
                <w:szCs w:val="20"/>
                <w:lang w:val="en-US"/>
              </w:rPr>
            </w:pPr>
            <w:r w:rsidRPr="00B153EB">
              <w:rPr>
                <w:rFonts w:ascii="Calibri" w:eastAsia="Times New Roman" w:hAnsi="Calibri" w:cstheme="minorHAnsi"/>
                <w:b/>
                <w:bCs/>
                <w:color w:val="000000"/>
                <w:sz w:val="20"/>
                <w:szCs w:val="20"/>
              </w:rPr>
              <w:t>Q4</w:t>
            </w:r>
          </w:p>
        </w:tc>
        <w:tc>
          <w:tcPr>
            <w:tcW w:w="216" w:type="pct"/>
            <w:tcBorders>
              <w:top w:val="nil"/>
              <w:left w:val="nil"/>
              <w:bottom w:val="single" w:sz="4" w:space="0" w:color="auto"/>
              <w:right w:val="single" w:sz="4" w:space="0" w:color="auto"/>
            </w:tcBorders>
            <w:shd w:val="clear" w:color="000000" w:fill="9BC2E6"/>
            <w:hideMark/>
          </w:tcPr>
          <w:p w14:paraId="2EE289D2" w14:textId="77777777" w:rsidR="00B153EB" w:rsidRPr="00B153EB" w:rsidRDefault="00B153EB" w:rsidP="003A2CCC">
            <w:pPr>
              <w:spacing w:after="0"/>
              <w:jc w:val="center"/>
              <w:rPr>
                <w:rFonts w:ascii="Calibri" w:eastAsia="Times New Roman" w:hAnsi="Calibri" w:cs="Calibri"/>
                <w:b/>
                <w:bCs/>
                <w:color w:val="000000"/>
                <w:sz w:val="20"/>
                <w:szCs w:val="20"/>
                <w:lang w:val="en-US"/>
              </w:rPr>
            </w:pPr>
            <w:r w:rsidRPr="00B153EB">
              <w:rPr>
                <w:rFonts w:ascii="Calibri" w:eastAsia="Times New Roman" w:hAnsi="Calibri" w:cstheme="minorHAnsi"/>
                <w:b/>
                <w:bCs/>
                <w:color w:val="000000"/>
                <w:sz w:val="20"/>
                <w:szCs w:val="20"/>
              </w:rPr>
              <w:t>Q1</w:t>
            </w:r>
          </w:p>
        </w:tc>
        <w:tc>
          <w:tcPr>
            <w:tcW w:w="215" w:type="pct"/>
            <w:tcBorders>
              <w:top w:val="nil"/>
              <w:left w:val="nil"/>
              <w:bottom w:val="single" w:sz="4" w:space="0" w:color="auto"/>
              <w:right w:val="single" w:sz="4" w:space="0" w:color="auto"/>
            </w:tcBorders>
            <w:shd w:val="clear" w:color="000000" w:fill="9BC2E6"/>
            <w:hideMark/>
          </w:tcPr>
          <w:p w14:paraId="43CE0A34" w14:textId="77777777" w:rsidR="00B153EB" w:rsidRPr="00B153EB" w:rsidRDefault="00B153EB" w:rsidP="003A2CCC">
            <w:pPr>
              <w:spacing w:after="0"/>
              <w:jc w:val="center"/>
              <w:rPr>
                <w:rFonts w:ascii="Calibri" w:eastAsia="Times New Roman" w:hAnsi="Calibri" w:cs="Calibri"/>
                <w:b/>
                <w:bCs/>
                <w:color w:val="000000"/>
                <w:sz w:val="20"/>
                <w:szCs w:val="20"/>
                <w:lang w:val="en-US"/>
              </w:rPr>
            </w:pPr>
            <w:r w:rsidRPr="00B153EB">
              <w:rPr>
                <w:rFonts w:ascii="Calibri" w:eastAsia="Times New Roman" w:hAnsi="Calibri" w:cstheme="minorHAnsi"/>
                <w:b/>
                <w:bCs/>
                <w:color w:val="000000"/>
                <w:sz w:val="20"/>
                <w:szCs w:val="20"/>
              </w:rPr>
              <w:t>Q2</w:t>
            </w:r>
          </w:p>
        </w:tc>
        <w:tc>
          <w:tcPr>
            <w:tcW w:w="224" w:type="pct"/>
            <w:tcBorders>
              <w:top w:val="nil"/>
              <w:left w:val="nil"/>
              <w:bottom w:val="single" w:sz="4" w:space="0" w:color="auto"/>
              <w:right w:val="single" w:sz="4" w:space="0" w:color="auto"/>
            </w:tcBorders>
            <w:shd w:val="clear" w:color="000000" w:fill="9BC2E6"/>
            <w:hideMark/>
          </w:tcPr>
          <w:p w14:paraId="526A44F8" w14:textId="77777777" w:rsidR="00B153EB" w:rsidRPr="00B153EB" w:rsidRDefault="00B153EB" w:rsidP="003A2CCC">
            <w:pPr>
              <w:spacing w:after="0"/>
              <w:jc w:val="center"/>
              <w:rPr>
                <w:rFonts w:ascii="Calibri" w:eastAsia="Times New Roman" w:hAnsi="Calibri" w:cs="Calibri"/>
                <w:b/>
                <w:bCs/>
                <w:color w:val="000000"/>
                <w:sz w:val="20"/>
                <w:szCs w:val="20"/>
                <w:lang w:val="en-US"/>
              </w:rPr>
            </w:pPr>
            <w:r w:rsidRPr="00B153EB">
              <w:rPr>
                <w:rFonts w:ascii="Calibri" w:eastAsia="Times New Roman" w:hAnsi="Calibri" w:cs="Calibri"/>
                <w:b/>
                <w:bCs/>
                <w:color w:val="000000"/>
                <w:sz w:val="20"/>
                <w:szCs w:val="20"/>
              </w:rPr>
              <w:t>Q3</w:t>
            </w:r>
          </w:p>
        </w:tc>
        <w:tc>
          <w:tcPr>
            <w:tcW w:w="215" w:type="pct"/>
            <w:tcBorders>
              <w:top w:val="nil"/>
              <w:left w:val="nil"/>
              <w:bottom w:val="single" w:sz="4" w:space="0" w:color="auto"/>
              <w:right w:val="single" w:sz="4" w:space="0" w:color="auto"/>
            </w:tcBorders>
            <w:shd w:val="clear" w:color="000000" w:fill="9BC2E6"/>
            <w:hideMark/>
          </w:tcPr>
          <w:p w14:paraId="51E4B89B" w14:textId="77777777" w:rsidR="00B153EB" w:rsidRPr="00B153EB" w:rsidRDefault="00B153EB" w:rsidP="003A2CCC">
            <w:pPr>
              <w:spacing w:after="0"/>
              <w:jc w:val="center"/>
              <w:rPr>
                <w:rFonts w:ascii="Calibri" w:eastAsia="Times New Roman" w:hAnsi="Calibri" w:cs="Calibri"/>
                <w:b/>
                <w:bCs/>
                <w:color w:val="000000"/>
                <w:sz w:val="20"/>
                <w:szCs w:val="20"/>
                <w:lang w:val="en-US"/>
              </w:rPr>
            </w:pPr>
            <w:r w:rsidRPr="00B153EB">
              <w:rPr>
                <w:rFonts w:ascii="Calibri" w:eastAsia="Times New Roman" w:hAnsi="Calibri" w:cs="Calibri"/>
                <w:b/>
                <w:bCs/>
                <w:color w:val="000000"/>
                <w:sz w:val="20"/>
                <w:szCs w:val="20"/>
              </w:rPr>
              <w:t>Q4</w:t>
            </w:r>
          </w:p>
        </w:tc>
        <w:tc>
          <w:tcPr>
            <w:tcW w:w="216" w:type="pct"/>
            <w:tcBorders>
              <w:top w:val="nil"/>
              <w:left w:val="nil"/>
              <w:bottom w:val="single" w:sz="4" w:space="0" w:color="auto"/>
              <w:right w:val="single" w:sz="4" w:space="0" w:color="auto"/>
            </w:tcBorders>
            <w:shd w:val="clear" w:color="000000" w:fill="9BC2E6"/>
            <w:hideMark/>
          </w:tcPr>
          <w:p w14:paraId="4E8AFC55" w14:textId="77777777" w:rsidR="00B153EB" w:rsidRPr="00B153EB" w:rsidRDefault="00B153EB" w:rsidP="003A2CCC">
            <w:pPr>
              <w:spacing w:after="0"/>
              <w:jc w:val="center"/>
              <w:rPr>
                <w:rFonts w:ascii="Calibri" w:eastAsia="Times New Roman" w:hAnsi="Calibri" w:cs="Calibri"/>
                <w:b/>
                <w:bCs/>
                <w:color w:val="000000"/>
                <w:sz w:val="20"/>
                <w:szCs w:val="20"/>
                <w:lang w:val="en-US"/>
              </w:rPr>
            </w:pPr>
            <w:r w:rsidRPr="00B153EB">
              <w:rPr>
                <w:rFonts w:ascii="Calibri" w:eastAsia="Times New Roman" w:hAnsi="Calibri" w:cs="Calibri"/>
                <w:b/>
                <w:bCs/>
                <w:color w:val="000000"/>
                <w:sz w:val="20"/>
                <w:szCs w:val="20"/>
              </w:rPr>
              <w:t>Q1</w:t>
            </w:r>
          </w:p>
        </w:tc>
        <w:tc>
          <w:tcPr>
            <w:tcW w:w="215" w:type="pct"/>
            <w:tcBorders>
              <w:top w:val="nil"/>
              <w:left w:val="nil"/>
              <w:bottom w:val="single" w:sz="4" w:space="0" w:color="auto"/>
              <w:right w:val="single" w:sz="4" w:space="0" w:color="auto"/>
            </w:tcBorders>
            <w:shd w:val="clear" w:color="000000" w:fill="9BC2E6"/>
            <w:hideMark/>
          </w:tcPr>
          <w:p w14:paraId="44FF238B" w14:textId="77777777" w:rsidR="00B153EB" w:rsidRPr="00B153EB" w:rsidRDefault="00B153EB" w:rsidP="003A2CCC">
            <w:pPr>
              <w:spacing w:after="0"/>
              <w:jc w:val="center"/>
              <w:rPr>
                <w:rFonts w:ascii="Calibri" w:eastAsia="Times New Roman" w:hAnsi="Calibri" w:cs="Calibri"/>
                <w:b/>
                <w:bCs/>
                <w:color w:val="000000"/>
                <w:sz w:val="20"/>
                <w:szCs w:val="20"/>
                <w:lang w:val="en-US"/>
              </w:rPr>
            </w:pPr>
            <w:r w:rsidRPr="00B153EB">
              <w:rPr>
                <w:rFonts w:ascii="Calibri" w:eastAsia="Times New Roman" w:hAnsi="Calibri" w:cs="Calibri"/>
                <w:b/>
                <w:bCs/>
                <w:color w:val="000000"/>
                <w:sz w:val="20"/>
                <w:szCs w:val="20"/>
              </w:rPr>
              <w:t>Q2</w:t>
            </w:r>
          </w:p>
        </w:tc>
        <w:tc>
          <w:tcPr>
            <w:tcW w:w="224" w:type="pct"/>
            <w:tcBorders>
              <w:top w:val="nil"/>
              <w:left w:val="nil"/>
              <w:bottom w:val="single" w:sz="4" w:space="0" w:color="auto"/>
              <w:right w:val="single" w:sz="4" w:space="0" w:color="auto"/>
            </w:tcBorders>
            <w:shd w:val="clear" w:color="000000" w:fill="9BC2E6"/>
            <w:hideMark/>
          </w:tcPr>
          <w:p w14:paraId="0B035D19" w14:textId="77777777" w:rsidR="00B153EB" w:rsidRPr="00B153EB" w:rsidRDefault="00B153EB" w:rsidP="003A2CCC">
            <w:pPr>
              <w:spacing w:after="0"/>
              <w:jc w:val="center"/>
              <w:rPr>
                <w:rFonts w:ascii="Calibri" w:eastAsia="Times New Roman" w:hAnsi="Calibri" w:cs="Calibri"/>
                <w:b/>
                <w:bCs/>
                <w:color w:val="000000"/>
                <w:sz w:val="20"/>
                <w:szCs w:val="20"/>
                <w:lang w:val="en-US"/>
              </w:rPr>
            </w:pPr>
            <w:r w:rsidRPr="00B153EB">
              <w:rPr>
                <w:rFonts w:ascii="Calibri" w:eastAsia="Times New Roman" w:hAnsi="Calibri" w:cs="Calibri"/>
                <w:b/>
                <w:bCs/>
                <w:color w:val="000000"/>
                <w:sz w:val="20"/>
                <w:szCs w:val="20"/>
              </w:rPr>
              <w:t>Q3</w:t>
            </w:r>
          </w:p>
        </w:tc>
        <w:tc>
          <w:tcPr>
            <w:tcW w:w="215" w:type="pct"/>
            <w:tcBorders>
              <w:top w:val="nil"/>
              <w:left w:val="nil"/>
              <w:bottom w:val="single" w:sz="4" w:space="0" w:color="auto"/>
              <w:right w:val="single" w:sz="4" w:space="0" w:color="auto"/>
            </w:tcBorders>
            <w:shd w:val="clear" w:color="000000" w:fill="9BC2E6"/>
            <w:hideMark/>
          </w:tcPr>
          <w:p w14:paraId="1B173424" w14:textId="77777777" w:rsidR="00B153EB" w:rsidRPr="00B153EB" w:rsidRDefault="00B153EB" w:rsidP="003A2CCC">
            <w:pPr>
              <w:spacing w:after="0"/>
              <w:jc w:val="center"/>
              <w:rPr>
                <w:rFonts w:ascii="Calibri" w:eastAsia="Times New Roman" w:hAnsi="Calibri" w:cs="Calibri"/>
                <w:b/>
                <w:bCs/>
                <w:color w:val="000000"/>
                <w:sz w:val="20"/>
                <w:szCs w:val="20"/>
                <w:lang w:val="en-US"/>
              </w:rPr>
            </w:pPr>
            <w:r w:rsidRPr="00B153EB">
              <w:rPr>
                <w:rFonts w:ascii="Calibri" w:eastAsia="Times New Roman" w:hAnsi="Calibri" w:cs="Calibri"/>
                <w:b/>
                <w:bCs/>
                <w:color w:val="000000"/>
                <w:sz w:val="20"/>
                <w:szCs w:val="20"/>
              </w:rPr>
              <w:t>Q4</w:t>
            </w:r>
          </w:p>
        </w:tc>
        <w:tc>
          <w:tcPr>
            <w:tcW w:w="216" w:type="pct"/>
            <w:tcBorders>
              <w:top w:val="nil"/>
              <w:left w:val="nil"/>
              <w:bottom w:val="single" w:sz="4" w:space="0" w:color="auto"/>
              <w:right w:val="single" w:sz="4" w:space="0" w:color="auto"/>
            </w:tcBorders>
            <w:shd w:val="clear" w:color="000000" w:fill="9BC2E6"/>
            <w:hideMark/>
          </w:tcPr>
          <w:p w14:paraId="64381B6C" w14:textId="77777777" w:rsidR="00B153EB" w:rsidRPr="00B153EB" w:rsidRDefault="00B153EB" w:rsidP="003A2CCC">
            <w:pPr>
              <w:spacing w:after="0"/>
              <w:jc w:val="center"/>
              <w:rPr>
                <w:rFonts w:ascii="Calibri" w:eastAsia="Times New Roman" w:hAnsi="Calibri" w:cs="Calibri"/>
                <w:b/>
                <w:bCs/>
                <w:color w:val="000000"/>
                <w:sz w:val="20"/>
                <w:szCs w:val="20"/>
                <w:lang w:val="en-US"/>
              </w:rPr>
            </w:pPr>
            <w:r w:rsidRPr="00B153EB">
              <w:rPr>
                <w:rFonts w:ascii="Calibri" w:eastAsia="Times New Roman" w:hAnsi="Calibri" w:cs="Calibri"/>
                <w:b/>
                <w:bCs/>
                <w:color w:val="000000"/>
                <w:sz w:val="20"/>
                <w:szCs w:val="20"/>
              </w:rPr>
              <w:t>Q1</w:t>
            </w:r>
          </w:p>
        </w:tc>
        <w:tc>
          <w:tcPr>
            <w:tcW w:w="215" w:type="pct"/>
            <w:tcBorders>
              <w:top w:val="nil"/>
              <w:left w:val="nil"/>
              <w:bottom w:val="single" w:sz="4" w:space="0" w:color="auto"/>
              <w:right w:val="single" w:sz="4" w:space="0" w:color="auto"/>
            </w:tcBorders>
            <w:shd w:val="clear" w:color="000000" w:fill="9BC2E6"/>
            <w:hideMark/>
          </w:tcPr>
          <w:p w14:paraId="5780EFF9" w14:textId="77777777" w:rsidR="00B153EB" w:rsidRPr="00B153EB" w:rsidRDefault="00B153EB" w:rsidP="003A2CCC">
            <w:pPr>
              <w:spacing w:after="0"/>
              <w:jc w:val="center"/>
              <w:rPr>
                <w:rFonts w:ascii="Calibri" w:eastAsia="Times New Roman" w:hAnsi="Calibri" w:cs="Calibri"/>
                <w:b/>
                <w:bCs/>
                <w:color w:val="000000"/>
                <w:sz w:val="20"/>
                <w:szCs w:val="20"/>
                <w:lang w:val="en-US"/>
              </w:rPr>
            </w:pPr>
            <w:r w:rsidRPr="00B153EB">
              <w:rPr>
                <w:rFonts w:ascii="Calibri" w:eastAsia="Times New Roman" w:hAnsi="Calibri" w:cs="Calibri"/>
                <w:b/>
                <w:bCs/>
                <w:color w:val="000000"/>
                <w:sz w:val="20"/>
                <w:szCs w:val="20"/>
              </w:rPr>
              <w:t>Q2</w:t>
            </w:r>
          </w:p>
        </w:tc>
      </w:tr>
      <w:tr w:rsidR="00B153EB" w:rsidRPr="00B153EB" w14:paraId="0FA3903E" w14:textId="77777777" w:rsidTr="0061262A">
        <w:trPr>
          <w:trHeight w:val="300"/>
        </w:trPr>
        <w:tc>
          <w:tcPr>
            <w:tcW w:w="1528" w:type="pct"/>
            <w:tcBorders>
              <w:top w:val="nil"/>
              <w:left w:val="single" w:sz="4" w:space="0" w:color="auto"/>
              <w:bottom w:val="single" w:sz="4" w:space="0" w:color="auto"/>
              <w:right w:val="single" w:sz="4" w:space="0" w:color="auto"/>
            </w:tcBorders>
            <w:shd w:val="clear" w:color="auto" w:fill="auto"/>
            <w:hideMark/>
          </w:tcPr>
          <w:p w14:paraId="286F2DEA" w14:textId="77777777" w:rsidR="00B153EB" w:rsidRPr="00B153EB" w:rsidRDefault="00B153EB" w:rsidP="003A2CCC">
            <w:pPr>
              <w:spacing w:after="0"/>
              <w:jc w:val="left"/>
              <w:rPr>
                <w:rFonts w:ascii="Calibri" w:eastAsia="Times New Roman" w:hAnsi="Calibri" w:cs="Calibri"/>
                <w:color w:val="000000"/>
                <w:sz w:val="20"/>
                <w:szCs w:val="20"/>
                <w:lang w:val="en-US"/>
              </w:rPr>
            </w:pPr>
            <w:r w:rsidRPr="00B153EB">
              <w:rPr>
                <w:rFonts w:ascii="Calibri" w:eastAsia="Times New Roman" w:hAnsi="Calibri" w:cstheme="minorHAnsi"/>
                <w:color w:val="000000"/>
                <w:sz w:val="20"/>
                <w:szCs w:val="20"/>
              </w:rPr>
              <w:t>Activity Tracking</w:t>
            </w:r>
          </w:p>
        </w:tc>
        <w:tc>
          <w:tcPr>
            <w:tcW w:w="216" w:type="pct"/>
            <w:tcBorders>
              <w:top w:val="nil"/>
              <w:left w:val="nil"/>
              <w:bottom w:val="single" w:sz="4" w:space="0" w:color="auto"/>
              <w:right w:val="single" w:sz="4" w:space="0" w:color="auto"/>
            </w:tcBorders>
            <w:shd w:val="clear" w:color="000000" w:fill="AEAAAA"/>
            <w:hideMark/>
          </w:tcPr>
          <w:p w14:paraId="4C413CA7" w14:textId="77777777" w:rsidR="00B153EB" w:rsidRPr="00B153EB" w:rsidRDefault="00B153EB" w:rsidP="003A2CCC">
            <w:pPr>
              <w:spacing w:after="0"/>
              <w:jc w:val="left"/>
              <w:rPr>
                <w:rFonts w:ascii="Calibri" w:eastAsia="Times New Roman" w:hAnsi="Calibri" w:cs="Calibri"/>
                <w:color w:val="000000"/>
                <w:sz w:val="20"/>
                <w:szCs w:val="20"/>
                <w:lang w:val="en-US"/>
              </w:rPr>
            </w:pPr>
            <w:r w:rsidRPr="00B153EB">
              <w:rPr>
                <w:rFonts w:ascii="Calibri" w:eastAsia="Times New Roman" w:hAnsi="Calibri" w:cs="Calibri"/>
                <w:color w:val="000000"/>
                <w:sz w:val="20"/>
                <w:szCs w:val="20"/>
                <w:lang w:val="en-US"/>
              </w:rPr>
              <w:t> </w:t>
            </w:r>
          </w:p>
        </w:tc>
        <w:tc>
          <w:tcPr>
            <w:tcW w:w="215" w:type="pct"/>
            <w:tcBorders>
              <w:top w:val="nil"/>
              <w:left w:val="nil"/>
              <w:bottom w:val="single" w:sz="4" w:space="0" w:color="auto"/>
              <w:right w:val="single" w:sz="4" w:space="0" w:color="auto"/>
            </w:tcBorders>
            <w:shd w:val="clear" w:color="000000" w:fill="AEAAAA"/>
            <w:hideMark/>
          </w:tcPr>
          <w:p w14:paraId="7DC0B9EA" w14:textId="77777777" w:rsidR="00B153EB" w:rsidRPr="00B153EB" w:rsidRDefault="00B153EB" w:rsidP="003A2CCC">
            <w:pPr>
              <w:spacing w:after="0"/>
              <w:jc w:val="left"/>
              <w:rPr>
                <w:rFonts w:ascii="Calibri" w:eastAsia="Times New Roman" w:hAnsi="Calibri" w:cs="Calibri"/>
                <w:color w:val="000000"/>
                <w:sz w:val="20"/>
                <w:szCs w:val="20"/>
                <w:lang w:val="en-US"/>
              </w:rPr>
            </w:pPr>
            <w:r w:rsidRPr="00B153EB">
              <w:rPr>
                <w:rFonts w:ascii="Calibri" w:eastAsia="Times New Roman" w:hAnsi="Calibri" w:cstheme="minorHAnsi"/>
                <w:color w:val="000000"/>
                <w:sz w:val="20"/>
                <w:szCs w:val="20"/>
              </w:rPr>
              <w:t> </w:t>
            </w:r>
          </w:p>
        </w:tc>
        <w:tc>
          <w:tcPr>
            <w:tcW w:w="216" w:type="pct"/>
            <w:tcBorders>
              <w:top w:val="nil"/>
              <w:left w:val="nil"/>
              <w:bottom w:val="single" w:sz="4" w:space="0" w:color="auto"/>
              <w:right w:val="single" w:sz="4" w:space="0" w:color="auto"/>
            </w:tcBorders>
            <w:shd w:val="clear" w:color="000000" w:fill="AEAAAA"/>
            <w:hideMark/>
          </w:tcPr>
          <w:p w14:paraId="65A951BF" w14:textId="77777777" w:rsidR="00B153EB" w:rsidRPr="00B153EB" w:rsidRDefault="00B153EB" w:rsidP="003A2CCC">
            <w:pPr>
              <w:spacing w:after="0"/>
              <w:jc w:val="left"/>
              <w:rPr>
                <w:rFonts w:ascii="Calibri" w:eastAsia="Times New Roman" w:hAnsi="Calibri" w:cs="Calibri"/>
                <w:color w:val="000000"/>
                <w:sz w:val="20"/>
                <w:szCs w:val="20"/>
                <w:lang w:val="en-US"/>
              </w:rPr>
            </w:pPr>
            <w:r w:rsidRPr="00B153EB">
              <w:rPr>
                <w:rFonts w:ascii="Calibri" w:eastAsia="Times New Roman" w:hAnsi="Calibri" w:cstheme="minorHAnsi"/>
                <w:color w:val="000000"/>
                <w:sz w:val="20"/>
                <w:szCs w:val="20"/>
              </w:rPr>
              <w:t> </w:t>
            </w:r>
          </w:p>
        </w:tc>
        <w:tc>
          <w:tcPr>
            <w:tcW w:w="215" w:type="pct"/>
            <w:tcBorders>
              <w:top w:val="nil"/>
              <w:left w:val="nil"/>
              <w:bottom w:val="single" w:sz="4" w:space="0" w:color="auto"/>
              <w:right w:val="single" w:sz="4" w:space="0" w:color="auto"/>
            </w:tcBorders>
            <w:shd w:val="clear" w:color="000000" w:fill="AEAAAA"/>
            <w:hideMark/>
          </w:tcPr>
          <w:p w14:paraId="2BB20373" w14:textId="77777777" w:rsidR="00B153EB" w:rsidRPr="00B153EB" w:rsidRDefault="00B153EB" w:rsidP="003A2CCC">
            <w:pPr>
              <w:spacing w:after="0"/>
              <w:jc w:val="left"/>
              <w:rPr>
                <w:rFonts w:ascii="Calibri" w:eastAsia="Times New Roman" w:hAnsi="Calibri" w:cs="Calibri"/>
                <w:color w:val="000000"/>
                <w:sz w:val="20"/>
                <w:szCs w:val="20"/>
                <w:lang w:val="en-US"/>
              </w:rPr>
            </w:pPr>
            <w:r w:rsidRPr="00B153EB">
              <w:rPr>
                <w:rFonts w:ascii="Calibri" w:eastAsia="Times New Roman" w:hAnsi="Calibri" w:cstheme="minorHAnsi"/>
                <w:color w:val="000000"/>
                <w:sz w:val="20"/>
                <w:szCs w:val="20"/>
              </w:rPr>
              <w:t> </w:t>
            </w:r>
          </w:p>
        </w:tc>
        <w:tc>
          <w:tcPr>
            <w:tcW w:w="224" w:type="pct"/>
            <w:tcBorders>
              <w:top w:val="nil"/>
              <w:left w:val="nil"/>
              <w:bottom w:val="single" w:sz="4" w:space="0" w:color="auto"/>
              <w:right w:val="single" w:sz="4" w:space="0" w:color="auto"/>
            </w:tcBorders>
            <w:shd w:val="clear" w:color="000000" w:fill="AEAAAA"/>
            <w:hideMark/>
          </w:tcPr>
          <w:p w14:paraId="673B1E4E" w14:textId="77777777" w:rsidR="00B153EB" w:rsidRPr="00B153EB" w:rsidRDefault="00B153EB" w:rsidP="003A2CCC">
            <w:pPr>
              <w:spacing w:after="0"/>
              <w:jc w:val="left"/>
              <w:rPr>
                <w:rFonts w:ascii="Calibri" w:eastAsia="Times New Roman" w:hAnsi="Calibri" w:cs="Calibri"/>
                <w:color w:val="000000"/>
                <w:sz w:val="20"/>
                <w:szCs w:val="20"/>
                <w:lang w:val="en-US"/>
              </w:rPr>
            </w:pPr>
            <w:r w:rsidRPr="00B153EB">
              <w:rPr>
                <w:rFonts w:ascii="Calibri" w:eastAsia="Times New Roman" w:hAnsi="Calibri" w:cstheme="minorHAnsi"/>
                <w:color w:val="000000"/>
                <w:sz w:val="20"/>
                <w:szCs w:val="20"/>
              </w:rPr>
              <w:t> </w:t>
            </w:r>
          </w:p>
        </w:tc>
        <w:tc>
          <w:tcPr>
            <w:tcW w:w="215" w:type="pct"/>
            <w:tcBorders>
              <w:top w:val="nil"/>
              <w:left w:val="nil"/>
              <w:bottom w:val="single" w:sz="4" w:space="0" w:color="auto"/>
              <w:right w:val="single" w:sz="4" w:space="0" w:color="auto"/>
            </w:tcBorders>
            <w:shd w:val="clear" w:color="000000" w:fill="AEAAAA"/>
            <w:hideMark/>
          </w:tcPr>
          <w:p w14:paraId="620673C5" w14:textId="77777777" w:rsidR="00B153EB" w:rsidRPr="00B153EB" w:rsidRDefault="00B153EB" w:rsidP="003A2CCC">
            <w:pPr>
              <w:spacing w:after="0"/>
              <w:jc w:val="left"/>
              <w:rPr>
                <w:rFonts w:ascii="Calibri" w:eastAsia="Times New Roman" w:hAnsi="Calibri" w:cs="Calibri"/>
                <w:color w:val="000000"/>
                <w:sz w:val="20"/>
                <w:szCs w:val="20"/>
                <w:lang w:val="en-US"/>
              </w:rPr>
            </w:pPr>
            <w:r w:rsidRPr="00B153EB">
              <w:rPr>
                <w:rFonts w:ascii="Calibri" w:eastAsia="Times New Roman" w:hAnsi="Calibri" w:cstheme="minorHAnsi"/>
                <w:color w:val="000000"/>
                <w:sz w:val="20"/>
                <w:szCs w:val="20"/>
              </w:rPr>
              <w:t> </w:t>
            </w:r>
          </w:p>
        </w:tc>
        <w:tc>
          <w:tcPr>
            <w:tcW w:w="216" w:type="pct"/>
            <w:tcBorders>
              <w:top w:val="nil"/>
              <w:left w:val="nil"/>
              <w:bottom w:val="single" w:sz="4" w:space="0" w:color="auto"/>
              <w:right w:val="single" w:sz="4" w:space="0" w:color="auto"/>
            </w:tcBorders>
            <w:shd w:val="clear" w:color="000000" w:fill="AEAAAA"/>
            <w:hideMark/>
          </w:tcPr>
          <w:p w14:paraId="2C9439D0" w14:textId="77777777" w:rsidR="00B153EB" w:rsidRPr="00B153EB" w:rsidRDefault="00B153EB" w:rsidP="003A2CCC">
            <w:pPr>
              <w:spacing w:after="0"/>
              <w:jc w:val="left"/>
              <w:rPr>
                <w:rFonts w:ascii="Calibri" w:eastAsia="Times New Roman" w:hAnsi="Calibri" w:cs="Calibri"/>
                <w:color w:val="000000"/>
                <w:sz w:val="20"/>
                <w:szCs w:val="20"/>
                <w:lang w:val="en-US"/>
              </w:rPr>
            </w:pPr>
            <w:r w:rsidRPr="00B153EB">
              <w:rPr>
                <w:rFonts w:ascii="Calibri" w:eastAsia="Times New Roman" w:hAnsi="Calibri" w:cstheme="minorHAnsi"/>
                <w:color w:val="000000"/>
                <w:sz w:val="20"/>
                <w:szCs w:val="20"/>
              </w:rPr>
              <w:t> </w:t>
            </w:r>
          </w:p>
        </w:tc>
        <w:tc>
          <w:tcPr>
            <w:tcW w:w="215" w:type="pct"/>
            <w:tcBorders>
              <w:top w:val="nil"/>
              <w:left w:val="nil"/>
              <w:bottom w:val="single" w:sz="4" w:space="0" w:color="auto"/>
              <w:right w:val="single" w:sz="4" w:space="0" w:color="auto"/>
            </w:tcBorders>
            <w:shd w:val="clear" w:color="000000" w:fill="AEAAAA"/>
            <w:hideMark/>
          </w:tcPr>
          <w:p w14:paraId="4D7AB3F5" w14:textId="77777777" w:rsidR="00B153EB" w:rsidRPr="00B153EB" w:rsidRDefault="00B153EB" w:rsidP="003A2CCC">
            <w:pPr>
              <w:spacing w:after="0"/>
              <w:jc w:val="left"/>
              <w:rPr>
                <w:rFonts w:ascii="Calibri" w:eastAsia="Times New Roman" w:hAnsi="Calibri" w:cs="Calibri"/>
                <w:color w:val="000000"/>
                <w:sz w:val="20"/>
                <w:szCs w:val="20"/>
                <w:lang w:val="en-US"/>
              </w:rPr>
            </w:pPr>
            <w:r w:rsidRPr="00B153EB">
              <w:rPr>
                <w:rFonts w:ascii="Calibri" w:eastAsia="Times New Roman" w:hAnsi="Calibri" w:cstheme="minorHAnsi"/>
                <w:color w:val="000000"/>
                <w:sz w:val="20"/>
                <w:szCs w:val="20"/>
              </w:rPr>
              <w:t> </w:t>
            </w:r>
          </w:p>
        </w:tc>
        <w:tc>
          <w:tcPr>
            <w:tcW w:w="224" w:type="pct"/>
            <w:tcBorders>
              <w:top w:val="nil"/>
              <w:left w:val="nil"/>
              <w:bottom w:val="single" w:sz="4" w:space="0" w:color="auto"/>
              <w:right w:val="single" w:sz="4" w:space="0" w:color="auto"/>
            </w:tcBorders>
            <w:shd w:val="clear" w:color="000000" w:fill="AEAAAA"/>
            <w:hideMark/>
          </w:tcPr>
          <w:p w14:paraId="77569E35" w14:textId="77777777" w:rsidR="00B153EB" w:rsidRPr="00B153EB" w:rsidRDefault="00B153EB" w:rsidP="003A2CCC">
            <w:pPr>
              <w:spacing w:after="0"/>
              <w:jc w:val="left"/>
              <w:rPr>
                <w:rFonts w:ascii="Calibri" w:eastAsia="Times New Roman" w:hAnsi="Calibri" w:cs="Calibri"/>
                <w:color w:val="000000"/>
                <w:sz w:val="20"/>
                <w:szCs w:val="20"/>
                <w:lang w:val="en-US"/>
              </w:rPr>
            </w:pPr>
            <w:r w:rsidRPr="00B153EB">
              <w:rPr>
                <w:rFonts w:ascii="Calibri" w:eastAsia="Times New Roman" w:hAnsi="Calibri" w:cstheme="minorHAnsi"/>
                <w:color w:val="000000"/>
                <w:sz w:val="20"/>
                <w:szCs w:val="20"/>
              </w:rPr>
              <w:t> </w:t>
            </w:r>
          </w:p>
        </w:tc>
        <w:tc>
          <w:tcPr>
            <w:tcW w:w="215" w:type="pct"/>
            <w:tcBorders>
              <w:top w:val="nil"/>
              <w:left w:val="nil"/>
              <w:bottom w:val="single" w:sz="4" w:space="0" w:color="auto"/>
              <w:right w:val="single" w:sz="4" w:space="0" w:color="auto"/>
            </w:tcBorders>
            <w:shd w:val="clear" w:color="000000" w:fill="AEAAAA"/>
            <w:hideMark/>
          </w:tcPr>
          <w:p w14:paraId="51006026" w14:textId="77777777" w:rsidR="00B153EB" w:rsidRPr="00B153EB" w:rsidRDefault="00B153EB" w:rsidP="003A2CCC">
            <w:pPr>
              <w:spacing w:after="0"/>
              <w:jc w:val="left"/>
              <w:rPr>
                <w:rFonts w:ascii="Calibri" w:eastAsia="Times New Roman" w:hAnsi="Calibri" w:cs="Calibri"/>
                <w:color w:val="000000"/>
                <w:sz w:val="20"/>
                <w:szCs w:val="20"/>
                <w:lang w:val="en-US"/>
              </w:rPr>
            </w:pPr>
            <w:r w:rsidRPr="00B153EB">
              <w:rPr>
                <w:rFonts w:ascii="Calibri" w:eastAsia="Times New Roman" w:hAnsi="Calibri" w:cstheme="minorHAnsi"/>
                <w:color w:val="000000"/>
                <w:sz w:val="20"/>
                <w:szCs w:val="20"/>
              </w:rPr>
              <w:t> </w:t>
            </w:r>
          </w:p>
        </w:tc>
        <w:tc>
          <w:tcPr>
            <w:tcW w:w="216" w:type="pct"/>
            <w:tcBorders>
              <w:top w:val="nil"/>
              <w:left w:val="nil"/>
              <w:bottom w:val="single" w:sz="4" w:space="0" w:color="auto"/>
              <w:right w:val="single" w:sz="4" w:space="0" w:color="auto"/>
            </w:tcBorders>
            <w:shd w:val="clear" w:color="000000" w:fill="AEAAAA"/>
            <w:hideMark/>
          </w:tcPr>
          <w:p w14:paraId="16756640" w14:textId="77777777" w:rsidR="00B153EB" w:rsidRPr="00B153EB" w:rsidRDefault="00B153EB" w:rsidP="003A2CCC">
            <w:pPr>
              <w:spacing w:after="0"/>
              <w:jc w:val="left"/>
              <w:rPr>
                <w:rFonts w:ascii="Calibri" w:eastAsia="Times New Roman" w:hAnsi="Calibri" w:cs="Calibri"/>
                <w:color w:val="000000"/>
                <w:sz w:val="20"/>
                <w:szCs w:val="20"/>
                <w:lang w:val="en-US"/>
              </w:rPr>
            </w:pPr>
            <w:r w:rsidRPr="00B153EB">
              <w:rPr>
                <w:rFonts w:ascii="Calibri" w:eastAsia="Times New Roman" w:hAnsi="Calibri" w:cstheme="minorHAnsi"/>
                <w:color w:val="000000"/>
                <w:sz w:val="20"/>
                <w:szCs w:val="20"/>
              </w:rPr>
              <w:t> </w:t>
            </w:r>
          </w:p>
        </w:tc>
        <w:tc>
          <w:tcPr>
            <w:tcW w:w="215" w:type="pct"/>
            <w:tcBorders>
              <w:top w:val="nil"/>
              <w:left w:val="nil"/>
              <w:bottom w:val="single" w:sz="4" w:space="0" w:color="auto"/>
              <w:right w:val="single" w:sz="4" w:space="0" w:color="auto"/>
            </w:tcBorders>
            <w:shd w:val="clear" w:color="000000" w:fill="AEAAAA"/>
            <w:hideMark/>
          </w:tcPr>
          <w:p w14:paraId="30E073ED" w14:textId="77777777" w:rsidR="00B153EB" w:rsidRPr="00B153EB" w:rsidRDefault="00B153EB" w:rsidP="003A2CCC">
            <w:pPr>
              <w:spacing w:after="0"/>
              <w:jc w:val="left"/>
              <w:rPr>
                <w:rFonts w:ascii="Calibri" w:eastAsia="Times New Roman" w:hAnsi="Calibri" w:cs="Calibri"/>
                <w:color w:val="000000"/>
                <w:sz w:val="20"/>
                <w:szCs w:val="20"/>
                <w:lang w:val="en-US"/>
              </w:rPr>
            </w:pPr>
            <w:r w:rsidRPr="00B153EB">
              <w:rPr>
                <w:rFonts w:ascii="Calibri" w:eastAsia="Times New Roman" w:hAnsi="Calibri" w:cstheme="minorHAnsi"/>
                <w:color w:val="000000"/>
                <w:sz w:val="20"/>
                <w:szCs w:val="20"/>
              </w:rPr>
              <w:t> </w:t>
            </w:r>
          </w:p>
        </w:tc>
        <w:tc>
          <w:tcPr>
            <w:tcW w:w="224" w:type="pct"/>
            <w:tcBorders>
              <w:top w:val="nil"/>
              <w:left w:val="nil"/>
              <w:bottom w:val="single" w:sz="4" w:space="0" w:color="auto"/>
              <w:right w:val="single" w:sz="4" w:space="0" w:color="auto"/>
            </w:tcBorders>
            <w:shd w:val="clear" w:color="000000" w:fill="AEAAAA"/>
            <w:hideMark/>
          </w:tcPr>
          <w:p w14:paraId="2DCC1A4C" w14:textId="77777777" w:rsidR="00B153EB" w:rsidRPr="00B153EB" w:rsidRDefault="00B153EB" w:rsidP="003A2CCC">
            <w:pPr>
              <w:spacing w:after="0"/>
              <w:jc w:val="left"/>
              <w:rPr>
                <w:rFonts w:ascii="Calibri" w:eastAsia="Times New Roman" w:hAnsi="Calibri" w:cs="Calibri"/>
                <w:color w:val="000000"/>
                <w:sz w:val="20"/>
                <w:szCs w:val="20"/>
                <w:lang w:val="en-US"/>
              </w:rPr>
            </w:pPr>
            <w:r w:rsidRPr="00B153EB">
              <w:rPr>
                <w:rFonts w:ascii="Calibri" w:eastAsia="Times New Roman" w:hAnsi="Calibri" w:cstheme="minorHAnsi"/>
                <w:color w:val="000000"/>
                <w:sz w:val="20"/>
                <w:szCs w:val="20"/>
              </w:rPr>
              <w:t> </w:t>
            </w:r>
          </w:p>
        </w:tc>
        <w:tc>
          <w:tcPr>
            <w:tcW w:w="215" w:type="pct"/>
            <w:tcBorders>
              <w:top w:val="nil"/>
              <w:left w:val="nil"/>
              <w:bottom w:val="single" w:sz="4" w:space="0" w:color="auto"/>
              <w:right w:val="single" w:sz="4" w:space="0" w:color="auto"/>
            </w:tcBorders>
            <w:shd w:val="clear" w:color="000000" w:fill="AEAAAA"/>
            <w:hideMark/>
          </w:tcPr>
          <w:p w14:paraId="0A19AF3A" w14:textId="77777777" w:rsidR="00B153EB" w:rsidRPr="00B153EB" w:rsidRDefault="00B153EB" w:rsidP="003A2CCC">
            <w:pPr>
              <w:spacing w:after="0"/>
              <w:jc w:val="left"/>
              <w:rPr>
                <w:rFonts w:ascii="Calibri" w:eastAsia="Times New Roman" w:hAnsi="Calibri" w:cs="Calibri"/>
                <w:color w:val="000000"/>
                <w:sz w:val="20"/>
                <w:szCs w:val="20"/>
                <w:lang w:val="en-US"/>
              </w:rPr>
            </w:pPr>
            <w:r w:rsidRPr="00B153EB">
              <w:rPr>
                <w:rFonts w:ascii="Calibri" w:eastAsia="Times New Roman" w:hAnsi="Calibri" w:cstheme="minorHAnsi"/>
                <w:color w:val="000000"/>
                <w:sz w:val="20"/>
                <w:szCs w:val="20"/>
              </w:rPr>
              <w:t> </w:t>
            </w:r>
          </w:p>
        </w:tc>
        <w:tc>
          <w:tcPr>
            <w:tcW w:w="216" w:type="pct"/>
            <w:tcBorders>
              <w:top w:val="nil"/>
              <w:left w:val="nil"/>
              <w:bottom w:val="single" w:sz="4" w:space="0" w:color="auto"/>
              <w:right w:val="single" w:sz="4" w:space="0" w:color="auto"/>
            </w:tcBorders>
            <w:shd w:val="clear" w:color="000000" w:fill="AEAAAA"/>
            <w:hideMark/>
          </w:tcPr>
          <w:p w14:paraId="166400D7" w14:textId="77777777" w:rsidR="00B153EB" w:rsidRPr="00B153EB" w:rsidRDefault="00B153EB" w:rsidP="003A2CCC">
            <w:pPr>
              <w:spacing w:after="0"/>
              <w:jc w:val="left"/>
              <w:rPr>
                <w:rFonts w:ascii="Calibri" w:eastAsia="Times New Roman" w:hAnsi="Calibri" w:cs="Calibri"/>
                <w:color w:val="000000"/>
                <w:sz w:val="20"/>
                <w:szCs w:val="20"/>
                <w:lang w:val="en-US"/>
              </w:rPr>
            </w:pPr>
            <w:r w:rsidRPr="00B153EB">
              <w:rPr>
                <w:rFonts w:ascii="Calibri" w:eastAsia="Times New Roman" w:hAnsi="Calibri" w:cstheme="minorHAnsi"/>
                <w:color w:val="000000"/>
                <w:sz w:val="20"/>
                <w:szCs w:val="20"/>
              </w:rPr>
              <w:t> </w:t>
            </w:r>
          </w:p>
        </w:tc>
        <w:tc>
          <w:tcPr>
            <w:tcW w:w="215" w:type="pct"/>
            <w:tcBorders>
              <w:top w:val="nil"/>
              <w:left w:val="nil"/>
              <w:bottom w:val="single" w:sz="4" w:space="0" w:color="auto"/>
              <w:right w:val="single" w:sz="4" w:space="0" w:color="auto"/>
            </w:tcBorders>
            <w:shd w:val="clear" w:color="000000" w:fill="AEAAAA"/>
            <w:hideMark/>
          </w:tcPr>
          <w:p w14:paraId="1580F77F" w14:textId="77777777" w:rsidR="00B153EB" w:rsidRPr="00B153EB" w:rsidRDefault="00B153EB" w:rsidP="003A2CCC">
            <w:pPr>
              <w:spacing w:after="0"/>
              <w:jc w:val="left"/>
              <w:rPr>
                <w:rFonts w:ascii="Calibri" w:eastAsia="Times New Roman" w:hAnsi="Calibri" w:cs="Calibri"/>
                <w:color w:val="000000"/>
                <w:sz w:val="20"/>
                <w:szCs w:val="20"/>
                <w:lang w:val="en-US"/>
              </w:rPr>
            </w:pPr>
            <w:r w:rsidRPr="00B153EB">
              <w:rPr>
                <w:rFonts w:ascii="Calibri" w:eastAsia="Times New Roman" w:hAnsi="Calibri" w:cstheme="minorHAnsi"/>
                <w:color w:val="000000"/>
                <w:sz w:val="20"/>
                <w:szCs w:val="20"/>
              </w:rPr>
              <w:t> </w:t>
            </w:r>
          </w:p>
        </w:tc>
      </w:tr>
      <w:tr w:rsidR="00B153EB" w:rsidRPr="00B153EB" w14:paraId="19DF171E" w14:textId="77777777" w:rsidTr="0061262A">
        <w:trPr>
          <w:trHeight w:val="300"/>
        </w:trPr>
        <w:tc>
          <w:tcPr>
            <w:tcW w:w="1528" w:type="pct"/>
            <w:tcBorders>
              <w:top w:val="nil"/>
              <w:left w:val="single" w:sz="4" w:space="0" w:color="auto"/>
              <w:bottom w:val="single" w:sz="4" w:space="0" w:color="auto"/>
              <w:right w:val="single" w:sz="4" w:space="0" w:color="auto"/>
            </w:tcBorders>
            <w:shd w:val="clear" w:color="auto" w:fill="auto"/>
            <w:hideMark/>
          </w:tcPr>
          <w:p w14:paraId="10E14A7B" w14:textId="77777777" w:rsidR="00B153EB" w:rsidRPr="00B153EB" w:rsidRDefault="00B153EB" w:rsidP="003A2CCC">
            <w:pPr>
              <w:spacing w:after="0"/>
              <w:jc w:val="left"/>
              <w:rPr>
                <w:rFonts w:ascii="Calibri" w:eastAsia="Times New Roman" w:hAnsi="Calibri" w:cs="Calibri"/>
                <w:color w:val="000000"/>
                <w:sz w:val="20"/>
                <w:szCs w:val="20"/>
                <w:lang w:val="en-US"/>
              </w:rPr>
            </w:pPr>
            <w:r w:rsidRPr="00B153EB">
              <w:rPr>
                <w:rFonts w:ascii="Calibri" w:eastAsia="Times New Roman" w:hAnsi="Calibri" w:cstheme="minorHAnsi"/>
                <w:color w:val="000000"/>
                <w:sz w:val="20"/>
                <w:szCs w:val="20"/>
              </w:rPr>
              <w:t>Partner Reports</w:t>
            </w:r>
          </w:p>
        </w:tc>
        <w:tc>
          <w:tcPr>
            <w:tcW w:w="216" w:type="pct"/>
            <w:tcBorders>
              <w:top w:val="nil"/>
              <w:left w:val="nil"/>
              <w:bottom w:val="single" w:sz="4" w:space="0" w:color="auto"/>
              <w:right w:val="single" w:sz="4" w:space="0" w:color="auto"/>
            </w:tcBorders>
            <w:shd w:val="clear" w:color="000000" w:fill="AEAAAA"/>
            <w:hideMark/>
          </w:tcPr>
          <w:p w14:paraId="2DF30DC0" w14:textId="77777777" w:rsidR="00B153EB" w:rsidRPr="00B153EB" w:rsidRDefault="00B153EB" w:rsidP="003A2CCC">
            <w:pPr>
              <w:spacing w:after="0"/>
              <w:jc w:val="left"/>
              <w:rPr>
                <w:rFonts w:ascii="Calibri" w:eastAsia="Times New Roman" w:hAnsi="Calibri" w:cs="Calibri"/>
                <w:color w:val="000000"/>
                <w:sz w:val="20"/>
                <w:szCs w:val="20"/>
                <w:lang w:val="en-US"/>
              </w:rPr>
            </w:pPr>
            <w:r w:rsidRPr="00B153EB">
              <w:rPr>
                <w:rFonts w:ascii="Calibri" w:eastAsia="Times New Roman" w:hAnsi="Calibri" w:cstheme="minorHAnsi"/>
                <w:color w:val="000000"/>
                <w:sz w:val="20"/>
                <w:szCs w:val="20"/>
              </w:rPr>
              <w:t>Jul.</w:t>
            </w:r>
          </w:p>
        </w:tc>
        <w:tc>
          <w:tcPr>
            <w:tcW w:w="215" w:type="pct"/>
            <w:tcBorders>
              <w:top w:val="nil"/>
              <w:left w:val="nil"/>
              <w:bottom w:val="single" w:sz="4" w:space="0" w:color="auto"/>
              <w:right w:val="single" w:sz="4" w:space="0" w:color="auto"/>
            </w:tcBorders>
            <w:shd w:val="clear" w:color="auto" w:fill="auto"/>
            <w:hideMark/>
          </w:tcPr>
          <w:p w14:paraId="60635A03" w14:textId="77777777" w:rsidR="00B153EB" w:rsidRPr="00B153EB" w:rsidRDefault="00B153EB" w:rsidP="003A2CCC">
            <w:pPr>
              <w:spacing w:after="0"/>
              <w:jc w:val="left"/>
              <w:rPr>
                <w:rFonts w:ascii="Calibri" w:eastAsia="Times New Roman" w:hAnsi="Calibri" w:cs="Calibri"/>
                <w:color w:val="000000"/>
                <w:sz w:val="20"/>
                <w:szCs w:val="20"/>
                <w:lang w:val="en-US"/>
              </w:rPr>
            </w:pPr>
            <w:r w:rsidRPr="00B153EB">
              <w:rPr>
                <w:rFonts w:ascii="Calibri" w:eastAsia="Times New Roman" w:hAnsi="Calibri" w:cstheme="minorHAnsi"/>
                <w:color w:val="000000"/>
                <w:sz w:val="20"/>
                <w:szCs w:val="20"/>
              </w:rPr>
              <w:t> </w:t>
            </w:r>
          </w:p>
        </w:tc>
        <w:tc>
          <w:tcPr>
            <w:tcW w:w="216" w:type="pct"/>
            <w:tcBorders>
              <w:top w:val="nil"/>
              <w:left w:val="nil"/>
              <w:bottom w:val="single" w:sz="4" w:space="0" w:color="auto"/>
              <w:right w:val="single" w:sz="4" w:space="0" w:color="auto"/>
            </w:tcBorders>
            <w:shd w:val="clear" w:color="000000" w:fill="AEAAAA"/>
            <w:hideMark/>
          </w:tcPr>
          <w:p w14:paraId="5E810812" w14:textId="77777777" w:rsidR="00B153EB" w:rsidRPr="00B153EB" w:rsidRDefault="00B153EB" w:rsidP="003A2CCC">
            <w:pPr>
              <w:spacing w:after="0"/>
              <w:jc w:val="left"/>
              <w:rPr>
                <w:rFonts w:ascii="Calibri" w:eastAsia="Times New Roman" w:hAnsi="Calibri" w:cs="Calibri"/>
                <w:color w:val="000000"/>
                <w:sz w:val="20"/>
                <w:szCs w:val="20"/>
                <w:lang w:val="en-US"/>
              </w:rPr>
            </w:pPr>
            <w:r w:rsidRPr="00B153EB">
              <w:rPr>
                <w:rFonts w:ascii="Calibri" w:eastAsia="Times New Roman" w:hAnsi="Calibri" w:cstheme="minorHAnsi"/>
                <w:color w:val="000000"/>
                <w:sz w:val="20"/>
                <w:szCs w:val="20"/>
              </w:rPr>
              <w:t>Jan.</w:t>
            </w:r>
          </w:p>
        </w:tc>
        <w:tc>
          <w:tcPr>
            <w:tcW w:w="215" w:type="pct"/>
            <w:tcBorders>
              <w:top w:val="nil"/>
              <w:left w:val="nil"/>
              <w:bottom w:val="single" w:sz="4" w:space="0" w:color="auto"/>
              <w:right w:val="single" w:sz="4" w:space="0" w:color="auto"/>
            </w:tcBorders>
            <w:shd w:val="clear" w:color="auto" w:fill="auto"/>
            <w:hideMark/>
          </w:tcPr>
          <w:p w14:paraId="171F725C" w14:textId="77777777" w:rsidR="00B153EB" w:rsidRPr="00B153EB" w:rsidRDefault="00B153EB" w:rsidP="003A2CCC">
            <w:pPr>
              <w:spacing w:after="0"/>
              <w:jc w:val="left"/>
              <w:rPr>
                <w:rFonts w:ascii="Calibri" w:eastAsia="Times New Roman" w:hAnsi="Calibri" w:cs="Calibri"/>
                <w:color w:val="000000"/>
                <w:sz w:val="20"/>
                <w:szCs w:val="20"/>
                <w:lang w:val="en-US"/>
              </w:rPr>
            </w:pPr>
            <w:r w:rsidRPr="00B153EB">
              <w:rPr>
                <w:rFonts w:ascii="Calibri" w:eastAsia="Times New Roman" w:hAnsi="Calibri" w:cstheme="minorHAnsi"/>
                <w:color w:val="000000"/>
                <w:sz w:val="20"/>
                <w:szCs w:val="20"/>
              </w:rPr>
              <w:t> </w:t>
            </w:r>
          </w:p>
        </w:tc>
        <w:tc>
          <w:tcPr>
            <w:tcW w:w="224" w:type="pct"/>
            <w:tcBorders>
              <w:top w:val="nil"/>
              <w:left w:val="nil"/>
              <w:bottom w:val="single" w:sz="4" w:space="0" w:color="auto"/>
              <w:right w:val="single" w:sz="4" w:space="0" w:color="auto"/>
            </w:tcBorders>
            <w:shd w:val="clear" w:color="000000" w:fill="AEAAAA"/>
            <w:hideMark/>
          </w:tcPr>
          <w:p w14:paraId="2C72E267" w14:textId="77777777" w:rsidR="00B153EB" w:rsidRPr="00B153EB" w:rsidRDefault="00B153EB" w:rsidP="003A2CCC">
            <w:pPr>
              <w:spacing w:after="0"/>
              <w:jc w:val="left"/>
              <w:rPr>
                <w:rFonts w:ascii="Calibri" w:eastAsia="Times New Roman" w:hAnsi="Calibri" w:cs="Calibri"/>
                <w:color w:val="000000"/>
                <w:sz w:val="20"/>
                <w:szCs w:val="20"/>
                <w:lang w:val="en-US"/>
              </w:rPr>
            </w:pPr>
            <w:r w:rsidRPr="00B153EB">
              <w:rPr>
                <w:rFonts w:ascii="Calibri" w:eastAsia="Times New Roman" w:hAnsi="Calibri" w:cstheme="minorHAnsi"/>
                <w:color w:val="000000"/>
                <w:sz w:val="20"/>
                <w:szCs w:val="20"/>
              </w:rPr>
              <w:t>Jul.</w:t>
            </w:r>
          </w:p>
        </w:tc>
        <w:tc>
          <w:tcPr>
            <w:tcW w:w="215" w:type="pct"/>
            <w:tcBorders>
              <w:top w:val="nil"/>
              <w:left w:val="nil"/>
              <w:bottom w:val="single" w:sz="4" w:space="0" w:color="auto"/>
              <w:right w:val="single" w:sz="4" w:space="0" w:color="auto"/>
            </w:tcBorders>
            <w:shd w:val="clear" w:color="auto" w:fill="auto"/>
            <w:hideMark/>
          </w:tcPr>
          <w:p w14:paraId="4E645EFC" w14:textId="77777777" w:rsidR="00B153EB" w:rsidRPr="00B153EB" w:rsidRDefault="00B153EB" w:rsidP="003A2CCC">
            <w:pPr>
              <w:spacing w:after="0"/>
              <w:jc w:val="left"/>
              <w:rPr>
                <w:rFonts w:ascii="Calibri" w:eastAsia="Times New Roman" w:hAnsi="Calibri" w:cs="Calibri"/>
                <w:color w:val="000000"/>
                <w:sz w:val="20"/>
                <w:szCs w:val="20"/>
                <w:lang w:val="en-US"/>
              </w:rPr>
            </w:pPr>
            <w:r w:rsidRPr="00B153EB">
              <w:rPr>
                <w:rFonts w:ascii="Calibri" w:eastAsia="Times New Roman" w:hAnsi="Calibri" w:cstheme="minorHAnsi"/>
                <w:color w:val="000000"/>
                <w:sz w:val="20"/>
                <w:szCs w:val="20"/>
              </w:rPr>
              <w:t> </w:t>
            </w:r>
          </w:p>
        </w:tc>
        <w:tc>
          <w:tcPr>
            <w:tcW w:w="216" w:type="pct"/>
            <w:tcBorders>
              <w:top w:val="nil"/>
              <w:left w:val="nil"/>
              <w:bottom w:val="single" w:sz="4" w:space="0" w:color="auto"/>
              <w:right w:val="single" w:sz="4" w:space="0" w:color="auto"/>
            </w:tcBorders>
            <w:shd w:val="clear" w:color="000000" w:fill="AEAAAA"/>
            <w:hideMark/>
          </w:tcPr>
          <w:p w14:paraId="7B9CD404" w14:textId="77777777" w:rsidR="00B153EB" w:rsidRPr="00B153EB" w:rsidRDefault="00B153EB" w:rsidP="003A2CCC">
            <w:pPr>
              <w:spacing w:after="0"/>
              <w:jc w:val="left"/>
              <w:rPr>
                <w:rFonts w:ascii="Calibri" w:eastAsia="Times New Roman" w:hAnsi="Calibri" w:cs="Calibri"/>
                <w:color w:val="000000"/>
                <w:sz w:val="20"/>
                <w:szCs w:val="20"/>
                <w:lang w:val="en-US"/>
              </w:rPr>
            </w:pPr>
            <w:r w:rsidRPr="00B153EB">
              <w:rPr>
                <w:rFonts w:ascii="Calibri" w:eastAsia="Times New Roman" w:hAnsi="Calibri" w:cstheme="minorHAnsi"/>
                <w:color w:val="000000"/>
                <w:sz w:val="20"/>
                <w:szCs w:val="20"/>
              </w:rPr>
              <w:t>Jan.</w:t>
            </w:r>
          </w:p>
        </w:tc>
        <w:tc>
          <w:tcPr>
            <w:tcW w:w="215" w:type="pct"/>
            <w:tcBorders>
              <w:top w:val="nil"/>
              <w:left w:val="nil"/>
              <w:bottom w:val="single" w:sz="4" w:space="0" w:color="auto"/>
              <w:right w:val="single" w:sz="4" w:space="0" w:color="auto"/>
            </w:tcBorders>
            <w:shd w:val="clear" w:color="auto" w:fill="auto"/>
            <w:hideMark/>
          </w:tcPr>
          <w:p w14:paraId="4A7EA1ED" w14:textId="77777777" w:rsidR="00B153EB" w:rsidRPr="00B153EB" w:rsidRDefault="00B153EB" w:rsidP="003A2CCC">
            <w:pPr>
              <w:spacing w:after="0"/>
              <w:jc w:val="left"/>
              <w:rPr>
                <w:rFonts w:ascii="Calibri" w:eastAsia="Times New Roman" w:hAnsi="Calibri" w:cs="Calibri"/>
                <w:color w:val="000000"/>
                <w:sz w:val="20"/>
                <w:szCs w:val="20"/>
                <w:lang w:val="en-US"/>
              </w:rPr>
            </w:pPr>
            <w:r w:rsidRPr="00B153EB">
              <w:rPr>
                <w:rFonts w:ascii="Calibri" w:eastAsia="Times New Roman" w:hAnsi="Calibri" w:cstheme="minorHAnsi"/>
                <w:color w:val="000000"/>
                <w:sz w:val="20"/>
                <w:szCs w:val="20"/>
              </w:rPr>
              <w:t> </w:t>
            </w:r>
          </w:p>
        </w:tc>
        <w:tc>
          <w:tcPr>
            <w:tcW w:w="224" w:type="pct"/>
            <w:tcBorders>
              <w:top w:val="nil"/>
              <w:left w:val="nil"/>
              <w:bottom w:val="single" w:sz="4" w:space="0" w:color="auto"/>
              <w:right w:val="single" w:sz="4" w:space="0" w:color="auto"/>
            </w:tcBorders>
            <w:shd w:val="clear" w:color="000000" w:fill="AEAAAA"/>
            <w:hideMark/>
          </w:tcPr>
          <w:p w14:paraId="7716E054" w14:textId="77777777" w:rsidR="00B153EB" w:rsidRPr="00B153EB" w:rsidRDefault="00B153EB" w:rsidP="003A2CCC">
            <w:pPr>
              <w:spacing w:after="0"/>
              <w:jc w:val="left"/>
              <w:rPr>
                <w:rFonts w:ascii="Calibri" w:eastAsia="Times New Roman" w:hAnsi="Calibri" w:cs="Calibri"/>
                <w:color w:val="000000"/>
                <w:sz w:val="20"/>
                <w:szCs w:val="20"/>
                <w:lang w:val="en-US"/>
              </w:rPr>
            </w:pPr>
            <w:r w:rsidRPr="00B153EB">
              <w:rPr>
                <w:rFonts w:ascii="Calibri" w:eastAsia="Times New Roman" w:hAnsi="Calibri" w:cstheme="minorHAnsi"/>
                <w:color w:val="000000"/>
                <w:sz w:val="20"/>
                <w:szCs w:val="20"/>
              </w:rPr>
              <w:t>Jul.</w:t>
            </w:r>
          </w:p>
        </w:tc>
        <w:tc>
          <w:tcPr>
            <w:tcW w:w="215" w:type="pct"/>
            <w:tcBorders>
              <w:top w:val="nil"/>
              <w:left w:val="nil"/>
              <w:bottom w:val="single" w:sz="4" w:space="0" w:color="auto"/>
              <w:right w:val="single" w:sz="4" w:space="0" w:color="auto"/>
            </w:tcBorders>
            <w:shd w:val="clear" w:color="auto" w:fill="auto"/>
            <w:hideMark/>
          </w:tcPr>
          <w:p w14:paraId="43A8F18C" w14:textId="77777777" w:rsidR="00B153EB" w:rsidRPr="00B153EB" w:rsidRDefault="00B153EB" w:rsidP="003A2CCC">
            <w:pPr>
              <w:spacing w:after="0"/>
              <w:jc w:val="left"/>
              <w:rPr>
                <w:rFonts w:ascii="Calibri" w:eastAsia="Times New Roman" w:hAnsi="Calibri" w:cs="Calibri"/>
                <w:color w:val="000000"/>
                <w:sz w:val="20"/>
                <w:szCs w:val="20"/>
                <w:lang w:val="en-US"/>
              </w:rPr>
            </w:pPr>
            <w:r w:rsidRPr="00B153EB">
              <w:rPr>
                <w:rFonts w:ascii="Calibri" w:eastAsia="Times New Roman" w:hAnsi="Calibri" w:cstheme="minorHAnsi"/>
                <w:color w:val="000000"/>
                <w:sz w:val="20"/>
                <w:szCs w:val="20"/>
              </w:rPr>
              <w:t> </w:t>
            </w:r>
          </w:p>
        </w:tc>
        <w:tc>
          <w:tcPr>
            <w:tcW w:w="216" w:type="pct"/>
            <w:tcBorders>
              <w:top w:val="nil"/>
              <w:left w:val="nil"/>
              <w:bottom w:val="single" w:sz="4" w:space="0" w:color="auto"/>
              <w:right w:val="single" w:sz="4" w:space="0" w:color="auto"/>
            </w:tcBorders>
            <w:shd w:val="clear" w:color="000000" w:fill="AEAAAA"/>
            <w:hideMark/>
          </w:tcPr>
          <w:p w14:paraId="43476B97" w14:textId="77777777" w:rsidR="00B153EB" w:rsidRPr="00B153EB" w:rsidRDefault="00B153EB" w:rsidP="003A2CCC">
            <w:pPr>
              <w:spacing w:after="0"/>
              <w:jc w:val="left"/>
              <w:rPr>
                <w:rFonts w:ascii="Calibri" w:eastAsia="Times New Roman" w:hAnsi="Calibri" w:cs="Calibri"/>
                <w:color w:val="000000"/>
                <w:sz w:val="20"/>
                <w:szCs w:val="20"/>
                <w:lang w:val="en-US"/>
              </w:rPr>
            </w:pPr>
            <w:r w:rsidRPr="00B153EB">
              <w:rPr>
                <w:rFonts w:ascii="Calibri" w:eastAsia="Times New Roman" w:hAnsi="Calibri" w:cstheme="minorHAnsi"/>
                <w:color w:val="000000"/>
                <w:sz w:val="20"/>
                <w:szCs w:val="20"/>
              </w:rPr>
              <w:t>Jan.</w:t>
            </w:r>
          </w:p>
        </w:tc>
        <w:tc>
          <w:tcPr>
            <w:tcW w:w="215" w:type="pct"/>
            <w:tcBorders>
              <w:top w:val="nil"/>
              <w:left w:val="nil"/>
              <w:bottom w:val="single" w:sz="4" w:space="0" w:color="auto"/>
              <w:right w:val="single" w:sz="4" w:space="0" w:color="auto"/>
            </w:tcBorders>
            <w:shd w:val="clear" w:color="auto" w:fill="auto"/>
            <w:hideMark/>
          </w:tcPr>
          <w:p w14:paraId="25F750A1" w14:textId="77777777" w:rsidR="00B153EB" w:rsidRPr="00B153EB" w:rsidRDefault="00B153EB" w:rsidP="003A2CCC">
            <w:pPr>
              <w:spacing w:after="0"/>
              <w:jc w:val="left"/>
              <w:rPr>
                <w:rFonts w:ascii="Calibri" w:eastAsia="Times New Roman" w:hAnsi="Calibri" w:cs="Calibri"/>
                <w:color w:val="000000"/>
                <w:sz w:val="20"/>
                <w:szCs w:val="20"/>
                <w:lang w:val="en-US"/>
              </w:rPr>
            </w:pPr>
            <w:r w:rsidRPr="00B153EB">
              <w:rPr>
                <w:rFonts w:ascii="Calibri" w:eastAsia="Times New Roman" w:hAnsi="Calibri" w:cstheme="minorHAnsi"/>
                <w:color w:val="000000"/>
                <w:sz w:val="20"/>
                <w:szCs w:val="20"/>
              </w:rPr>
              <w:t> </w:t>
            </w:r>
          </w:p>
        </w:tc>
        <w:tc>
          <w:tcPr>
            <w:tcW w:w="224" w:type="pct"/>
            <w:tcBorders>
              <w:top w:val="nil"/>
              <w:left w:val="nil"/>
              <w:bottom w:val="single" w:sz="4" w:space="0" w:color="auto"/>
              <w:right w:val="single" w:sz="4" w:space="0" w:color="auto"/>
            </w:tcBorders>
            <w:shd w:val="clear" w:color="000000" w:fill="AEAAAA"/>
            <w:hideMark/>
          </w:tcPr>
          <w:p w14:paraId="1BDD02FD" w14:textId="77777777" w:rsidR="00B153EB" w:rsidRPr="00B153EB" w:rsidRDefault="00B153EB" w:rsidP="003A2CCC">
            <w:pPr>
              <w:spacing w:after="0"/>
              <w:jc w:val="left"/>
              <w:rPr>
                <w:rFonts w:ascii="Calibri" w:eastAsia="Times New Roman" w:hAnsi="Calibri" w:cs="Calibri"/>
                <w:color w:val="000000"/>
                <w:sz w:val="20"/>
                <w:szCs w:val="20"/>
                <w:lang w:val="en-US"/>
              </w:rPr>
            </w:pPr>
            <w:r w:rsidRPr="00B153EB">
              <w:rPr>
                <w:rFonts w:ascii="Calibri" w:eastAsia="Times New Roman" w:hAnsi="Calibri" w:cstheme="minorHAnsi"/>
                <w:color w:val="000000"/>
                <w:sz w:val="20"/>
                <w:szCs w:val="20"/>
              </w:rPr>
              <w:t>Jul.</w:t>
            </w:r>
          </w:p>
        </w:tc>
        <w:tc>
          <w:tcPr>
            <w:tcW w:w="215" w:type="pct"/>
            <w:tcBorders>
              <w:top w:val="nil"/>
              <w:left w:val="nil"/>
              <w:bottom w:val="single" w:sz="4" w:space="0" w:color="auto"/>
              <w:right w:val="single" w:sz="4" w:space="0" w:color="auto"/>
            </w:tcBorders>
            <w:shd w:val="clear" w:color="auto" w:fill="auto"/>
            <w:hideMark/>
          </w:tcPr>
          <w:p w14:paraId="08C856DD" w14:textId="77777777" w:rsidR="00B153EB" w:rsidRPr="00B153EB" w:rsidRDefault="00B153EB" w:rsidP="003A2CCC">
            <w:pPr>
              <w:spacing w:after="0"/>
              <w:jc w:val="left"/>
              <w:rPr>
                <w:rFonts w:ascii="Calibri" w:eastAsia="Times New Roman" w:hAnsi="Calibri" w:cs="Calibri"/>
                <w:color w:val="000000"/>
                <w:sz w:val="20"/>
                <w:szCs w:val="20"/>
                <w:lang w:val="en-US"/>
              </w:rPr>
            </w:pPr>
            <w:r w:rsidRPr="00B153EB">
              <w:rPr>
                <w:rFonts w:ascii="Calibri" w:eastAsia="Times New Roman" w:hAnsi="Calibri" w:cstheme="minorHAnsi"/>
                <w:color w:val="000000"/>
                <w:sz w:val="20"/>
                <w:szCs w:val="20"/>
              </w:rPr>
              <w:t> </w:t>
            </w:r>
          </w:p>
        </w:tc>
        <w:tc>
          <w:tcPr>
            <w:tcW w:w="216" w:type="pct"/>
            <w:tcBorders>
              <w:top w:val="nil"/>
              <w:left w:val="nil"/>
              <w:bottom w:val="single" w:sz="4" w:space="0" w:color="auto"/>
              <w:right w:val="single" w:sz="4" w:space="0" w:color="auto"/>
            </w:tcBorders>
            <w:shd w:val="clear" w:color="000000" w:fill="AEAAAA"/>
            <w:hideMark/>
          </w:tcPr>
          <w:p w14:paraId="08B9238C" w14:textId="77777777" w:rsidR="00B153EB" w:rsidRPr="00B153EB" w:rsidRDefault="00B153EB" w:rsidP="003A2CCC">
            <w:pPr>
              <w:spacing w:after="0"/>
              <w:jc w:val="left"/>
              <w:rPr>
                <w:rFonts w:ascii="Calibri" w:eastAsia="Times New Roman" w:hAnsi="Calibri" w:cs="Calibri"/>
                <w:color w:val="000000"/>
                <w:sz w:val="20"/>
                <w:szCs w:val="20"/>
                <w:lang w:val="en-US"/>
              </w:rPr>
            </w:pPr>
            <w:r w:rsidRPr="00B153EB">
              <w:rPr>
                <w:rFonts w:ascii="Calibri" w:eastAsia="Times New Roman" w:hAnsi="Calibri" w:cstheme="minorHAnsi"/>
                <w:color w:val="000000"/>
                <w:sz w:val="20"/>
                <w:szCs w:val="20"/>
              </w:rPr>
              <w:t>Jan.</w:t>
            </w:r>
          </w:p>
        </w:tc>
        <w:tc>
          <w:tcPr>
            <w:tcW w:w="215" w:type="pct"/>
            <w:tcBorders>
              <w:top w:val="nil"/>
              <w:left w:val="nil"/>
              <w:bottom w:val="single" w:sz="4" w:space="0" w:color="auto"/>
              <w:right w:val="single" w:sz="4" w:space="0" w:color="auto"/>
            </w:tcBorders>
            <w:shd w:val="clear" w:color="auto" w:fill="auto"/>
            <w:hideMark/>
          </w:tcPr>
          <w:p w14:paraId="41955B5F" w14:textId="77777777" w:rsidR="00B153EB" w:rsidRPr="00B153EB" w:rsidRDefault="00B153EB" w:rsidP="003A2CCC">
            <w:pPr>
              <w:spacing w:after="0"/>
              <w:jc w:val="left"/>
              <w:rPr>
                <w:rFonts w:ascii="Calibri" w:eastAsia="Times New Roman" w:hAnsi="Calibri" w:cs="Calibri"/>
                <w:color w:val="000000"/>
                <w:sz w:val="20"/>
                <w:szCs w:val="20"/>
                <w:lang w:val="en-US"/>
              </w:rPr>
            </w:pPr>
            <w:r w:rsidRPr="00B153EB">
              <w:rPr>
                <w:rFonts w:ascii="Calibri" w:eastAsia="Times New Roman" w:hAnsi="Calibri" w:cstheme="minorHAnsi"/>
                <w:color w:val="000000"/>
                <w:sz w:val="20"/>
                <w:szCs w:val="20"/>
              </w:rPr>
              <w:t> </w:t>
            </w:r>
          </w:p>
        </w:tc>
      </w:tr>
      <w:tr w:rsidR="00B153EB" w:rsidRPr="00B153EB" w14:paraId="68239037" w14:textId="77777777" w:rsidTr="0061262A">
        <w:trPr>
          <w:trHeight w:val="300"/>
        </w:trPr>
        <w:tc>
          <w:tcPr>
            <w:tcW w:w="1528" w:type="pct"/>
            <w:tcBorders>
              <w:top w:val="nil"/>
              <w:left w:val="single" w:sz="4" w:space="0" w:color="auto"/>
              <w:bottom w:val="single" w:sz="4" w:space="0" w:color="auto"/>
              <w:right w:val="single" w:sz="4" w:space="0" w:color="auto"/>
            </w:tcBorders>
            <w:shd w:val="clear" w:color="auto" w:fill="auto"/>
            <w:hideMark/>
          </w:tcPr>
          <w:p w14:paraId="1E8697F1" w14:textId="77777777" w:rsidR="00B153EB" w:rsidRPr="00B153EB" w:rsidRDefault="00B153EB" w:rsidP="003A2CCC">
            <w:pPr>
              <w:spacing w:after="0"/>
              <w:jc w:val="left"/>
              <w:rPr>
                <w:rFonts w:ascii="Calibri" w:eastAsia="Times New Roman" w:hAnsi="Calibri" w:cs="Calibri"/>
                <w:color w:val="000000"/>
                <w:sz w:val="20"/>
                <w:szCs w:val="20"/>
                <w:lang w:val="en-US"/>
              </w:rPr>
            </w:pPr>
            <w:r w:rsidRPr="00B153EB">
              <w:rPr>
                <w:rFonts w:ascii="Calibri" w:eastAsia="Times New Roman" w:hAnsi="Calibri" w:cstheme="minorHAnsi"/>
                <w:color w:val="000000"/>
                <w:sz w:val="20"/>
                <w:szCs w:val="20"/>
              </w:rPr>
              <w:t>Training Records</w:t>
            </w:r>
          </w:p>
        </w:tc>
        <w:tc>
          <w:tcPr>
            <w:tcW w:w="216" w:type="pct"/>
            <w:tcBorders>
              <w:top w:val="nil"/>
              <w:left w:val="nil"/>
              <w:bottom w:val="single" w:sz="4" w:space="0" w:color="auto"/>
              <w:right w:val="single" w:sz="4" w:space="0" w:color="auto"/>
            </w:tcBorders>
            <w:shd w:val="clear" w:color="000000" w:fill="AEAAAA"/>
            <w:hideMark/>
          </w:tcPr>
          <w:p w14:paraId="2C7FBB50" w14:textId="77777777" w:rsidR="00B153EB" w:rsidRPr="00B153EB" w:rsidRDefault="00B153EB" w:rsidP="003A2CCC">
            <w:pPr>
              <w:spacing w:after="0"/>
              <w:jc w:val="left"/>
              <w:rPr>
                <w:rFonts w:ascii="Calibri" w:eastAsia="Times New Roman" w:hAnsi="Calibri" w:cs="Calibri"/>
                <w:color w:val="000000"/>
                <w:sz w:val="20"/>
                <w:szCs w:val="20"/>
                <w:lang w:val="en-US"/>
              </w:rPr>
            </w:pPr>
            <w:r w:rsidRPr="00B153EB">
              <w:rPr>
                <w:rFonts w:ascii="Calibri" w:eastAsia="Times New Roman" w:hAnsi="Calibri" w:cstheme="minorHAnsi"/>
                <w:color w:val="000000"/>
                <w:sz w:val="20"/>
                <w:szCs w:val="20"/>
              </w:rPr>
              <w:t> </w:t>
            </w:r>
          </w:p>
        </w:tc>
        <w:tc>
          <w:tcPr>
            <w:tcW w:w="215" w:type="pct"/>
            <w:tcBorders>
              <w:top w:val="nil"/>
              <w:left w:val="nil"/>
              <w:bottom w:val="single" w:sz="4" w:space="0" w:color="auto"/>
              <w:right w:val="single" w:sz="4" w:space="0" w:color="auto"/>
            </w:tcBorders>
            <w:shd w:val="clear" w:color="000000" w:fill="AEAAAA"/>
            <w:hideMark/>
          </w:tcPr>
          <w:p w14:paraId="3B41BFD5" w14:textId="77777777" w:rsidR="00B153EB" w:rsidRPr="00B153EB" w:rsidRDefault="00B153EB" w:rsidP="003A2CCC">
            <w:pPr>
              <w:spacing w:after="0"/>
              <w:jc w:val="left"/>
              <w:rPr>
                <w:rFonts w:ascii="Calibri" w:eastAsia="Times New Roman" w:hAnsi="Calibri" w:cs="Calibri"/>
                <w:color w:val="000000"/>
                <w:sz w:val="20"/>
                <w:szCs w:val="20"/>
                <w:lang w:val="en-US"/>
              </w:rPr>
            </w:pPr>
            <w:r w:rsidRPr="00B153EB">
              <w:rPr>
                <w:rFonts w:ascii="Calibri" w:eastAsia="Times New Roman" w:hAnsi="Calibri" w:cstheme="minorHAnsi"/>
                <w:color w:val="000000"/>
                <w:sz w:val="20"/>
                <w:szCs w:val="20"/>
              </w:rPr>
              <w:t> </w:t>
            </w:r>
          </w:p>
        </w:tc>
        <w:tc>
          <w:tcPr>
            <w:tcW w:w="216" w:type="pct"/>
            <w:tcBorders>
              <w:top w:val="nil"/>
              <w:left w:val="nil"/>
              <w:bottom w:val="single" w:sz="4" w:space="0" w:color="auto"/>
              <w:right w:val="single" w:sz="4" w:space="0" w:color="auto"/>
            </w:tcBorders>
            <w:shd w:val="clear" w:color="000000" w:fill="AEAAAA"/>
            <w:hideMark/>
          </w:tcPr>
          <w:p w14:paraId="64692B10" w14:textId="77777777" w:rsidR="00B153EB" w:rsidRPr="00B153EB" w:rsidRDefault="00B153EB" w:rsidP="003A2CCC">
            <w:pPr>
              <w:spacing w:after="0"/>
              <w:jc w:val="left"/>
              <w:rPr>
                <w:rFonts w:ascii="Calibri" w:eastAsia="Times New Roman" w:hAnsi="Calibri" w:cs="Calibri"/>
                <w:color w:val="000000"/>
                <w:sz w:val="20"/>
                <w:szCs w:val="20"/>
                <w:lang w:val="en-US"/>
              </w:rPr>
            </w:pPr>
            <w:r w:rsidRPr="00B153EB">
              <w:rPr>
                <w:rFonts w:ascii="Calibri" w:eastAsia="Times New Roman" w:hAnsi="Calibri" w:cstheme="minorHAnsi"/>
                <w:color w:val="000000"/>
                <w:sz w:val="20"/>
                <w:szCs w:val="20"/>
              </w:rPr>
              <w:t> </w:t>
            </w:r>
          </w:p>
        </w:tc>
        <w:tc>
          <w:tcPr>
            <w:tcW w:w="215" w:type="pct"/>
            <w:tcBorders>
              <w:top w:val="nil"/>
              <w:left w:val="nil"/>
              <w:bottom w:val="single" w:sz="4" w:space="0" w:color="auto"/>
              <w:right w:val="single" w:sz="4" w:space="0" w:color="auto"/>
            </w:tcBorders>
            <w:shd w:val="clear" w:color="000000" w:fill="AEAAAA"/>
            <w:hideMark/>
          </w:tcPr>
          <w:p w14:paraId="31A5F91A" w14:textId="77777777" w:rsidR="00B153EB" w:rsidRPr="00B153EB" w:rsidRDefault="00B153EB" w:rsidP="003A2CCC">
            <w:pPr>
              <w:spacing w:after="0"/>
              <w:jc w:val="left"/>
              <w:rPr>
                <w:rFonts w:ascii="Calibri" w:eastAsia="Times New Roman" w:hAnsi="Calibri" w:cs="Calibri"/>
                <w:color w:val="000000"/>
                <w:sz w:val="20"/>
                <w:szCs w:val="20"/>
                <w:lang w:val="en-US"/>
              </w:rPr>
            </w:pPr>
            <w:r w:rsidRPr="00B153EB">
              <w:rPr>
                <w:rFonts w:ascii="Calibri" w:eastAsia="Times New Roman" w:hAnsi="Calibri" w:cstheme="minorHAnsi"/>
                <w:color w:val="000000"/>
                <w:sz w:val="20"/>
                <w:szCs w:val="20"/>
              </w:rPr>
              <w:t> </w:t>
            </w:r>
          </w:p>
        </w:tc>
        <w:tc>
          <w:tcPr>
            <w:tcW w:w="224" w:type="pct"/>
            <w:tcBorders>
              <w:top w:val="nil"/>
              <w:left w:val="nil"/>
              <w:bottom w:val="single" w:sz="4" w:space="0" w:color="auto"/>
              <w:right w:val="single" w:sz="4" w:space="0" w:color="auto"/>
            </w:tcBorders>
            <w:shd w:val="clear" w:color="000000" w:fill="AEAAAA"/>
            <w:hideMark/>
          </w:tcPr>
          <w:p w14:paraId="475230B0" w14:textId="77777777" w:rsidR="00B153EB" w:rsidRPr="00B153EB" w:rsidRDefault="00B153EB" w:rsidP="003A2CCC">
            <w:pPr>
              <w:spacing w:after="0"/>
              <w:jc w:val="left"/>
              <w:rPr>
                <w:rFonts w:ascii="Calibri" w:eastAsia="Times New Roman" w:hAnsi="Calibri" w:cs="Calibri"/>
                <w:color w:val="000000"/>
                <w:sz w:val="20"/>
                <w:szCs w:val="20"/>
                <w:lang w:val="en-US"/>
              </w:rPr>
            </w:pPr>
            <w:r w:rsidRPr="00B153EB">
              <w:rPr>
                <w:rFonts w:ascii="Calibri" w:eastAsia="Times New Roman" w:hAnsi="Calibri" w:cstheme="minorHAnsi"/>
                <w:color w:val="000000"/>
                <w:sz w:val="20"/>
                <w:szCs w:val="20"/>
              </w:rPr>
              <w:t> </w:t>
            </w:r>
          </w:p>
        </w:tc>
        <w:tc>
          <w:tcPr>
            <w:tcW w:w="215" w:type="pct"/>
            <w:tcBorders>
              <w:top w:val="nil"/>
              <w:left w:val="nil"/>
              <w:bottom w:val="single" w:sz="4" w:space="0" w:color="auto"/>
              <w:right w:val="single" w:sz="4" w:space="0" w:color="auto"/>
            </w:tcBorders>
            <w:shd w:val="clear" w:color="000000" w:fill="AEAAAA"/>
            <w:hideMark/>
          </w:tcPr>
          <w:p w14:paraId="3722AC66" w14:textId="77777777" w:rsidR="00B153EB" w:rsidRPr="00B153EB" w:rsidRDefault="00B153EB" w:rsidP="003A2CCC">
            <w:pPr>
              <w:spacing w:after="0"/>
              <w:jc w:val="left"/>
              <w:rPr>
                <w:rFonts w:ascii="Calibri" w:eastAsia="Times New Roman" w:hAnsi="Calibri" w:cs="Calibri"/>
                <w:color w:val="000000"/>
                <w:sz w:val="20"/>
                <w:szCs w:val="20"/>
                <w:lang w:val="en-US"/>
              </w:rPr>
            </w:pPr>
            <w:r w:rsidRPr="00B153EB">
              <w:rPr>
                <w:rFonts w:ascii="Calibri" w:eastAsia="Times New Roman" w:hAnsi="Calibri" w:cstheme="minorHAnsi"/>
                <w:color w:val="000000"/>
                <w:sz w:val="20"/>
                <w:szCs w:val="20"/>
              </w:rPr>
              <w:t> </w:t>
            </w:r>
          </w:p>
        </w:tc>
        <w:tc>
          <w:tcPr>
            <w:tcW w:w="216" w:type="pct"/>
            <w:tcBorders>
              <w:top w:val="nil"/>
              <w:left w:val="nil"/>
              <w:bottom w:val="single" w:sz="4" w:space="0" w:color="auto"/>
              <w:right w:val="single" w:sz="4" w:space="0" w:color="auto"/>
            </w:tcBorders>
            <w:shd w:val="clear" w:color="000000" w:fill="AEAAAA"/>
            <w:hideMark/>
          </w:tcPr>
          <w:p w14:paraId="483CA470" w14:textId="77777777" w:rsidR="00B153EB" w:rsidRPr="00B153EB" w:rsidRDefault="00B153EB" w:rsidP="003A2CCC">
            <w:pPr>
              <w:spacing w:after="0"/>
              <w:jc w:val="left"/>
              <w:rPr>
                <w:rFonts w:ascii="Calibri" w:eastAsia="Times New Roman" w:hAnsi="Calibri" w:cs="Calibri"/>
                <w:color w:val="000000"/>
                <w:sz w:val="20"/>
                <w:szCs w:val="20"/>
                <w:lang w:val="en-US"/>
              </w:rPr>
            </w:pPr>
            <w:r w:rsidRPr="00B153EB">
              <w:rPr>
                <w:rFonts w:ascii="Calibri" w:eastAsia="Times New Roman" w:hAnsi="Calibri" w:cstheme="minorHAnsi"/>
                <w:color w:val="000000"/>
                <w:sz w:val="20"/>
                <w:szCs w:val="20"/>
              </w:rPr>
              <w:t> </w:t>
            </w:r>
          </w:p>
        </w:tc>
        <w:tc>
          <w:tcPr>
            <w:tcW w:w="215" w:type="pct"/>
            <w:tcBorders>
              <w:top w:val="nil"/>
              <w:left w:val="nil"/>
              <w:bottom w:val="single" w:sz="4" w:space="0" w:color="auto"/>
              <w:right w:val="single" w:sz="4" w:space="0" w:color="auto"/>
            </w:tcBorders>
            <w:shd w:val="clear" w:color="000000" w:fill="AEAAAA"/>
            <w:hideMark/>
          </w:tcPr>
          <w:p w14:paraId="597D3F4B" w14:textId="77777777" w:rsidR="00B153EB" w:rsidRPr="00B153EB" w:rsidRDefault="00B153EB" w:rsidP="003A2CCC">
            <w:pPr>
              <w:spacing w:after="0"/>
              <w:jc w:val="left"/>
              <w:rPr>
                <w:rFonts w:ascii="Calibri" w:eastAsia="Times New Roman" w:hAnsi="Calibri" w:cs="Calibri"/>
                <w:color w:val="000000"/>
                <w:sz w:val="20"/>
                <w:szCs w:val="20"/>
                <w:lang w:val="en-US"/>
              </w:rPr>
            </w:pPr>
            <w:r w:rsidRPr="00B153EB">
              <w:rPr>
                <w:rFonts w:ascii="Calibri" w:eastAsia="Times New Roman" w:hAnsi="Calibri" w:cstheme="minorHAnsi"/>
                <w:color w:val="000000"/>
                <w:sz w:val="20"/>
                <w:szCs w:val="20"/>
              </w:rPr>
              <w:t> </w:t>
            </w:r>
          </w:p>
        </w:tc>
        <w:tc>
          <w:tcPr>
            <w:tcW w:w="224" w:type="pct"/>
            <w:tcBorders>
              <w:top w:val="nil"/>
              <w:left w:val="nil"/>
              <w:bottom w:val="single" w:sz="4" w:space="0" w:color="auto"/>
              <w:right w:val="single" w:sz="4" w:space="0" w:color="auto"/>
            </w:tcBorders>
            <w:shd w:val="clear" w:color="000000" w:fill="AEAAAA"/>
            <w:hideMark/>
          </w:tcPr>
          <w:p w14:paraId="34F1FB96" w14:textId="77777777" w:rsidR="00B153EB" w:rsidRPr="00B153EB" w:rsidRDefault="00B153EB" w:rsidP="003A2CCC">
            <w:pPr>
              <w:spacing w:after="0"/>
              <w:jc w:val="left"/>
              <w:rPr>
                <w:rFonts w:ascii="Calibri" w:eastAsia="Times New Roman" w:hAnsi="Calibri" w:cs="Calibri"/>
                <w:color w:val="000000"/>
                <w:sz w:val="20"/>
                <w:szCs w:val="20"/>
                <w:lang w:val="en-US"/>
              </w:rPr>
            </w:pPr>
            <w:r w:rsidRPr="00B153EB">
              <w:rPr>
                <w:rFonts w:ascii="Calibri" w:eastAsia="Times New Roman" w:hAnsi="Calibri" w:cstheme="minorHAnsi"/>
                <w:color w:val="000000"/>
                <w:sz w:val="20"/>
                <w:szCs w:val="20"/>
              </w:rPr>
              <w:t> </w:t>
            </w:r>
          </w:p>
        </w:tc>
        <w:tc>
          <w:tcPr>
            <w:tcW w:w="215" w:type="pct"/>
            <w:tcBorders>
              <w:top w:val="nil"/>
              <w:left w:val="nil"/>
              <w:bottom w:val="single" w:sz="4" w:space="0" w:color="auto"/>
              <w:right w:val="single" w:sz="4" w:space="0" w:color="auto"/>
            </w:tcBorders>
            <w:shd w:val="clear" w:color="000000" w:fill="AEAAAA"/>
            <w:hideMark/>
          </w:tcPr>
          <w:p w14:paraId="424D6D14" w14:textId="77777777" w:rsidR="00B153EB" w:rsidRPr="00B153EB" w:rsidRDefault="00B153EB" w:rsidP="003A2CCC">
            <w:pPr>
              <w:spacing w:after="0"/>
              <w:jc w:val="left"/>
              <w:rPr>
                <w:rFonts w:ascii="Calibri" w:eastAsia="Times New Roman" w:hAnsi="Calibri" w:cs="Calibri"/>
                <w:color w:val="000000"/>
                <w:sz w:val="20"/>
                <w:szCs w:val="20"/>
                <w:lang w:val="en-US"/>
              </w:rPr>
            </w:pPr>
            <w:r w:rsidRPr="00B153EB">
              <w:rPr>
                <w:rFonts w:ascii="Calibri" w:eastAsia="Times New Roman" w:hAnsi="Calibri" w:cstheme="minorHAnsi"/>
                <w:color w:val="000000"/>
                <w:sz w:val="20"/>
                <w:szCs w:val="20"/>
              </w:rPr>
              <w:t> </w:t>
            </w:r>
          </w:p>
        </w:tc>
        <w:tc>
          <w:tcPr>
            <w:tcW w:w="216" w:type="pct"/>
            <w:tcBorders>
              <w:top w:val="nil"/>
              <w:left w:val="nil"/>
              <w:bottom w:val="single" w:sz="4" w:space="0" w:color="auto"/>
              <w:right w:val="single" w:sz="4" w:space="0" w:color="auto"/>
            </w:tcBorders>
            <w:shd w:val="clear" w:color="000000" w:fill="AEAAAA"/>
            <w:hideMark/>
          </w:tcPr>
          <w:p w14:paraId="2F5E6BF6" w14:textId="77777777" w:rsidR="00B153EB" w:rsidRPr="00B153EB" w:rsidRDefault="00B153EB" w:rsidP="003A2CCC">
            <w:pPr>
              <w:spacing w:after="0"/>
              <w:jc w:val="left"/>
              <w:rPr>
                <w:rFonts w:ascii="Calibri" w:eastAsia="Times New Roman" w:hAnsi="Calibri" w:cs="Calibri"/>
                <w:color w:val="000000"/>
                <w:sz w:val="20"/>
                <w:szCs w:val="20"/>
                <w:lang w:val="en-US"/>
              </w:rPr>
            </w:pPr>
            <w:r w:rsidRPr="00B153EB">
              <w:rPr>
                <w:rFonts w:ascii="Calibri" w:eastAsia="Times New Roman" w:hAnsi="Calibri" w:cstheme="minorHAnsi"/>
                <w:color w:val="000000"/>
                <w:sz w:val="20"/>
                <w:szCs w:val="20"/>
              </w:rPr>
              <w:t> </w:t>
            </w:r>
          </w:p>
        </w:tc>
        <w:tc>
          <w:tcPr>
            <w:tcW w:w="215" w:type="pct"/>
            <w:tcBorders>
              <w:top w:val="nil"/>
              <w:left w:val="nil"/>
              <w:bottom w:val="single" w:sz="4" w:space="0" w:color="auto"/>
              <w:right w:val="single" w:sz="4" w:space="0" w:color="auto"/>
            </w:tcBorders>
            <w:shd w:val="clear" w:color="000000" w:fill="AEAAAA"/>
            <w:hideMark/>
          </w:tcPr>
          <w:p w14:paraId="54609216" w14:textId="77777777" w:rsidR="00B153EB" w:rsidRPr="00B153EB" w:rsidRDefault="00B153EB" w:rsidP="003A2CCC">
            <w:pPr>
              <w:spacing w:after="0"/>
              <w:jc w:val="left"/>
              <w:rPr>
                <w:rFonts w:ascii="Calibri" w:eastAsia="Times New Roman" w:hAnsi="Calibri" w:cs="Calibri"/>
                <w:color w:val="000000"/>
                <w:sz w:val="20"/>
                <w:szCs w:val="20"/>
                <w:lang w:val="en-US"/>
              </w:rPr>
            </w:pPr>
            <w:r w:rsidRPr="00B153EB">
              <w:rPr>
                <w:rFonts w:ascii="Calibri" w:eastAsia="Times New Roman" w:hAnsi="Calibri" w:cstheme="minorHAnsi"/>
                <w:color w:val="000000"/>
                <w:sz w:val="20"/>
                <w:szCs w:val="20"/>
              </w:rPr>
              <w:t> </w:t>
            </w:r>
          </w:p>
        </w:tc>
        <w:tc>
          <w:tcPr>
            <w:tcW w:w="224" w:type="pct"/>
            <w:tcBorders>
              <w:top w:val="nil"/>
              <w:left w:val="nil"/>
              <w:bottom w:val="single" w:sz="4" w:space="0" w:color="auto"/>
              <w:right w:val="single" w:sz="4" w:space="0" w:color="auto"/>
            </w:tcBorders>
            <w:shd w:val="clear" w:color="000000" w:fill="AEAAAA"/>
            <w:hideMark/>
          </w:tcPr>
          <w:p w14:paraId="17D1280B" w14:textId="77777777" w:rsidR="00B153EB" w:rsidRPr="00B153EB" w:rsidRDefault="00B153EB" w:rsidP="003A2CCC">
            <w:pPr>
              <w:spacing w:after="0"/>
              <w:jc w:val="left"/>
              <w:rPr>
                <w:rFonts w:ascii="Calibri" w:eastAsia="Times New Roman" w:hAnsi="Calibri" w:cs="Calibri"/>
                <w:color w:val="000000"/>
                <w:sz w:val="20"/>
                <w:szCs w:val="20"/>
                <w:lang w:val="en-US"/>
              </w:rPr>
            </w:pPr>
            <w:r w:rsidRPr="00B153EB">
              <w:rPr>
                <w:rFonts w:ascii="Calibri" w:eastAsia="Times New Roman" w:hAnsi="Calibri" w:cstheme="minorHAnsi"/>
                <w:color w:val="000000"/>
                <w:sz w:val="20"/>
                <w:szCs w:val="20"/>
              </w:rPr>
              <w:t> </w:t>
            </w:r>
          </w:p>
        </w:tc>
        <w:tc>
          <w:tcPr>
            <w:tcW w:w="215" w:type="pct"/>
            <w:tcBorders>
              <w:top w:val="nil"/>
              <w:left w:val="nil"/>
              <w:bottom w:val="single" w:sz="4" w:space="0" w:color="auto"/>
              <w:right w:val="single" w:sz="4" w:space="0" w:color="auto"/>
            </w:tcBorders>
            <w:shd w:val="clear" w:color="000000" w:fill="AEAAAA"/>
            <w:hideMark/>
          </w:tcPr>
          <w:p w14:paraId="4DF9DD80" w14:textId="77777777" w:rsidR="00B153EB" w:rsidRPr="00B153EB" w:rsidRDefault="00B153EB" w:rsidP="003A2CCC">
            <w:pPr>
              <w:spacing w:after="0"/>
              <w:jc w:val="left"/>
              <w:rPr>
                <w:rFonts w:ascii="Calibri" w:eastAsia="Times New Roman" w:hAnsi="Calibri" w:cs="Calibri"/>
                <w:color w:val="000000"/>
                <w:sz w:val="20"/>
                <w:szCs w:val="20"/>
                <w:lang w:val="en-US"/>
              </w:rPr>
            </w:pPr>
            <w:r w:rsidRPr="00B153EB">
              <w:rPr>
                <w:rFonts w:ascii="Calibri" w:eastAsia="Times New Roman" w:hAnsi="Calibri" w:cstheme="minorHAnsi"/>
                <w:color w:val="000000"/>
                <w:sz w:val="20"/>
                <w:szCs w:val="20"/>
              </w:rPr>
              <w:t> </w:t>
            </w:r>
          </w:p>
        </w:tc>
        <w:tc>
          <w:tcPr>
            <w:tcW w:w="216" w:type="pct"/>
            <w:tcBorders>
              <w:top w:val="nil"/>
              <w:left w:val="nil"/>
              <w:bottom w:val="single" w:sz="4" w:space="0" w:color="auto"/>
              <w:right w:val="single" w:sz="4" w:space="0" w:color="auto"/>
            </w:tcBorders>
            <w:shd w:val="clear" w:color="000000" w:fill="AEAAAA"/>
            <w:hideMark/>
          </w:tcPr>
          <w:p w14:paraId="05B3577D" w14:textId="77777777" w:rsidR="00B153EB" w:rsidRPr="00B153EB" w:rsidRDefault="00B153EB" w:rsidP="003A2CCC">
            <w:pPr>
              <w:spacing w:after="0"/>
              <w:jc w:val="left"/>
              <w:rPr>
                <w:rFonts w:ascii="Calibri" w:eastAsia="Times New Roman" w:hAnsi="Calibri" w:cs="Calibri"/>
                <w:color w:val="000000"/>
                <w:sz w:val="20"/>
                <w:szCs w:val="20"/>
                <w:lang w:val="en-US"/>
              </w:rPr>
            </w:pPr>
            <w:r w:rsidRPr="00B153EB">
              <w:rPr>
                <w:rFonts w:ascii="Calibri" w:eastAsia="Times New Roman" w:hAnsi="Calibri" w:cstheme="minorHAnsi"/>
                <w:color w:val="000000"/>
                <w:sz w:val="20"/>
                <w:szCs w:val="20"/>
              </w:rPr>
              <w:t> </w:t>
            </w:r>
          </w:p>
        </w:tc>
        <w:tc>
          <w:tcPr>
            <w:tcW w:w="215" w:type="pct"/>
            <w:tcBorders>
              <w:top w:val="nil"/>
              <w:left w:val="nil"/>
              <w:bottom w:val="single" w:sz="4" w:space="0" w:color="auto"/>
              <w:right w:val="single" w:sz="4" w:space="0" w:color="auto"/>
            </w:tcBorders>
            <w:shd w:val="clear" w:color="000000" w:fill="AEAAAA"/>
            <w:hideMark/>
          </w:tcPr>
          <w:p w14:paraId="4C2FFDAC" w14:textId="77777777" w:rsidR="00B153EB" w:rsidRPr="00B153EB" w:rsidRDefault="00B153EB" w:rsidP="003A2CCC">
            <w:pPr>
              <w:spacing w:after="0"/>
              <w:jc w:val="left"/>
              <w:rPr>
                <w:rFonts w:ascii="Calibri" w:eastAsia="Times New Roman" w:hAnsi="Calibri" w:cs="Calibri"/>
                <w:color w:val="000000"/>
                <w:sz w:val="20"/>
                <w:szCs w:val="20"/>
                <w:lang w:val="en-US"/>
              </w:rPr>
            </w:pPr>
            <w:r w:rsidRPr="00B153EB">
              <w:rPr>
                <w:rFonts w:ascii="Calibri" w:eastAsia="Times New Roman" w:hAnsi="Calibri" w:cstheme="minorHAnsi"/>
                <w:color w:val="000000"/>
                <w:sz w:val="20"/>
                <w:szCs w:val="20"/>
              </w:rPr>
              <w:t> </w:t>
            </w:r>
          </w:p>
        </w:tc>
      </w:tr>
      <w:tr w:rsidR="00B153EB" w:rsidRPr="00B153EB" w14:paraId="64FD94E0" w14:textId="77777777" w:rsidTr="0061262A">
        <w:trPr>
          <w:trHeight w:val="300"/>
        </w:trPr>
        <w:tc>
          <w:tcPr>
            <w:tcW w:w="1528" w:type="pct"/>
            <w:tcBorders>
              <w:top w:val="nil"/>
              <w:left w:val="single" w:sz="4" w:space="0" w:color="auto"/>
              <w:bottom w:val="single" w:sz="4" w:space="0" w:color="auto"/>
              <w:right w:val="single" w:sz="4" w:space="0" w:color="auto"/>
            </w:tcBorders>
            <w:shd w:val="clear" w:color="auto" w:fill="auto"/>
            <w:hideMark/>
          </w:tcPr>
          <w:p w14:paraId="37607AED" w14:textId="77777777" w:rsidR="00B153EB" w:rsidRPr="00B153EB" w:rsidRDefault="00B153EB" w:rsidP="003A2CCC">
            <w:pPr>
              <w:spacing w:after="0"/>
              <w:jc w:val="left"/>
              <w:rPr>
                <w:rFonts w:ascii="Calibri" w:eastAsia="Times New Roman" w:hAnsi="Calibri" w:cs="Calibri"/>
                <w:color w:val="000000"/>
                <w:sz w:val="20"/>
                <w:szCs w:val="20"/>
                <w:lang w:val="en-US"/>
              </w:rPr>
            </w:pPr>
            <w:r w:rsidRPr="00B153EB">
              <w:rPr>
                <w:rFonts w:ascii="Calibri" w:eastAsia="Times New Roman" w:hAnsi="Calibri" w:cstheme="minorHAnsi"/>
                <w:color w:val="000000"/>
                <w:sz w:val="20"/>
                <w:szCs w:val="20"/>
              </w:rPr>
              <w:t>Trainee Follow-up</w:t>
            </w:r>
          </w:p>
        </w:tc>
        <w:tc>
          <w:tcPr>
            <w:tcW w:w="3472" w:type="pct"/>
            <w:gridSpan w:val="16"/>
            <w:tcBorders>
              <w:top w:val="single" w:sz="4" w:space="0" w:color="auto"/>
              <w:left w:val="nil"/>
              <w:bottom w:val="single" w:sz="4" w:space="0" w:color="auto"/>
              <w:right w:val="single" w:sz="4" w:space="0" w:color="auto"/>
            </w:tcBorders>
            <w:shd w:val="clear" w:color="000000" w:fill="AEAAAA"/>
            <w:hideMark/>
          </w:tcPr>
          <w:p w14:paraId="0B58B3FD" w14:textId="77777777" w:rsidR="00B153EB" w:rsidRPr="00B153EB" w:rsidRDefault="00B153EB" w:rsidP="003A2CCC">
            <w:pPr>
              <w:spacing w:after="0"/>
              <w:jc w:val="left"/>
              <w:rPr>
                <w:rFonts w:ascii="Calibri" w:eastAsia="Times New Roman" w:hAnsi="Calibri" w:cs="Calibri"/>
                <w:color w:val="000000"/>
                <w:sz w:val="20"/>
                <w:szCs w:val="20"/>
                <w:lang w:val="en-US"/>
              </w:rPr>
            </w:pPr>
            <w:r w:rsidRPr="00B153EB">
              <w:rPr>
                <w:rFonts w:ascii="Calibri" w:eastAsia="Times New Roman" w:hAnsi="Calibri" w:cstheme="minorHAnsi"/>
                <w:color w:val="000000"/>
                <w:sz w:val="20"/>
                <w:szCs w:val="20"/>
              </w:rPr>
              <w:t>6 months after each training</w:t>
            </w:r>
          </w:p>
        </w:tc>
      </w:tr>
      <w:tr w:rsidR="00B153EB" w:rsidRPr="00B153EB" w14:paraId="78A3A421" w14:textId="77777777" w:rsidTr="0061262A">
        <w:trPr>
          <w:trHeight w:val="300"/>
        </w:trPr>
        <w:tc>
          <w:tcPr>
            <w:tcW w:w="1528" w:type="pct"/>
            <w:tcBorders>
              <w:top w:val="nil"/>
              <w:left w:val="single" w:sz="4" w:space="0" w:color="auto"/>
              <w:bottom w:val="single" w:sz="4" w:space="0" w:color="auto"/>
              <w:right w:val="single" w:sz="4" w:space="0" w:color="auto"/>
            </w:tcBorders>
            <w:shd w:val="clear" w:color="auto" w:fill="auto"/>
            <w:hideMark/>
          </w:tcPr>
          <w:p w14:paraId="6F453668" w14:textId="77777777" w:rsidR="00B153EB" w:rsidRPr="00B153EB" w:rsidRDefault="00B153EB" w:rsidP="003A2CCC">
            <w:pPr>
              <w:spacing w:after="0"/>
              <w:jc w:val="left"/>
              <w:rPr>
                <w:rFonts w:ascii="Calibri" w:eastAsia="Times New Roman" w:hAnsi="Calibri" w:cs="Calibri"/>
                <w:color w:val="000000"/>
                <w:sz w:val="20"/>
                <w:szCs w:val="20"/>
                <w:lang w:val="en-US"/>
              </w:rPr>
            </w:pPr>
            <w:r w:rsidRPr="00B153EB">
              <w:rPr>
                <w:rFonts w:ascii="Calibri" w:eastAsia="Times New Roman" w:hAnsi="Calibri" w:cstheme="minorHAnsi"/>
                <w:color w:val="000000"/>
                <w:sz w:val="20"/>
                <w:szCs w:val="20"/>
              </w:rPr>
              <w:t>Case Management Assessment Tool</w:t>
            </w:r>
          </w:p>
        </w:tc>
        <w:tc>
          <w:tcPr>
            <w:tcW w:w="216" w:type="pct"/>
            <w:tcBorders>
              <w:top w:val="nil"/>
              <w:left w:val="nil"/>
              <w:bottom w:val="single" w:sz="4" w:space="0" w:color="auto"/>
              <w:right w:val="single" w:sz="4" w:space="0" w:color="auto"/>
            </w:tcBorders>
            <w:shd w:val="clear" w:color="000000" w:fill="AEAAAA"/>
            <w:hideMark/>
          </w:tcPr>
          <w:p w14:paraId="4D45163D" w14:textId="77777777" w:rsidR="00B153EB" w:rsidRPr="00B153EB" w:rsidRDefault="00B153EB" w:rsidP="003A2CCC">
            <w:pPr>
              <w:spacing w:after="0"/>
              <w:jc w:val="left"/>
              <w:rPr>
                <w:rFonts w:ascii="Calibri" w:eastAsia="Times New Roman" w:hAnsi="Calibri" w:cs="Calibri"/>
                <w:color w:val="000000"/>
                <w:sz w:val="20"/>
                <w:szCs w:val="20"/>
                <w:lang w:val="en-US"/>
              </w:rPr>
            </w:pPr>
            <w:r w:rsidRPr="00B153EB">
              <w:rPr>
                <w:rFonts w:ascii="Calibri" w:eastAsia="Times New Roman" w:hAnsi="Calibri" w:cs="Calibri"/>
                <w:color w:val="000000"/>
                <w:sz w:val="20"/>
                <w:szCs w:val="20"/>
                <w:lang w:val="en-US"/>
              </w:rPr>
              <w:t> </w:t>
            </w:r>
          </w:p>
        </w:tc>
        <w:tc>
          <w:tcPr>
            <w:tcW w:w="215" w:type="pct"/>
            <w:tcBorders>
              <w:top w:val="nil"/>
              <w:left w:val="nil"/>
              <w:bottom w:val="single" w:sz="4" w:space="0" w:color="auto"/>
              <w:right w:val="single" w:sz="4" w:space="0" w:color="auto"/>
            </w:tcBorders>
            <w:shd w:val="clear" w:color="auto" w:fill="auto"/>
            <w:hideMark/>
          </w:tcPr>
          <w:p w14:paraId="6E72EFB5" w14:textId="77777777" w:rsidR="00B153EB" w:rsidRPr="00B153EB" w:rsidRDefault="00B153EB" w:rsidP="003A2CCC">
            <w:pPr>
              <w:spacing w:after="0"/>
              <w:jc w:val="left"/>
              <w:rPr>
                <w:rFonts w:ascii="Calibri" w:eastAsia="Times New Roman" w:hAnsi="Calibri" w:cs="Calibri"/>
                <w:color w:val="000000"/>
                <w:sz w:val="20"/>
                <w:szCs w:val="20"/>
                <w:lang w:val="en-US"/>
              </w:rPr>
            </w:pPr>
            <w:r w:rsidRPr="00B153EB">
              <w:rPr>
                <w:rFonts w:ascii="Calibri" w:eastAsia="Times New Roman" w:hAnsi="Calibri" w:cstheme="minorHAnsi"/>
                <w:color w:val="000000"/>
                <w:sz w:val="20"/>
                <w:szCs w:val="20"/>
              </w:rPr>
              <w:t> </w:t>
            </w:r>
          </w:p>
        </w:tc>
        <w:tc>
          <w:tcPr>
            <w:tcW w:w="216" w:type="pct"/>
            <w:tcBorders>
              <w:top w:val="nil"/>
              <w:left w:val="nil"/>
              <w:bottom w:val="single" w:sz="4" w:space="0" w:color="auto"/>
              <w:right w:val="single" w:sz="4" w:space="0" w:color="auto"/>
            </w:tcBorders>
            <w:shd w:val="clear" w:color="auto" w:fill="auto"/>
            <w:hideMark/>
          </w:tcPr>
          <w:p w14:paraId="4A62F2E2" w14:textId="77777777" w:rsidR="00B153EB" w:rsidRPr="00B153EB" w:rsidRDefault="00B153EB" w:rsidP="003A2CCC">
            <w:pPr>
              <w:spacing w:after="0"/>
              <w:jc w:val="left"/>
              <w:rPr>
                <w:rFonts w:ascii="Calibri" w:eastAsia="Times New Roman" w:hAnsi="Calibri" w:cs="Calibri"/>
                <w:color w:val="000000"/>
                <w:sz w:val="20"/>
                <w:szCs w:val="20"/>
                <w:lang w:val="en-US"/>
              </w:rPr>
            </w:pPr>
            <w:r w:rsidRPr="00B153EB">
              <w:rPr>
                <w:rFonts w:ascii="Calibri" w:eastAsia="Times New Roman" w:hAnsi="Calibri" w:cstheme="minorHAnsi"/>
                <w:color w:val="000000"/>
                <w:sz w:val="20"/>
                <w:szCs w:val="20"/>
              </w:rPr>
              <w:t> </w:t>
            </w:r>
          </w:p>
        </w:tc>
        <w:tc>
          <w:tcPr>
            <w:tcW w:w="215" w:type="pct"/>
            <w:tcBorders>
              <w:top w:val="nil"/>
              <w:left w:val="nil"/>
              <w:bottom w:val="single" w:sz="4" w:space="0" w:color="auto"/>
              <w:right w:val="single" w:sz="4" w:space="0" w:color="auto"/>
            </w:tcBorders>
            <w:shd w:val="clear" w:color="auto" w:fill="auto"/>
            <w:hideMark/>
          </w:tcPr>
          <w:p w14:paraId="510C92F4" w14:textId="77777777" w:rsidR="00B153EB" w:rsidRPr="00B153EB" w:rsidRDefault="00B153EB" w:rsidP="003A2CCC">
            <w:pPr>
              <w:spacing w:after="0"/>
              <w:jc w:val="left"/>
              <w:rPr>
                <w:rFonts w:ascii="Calibri" w:eastAsia="Times New Roman" w:hAnsi="Calibri" w:cs="Calibri"/>
                <w:color w:val="000000"/>
                <w:sz w:val="20"/>
                <w:szCs w:val="20"/>
                <w:lang w:val="en-US"/>
              </w:rPr>
            </w:pPr>
            <w:r w:rsidRPr="00B153EB">
              <w:rPr>
                <w:rFonts w:ascii="Calibri" w:eastAsia="Times New Roman" w:hAnsi="Calibri" w:cstheme="minorHAnsi"/>
                <w:color w:val="000000"/>
                <w:sz w:val="20"/>
                <w:szCs w:val="20"/>
              </w:rPr>
              <w:t> </w:t>
            </w:r>
          </w:p>
        </w:tc>
        <w:tc>
          <w:tcPr>
            <w:tcW w:w="224" w:type="pct"/>
            <w:tcBorders>
              <w:top w:val="nil"/>
              <w:left w:val="nil"/>
              <w:bottom w:val="single" w:sz="4" w:space="0" w:color="auto"/>
              <w:right w:val="single" w:sz="4" w:space="0" w:color="auto"/>
            </w:tcBorders>
            <w:shd w:val="clear" w:color="000000" w:fill="AEAAAA"/>
            <w:hideMark/>
          </w:tcPr>
          <w:p w14:paraId="6A6E8616" w14:textId="77777777" w:rsidR="00B153EB" w:rsidRPr="00B153EB" w:rsidRDefault="00B153EB" w:rsidP="003A2CCC">
            <w:pPr>
              <w:spacing w:after="0"/>
              <w:jc w:val="left"/>
              <w:rPr>
                <w:rFonts w:ascii="Calibri" w:eastAsia="Times New Roman" w:hAnsi="Calibri" w:cs="Calibri"/>
                <w:color w:val="000000"/>
                <w:sz w:val="20"/>
                <w:szCs w:val="20"/>
                <w:lang w:val="en-US"/>
              </w:rPr>
            </w:pPr>
            <w:r w:rsidRPr="00B153EB">
              <w:rPr>
                <w:rFonts w:ascii="Calibri" w:eastAsia="Times New Roman" w:hAnsi="Calibri" w:cs="Calibri"/>
                <w:color w:val="000000"/>
                <w:sz w:val="20"/>
                <w:szCs w:val="20"/>
                <w:lang w:val="en-US"/>
              </w:rPr>
              <w:t> </w:t>
            </w:r>
          </w:p>
        </w:tc>
        <w:tc>
          <w:tcPr>
            <w:tcW w:w="215" w:type="pct"/>
            <w:tcBorders>
              <w:top w:val="nil"/>
              <w:left w:val="nil"/>
              <w:bottom w:val="single" w:sz="4" w:space="0" w:color="auto"/>
              <w:right w:val="single" w:sz="4" w:space="0" w:color="auto"/>
            </w:tcBorders>
            <w:shd w:val="clear" w:color="auto" w:fill="auto"/>
            <w:hideMark/>
          </w:tcPr>
          <w:p w14:paraId="2D1AE5F7" w14:textId="77777777" w:rsidR="00B153EB" w:rsidRPr="00B153EB" w:rsidRDefault="00B153EB" w:rsidP="003A2CCC">
            <w:pPr>
              <w:spacing w:after="0"/>
              <w:jc w:val="left"/>
              <w:rPr>
                <w:rFonts w:ascii="Calibri" w:eastAsia="Times New Roman" w:hAnsi="Calibri" w:cs="Calibri"/>
                <w:color w:val="000000"/>
                <w:sz w:val="20"/>
                <w:szCs w:val="20"/>
                <w:lang w:val="en-US"/>
              </w:rPr>
            </w:pPr>
            <w:r w:rsidRPr="00B153EB">
              <w:rPr>
                <w:rFonts w:ascii="Calibri" w:eastAsia="Times New Roman" w:hAnsi="Calibri" w:cstheme="minorHAnsi"/>
                <w:color w:val="000000"/>
                <w:sz w:val="20"/>
                <w:szCs w:val="20"/>
              </w:rPr>
              <w:t> </w:t>
            </w:r>
          </w:p>
        </w:tc>
        <w:tc>
          <w:tcPr>
            <w:tcW w:w="216" w:type="pct"/>
            <w:tcBorders>
              <w:top w:val="nil"/>
              <w:left w:val="nil"/>
              <w:bottom w:val="single" w:sz="4" w:space="0" w:color="auto"/>
              <w:right w:val="single" w:sz="4" w:space="0" w:color="auto"/>
            </w:tcBorders>
            <w:shd w:val="clear" w:color="auto" w:fill="auto"/>
            <w:hideMark/>
          </w:tcPr>
          <w:p w14:paraId="7BF504C0" w14:textId="77777777" w:rsidR="00B153EB" w:rsidRPr="00B153EB" w:rsidRDefault="00B153EB" w:rsidP="003A2CCC">
            <w:pPr>
              <w:spacing w:after="0"/>
              <w:jc w:val="left"/>
              <w:rPr>
                <w:rFonts w:ascii="Calibri" w:eastAsia="Times New Roman" w:hAnsi="Calibri" w:cs="Calibri"/>
                <w:color w:val="000000"/>
                <w:sz w:val="20"/>
                <w:szCs w:val="20"/>
                <w:lang w:val="en-US"/>
              </w:rPr>
            </w:pPr>
            <w:r w:rsidRPr="00B153EB">
              <w:rPr>
                <w:rFonts w:ascii="Calibri" w:eastAsia="Times New Roman" w:hAnsi="Calibri" w:cstheme="minorHAnsi"/>
                <w:color w:val="000000"/>
                <w:sz w:val="20"/>
                <w:szCs w:val="20"/>
              </w:rPr>
              <w:t> </w:t>
            </w:r>
          </w:p>
        </w:tc>
        <w:tc>
          <w:tcPr>
            <w:tcW w:w="215" w:type="pct"/>
            <w:tcBorders>
              <w:top w:val="nil"/>
              <w:left w:val="nil"/>
              <w:bottom w:val="single" w:sz="4" w:space="0" w:color="auto"/>
              <w:right w:val="single" w:sz="4" w:space="0" w:color="auto"/>
            </w:tcBorders>
            <w:shd w:val="clear" w:color="auto" w:fill="auto"/>
            <w:hideMark/>
          </w:tcPr>
          <w:p w14:paraId="01C439A8" w14:textId="77777777" w:rsidR="00B153EB" w:rsidRPr="00B153EB" w:rsidRDefault="00B153EB" w:rsidP="003A2CCC">
            <w:pPr>
              <w:spacing w:after="0"/>
              <w:jc w:val="left"/>
              <w:rPr>
                <w:rFonts w:ascii="Calibri" w:eastAsia="Times New Roman" w:hAnsi="Calibri" w:cs="Calibri"/>
                <w:color w:val="000000"/>
                <w:sz w:val="20"/>
                <w:szCs w:val="20"/>
                <w:lang w:val="en-US"/>
              </w:rPr>
            </w:pPr>
            <w:r w:rsidRPr="00B153EB">
              <w:rPr>
                <w:rFonts w:ascii="Calibri" w:eastAsia="Times New Roman" w:hAnsi="Calibri" w:cstheme="minorHAnsi"/>
                <w:color w:val="000000"/>
                <w:sz w:val="20"/>
                <w:szCs w:val="20"/>
              </w:rPr>
              <w:t> </w:t>
            </w:r>
          </w:p>
        </w:tc>
        <w:tc>
          <w:tcPr>
            <w:tcW w:w="224" w:type="pct"/>
            <w:tcBorders>
              <w:top w:val="nil"/>
              <w:left w:val="nil"/>
              <w:bottom w:val="single" w:sz="4" w:space="0" w:color="auto"/>
              <w:right w:val="single" w:sz="4" w:space="0" w:color="auto"/>
            </w:tcBorders>
            <w:shd w:val="clear" w:color="000000" w:fill="AEAAAA"/>
            <w:hideMark/>
          </w:tcPr>
          <w:p w14:paraId="5FE497E7" w14:textId="77777777" w:rsidR="00B153EB" w:rsidRPr="00B153EB" w:rsidRDefault="00B153EB" w:rsidP="003A2CCC">
            <w:pPr>
              <w:spacing w:after="0"/>
              <w:jc w:val="left"/>
              <w:rPr>
                <w:rFonts w:ascii="Calibri" w:eastAsia="Times New Roman" w:hAnsi="Calibri" w:cs="Calibri"/>
                <w:color w:val="000000"/>
                <w:sz w:val="20"/>
                <w:szCs w:val="20"/>
                <w:lang w:val="en-US"/>
              </w:rPr>
            </w:pPr>
            <w:r w:rsidRPr="00B153EB">
              <w:rPr>
                <w:rFonts w:ascii="Calibri" w:eastAsia="Times New Roman" w:hAnsi="Calibri" w:cs="Calibri"/>
                <w:color w:val="000000"/>
                <w:sz w:val="20"/>
                <w:szCs w:val="20"/>
                <w:lang w:val="en-US"/>
              </w:rPr>
              <w:t> </w:t>
            </w:r>
          </w:p>
        </w:tc>
        <w:tc>
          <w:tcPr>
            <w:tcW w:w="215" w:type="pct"/>
            <w:tcBorders>
              <w:top w:val="nil"/>
              <w:left w:val="nil"/>
              <w:bottom w:val="single" w:sz="4" w:space="0" w:color="auto"/>
              <w:right w:val="single" w:sz="4" w:space="0" w:color="auto"/>
            </w:tcBorders>
            <w:shd w:val="clear" w:color="auto" w:fill="auto"/>
            <w:hideMark/>
          </w:tcPr>
          <w:p w14:paraId="5FA469C3" w14:textId="77777777" w:rsidR="00B153EB" w:rsidRPr="00B153EB" w:rsidRDefault="00B153EB" w:rsidP="003A2CCC">
            <w:pPr>
              <w:spacing w:after="0"/>
              <w:jc w:val="left"/>
              <w:rPr>
                <w:rFonts w:ascii="Calibri" w:eastAsia="Times New Roman" w:hAnsi="Calibri" w:cs="Calibri"/>
                <w:color w:val="000000"/>
                <w:sz w:val="20"/>
                <w:szCs w:val="20"/>
                <w:lang w:val="en-US"/>
              </w:rPr>
            </w:pPr>
            <w:r w:rsidRPr="00B153EB">
              <w:rPr>
                <w:rFonts w:ascii="Calibri" w:eastAsia="Times New Roman" w:hAnsi="Calibri" w:cstheme="minorHAnsi"/>
                <w:color w:val="000000"/>
                <w:sz w:val="20"/>
                <w:szCs w:val="20"/>
              </w:rPr>
              <w:t> </w:t>
            </w:r>
          </w:p>
        </w:tc>
        <w:tc>
          <w:tcPr>
            <w:tcW w:w="216" w:type="pct"/>
            <w:tcBorders>
              <w:top w:val="nil"/>
              <w:left w:val="nil"/>
              <w:bottom w:val="single" w:sz="4" w:space="0" w:color="auto"/>
              <w:right w:val="single" w:sz="4" w:space="0" w:color="auto"/>
            </w:tcBorders>
            <w:shd w:val="clear" w:color="auto" w:fill="auto"/>
            <w:hideMark/>
          </w:tcPr>
          <w:p w14:paraId="417A3D73" w14:textId="77777777" w:rsidR="00B153EB" w:rsidRPr="00B153EB" w:rsidRDefault="00B153EB" w:rsidP="003A2CCC">
            <w:pPr>
              <w:spacing w:after="0"/>
              <w:jc w:val="left"/>
              <w:rPr>
                <w:rFonts w:ascii="Calibri" w:eastAsia="Times New Roman" w:hAnsi="Calibri" w:cs="Calibri"/>
                <w:color w:val="000000"/>
                <w:sz w:val="20"/>
                <w:szCs w:val="20"/>
                <w:lang w:val="en-US"/>
              </w:rPr>
            </w:pPr>
            <w:r w:rsidRPr="00B153EB">
              <w:rPr>
                <w:rFonts w:ascii="Calibri" w:eastAsia="Times New Roman" w:hAnsi="Calibri" w:cstheme="minorHAnsi"/>
                <w:color w:val="000000"/>
                <w:sz w:val="20"/>
                <w:szCs w:val="20"/>
              </w:rPr>
              <w:t> </w:t>
            </w:r>
          </w:p>
        </w:tc>
        <w:tc>
          <w:tcPr>
            <w:tcW w:w="215" w:type="pct"/>
            <w:tcBorders>
              <w:top w:val="nil"/>
              <w:left w:val="nil"/>
              <w:bottom w:val="single" w:sz="4" w:space="0" w:color="auto"/>
              <w:right w:val="single" w:sz="4" w:space="0" w:color="auto"/>
            </w:tcBorders>
            <w:shd w:val="clear" w:color="auto" w:fill="auto"/>
            <w:hideMark/>
          </w:tcPr>
          <w:p w14:paraId="099435EE" w14:textId="77777777" w:rsidR="00B153EB" w:rsidRPr="00B153EB" w:rsidRDefault="00B153EB" w:rsidP="003A2CCC">
            <w:pPr>
              <w:spacing w:after="0"/>
              <w:jc w:val="left"/>
              <w:rPr>
                <w:rFonts w:ascii="Calibri" w:eastAsia="Times New Roman" w:hAnsi="Calibri" w:cs="Calibri"/>
                <w:color w:val="000000"/>
                <w:sz w:val="20"/>
                <w:szCs w:val="20"/>
                <w:lang w:val="en-US"/>
              </w:rPr>
            </w:pPr>
            <w:r w:rsidRPr="00B153EB">
              <w:rPr>
                <w:rFonts w:ascii="Calibri" w:eastAsia="Times New Roman" w:hAnsi="Calibri" w:cstheme="minorHAnsi"/>
                <w:color w:val="000000"/>
                <w:sz w:val="20"/>
                <w:szCs w:val="20"/>
              </w:rPr>
              <w:t> </w:t>
            </w:r>
          </w:p>
        </w:tc>
        <w:tc>
          <w:tcPr>
            <w:tcW w:w="224" w:type="pct"/>
            <w:tcBorders>
              <w:top w:val="nil"/>
              <w:left w:val="nil"/>
              <w:bottom w:val="single" w:sz="4" w:space="0" w:color="auto"/>
              <w:right w:val="single" w:sz="4" w:space="0" w:color="auto"/>
            </w:tcBorders>
            <w:shd w:val="clear" w:color="000000" w:fill="AEAAAA"/>
            <w:hideMark/>
          </w:tcPr>
          <w:p w14:paraId="15E59413" w14:textId="77777777" w:rsidR="00B153EB" w:rsidRPr="00B153EB" w:rsidRDefault="00B153EB" w:rsidP="003A2CCC">
            <w:pPr>
              <w:spacing w:after="0"/>
              <w:jc w:val="left"/>
              <w:rPr>
                <w:rFonts w:ascii="Calibri" w:eastAsia="Times New Roman" w:hAnsi="Calibri" w:cs="Calibri"/>
                <w:color w:val="000000"/>
                <w:sz w:val="20"/>
                <w:szCs w:val="20"/>
                <w:lang w:val="en-US"/>
              </w:rPr>
            </w:pPr>
            <w:r w:rsidRPr="00B153EB">
              <w:rPr>
                <w:rFonts w:ascii="Calibri" w:eastAsia="Times New Roman" w:hAnsi="Calibri" w:cs="Calibri"/>
                <w:color w:val="000000"/>
                <w:sz w:val="20"/>
                <w:szCs w:val="20"/>
                <w:lang w:val="en-US"/>
              </w:rPr>
              <w:t> </w:t>
            </w:r>
          </w:p>
        </w:tc>
        <w:tc>
          <w:tcPr>
            <w:tcW w:w="215" w:type="pct"/>
            <w:tcBorders>
              <w:top w:val="nil"/>
              <w:left w:val="nil"/>
              <w:bottom w:val="single" w:sz="4" w:space="0" w:color="auto"/>
              <w:right w:val="single" w:sz="4" w:space="0" w:color="auto"/>
            </w:tcBorders>
            <w:shd w:val="clear" w:color="auto" w:fill="auto"/>
            <w:hideMark/>
          </w:tcPr>
          <w:p w14:paraId="236E619D" w14:textId="77777777" w:rsidR="00B153EB" w:rsidRPr="00B153EB" w:rsidRDefault="00B153EB" w:rsidP="003A2CCC">
            <w:pPr>
              <w:spacing w:after="0"/>
              <w:jc w:val="left"/>
              <w:rPr>
                <w:rFonts w:ascii="Calibri" w:eastAsia="Times New Roman" w:hAnsi="Calibri" w:cs="Calibri"/>
                <w:color w:val="000000"/>
                <w:sz w:val="20"/>
                <w:szCs w:val="20"/>
                <w:lang w:val="en-US"/>
              </w:rPr>
            </w:pPr>
            <w:r w:rsidRPr="00B153EB">
              <w:rPr>
                <w:rFonts w:ascii="Calibri" w:eastAsia="Times New Roman" w:hAnsi="Calibri" w:cstheme="minorHAnsi"/>
                <w:color w:val="000000"/>
                <w:sz w:val="20"/>
                <w:szCs w:val="20"/>
              </w:rPr>
              <w:t> </w:t>
            </w:r>
          </w:p>
        </w:tc>
        <w:tc>
          <w:tcPr>
            <w:tcW w:w="216" w:type="pct"/>
            <w:tcBorders>
              <w:top w:val="nil"/>
              <w:left w:val="nil"/>
              <w:bottom w:val="single" w:sz="4" w:space="0" w:color="auto"/>
              <w:right w:val="single" w:sz="4" w:space="0" w:color="auto"/>
            </w:tcBorders>
            <w:shd w:val="clear" w:color="auto" w:fill="auto"/>
            <w:hideMark/>
          </w:tcPr>
          <w:p w14:paraId="5CA38D2A" w14:textId="77777777" w:rsidR="00B153EB" w:rsidRPr="00B153EB" w:rsidRDefault="00B153EB" w:rsidP="003A2CCC">
            <w:pPr>
              <w:spacing w:after="0"/>
              <w:jc w:val="left"/>
              <w:rPr>
                <w:rFonts w:ascii="Calibri" w:eastAsia="Times New Roman" w:hAnsi="Calibri" w:cs="Calibri"/>
                <w:color w:val="000000"/>
                <w:sz w:val="20"/>
                <w:szCs w:val="20"/>
                <w:lang w:val="en-US"/>
              </w:rPr>
            </w:pPr>
            <w:r w:rsidRPr="00B153EB">
              <w:rPr>
                <w:rFonts w:ascii="Calibri" w:eastAsia="Times New Roman" w:hAnsi="Calibri" w:cstheme="minorHAnsi"/>
                <w:color w:val="000000"/>
                <w:sz w:val="20"/>
                <w:szCs w:val="20"/>
              </w:rPr>
              <w:t> </w:t>
            </w:r>
          </w:p>
        </w:tc>
        <w:tc>
          <w:tcPr>
            <w:tcW w:w="215" w:type="pct"/>
            <w:tcBorders>
              <w:top w:val="nil"/>
              <w:left w:val="nil"/>
              <w:bottom w:val="single" w:sz="4" w:space="0" w:color="auto"/>
              <w:right w:val="single" w:sz="4" w:space="0" w:color="auto"/>
            </w:tcBorders>
            <w:shd w:val="clear" w:color="auto" w:fill="auto"/>
            <w:hideMark/>
          </w:tcPr>
          <w:p w14:paraId="096B68E4" w14:textId="77777777" w:rsidR="00B153EB" w:rsidRPr="00B153EB" w:rsidRDefault="00B153EB" w:rsidP="003A2CCC">
            <w:pPr>
              <w:spacing w:after="0"/>
              <w:jc w:val="left"/>
              <w:rPr>
                <w:rFonts w:ascii="Calibri" w:eastAsia="Times New Roman" w:hAnsi="Calibri" w:cs="Calibri"/>
                <w:color w:val="000000"/>
                <w:sz w:val="20"/>
                <w:szCs w:val="20"/>
                <w:lang w:val="en-US"/>
              </w:rPr>
            </w:pPr>
            <w:r w:rsidRPr="00B153EB">
              <w:rPr>
                <w:rFonts w:ascii="Calibri" w:eastAsia="Times New Roman" w:hAnsi="Calibri" w:cstheme="minorHAnsi"/>
                <w:color w:val="000000"/>
                <w:sz w:val="20"/>
                <w:szCs w:val="20"/>
              </w:rPr>
              <w:t> </w:t>
            </w:r>
          </w:p>
        </w:tc>
      </w:tr>
      <w:tr w:rsidR="00B153EB" w:rsidRPr="00B153EB" w14:paraId="65F4351D" w14:textId="77777777" w:rsidTr="0061262A">
        <w:trPr>
          <w:trHeight w:val="300"/>
        </w:trPr>
        <w:tc>
          <w:tcPr>
            <w:tcW w:w="1528" w:type="pct"/>
            <w:tcBorders>
              <w:top w:val="nil"/>
              <w:left w:val="single" w:sz="4" w:space="0" w:color="auto"/>
              <w:bottom w:val="single" w:sz="4" w:space="0" w:color="auto"/>
              <w:right w:val="single" w:sz="4" w:space="0" w:color="auto"/>
            </w:tcBorders>
            <w:shd w:val="clear" w:color="auto" w:fill="auto"/>
            <w:hideMark/>
          </w:tcPr>
          <w:p w14:paraId="38DC73C2" w14:textId="77777777" w:rsidR="00B153EB" w:rsidRPr="00B153EB" w:rsidRDefault="00B153EB" w:rsidP="003A2CCC">
            <w:pPr>
              <w:spacing w:after="0"/>
              <w:jc w:val="left"/>
              <w:rPr>
                <w:rFonts w:ascii="Calibri" w:eastAsia="Times New Roman" w:hAnsi="Calibri" w:cs="Calibri"/>
                <w:color w:val="000000"/>
                <w:sz w:val="20"/>
                <w:szCs w:val="20"/>
                <w:lang w:val="en-US"/>
              </w:rPr>
            </w:pPr>
            <w:r w:rsidRPr="00B153EB">
              <w:rPr>
                <w:rFonts w:ascii="Calibri" w:eastAsia="Times New Roman" w:hAnsi="Calibri" w:cstheme="minorHAnsi"/>
                <w:color w:val="000000"/>
                <w:sz w:val="20"/>
                <w:szCs w:val="20"/>
              </w:rPr>
              <w:t>Case Audit</w:t>
            </w:r>
          </w:p>
        </w:tc>
        <w:tc>
          <w:tcPr>
            <w:tcW w:w="3472" w:type="pct"/>
            <w:gridSpan w:val="16"/>
            <w:tcBorders>
              <w:top w:val="single" w:sz="4" w:space="0" w:color="auto"/>
              <w:left w:val="nil"/>
              <w:bottom w:val="single" w:sz="4" w:space="0" w:color="auto"/>
              <w:right w:val="single" w:sz="4" w:space="0" w:color="auto"/>
            </w:tcBorders>
            <w:shd w:val="clear" w:color="auto" w:fill="auto"/>
            <w:hideMark/>
          </w:tcPr>
          <w:p w14:paraId="7C51B75C" w14:textId="77777777" w:rsidR="00B153EB" w:rsidRPr="00B153EB" w:rsidRDefault="00B153EB" w:rsidP="003A2CCC">
            <w:pPr>
              <w:spacing w:after="0"/>
              <w:jc w:val="left"/>
              <w:rPr>
                <w:rFonts w:ascii="Calibri" w:eastAsia="Times New Roman" w:hAnsi="Calibri" w:cs="Calibri"/>
                <w:color w:val="000000"/>
                <w:sz w:val="20"/>
                <w:szCs w:val="20"/>
                <w:lang w:val="en-US"/>
              </w:rPr>
            </w:pPr>
            <w:r w:rsidRPr="00B153EB">
              <w:rPr>
                <w:rFonts w:ascii="Calibri" w:eastAsia="Times New Roman" w:hAnsi="Calibri" w:cstheme="minorHAnsi"/>
                <w:color w:val="000000"/>
                <w:sz w:val="20"/>
                <w:szCs w:val="20"/>
              </w:rPr>
              <w:t>TBC (annual)</w:t>
            </w:r>
          </w:p>
        </w:tc>
      </w:tr>
      <w:tr w:rsidR="00B153EB" w:rsidRPr="00B153EB" w14:paraId="04E73CD1" w14:textId="77777777" w:rsidTr="004F2CEA">
        <w:trPr>
          <w:trHeight w:val="300"/>
        </w:trPr>
        <w:tc>
          <w:tcPr>
            <w:tcW w:w="1528" w:type="pct"/>
            <w:tcBorders>
              <w:top w:val="nil"/>
              <w:left w:val="single" w:sz="4" w:space="0" w:color="auto"/>
              <w:bottom w:val="single" w:sz="4" w:space="0" w:color="auto"/>
              <w:right w:val="single" w:sz="4" w:space="0" w:color="auto"/>
            </w:tcBorders>
            <w:shd w:val="clear" w:color="auto" w:fill="auto"/>
            <w:hideMark/>
          </w:tcPr>
          <w:p w14:paraId="64A67A91" w14:textId="77777777" w:rsidR="00B153EB" w:rsidRPr="00B153EB" w:rsidRDefault="00B153EB" w:rsidP="003A2CCC">
            <w:pPr>
              <w:spacing w:after="0"/>
              <w:jc w:val="left"/>
              <w:rPr>
                <w:rFonts w:ascii="Calibri" w:eastAsia="Times New Roman" w:hAnsi="Calibri" w:cs="Calibri"/>
                <w:color w:val="000000"/>
                <w:sz w:val="20"/>
                <w:szCs w:val="20"/>
                <w:lang w:val="en-US"/>
              </w:rPr>
            </w:pPr>
            <w:r w:rsidRPr="00B153EB">
              <w:rPr>
                <w:rFonts w:ascii="Calibri" w:eastAsia="Times New Roman" w:hAnsi="Calibri" w:cstheme="minorHAnsi"/>
                <w:color w:val="000000"/>
                <w:sz w:val="20"/>
                <w:szCs w:val="20"/>
              </w:rPr>
              <w:t>Stories of Significant Change (SSC)</w:t>
            </w:r>
          </w:p>
        </w:tc>
        <w:tc>
          <w:tcPr>
            <w:tcW w:w="216" w:type="pct"/>
            <w:tcBorders>
              <w:top w:val="nil"/>
              <w:left w:val="nil"/>
              <w:bottom w:val="single" w:sz="4" w:space="0" w:color="auto"/>
              <w:right w:val="single" w:sz="4" w:space="0" w:color="auto"/>
            </w:tcBorders>
            <w:shd w:val="clear" w:color="000000" w:fill="AEAAAA"/>
            <w:hideMark/>
          </w:tcPr>
          <w:p w14:paraId="61B8EF21" w14:textId="77777777" w:rsidR="00B153EB" w:rsidRPr="00B153EB" w:rsidRDefault="00B153EB" w:rsidP="003A2CCC">
            <w:pPr>
              <w:spacing w:after="0"/>
              <w:jc w:val="left"/>
              <w:rPr>
                <w:rFonts w:ascii="Calibri" w:eastAsia="Times New Roman" w:hAnsi="Calibri" w:cs="Calibri"/>
                <w:color w:val="000000"/>
                <w:sz w:val="20"/>
                <w:szCs w:val="20"/>
                <w:lang w:val="en-US"/>
              </w:rPr>
            </w:pPr>
            <w:r w:rsidRPr="00B153EB">
              <w:rPr>
                <w:rFonts w:ascii="Calibri" w:eastAsia="Times New Roman" w:hAnsi="Calibri" w:cstheme="minorHAnsi"/>
                <w:color w:val="000000"/>
                <w:sz w:val="20"/>
                <w:szCs w:val="20"/>
              </w:rPr>
              <w:t>Sep.</w:t>
            </w:r>
          </w:p>
        </w:tc>
        <w:tc>
          <w:tcPr>
            <w:tcW w:w="215" w:type="pct"/>
            <w:tcBorders>
              <w:top w:val="nil"/>
              <w:left w:val="nil"/>
              <w:bottom w:val="single" w:sz="4" w:space="0" w:color="auto"/>
              <w:right w:val="single" w:sz="4" w:space="0" w:color="auto"/>
            </w:tcBorders>
            <w:shd w:val="clear" w:color="auto" w:fill="auto"/>
            <w:hideMark/>
          </w:tcPr>
          <w:p w14:paraId="0EBAB8C1" w14:textId="77777777" w:rsidR="00B153EB" w:rsidRPr="00B153EB" w:rsidRDefault="00B153EB" w:rsidP="003A2CCC">
            <w:pPr>
              <w:spacing w:after="0"/>
              <w:jc w:val="left"/>
              <w:rPr>
                <w:rFonts w:ascii="Calibri" w:eastAsia="Times New Roman" w:hAnsi="Calibri" w:cs="Calibri"/>
                <w:color w:val="000000"/>
                <w:sz w:val="20"/>
                <w:szCs w:val="20"/>
                <w:lang w:val="en-US"/>
              </w:rPr>
            </w:pPr>
            <w:r w:rsidRPr="00B153EB">
              <w:rPr>
                <w:rFonts w:ascii="Calibri" w:eastAsia="Times New Roman" w:hAnsi="Calibri" w:cstheme="minorHAnsi"/>
                <w:color w:val="000000"/>
                <w:sz w:val="20"/>
                <w:szCs w:val="20"/>
              </w:rPr>
              <w:t> </w:t>
            </w:r>
          </w:p>
        </w:tc>
        <w:tc>
          <w:tcPr>
            <w:tcW w:w="216" w:type="pct"/>
            <w:tcBorders>
              <w:top w:val="nil"/>
              <w:left w:val="nil"/>
              <w:bottom w:val="single" w:sz="4" w:space="0" w:color="auto"/>
              <w:right w:val="single" w:sz="4" w:space="0" w:color="auto"/>
            </w:tcBorders>
            <w:shd w:val="clear" w:color="auto" w:fill="A6A6A6" w:themeFill="background1" w:themeFillShade="A6"/>
            <w:hideMark/>
          </w:tcPr>
          <w:p w14:paraId="2C4E8FF1" w14:textId="4C0A1712" w:rsidR="00B153EB" w:rsidRPr="004F2CEA" w:rsidRDefault="00B153EB" w:rsidP="003A2CCC">
            <w:pPr>
              <w:spacing w:after="0"/>
              <w:jc w:val="left"/>
              <w:rPr>
                <w:rFonts w:ascii="Calibri" w:eastAsia="Times New Roman" w:hAnsi="Calibri" w:cstheme="minorHAnsi"/>
                <w:color w:val="000000"/>
                <w:sz w:val="20"/>
                <w:szCs w:val="20"/>
              </w:rPr>
            </w:pPr>
            <w:r w:rsidRPr="00B153EB">
              <w:rPr>
                <w:rFonts w:ascii="Calibri" w:eastAsia="Times New Roman" w:hAnsi="Calibri" w:cstheme="minorHAnsi"/>
                <w:color w:val="000000"/>
                <w:sz w:val="20"/>
                <w:szCs w:val="20"/>
              </w:rPr>
              <w:t> </w:t>
            </w:r>
            <w:r w:rsidR="00AE485F">
              <w:rPr>
                <w:rFonts w:ascii="Calibri" w:eastAsia="Times New Roman" w:hAnsi="Calibri" w:cstheme="minorHAnsi"/>
                <w:color w:val="000000"/>
                <w:sz w:val="20"/>
                <w:szCs w:val="20"/>
              </w:rPr>
              <w:t>Mar</w:t>
            </w:r>
          </w:p>
        </w:tc>
        <w:tc>
          <w:tcPr>
            <w:tcW w:w="215" w:type="pct"/>
            <w:tcBorders>
              <w:top w:val="nil"/>
              <w:left w:val="nil"/>
              <w:bottom w:val="single" w:sz="4" w:space="0" w:color="auto"/>
              <w:right w:val="single" w:sz="4" w:space="0" w:color="auto"/>
            </w:tcBorders>
            <w:shd w:val="clear" w:color="auto" w:fill="auto"/>
            <w:hideMark/>
          </w:tcPr>
          <w:p w14:paraId="5CF4E37F" w14:textId="77777777" w:rsidR="00B153EB" w:rsidRPr="00B153EB" w:rsidRDefault="00B153EB" w:rsidP="003A2CCC">
            <w:pPr>
              <w:spacing w:after="0"/>
              <w:jc w:val="left"/>
              <w:rPr>
                <w:rFonts w:ascii="Calibri" w:eastAsia="Times New Roman" w:hAnsi="Calibri" w:cs="Calibri"/>
                <w:color w:val="000000"/>
                <w:sz w:val="20"/>
                <w:szCs w:val="20"/>
                <w:lang w:val="en-US"/>
              </w:rPr>
            </w:pPr>
            <w:r w:rsidRPr="00B153EB">
              <w:rPr>
                <w:rFonts w:ascii="Calibri" w:eastAsia="Times New Roman" w:hAnsi="Calibri" w:cstheme="minorHAnsi"/>
                <w:color w:val="000000"/>
                <w:sz w:val="20"/>
                <w:szCs w:val="20"/>
              </w:rPr>
              <w:t> </w:t>
            </w:r>
          </w:p>
        </w:tc>
        <w:tc>
          <w:tcPr>
            <w:tcW w:w="224" w:type="pct"/>
            <w:tcBorders>
              <w:top w:val="nil"/>
              <w:left w:val="nil"/>
              <w:bottom w:val="single" w:sz="4" w:space="0" w:color="auto"/>
              <w:right w:val="single" w:sz="4" w:space="0" w:color="auto"/>
            </w:tcBorders>
            <w:shd w:val="clear" w:color="000000" w:fill="AEAAAA"/>
            <w:hideMark/>
          </w:tcPr>
          <w:p w14:paraId="39C85BE6" w14:textId="77777777" w:rsidR="00B153EB" w:rsidRPr="00B153EB" w:rsidRDefault="00B153EB" w:rsidP="003A2CCC">
            <w:pPr>
              <w:spacing w:after="0"/>
              <w:jc w:val="left"/>
              <w:rPr>
                <w:rFonts w:ascii="Calibri" w:eastAsia="Times New Roman" w:hAnsi="Calibri" w:cs="Calibri"/>
                <w:color w:val="000000"/>
                <w:sz w:val="20"/>
                <w:szCs w:val="20"/>
                <w:lang w:val="en-US"/>
              </w:rPr>
            </w:pPr>
            <w:r w:rsidRPr="00B153EB">
              <w:rPr>
                <w:rFonts w:ascii="Calibri" w:eastAsia="Times New Roman" w:hAnsi="Calibri" w:cstheme="minorHAnsi"/>
                <w:color w:val="000000"/>
                <w:sz w:val="20"/>
                <w:szCs w:val="20"/>
              </w:rPr>
              <w:t>Sep.</w:t>
            </w:r>
          </w:p>
        </w:tc>
        <w:tc>
          <w:tcPr>
            <w:tcW w:w="215" w:type="pct"/>
            <w:tcBorders>
              <w:top w:val="nil"/>
              <w:left w:val="nil"/>
              <w:bottom w:val="single" w:sz="4" w:space="0" w:color="auto"/>
              <w:right w:val="single" w:sz="4" w:space="0" w:color="auto"/>
            </w:tcBorders>
            <w:shd w:val="clear" w:color="auto" w:fill="auto"/>
            <w:hideMark/>
          </w:tcPr>
          <w:p w14:paraId="567A5B73" w14:textId="77777777" w:rsidR="00B153EB" w:rsidRPr="00B153EB" w:rsidRDefault="00B153EB" w:rsidP="003A2CCC">
            <w:pPr>
              <w:spacing w:after="0"/>
              <w:jc w:val="left"/>
              <w:rPr>
                <w:rFonts w:ascii="Calibri" w:eastAsia="Times New Roman" w:hAnsi="Calibri" w:cs="Calibri"/>
                <w:color w:val="000000"/>
                <w:sz w:val="20"/>
                <w:szCs w:val="20"/>
                <w:lang w:val="en-US"/>
              </w:rPr>
            </w:pPr>
            <w:r w:rsidRPr="00B153EB">
              <w:rPr>
                <w:rFonts w:ascii="Calibri" w:eastAsia="Times New Roman" w:hAnsi="Calibri" w:cstheme="minorHAnsi"/>
                <w:color w:val="000000"/>
                <w:sz w:val="20"/>
                <w:szCs w:val="20"/>
              </w:rPr>
              <w:t> </w:t>
            </w:r>
          </w:p>
        </w:tc>
        <w:tc>
          <w:tcPr>
            <w:tcW w:w="216" w:type="pct"/>
            <w:tcBorders>
              <w:top w:val="nil"/>
              <w:left w:val="nil"/>
              <w:bottom w:val="single" w:sz="4" w:space="0" w:color="auto"/>
              <w:right w:val="single" w:sz="4" w:space="0" w:color="auto"/>
            </w:tcBorders>
            <w:shd w:val="clear" w:color="auto" w:fill="A6A6A6" w:themeFill="background1" w:themeFillShade="A6"/>
            <w:hideMark/>
          </w:tcPr>
          <w:p w14:paraId="2F131CE6" w14:textId="68E46954" w:rsidR="00B153EB" w:rsidRPr="00B153EB" w:rsidRDefault="00B153EB" w:rsidP="003A2CCC">
            <w:pPr>
              <w:spacing w:after="0"/>
              <w:jc w:val="left"/>
              <w:rPr>
                <w:rFonts w:ascii="Calibri" w:eastAsia="Times New Roman" w:hAnsi="Calibri" w:cs="Calibri"/>
                <w:color w:val="000000"/>
                <w:sz w:val="20"/>
                <w:szCs w:val="20"/>
                <w:lang w:val="en-US"/>
              </w:rPr>
            </w:pPr>
            <w:r w:rsidRPr="00B153EB">
              <w:rPr>
                <w:rFonts w:ascii="Calibri" w:eastAsia="Times New Roman" w:hAnsi="Calibri" w:cstheme="minorHAnsi"/>
                <w:color w:val="000000"/>
                <w:sz w:val="20"/>
                <w:szCs w:val="20"/>
              </w:rPr>
              <w:t> </w:t>
            </w:r>
            <w:r w:rsidR="00AE485F">
              <w:rPr>
                <w:rFonts w:ascii="Calibri" w:eastAsia="Times New Roman" w:hAnsi="Calibri" w:cstheme="minorHAnsi"/>
                <w:color w:val="000000"/>
                <w:sz w:val="20"/>
                <w:szCs w:val="20"/>
              </w:rPr>
              <w:t>Mar</w:t>
            </w:r>
          </w:p>
        </w:tc>
        <w:tc>
          <w:tcPr>
            <w:tcW w:w="215" w:type="pct"/>
            <w:tcBorders>
              <w:top w:val="nil"/>
              <w:left w:val="nil"/>
              <w:bottom w:val="single" w:sz="4" w:space="0" w:color="auto"/>
              <w:right w:val="single" w:sz="4" w:space="0" w:color="auto"/>
            </w:tcBorders>
            <w:shd w:val="clear" w:color="auto" w:fill="auto"/>
            <w:hideMark/>
          </w:tcPr>
          <w:p w14:paraId="0B488065" w14:textId="77777777" w:rsidR="00B153EB" w:rsidRPr="00B153EB" w:rsidRDefault="00B153EB" w:rsidP="003A2CCC">
            <w:pPr>
              <w:spacing w:after="0"/>
              <w:jc w:val="left"/>
              <w:rPr>
                <w:rFonts w:ascii="Calibri" w:eastAsia="Times New Roman" w:hAnsi="Calibri" w:cs="Calibri"/>
                <w:color w:val="000000"/>
                <w:sz w:val="20"/>
                <w:szCs w:val="20"/>
                <w:lang w:val="en-US"/>
              </w:rPr>
            </w:pPr>
            <w:r w:rsidRPr="00B153EB">
              <w:rPr>
                <w:rFonts w:ascii="Calibri" w:eastAsia="Times New Roman" w:hAnsi="Calibri" w:cstheme="minorHAnsi"/>
                <w:color w:val="000000"/>
                <w:sz w:val="20"/>
                <w:szCs w:val="20"/>
              </w:rPr>
              <w:t> </w:t>
            </w:r>
          </w:p>
        </w:tc>
        <w:tc>
          <w:tcPr>
            <w:tcW w:w="224" w:type="pct"/>
            <w:tcBorders>
              <w:top w:val="nil"/>
              <w:left w:val="nil"/>
              <w:bottom w:val="single" w:sz="4" w:space="0" w:color="auto"/>
              <w:right w:val="single" w:sz="4" w:space="0" w:color="auto"/>
            </w:tcBorders>
            <w:shd w:val="clear" w:color="000000" w:fill="AEAAAA"/>
            <w:hideMark/>
          </w:tcPr>
          <w:p w14:paraId="77725830" w14:textId="77777777" w:rsidR="00B153EB" w:rsidRPr="00B153EB" w:rsidRDefault="00B153EB" w:rsidP="003A2CCC">
            <w:pPr>
              <w:spacing w:after="0"/>
              <w:jc w:val="left"/>
              <w:rPr>
                <w:rFonts w:ascii="Calibri" w:eastAsia="Times New Roman" w:hAnsi="Calibri" w:cs="Calibri"/>
                <w:color w:val="000000"/>
                <w:sz w:val="20"/>
                <w:szCs w:val="20"/>
                <w:lang w:val="en-US"/>
              </w:rPr>
            </w:pPr>
            <w:r w:rsidRPr="00B153EB">
              <w:rPr>
                <w:rFonts w:ascii="Calibri" w:eastAsia="Times New Roman" w:hAnsi="Calibri" w:cstheme="minorHAnsi"/>
                <w:color w:val="000000"/>
                <w:sz w:val="20"/>
                <w:szCs w:val="20"/>
              </w:rPr>
              <w:t>Sep.</w:t>
            </w:r>
          </w:p>
        </w:tc>
        <w:tc>
          <w:tcPr>
            <w:tcW w:w="215" w:type="pct"/>
            <w:tcBorders>
              <w:top w:val="nil"/>
              <w:left w:val="nil"/>
              <w:bottom w:val="single" w:sz="4" w:space="0" w:color="auto"/>
              <w:right w:val="single" w:sz="4" w:space="0" w:color="auto"/>
            </w:tcBorders>
            <w:shd w:val="clear" w:color="auto" w:fill="auto"/>
            <w:hideMark/>
          </w:tcPr>
          <w:p w14:paraId="78AE1DCC" w14:textId="77777777" w:rsidR="00B153EB" w:rsidRPr="00B153EB" w:rsidRDefault="00B153EB" w:rsidP="003A2CCC">
            <w:pPr>
              <w:spacing w:after="0"/>
              <w:jc w:val="left"/>
              <w:rPr>
                <w:rFonts w:ascii="Calibri" w:eastAsia="Times New Roman" w:hAnsi="Calibri" w:cs="Calibri"/>
                <w:color w:val="000000"/>
                <w:sz w:val="20"/>
                <w:szCs w:val="20"/>
                <w:lang w:val="en-US"/>
              </w:rPr>
            </w:pPr>
            <w:r w:rsidRPr="00B153EB">
              <w:rPr>
                <w:rFonts w:ascii="Calibri" w:eastAsia="Times New Roman" w:hAnsi="Calibri" w:cstheme="minorHAnsi"/>
                <w:color w:val="000000"/>
                <w:sz w:val="20"/>
                <w:szCs w:val="20"/>
              </w:rPr>
              <w:t> </w:t>
            </w:r>
          </w:p>
        </w:tc>
        <w:tc>
          <w:tcPr>
            <w:tcW w:w="216" w:type="pct"/>
            <w:tcBorders>
              <w:top w:val="nil"/>
              <w:left w:val="nil"/>
              <w:bottom w:val="single" w:sz="4" w:space="0" w:color="auto"/>
              <w:right w:val="single" w:sz="4" w:space="0" w:color="auto"/>
            </w:tcBorders>
            <w:shd w:val="clear" w:color="auto" w:fill="A6A6A6" w:themeFill="background1" w:themeFillShade="A6"/>
            <w:hideMark/>
          </w:tcPr>
          <w:p w14:paraId="4ABA1EC2" w14:textId="2F410F8B" w:rsidR="00B153EB" w:rsidRPr="00B153EB" w:rsidRDefault="00B153EB" w:rsidP="003A2CCC">
            <w:pPr>
              <w:spacing w:after="0"/>
              <w:jc w:val="left"/>
              <w:rPr>
                <w:rFonts w:ascii="Calibri" w:eastAsia="Times New Roman" w:hAnsi="Calibri" w:cs="Calibri"/>
                <w:color w:val="000000"/>
                <w:sz w:val="20"/>
                <w:szCs w:val="20"/>
                <w:lang w:val="en-US"/>
              </w:rPr>
            </w:pPr>
            <w:r w:rsidRPr="00B153EB">
              <w:rPr>
                <w:rFonts w:ascii="Calibri" w:eastAsia="Times New Roman" w:hAnsi="Calibri" w:cstheme="minorHAnsi"/>
                <w:color w:val="000000"/>
                <w:sz w:val="20"/>
                <w:szCs w:val="20"/>
              </w:rPr>
              <w:t> </w:t>
            </w:r>
            <w:r w:rsidR="00AE485F">
              <w:rPr>
                <w:rFonts w:ascii="Calibri" w:eastAsia="Times New Roman" w:hAnsi="Calibri" w:cstheme="minorHAnsi"/>
                <w:color w:val="000000"/>
                <w:sz w:val="20"/>
                <w:szCs w:val="20"/>
              </w:rPr>
              <w:t>Mar</w:t>
            </w:r>
          </w:p>
        </w:tc>
        <w:tc>
          <w:tcPr>
            <w:tcW w:w="215" w:type="pct"/>
            <w:tcBorders>
              <w:top w:val="nil"/>
              <w:left w:val="nil"/>
              <w:bottom w:val="single" w:sz="4" w:space="0" w:color="auto"/>
              <w:right w:val="single" w:sz="4" w:space="0" w:color="auto"/>
            </w:tcBorders>
            <w:shd w:val="clear" w:color="auto" w:fill="auto"/>
            <w:hideMark/>
          </w:tcPr>
          <w:p w14:paraId="613AD7DC" w14:textId="77777777" w:rsidR="00B153EB" w:rsidRPr="00B153EB" w:rsidRDefault="00B153EB" w:rsidP="003A2CCC">
            <w:pPr>
              <w:spacing w:after="0"/>
              <w:jc w:val="left"/>
              <w:rPr>
                <w:rFonts w:ascii="Calibri" w:eastAsia="Times New Roman" w:hAnsi="Calibri" w:cs="Calibri"/>
                <w:color w:val="000000"/>
                <w:sz w:val="20"/>
                <w:szCs w:val="20"/>
                <w:lang w:val="en-US"/>
              </w:rPr>
            </w:pPr>
            <w:r w:rsidRPr="00B153EB">
              <w:rPr>
                <w:rFonts w:ascii="Calibri" w:eastAsia="Times New Roman" w:hAnsi="Calibri" w:cstheme="minorHAnsi"/>
                <w:color w:val="000000"/>
                <w:sz w:val="20"/>
                <w:szCs w:val="20"/>
              </w:rPr>
              <w:t> </w:t>
            </w:r>
          </w:p>
        </w:tc>
        <w:tc>
          <w:tcPr>
            <w:tcW w:w="224" w:type="pct"/>
            <w:tcBorders>
              <w:top w:val="nil"/>
              <w:left w:val="nil"/>
              <w:bottom w:val="single" w:sz="4" w:space="0" w:color="auto"/>
              <w:right w:val="single" w:sz="4" w:space="0" w:color="auto"/>
            </w:tcBorders>
            <w:shd w:val="clear" w:color="000000" w:fill="AEAAAA"/>
            <w:hideMark/>
          </w:tcPr>
          <w:p w14:paraId="2977F587" w14:textId="77777777" w:rsidR="00B153EB" w:rsidRPr="00B153EB" w:rsidRDefault="00B153EB" w:rsidP="003A2CCC">
            <w:pPr>
              <w:spacing w:after="0"/>
              <w:jc w:val="left"/>
              <w:rPr>
                <w:rFonts w:ascii="Calibri" w:eastAsia="Times New Roman" w:hAnsi="Calibri" w:cs="Calibri"/>
                <w:color w:val="000000"/>
                <w:sz w:val="20"/>
                <w:szCs w:val="20"/>
                <w:lang w:val="en-US"/>
              </w:rPr>
            </w:pPr>
            <w:r w:rsidRPr="00B153EB">
              <w:rPr>
                <w:rFonts w:ascii="Calibri" w:eastAsia="Times New Roman" w:hAnsi="Calibri" w:cstheme="minorHAnsi"/>
                <w:color w:val="000000"/>
                <w:sz w:val="20"/>
                <w:szCs w:val="20"/>
              </w:rPr>
              <w:t>Sep.</w:t>
            </w:r>
          </w:p>
        </w:tc>
        <w:tc>
          <w:tcPr>
            <w:tcW w:w="215" w:type="pct"/>
            <w:tcBorders>
              <w:top w:val="nil"/>
              <w:left w:val="nil"/>
              <w:bottom w:val="single" w:sz="4" w:space="0" w:color="auto"/>
              <w:right w:val="single" w:sz="4" w:space="0" w:color="auto"/>
            </w:tcBorders>
            <w:shd w:val="clear" w:color="auto" w:fill="auto"/>
            <w:hideMark/>
          </w:tcPr>
          <w:p w14:paraId="7A131761" w14:textId="77777777" w:rsidR="00B153EB" w:rsidRPr="00B153EB" w:rsidRDefault="00B153EB" w:rsidP="003A2CCC">
            <w:pPr>
              <w:spacing w:after="0"/>
              <w:jc w:val="left"/>
              <w:rPr>
                <w:rFonts w:ascii="Calibri" w:eastAsia="Times New Roman" w:hAnsi="Calibri" w:cs="Calibri"/>
                <w:color w:val="000000"/>
                <w:sz w:val="20"/>
                <w:szCs w:val="20"/>
                <w:lang w:val="en-US"/>
              </w:rPr>
            </w:pPr>
            <w:r w:rsidRPr="00B153EB">
              <w:rPr>
                <w:rFonts w:ascii="Calibri" w:eastAsia="Times New Roman" w:hAnsi="Calibri" w:cstheme="minorHAnsi"/>
                <w:color w:val="000000"/>
                <w:sz w:val="20"/>
                <w:szCs w:val="20"/>
              </w:rPr>
              <w:t> </w:t>
            </w:r>
          </w:p>
        </w:tc>
        <w:tc>
          <w:tcPr>
            <w:tcW w:w="216" w:type="pct"/>
            <w:tcBorders>
              <w:top w:val="nil"/>
              <w:left w:val="nil"/>
              <w:bottom w:val="single" w:sz="4" w:space="0" w:color="auto"/>
              <w:right w:val="single" w:sz="4" w:space="0" w:color="auto"/>
            </w:tcBorders>
            <w:shd w:val="clear" w:color="auto" w:fill="A6A6A6" w:themeFill="background1" w:themeFillShade="A6"/>
            <w:hideMark/>
          </w:tcPr>
          <w:p w14:paraId="4974CE30" w14:textId="4D202ABB" w:rsidR="00B153EB" w:rsidRPr="00B153EB" w:rsidRDefault="00B153EB" w:rsidP="003A2CCC">
            <w:pPr>
              <w:spacing w:after="0"/>
              <w:jc w:val="left"/>
              <w:rPr>
                <w:rFonts w:ascii="Calibri" w:eastAsia="Times New Roman" w:hAnsi="Calibri" w:cs="Calibri"/>
                <w:color w:val="000000"/>
                <w:sz w:val="20"/>
                <w:szCs w:val="20"/>
                <w:lang w:val="en-US"/>
              </w:rPr>
            </w:pPr>
            <w:r w:rsidRPr="00B153EB">
              <w:rPr>
                <w:rFonts w:ascii="Calibri" w:eastAsia="Times New Roman" w:hAnsi="Calibri" w:cstheme="minorHAnsi"/>
                <w:color w:val="000000"/>
                <w:sz w:val="20"/>
                <w:szCs w:val="20"/>
              </w:rPr>
              <w:t> </w:t>
            </w:r>
            <w:r w:rsidR="00AE485F">
              <w:rPr>
                <w:rFonts w:ascii="Calibri" w:eastAsia="Times New Roman" w:hAnsi="Calibri" w:cstheme="minorHAnsi"/>
                <w:color w:val="000000"/>
                <w:sz w:val="20"/>
                <w:szCs w:val="20"/>
              </w:rPr>
              <w:t>Mar</w:t>
            </w:r>
          </w:p>
        </w:tc>
        <w:tc>
          <w:tcPr>
            <w:tcW w:w="215" w:type="pct"/>
            <w:tcBorders>
              <w:top w:val="nil"/>
              <w:left w:val="nil"/>
              <w:bottom w:val="single" w:sz="4" w:space="0" w:color="auto"/>
              <w:right w:val="single" w:sz="4" w:space="0" w:color="auto"/>
            </w:tcBorders>
            <w:shd w:val="clear" w:color="auto" w:fill="auto"/>
            <w:hideMark/>
          </w:tcPr>
          <w:p w14:paraId="2116DB49" w14:textId="77777777" w:rsidR="00B153EB" w:rsidRPr="00B153EB" w:rsidRDefault="00B153EB" w:rsidP="003A2CCC">
            <w:pPr>
              <w:spacing w:after="0"/>
              <w:jc w:val="left"/>
              <w:rPr>
                <w:rFonts w:ascii="Calibri" w:eastAsia="Times New Roman" w:hAnsi="Calibri" w:cs="Calibri"/>
                <w:color w:val="000000"/>
                <w:sz w:val="20"/>
                <w:szCs w:val="20"/>
                <w:lang w:val="en-US"/>
              </w:rPr>
            </w:pPr>
            <w:r w:rsidRPr="00B153EB">
              <w:rPr>
                <w:rFonts w:ascii="Calibri" w:eastAsia="Times New Roman" w:hAnsi="Calibri" w:cstheme="minorHAnsi"/>
                <w:color w:val="000000"/>
                <w:sz w:val="20"/>
                <w:szCs w:val="20"/>
              </w:rPr>
              <w:t> </w:t>
            </w:r>
          </w:p>
        </w:tc>
      </w:tr>
      <w:tr w:rsidR="00B153EB" w:rsidRPr="00B153EB" w14:paraId="3AC27D25" w14:textId="77777777" w:rsidTr="0061262A">
        <w:trPr>
          <w:trHeight w:val="300"/>
        </w:trPr>
        <w:tc>
          <w:tcPr>
            <w:tcW w:w="1528" w:type="pct"/>
            <w:tcBorders>
              <w:top w:val="nil"/>
              <w:left w:val="single" w:sz="4" w:space="0" w:color="auto"/>
              <w:bottom w:val="single" w:sz="4" w:space="0" w:color="auto"/>
              <w:right w:val="single" w:sz="4" w:space="0" w:color="auto"/>
            </w:tcBorders>
            <w:shd w:val="clear" w:color="auto" w:fill="auto"/>
            <w:hideMark/>
          </w:tcPr>
          <w:p w14:paraId="3614C15E" w14:textId="77777777" w:rsidR="00B153EB" w:rsidRPr="00B153EB" w:rsidRDefault="00B153EB" w:rsidP="003A2CCC">
            <w:pPr>
              <w:spacing w:after="0"/>
              <w:jc w:val="left"/>
              <w:rPr>
                <w:rFonts w:ascii="Calibri" w:eastAsia="Times New Roman" w:hAnsi="Calibri" w:cs="Calibri"/>
                <w:color w:val="000000"/>
                <w:sz w:val="20"/>
                <w:szCs w:val="20"/>
                <w:lang w:val="en-US"/>
              </w:rPr>
            </w:pPr>
            <w:r w:rsidRPr="00B153EB">
              <w:rPr>
                <w:rFonts w:ascii="Calibri" w:eastAsia="Times New Roman" w:hAnsi="Calibri" w:cstheme="minorHAnsi"/>
                <w:color w:val="000000"/>
                <w:sz w:val="20"/>
                <w:szCs w:val="20"/>
              </w:rPr>
              <w:t>CBA Monitoring</w:t>
            </w:r>
          </w:p>
        </w:tc>
        <w:tc>
          <w:tcPr>
            <w:tcW w:w="3472" w:type="pct"/>
            <w:gridSpan w:val="16"/>
            <w:tcBorders>
              <w:top w:val="single" w:sz="4" w:space="0" w:color="auto"/>
              <w:left w:val="nil"/>
              <w:bottom w:val="single" w:sz="4" w:space="0" w:color="auto"/>
              <w:right w:val="single" w:sz="4" w:space="0" w:color="auto"/>
            </w:tcBorders>
            <w:shd w:val="clear" w:color="auto" w:fill="auto"/>
            <w:hideMark/>
          </w:tcPr>
          <w:p w14:paraId="554B09C4" w14:textId="77777777" w:rsidR="00B153EB" w:rsidRPr="00B153EB" w:rsidRDefault="00B153EB" w:rsidP="003A2CCC">
            <w:pPr>
              <w:spacing w:after="0"/>
              <w:jc w:val="left"/>
              <w:rPr>
                <w:rFonts w:ascii="Calibri" w:eastAsia="Times New Roman" w:hAnsi="Calibri" w:cs="Calibri"/>
                <w:color w:val="000000"/>
                <w:sz w:val="20"/>
                <w:szCs w:val="20"/>
                <w:lang w:val="en-US"/>
              </w:rPr>
            </w:pPr>
            <w:r w:rsidRPr="00B153EB">
              <w:rPr>
                <w:rFonts w:ascii="Calibri" w:eastAsia="Times New Roman" w:hAnsi="Calibri" w:cstheme="minorHAnsi"/>
                <w:color w:val="000000"/>
                <w:sz w:val="20"/>
                <w:szCs w:val="20"/>
              </w:rPr>
              <w:t>TBC (timing to be determined based on program monitoring results)</w:t>
            </w:r>
          </w:p>
        </w:tc>
      </w:tr>
      <w:tr w:rsidR="00B153EB" w:rsidRPr="00B153EB" w14:paraId="7BB2477F" w14:textId="77777777" w:rsidTr="0061262A">
        <w:trPr>
          <w:trHeight w:val="300"/>
        </w:trPr>
        <w:tc>
          <w:tcPr>
            <w:tcW w:w="1528" w:type="pct"/>
            <w:tcBorders>
              <w:top w:val="nil"/>
              <w:left w:val="single" w:sz="4" w:space="0" w:color="auto"/>
              <w:bottom w:val="single" w:sz="4" w:space="0" w:color="auto"/>
              <w:right w:val="single" w:sz="4" w:space="0" w:color="auto"/>
            </w:tcBorders>
            <w:shd w:val="clear" w:color="auto" w:fill="auto"/>
            <w:hideMark/>
          </w:tcPr>
          <w:p w14:paraId="5247BF38" w14:textId="77777777" w:rsidR="00B153EB" w:rsidRPr="00B153EB" w:rsidRDefault="00B153EB" w:rsidP="003A2CCC">
            <w:pPr>
              <w:spacing w:after="0"/>
              <w:jc w:val="left"/>
              <w:rPr>
                <w:rFonts w:ascii="Calibri" w:eastAsia="Times New Roman" w:hAnsi="Calibri" w:cs="Calibri"/>
                <w:color w:val="000000"/>
                <w:sz w:val="20"/>
                <w:szCs w:val="20"/>
                <w:lang w:val="en-US"/>
              </w:rPr>
            </w:pPr>
            <w:r w:rsidRPr="00B153EB">
              <w:rPr>
                <w:rFonts w:ascii="Calibri" w:eastAsia="Times New Roman" w:hAnsi="Calibri" w:cstheme="minorHAnsi"/>
                <w:color w:val="000000"/>
                <w:sz w:val="20"/>
                <w:szCs w:val="20"/>
              </w:rPr>
              <w:t>Lancet Effectiveness Scale</w:t>
            </w:r>
          </w:p>
        </w:tc>
        <w:tc>
          <w:tcPr>
            <w:tcW w:w="216" w:type="pct"/>
            <w:tcBorders>
              <w:top w:val="nil"/>
              <w:left w:val="nil"/>
              <w:bottom w:val="single" w:sz="4" w:space="0" w:color="auto"/>
              <w:right w:val="single" w:sz="4" w:space="0" w:color="auto"/>
            </w:tcBorders>
            <w:shd w:val="clear" w:color="000000" w:fill="AEAAAA"/>
            <w:hideMark/>
          </w:tcPr>
          <w:p w14:paraId="257FABD3" w14:textId="77777777" w:rsidR="00B153EB" w:rsidRPr="00B153EB" w:rsidRDefault="00B153EB" w:rsidP="003A2CCC">
            <w:pPr>
              <w:spacing w:after="0"/>
              <w:jc w:val="left"/>
              <w:rPr>
                <w:rFonts w:ascii="Calibri" w:eastAsia="Times New Roman" w:hAnsi="Calibri" w:cs="Calibri"/>
                <w:color w:val="000000"/>
                <w:sz w:val="20"/>
                <w:szCs w:val="20"/>
                <w:lang w:val="en-US"/>
              </w:rPr>
            </w:pPr>
            <w:r w:rsidRPr="00B153EB">
              <w:rPr>
                <w:rFonts w:ascii="Calibri" w:eastAsia="Times New Roman" w:hAnsi="Calibri" w:cstheme="minorHAnsi"/>
                <w:color w:val="000000"/>
                <w:sz w:val="20"/>
                <w:szCs w:val="20"/>
              </w:rPr>
              <w:t xml:space="preserve">Jul. </w:t>
            </w:r>
          </w:p>
        </w:tc>
        <w:tc>
          <w:tcPr>
            <w:tcW w:w="215" w:type="pct"/>
            <w:tcBorders>
              <w:top w:val="nil"/>
              <w:left w:val="nil"/>
              <w:bottom w:val="single" w:sz="4" w:space="0" w:color="auto"/>
              <w:right w:val="single" w:sz="4" w:space="0" w:color="auto"/>
            </w:tcBorders>
            <w:shd w:val="clear" w:color="auto" w:fill="auto"/>
            <w:hideMark/>
          </w:tcPr>
          <w:p w14:paraId="2DEF8762" w14:textId="77777777" w:rsidR="00B153EB" w:rsidRPr="00B153EB" w:rsidRDefault="00B153EB" w:rsidP="003A2CCC">
            <w:pPr>
              <w:spacing w:after="0"/>
              <w:jc w:val="left"/>
              <w:rPr>
                <w:rFonts w:ascii="Calibri" w:eastAsia="Times New Roman" w:hAnsi="Calibri" w:cs="Calibri"/>
                <w:color w:val="000000"/>
                <w:sz w:val="20"/>
                <w:szCs w:val="20"/>
                <w:lang w:val="en-US"/>
              </w:rPr>
            </w:pPr>
            <w:r w:rsidRPr="00B153EB">
              <w:rPr>
                <w:rFonts w:ascii="Calibri" w:eastAsia="Times New Roman" w:hAnsi="Calibri" w:cstheme="minorHAnsi"/>
                <w:color w:val="000000"/>
                <w:sz w:val="20"/>
                <w:szCs w:val="20"/>
              </w:rPr>
              <w:t> </w:t>
            </w:r>
          </w:p>
        </w:tc>
        <w:tc>
          <w:tcPr>
            <w:tcW w:w="216" w:type="pct"/>
            <w:tcBorders>
              <w:top w:val="nil"/>
              <w:left w:val="nil"/>
              <w:bottom w:val="single" w:sz="4" w:space="0" w:color="auto"/>
              <w:right w:val="single" w:sz="4" w:space="0" w:color="auto"/>
            </w:tcBorders>
            <w:shd w:val="clear" w:color="000000" w:fill="AEAAAA"/>
            <w:hideMark/>
          </w:tcPr>
          <w:p w14:paraId="59298A40" w14:textId="77777777" w:rsidR="00B153EB" w:rsidRPr="00B153EB" w:rsidRDefault="00B153EB" w:rsidP="003A2CCC">
            <w:pPr>
              <w:spacing w:after="0"/>
              <w:jc w:val="left"/>
              <w:rPr>
                <w:rFonts w:ascii="Calibri" w:eastAsia="Times New Roman" w:hAnsi="Calibri" w:cs="Calibri"/>
                <w:color w:val="000000"/>
                <w:sz w:val="20"/>
                <w:szCs w:val="20"/>
                <w:lang w:val="en-US"/>
              </w:rPr>
            </w:pPr>
            <w:r w:rsidRPr="00B153EB">
              <w:rPr>
                <w:rFonts w:ascii="Calibri" w:eastAsia="Times New Roman" w:hAnsi="Calibri" w:cstheme="minorHAnsi"/>
                <w:color w:val="000000"/>
                <w:sz w:val="20"/>
                <w:szCs w:val="20"/>
              </w:rPr>
              <w:t>Jan.</w:t>
            </w:r>
          </w:p>
        </w:tc>
        <w:tc>
          <w:tcPr>
            <w:tcW w:w="215" w:type="pct"/>
            <w:tcBorders>
              <w:top w:val="nil"/>
              <w:left w:val="nil"/>
              <w:bottom w:val="single" w:sz="4" w:space="0" w:color="auto"/>
              <w:right w:val="single" w:sz="4" w:space="0" w:color="auto"/>
            </w:tcBorders>
            <w:shd w:val="clear" w:color="auto" w:fill="auto"/>
            <w:hideMark/>
          </w:tcPr>
          <w:p w14:paraId="29A99650" w14:textId="77777777" w:rsidR="00B153EB" w:rsidRPr="00B153EB" w:rsidRDefault="00B153EB" w:rsidP="003A2CCC">
            <w:pPr>
              <w:spacing w:after="0"/>
              <w:jc w:val="left"/>
              <w:rPr>
                <w:rFonts w:ascii="Calibri" w:eastAsia="Times New Roman" w:hAnsi="Calibri" w:cs="Calibri"/>
                <w:color w:val="000000"/>
                <w:sz w:val="20"/>
                <w:szCs w:val="20"/>
                <w:lang w:val="en-US"/>
              </w:rPr>
            </w:pPr>
            <w:r w:rsidRPr="00B153EB">
              <w:rPr>
                <w:rFonts w:ascii="Calibri" w:eastAsia="Times New Roman" w:hAnsi="Calibri" w:cstheme="minorHAnsi"/>
                <w:color w:val="000000"/>
                <w:sz w:val="20"/>
                <w:szCs w:val="20"/>
              </w:rPr>
              <w:t> </w:t>
            </w:r>
          </w:p>
        </w:tc>
        <w:tc>
          <w:tcPr>
            <w:tcW w:w="224" w:type="pct"/>
            <w:tcBorders>
              <w:top w:val="nil"/>
              <w:left w:val="nil"/>
              <w:bottom w:val="single" w:sz="4" w:space="0" w:color="auto"/>
              <w:right w:val="single" w:sz="4" w:space="0" w:color="auto"/>
            </w:tcBorders>
            <w:shd w:val="clear" w:color="000000" w:fill="AEAAAA"/>
            <w:hideMark/>
          </w:tcPr>
          <w:p w14:paraId="69F84577" w14:textId="77777777" w:rsidR="00B153EB" w:rsidRPr="00B153EB" w:rsidRDefault="00B153EB" w:rsidP="003A2CCC">
            <w:pPr>
              <w:spacing w:after="0"/>
              <w:jc w:val="left"/>
              <w:rPr>
                <w:rFonts w:ascii="Calibri" w:eastAsia="Times New Roman" w:hAnsi="Calibri" w:cs="Calibri"/>
                <w:color w:val="000000"/>
                <w:sz w:val="20"/>
                <w:szCs w:val="20"/>
                <w:lang w:val="en-US"/>
              </w:rPr>
            </w:pPr>
            <w:r w:rsidRPr="00B153EB">
              <w:rPr>
                <w:rFonts w:ascii="Calibri" w:eastAsia="Times New Roman" w:hAnsi="Calibri" w:cstheme="minorHAnsi"/>
                <w:color w:val="000000"/>
                <w:sz w:val="20"/>
                <w:szCs w:val="20"/>
              </w:rPr>
              <w:t xml:space="preserve">Jul. </w:t>
            </w:r>
          </w:p>
        </w:tc>
        <w:tc>
          <w:tcPr>
            <w:tcW w:w="215" w:type="pct"/>
            <w:tcBorders>
              <w:top w:val="nil"/>
              <w:left w:val="nil"/>
              <w:bottom w:val="single" w:sz="4" w:space="0" w:color="auto"/>
              <w:right w:val="single" w:sz="4" w:space="0" w:color="auto"/>
            </w:tcBorders>
            <w:shd w:val="clear" w:color="auto" w:fill="auto"/>
            <w:hideMark/>
          </w:tcPr>
          <w:p w14:paraId="748DCE3A" w14:textId="77777777" w:rsidR="00B153EB" w:rsidRPr="00B153EB" w:rsidRDefault="00B153EB" w:rsidP="003A2CCC">
            <w:pPr>
              <w:spacing w:after="0"/>
              <w:jc w:val="left"/>
              <w:rPr>
                <w:rFonts w:ascii="Calibri" w:eastAsia="Times New Roman" w:hAnsi="Calibri" w:cs="Calibri"/>
                <w:color w:val="000000"/>
                <w:sz w:val="20"/>
                <w:szCs w:val="20"/>
                <w:lang w:val="en-US"/>
              </w:rPr>
            </w:pPr>
            <w:r w:rsidRPr="00B153EB">
              <w:rPr>
                <w:rFonts w:ascii="Calibri" w:eastAsia="Times New Roman" w:hAnsi="Calibri" w:cstheme="minorHAnsi"/>
                <w:color w:val="000000"/>
                <w:sz w:val="20"/>
                <w:szCs w:val="20"/>
              </w:rPr>
              <w:t> </w:t>
            </w:r>
          </w:p>
        </w:tc>
        <w:tc>
          <w:tcPr>
            <w:tcW w:w="216" w:type="pct"/>
            <w:tcBorders>
              <w:top w:val="nil"/>
              <w:left w:val="nil"/>
              <w:bottom w:val="single" w:sz="4" w:space="0" w:color="auto"/>
              <w:right w:val="single" w:sz="4" w:space="0" w:color="auto"/>
            </w:tcBorders>
            <w:shd w:val="clear" w:color="000000" w:fill="AEAAAA"/>
            <w:hideMark/>
          </w:tcPr>
          <w:p w14:paraId="7F2D8BC4" w14:textId="77777777" w:rsidR="00B153EB" w:rsidRPr="00B153EB" w:rsidRDefault="00B153EB" w:rsidP="003A2CCC">
            <w:pPr>
              <w:spacing w:after="0"/>
              <w:jc w:val="left"/>
              <w:rPr>
                <w:rFonts w:ascii="Calibri" w:eastAsia="Times New Roman" w:hAnsi="Calibri" w:cs="Calibri"/>
                <w:color w:val="000000"/>
                <w:sz w:val="20"/>
                <w:szCs w:val="20"/>
                <w:lang w:val="en-US"/>
              </w:rPr>
            </w:pPr>
            <w:r w:rsidRPr="00B153EB">
              <w:rPr>
                <w:rFonts w:ascii="Calibri" w:eastAsia="Times New Roman" w:hAnsi="Calibri" w:cstheme="minorHAnsi"/>
                <w:color w:val="000000"/>
                <w:sz w:val="20"/>
                <w:szCs w:val="20"/>
              </w:rPr>
              <w:t>Jan.</w:t>
            </w:r>
          </w:p>
        </w:tc>
        <w:tc>
          <w:tcPr>
            <w:tcW w:w="215" w:type="pct"/>
            <w:tcBorders>
              <w:top w:val="nil"/>
              <w:left w:val="nil"/>
              <w:bottom w:val="single" w:sz="4" w:space="0" w:color="auto"/>
              <w:right w:val="single" w:sz="4" w:space="0" w:color="auto"/>
            </w:tcBorders>
            <w:shd w:val="clear" w:color="auto" w:fill="auto"/>
            <w:hideMark/>
          </w:tcPr>
          <w:p w14:paraId="1157D26C" w14:textId="77777777" w:rsidR="00B153EB" w:rsidRPr="00B153EB" w:rsidRDefault="00B153EB" w:rsidP="003A2CCC">
            <w:pPr>
              <w:spacing w:after="0"/>
              <w:jc w:val="left"/>
              <w:rPr>
                <w:rFonts w:ascii="Calibri" w:eastAsia="Times New Roman" w:hAnsi="Calibri" w:cs="Calibri"/>
                <w:color w:val="000000"/>
                <w:sz w:val="20"/>
                <w:szCs w:val="20"/>
                <w:lang w:val="en-US"/>
              </w:rPr>
            </w:pPr>
            <w:r w:rsidRPr="00B153EB">
              <w:rPr>
                <w:rFonts w:ascii="Calibri" w:eastAsia="Times New Roman" w:hAnsi="Calibri" w:cstheme="minorHAnsi"/>
                <w:color w:val="000000"/>
                <w:sz w:val="20"/>
                <w:szCs w:val="20"/>
              </w:rPr>
              <w:t> </w:t>
            </w:r>
          </w:p>
        </w:tc>
        <w:tc>
          <w:tcPr>
            <w:tcW w:w="224" w:type="pct"/>
            <w:tcBorders>
              <w:top w:val="nil"/>
              <w:left w:val="nil"/>
              <w:bottom w:val="single" w:sz="4" w:space="0" w:color="auto"/>
              <w:right w:val="single" w:sz="4" w:space="0" w:color="auto"/>
            </w:tcBorders>
            <w:shd w:val="clear" w:color="000000" w:fill="AEAAAA"/>
            <w:hideMark/>
          </w:tcPr>
          <w:p w14:paraId="71302238" w14:textId="77777777" w:rsidR="00B153EB" w:rsidRPr="00B153EB" w:rsidRDefault="00B153EB" w:rsidP="003A2CCC">
            <w:pPr>
              <w:spacing w:after="0"/>
              <w:jc w:val="left"/>
              <w:rPr>
                <w:rFonts w:ascii="Calibri" w:eastAsia="Times New Roman" w:hAnsi="Calibri" w:cs="Calibri"/>
                <w:color w:val="000000"/>
                <w:sz w:val="20"/>
                <w:szCs w:val="20"/>
                <w:lang w:val="en-US"/>
              </w:rPr>
            </w:pPr>
            <w:r w:rsidRPr="00B153EB">
              <w:rPr>
                <w:rFonts w:ascii="Calibri" w:eastAsia="Times New Roman" w:hAnsi="Calibri" w:cstheme="minorHAnsi"/>
                <w:color w:val="000000"/>
                <w:sz w:val="20"/>
                <w:szCs w:val="20"/>
              </w:rPr>
              <w:t xml:space="preserve">Jul. </w:t>
            </w:r>
          </w:p>
        </w:tc>
        <w:tc>
          <w:tcPr>
            <w:tcW w:w="215" w:type="pct"/>
            <w:tcBorders>
              <w:top w:val="nil"/>
              <w:left w:val="nil"/>
              <w:bottom w:val="single" w:sz="4" w:space="0" w:color="auto"/>
              <w:right w:val="single" w:sz="4" w:space="0" w:color="auto"/>
            </w:tcBorders>
            <w:shd w:val="clear" w:color="auto" w:fill="auto"/>
            <w:hideMark/>
          </w:tcPr>
          <w:p w14:paraId="5E9DA5E5" w14:textId="77777777" w:rsidR="00B153EB" w:rsidRPr="00B153EB" w:rsidRDefault="00B153EB" w:rsidP="003A2CCC">
            <w:pPr>
              <w:spacing w:after="0"/>
              <w:jc w:val="left"/>
              <w:rPr>
                <w:rFonts w:ascii="Calibri" w:eastAsia="Times New Roman" w:hAnsi="Calibri" w:cs="Calibri"/>
                <w:color w:val="000000"/>
                <w:sz w:val="20"/>
                <w:szCs w:val="20"/>
                <w:lang w:val="en-US"/>
              </w:rPr>
            </w:pPr>
            <w:r w:rsidRPr="00B153EB">
              <w:rPr>
                <w:rFonts w:ascii="Calibri" w:eastAsia="Times New Roman" w:hAnsi="Calibri" w:cstheme="minorHAnsi"/>
                <w:color w:val="000000"/>
                <w:sz w:val="20"/>
                <w:szCs w:val="20"/>
              </w:rPr>
              <w:t> </w:t>
            </w:r>
          </w:p>
        </w:tc>
        <w:tc>
          <w:tcPr>
            <w:tcW w:w="216" w:type="pct"/>
            <w:tcBorders>
              <w:top w:val="nil"/>
              <w:left w:val="nil"/>
              <w:bottom w:val="single" w:sz="4" w:space="0" w:color="auto"/>
              <w:right w:val="single" w:sz="4" w:space="0" w:color="auto"/>
            </w:tcBorders>
            <w:shd w:val="clear" w:color="000000" w:fill="AEAAAA"/>
            <w:hideMark/>
          </w:tcPr>
          <w:p w14:paraId="60F21D3A" w14:textId="77777777" w:rsidR="00B153EB" w:rsidRPr="00B153EB" w:rsidRDefault="00B153EB" w:rsidP="003A2CCC">
            <w:pPr>
              <w:spacing w:after="0"/>
              <w:jc w:val="left"/>
              <w:rPr>
                <w:rFonts w:ascii="Calibri" w:eastAsia="Times New Roman" w:hAnsi="Calibri" w:cs="Calibri"/>
                <w:color w:val="000000"/>
                <w:sz w:val="20"/>
                <w:szCs w:val="20"/>
                <w:lang w:val="en-US"/>
              </w:rPr>
            </w:pPr>
            <w:r w:rsidRPr="00B153EB">
              <w:rPr>
                <w:rFonts w:ascii="Calibri" w:eastAsia="Times New Roman" w:hAnsi="Calibri" w:cstheme="minorHAnsi"/>
                <w:color w:val="000000"/>
                <w:sz w:val="20"/>
                <w:szCs w:val="20"/>
              </w:rPr>
              <w:t>Jan.</w:t>
            </w:r>
          </w:p>
        </w:tc>
        <w:tc>
          <w:tcPr>
            <w:tcW w:w="215" w:type="pct"/>
            <w:tcBorders>
              <w:top w:val="nil"/>
              <w:left w:val="nil"/>
              <w:bottom w:val="single" w:sz="4" w:space="0" w:color="auto"/>
              <w:right w:val="single" w:sz="4" w:space="0" w:color="auto"/>
            </w:tcBorders>
            <w:shd w:val="clear" w:color="auto" w:fill="auto"/>
            <w:hideMark/>
          </w:tcPr>
          <w:p w14:paraId="43582E82" w14:textId="77777777" w:rsidR="00B153EB" w:rsidRPr="00B153EB" w:rsidRDefault="00B153EB" w:rsidP="003A2CCC">
            <w:pPr>
              <w:spacing w:after="0"/>
              <w:jc w:val="left"/>
              <w:rPr>
                <w:rFonts w:ascii="Calibri" w:eastAsia="Times New Roman" w:hAnsi="Calibri" w:cs="Calibri"/>
                <w:color w:val="000000"/>
                <w:sz w:val="20"/>
                <w:szCs w:val="20"/>
                <w:lang w:val="en-US"/>
              </w:rPr>
            </w:pPr>
            <w:r w:rsidRPr="00B153EB">
              <w:rPr>
                <w:rFonts w:ascii="Calibri" w:eastAsia="Times New Roman" w:hAnsi="Calibri" w:cstheme="minorHAnsi"/>
                <w:color w:val="000000"/>
                <w:sz w:val="20"/>
                <w:szCs w:val="20"/>
              </w:rPr>
              <w:t> </w:t>
            </w:r>
          </w:p>
        </w:tc>
        <w:tc>
          <w:tcPr>
            <w:tcW w:w="224" w:type="pct"/>
            <w:tcBorders>
              <w:top w:val="nil"/>
              <w:left w:val="nil"/>
              <w:bottom w:val="single" w:sz="4" w:space="0" w:color="auto"/>
              <w:right w:val="single" w:sz="4" w:space="0" w:color="auto"/>
            </w:tcBorders>
            <w:shd w:val="clear" w:color="000000" w:fill="AEAAAA"/>
            <w:hideMark/>
          </w:tcPr>
          <w:p w14:paraId="28FD1568" w14:textId="77777777" w:rsidR="00B153EB" w:rsidRPr="00B153EB" w:rsidRDefault="00B153EB" w:rsidP="003A2CCC">
            <w:pPr>
              <w:spacing w:after="0"/>
              <w:jc w:val="left"/>
              <w:rPr>
                <w:rFonts w:ascii="Calibri" w:eastAsia="Times New Roman" w:hAnsi="Calibri" w:cs="Calibri"/>
                <w:color w:val="000000"/>
                <w:sz w:val="20"/>
                <w:szCs w:val="20"/>
                <w:lang w:val="en-US"/>
              </w:rPr>
            </w:pPr>
            <w:r w:rsidRPr="00B153EB">
              <w:rPr>
                <w:rFonts w:ascii="Calibri" w:eastAsia="Times New Roman" w:hAnsi="Calibri" w:cstheme="minorHAnsi"/>
                <w:color w:val="000000"/>
                <w:sz w:val="20"/>
                <w:szCs w:val="20"/>
              </w:rPr>
              <w:t xml:space="preserve">Jul. </w:t>
            </w:r>
          </w:p>
        </w:tc>
        <w:tc>
          <w:tcPr>
            <w:tcW w:w="215" w:type="pct"/>
            <w:tcBorders>
              <w:top w:val="nil"/>
              <w:left w:val="nil"/>
              <w:bottom w:val="single" w:sz="4" w:space="0" w:color="auto"/>
              <w:right w:val="single" w:sz="4" w:space="0" w:color="auto"/>
            </w:tcBorders>
            <w:shd w:val="clear" w:color="auto" w:fill="auto"/>
            <w:hideMark/>
          </w:tcPr>
          <w:p w14:paraId="102B0B01" w14:textId="77777777" w:rsidR="00B153EB" w:rsidRPr="00B153EB" w:rsidRDefault="00B153EB" w:rsidP="003A2CCC">
            <w:pPr>
              <w:spacing w:after="0"/>
              <w:jc w:val="left"/>
              <w:rPr>
                <w:rFonts w:ascii="Calibri" w:eastAsia="Times New Roman" w:hAnsi="Calibri" w:cs="Calibri"/>
                <w:color w:val="000000"/>
                <w:sz w:val="20"/>
                <w:szCs w:val="20"/>
                <w:lang w:val="en-US"/>
              </w:rPr>
            </w:pPr>
            <w:r w:rsidRPr="00B153EB">
              <w:rPr>
                <w:rFonts w:ascii="Calibri" w:eastAsia="Times New Roman" w:hAnsi="Calibri" w:cstheme="minorHAnsi"/>
                <w:color w:val="000000"/>
                <w:sz w:val="20"/>
                <w:szCs w:val="20"/>
              </w:rPr>
              <w:t> </w:t>
            </w:r>
          </w:p>
        </w:tc>
        <w:tc>
          <w:tcPr>
            <w:tcW w:w="216" w:type="pct"/>
            <w:tcBorders>
              <w:top w:val="nil"/>
              <w:left w:val="nil"/>
              <w:bottom w:val="single" w:sz="4" w:space="0" w:color="auto"/>
              <w:right w:val="single" w:sz="4" w:space="0" w:color="auto"/>
            </w:tcBorders>
            <w:shd w:val="clear" w:color="000000" w:fill="AEAAAA"/>
            <w:hideMark/>
          </w:tcPr>
          <w:p w14:paraId="5E51DF22" w14:textId="77777777" w:rsidR="00B153EB" w:rsidRPr="00B153EB" w:rsidRDefault="00B153EB" w:rsidP="003A2CCC">
            <w:pPr>
              <w:spacing w:after="0"/>
              <w:jc w:val="left"/>
              <w:rPr>
                <w:rFonts w:ascii="Calibri" w:eastAsia="Times New Roman" w:hAnsi="Calibri" w:cs="Calibri"/>
                <w:color w:val="000000"/>
                <w:sz w:val="20"/>
                <w:szCs w:val="20"/>
                <w:lang w:val="en-US"/>
              </w:rPr>
            </w:pPr>
            <w:r w:rsidRPr="00B153EB">
              <w:rPr>
                <w:rFonts w:ascii="Calibri" w:eastAsia="Times New Roman" w:hAnsi="Calibri" w:cstheme="minorHAnsi"/>
                <w:color w:val="000000"/>
                <w:sz w:val="20"/>
                <w:szCs w:val="20"/>
              </w:rPr>
              <w:t>Jan.</w:t>
            </w:r>
          </w:p>
        </w:tc>
        <w:tc>
          <w:tcPr>
            <w:tcW w:w="215" w:type="pct"/>
            <w:tcBorders>
              <w:top w:val="nil"/>
              <w:left w:val="nil"/>
              <w:bottom w:val="single" w:sz="4" w:space="0" w:color="auto"/>
              <w:right w:val="single" w:sz="4" w:space="0" w:color="auto"/>
            </w:tcBorders>
            <w:shd w:val="clear" w:color="auto" w:fill="auto"/>
            <w:hideMark/>
          </w:tcPr>
          <w:p w14:paraId="05E9F6EB" w14:textId="77777777" w:rsidR="00B153EB" w:rsidRPr="00B153EB" w:rsidRDefault="00B153EB" w:rsidP="003A2CCC">
            <w:pPr>
              <w:spacing w:after="0"/>
              <w:jc w:val="left"/>
              <w:rPr>
                <w:rFonts w:ascii="Calibri" w:eastAsia="Times New Roman" w:hAnsi="Calibri" w:cs="Calibri"/>
                <w:color w:val="000000"/>
                <w:sz w:val="20"/>
                <w:szCs w:val="20"/>
                <w:lang w:val="en-US"/>
              </w:rPr>
            </w:pPr>
            <w:r w:rsidRPr="00B153EB">
              <w:rPr>
                <w:rFonts w:ascii="Calibri" w:eastAsia="Times New Roman" w:hAnsi="Calibri" w:cstheme="minorHAnsi"/>
                <w:color w:val="000000"/>
                <w:sz w:val="20"/>
                <w:szCs w:val="20"/>
              </w:rPr>
              <w:t> </w:t>
            </w:r>
          </w:p>
        </w:tc>
      </w:tr>
      <w:tr w:rsidR="00B153EB" w:rsidRPr="00B153EB" w14:paraId="46DD621B" w14:textId="77777777" w:rsidTr="0061262A">
        <w:trPr>
          <w:trHeight w:val="300"/>
        </w:trPr>
        <w:tc>
          <w:tcPr>
            <w:tcW w:w="1528" w:type="pct"/>
            <w:tcBorders>
              <w:top w:val="nil"/>
              <w:left w:val="single" w:sz="4" w:space="0" w:color="auto"/>
              <w:bottom w:val="single" w:sz="4" w:space="0" w:color="auto"/>
              <w:right w:val="single" w:sz="4" w:space="0" w:color="auto"/>
            </w:tcBorders>
            <w:shd w:val="clear" w:color="auto" w:fill="auto"/>
            <w:hideMark/>
          </w:tcPr>
          <w:p w14:paraId="016DC0D6" w14:textId="77777777" w:rsidR="00B153EB" w:rsidRPr="00B153EB" w:rsidRDefault="00B153EB" w:rsidP="003A2CCC">
            <w:pPr>
              <w:spacing w:after="0"/>
              <w:jc w:val="left"/>
              <w:rPr>
                <w:rFonts w:ascii="Calibri" w:eastAsia="Times New Roman" w:hAnsi="Calibri" w:cs="Calibri"/>
                <w:color w:val="000000"/>
                <w:sz w:val="20"/>
                <w:szCs w:val="20"/>
                <w:lang w:val="en-US"/>
              </w:rPr>
            </w:pPr>
            <w:r w:rsidRPr="00B153EB">
              <w:rPr>
                <w:rFonts w:ascii="Calibri" w:eastAsia="Times New Roman" w:hAnsi="Calibri" w:cstheme="minorHAnsi"/>
                <w:color w:val="000000"/>
                <w:sz w:val="20"/>
                <w:szCs w:val="20"/>
              </w:rPr>
              <w:t>Mid-term Review</w:t>
            </w:r>
          </w:p>
        </w:tc>
        <w:tc>
          <w:tcPr>
            <w:tcW w:w="216" w:type="pct"/>
            <w:tcBorders>
              <w:top w:val="nil"/>
              <w:left w:val="nil"/>
              <w:bottom w:val="single" w:sz="4" w:space="0" w:color="auto"/>
              <w:right w:val="single" w:sz="4" w:space="0" w:color="auto"/>
            </w:tcBorders>
            <w:shd w:val="clear" w:color="auto" w:fill="auto"/>
            <w:hideMark/>
          </w:tcPr>
          <w:p w14:paraId="6A8B8238" w14:textId="77777777" w:rsidR="00B153EB" w:rsidRPr="00B153EB" w:rsidRDefault="00B153EB" w:rsidP="003A2CCC">
            <w:pPr>
              <w:spacing w:after="0"/>
              <w:jc w:val="left"/>
              <w:rPr>
                <w:rFonts w:ascii="Calibri" w:eastAsia="Times New Roman" w:hAnsi="Calibri" w:cs="Calibri"/>
                <w:color w:val="000000"/>
                <w:sz w:val="20"/>
                <w:szCs w:val="20"/>
                <w:lang w:val="en-US"/>
              </w:rPr>
            </w:pPr>
            <w:r w:rsidRPr="00B153EB">
              <w:rPr>
                <w:rFonts w:ascii="Calibri" w:eastAsia="Times New Roman" w:hAnsi="Calibri" w:cstheme="minorHAnsi"/>
                <w:color w:val="000000"/>
                <w:sz w:val="20"/>
                <w:szCs w:val="20"/>
              </w:rPr>
              <w:t> </w:t>
            </w:r>
          </w:p>
        </w:tc>
        <w:tc>
          <w:tcPr>
            <w:tcW w:w="215" w:type="pct"/>
            <w:tcBorders>
              <w:top w:val="nil"/>
              <w:left w:val="nil"/>
              <w:bottom w:val="single" w:sz="4" w:space="0" w:color="auto"/>
              <w:right w:val="single" w:sz="4" w:space="0" w:color="auto"/>
            </w:tcBorders>
            <w:shd w:val="clear" w:color="auto" w:fill="auto"/>
            <w:hideMark/>
          </w:tcPr>
          <w:p w14:paraId="050F8C32" w14:textId="77777777" w:rsidR="00B153EB" w:rsidRPr="00B153EB" w:rsidRDefault="00B153EB" w:rsidP="003A2CCC">
            <w:pPr>
              <w:spacing w:after="0"/>
              <w:jc w:val="left"/>
              <w:rPr>
                <w:rFonts w:ascii="Calibri" w:eastAsia="Times New Roman" w:hAnsi="Calibri" w:cs="Calibri"/>
                <w:color w:val="000000"/>
                <w:sz w:val="20"/>
                <w:szCs w:val="20"/>
                <w:lang w:val="en-US"/>
              </w:rPr>
            </w:pPr>
            <w:r w:rsidRPr="00B153EB">
              <w:rPr>
                <w:rFonts w:ascii="Calibri" w:eastAsia="Times New Roman" w:hAnsi="Calibri" w:cstheme="minorHAnsi"/>
                <w:color w:val="000000"/>
                <w:sz w:val="20"/>
                <w:szCs w:val="20"/>
              </w:rPr>
              <w:t> </w:t>
            </w:r>
          </w:p>
        </w:tc>
        <w:tc>
          <w:tcPr>
            <w:tcW w:w="216" w:type="pct"/>
            <w:tcBorders>
              <w:top w:val="nil"/>
              <w:left w:val="nil"/>
              <w:bottom w:val="single" w:sz="4" w:space="0" w:color="auto"/>
              <w:right w:val="single" w:sz="4" w:space="0" w:color="auto"/>
            </w:tcBorders>
            <w:shd w:val="clear" w:color="auto" w:fill="auto"/>
            <w:hideMark/>
          </w:tcPr>
          <w:p w14:paraId="4081FDAE" w14:textId="77777777" w:rsidR="00B153EB" w:rsidRPr="00B153EB" w:rsidRDefault="00B153EB" w:rsidP="003A2CCC">
            <w:pPr>
              <w:spacing w:after="0"/>
              <w:jc w:val="left"/>
              <w:rPr>
                <w:rFonts w:ascii="Calibri" w:eastAsia="Times New Roman" w:hAnsi="Calibri" w:cs="Calibri"/>
                <w:color w:val="000000"/>
                <w:sz w:val="20"/>
                <w:szCs w:val="20"/>
                <w:lang w:val="en-US"/>
              </w:rPr>
            </w:pPr>
            <w:r w:rsidRPr="00B153EB">
              <w:rPr>
                <w:rFonts w:ascii="Calibri" w:eastAsia="Times New Roman" w:hAnsi="Calibri" w:cstheme="minorHAnsi"/>
                <w:color w:val="000000"/>
                <w:sz w:val="20"/>
                <w:szCs w:val="20"/>
              </w:rPr>
              <w:t> </w:t>
            </w:r>
          </w:p>
        </w:tc>
        <w:tc>
          <w:tcPr>
            <w:tcW w:w="215" w:type="pct"/>
            <w:tcBorders>
              <w:top w:val="nil"/>
              <w:left w:val="nil"/>
              <w:bottom w:val="single" w:sz="4" w:space="0" w:color="auto"/>
              <w:right w:val="single" w:sz="4" w:space="0" w:color="auto"/>
            </w:tcBorders>
            <w:shd w:val="clear" w:color="auto" w:fill="auto"/>
            <w:hideMark/>
          </w:tcPr>
          <w:p w14:paraId="55EDD9CC" w14:textId="77777777" w:rsidR="00B153EB" w:rsidRPr="00B153EB" w:rsidRDefault="00B153EB" w:rsidP="003A2CCC">
            <w:pPr>
              <w:spacing w:after="0"/>
              <w:jc w:val="left"/>
              <w:rPr>
                <w:rFonts w:ascii="Calibri" w:eastAsia="Times New Roman" w:hAnsi="Calibri" w:cs="Calibri"/>
                <w:color w:val="000000"/>
                <w:sz w:val="20"/>
                <w:szCs w:val="20"/>
                <w:lang w:val="en-US"/>
              </w:rPr>
            </w:pPr>
            <w:r w:rsidRPr="00B153EB">
              <w:rPr>
                <w:rFonts w:ascii="Calibri" w:eastAsia="Times New Roman" w:hAnsi="Calibri" w:cstheme="minorHAnsi"/>
                <w:color w:val="000000"/>
                <w:sz w:val="20"/>
                <w:szCs w:val="20"/>
              </w:rPr>
              <w:t> </w:t>
            </w:r>
          </w:p>
        </w:tc>
        <w:tc>
          <w:tcPr>
            <w:tcW w:w="224" w:type="pct"/>
            <w:tcBorders>
              <w:top w:val="nil"/>
              <w:left w:val="nil"/>
              <w:bottom w:val="single" w:sz="4" w:space="0" w:color="auto"/>
              <w:right w:val="single" w:sz="4" w:space="0" w:color="auto"/>
            </w:tcBorders>
            <w:shd w:val="clear" w:color="auto" w:fill="auto"/>
            <w:hideMark/>
          </w:tcPr>
          <w:p w14:paraId="20C93BEE" w14:textId="77777777" w:rsidR="00B153EB" w:rsidRPr="00B153EB" w:rsidRDefault="00B153EB" w:rsidP="003A2CCC">
            <w:pPr>
              <w:spacing w:after="0"/>
              <w:jc w:val="left"/>
              <w:rPr>
                <w:rFonts w:ascii="Calibri" w:eastAsia="Times New Roman" w:hAnsi="Calibri" w:cs="Calibri"/>
                <w:color w:val="000000"/>
                <w:sz w:val="20"/>
                <w:szCs w:val="20"/>
                <w:lang w:val="en-US"/>
              </w:rPr>
            </w:pPr>
            <w:r w:rsidRPr="00B153EB">
              <w:rPr>
                <w:rFonts w:ascii="Calibri" w:eastAsia="Times New Roman" w:hAnsi="Calibri" w:cstheme="minorHAnsi"/>
                <w:color w:val="000000"/>
                <w:sz w:val="20"/>
                <w:szCs w:val="20"/>
              </w:rPr>
              <w:t> </w:t>
            </w:r>
          </w:p>
        </w:tc>
        <w:tc>
          <w:tcPr>
            <w:tcW w:w="215" w:type="pct"/>
            <w:tcBorders>
              <w:top w:val="nil"/>
              <w:left w:val="nil"/>
              <w:bottom w:val="single" w:sz="4" w:space="0" w:color="auto"/>
              <w:right w:val="single" w:sz="4" w:space="0" w:color="auto"/>
            </w:tcBorders>
            <w:shd w:val="clear" w:color="auto" w:fill="auto"/>
            <w:hideMark/>
          </w:tcPr>
          <w:p w14:paraId="630CE49D" w14:textId="77777777" w:rsidR="00B153EB" w:rsidRPr="00B153EB" w:rsidRDefault="00B153EB" w:rsidP="003A2CCC">
            <w:pPr>
              <w:spacing w:after="0"/>
              <w:jc w:val="left"/>
              <w:rPr>
                <w:rFonts w:ascii="Calibri" w:eastAsia="Times New Roman" w:hAnsi="Calibri" w:cs="Calibri"/>
                <w:color w:val="000000"/>
                <w:sz w:val="20"/>
                <w:szCs w:val="20"/>
                <w:lang w:val="en-US"/>
              </w:rPr>
            </w:pPr>
            <w:r w:rsidRPr="00B153EB">
              <w:rPr>
                <w:rFonts w:ascii="Calibri" w:eastAsia="Times New Roman" w:hAnsi="Calibri" w:cstheme="minorHAnsi"/>
                <w:color w:val="000000"/>
                <w:sz w:val="20"/>
                <w:szCs w:val="20"/>
              </w:rPr>
              <w:t> </w:t>
            </w:r>
          </w:p>
        </w:tc>
        <w:tc>
          <w:tcPr>
            <w:tcW w:w="216" w:type="pct"/>
            <w:tcBorders>
              <w:top w:val="nil"/>
              <w:left w:val="nil"/>
              <w:bottom w:val="single" w:sz="4" w:space="0" w:color="auto"/>
              <w:right w:val="single" w:sz="4" w:space="0" w:color="auto"/>
            </w:tcBorders>
            <w:shd w:val="clear" w:color="000000" w:fill="AEAAAA"/>
            <w:hideMark/>
          </w:tcPr>
          <w:p w14:paraId="00AB3BFF" w14:textId="77777777" w:rsidR="00B153EB" w:rsidRPr="00B153EB" w:rsidRDefault="00B153EB" w:rsidP="003A2CCC">
            <w:pPr>
              <w:spacing w:after="0"/>
              <w:jc w:val="left"/>
              <w:rPr>
                <w:rFonts w:ascii="Calibri" w:eastAsia="Times New Roman" w:hAnsi="Calibri" w:cs="Calibri"/>
                <w:color w:val="000000"/>
                <w:sz w:val="20"/>
                <w:szCs w:val="20"/>
                <w:lang w:val="en-US"/>
              </w:rPr>
            </w:pPr>
            <w:r w:rsidRPr="00B153EB">
              <w:rPr>
                <w:rFonts w:ascii="Calibri" w:eastAsia="Times New Roman" w:hAnsi="Calibri" w:cs="Calibri"/>
                <w:color w:val="000000"/>
                <w:sz w:val="20"/>
                <w:szCs w:val="20"/>
                <w:lang w:val="en-US"/>
              </w:rPr>
              <w:t> </w:t>
            </w:r>
          </w:p>
        </w:tc>
        <w:tc>
          <w:tcPr>
            <w:tcW w:w="215" w:type="pct"/>
            <w:tcBorders>
              <w:top w:val="nil"/>
              <w:left w:val="nil"/>
              <w:bottom w:val="single" w:sz="4" w:space="0" w:color="auto"/>
              <w:right w:val="single" w:sz="4" w:space="0" w:color="auto"/>
            </w:tcBorders>
            <w:shd w:val="clear" w:color="000000" w:fill="AEAAAA"/>
            <w:hideMark/>
          </w:tcPr>
          <w:p w14:paraId="44295AC3" w14:textId="77777777" w:rsidR="00B153EB" w:rsidRPr="00B153EB" w:rsidRDefault="00B153EB" w:rsidP="003A2CCC">
            <w:pPr>
              <w:spacing w:after="0"/>
              <w:jc w:val="left"/>
              <w:rPr>
                <w:rFonts w:ascii="Calibri" w:eastAsia="Times New Roman" w:hAnsi="Calibri" w:cs="Calibri"/>
                <w:color w:val="000000"/>
                <w:sz w:val="20"/>
                <w:szCs w:val="20"/>
                <w:lang w:val="en-US"/>
              </w:rPr>
            </w:pPr>
            <w:r w:rsidRPr="00B153EB">
              <w:rPr>
                <w:rFonts w:ascii="Calibri" w:eastAsia="Times New Roman" w:hAnsi="Calibri" w:cstheme="minorHAnsi"/>
                <w:color w:val="000000"/>
                <w:sz w:val="20"/>
                <w:szCs w:val="20"/>
              </w:rPr>
              <w:t> </w:t>
            </w:r>
          </w:p>
        </w:tc>
        <w:tc>
          <w:tcPr>
            <w:tcW w:w="224" w:type="pct"/>
            <w:tcBorders>
              <w:top w:val="nil"/>
              <w:left w:val="nil"/>
              <w:bottom w:val="single" w:sz="4" w:space="0" w:color="auto"/>
              <w:right w:val="single" w:sz="4" w:space="0" w:color="auto"/>
            </w:tcBorders>
            <w:shd w:val="clear" w:color="000000" w:fill="AEAAAA"/>
            <w:hideMark/>
          </w:tcPr>
          <w:p w14:paraId="018BBC5E" w14:textId="77777777" w:rsidR="00B153EB" w:rsidRPr="00B153EB" w:rsidRDefault="00B153EB" w:rsidP="003A2CCC">
            <w:pPr>
              <w:spacing w:after="0"/>
              <w:jc w:val="left"/>
              <w:rPr>
                <w:rFonts w:ascii="Calibri" w:eastAsia="Times New Roman" w:hAnsi="Calibri" w:cs="Calibri"/>
                <w:color w:val="000000"/>
                <w:sz w:val="20"/>
                <w:szCs w:val="20"/>
                <w:lang w:val="en-US"/>
              </w:rPr>
            </w:pPr>
            <w:r w:rsidRPr="00B153EB">
              <w:rPr>
                <w:rFonts w:ascii="Calibri" w:eastAsia="Times New Roman" w:hAnsi="Calibri" w:cstheme="minorHAnsi"/>
                <w:color w:val="000000"/>
                <w:sz w:val="20"/>
                <w:szCs w:val="20"/>
              </w:rPr>
              <w:t> </w:t>
            </w:r>
          </w:p>
        </w:tc>
        <w:tc>
          <w:tcPr>
            <w:tcW w:w="215" w:type="pct"/>
            <w:tcBorders>
              <w:top w:val="nil"/>
              <w:left w:val="nil"/>
              <w:bottom w:val="single" w:sz="4" w:space="0" w:color="auto"/>
              <w:right w:val="single" w:sz="4" w:space="0" w:color="auto"/>
            </w:tcBorders>
            <w:shd w:val="clear" w:color="000000" w:fill="AEAAAA"/>
            <w:hideMark/>
          </w:tcPr>
          <w:p w14:paraId="68C612B3" w14:textId="77777777" w:rsidR="00B153EB" w:rsidRPr="00B153EB" w:rsidRDefault="00B153EB" w:rsidP="003A2CCC">
            <w:pPr>
              <w:spacing w:after="0"/>
              <w:jc w:val="left"/>
              <w:rPr>
                <w:rFonts w:ascii="Calibri" w:eastAsia="Times New Roman" w:hAnsi="Calibri" w:cs="Calibri"/>
                <w:color w:val="000000"/>
                <w:sz w:val="20"/>
                <w:szCs w:val="20"/>
                <w:lang w:val="en-US"/>
              </w:rPr>
            </w:pPr>
            <w:r w:rsidRPr="00B153EB">
              <w:rPr>
                <w:rFonts w:ascii="Calibri" w:eastAsia="Times New Roman" w:hAnsi="Calibri" w:cstheme="minorHAnsi"/>
                <w:color w:val="000000"/>
                <w:sz w:val="20"/>
                <w:szCs w:val="20"/>
              </w:rPr>
              <w:t> </w:t>
            </w:r>
          </w:p>
        </w:tc>
        <w:tc>
          <w:tcPr>
            <w:tcW w:w="216" w:type="pct"/>
            <w:tcBorders>
              <w:top w:val="nil"/>
              <w:left w:val="nil"/>
              <w:bottom w:val="single" w:sz="4" w:space="0" w:color="auto"/>
              <w:right w:val="single" w:sz="4" w:space="0" w:color="auto"/>
            </w:tcBorders>
            <w:shd w:val="clear" w:color="auto" w:fill="auto"/>
            <w:hideMark/>
          </w:tcPr>
          <w:p w14:paraId="11C851D8" w14:textId="77777777" w:rsidR="00B153EB" w:rsidRPr="00B153EB" w:rsidRDefault="00B153EB" w:rsidP="003A2CCC">
            <w:pPr>
              <w:spacing w:after="0"/>
              <w:jc w:val="left"/>
              <w:rPr>
                <w:rFonts w:ascii="Calibri" w:eastAsia="Times New Roman" w:hAnsi="Calibri" w:cs="Calibri"/>
                <w:color w:val="000000"/>
                <w:sz w:val="20"/>
                <w:szCs w:val="20"/>
                <w:lang w:val="en-US"/>
              </w:rPr>
            </w:pPr>
            <w:r w:rsidRPr="00B153EB">
              <w:rPr>
                <w:rFonts w:ascii="Calibri" w:eastAsia="Times New Roman" w:hAnsi="Calibri" w:cstheme="minorHAnsi"/>
                <w:color w:val="000000"/>
                <w:sz w:val="20"/>
                <w:szCs w:val="20"/>
              </w:rPr>
              <w:t> </w:t>
            </w:r>
          </w:p>
        </w:tc>
        <w:tc>
          <w:tcPr>
            <w:tcW w:w="215" w:type="pct"/>
            <w:tcBorders>
              <w:top w:val="nil"/>
              <w:left w:val="nil"/>
              <w:bottom w:val="single" w:sz="4" w:space="0" w:color="auto"/>
              <w:right w:val="single" w:sz="4" w:space="0" w:color="auto"/>
            </w:tcBorders>
            <w:shd w:val="clear" w:color="auto" w:fill="auto"/>
            <w:hideMark/>
          </w:tcPr>
          <w:p w14:paraId="4CF8913A" w14:textId="77777777" w:rsidR="00B153EB" w:rsidRPr="00B153EB" w:rsidRDefault="00B153EB" w:rsidP="003A2CCC">
            <w:pPr>
              <w:spacing w:after="0"/>
              <w:jc w:val="left"/>
              <w:rPr>
                <w:rFonts w:ascii="Calibri" w:eastAsia="Times New Roman" w:hAnsi="Calibri" w:cs="Calibri"/>
                <w:color w:val="000000"/>
                <w:sz w:val="20"/>
                <w:szCs w:val="20"/>
                <w:lang w:val="en-US"/>
              </w:rPr>
            </w:pPr>
            <w:r w:rsidRPr="00B153EB">
              <w:rPr>
                <w:rFonts w:ascii="Calibri" w:eastAsia="Times New Roman" w:hAnsi="Calibri" w:cstheme="minorHAnsi"/>
                <w:color w:val="000000"/>
                <w:sz w:val="20"/>
                <w:szCs w:val="20"/>
              </w:rPr>
              <w:t> </w:t>
            </w:r>
          </w:p>
        </w:tc>
        <w:tc>
          <w:tcPr>
            <w:tcW w:w="224" w:type="pct"/>
            <w:tcBorders>
              <w:top w:val="nil"/>
              <w:left w:val="nil"/>
              <w:bottom w:val="single" w:sz="4" w:space="0" w:color="auto"/>
              <w:right w:val="single" w:sz="4" w:space="0" w:color="auto"/>
            </w:tcBorders>
            <w:shd w:val="clear" w:color="auto" w:fill="auto"/>
            <w:hideMark/>
          </w:tcPr>
          <w:p w14:paraId="76E83C07" w14:textId="77777777" w:rsidR="00B153EB" w:rsidRPr="00B153EB" w:rsidRDefault="00B153EB" w:rsidP="003A2CCC">
            <w:pPr>
              <w:spacing w:after="0"/>
              <w:jc w:val="left"/>
              <w:rPr>
                <w:rFonts w:ascii="Calibri" w:eastAsia="Times New Roman" w:hAnsi="Calibri" w:cs="Calibri"/>
                <w:color w:val="000000"/>
                <w:sz w:val="20"/>
                <w:szCs w:val="20"/>
                <w:lang w:val="en-US"/>
              </w:rPr>
            </w:pPr>
            <w:r w:rsidRPr="00B153EB">
              <w:rPr>
                <w:rFonts w:ascii="Calibri" w:eastAsia="Times New Roman" w:hAnsi="Calibri" w:cstheme="minorHAnsi"/>
                <w:color w:val="000000"/>
                <w:sz w:val="20"/>
                <w:szCs w:val="20"/>
              </w:rPr>
              <w:t> </w:t>
            </w:r>
          </w:p>
        </w:tc>
        <w:tc>
          <w:tcPr>
            <w:tcW w:w="215" w:type="pct"/>
            <w:tcBorders>
              <w:top w:val="nil"/>
              <w:left w:val="nil"/>
              <w:bottom w:val="single" w:sz="4" w:space="0" w:color="auto"/>
              <w:right w:val="single" w:sz="4" w:space="0" w:color="auto"/>
            </w:tcBorders>
            <w:shd w:val="clear" w:color="auto" w:fill="auto"/>
            <w:hideMark/>
          </w:tcPr>
          <w:p w14:paraId="4653D034" w14:textId="77777777" w:rsidR="00B153EB" w:rsidRPr="00B153EB" w:rsidRDefault="00B153EB" w:rsidP="003A2CCC">
            <w:pPr>
              <w:spacing w:after="0"/>
              <w:jc w:val="left"/>
              <w:rPr>
                <w:rFonts w:ascii="Calibri" w:eastAsia="Times New Roman" w:hAnsi="Calibri" w:cs="Calibri"/>
                <w:color w:val="000000"/>
                <w:sz w:val="20"/>
                <w:szCs w:val="20"/>
                <w:lang w:val="en-US"/>
              </w:rPr>
            </w:pPr>
            <w:r w:rsidRPr="00B153EB">
              <w:rPr>
                <w:rFonts w:ascii="Calibri" w:eastAsia="Times New Roman" w:hAnsi="Calibri" w:cstheme="minorHAnsi"/>
                <w:color w:val="000000"/>
                <w:sz w:val="20"/>
                <w:szCs w:val="20"/>
              </w:rPr>
              <w:t> </w:t>
            </w:r>
          </w:p>
        </w:tc>
        <w:tc>
          <w:tcPr>
            <w:tcW w:w="216" w:type="pct"/>
            <w:tcBorders>
              <w:top w:val="nil"/>
              <w:left w:val="nil"/>
              <w:bottom w:val="single" w:sz="4" w:space="0" w:color="auto"/>
              <w:right w:val="single" w:sz="4" w:space="0" w:color="auto"/>
            </w:tcBorders>
            <w:shd w:val="clear" w:color="auto" w:fill="auto"/>
            <w:hideMark/>
          </w:tcPr>
          <w:p w14:paraId="186737E1" w14:textId="77777777" w:rsidR="00B153EB" w:rsidRPr="00B153EB" w:rsidRDefault="00B153EB" w:rsidP="003A2CCC">
            <w:pPr>
              <w:spacing w:after="0"/>
              <w:jc w:val="left"/>
              <w:rPr>
                <w:rFonts w:ascii="Calibri" w:eastAsia="Times New Roman" w:hAnsi="Calibri" w:cs="Calibri"/>
                <w:color w:val="000000"/>
                <w:sz w:val="20"/>
                <w:szCs w:val="20"/>
                <w:lang w:val="en-US"/>
              </w:rPr>
            </w:pPr>
            <w:r w:rsidRPr="00B153EB">
              <w:rPr>
                <w:rFonts w:ascii="Calibri" w:eastAsia="Times New Roman" w:hAnsi="Calibri" w:cstheme="minorHAnsi"/>
                <w:color w:val="000000"/>
                <w:sz w:val="20"/>
                <w:szCs w:val="20"/>
              </w:rPr>
              <w:t> </w:t>
            </w:r>
          </w:p>
        </w:tc>
        <w:tc>
          <w:tcPr>
            <w:tcW w:w="215" w:type="pct"/>
            <w:tcBorders>
              <w:top w:val="nil"/>
              <w:left w:val="nil"/>
              <w:bottom w:val="single" w:sz="4" w:space="0" w:color="auto"/>
              <w:right w:val="single" w:sz="4" w:space="0" w:color="auto"/>
            </w:tcBorders>
            <w:shd w:val="clear" w:color="auto" w:fill="auto"/>
            <w:hideMark/>
          </w:tcPr>
          <w:p w14:paraId="4AD7762C" w14:textId="77777777" w:rsidR="00B153EB" w:rsidRPr="00B153EB" w:rsidRDefault="00B153EB" w:rsidP="003A2CCC">
            <w:pPr>
              <w:spacing w:after="0"/>
              <w:jc w:val="left"/>
              <w:rPr>
                <w:rFonts w:ascii="Calibri" w:eastAsia="Times New Roman" w:hAnsi="Calibri" w:cs="Calibri"/>
                <w:color w:val="000000"/>
                <w:sz w:val="20"/>
                <w:szCs w:val="20"/>
                <w:lang w:val="en-US"/>
              </w:rPr>
            </w:pPr>
            <w:r w:rsidRPr="00B153EB">
              <w:rPr>
                <w:rFonts w:ascii="Calibri" w:eastAsia="Times New Roman" w:hAnsi="Calibri" w:cstheme="minorHAnsi"/>
                <w:color w:val="000000"/>
                <w:sz w:val="20"/>
                <w:szCs w:val="20"/>
              </w:rPr>
              <w:t> </w:t>
            </w:r>
          </w:p>
        </w:tc>
      </w:tr>
      <w:tr w:rsidR="00B153EB" w:rsidRPr="00B153EB" w14:paraId="397AB178" w14:textId="77777777" w:rsidTr="0061262A">
        <w:trPr>
          <w:trHeight w:val="300"/>
        </w:trPr>
        <w:tc>
          <w:tcPr>
            <w:tcW w:w="1528" w:type="pct"/>
            <w:tcBorders>
              <w:top w:val="nil"/>
              <w:left w:val="single" w:sz="4" w:space="0" w:color="auto"/>
              <w:bottom w:val="single" w:sz="4" w:space="0" w:color="auto"/>
              <w:right w:val="single" w:sz="4" w:space="0" w:color="auto"/>
            </w:tcBorders>
            <w:shd w:val="clear" w:color="auto" w:fill="auto"/>
            <w:hideMark/>
          </w:tcPr>
          <w:p w14:paraId="360983C5" w14:textId="77777777" w:rsidR="00B153EB" w:rsidRPr="00B153EB" w:rsidRDefault="00B153EB" w:rsidP="003A2CCC">
            <w:pPr>
              <w:spacing w:after="0"/>
              <w:jc w:val="left"/>
              <w:rPr>
                <w:rFonts w:ascii="Calibri" w:eastAsia="Times New Roman" w:hAnsi="Calibri" w:cs="Calibri"/>
                <w:color w:val="000000"/>
                <w:sz w:val="20"/>
                <w:szCs w:val="20"/>
                <w:lang w:val="en-US"/>
              </w:rPr>
            </w:pPr>
            <w:r w:rsidRPr="00B153EB">
              <w:rPr>
                <w:rFonts w:ascii="Calibri" w:eastAsia="Times New Roman" w:hAnsi="Calibri" w:cstheme="minorHAnsi"/>
                <w:color w:val="000000"/>
                <w:sz w:val="20"/>
                <w:szCs w:val="20"/>
              </w:rPr>
              <w:t>Change Ambassador Survey (annual)</w:t>
            </w:r>
          </w:p>
        </w:tc>
        <w:tc>
          <w:tcPr>
            <w:tcW w:w="216" w:type="pct"/>
            <w:tcBorders>
              <w:top w:val="nil"/>
              <w:left w:val="nil"/>
              <w:bottom w:val="single" w:sz="4" w:space="0" w:color="auto"/>
              <w:right w:val="single" w:sz="4" w:space="0" w:color="auto"/>
            </w:tcBorders>
            <w:shd w:val="clear" w:color="auto" w:fill="auto"/>
            <w:hideMark/>
          </w:tcPr>
          <w:p w14:paraId="2610EDDE" w14:textId="77777777" w:rsidR="00B153EB" w:rsidRPr="00B153EB" w:rsidRDefault="00B153EB" w:rsidP="003A2CCC">
            <w:pPr>
              <w:spacing w:after="0"/>
              <w:jc w:val="left"/>
              <w:rPr>
                <w:rFonts w:ascii="Calibri" w:eastAsia="Times New Roman" w:hAnsi="Calibri" w:cs="Calibri"/>
                <w:color w:val="000000"/>
                <w:sz w:val="20"/>
                <w:szCs w:val="20"/>
                <w:lang w:val="en-US"/>
              </w:rPr>
            </w:pPr>
            <w:r w:rsidRPr="00B153EB">
              <w:rPr>
                <w:rFonts w:ascii="Calibri" w:eastAsia="Times New Roman" w:hAnsi="Calibri" w:cstheme="minorHAnsi"/>
                <w:color w:val="000000"/>
                <w:sz w:val="20"/>
                <w:szCs w:val="20"/>
              </w:rPr>
              <w:t> </w:t>
            </w:r>
          </w:p>
        </w:tc>
        <w:tc>
          <w:tcPr>
            <w:tcW w:w="215" w:type="pct"/>
            <w:tcBorders>
              <w:top w:val="nil"/>
              <w:left w:val="nil"/>
              <w:bottom w:val="single" w:sz="4" w:space="0" w:color="auto"/>
              <w:right w:val="single" w:sz="4" w:space="0" w:color="auto"/>
            </w:tcBorders>
            <w:shd w:val="clear" w:color="auto" w:fill="auto"/>
            <w:hideMark/>
          </w:tcPr>
          <w:p w14:paraId="72821432" w14:textId="77777777" w:rsidR="00B153EB" w:rsidRPr="00B153EB" w:rsidRDefault="00B153EB" w:rsidP="003A2CCC">
            <w:pPr>
              <w:spacing w:after="0"/>
              <w:jc w:val="left"/>
              <w:rPr>
                <w:rFonts w:ascii="Calibri" w:eastAsia="Times New Roman" w:hAnsi="Calibri" w:cs="Calibri"/>
                <w:color w:val="000000"/>
                <w:sz w:val="20"/>
                <w:szCs w:val="20"/>
                <w:lang w:val="en-US"/>
              </w:rPr>
            </w:pPr>
            <w:r w:rsidRPr="00B153EB">
              <w:rPr>
                <w:rFonts w:ascii="Calibri" w:eastAsia="Times New Roman" w:hAnsi="Calibri" w:cstheme="minorHAnsi"/>
                <w:color w:val="000000"/>
                <w:sz w:val="20"/>
                <w:szCs w:val="20"/>
              </w:rPr>
              <w:t> </w:t>
            </w:r>
          </w:p>
        </w:tc>
        <w:tc>
          <w:tcPr>
            <w:tcW w:w="216" w:type="pct"/>
            <w:tcBorders>
              <w:top w:val="nil"/>
              <w:left w:val="nil"/>
              <w:bottom w:val="single" w:sz="4" w:space="0" w:color="auto"/>
              <w:right w:val="single" w:sz="4" w:space="0" w:color="auto"/>
            </w:tcBorders>
            <w:shd w:val="clear" w:color="000000" w:fill="AEAAAA"/>
            <w:hideMark/>
          </w:tcPr>
          <w:p w14:paraId="034DA500" w14:textId="77777777" w:rsidR="00B153EB" w:rsidRPr="00B153EB" w:rsidRDefault="00B153EB" w:rsidP="003A2CCC">
            <w:pPr>
              <w:spacing w:after="0"/>
              <w:jc w:val="left"/>
              <w:rPr>
                <w:rFonts w:ascii="Calibri" w:eastAsia="Times New Roman" w:hAnsi="Calibri" w:cs="Calibri"/>
                <w:color w:val="000000"/>
                <w:sz w:val="20"/>
                <w:szCs w:val="20"/>
                <w:lang w:val="en-US"/>
              </w:rPr>
            </w:pPr>
            <w:r w:rsidRPr="00B153EB">
              <w:rPr>
                <w:rFonts w:ascii="Calibri" w:eastAsia="Times New Roman" w:hAnsi="Calibri" w:cstheme="minorHAnsi"/>
                <w:color w:val="000000"/>
                <w:sz w:val="20"/>
                <w:szCs w:val="20"/>
              </w:rPr>
              <w:t>Jan.</w:t>
            </w:r>
          </w:p>
        </w:tc>
        <w:tc>
          <w:tcPr>
            <w:tcW w:w="215" w:type="pct"/>
            <w:tcBorders>
              <w:top w:val="nil"/>
              <w:left w:val="nil"/>
              <w:bottom w:val="single" w:sz="4" w:space="0" w:color="auto"/>
              <w:right w:val="single" w:sz="4" w:space="0" w:color="auto"/>
            </w:tcBorders>
            <w:shd w:val="clear" w:color="auto" w:fill="auto"/>
            <w:hideMark/>
          </w:tcPr>
          <w:p w14:paraId="54BF9497" w14:textId="77777777" w:rsidR="00B153EB" w:rsidRPr="00B153EB" w:rsidRDefault="00B153EB" w:rsidP="003A2CCC">
            <w:pPr>
              <w:spacing w:after="0"/>
              <w:jc w:val="left"/>
              <w:rPr>
                <w:rFonts w:ascii="Calibri" w:eastAsia="Times New Roman" w:hAnsi="Calibri" w:cs="Calibri"/>
                <w:color w:val="000000"/>
                <w:sz w:val="20"/>
                <w:szCs w:val="20"/>
                <w:lang w:val="en-US"/>
              </w:rPr>
            </w:pPr>
            <w:r w:rsidRPr="00B153EB">
              <w:rPr>
                <w:rFonts w:ascii="Calibri" w:eastAsia="Times New Roman" w:hAnsi="Calibri" w:cstheme="minorHAnsi"/>
                <w:color w:val="000000"/>
                <w:sz w:val="20"/>
                <w:szCs w:val="20"/>
              </w:rPr>
              <w:t> </w:t>
            </w:r>
          </w:p>
        </w:tc>
        <w:tc>
          <w:tcPr>
            <w:tcW w:w="224" w:type="pct"/>
            <w:tcBorders>
              <w:top w:val="nil"/>
              <w:left w:val="nil"/>
              <w:bottom w:val="single" w:sz="4" w:space="0" w:color="auto"/>
              <w:right w:val="single" w:sz="4" w:space="0" w:color="auto"/>
            </w:tcBorders>
            <w:shd w:val="clear" w:color="auto" w:fill="auto"/>
            <w:hideMark/>
          </w:tcPr>
          <w:p w14:paraId="54B44969" w14:textId="77777777" w:rsidR="00B153EB" w:rsidRPr="00B153EB" w:rsidRDefault="00B153EB" w:rsidP="003A2CCC">
            <w:pPr>
              <w:spacing w:after="0"/>
              <w:jc w:val="left"/>
              <w:rPr>
                <w:rFonts w:ascii="Calibri" w:eastAsia="Times New Roman" w:hAnsi="Calibri" w:cs="Calibri"/>
                <w:color w:val="000000"/>
                <w:sz w:val="20"/>
                <w:szCs w:val="20"/>
                <w:lang w:val="en-US"/>
              </w:rPr>
            </w:pPr>
            <w:r w:rsidRPr="00B153EB">
              <w:rPr>
                <w:rFonts w:ascii="Calibri" w:eastAsia="Times New Roman" w:hAnsi="Calibri" w:cstheme="minorHAnsi"/>
                <w:color w:val="000000"/>
                <w:sz w:val="20"/>
                <w:szCs w:val="20"/>
              </w:rPr>
              <w:t> </w:t>
            </w:r>
          </w:p>
        </w:tc>
        <w:tc>
          <w:tcPr>
            <w:tcW w:w="215" w:type="pct"/>
            <w:tcBorders>
              <w:top w:val="nil"/>
              <w:left w:val="nil"/>
              <w:bottom w:val="single" w:sz="4" w:space="0" w:color="auto"/>
              <w:right w:val="single" w:sz="4" w:space="0" w:color="auto"/>
            </w:tcBorders>
            <w:shd w:val="clear" w:color="auto" w:fill="auto"/>
            <w:hideMark/>
          </w:tcPr>
          <w:p w14:paraId="237128D9" w14:textId="77777777" w:rsidR="00B153EB" w:rsidRPr="00B153EB" w:rsidRDefault="00B153EB" w:rsidP="003A2CCC">
            <w:pPr>
              <w:spacing w:after="0"/>
              <w:jc w:val="left"/>
              <w:rPr>
                <w:rFonts w:ascii="Calibri" w:eastAsia="Times New Roman" w:hAnsi="Calibri" w:cs="Calibri"/>
                <w:color w:val="000000"/>
                <w:sz w:val="20"/>
                <w:szCs w:val="20"/>
                <w:lang w:val="en-US"/>
              </w:rPr>
            </w:pPr>
            <w:r w:rsidRPr="00B153EB">
              <w:rPr>
                <w:rFonts w:ascii="Calibri" w:eastAsia="Times New Roman" w:hAnsi="Calibri" w:cstheme="minorHAnsi"/>
                <w:color w:val="000000"/>
                <w:sz w:val="20"/>
                <w:szCs w:val="20"/>
              </w:rPr>
              <w:t> </w:t>
            </w:r>
          </w:p>
        </w:tc>
        <w:tc>
          <w:tcPr>
            <w:tcW w:w="216" w:type="pct"/>
            <w:tcBorders>
              <w:top w:val="nil"/>
              <w:left w:val="nil"/>
              <w:bottom w:val="single" w:sz="4" w:space="0" w:color="auto"/>
              <w:right w:val="single" w:sz="4" w:space="0" w:color="auto"/>
            </w:tcBorders>
            <w:shd w:val="clear" w:color="000000" w:fill="AEAAAA"/>
            <w:hideMark/>
          </w:tcPr>
          <w:p w14:paraId="4738CF4B" w14:textId="77777777" w:rsidR="00B153EB" w:rsidRPr="00B153EB" w:rsidRDefault="00B153EB" w:rsidP="003A2CCC">
            <w:pPr>
              <w:spacing w:after="0"/>
              <w:jc w:val="left"/>
              <w:rPr>
                <w:rFonts w:ascii="Calibri" w:eastAsia="Times New Roman" w:hAnsi="Calibri" w:cs="Calibri"/>
                <w:color w:val="000000"/>
                <w:sz w:val="20"/>
                <w:szCs w:val="20"/>
                <w:lang w:val="en-US"/>
              </w:rPr>
            </w:pPr>
            <w:r w:rsidRPr="00B153EB">
              <w:rPr>
                <w:rFonts w:ascii="Calibri" w:eastAsia="Times New Roman" w:hAnsi="Calibri" w:cstheme="minorHAnsi"/>
                <w:color w:val="000000"/>
                <w:sz w:val="20"/>
                <w:szCs w:val="20"/>
              </w:rPr>
              <w:t>Jan.</w:t>
            </w:r>
          </w:p>
        </w:tc>
        <w:tc>
          <w:tcPr>
            <w:tcW w:w="215" w:type="pct"/>
            <w:tcBorders>
              <w:top w:val="nil"/>
              <w:left w:val="nil"/>
              <w:bottom w:val="single" w:sz="4" w:space="0" w:color="auto"/>
              <w:right w:val="single" w:sz="4" w:space="0" w:color="auto"/>
            </w:tcBorders>
            <w:shd w:val="clear" w:color="auto" w:fill="auto"/>
            <w:hideMark/>
          </w:tcPr>
          <w:p w14:paraId="69754E81" w14:textId="77777777" w:rsidR="00B153EB" w:rsidRPr="00B153EB" w:rsidRDefault="00B153EB" w:rsidP="003A2CCC">
            <w:pPr>
              <w:spacing w:after="0"/>
              <w:jc w:val="left"/>
              <w:rPr>
                <w:rFonts w:ascii="Calibri" w:eastAsia="Times New Roman" w:hAnsi="Calibri" w:cs="Calibri"/>
                <w:color w:val="000000"/>
                <w:sz w:val="20"/>
                <w:szCs w:val="20"/>
                <w:lang w:val="en-US"/>
              </w:rPr>
            </w:pPr>
            <w:r w:rsidRPr="00B153EB">
              <w:rPr>
                <w:rFonts w:ascii="Calibri" w:eastAsia="Times New Roman" w:hAnsi="Calibri" w:cstheme="minorHAnsi"/>
                <w:color w:val="000000"/>
                <w:sz w:val="20"/>
                <w:szCs w:val="20"/>
              </w:rPr>
              <w:t> </w:t>
            </w:r>
          </w:p>
        </w:tc>
        <w:tc>
          <w:tcPr>
            <w:tcW w:w="224" w:type="pct"/>
            <w:tcBorders>
              <w:top w:val="nil"/>
              <w:left w:val="nil"/>
              <w:bottom w:val="single" w:sz="4" w:space="0" w:color="auto"/>
              <w:right w:val="single" w:sz="4" w:space="0" w:color="auto"/>
            </w:tcBorders>
            <w:shd w:val="clear" w:color="auto" w:fill="auto"/>
            <w:hideMark/>
          </w:tcPr>
          <w:p w14:paraId="54519808" w14:textId="77777777" w:rsidR="00B153EB" w:rsidRPr="00B153EB" w:rsidRDefault="00B153EB" w:rsidP="003A2CCC">
            <w:pPr>
              <w:spacing w:after="0"/>
              <w:jc w:val="left"/>
              <w:rPr>
                <w:rFonts w:ascii="Calibri" w:eastAsia="Times New Roman" w:hAnsi="Calibri" w:cs="Calibri"/>
                <w:color w:val="000000"/>
                <w:sz w:val="20"/>
                <w:szCs w:val="20"/>
                <w:lang w:val="en-US"/>
              </w:rPr>
            </w:pPr>
            <w:r w:rsidRPr="00B153EB">
              <w:rPr>
                <w:rFonts w:ascii="Calibri" w:eastAsia="Times New Roman" w:hAnsi="Calibri" w:cstheme="minorHAnsi"/>
                <w:color w:val="000000"/>
                <w:sz w:val="20"/>
                <w:szCs w:val="20"/>
              </w:rPr>
              <w:t> </w:t>
            </w:r>
          </w:p>
        </w:tc>
        <w:tc>
          <w:tcPr>
            <w:tcW w:w="215" w:type="pct"/>
            <w:tcBorders>
              <w:top w:val="nil"/>
              <w:left w:val="nil"/>
              <w:bottom w:val="single" w:sz="4" w:space="0" w:color="auto"/>
              <w:right w:val="single" w:sz="4" w:space="0" w:color="auto"/>
            </w:tcBorders>
            <w:shd w:val="clear" w:color="auto" w:fill="auto"/>
            <w:hideMark/>
          </w:tcPr>
          <w:p w14:paraId="59425DB2" w14:textId="77777777" w:rsidR="00B153EB" w:rsidRPr="00B153EB" w:rsidRDefault="00B153EB" w:rsidP="003A2CCC">
            <w:pPr>
              <w:spacing w:after="0"/>
              <w:jc w:val="left"/>
              <w:rPr>
                <w:rFonts w:ascii="Calibri" w:eastAsia="Times New Roman" w:hAnsi="Calibri" w:cs="Calibri"/>
                <w:color w:val="000000"/>
                <w:sz w:val="20"/>
                <w:szCs w:val="20"/>
                <w:lang w:val="en-US"/>
              </w:rPr>
            </w:pPr>
            <w:r w:rsidRPr="00B153EB">
              <w:rPr>
                <w:rFonts w:ascii="Calibri" w:eastAsia="Times New Roman" w:hAnsi="Calibri" w:cstheme="minorHAnsi"/>
                <w:color w:val="000000"/>
                <w:sz w:val="20"/>
                <w:szCs w:val="20"/>
              </w:rPr>
              <w:t> </w:t>
            </w:r>
          </w:p>
        </w:tc>
        <w:tc>
          <w:tcPr>
            <w:tcW w:w="216" w:type="pct"/>
            <w:tcBorders>
              <w:top w:val="nil"/>
              <w:left w:val="nil"/>
              <w:bottom w:val="single" w:sz="4" w:space="0" w:color="auto"/>
              <w:right w:val="single" w:sz="4" w:space="0" w:color="auto"/>
            </w:tcBorders>
            <w:shd w:val="clear" w:color="000000" w:fill="AEAAAA"/>
            <w:hideMark/>
          </w:tcPr>
          <w:p w14:paraId="621159FE" w14:textId="77777777" w:rsidR="00B153EB" w:rsidRPr="00B153EB" w:rsidRDefault="00B153EB" w:rsidP="003A2CCC">
            <w:pPr>
              <w:spacing w:after="0"/>
              <w:jc w:val="left"/>
              <w:rPr>
                <w:rFonts w:ascii="Calibri" w:eastAsia="Times New Roman" w:hAnsi="Calibri" w:cs="Calibri"/>
                <w:color w:val="000000"/>
                <w:sz w:val="20"/>
                <w:szCs w:val="20"/>
                <w:lang w:val="en-US"/>
              </w:rPr>
            </w:pPr>
            <w:r w:rsidRPr="00B153EB">
              <w:rPr>
                <w:rFonts w:ascii="Calibri" w:eastAsia="Times New Roman" w:hAnsi="Calibri" w:cstheme="minorHAnsi"/>
                <w:color w:val="000000"/>
                <w:sz w:val="20"/>
                <w:szCs w:val="20"/>
              </w:rPr>
              <w:t>Jan.</w:t>
            </w:r>
          </w:p>
        </w:tc>
        <w:tc>
          <w:tcPr>
            <w:tcW w:w="215" w:type="pct"/>
            <w:tcBorders>
              <w:top w:val="nil"/>
              <w:left w:val="nil"/>
              <w:bottom w:val="single" w:sz="4" w:space="0" w:color="auto"/>
              <w:right w:val="single" w:sz="4" w:space="0" w:color="auto"/>
            </w:tcBorders>
            <w:shd w:val="clear" w:color="auto" w:fill="auto"/>
            <w:hideMark/>
          </w:tcPr>
          <w:p w14:paraId="4EB6476E" w14:textId="77777777" w:rsidR="00B153EB" w:rsidRPr="00B153EB" w:rsidRDefault="00B153EB" w:rsidP="003A2CCC">
            <w:pPr>
              <w:spacing w:after="0"/>
              <w:jc w:val="left"/>
              <w:rPr>
                <w:rFonts w:ascii="Calibri" w:eastAsia="Times New Roman" w:hAnsi="Calibri" w:cs="Calibri"/>
                <w:color w:val="000000"/>
                <w:sz w:val="20"/>
                <w:szCs w:val="20"/>
                <w:lang w:val="en-US"/>
              </w:rPr>
            </w:pPr>
            <w:r w:rsidRPr="00B153EB">
              <w:rPr>
                <w:rFonts w:ascii="Calibri" w:eastAsia="Times New Roman" w:hAnsi="Calibri" w:cstheme="minorHAnsi"/>
                <w:color w:val="000000"/>
                <w:sz w:val="20"/>
                <w:szCs w:val="20"/>
              </w:rPr>
              <w:t> </w:t>
            </w:r>
          </w:p>
        </w:tc>
        <w:tc>
          <w:tcPr>
            <w:tcW w:w="224" w:type="pct"/>
            <w:tcBorders>
              <w:top w:val="nil"/>
              <w:left w:val="nil"/>
              <w:bottom w:val="single" w:sz="4" w:space="0" w:color="auto"/>
              <w:right w:val="single" w:sz="4" w:space="0" w:color="auto"/>
            </w:tcBorders>
            <w:shd w:val="clear" w:color="auto" w:fill="auto"/>
            <w:hideMark/>
          </w:tcPr>
          <w:p w14:paraId="41DF1EDA" w14:textId="77777777" w:rsidR="00B153EB" w:rsidRPr="00B153EB" w:rsidRDefault="00B153EB" w:rsidP="003A2CCC">
            <w:pPr>
              <w:spacing w:after="0"/>
              <w:jc w:val="left"/>
              <w:rPr>
                <w:rFonts w:ascii="Calibri" w:eastAsia="Times New Roman" w:hAnsi="Calibri" w:cs="Calibri"/>
                <w:color w:val="000000"/>
                <w:sz w:val="20"/>
                <w:szCs w:val="20"/>
                <w:lang w:val="en-US"/>
              </w:rPr>
            </w:pPr>
            <w:r w:rsidRPr="00B153EB">
              <w:rPr>
                <w:rFonts w:ascii="Calibri" w:eastAsia="Times New Roman" w:hAnsi="Calibri" w:cstheme="minorHAnsi"/>
                <w:color w:val="000000"/>
                <w:sz w:val="20"/>
                <w:szCs w:val="20"/>
              </w:rPr>
              <w:t> </w:t>
            </w:r>
          </w:p>
        </w:tc>
        <w:tc>
          <w:tcPr>
            <w:tcW w:w="215" w:type="pct"/>
            <w:tcBorders>
              <w:top w:val="nil"/>
              <w:left w:val="nil"/>
              <w:bottom w:val="single" w:sz="4" w:space="0" w:color="auto"/>
              <w:right w:val="single" w:sz="4" w:space="0" w:color="auto"/>
            </w:tcBorders>
            <w:shd w:val="clear" w:color="auto" w:fill="auto"/>
            <w:hideMark/>
          </w:tcPr>
          <w:p w14:paraId="27AF6D82" w14:textId="77777777" w:rsidR="00B153EB" w:rsidRPr="00B153EB" w:rsidRDefault="00B153EB" w:rsidP="003A2CCC">
            <w:pPr>
              <w:spacing w:after="0"/>
              <w:jc w:val="left"/>
              <w:rPr>
                <w:rFonts w:ascii="Calibri" w:eastAsia="Times New Roman" w:hAnsi="Calibri" w:cs="Calibri"/>
                <w:color w:val="000000"/>
                <w:sz w:val="20"/>
                <w:szCs w:val="20"/>
                <w:lang w:val="en-US"/>
              </w:rPr>
            </w:pPr>
            <w:r w:rsidRPr="00B153EB">
              <w:rPr>
                <w:rFonts w:ascii="Calibri" w:eastAsia="Times New Roman" w:hAnsi="Calibri" w:cstheme="minorHAnsi"/>
                <w:color w:val="000000"/>
                <w:sz w:val="20"/>
                <w:szCs w:val="20"/>
              </w:rPr>
              <w:t> </w:t>
            </w:r>
          </w:p>
        </w:tc>
        <w:tc>
          <w:tcPr>
            <w:tcW w:w="216" w:type="pct"/>
            <w:tcBorders>
              <w:top w:val="nil"/>
              <w:left w:val="nil"/>
              <w:bottom w:val="single" w:sz="4" w:space="0" w:color="auto"/>
              <w:right w:val="single" w:sz="4" w:space="0" w:color="auto"/>
            </w:tcBorders>
            <w:shd w:val="clear" w:color="000000" w:fill="AEAAAA"/>
            <w:hideMark/>
          </w:tcPr>
          <w:p w14:paraId="1008E5AD" w14:textId="77777777" w:rsidR="00B153EB" w:rsidRPr="00B153EB" w:rsidRDefault="00B153EB" w:rsidP="003A2CCC">
            <w:pPr>
              <w:spacing w:after="0"/>
              <w:jc w:val="left"/>
              <w:rPr>
                <w:rFonts w:ascii="Calibri" w:eastAsia="Times New Roman" w:hAnsi="Calibri" w:cs="Calibri"/>
                <w:color w:val="000000"/>
                <w:sz w:val="20"/>
                <w:szCs w:val="20"/>
                <w:lang w:val="en-US"/>
              </w:rPr>
            </w:pPr>
            <w:r w:rsidRPr="00B153EB">
              <w:rPr>
                <w:rFonts w:ascii="Calibri" w:eastAsia="Times New Roman" w:hAnsi="Calibri" w:cstheme="minorHAnsi"/>
                <w:color w:val="000000"/>
                <w:sz w:val="20"/>
                <w:szCs w:val="20"/>
              </w:rPr>
              <w:t>Jan.</w:t>
            </w:r>
          </w:p>
        </w:tc>
        <w:tc>
          <w:tcPr>
            <w:tcW w:w="215" w:type="pct"/>
            <w:tcBorders>
              <w:top w:val="nil"/>
              <w:left w:val="nil"/>
              <w:bottom w:val="single" w:sz="4" w:space="0" w:color="auto"/>
              <w:right w:val="single" w:sz="4" w:space="0" w:color="auto"/>
            </w:tcBorders>
            <w:shd w:val="clear" w:color="auto" w:fill="auto"/>
            <w:hideMark/>
          </w:tcPr>
          <w:p w14:paraId="405FE255" w14:textId="77777777" w:rsidR="00B153EB" w:rsidRPr="00B153EB" w:rsidRDefault="00B153EB" w:rsidP="003A2CCC">
            <w:pPr>
              <w:spacing w:after="0"/>
              <w:jc w:val="left"/>
              <w:rPr>
                <w:rFonts w:ascii="Calibri" w:eastAsia="Times New Roman" w:hAnsi="Calibri" w:cs="Calibri"/>
                <w:color w:val="000000"/>
                <w:sz w:val="20"/>
                <w:szCs w:val="20"/>
                <w:lang w:val="en-US"/>
              </w:rPr>
            </w:pPr>
            <w:r w:rsidRPr="00B153EB">
              <w:rPr>
                <w:rFonts w:ascii="Calibri" w:eastAsia="Times New Roman" w:hAnsi="Calibri" w:cstheme="minorHAnsi"/>
                <w:color w:val="000000"/>
                <w:sz w:val="20"/>
                <w:szCs w:val="20"/>
              </w:rPr>
              <w:t> </w:t>
            </w:r>
          </w:p>
        </w:tc>
      </w:tr>
      <w:tr w:rsidR="00B153EB" w:rsidRPr="00B153EB" w14:paraId="14ADDAF2" w14:textId="77777777" w:rsidTr="0061262A">
        <w:trPr>
          <w:trHeight w:val="300"/>
        </w:trPr>
        <w:tc>
          <w:tcPr>
            <w:tcW w:w="1528" w:type="pct"/>
            <w:tcBorders>
              <w:top w:val="nil"/>
              <w:left w:val="single" w:sz="4" w:space="0" w:color="auto"/>
              <w:bottom w:val="single" w:sz="4" w:space="0" w:color="auto"/>
              <w:right w:val="single" w:sz="4" w:space="0" w:color="auto"/>
            </w:tcBorders>
            <w:shd w:val="clear" w:color="auto" w:fill="auto"/>
            <w:hideMark/>
          </w:tcPr>
          <w:p w14:paraId="32F71339" w14:textId="77777777" w:rsidR="00B153EB" w:rsidRPr="00B153EB" w:rsidRDefault="00B153EB" w:rsidP="003A2CCC">
            <w:pPr>
              <w:spacing w:after="0"/>
              <w:jc w:val="left"/>
              <w:rPr>
                <w:rFonts w:ascii="Calibri" w:eastAsia="Times New Roman" w:hAnsi="Calibri" w:cs="Calibri"/>
                <w:color w:val="000000"/>
                <w:sz w:val="20"/>
                <w:szCs w:val="20"/>
                <w:lang w:val="en-US"/>
              </w:rPr>
            </w:pPr>
            <w:r w:rsidRPr="00B153EB">
              <w:rPr>
                <w:rFonts w:ascii="Calibri" w:eastAsia="Times New Roman" w:hAnsi="Calibri" w:cstheme="minorHAnsi"/>
                <w:color w:val="000000"/>
                <w:sz w:val="20"/>
                <w:szCs w:val="20"/>
              </w:rPr>
              <w:t>Change Ambassador Interviews</w:t>
            </w:r>
          </w:p>
        </w:tc>
        <w:tc>
          <w:tcPr>
            <w:tcW w:w="216" w:type="pct"/>
            <w:tcBorders>
              <w:top w:val="nil"/>
              <w:left w:val="nil"/>
              <w:bottom w:val="single" w:sz="4" w:space="0" w:color="auto"/>
              <w:right w:val="single" w:sz="4" w:space="0" w:color="auto"/>
            </w:tcBorders>
            <w:shd w:val="clear" w:color="auto" w:fill="auto"/>
            <w:hideMark/>
          </w:tcPr>
          <w:p w14:paraId="4BA94840" w14:textId="77777777" w:rsidR="00B153EB" w:rsidRPr="00B153EB" w:rsidRDefault="00B153EB" w:rsidP="003A2CCC">
            <w:pPr>
              <w:spacing w:after="0"/>
              <w:jc w:val="left"/>
              <w:rPr>
                <w:rFonts w:ascii="Calibri" w:eastAsia="Times New Roman" w:hAnsi="Calibri" w:cs="Calibri"/>
                <w:color w:val="000000"/>
                <w:sz w:val="20"/>
                <w:szCs w:val="20"/>
                <w:lang w:val="en-US"/>
              </w:rPr>
            </w:pPr>
            <w:r w:rsidRPr="00B153EB">
              <w:rPr>
                <w:rFonts w:ascii="Calibri" w:eastAsia="Times New Roman" w:hAnsi="Calibri" w:cstheme="minorHAnsi"/>
                <w:color w:val="000000"/>
                <w:sz w:val="20"/>
                <w:szCs w:val="20"/>
              </w:rPr>
              <w:t> </w:t>
            </w:r>
          </w:p>
        </w:tc>
        <w:tc>
          <w:tcPr>
            <w:tcW w:w="215" w:type="pct"/>
            <w:tcBorders>
              <w:top w:val="nil"/>
              <w:left w:val="nil"/>
              <w:bottom w:val="single" w:sz="4" w:space="0" w:color="auto"/>
              <w:right w:val="single" w:sz="4" w:space="0" w:color="auto"/>
            </w:tcBorders>
            <w:shd w:val="clear" w:color="auto" w:fill="auto"/>
            <w:hideMark/>
          </w:tcPr>
          <w:p w14:paraId="38459139" w14:textId="77777777" w:rsidR="00B153EB" w:rsidRPr="00B153EB" w:rsidRDefault="00B153EB" w:rsidP="003A2CCC">
            <w:pPr>
              <w:spacing w:after="0"/>
              <w:jc w:val="left"/>
              <w:rPr>
                <w:rFonts w:ascii="Calibri" w:eastAsia="Times New Roman" w:hAnsi="Calibri" w:cs="Calibri"/>
                <w:color w:val="000000"/>
                <w:sz w:val="20"/>
                <w:szCs w:val="20"/>
                <w:lang w:val="en-US"/>
              </w:rPr>
            </w:pPr>
            <w:r w:rsidRPr="00B153EB">
              <w:rPr>
                <w:rFonts w:ascii="Calibri" w:eastAsia="Times New Roman" w:hAnsi="Calibri" w:cstheme="minorHAnsi"/>
                <w:color w:val="000000"/>
                <w:sz w:val="20"/>
                <w:szCs w:val="20"/>
              </w:rPr>
              <w:t> </w:t>
            </w:r>
          </w:p>
        </w:tc>
        <w:tc>
          <w:tcPr>
            <w:tcW w:w="216" w:type="pct"/>
            <w:tcBorders>
              <w:top w:val="nil"/>
              <w:left w:val="nil"/>
              <w:bottom w:val="single" w:sz="4" w:space="0" w:color="auto"/>
              <w:right w:val="single" w:sz="4" w:space="0" w:color="auto"/>
            </w:tcBorders>
            <w:shd w:val="clear" w:color="auto" w:fill="auto"/>
            <w:hideMark/>
          </w:tcPr>
          <w:p w14:paraId="5FE1069B" w14:textId="77777777" w:rsidR="00B153EB" w:rsidRPr="00B153EB" w:rsidRDefault="00B153EB" w:rsidP="003A2CCC">
            <w:pPr>
              <w:spacing w:after="0"/>
              <w:jc w:val="left"/>
              <w:rPr>
                <w:rFonts w:ascii="Calibri" w:eastAsia="Times New Roman" w:hAnsi="Calibri" w:cs="Calibri"/>
                <w:color w:val="000000"/>
                <w:sz w:val="20"/>
                <w:szCs w:val="20"/>
                <w:lang w:val="en-US"/>
              </w:rPr>
            </w:pPr>
            <w:r w:rsidRPr="00B153EB">
              <w:rPr>
                <w:rFonts w:ascii="Calibri" w:eastAsia="Times New Roman" w:hAnsi="Calibri" w:cstheme="minorHAnsi"/>
                <w:color w:val="000000"/>
                <w:sz w:val="20"/>
                <w:szCs w:val="20"/>
              </w:rPr>
              <w:t> </w:t>
            </w:r>
          </w:p>
        </w:tc>
        <w:tc>
          <w:tcPr>
            <w:tcW w:w="215" w:type="pct"/>
            <w:tcBorders>
              <w:top w:val="nil"/>
              <w:left w:val="nil"/>
              <w:bottom w:val="single" w:sz="4" w:space="0" w:color="auto"/>
              <w:right w:val="single" w:sz="4" w:space="0" w:color="auto"/>
            </w:tcBorders>
            <w:shd w:val="clear" w:color="000000" w:fill="AEAAAA"/>
            <w:hideMark/>
          </w:tcPr>
          <w:p w14:paraId="56C74C69" w14:textId="77777777" w:rsidR="00B153EB" w:rsidRPr="00B153EB" w:rsidRDefault="00B153EB" w:rsidP="003A2CCC">
            <w:pPr>
              <w:spacing w:after="0"/>
              <w:jc w:val="left"/>
              <w:rPr>
                <w:rFonts w:ascii="Calibri" w:eastAsia="Times New Roman" w:hAnsi="Calibri" w:cs="Calibri"/>
                <w:color w:val="000000"/>
                <w:sz w:val="20"/>
                <w:szCs w:val="20"/>
                <w:lang w:val="en-US"/>
              </w:rPr>
            </w:pPr>
            <w:r w:rsidRPr="00B153EB">
              <w:rPr>
                <w:rFonts w:ascii="Calibri" w:eastAsia="Times New Roman" w:hAnsi="Calibri" w:cstheme="minorHAnsi"/>
                <w:color w:val="000000"/>
                <w:sz w:val="20"/>
                <w:szCs w:val="20"/>
              </w:rPr>
              <w:t>Apr.</w:t>
            </w:r>
          </w:p>
        </w:tc>
        <w:tc>
          <w:tcPr>
            <w:tcW w:w="224" w:type="pct"/>
            <w:tcBorders>
              <w:top w:val="nil"/>
              <w:left w:val="nil"/>
              <w:bottom w:val="single" w:sz="4" w:space="0" w:color="auto"/>
              <w:right w:val="single" w:sz="4" w:space="0" w:color="auto"/>
            </w:tcBorders>
            <w:shd w:val="clear" w:color="auto" w:fill="auto"/>
            <w:hideMark/>
          </w:tcPr>
          <w:p w14:paraId="36CB4BC3" w14:textId="77777777" w:rsidR="00B153EB" w:rsidRPr="00B153EB" w:rsidRDefault="00B153EB" w:rsidP="003A2CCC">
            <w:pPr>
              <w:spacing w:after="0"/>
              <w:jc w:val="left"/>
              <w:rPr>
                <w:rFonts w:ascii="Calibri" w:eastAsia="Times New Roman" w:hAnsi="Calibri" w:cs="Calibri"/>
                <w:color w:val="000000"/>
                <w:sz w:val="20"/>
                <w:szCs w:val="20"/>
                <w:lang w:val="en-US"/>
              </w:rPr>
            </w:pPr>
            <w:r w:rsidRPr="00B153EB">
              <w:rPr>
                <w:rFonts w:ascii="Calibri" w:eastAsia="Times New Roman" w:hAnsi="Calibri" w:cstheme="minorHAnsi"/>
                <w:color w:val="000000"/>
                <w:sz w:val="20"/>
                <w:szCs w:val="20"/>
              </w:rPr>
              <w:t> </w:t>
            </w:r>
          </w:p>
        </w:tc>
        <w:tc>
          <w:tcPr>
            <w:tcW w:w="215" w:type="pct"/>
            <w:tcBorders>
              <w:top w:val="nil"/>
              <w:left w:val="nil"/>
              <w:bottom w:val="single" w:sz="4" w:space="0" w:color="auto"/>
              <w:right w:val="single" w:sz="4" w:space="0" w:color="auto"/>
            </w:tcBorders>
            <w:shd w:val="clear" w:color="auto" w:fill="auto"/>
            <w:hideMark/>
          </w:tcPr>
          <w:p w14:paraId="302635BB" w14:textId="77777777" w:rsidR="00B153EB" w:rsidRPr="00B153EB" w:rsidRDefault="00B153EB" w:rsidP="003A2CCC">
            <w:pPr>
              <w:spacing w:after="0"/>
              <w:jc w:val="left"/>
              <w:rPr>
                <w:rFonts w:ascii="Calibri" w:eastAsia="Times New Roman" w:hAnsi="Calibri" w:cs="Calibri"/>
                <w:color w:val="000000"/>
                <w:sz w:val="20"/>
                <w:szCs w:val="20"/>
                <w:lang w:val="en-US"/>
              </w:rPr>
            </w:pPr>
            <w:r w:rsidRPr="00B153EB">
              <w:rPr>
                <w:rFonts w:ascii="Calibri" w:eastAsia="Times New Roman" w:hAnsi="Calibri" w:cstheme="minorHAnsi"/>
                <w:color w:val="000000"/>
                <w:sz w:val="20"/>
                <w:szCs w:val="20"/>
              </w:rPr>
              <w:t> </w:t>
            </w:r>
          </w:p>
        </w:tc>
        <w:tc>
          <w:tcPr>
            <w:tcW w:w="216" w:type="pct"/>
            <w:tcBorders>
              <w:top w:val="nil"/>
              <w:left w:val="nil"/>
              <w:bottom w:val="single" w:sz="4" w:space="0" w:color="auto"/>
              <w:right w:val="single" w:sz="4" w:space="0" w:color="auto"/>
            </w:tcBorders>
            <w:shd w:val="clear" w:color="auto" w:fill="auto"/>
            <w:hideMark/>
          </w:tcPr>
          <w:p w14:paraId="44E8221F" w14:textId="77777777" w:rsidR="00B153EB" w:rsidRPr="00B153EB" w:rsidRDefault="00B153EB" w:rsidP="003A2CCC">
            <w:pPr>
              <w:spacing w:after="0"/>
              <w:jc w:val="left"/>
              <w:rPr>
                <w:rFonts w:ascii="Calibri" w:eastAsia="Times New Roman" w:hAnsi="Calibri" w:cs="Calibri"/>
                <w:color w:val="000000"/>
                <w:sz w:val="20"/>
                <w:szCs w:val="20"/>
                <w:lang w:val="en-US"/>
              </w:rPr>
            </w:pPr>
            <w:r w:rsidRPr="00B153EB">
              <w:rPr>
                <w:rFonts w:ascii="Calibri" w:eastAsia="Times New Roman" w:hAnsi="Calibri" w:cstheme="minorHAnsi"/>
                <w:color w:val="000000"/>
                <w:sz w:val="20"/>
                <w:szCs w:val="20"/>
              </w:rPr>
              <w:t> </w:t>
            </w:r>
          </w:p>
        </w:tc>
        <w:tc>
          <w:tcPr>
            <w:tcW w:w="215" w:type="pct"/>
            <w:tcBorders>
              <w:top w:val="nil"/>
              <w:left w:val="nil"/>
              <w:bottom w:val="single" w:sz="4" w:space="0" w:color="auto"/>
              <w:right w:val="single" w:sz="4" w:space="0" w:color="auto"/>
            </w:tcBorders>
            <w:shd w:val="clear" w:color="000000" w:fill="AEAAAA"/>
            <w:hideMark/>
          </w:tcPr>
          <w:p w14:paraId="1871DB47" w14:textId="77777777" w:rsidR="00B153EB" w:rsidRPr="00B153EB" w:rsidRDefault="00B153EB" w:rsidP="003A2CCC">
            <w:pPr>
              <w:spacing w:after="0"/>
              <w:jc w:val="left"/>
              <w:rPr>
                <w:rFonts w:ascii="Calibri" w:eastAsia="Times New Roman" w:hAnsi="Calibri" w:cs="Calibri"/>
                <w:color w:val="000000"/>
                <w:sz w:val="20"/>
                <w:szCs w:val="20"/>
                <w:lang w:val="en-US"/>
              </w:rPr>
            </w:pPr>
            <w:r w:rsidRPr="00B153EB">
              <w:rPr>
                <w:rFonts w:ascii="Calibri" w:eastAsia="Times New Roman" w:hAnsi="Calibri" w:cstheme="minorHAnsi"/>
                <w:color w:val="000000"/>
                <w:sz w:val="20"/>
                <w:szCs w:val="20"/>
              </w:rPr>
              <w:t>Apr.</w:t>
            </w:r>
          </w:p>
        </w:tc>
        <w:tc>
          <w:tcPr>
            <w:tcW w:w="224" w:type="pct"/>
            <w:tcBorders>
              <w:top w:val="nil"/>
              <w:left w:val="nil"/>
              <w:bottom w:val="single" w:sz="4" w:space="0" w:color="auto"/>
              <w:right w:val="single" w:sz="4" w:space="0" w:color="auto"/>
            </w:tcBorders>
            <w:shd w:val="clear" w:color="auto" w:fill="auto"/>
            <w:hideMark/>
          </w:tcPr>
          <w:p w14:paraId="62F5E85D" w14:textId="77777777" w:rsidR="00B153EB" w:rsidRPr="00B153EB" w:rsidRDefault="00B153EB" w:rsidP="003A2CCC">
            <w:pPr>
              <w:spacing w:after="0"/>
              <w:jc w:val="left"/>
              <w:rPr>
                <w:rFonts w:ascii="Calibri" w:eastAsia="Times New Roman" w:hAnsi="Calibri" w:cs="Calibri"/>
                <w:color w:val="000000"/>
                <w:sz w:val="20"/>
                <w:szCs w:val="20"/>
                <w:lang w:val="en-US"/>
              </w:rPr>
            </w:pPr>
            <w:r w:rsidRPr="00B153EB">
              <w:rPr>
                <w:rFonts w:ascii="Calibri" w:eastAsia="Times New Roman" w:hAnsi="Calibri" w:cstheme="minorHAnsi"/>
                <w:color w:val="000000"/>
                <w:sz w:val="20"/>
                <w:szCs w:val="20"/>
              </w:rPr>
              <w:t> </w:t>
            </w:r>
          </w:p>
        </w:tc>
        <w:tc>
          <w:tcPr>
            <w:tcW w:w="215" w:type="pct"/>
            <w:tcBorders>
              <w:top w:val="nil"/>
              <w:left w:val="nil"/>
              <w:bottom w:val="single" w:sz="4" w:space="0" w:color="auto"/>
              <w:right w:val="single" w:sz="4" w:space="0" w:color="auto"/>
            </w:tcBorders>
            <w:shd w:val="clear" w:color="auto" w:fill="auto"/>
            <w:hideMark/>
          </w:tcPr>
          <w:p w14:paraId="0EE0331F" w14:textId="77777777" w:rsidR="00B153EB" w:rsidRPr="00B153EB" w:rsidRDefault="00B153EB" w:rsidP="003A2CCC">
            <w:pPr>
              <w:spacing w:after="0"/>
              <w:jc w:val="left"/>
              <w:rPr>
                <w:rFonts w:ascii="Calibri" w:eastAsia="Times New Roman" w:hAnsi="Calibri" w:cs="Calibri"/>
                <w:color w:val="000000"/>
                <w:sz w:val="20"/>
                <w:szCs w:val="20"/>
                <w:lang w:val="en-US"/>
              </w:rPr>
            </w:pPr>
            <w:r w:rsidRPr="00B153EB">
              <w:rPr>
                <w:rFonts w:ascii="Calibri" w:eastAsia="Times New Roman" w:hAnsi="Calibri" w:cstheme="minorHAnsi"/>
                <w:color w:val="000000"/>
                <w:sz w:val="20"/>
                <w:szCs w:val="20"/>
              </w:rPr>
              <w:t> </w:t>
            </w:r>
          </w:p>
        </w:tc>
        <w:tc>
          <w:tcPr>
            <w:tcW w:w="216" w:type="pct"/>
            <w:tcBorders>
              <w:top w:val="nil"/>
              <w:left w:val="nil"/>
              <w:bottom w:val="single" w:sz="4" w:space="0" w:color="auto"/>
              <w:right w:val="single" w:sz="4" w:space="0" w:color="auto"/>
            </w:tcBorders>
            <w:shd w:val="clear" w:color="auto" w:fill="auto"/>
            <w:hideMark/>
          </w:tcPr>
          <w:p w14:paraId="4A15DEFD" w14:textId="77777777" w:rsidR="00B153EB" w:rsidRPr="00B153EB" w:rsidRDefault="00B153EB" w:rsidP="003A2CCC">
            <w:pPr>
              <w:spacing w:after="0"/>
              <w:jc w:val="left"/>
              <w:rPr>
                <w:rFonts w:ascii="Calibri" w:eastAsia="Times New Roman" w:hAnsi="Calibri" w:cs="Calibri"/>
                <w:color w:val="000000"/>
                <w:sz w:val="20"/>
                <w:szCs w:val="20"/>
                <w:lang w:val="en-US"/>
              </w:rPr>
            </w:pPr>
            <w:r w:rsidRPr="00B153EB">
              <w:rPr>
                <w:rFonts w:ascii="Calibri" w:eastAsia="Times New Roman" w:hAnsi="Calibri" w:cstheme="minorHAnsi"/>
                <w:color w:val="000000"/>
                <w:sz w:val="20"/>
                <w:szCs w:val="20"/>
              </w:rPr>
              <w:t> </w:t>
            </w:r>
          </w:p>
        </w:tc>
        <w:tc>
          <w:tcPr>
            <w:tcW w:w="215" w:type="pct"/>
            <w:tcBorders>
              <w:top w:val="nil"/>
              <w:left w:val="nil"/>
              <w:bottom w:val="single" w:sz="4" w:space="0" w:color="auto"/>
              <w:right w:val="single" w:sz="4" w:space="0" w:color="auto"/>
            </w:tcBorders>
            <w:shd w:val="clear" w:color="000000" w:fill="AEAAAA"/>
            <w:hideMark/>
          </w:tcPr>
          <w:p w14:paraId="441868A0" w14:textId="77777777" w:rsidR="00B153EB" w:rsidRPr="00B153EB" w:rsidRDefault="00B153EB" w:rsidP="003A2CCC">
            <w:pPr>
              <w:spacing w:after="0"/>
              <w:jc w:val="left"/>
              <w:rPr>
                <w:rFonts w:ascii="Calibri" w:eastAsia="Times New Roman" w:hAnsi="Calibri" w:cs="Calibri"/>
                <w:color w:val="000000"/>
                <w:sz w:val="20"/>
                <w:szCs w:val="20"/>
                <w:lang w:val="en-US"/>
              </w:rPr>
            </w:pPr>
            <w:r w:rsidRPr="00B153EB">
              <w:rPr>
                <w:rFonts w:ascii="Calibri" w:eastAsia="Times New Roman" w:hAnsi="Calibri" w:cstheme="minorHAnsi"/>
                <w:color w:val="000000"/>
                <w:sz w:val="20"/>
                <w:szCs w:val="20"/>
              </w:rPr>
              <w:t>Apr.</w:t>
            </w:r>
          </w:p>
        </w:tc>
        <w:tc>
          <w:tcPr>
            <w:tcW w:w="224" w:type="pct"/>
            <w:tcBorders>
              <w:top w:val="nil"/>
              <w:left w:val="nil"/>
              <w:bottom w:val="single" w:sz="4" w:space="0" w:color="auto"/>
              <w:right w:val="single" w:sz="4" w:space="0" w:color="auto"/>
            </w:tcBorders>
            <w:shd w:val="clear" w:color="auto" w:fill="auto"/>
            <w:hideMark/>
          </w:tcPr>
          <w:p w14:paraId="77729E5C" w14:textId="77777777" w:rsidR="00B153EB" w:rsidRPr="00B153EB" w:rsidRDefault="00B153EB" w:rsidP="003A2CCC">
            <w:pPr>
              <w:spacing w:after="0"/>
              <w:jc w:val="left"/>
              <w:rPr>
                <w:rFonts w:ascii="Calibri" w:eastAsia="Times New Roman" w:hAnsi="Calibri" w:cs="Calibri"/>
                <w:color w:val="000000"/>
                <w:sz w:val="20"/>
                <w:szCs w:val="20"/>
                <w:lang w:val="en-US"/>
              </w:rPr>
            </w:pPr>
            <w:r w:rsidRPr="00B153EB">
              <w:rPr>
                <w:rFonts w:ascii="Calibri" w:eastAsia="Times New Roman" w:hAnsi="Calibri" w:cstheme="minorHAnsi"/>
                <w:color w:val="000000"/>
                <w:sz w:val="20"/>
                <w:szCs w:val="20"/>
              </w:rPr>
              <w:t> </w:t>
            </w:r>
          </w:p>
        </w:tc>
        <w:tc>
          <w:tcPr>
            <w:tcW w:w="215" w:type="pct"/>
            <w:tcBorders>
              <w:top w:val="nil"/>
              <w:left w:val="nil"/>
              <w:bottom w:val="single" w:sz="4" w:space="0" w:color="auto"/>
              <w:right w:val="single" w:sz="4" w:space="0" w:color="auto"/>
            </w:tcBorders>
            <w:shd w:val="clear" w:color="auto" w:fill="auto"/>
            <w:hideMark/>
          </w:tcPr>
          <w:p w14:paraId="03322045" w14:textId="77777777" w:rsidR="00B153EB" w:rsidRPr="00B153EB" w:rsidRDefault="00B153EB" w:rsidP="003A2CCC">
            <w:pPr>
              <w:spacing w:after="0"/>
              <w:jc w:val="left"/>
              <w:rPr>
                <w:rFonts w:ascii="Calibri" w:eastAsia="Times New Roman" w:hAnsi="Calibri" w:cs="Calibri"/>
                <w:color w:val="000000"/>
                <w:sz w:val="20"/>
                <w:szCs w:val="20"/>
                <w:lang w:val="en-US"/>
              </w:rPr>
            </w:pPr>
            <w:r w:rsidRPr="00B153EB">
              <w:rPr>
                <w:rFonts w:ascii="Calibri" w:eastAsia="Times New Roman" w:hAnsi="Calibri" w:cstheme="minorHAnsi"/>
                <w:color w:val="000000"/>
                <w:sz w:val="20"/>
                <w:szCs w:val="20"/>
              </w:rPr>
              <w:t> </w:t>
            </w:r>
          </w:p>
        </w:tc>
        <w:tc>
          <w:tcPr>
            <w:tcW w:w="216" w:type="pct"/>
            <w:tcBorders>
              <w:top w:val="nil"/>
              <w:left w:val="nil"/>
              <w:bottom w:val="single" w:sz="4" w:space="0" w:color="auto"/>
              <w:right w:val="single" w:sz="4" w:space="0" w:color="auto"/>
            </w:tcBorders>
            <w:shd w:val="clear" w:color="auto" w:fill="auto"/>
            <w:hideMark/>
          </w:tcPr>
          <w:p w14:paraId="350C9976" w14:textId="77777777" w:rsidR="00B153EB" w:rsidRPr="00B153EB" w:rsidRDefault="00B153EB" w:rsidP="003A2CCC">
            <w:pPr>
              <w:spacing w:after="0"/>
              <w:jc w:val="left"/>
              <w:rPr>
                <w:rFonts w:ascii="Calibri" w:eastAsia="Times New Roman" w:hAnsi="Calibri" w:cs="Calibri"/>
                <w:color w:val="000000"/>
                <w:sz w:val="20"/>
                <w:szCs w:val="20"/>
                <w:lang w:val="en-US"/>
              </w:rPr>
            </w:pPr>
            <w:r w:rsidRPr="00B153EB">
              <w:rPr>
                <w:rFonts w:ascii="Calibri" w:eastAsia="Times New Roman" w:hAnsi="Calibri" w:cs="Calibri"/>
                <w:color w:val="000000"/>
                <w:sz w:val="20"/>
                <w:szCs w:val="20"/>
              </w:rPr>
              <w:t> </w:t>
            </w:r>
          </w:p>
        </w:tc>
        <w:tc>
          <w:tcPr>
            <w:tcW w:w="215" w:type="pct"/>
            <w:tcBorders>
              <w:top w:val="nil"/>
              <w:left w:val="nil"/>
              <w:bottom w:val="single" w:sz="4" w:space="0" w:color="auto"/>
              <w:right w:val="single" w:sz="4" w:space="0" w:color="auto"/>
            </w:tcBorders>
            <w:shd w:val="clear" w:color="000000" w:fill="AEAAAA"/>
            <w:hideMark/>
          </w:tcPr>
          <w:p w14:paraId="3F6805A8" w14:textId="77777777" w:rsidR="00B153EB" w:rsidRPr="00B153EB" w:rsidRDefault="00B153EB" w:rsidP="003A2CCC">
            <w:pPr>
              <w:spacing w:after="0"/>
              <w:jc w:val="left"/>
              <w:rPr>
                <w:rFonts w:ascii="Calibri" w:eastAsia="Times New Roman" w:hAnsi="Calibri" w:cs="Calibri"/>
                <w:color w:val="000000"/>
                <w:sz w:val="20"/>
                <w:szCs w:val="20"/>
                <w:lang w:val="en-US"/>
              </w:rPr>
            </w:pPr>
            <w:r w:rsidRPr="00B153EB">
              <w:rPr>
                <w:rFonts w:ascii="Calibri" w:eastAsia="Times New Roman" w:hAnsi="Calibri" w:cstheme="minorHAnsi"/>
                <w:color w:val="000000"/>
                <w:sz w:val="20"/>
                <w:szCs w:val="20"/>
              </w:rPr>
              <w:t>Apr.</w:t>
            </w:r>
          </w:p>
        </w:tc>
      </w:tr>
      <w:tr w:rsidR="00B153EB" w:rsidRPr="00B153EB" w14:paraId="5314C382" w14:textId="77777777" w:rsidTr="0061262A">
        <w:trPr>
          <w:trHeight w:val="300"/>
        </w:trPr>
        <w:tc>
          <w:tcPr>
            <w:tcW w:w="1528" w:type="pct"/>
            <w:tcBorders>
              <w:top w:val="nil"/>
              <w:left w:val="single" w:sz="4" w:space="0" w:color="auto"/>
              <w:bottom w:val="single" w:sz="4" w:space="0" w:color="auto"/>
              <w:right w:val="single" w:sz="4" w:space="0" w:color="auto"/>
            </w:tcBorders>
            <w:shd w:val="clear" w:color="auto" w:fill="auto"/>
            <w:hideMark/>
          </w:tcPr>
          <w:p w14:paraId="6CB53261" w14:textId="77777777" w:rsidR="00B153EB" w:rsidRPr="00B153EB" w:rsidRDefault="00B153EB" w:rsidP="003A2CCC">
            <w:pPr>
              <w:spacing w:after="0"/>
              <w:jc w:val="left"/>
              <w:rPr>
                <w:rFonts w:ascii="Calibri" w:eastAsia="Times New Roman" w:hAnsi="Calibri" w:cs="Calibri"/>
                <w:color w:val="000000"/>
                <w:sz w:val="20"/>
                <w:szCs w:val="20"/>
                <w:lang w:val="en-US"/>
              </w:rPr>
            </w:pPr>
            <w:r w:rsidRPr="00B153EB">
              <w:rPr>
                <w:rFonts w:ascii="Calibri" w:eastAsia="Times New Roman" w:hAnsi="Calibri" w:cstheme="minorHAnsi"/>
                <w:color w:val="000000"/>
                <w:sz w:val="20"/>
                <w:szCs w:val="20"/>
              </w:rPr>
              <w:t>Endline Survey</w:t>
            </w:r>
          </w:p>
        </w:tc>
        <w:tc>
          <w:tcPr>
            <w:tcW w:w="216" w:type="pct"/>
            <w:tcBorders>
              <w:top w:val="nil"/>
              <w:left w:val="nil"/>
              <w:bottom w:val="single" w:sz="4" w:space="0" w:color="auto"/>
              <w:right w:val="single" w:sz="4" w:space="0" w:color="auto"/>
            </w:tcBorders>
            <w:shd w:val="clear" w:color="auto" w:fill="auto"/>
            <w:hideMark/>
          </w:tcPr>
          <w:p w14:paraId="7E5AA37A" w14:textId="77777777" w:rsidR="00B153EB" w:rsidRPr="00B153EB" w:rsidRDefault="00B153EB" w:rsidP="003A2CCC">
            <w:pPr>
              <w:spacing w:after="0"/>
              <w:jc w:val="left"/>
              <w:rPr>
                <w:rFonts w:ascii="Calibri" w:eastAsia="Times New Roman" w:hAnsi="Calibri" w:cs="Calibri"/>
                <w:color w:val="000000"/>
                <w:sz w:val="20"/>
                <w:szCs w:val="20"/>
                <w:lang w:val="en-US"/>
              </w:rPr>
            </w:pPr>
            <w:r w:rsidRPr="00B153EB">
              <w:rPr>
                <w:rFonts w:ascii="Calibri" w:eastAsia="Times New Roman" w:hAnsi="Calibri" w:cstheme="minorHAnsi"/>
                <w:color w:val="000000"/>
                <w:sz w:val="20"/>
                <w:szCs w:val="20"/>
              </w:rPr>
              <w:t> </w:t>
            </w:r>
          </w:p>
        </w:tc>
        <w:tc>
          <w:tcPr>
            <w:tcW w:w="215" w:type="pct"/>
            <w:tcBorders>
              <w:top w:val="nil"/>
              <w:left w:val="nil"/>
              <w:bottom w:val="single" w:sz="4" w:space="0" w:color="auto"/>
              <w:right w:val="single" w:sz="4" w:space="0" w:color="auto"/>
            </w:tcBorders>
            <w:shd w:val="clear" w:color="auto" w:fill="auto"/>
            <w:hideMark/>
          </w:tcPr>
          <w:p w14:paraId="763E836A" w14:textId="77777777" w:rsidR="00B153EB" w:rsidRPr="00B153EB" w:rsidRDefault="00B153EB" w:rsidP="003A2CCC">
            <w:pPr>
              <w:spacing w:after="0"/>
              <w:jc w:val="left"/>
              <w:rPr>
                <w:rFonts w:ascii="Calibri" w:eastAsia="Times New Roman" w:hAnsi="Calibri" w:cs="Calibri"/>
                <w:color w:val="000000"/>
                <w:sz w:val="20"/>
                <w:szCs w:val="20"/>
                <w:lang w:val="en-US"/>
              </w:rPr>
            </w:pPr>
            <w:r w:rsidRPr="00B153EB">
              <w:rPr>
                <w:rFonts w:ascii="Calibri" w:eastAsia="Times New Roman" w:hAnsi="Calibri" w:cstheme="minorHAnsi"/>
                <w:color w:val="000000"/>
                <w:sz w:val="20"/>
                <w:szCs w:val="20"/>
              </w:rPr>
              <w:t> </w:t>
            </w:r>
          </w:p>
        </w:tc>
        <w:tc>
          <w:tcPr>
            <w:tcW w:w="216" w:type="pct"/>
            <w:tcBorders>
              <w:top w:val="nil"/>
              <w:left w:val="nil"/>
              <w:bottom w:val="single" w:sz="4" w:space="0" w:color="auto"/>
              <w:right w:val="single" w:sz="4" w:space="0" w:color="auto"/>
            </w:tcBorders>
            <w:shd w:val="clear" w:color="auto" w:fill="auto"/>
            <w:hideMark/>
          </w:tcPr>
          <w:p w14:paraId="574482B3" w14:textId="77777777" w:rsidR="00B153EB" w:rsidRPr="00B153EB" w:rsidRDefault="00B153EB" w:rsidP="003A2CCC">
            <w:pPr>
              <w:spacing w:after="0"/>
              <w:jc w:val="left"/>
              <w:rPr>
                <w:rFonts w:ascii="Calibri" w:eastAsia="Times New Roman" w:hAnsi="Calibri" w:cs="Calibri"/>
                <w:color w:val="000000"/>
                <w:sz w:val="20"/>
                <w:szCs w:val="20"/>
                <w:lang w:val="en-US"/>
              </w:rPr>
            </w:pPr>
            <w:r w:rsidRPr="00B153EB">
              <w:rPr>
                <w:rFonts w:ascii="Calibri" w:eastAsia="Times New Roman" w:hAnsi="Calibri" w:cstheme="minorHAnsi"/>
                <w:color w:val="000000"/>
                <w:sz w:val="20"/>
                <w:szCs w:val="20"/>
              </w:rPr>
              <w:t> </w:t>
            </w:r>
          </w:p>
        </w:tc>
        <w:tc>
          <w:tcPr>
            <w:tcW w:w="215" w:type="pct"/>
            <w:tcBorders>
              <w:top w:val="nil"/>
              <w:left w:val="nil"/>
              <w:bottom w:val="single" w:sz="4" w:space="0" w:color="auto"/>
              <w:right w:val="single" w:sz="4" w:space="0" w:color="auto"/>
            </w:tcBorders>
            <w:shd w:val="clear" w:color="auto" w:fill="auto"/>
            <w:hideMark/>
          </w:tcPr>
          <w:p w14:paraId="7A56FD57" w14:textId="77777777" w:rsidR="00B153EB" w:rsidRPr="00B153EB" w:rsidRDefault="00B153EB" w:rsidP="003A2CCC">
            <w:pPr>
              <w:spacing w:after="0"/>
              <w:jc w:val="left"/>
              <w:rPr>
                <w:rFonts w:ascii="Calibri" w:eastAsia="Times New Roman" w:hAnsi="Calibri" w:cs="Calibri"/>
                <w:color w:val="000000"/>
                <w:sz w:val="20"/>
                <w:szCs w:val="20"/>
                <w:lang w:val="en-US"/>
              </w:rPr>
            </w:pPr>
            <w:r w:rsidRPr="00B153EB">
              <w:rPr>
                <w:rFonts w:ascii="Calibri" w:eastAsia="Times New Roman" w:hAnsi="Calibri" w:cstheme="minorHAnsi"/>
                <w:color w:val="000000"/>
                <w:sz w:val="20"/>
                <w:szCs w:val="20"/>
              </w:rPr>
              <w:t> </w:t>
            </w:r>
          </w:p>
        </w:tc>
        <w:tc>
          <w:tcPr>
            <w:tcW w:w="224" w:type="pct"/>
            <w:tcBorders>
              <w:top w:val="nil"/>
              <w:left w:val="nil"/>
              <w:bottom w:val="single" w:sz="4" w:space="0" w:color="auto"/>
              <w:right w:val="single" w:sz="4" w:space="0" w:color="auto"/>
            </w:tcBorders>
            <w:shd w:val="clear" w:color="auto" w:fill="auto"/>
            <w:hideMark/>
          </w:tcPr>
          <w:p w14:paraId="7641FD85" w14:textId="77777777" w:rsidR="00B153EB" w:rsidRPr="00B153EB" w:rsidRDefault="00B153EB" w:rsidP="003A2CCC">
            <w:pPr>
              <w:spacing w:after="0"/>
              <w:jc w:val="left"/>
              <w:rPr>
                <w:rFonts w:ascii="Calibri" w:eastAsia="Times New Roman" w:hAnsi="Calibri" w:cs="Calibri"/>
                <w:color w:val="000000"/>
                <w:sz w:val="20"/>
                <w:szCs w:val="20"/>
                <w:lang w:val="en-US"/>
              </w:rPr>
            </w:pPr>
            <w:r w:rsidRPr="00B153EB">
              <w:rPr>
                <w:rFonts w:ascii="Calibri" w:eastAsia="Times New Roman" w:hAnsi="Calibri" w:cstheme="minorHAnsi"/>
                <w:color w:val="000000"/>
                <w:sz w:val="20"/>
                <w:szCs w:val="20"/>
              </w:rPr>
              <w:t> </w:t>
            </w:r>
          </w:p>
        </w:tc>
        <w:tc>
          <w:tcPr>
            <w:tcW w:w="215" w:type="pct"/>
            <w:tcBorders>
              <w:top w:val="nil"/>
              <w:left w:val="nil"/>
              <w:bottom w:val="single" w:sz="4" w:space="0" w:color="auto"/>
              <w:right w:val="single" w:sz="4" w:space="0" w:color="auto"/>
            </w:tcBorders>
            <w:shd w:val="clear" w:color="auto" w:fill="auto"/>
            <w:hideMark/>
          </w:tcPr>
          <w:p w14:paraId="5CA7CE87" w14:textId="77777777" w:rsidR="00B153EB" w:rsidRPr="00B153EB" w:rsidRDefault="00B153EB" w:rsidP="003A2CCC">
            <w:pPr>
              <w:spacing w:after="0"/>
              <w:jc w:val="left"/>
              <w:rPr>
                <w:rFonts w:ascii="Calibri" w:eastAsia="Times New Roman" w:hAnsi="Calibri" w:cs="Calibri"/>
                <w:color w:val="000000"/>
                <w:sz w:val="20"/>
                <w:szCs w:val="20"/>
                <w:lang w:val="en-US"/>
              </w:rPr>
            </w:pPr>
            <w:r w:rsidRPr="00B153EB">
              <w:rPr>
                <w:rFonts w:ascii="Calibri" w:eastAsia="Times New Roman" w:hAnsi="Calibri" w:cstheme="minorHAnsi"/>
                <w:color w:val="000000"/>
                <w:sz w:val="20"/>
                <w:szCs w:val="20"/>
              </w:rPr>
              <w:t> </w:t>
            </w:r>
          </w:p>
        </w:tc>
        <w:tc>
          <w:tcPr>
            <w:tcW w:w="216" w:type="pct"/>
            <w:tcBorders>
              <w:top w:val="nil"/>
              <w:left w:val="nil"/>
              <w:bottom w:val="single" w:sz="4" w:space="0" w:color="auto"/>
              <w:right w:val="single" w:sz="4" w:space="0" w:color="auto"/>
            </w:tcBorders>
            <w:shd w:val="clear" w:color="auto" w:fill="auto"/>
            <w:hideMark/>
          </w:tcPr>
          <w:p w14:paraId="2CAAEA95" w14:textId="77777777" w:rsidR="00B153EB" w:rsidRPr="00B153EB" w:rsidRDefault="00B153EB" w:rsidP="003A2CCC">
            <w:pPr>
              <w:spacing w:after="0"/>
              <w:jc w:val="left"/>
              <w:rPr>
                <w:rFonts w:ascii="Calibri" w:eastAsia="Times New Roman" w:hAnsi="Calibri" w:cs="Calibri"/>
                <w:color w:val="000000"/>
                <w:sz w:val="20"/>
                <w:szCs w:val="20"/>
                <w:lang w:val="en-US"/>
              </w:rPr>
            </w:pPr>
            <w:r w:rsidRPr="00B153EB">
              <w:rPr>
                <w:rFonts w:ascii="Calibri" w:eastAsia="Times New Roman" w:hAnsi="Calibri" w:cstheme="minorHAnsi"/>
                <w:color w:val="000000"/>
                <w:sz w:val="20"/>
                <w:szCs w:val="20"/>
              </w:rPr>
              <w:t> </w:t>
            </w:r>
          </w:p>
        </w:tc>
        <w:tc>
          <w:tcPr>
            <w:tcW w:w="215" w:type="pct"/>
            <w:tcBorders>
              <w:top w:val="nil"/>
              <w:left w:val="nil"/>
              <w:bottom w:val="single" w:sz="4" w:space="0" w:color="auto"/>
              <w:right w:val="single" w:sz="4" w:space="0" w:color="auto"/>
            </w:tcBorders>
            <w:shd w:val="clear" w:color="auto" w:fill="auto"/>
            <w:hideMark/>
          </w:tcPr>
          <w:p w14:paraId="33F6324B" w14:textId="77777777" w:rsidR="00B153EB" w:rsidRPr="00B153EB" w:rsidRDefault="00B153EB" w:rsidP="003A2CCC">
            <w:pPr>
              <w:spacing w:after="0"/>
              <w:jc w:val="left"/>
              <w:rPr>
                <w:rFonts w:ascii="Calibri" w:eastAsia="Times New Roman" w:hAnsi="Calibri" w:cs="Calibri"/>
                <w:color w:val="000000"/>
                <w:sz w:val="20"/>
                <w:szCs w:val="20"/>
                <w:lang w:val="en-US"/>
              </w:rPr>
            </w:pPr>
            <w:r w:rsidRPr="00B153EB">
              <w:rPr>
                <w:rFonts w:ascii="Calibri" w:eastAsia="Times New Roman" w:hAnsi="Calibri" w:cstheme="minorHAnsi"/>
                <w:color w:val="000000"/>
                <w:sz w:val="20"/>
                <w:szCs w:val="20"/>
              </w:rPr>
              <w:t> </w:t>
            </w:r>
          </w:p>
        </w:tc>
        <w:tc>
          <w:tcPr>
            <w:tcW w:w="224" w:type="pct"/>
            <w:tcBorders>
              <w:top w:val="nil"/>
              <w:left w:val="nil"/>
              <w:bottom w:val="single" w:sz="4" w:space="0" w:color="auto"/>
              <w:right w:val="single" w:sz="4" w:space="0" w:color="auto"/>
            </w:tcBorders>
            <w:shd w:val="clear" w:color="auto" w:fill="auto"/>
            <w:hideMark/>
          </w:tcPr>
          <w:p w14:paraId="06F42AC3" w14:textId="77777777" w:rsidR="00B153EB" w:rsidRPr="00B153EB" w:rsidRDefault="00B153EB" w:rsidP="003A2CCC">
            <w:pPr>
              <w:spacing w:after="0"/>
              <w:jc w:val="left"/>
              <w:rPr>
                <w:rFonts w:ascii="Calibri" w:eastAsia="Times New Roman" w:hAnsi="Calibri" w:cs="Calibri"/>
                <w:color w:val="000000"/>
                <w:sz w:val="20"/>
                <w:szCs w:val="20"/>
                <w:lang w:val="en-US"/>
              </w:rPr>
            </w:pPr>
            <w:r w:rsidRPr="00B153EB">
              <w:rPr>
                <w:rFonts w:ascii="Calibri" w:eastAsia="Times New Roman" w:hAnsi="Calibri" w:cstheme="minorHAnsi"/>
                <w:color w:val="000000"/>
                <w:sz w:val="20"/>
                <w:szCs w:val="20"/>
              </w:rPr>
              <w:t> </w:t>
            </w:r>
          </w:p>
        </w:tc>
        <w:tc>
          <w:tcPr>
            <w:tcW w:w="215" w:type="pct"/>
            <w:tcBorders>
              <w:top w:val="nil"/>
              <w:left w:val="nil"/>
              <w:bottom w:val="single" w:sz="4" w:space="0" w:color="auto"/>
              <w:right w:val="single" w:sz="4" w:space="0" w:color="auto"/>
            </w:tcBorders>
            <w:shd w:val="clear" w:color="auto" w:fill="auto"/>
            <w:hideMark/>
          </w:tcPr>
          <w:p w14:paraId="60192134" w14:textId="77777777" w:rsidR="00B153EB" w:rsidRPr="00B153EB" w:rsidRDefault="00B153EB" w:rsidP="003A2CCC">
            <w:pPr>
              <w:spacing w:after="0"/>
              <w:jc w:val="left"/>
              <w:rPr>
                <w:rFonts w:ascii="Calibri" w:eastAsia="Times New Roman" w:hAnsi="Calibri" w:cs="Calibri"/>
                <w:color w:val="000000"/>
                <w:sz w:val="20"/>
                <w:szCs w:val="20"/>
                <w:lang w:val="en-US"/>
              </w:rPr>
            </w:pPr>
            <w:r w:rsidRPr="00B153EB">
              <w:rPr>
                <w:rFonts w:ascii="Calibri" w:eastAsia="Times New Roman" w:hAnsi="Calibri" w:cstheme="minorHAnsi"/>
                <w:color w:val="000000"/>
                <w:sz w:val="20"/>
                <w:szCs w:val="20"/>
              </w:rPr>
              <w:t> </w:t>
            </w:r>
          </w:p>
        </w:tc>
        <w:tc>
          <w:tcPr>
            <w:tcW w:w="216" w:type="pct"/>
            <w:tcBorders>
              <w:top w:val="nil"/>
              <w:left w:val="nil"/>
              <w:bottom w:val="single" w:sz="4" w:space="0" w:color="auto"/>
              <w:right w:val="single" w:sz="4" w:space="0" w:color="auto"/>
            </w:tcBorders>
            <w:shd w:val="clear" w:color="auto" w:fill="auto"/>
            <w:hideMark/>
          </w:tcPr>
          <w:p w14:paraId="3F1BA1BB" w14:textId="77777777" w:rsidR="00B153EB" w:rsidRPr="00B153EB" w:rsidRDefault="00B153EB" w:rsidP="003A2CCC">
            <w:pPr>
              <w:spacing w:after="0"/>
              <w:jc w:val="left"/>
              <w:rPr>
                <w:rFonts w:ascii="Calibri" w:eastAsia="Times New Roman" w:hAnsi="Calibri" w:cs="Calibri"/>
                <w:color w:val="000000"/>
                <w:sz w:val="20"/>
                <w:szCs w:val="20"/>
                <w:lang w:val="en-US"/>
              </w:rPr>
            </w:pPr>
            <w:r w:rsidRPr="00B153EB">
              <w:rPr>
                <w:rFonts w:ascii="Calibri" w:eastAsia="Times New Roman" w:hAnsi="Calibri" w:cstheme="minorHAnsi"/>
                <w:color w:val="000000"/>
                <w:sz w:val="20"/>
                <w:szCs w:val="20"/>
              </w:rPr>
              <w:t> </w:t>
            </w:r>
          </w:p>
        </w:tc>
        <w:tc>
          <w:tcPr>
            <w:tcW w:w="215" w:type="pct"/>
            <w:tcBorders>
              <w:top w:val="nil"/>
              <w:left w:val="nil"/>
              <w:bottom w:val="single" w:sz="4" w:space="0" w:color="auto"/>
              <w:right w:val="single" w:sz="4" w:space="0" w:color="auto"/>
            </w:tcBorders>
            <w:shd w:val="clear" w:color="auto" w:fill="auto"/>
            <w:hideMark/>
          </w:tcPr>
          <w:p w14:paraId="2218549C" w14:textId="77777777" w:rsidR="00B153EB" w:rsidRPr="00B153EB" w:rsidRDefault="00B153EB" w:rsidP="003A2CCC">
            <w:pPr>
              <w:spacing w:after="0"/>
              <w:jc w:val="left"/>
              <w:rPr>
                <w:rFonts w:ascii="Calibri" w:eastAsia="Times New Roman" w:hAnsi="Calibri" w:cs="Calibri"/>
                <w:color w:val="000000"/>
                <w:sz w:val="20"/>
                <w:szCs w:val="20"/>
                <w:lang w:val="en-US"/>
              </w:rPr>
            </w:pPr>
            <w:r w:rsidRPr="00B153EB">
              <w:rPr>
                <w:rFonts w:ascii="Calibri" w:eastAsia="Times New Roman" w:hAnsi="Calibri" w:cstheme="minorHAnsi"/>
                <w:color w:val="000000"/>
                <w:sz w:val="20"/>
                <w:szCs w:val="20"/>
              </w:rPr>
              <w:t> </w:t>
            </w:r>
          </w:p>
        </w:tc>
        <w:tc>
          <w:tcPr>
            <w:tcW w:w="224" w:type="pct"/>
            <w:tcBorders>
              <w:top w:val="nil"/>
              <w:left w:val="nil"/>
              <w:bottom w:val="single" w:sz="4" w:space="0" w:color="auto"/>
              <w:right w:val="single" w:sz="4" w:space="0" w:color="auto"/>
            </w:tcBorders>
            <w:shd w:val="clear" w:color="auto" w:fill="auto"/>
            <w:hideMark/>
          </w:tcPr>
          <w:p w14:paraId="1A7297B3" w14:textId="77777777" w:rsidR="00B153EB" w:rsidRPr="00B153EB" w:rsidRDefault="00B153EB" w:rsidP="003A2CCC">
            <w:pPr>
              <w:spacing w:after="0"/>
              <w:jc w:val="left"/>
              <w:rPr>
                <w:rFonts w:ascii="Calibri" w:eastAsia="Times New Roman" w:hAnsi="Calibri" w:cs="Calibri"/>
                <w:color w:val="000000"/>
                <w:sz w:val="20"/>
                <w:szCs w:val="20"/>
                <w:lang w:val="en-US"/>
              </w:rPr>
            </w:pPr>
            <w:r w:rsidRPr="00B153EB">
              <w:rPr>
                <w:rFonts w:ascii="Calibri" w:eastAsia="Times New Roman" w:hAnsi="Calibri" w:cstheme="minorHAnsi"/>
                <w:color w:val="000000"/>
                <w:sz w:val="20"/>
                <w:szCs w:val="20"/>
              </w:rPr>
              <w:t> </w:t>
            </w:r>
          </w:p>
        </w:tc>
        <w:tc>
          <w:tcPr>
            <w:tcW w:w="215" w:type="pct"/>
            <w:tcBorders>
              <w:top w:val="nil"/>
              <w:left w:val="nil"/>
              <w:bottom w:val="single" w:sz="4" w:space="0" w:color="auto"/>
              <w:right w:val="single" w:sz="4" w:space="0" w:color="auto"/>
            </w:tcBorders>
            <w:shd w:val="clear" w:color="auto" w:fill="auto"/>
            <w:hideMark/>
          </w:tcPr>
          <w:p w14:paraId="39327C41" w14:textId="77777777" w:rsidR="00B153EB" w:rsidRPr="00B153EB" w:rsidRDefault="00B153EB" w:rsidP="003A2CCC">
            <w:pPr>
              <w:spacing w:after="0"/>
              <w:jc w:val="left"/>
              <w:rPr>
                <w:rFonts w:ascii="Calibri" w:eastAsia="Times New Roman" w:hAnsi="Calibri" w:cs="Calibri"/>
                <w:color w:val="000000"/>
                <w:sz w:val="20"/>
                <w:szCs w:val="20"/>
                <w:lang w:val="en-US"/>
              </w:rPr>
            </w:pPr>
            <w:r w:rsidRPr="00B153EB">
              <w:rPr>
                <w:rFonts w:ascii="Calibri" w:eastAsia="Times New Roman" w:hAnsi="Calibri" w:cstheme="minorHAnsi"/>
                <w:color w:val="000000"/>
                <w:sz w:val="20"/>
                <w:szCs w:val="20"/>
              </w:rPr>
              <w:t> </w:t>
            </w:r>
          </w:p>
        </w:tc>
        <w:tc>
          <w:tcPr>
            <w:tcW w:w="216" w:type="pct"/>
            <w:tcBorders>
              <w:top w:val="nil"/>
              <w:left w:val="nil"/>
              <w:bottom w:val="single" w:sz="4" w:space="0" w:color="auto"/>
              <w:right w:val="single" w:sz="4" w:space="0" w:color="auto"/>
            </w:tcBorders>
            <w:shd w:val="clear" w:color="000000" w:fill="AEAAAA"/>
            <w:hideMark/>
          </w:tcPr>
          <w:p w14:paraId="60D5955D" w14:textId="77777777" w:rsidR="00B153EB" w:rsidRPr="00B153EB" w:rsidRDefault="00B153EB" w:rsidP="003A2CCC">
            <w:pPr>
              <w:spacing w:after="0"/>
              <w:jc w:val="left"/>
              <w:rPr>
                <w:rFonts w:ascii="Calibri" w:eastAsia="Times New Roman" w:hAnsi="Calibri" w:cs="Calibri"/>
                <w:color w:val="000000"/>
                <w:sz w:val="20"/>
                <w:szCs w:val="20"/>
                <w:lang w:val="en-US"/>
              </w:rPr>
            </w:pPr>
            <w:r w:rsidRPr="00B153EB">
              <w:rPr>
                <w:rFonts w:ascii="Calibri" w:eastAsia="Times New Roman" w:hAnsi="Calibri" w:cs="Calibri"/>
                <w:color w:val="000000"/>
                <w:sz w:val="20"/>
                <w:szCs w:val="20"/>
                <w:lang w:val="en-US"/>
              </w:rPr>
              <w:t> </w:t>
            </w:r>
          </w:p>
        </w:tc>
        <w:tc>
          <w:tcPr>
            <w:tcW w:w="215" w:type="pct"/>
            <w:tcBorders>
              <w:top w:val="nil"/>
              <w:left w:val="nil"/>
              <w:bottom w:val="single" w:sz="4" w:space="0" w:color="auto"/>
              <w:right w:val="single" w:sz="4" w:space="0" w:color="auto"/>
            </w:tcBorders>
            <w:shd w:val="clear" w:color="000000" w:fill="AEAAAA"/>
            <w:hideMark/>
          </w:tcPr>
          <w:p w14:paraId="7CD0031F" w14:textId="77777777" w:rsidR="00B153EB" w:rsidRPr="00B153EB" w:rsidRDefault="00B153EB" w:rsidP="003A2CCC">
            <w:pPr>
              <w:spacing w:after="0"/>
              <w:jc w:val="left"/>
              <w:rPr>
                <w:rFonts w:ascii="Calibri" w:eastAsia="Times New Roman" w:hAnsi="Calibri" w:cs="Calibri"/>
                <w:color w:val="000000"/>
                <w:sz w:val="20"/>
                <w:szCs w:val="20"/>
                <w:lang w:val="en-US"/>
              </w:rPr>
            </w:pPr>
            <w:r w:rsidRPr="00B153EB">
              <w:rPr>
                <w:rFonts w:ascii="Calibri" w:eastAsia="Times New Roman" w:hAnsi="Calibri" w:cstheme="minorHAnsi"/>
                <w:color w:val="000000"/>
                <w:sz w:val="20"/>
                <w:szCs w:val="20"/>
              </w:rPr>
              <w:t> </w:t>
            </w:r>
          </w:p>
        </w:tc>
      </w:tr>
      <w:tr w:rsidR="00B153EB" w:rsidRPr="00B153EB" w14:paraId="0EA53446" w14:textId="77777777" w:rsidTr="0061262A">
        <w:trPr>
          <w:trHeight w:val="300"/>
        </w:trPr>
        <w:tc>
          <w:tcPr>
            <w:tcW w:w="1528" w:type="pct"/>
            <w:tcBorders>
              <w:top w:val="nil"/>
              <w:left w:val="single" w:sz="4" w:space="0" w:color="auto"/>
              <w:bottom w:val="single" w:sz="4" w:space="0" w:color="auto"/>
              <w:right w:val="single" w:sz="4" w:space="0" w:color="auto"/>
            </w:tcBorders>
            <w:shd w:val="clear" w:color="auto" w:fill="auto"/>
            <w:hideMark/>
          </w:tcPr>
          <w:p w14:paraId="5E9D26D2" w14:textId="77777777" w:rsidR="00B153EB" w:rsidRPr="00B153EB" w:rsidRDefault="00B153EB" w:rsidP="003A2CCC">
            <w:pPr>
              <w:spacing w:after="0"/>
              <w:jc w:val="left"/>
              <w:rPr>
                <w:rFonts w:ascii="Calibri" w:eastAsia="Times New Roman" w:hAnsi="Calibri" w:cs="Calibri"/>
                <w:color w:val="000000"/>
                <w:sz w:val="20"/>
                <w:szCs w:val="20"/>
                <w:lang w:val="en-US"/>
              </w:rPr>
            </w:pPr>
            <w:r w:rsidRPr="00B153EB">
              <w:rPr>
                <w:rFonts w:ascii="Calibri" w:eastAsia="Times New Roman" w:hAnsi="Calibri" w:cstheme="minorHAnsi"/>
                <w:color w:val="000000"/>
                <w:sz w:val="20"/>
                <w:szCs w:val="20"/>
              </w:rPr>
              <w:t>Court Monitoring</w:t>
            </w:r>
          </w:p>
        </w:tc>
        <w:tc>
          <w:tcPr>
            <w:tcW w:w="216" w:type="pct"/>
            <w:tcBorders>
              <w:top w:val="nil"/>
              <w:left w:val="nil"/>
              <w:bottom w:val="single" w:sz="4" w:space="0" w:color="auto"/>
              <w:right w:val="single" w:sz="4" w:space="0" w:color="auto"/>
            </w:tcBorders>
            <w:shd w:val="clear" w:color="000000" w:fill="AEAAAA"/>
            <w:hideMark/>
          </w:tcPr>
          <w:p w14:paraId="4DE722E6" w14:textId="77777777" w:rsidR="00B153EB" w:rsidRPr="00B153EB" w:rsidRDefault="00B153EB" w:rsidP="003A2CCC">
            <w:pPr>
              <w:spacing w:after="0"/>
              <w:jc w:val="left"/>
              <w:rPr>
                <w:rFonts w:ascii="Calibri" w:eastAsia="Times New Roman" w:hAnsi="Calibri" w:cs="Calibri"/>
                <w:color w:val="000000"/>
                <w:sz w:val="20"/>
                <w:szCs w:val="20"/>
                <w:lang w:val="en-US"/>
              </w:rPr>
            </w:pPr>
            <w:r w:rsidRPr="00B153EB">
              <w:rPr>
                <w:rFonts w:ascii="Calibri" w:eastAsia="Times New Roman" w:hAnsi="Calibri" w:cstheme="minorHAnsi"/>
                <w:color w:val="000000"/>
                <w:sz w:val="20"/>
                <w:szCs w:val="20"/>
              </w:rPr>
              <w:t> </w:t>
            </w:r>
          </w:p>
        </w:tc>
        <w:tc>
          <w:tcPr>
            <w:tcW w:w="215" w:type="pct"/>
            <w:tcBorders>
              <w:top w:val="nil"/>
              <w:left w:val="nil"/>
              <w:bottom w:val="single" w:sz="4" w:space="0" w:color="auto"/>
              <w:right w:val="single" w:sz="4" w:space="0" w:color="auto"/>
            </w:tcBorders>
            <w:shd w:val="clear" w:color="000000" w:fill="AEAAAA"/>
            <w:hideMark/>
          </w:tcPr>
          <w:p w14:paraId="3732BEE0" w14:textId="77777777" w:rsidR="00B153EB" w:rsidRPr="00B153EB" w:rsidRDefault="00B153EB" w:rsidP="003A2CCC">
            <w:pPr>
              <w:spacing w:after="0"/>
              <w:jc w:val="left"/>
              <w:rPr>
                <w:rFonts w:ascii="Calibri" w:eastAsia="Times New Roman" w:hAnsi="Calibri" w:cs="Calibri"/>
                <w:color w:val="000000"/>
                <w:sz w:val="20"/>
                <w:szCs w:val="20"/>
                <w:lang w:val="en-US"/>
              </w:rPr>
            </w:pPr>
            <w:r w:rsidRPr="00B153EB">
              <w:rPr>
                <w:rFonts w:ascii="Calibri" w:eastAsia="Times New Roman" w:hAnsi="Calibri" w:cstheme="minorHAnsi"/>
                <w:color w:val="000000"/>
                <w:sz w:val="20"/>
                <w:szCs w:val="20"/>
              </w:rPr>
              <w:t> </w:t>
            </w:r>
          </w:p>
        </w:tc>
        <w:tc>
          <w:tcPr>
            <w:tcW w:w="216" w:type="pct"/>
            <w:tcBorders>
              <w:top w:val="nil"/>
              <w:left w:val="nil"/>
              <w:bottom w:val="single" w:sz="4" w:space="0" w:color="auto"/>
              <w:right w:val="single" w:sz="4" w:space="0" w:color="auto"/>
            </w:tcBorders>
            <w:shd w:val="clear" w:color="000000" w:fill="AEAAAA"/>
            <w:hideMark/>
          </w:tcPr>
          <w:p w14:paraId="30D171BD" w14:textId="77777777" w:rsidR="00B153EB" w:rsidRPr="00B153EB" w:rsidRDefault="00B153EB" w:rsidP="003A2CCC">
            <w:pPr>
              <w:spacing w:after="0"/>
              <w:jc w:val="left"/>
              <w:rPr>
                <w:rFonts w:ascii="Calibri" w:eastAsia="Times New Roman" w:hAnsi="Calibri" w:cs="Calibri"/>
                <w:color w:val="000000"/>
                <w:sz w:val="20"/>
                <w:szCs w:val="20"/>
                <w:lang w:val="en-US"/>
              </w:rPr>
            </w:pPr>
            <w:r w:rsidRPr="00B153EB">
              <w:rPr>
                <w:rFonts w:ascii="Calibri" w:eastAsia="Times New Roman" w:hAnsi="Calibri" w:cstheme="minorHAnsi"/>
                <w:color w:val="000000"/>
                <w:sz w:val="20"/>
                <w:szCs w:val="20"/>
              </w:rPr>
              <w:t> </w:t>
            </w:r>
          </w:p>
        </w:tc>
        <w:tc>
          <w:tcPr>
            <w:tcW w:w="215" w:type="pct"/>
            <w:tcBorders>
              <w:top w:val="nil"/>
              <w:left w:val="nil"/>
              <w:bottom w:val="single" w:sz="4" w:space="0" w:color="auto"/>
              <w:right w:val="single" w:sz="4" w:space="0" w:color="auto"/>
            </w:tcBorders>
            <w:shd w:val="clear" w:color="000000" w:fill="AEAAAA"/>
            <w:hideMark/>
          </w:tcPr>
          <w:p w14:paraId="6E053BBF" w14:textId="77777777" w:rsidR="00B153EB" w:rsidRPr="00B153EB" w:rsidRDefault="00B153EB" w:rsidP="003A2CCC">
            <w:pPr>
              <w:spacing w:after="0"/>
              <w:jc w:val="left"/>
              <w:rPr>
                <w:rFonts w:ascii="Calibri" w:eastAsia="Times New Roman" w:hAnsi="Calibri" w:cs="Calibri"/>
                <w:color w:val="000000"/>
                <w:sz w:val="20"/>
                <w:szCs w:val="20"/>
                <w:lang w:val="en-US"/>
              </w:rPr>
            </w:pPr>
            <w:r w:rsidRPr="00B153EB">
              <w:rPr>
                <w:rFonts w:ascii="Calibri" w:eastAsia="Times New Roman" w:hAnsi="Calibri" w:cstheme="minorHAnsi"/>
                <w:color w:val="000000"/>
                <w:sz w:val="20"/>
                <w:szCs w:val="20"/>
              </w:rPr>
              <w:t> </w:t>
            </w:r>
          </w:p>
        </w:tc>
        <w:tc>
          <w:tcPr>
            <w:tcW w:w="224" w:type="pct"/>
            <w:tcBorders>
              <w:top w:val="nil"/>
              <w:left w:val="nil"/>
              <w:bottom w:val="single" w:sz="4" w:space="0" w:color="auto"/>
              <w:right w:val="single" w:sz="4" w:space="0" w:color="auto"/>
            </w:tcBorders>
            <w:shd w:val="clear" w:color="000000" w:fill="AEAAAA"/>
            <w:hideMark/>
          </w:tcPr>
          <w:p w14:paraId="59D1F14A" w14:textId="77777777" w:rsidR="00B153EB" w:rsidRPr="00B153EB" w:rsidRDefault="00B153EB" w:rsidP="003A2CCC">
            <w:pPr>
              <w:spacing w:after="0"/>
              <w:jc w:val="left"/>
              <w:rPr>
                <w:rFonts w:ascii="Calibri" w:eastAsia="Times New Roman" w:hAnsi="Calibri" w:cs="Calibri"/>
                <w:color w:val="000000"/>
                <w:sz w:val="20"/>
                <w:szCs w:val="20"/>
                <w:lang w:val="en-US"/>
              </w:rPr>
            </w:pPr>
            <w:r w:rsidRPr="00B153EB">
              <w:rPr>
                <w:rFonts w:ascii="Calibri" w:eastAsia="Times New Roman" w:hAnsi="Calibri" w:cstheme="minorHAnsi"/>
                <w:color w:val="000000"/>
                <w:sz w:val="20"/>
                <w:szCs w:val="20"/>
              </w:rPr>
              <w:t> </w:t>
            </w:r>
          </w:p>
        </w:tc>
        <w:tc>
          <w:tcPr>
            <w:tcW w:w="215" w:type="pct"/>
            <w:tcBorders>
              <w:top w:val="nil"/>
              <w:left w:val="nil"/>
              <w:bottom w:val="single" w:sz="4" w:space="0" w:color="auto"/>
              <w:right w:val="single" w:sz="4" w:space="0" w:color="auto"/>
            </w:tcBorders>
            <w:shd w:val="clear" w:color="000000" w:fill="AEAAAA"/>
            <w:hideMark/>
          </w:tcPr>
          <w:p w14:paraId="66229B17" w14:textId="77777777" w:rsidR="00B153EB" w:rsidRPr="00B153EB" w:rsidRDefault="00B153EB" w:rsidP="003A2CCC">
            <w:pPr>
              <w:spacing w:after="0"/>
              <w:jc w:val="left"/>
              <w:rPr>
                <w:rFonts w:ascii="Calibri" w:eastAsia="Times New Roman" w:hAnsi="Calibri" w:cs="Calibri"/>
                <w:color w:val="000000"/>
                <w:sz w:val="20"/>
                <w:szCs w:val="20"/>
                <w:lang w:val="en-US"/>
              </w:rPr>
            </w:pPr>
            <w:r w:rsidRPr="00B153EB">
              <w:rPr>
                <w:rFonts w:ascii="Calibri" w:eastAsia="Times New Roman" w:hAnsi="Calibri" w:cstheme="minorHAnsi"/>
                <w:color w:val="000000"/>
                <w:sz w:val="20"/>
                <w:szCs w:val="20"/>
              </w:rPr>
              <w:t> </w:t>
            </w:r>
          </w:p>
        </w:tc>
        <w:tc>
          <w:tcPr>
            <w:tcW w:w="216" w:type="pct"/>
            <w:tcBorders>
              <w:top w:val="nil"/>
              <w:left w:val="nil"/>
              <w:bottom w:val="single" w:sz="4" w:space="0" w:color="auto"/>
              <w:right w:val="single" w:sz="4" w:space="0" w:color="auto"/>
            </w:tcBorders>
            <w:shd w:val="clear" w:color="000000" w:fill="AEAAAA"/>
            <w:hideMark/>
          </w:tcPr>
          <w:p w14:paraId="58A4C12F" w14:textId="77777777" w:rsidR="00B153EB" w:rsidRPr="00B153EB" w:rsidRDefault="00B153EB" w:rsidP="003A2CCC">
            <w:pPr>
              <w:spacing w:after="0"/>
              <w:jc w:val="left"/>
              <w:rPr>
                <w:rFonts w:ascii="Calibri" w:eastAsia="Times New Roman" w:hAnsi="Calibri" w:cs="Calibri"/>
                <w:color w:val="000000"/>
                <w:sz w:val="20"/>
                <w:szCs w:val="20"/>
                <w:lang w:val="en-US"/>
              </w:rPr>
            </w:pPr>
            <w:r w:rsidRPr="00B153EB">
              <w:rPr>
                <w:rFonts w:ascii="Calibri" w:eastAsia="Times New Roman" w:hAnsi="Calibri" w:cstheme="minorHAnsi"/>
                <w:color w:val="000000"/>
                <w:sz w:val="20"/>
                <w:szCs w:val="20"/>
              </w:rPr>
              <w:t> </w:t>
            </w:r>
          </w:p>
        </w:tc>
        <w:tc>
          <w:tcPr>
            <w:tcW w:w="215" w:type="pct"/>
            <w:tcBorders>
              <w:top w:val="nil"/>
              <w:left w:val="nil"/>
              <w:bottom w:val="single" w:sz="4" w:space="0" w:color="auto"/>
              <w:right w:val="single" w:sz="4" w:space="0" w:color="auto"/>
            </w:tcBorders>
            <w:shd w:val="clear" w:color="000000" w:fill="AEAAAA"/>
            <w:hideMark/>
          </w:tcPr>
          <w:p w14:paraId="4393FD45" w14:textId="77777777" w:rsidR="00B153EB" w:rsidRPr="00B153EB" w:rsidRDefault="00B153EB" w:rsidP="003A2CCC">
            <w:pPr>
              <w:spacing w:after="0"/>
              <w:jc w:val="left"/>
              <w:rPr>
                <w:rFonts w:ascii="Calibri" w:eastAsia="Times New Roman" w:hAnsi="Calibri" w:cs="Calibri"/>
                <w:color w:val="000000"/>
                <w:sz w:val="20"/>
                <w:szCs w:val="20"/>
                <w:lang w:val="en-US"/>
              </w:rPr>
            </w:pPr>
            <w:r w:rsidRPr="00B153EB">
              <w:rPr>
                <w:rFonts w:ascii="Calibri" w:eastAsia="Times New Roman" w:hAnsi="Calibri" w:cstheme="minorHAnsi"/>
                <w:color w:val="000000"/>
                <w:sz w:val="20"/>
                <w:szCs w:val="20"/>
              </w:rPr>
              <w:t> </w:t>
            </w:r>
          </w:p>
        </w:tc>
        <w:tc>
          <w:tcPr>
            <w:tcW w:w="224" w:type="pct"/>
            <w:tcBorders>
              <w:top w:val="nil"/>
              <w:left w:val="nil"/>
              <w:bottom w:val="single" w:sz="4" w:space="0" w:color="auto"/>
              <w:right w:val="single" w:sz="4" w:space="0" w:color="auto"/>
            </w:tcBorders>
            <w:shd w:val="clear" w:color="000000" w:fill="AEAAAA"/>
            <w:hideMark/>
          </w:tcPr>
          <w:p w14:paraId="1F6807B3" w14:textId="77777777" w:rsidR="00B153EB" w:rsidRPr="00B153EB" w:rsidRDefault="00B153EB" w:rsidP="003A2CCC">
            <w:pPr>
              <w:spacing w:after="0"/>
              <w:jc w:val="left"/>
              <w:rPr>
                <w:rFonts w:ascii="Calibri" w:eastAsia="Times New Roman" w:hAnsi="Calibri" w:cs="Calibri"/>
                <w:color w:val="000000"/>
                <w:sz w:val="20"/>
                <w:szCs w:val="20"/>
                <w:lang w:val="en-US"/>
              </w:rPr>
            </w:pPr>
            <w:r w:rsidRPr="00B153EB">
              <w:rPr>
                <w:rFonts w:ascii="Calibri" w:eastAsia="Times New Roman" w:hAnsi="Calibri" w:cstheme="minorHAnsi"/>
                <w:color w:val="000000"/>
                <w:sz w:val="20"/>
                <w:szCs w:val="20"/>
              </w:rPr>
              <w:t> </w:t>
            </w:r>
          </w:p>
        </w:tc>
        <w:tc>
          <w:tcPr>
            <w:tcW w:w="215" w:type="pct"/>
            <w:tcBorders>
              <w:top w:val="nil"/>
              <w:left w:val="nil"/>
              <w:bottom w:val="single" w:sz="4" w:space="0" w:color="auto"/>
              <w:right w:val="single" w:sz="4" w:space="0" w:color="auto"/>
            </w:tcBorders>
            <w:shd w:val="clear" w:color="000000" w:fill="AEAAAA"/>
            <w:hideMark/>
          </w:tcPr>
          <w:p w14:paraId="74FC2A60" w14:textId="77777777" w:rsidR="00B153EB" w:rsidRPr="00B153EB" w:rsidRDefault="00B153EB" w:rsidP="003A2CCC">
            <w:pPr>
              <w:spacing w:after="0"/>
              <w:jc w:val="left"/>
              <w:rPr>
                <w:rFonts w:ascii="Calibri" w:eastAsia="Times New Roman" w:hAnsi="Calibri" w:cs="Calibri"/>
                <w:color w:val="000000"/>
                <w:sz w:val="20"/>
                <w:szCs w:val="20"/>
                <w:lang w:val="en-US"/>
              </w:rPr>
            </w:pPr>
            <w:r w:rsidRPr="00B153EB">
              <w:rPr>
                <w:rFonts w:ascii="Calibri" w:eastAsia="Times New Roman" w:hAnsi="Calibri" w:cstheme="minorHAnsi"/>
                <w:color w:val="000000"/>
                <w:sz w:val="20"/>
                <w:szCs w:val="20"/>
              </w:rPr>
              <w:t> </w:t>
            </w:r>
          </w:p>
        </w:tc>
        <w:tc>
          <w:tcPr>
            <w:tcW w:w="216" w:type="pct"/>
            <w:tcBorders>
              <w:top w:val="nil"/>
              <w:left w:val="nil"/>
              <w:bottom w:val="single" w:sz="4" w:space="0" w:color="auto"/>
              <w:right w:val="single" w:sz="4" w:space="0" w:color="auto"/>
            </w:tcBorders>
            <w:shd w:val="clear" w:color="000000" w:fill="AEAAAA"/>
            <w:hideMark/>
          </w:tcPr>
          <w:p w14:paraId="08F2A89A" w14:textId="77777777" w:rsidR="00B153EB" w:rsidRPr="00B153EB" w:rsidRDefault="00B153EB" w:rsidP="003A2CCC">
            <w:pPr>
              <w:spacing w:after="0"/>
              <w:jc w:val="left"/>
              <w:rPr>
                <w:rFonts w:ascii="Calibri" w:eastAsia="Times New Roman" w:hAnsi="Calibri" w:cs="Calibri"/>
                <w:color w:val="000000"/>
                <w:sz w:val="20"/>
                <w:szCs w:val="20"/>
                <w:lang w:val="en-US"/>
              </w:rPr>
            </w:pPr>
            <w:r w:rsidRPr="00B153EB">
              <w:rPr>
                <w:rFonts w:ascii="Calibri" w:eastAsia="Times New Roman" w:hAnsi="Calibri" w:cstheme="minorHAnsi"/>
                <w:color w:val="000000"/>
                <w:sz w:val="20"/>
                <w:szCs w:val="20"/>
              </w:rPr>
              <w:t> </w:t>
            </w:r>
          </w:p>
        </w:tc>
        <w:tc>
          <w:tcPr>
            <w:tcW w:w="215" w:type="pct"/>
            <w:tcBorders>
              <w:top w:val="nil"/>
              <w:left w:val="nil"/>
              <w:bottom w:val="single" w:sz="4" w:space="0" w:color="auto"/>
              <w:right w:val="single" w:sz="4" w:space="0" w:color="auto"/>
            </w:tcBorders>
            <w:shd w:val="clear" w:color="000000" w:fill="AEAAAA"/>
            <w:hideMark/>
          </w:tcPr>
          <w:p w14:paraId="603ADC02" w14:textId="77777777" w:rsidR="00B153EB" w:rsidRPr="00B153EB" w:rsidRDefault="00B153EB" w:rsidP="003A2CCC">
            <w:pPr>
              <w:spacing w:after="0"/>
              <w:jc w:val="left"/>
              <w:rPr>
                <w:rFonts w:ascii="Calibri" w:eastAsia="Times New Roman" w:hAnsi="Calibri" w:cs="Calibri"/>
                <w:color w:val="000000"/>
                <w:sz w:val="20"/>
                <w:szCs w:val="20"/>
                <w:lang w:val="en-US"/>
              </w:rPr>
            </w:pPr>
            <w:r w:rsidRPr="00B153EB">
              <w:rPr>
                <w:rFonts w:ascii="Calibri" w:eastAsia="Times New Roman" w:hAnsi="Calibri" w:cstheme="minorHAnsi"/>
                <w:color w:val="000000"/>
                <w:sz w:val="20"/>
                <w:szCs w:val="20"/>
              </w:rPr>
              <w:t> </w:t>
            </w:r>
          </w:p>
        </w:tc>
        <w:tc>
          <w:tcPr>
            <w:tcW w:w="224" w:type="pct"/>
            <w:tcBorders>
              <w:top w:val="nil"/>
              <w:left w:val="nil"/>
              <w:bottom w:val="single" w:sz="4" w:space="0" w:color="auto"/>
              <w:right w:val="single" w:sz="4" w:space="0" w:color="auto"/>
            </w:tcBorders>
            <w:shd w:val="clear" w:color="000000" w:fill="AEAAAA"/>
            <w:hideMark/>
          </w:tcPr>
          <w:p w14:paraId="4D171E2E" w14:textId="77777777" w:rsidR="00B153EB" w:rsidRPr="00B153EB" w:rsidRDefault="00B153EB" w:rsidP="003A2CCC">
            <w:pPr>
              <w:spacing w:after="0"/>
              <w:jc w:val="left"/>
              <w:rPr>
                <w:rFonts w:ascii="Calibri" w:eastAsia="Times New Roman" w:hAnsi="Calibri" w:cs="Calibri"/>
                <w:color w:val="000000"/>
                <w:sz w:val="20"/>
                <w:szCs w:val="20"/>
                <w:lang w:val="en-US"/>
              </w:rPr>
            </w:pPr>
            <w:r w:rsidRPr="00B153EB">
              <w:rPr>
                <w:rFonts w:ascii="Calibri" w:eastAsia="Times New Roman" w:hAnsi="Calibri" w:cstheme="minorHAnsi"/>
                <w:color w:val="000000"/>
                <w:sz w:val="20"/>
                <w:szCs w:val="20"/>
              </w:rPr>
              <w:t> </w:t>
            </w:r>
          </w:p>
        </w:tc>
        <w:tc>
          <w:tcPr>
            <w:tcW w:w="215" w:type="pct"/>
            <w:tcBorders>
              <w:top w:val="nil"/>
              <w:left w:val="nil"/>
              <w:bottom w:val="single" w:sz="4" w:space="0" w:color="auto"/>
              <w:right w:val="single" w:sz="4" w:space="0" w:color="auto"/>
            </w:tcBorders>
            <w:shd w:val="clear" w:color="000000" w:fill="AEAAAA"/>
            <w:hideMark/>
          </w:tcPr>
          <w:p w14:paraId="0AEDA24E" w14:textId="77777777" w:rsidR="00B153EB" w:rsidRPr="00B153EB" w:rsidRDefault="00B153EB" w:rsidP="003A2CCC">
            <w:pPr>
              <w:spacing w:after="0"/>
              <w:jc w:val="left"/>
              <w:rPr>
                <w:rFonts w:ascii="Calibri" w:eastAsia="Times New Roman" w:hAnsi="Calibri" w:cs="Calibri"/>
                <w:color w:val="000000"/>
                <w:sz w:val="20"/>
                <w:szCs w:val="20"/>
                <w:lang w:val="en-US"/>
              </w:rPr>
            </w:pPr>
            <w:r w:rsidRPr="00B153EB">
              <w:rPr>
                <w:rFonts w:ascii="Calibri" w:eastAsia="Times New Roman" w:hAnsi="Calibri" w:cstheme="minorHAnsi"/>
                <w:color w:val="000000"/>
                <w:sz w:val="20"/>
                <w:szCs w:val="20"/>
              </w:rPr>
              <w:t> </w:t>
            </w:r>
          </w:p>
        </w:tc>
        <w:tc>
          <w:tcPr>
            <w:tcW w:w="216" w:type="pct"/>
            <w:tcBorders>
              <w:top w:val="nil"/>
              <w:left w:val="nil"/>
              <w:bottom w:val="single" w:sz="4" w:space="0" w:color="auto"/>
              <w:right w:val="single" w:sz="4" w:space="0" w:color="auto"/>
            </w:tcBorders>
            <w:shd w:val="clear" w:color="000000" w:fill="AEAAAA"/>
            <w:hideMark/>
          </w:tcPr>
          <w:p w14:paraId="59784AC6" w14:textId="77777777" w:rsidR="00B153EB" w:rsidRPr="00B153EB" w:rsidRDefault="00B153EB" w:rsidP="003A2CCC">
            <w:pPr>
              <w:spacing w:after="0"/>
              <w:jc w:val="left"/>
              <w:rPr>
                <w:rFonts w:ascii="Calibri" w:eastAsia="Times New Roman" w:hAnsi="Calibri" w:cs="Calibri"/>
                <w:color w:val="000000"/>
                <w:sz w:val="20"/>
                <w:szCs w:val="20"/>
                <w:lang w:val="en-US"/>
              </w:rPr>
            </w:pPr>
            <w:r w:rsidRPr="00B153EB">
              <w:rPr>
                <w:rFonts w:ascii="Calibri" w:eastAsia="Times New Roman" w:hAnsi="Calibri" w:cstheme="minorHAnsi"/>
                <w:color w:val="000000"/>
                <w:sz w:val="20"/>
                <w:szCs w:val="20"/>
              </w:rPr>
              <w:t> </w:t>
            </w:r>
          </w:p>
        </w:tc>
        <w:tc>
          <w:tcPr>
            <w:tcW w:w="215" w:type="pct"/>
            <w:tcBorders>
              <w:top w:val="nil"/>
              <w:left w:val="nil"/>
              <w:bottom w:val="single" w:sz="4" w:space="0" w:color="auto"/>
              <w:right w:val="single" w:sz="4" w:space="0" w:color="auto"/>
            </w:tcBorders>
            <w:shd w:val="clear" w:color="000000" w:fill="AEAAAA"/>
            <w:hideMark/>
          </w:tcPr>
          <w:p w14:paraId="76D96FDC" w14:textId="77777777" w:rsidR="00B153EB" w:rsidRPr="00B153EB" w:rsidRDefault="00B153EB" w:rsidP="003A2CCC">
            <w:pPr>
              <w:spacing w:after="0"/>
              <w:jc w:val="left"/>
              <w:rPr>
                <w:rFonts w:ascii="Calibri" w:eastAsia="Times New Roman" w:hAnsi="Calibri" w:cs="Calibri"/>
                <w:color w:val="000000"/>
                <w:sz w:val="20"/>
                <w:szCs w:val="20"/>
                <w:lang w:val="en-US"/>
              </w:rPr>
            </w:pPr>
            <w:r w:rsidRPr="00B153EB">
              <w:rPr>
                <w:rFonts w:ascii="Calibri" w:eastAsia="Times New Roman" w:hAnsi="Calibri" w:cstheme="minorHAnsi"/>
                <w:color w:val="000000"/>
                <w:sz w:val="20"/>
                <w:szCs w:val="20"/>
              </w:rPr>
              <w:t> </w:t>
            </w:r>
          </w:p>
        </w:tc>
      </w:tr>
      <w:tr w:rsidR="00B153EB" w:rsidRPr="00B153EB" w14:paraId="17238415" w14:textId="77777777" w:rsidTr="0061262A">
        <w:trPr>
          <w:trHeight w:val="300"/>
        </w:trPr>
        <w:tc>
          <w:tcPr>
            <w:tcW w:w="1528" w:type="pct"/>
            <w:tcBorders>
              <w:top w:val="nil"/>
              <w:left w:val="single" w:sz="4" w:space="0" w:color="auto"/>
              <w:bottom w:val="single" w:sz="4" w:space="0" w:color="auto"/>
              <w:right w:val="single" w:sz="4" w:space="0" w:color="auto"/>
            </w:tcBorders>
            <w:shd w:val="clear" w:color="auto" w:fill="auto"/>
            <w:hideMark/>
          </w:tcPr>
          <w:p w14:paraId="72D323E3" w14:textId="77777777" w:rsidR="00B153EB" w:rsidRPr="00B153EB" w:rsidRDefault="00B153EB" w:rsidP="003A2CCC">
            <w:pPr>
              <w:spacing w:after="0"/>
              <w:jc w:val="left"/>
              <w:rPr>
                <w:rFonts w:ascii="Calibri" w:eastAsia="Times New Roman" w:hAnsi="Calibri" w:cs="Calibri"/>
                <w:color w:val="000000"/>
                <w:sz w:val="20"/>
                <w:szCs w:val="20"/>
                <w:lang w:val="en-US"/>
              </w:rPr>
            </w:pPr>
            <w:r w:rsidRPr="00B153EB">
              <w:rPr>
                <w:rFonts w:ascii="Calibri" w:eastAsia="Times New Roman" w:hAnsi="Calibri" w:cs="Calibri"/>
                <w:color w:val="000000"/>
                <w:sz w:val="20"/>
                <w:szCs w:val="20"/>
              </w:rPr>
              <w:t>Organisational Institutional Strengthening (OIS)</w:t>
            </w:r>
          </w:p>
        </w:tc>
        <w:tc>
          <w:tcPr>
            <w:tcW w:w="216" w:type="pct"/>
            <w:tcBorders>
              <w:top w:val="nil"/>
              <w:left w:val="nil"/>
              <w:bottom w:val="single" w:sz="4" w:space="0" w:color="auto"/>
              <w:right w:val="single" w:sz="4" w:space="0" w:color="auto"/>
            </w:tcBorders>
            <w:shd w:val="clear" w:color="000000" w:fill="AEAAAA"/>
            <w:hideMark/>
          </w:tcPr>
          <w:p w14:paraId="2914C017" w14:textId="77777777" w:rsidR="00B153EB" w:rsidRPr="00B153EB" w:rsidRDefault="00B153EB" w:rsidP="003A2CCC">
            <w:pPr>
              <w:spacing w:after="0"/>
              <w:jc w:val="left"/>
              <w:rPr>
                <w:rFonts w:ascii="Calibri" w:eastAsia="Times New Roman" w:hAnsi="Calibri" w:cs="Calibri"/>
                <w:color w:val="000000"/>
                <w:sz w:val="20"/>
                <w:szCs w:val="20"/>
                <w:lang w:val="en-US"/>
              </w:rPr>
            </w:pPr>
            <w:r w:rsidRPr="00B153EB">
              <w:rPr>
                <w:rFonts w:ascii="Calibri" w:eastAsia="Times New Roman" w:hAnsi="Calibri" w:cstheme="minorHAnsi"/>
                <w:color w:val="000000"/>
                <w:sz w:val="20"/>
                <w:szCs w:val="20"/>
              </w:rPr>
              <w:t>Jul.</w:t>
            </w:r>
          </w:p>
        </w:tc>
        <w:tc>
          <w:tcPr>
            <w:tcW w:w="215" w:type="pct"/>
            <w:tcBorders>
              <w:top w:val="nil"/>
              <w:left w:val="nil"/>
              <w:bottom w:val="single" w:sz="4" w:space="0" w:color="auto"/>
              <w:right w:val="single" w:sz="4" w:space="0" w:color="auto"/>
            </w:tcBorders>
            <w:shd w:val="clear" w:color="auto" w:fill="auto"/>
            <w:hideMark/>
          </w:tcPr>
          <w:p w14:paraId="1C19F951" w14:textId="77777777" w:rsidR="00B153EB" w:rsidRPr="00B153EB" w:rsidRDefault="00B153EB" w:rsidP="003A2CCC">
            <w:pPr>
              <w:spacing w:after="0"/>
              <w:jc w:val="left"/>
              <w:rPr>
                <w:rFonts w:ascii="Calibri" w:eastAsia="Times New Roman" w:hAnsi="Calibri" w:cs="Calibri"/>
                <w:color w:val="000000"/>
                <w:sz w:val="20"/>
                <w:szCs w:val="20"/>
                <w:lang w:val="en-US"/>
              </w:rPr>
            </w:pPr>
            <w:r w:rsidRPr="00B153EB">
              <w:rPr>
                <w:rFonts w:ascii="Calibri" w:eastAsia="Times New Roman" w:hAnsi="Calibri" w:cstheme="minorHAnsi"/>
                <w:color w:val="000000"/>
                <w:sz w:val="20"/>
                <w:szCs w:val="20"/>
              </w:rPr>
              <w:t> </w:t>
            </w:r>
          </w:p>
        </w:tc>
        <w:tc>
          <w:tcPr>
            <w:tcW w:w="216" w:type="pct"/>
            <w:tcBorders>
              <w:top w:val="nil"/>
              <w:left w:val="nil"/>
              <w:bottom w:val="single" w:sz="4" w:space="0" w:color="auto"/>
              <w:right w:val="single" w:sz="4" w:space="0" w:color="auto"/>
            </w:tcBorders>
            <w:shd w:val="clear" w:color="000000" w:fill="AEAAAA"/>
            <w:hideMark/>
          </w:tcPr>
          <w:p w14:paraId="2B7E4C6D" w14:textId="77777777" w:rsidR="00B153EB" w:rsidRPr="00B153EB" w:rsidRDefault="00B153EB" w:rsidP="003A2CCC">
            <w:pPr>
              <w:spacing w:after="0"/>
              <w:jc w:val="left"/>
              <w:rPr>
                <w:rFonts w:ascii="Calibri" w:eastAsia="Times New Roman" w:hAnsi="Calibri" w:cs="Calibri"/>
                <w:color w:val="000000"/>
                <w:sz w:val="20"/>
                <w:szCs w:val="20"/>
                <w:lang w:val="en-US"/>
              </w:rPr>
            </w:pPr>
            <w:r w:rsidRPr="00B153EB">
              <w:rPr>
                <w:rFonts w:ascii="Calibri" w:eastAsia="Times New Roman" w:hAnsi="Calibri" w:cstheme="minorHAnsi"/>
                <w:color w:val="000000"/>
                <w:sz w:val="20"/>
                <w:szCs w:val="20"/>
              </w:rPr>
              <w:t>Jan.</w:t>
            </w:r>
          </w:p>
        </w:tc>
        <w:tc>
          <w:tcPr>
            <w:tcW w:w="215" w:type="pct"/>
            <w:tcBorders>
              <w:top w:val="nil"/>
              <w:left w:val="nil"/>
              <w:bottom w:val="single" w:sz="4" w:space="0" w:color="auto"/>
              <w:right w:val="single" w:sz="4" w:space="0" w:color="auto"/>
            </w:tcBorders>
            <w:shd w:val="clear" w:color="auto" w:fill="auto"/>
            <w:hideMark/>
          </w:tcPr>
          <w:p w14:paraId="2746CDB0" w14:textId="77777777" w:rsidR="00B153EB" w:rsidRPr="00B153EB" w:rsidRDefault="00B153EB" w:rsidP="003A2CCC">
            <w:pPr>
              <w:spacing w:after="0"/>
              <w:jc w:val="left"/>
              <w:rPr>
                <w:rFonts w:ascii="Calibri" w:eastAsia="Times New Roman" w:hAnsi="Calibri" w:cs="Calibri"/>
                <w:color w:val="000000"/>
                <w:sz w:val="20"/>
                <w:szCs w:val="20"/>
                <w:lang w:val="en-US"/>
              </w:rPr>
            </w:pPr>
            <w:r w:rsidRPr="00B153EB">
              <w:rPr>
                <w:rFonts w:ascii="Calibri" w:eastAsia="Times New Roman" w:hAnsi="Calibri" w:cstheme="minorHAnsi"/>
                <w:color w:val="000000"/>
                <w:sz w:val="20"/>
                <w:szCs w:val="20"/>
              </w:rPr>
              <w:t> </w:t>
            </w:r>
          </w:p>
        </w:tc>
        <w:tc>
          <w:tcPr>
            <w:tcW w:w="224" w:type="pct"/>
            <w:tcBorders>
              <w:top w:val="nil"/>
              <w:left w:val="nil"/>
              <w:bottom w:val="single" w:sz="4" w:space="0" w:color="auto"/>
              <w:right w:val="single" w:sz="4" w:space="0" w:color="auto"/>
            </w:tcBorders>
            <w:shd w:val="clear" w:color="000000" w:fill="AEAAAA"/>
            <w:hideMark/>
          </w:tcPr>
          <w:p w14:paraId="624D957A" w14:textId="77777777" w:rsidR="00B153EB" w:rsidRPr="00B153EB" w:rsidRDefault="00B153EB" w:rsidP="003A2CCC">
            <w:pPr>
              <w:spacing w:after="0"/>
              <w:jc w:val="left"/>
              <w:rPr>
                <w:rFonts w:ascii="Calibri" w:eastAsia="Times New Roman" w:hAnsi="Calibri" w:cs="Calibri"/>
                <w:color w:val="000000"/>
                <w:sz w:val="20"/>
                <w:szCs w:val="20"/>
                <w:lang w:val="en-US"/>
              </w:rPr>
            </w:pPr>
            <w:r w:rsidRPr="00B153EB">
              <w:rPr>
                <w:rFonts w:ascii="Calibri" w:eastAsia="Times New Roman" w:hAnsi="Calibri" w:cstheme="minorHAnsi"/>
                <w:color w:val="000000"/>
                <w:sz w:val="20"/>
                <w:szCs w:val="20"/>
              </w:rPr>
              <w:t>Jul.</w:t>
            </w:r>
          </w:p>
        </w:tc>
        <w:tc>
          <w:tcPr>
            <w:tcW w:w="215" w:type="pct"/>
            <w:tcBorders>
              <w:top w:val="nil"/>
              <w:left w:val="nil"/>
              <w:bottom w:val="single" w:sz="4" w:space="0" w:color="auto"/>
              <w:right w:val="single" w:sz="4" w:space="0" w:color="auto"/>
            </w:tcBorders>
            <w:shd w:val="clear" w:color="auto" w:fill="auto"/>
            <w:hideMark/>
          </w:tcPr>
          <w:p w14:paraId="556C6088" w14:textId="77777777" w:rsidR="00B153EB" w:rsidRPr="00B153EB" w:rsidRDefault="00B153EB" w:rsidP="003A2CCC">
            <w:pPr>
              <w:spacing w:after="0"/>
              <w:jc w:val="left"/>
              <w:rPr>
                <w:rFonts w:ascii="Calibri" w:eastAsia="Times New Roman" w:hAnsi="Calibri" w:cs="Calibri"/>
                <w:color w:val="000000"/>
                <w:sz w:val="20"/>
                <w:szCs w:val="20"/>
                <w:lang w:val="en-US"/>
              </w:rPr>
            </w:pPr>
            <w:r w:rsidRPr="00B153EB">
              <w:rPr>
                <w:rFonts w:ascii="Calibri" w:eastAsia="Times New Roman" w:hAnsi="Calibri" w:cstheme="minorHAnsi"/>
                <w:color w:val="000000"/>
                <w:sz w:val="20"/>
                <w:szCs w:val="20"/>
              </w:rPr>
              <w:t> </w:t>
            </w:r>
          </w:p>
        </w:tc>
        <w:tc>
          <w:tcPr>
            <w:tcW w:w="216" w:type="pct"/>
            <w:tcBorders>
              <w:top w:val="nil"/>
              <w:left w:val="nil"/>
              <w:bottom w:val="single" w:sz="4" w:space="0" w:color="auto"/>
              <w:right w:val="single" w:sz="4" w:space="0" w:color="auto"/>
            </w:tcBorders>
            <w:shd w:val="clear" w:color="000000" w:fill="AEAAAA"/>
            <w:hideMark/>
          </w:tcPr>
          <w:p w14:paraId="39C01ADF" w14:textId="77777777" w:rsidR="00B153EB" w:rsidRPr="00B153EB" w:rsidRDefault="00B153EB" w:rsidP="003A2CCC">
            <w:pPr>
              <w:spacing w:after="0"/>
              <w:jc w:val="left"/>
              <w:rPr>
                <w:rFonts w:ascii="Calibri" w:eastAsia="Times New Roman" w:hAnsi="Calibri" w:cs="Calibri"/>
                <w:color w:val="000000"/>
                <w:sz w:val="20"/>
                <w:szCs w:val="20"/>
                <w:lang w:val="en-US"/>
              </w:rPr>
            </w:pPr>
            <w:r w:rsidRPr="00B153EB">
              <w:rPr>
                <w:rFonts w:ascii="Calibri" w:eastAsia="Times New Roman" w:hAnsi="Calibri" w:cstheme="minorHAnsi"/>
                <w:color w:val="000000"/>
                <w:sz w:val="20"/>
                <w:szCs w:val="20"/>
              </w:rPr>
              <w:t>Jan.</w:t>
            </w:r>
          </w:p>
        </w:tc>
        <w:tc>
          <w:tcPr>
            <w:tcW w:w="215" w:type="pct"/>
            <w:tcBorders>
              <w:top w:val="nil"/>
              <w:left w:val="nil"/>
              <w:bottom w:val="single" w:sz="4" w:space="0" w:color="auto"/>
              <w:right w:val="single" w:sz="4" w:space="0" w:color="auto"/>
            </w:tcBorders>
            <w:shd w:val="clear" w:color="auto" w:fill="auto"/>
            <w:hideMark/>
          </w:tcPr>
          <w:p w14:paraId="19D3B235" w14:textId="77777777" w:rsidR="00B153EB" w:rsidRPr="00B153EB" w:rsidRDefault="00B153EB" w:rsidP="003A2CCC">
            <w:pPr>
              <w:spacing w:after="0"/>
              <w:jc w:val="left"/>
              <w:rPr>
                <w:rFonts w:ascii="Calibri" w:eastAsia="Times New Roman" w:hAnsi="Calibri" w:cs="Calibri"/>
                <w:color w:val="000000"/>
                <w:sz w:val="20"/>
                <w:szCs w:val="20"/>
                <w:lang w:val="en-US"/>
              </w:rPr>
            </w:pPr>
            <w:r w:rsidRPr="00B153EB">
              <w:rPr>
                <w:rFonts w:ascii="Calibri" w:eastAsia="Times New Roman" w:hAnsi="Calibri" w:cstheme="minorHAnsi"/>
                <w:color w:val="000000"/>
                <w:sz w:val="20"/>
                <w:szCs w:val="20"/>
              </w:rPr>
              <w:t> </w:t>
            </w:r>
          </w:p>
        </w:tc>
        <w:tc>
          <w:tcPr>
            <w:tcW w:w="224" w:type="pct"/>
            <w:tcBorders>
              <w:top w:val="nil"/>
              <w:left w:val="nil"/>
              <w:bottom w:val="single" w:sz="4" w:space="0" w:color="auto"/>
              <w:right w:val="single" w:sz="4" w:space="0" w:color="auto"/>
            </w:tcBorders>
            <w:shd w:val="clear" w:color="000000" w:fill="AEAAAA"/>
            <w:hideMark/>
          </w:tcPr>
          <w:p w14:paraId="696862E2" w14:textId="77777777" w:rsidR="00B153EB" w:rsidRPr="00B153EB" w:rsidRDefault="00B153EB" w:rsidP="003A2CCC">
            <w:pPr>
              <w:spacing w:after="0"/>
              <w:jc w:val="left"/>
              <w:rPr>
                <w:rFonts w:ascii="Calibri" w:eastAsia="Times New Roman" w:hAnsi="Calibri" w:cs="Calibri"/>
                <w:color w:val="000000"/>
                <w:sz w:val="20"/>
                <w:szCs w:val="20"/>
                <w:lang w:val="en-US"/>
              </w:rPr>
            </w:pPr>
            <w:r w:rsidRPr="00B153EB">
              <w:rPr>
                <w:rFonts w:ascii="Calibri" w:eastAsia="Times New Roman" w:hAnsi="Calibri" w:cstheme="minorHAnsi"/>
                <w:color w:val="000000"/>
                <w:sz w:val="20"/>
                <w:szCs w:val="20"/>
              </w:rPr>
              <w:t>Jul.</w:t>
            </w:r>
          </w:p>
        </w:tc>
        <w:tc>
          <w:tcPr>
            <w:tcW w:w="215" w:type="pct"/>
            <w:tcBorders>
              <w:top w:val="nil"/>
              <w:left w:val="nil"/>
              <w:bottom w:val="single" w:sz="4" w:space="0" w:color="auto"/>
              <w:right w:val="single" w:sz="4" w:space="0" w:color="auto"/>
            </w:tcBorders>
            <w:shd w:val="clear" w:color="auto" w:fill="auto"/>
            <w:hideMark/>
          </w:tcPr>
          <w:p w14:paraId="64A66AD1" w14:textId="77777777" w:rsidR="00B153EB" w:rsidRPr="00B153EB" w:rsidRDefault="00B153EB" w:rsidP="003A2CCC">
            <w:pPr>
              <w:spacing w:after="0"/>
              <w:jc w:val="left"/>
              <w:rPr>
                <w:rFonts w:ascii="Calibri" w:eastAsia="Times New Roman" w:hAnsi="Calibri" w:cs="Calibri"/>
                <w:color w:val="000000"/>
                <w:sz w:val="20"/>
                <w:szCs w:val="20"/>
                <w:lang w:val="en-US"/>
              </w:rPr>
            </w:pPr>
            <w:r w:rsidRPr="00B153EB">
              <w:rPr>
                <w:rFonts w:ascii="Calibri" w:eastAsia="Times New Roman" w:hAnsi="Calibri" w:cstheme="minorHAnsi"/>
                <w:color w:val="000000"/>
                <w:sz w:val="20"/>
                <w:szCs w:val="20"/>
              </w:rPr>
              <w:t> </w:t>
            </w:r>
          </w:p>
        </w:tc>
        <w:tc>
          <w:tcPr>
            <w:tcW w:w="216" w:type="pct"/>
            <w:tcBorders>
              <w:top w:val="nil"/>
              <w:left w:val="nil"/>
              <w:bottom w:val="single" w:sz="4" w:space="0" w:color="auto"/>
              <w:right w:val="single" w:sz="4" w:space="0" w:color="auto"/>
            </w:tcBorders>
            <w:shd w:val="clear" w:color="000000" w:fill="AEAAAA"/>
            <w:hideMark/>
          </w:tcPr>
          <w:p w14:paraId="5F5CB149" w14:textId="77777777" w:rsidR="00B153EB" w:rsidRPr="00B153EB" w:rsidRDefault="00B153EB" w:rsidP="003A2CCC">
            <w:pPr>
              <w:spacing w:after="0"/>
              <w:jc w:val="left"/>
              <w:rPr>
                <w:rFonts w:ascii="Calibri" w:eastAsia="Times New Roman" w:hAnsi="Calibri" w:cs="Calibri"/>
                <w:color w:val="000000"/>
                <w:sz w:val="20"/>
                <w:szCs w:val="20"/>
                <w:lang w:val="en-US"/>
              </w:rPr>
            </w:pPr>
            <w:r w:rsidRPr="00B153EB">
              <w:rPr>
                <w:rFonts w:ascii="Calibri" w:eastAsia="Times New Roman" w:hAnsi="Calibri" w:cstheme="minorHAnsi"/>
                <w:color w:val="000000"/>
                <w:sz w:val="20"/>
                <w:szCs w:val="20"/>
              </w:rPr>
              <w:t>Jan.</w:t>
            </w:r>
          </w:p>
        </w:tc>
        <w:tc>
          <w:tcPr>
            <w:tcW w:w="215" w:type="pct"/>
            <w:tcBorders>
              <w:top w:val="nil"/>
              <w:left w:val="nil"/>
              <w:bottom w:val="single" w:sz="4" w:space="0" w:color="auto"/>
              <w:right w:val="single" w:sz="4" w:space="0" w:color="auto"/>
            </w:tcBorders>
            <w:shd w:val="clear" w:color="auto" w:fill="auto"/>
            <w:hideMark/>
          </w:tcPr>
          <w:p w14:paraId="020A23CD" w14:textId="77777777" w:rsidR="00B153EB" w:rsidRPr="00B153EB" w:rsidRDefault="00B153EB" w:rsidP="003A2CCC">
            <w:pPr>
              <w:spacing w:after="0"/>
              <w:jc w:val="left"/>
              <w:rPr>
                <w:rFonts w:ascii="Calibri" w:eastAsia="Times New Roman" w:hAnsi="Calibri" w:cs="Calibri"/>
                <w:color w:val="000000"/>
                <w:sz w:val="20"/>
                <w:szCs w:val="20"/>
                <w:lang w:val="en-US"/>
              </w:rPr>
            </w:pPr>
            <w:r w:rsidRPr="00B153EB">
              <w:rPr>
                <w:rFonts w:ascii="Calibri" w:eastAsia="Times New Roman" w:hAnsi="Calibri" w:cstheme="minorHAnsi"/>
                <w:color w:val="000000"/>
                <w:sz w:val="20"/>
                <w:szCs w:val="20"/>
              </w:rPr>
              <w:t> </w:t>
            </w:r>
          </w:p>
        </w:tc>
        <w:tc>
          <w:tcPr>
            <w:tcW w:w="224" w:type="pct"/>
            <w:tcBorders>
              <w:top w:val="nil"/>
              <w:left w:val="nil"/>
              <w:bottom w:val="single" w:sz="4" w:space="0" w:color="auto"/>
              <w:right w:val="single" w:sz="4" w:space="0" w:color="auto"/>
            </w:tcBorders>
            <w:shd w:val="clear" w:color="000000" w:fill="AEAAAA"/>
            <w:hideMark/>
          </w:tcPr>
          <w:p w14:paraId="5A0C20A0" w14:textId="77777777" w:rsidR="00B153EB" w:rsidRPr="00B153EB" w:rsidRDefault="00B153EB" w:rsidP="003A2CCC">
            <w:pPr>
              <w:spacing w:after="0"/>
              <w:jc w:val="left"/>
              <w:rPr>
                <w:rFonts w:ascii="Calibri" w:eastAsia="Times New Roman" w:hAnsi="Calibri" w:cs="Calibri"/>
                <w:color w:val="000000"/>
                <w:sz w:val="20"/>
                <w:szCs w:val="20"/>
                <w:lang w:val="en-US"/>
              </w:rPr>
            </w:pPr>
            <w:r w:rsidRPr="00B153EB">
              <w:rPr>
                <w:rFonts w:ascii="Calibri" w:eastAsia="Times New Roman" w:hAnsi="Calibri" w:cstheme="minorHAnsi"/>
                <w:color w:val="000000"/>
                <w:sz w:val="20"/>
                <w:szCs w:val="20"/>
              </w:rPr>
              <w:t>Jul.</w:t>
            </w:r>
          </w:p>
        </w:tc>
        <w:tc>
          <w:tcPr>
            <w:tcW w:w="215" w:type="pct"/>
            <w:tcBorders>
              <w:top w:val="nil"/>
              <w:left w:val="nil"/>
              <w:bottom w:val="single" w:sz="4" w:space="0" w:color="auto"/>
              <w:right w:val="single" w:sz="4" w:space="0" w:color="auto"/>
            </w:tcBorders>
            <w:shd w:val="clear" w:color="auto" w:fill="auto"/>
            <w:hideMark/>
          </w:tcPr>
          <w:p w14:paraId="1E4C79F7" w14:textId="77777777" w:rsidR="00B153EB" w:rsidRPr="00B153EB" w:rsidRDefault="00B153EB" w:rsidP="003A2CCC">
            <w:pPr>
              <w:spacing w:after="0"/>
              <w:jc w:val="left"/>
              <w:rPr>
                <w:rFonts w:ascii="Calibri" w:eastAsia="Times New Roman" w:hAnsi="Calibri" w:cs="Calibri"/>
                <w:color w:val="000000"/>
                <w:sz w:val="20"/>
                <w:szCs w:val="20"/>
                <w:lang w:val="en-US"/>
              </w:rPr>
            </w:pPr>
            <w:r w:rsidRPr="00B153EB">
              <w:rPr>
                <w:rFonts w:ascii="Calibri" w:eastAsia="Times New Roman" w:hAnsi="Calibri" w:cstheme="minorHAnsi"/>
                <w:color w:val="000000"/>
                <w:sz w:val="20"/>
                <w:szCs w:val="20"/>
              </w:rPr>
              <w:t> </w:t>
            </w:r>
          </w:p>
        </w:tc>
        <w:tc>
          <w:tcPr>
            <w:tcW w:w="216" w:type="pct"/>
            <w:tcBorders>
              <w:top w:val="nil"/>
              <w:left w:val="nil"/>
              <w:bottom w:val="single" w:sz="4" w:space="0" w:color="auto"/>
              <w:right w:val="single" w:sz="4" w:space="0" w:color="auto"/>
            </w:tcBorders>
            <w:shd w:val="clear" w:color="000000" w:fill="AEAAAA"/>
            <w:hideMark/>
          </w:tcPr>
          <w:p w14:paraId="76EFA90E" w14:textId="77777777" w:rsidR="00B153EB" w:rsidRPr="00B153EB" w:rsidRDefault="00B153EB" w:rsidP="003A2CCC">
            <w:pPr>
              <w:spacing w:after="0"/>
              <w:jc w:val="left"/>
              <w:rPr>
                <w:rFonts w:ascii="Calibri" w:eastAsia="Times New Roman" w:hAnsi="Calibri" w:cs="Calibri"/>
                <w:color w:val="000000"/>
                <w:sz w:val="20"/>
                <w:szCs w:val="20"/>
                <w:lang w:val="en-US"/>
              </w:rPr>
            </w:pPr>
            <w:r w:rsidRPr="00B153EB">
              <w:rPr>
                <w:rFonts w:ascii="Calibri" w:eastAsia="Times New Roman" w:hAnsi="Calibri" w:cstheme="minorHAnsi"/>
                <w:color w:val="000000"/>
                <w:sz w:val="20"/>
                <w:szCs w:val="20"/>
              </w:rPr>
              <w:t>Jan.</w:t>
            </w:r>
          </w:p>
        </w:tc>
        <w:tc>
          <w:tcPr>
            <w:tcW w:w="215" w:type="pct"/>
            <w:tcBorders>
              <w:top w:val="nil"/>
              <w:left w:val="nil"/>
              <w:bottom w:val="single" w:sz="4" w:space="0" w:color="auto"/>
              <w:right w:val="single" w:sz="4" w:space="0" w:color="auto"/>
            </w:tcBorders>
            <w:shd w:val="clear" w:color="auto" w:fill="auto"/>
            <w:hideMark/>
          </w:tcPr>
          <w:p w14:paraId="6335845B" w14:textId="77777777" w:rsidR="00B153EB" w:rsidRPr="00B153EB" w:rsidRDefault="00B153EB" w:rsidP="003A2CCC">
            <w:pPr>
              <w:spacing w:after="0"/>
              <w:jc w:val="left"/>
              <w:rPr>
                <w:rFonts w:ascii="Calibri" w:eastAsia="Times New Roman" w:hAnsi="Calibri" w:cs="Calibri"/>
                <w:color w:val="000000"/>
                <w:sz w:val="20"/>
                <w:szCs w:val="20"/>
                <w:lang w:val="en-US"/>
              </w:rPr>
            </w:pPr>
            <w:r w:rsidRPr="00B153EB">
              <w:rPr>
                <w:rFonts w:ascii="Calibri" w:eastAsia="Times New Roman" w:hAnsi="Calibri" w:cstheme="minorHAnsi"/>
                <w:color w:val="000000"/>
                <w:sz w:val="20"/>
                <w:szCs w:val="20"/>
              </w:rPr>
              <w:t> </w:t>
            </w:r>
          </w:p>
        </w:tc>
      </w:tr>
      <w:tr w:rsidR="00B153EB" w:rsidRPr="00B153EB" w14:paraId="2B05E379" w14:textId="77777777" w:rsidTr="0061262A">
        <w:trPr>
          <w:trHeight w:val="300"/>
        </w:trPr>
        <w:tc>
          <w:tcPr>
            <w:tcW w:w="5000" w:type="pct"/>
            <w:gridSpan w:val="17"/>
            <w:tcBorders>
              <w:top w:val="single" w:sz="4" w:space="0" w:color="auto"/>
              <w:left w:val="single" w:sz="4" w:space="0" w:color="auto"/>
              <w:bottom w:val="single" w:sz="4" w:space="0" w:color="auto"/>
              <w:right w:val="single" w:sz="4" w:space="0" w:color="000000"/>
            </w:tcBorders>
            <w:shd w:val="clear" w:color="000000" w:fill="9BC2E6"/>
            <w:hideMark/>
          </w:tcPr>
          <w:p w14:paraId="488ED81E" w14:textId="77777777" w:rsidR="00B153EB" w:rsidRPr="00B153EB" w:rsidRDefault="00B153EB" w:rsidP="003A2CCC">
            <w:pPr>
              <w:spacing w:after="0"/>
              <w:jc w:val="left"/>
              <w:rPr>
                <w:rFonts w:ascii="Calibri" w:eastAsia="Times New Roman" w:hAnsi="Calibri" w:cs="Calibri"/>
                <w:b/>
                <w:bCs/>
                <w:color w:val="000000"/>
                <w:sz w:val="20"/>
                <w:szCs w:val="20"/>
                <w:lang w:val="en-US"/>
              </w:rPr>
            </w:pPr>
            <w:r w:rsidRPr="00B153EB">
              <w:rPr>
                <w:rFonts w:ascii="Calibri" w:eastAsia="Times New Roman" w:hAnsi="Calibri" w:cstheme="minorHAnsi"/>
                <w:b/>
                <w:bCs/>
                <w:color w:val="000000"/>
                <w:sz w:val="20"/>
                <w:szCs w:val="20"/>
              </w:rPr>
              <w:t xml:space="preserve">Reporting </w:t>
            </w:r>
          </w:p>
        </w:tc>
      </w:tr>
      <w:tr w:rsidR="00B153EB" w:rsidRPr="00B153EB" w14:paraId="382F191A" w14:textId="77777777" w:rsidTr="0061262A">
        <w:trPr>
          <w:trHeight w:val="300"/>
        </w:trPr>
        <w:tc>
          <w:tcPr>
            <w:tcW w:w="1528" w:type="pct"/>
            <w:tcBorders>
              <w:top w:val="nil"/>
              <w:left w:val="single" w:sz="4" w:space="0" w:color="auto"/>
              <w:bottom w:val="single" w:sz="4" w:space="0" w:color="auto"/>
              <w:right w:val="single" w:sz="4" w:space="0" w:color="auto"/>
            </w:tcBorders>
            <w:shd w:val="clear" w:color="auto" w:fill="auto"/>
            <w:hideMark/>
          </w:tcPr>
          <w:p w14:paraId="1BF45401" w14:textId="77777777" w:rsidR="00B153EB" w:rsidRPr="00B153EB" w:rsidRDefault="00B153EB" w:rsidP="003A2CCC">
            <w:pPr>
              <w:spacing w:after="0"/>
              <w:jc w:val="left"/>
              <w:rPr>
                <w:rFonts w:ascii="Calibri" w:eastAsia="Times New Roman" w:hAnsi="Calibri" w:cs="Calibri"/>
                <w:color w:val="000000"/>
                <w:sz w:val="20"/>
                <w:szCs w:val="20"/>
                <w:lang w:val="en-US"/>
              </w:rPr>
            </w:pPr>
            <w:r w:rsidRPr="00B153EB">
              <w:rPr>
                <w:rFonts w:ascii="Calibri" w:eastAsia="Times New Roman" w:hAnsi="Calibri" w:cstheme="minorHAnsi"/>
                <w:color w:val="000000"/>
                <w:sz w:val="20"/>
                <w:szCs w:val="20"/>
              </w:rPr>
              <w:t>Submit Annual Work Plan</w:t>
            </w:r>
          </w:p>
        </w:tc>
        <w:tc>
          <w:tcPr>
            <w:tcW w:w="216" w:type="pct"/>
            <w:tcBorders>
              <w:top w:val="nil"/>
              <w:left w:val="nil"/>
              <w:bottom w:val="single" w:sz="4" w:space="0" w:color="auto"/>
              <w:right w:val="single" w:sz="4" w:space="0" w:color="auto"/>
            </w:tcBorders>
            <w:shd w:val="clear" w:color="auto" w:fill="auto"/>
            <w:hideMark/>
          </w:tcPr>
          <w:p w14:paraId="074762F0" w14:textId="77777777" w:rsidR="00B153EB" w:rsidRPr="00B153EB" w:rsidRDefault="00B153EB" w:rsidP="003A2CCC">
            <w:pPr>
              <w:spacing w:after="0"/>
              <w:jc w:val="left"/>
              <w:rPr>
                <w:rFonts w:ascii="Calibri" w:eastAsia="Times New Roman" w:hAnsi="Calibri" w:cs="Calibri"/>
                <w:color w:val="000000"/>
                <w:sz w:val="20"/>
                <w:szCs w:val="20"/>
                <w:lang w:val="en-US"/>
              </w:rPr>
            </w:pPr>
            <w:r w:rsidRPr="00B153EB">
              <w:rPr>
                <w:rFonts w:ascii="Calibri" w:eastAsia="Times New Roman" w:hAnsi="Calibri" w:cstheme="minorHAnsi"/>
                <w:color w:val="000000"/>
                <w:sz w:val="20"/>
                <w:szCs w:val="20"/>
              </w:rPr>
              <w:t> </w:t>
            </w:r>
          </w:p>
        </w:tc>
        <w:tc>
          <w:tcPr>
            <w:tcW w:w="215" w:type="pct"/>
            <w:tcBorders>
              <w:top w:val="nil"/>
              <w:left w:val="nil"/>
              <w:bottom w:val="single" w:sz="4" w:space="0" w:color="auto"/>
              <w:right w:val="single" w:sz="4" w:space="0" w:color="auto"/>
            </w:tcBorders>
            <w:shd w:val="clear" w:color="000000" w:fill="AEAAAA"/>
            <w:hideMark/>
          </w:tcPr>
          <w:p w14:paraId="58AB49FB" w14:textId="77777777" w:rsidR="00B153EB" w:rsidRPr="00B153EB" w:rsidRDefault="00B153EB" w:rsidP="003A2CCC">
            <w:pPr>
              <w:spacing w:after="0"/>
              <w:jc w:val="left"/>
              <w:rPr>
                <w:rFonts w:ascii="Calibri" w:eastAsia="Times New Roman" w:hAnsi="Calibri" w:cs="Calibri"/>
                <w:color w:val="000000"/>
                <w:sz w:val="20"/>
                <w:szCs w:val="20"/>
                <w:lang w:val="en-US"/>
              </w:rPr>
            </w:pPr>
            <w:r w:rsidRPr="00B153EB">
              <w:rPr>
                <w:rFonts w:ascii="Calibri" w:eastAsia="Times New Roman" w:hAnsi="Calibri" w:cstheme="minorHAnsi"/>
                <w:color w:val="000000"/>
                <w:sz w:val="20"/>
                <w:szCs w:val="20"/>
              </w:rPr>
              <w:t>Oct.</w:t>
            </w:r>
          </w:p>
        </w:tc>
        <w:tc>
          <w:tcPr>
            <w:tcW w:w="216" w:type="pct"/>
            <w:tcBorders>
              <w:top w:val="nil"/>
              <w:left w:val="nil"/>
              <w:bottom w:val="single" w:sz="4" w:space="0" w:color="auto"/>
              <w:right w:val="single" w:sz="4" w:space="0" w:color="auto"/>
            </w:tcBorders>
            <w:shd w:val="clear" w:color="auto" w:fill="auto"/>
            <w:hideMark/>
          </w:tcPr>
          <w:p w14:paraId="3E42163F" w14:textId="77777777" w:rsidR="00B153EB" w:rsidRPr="00B153EB" w:rsidRDefault="00B153EB" w:rsidP="003A2CCC">
            <w:pPr>
              <w:spacing w:after="0"/>
              <w:jc w:val="left"/>
              <w:rPr>
                <w:rFonts w:ascii="Calibri" w:eastAsia="Times New Roman" w:hAnsi="Calibri" w:cs="Calibri"/>
                <w:color w:val="000000"/>
                <w:sz w:val="20"/>
                <w:szCs w:val="20"/>
                <w:lang w:val="en-US"/>
              </w:rPr>
            </w:pPr>
            <w:r w:rsidRPr="00B153EB">
              <w:rPr>
                <w:rFonts w:ascii="Calibri" w:eastAsia="Times New Roman" w:hAnsi="Calibri" w:cstheme="minorHAnsi"/>
                <w:color w:val="000000"/>
                <w:sz w:val="20"/>
                <w:szCs w:val="20"/>
              </w:rPr>
              <w:t> </w:t>
            </w:r>
          </w:p>
        </w:tc>
        <w:tc>
          <w:tcPr>
            <w:tcW w:w="215" w:type="pct"/>
            <w:tcBorders>
              <w:top w:val="nil"/>
              <w:left w:val="nil"/>
              <w:bottom w:val="single" w:sz="4" w:space="0" w:color="auto"/>
              <w:right w:val="single" w:sz="4" w:space="0" w:color="auto"/>
            </w:tcBorders>
            <w:shd w:val="clear" w:color="auto" w:fill="auto"/>
            <w:hideMark/>
          </w:tcPr>
          <w:p w14:paraId="085C5697" w14:textId="77777777" w:rsidR="00B153EB" w:rsidRPr="00B153EB" w:rsidRDefault="00B153EB" w:rsidP="003A2CCC">
            <w:pPr>
              <w:spacing w:after="0"/>
              <w:jc w:val="left"/>
              <w:rPr>
                <w:rFonts w:ascii="Calibri" w:eastAsia="Times New Roman" w:hAnsi="Calibri" w:cs="Calibri"/>
                <w:color w:val="000000"/>
                <w:sz w:val="20"/>
                <w:szCs w:val="20"/>
                <w:lang w:val="en-US"/>
              </w:rPr>
            </w:pPr>
            <w:r w:rsidRPr="00B153EB">
              <w:rPr>
                <w:rFonts w:ascii="Calibri" w:eastAsia="Times New Roman" w:hAnsi="Calibri" w:cstheme="minorHAnsi"/>
                <w:color w:val="000000"/>
                <w:sz w:val="20"/>
                <w:szCs w:val="20"/>
              </w:rPr>
              <w:t> </w:t>
            </w:r>
          </w:p>
        </w:tc>
        <w:tc>
          <w:tcPr>
            <w:tcW w:w="224" w:type="pct"/>
            <w:tcBorders>
              <w:top w:val="nil"/>
              <w:left w:val="nil"/>
              <w:bottom w:val="single" w:sz="4" w:space="0" w:color="auto"/>
              <w:right w:val="single" w:sz="4" w:space="0" w:color="auto"/>
            </w:tcBorders>
            <w:shd w:val="clear" w:color="auto" w:fill="auto"/>
            <w:hideMark/>
          </w:tcPr>
          <w:p w14:paraId="5972A151" w14:textId="77777777" w:rsidR="00B153EB" w:rsidRPr="00B153EB" w:rsidRDefault="00B153EB" w:rsidP="003A2CCC">
            <w:pPr>
              <w:spacing w:after="0"/>
              <w:jc w:val="left"/>
              <w:rPr>
                <w:rFonts w:ascii="Calibri" w:eastAsia="Times New Roman" w:hAnsi="Calibri" w:cs="Calibri"/>
                <w:color w:val="000000"/>
                <w:sz w:val="20"/>
                <w:szCs w:val="20"/>
                <w:lang w:val="en-US"/>
              </w:rPr>
            </w:pPr>
            <w:r w:rsidRPr="00B153EB">
              <w:rPr>
                <w:rFonts w:ascii="Calibri" w:eastAsia="Times New Roman" w:hAnsi="Calibri" w:cstheme="minorHAnsi"/>
                <w:color w:val="000000"/>
                <w:sz w:val="20"/>
                <w:szCs w:val="20"/>
              </w:rPr>
              <w:t> </w:t>
            </w:r>
          </w:p>
        </w:tc>
        <w:tc>
          <w:tcPr>
            <w:tcW w:w="215" w:type="pct"/>
            <w:tcBorders>
              <w:top w:val="nil"/>
              <w:left w:val="nil"/>
              <w:bottom w:val="single" w:sz="4" w:space="0" w:color="auto"/>
              <w:right w:val="single" w:sz="4" w:space="0" w:color="auto"/>
            </w:tcBorders>
            <w:shd w:val="clear" w:color="000000" w:fill="AEAAAA"/>
            <w:hideMark/>
          </w:tcPr>
          <w:p w14:paraId="1DA37EB0" w14:textId="77777777" w:rsidR="00B153EB" w:rsidRPr="00B153EB" w:rsidRDefault="00B153EB" w:rsidP="003A2CCC">
            <w:pPr>
              <w:spacing w:after="0"/>
              <w:jc w:val="left"/>
              <w:rPr>
                <w:rFonts w:ascii="Calibri" w:eastAsia="Times New Roman" w:hAnsi="Calibri" w:cs="Calibri"/>
                <w:color w:val="000000"/>
                <w:sz w:val="20"/>
                <w:szCs w:val="20"/>
                <w:lang w:val="en-US"/>
              </w:rPr>
            </w:pPr>
            <w:r w:rsidRPr="00B153EB">
              <w:rPr>
                <w:rFonts w:ascii="Calibri" w:eastAsia="Times New Roman" w:hAnsi="Calibri" w:cstheme="minorHAnsi"/>
                <w:color w:val="000000"/>
                <w:sz w:val="20"/>
                <w:szCs w:val="20"/>
              </w:rPr>
              <w:t>Oct.</w:t>
            </w:r>
          </w:p>
        </w:tc>
        <w:tc>
          <w:tcPr>
            <w:tcW w:w="216" w:type="pct"/>
            <w:tcBorders>
              <w:top w:val="nil"/>
              <w:left w:val="nil"/>
              <w:bottom w:val="single" w:sz="4" w:space="0" w:color="auto"/>
              <w:right w:val="single" w:sz="4" w:space="0" w:color="auto"/>
            </w:tcBorders>
            <w:shd w:val="clear" w:color="auto" w:fill="auto"/>
            <w:hideMark/>
          </w:tcPr>
          <w:p w14:paraId="243FECBF" w14:textId="77777777" w:rsidR="00B153EB" w:rsidRPr="00B153EB" w:rsidRDefault="00B153EB" w:rsidP="003A2CCC">
            <w:pPr>
              <w:spacing w:after="0"/>
              <w:jc w:val="left"/>
              <w:rPr>
                <w:rFonts w:ascii="Calibri" w:eastAsia="Times New Roman" w:hAnsi="Calibri" w:cs="Calibri"/>
                <w:color w:val="000000"/>
                <w:sz w:val="20"/>
                <w:szCs w:val="20"/>
                <w:lang w:val="en-US"/>
              </w:rPr>
            </w:pPr>
            <w:r w:rsidRPr="00B153EB">
              <w:rPr>
                <w:rFonts w:ascii="Calibri" w:eastAsia="Times New Roman" w:hAnsi="Calibri" w:cstheme="minorHAnsi"/>
                <w:color w:val="000000"/>
                <w:sz w:val="20"/>
                <w:szCs w:val="20"/>
              </w:rPr>
              <w:t> </w:t>
            </w:r>
          </w:p>
        </w:tc>
        <w:tc>
          <w:tcPr>
            <w:tcW w:w="215" w:type="pct"/>
            <w:tcBorders>
              <w:top w:val="nil"/>
              <w:left w:val="nil"/>
              <w:bottom w:val="single" w:sz="4" w:space="0" w:color="auto"/>
              <w:right w:val="single" w:sz="4" w:space="0" w:color="auto"/>
            </w:tcBorders>
            <w:shd w:val="clear" w:color="auto" w:fill="auto"/>
            <w:hideMark/>
          </w:tcPr>
          <w:p w14:paraId="436A27D0" w14:textId="77777777" w:rsidR="00B153EB" w:rsidRPr="00B153EB" w:rsidRDefault="00B153EB" w:rsidP="003A2CCC">
            <w:pPr>
              <w:spacing w:after="0"/>
              <w:jc w:val="left"/>
              <w:rPr>
                <w:rFonts w:ascii="Calibri" w:eastAsia="Times New Roman" w:hAnsi="Calibri" w:cs="Calibri"/>
                <w:color w:val="000000"/>
                <w:sz w:val="20"/>
                <w:szCs w:val="20"/>
                <w:lang w:val="en-US"/>
              </w:rPr>
            </w:pPr>
            <w:r w:rsidRPr="00B153EB">
              <w:rPr>
                <w:rFonts w:ascii="Calibri" w:eastAsia="Times New Roman" w:hAnsi="Calibri" w:cstheme="minorHAnsi"/>
                <w:color w:val="000000"/>
                <w:sz w:val="20"/>
                <w:szCs w:val="20"/>
              </w:rPr>
              <w:t> </w:t>
            </w:r>
          </w:p>
        </w:tc>
        <w:tc>
          <w:tcPr>
            <w:tcW w:w="224" w:type="pct"/>
            <w:tcBorders>
              <w:top w:val="nil"/>
              <w:left w:val="nil"/>
              <w:bottom w:val="single" w:sz="4" w:space="0" w:color="auto"/>
              <w:right w:val="single" w:sz="4" w:space="0" w:color="auto"/>
            </w:tcBorders>
            <w:shd w:val="clear" w:color="auto" w:fill="auto"/>
            <w:hideMark/>
          </w:tcPr>
          <w:p w14:paraId="5A863AE4" w14:textId="77777777" w:rsidR="00B153EB" w:rsidRPr="00B153EB" w:rsidRDefault="00B153EB" w:rsidP="003A2CCC">
            <w:pPr>
              <w:spacing w:after="0"/>
              <w:jc w:val="left"/>
              <w:rPr>
                <w:rFonts w:ascii="Calibri" w:eastAsia="Times New Roman" w:hAnsi="Calibri" w:cs="Calibri"/>
                <w:color w:val="000000"/>
                <w:sz w:val="20"/>
                <w:szCs w:val="20"/>
                <w:lang w:val="en-US"/>
              </w:rPr>
            </w:pPr>
            <w:r w:rsidRPr="00B153EB">
              <w:rPr>
                <w:rFonts w:ascii="Calibri" w:eastAsia="Times New Roman" w:hAnsi="Calibri" w:cstheme="minorHAnsi"/>
                <w:color w:val="000000"/>
                <w:sz w:val="20"/>
                <w:szCs w:val="20"/>
              </w:rPr>
              <w:t> </w:t>
            </w:r>
          </w:p>
        </w:tc>
        <w:tc>
          <w:tcPr>
            <w:tcW w:w="215" w:type="pct"/>
            <w:tcBorders>
              <w:top w:val="nil"/>
              <w:left w:val="nil"/>
              <w:bottom w:val="single" w:sz="4" w:space="0" w:color="auto"/>
              <w:right w:val="single" w:sz="4" w:space="0" w:color="auto"/>
            </w:tcBorders>
            <w:shd w:val="clear" w:color="000000" w:fill="AEAAAA"/>
            <w:hideMark/>
          </w:tcPr>
          <w:p w14:paraId="6A8E1EFB" w14:textId="77777777" w:rsidR="00B153EB" w:rsidRPr="00B153EB" w:rsidRDefault="00B153EB" w:rsidP="003A2CCC">
            <w:pPr>
              <w:spacing w:after="0"/>
              <w:jc w:val="left"/>
              <w:rPr>
                <w:rFonts w:ascii="Calibri" w:eastAsia="Times New Roman" w:hAnsi="Calibri" w:cs="Calibri"/>
                <w:color w:val="000000"/>
                <w:sz w:val="20"/>
                <w:szCs w:val="20"/>
                <w:lang w:val="en-US"/>
              </w:rPr>
            </w:pPr>
            <w:r w:rsidRPr="00B153EB">
              <w:rPr>
                <w:rFonts w:ascii="Calibri" w:eastAsia="Times New Roman" w:hAnsi="Calibri" w:cstheme="minorHAnsi"/>
                <w:color w:val="000000"/>
                <w:sz w:val="20"/>
                <w:szCs w:val="20"/>
              </w:rPr>
              <w:t>Oct.</w:t>
            </w:r>
          </w:p>
        </w:tc>
        <w:tc>
          <w:tcPr>
            <w:tcW w:w="216" w:type="pct"/>
            <w:tcBorders>
              <w:top w:val="nil"/>
              <w:left w:val="nil"/>
              <w:bottom w:val="single" w:sz="4" w:space="0" w:color="auto"/>
              <w:right w:val="single" w:sz="4" w:space="0" w:color="auto"/>
            </w:tcBorders>
            <w:shd w:val="clear" w:color="auto" w:fill="auto"/>
            <w:hideMark/>
          </w:tcPr>
          <w:p w14:paraId="69478170" w14:textId="77777777" w:rsidR="00B153EB" w:rsidRPr="00B153EB" w:rsidRDefault="00B153EB" w:rsidP="003A2CCC">
            <w:pPr>
              <w:spacing w:after="0"/>
              <w:jc w:val="left"/>
              <w:rPr>
                <w:rFonts w:ascii="Calibri" w:eastAsia="Times New Roman" w:hAnsi="Calibri" w:cs="Calibri"/>
                <w:color w:val="000000"/>
                <w:sz w:val="20"/>
                <w:szCs w:val="20"/>
                <w:lang w:val="en-US"/>
              </w:rPr>
            </w:pPr>
            <w:r w:rsidRPr="00B153EB">
              <w:rPr>
                <w:rFonts w:ascii="Calibri" w:eastAsia="Times New Roman" w:hAnsi="Calibri" w:cstheme="minorHAnsi"/>
                <w:color w:val="000000"/>
                <w:sz w:val="20"/>
                <w:szCs w:val="20"/>
              </w:rPr>
              <w:t> </w:t>
            </w:r>
          </w:p>
        </w:tc>
        <w:tc>
          <w:tcPr>
            <w:tcW w:w="215" w:type="pct"/>
            <w:tcBorders>
              <w:top w:val="nil"/>
              <w:left w:val="nil"/>
              <w:bottom w:val="single" w:sz="4" w:space="0" w:color="auto"/>
              <w:right w:val="single" w:sz="4" w:space="0" w:color="auto"/>
            </w:tcBorders>
            <w:shd w:val="clear" w:color="auto" w:fill="auto"/>
            <w:hideMark/>
          </w:tcPr>
          <w:p w14:paraId="773D81FF" w14:textId="77777777" w:rsidR="00B153EB" w:rsidRPr="00B153EB" w:rsidRDefault="00B153EB" w:rsidP="003A2CCC">
            <w:pPr>
              <w:spacing w:after="0"/>
              <w:jc w:val="left"/>
              <w:rPr>
                <w:rFonts w:ascii="Calibri" w:eastAsia="Times New Roman" w:hAnsi="Calibri" w:cs="Calibri"/>
                <w:color w:val="000000"/>
                <w:sz w:val="20"/>
                <w:szCs w:val="20"/>
                <w:lang w:val="en-US"/>
              </w:rPr>
            </w:pPr>
            <w:r w:rsidRPr="00B153EB">
              <w:rPr>
                <w:rFonts w:ascii="Calibri" w:eastAsia="Times New Roman" w:hAnsi="Calibri" w:cstheme="minorHAnsi"/>
                <w:color w:val="000000"/>
                <w:sz w:val="20"/>
                <w:szCs w:val="20"/>
              </w:rPr>
              <w:t> </w:t>
            </w:r>
          </w:p>
        </w:tc>
        <w:tc>
          <w:tcPr>
            <w:tcW w:w="224" w:type="pct"/>
            <w:tcBorders>
              <w:top w:val="nil"/>
              <w:left w:val="nil"/>
              <w:bottom w:val="single" w:sz="4" w:space="0" w:color="auto"/>
              <w:right w:val="single" w:sz="4" w:space="0" w:color="auto"/>
            </w:tcBorders>
            <w:shd w:val="clear" w:color="auto" w:fill="auto"/>
            <w:hideMark/>
          </w:tcPr>
          <w:p w14:paraId="0DB10B73" w14:textId="77777777" w:rsidR="00B153EB" w:rsidRPr="00B153EB" w:rsidRDefault="00B153EB" w:rsidP="003A2CCC">
            <w:pPr>
              <w:spacing w:after="0"/>
              <w:jc w:val="left"/>
              <w:rPr>
                <w:rFonts w:ascii="Calibri" w:eastAsia="Times New Roman" w:hAnsi="Calibri" w:cs="Calibri"/>
                <w:color w:val="000000"/>
                <w:sz w:val="20"/>
                <w:szCs w:val="20"/>
                <w:lang w:val="en-US"/>
              </w:rPr>
            </w:pPr>
            <w:r w:rsidRPr="00B153EB">
              <w:rPr>
                <w:rFonts w:ascii="Calibri" w:eastAsia="Times New Roman" w:hAnsi="Calibri" w:cstheme="minorHAnsi"/>
                <w:color w:val="000000"/>
                <w:sz w:val="20"/>
                <w:szCs w:val="20"/>
              </w:rPr>
              <w:t> </w:t>
            </w:r>
          </w:p>
        </w:tc>
        <w:tc>
          <w:tcPr>
            <w:tcW w:w="215" w:type="pct"/>
            <w:tcBorders>
              <w:top w:val="nil"/>
              <w:left w:val="nil"/>
              <w:bottom w:val="single" w:sz="4" w:space="0" w:color="auto"/>
              <w:right w:val="single" w:sz="4" w:space="0" w:color="auto"/>
            </w:tcBorders>
            <w:shd w:val="clear" w:color="000000" w:fill="AEAAAA"/>
            <w:hideMark/>
          </w:tcPr>
          <w:p w14:paraId="5C10FF56" w14:textId="77777777" w:rsidR="00B153EB" w:rsidRPr="00B153EB" w:rsidRDefault="00B153EB" w:rsidP="003A2CCC">
            <w:pPr>
              <w:spacing w:after="0"/>
              <w:jc w:val="left"/>
              <w:rPr>
                <w:rFonts w:ascii="Calibri" w:eastAsia="Times New Roman" w:hAnsi="Calibri" w:cs="Calibri"/>
                <w:color w:val="000000"/>
                <w:sz w:val="20"/>
                <w:szCs w:val="20"/>
                <w:lang w:val="en-US"/>
              </w:rPr>
            </w:pPr>
            <w:r w:rsidRPr="00B153EB">
              <w:rPr>
                <w:rFonts w:ascii="Calibri" w:eastAsia="Times New Roman" w:hAnsi="Calibri" w:cstheme="minorHAnsi"/>
                <w:color w:val="000000"/>
                <w:sz w:val="20"/>
                <w:szCs w:val="20"/>
              </w:rPr>
              <w:t>Oct.</w:t>
            </w:r>
          </w:p>
        </w:tc>
        <w:tc>
          <w:tcPr>
            <w:tcW w:w="216" w:type="pct"/>
            <w:tcBorders>
              <w:top w:val="nil"/>
              <w:left w:val="nil"/>
              <w:bottom w:val="single" w:sz="4" w:space="0" w:color="auto"/>
              <w:right w:val="single" w:sz="4" w:space="0" w:color="auto"/>
            </w:tcBorders>
            <w:shd w:val="clear" w:color="auto" w:fill="auto"/>
            <w:hideMark/>
          </w:tcPr>
          <w:p w14:paraId="132067CD" w14:textId="77777777" w:rsidR="00B153EB" w:rsidRPr="00B153EB" w:rsidRDefault="00B153EB" w:rsidP="003A2CCC">
            <w:pPr>
              <w:spacing w:after="0"/>
              <w:jc w:val="left"/>
              <w:rPr>
                <w:rFonts w:ascii="Calibri" w:eastAsia="Times New Roman" w:hAnsi="Calibri" w:cs="Calibri"/>
                <w:color w:val="000000"/>
                <w:sz w:val="20"/>
                <w:szCs w:val="20"/>
                <w:lang w:val="en-US"/>
              </w:rPr>
            </w:pPr>
            <w:r w:rsidRPr="00B153EB">
              <w:rPr>
                <w:rFonts w:ascii="Calibri" w:eastAsia="Times New Roman" w:hAnsi="Calibri" w:cstheme="minorHAnsi"/>
                <w:color w:val="000000"/>
                <w:sz w:val="20"/>
                <w:szCs w:val="20"/>
              </w:rPr>
              <w:t> </w:t>
            </w:r>
          </w:p>
        </w:tc>
        <w:tc>
          <w:tcPr>
            <w:tcW w:w="215" w:type="pct"/>
            <w:tcBorders>
              <w:top w:val="nil"/>
              <w:left w:val="nil"/>
              <w:bottom w:val="single" w:sz="4" w:space="0" w:color="auto"/>
              <w:right w:val="single" w:sz="4" w:space="0" w:color="auto"/>
            </w:tcBorders>
            <w:shd w:val="clear" w:color="auto" w:fill="auto"/>
            <w:hideMark/>
          </w:tcPr>
          <w:p w14:paraId="5D3AE9FB" w14:textId="77777777" w:rsidR="00B153EB" w:rsidRPr="00B153EB" w:rsidRDefault="00B153EB" w:rsidP="003A2CCC">
            <w:pPr>
              <w:spacing w:after="0"/>
              <w:jc w:val="left"/>
              <w:rPr>
                <w:rFonts w:ascii="Calibri" w:eastAsia="Times New Roman" w:hAnsi="Calibri" w:cs="Calibri"/>
                <w:color w:val="000000"/>
                <w:sz w:val="20"/>
                <w:szCs w:val="20"/>
                <w:lang w:val="en-US"/>
              </w:rPr>
            </w:pPr>
            <w:r w:rsidRPr="00B153EB">
              <w:rPr>
                <w:rFonts w:ascii="Calibri" w:eastAsia="Times New Roman" w:hAnsi="Calibri" w:cstheme="minorHAnsi"/>
                <w:color w:val="000000"/>
                <w:sz w:val="20"/>
                <w:szCs w:val="20"/>
              </w:rPr>
              <w:t> </w:t>
            </w:r>
          </w:p>
        </w:tc>
      </w:tr>
      <w:tr w:rsidR="00B153EB" w:rsidRPr="00B153EB" w14:paraId="554F6780" w14:textId="77777777" w:rsidTr="004F2CEA">
        <w:trPr>
          <w:trHeight w:val="300"/>
        </w:trPr>
        <w:tc>
          <w:tcPr>
            <w:tcW w:w="1528" w:type="pct"/>
            <w:tcBorders>
              <w:top w:val="nil"/>
              <w:left w:val="single" w:sz="4" w:space="0" w:color="auto"/>
              <w:bottom w:val="single" w:sz="4" w:space="0" w:color="auto"/>
              <w:right w:val="single" w:sz="4" w:space="0" w:color="auto"/>
            </w:tcBorders>
            <w:shd w:val="clear" w:color="auto" w:fill="auto"/>
            <w:hideMark/>
          </w:tcPr>
          <w:p w14:paraId="01E2C8E6" w14:textId="77777777" w:rsidR="00B153EB" w:rsidRPr="00B153EB" w:rsidRDefault="00B153EB" w:rsidP="003A2CCC">
            <w:pPr>
              <w:spacing w:after="0"/>
              <w:jc w:val="left"/>
              <w:rPr>
                <w:rFonts w:ascii="Calibri" w:eastAsia="Times New Roman" w:hAnsi="Calibri" w:cs="Calibri"/>
                <w:color w:val="000000"/>
                <w:sz w:val="20"/>
                <w:szCs w:val="20"/>
                <w:lang w:val="en-US"/>
              </w:rPr>
            </w:pPr>
            <w:r w:rsidRPr="00B153EB">
              <w:rPr>
                <w:rFonts w:ascii="Calibri" w:eastAsia="Times New Roman" w:hAnsi="Calibri" w:cstheme="minorHAnsi"/>
                <w:color w:val="000000"/>
                <w:sz w:val="20"/>
                <w:szCs w:val="20"/>
              </w:rPr>
              <w:t>Learning Dialogue</w:t>
            </w:r>
          </w:p>
        </w:tc>
        <w:tc>
          <w:tcPr>
            <w:tcW w:w="216" w:type="pct"/>
            <w:tcBorders>
              <w:top w:val="nil"/>
              <w:left w:val="nil"/>
              <w:bottom w:val="single" w:sz="4" w:space="0" w:color="auto"/>
              <w:right w:val="single" w:sz="4" w:space="0" w:color="auto"/>
            </w:tcBorders>
            <w:shd w:val="clear" w:color="auto" w:fill="auto"/>
            <w:hideMark/>
          </w:tcPr>
          <w:p w14:paraId="7441D9D9" w14:textId="77777777" w:rsidR="00B153EB" w:rsidRPr="00B153EB" w:rsidRDefault="00B153EB" w:rsidP="003A2CCC">
            <w:pPr>
              <w:spacing w:after="0"/>
              <w:jc w:val="left"/>
              <w:rPr>
                <w:rFonts w:ascii="Calibri" w:eastAsia="Times New Roman" w:hAnsi="Calibri" w:cs="Calibri"/>
                <w:color w:val="000000"/>
                <w:sz w:val="20"/>
                <w:szCs w:val="20"/>
                <w:lang w:val="en-US"/>
              </w:rPr>
            </w:pPr>
            <w:r w:rsidRPr="00B153EB">
              <w:rPr>
                <w:rFonts w:ascii="Calibri" w:eastAsia="Times New Roman" w:hAnsi="Calibri" w:cstheme="minorHAnsi"/>
                <w:color w:val="000000"/>
                <w:sz w:val="20"/>
                <w:szCs w:val="20"/>
              </w:rPr>
              <w:t> </w:t>
            </w:r>
          </w:p>
        </w:tc>
        <w:tc>
          <w:tcPr>
            <w:tcW w:w="215" w:type="pct"/>
            <w:tcBorders>
              <w:top w:val="nil"/>
              <w:left w:val="nil"/>
              <w:bottom w:val="single" w:sz="4" w:space="0" w:color="auto"/>
              <w:right w:val="single" w:sz="4" w:space="0" w:color="auto"/>
            </w:tcBorders>
            <w:shd w:val="clear" w:color="000000" w:fill="AEAAAA"/>
            <w:hideMark/>
          </w:tcPr>
          <w:p w14:paraId="1D4F3FD0" w14:textId="77777777" w:rsidR="00B153EB" w:rsidRPr="00B153EB" w:rsidRDefault="00B153EB" w:rsidP="003A2CCC">
            <w:pPr>
              <w:spacing w:after="0"/>
              <w:jc w:val="left"/>
              <w:rPr>
                <w:rFonts w:ascii="Calibri" w:eastAsia="Times New Roman" w:hAnsi="Calibri" w:cs="Calibri"/>
                <w:color w:val="000000"/>
                <w:sz w:val="20"/>
                <w:szCs w:val="20"/>
                <w:lang w:val="en-US"/>
              </w:rPr>
            </w:pPr>
            <w:r w:rsidRPr="00B153EB">
              <w:rPr>
                <w:rFonts w:ascii="Calibri" w:eastAsia="Times New Roman" w:hAnsi="Calibri" w:cstheme="minorHAnsi"/>
                <w:color w:val="000000"/>
                <w:sz w:val="20"/>
                <w:szCs w:val="20"/>
              </w:rPr>
              <w:t>Jan.</w:t>
            </w:r>
          </w:p>
        </w:tc>
        <w:tc>
          <w:tcPr>
            <w:tcW w:w="216" w:type="pct"/>
            <w:tcBorders>
              <w:top w:val="nil"/>
              <w:left w:val="nil"/>
              <w:bottom w:val="single" w:sz="4" w:space="0" w:color="auto"/>
              <w:right w:val="single" w:sz="4" w:space="0" w:color="auto"/>
            </w:tcBorders>
            <w:shd w:val="clear" w:color="auto" w:fill="auto"/>
            <w:hideMark/>
          </w:tcPr>
          <w:p w14:paraId="044FE136" w14:textId="77777777" w:rsidR="00B153EB" w:rsidRPr="00B153EB" w:rsidRDefault="00B153EB" w:rsidP="003A2CCC">
            <w:pPr>
              <w:spacing w:after="0"/>
              <w:jc w:val="left"/>
              <w:rPr>
                <w:rFonts w:ascii="Calibri" w:eastAsia="Times New Roman" w:hAnsi="Calibri" w:cs="Calibri"/>
                <w:color w:val="000000"/>
                <w:sz w:val="20"/>
                <w:szCs w:val="20"/>
                <w:lang w:val="en-US"/>
              </w:rPr>
            </w:pPr>
            <w:r w:rsidRPr="00B153EB">
              <w:rPr>
                <w:rFonts w:ascii="Calibri" w:eastAsia="Times New Roman" w:hAnsi="Calibri" w:cstheme="minorHAnsi"/>
                <w:color w:val="000000"/>
                <w:sz w:val="20"/>
                <w:szCs w:val="20"/>
              </w:rPr>
              <w:t> </w:t>
            </w:r>
          </w:p>
        </w:tc>
        <w:tc>
          <w:tcPr>
            <w:tcW w:w="215" w:type="pct"/>
            <w:tcBorders>
              <w:top w:val="nil"/>
              <w:left w:val="nil"/>
              <w:bottom w:val="single" w:sz="4" w:space="0" w:color="auto"/>
              <w:right w:val="single" w:sz="4" w:space="0" w:color="auto"/>
            </w:tcBorders>
            <w:shd w:val="clear" w:color="auto" w:fill="A6A6A6" w:themeFill="background1" w:themeFillShade="A6"/>
            <w:hideMark/>
          </w:tcPr>
          <w:p w14:paraId="077F9582" w14:textId="2F099A33" w:rsidR="00B153EB" w:rsidRPr="00B153EB" w:rsidRDefault="00B153EB" w:rsidP="003A2CCC">
            <w:pPr>
              <w:spacing w:after="0"/>
              <w:jc w:val="left"/>
              <w:rPr>
                <w:rFonts w:ascii="Calibri" w:eastAsia="Times New Roman" w:hAnsi="Calibri" w:cs="Calibri"/>
                <w:color w:val="000000"/>
                <w:sz w:val="20"/>
                <w:szCs w:val="20"/>
                <w:lang w:val="en-US"/>
              </w:rPr>
            </w:pPr>
            <w:r w:rsidRPr="00B153EB">
              <w:rPr>
                <w:rFonts w:ascii="Calibri" w:eastAsia="Times New Roman" w:hAnsi="Calibri" w:cstheme="minorHAnsi"/>
                <w:color w:val="000000"/>
                <w:sz w:val="20"/>
                <w:szCs w:val="20"/>
              </w:rPr>
              <w:t> </w:t>
            </w:r>
            <w:r w:rsidR="00AE485F">
              <w:rPr>
                <w:rFonts w:ascii="Calibri" w:eastAsia="Times New Roman" w:hAnsi="Calibri" w:cstheme="minorHAnsi"/>
                <w:color w:val="000000"/>
                <w:sz w:val="20"/>
                <w:szCs w:val="20"/>
              </w:rPr>
              <w:t>Jul</w:t>
            </w:r>
          </w:p>
        </w:tc>
        <w:tc>
          <w:tcPr>
            <w:tcW w:w="224" w:type="pct"/>
            <w:tcBorders>
              <w:top w:val="nil"/>
              <w:left w:val="nil"/>
              <w:bottom w:val="single" w:sz="4" w:space="0" w:color="auto"/>
              <w:right w:val="single" w:sz="4" w:space="0" w:color="auto"/>
            </w:tcBorders>
            <w:shd w:val="clear" w:color="auto" w:fill="auto"/>
            <w:hideMark/>
          </w:tcPr>
          <w:p w14:paraId="44975B3E" w14:textId="77777777" w:rsidR="00B153EB" w:rsidRPr="00B153EB" w:rsidRDefault="00B153EB" w:rsidP="003A2CCC">
            <w:pPr>
              <w:spacing w:after="0"/>
              <w:jc w:val="left"/>
              <w:rPr>
                <w:rFonts w:ascii="Calibri" w:eastAsia="Times New Roman" w:hAnsi="Calibri" w:cs="Calibri"/>
                <w:color w:val="000000"/>
                <w:sz w:val="20"/>
                <w:szCs w:val="20"/>
                <w:lang w:val="en-US"/>
              </w:rPr>
            </w:pPr>
            <w:r w:rsidRPr="00B153EB">
              <w:rPr>
                <w:rFonts w:ascii="Calibri" w:eastAsia="Times New Roman" w:hAnsi="Calibri" w:cstheme="minorHAnsi"/>
                <w:color w:val="000000"/>
                <w:sz w:val="20"/>
                <w:szCs w:val="20"/>
              </w:rPr>
              <w:t> </w:t>
            </w:r>
          </w:p>
        </w:tc>
        <w:tc>
          <w:tcPr>
            <w:tcW w:w="215" w:type="pct"/>
            <w:tcBorders>
              <w:top w:val="nil"/>
              <w:left w:val="nil"/>
              <w:bottom w:val="single" w:sz="4" w:space="0" w:color="auto"/>
              <w:right w:val="single" w:sz="4" w:space="0" w:color="auto"/>
            </w:tcBorders>
            <w:shd w:val="clear" w:color="000000" w:fill="AEAAAA"/>
            <w:hideMark/>
          </w:tcPr>
          <w:p w14:paraId="7D942A25" w14:textId="77777777" w:rsidR="00B153EB" w:rsidRPr="00B153EB" w:rsidRDefault="00B153EB" w:rsidP="003A2CCC">
            <w:pPr>
              <w:spacing w:after="0"/>
              <w:jc w:val="left"/>
              <w:rPr>
                <w:rFonts w:ascii="Calibri" w:eastAsia="Times New Roman" w:hAnsi="Calibri" w:cs="Calibri"/>
                <w:color w:val="000000"/>
                <w:sz w:val="20"/>
                <w:szCs w:val="20"/>
                <w:lang w:val="en-US"/>
              </w:rPr>
            </w:pPr>
            <w:r w:rsidRPr="00B153EB">
              <w:rPr>
                <w:rFonts w:ascii="Calibri" w:eastAsia="Times New Roman" w:hAnsi="Calibri" w:cstheme="minorHAnsi"/>
                <w:color w:val="000000"/>
                <w:sz w:val="20"/>
                <w:szCs w:val="20"/>
              </w:rPr>
              <w:t>Jan.</w:t>
            </w:r>
          </w:p>
        </w:tc>
        <w:tc>
          <w:tcPr>
            <w:tcW w:w="216" w:type="pct"/>
            <w:tcBorders>
              <w:top w:val="nil"/>
              <w:left w:val="nil"/>
              <w:bottom w:val="single" w:sz="4" w:space="0" w:color="auto"/>
              <w:right w:val="single" w:sz="4" w:space="0" w:color="auto"/>
            </w:tcBorders>
            <w:shd w:val="clear" w:color="auto" w:fill="auto"/>
            <w:hideMark/>
          </w:tcPr>
          <w:p w14:paraId="3821B85D" w14:textId="77777777" w:rsidR="00B153EB" w:rsidRPr="00B153EB" w:rsidRDefault="00B153EB" w:rsidP="003A2CCC">
            <w:pPr>
              <w:spacing w:after="0"/>
              <w:jc w:val="left"/>
              <w:rPr>
                <w:rFonts w:ascii="Calibri" w:eastAsia="Times New Roman" w:hAnsi="Calibri" w:cs="Calibri"/>
                <w:color w:val="000000"/>
                <w:sz w:val="20"/>
                <w:szCs w:val="20"/>
                <w:lang w:val="en-US"/>
              </w:rPr>
            </w:pPr>
            <w:r w:rsidRPr="00B153EB">
              <w:rPr>
                <w:rFonts w:ascii="Calibri" w:eastAsia="Times New Roman" w:hAnsi="Calibri" w:cstheme="minorHAnsi"/>
                <w:color w:val="000000"/>
                <w:sz w:val="20"/>
                <w:szCs w:val="20"/>
              </w:rPr>
              <w:t> </w:t>
            </w:r>
          </w:p>
        </w:tc>
        <w:tc>
          <w:tcPr>
            <w:tcW w:w="215" w:type="pct"/>
            <w:tcBorders>
              <w:top w:val="nil"/>
              <w:left w:val="nil"/>
              <w:bottom w:val="single" w:sz="4" w:space="0" w:color="auto"/>
              <w:right w:val="single" w:sz="4" w:space="0" w:color="auto"/>
            </w:tcBorders>
            <w:shd w:val="clear" w:color="auto" w:fill="A6A6A6" w:themeFill="background1" w:themeFillShade="A6"/>
            <w:hideMark/>
          </w:tcPr>
          <w:p w14:paraId="00AAA96C" w14:textId="5C5422A3" w:rsidR="00B153EB" w:rsidRPr="00B153EB" w:rsidRDefault="00B153EB" w:rsidP="003A2CCC">
            <w:pPr>
              <w:spacing w:after="0"/>
              <w:jc w:val="left"/>
              <w:rPr>
                <w:rFonts w:ascii="Calibri" w:eastAsia="Times New Roman" w:hAnsi="Calibri" w:cs="Calibri"/>
                <w:color w:val="000000"/>
                <w:sz w:val="20"/>
                <w:szCs w:val="20"/>
                <w:lang w:val="en-US"/>
              </w:rPr>
            </w:pPr>
            <w:r w:rsidRPr="00B153EB">
              <w:rPr>
                <w:rFonts w:ascii="Calibri" w:eastAsia="Times New Roman" w:hAnsi="Calibri" w:cstheme="minorHAnsi"/>
                <w:color w:val="000000"/>
                <w:sz w:val="20"/>
                <w:szCs w:val="20"/>
              </w:rPr>
              <w:t> </w:t>
            </w:r>
            <w:r w:rsidR="00AE485F" w:rsidRPr="00B153EB">
              <w:rPr>
                <w:rFonts w:ascii="Calibri" w:eastAsia="Times New Roman" w:hAnsi="Calibri" w:cstheme="minorHAnsi"/>
                <w:color w:val="000000"/>
                <w:sz w:val="20"/>
                <w:szCs w:val="20"/>
              </w:rPr>
              <w:t> </w:t>
            </w:r>
            <w:r w:rsidR="00AE485F">
              <w:rPr>
                <w:rFonts w:ascii="Calibri" w:eastAsia="Times New Roman" w:hAnsi="Calibri" w:cstheme="minorHAnsi"/>
                <w:color w:val="000000"/>
                <w:sz w:val="20"/>
                <w:szCs w:val="20"/>
              </w:rPr>
              <w:t>Jul</w:t>
            </w:r>
          </w:p>
        </w:tc>
        <w:tc>
          <w:tcPr>
            <w:tcW w:w="224" w:type="pct"/>
            <w:tcBorders>
              <w:top w:val="nil"/>
              <w:left w:val="nil"/>
              <w:bottom w:val="single" w:sz="4" w:space="0" w:color="auto"/>
              <w:right w:val="single" w:sz="4" w:space="0" w:color="auto"/>
            </w:tcBorders>
            <w:shd w:val="clear" w:color="auto" w:fill="auto"/>
            <w:hideMark/>
          </w:tcPr>
          <w:p w14:paraId="2E323B59" w14:textId="77777777" w:rsidR="00B153EB" w:rsidRPr="00B153EB" w:rsidRDefault="00B153EB" w:rsidP="003A2CCC">
            <w:pPr>
              <w:spacing w:after="0"/>
              <w:jc w:val="left"/>
              <w:rPr>
                <w:rFonts w:ascii="Calibri" w:eastAsia="Times New Roman" w:hAnsi="Calibri" w:cs="Calibri"/>
                <w:color w:val="000000"/>
                <w:sz w:val="20"/>
                <w:szCs w:val="20"/>
                <w:lang w:val="en-US"/>
              </w:rPr>
            </w:pPr>
            <w:r w:rsidRPr="00B153EB">
              <w:rPr>
                <w:rFonts w:ascii="Calibri" w:eastAsia="Times New Roman" w:hAnsi="Calibri" w:cstheme="minorHAnsi"/>
                <w:color w:val="000000"/>
                <w:sz w:val="20"/>
                <w:szCs w:val="20"/>
              </w:rPr>
              <w:t> </w:t>
            </w:r>
          </w:p>
        </w:tc>
        <w:tc>
          <w:tcPr>
            <w:tcW w:w="215" w:type="pct"/>
            <w:tcBorders>
              <w:top w:val="nil"/>
              <w:left w:val="nil"/>
              <w:bottom w:val="single" w:sz="4" w:space="0" w:color="auto"/>
              <w:right w:val="single" w:sz="4" w:space="0" w:color="auto"/>
            </w:tcBorders>
            <w:shd w:val="clear" w:color="000000" w:fill="AEAAAA"/>
            <w:hideMark/>
          </w:tcPr>
          <w:p w14:paraId="581B9821" w14:textId="77777777" w:rsidR="00B153EB" w:rsidRPr="00B153EB" w:rsidRDefault="00B153EB" w:rsidP="003A2CCC">
            <w:pPr>
              <w:spacing w:after="0"/>
              <w:jc w:val="left"/>
              <w:rPr>
                <w:rFonts w:ascii="Calibri" w:eastAsia="Times New Roman" w:hAnsi="Calibri" w:cs="Calibri"/>
                <w:color w:val="000000"/>
                <w:sz w:val="20"/>
                <w:szCs w:val="20"/>
                <w:lang w:val="en-US"/>
              </w:rPr>
            </w:pPr>
            <w:r w:rsidRPr="00B153EB">
              <w:rPr>
                <w:rFonts w:ascii="Calibri" w:eastAsia="Times New Roman" w:hAnsi="Calibri" w:cstheme="minorHAnsi"/>
                <w:color w:val="000000"/>
                <w:sz w:val="20"/>
                <w:szCs w:val="20"/>
              </w:rPr>
              <w:t>Jan.</w:t>
            </w:r>
          </w:p>
        </w:tc>
        <w:tc>
          <w:tcPr>
            <w:tcW w:w="216" w:type="pct"/>
            <w:tcBorders>
              <w:top w:val="nil"/>
              <w:left w:val="nil"/>
              <w:bottom w:val="single" w:sz="4" w:space="0" w:color="auto"/>
              <w:right w:val="single" w:sz="4" w:space="0" w:color="auto"/>
            </w:tcBorders>
            <w:shd w:val="clear" w:color="auto" w:fill="auto"/>
            <w:hideMark/>
          </w:tcPr>
          <w:p w14:paraId="35A80451" w14:textId="77777777" w:rsidR="00B153EB" w:rsidRPr="00B153EB" w:rsidRDefault="00B153EB" w:rsidP="003A2CCC">
            <w:pPr>
              <w:spacing w:after="0"/>
              <w:jc w:val="left"/>
              <w:rPr>
                <w:rFonts w:ascii="Calibri" w:eastAsia="Times New Roman" w:hAnsi="Calibri" w:cs="Calibri"/>
                <w:color w:val="000000"/>
                <w:sz w:val="20"/>
                <w:szCs w:val="20"/>
                <w:lang w:val="en-US"/>
              </w:rPr>
            </w:pPr>
            <w:r w:rsidRPr="00B153EB">
              <w:rPr>
                <w:rFonts w:ascii="Calibri" w:eastAsia="Times New Roman" w:hAnsi="Calibri" w:cstheme="minorHAnsi"/>
                <w:color w:val="000000"/>
                <w:sz w:val="20"/>
                <w:szCs w:val="20"/>
              </w:rPr>
              <w:t> </w:t>
            </w:r>
          </w:p>
        </w:tc>
        <w:tc>
          <w:tcPr>
            <w:tcW w:w="215" w:type="pct"/>
            <w:tcBorders>
              <w:top w:val="nil"/>
              <w:left w:val="nil"/>
              <w:bottom w:val="single" w:sz="4" w:space="0" w:color="auto"/>
              <w:right w:val="single" w:sz="4" w:space="0" w:color="auto"/>
            </w:tcBorders>
            <w:shd w:val="clear" w:color="auto" w:fill="A6A6A6" w:themeFill="background1" w:themeFillShade="A6"/>
            <w:hideMark/>
          </w:tcPr>
          <w:p w14:paraId="09BA5CD0" w14:textId="7AEC8798" w:rsidR="00B153EB" w:rsidRPr="00B153EB" w:rsidRDefault="00B153EB" w:rsidP="003A2CCC">
            <w:pPr>
              <w:spacing w:after="0"/>
              <w:jc w:val="left"/>
              <w:rPr>
                <w:rFonts w:ascii="Calibri" w:eastAsia="Times New Roman" w:hAnsi="Calibri" w:cs="Calibri"/>
                <w:color w:val="000000"/>
                <w:sz w:val="20"/>
                <w:szCs w:val="20"/>
                <w:lang w:val="en-US"/>
              </w:rPr>
            </w:pPr>
            <w:r w:rsidRPr="00B153EB">
              <w:rPr>
                <w:rFonts w:ascii="Calibri" w:eastAsia="Times New Roman" w:hAnsi="Calibri" w:cstheme="minorHAnsi"/>
                <w:color w:val="000000"/>
                <w:sz w:val="20"/>
                <w:szCs w:val="20"/>
              </w:rPr>
              <w:t> </w:t>
            </w:r>
            <w:r w:rsidR="00AE485F" w:rsidRPr="00B153EB">
              <w:rPr>
                <w:rFonts w:ascii="Calibri" w:eastAsia="Times New Roman" w:hAnsi="Calibri" w:cstheme="minorHAnsi"/>
                <w:color w:val="000000"/>
                <w:sz w:val="20"/>
                <w:szCs w:val="20"/>
              </w:rPr>
              <w:t> </w:t>
            </w:r>
            <w:r w:rsidR="00AE485F">
              <w:rPr>
                <w:rFonts w:ascii="Calibri" w:eastAsia="Times New Roman" w:hAnsi="Calibri" w:cstheme="minorHAnsi"/>
                <w:color w:val="000000"/>
                <w:sz w:val="20"/>
                <w:szCs w:val="20"/>
              </w:rPr>
              <w:t>Jul</w:t>
            </w:r>
          </w:p>
        </w:tc>
        <w:tc>
          <w:tcPr>
            <w:tcW w:w="224" w:type="pct"/>
            <w:tcBorders>
              <w:top w:val="nil"/>
              <w:left w:val="nil"/>
              <w:bottom w:val="single" w:sz="4" w:space="0" w:color="auto"/>
              <w:right w:val="single" w:sz="4" w:space="0" w:color="auto"/>
            </w:tcBorders>
            <w:shd w:val="clear" w:color="auto" w:fill="auto"/>
            <w:hideMark/>
          </w:tcPr>
          <w:p w14:paraId="4D8752AE" w14:textId="77777777" w:rsidR="00B153EB" w:rsidRPr="00B153EB" w:rsidRDefault="00B153EB" w:rsidP="003A2CCC">
            <w:pPr>
              <w:spacing w:after="0"/>
              <w:jc w:val="left"/>
              <w:rPr>
                <w:rFonts w:ascii="Calibri" w:eastAsia="Times New Roman" w:hAnsi="Calibri" w:cs="Calibri"/>
                <w:color w:val="000000"/>
                <w:sz w:val="20"/>
                <w:szCs w:val="20"/>
                <w:lang w:val="en-US"/>
              </w:rPr>
            </w:pPr>
            <w:r w:rsidRPr="00B153EB">
              <w:rPr>
                <w:rFonts w:ascii="Calibri" w:eastAsia="Times New Roman" w:hAnsi="Calibri" w:cstheme="minorHAnsi"/>
                <w:color w:val="000000"/>
                <w:sz w:val="20"/>
                <w:szCs w:val="20"/>
              </w:rPr>
              <w:t> </w:t>
            </w:r>
          </w:p>
        </w:tc>
        <w:tc>
          <w:tcPr>
            <w:tcW w:w="215" w:type="pct"/>
            <w:tcBorders>
              <w:top w:val="nil"/>
              <w:left w:val="nil"/>
              <w:bottom w:val="single" w:sz="4" w:space="0" w:color="auto"/>
              <w:right w:val="single" w:sz="4" w:space="0" w:color="auto"/>
            </w:tcBorders>
            <w:shd w:val="clear" w:color="000000" w:fill="AEAAAA"/>
            <w:hideMark/>
          </w:tcPr>
          <w:p w14:paraId="5B7BC31D" w14:textId="77777777" w:rsidR="00B153EB" w:rsidRPr="00B153EB" w:rsidRDefault="00B153EB" w:rsidP="003A2CCC">
            <w:pPr>
              <w:spacing w:after="0"/>
              <w:jc w:val="left"/>
              <w:rPr>
                <w:rFonts w:ascii="Calibri" w:eastAsia="Times New Roman" w:hAnsi="Calibri" w:cs="Calibri"/>
                <w:color w:val="000000"/>
                <w:sz w:val="20"/>
                <w:szCs w:val="20"/>
                <w:lang w:val="en-US"/>
              </w:rPr>
            </w:pPr>
            <w:r w:rsidRPr="00B153EB">
              <w:rPr>
                <w:rFonts w:ascii="Calibri" w:eastAsia="Times New Roman" w:hAnsi="Calibri" w:cstheme="minorHAnsi"/>
                <w:color w:val="000000"/>
                <w:sz w:val="20"/>
                <w:szCs w:val="20"/>
              </w:rPr>
              <w:t>Jan.</w:t>
            </w:r>
          </w:p>
        </w:tc>
        <w:tc>
          <w:tcPr>
            <w:tcW w:w="216" w:type="pct"/>
            <w:tcBorders>
              <w:top w:val="nil"/>
              <w:left w:val="nil"/>
              <w:bottom w:val="single" w:sz="4" w:space="0" w:color="auto"/>
              <w:right w:val="single" w:sz="4" w:space="0" w:color="auto"/>
            </w:tcBorders>
            <w:shd w:val="clear" w:color="auto" w:fill="auto"/>
            <w:hideMark/>
          </w:tcPr>
          <w:p w14:paraId="35F90A93" w14:textId="77777777" w:rsidR="00B153EB" w:rsidRPr="00B153EB" w:rsidRDefault="00B153EB" w:rsidP="003A2CCC">
            <w:pPr>
              <w:spacing w:after="0"/>
              <w:jc w:val="left"/>
              <w:rPr>
                <w:rFonts w:ascii="Calibri" w:eastAsia="Times New Roman" w:hAnsi="Calibri" w:cs="Calibri"/>
                <w:color w:val="000000"/>
                <w:sz w:val="20"/>
                <w:szCs w:val="20"/>
                <w:lang w:val="en-US"/>
              </w:rPr>
            </w:pPr>
            <w:r w:rsidRPr="00B153EB">
              <w:rPr>
                <w:rFonts w:ascii="Calibri" w:eastAsia="Times New Roman" w:hAnsi="Calibri" w:cstheme="minorHAnsi"/>
                <w:color w:val="000000"/>
                <w:sz w:val="20"/>
                <w:szCs w:val="20"/>
              </w:rPr>
              <w:t> </w:t>
            </w:r>
          </w:p>
        </w:tc>
        <w:tc>
          <w:tcPr>
            <w:tcW w:w="215" w:type="pct"/>
            <w:tcBorders>
              <w:top w:val="nil"/>
              <w:left w:val="nil"/>
              <w:bottom w:val="single" w:sz="4" w:space="0" w:color="auto"/>
              <w:right w:val="single" w:sz="4" w:space="0" w:color="auto"/>
            </w:tcBorders>
            <w:shd w:val="clear" w:color="auto" w:fill="auto"/>
            <w:hideMark/>
          </w:tcPr>
          <w:p w14:paraId="2E17777B" w14:textId="77777777" w:rsidR="00B153EB" w:rsidRPr="00B153EB" w:rsidRDefault="00B153EB" w:rsidP="003A2CCC">
            <w:pPr>
              <w:spacing w:after="0"/>
              <w:jc w:val="left"/>
              <w:rPr>
                <w:rFonts w:ascii="Calibri" w:eastAsia="Times New Roman" w:hAnsi="Calibri" w:cs="Calibri"/>
                <w:color w:val="000000"/>
                <w:sz w:val="20"/>
                <w:szCs w:val="20"/>
                <w:lang w:val="en-US"/>
              </w:rPr>
            </w:pPr>
            <w:r w:rsidRPr="00B153EB">
              <w:rPr>
                <w:rFonts w:ascii="Calibri" w:eastAsia="Times New Roman" w:hAnsi="Calibri" w:cstheme="minorHAnsi"/>
                <w:color w:val="000000"/>
                <w:sz w:val="20"/>
                <w:szCs w:val="20"/>
              </w:rPr>
              <w:t> </w:t>
            </w:r>
          </w:p>
        </w:tc>
      </w:tr>
      <w:tr w:rsidR="00B153EB" w:rsidRPr="00B153EB" w14:paraId="1387F834" w14:textId="77777777" w:rsidTr="0061262A">
        <w:trPr>
          <w:trHeight w:val="300"/>
        </w:trPr>
        <w:tc>
          <w:tcPr>
            <w:tcW w:w="1528" w:type="pct"/>
            <w:tcBorders>
              <w:top w:val="nil"/>
              <w:left w:val="single" w:sz="4" w:space="0" w:color="auto"/>
              <w:bottom w:val="single" w:sz="4" w:space="0" w:color="auto"/>
              <w:right w:val="single" w:sz="4" w:space="0" w:color="auto"/>
            </w:tcBorders>
            <w:shd w:val="clear" w:color="auto" w:fill="auto"/>
            <w:hideMark/>
          </w:tcPr>
          <w:p w14:paraId="62426DB8" w14:textId="591C18BE" w:rsidR="00B153EB" w:rsidRPr="00B153EB" w:rsidRDefault="00B153EB" w:rsidP="003A2CCC">
            <w:pPr>
              <w:spacing w:after="0"/>
              <w:jc w:val="left"/>
              <w:rPr>
                <w:rFonts w:ascii="Calibri" w:eastAsia="Times New Roman" w:hAnsi="Calibri" w:cs="Calibri"/>
                <w:color w:val="000000"/>
                <w:sz w:val="20"/>
                <w:szCs w:val="20"/>
                <w:lang w:val="en-US"/>
              </w:rPr>
            </w:pPr>
            <w:r w:rsidRPr="00B153EB">
              <w:rPr>
                <w:rFonts w:ascii="Calibri" w:eastAsia="Times New Roman" w:hAnsi="Calibri" w:cstheme="minorHAnsi"/>
                <w:color w:val="000000"/>
                <w:sz w:val="20"/>
                <w:szCs w:val="20"/>
              </w:rPr>
              <w:t>Submit 6-monthly</w:t>
            </w:r>
            <w:r w:rsidR="0016109D">
              <w:rPr>
                <w:rFonts w:ascii="Calibri" w:eastAsia="Times New Roman" w:hAnsi="Calibri" w:cstheme="minorHAnsi"/>
                <w:color w:val="000000"/>
                <w:sz w:val="20"/>
                <w:szCs w:val="20"/>
              </w:rPr>
              <w:t xml:space="preserve"> Verbal</w:t>
            </w:r>
            <w:r w:rsidRPr="00B153EB">
              <w:rPr>
                <w:rFonts w:ascii="Calibri" w:eastAsia="Times New Roman" w:hAnsi="Calibri" w:cstheme="minorHAnsi"/>
                <w:color w:val="000000"/>
                <w:sz w:val="20"/>
                <w:szCs w:val="20"/>
              </w:rPr>
              <w:t xml:space="preserve"> Report</w:t>
            </w:r>
          </w:p>
        </w:tc>
        <w:tc>
          <w:tcPr>
            <w:tcW w:w="216" w:type="pct"/>
            <w:tcBorders>
              <w:top w:val="nil"/>
              <w:left w:val="nil"/>
              <w:bottom w:val="single" w:sz="4" w:space="0" w:color="auto"/>
              <w:right w:val="single" w:sz="4" w:space="0" w:color="auto"/>
            </w:tcBorders>
            <w:shd w:val="clear" w:color="auto" w:fill="auto"/>
            <w:hideMark/>
          </w:tcPr>
          <w:p w14:paraId="29780BFA" w14:textId="77777777" w:rsidR="00B153EB" w:rsidRPr="00B153EB" w:rsidRDefault="00B153EB" w:rsidP="003A2CCC">
            <w:pPr>
              <w:spacing w:after="0"/>
              <w:jc w:val="left"/>
              <w:rPr>
                <w:rFonts w:ascii="Calibri" w:eastAsia="Times New Roman" w:hAnsi="Calibri" w:cs="Calibri"/>
                <w:color w:val="000000"/>
                <w:sz w:val="20"/>
                <w:szCs w:val="20"/>
                <w:lang w:val="en-US"/>
              </w:rPr>
            </w:pPr>
            <w:r w:rsidRPr="00B153EB">
              <w:rPr>
                <w:rFonts w:ascii="Calibri" w:eastAsia="Times New Roman" w:hAnsi="Calibri" w:cstheme="minorHAnsi"/>
                <w:color w:val="000000"/>
                <w:sz w:val="20"/>
                <w:szCs w:val="20"/>
              </w:rPr>
              <w:t> </w:t>
            </w:r>
          </w:p>
        </w:tc>
        <w:tc>
          <w:tcPr>
            <w:tcW w:w="215" w:type="pct"/>
            <w:tcBorders>
              <w:top w:val="nil"/>
              <w:left w:val="nil"/>
              <w:bottom w:val="single" w:sz="4" w:space="0" w:color="auto"/>
              <w:right w:val="single" w:sz="4" w:space="0" w:color="auto"/>
            </w:tcBorders>
            <w:shd w:val="clear" w:color="auto" w:fill="auto"/>
            <w:hideMark/>
          </w:tcPr>
          <w:p w14:paraId="7D705161" w14:textId="77777777" w:rsidR="00B153EB" w:rsidRPr="00B153EB" w:rsidRDefault="00B153EB" w:rsidP="003A2CCC">
            <w:pPr>
              <w:spacing w:after="0"/>
              <w:jc w:val="left"/>
              <w:rPr>
                <w:rFonts w:ascii="Calibri" w:eastAsia="Times New Roman" w:hAnsi="Calibri" w:cs="Calibri"/>
                <w:color w:val="000000"/>
                <w:sz w:val="20"/>
                <w:szCs w:val="20"/>
                <w:lang w:val="en-US"/>
              </w:rPr>
            </w:pPr>
            <w:r w:rsidRPr="00B153EB">
              <w:rPr>
                <w:rFonts w:ascii="Calibri" w:eastAsia="Times New Roman" w:hAnsi="Calibri" w:cstheme="minorHAnsi"/>
                <w:color w:val="000000"/>
                <w:sz w:val="20"/>
                <w:szCs w:val="20"/>
              </w:rPr>
              <w:t> </w:t>
            </w:r>
          </w:p>
        </w:tc>
        <w:tc>
          <w:tcPr>
            <w:tcW w:w="216" w:type="pct"/>
            <w:tcBorders>
              <w:top w:val="nil"/>
              <w:left w:val="nil"/>
              <w:bottom w:val="single" w:sz="4" w:space="0" w:color="auto"/>
              <w:right w:val="single" w:sz="4" w:space="0" w:color="auto"/>
            </w:tcBorders>
            <w:shd w:val="clear" w:color="auto" w:fill="auto"/>
            <w:hideMark/>
          </w:tcPr>
          <w:p w14:paraId="58EEF517" w14:textId="77777777" w:rsidR="00B153EB" w:rsidRPr="00B153EB" w:rsidRDefault="00B153EB" w:rsidP="003A2CCC">
            <w:pPr>
              <w:spacing w:after="0"/>
              <w:jc w:val="left"/>
              <w:rPr>
                <w:rFonts w:ascii="Calibri" w:eastAsia="Times New Roman" w:hAnsi="Calibri" w:cs="Calibri"/>
                <w:color w:val="000000"/>
                <w:sz w:val="20"/>
                <w:szCs w:val="20"/>
                <w:lang w:val="en-US"/>
              </w:rPr>
            </w:pPr>
            <w:r w:rsidRPr="00B153EB">
              <w:rPr>
                <w:rFonts w:ascii="Calibri" w:eastAsia="Times New Roman" w:hAnsi="Calibri" w:cstheme="minorHAnsi"/>
                <w:color w:val="000000"/>
                <w:sz w:val="20"/>
                <w:szCs w:val="20"/>
              </w:rPr>
              <w:t> </w:t>
            </w:r>
          </w:p>
        </w:tc>
        <w:tc>
          <w:tcPr>
            <w:tcW w:w="215" w:type="pct"/>
            <w:tcBorders>
              <w:top w:val="nil"/>
              <w:left w:val="nil"/>
              <w:bottom w:val="single" w:sz="4" w:space="0" w:color="auto"/>
              <w:right w:val="single" w:sz="4" w:space="0" w:color="auto"/>
            </w:tcBorders>
            <w:shd w:val="clear" w:color="auto" w:fill="auto"/>
            <w:hideMark/>
          </w:tcPr>
          <w:p w14:paraId="623D6120" w14:textId="77777777" w:rsidR="00B153EB" w:rsidRPr="00B153EB" w:rsidRDefault="00B153EB" w:rsidP="003A2CCC">
            <w:pPr>
              <w:spacing w:after="0"/>
              <w:jc w:val="left"/>
              <w:rPr>
                <w:rFonts w:ascii="Calibri" w:eastAsia="Times New Roman" w:hAnsi="Calibri" w:cs="Calibri"/>
                <w:color w:val="000000"/>
                <w:sz w:val="20"/>
                <w:szCs w:val="20"/>
                <w:lang w:val="en-US"/>
              </w:rPr>
            </w:pPr>
            <w:r w:rsidRPr="00B153EB">
              <w:rPr>
                <w:rFonts w:ascii="Calibri" w:eastAsia="Times New Roman" w:hAnsi="Calibri" w:cstheme="minorHAnsi"/>
                <w:color w:val="000000"/>
                <w:sz w:val="20"/>
                <w:szCs w:val="20"/>
              </w:rPr>
              <w:t> </w:t>
            </w:r>
          </w:p>
        </w:tc>
        <w:tc>
          <w:tcPr>
            <w:tcW w:w="224" w:type="pct"/>
            <w:tcBorders>
              <w:top w:val="nil"/>
              <w:left w:val="nil"/>
              <w:bottom w:val="single" w:sz="4" w:space="0" w:color="auto"/>
              <w:right w:val="single" w:sz="4" w:space="0" w:color="auto"/>
            </w:tcBorders>
            <w:shd w:val="clear" w:color="000000" w:fill="AEAAAA"/>
            <w:hideMark/>
          </w:tcPr>
          <w:p w14:paraId="67C3E66F" w14:textId="77777777" w:rsidR="00B153EB" w:rsidRPr="00B153EB" w:rsidRDefault="00B153EB" w:rsidP="003A2CCC">
            <w:pPr>
              <w:spacing w:after="0"/>
              <w:jc w:val="left"/>
              <w:rPr>
                <w:rFonts w:ascii="Calibri" w:eastAsia="Times New Roman" w:hAnsi="Calibri" w:cs="Calibri"/>
                <w:color w:val="000000"/>
                <w:sz w:val="20"/>
                <w:szCs w:val="20"/>
                <w:lang w:val="en-US"/>
              </w:rPr>
            </w:pPr>
            <w:r w:rsidRPr="00B153EB">
              <w:rPr>
                <w:rFonts w:ascii="Calibri" w:eastAsia="Times New Roman" w:hAnsi="Calibri" w:cstheme="minorHAnsi"/>
                <w:color w:val="000000"/>
                <w:sz w:val="20"/>
                <w:szCs w:val="20"/>
              </w:rPr>
              <w:t>Aug.</w:t>
            </w:r>
          </w:p>
        </w:tc>
        <w:tc>
          <w:tcPr>
            <w:tcW w:w="215" w:type="pct"/>
            <w:tcBorders>
              <w:top w:val="nil"/>
              <w:left w:val="nil"/>
              <w:bottom w:val="single" w:sz="4" w:space="0" w:color="auto"/>
              <w:right w:val="single" w:sz="4" w:space="0" w:color="auto"/>
            </w:tcBorders>
            <w:shd w:val="clear" w:color="auto" w:fill="auto"/>
            <w:hideMark/>
          </w:tcPr>
          <w:p w14:paraId="616C1A0C" w14:textId="77777777" w:rsidR="00B153EB" w:rsidRPr="00B153EB" w:rsidRDefault="00B153EB" w:rsidP="003A2CCC">
            <w:pPr>
              <w:spacing w:after="0"/>
              <w:jc w:val="left"/>
              <w:rPr>
                <w:rFonts w:ascii="Calibri" w:eastAsia="Times New Roman" w:hAnsi="Calibri" w:cs="Calibri"/>
                <w:color w:val="000000"/>
                <w:sz w:val="20"/>
                <w:szCs w:val="20"/>
                <w:lang w:val="en-US"/>
              </w:rPr>
            </w:pPr>
            <w:r w:rsidRPr="00B153EB">
              <w:rPr>
                <w:rFonts w:ascii="Calibri" w:eastAsia="Times New Roman" w:hAnsi="Calibri" w:cstheme="minorHAnsi"/>
                <w:color w:val="000000"/>
                <w:sz w:val="20"/>
                <w:szCs w:val="20"/>
              </w:rPr>
              <w:t> </w:t>
            </w:r>
          </w:p>
        </w:tc>
        <w:tc>
          <w:tcPr>
            <w:tcW w:w="216" w:type="pct"/>
            <w:tcBorders>
              <w:top w:val="nil"/>
              <w:left w:val="nil"/>
              <w:bottom w:val="single" w:sz="4" w:space="0" w:color="auto"/>
              <w:right w:val="single" w:sz="4" w:space="0" w:color="auto"/>
            </w:tcBorders>
            <w:shd w:val="clear" w:color="auto" w:fill="auto"/>
            <w:hideMark/>
          </w:tcPr>
          <w:p w14:paraId="0B302384" w14:textId="77777777" w:rsidR="00B153EB" w:rsidRPr="00B153EB" w:rsidRDefault="00B153EB" w:rsidP="003A2CCC">
            <w:pPr>
              <w:spacing w:after="0"/>
              <w:jc w:val="left"/>
              <w:rPr>
                <w:rFonts w:ascii="Calibri" w:eastAsia="Times New Roman" w:hAnsi="Calibri" w:cs="Calibri"/>
                <w:color w:val="000000"/>
                <w:sz w:val="20"/>
                <w:szCs w:val="20"/>
                <w:lang w:val="en-US"/>
              </w:rPr>
            </w:pPr>
            <w:r w:rsidRPr="00B153EB">
              <w:rPr>
                <w:rFonts w:ascii="Calibri" w:eastAsia="Times New Roman" w:hAnsi="Calibri" w:cstheme="minorHAnsi"/>
                <w:color w:val="000000"/>
                <w:sz w:val="20"/>
                <w:szCs w:val="20"/>
              </w:rPr>
              <w:t> </w:t>
            </w:r>
          </w:p>
        </w:tc>
        <w:tc>
          <w:tcPr>
            <w:tcW w:w="215" w:type="pct"/>
            <w:tcBorders>
              <w:top w:val="nil"/>
              <w:left w:val="nil"/>
              <w:bottom w:val="single" w:sz="4" w:space="0" w:color="auto"/>
              <w:right w:val="single" w:sz="4" w:space="0" w:color="auto"/>
            </w:tcBorders>
            <w:shd w:val="clear" w:color="auto" w:fill="auto"/>
            <w:hideMark/>
          </w:tcPr>
          <w:p w14:paraId="50CF3AAC" w14:textId="77777777" w:rsidR="00B153EB" w:rsidRPr="00B153EB" w:rsidRDefault="00B153EB" w:rsidP="003A2CCC">
            <w:pPr>
              <w:spacing w:after="0"/>
              <w:jc w:val="left"/>
              <w:rPr>
                <w:rFonts w:ascii="Calibri" w:eastAsia="Times New Roman" w:hAnsi="Calibri" w:cs="Calibri"/>
                <w:color w:val="000000"/>
                <w:sz w:val="20"/>
                <w:szCs w:val="20"/>
                <w:lang w:val="en-US"/>
              </w:rPr>
            </w:pPr>
            <w:r w:rsidRPr="00B153EB">
              <w:rPr>
                <w:rFonts w:ascii="Calibri" w:eastAsia="Times New Roman" w:hAnsi="Calibri" w:cstheme="minorHAnsi"/>
                <w:color w:val="000000"/>
                <w:sz w:val="20"/>
                <w:szCs w:val="20"/>
              </w:rPr>
              <w:t> </w:t>
            </w:r>
          </w:p>
        </w:tc>
        <w:tc>
          <w:tcPr>
            <w:tcW w:w="224" w:type="pct"/>
            <w:tcBorders>
              <w:top w:val="nil"/>
              <w:left w:val="nil"/>
              <w:bottom w:val="single" w:sz="4" w:space="0" w:color="auto"/>
              <w:right w:val="single" w:sz="4" w:space="0" w:color="auto"/>
            </w:tcBorders>
            <w:shd w:val="clear" w:color="000000" w:fill="AEAAAA"/>
            <w:hideMark/>
          </w:tcPr>
          <w:p w14:paraId="390AA968" w14:textId="77777777" w:rsidR="00B153EB" w:rsidRPr="00B153EB" w:rsidRDefault="00B153EB" w:rsidP="003A2CCC">
            <w:pPr>
              <w:spacing w:after="0"/>
              <w:jc w:val="left"/>
              <w:rPr>
                <w:rFonts w:ascii="Calibri" w:eastAsia="Times New Roman" w:hAnsi="Calibri" w:cs="Calibri"/>
                <w:color w:val="000000"/>
                <w:sz w:val="20"/>
                <w:szCs w:val="20"/>
                <w:lang w:val="en-US"/>
              </w:rPr>
            </w:pPr>
            <w:r w:rsidRPr="00B153EB">
              <w:rPr>
                <w:rFonts w:ascii="Calibri" w:eastAsia="Times New Roman" w:hAnsi="Calibri" w:cstheme="minorHAnsi"/>
                <w:color w:val="000000"/>
                <w:sz w:val="20"/>
                <w:szCs w:val="20"/>
              </w:rPr>
              <w:t>Aug.</w:t>
            </w:r>
          </w:p>
        </w:tc>
        <w:tc>
          <w:tcPr>
            <w:tcW w:w="215" w:type="pct"/>
            <w:tcBorders>
              <w:top w:val="nil"/>
              <w:left w:val="nil"/>
              <w:bottom w:val="single" w:sz="4" w:space="0" w:color="auto"/>
              <w:right w:val="single" w:sz="4" w:space="0" w:color="auto"/>
            </w:tcBorders>
            <w:shd w:val="clear" w:color="auto" w:fill="auto"/>
            <w:hideMark/>
          </w:tcPr>
          <w:p w14:paraId="6911DB36" w14:textId="77777777" w:rsidR="00B153EB" w:rsidRPr="00B153EB" w:rsidRDefault="00B153EB" w:rsidP="003A2CCC">
            <w:pPr>
              <w:spacing w:after="0"/>
              <w:jc w:val="left"/>
              <w:rPr>
                <w:rFonts w:ascii="Calibri" w:eastAsia="Times New Roman" w:hAnsi="Calibri" w:cs="Calibri"/>
                <w:color w:val="000000"/>
                <w:sz w:val="20"/>
                <w:szCs w:val="20"/>
                <w:lang w:val="en-US"/>
              </w:rPr>
            </w:pPr>
            <w:r w:rsidRPr="00B153EB">
              <w:rPr>
                <w:rFonts w:ascii="Calibri" w:eastAsia="Times New Roman" w:hAnsi="Calibri" w:cstheme="minorHAnsi"/>
                <w:color w:val="000000"/>
                <w:sz w:val="20"/>
                <w:szCs w:val="20"/>
              </w:rPr>
              <w:t> </w:t>
            </w:r>
          </w:p>
        </w:tc>
        <w:tc>
          <w:tcPr>
            <w:tcW w:w="216" w:type="pct"/>
            <w:tcBorders>
              <w:top w:val="nil"/>
              <w:left w:val="nil"/>
              <w:bottom w:val="single" w:sz="4" w:space="0" w:color="auto"/>
              <w:right w:val="single" w:sz="4" w:space="0" w:color="auto"/>
            </w:tcBorders>
            <w:shd w:val="clear" w:color="auto" w:fill="auto"/>
            <w:hideMark/>
          </w:tcPr>
          <w:p w14:paraId="6D139E0D" w14:textId="77777777" w:rsidR="00B153EB" w:rsidRPr="00B153EB" w:rsidRDefault="00B153EB" w:rsidP="003A2CCC">
            <w:pPr>
              <w:spacing w:after="0"/>
              <w:jc w:val="left"/>
              <w:rPr>
                <w:rFonts w:ascii="Calibri" w:eastAsia="Times New Roman" w:hAnsi="Calibri" w:cs="Calibri"/>
                <w:color w:val="000000"/>
                <w:sz w:val="20"/>
                <w:szCs w:val="20"/>
                <w:lang w:val="en-US"/>
              </w:rPr>
            </w:pPr>
            <w:r w:rsidRPr="00B153EB">
              <w:rPr>
                <w:rFonts w:ascii="Calibri" w:eastAsia="Times New Roman" w:hAnsi="Calibri" w:cstheme="minorHAnsi"/>
                <w:color w:val="000000"/>
                <w:sz w:val="20"/>
                <w:szCs w:val="20"/>
              </w:rPr>
              <w:t> </w:t>
            </w:r>
          </w:p>
        </w:tc>
        <w:tc>
          <w:tcPr>
            <w:tcW w:w="215" w:type="pct"/>
            <w:tcBorders>
              <w:top w:val="nil"/>
              <w:left w:val="nil"/>
              <w:bottom w:val="single" w:sz="4" w:space="0" w:color="auto"/>
              <w:right w:val="single" w:sz="4" w:space="0" w:color="auto"/>
            </w:tcBorders>
            <w:shd w:val="clear" w:color="auto" w:fill="auto"/>
            <w:hideMark/>
          </w:tcPr>
          <w:p w14:paraId="24A34718" w14:textId="77777777" w:rsidR="00B153EB" w:rsidRPr="00B153EB" w:rsidRDefault="00B153EB" w:rsidP="003A2CCC">
            <w:pPr>
              <w:spacing w:after="0"/>
              <w:jc w:val="left"/>
              <w:rPr>
                <w:rFonts w:ascii="Calibri" w:eastAsia="Times New Roman" w:hAnsi="Calibri" w:cs="Calibri"/>
                <w:color w:val="000000"/>
                <w:sz w:val="20"/>
                <w:szCs w:val="20"/>
                <w:lang w:val="en-US"/>
              </w:rPr>
            </w:pPr>
            <w:r w:rsidRPr="00B153EB">
              <w:rPr>
                <w:rFonts w:ascii="Calibri" w:eastAsia="Times New Roman" w:hAnsi="Calibri" w:cstheme="minorHAnsi"/>
                <w:color w:val="000000"/>
                <w:sz w:val="20"/>
                <w:szCs w:val="20"/>
              </w:rPr>
              <w:t> </w:t>
            </w:r>
          </w:p>
        </w:tc>
        <w:tc>
          <w:tcPr>
            <w:tcW w:w="224" w:type="pct"/>
            <w:tcBorders>
              <w:top w:val="nil"/>
              <w:left w:val="nil"/>
              <w:bottom w:val="single" w:sz="4" w:space="0" w:color="auto"/>
              <w:right w:val="single" w:sz="4" w:space="0" w:color="auto"/>
            </w:tcBorders>
            <w:shd w:val="clear" w:color="000000" w:fill="AEAAAA"/>
            <w:hideMark/>
          </w:tcPr>
          <w:p w14:paraId="26EB2CA0" w14:textId="77777777" w:rsidR="00B153EB" w:rsidRPr="00B153EB" w:rsidRDefault="00B153EB" w:rsidP="003A2CCC">
            <w:pPr>
              <w:spacing w:after="0"/>
              <w:jc w:val="left"/>
              <w:rPr>
                <w:rFonts w:ascii="Calibri" w:eastAsia="Times New Roman" w:hAnsi="Calibri" w:cs="Calibri"/>
                <w:color w:val="000000"/>
                <w:sz w:val="20"/>
                <w:szCs w:val="20"/>
                <w:lang w:val="en-US"/>
              </w:rPr>
            </w:pPr>
            <w:r w:rsidRPr="00B153EB">
              <w:rPr>
                <w:rFonts w:ascii="Calibri" w:eastAsia="Times New Roman" w:hAnsi="Calibri" w:cstheme="minorHAnsi"/>
                <w:color w:val="000000"/>
                <w:sz w:val="20"/>
                <w:szCs w:val="20"/>
              </w:rPr>
              <w:t>Aug.</w:t>
            </w:r>
          </w:p>
        </w:tc>
        <w:tc>
          <w:tcPr>
            <w:tcW w:w="215" w:type="pct"/>
            <w:tcBorders>
              <w:top w:val="nil"/>
              <w:left w:val="nil"/>
              <w:bottom w:val="single" w:sz="4" w:space="0" w:color="auto"/>
              <w:right w:val="single" w:sz="4" w:space="0" w:color="auto"/>
            </w:tcBorders>
            <w:shd w:val="clear" w:color="auto" w:fill="auto"/>
            <w:hideMark/>
          </w:tcPr>
          <w:p w14:paraId="271BC5DA" w14:textId="77777777" w:rsidR="00B153EB" w:rsidRPr="00B153EB" w:rsidRDefault="00B153EB" w:rsidP="003A2CCC">
            <w:pPr>
              <w:spacing w:after="0"/>
              <w:jc w:val="left"/>
              <w:rPr>
                <w:rFonts w:ascii="Calibri" w:eastAsia="Times New Roman" w:hAnsi="Calibri" w:cs="Calibri"/>
                <w:color w:val="000000"/>
                <w:sz w:val="20"/>
                <w:szCs w:val="20"/>
                <w:lang w:val="en-US"/>
              </w:rPr>
            </w:pPr>
            <w:r w:rsidRPr="00B153EB">
              <w:rPr>
                <w:rFonts w:ascii="Calibri" w:eastAsia="Times New Roman" w:hAnsi="Calibri" w:cstheme="minorHAnsi"/>
                <w:color w:val="000000"/>
                <w:sz w:val="20"/>
                <w:szCs w:val="20"/>
              </w:rPr>
              <w:t> </w:t>
            </w:r>
          </w:p>
        </w:tc>
        <w:tc>
          <w:tcPr>
            <w:tcW w:w="216" w:type="pct"/>
            <w:tcBorders>
              <w:top w:val="nil"/>
              <w:left w:val="nil"/>
              <w:bottom w:val="single" w:sz="4" w:space="0" w:color="auto"/>
              <w:right w:val="single" w:sz="4" w:space="0" w:color="auto"/>
            </w:tcBorders>
            <w:shd w:val="clear" w:color="auto" w:fill="auto"/>
            <w:hideMark/>
          </w:tcPr>
          <w:p w14:paraId="6F81F9DC" w14:textId="77777777" w:rsidR="00B153EB" w:rsidRPr="00B153EB" w:rsidRDefault="00B153EB" w:rsidP="003A2CCC">
            <w:pPr>
              <w:spacing w:after="0"/>
              <w:jc w:val="left"/>
              <w:rPr>
                <w:rFonts w:ascii="Calibri" w:eastAsia="Times New Roman" w:hAnsi="Calibri" w:cs="Calibri"/>
                <w:color w:val="000000"/>
                <w:sz w:val="20"/>
                <w:szCs w:val="20"/>
                <w:lang w:val="en-US"/>
              </w:rPr>
            </w:pPr>
            <w:r w:rsidRPr="00B153EB">
              <w:rPr>
                <w:rFonts w:ascii="Calibri" w:eastAsia="Times New Roman" w:hAnsi="Calibri" w:cstheme="minorHAnsi"/>
                <w:color w:val="000000"/>
                <w:sz w:val="20"/>
                <w:szCs w:val="20"/>
              </w:rPr>
              <w:t> </w:t>
            </w:r>
          </w:p>
        </w:tc>
        <w:tc>
          <w:tcPr>
            <w:tcW w:w="215" w:type="pct"/>
            <w:tcBorders>
              <w:top w:val="nil"/>
              <w:left w:val="nil"/>
              <w:bottom w:val="single" w:sz="4" w:space="0" w:color="auto"/>
              <w:right w:val="single" w:sz="4" w:space="0" w:color="auto"/>
            </w:tcBorders>
            <w:shd w:val="clear" w:color="auto" w:fill="auto"/>
            <w:hideMark/>
          </w:tcPr>
          <w:p w14:paraId="685B5991" w14:textId="77777777" w:rsidR="00B153EB" w:rsidRPr="00B153EB" w:rsidRDefault="00B153EB" w:rsidP="003A2CCC">
            <w:pPr>
              <w:spacing w:after="0"/>
              <w:jc w:val="left"/>
              <w:rPr>
                <w:rFonts w:ascii="Calibri" w:eastAsia="Times New Roman" w:hAnsi="Calibri" w:cs="Calibri"/>
                <w:color w:val="000000"/>
                <w:sz w:val="20"/>
                <w:szCs w:val="20"/>
                <w:lang w:val="en-US"/>
              </w:rPr>
            </w:pPr>
            <w:r w:rsidRPr="00B153EB">
              <w:rPr>
                <w:rFonts w:ascii="Calibri" w:eastAsia="Times New Roman" w:hAnsi="Calibri" w:cstheme="minorHAnsi"/>
                <w:color w:val="000000"/>
                <w:sz w:val="20"/>
                <w:szCs w:val="20"/>
              </w:rPr>
              <w:t> </w:t>
            </w:r>
          </w:p>
        </w:tc>
      </w:tr>
      <w:tr w:rsidR="00B153EB" w:rsidRPr="00B153EB" w14:paraId="00E509F9" w14:textId="77777777" w:rsidTr="0061262A">
        <w:trPr>
          <w:trHeight w:val="300"/>
        </w:trPr>
        <w:tc>
          <w:tcPr>
            <w:tcW w:w="1528" w:type="pct"/>
            <w:tcBorders>
              <w:top w:val="nil"/>
              <w:left w:val="single" w:sz="4" w:space="0" w:color="auto"/>
              <w:bottom w:val="single" w:sz="4" w:space="0" w:color="auto"/>
              <w:right w:val="single" w:sz="4" w:space="0" w:color="auto"/>
            </w:tcBorders>
            <w:shd w:val="clear" w:color="auto" w:fill="auto"/>
            <w:hideMark/>
          </w:tcPr>
          <w:p w14:paraId="6249A546" w14:textId="77777777" w:rsidR="00B153EB" w:rsidRPr="00B153EB" w:rsidRDefault="00B153EB" w:rsidP="003A2CCC">
            <w:pPr>
              <w:spacing w:after="0"/>
              <w:jc w:val="left"/>
              <w:rPr>
                <w:rFonts w:ascii="Calibri" w:eastAsia="Times New Roman" w:hAnsi="Calibri" w:cs="Calibri"/>
                <w:color w:val="000000"/>
                <w:sz w:val="20"/>
                <w:szCs w:val="20"/>
                <w:lang w:val="en-US"/>
              </w:rPr>
            </w:pPr>
            <w:r w:rsidRPr="00B153EB">
              <w:rPr>
                <w:rFonts w:ascii="Calibri" w:eastAsia="Times New Roman" w:hAnsi="Calibri" w:cstheme="minorHAnsi"/>
                <w:color w:val="000000"/>
                <w:sz w:val="20"/>
                <w:szCs w:val="20"/>
              </w:rPr>
              <w:t>Submit Annual Report</w:t>
            </w:r>
          </w:p>
        </w:tc>
        <w:tc>
          <w:tcPr>
            <w:tcW w:w="216" w:type="pct"/>
            <w:tcBorders>
              <w:top w:val="nil"/>
              <w:left w:val="nil"/>
              <w:bottom w:val="single" w:sz="4" w:space="0" w:color="auto"/>
              <w:right w:val="single" w:sz="4" w:space="0" w:color="auto"/>
            </w:tcBorders>
            <w:shd w:val="clear" w:color="auto" w:fill="auto"/>
            <w:hideMark/>
          </w:tcPr>
          <w:p w14:paraId="3E566C16" w14:textId="77777777" w:rsidR="00B153EB" w:rsidRPr="00B153EB" w:rsidRDefault="00B153EB" w:rsidP="003A2CCC">
            <w:pPr>
              <w:spacing w:after="0"/>
              <w:jc w:val="left"/>
              <w:rPr>
                <w:rFonts w:ascii="Calibri" w:eastAsia="Times New Roman" w:hAnsi="Calibri" w:cs="Calibri"/>
                <w:color w:val="000000"/>
                <w:sz w:val="20"/>
                <w:szCs w:val="20"/>
                <w:lang w:val="en-US"/>
              </w:rPr>
            </w:pPr>
            <w:r w:rsidRPr="00B153EB">
              <w:rPr>
                <w:rFonts w:ascii="Calibri" w:eastAsia="Times New Roman" w:hAnsi="Calibri" w:cstheme="minorHAnsi"/>
                <w:color w:val="000000"/>
                <w:sz w:val="20"/>
                <w:szCs w:val="20"/>
              </w:rPr>
              <w:t> </w:t>
            </w:r>
          </w:p>
        </w:tc>
        <w:tc>
          <w:tcPr>
            <w:tcW w:w="215" w:type="pct"/>
            <w:tcBorders>
              <w:top w:val="nil"/>
              <w:left w:val="nil"/>
              <w:bottom w:val="single" w:sz="4" w:space="0" w:color="auto"/>
              <w:right w:val="single" w:sz="4" w:space="0" w:color="auto"/>
            </w:tcBorders>
            <w:shd w:val="clear" w:color="auto" w:fill="auto"/>
            <w:hideMark/>
          </w:tcPr>
          <w:p w14:paraId="147D52EC" w14:textId="77777777" w:rsidR="00B153EB" w:rsidRPr="00B153EB" w:rsidRDefault="00B153EB" w:rsidP="003A2CCC">
            <w:pPr>
              <w:spacing w:after="0"/>
              <w:jc w:val="left"/>
              <w:rPr>
                <w:rFonts w:ascii="Calibri" w:eastAsia="Times New Roman" w:hAnsi="Calibri" w:cs="Calibri"/>
                <w:color w:val="000000"/>
                <w:sz w:val="20"/>
                <w:szCs w:val="20"/>
                <w:lang w:val="en-US"/>
              </w:rPr>
            </w:pPr>
            <w:r w:rsidRPr="00B153EB">
              <w:rPr>
                <w:rFonts w:ascii="Calibri" w:eastAsia="Times New Roman" w:hAnsi="Calibri" w:cstheme="minorHAnsi"/>
                <w:color w:val="000000"/>
                <w:sz w:val="20"/>
                <w:szCs w:val="20"/>
              </w:rPr>
              <w:t> </w:t>
            </w:r>
          </w:p>
        </w:tc>
        <w:tc>
          <w:tcPr>
            <w:tcW w:w="216" w:type="pct"/>
            <w:tcBorders>
              <w:top w:val="nil"/>
              <w:left w:val="nil"/>
              <w:bottom w:val="single" w:sz="4" w:space="0" w:color="auto"/>
              <w:right w:val="single" w:sz="4" w:space="0" w:color="auto"/>
            </w:tcBorders>
            <w:shd w:val="clear" w:color="000000" w:fill="AEAAAA"/>
            <w:hideMark/>
          </w:tcPr>
          <w:p w14:paraId="26E2F3CA" w14:textId="77777777" w:rsidR="00B153EB" w:rsidRPr="00B153EB" w:rsidRDefault="00B153EB" w:rsidP="003A2CCC">
            <w:pPr>
              <w:spacing w:after="0"/>
              <w:jc w:val="left"/>
              <w:rPr>
                <w:rFonts w:ascii="Calibri" w:eastAsia="Times New Roman" w:hAnsi="Calibri" w:cs="Calibri"/>
                <w:color w:val="000000"/>
                <w:sz w:val="20"/>
                <w:szCs w:val="20"/>
                <w:lang w:val="en-US"/>
              </w:rPr>
            </w:pPr>
            <w:r w:rsidRPr="00B153EB">
              <w:rPr>
                <w:rFonts w:ascii="Calibri" w:eastAsia="Times New Roman" w:hAnsi="Calibri" w:cstheme="minorHAnsi"/>
                <w:color w:val="000000"/>
                <w:sz w:val="20"/>
                <w:szCs w:val="20"/>
              </w:rPr>
              <w:t>Feb.</w:t>
            </w:r>
          </w:p>
        </w:tc>
        <w:tc>
          <w:tcPr>
            <w:tcW w:w="215" w:type="pct"/>
            <w:tcBorders>
              <w:top w:val="nil"/>
              <w:left w:val="nil"/>
              <w:bottom w:val="single" w:sz="4" w:space="0" w:color="auto"/>
              <w:right w:val="single" w:sz="4" w:space="0" w:color="auto"/>
            </w:tcBorders>
            <w:shd w:val="clear" w:color="auto" w:fill="auto"/>
            <w:hideMark/>
          </w:tcPr>
          <w:p w14:paraId="6BAF4DDE" w14:textId="77777777" w:rsidR="00B153EB" w:rsidRPr="00B153EB" w:rsidRDefault="00B153EB" w:rsidP="003A2CCC">
            <w:pPr>
              <w:spacing w:after="0"/>
              <w:jc w:val="left"/>
              <w:rPr>
                <w:rFonts w:ascii="Calibri" w:eastAsia="Times New Roman" w:hAnsi="Calibri" w:cs="Calibri"/>
                <w:color w:val="000000"/>
                <w:sz w:val="20"/>
                <w:szCs w:val="20"/>
                <w:lang w:val="en-US"/>
              </w:rPr>
            </w:pPr>
            <w:r w:rsidRPr="00B153EB">
              <w:rPr>
                <w:rFonts w:ascii="Calibri" w:eastAsia="Times New Roman" w:hAnsi="Calibri" w:cstheme="minorHAnsi"/>
                <w:color w:val="000000"/>
                <w:sz w:val="20"/>
                <w:szCs w:val="20"/>
              </w:rPr>
              <w:t> </w:t>
            </w:r>
          </w:p>
        </w:tc>
        <w:tc>
          <w:tcPr>
            <w:tcW w:w="224" w:type="pct"/>
            <w:tcBorders>
              <w:top w:val="nil"/>
              <w:left w:val="nil"/>
              <w:bottom w:val="single" w:sz="4" w:space="0" w:color="auto"/>
              <w:right w:val="single" w:sz="4" w:space="0" w:color="auto"/>
            </w:tcBorders>
            <w:shd w:val="clear" w:color="auto" w:fill="auto"/>
            <w:hideMark/>
          </w:tcPr>
          <w:p w14:paraId="3F4B3469" w14:textId="77777777" w:rsidR="00B153EB" w:rsidRPr="00B153EB" w:rsidRDefault="00B153EB" w:rsidP="003A2CCC">
            <w:pPr>
              <w:spacing w:after="0"/>
              <w:jc w:val="left"/>
              <w:rPr>
                <w:rFonts w:ascii="Calibri" w:eastAsia="Times New Roman" w:hAnsi="Calibri" w:cs="Calibri"/>
                <w:color w:val="000000"/>
                <w:sz w:val="20"/>
                <w:szCs w:val="20"/>
                <w:lang w:val="en-US"/>
              </w:rPr>
            </w:pPr>
            <w:r w:rsidRPr="00B153EB">
              <w:rPr>
                <w:rFonts w:ascii="Calibri" w:eastAsia="Times New Roman" w:hAnsi="Calibri" w:cstheme="minorHAnsi"/>
                <w:color w:val="000000"/>
                <w:sz w:val="20"/>
                <w:szCs w:val="20"/>
              </w:rPr>
              <w:t> </w:t>
            </w:r>
          </w:p>
        </w:tc>
        <w:tc>
          <w:tcPr>
            <w:tcW w:w="215" w:type="pct"/>
            <w:tcBorders>
              <w:top w:val="nil"/>
              <w:left w:val="nil"/>
              <w:bottom w:val="single" w:sz="4" w:space="0" w:color="auto"/>
              <w:right w:val="single" w:sz="4" w:space="0" w:color="auto"/>
            </w:tcBorders>
            <w:shd w:val="clear" w:color="auto" w:fill="auto"/>
            <w:hideMark/>
          </w:tcPr>
          <w:p w14:paraId="4326763D" w14:textId="77777777" w:rsidR="00B153EB" w:rsidRPr="00B153EB" w:rsidRDefault="00B153EB" w:rsidP="003A2CCC">
            <w:pPr>
              <w:spacing w:after="0"/>
              <w:jc w:val="left"/>
              <w:rPr>
                <w:rFonts w:ascii="Calibri" w:eastAsia="Times New Roman" w:hAnsi="Calibri" w:cs="Calibri"/>
                <w:color w:val="000000"/>
                <w:sz w:val="20"/>
                <w:szCs w:val="20"/>
                <w:lang w:val="en-US"/>
              </w:rPr>
            </w:pPr>
            <w:r w:rsidRPr="00B153EB">
              <w:rPr>
                <w:rFonts w:ascii="Calibri" w:eastAsia="Times New Roman" w:hAnsi="Calibri" w:cstheme="minorHAnsi"/>
                <w:color w:val="000000"/>
                <w:sz w:val="20"/>
                <w:szCs w:val="20"/>
              </w:rPr>
              <w:t> </w:t>
            </w:r>
          </w:p>
        </w:tc>
        <w:tc>
          <w:tcPr>
            <w:tcW w:w="216" w:type="pct"/>
            <w:tcBorders>
              <w:top w:val="nil"/>
              <w:left w:val="nil"/>
              <w:bottom w:val="single" w:sz="4" w:space="0" w:color="auto"/>
              <w:right w:val="single" w:sz="4" w:space="0" w:color="auto"/>
            </w:tcBorders>
            <w:shd w:val="clear" w:color="000000" w:fill="AEAAAA"/>
            <w:hideMark/>
          </w:tcPr>
          <w:p w14:paraId="3592D0B0" w14:textId="77777777" w:rsidR="00B153EB" w:rsidRPr="00B153EB" w:rsidRDefault="00B153EB" w:rsidP="003A2CCC">
            <w:pPr>
              <w:spacing w:after="0"/>
              <w:jc w:val="left"/>
              <w:rPr>
                <w:rFonts w:ascii="Calibri" w:eastAsia="Times New Roman" w:hAnsi="Calibri" w:cs="Calibri"/>
                <w:color w:val="000000"/>
                <w:sz w:val="20"/>
                <w:szCs w:val="20"/>
                <w:lang w:val="en-US"/>
              </w:rPr>
            </w:pPr>
            <w:r w:rsidRPr="00B153EB">
              <w:rPr>
                <w:rFonts w:ascii="Calibri" w:eastAsia="Times New Roman" w:hAnsi="Calibri" w:cstheme="minorHAnsi"/>
                <w:color w:val="000000"/>
                <w:sz w:val="20"/>
                <w:szCs w:val="20"/>
              </w:rPr>
              <w:t>Feb.</w:t>
            </w:r>
          </w:p>
        </w:tc>
        <w:tc>
          <w:tcPr>
            <w:tcW w:w="215" w:type="pct"/>
            <w:tcBorders>
              <w:top w:val="nil"/>
              <w:left w:val="nil"/>
              <w:bottom w:val="single" w:sz="4" w:space="0" w:color="auto"/>
              <w:right w:val="single" w:sz="4" w:space="0" w:color="auto"/>
            </w:tcBorders>
            <w:shd w:val="clear" w:color="auto" w:fill="auto"/>
            <w:hideMark/>
          </w:tcPr>
          <w:p w14:paraId="5C5CB133" w14:textId="77777777" w:rsidR="00B153EB" w:rsidRPr="00B153EB" w:rsidRDefault="00B153EB" w:rsidP="003A2CCC">
            <w:pPr>
              <w:spacing w:after="0"/>
              <w:jc w:val="left"/>
              <w:rPr>
                <w:rFonts w:ascii="Calibri" w:eastAsia="Times New Roman" w:hAnsi="Calibri" w:cs="Calibri"/>
                <w:color w:val="000000"/>
                <w:sz w:val="20"/>
                <w:szCs w:val="20"/>
                <w:lang w:val="en-US"/>
              </w:rPr>
            </w:pPr>
            <w:r w:rsidRPr="00B153EB">
              <w:rPr>
                <w:rFonts w:ascii="Calibri" w:eastAsia="Times New Roman" w:hAnsi="Calibri" w:cstheme="minorHAnsi"/>
                <w:color w:val="000000"/>
                <w:sz w:val="20"/>
                <w:szCs w:val="20"/>
              </w:rPr>
              <w:t> </w:t>
            </w:r>
          </w:p>
        </w:tc>
        <w:tc>
          <w:tcPr>
            <w:tcW w:w="224" w:type="pct"/>
            <w:tcBorders>
              <w:top w:val="nil"/>
              <w:left w:val="nil"/>
              <w:bottom w:val="single" w:sz="4" w:space="0" w:color="auto"/>
              <w:right w:val="single" w:sz="4" w:space="0" w:color="auto"/>
            </w:tcBorders>
            <w:shd w:val="clear" w:color="auto" w:fill="auto"/>
            <w:hideMark/>
          </w:tcPr>
          <w:p w14:paraId="6B06D362" w14:textId="77777777" w:rsidR="00B153EB" w:rsidRPr="00B153EB" w:rsidRDefault="00B153EB" w:rsidP="003A2CCC">
            <w:pPr>
              <w:spacing w:after="0"/>
              <w:jc w:val="left"/>
              <w:rPr>
                <w:rFonts w:ascii="Calibri" w:eastAsia="Times New Roman" w:hAnsi="Calibri" w:cs="Calibri"/>
                <w:color w:val="000000"/>
                <w:sz w:val="20"/>
                <w:szCs w:val="20"/>
                <w:lang w:val="en-US"/>
              </w:rPr>
            </w:pPr>
            <w:r w:rsidRPr="00B153EB">
              <w:rPr>
                <w:rFonts w:ascii="Calibri" w:eastAsia="Times New Roman" w:hAnsi="Calibri" w:cstheme="minorHAnsi"/>
                <w:color w:val="000000"/>
                <w:sz w:val="20"/>
                <w:szCs w:val="20"/>
              </w:rPr>
              <w:t> </w:t>
            </w:r>
          </w:p>
        </w:tc>
        <w:tc>
          <w:tcPr>
            <w:tcW w:w="215" w:type="pct"/>
            <w:tcBorders>
              <w:top w:val="nil"/>
              <w:left w:val="nil"/>
              <w:bottom w:val="single" w:sz="4" w:space="0" w:color="auto"/>
              <w:right w:val="single" w:sz="4" w:space="0" w:color="auto"/>
            </w:tcBorders>
            <w:shd w:val="clear" w:color="auto" w:fill="auto"/>
            <w:hideMark/>
          </w:tcPr>
          <w:p w14:paraId="7FE838FB" w14:textId="77777777" w:rsidR="00B153EB" w:rsidRPr="00B153EB" w:rsidRDefault="00B153EB" w:rsidP="003A2CCC">
            <w:pPr>
              <w:spacing w:after="0"/>
              <w:jc w:val="left"/>
              <w:rPr>
                <w:rFonts w:ascii="Calibri" w:eastAsia="Times New Roman" w:hAnsi="Calibri" w:cs="Calibri"/>
                <w:color w:val="000000"/>
                <w:sz w:val="20"/>
                <w:szCs w:val="20"/>
                <w:lang w:val="en-US"/>
              </w:rPr>
            </w:pPr>
            <w:r w:rsidRPr="00B153EB">
              <w:rPr>
                <w:rFonts w:ascii="Calibri" w:eastAsia="Times New Roman" w:hAnsi="Calibri" w:cstheme="minorHAnsi"/>
                <w:color w:val="000000"/>
                <w:sz w:val="20"/>
                <w:szCs w:val="20"/>
              </w:rPr>
              <w:t> </w:t>
            </w:r>
          </w:p>
        </w:tc>
        <w:tc>
          <w:tcPr>
            <w:tcW w:w="216" w:type="pct"/>
            <w:tcBorders>
              <w:top w:val="nil"/>
              <w:left w:val="nil"/>
              <w:bottom w:val="single" w:sz="4" w:space="0" w:color="auto"/>
              <w:right w:val="single" w:sz="4" w:space="0" w:color="auto"/>
            </w:tcBorders>
            <w:shd w:val="clear" w:color="000000" w:fill="AEAAAA"/>
            <w:hideMark/>
          </w:tcPr>
          <w:p w14:paraId="0ADEE20F" w14:textId="77777777" w:rsidR="00B153EB" w:rsidRPr="00B153EB" w:rsidRDefault="00B153EB" w:rsidP="003A2CCC">
            <w:pPr>
              <w:spacing w:after="0"/>
              <w:jc w:val="left"/>
              <w:rPr>
                <w:rFonts w:ascii="Calibri" w:eastAsia="Times New Roman" w:hAnsi="Calibri" w:cs="Calibri"/>
                <w:color w:val="000000"/>
                <w:sz w:val="20"/>
                <w:szCs w:val="20"/>
                <w:lang w:val="en-US"/>
              </w:rPr>
            </w:pPr>
            <w:r w:rsidRPr="00B153EB">
              <w:rPr>
                <w:rFonts w:ascii="Calibri" w:eastAsia="Times New Roman" w:hAnsi="Calibri" w:cstheme="minorHAnsi"/>
                <w:color w:val="000000"/>
                <w:sz w:val="20"/>
                <w:szCs w:val="20"/>
              </w:rPr>
              <w:t>Feb.</w:t>
            </w:r>
          </w:p>
        </w:tc>
        <w:tc>
          <w:tcPr>
            <w:tcW w:w="215" w:type="pct"/>
            <w:tcBorders>
              <w:top w:val="nil"/>
              <w:left w:val="nil"/>
              <w:bottom w:val="single" w:sz="4" w:space="0" w:color="auto"/>
              <w:right w:val="single" w:sz="4" w:space="0" w:color="auto"/>
            </w:tcBorders>
            <w:shd w:val="clear" w:color="auto" w:fill="auto"/>
            <w:hideMark/>
          </w:tcPr>
          <w:p w14:paraId="23930A14" w14:textId="77777777" w:rsidR="00B153EB" w:rsidRPr="00B153EB" w:rsidRDefault="00B153EB" w:rsidP="003A2CCC">
            <w:pPr>
              <w:spacing w:after="0"/>
              <w:jc w:val="left"/>
              <w:rPr>
                <w:rFonts w:ascii="Calibri" w:eastAsia="Times New Roman" w:hAnsi="Calibri" w:cs="Calibri"/>
                <w:color w:val="000000"/>
                <w:sz w:val="20"/>
                <w:szCs w:val="20"/>
                <w:lang w:val="en-US"/>
              </w:rPr>
            </w:pPr>
            <w:r w:rsidRPr="00B153EB">
              <w:rPr>
                <w:rFonts w:ascii="Calibri" w:eastAsia="Times New Roman" w:hAnsi="Calibri" w:cstheme="minorHAnsi"/>
                <w:color w:val="000000"/>
                <w:sz w:val="20"/>
                <w:szCs w:val="20"/>
              </w:rPr>
              <w:t> </w:t>
            </w:r>
          </w:p>
        </w:tc>
        <w:tc>
          <w:tcPr>
            <w:tcW w:w="224" w:type="pct"/>
            <w:tcBorders>
              <w:top w:val="nil"/>
              <w:left w:val="nil"/>
              <w:bottom w:val="single" w:sz="4" w:space="0" w:color="auto"/>
              <w:right w:val="single" w:sz="4" w:space="0" w:color="auto"/>
            </w:tcBorders>
            <w:shd w:val="clear" w:color="auto" w:fill="auto"/>
            <w:hideMark/>
          </w:tcPr>
          <w:p w14:paraId="5AF676AF" w14:textId="77777777" w:rsidR="00B153EB" w:rsidRPr="00B153EB" w:rsidRDefault="00B153EB" w:rsidP="003A2CCC">
            <w:pPr>
              <w:spacing w:after="0"/>
              <w:jc w:val="left"/>
              <w:rPr>
                <w:rFonts w:ascii="Calibri" w:eastAsia="Times New Roman" w:hAnsi="Calibri" w:cs="Calibri"/>
                <w:color w:val="000000"/>
                <w:sz w:val="20"/>
                <w:szCs w:val="20"/>
                <w:lang w:val="en-US"/>
              </w:rPr>
            </w:pPr>
            <w:r w:rsidRPr="00B153EB">
              <w:rPr>
                <w:rFonts w:ascii="Calibri" w:eastAsia="Times New Roman" w:hAnsi="Calibri" w:cstheme="minorHAnsi"/>
                <w:color w:val="000000"/>
                <w:sz w:val="20"/>
                <w:szCs w:val="20"/>
              </w:rPr>
              <w:t> </w:t>
            </w:r>
          </w:p>
        </w:tc>
        <w:tc>
          <w:tcPr>
            <w:tcW w:w="215" w:type="pct"/>
            <w:tcBorders>
              <w:top w:val="nil"/>
              <w:left w:val="nil"/>
              <w:bottom w:val="single" w:sz="4" w:space="0" w:color="auto"/>
              <w:right w:val="single" w:sz="4" w:space="0" w:color="auto"/>
            </w:tcBorders>
            <w:shd w:val="clear" w:color="auto" w:fill="auto"/>
            <w:hideMark/>
          </w:tcPr>
          <w:p w14:paraId="3C33F41C" w14:textId="77777777" w:rsidR="00B153EB" w:rsidRPr="00B153EB" w:rsidRDefault="00B153EB" w:rsidP="003A2CCC">
            <w:pPr>
              <w:spacing w:after="0"/>
              <w:jc w:val="left"/>
              <w:rPr>
                <w:rFonts w:ascii="Calibri" w:eastAsia="Times New Roman" w:hAnsi="Calibri" w:cs="Calibri"/>
                <w:color w:val="000000"/>
                <w:sz w:val="20"/>
                <w:szCs w:val="20"/>
                <w:lang w:val="en-US"/>
              </w:rPr>
            </w:pPr>
            <w:r w:rsidRPr="00B153EB">
              <w:rPr>
                <w:rFonts w:ascii="Calibri" w:eastAsia="Times New Roman" w:hAnsi="Calibri" w:cstheme="minorHAnsi"/>
                <w:color w:val="000000"/>
                <w:sz w:val="20"/>
                <w:szCs w:val="20"/>
              </w:rPr>
              <w:t> </w:t>
            </w:r>
          </w:p>
        </w:tc>
        <w:tc>
          <w:tcPr>
            <w:tcW w:w="216" w:type="pct"/>
            <w:tcBorders>
              <w:top w:val="nil"/>
              <w:left w:val="nil"/>
              <w:bottom w:val="single" w:sz="4" w:space="0" w:color="auto"/>
              <w:right w:val="single" w:sz="4" w:space="0" w:color="auto"/>
            </w:tcBorders>
            <w:shd w:val="clear" w:color="000000" w:fill="AEAAAA"/>
            <w:hideMark/>
          </w:tcPr>
          <w:p w14:paraId="3028BC86" w14:textId="77777777" w:rsidR="00B153EB" w:rsidRPr="00B153EB" w:rsidRDefault="00B153EB" w:rsidP="003A2CCC">
            <w:pPr>
              <w:spacing w:after="0"/>
              <w:jc w:val="left"/>
              <w:rPr>
                <w:rFonts w:ascii="Calibri" w:eastAsia="Times New Roman" w:hAnsi="Calibri" w:cs="Calibri"/>
                <w:color w:val="000000"/>
                <w:sz w:val="20"/>
                <w:szCs w:val="20"/>
                <w:lang w:val="en-US"/>
              </w:rPr>
            </w:pPr>
            <w:r w:rsidRPr="00B153EB">
              <w:rPr>
                <w:rFonts w:ascii="Calibri" w:eastAsia="Times New Roman" w:hAnsi="Calibri" w:cstheme="minorHAnsi"/>
                <w:color w:val="000000"/>
                <w:sz w:val="20"/>
                <w:szCs w:val="20"/>
              </w:rPr>
              <w:t>Feb.</w:t>
            </w:r>
          </w:p>
        </w:tc>
        <w:tc>
          <w:tcPr>
            <w:tcW w:w="215" w:type="pct"/>
            <w:tcBorders>
              <w:top w:val="nil"/>
              <w:left w:val="nil"/>
              <w:bottom w:val="single" w:sz="4" w:space="0" w:color="auto"/>
              <w:right w:val="single" w:sz="4" w:space="0" w:color="auto"/>
            </w:tcBorders>
            <w:shd w:val="clear" w:color="auto" w:fill="auto"/>
            <w:hideMark/>
          </w:tcPr>
          <w:p w14:paraId="25D53F2B" w14:textId="77777777" w:rsidR="00B153EB" w:rsidRPr="00B153EB" w:rsidRDefault="00B153EB" w:rsidP="003A2CCC">
            <w:pPr>
              <w:spacing w:after="0"/>
              <w:jc w:val="left"/>
              <w:rPr>
                <w:rFonts w:ascii="Calibri" w:eastAsia="Times New Roman" w:hAnsi="Calibri" w:cs="Calibri"/>
                <w:color w:val="000000"/>
                <w:sz w:val="20"/>
                <w:szCs w:val="20"/>
                <w:lang w:val="en-US"/>
              </w:rPr>
            </w:pPr>
            <w:r w:rsidRPr="00B153EB">
              <w:rPr>
                <w:rFonts w:ascii="Calibri" w:eastAsia="Times New Roman" w:hAnsi="Calibri" w:cstheme="minorHAnsi"/>
                <w:color w:val="000000"/>
                <w:sz w:val="20"/>
                <w:szCs w:val="20"/>
              </w:rPr>
              <w:t> </w:t>
            </w:r>
          </w:p>
        </w:tc>
      </w:tr>
    </w:tbl>
    <w:p w14:paraId="4C19B30C" w14:textId="77777777" w:rsidR="00D90982" w:rsidRDefault="00D90982" w:rsidP="003A2CCC">
      <w:pPr>
        <w:spacing w:after="0"/>
        <w:rPr>
          <w:b/>
          <w:sz w:val="32"/>
          <w:szCs w:val="32"/>
        </w:rPr>
      </w:pPr>
    </w:p>
    <w:p w14:paraId="19308DE9" w14:textId="77777777" w:rsidR="00C808A0" w:rsidRPr="008F332A" w:rsidRDefault="00C808A0" w:rsidP="003A2CCC">
      <w:pPr>
        <w:pStyle w:val="Bullets"/>
        <w:numPr>
          <w:ilvl w:val="0"/>
          <w:numId w:val="0"/>
        </w:numPr>
        <w:ind w:left="680"/>
        <w:rPr>
          <w:rFonts w:cstheme="minorHAnsi"/>
        </w:rPr>
      </w:pPr>
    </w:p>
    <w:sectPr w:rsidR="00C808A0" w:rsidRPr="008F332A" w:rsidSect="0061262A">
      <w:pgSz w:w="16838" w:h="11899" w:orient="landscape"/>
      <w:pgMar w:top="1152" w:right="1152" w:bottom="1296" w:left="1296" w:header="288"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5E6F34" w14:textId="77777777" w:rsidR="0099112A" w:rsidRDefault="0099112A" w:rsidP="00FF0858">
      <w:pPr>
        <w:spacing w:after="0"/>
      </w:pPr>
      <w:r>
        <w:separator/>
      </w:r>
    </w:p>
  </w:endnote>
  <w:endnote w:type="continuationSeparator" w:id="0">
    <w:p w14:paraId="05EDCB92" w14:textId="77777777" w:rsidR="0099112A" w:rsidRDefault="0099112A" w:rsidP="00FF0858">
      <w:pPr>
        <w:spacing w:after="0"/>
      </w:pPr>
      <w:r>
        <w:continuationSeparator/>
      </w:r>
    </w:p>
  </w:endnote>
  <w:endnote w:type="continuationNotice" w:id="1">
    <w:p w14:paraId="42A0B31E" w14:textId="77777777" w:rsidR="0099112A" w:rsidRDefault="0099112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EFF" w:usb1="C0007843" w:usb2="00000009" w:usb3="00000000" w:csb0="000001FF" w:csb1="00000000"/>
  </w:font>
  <w:font w:name="Lucida Grande">
    <w:charset w:val="00"/>
    <w:family w:val="swiss"/>
    <w:pitch w:val="variable"/>
    <w:sig w:usb0="E1000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Minion Pro">
    <w:altName w:val="Times New Roman"/>
    <w:charset w:val="00"/>
    <w:family w:val="auto"/>
    <w:pitch w:val="variable"/>
    <w:sig w:usb0="60000287" w:usb1="00000001" w:usb2="00000000" w:usb3="00000000" w:csb0="0000019F" w:csb1="00000000"/>
  </w:font>
  <w:font w:name="Angsana New">
    <w:panose1 w:val="02020603050405020304"/>
    <w:charset w:val="DE"/>
    <w:family w:val="roman"/>
    <w:pitch w:val="variable"/>
    <w:sig w:usb0="00000000"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F76A3E" w14:textId="77777777" w:rsidR="0040791B" w:rsidRDefault="004079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8FD3CF" w14:textId="1BED860D" w:rsidR="00356727" w:rsidRDefault="00356727" w:rsidP="00666815">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D6423">
      <w:rPr>
        <w:rStyle w:val="PageNumber"/>
        <w:noProof/>
      </w:rPr>
      <w:t>iv</w:t>
    </w:r>
    <w:r>
      <w:rPr>
        <w:rStyle w:val="PageNumber"/>
      </w:rPr>
      <w:fldChar w:fldCharType="end"/>
    </w:r>
  </w:p>
  <w:p w14:paraId="6CBD7612" w14:textId="77777777" w:rsidR="00356727" w:rsidRPr="005B64B0" w:rsidRDefault="00356727" w:rsidP="00E15A06">
    <w:pPr>
      <w:pStyle w:val="Footer"/>
      <w:ind w:right="360"/>
      <w:jc w:val="left"/>
      <w:rPr>
        <w:rFonts w:ascii="Calibri" w:hAnsi="Calibri" w:cs="Arial"/>
        <w:color w:val="44546A" w:themeColor="text2"/>
        <w:sz w:val="16"/>
        <w:szCs w:val="16"/>
      </w:rPr>
    </w:pPr>
    <w:r w:rsidRPr="00AE0A5B">
      <w:rPr>
        <w:rFonts w:ascii="Arial" w:hAnsi="Arial" w:cs="Arial"/>
        <w:color w:val="44546A" w:themeColor="text2"/>
        <w:sz w:val="16"/>
        <w:szCs w:val="16"/>
      </w:rP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80B5F9" w14:textId="77777777" w:rsidR="0040791B" w:rsidRDefault="004079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1A83D7" w14:textId="77777777" w:rsidR="0099112A" w:rsidRDefault="0099112A" w:rsidP="00FF0858">
      <w:pPr>
        <w:spacing w:after="0"/>
      </w:pPr>
      <w:r>
        <w:separator/>
      </w:r>
    </w:p>
  </w:footnote>
  <w:footnote w:type="continuationSeparator" w:id="0">
    <w:p w14:paraId="3FB7FC6C" w14:textId="77777777" w:rsidR="0099112A" w:rsidRDefault="0099112A" w:rsidP="00FF0858">
      <w:pPr>
        <w:spacing w:after="0"/>
      </w:pPr>
      <w:r>
        <w:continuationSeparator/>
      </w:r>
    </w:p>
  </w:footnote>
  <w:footnote w:type="continuationNotice" w:id="1">
    <w:p w14:paraId="24926A27" w14:textId="77777777" w:rsidR="0099112A" w:rsidRDefault="0099112A">
      <w:pPr>
        <w:spacing w:after="0"/>
      </w:pPr>
    </w:p>
  </w:footnote>
  <w:footnote w:id="2">
    <w:p w14:paraId="7E960421" w14:textId="77777777" w:rsidR="00356727" w:rsidRPr="00547E25" w:rsidRDefault="00356727" w:rsidP="00706B97">
      <w:pPr>
        <w:rPr>
          <w:sz w:val="18"/>
          <w:szCs w:val="18"/>
        </w:rPr>
      </w:pPr>
      <w:r w:rsidRPr="009B541A">
        <w:rPr>
          <w:rStyle w:val="FootnoteReference"/>
          <w:sz w:val="18"/>
          <w:szCs w:val="18"/>
        </w:rPr>
        <w:footnoteRef/>
      </w:r>
      <w:r w:rsidRPr="009B541A">
        <w:rPr>
          <w:sz w:val="18"/>
          <w:szCs w:val="18"/>
        </w:rPr>
        <w:t xml:space="preserve"> </w:t>
      </w:r>
      <w:r w:rsidRPr="00547E25">
        <w:rPr>
          <w:sz w:val="18"/>
          <w:szCs w:val="18"/>
        </w:rPr>
        <w:t xml:space="preserve">Services include support and legal services, including the services provided by the justice sector. </w:t>
      </w:r>
    </w:p>
    <w:p w14:paraId="5C2953AF" w14:textId="77777777" w:rsidR="00356727" w:rsidRPr="00706B97" w:rsidRDefault="00356727">
      <w:pPr>
        <w:pStyle w:val="FootnoteText"/>
        <w:rPr>
          <w:lang w:val="en-US"/>
        </w:rPr>
      </w:pPr>
    </w:p>
  </w:footnote>
  <w:footnote w:id="3">
    <w:p w14:paraId="387C376B" w14:textId="77777777" w:rsidR="00356727" w:rsidRPr="00D22C98" w:rsidRDefault="00356727">
      <w:pPr>
        <w:pStyle w:val="FootnoteText"/>
        <w:rPr>
          <w:color w:val="000000" w:themeColor="text1"/>
          <w:sz w:val="18"/>
          <w:szCs w:val="18"/>
        </w:rPr>
      </w:pPr>
      <w:r w:rsidRPr="00D22C98">
        <w:rPr>
          <w:sz w:val="18"/>
          <w:szCs w:val="18"/>
          <w:vertAlign w:val="superscript"/>
        </w:rPr>
        <w:footnoteRef/>
      </w:r>
      <w:r w:rsidRPr="00D22C98">
        <w:rPr>
          <w:sz w:val="18"/>
          <w:szCs w:val="18"/>
        </w:rPr>
        <w:t xml:space="preserve"> These </w:t>
      </w:r>
      <w:r w:rsidRPr="00D22C98">
        <w:rPr>
          <w:color w:val="000000" w:themeColor="text1"/>
          <w:sz w:val="18"/>
          <w:szCs w:val="18"/>
        </w:rPr>
        <w:t>were approved by the Council of Ministers in late 2017. The SOPs provide the policy framework for improved quality of service delivery.</w:t>
      </w:r>
    </w:p>
  </w:footnote>
  <w:footnote w:id="4">
    <w:p w14:paraId="1066CB5B" w14:textId="77777777" w:rsidR="00356727" w:rsidRPr="00D22C98" w:rsidRDefault="00356727" w:rsidP="00056F23">
      <w:pPr>
        <w:pStyle w:val="FootnoteText"/>
        <w:rPr>
          <w:sz w:val="18"/>
          <w:szCs w:val="18"/>
          <w:lang w:val="en-US"/>
        </w:rPr>
      </w:pPr>
      <w:r w:rsidRPr="00D22C98">
        <w:rPr>
          <w:rStyle w:val="FootnoteReference"/>
          <w:color w:val="000000" w:themeColor="text1"/>
          <w:sz w:val="18"/>
          <w:szCs w:val="18"/>
        </w:rPr>
        <w:footnoteRef/>
      </w:r>
      <w:r w:rsidRPr="00D22C98">
        <w:rPr>
          <w:color w:val="000000" w:themeColor="text1"/>
          <w:sz w:val="18"/>
          <w:szCs w:val="18"/>
        </w:rPr>
        <w:t xml:space="preserve"> Provided in the first phase of Nabilan and earlier iterations funded by DFAT (Justice Sector Support Facility and Support to Essential Services for Ending Violence Against Women)</w:t>
      </w:r>
    </w:p>
  </w:footnote>
  <w:footnote w:id="5">
    <w:p w14:paraId="52942079" w14:textId="77777777" w:rsidR="00356727" w:rsidRPr="00C26143" w:rsidRDefault="00356727" w:rsidP="00C26143">
      <w:pPr>
        <w:pStyle w:val="CommentText"/>
        <w:spacing w:after="0"/>
        <w:rPr>
          <w:sz w:val="18"/>
          <w:szCs w:val="18"/>
        </w:rPr>
      </w:pPr>
      <w:r w:rsidRPr="00D22C98">
        <w:rPr>
          <w:rStyle w:val="FootnoteReference"/>
          <w:sz w:val="18"/>
          <w:szCs w:val="18"/>
        </w:rPr>
        <w:footnoteRef/>
      </w:r>
      <w:r w:rsidRPr="00D22C98">
        <w:rPr>
          <w:sz w:val="18"/>
          <w:szCs w:val="18"/>
        </w:rPr>
        <w:t xml:space="preserve"> This is consistent with the approach in the United Nations Joint Global Programme on Essential Services for Women and Girls Subject to Violence, which has Justice and Policing Services as an essential service (see Module 3: Justice and Policing).</w:t>
      </w:r>
    </w:p>
  </w:footnote>
  <w:footnote w:id="6">
    <w:p w14:paraId="17AEA790" w14:textId="77777777" w:rsidR="00356727" w:rsidRPr="002D1856" w:rsidRDefault="00356727" w:rsidP="007C0ED2">
      <w:pPr>
        <w:pStyle w:val="FootnoteText"/>
        <w:rPr>
          <w:color w:val="000000" w:themeColor="text1"/>
          <w:sz w:val="18"/>
          <w:szCs w:val="18"/>
        </w:rPr>
      </w:pPr>
      <w:r w:rsidRPr="002D1856">
        <w:rPr>
          <w:rStyle w:val="FootnoteReference"/>
          <w:color w:val="000000" w:themeColor="text1"/>
          <w:sz w:val="18"/>
          <w:szCs w:val="18"/>
        </w:rPr>
        <w:footnoteRef/>
      </w:r>
      <w:r w:rsidRPr="002D1856">
        <w:rPr>
          <w:color w:val="000000" w:themeColor="text1"/>
          <w:sz w:val="18"/>
          <w:szCs w:val="18"/>
        </w:rPr>
        <w:t xml:space="preserve"> The Lancet Effectiveness Scale, available at: http://www.thelancet.com/pdfs/journals/lancet/PIIS0140-6736(14)61797-9.pdf</w:t>
      </w:r>
    </w:p>
  </w:footnote>
  <w:footnote w:id="7">
    <w:p w14:paraId="225EFE7B" w14:textId="77777777" w:rsidR="00356727" w:rsidRPr="002D1856" w:rsidRDefault="00356727" w:rsidP="007C0ED2">
      <w:pPr>
        <w:pStyle w:val="FootnoteText"/>
        <w:rPr>
          <w:color w:val="000000" w:themeColor="text1"/>
          <w:sz w:val="18"/>
          <w:szCs w:val="18"/>
        </w:rPr>
      </w:pPr>
      <w:r w:rsidRPr="002D1856">
        <w:rPr>
          <w:rStyle w:val="FootnoteReference"/>
          <w:color w:val="000000" w:themeColor="text1"/>
          <w:sz w:val="18"/>
          <w:szCs w:val="18"/>
        </w:rPr>
        <w:footnoteRef/>
      </w:r>
      <w:r w:rsidRPr="002D1856">
        <w:rPr>
          <w:color w:val="000000" w:themeColor="text1"/>
          <w:sz w:val="18"/>
          <w:szCs w:val="18"/>
        </w:rPr>
        <w:t xml:space="preserve"> SEM, GoTL, 2017. National Action Plan on Gender-Based Violence 2017-2021</w:t>
      </w:r>
    </w:p>
  </w:footnote>
  <w:footnote w:id="8">
    <w:p w14:paraId="31556CE2" w14:textId="77777777" w:rsidR="00356727" w:rsidRPr="002D1856" w:rsidRDefault="00356727" w:rsidP="00BD35EE">
      <w:pPr>
        <w:pStyle w:val="p1"/>
        <w:rPr>
          <w:rFonts w:asciiTheme="minorHAnsi" w:hAnsiTheme="minorHAnsi" w:cstheme="minorHAnsi"/>
          <w:color w:val="000000" w:themeColor="text1"/>
        </w:rPr>
      </w:pPr>
      <w:r w:rsidRPr="002D1856">
        <w:rPr>
          <w:rStyle w:val="FootnoteReference"/>
          <w:rFonts w:asciiTheme="minorHAnsi" w:hAnsiTheme="minorHAnsi"/>
          <w:color w:val="000000" w:themeColor="text1"/>
        </w:rPr>
        <w:footnoteRef/>
      </w:r>
      <w:r w:rsidRPr="002D1856">
        <w:rPr>
          <w:rFonts w:asciiTheme="minorHAnsi" w:hAnsiTheme="minorHAnsi"/>
          <w:color w:val="000000" w:themeColor="text1"/>
        </w:rPr>
        <w:t xml:space="preserve"> </w:t>
      </w:r>
      <w:r w:rsidRPr="002D1856">
        <w:rPr>
          <w:rFonts w:asciiTheme="minorHAnsi" w:hAnsiTheme="minorHAnsi"/>
          <w:color w:val="000000" w:themeColor="text1"/>
          <w:lang w:val="en-AU"/>
        </w:rPr>
        <w:t xml:space="preserve">Chittick, B. 2013. </w:t>
      </w:r>
      <w:r w:rsidRPr="002D1856">
        <w:rPr>
          <w:rFonts w:asciiTheme="minorHAnsi" w:hAnsiTheme="minorHAnsi"/>
          <w:color w:val="000000" w:themeColor="text1"/>
        </w:rPr>
        <w:t xml:space="preserve">East Timor Justice Sector Support Facility Working With Men Pilot Programs, </w:t>
      </w:r>
      <w:r w:rsidRPr="002D1856">
        <w:rPr>
          <w:rFonts w:asciiTheme="minorHAnsi" w:hAnsiTheme="minorHAnsi" w:cstheme="minorHAnsi"/>
          <w:color w:val="000000" w:themeColor="text1"/>
          <w:lang w:val="en-GB" w:eastAsia="en-GB"/>
        </w:rPr>
        <w:t>Final Report, December 2013</w:t>
      </w:r>
    </w:p>
  </w:footnote>
  <w:footnote w:id="9">
    <w:p w14:paraId="353ED66B" w14:textId="77777777" w:rsidR="00356727" w:rsidRPr="006D7FD4" w:rsidRDefault="00356727" w:rsidP="00964919">
      <w:pPr>
        <w:autoSpaceDE w:val="0"/>
        <w:autoSpaceDN w:val="0"/>
        <w:adjustRightInd w:val="0"/>
        <w:spacing w:after="0"/>
        <w:rPr>
          <w:bCs/>
          <w:sz w:val="18"/>
          <w:szCs w:val="18"/>
        </w:rPr>
      </w:pPr>
      <w:r w:rsidRPr="002D1856">
        <w:rPr>
          <w:rStyle w:val="FootnoteReference"/>
          <w:color w:val="000000" w:themeColor="text1"/>
          <w:sz w:val="18"/>
          <w:szCs w:val="18"/>
        </w:rPr>
        <w:footnoteRef/>
      </w:r>
      <w:r w:rsidRPr="002D1856">
        <w:rPr>
          <w:color w:val="000000" w:themeColor="text1"/>
          <w:sz w:val="18"/>
          <w:szCs w:val="18"/>
        </w:rPr>
        <w:t xml:space="preserve"> </w:t>
      </w:r>
      <w:r w:rsidRPr="002D1856">
        <w:rPr>
          <w:rFonts w:cs="Times New Roman"/>
          <w:bCs/>
          <w:color w:val="000000" w:themeColor="text1"/>
          <w:sz w:val="18"/>
          <w:szCs w:val="18"/>
        </w:rPr>
        <w:t>Paz Y Desarrollo, 2013.</w:t>
      </w:r>
      <w:r w:rsidRPr="002D1856">
        <w:rPr>
          <w:rFonts w:cs="Times New Roman"/>
          <w:color w:val="000000" w:themeColor="text1"/>
          <w:sz w:val="18"/>
          <w:szCs w:val="18"/>
          <w:u w:val="single"/>
        </w:rPr>
        <w:t xml:space="preserve"> Baseline Study on attitudes and perceptions of gender and masculinities of youth in Timor-Leste</w:t>
      </w:r>
      <w:r w:rsidRPr="002D1856">
        <w:rPr>
          <w:rFonts w:cs="Times New Roman"/>
          <w:bCs/>
          <w:color w:val="000000" w:themeColor="text1"/>
          <w:sz w:val="18"/>
          <w:szCs w:val="18"/>
        </w:rPr>
        <w:t xml:space="preserve">, </w:t>
      </w:r>
    </w:p>
  </w:footnote>
  <w:footnote w:id="10">
    <w:p w14:paraId="46B4A92D" w14:textId="77777777" w:rsidR="00356727" w:rsidRPr="00373126" w:rsidRDefault="00356727" w:rsidP="001A3D21">
      <w:pPr>
        <w:pStyle w:val="FootnoteText"/>
        <w:rPr>
          <w:rStyle w:val="FootnoteReference"/>
          <w:sz w:val="18"/>
          <w:szCs w:val="18"/>
        </w:rPr>
      </w:pPr>
      <w:r w:rsidRPr="00373126">
        <w:rPr>
          <w:rStyle w:val="FootnoteReference"/>
          <w:sz w:val="18"/>
          <w:szCs w:val="18"/>
        </w:rPr>
        <w:footnoteRef/>
      </w:r>
      <w:r w:rsidRPr="00373126">
        <w:rPr>
          <w:rStyle w:val="FootnoteReference"/>
          <w:sz w:val="18"/>
          <w:szCs w:val="18"/>
        </w:rPr>
        <w:t xml:space="preserve"> </w:t>
      </w:r>
      <w:r w:rsidRPr="002816CA">
        <w:rPr>
          <w:rStyle w:val="FootnoteReference"/>
          <w:sz w:val="18"/>
          <w:szCs w:val="18"/>
        </w:rPr>
        <w:t>The Reporting Guidelines are from DFAT Timor-Leste Good Practice Note on Reporting. The italics are where there is additional advice to the DFAT Standards</w:t>
      </w:r>
      <w:r w:rsidRPr="00373126">
        <w:rPr>
          <w:rStyle w:val="FootnoteReference"/>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ACAABC" w14:textId="77777777" w:rsidR="00356727" w:rsidRDefault="009D6423">
    <w:pPr>
      <w:pStyle w:val="Header"/>
    </w:pPr>
    <w:r>
      <w:rPr>
        <w:noProof/>
      </w:rPr>
      <w:pict w14:anchorId="2BB2A7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4" type="#_x0000_t136" alt="" style="position:absolute;left:0;text-align:left;margin-left:0;margin-top:0;width:444.15pt;height:222.05pt;rotation:315;z-index:-251658752;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3E2964" w14:textId="17572020" w:rsidR="00356727" w:rsidRPr="004365FF" w:rsidRDefault="00356727" w:rsidP="004365FF">
    <w:pPr>
      <w:pStyle w:val="Header"/>
    </w:pPr>
    <w:r>
      <w:t>NABILAN MONITORING, EVALUATION AND LEARNING PLAN</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93785D" w14:textId="77777777" w:rsidR="0040791B" w:rsidRDefault="0040791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2F8220" w14:textId="75AD17BD" w:rsidR="00356727" w:rsidRDefault="0035672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9EF63" w14:textId="0C749836" w:rsidR="00356727" w:rsidRPr="004365FF" w:rsidRDefault="00356727" w:rsidP="004365FF">
    <w:pPr>
      <w:pStyle w:val="Header"/>
    </w:pPr>
    <w:bookmarkStart w:id="45" w:name="_Hlk485894388"/>
    <w:bookmarkStart w:id="46" w:name="_Hlk485894389"/>
    <w:bookmarkStart w:id="47" w:name="_Hlk485894390"/>
    <w:r>
      <w:t xml:space="preserve">MONITORING, EVALUATION AND LEARNING </w:t>
    </w:r>
    <w:bookmarkEnd w:id="45"/>
    <w:bookmarkEnd w:id="46"/>
    <w:bookmarkEnd w:id="47"/>
    <w:r>
      <w:t>FRAMEWORK</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0A0B04" w14:textId="2455410B" w:rsidR="00356727" w:rsidRDefault="003567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47A2644"/>
    <w:lvl w:ilvl="0">
      <w:start w:val="1"/>
      <w:numFmt w:val="bullet"/>
      <w:pStyle w:val="ListBullet"/>
      <w:lvlText w:val=""/>
      <w:lvlJc w:val="left"/>
      <w:pPr>
        <w:ind w:left="360" w:hanging="360"/>
      </w:pPr>
      <w:rPr>
        <w:rFonts w:ascii="Wingdings" w:hAnsi="Wingdings" w:hint="default"/>
        <w:color w:val="009F93"/>
      </w:rPr>
    </w:lvl>
  </w:abstractNum>
  <w:abstractNum w:abstractNumId="1" w15:restartNumberingAfterBreak="0">
    <w:nsid w:val="00AB4157"/>
    <w:multiLevelType w:val="multilevel"/>
    <w:tmpl w:val="BCBAC220"/>
    <w:lvl w:ilvl="0">
      <w:start w:val="1"/>
      <w:numFmt w:val="decimal"/>
      <w:pStyle w:val="TableCaption"/>
      <w:lvlText w:val="Table %1"/>
      <w:lvlJc w:val="left"/>
      <w:pPr>
        <w:tabs>
          <w:tab w:val="num" w:pos="1134"/>
        </w:tabs>
        <w:ind w:left="1134" w:hanging="1134"/>
      </w:pPr>
      <w:rPr>
        <w:rFonts w:hint="default"/>
        <w:b/>
      </w:rPr>
    </w:lvl>
    <w:lvl w:ilvl="1">
      <w:start w:val="1"/>
      <w:numFmt w:val="decimal"/>
      <w:lvlRestart w:val="0"/>
      <w:pStyle w:val="FigureCaption"/>
      <w:lvlText w:val="Figure %2"/>
      <w:lvlJc w:val="left"/>
      <w:pPr>
        <w:tabs>
          <w:tab w:val="num" w:pos="1134"/>
        </w:tabs>
        <w:ind w:left="1134" w:hanging="1134"/>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0600597C"/>
    <w:multiLevelType w:val="hybridMultilevel"/>
    <w:tmpl w:val="44CEE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362B1B"/>
    <w:multiLevelType w:val="hybridMultilevel"/>
    <w:tmpl w:val="CD7828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92929E6"/>
    <w:multiLevelType w:val="hybridMultilevel"/>
    <w:tmpl w:val="2BB08866"/>
    <w:lvl w:ilvl="0" w:tplc="AC2E0D00">
      <w:start w:val="1"/>
      <w:numFmt w:val="decimal"/>
      <w:pStyle w:val="Table-list-number"/>
      <w:lvlText w:val="%1."/>
      <w:lvlJc w:val="left"/>
      <w:pPr>
        <w:tabs>
          <w:tab w:val="num" w:pos="360"/>
        </w:tabs>
        <w:ind w:left="35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98B4DF2"/>
    <w:multiLevelType w:val="hybridMultilevel"/>
    <w:tmpl w:val="2B3286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EFF7E25"/>
    <w:multiLevelType w:val="hybridMultilevel"/>
    <w:tmpl w:val="248EB630"/>
    <w:lvl w:ilvl="0" w:tplc="F10C09C4">
      <w:start w:val="1"/>
      <w:numFmt w:val="bullet"/>
      <w:pStyle w:val="Bullets"/>
      <w:lvlText w:val=""/>
      <w:lvlJc w:val="left"/>
      <w:pPr>
        <w:tabs>
          <w:tab w:val="num" w:pos="1617"/>
        </w:tabs>
        <w:ind w:left="680" w:hanging="453"/>
      </w:pPr>
      <w:rPr>
        <w:rFonts w:ascii="Symbol" w:hAnsi="Symbol" w:hint="default"/>
        <w:b w:val="0"/>
        <w:i w:val="0"/>
        <w:color w:val="auto"/>
        <w:sz w:val="18"/>
      </w:rPr>
    </w:lvl>
    <w:lvl w:ilvl="1" w:tplc="AE8821F8">
      <w:numFmt w:val="bullet"/>
      <w:lvlText w:val="-"/>
      <w:lvlJc w:val="left"/>
      <w:pPr>
        <w:ind w:left="796" w:hanging="360"/>
      </w:pPr>
      <w:rPr>
        <w:rFonts w:ascii="Arial" w:eastAsiaTheme="minorHAnsi" w:hAnsi="Arial" w:cs="Arial" w:hint="default"/>
      </w:rPr>
    </w:lvl>
    <w:lvl w:ilvl="2" w:tplc="0C090005" w:tentative="1">
      <w:start w:val="1"/>
      <w:numFmt w:val="bullet"/>
      <w:lvlText w:val=""/>
      <w:lvlJc w:val="left"/>
      <w:pPr>
        <w:ind w:left="1516" w:hanging="360"/>
      </w:pPr>
      <w:rPr>
        <w:rFonts w:ascii="Wingdings" w:hAnsi="Wingdings" w:hint="default"/>
      </w:rPr>
    </w:lvl>
    <w:lvl w:ilvl="3" w:tplc="0C090001" w:tentative="1">
      <w:start w:val="1"/>
      <w:numFmt w:val="bullet"/>
      <w:lvlText w:val=""/>
      <w:lvlJc w:val="left"/>
      <w:pPr>
        <w:ind w:left="2236" w:hanging="360"/>
      </w:pPr>
      <w:rPr>
        <w:rFonts w:ascii="Symbol" w:hAnsi="Symbol" w:hint="default"/>
      </w:rPr>
    </w:lvl>
    <w:lvl w:ilvl="4" w:tplc="0C090003" w:tentative="1">
      <w:start w:val="1"/>
      <w:numFmt w:val="bullet"/>
      <w:lvlText w:val="o"/>
      <w:lvlJc w:val="left"/>
      <w:pPr>
        <w:ind w:left="2956" w:hanging="360"/>
      </w:pPr>
      <w:rPr>
        <w:rFonts w:ascii="Courier New" w:hAnsi="Courier New" w:cs="Courier New" w:hint="default"/>
      </w:rPr>
    </w:lvl>
    <w:lvl w:ilvl="5" w:tplc="0C090005" w:tentative="1">
      <w:start w:val="1"/>
      <w:numFmt w:val="bullet"/>
      <w:lvlText w:val=""/>
      <w:lvlJc w:val="left"/>
      <w:pPr>
        <w:ind w:left="3676" w:hanging="360"/>
      </w:pPr>
      <w:rPr>
        <w:rFonts w:ascii="Wingdings" w:hAnsi="Wingdings" w:hint="default"/>
      </w:rPr>
    </w:lvl>
    <w:lvl w:ilvl="6" w:tplc="0C090001" w:tentative="1">
      <w:start w:val="1"/>
      <w:numFmt w:val="bullet"/>
      <w:lvlText w:val=""/>
      <w:lvlJc w:val="left"/>
      <w:pPr>
        <w:ind w:left="4396" w:hanging="360"/>
      </w:pPr>
      <w:rPr>
        <w:rFonts w:ascii="Symbol" w:hAnsi="Symbol" w:hint="default"/>
      </w:rPr>
    </w:lvl>
    <w:lvl w:ilvl="7" w:tplc="0C090003" w:tentative="1">
      <w:start w:val="1"/>
      <w:numFmt w:val="bullet"/>
      <w:lvlText w:val="o"/>
      <w:lvlJc w:val="left"/>
      <w:pPr>
        <w:ind w:left="5116" w:hanging="360"/>
      </w:pPr>
      <w:rPr>
        <w:rFonts w:ascii="Courier New" w:hAnsi="Courier New" w:cs="Courier New" w:hint="default"/>
      </w:rPr>
    </w:lvl>
    <w:lvl w:ilvl="8" w:tplc="0C090005" w:tentative="1">
      <w:start w:val="1"/>
      <w:numFmt w:val="bullet"/>
      <w:lvlText w:val=""/>
      <w:lvlJc w:val="left"/>
      <w:pPr>
        <w:ind w:left="5836" w:hanging="360"/>
      </w:pPr>
      <w:rPr>
        <w:rFonts w:ascii="Wingdings" w:hAnsi="Wingdings" w:hint="default"/>
      </w:rPr>
    </w:lvl>
  </w:abstractNum>
  <w:abstractNum w:abstractNumId="7" w15:restartNumberingAfterBreak="0">
    <w:nsid w:val="118969C3"/>
    <w:multiLevelType w:val="hybridMultilevel"/>
    <w:tmpl w:val="69C2D2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23110DE"/>
    <w:multiLevelType w:val="hybridMultilevel"/>
    <w:tmpl w:val="8F5EA1BA"/>
    <w:lvl w:ilvl="0" w:tplc="804C476C">
      <w:start w:val="1"/>
      <w:numFmt w:val="bullet"/>
      <w:lvlText w:val=""/>
      <w:lvlJc w:val="left"/>
      <w:pPr>
        <w:ind w:left="36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A86651"/>
    <w:multiLevelType w:val="hybridMultilevel"/>
    <w:tmpl w:val="14986B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38D3B2D"/>
    <w:multiLevelType w:val="multilevel"/>
    <w:tmpl w:val="0CD21A12"/>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080" w:hanging="72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440" w:hanging="1080"/>
      </w:pPr>
      <w:rPr>
        <w:rFonts w:hint="default"/>
      </w:rPr>
    </w:lvl>
  </w:abstractNum>
  <w:abstractNum w:abstractNumId="11" w15:restartNumberingAfterBreak="0">
    <w:nsid w:val="146F20A1"/>
    <w:multiLevelType w:val="multilevel"/>
    <w:tmpl w:val="557013DC"/>
    <w:lvl w:ilvl="0">
      <w:start w:val="1"/>
      <w:numFmt w:val="decimal"/>
      <w:lvlText w:val="%1."/>
      <w:lvlJc w:val="left"/>
      <w:pPr>
        <w:ind w:left="413" w:hanging="360"/>
      </w:pPr>
      <w:rPr>
        <w:rFonts w:hint="default"/>
      </w:rPr>
    </w:lvl>
    <w:lvl w:ilvl="1">
      <w:start w:val="1"/>
      <w:numFmt w:val="decimal"/>
      <w:isLgl/>
      <w:lvlText w:val="%1.%2"/>
      <w:lvlJc w:val="left"/>
      <w:pPr>
        <w:ind w:left="413" w:hanging="360"/>
      </w:pPr>
      <w:rPr>
        <w:rFonts w:hint="default"/>
      </w:rPr>
    </w:lvl>
    <w:lvl w:ilvl="2">
      <w:start w:val="1"/>
      <w:numFmt w:val="decimal"/>
      <w:isLgl/>
      <w:lvlText w:val="%1.%2.%3"/>
      <w:lvlJc w:val="left"/>
      <w:pPr>
        <w:ind w:left="773" w:hanging="720"/>
      </w:pPr>
      <w:rPr>
        <w:rFonts w:hint="default"/>
      </w:rPr>
    </w:lvl>
    <w:lvl w:ilvl="3">
      <w:start w:val="1"/>
      <w:numFmt w:val="decimal"/>
      <w:isLgl/>
      <w:lvlText w:val="%1.%2.%3.%4"/>
      <w:lvlJc w:val="left"/>
      <w:pPr>
        <w:ind w:left="773" w:hanging="720"/>
      </w:pPr>
      <w:rPr>
        <w:rFonts w:hint="default"/>
      </w:rPr>
    </w:lvl>
    <w:lvl w:ilvl="4">
      <w:start w:val="1"/>
      <w:numFmt w:val="decimal"/>
      <w:isLgl/>
      <w:lvlText w:val="%1.%2.%3.%4.%5"/>
      <w:lvlJc w:val="left"/>
      <w:pPr>
        <w:ind w:left="1133" w:hanging="1080"/>
      </w:pPr>
      <w:rPr>
        <w:rFonts w:hint="default"/>
      </w:rPr>
    </w:lvl>
    <w:lvl w:ilvl="5">
      <w:start w:val="1"/>
      <w:numFmt w:val="decimal"/>
      <w:isLgl/>
      <w:lvlText w:val="%1.%2.%3.%4.%5.%6"/>
      <w:lvlJc w:val="left"/>
      <w:pPr>
        <w:ind w:left="1133" w:hanging="1080"/>
      </w:pPr>
      <w:rPr>
        <w:rFonts w:hint="default"/>
      </w:rPr>
    </w:lvl>
    <w:lvl w:ilvl="6">
      <w:start w:val="1"/>
      <w:numFmt w:val="decimal"/>
      <w:isLgl/>
      <w:lvlText w:val="%1.%2.%3.%4.%5.%6.%7"/>
      <w:lvlJc w:val="left"/>
      <w:pPr>
        <w:ind w:left="1493" w:hanging="1440"/>
      </w:pPr>
      <w:rPr>
        <w:rFonts w:hint="default"/>
      </w:rPr>
    </w:lvl>
    <w:lvl w:ilvl="7">
      <w:start w:val="1"/>
      <w:numFmt w:val="decimal"/>
      <w:isLgl/>
      <w:lvlText w:val="%1.%2.%3.%4.%5.%6.%7.%8"/>
      <w:lvlJc w:val="left"/>
      <w:pPr>
        <w:ind w:left="1853" w:hanging="1800"/>
      </w:pPr>
      <w:rPr>
        <w:rFonts w:hint="default"/>
      </w:rPr>
    </w:lvl>
    <w:lvl w:ilvl="8">
      <w:start w:val="1"/>
      <w:numFmt w:val="decimal"/>
      <w:isLgl/>
      <w:lvlText w:val="%1.%2.%3.%4.%5.%6.%7.%8.%9"/>
      <w:lvlJc w:val="left"/>
      <w:pPr>
        <w:ind w:left="1853" w:hanging="1800"/>
      </w:pPr>
      <w:rPr>
        <w:rFonts w:hint="default"/>
      </w:rPr>
    </w:lvl>
  </w:abstractNum>
  <w:abstractNum w:abstractNumId="12" w15:restartNumberingAfterBreak="0">
    <w:nsid w:val="19D829B1"/>
    <w:multiLevelType w:val="hybridMultilevel"/>
    <w:tmpl w:val="2B1E99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A974BFB"/>
    <w:multiLevelType w:val="hybridMultilevel"/>
    <w:tmpl w:val="645200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D6D0A6E"/>
    <w:multiLevelType w:val="hybridMultilevel"/>
    <w:tmpl w:val="061E0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F083B19"/>
    <w:multiLevelType w:val="hybridMultilevel"/>
    <w:tmpl w:val="E08ACF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F791887"/>
    <w:multiLevelType w:val="hybridMultilevel"/>
    <w:tmpl w:val="5D169D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03557A0"/>
    <w:multiLevelType w:val="hybridMultilevel"/>
    <w:tmpl w:val="6FCC5812"/>
    <w:lvl w:ilvl="0" w:tplc="11E84DD2">
      <w:start w:val="1"/>
      <w:numFmt w:val="bullet"/>
      <w:lvlText w:val=""/>
      <w:lvlJc w:val="left"/>
      <w:pPr>
        <w:ind w:left="765" w:hanging="360"/>
      </w:pPr>
      <w:rPr>
        <w:rFonts w:ascii="Symbol" w:hAnsi="Symbol" w:hint="default"/>
        <w:color w:val="002D88" w:themeColor="accent6" w:themeTint="E6"/>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8" w15:restartNumberingAfterBreak="0">
    <w:nsid w:val="236B7E54"/>
    <w:multiLevelType w:val="hybridMultilevel"/>
    <w:tmpl w:val="D8CCC9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40C18DE"/>
    <w:multiLevelType w:val="hybridMultilevel"/>
    <w:tmpl w:val="6010DE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44367D6"/>
    <w:multiLevelType w:val="hybridMultilevel"/>
    <w:tmpl w:val="C68EE74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1" w15:restartNumberingAfterBreak="0">
    <w:nsid w:val="271A5D8D"/>
    <w:multiLevelType w:val="hybridMultilevel"/>
    <w:tmpl w:val="6566632E"/>
    <w:lvl w:ilvl="0" w:tplc="804C476C">
      <w:start w:val="1"/>
      <w:numFmt w:val="bullet"/>
      <w:lvlText w:val=""/>
      <w:lvlJc w:val="left"/>
      <w:pPr>
        <w:ind w:left="36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8CD709E"/>
    <w:multiLevelType w:val="hybridMultilevel"/>
    <w:tmpl w:val="F02C614A"/>
    <w:lvl w:ilvl="0" w:tplc="E1B43F16">
      <w:start w:val="1"/>
      <w:numFmt w:val="bullet"/>
      <w:lvlText w:val=""/>
      <w:lvlJc w:val="left"/>
      <w:pPr>
        <w:ind w:left="720" w:hanging="360"/>
      </w:pPr>
      <w:rPr>
        <w:rFonts w:ascii="Symbol" w:hAnsi="Symbol" w:hint="default"/>
        <w:lang w:val="en-AU"/>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AA9567D"/>
    <w:multiLevelType w:val="multilevel"/>
    <w:tmpl w:val="0409001F"/>
    <w:styleLink w:val="Style1"/>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2EE84903"/>
    <w:multiLevelType w:val="hybridMultilevel"/>
    <w:tmpl w:val="680867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364516E"/>
    <w:multiLevelType w:val="hybridMultilevel"/>
    <w:tmpl w:val="731C62C0"/>
    <w:lvl w:ilvl="0" w:tplc="BC58F4F0">
      <w:start w:val="1"/>
      <w:numFmt w:val="bullet"/>
      <w:lvlText w:val=""/>
      <w:lvlJc w:val="left"/>
      <w:pPr>
        <w:ind w:left="1996" w:hanging="360"/>
      </w:pPr>
      <w:rPr>
        <w:rFonts w:ascii="Symbol" w:hAnsi="Symbol" w:hint="default"/>
        <w:b w:val="0"/>
        <w:i w:val="0"/>
        <w:color w:val="auto"/>
        <w:sz w:val="18"/>
      </w:rPr>
    </w:lvl>
    <w:lvl w:ilvl="1" w:tplc="0C090003" w:tentative="1">
      <w:start w:val="1"/>
      <w:numFmt w:val="bullet"/>
      <w:lvlText w:val="o"/>
      <w:lvlJc w:val="left"/>
      <w:pPr>
        <w:ind w:left="2716" w:hanging="360"/>
      </w:pPr>
      <w:rPr>
        <w:rFonts w:ascii="Courier New" w:hAnsi="Courier New" w:cs="Courier New" w:hint="default"/>
      </w:rPr>
    </w:lvl>
    <w:lvl w:ilvl="2" w:tplc="0C090005" w:tentative="1">
      <w:start w:val="1"/>
      <w:numFmt w:val="bullet"/>
      <w:lvlText w:val=""/>
      <w:lvlJc w:val="left"/>
      <w:pPr>
        <w:ind w:left="3436" w:hanging="360"/>
      </w:pPr>
      <w:rPr>
        <w:rFonts w:ascii="Wingdings" w:hAnsi="Wingdings" w:hint="default"/>
      </w:rPr>
    </w:lvl>
    <w:lvl w:ilvl="3" w:tplc="0C090001" w:tentative="1">
      <w:start w:val="1"/>
      <w:numFmt w:val="bullet"/>
      <w:lvlText w:val=""/>
      <w:lvlJc w:val="left"/>
      <w:pPr>
        <w:ind w:left="4156" w:hanging="360"/>
      </w:pPr>
      <w:rPr>
        <w:rFonts w:ascii="Symbol" w:hAnsi="Symbol" w:hint="default"/>
      </w:rPr>
    </w:lvl>
    <w:lvl w:ilvl="4" w:tplc="0C090003" w:tentative="1">
      <w:start w:val="1"/>
      <w:numFmt w:val="bullet"/>
      <w:lvlText w:val="o"/>
      <w:lvlJc w:val="left"/>
      <w:pPr>
        <w:ind w:left="4876" w:hanging="360"/>
      </w:pPr>
      <w:rPr>
        <w:rFonts w:ascii="Courier New" w:hAnsi="Courier New" w:cs="Courier New" w:hint="default"/>
      </w:rPr>
    </w:lvl>
    <w:lvl w:ilvl="5" w:tplc="0C090005" w:tentative="1">
      <w:start w:val="1"/>
      <w:numFmt w:val="bullet"/>
      <w:lvlText w:val=""/>
      <w:lvlJc w:val="left"/>
      <w:pPr>
        <w:ind w:left="5596" w:hanging="360"/>
      </w:pPr>
      <w:rPr>
        <w:rFonts w:ascii="Wingdings" w:hAnsi="Wingdings" w:hint="default"/>
      </w:rPr>
    </w:lvl>
    <w:lvl w:ilvl="6" w:tplc="0C090001" w:tentative="1">
      <w:start w:val="1"/>
      <w:numFmt w:val="bullet"/>
      <w:lvlText w:val=""/>
      <w:lvlJc w:val="left"/>
      <w:pPr>
        <w:ind w:left="6316" w:hanging="360"/>
      </w:pPr>
      <w:rPr>
        <w:rFonts w:ascii="Symbol" w:hAnsi="Symbol" w:hint="default"/>
      </w:rPr>
    </w:lvl>
    <w:lvl w:ilvl="7" w:tplc="0C090003" w:tentative="1">
      <w:start w:val="1"/>
      <w:numFmt w:val="bullet"/>
      <w:lvlText w:val="o"/>
      <w:lvlJc w:val="left"/>
      <w:pPr>
        <w:ind w:left="7036" w:hanging="360"/>
      </w:pPr>
      <w:rPr>
        <w:rFonts w:ascii="Courier New" w:hAnsi="Courier New" w:cs="Courier New" w:hint="default"/>
      </w:rPr>
    </w:lvl>
    <w:lvl w:ilvl="8" w:tplc="0C090005" w:tentative="1">
      <w:start w:val="1"/>
      <w:numFmt w:val="bullet"/>
      <w:lvlText w:val=""/>
      <w:lvlJc w:val="left"/>
      <w:pPr>
        <w:ind w:left="7756" w:hanging="360"/>
      </w:pPr>
      <w:rPr>
        <w:rFonts w:ascii="Wingdings" w:hAnsi="Wingdings" w:hint="default"/>
      </w:rPr>
    </w:lvl>
  </w:abstractNum>
  <w:abstractNum w:abstractNumId="26" w15:restartNumberingAfterBreak="0">
    <w:nsid w:val="354D118B"/>
    <w:multiLevelType w:val="hybridMultilevel"/>
    <w:tmpl w:val="465ED7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8E438A3"/>
    <w:multiLevelType w:val="hybridMultilevel"/>
    <w:tmpl w:val="E3B2B9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3CB34C82"/>
    <w:multiLevelType w:val="hybridMultilevel"/>
    <w:tmpl w:val="CED698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3DD12FC9"/>
    <w:multiLevelType w:val="hybridMultilevel"/>
    <w:tmpl w:val="E250A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DE65E6D"/>
    <w:multiLevelType w:val="hybridMultilevel"/>
    <w:tmpl w:val="32400B30"/>
    <w:lvl w:ilvl="0" w:tplc="A72CE92E">
      <w:start w:val="1"/>
      <w:numFmt w:val="decimal"/>
      <w:pStyle w:val="Numbers"/>
      <w:lvlText w:val="%1."/>
      <w:lvlJc w:val="left"/>
      <w:pPr>
        <w:tabs>
          <w:tab w:val="num" w:pos="454"/>
        </w:tabs>
        <w:ind w:left="454" w:hanging="341"/>
      </w:pPr>
      <w:rPr>
        <w:rFonts w:ascii="Calibri" w:hAnsi="Calibri" w:hint="default"/>
        <w:b w:val="0"/>
        <w:i w:val="0"/>
        <w:color w:val="BC1D43"/>
        <w:sz w:val="18"/>
      </w:rPr>
    </w:lvl>
    <w:lvl w:ilvl="1" w:tplc="AE8821F8">
      <w:numFmt w:val="bullet"/>
      <w:lvlText w:val="-"/>
      <w:lvlJc w:val="left"/>
      <w:pPr>
        <w:ind w:left="1080" w:hanging="360"/>
      </w:pPr>
      <w:rPr>
        <w:rFonts w:ascii="Arial" w:eastAsiaTheme="minorHAnsi" w:hAnsi="Arial"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40A36164"/>
    <w:multiLevelType w:val="hybridMultilevel"/>
    <w:tmpl w:val="1F6CCC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42E33233"/>
    <w:multiLevelType w:val="hybridMultilevel"/>
    <w:tmpl w:val="592C8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4257282"/>
    <w:multiLevelType w:val="hybridMultilevel"/>
    <w:tmpl w:val="720A64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47E26C02"/>
    <w:multiLevelType w:val="hybridMultilevel"/>
    <w:tmpl w:val="CF406C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0407015"/>
    <w:multiLevelType w:val="multilevel"/>
    <w:tmpl w:val="26501F9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54D247D7"/>
    <w:multiLevelType w:val="hybridMultilevel"/>
    <w:tmpl w:val="8C728F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5CF3C75"/>
    <w:multiLevelType w:val="hybridMultilevel"/>
    <w:tmpl w:val="38A47C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56DA22EA"/>
    <w:multiLevelType w:val="hybridMultilevel"/>
    <w:tmpl w:val="14D221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5917009C"/>
    <w:multiLevelType w:val="hybridMultilevel"/>
    <w:tmpl w:val="067630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5AA539C9"/>
    <w:multiLevelType w:val="hybridMultilevel"/>
    <w:tmpl w:val="4B3CCF16"/>
    <w:lvl w:ilvl="0" w:tplc="367A491C">
      <w:start w:val="1"/>
      <w:numFmt w:val="bullet"/>
      <w:lvlText w:val=""/>
      <w:lvlJc w:val="left"/>
      <w:pPr>
        <w:ind w:left="360" w:hanging="360"/>
      </w:pPr>
      <w:rPr>
        <w:rFonts w:ascii="Symbol" w:hAnsi="Symbol" w:hint="default"/>
        <w:b w:val="0"/>
        <w:i w:val="0"/>
        <w:color w:val="auto"/>
        <w:sz w:val="18"/>
      </w:rPr>
    </w:lvl>
    <w:lvl w:ilvl="1" w:tplc="AE8821F8">
      <w:numFmt w:val="bullet"/>
      <w:lvlText w:val="-"/>
      <w:lvlJc w:val="left"/>
      <w:pPr>
        <w:ind w:left="569" w:hanging="360"/>
      </w:pPr>
      <w:rPr>
        <w:rFonts w:ascii="Arial" w:eastAsiaTheme="minorHAnsi" w:hAnsi="Arial" w:cs="Arial" w:hint="default"/>
      </w:rPr>
    </w:lvl>
    <w:lvl w:ilvl="2" w:tplc="0C090005" w:tentative="1">
      <w:start w:val="1"/>
      <w:numFmt w:val="bullet"/>
      <w:lvlText w:val=""/>
      <w:lvlJc w:val="left"/>
      <w:pPr>
        <w:ind w:left="1289" w:hanging="360"/>
      </w:pPr>
      <w:rPr>
        <w:rFonts w:ascii="Wingdings" w:hAnsi="Wingdings" w:hint="default"/>
      </w:rPr>
    </w:lvl>
    <w:lvl w:ilvl="3" w:tplc="0C090001" w:tentative="1">
      <w:start w:val="1"/>
      <w:numFmt w:val="bullet"/>
      <w:lvlText w:val=""/>
      <w:lvlJc w:val="left"/>
      <w:pPr>
        <w:ind w:left="2009" w:hanging="360"/>
      </w:pPr>
      <w:rPr>
        <w:rFonts w:ascii="Symbol" w:hAnsi="Symbol" w:hint="default"/>
      </w:rPr>
    </w:lvl>
    <w:lvl w:ilvl="4" w:tplc="0C090003" w:tentative="1">
      <w:start w:val="1"/>
      <w:numFmt w:val="bullet"/>
      <w:lvlText w:val="o"/>
      <w:lvlJc w:val="left"/>
      <w:pPr>
        <w:ind w:left="2729" w:hanging="360"/>
      </w:pPr>
      <w:rPr>
        <w:rFonts w:ascii="Courier New" w:hAnsi="Courier New" w:cs="Courier New" w:hint="default"/>
      </w:rPr>
    </w:lvl>
    <w:lvl w:ilvl="5" w:tplc="0C090005" w:tentative="1">
      <w:start w:val="1"/>
      <w:numFmt w:val="bullet"/>
      <w:lvlText w:val=""/>
      <w:lvlJc w:val="left"/>
      <w:pPr>
        <w:ind w:left="3449" w:hanging="360"/>
      </w:pPr>
      <w:rPr>
        <w:rFonts w:ascii="Wingdings" w:hAnsi="Wingdings" w:hint="default"/>
      </w:rPr>
    </w:lvl>
    <w:lvl w:ilvl="6" w:tplc="0C090001" w:tentative="1">
      <w:start w:val="1"/>
      <w:numFmt w:val="bullet"/>
      <w:lvlText w:val=""/>
      <w:lvlJc w:val="left"/>
      <w:pPr>
        <w:ind w:left="4169" w:hanging="360"/>
      </w:pPr>
      <w:rPr>
        <w:rFonts w:ascii="Symbol" w:hAnsi="Symbol" w:hint="default"/>
      </w:rPr>
    </w:lvl>
    <w:lvl w:ilvl="7" w:tplc="0C090003" w:tentative="1">
      <w:start w:val="1"/>
      <w:numFmt w:val="bullet"/>
      <w:lvlText w:val="o"/>
      <w:lvlJc w:val="left"/>
      <w:pPr>
        <w:ind w:left="4889" w:hanging="360"/>
      </w:pPr>
      <w:rPr>
        <w:rFonts w:ascii="Courier New" w:hAnsi="Courier New" w:cs="Courier New" w:hint="default"/>
      </w:rPr>
    </w:lvl>
    <w:lvl w:ilvl="8" w:tplc="0C090005" w:tentative="1">
      <w:start w:val="1"/>
      <w:numFmt w:val="bullet"/>
      <w:lvlText w:val=""/>
      <w:lvlJc w:val="left"/>
      <w:pPr>
        <w:ind w:left="5609" w:hanging="360"/>
      </w:pPr>
      <w:rPr>
        <w:rFonts w:ascii="Wingdings" w:hAnsi="Wingdings" w:hint="default"/>
      </w:rPr>
    </w:lvl>
  </w:abstractNum>
  <w:abstractNum w:abstractNumId="41" w15:restartNumberingAfterBreak="0">
    <w:nsid w:val="5D734842"/>
    <w:multiLevelType w:val="multilevel"/>
    <w:tmpl w:val="C5002544"/>
    <w:lvl w:ilvl="0">
      <w:start w:val="1"/>
      <w:numFmt w:val="decimal"/>
      <w:lvlText w:val="%1."/>
      <w:lvlJc w:val="left"/>
      <w:pPr>
        <w:ind w:left="360" w:hanging="360"/>
      </w:pPr>
      <w:rPr>
        <w:i w:val="0"/>
      </w:rPr>
    </w:lvl>
    <w:lvl w:ilvl="1">
      <w:start w:val="1"/>
      <w:numFmt w:val="decimal"/>
      <w:pStyle w:val="NabilanMELP"/>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5F5512DD"/>
    <w:multiLevelType w:val="multilevel"/>
    <w:tmpl w:val="E60619E8"/>
    <w:lvl w:ilvl="0">
      <w:start w:val="1"/>
      <w:numFmt w:val="decimal"/>
      <w:pStyle w:val="Heading1"/>
      <w:lvlText w:val="%1"/>
      <w:lvlJc w:val="left"/>
      <w:pPr>
        <w:ind w:left="432" w:hanging="432"/>
      </w:pPr>
    </w:lvl>
    <w:lvl w:ilvl="1">
      <w:start w:val="1"/>
      <w:numFmt w:val="decimal"/>
      <w:lvlText w:val="%2."/>
      <w:lvlJc w:val="left"/>
      <w:pPr>
        <w:ind w:left="720" w:hanging="360"/>
      </w:pPr>
      <w:rPr>
        <w:rFonts w:hint="default"/>
        <w:b/>
        <w:sz w:val="24"/>
        <w:szCs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3" w15:restartNumberingAfterBreak="0">
    <w:nsid w:val="67B54A53"/>
    <w:multiLevelType w:val="hybridMultilevel"/>
    <w:tmpl w:val="48D21D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6D2023D6"/>
    <w:multiLevelType w:val="hybridMultilevel"/>
    <w:tmpl w:val="E6C0FC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05408B4"/>
    <w:multiLevelType w:val="hybridMultilevel"/>
    <w:tmpl w:val="14FC47F4"/>
    <w:lvl w:ilvl="0" w:tplc="AC860C80">
      <w:start w:val="1"/>
      <w:numFmt w:val="decimal"/>
      <w:pStyle w:val="ListNumber2"/>
      <w:lvlText w:val="%1."/>
      <w:lvlJc w:val="left"/>
      <w:pPr>
        <w:ind w:left="360" w:hanging="360"/>
      </w:pPr>
    </w:lvl>
    <w:lvl w:ilvl="1" w:tplc="D32AA91A">
      <w:start w:val="1"/>
      <w:numFmt w:val="lowerLetter"/>
      <w:lvlText w:val="%2."/>
      <w:lvlJc w:val="left"/>
      <w:pPr>
        <w:ind w:left="1080" w:hanging="360"/>
      </w:pPr>
      <w:rPr>
        <w:b w:val="0"/>
        <w:i w:val="0"/>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6" w15:restartNumberingAfterBreak="0">
    <w:nsid w:val="708B48B1"/>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2CC5EF0"/>
    <w:multiLevelType w:val="hybridMultilevel"/>
    <w:tmpl w:val="F27ACA36"/>
    <w:lvl w:ilvl="0" w:tplc="804C476C">
      <w:start w:val="1"/>
      <w:numFmt w:val="bullet"/>
      <w:lvlText w:val=""/>
      <w:lvlJc w:val="left"/>
      <w:pPr>
        <w:ind w:left="36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86B71AE"/>
    <w:multiLevelType w:val="hybridMultilevel"/>
    <w:tmpl w:val="D5BABF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78AF23E8"/>
    <w:multiLevelType w:val="hybridMultilevel"/>
    <w:tmpl w:val="46CEADA0"/>
    <w:lvl w:ilvl="0" w:tplc="804C476C">
      <w:start w:val="1"/>
      <w:numFmt w:val="bullet"/>
      <w:lvlText w:val=""/>
      <w:lvlJc w:val="left"/>
      <w:pPr>
        <w:ind w:left="360" w:hanging="360"/>
      </w:pPr>
      <w:rPr>
        <w:rFonts w:ascii="Symbol" w:hAnsi="Symbol" w:hint="default"/>
        <w:sz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799A672E"/>
    <w:multiLevelType w:val="hybridMultilevel"/>
    <w:tmpl w:val="253A78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7A026F3B"/>
    <w:multiLevelType w:val="hybridMultilevel"/>
    <w:tmpl w:val="BB683724"/>
    <w:lvl w:ilvl="0" w:tplc="C9488C1A">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7B182796"/>
    <w:multiLevelType w:val="multilevel"/>
    <w:tmpl w:val="0378763C"/>
    <w:lvl w:ilvl="0">
      <w:start w:val="2"/>
      <w:numFmt w:val="decimal"/>
      <w:pStyle w:val="CONLevel1"/>
      <w:lvlText w:val="%1."/>
      <w:lvlJc w:val="left"/>
      <w:pPr>
        <w:tabs>
          <w:tab w:val="num" w:pos="720"/>
        </w:tabs>
        <w:ind w:left="720" w:hanging="720"/>
      </w:pPr>
      <w:rPr>
        <w:rFonts w:ascii="Times New Roman" w:hAnsi="Times New Roman" w:hint="default"/>
        <w:b w:val="0"/>
        <w:i w:val="0"/>
        <w:sz w:val="24"/>
      </w:rPr>
    </w:lvl>
    <w:lvl w:ilvl="1">
      <w:start w:val="1"/>
      <w:numFmt w:val="decimal"/>
      <w:lvlText w:val="%1.%2"/>
      <w:lvlJc w:val="left"/>
      <w:pPr>
        <w:tabs>
          <w:tab w:val="num" w:pos="720"/>
        </w:tabs>
        <w:ind w:left="720" w:hanging="706"/>
      </w:pPr>
      <w:rPr>
        <w:rFonts w:ascii="Times New Roman" w:hAnsi="Times New Roman" w:hint="default"/>
        <w:b w:val="0"/>
        <w:i w:val="0"/>
        <w:sz w:val="24"/>
      </w:rPr>
    </w:lvl>
    <w:lvl w:ilvl="2">
      <w:start w:val="9"/>
      <w:numFmt w:val="lowerLetter"/>
      <w:pStyle w:val="CONLevela"/>
      <w:lvlText w:val="(%3)"/>
      <w:lvlJc w:val="left"/>
      <w:pPr>
        <w:tabs>
          <w:tab w:val="num" w:pos="1997"/>
        </w:tabs>
        <w:ind w:left="1997" w:hanging="720"/>
      </w:pPr>
      <w:rPr>
        <w:rFonts w:ascii="Times New Roman" w:hAnsi="Times New Roman" w:hint="default"/>
        <w:b w:val="0"/>
        <w:i w:val="0"/>
        <w:sz w:val="24"/>
      </w:rPr>
    </w:lvl>
    <w:lvl w:ilvl="3">
      <w:start w:val="1"/>
      <w:numFmt w:val="lowerRoman"/>
      <w:pStyle w:val="CONLeveli"/>
      <w:lvlText w:val="(%4)"/>
      <w:lvlJc w:val="left"/>
      <w:pPr>
        <w:tabs>
          <w:tab w:val="num" w:pos="2160"/>
        </w:tabs>
        <w:ind w:left="2160" w:hanging="720"/>
      </w:pPr>
      <w:rPr>
        <w:rFonts w:ascii="Times New Roman" w:hAnsi="Times New Roman" w:hint="default"/>
        <w:b w:val="0"/>
        <w:i w:val="0"/>
        <w:sz w:val="24"/>
      </w:rPr>
    </w:lvl>
    <w:lvl w:ilvl="4">
      <w:start w:val="1"/>
      <w:numFmt w:val="decimal"/>
      <w:lvlText w:val="%5."/>
      <w:lvlJc w:val="left"/>
      <w:pPr>
        <w:tabs>
          <w:tab w:val="num" w:pos="2880"/>
        </w:tabs>
        <w:ind w:left="2880" w:hanging="720"/>
      </w:pPr>
      <w:rPr>
        <w:rFonts w:ascii="Times New Roman" w:eastAsia="Times New Roman" w:hAnsi="Times New Roman" w:cs="Times New Roman"/>
        <w:b w:val="0"/>
        <w:i w:val="0"/>
        <w:sz w:val="24"/>
      </w:rPr>
    </w:lvl>
    <w:lvl w:ilvl="5">
      <w:start w:val="1"/>
      <w:numFmt w:val="upperRoman"/>
      <w:pStyle w:val="CONLevelI0"/>
      <w:lvlText w:val="(%6)"/>
      <w:lvlJc w:val="left"/>
      <w:pPr>
        <w:tabs>
          <w:tab w:val="num" w:pos="3600"/>
        </w:tabs>
        <w:ind w:left="3600" w:hanging="720"/>
      </w:pPr>
      <w:rPr>
        <w:rFonts w:ascii="Times New Roman" w:hAnsi="Times New Roman" w:hint="default"/>
        <w:b w:val="0"/>
        <w:i w:val="0"/>
        <w:sz w:val="24"/>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3" w15:restartNumberingAfterBreak="0">
    <w:nsid w:val="7B5D049D"/>
    <w:multiLevelType w:val="hybridMultilevel"/>
    <w:tmpl w:val="38743B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7C9076EE"/>
    <w:multiLevelType w:val="hybridMultilevel"/>
    <w:tmpl w:val="BFF80B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51"/>
  </w:num>
  <w:num w:numId="3">
    <w:abstractNumId w:val="45"/>
  </w:num>
  <w:num w:numId="4">
    <w:abstractNumId w:val="23"/>
  </w:num>
  <w:num w:numId="5">
    <w:abstractNumId w:val="42"/>
  </w:num>
  <w:num w:numId="6">
    <w:abstractNumId w:val="52"/>
  </w:num>
  <w:num w:numId="7">
    <w:abstractNumId w:val="30"/>
  </w:num>
  <w:num w:numId="8">
    <w:abstractNumId w:val="14"/>
  </w:num>
  <w:num w:numId="9">
    <w:abstractNumId w:val="32"/>
  </w:num>
  <w:num w:numId="10">
    <w:abstractNumId w:val="44"/>
  </w:num>
  <w:num w:numId="11">
    <w:abstractNumId w:val="3"/>
  </w:num>
  <w:num w:numId="12">
    <w:abstractNumId w:val="4"/>
  </w:num>
  <w:num w:numId="13">
    <w:abstractNumId w:val="6"/>
  </w:num>
  <w:num w:numId="14">
    <w:abstractNumId w:val="17"/>
  </w:num>
  <w:num w:numId="15">
    <w:abstractNumId w:val="10"/>
  </w:num>
  <w:num w:numId="16">
    <w:abstractNumId w:val="26"/>
  </w:num>
  <w:num w:numId="17">
    <w:abstractNumId w:val="1"/>
  </w:num>
  <w:num w:numId="18">
    <w:abstractNumId w:val="41"/>
  </w:num>
  <w:num w:numId="19">
    <w:abstractNumId w:val="46"/>
  </w:num>
  <w:num w:numId="20">
    <w:abstractNumId w:val="22"/>
  </w:num>
  <w:num w:numId="21">
    <w:abstractNumId w:val="11"/>
  </w:num>
  <w:num w:numId="22">
    <w:abstractNumId w:val="25"/>
  </w:num>
  <w:num w:numId="23">
    <w:abstractNumId w:val="40"/>
  </w:num>
  <w:num w:numId="24">
    <w:abstractNumId w:val="18"/>
  </w:num>
  <w:num w:numId="25">
    <w:abstractNumId w:val="33"/>
  </w:num>
  <w:num w:numId="26">
    <w:abstractNumId w:val="24"/>
  </w:num>
  <w:num w:numId="27">
    <w:abstractNumId w:val="28"/>
  </w:num>
  <w:num w:numId="28">
    <w:abstractNumId w:val="34"/>
  </w:num>
  <w:num w:numId="29">
    <w:abstractNumId w:val="19"/>
  </w:num>
  <w:num w:numId="30">
    <w:abstractNumId w:val="49"/>
  </w:num>
  <w:num w:numId="31">
    <w:abstractNumId w:val="27"/>
  </w:num>
  <w:num w:numId="32">
    <w:abstractNumId w:val="38"/>
  </w:num>
  <w:num w:numId="33">
    <w:abstractNumId w:val="12"/>
  </w:num>
  <w:num w:numId="34">
    <w:abstractNumId w:val="50"/>
  </w:num>
  <w:num w:numId="35">
    <w:abstractNumId w:val="48"/>
  </w:num>
  <w:num w:numId="36">
    <w:abstractNumId w:val="53"/>
  </w:num>
  <w:num w:numId="37">
    <w:abstractNumId w:val="7"/>
  </w:num>
  <w:num w:numId="38">
    <w:abstractNumId w:val="13"/>
  </w:num>
  <w:num w:numId="39">
    <w:abstractNumId w:val="15"/>
  </w:num>
  <w:num w:numId="40">
    <w:abstractNumId w:val="37"/>
  </w:num>
  <w:num w:numId="41">
    <w:abstractNumId w:val="9"/>
  </w:num>
  <w:num w:numId="42">
    <w:abstractNumId w:val="29"/>
  </w:num>
  <w:num w:numId="43">
    <w:abstractNumId w:val="2"/>
  </w:num>
  <w:num w:numId="44">
    <w:abstractNumId w:val="54"/>
  </w:num>
  <w:num w:numId="45">
    <w:abstractNumId w:val="39"/>
  </w:num>
  <w:num w:numId="46">
    <w:abstractNumId w:val="5"/>
  </w:num>
  <w:num w:numId="47">
    <w:abstractNumId w:val="8"/>
  </w:num>
  <w:num w:numId="48">
    <w:abstractNumId w:val="21"/>
  </w:num>
  <w:num w:numId="49">
    <w:abstractNumId w:val="47"/>
  </w:num>
  <w:num w:numId="50">
    <w:abstractNumId w:val="35"/>
  </w:num>
  <w:num w:numId="5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31"/>
  </w:num>
  <w:num w:numId="73">
    <w:abstractNumId w:val="16"/>
  </w:num>
  <w:num w:numId="74">
    <w:abstractNumId w:val="43"/>
  </w:num>
  <w:num w:numId="75">
    <w:abstractNumId w:val="34"/>
  </w:num>
  <w:num w:numId="76">
    <w:abstractNumId w:val="20"/>
  </w:num>
  <w:num w:numId="77">
    <w:abstractNumId w:val="7"/>
  </w:num>
  <w:num w:numId="78">
    <w:abstractNumId w:val="36"/>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en-AU"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en-AU" w:vendorID="64" w:dllVersion="0" w:nlCheck="1" w:checkStyle="0"/>
  <w:activeWritingStyle w:appName="MSWord" w:lang="en-GB" w:vendorID="64" w:dllVersion="0" w:nlCheck="1" w:checkStyle="0"/>
  <w:activeWritingStyle w:appName="MSWord" w:lang="en-US" w:vendorID="64" w:dllVersion="0" w:nlCheck="1" w:checkStyle="0"/>
  <w:activeWritingStyle w:appName="MSWord" w:lang="en-AU" w:vendorID="64" w:dllVersion="6" w:nlCheck="1" w:checkStyle="0"/>
  <w:activeWritingStyle w:appName="MSWord" w:lang="en-US" w:vendorID="64" w:dllVersion="6" w:nlCheck="1" w:checkStyle="0"/>
  <w:activeWritingStyle w:appName="MSWord" w:lang="en-AU" w:vendorID="64" w:dllVersion="131078" w:nlCheck="1" w:checkStyle="0"/>
  <w:activeWritingStyle w:appName="MSWord" w:lang="en-US" w:vendorID="64" w:dllVersion="131078" w:nlCheck="1" w:checkStyle="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hdrShapeDefaults>
    <o:shapedefaults v:ext="edit" spidmax="2055"/>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597"/>
    <w:rsid w:val="000009D6"/>
    <w:rsid w:val="00000DA7"/>
    <w:rsid w:val="0000134C"/>
    <w:rsid w:val="00002204"/>
    <w:rsid w:val="00002624"/>
    <w:rsid w:val="00002BF5"/>
    <w:rsid w:val="00002EC0"/>
    <w:rsid w:val="0000314A"/>
    <w:rsid w:val="0000334D"/>
    <w:rsid w:val="000041D1"/>
    <w:rsid w:val="0000443D"/>
    <w:rsid w:val="00005BDA"/>
    <w:rsid w:val="00006981"/>
    <w:rsid w:val="00007359"/>
    <w:rsid w:val="00007EF2"/>
    <w:rsid w:val="000110D0"/>
    <w:rsid w:val="00011840"/>
    <w:rsid w:val="00012189"/>
    <w:rsid w:val="00012ED9"/>
    <w:rsid w:val="00013465"/>
    <w:rsid w:val="00013524"/>
    <w:rsid w:val="00014CFF"/>
    <w:rsid w:val="0001581C"/>
    <w:rsid w:val="00015EDA"/>
    <w:rsid w:val="0001683B"/>
    <w:rsid w:val="00016C9E"/>
    <w:rsid w:val="0001793E"/>
    <w:rsid w:val="00021743"/>
    <w:rsid w:val="00021A27"/>
    <w:rsid w:val="00021F10"/>
    <w:rsid w:val="0002233E"/>
    <w:rsid w:val="00022567"/>
    <w:rsid w:val="00022911"/>
    <w:rsid w:val="00023496"/>
    <w:rsid w:val="00023A6F"/>
    <w:rsid w:val="00024BBB"/>
    <w:rsid w:val="000256B2"/>
    <w:rsid w:val="0002590D"/>
    <w:rsid w:val="00025A75"/>
    <w:rsid w:val="0002676A"/>
    <w:rsid w:val="00027226"/>
    <w:rsid w:val="000274D0"/>
    <w:rsid w:val="000277A7"/>
    <w:rsid w:val="000302C2"/>
    <w:rsid w:val="00030961"/>
    <w:rsid w:val="00030BF7"/>
    <w:rsid w:val="00030D72"/>
    <w:rsid w:val="00030DC4"/>
    <w:rsid w:val="0003166C"/>
    <w:rsid w:val="00031BCD"/>
    <w:rsid w:val="0003362F"/>
    <w:rsid w:val="00035511"/>
    <w:rsid w:val="000358C4"/>
    <w:rsid w:val="000365CD"/>
    <w:rsid w:val="000366E3"/>
    <w:rsid w:val="000367CA"/>
    <w:rsid w:val="0003726B"/>
    <w:rsid w:val="0003792C"/>
    <w:rsid w:val="00040189"/>
    <w:rsid w:val="00040825"/>
    <w:rsid w:val="00041233"/>
    <w:rsid w:val="00042630"/>
    <w:rsid w:val="000426CF"/>
    <w:rsid w:val="00042A58"/>
    <w:rsid w:val="00042D7D"/>
    <w:rsid w:val="00043944"/>
    <w:rsid w:val="00044797"/>
    <w:rsid w:val="000447FE"/>
    <w:rsid w:val="00045505"/>
    <w:rsid w:val="000455B4"/>
    <w:rsid w:val="00046DFF"/>
    <w:rsid w:val="00047D96"/>
    <w:rsid w:val="00047E5C"/>
    <w:rsid w:val="00051078"/>
    <w:rsid w:val="000510CD"/>
    <w:rsid w:val="0005170B"/>
    <w:rsid w:val="00051B47"/>
    <w:rsid w:val="00051D13"/>
    <w:rsid w:val="0005290D"/>
    <w:rsid w:val="00053546"/>
    <w:rsid w:val="0005529C"/>
    <w:rsid w:val="00055AB5"/>
    <w:rsid w:val="00056869"/>
    <w:rsid w:val="00056A2C"/>
    <w:rsid w:val="00056BA2"/>
    <w:rsid w:val="00056DEF"/>
    <w:rsid w:val="00056F23"/>
    <w:rsid w:val="00057DBB"/>
    <w:rsid w:val="00057F58"/>
    <w:rsid w:val="00060363"/>
    <w:rsid w:val="00060BF9"/>
    <w:rsid w:val="000618BA"/>
    <w:rsid w:val="000619B8"/>
    <w:rsid w:val="00061D1E"/>
    <w:rsid w:val="00061EDB"/>
    <w:rsid w:val="000621C9"/>
    <w:rsid w:val="0006293E"/>
    <w:rsid w:val="0006349B"/>
    <w:rsid w:val="00063AAF"/>
    <w:rsid w:val="0006577A"/>
    <w:rsid w:val="00066589"/>
    <w:rsid w:val="0006755C"/>
    <w:rsid w:val="0006768C"/>
    <w:rsid w:val="0007097C"/>
    <w:rsid w:val="00070EF8"/>
    <w:rsid w:val="00073438"/>
    <w:rsid w:val="000736FF"/>
    <w:rsid w:val="000737D3"/>
    <w:rsid w:val="00073C30"/>
    <w:rsid w:val="00073CE1"/>
    <w:rsid w:val="0007436A"/>
    <w:rsid w:val="000748EE"/>
    <w:rsid w:val="00074B2F"/>
    <w:rsid w:val="00075D68"/>
    <w:rsid w:val="0007650A"/>
    <w:rsid w:val="00076DE8"/>
    <w:rsid w:val="000776BF"/>
    <w:rsid w:val="00077AFD"/>
    <w:rsid w:val="00077DD6"/>
    <w:rsid w:val="00080200"/>
    <w:rsid w:val="00081303"/>
    <w:rsid w:val="00081EC7"/>
    <w:rsid w:val="000822EB"/>
    <w:rsid w:val="00082598"/>
    <w:rsid w:val="00082D4D"/>
    <w:rsid w:val="000831F4"/>
    <w:rsid w:val="00084714"/>
    <w:rsid w:val="00085159"/>
    <w:rsid w:val="00085919"/>
    <w:rsid w:val="00086EFD"/>
    <w:rsid w:val="00090686"/>
    <w:rsid w:val="00090720"/>
    <w:rsid w:val="00090E84"/>
    <w:rsid w:val="00090FBA"/>
    <w:rsid w:val="00091461"/>
    <w:rsid w:val="0009164F"/>
    <w:rsid w:val="00091E0F"/>
    <w:rsid w:val="00092AF3"/>
    <w:rsid w:val="00093546"/>
    <w:rsid w:val="00093C26"/>
    <w:rsid w:val="00093D20"/>
    <w:rsid w:val="00093E05"/>
    <w:rsid w:val="000956E6"/>
    <w:rsid w:val="00095E3C"/>
    <w:rsid w:val="000967C1"/>
    <w:rsid w:val="00097685"/>
    <w:rsid w:val="00097D7D"/>
    <w:rsid w:val="000A058C"/>
    <w:rsid w:val="000A0B48"/>
    <w:rsid w:val="000A1549"/>
    <w:rsid w:val="000A3077"/>
    <w:rsid w:val="000A32A8"/>
    <w:rsid w:val="000A476E"/>
    <w:rsid w:val="000A57C5"/>
    <w:rsid w:val="000A5E7A"/>
    <w:rsid w:val="000A6513"/>
    <w:rsid w:val="000A6E03"/>
    <w:rsid w:val="000A7272"/>
    <w:rsid w:val="000B08E3"/>
    <w:rsid w:val="000B11F3"/>
    <w:rsid w:val="000B14CD"/>
    <w:rsid w:val="000B24DD"/>
    <w:rsid w:val="000B2607"/>
    <w:rsid w:val="000B3CD5"/>
    <w:rsid w:val="000B3D79"/>
    <w:rsid w:val="000B4CC7"/>
    <w:rsid w:val="000B54DD"/>
    <w:rsid w:val="000B569C"/>
    <w:rsid w:val="000B60DC"/>
    <w:rsid w:val="000B6104"/>
    <w:rsid w:val="000B71DF"/>
    <w:rsid w:val="000C0B12"/>
    <w:rsid w:val="000C0B9E"/>
    <w:rsid w:val="000C0C83"/>
    <w:rsid w:val="000C1159"/>
    <w:rsid w:val="000C1EB0"/>
    <w:rsid w:val="000C2AB5"/>
    <w:rsid w:val="000C311C"/>
    <w:rsid w:val="000C41AF"/>
    <w:rsid w:val="000C4641"/>
    <w:rsid w:val="000C5282"/>
    <w:rsid w:val="000C64F6"/>
    <w:rsid w:val="000C7E38"/>
    <w:rsid w:val="000D0723"/>
    <w:rsid w:val="000D0DAC"/>
    <w:rsid w:val="000D1660"/>
    <w:rsid w:val="000D1AD0"/>
    <w:rsid w:val="000D1B0C"/>
    <w:rsid w:val="000D2FFF"/>
    <w:rsid w:val="000D4583"/>
    <w:rsid w:val="000D4A50"/>
    <w:rsid w:val="000D58C4"/>
    <w:rsid w:val="000D6928"/>
    <w:rsid w:val="000D6AD4"/>
    <w:rsid w:val="000E041B"/>
    <w:rsid w:val="000E07A4"/>
    <w:rsid w:val="000E0E17"/>
    <w:rsid w:val="000E11B4"/>
    <w:rsid w:val="000E136B"/>
    <w:rsid w:val="000E1C35"/>
    <w:rsid w:val="000E21C2"/>
    <w:rsid w:val="000E2826"/>
    <w:rsid w:val="000E4020"/>
    <w:rsid w:val="000E4295"/>
    <w:rsid w:val="000E5281"/>
    <w:rsid w:val="000E61C5"/>
    <w:rsid w:val="000E6AFA"/>
    <w:rsid w:val="000E6B7B"/>
    <w:rsid w:val="000E7B44"/>
    <w:rsid w:val="000E7DAC"/>
    <w:rsid w:val="000F0BFB"/>
    <w:rsid w:val="000F2018"/>
    <w:rsid w:val="000F2CB0"/>
    <w:rsid w:val="000F3547"/>
    <w:rsid w:val="000F375D"/>
    <w:rsid w:val="000F376E"/>
    <w:rsid w:val="000F3905"/>
    <w:rsid w:val="000F44B8"/>
    <w:rsid w:val="000F456E"/>
    <w:rsid w:val="000F4D5A"/>
    <w:rsid w:val="000F5424"/>
    <w:rsid w:val="000F6C73"/>
    <w:rsid w:val="000F7020"/>
    <w:rsid w:val="000F7484"/>
    <w:rsid w:val="000F77E0"/>
    <w:rsid w:val="00100484"/>
    <w:rsid w:val="00100D10"/>
    <w:rsid w:val="001011B5"/>
    <w:rsid w:val="00101A3B"/>
    <w:rsid w:val="00101B33"/>
    <w:rsid w:val="00101D5C"/>
    <w:rsid w:val="0010287A"/>
    <w:rsid w:val="00103B6A"/>
    <w:rsid w:val="001045D3"/>
    <w:rsid w:val="001048C2"/>
    <w:rsid w:val="0010494B"/>
    <w:rsid w:val="00104C9E"/>
    <w:rsid w:val="00105BB8"/>
    <w:rsid w:val="00105D77"/>
    <w:rsid w:val="00106606"/>
    <w:rsid w:val="00106C47"/>
    <w:rsid w:val="00107520"/>
    <w:rsid w:val="00107756"/>
    <w:rsid w:val="00107834"/>
    <w:rsid w:val="0010788A"/>
    <w:rsid w:val="0011120B"/>
    <w:rsid w:val="001112FB"/>
    <w:rsid w:val="0011194F"/>
    <w:rsid w:val="00111AFA"/>
    <w:rsid w:val="00111D9E"/>
    <w:rsid w:val="00111DAD"/>
    <w:rsid w:val="00112EDE"/>
    <w:rsid w:val="001130DA"/>
    <w:rsid w:val="00113222"/>
    <w:rsid w:val="00113DB2"/>
    <w:rsid w:val="00114071"/>
    <w:rsid w:val="001141E2"/>
    <w:rsid w:val="0011461C"/>
    <w:rsid w:val="00114A30"/>
    <w:rsid w:val="00115A49"/>
    <w:rsid w:val="00115B34"/>
    <w:rsid w:val="0011605D"/>
    <w:rsid w:val="001165D1"/>
    <w:rsid w:val="00120103"/>
    <w:rsid w:val="00120AAD"/>
    <w:rsid w:val="0012291A"/>
    <w:rsid w:val="00122CFC"/>
    <w:rsid w:val="0012334B"/>
    <w:rsid w:val="001234F9"/>
    <w:rsid w:val="00123B82"/>
    <w:rsid w:val="00123FE2"/>
    <w:rsid w:val="00124426"/>
    <w:rsid w:val="0012555D"/>
    <w:rsid w:val="001268C6"/>
    <w:rsid w:val="00126B68"/>
    <w:rsid w:val="00126EBC"/>
    <w:rsid w:val="001271E5"/>
    <w:rsid w:val="0012782F"/>
    <w:rsid w:val="00127D28"/>
    <w:rsid w:val="00130206"/>
    <w:rsid w:val="00130803"/>
    <w:rsid w:val="00130AE2"/>
    <w:rsid w:val="001318CF"/>
    <w:rsid w:val="0013236B"/>
    <w:rsid w:val="00133ACF"/>
    <w:rsid w:val="0013476D"/>
    <w:rsid w:val="00134C3C"/>
    <w:rsid w:val="00134DD6"/>
    <w:rsid w:val="001350D5"/>
    <w:rsid w:val="0013523C"/>
    <w:rsid w:val="00135533"/>
    <w:rsid w:val="00135D98"/>
    <w:rsid w:val="001361BA"/>
    <w:rsid w:val="00136744"/>
    <w:rsid w:val="00136C09"/>
    <w:rsid w:val="00136D86"/>
    <w:rsid w:val="0013720A"/>
    <w:rsid w:val="00137AEA"/>
    <w:rsid w:val="00140102"/>
    <w:rsid w:val="00141482"/>
    <w:rsid w:val="00141DE4"/>
    <w:rsid w:val="0014231A"/>
    <w:rsid w:val="00142762"/>
    <w:rsid w:val="00142983"/>
    <w:rsid w:val="0014339E"/>
    <w:rsid w:val="001454B0"/>
    <w:rsid w:val="001457CE"/>
    <w:rsid w:val="00146492"/>
    <w:rsid w:val="00146946"/>
    <w:rsid w:val="00146A63"/>
    <w:rsid w:val="00146A89"/>
    <w:rsid w:val="00147079"/>
    <w:rsid w:val="00150181"/>
    <w:rsid w:val="00151663"/>
    <w:rsid w:val="0015179C"/>
    <w:rsid w:val="001518E0"/>
    <w:rsid w:val="00152925"/>
    <w:rsid w:val="00152E7D"/>
    <w:rsid w:val="00152F26"/>
    <w:rsid w:val="00153E13"/>
    <w:rsid w:val="0015461C"/>
    <w:rsid w:val="001548B3"/>
    <w:rsid w:val="00154F22"/>
    <w:rsid w:val="0015525E"/>
    <w:rsid w:val="0015669B"/>
    <w:rsid w:val="0015792B"/>
    <w:rsid w:val="001600AA"/>
    <w:rsid w:val="00160C73"/>
    <w:rsid w:val="0016109D"/>
    <w:rsid w:val="00162C08"/>
    <w:rsid w:val="00163A77"/>
    <w:rsid w:val="00163FB9"/>
    <w:rsid w:val="00165428"/>
    <w:rsid w:val="00166093"/>
    <w:rsid w:val="00167A2E"/>
    <w:rsid w:val="00170454"/>
    <w:rsid w:val="00170C7C"/>
    <w:rsid w:val="00171A27"/>
    <w:rsid w:val="0017209B"/>
    <w:rsid w:val="00172133"/>
    <w:rsid w:val="0017260C"/>
    <w:rsid w:val="00173451"/>
    <w:rsid w:val="00173AD9"/>
    <w:rsid w:val="0017548D"/>
    <w:rsid w:val="00175C53"/>
    <w:rsid w:val="00175D39"/>
    <w:rsid w:val="00175F87"/>
    <w:rsid w:val="00176685"/>
    <w:rsid w:val="00176850"/>
    <w:rsid w:val="00176E76"/>
    <w:rsid w:val="001775FF"/>
    <w:rsid w:val="00177860"/>
    <w:rsid w:val="00177B0D"/>
    <w:rsid w:val="00177C22"/>
    <w:rsid w:val="0018023C"/>
    <w:rsid w:val="00180928"/>
    <w:rsid w:val="00180F0A"/>
    <w:rsid w:val="00181362"/>
    <w:rsid w:val="001826C0"/>
    <w:rsid w:val="00183708"/>
    <w:rsid w:val="001838A4"/>
    <w:rsid w:val="00183E85"/>
    <w:rsid w:val="0018468D"/>
    <w:rsid w:val="00185FC7"/>
    <w:rsid w:val="00187020"/>
    <w:rsid w:val="001874F1"/>
    <w:rsid w:val="0019027F"/>
    <w:rsid w:val="001908F2"/>
    <w:rsid w:val="001910A5"/>
    <w:rsid w:val="00191325"/>
    <w:rsid w:val="0019236D"/>
    <w:rsid w:val="00192991"/>
    <w:rsid w:val="00192A02"/>
    <w:rsid w:val="00193529"/>
    <w:rsid w:val="00193835"/>
    <w:rsid w:val="00193986"/>
    <w:rsid w:val="00195197"/>
    <w:rsid w:val="00195441"/>
    <w:rsid w:val="0019571D"/>
    <w:rsid w:val="0019578B"/>
    <w:rsid w:val="001965DE"/>
    <w:rsid w:val="0019667A"/>
    <w:rsid w:val="00196E52"/>
    <w:rsid w:val="001A02E9"/>
    <w:rsid w:val="001A0488"/>
    <w:rsid w:val="001A3BA2"/>
    <w:rsid w:val="001A3D21"/>
    <w:rsid w:val="001A464A"/>
    <w:rsid w:val="001A53B8"/>
    <w:rsid w:val="001A5625"/>
    <w:rsid w:val="001A6B3B"/>
    <w:rsid w:val="001A7970"/>
    <w:rsid w:val="001B00A4"/>
    <w:rsid w:val="001B023C"/>
    <w:rsid w:val="001B043E"/>
    <w:rsid w:val="001B06A9"/>
    <w:rsid w:val="001B0F54"/>
    <w:rsid w:val="001B2385"/>
    <w:rsid w:val="001B2625"/>
    <w:rsid w:val="001B2951"/>
    <w:rsid w:val="001B2C72"/>
    <w:rsid w:val="001B2E15"/>
    <w:rsid w:val="001B3344"/>
    <w:rsid w:val="001B3DE5"/>
    <w:rsid w:val="001B4121"/>
    <w:rsid w:val="001B498F"/>
    <w:rsid w:val="001B4F74"/>
    <w:rsid w:val="001B526A"/>
    <w:rsid w:val="001B53B6"/>
    <w:rsid w:val="001B7040"/>
    <w:rsid w:val="001B7B0D"/>
    <w:rsid w:val="001B7EB2"/>
    <w:rsid w:val="001C0568"/>
    <w:rsid w:val="001C0647"/>
    <w:rsid w:val="001C0F10"/>
    <w:rsid w:val="001C14C8"/>
    <w:rsid w:val="001C2B26"/>
    <w:rsid w:val="001C325D"/>
    <w:rsid w:val="001C5ABD"/>
    <w:rsid w:val="001C69D6"/>
    <w:rsid w:val="001C7178"/>
    <w:rsid w:val="001D06BF"/>
    <w:rsid w:val="001D0BD5"/>
    <w:rsid w:val="001D26C0"/>
    <w:rsid w:val="001D33B2"/>
    <w:rsid w:val="001D413F"/>
    <w:rsid w:val="001D4C42"/>
    <w:rsid w:val="001D5021"/>
    <w:rsid w:val="001D58B4"/>
    <w:rsid w:val="001D59B4"/>
    <w:rsid w:val="001D59F4"/>
    <w:rsid w:val="001D620D"/>
    <w:rsid w:val="001D70F2"/>
    <w:rsid w:val="001D77CE"/>
    <w:rsid w:val="001D7D4E"/>
    <w:rsid w:val="001E019A"/>
    <w:rsid w:val="001E230C"/>
    <w:rsid w:val="001E2A6F"/>
    <w:rsid w:val="001E2D72"/>
    <w:rsid w:val="001E2E66"/>
    <w:rsid w:val="001E2EAE"/>
    <w:rsid w:val="001E3898"/>
    <w:rsid w:val="001E3BC5"/>
    <w:rsid w:val="001E3C05"/>
    <w:rsid w:val="001E44B8"/>
    <w:rsid w:val="001E4519"/>
    <w:rsid w:val="001E45D2"/>
    <w:rsid w:val="001E5859"/>
    <w:rsid w:val="001E6C67"/>
    <w:rsid w:val="001E6D9F"/>
    <w:rsid w:val="001E6E86"/>
    <w:rsid w:val="001E7548"/>
    <w:rsid w:val="001E7B08"/>
    <w:rsid w:val="001F04F2"/>
    <w:rsid w:val="001F0986"/>
    <w:rsid w:val="001F0EA6"/>
    <w:rsid w:val="001F0F18"/>
    <w:rsid w:val="001F14E1"/>
    <w:rsid w:val="001F157A"/>
    <w:rsid w:val="001F18F1"/>
    <w:rsid w:val="001F1B65"/>
    <w:rsid w:val="001F2C52"/>
    <w:rsid w:val="001F34A6"/>
    <w:rsid w:val="001F3F3F"/>
    <w:rsid w:val="001F42FD"/>
    <w:rsid w:val="0020012E"/>
    <w:rsid w:val="002008BC"/>
    <w:rsid w:val="002014FB"/>
    <w:rsid w:val="00201C96"/>
    <w:rsid w:val="002030DA"/>
    <w:rsid w:val="002037BD"/>
    <w:rsid w:val="00205005"/>
    <w:rsid w:val="002050CD"/>
    <w:rsid w:val="0020511E"/>
    <w:rsid w:val="002051EB"/>
    <w:rsid w:val="00205501"/>
    <w:rsid w:val="0020622A"/>
    <w:rsid w:val="00206865"/>
    <w:rsid w:val="00206FE4"/>
    <w:rsid w:val="002075A3"/>
    <w:rsid w:val="002102A9"/>
    <w:rsid w:val="00210DDF"/>
    <w:rsid w:val="00211F75"/>
    <w:rsid w:val="002121B0"/>
    <w:rsid w:val="0021267F"/>
    <w:rsid w:val="00212C75"/>
    <w:rsid w:val="00213B37"/>
    <w:rsid w:val="00214870"/>
    <w:rsid w:val="00214969"/>
    <w:rsid w:val="0021598C"/>
    <w:rsid w:val="00215E59"/>
    <w:rsid w:val="00215FD1"/>
    <w:rsid w:val="00215FDD"/>
    <w:rsid w:val="00216551"/>
    <w:rsid w:val="00216700"/>
    <w:rsid w:val="00217A38"/>
    <w:rsid w:val="00220037"/>
    <w:rsid w:val="00220735"/>
    <w:rsid w:val="0022090E"/>
    <w:rsid w:val="00220FB8"/>
    <w:rsid w:val="0022235C"/>
    <w:rsid w:val="0022237F"/>
    <w:rsid w:val="0022248A"/>
    <w:rsid w:val="00223274"/>
    <w:rsid w:val="00223E67"/>
    <w:rsid w:val="0022416A"/>
    <w:rsid w:val="00224AF2"/>
    <w:rsid w:val="00225A5D"/>
    <w:rsid w:val="0022624A"/>
    <w:rsid w:val="00226CA6"/>
    <w:rsid w:val="00230085"/>
    <w:rsid w:val="002305F5"/>
    <w:rsid w:val="00230937"/>
    <w:rsid w:val="0023146A"/>
    <w:rsid w:val="002316D9"/>
    <w:rsid w:val="00233C79"/>
    <w:rsid w:val="002345FC"/>
    <w:rsid w:val="00234B66"/>
    <w:rsid w:val="00235594"/>
    <w:rsid w:val="00235E3A"/>
    <w:rsid w:val="00235F6C"/>
    <w:rsid w:val="0023735F"/>
    <w:rsid w:val="00237725"/>
    <w:rsid w:val="0023797D"/>
    <w:rsid w:val="00237BEA"/>
    <w:rsid w:val="0024023E"/>
    <w:rsid w:val="00240550"/>
    <w:rsid w:val="00241194"/>
    <w:rsid w:val="00241A2F"/>
    <w:rsid w:val="00241B93"/>
    <w:rsid w:val="00241D33"/>
    <w:rsid w:val="002429F1"/>
    <w:rsid w:val="00242AA8"/>
    <w:rsid w:val="00242E14"/>
    <w:rsid w:val="0024398E"/>
    <w:rsid w:val="00244395"/>
    <w:rsid w:val="002456DE"/>
    <w:rsid w:val="002468C6"/>
    <w:rsid w:val="00246E0B"/>
    <w:rsid w:val="00247547"/>
    <w:rsid w:val="00250525"/>
    <w:rsid w:val="00250B4B"/>
    <w:rsid w:val="00250C86"/>
    <w:rsid w:val="00251257"/>
    <w:rsid w:val="00251EF3"/>
    <w:rsid w:val="00252043"/>
    <w:rsid w:val="002524D0"/>
    <w:rsid w:val="00252F35"/>
    <w:rsid w:val="00253532"/>
    <w:rsid w:val="00253563"/>
    <w:rsid w:val="0025424F"/>
    <w:rsid w:val="002545AE"/>
    <w:rsid w:val="0025465C"/>
    <w:rsid w:val="0025498C"/>
    <w:rsid w:val="0025499A"/>
    <w:rsid w:val="00254FBD"/>
    <w:rsid w:val="002556E0"/>
    <w:rsid w:val="002557D3"/>
    <w:rsid w:val="002558FD"/>
    <w:rsid w:val="0025643E"/>
    <w:rsid w:val="002567C9"/>
    <w:rsid w:val="00256979"/>
    <w:rsid w:val="002572E9"/>
    <w:rsid w:val="00257D81"/>
    <w:rsid w:val="002603F2"/>
    <w:rsid w:val="002607B7"/>
    <w:rsid w:val="00260BA2"/>
    <w:rsid w:val="002616BC"/>
    <w:rsid w:val="00261915"/>
    <w:rsid w:val="00261A33"/>
    <w:rsid w:val="00261A58"/>
    <w:rsid w:val="00261AD3"/>
    <w:rsid w:val="00261B67"/>
    <w:rsid w:val="00261BFD"/>
    <w:rsid w:val="00261F18"/>
    <w:rsid w:val="00262DB3"/>
    <w:rsid w:val="00263206"/>
    <w:rsid w:val="00263526"/>
    <w:rsid w:val="0026624E"/>
    <w:rsid w:val="0026641C"/>
    <w:rsid w:val="0026675F"/>
    <w:rsid w:val="00267007"/>
    <w:rsid w:val="0026700B"/>
    <w:rsid w:val="00267518"/>
    <w:rsid w:val="00270347"/>
    <w:rsid w:val="002707A6"/>
    <w:rsid w:val="00270FCC"/>
    <w:rsid w:val="00271E3B"/>
    <w:rsid w:val="00273075"/>
    <w:rsid w:val="002733EE"/>
    <w:rsid w:val="00273B88"/>
    <w:rsid w:val="00273D5E"/>
    <w:rsid w:val="00275F3B"/>
    <w:rsid w:val="002765CD"/>
    <w:rsid w:val="00276A1C"/>
    <w:rsid w:val="00277252"/>
    <w:rsid w:val="002778C6"/>
    <w:rsid w:val="00277E26"/>
    <w:rsid w:val="00280D95"/>
    <w:rsid w:val="0028176B"/>
    <w:rsid w:val="0028226E"/>
    <w:rsid w:val="0028355C"/>
    <w:rsid w:val="00283695"/>
    <w:rsid w:val="00283C57"/>
    <w:rsid w:val="00284702"/>
    <w:rsid w:val="002849C0"/>
    <w:rsid w:val="002853BA"/>
    <w:rsid w:val="00286741"/>
    <w:rsid w:val="00286970"/>
    <w:rsid w:val="00286D1F"/>
    <w:rsid w:val="00287877"/>
    <w:rsid w:val="00291DE2"/>
    <w:rsid w:val="002930EB"/>
    <w:rsid w:val="00294436"/>
    <w:rsid w:val="002953B7"/>
    <w:rsid w:val="0029670D"/>
    <w:rsid w:val="0029693C"/>
    <w:rsid w:val="00296FBF"/>
    <w:rsid w:val="0029740B"/>
    <w:rsid w:val="00297637"/>
    <w:rsid w:val="00297960"/>
    <w:rsid w:val="002A0968"/>
    <w:rsid w:val="002A1621"/>
    <w:rsid w:val="002A1AD8"/>
    <w:rsid w:val="002A20A5"/>
    <w:rsid w:val="002A2E20"/>
    <w:rsid w:val="002A2E80"/>
    <w:rsid w:val="002A348F"/>
    <w:rsid w:val="002A3907"/>
    <w:rsid w:val="002A4312"/>
    <w:rsid w:val="002A44E7"/>
    <w:rsid w:val="002A4863"/>
    <w:rsid w:val="002A5570"/>
    <w:rsid w:val="002A5B48"/>
    <w:rsid w:val="002A6252"/>
    <w:rsid w:val="002A6DD5"/>
    <w:rsid w:val="002A758A"/>
    <w:rsid w:val="002B0C42"/>
    <w:rsid w:val="002B113B"/>
    <w:rsid w:val="002B1311"/>
    <w:rsid w:val="002B183D"/>
    <w:rsid w:val="002B186B"/>
    <w:rsid w:val="002B3F84"/>
    <w:rsid w:val="002B533F"/>
    <w:rsid w:val="002B59F7"/>
    <w:rsid w:val="002B5BD8"/>
    <w:rsid w:val="002B6971"/>
    <w:rsid w:val="002B6C69"/>
    <w:rsid w:val="002B6E1D"/>
    <w:rsid w:val="002B7EAB"/>
    <w:rsid w:val="002C00AE"/>
    <w:rsid w:val="002C1D1D"/>
    <w:rsid w:val="002C1EC3"/>
    <w:rsid w:val="002C276E"/>
    <w:rsid w:val="002C28FD"/>
    <w:rsid w:val="002C31F8"/>
    <w:rsid w:val="002C3340"/>
    <w:rsid w:val="002C40CE"/>
    <w:rsid w:val="002C5975"/>
    <w:rsid w:val="002C65EE"/>
    <w:rsid w:val="002C67FE"/>
    <w:rsid w:val="002C7799"/>
    <w:rsid w:val="002D09C0"/>
    <w:rsid w:val="002D0E8E"/>
    <w:rsid w:val="002D0EED"/>
    <w:rsid w:val="002D1856"/>
    <w:rsid w:val="002D21FF"/>
    <w:rsid w:val="002D27E8"/>
    <w:rsid w:val="002D2858"/>
    <w:rsid w:val="002D2DDA"/>
    <w:rsid w:val="002D2DE5"/>
    <w:rsid w:val="002D3430"/>
    <w:rsid w:val="002D3703"/>
    <w:rsid w:val="002D4E47"/>
    <w:rsid w:val="002D4F07"/>
    <w:rsid w:val="002D5B39"/>
    <w:rsid w:val="002D5E1A"/>
    <w:rsid w:val="002D61D1"/>
    <w:rsid w:val="002D682A"/>
    <w:rsid w:val="002D6BDF"/>
    <w:rsid w:val="002D7F89"/>
    <w:rsid w:val="002E012A"/>
    <w:rsid w:val="002E21EF"/>
    <w:rsid w:val="002E3E26"/>
    <w:rsid w:val="002E45FD"/>
    <w:rsid w:val="002E5B96"/>
    <w:rsid w:val="002E5C5C"/>
    <w:rsid w:val="002E6164"/>
    <w:rsid w:val="002E62C8"/>
    <w:rsid w:val="002E6892"/>
    <w:rsid w:val="002E7070"/>
    <w:rsid w:val="002E7478"/>
    <w:rsid w:val="002E7674"/>
    <w:rsid w:val="002F00D4"/>
    <w:rsid w:val="002F0E8B"/>
    <w:rsid w:val="002F0FD0"/>
    <w:rsid w:val="002F13CB"/>
    <w:rsid w:val="002F1A8E"/>
    <w:rsid w:val="002F1D43"/>
    <w:rsid w:val="002F20EF"/>
    <w:rsid w:val="002F2222"/>
    <w:rsid w:val="002F2302"/>
    <w:rsid w:val="002F2FE1"/>
    <w:rsid w:val="002F3ED6"/>
    <w:rsid w:val="002F4522"/>
    <w:rsid w:val="002F4FCF"/>
    <w:rsid w:val="002F7CDA"/>
    <w:rsid w:val="002F7DA4"/>
    <w:rsid w:val="0030040B"/>
    <w:rsid w:val="0030041E"/>
    <w:rsid w:val="0030043B"/>
    <w:rsid w:val="00300A4E"/>
    <w:rsid w:val="0030160E"/>
    <w:rsid w:val="00301B43"/>
    <w:rsid w:val="003025E5"/>
    <w:rsid w:val="00302743"/>
    <w:rsid w:val="003035F7"/>
    <w:rsid w:val="00304C01"/>
    <w:rsid w:val="00305AE1"/>
    <w:rsid w:val="00305AE3"/>
    <w:rsid w:val="00305F36"/>
    <w:rsid w:val="0031009A"/>
    <w:rsid w:val="00310FCD"/>
    <w:rsid w:val="0031266F"/>
    <w:rsid w:val="00312BA4"/>
    <w:rsid w:val="0031566D"/>
    <w:rsid w:val="00316336"/>
    <w:rsid w:val="00316412"/>
    <w:rsid w:val="0031651C"/>
    <w:rsid w:val="003169B1"/>
    <w:rsid w:val="00316A1A"/>
    <w:rsid w:val="00317205"/>
    <w:rsid w:val="00317698"/>
    <w:rsid w:val="00317A54"/>
    <w:rsid w:val="00317DD3"/>
    <w:rsid w:val="00320301"/>
    <w:rsid w:val="00320591"/>
    <w:rsid w:val="00320B3D"/>
    <w:rsid w:val="00320EA0"/>
    <w:rsid w:val="00321B29"/>
    <w:rsid w:val="00322C41"/>
    <w:rsid w:val="00323ECD"/>
    <w:rsid w:val="00324946"/>
    <w:rsid w:val="00324B1B"/>
    <w:rsid w:val="00326B89"/>
    <w:rsid w:val="0032708D"/>
    <w:rsid w:val="00327424"/>
    <w:rsid w:val="00331799"/>
    <w:rsid w:val="00332A21"/>
    <w:rsid w:val="0033371D"/>
    <w:rsid w:val="00333D80"/>
    <w:rsid w:val="0033405D"/>
    <w:rsid w:val="003342A5"/>
    <w:rsid w:val="00334533"/>
    <w:rsid w:val="003353E5"/>
    <w:rsid w:val="003378F3"/>
    <w:rsid w:val="00342A1F"/>
    <w:rsid w:val="00345350"/>
    <w:rsid w:val="003453C1"/>
    <w:rsid w:val="00345570"/>
    <w:rsid w:val="00345950"/>
    <w:rsid w:val="00345D33"/>
    <w:rsid w:val="0034607E"/>
    <w:rsid w:val="00346096"/>
    <w:rsid w:val="0034693E"/>
    <w:rsid w:val="00346A94"/>
    <w:rsid w:val="00350DC6"/>
    <w:rsid w:val="00351745"/>
    <w:rsid w:val="00351885"/>
    <w:rsid w:val="003522A2"/>
    <w:rsid w:val="003535BE"/>
    <w:rsid w:val="00354C77"/>
    <w:rsid w:val="00356727"/>
    <w:rsid w:val="00356AF4"/>
    <w:rsid w:val="00357A79"/>
    <w:rsid w:val="00357FD8"/>
    <w:rsid w:val="003600A9"/>
    <w:rsid w:val="0036093D"/>
    <w:rsid w:val="0036108C"/>
    <w:rsid w:val="0036279D"/>
    <w:rsid w:val="00363AA5"/>
    <w:rsid w:val="00363BB7"/>
    <w:rsid w:val="00364359"/>
    <w:rsid w:val="00364607"/>
    <w:rsid w:val="003650E8"/>
    <w:rsid w:val="00365575"/>
    <w:rsid w:val="00365C8A"/>
    <w:rsid w:val="0036604C"/>
    <w:rsid w:val="003664D5"/>
    <w:rsid w:val="00366C38"/>
    <w:rsid w:val="00366C47"/>
    <w:rsid w:val="003678E9"/>
    <w:rsid w:val="00370401"/>
    <w:rsid w:val="0037101D"/>
    <w:rsid w:val="00371276"/>
    <w:rsid w:val="003714A3"/>
    <w:rsid w:val="0037162E"/>
    <w:rsid w:val="003716C1"/>
    <w:rsid w:val="00372720"/>
    <w:rsid w:val="003728A0"/>
    <w:rsid w:val="00373258"/>
    <w:rsid w:val="003744AA"/>
    <w:rsid w:val="00374CA2"/>
    <w:rsid w:val="00375590"/>
    <w:rsid w:val="00375B52"/>
    <w:rsid w:val="003761B0"/>
    <w:rsid w:val="00376915"/>
    <w:rsid w:val="003777C4"/>
    <w:rsid w:val="00380318"/>
    <w:rsid w:val="0038087D"/>
    <w:rsid w:val="00380DFB"/>
    <w:rsid w:val="00381E61"/>
    <w:rsid w:val="0038248B"/>
    <w:rsid w:val="003833F1"/>
    <w:rsid w:val="003839BE"/>
    <w:rsid w:val="00383E69"/>
    <w:rsid w:val="0038403B"/>
    <w:rsid w:val="003843DF"/>
    <w:rsid w:val="003856E5"/>
    <w:rsid w:val="00385A50"/>
    <w:rsid w:val="00385EFC"/>
    <w:rsid w:val="00387244"/>
    <w:rsid w:val="003878B9"/>
    <w:rsid w:val="003879A8"/>
    <w:rsid w:val="003900AD"/>
    <w:rsid w:val="00390151"/>
    <w:rsid w:val="00390380"/>
    <w:rsid w:val="00391A5C"/>
    <w:rsid w:val="00391CDC"/>
    <w:rsid w:val="00392632"/>
    <w:rsid w:val="0039305E"/>
    <w:rsid w:val="0039334D"/>
    <w:rsid w:val="003936C7"/>
    <w:rsid w:val="0039370C"/>
    <w:rsid w:val="00394219"/>
    <w:rsid w:val="0039478E"/>
    <w:rsid w:val="00395379"/>
    <w:rsid w:val="003962CD"/>
    <w:rsid w:val="00397575"/>
    <w:rsid w:val="00397DD5"/>
    <w:rsid w:val="00397E17"/>
    <w:rsid w:val="003A1EAB"/>
    <w:rsid w:val="003A20B7"/>
    <w:rsid w:val="003A256D"/>
    <w:rsid w:val="003A2CCC"/>
    <w:rsid w:val="003A30BD"/>
    <w:rsid w:val="003A32D7"/>
    <w:rsid w:val="003A355F"/>
    <w:rsid w:val="003A35E3"/>
    <w:rsid w:val="003A379B"/>
    <w:rsid w:val="003A4D48"/>
    <w:rsid w:val="003A588F"/>
    <w:rsid w:val="003A5EF0"/>
    <w:rsid w:val="003A5F34"/>
    <w:rsid w:val="003A68D3"/>
    <w:rsid w:val="003A6F38"/>
    <w:rsid w:val="003A7088"/>
    <w:rsid w:val="003A776B"/>
    <w:rsid w:val="003A7847"/>
    <w:rsid w:val="003B2248"/>
    <w:rsid w:val="003B2A67"/>
    <w:rsid w:val="003B2A96"/>
    <w:rsid w:val="003B2E91"/>
    <w:rsid w:val="003B346F"/>
    <w:rsid w:val="003B3647"/>
    <w:rsid w:val="003B3BAA"/>
    <w:rsid w:val="003B464B"/>
    <w:rsid w:val="003B5454"/>
    <w:rsid w:val="003B56B8"/>
    <w:rsid w:val="003B5785"/>
    <w:rsid w:val="003B57A2"/>
    <w:rsid w:val="003B59E6"/>
    <w:rsid w:val="003B5CB6"/>
    <w:rsid w:val="003B629A"/>
    <w:rsid w:val="003B66E6"/>
    <w:rsid w:val="003B70BC"/>
    <w:rsid w:val="003B7437"/>
    <w:rsid w:val="003B773D"/>
    <w:rsid w:val="003C082E"/>
    <w:rsid w:val="003C1EE4"/>
    <w:rsid w:val="003C1FE2"/>
    <w:rsid w:val="003C24EF"/>
    <w:rsid w:val="003C26DF"/>
    <w:rsid w:val="003C2BE2"/>
    <w:rsid w:val="003C381A"/>
    <w:rsid w:val="003C3D27"/>
    <w:rsid w:val="003C45C6"/>
    <w:rsid w:val="003C4952"/>
    <w:rsid w:val="003C4DD7"/>
    <w:rsid w:val="003C53F4"/>
    <w:rsid w:val="003C5E4A"/>
    <w:rsid w:val="003C5EC3"/>
    <w:rsid w:val="003C5F4E"/>
    <w:rsid w:val="003C63D2"/>
    <w:rsid w:val="003C7B91"/>
    <w:rsid w:val="003C7C18"/>
    <w:rsid w:val="003C7FC9"/>
    <w:rsid w:val="003D0359"/>
    <w:rsid w:val="003D064B"/>
    <w:rsid w:val="003D1D6E"/>
    <w:rsid w:val="003D21E1"/>
    <w:rsid w:val="003D286D"/>
    <w:rsid w:val="003D2EA4"/>
    <w:rsid w:val="003D37D7"/>
    <w:rsid w:val="003D3C85"/>
    <w:rsid w:val="003D4A1B"/>
    <w:rsid w:val="003D4A42"/>
    <w:rsid w:val="003D500B"/>
    <w:rsid w:val="003D5777"/>
    <w:rsid w:val="003D5A9F"/>
    <w:rsid w:val="003D633F"/>
    <w:rsid w:val="003D6597"/>
    <w:rsid w:val="003D69FC"/>
    <w:rsid w:val="003D7190"/>
    <w:rsid w:val="003D71DE"/>
    <w:rsid w:val="003D78AF"/>
    <w:rsid w:val="003E01CF"/>
    <w:rsid w:val="003E11EB"/>
    <w:rsid w:val="003E2C73"/>
    <w:rsid w:val="003E3393"/>
    <w:rsid w:val="003E3448"/>
    <w:rsid w:val="003E4040"/>
    <w:rsid w:val="003E477B"/>
    <w:rsid w:val="003E6A11"/>
    <w:rsid w:val="003E70FE"/>
    <w:rsid w:val="003E7923"/>
    <w:rsid w:val="003F0267"/>
    <w:rsid w:val="003F06A8"/>
    <w:rsid w:val="003F09B1"/>
    <w:rsid w:val="003F0A3B"/>
    <w:rsid w:val="003F1CA3"/>
    <w:rsid w:val="003F1D40"/>
    <w:rsid w:val="003F222E"/>
    <w:rsid w:val="003F3873"/>
    <w:rsid w:val="003F3BB2"/>
    <w:rsid w:val="003F3CF8"/>
    <w:rsid w:val="003F3D3A"/>
    <w:rsid w:val="003F4924"/>
    <w:rsid w:val="003F5393"/>
    <w:rsid w:val="003F55E2"/>
    <w:rsid w:val="003F5CCC"/>
    <w:rsid w:val="003F6095"/>
    <w:rsid w:val="003F6B19"/>
    <w:rsid w:val="003F78DF"/>
    <w:rsid w:val="00400B44"/>
    <w:rsid w:val="00400D58"/>
    <w:rsid w:val="004021BF"/>
    <w:rsid w:val="0040348A"/>
    <w:rsid w:val="00403B78"/>
    <w:rsid w:val="00404A0C"/>
    <w:rsid w:val="00405192"/>
    <w:rsid w:val="00405794"/>
    <w:rsid w:val="00405946"/>
    <w:rsid w:val="00406105"/>
    <w:rsid w:val="00406916"/>
    <w:rsid w:val="00406DA7"/>
    <w:rsid w:val="00407758"/>
    <w:rsid w:val="0040791B"/>
    <w:rsid w:val="004116EE"/>
    <w:rsid w:val="00411A26"/>
    <w:rsid w:val="00411E09"/>
    <w:rsid w:val="00412D9A"/>
    <w:rsid w:val="00413C38"/>
    <w:rsid w:val="004142B3"/>
    <w:rsid w:val="004147C4"/>
    <w:rsid w:val="00415052"/>
    <w:rsid w:val="00415249"/>
    <w:rsid w:val="00415A00"/>
    <w:rsid w:val="00415C0B"/>
    <w:rsid w:val="00416339"/>
    <w:rsid w:val="00416907"/>
    <w:rsid w:val="00416956"/>
    <w:rsid w:val="00416FEA"/>
    <w:rsid w:val="0041704C"/>
    <w:rsid w:val="004171F8"/>
    <w:rsid w:val="00417408"/>
    <w:rsid w:val="00417E74"/>
    <w:rsid w:val="00420689"/>
    <w:rsid w:val="0042079D"/>
    <w:rsid w:val="004209A2"/>
    <w:rsid w:val="00420BB7"/>
    <w:rsid w:val="00420CE4"/>
    <w:rsid w:val="0042236B"/>
    <w:rsid w:val="00422DF9"/>
    <w:rsid w:val="004234DA"/>
    <w:rsid w:val="00423871"/>
    <w:rsid w:val="004238C6"/>
    <w:rsid w:val="00423C57"/>
    <w:rsid w:val="00423E19"/>
    <w:rsid w:val="004241F9"/>
    <w:rsid w:val="004242A2"/>
    <w:rsid w:val="00426F7A"/>
    <w:rsid w:val="0043015B"/>
    <w:rsid w:val="004304C8"/>
    <w:rsid w:val="00431A6A"/>
    <w:rsid w:val="00431F66"/>
    <w:rsid w:val="00432107"/>
    <w:rsid w:val="00432329"/>
    <w:rsid w:val="004325F3"/>
    <w:rsid w:val="0043355D"/>
    <w:rsid w:val="00433777"/>
    <w:rsid w:val="00434013"/>
    <w:rsid w:val="0043563B"/>
    <w:rsid w:val="00435AE2"/>
    <w:rsid w:val="00436048"/>
    <w:rsid w:val="004365FF"/>
    <w:rsid w:val="00436870"/>
    <w:rsid w:val="0044061E"/>
    <w:rsid w:val="0044072C"/>
    <w:rsid w:val="004416D5"/>
    <w:rsid w:val="00441AE5"/>
    <w:rsid w:val="00441AE9"/>
    <w:rsid w:val="00441E05"/>
    <w:rsid w:val="0044302A"/>
    <w:rsid w:val="0044359B"/>
    <w:rsid w:val="00443AA1"/>
    <w:rsid w:val="00443D48"/>
    <w:rsid w:val="00444503"/>
    <w:rsid w:val="004446CC"/>
    <w:rsid w:val="00444929"/>
    <w:rsid w:val="004455FC"/>
    <w:rsid w:val="00445650"/>
    <w:rsid w:val="004457A4"/>
    <w:rsid w:val="004462E0"/>
    <w:rsid w:val="004515B1"/>
    <w:rsid w:val="00452100"/>
    <w:rsid w:val="0045365B"/>
    <w:rsid w:val="004538A6"/>
    <w:rsid w:val="004544BD"/>
    <w:rsid w:val="004545F7"/>
    <w:rsid w:val="00455498"/>
    <w:rsid w:val="0045583F"/>
    <w:rsid w:val="0045598A"/>
    <w:rsid w:val="00457FFC"/>
    <w:rsid w:val="0046099F"/>
    <w:rsid w:val="00460C25"/>
    <w:rsid w:val="004613B7"/>
    <w:rsid w:val="00461911"/>
    <w:rsid w:val="004624C9"/>
    <w:rsid w:val="004629D9"/>
    <w:rsid w:val="00462BB5"/>
    <w:rsid w:val="00463838"/>
    <w:rsid w:val="00463C18"/>
    <w:rsid w:val="00463E68"/>
    <w:rsid w:val="00464629"/>
    <w:rsid w:val="00465009"/>
    <w:rsid w:val="00465239"/>
    <w:rsid w:val="0046545C"/>
    <w:rsid w:val="00465528"/>
    <w:rsid w:val="00466113"/>
    <w:rsid w:val="00466B08"/>
    <w:rsid w:val="00467458"/>
    <w:rsid w:val="00467758"/>
    <w:rsid w:val="00467A41"/>
    <w:rsid w:val="00470F19"/>
    <w:rsid w:val="004745CC"/>
    <w:rsid w:val="00475430"/>
    <w:rsid w:val="00475874"/>
    <w:rsid w:val="00476DA3"/>
    <w:rsid w:val="00476E91"/>
    <w:rsid w:val="004772B3"/>
    <w:rsid w:val="004816DF"/>
    <w:rsid w:val="00481A76"/>
    <w:rsid w:val="00482568"/>
    <w:rsid w:val="00482B8A"/>
    <w:rsid w:val="00482EB4"/>
    <w:rsid w:val="0048321C"/>
    <w:rsid w:val="004835CC"/>
    <w:rsid w:val="00484636"/>
    <w:rsid w:val="00484F0B"/>
    <w:rsid w:val="0048511E"/>
    <w:rsid w:val="00485260"/>
    <w:rsid w:val="00485565"/>
    <w:rsid w:val="0048577F"/>
    <w:rsid w:val="004875FF"/>
    <w:rsid w:val="00490BEB"/>
    <w:rsid w:val="0049101B"/>
    <w:rsid w:val="00491799"/>
    <w:rsid w:val="004918FB"/>
    <w:rsid w:val="00492C24"/>
    <w:rsid w:val="004933ED"/>
    <w:rsid w:val="004934D1"/>
    <w:rsid w:val="004941F9"/>
    <w:rsid w:val="00494A9C"/>
    <w:rsid w:val="00494CBB"/>
    <w:rsid w:val="00495777"/>
    <w:rsid w:val="00495C18"/>
    <w:rsid w:val="004967BD"/>
    <w:rsid w:val="00497703"/>
    <w:rsid w:val="00497AFA"/>
    <w:rsid w:val="004A0517"/>
    <w:rsid w:val="004A120B"/>
    <w:rsid w:val="004A218A"/>
    <w:rsid w:val="004A2457"/>
    <w:rsid w:val="004A2A2E"/>
    <w:rsid w:val="004A2C08"/>
    <w:rsid w:val="004A3AE6"/>
    <w:rsid w:val="004A47E2"/>
    <w:rsid w:val="004A491C"/>
    <w:rsid w:val="004A5B72"/>
    <w:rsid w:val="004A681A"/>
    <w:rsid w:val="004A6854"/>
    <w:rsid w:val="004A6A18"/>
    <w:rsid w:val="004A6EF1"/>
    <w:rsid w:val="004A73DC"/>
    <w:rsid w:val="004A7685"/>
    <w:rsid w:val="004B0065"/>
    <w:rsid w:val="004B02D7"/>
    <w:rsid w:val="004B0544"/>
    <w:rsid w:val="004B0BDF"/>
    <w:rsid w:val="004B1899"/>
    <w:rsid w:val="004B192A"/>
    <w:rsid w:val="004B22E4"/>
    <w:rsid w:val="004B32C2"/>
    <w:rsid w:val="004B42EE"/>
    <w:rsid w:val="004B4E98"/>
    <w:rsid w:val="004B5507"/>
    <w:rsid w:val="004B6114"/>
    <w:rsid w:val="004B6174"/>
    <w:rsid w:val="004B6BE4"/>
    <w:rsid w:val="004B77B4"/>
    <w:rsid w:val="004B7FE8"/>
    <w:rsid w:val="004C04BF"/>
    <w:rsid w:val="004C12B7"/>
    <w:rsid w:val="004C1960"/>
    <w:rsid w:val="004C1F36"/>
    <w:rsid w:val="004C2959"/>
    <w:rsid w:val="004C2DA9"/>
    <w:rsid w:val="004C4350"/>
    <w:rsid w:val="004C43A0"/>
    <w:rsid w:val="004C4ABF"/>
    <w:rsid w:val="004C5504"/>
    <w:rsid w:val="004C63A9"/>
    <w:rsid w:val="004C67F7"/>
    <w:rsid w:val="004C6D80"/>
    <w:rsid w:val="004C6F0F"/>
    <w:rsid w:val="004C7061"/>
    <w:rsid w:val="004C7439"/>
    <w:rsid w:val="004D0455"/>
    <w:rsid w:val="004D0528"/>
    <w:rsid w:val="004D05E3"/>
    <w:rsid w:val="004D05F4"/>
    <w:rsid w:val="004D1562"/>
    <w:rsid w:val="004D17BC"/>
    <w:rsid w:val="004D2822"/>
    <w:rsid w:val="004D37DA"/>
    <w:rsid w:val="004D4729"/>
    <w:rsid w:val="004D4AB4"/>
    <w:rsid w:val="004D595A"/>
    <w:rsid w:val="004D5E99"/>
    <w:rsid w:val="004D6DD8"/>
    <w:rsid w:val="004D7D91"/>
    <w:rsid w:val="004E055D"/>
    <w:rsid w:val="004E124F"/>
    <w:rsid w:val="004E14A9"/>
    <w:rsid w:val="004E1D01"/>
    <w:rsid w:val="004E22D1"/>
    <w:rsid w:val="004E2A7E"/>
    <w:rsid w:val="004E36AE"/>
    <w:rsid w:val="004E3713"/>
    <w:rsid w:val="004E3804"/>
    <w:rsid w:val="004E3F2A"/>
    <w:rsid w:val="004E419A"/>
    <w:rsid w:val="004E434F"/>
    <w:rsid w:val="004E4710"/>
    <w:rsid w:val="004E50D4"/>
    <w:rsid w:val="004E53BB"/>
    <w:rsid w:val="004E674B"/>
    <w:rsid w:val="004E79ED"/>
    <w:rsid w:val="004F0EE9"/>
    <w:rsid w:val="004F1D99"/>
    <w:rsid w:val="004F2972"/>
    <w:rsid w:val="004F2CEA"/>
    <w:rsid w:val="004F3638"/>
    <w:rsid w:val="004F38DA"/>
    <w:rsid w:val="004F3B70"/>
    <w:rsid w:val="004F3CEA"/>
    <w:rsid w:val="004F3F55"/>
    <w:rsid w:val="004F450E"/>
    <w:rsid w:val="004F4AEB"/>
    <w:rsid w:val="004F5732"/>
    <w:rsid w:val="004F5C44"/>
    <w:rsid w:val="004F63E1"/>
    <w:rsid w:val="004F707A"/>
    <w:rsid w:val="004F75B9"/>
    <w:rsid w:val="004F7C00"/>
    <w:rsid w:val="005003FA"/>
    <w:rsid w:val="00500E96"/>
    <w:rsid w:val="00501B62"/>
    <w:rsid w:val="005029CE"/>
    <w:rsid w:val="00502ACE"/>
    <w:rsid w:val="00503158"/>
    <w:rsid w:val="005033A6"/>
    <w:rsid w:val="005037AD"/>
    <w:rsid w:val="00503ED4"/>
    <w:rsid w:val="0050472D"/>
    <w:rsid w:val="00505324"/>
    <w:rsid w:val="00506DF8"/>
    <w:rsid w:val="00506F19"/>
    <w:rsid w:val="00507133"/>
    <w:rsid w:val="00507487"/>
    <w:rsid w:val="00507839"/>
    <w:rsid w:val="0051096A"/>
    <w:rsid w:val="00510B1B"/>
    <w:rsid w:val="00510B9C"/>
    <w:rsid w:val="005114A8"/>
    <w:rsid w:val="00511BE3"/>
    <w:rsid w:val="00512138"/>
    <w:rsid w:val="005135C8"/>
    <w:rsid w:val="00513707"/>
    <w:rsid w:val="0051370A"/>
    <w:rsid w:val="005140D3"/>
    <w:rsid w:val="00514825"/>
    <w:rsid w:val="005148D9"/>
    <w:rsid w:val="00515B5F"/>
    <w:rsid w:val="00516174"/>
    <w:rsid w:val="00516AE4"/>
    <w:rsid w:val="00516B48"/>
    <w:rsid w:val="00516F36"/>
    <w:rsid w:val="005170A3"/>
    <w:rsid w:val="00520721"/>
    <w:rsid w:val="005208BE"/>
    <w:rsid w:val="00520996"/>
    <w:rsid w:val="00520A9C"/>
    <w:rsid w:val="00520C7A"/>
    <w:rsid w:val="005211C9"/>
    <w:rsid w:val="0052124D"/>
    <w:rsid w:val="00521342"/>
    <w:rsid w:val="0052181E"/>
    <w:rsid w:val="00522382"/>
    <w:rsid w:val="005224D2"/>
    <w:rsid w:val="00524387"/>
    <w:rsid w:val="00524919"/>
    <w:rsid w:val="00524BEF"/>
    <w:rsid w:val="00525CD0"/>
    <w:rsid w:val="00526AF6"/>
    <w:rsid w:val="00527A2F"/>
    <w:rsid w:val="00527B15"/>
    <w:rsid w:val="00531CEB"/>
    <w:rsid w:val="00531E0F"/>
    <w:rsid w:val="00531F28"/>
    <w:rsid w:val="00532890"/>
    <w:rsid w:val="00532FAE"/>
    <w:rsid w:val="005332B7"/>
    <w:rsid w:val="00533495"/>
    <w:rsid w:val="00533EEF"/>
    <w:rsid w:val="005344C7"/>
    <w:rsid w:val="00534D68"/>
    <w:rsid w:val="00534F5A"/>
    <w:rsid w:val="005350A0"/>
    <w:rsid w:val="00535B3B"/>
    <w:rsid w:val="0053627D"/>
    <w:rsid w:val="0053696F"/>
    <w:rsid w:val="00536EB5"/>
    <w:rsid w:val="005372A3"/>
    <w:rsid w:val="00537855"/>
    <w:rsid w:val="00540E14"/>
    <w:rsid w:val="00540F54"/>
    <w:rsid w:val="00540FDB"/>
    <w:rsid w:val="0054189F"/>
    <w:rsid w:val="00542009"/>
    <w:rsid w:val="005430CF"/>
    <w:rsid w:val="005430E9"/>
    <w:rsid w:val="00543EA4"/>
    <w:rsid w:val="005441E4"/>
    <w:rsid w:val="0054449C"/>
    <w:rsid w:val="00544804"/>
    <w:rsid w:val="005448CE"/>
    <w:rsid w:val="00544EA0"/>
    <w:rsid w:val="005453D9"/>
    <w:rsid w:val="00545466"/>
    <w:rsid w:val="0054608B"/>
    <w:rsid w:val="00546E77"/>
    <w:rsid w:val="005470B9"/>
    <w:rsid w:val="00547E25"/>
    <w:rsid w:val="00547F2A"/>
    <w:rsid w:val="00550A52"/>
    <w:rsid w:val="00550A75"/>
    <w:rsid w:val="00550C9C"/>
    <w:rsid w:val="0055107D"/>
    <w:rsid w:val="0055115B"/>
    <w:rsid w:val="00551176"/>
    <w:rsid w:val="00551C42"/>
    <w:rsid w:val="00551D7F"/>
    <w:rsid w:val="00552179"/>
    <w:rsid w:val="00552F32"/>
    <w:rsid w:val="005530B4"/>
    <w:rsid w:val="005531CD"/>
    <w:rsid w:val="0055371A"/>
    <w:rsid w:val="00554905"/>
    <w:rsid w:val="00554DFA"/>
    <w:rsid w:val="005554E0"/>
    <w:rsid w:val="0055568D"/>
    <w:rsid w:val="005558A4"/>
    <w:rsid w:val="005567B9"/>
    <w:rsid w:val="00560891"/>
    <w:rsid w:val="005615DD"/>
    <w:rsid w:val="00561966"/>
    <w:rsid w:val="005621F3"/>
    <w:rsid w:val="00562BF8"/>
    <w:rsid w:val="00562CF9"/>
    <w:rsid w:val="00563B47"/>
    <w:rsid w:val="00563C48"/>
    <w:rsid w:val="00564EA0"/>
    <w:rsid w:val="00565333"/>
    <w:rsid w:val="00565989"/>
    <w:rsid w:val="00565BFB"/>
    <w:rsid w:val="00565CAB"/>
    <w:rsid w:val="00566186"/>
    <w:rsid w:val="0056698B"/>
    <w:rsid w:val="00566A13"/>
    <w:rsid w:val="00566F57"/>
    <w:rsid w:val="005678F4"/>
    <w:rsid w:val="005679BC"/>
    <w:rsid w:val="00567C23"/>
    <w:rsid w:val="00571050"/>
    <w:rsid w:val="00571AE7"/>
    <w:rsid w:val="00571ED2"/>
    <w:rsid w:val="00572410"/>
    <w:rsid w:val="00573BD7"/>
    <w:rsid w:val="00573E60"/>
    <w:rsid w:val="00574515"/>
    <w:rsid w:val="00574553"/>
    <w:rsid w:val="00574606"/>
    <w:rsid w:val="0057520E"/>
    <w:rsid w:val="00575676"/>
    <w:rsid w:val="00575C65"/>
    <w:rsid w:val="005761DF"/>
    <w:rsid w:val="00576AB3"/>
    <w:rsid w:val="005776A8"/>
    <w:rsid w:val="00577E03"/>
    <w:rsid w:val="005808FC"/>
    <w:rsid w:val="00582125"/>
    <w:rsid w:val="00582D58"/>
    <w:rsid w:val="00583144"/>
    <w:rsid w:val="00583353"/>
    <w:rsid w:val="00585101"/>
    <w:rsid w:val="00585112"/>
    <w:rsid w:val="005853F9"/>
    <w:rsid w:val="00585907"/>
    <w:rsid w:val="005859F8"/>
    <w:rsid w:val="00585A3F"/>
    <w:rsid w:val="005860D4"/>
    <w:rsid w:val="0059046C"/>
    <w:rsid w:val="005905CC"/>
    <w:rsid w:val="00590B1D"/>
    <w:rsid w:val="005911EE"/>
    <w:rsid w:val="005928AE"/>
    <w:rsid w:val="0059381A"/>
    <w:rsid w:val="005940F9"/>
    <w:rsid w:val="005947DB"/>
    <w:rsid w:val="005959D3"/>
    <w:rsid w:val="00595EBC"/>
    <w:rsid w:val="00596291"/>
    <w:rsid w:val="00597667"/>
    <w:rsid w:val="00597A08"/>
    <w:rsid w:val="00597C68"/>
    <w:rsid w:val="00597C84"/>
    <w:rsid w:val="005A0C6A"/>
    <w:rsid w:val="005A1297"/>
    <w:rsid w:val="005A1562"/>
    <w:rsid w:val="005A1720"/>
    <w:rsid w:val="005A2816"/>
    <w:rsid w:val="005A2F3C"/>
    <w:rsid w:val="005A4721"/>
    <w:rsid w:val="005A478A"/>
    <w:rsid w:val="005A4974"/>
    <w:rsid w:val="005A4C8A"/>
    <w:rsid w:val="005A4DD4"/>
    <w:rsid w:val="005A5732"/>
    <w:rsid w:val="005A62B7"/>
    <w:rsid w:val="005A67CC"/>
    <w:rsid w:val="005A79C7"/>
    <w:rsid w:val="005A7DB8"/>
    <w:rsid w:val="005A7F05"/>
    <w:rsid w:val="005B0419"/>
    <w:rsid w:val="005B0B58"/>
    <w:rsid w:val="005B122B"/>
    <w:rsid w:val="005B18A5"/>
    <w:rsid w:val="005B1C13"/>
    <w:rsid w:val="005B1D5D"/>
    <w:rsid w:val="005B1FEF"/>
    <w:rsid w:val="005B23D1"/>
    <w:rsid w:val="005B2469"/>
    <w:rsid w:val="005B27CD"/>
    <w:rsid w:val="005B3770"/>
    <w:rsid w:val="005B3CAB"/>
    <w:rsid w:val="005B4EBB"/>
    <w:rsid w:val="005B52A3"/>
    <w:rsid w:val="005B5F82"/>
    <w:rsid w:val="005B613F"/>
    <w:rsid w:val="005B6222"/>
    <w:rsid w:val="005B627C"/>
    <w:rsid w:val="005B64B0"/>
    <w:rsid w:val="005B6CE8"/>
    <w:rsid w:val="005B7521"/>
    <w:rsid w:val="005C0C32"/>
    <w:rsid w:val="005C15D3"/>
    <w:rsid w:val="005C2120"/>
    <w:rsid w:val="005C23A5"/>
    <w:rsid w:val="005C277E"/>
    <w:rsid w:val="005C27BB"/>
    <w:rsid w:val="005C2993"/>
    <w:rsid w:val="005C4363"/>
    <w:rsid w:val="005C469A"/>
    <w:rsid w:val="005C4765"/>
    <w:rsid w:val="005C593B"/>
    <w:rsid w:val="005C5B29"/>
    <w:rsid w:val="005C5EEA"/>
    <w:rsid w:val="005C6DD5"/>
    <w:rsid w:val="005C7BC8"/>
    <w:rsid w:val="005C7C52"/>
    <w:rsid w:val="005D102A"/>
    <w:rsid w:val="005D1075"/>
    <w:rsid w:val="005D11AB"/>
    <w:rsid w:val="005D16EC"/>
    <w:rsid w:val="005D1AB8"/>
    <w:rsid w:val="005D1E4B"/>
    <w:rsid w:val="005D2DF2"/>
    <w:rsid w:val="005D3F0F"/>
    <w:rsid w:val="005D3FAE"/>
    <w:rsid w:val="005D4156"/>
    <w:rsid w:val="005D41A8"/>
    <w:rsid w:val="005D435B"/>
    <w:rsid w:val="005D5219"/>
    <w:rsid w:val="005D58AF"/>
    <w:rsid w:val="005D5CCF"/>
    <w:rsid w:val="005D6C3B"/>
    <w:rsid w:val="005D6CB0"/>
    <w:rsid w:val="005D71C1"/>
    <w:rsid w:val="005D79E4"/>
    <w:rsid w:val="005E0331"/>
    <w:rsid w:val="005E0D20"/>
    <w:rsid w:val="005E0DA2"/>
    <w:rsid w:val="005E11B4"/>
    <w:rsid w:val="005E1DDD"/>
    <w:rsid w:val="005E1EA1"/>
    <w:rsid w:val="005E2935"/>
    <w:rsid w:val="005E52C8"/>
    <w:rsid w:val="005E602F"/>
    <w:rsid w:val="005E66A1"/>
    <w:rsid w:val="005E746A"/>
    <w:rsid w:val="005E757B"/>
    <w:rsid w:val="005F07C9"/>
    <w:rsid w:val="005F0BFF"/>
    <w:rsid w:val="005F1F01"/>
    <w:rsid w:val="005F247E"/>
    <w:rsid w:val="005F2EEB"/>
    <w:rsid w:val="005F3364"/>
    <w:rsid w:val="005F33CA"/>
    <w:rsid w:val="005F36D3"/>
    <w:rsid w:val="005F44E2"/>
    <w:rsid w:val="005F4748"/>
    <w:rsid w:val="005F4794"/>
    <w:rsid w:val="005F48BC"/>
    <w:rsid w:val="005F5B43"/>
    <w:rsid w:val="005F6377"/>
    <w:rsid w:val="005F6D99"/>
    <w:rsid w:val="005F760B"/>
    <w:rsid w:val="005F7722"/>
    <w:rsid w:val="0060013E"/>
    <w:rsid w:val="0060051C"/>
    <w:rsid w:val="006006DB"/>
    <w:rsid w:val="00600C1E"/>
    <w:rsid w:val="00602268"/>
    <w:rsid w:val="00602535"/>
    <w:rsid w:val="0060313D"/>
    <w:rsid w:val="00605601"/>
    <w:rsid w:val="00606A54"/>
    <w:rsid w:val="00606C92"/>
    <w:rsid w:val="0060711A"/>
    <w:rsid w:val="006076FE"/>
    <w:rsid w:val="00611159"/>
    <w:rsid w:val="0061262A"/>
    <w:rsid w:val="006127D3"/>
    <w:rsid w:val="00612C82"/>
    <w:rsid w:val="0061315E"/>
    <w:rsid w:val="00613F46"/>
    <w:rsid w:val="00614715"/>
    <w:rsid w:val="00616D0D"/>
    <w:rsid w:val="00616FD7"/>
    <w:rsid w:val="006175FF"/>
    <w:rsid w:val="006202F2"/>
    <w:rsid w:val="006207D5"/>
    <w:rsid w:val="006209BB"/>
    <w:rsid w:val="00621B7D"/>
    <w:rsid w:val="00622672"/>
    <w:rsid w:val="00622A39"/>
    <w:rsid w:val="0062452A"/>
    <w:rsid w:val="00624928"/>
    <w:rsid w:val="00624AA0"/>
    <w:rsid w:val="00625914"/>
    <w:rsid w:val="00625C00"/>
    <w:rsid w:val="0062609A"/>
    <w:rsid w:val="0062621B"/>
    <w:rsid w:val="006265BA"/>
    <w:rsid w:val="00626631"/>
    <w:rsid w:val="00626F98"/>
    <w:rsid w:val="00627254"/>
    <w:rsid w:val="00627C37"/>
    <w:rsid w:val="00627E75"/>
    <w:rsid w:val="00630AB5"/>
    <w:rsid w:val="00630EF7"/>
    <w:rsid w:val="006315DF"/>
    <w:rsid w:val="0063273E"/>
    <w:rsid w:val="00633F88"/>
    <w:rsid w:val="00634CFE"/>
    <w:rsid w:val="00635D91"/>
    <w:rsid w:val="00636861"/>
    <w:rsid w:val="00636ED5"/>
    <w:rsid w:val="006376D4"/>
    <w:rsid w:val="0063798D"/>
    <w:rsid w:val="00637AAD"/>
    <w:rsid w:val="00637EFC"/>
    <w:rsid w:val="00637F40"/>
    <w:rsid w:val="00640220"/>
    <w:rsid w:val="006404B8"/>
    <w:rsid w:val="00640CCE"/>
    <w:rsid w:val="006411F8"/>
    <w:rsid w:val="006414F7"/>
    <w:rsid w:val="00641823"/>
    <w:rsid w:val="00641B60"/>
    <w:rsid w:val="006429D3"/>
    <w:rsid w:val="0064351A"/>
    <w:rsid w:val="00644483"/>
    <w:rsid w:val="0064493B"/>
    <w:rsid w:val="00644A84"/>
    <w:rsid w:val="0064600D"/>
    <w:rsid w:val="00646215"/>
    <w:rsid w:val="00646514"/>
    <w:rsid w:val="00646CD5"/>
    <w:rsid w:val="00647C66"/>
    <w:rsid w:val="00647D1E"/>
    <w:rsid w:val="00647DB8"/>
    <w:rsid w:val="00650921"/>
    <w:rsid w:val="00651629"/>
    <w:rsid w:val="00652008"/>
    <w:rsid w:val="00652375"/>
    <w:rsid w:val="006523C8"/>
    <w:rsid w:val="006530E3"/>
    <w:rsid w:val="0065329D"/>
    <w:rsid w:val="0065397A"/>
    <w:rsid w:val="00653FB1"/>
    <w:rsid w:val="006540BA"/>
    <w:rsid w:val="00654905"/>
    <w:rsid w:val="006549EC"/>
    <w:rsid w:val="006549F2"/>
    <w:rsid w:val="00655AED"/>
    <w:rsid w:val="00655FBD"/>
    <w:rsid w:val="006562DD"/>
    <w:rsid w:val="006569CC"/>
    <w:rsid w:val="00656BC3"/>
    <w:rsid w:val="00656BED"/>
    <w:rsid w:val="006573E0"/>
    <w:rsid w:val="00660020"/>
    <w:rsid w:val="0066052B"/>
    <w:rsid w:val="00660CA9"/>
    <w:rsid w:val="0066137B"/>
    <w:rsid w:val="006626BD"/>
    <w:rsid w:val="00662A95"/>
    <w:rsid w:val="006631BD"/>
    <w:rsid w:val="0066345D"/>
    <w:rsid w:val="00663DC4"/>
    <w:rsid w:val="00665201"/>
    <w:rsid w:val="00665761"/>
    <w:rsid w:val="00666187"/>
    <w:rsid w:val="00666815"/>
    <w:rsid w:val="00666B22"/>
    <w:rsid w:val="00666F51"/>
    <w:rsid w:val="00667ADA"/>
    <w:rsid w:val="006707C4"/>
    <w:rsid w:val="00670E55"/>
    <w:rsid w:val="0067114F"/>
    <w:rsid w:val="00671821"/>
    <w:rsid w:val="00671DEA"/>
    <w:rsid w:val="00672357"/>
    <w:rsid w:val="00672F45"/>
    <w:rsid w:val="00673164"/>
    <w:rsid w:val="006739F6"/>
    <w:rsid w:val="00673B90"/>
    <w:rsid w:val="00674317"/>
    <w:rsid w:val="00674B86"/>
    <w:rsid w:val="00675FFF"/>
    <w:rsid w:val="00676064"/>
    <w:rsid w:val="00676B46"/>
    <w:rsid w:val="006800BD"/>
    <w:rsid w:val="0068080D"/>
    <w:rsid w:val="00680A13"/>
    <w:rsid w:val="00681483"/>
    <w:rsid w:val="00681AD7"/>
    <w:rsid w:val="00681B7D"/>
    <w:rsid w:val="00681CD7"/>
    <w:rsid w:val="00682114"/>
    <w:rsid w:val="0068276B"/>
    <w:rsid w:val="00682E01"/>
    <w:rsid w:val="00683DD8"/>
    <w:rsid w:val="00684553"/>
    <w:rsid w:val="00684DF4"/>
    <w:rsid w:val="0068516F"/>
    <w:rsid w:val="0068569C"/>
    <w:rsid w:val="00685D1C"/>
    <w:rsid w:val="00686361"/>
    <w:rsid w:val="00686A82"/>
    <w:rsid w:val="00687D79"/>
    <w:rsid w:val="00687DA1"/>
    <w:rsid w:val="00687EE8"/>
    <w:rsid w:val="00691228"/>
    <w:rsid w:val="006924C8"/>
    <w:rsid w:val="00692CAD"/>
    <w:rsid w:val="00693DF0"/>
    <w:rsid w:val="00695790"/>
    <w:rsid w:val="00695DF8"/>
    <w:rsid w:val="00696C6D"/>
    <w:rsid w:val="00697050"/>
    <w:rsid w:val="0069729C"/>
    <w:rsid w:val="00697C1E"/>
    <w:rsid w:val="006A0938"/>
    <w:rsid w:val="006A110B"/>
    <w:rsid w:val="006A125D"/>
    <w:rsid w:val="006A1811"/>
    <w:rsid w:val="006A1FC9"/>
    <w:rsid w:val="006A21B6"/>
    <w:rsid w:val="006A3179"/>
    <w:rsid w:val="006A3625"/>
    <w:rsid w:val="006A41D3"/>
    <w:rsid w:val="006A4AC7"/>
    <w:rsid w:val="006A4BC2"/>
    <w:rsid w:val="006A50EC"/>
    <w:rsid w:val="006A64FC"/>
    <w:rsid w:val="006A7929"/>
    <w:rsid w:val="006A79DE"/>
    <w:rsid w:val="006B092F"/>
    <w:rsid w:val="006B0998"/>
    <w:rsid w:val="006B09B0"/>
    <w:rsid w:val="006B0FAD"/>
    <w:rsid w:val="006B12E0"/>
    <w:rsid w:val="006B1C88"/>
    <w:rsid w:val="006B2625"/>
    <w:rsid w:val="006B28AE"/>
    <w:rsid w:val="006B2B0D"/>
    <w:rsid w:val="006B3914"/>
    <w:rsid w:val="006B39A2"/>
    <w:rsid w:val="006B3CCB"/>
    <w:rsid w:val="006B4667"/>
    <w:rsid w:val="006B49B9"/>
    <w:rsid w:val="006B4A85"/>
    <w:rsid w:val="006B4C21"/>
    <w:rsid w:val="006B7CA3"/>
    <w:rsid w:val="006C0ACF"/>
    <w:rsid w:val="006C1E47"/>
    <w:rsid w:val="006C1E82"/>
    <w:rsid w:val="006C21ED"/>
    <w:rsid w:val="006C222B"/>
    <w:rsid w:val="006C28EA"/>
    <w:rsid w:val="006C3967"/>
    <w:rsid w:val="006C42F8"/>
    <w:rsid w:val="006C4A2F"/>
    <w:rsid w:val="006C5722"/>
    <w:rsid w:val="006C5E62"/>
    <w:rsid w:val="006C65D5"/>
    <w:rsid w:val="006C731C"/>
    <w:rsid w:val="006C74C2"/>
    <w:rsid w:val="006C78CD"/>
    <w:rsid w:val="006D0067"/>
    <w:rsid w:val="006D1F98"/>
    <w:rsid w:val="006D22E9"/>
    <w:rsid w:val="006D24B6"/>
    <w:rsid w:val="006D369B"/>
    <w:rsid w:val="006D39CE"/>
    <w:rsid w:val="006D41F6"/>
    <w:rsid w:val="006D4449"/>
    <w:rsid w:val="006D4CAE"/>
    <w:rsid w:val="006D4F0A"/>
    <w:rsid w:val="006D62CE"/>
    <w:rsid w:val="006D65D9"/>
    <w:rsid w:val="006D6754"/>
    <w:rsid w:val="006D71A6"/>
    <w:rsid w:val="006D7FD4"/>
    <w:rsid w:val="006E0976"/>
    <w:rsid w:val="006E2185"/>
    <w:rsid w:val="006E243B"/>
    <w:rsid w:val="006E2E29"/>
    <w:rsid w:val="006E2F31"/>
    <w:rsid w:val="006E37FF"/>
    <w:rsid w:val="006E5F9B"/>
    <w:rsid w:val="006E63FC"/>
    <w:rsid w:val="006E6454"/>
    <w:rsid w:val="006E6842"/>
    <w:rsid w:val="006E68DB"/>
    <w:rsid w:val="006E7845"/>
    <w:rsid w:val="006F10BF"/>
    <w:rsid w:val="006F10EC"/>
    <w:rsid w:val="006F2762"/>
    <w:rsid w:val="006F40AC"/>
    <w:rsid w:val="006F4DE5"/>
    <w:rsid w:val="006F5073"/>
    <w:rsid w:val="006F548F"/>
    <w:rsid w:val="006F7676"/>
    <w:rsid w:val="00700308"/>
    <w:rsid w:val="00700712"/>
    <w:rsid w:val="0070100D"/>
    <w:rsid w:val="00701729"/>
    <w:rsid w:val="00702084"/>
    <w:rsid w:val="00702644"/>
    <w:rsid w:val="00703374"/>
    <w:rsid w:val="00704865"/>
    <w:rsid w:val="00705DBD"/>
    <w:rsid w:val="00706B97"/>
    <w:rsid w:val="00706E1B"/>
    <w:rsid w:val="0070749B"/>
    <w:rsid w:val="00707EAD"/>
    <w:rsid w:val="00710107"/>
    <w:rsid w:val="007104BD"/>
    <w:rsid w:val="00710696"/>
    <w:rsid w:val="0071147D"/>
    <w:rsid w:val="00711B1E"/>
    <w:rsid w:val="00711E3F"/>
    <w:rsid w:val="00712439"/>
    <w:rsid w:val="00712972"/>
    <w:rsid w:val="00712F0B"/>
    <w:rsid w:val="0071357E"/>
    <w:rsid w:val="00713E0D"/>
    <w:rsid w:val="00713F16"/>
    <w:rsid w:val="00713FCC"/>
    <w:rsid w:val="00714B55"/>
    <w:rsid w:val="00715699"/>
    <w:rsid w:val="007156C7"/>
    <w:rsid w:val="00715825"/>
    <w:rsid w:val="00715E15"/>
    <w:rsid w:val="00717A92"/>
    <w:rsid w:val="0072181B"/>
    <w:rsid w:val="00722675"/>
    <w:rsid w:val="0072376D"/>
    <w:rsid w:val="00723B24"/>
    <w:rsid w:val="00723C53"/>
    <w:rsid w:val="00724536"/>
    <w:rsid w:val="007248BC"/>
    <w:rsid w:val="00724EB6"/>
    <w:rsid w:val="00725944"/>
    <w:rsid w:val="00726309"/>
    <w:rsid w:val="00727927"/>
    <w:rsid w:val="00727D02"/>
    <w:rsid w:val="00727E1E"/>
    <w:rsid w:val="007300A5"/>
    <w:rsid w:val="007301F0"/>
    <w:rsid w:val="007306B8"/>
    <w:rsid w:val="0073103A"/>
    <w:rsid w:val="007320C6"/>
    <w:rsid w:val="00732973"/>
    <w:rsid w:val="007337DE"/>
    <w:rsid w:val="00734482"/>
    <w:rsid w:val="00735BE3"/>
    <w:rsid w:val="00735E55"/>
    <w:rsid w:val="0073638C"/>
    <w:rsid w:val="00736708"/>
    <w:rsid w:val="0073779C"/>
    <w:rsid w:val="00740734"/>
    <w:rsid w:val="00740D80"/>
    <w:rsid w:val="00741573"/>
    <w:rsid w:val="0074196A"/>
    <w:rsid w:val="00741E23"/>
    <w:rsid w:val="00741F46"/>
    <w:rsid w:val="00742211"/>
    <w:rsid w:val="00742A71"/>
    <w:rsid w:val="00743DA7"/>
    <w:rsid w:val="00743F2C"/>
    <w:rsid w:val="00745A27"/>
    <w:rsid w:val="00745AF5"/>
    <w:rsid w:val="00745C00"/>
    <w:rsid w:val="007473AA"/>
    <w:rsid w:val="0074762D"/>
    <w:rsid w:val="00750F38"/>
    <w:rsid w:val="00751091"/>
    <w:rsid w:val="00751475"/>
    <w:rsid w:val="00751C02"/>
    <w:rsid w:val="00752E4C"/>
    <w:rsid w:val="00753408"/>
    <w:rsid w:val="00753DB7"/>
    <w:rsid w:val="0075409F"/>
    <w:rsid w:val="00754D52"/>
    <w:rsid w:val="00754D68"/>
    <w:rsid w:val="007558A9"/>
    <w:rsid w:val="00755ABF"/>
    <w:rsid w:val="00755B58"/>
    <w:rsid w:val="00756096"/>
    <w:rsid w:val="00756A4D"/>
    <w:rsid w:val="00756DDC"/>
    <w:rsid w:val="007573A6"/>
    <w:rsid w:val="00757C03"/>
    <w:rsid w:val="00757C43"/>
    <w:rsid w:val="00760CDF"/>
    <w:rsid w:val="007612AA"/>
    <w:rsid w:val="00761BB3"/>
    <w:rsid w:val="00762060"/>
    <w:rsid w:val="007629E8"/>
    <w:rsid w:val="00762B7F"/>
    <w:rsid w:val="00762C3A"/>
    <w:rsid w:val="00763058"/>
    <w:rsid w:val="00763317"/>
    <w:rsid w:val="0076331B"/>
    <w:rsid w:val="0076338E"/>
    <w:rsid w:val="00763589"/>
    <w:rsid w:val="00763E3F"/>
    <w:rsid w:val="0076595A"/>
    <w:rsid w:val="007668F0"/>
    <w:rsid w:val="007670B2"/>
    <w:rsid w:val="00767116"/>
    <w:rsid w:val="00770234"/>
    <w:rsid w:val="00770313"/>
    <w:rsid w:val="00770894"/>
    <w:rsid w:val="00770D28"/>
    <w:rsid w:val="007721BF"/>
    <w:rsid w:val="00772420"/>
    <w:rsid w:val="00772421"/>
    <w:rsid w:val="00772A78"/>
    <w:rsid w:val="00772B59"/>
    <w:rsid w:val="00772F49"/>
    <w:rsid w:val="00773175"/>
    <w:rsid w:val="007735A2"/>
    <w:rsid w:val="007740E3"/>
    <w:rsid w:val="00775258"/>
    <w:rsid w:val="00775931"/>
    <w:rsid w:val="00776802"/>
    <w:rsid w:val="00777231"/>
    <w:rsid w:val="007775A1"/>
    <w:rsid w:val="007804D4"/>
    <w:rsid w:val="00780AC2"/>
    <w:rsid w:val="00780EB3"/>
    <w:rsid w:val="0078194C"/>
    <w:rsid w:val="00782463"/>
    <w:rsid w:val="0078347C"/>
    <w:rsid w:val="00783E2E"/>
    <w:rsid w:val="00784D1B"/>
    <w:rsid w:val="00785AB3"/>
    <w:rsid w:val="00785CEA"/>
    <w:rsid w:val="007860E3"/>
    <w:rsid w:val="007866ED"/>
    <w:rsid w:val="007877C7"/>
    <w:rsid w:val="00787C9E"/>
    <w:rsid w:val="00790175"/>
    <w:rsid w:val="0079065A"/>
    <w:rsid w:val="0079068C"/>
    <w:rsid w:val="00790E5F"/>
    <w:rsid w:val="007910AF"/>
    <w:rsid w:val="00791898"/>
    <w:rsid w:val="0079196F"/>
    <w:rsid w:val="00792C6A"/>
    <w:rsid w:val="007948F7"/>
    <w:rsid w:val="0079579C"/>
    <w:rsid w:val="00795A4B"/>
    <w:rsid w:val="00795F3F"/>
    <w:rsid w:val="007966C0"/>
    <w:rsid w:val="007967C6"/>
    <w:rsid w:val="00796AD8"/>
    <w:rsid w:val="0079717C"/>
    <w:rsid w:val="007A211D"/>
    <w:rsid w:val="007A2BF7"/>
    <w:rsid w:val="007A3818"/>
    <w:rsid w:val="007A3C7B"/>
    <w:rsid w:val="007A4630"/>
    <w:rsid w:val="007A53B3"/>
    <w:rsid w:val="007A60EA"/>
    <w:rsid w:val="007A66B2"/>
    <w:rsid w:val="007A68D2"/>
    <w:rsid w:val="007A7041"/>
    <w:rsid w:val="007A7B23"/>
    <w:rsid w:val="007A7D78"/>
    <w:rsid w:val="007B042D"/>
    <w:rsid w:val="007B0C50"/>
    <w:rsid w:val="007B0D01"/>
    <w:rsid w:val="007B0FAE"/>
    <w:rsid w:val="007B1BE6"/>
    <w:rsid w:val="007B1D9B"/>
    <w:rsid w:val="007B1EF8"/>
    <w:rsid w:val="007B4B8E"/>
    <w:rsid w:val="007B5AFE"/>
    <w:rsid w:val="007B694F"/>
    <w:rsid w:val="007B7AA6"/>
    <w:rsid w:val="007C0861"/>
    <w:rsid w:val="007C0B2A"/>
    <w:rsid w:val="007C0E28"/>
    <w:rsid w:val="007C0ED2"/>
    <w:rsid w:val="007C102F"/>
    <w:rsid w:val="007C1143"/>
    <w:rsid w:val="007C1648"/>
    <w:rsid w:val="007C1AAB"/>
    <w:rsid w:val="007C21E3"/>
    <w:rsid w:val="007C2382"/>
    <w:rsid w:val="007C27BF"/>
    <w:rsid w:val="007C36F6"/>
    <w:rsid w:val="007C483C"/>
    <w:rsid w:val="007C5980"/>
    <w:rsid w:val="007C78BB"/>
    <w:rsid w:val="007D064A"/>
    <w:rsid w:val="007D11ED"/>
    <w:rsid w:val="007D2DC4"/>
    <w:rsid w:val="007D3189"/>
    <w:rsid w:val="007D339C"/>
    <w:rsid w:val="007D4F07"/>
    <w:rsid w:val="007D5AF4"/>
    <w:rsid w:val="007D6A23"/>
    <w:rsid w:val="007D7A76"/>
    <w:rsid w:val="007E168E"/>
    <w:rsid w:val="007E1F1F"/>
    <w:rsid w:val="007E22D5"/>
    <w:rsid w:val="007E2B47"/>
    <w:rsid w:val="007E361D"/>
    <w:rsid w:val="007E4D95"/>
    <w:rsid w:val="007E60ED"/>
    <w:rsid w:val="007E68CC"/>
    <w:rsid w:val="007E7319"/>
    <w:rsid w:val="007E7BD2"/>
    <w:rsid w:val="007E7FEA"/>
    <w:rsid w:val="007F0496"/>
    <w:rsid w:val="007F0D08"/>
    <w:rsid w:val="007F0DA2"/>
    <w:rsid w:val="007F0DD6"/>
    <w:rsid w:val="007F1A07"/>
    <w:rsid w:val="007F27A0"/>
    <w:rsid w:val="007F2A25"/>
    <w:rsid w:val="007F3210"/>
    <w:rsid w:val="007F36F2"/>
    <w:rsid w:val="007F5397"/>
    <w:rsid w:val="007F55E5"/>
    <w:rsid w:val="007F599B"/>
    <w:rsid w:val="007F6357"/>
    <w:rsid w:val="007F6B10"/>
    <w:rsid w:val="007F6C8A"/>
    <w:rsid w:val="007F795E"/>
    <w:rsid w:val="007F7D5A"/>
    <w:rsid w:val="007F7DBE"/>
    <w:rsid w:val="008001A0"/>
    <w:rsid w:val="0080065A"/>
    <w:rsid w:val="008009C0"/>
    <w:rsid w:val="00800E89"/>
    <w:rsid w:val="00800F89"/>
    <w:rsid w:val="00801991"/>
    <w:rsid w:val="00801F29"/>
    <w:rsid w:val="00802B17"/>
    <w:rsid w:val="0080397F"/>
    <w:rsid w:val="00803EE5"/>
    <w:rsid w:val="00804FA7"/>
    <w:rsid w:val="0080518B"/>
    <w:rsid w:val="008059F5"/>
    <w:rsid w:val="008061CC"/>
    <w:rsid w:val="00806A4D"/>
    <w:rsid w:val="00807783"/>
    <w:rsid w:val="008077C5"/>
    <w:rsid w:val="00807BD6"/>
    <w:rsid w:val="0081018E"/>
    <w:rsid w:val="00812A48"/>
    <w:rsid w:val="00812E10"/>
    <w:rsid w:val="0081398B"/>
    <w:rsid w:val="00813E13"/>
    <w:rsid w:val="008142D9"/>
    <w:rsid w:val="008143D2"/>
    <w:rsid w:val="008145F6"/>
    <w:rsid w:val="00815516"/>
    <w:rsid w:val="00815604"/>
    <w:rsid w:val="00815FB0"/>
    <w:rsid w:val="0081639F"/>
    <w:rsid w:val="00817ABB"/>
    <w:rsid w:val="00817AEA"/>
    <w:rsid w:val="00817B28"/>
    <w:rsid w:val="00820A35"/>
    <w:rsid w:val="00820A4D"/>
    <w:rsid w:val="00821983"/>
    <w:rsid w:val="00821B36"/>
    <w:rsid w:val="008222DE"/>
    <w:rsid w:val="008227CE"/>
    <w:rsid w:val="00822FC9"/>
    <w:rsid w:val="0082303D"/>
    <w:rsid w:val="008231E3"/>
    <w:rsid w:val="00823311"/>
    <w:rsid w:val="0082341C"/>
    <w:rsid w:val="00823A4E"/>
    <w:rsid w:val="0082402C"/>
    <w:rsid w:val="008241DD"/>
    <w:rsid w:val="00824CA0"/>
    <w:rsid w:val="0082518F"/>
    <w:rsid w:val="0082525B"/>
    <w:rsid w:val="008304EC"/>
    <w:rsid w:val="00830C1C"/>
    <w:rsid w:val="00831409"/>
    <w:rsid w:val="008315F2"/>
    <w:rsid w:val="0083184A"/>
    <w:rsid w:val="00831F8B"/>
    <w:rsid w:val="00832A95"/>
    <w:rsid w:val="008331EC"/>
    <w:rsid w:val="00833E1B"/>
    <w:rsid w:val="00834053"/>
    <w:rsid w:val="00835018"/>
    <w:rsid w:val="008351E5"/>
    <w:rsid w:val="00835698"/>
    <w:rsid w:val="008364C2"/>
    <w:rsid w:val="008370E2"/>
    <w:rsid w:val="008375E7"/>
    <w:rsid w:val="00837807"/>
    <w:rsid w:val="008379AE"/>
    <w:rsid w:val="0084121F"/>
    <w:rsid w:val="00841DC0"/>
    <w:rsid w:val="008432BD"/>
    <w:rsid w:val="008432E2"/>
    <w:rsid w:val="00843534"/>
    <w:rsid w:val="0084410A"/>
    <w:rsid w:val="00844520"/>
    <w:rsid w:val="008446F8"/>
    <w:rsid w:val="0084474D"/>
    <w:rsid w:val="00845259"/>
    <w:rsid w:val="008461EC"/>
    <w:rsid w:val="00846675"/>
    <w:rsid w:val="00847566"/>
    <w:rsid w:val="00847E8D"/>
    <w:rsid w:val="0085042D"/>
    <w:rsid w:val="00850E49"/>
    <w:rsid w:val="00851EBD"/>
    <w:rsid w:val="0085219D"/>
    <w:rsid w:val="00852490"/>
    <w:rsid w:val="008528C8"/>
    <w:rsid w:val="00852C54"/>
    <w:rsid w:val="008538DD"/>
    <w:rsid w:val="00853E9A"/>
    <w:rsid w:val="008541E2"/>
    <w:rsid w:val="008548BF"/>
    <w:rsid w:val="0085523E"/>
    <w:rsid w:val="00855633"/>
    <w:rsid w:val="008568CD"/>
    <w:rsid w:val="0085717E"/>
    <w:rsid w:val="008574DD"/>
    <w:rsid w:val="00857B0A"/>
    <w:rsid w:val="00857DD1"/>
    <w:rsid w:val="00857E60"/>
    <w:rsid w:val="00857EF3"/>
    <w:rsid w:val="00860141"/>
    <w:rsid w:val="00860F6C"/>
    <w:rsid w:val="00861014"/>
    <w:rsid w:val="008615BD"/>
    <w:rsid w:val="00862DF6"/>
    <w:rsid w:val="008639E2"/>
    <w:rsid w:val="00864935"/>
    <w:rsid w:val="008657E4"/>
    <w:rsid w:val="008658A4"/>
    <w:rsid w:val="008659CF"/>
    <w:rsid w:val="00865F5F"/>
    <w:rsid w:val="00866F28"/>
    <w:rsid w:val="00867FE1"/>
    <w:rsid w:val="008708FA"/>
    <w:rsid w:val="00871522"/>
    <w:rsid w:val="0087234C"/>
    <w:rsid w:val="0087285E"/>
    <w:rsid w:val="0087306A"/>
    <w:rsid w:val="008743F0"/>
    <w:rsid w:val="00874B8F"/>
    <w:rsid w:val="00874D97"/>
    <w:rsid w:val="00875A65"/>
    <w:rsid w:val="00876D3D"/>
    <w:rsid w:val="00877DE1"/>
    <w:rsid w:val="008810ED"/>
    <w:rsid w:val="008811CA"/>
    <w:rsid w:val="008821F8"/>
    <w:rsid w:val="00882B9F"/>
    <w:rsid w:val="0088309F"/>
    <w:rsid w:val="008833BB"/>
    <w:rsid w:val="00884632"/>
    <w:rsid w:val="00885935"/>
    <w:rsid w:val="00885CD5"/>
    <w:rsid w:val="00885D10"/>
    <w:rsid w:val="008868B8"/>
    <w:rsid w:val="008871A0"/>
    <w:rsid w:val="008873D3"/>
    <w:rsid w:val="00887BF0"/>
    <w:rsid w:val="00890932"/>
    <w:rsid w:val="00891ACF"/>
    <w:rsid w:val="00892339"/>
    <w:rsid w:val="00892504"/>
    <w:rsid w:val="00892D09"/>
    <w:rsid w:val="00892ED9"/>
    <w:rsid w:val="00893398"/>
    <w:rsid w:val="0089395F"/>
    <w:rsid w:val="00893AB1"/>
    <w:rsid w:val="0089636C"/>
    <w:rsid w:val="00896637"/>
    <w:rsid w:val="00896717"/>
    <w:rsid w:val="00896CAC"/>
    <w:rsid w:val="00896F07"/>
    <w:rsid w:val="0089725B"/>
    <w:rsid w:val="008A01F2"/>
    <w:rsid w:val="008A03AB"/>
    <w:rsid w:val="008A070E"/>
    <w:rsid w:val="008A1217"/>
    <w:rsid w:val="008A286F"/>
    <w:rsid w:val="008A2B75"/>
    <w:rsid w:val="008A34CE"/>
    <w:rsid w:val="008A42E8"/>
    <w:rsid w:val="008A4655"/>
    <w:rsid w:val="008A46E4"/>
    <w:rsid w:val="008A4AA8"/>
    <w:rsid w:val="008A4D44"/>
    <w:rsid w:val="008A56AE"/>
    <w:rsid w:val="008A5C79"/>
    <w:rsid w:val="008A645C"/>
    <w:rsid w:val="008A66C0"/>
    <w:rsid w:val="008A6B7A"/>
    <w:rsid w:val="008A7662"/>
    <w:rsid w:val="008A7A1E"/>
    <w:rsid w:val="008A7CFB"/>
    <w:rsid w:val="008B0209"/>
    <w:rsid w:val="008B1164"/>
    <w:rsid w:val="008B179F"/>
    <w:rsid w:val="008B18C2"/>
    <w:rsid w:val="008B24CA"/>
    <w:rsid w:val="008B27E1"/>
    <w:rsid w:val="008B2864"/>
    <w:rsid w:val="008B2AC6"/>
    <w:rsid w:val="008B4C53"/>
    <w:rsid w:val="008B4DC0"/>
    <w:rsid w:val="008B5C8A"/>
    <w:rsid w:val="008B6D62"/>
    <w:rsid w:val="008B7DC3"/>
    <w:rsid w:val="008C0AC4"/>
    <w:rsid w:val="008C0C8B"/>
    <w:rsid w:val="008C228D"/>
    <w:rsid w:val="008C2616"/>
    <w:rsid w:val="008C36F2"/>
    <w:rsid w:val="008C3991"/>
    <w:rsid w:val="008C441B"/>
    <w:rsid w:val="008C48A3"/>
    <w:rsid w:val="008C4A6B"/>
    <w:rsid w:val="008C4BD6"/>
    <w:rsid w:val="008C53A1"/>
    <w:rsid w:val="008C5EB1"/>
    <w:rsid w:val="008C6699"/>
    <w:rsid w:val="008C6771"/>
    <w:rsid w:val="008C694A"/>
    <w:rsid w:val="008C6990"/>
    <w:rsid w:val="008C6CE6"/>
    <w:rsid w:val="008C6F47"/>
    <w:rsid w:val="008C7242"/>
    <w:rsid w:val="008C7A40"/>
    <w:rsid w:val="008C7A5E"/>
    <w:rsid w:val="008C7A78"/>
    <w:rsid w:val="008D03B7"/>
    <w:rsid w:val="008D0547"/>
    <w:rsid w:val="008D0589"/>
    <w:rsid w:val="008D0D1F"/>
    <w:rsid w:val="008D13CB"/>
    <w:rsid w:val="008D192E"/>
    <w:rsid w:val="008D1A67"/>
    <w:rsid w:val="008D2228"/>
    <w:rsid w:val="008D25B1"/>
    <w:rsid w:val="008D29B0"/>
    <w:rsid w:val="008D2D8E"/>
    <w:rsid w:val="008D2D97"/>
    <w:rsid w:val="008D3A5C"/>
    <w:rsid w:val="008D3A80"/>
    <w:rsid w:val="008D3CA1"/>
    <w:rsid w:val="008D423A"/>
    <w:rsid w:val="008D50DF"/>
    <w:rsid w:val="008D5CC0"/>
    <w:rsid w:val="008D65A3"/>
    <w:rsid w:val="008D7FE9"/>
    <w:rsid w:val="008E089A"/>
    <w:rsid w:val="008E0BAB"/>
    <w:rsid w:val="008E145D"/>
    <w:rsid w:val="008E28F8"/>
    <w:rsid w:val="008E2944"/>
    <w:rsid w:val="008E46A8"/>
    <w:rsid w:val="008E4D5F"/>
    <w:rsid w:val="008E5408"/>
    <w:rsid w:val="008E5C6F"/>
    <w:rsid w:val="008E6149"/>
    <w:rsid w:val="008E666F"/>
    <w:rsid w:val="008E71B8"/>
    <w:rsid w:val="008E77B6"/>
    <w:rsid w:val="008E7E0C"/>
    <w:rsid w:val="008F003A"/>
    <w:rsid w:val="008F0C00"/>
    <w:rsid w:val="008F11E7"/>
    <w:rsid w:val="008F1207"/>
    <w:rsid w:val="008F2A4B"/>
    <w:rsid w:val="008F2ED2"/>
    <w:rsid w:val="008F2F6A"/>
    <w:rsid w:val="008F332A"/>
    <w:rsid w:val="008F3446"/>
    <w:rsid w:val="008F44E7"/>
    <w:rsid w:val="008F48AB"/>
    <w:rsid w:val="008F4987"/>
    <w:rsid w:val="008F51CC"/>
    <w:rsid w:val="008F5766"/>
    <w:rsid w:val="008F5DD7"/>
    <w:rsid w:val="008F5F34"/>
    <w:rsid w:val="008F7164"/>
    <w:rsid w:val="008F7695"/>
    <w:rsid w:val="009009EC"/>
    <w:rsid w:val="00900C1E"/>
    <w:rsid w:val="00901867"/>
    <w:rsid w:val="009018A0"/>
    <w:rsid w:val="00901A5B"/>
    <w:rsid w:val="00901AEA"/>
    <w:rsid w:val="00901D6E"/>
    <w:rsid w:val="0090258D"/>
    <w:rsid w:val="00902CB2"/>
    <w:rsid w:val="009038D6"/>
    <w:rsid w:val="00905D24"/>
    <w:rsid w:val="009064BF"/>
    <w:rsid w:val="00906DC6"/>
    <w:rsid w:val="00907D1A"/>
    <w:rsid w:val="009111DD"/>
    <w:rsid w:val="00911498"/>
    <w:rsid w:val="00911592"/>
    <w:rsid w:val="009121C8"/>
    <w:rsid w:val="009122B2"/>
    <w:rsid w:val="00912A5E"/>
    <w:rsid w:val="009131D1"/>
    <w:rsid w:val="009134DF"/>
    <w:rsid w:val="009152B5"/>
    <w:rsid w:val="009157E4"/>
    <w:rsid w:val="00915C1A"/>
    <w:rsid w:val="0091631C"/>
    <w:rsid w:val="009166F4"/>
    <w:rsid w:val="0091690F"/>
    <w:rsid w:val="009170D8"/>
    <w:rsid w:val="00917C52"/>
    <w:rsid w:val="00917EC8"/>
    <w:rsid w:val="009202D3"/>
    <w:rsid w:val="00921269"/>
    <w:rsid w:val="0092197E"/>
    <w:rsid w:val="00921EE0"/>
    <w:rsid w:val="00922229"/>
    <w:rsid w:val="00923C91"/>
    <w:rsid w:val="00923FDA"/>
    <w:rsid w:val="00925B80"/>
    <w:rsid w:val="009260B2"/>
    <w:rsid w:val="009265F6"/>
    <w:rsid w:val="00926722"/>
    <w:rsid w:val="009268C1"/>
    <w:rsid w:val="009271E4"/>
    <w:rsid w:val="0093001A"/>
    <w:rsid w:val="009303FC"/>
    <w:rsid w:val="009306F3"/>
    <w:rsid w:val="00930B43"/>
    <w:rsid w:val="009325C2"/>
    <w:rsid w:val="0093298C"/>
    <w:rsid w:val="009345EA"/>
    <w:rsid w:val="00935988"/>
    <w:rsid w:val="00935E35"/>
    <w:rsid w:val="00936F8A"/>
    <w:rsid w:val="00937350"/>
    <w:rsid w:val="00937650"/>
    <w:rsid w:val="009379DC"/>
    <w:rsid w:val="0094249A"/>
    <w:rsid w:val="00942A33"/>
    <w:rsid w:val="00942FC2"/>
    <w:rsid w:val="00944137"/>
    <w:rsid w:val="009441E1"/>
    <w:rsid w:val="00944249"/>
    <w:rsid w:val="009446CF"/>
    <w:rsid w:val="009457E1"/>
    <w:rsid w:val="00945EBE"/>
    <w:rsid w:val="00946012"/>
    <w:rsid w:val="0094638F"/>
    <w:rsid w:val="00947383"/>
    <w:rsid w:val="00950E7B"/>
    <w:rsid w:val="00950F10"/>
    <w:rsid w:val="00951B9C"/>
    <w:rsid w:val="00951C91"/>
    <w:rsid w:val="00951CFF"/>
    <w:rsid w:val="009528BF"/>
    <w:rsid w:val="00952B48"/>
    <w:rsid w:val="00952C44"/>
    <w:rsid w:val="0095357E"/>
    <w:rsid w:val="009542A8"/>
    <w:rsid w:val="009543CE"/>
    <w:rsid w:val="009549B8"/>
    <w:rsid w:val="009560A4"/>
    <w:rsid w:val="0095676D"/>
    <w:rsid w:val="009568E7"/>
    <w:rsid w:val="00956977"/>
    <w:rsid w:val="00960C6C"/>
    <w:rsid w:val="00960CE7"/>
    <w:rsid w:val="00960EBD"/>
    <w:rsid w:val="00961092"/>
    <w:rsid w:val="00961593"/>
    <w:rsid w:val="009615B8"/>
    <w:rsid w:val="009620D5"/>
    <w:rsid w:val="0096285D"/>
    <w:rsid w:val="00962A6C"/>
    <w:rsid w:val="009632E1"/>
    <w:rsid w:val="00963442"/>
    <w:rsid w:val="00963648"/>
    <w:rsid w:val="00963D06"/>
    <w:rsid w:val="00964919"/>
    <w:rsid w:val="00964C1F"/>
    <w:rsid w:val="0096688B"/>
    <w:rsid w:val="00966C21"/>
    <w:rsid w:val="00967C4A"/>
    <w:rsid w:val="00970FCF"/>
    <w:rsid w:val="009713BC"/>
    <w:rsid w:val="00971978"/>
    <w:rsid w:val="00971A1D"/>
    <w:rsid w:val="00971B1F"/>
    <w:rsid w:val="00971BCD"/>
    <w:rsid w:val="0097268B"/>
    <w:rsid w:val="009726F4"/>
    <w:rsid w:val="00973480"/>
    <w:rsid w:val="009744AD"/>
    <w:rsid w:val="0097457E"/>
    <w:rsid w:val="0097486D"/>
    <w:rsid w:val="00974EE8"/>
    <w:rsid w:val="00975039"/>
    <w:rsid w:val="00977532"/>
    <w:rsid w:val="00977762"/>
    <w:rsid w:val="009777EC"/>
    <w:rsid w:val="00977826"/>
    <w:rsid w:val="00977C7F"/>
    <w:rsid w:val="00977EB1"/>
    <w:rsid w:val="0098020B"/>
    <w:rsid w:val="00980333"/>
    <w:rsid w:val="00980736"/>
    <w:rsid w:val="00980B4B"/>
    <w:rsid w:val="00980BFC"/>
    <w:rsid w:val="00980C75"/>
    <w:rsid w:val="0098140D"/>
    <w:rsid w:val="00981494"/>
    <w:rsid w:val="00981FF2"/>
    <w:rsid w:val="00982BD0"/>
    <w:rsid w:val="00983E9B"/>
    <w:rsid w:val="00983F71"/>
    <w:rsid w:val="00985E86"/>
    <w:rsid w:val="00986511"/>
    <w:rsid w:val="00986DFE"/>
    <w:rsid w:val="0098712B"/>
    <w:rsid w:val="0098790B"/>
    <w:rsid w:val="00987E1C"/>
    <w:rsid w:val="009901F5"/>
    <w:rsid w:val="0099112A"/>
    <w:rsid w:val="00991950"/>
    <w:rsid w:val="00992252"/>
    <w:rsid w:val="009923D8"/>
    <w:rsid w:val="00992E7D"/>
    <w:rsid w:val="009937B4"/>
    <w:rsid w:val="009939D7"/>
    <w:rsid w:val="00993E0B"/>
    <w:rsid w:val="009948E6"/>
    <w:rsid w:val="00994C2F"/>
    <w:rsid w:val="009958B3"/>
    <w:rsid w:val="009962C9"/>
    <w:rsid w:val="009965E7"/>
    <w:rsid w:val="009971BF"/>
    <w:rsid w:val="009A0675"/>
    <w:rsid w:val="009A0682"/>
    <w:rsid w:val="009A09A9"/>
    <w:rsid w:val="009A1AEF"/>
    <w:rsid w:val="009A1D79"/>
    <w:rsid w:val="009A1E4B"/>
    <w:rsid w:val="009A2003"/>
    <w:rsid w:val="009A225D"/>
    <w:rsid w:val="009A22D3"/>
    <w:rsid w:val="009A2B4E"/>
    <w:rsid w:val="009A305B"/>
    <w:rsid w:val="009A3628"/>
    <w:rsid w:val="009A3A0B"/>
    <w:rsid w:val="009A41EF"/>
    <w:rsid w:val="009A4464"/>
    <w:rsid w:val="009A52FF"/>
    <w:rsid w:val="009A54D5"/>
    <w:rsid w:val="009A5B7D"/>
    <w:rsid w:val="009A5D82"/>
    <w:rsid w:val="009A5F51"/>
    <w:rsid w:val="009A6B7A"/>
    <w:rsid w:val="009A74E0"/>
    <w:rsid w:val="009A7868"/>
    <w:rsid w:val="009A7D22"/>
    <w:rsid w:val="009A7E1E"/>
    <w:rsid w:val="009B058C"/>
    <w:rsid w:val="009B12C9"/>
    <w:rsid w:val="009B26C7"/>
    <w:rsid w:val="009B30C2"/>
    <w:rsid w:val="009B3490"/>
    <w:rsid w:val="009B39AB"/>
    <w:rsid w:val="009B47F0"/>
    <w:rsid w:val="009B4EDF"/>
    <w:rsid w:val="009B5020"/>
    <w:rsid w:val="009B541A"/>
    <w:rsid w:val="009B5BBF"/>
    <w:rsid w:val="009B6845"/>
    <w:rsid w:val="009B6E23"/>
    <w:rsid w:val="009B74B9"/>
    <w:rsid w:val="009B75EC"/>
    <w:rsid w:val="009B7635"/>
    <w:rsid w:val="009C06EB"/>
    <w:rsid w:val="009C08C8"/>
    <w:rsid w:val="009C0EC5"/>
    <w:rsid w:val="009C1209"/>
    <w:rsid w:val="009C1A4E"/>
    <w:rsid w:val="009C1C1B"/>
    <w:rsid w:val="009C2B32"/>
    <w:rsid w:val="009C2CCF"/>
    <w:rsid w:val="009C3A93"/>
    <w:rsid w:val="009C535D"/>
    <w:rsid w:val="009C589B"/>
    <w:rsid w:val="009C5CA3"/>
    <w:rsid w:val="009C6873"/>
    <w:rsid w:val="009C72EC"/>
    <w:rsid w:val="009C760D"/>
    <w:rsid w:val="009C7993"/>
    <w:rsid w:val="009D02C6"/>
    <w:rsid w:val="009D0506"/>
    <w:rsid w:val="009D0701"/>
    <w:rsid w:val="009D1112"/>
    <w:rsid w:val="009D166B"/>
    <w:rsid w:val="009D1892"/>
    <w:rsid w:val="009D19B5"/>
    <w:rsid w:val="009D2B9E"/>
    <w:rsid w:val="009D2BD4"/>
    <w:rsid w:val="009D34B9"/>
    <w:rsid w:val="009D40A7"/>
    <w:rsid w:val="009D4B01"/>
    <w:rsid w:val="009D5320"/>
    <w:rsid w:val="009D53C9"/>
    <w:rsid w:val="009D5964"/>
    <w:rsid w:val="009D6423"/>
    <w:rsid w:val="009D6C09"/>
    <w:rsid w:val="009D6F37"/>
    <w:rsid w:val="009D7388"/>
    <w:rsid w:val="009D7FC7"/>
    <w:rsid w:val="009E06B6"/>
    <w:rsid w:val="009E0FF3"/>
    <w:rsid w:val="009E144B"/>
    <w:rsid w:val="009E1884"/>
    <w:rsid w:val="009E26EE"/>
    <w:rsid w:val="009E2729"/>
    <w:rsid w:val="009E35BE"/>
    <w:rsid w:val="009E3970"/>
    <w:rsid w:val="009E43DA"/>
    <w:rsid w:val="009E4BF0"/>
    <w:rsid w:val="009E54E1"/>
    <w:rsid w:val="009E5703"/>
    <w:rsid w:val="009E6FF1"/>
    <w:rsid w:val="009E7EFE"/>
    <w:rsid w:val="009F0668"/>
    <w:rsid w:val="009F0A38"/>
    <w:rsid w:val="009F0E88"/>
    <w:rsid w:val="009F16D8"/>
    <w:rsid w:val="009F18FF"/>
    <w:rsid w:val="009F2138"/>
    <w:rsid w:val="009F2281"/>
    <w:rsid w:val="009F367D"/>
    <w:rsid w:val="009F3C54"/>
    <w:rsid w:val="009F405C"/>
    <w:rsid w:val="009F4E97"/>
    <w:rsid w:val="009F5EF8"/>
    <w:rsid w:val="009F63BD"/>
    <w:rsid w:val="00A00210"/>
    <w:rsid w:val="00A0137C"/>
    <w:rsid w:val="00A015A8"/>
    <w:rsid w:val="00A017BC"/>
    <w:rsid w:val="00A01F71"/>
    <w:rsid w:val="00A022BD"/>
    <w:rsid w:val="00A02882"/>
    <w:rsid w:val="00A02C3C"/>
    <w:rsid w:val="00A053F6"/>
    <w:rsid w:val="00A075B3"/>
    <w:rsid w:val="00A07741"/>
    <w:rsid w:val="00A104B8"/>
    <w:rsid w:val="00A10805"/>
    <w:rsid w:val="00A11251"/>
    <w:rsid w:val="00A12EBB"/>
    <w:rsid w:val="00A1322D"/>
    <w:rsid w:val="00A13C3D"/>
    <w:rsid w:val="00A13D1E"/>
    <w:rsid w:val="00A13D75"/>
    <w:rsid w:val="00A140A7"/>
    <w:rsid w:val="00A14BD4"/>
    <w:rsid w:val="00A15943"/>
    <w:rsid w:val="00A159E2"/>
    <w:rsid w:val="00A16A1D"/>
    <w:rsid w:val="00A17667"/>
    <w:rsid w:val="00A176D3"/>
    <w:rsid w:val="00A176E8"/>
    <w:rsid w:val="00A17754"/>
    <w:rsid w:val="00A2043F"/>
    <w:rsid w:val="00A20527"/>
    <w:rsid w:val="00A21B17"/>
    <w:rsid w:val="00A22038"/>
    <w:rsid w:val="00A233F7"/>
    <w:rsid w:val="00A23B68"/>
    <w:rsid w:val="00A23B81"/>
    <w:rsid w:val="00A23F49"/>
    <w:rsid w:val="00A24A30"/>
    <w:rsid w:val="00A24FAD"/>
    <w:rsid w:val="00A25569"/>
    <w:rsid w:val="00A255AA"/>
    <w:rsid w:val="00A26139"/>
    <w:rsid w:val="00A27E94"/>
    <w:rsid w:val="00A30A82"/>
    <w:rsid w:val="00A313E8"/>
    <w:rsid w:val="00A31F54"/>
    <w:rsid w:val="00A31F57"/>
    <w:rsid w:val="00A3339D"/>
    <w:rsid w:val="00A33D2A"/>
    <w:rsid w:val="00A342F9"/>
    <w:rsid w:val="00A34504"/>
    <w:rsid w:val="00A34509"/>
    <w:rsid w:val="00A34721"/>
    <w:rsid w:val="00A3522C"/>
    <w:rsid w:val="00A35C9A"/>
    <w:rsid w:val="00A3673D"/>
    <w:rsid w:val="00A36A1B"/>
    <w:rsid w:val="00A36BEB"/>
    <w:rsid w:val="00A36C5B"/>
    <w:rsid w:val="00A370EF"/>
    <w:rsid w:val="00A3761F"/>
    <w:rsid w:val="00A37836"/>
    <w:rsid w:val="00A379DD"/>
    <w:rsid w:val="00A37E94"/>
    <w:rsid w:val="00A40766"/>
    <w:rsid w:val="00A409FC"/>
    <w:rsid w:val="00A411E9"/>
    <w:rsid w:val="00A41281"/>
    <w:rsid w:val="00A416BA"/>
    <w:rsid w:val="00A4389D"/>
    <w:rsid w:val="00A43E0E"/>
    <w:rsid w:val="00A44BE9"/>
    <w:rsid w:val="00A44D36"/>
    <w:rsid w:val="00A44DA6"/>
    <w:rsid w:val="00A45164"/>
    <w:rsid w:val="00A45755"/>
    <w:rsid w:val="00A457E0"/>
    <w:rsid w:val="00A46089"/>
    <w:rsid w:val="00A47C35"/>
    <w:rsid w:val="00A47D21"/>
    <w:rsid w:val="00A512B5"/>
    <w:rsid w:val="00A52289"/>
    <w:rsid w:val="00A52964"/>
    <w:rsid w:val="00A54A04"/>
    <w:rsid w:val="00A54F3F"/>
    <w:rsid w:val="00A55CE2"/>
    <w:rsid w:val="00A568BC"/>
    <w:rsid w:val="00A56D28"/>
    <w:rsid w:val="00A570CA"/>
    <w:rsid w:val="00A57516"/>
    <w:rsid w:val="00A57781"/>
    <w:rsid w:val="00A57809"/>
    <w:rsid w:val="00A5792A"/>
    <w:rsid w:val="00A57A50"/>
    <w:rsid w:val="00A61D68"/>
    <w:rsid w:val="00A62108"/>
    <w:rsid w:val="00A62308"/>
    <w:rsid w:val="00A6276A"/>
    <w:rsid w:val="00A63D12"/>
    <w:rsid w:val="00A63F2F"/>
    <w:rsid w:val="00A64404"/>
    <w:rsid w:val="00A65142"/>
    <w:rsid w:val="00A6755A"/>
    <w:rsid w:val="00A70BEB"/>
    <w:rsid w:val="00A70CCA"/>
    <w:rsid w:val="00A70D3E"/>
    <w:rsid w:val="00A7125A"/>
    <w:rsid w:val="00A7196E"/>
    <w:rsid w:val="00A7226D"/>
    <w:rsid w:val="00A7243E"/>
    <w:rsid w:val="00A7337D"/>
    <w:rsid w:val="00A73BFD"/>
    <w:rsid w:val="00A73D91"/>
    <w:rsid w:val="00A74097"/>
    <w:rsid w:val="00A7460B"/>
    <w:rsid w:val="00A752F4"/>
    <w:rsid w:val="00A753EC"/>
    <w:rsid w:val="00A7574A"/>
    <w:rsid w:val="00A75CDD"/>
    <w:rsid w:val="00A75D47"/>
    <w:rsid w:val="00A76167"/>
    <w:rsid w:val="00A764D0"/>
    <w:rsid w:val="00A765ED"/>
    <w:rsid w:val="00A7663E"/>
    <w:rsid w:val="00A767BF"/>
    <w:rsid w:val="00A76B47"/>
    <w:rsid w:val="00A76E68"/>
    <w:rsid w:val="00A77069"/>
    <w:rsid w:val="00A7761E"/>
    <w:rsid w:val="00A8028A"/>
    <w:rsid w:val="00A804DE"/>
    <w:rsid w:val="00A81309"/>
    <w:rsid w:val="00A83201"/>
    <w:rsid w:val="00A83790"/>
    <w:rsid w:val="00A83BEF"/>
    <w:rsid w:val="00A843D9"/>
    <w:rsid w:val="00A8512E"/>
    <w:rsid w:val="00A863F9"/>
    <w:rsid w:val="00A86B44"/>
    <w:rsid w:val="00A86CA4"/>
    <w:rsid w:val="00A86FE7"/>
    <w:rsid w:val="00A87037"/>
    <w:rsid w:val="00A878FC"/>
    <w:rsid w:val="00A87905"/>
    <w:rsid w:val="00A87BC2"/>
    <w:rsid w:val="00A90DD4"/>
    <w:rsid w:val="00A91126"/>
    <w:rsid w:val="00A91BE5"/>
    <w:rsid w:val="00A92E20"/>
    <w:rsid w:val="00A93B34"/>
    <w:rsid w:val="00A93D5C"/>
    <w:rsid w:val="00A9435F"/>
    <w:rsid w:val="00A94C61"/>
    <w:rsid w:val="00A95A07"/>
    <w:rsid w:val="00A9601C"/>
    <w:rsid w:val="00AA0906"/>
    <w:rsid w:val="00AA102D"/>
    <w:rsid w:val="00AA1DE3"/>
    <w:rsid w:val="00AA2475"/>
    <w:rsid w:val="00AA2F9D"/>
    <w:rsid w:val="00AA335A"/>
    <w:rsid w:val="00AA3379"/>
    <w:rsid w:val="00AA3387"/>
    <w:rsid w:val="00AA4AF3"/>
    <w:rsid w:val="00AA51D8"/>
    <w:rsid w:val="00AA5BD3"/>
    <w:rsid w:val="00AA7E23"/>
    <w:rsid w:val="00AB0C9C"/>
    <w:rsid w:val="00AB0FF4"/>
    <w:rsid w:val="00AB1024"/>
    <w:rsid w:val="00AB2D2B"/>
    <w:rsid w:val="00AB379D"/>
    <w:rsid w:val="00AB3EFB"/>
    <w:rsid w:val="00AB4AFA"/>
    <w:rsid w:val="00AB4B98"/>
    <w:rsid w:val="00AB5791"/>
    <w:rsid w:val="00AB5CFB"/>
    <w:rsid w:val="00AB6679"/>
    <w:rsid w:val="00AB67A5"/>
    <w:rsid w:val="00AB6B1A"/>
    <w:rsid w:val="00AB79F7"/>
    <w:rsid w:val="00AC038A"/>
    <w:rsid w:val="00AC0567"/>
    <w:rsid w:val="00AC09C3"/>
    <w:rsid w:val="00AC120C"/>
    <w:rsid w:val="00AC15E9"/>
    <w:rsid w:val="00AC3626"/>
    <w:rsid w:val="00AC3A2A"/>
    <w:rsid w:val="00AC3C5B"/>
    <w:rsid w:val="00AC46AD"/>
    <w:rsid w:val="00AC5704"/>
    <w:rsid w:val="00AC58C3"/>
    <w:rsid w:val="00AC6294"/>
    <w:rsid w:val="00AC6A29"/>
    <w:rsid w:val="00AC74E2"/>
    <w:rsid w:val="00AC7C26"/>
    <w:rsid w:val="00AC7F7D"/>
    <w:rsid w:val="00AD19B3"/>
    <w:rsid w:val="00AD1D62"/>
    <w:rsid w:val="00AD2A03"/>
    <w:rsid w:val="00AD37DD"/>
    <w:rsid w:val="00AD398A"/>
    <w:rsid w:val="00AD4773"/>
    <w:rsid w:val="00AD4FCD"/>
    <w:rsid w:val="00AD6DC0"/>
    <w:rsid w:val="00AD78B4"/>
    <w:rsid w:val="00AE08AB"/>
    <w:rsid w:val="00AE0A5B"/>
    <w:rsid w:val="00AE0BB7"/>
    <w:rsid w:val="00AE0E10"/>
    <w:rsid w:val="00AE13BF"/>
    <w:rsid w:val="00AE1DF5"/>
    <w:rsid w:val="00AE2425"/>
    <w:rsid w:val="00AE2693"/>
    <w:rsid w:val="00AE3679"/>
    <w:rsid w:val="00AE3F44"/>
    <w:rsid w:val="00AE3FD7"/>
    <w:rsid w:val="00AE485F"/>
    <w:rsid w:val="00AE5136"/>
    <w:rsid w:val="00AE5AED"/>
    <w:rsid w:val="00AE6B27"/>
    <w:rsid w:val="00AE6B9C"/>
    <w:rsid w:val="00AE6D7A"/>
    <w:rsid w:val="00AF1ED0"/>
    <w:rsid w:val="00AF34E3"/>
    <w:rsid w:val="00AF39C7"/>
    <w:rsid w:val="00AF3B2F"/>
    <w:rsid w:val="00AF45F2"/>
    <w:rsid w:val="00AF51C7"/>
    <w:rsid w:val="00AF72F7"/>
    <w:rsid w:val="00B004A8"/>
    <w:rsid w:val="00B02437"/>
    <w:rsid w:val="00B02D6C"/>
    <w:rsid w:val="00B04436"/>
    <w:rsid w:val="00B045C9"/>
    <w:rsid w:val="00B04ADF"/>
    <w:rsid w:val="00B04D50"/>
    <w:rsid w:val="00B053BD"/>
    <w:rsid w:val="00B0588D"/>
    <w:rsid w:val="00B0597A"/>
    <w:rsid w:val="00B071CC"/>
    <w:rsid w:val="00B11011"/>
    <w:rsid w:val="00B1159D"/>
    <w:rsid w:val="00B11743"/>
    <w:rsid w:val="00B11C25"/>
    <w:rsid w:val="00B122D7"/>
    <w:rsid w:val="00B12C33"/>
    <w:rsid w:val="00B13217"/>
    <w:rsid w:val="00B1407B"/>
    <w:rsid w:val="00B1435C"/>
    <w:rsid w:val="00B14748"/>
    <w:rsid w:val="00B14AE4"/>
    <w:rsid w:val="00B14D9A"/>
    <w:rsid w:val="00B153EB"/>
    <w:rsid w:val="00B15E9E"/>
    <w:rsid w:val="00B1673D"/>
    <w:rsid w:val="00B176CA"/>
    <w:rsid w:val="00B178A0"/>
    <w:rsid w:val="00B17B44"/>
    <w:rsid w:val="00B17E56"/>
    <w:rsid w:val="00B20521"/>
    <w:rsid w:val="00B20B1C"/>
    <w:rsid w:val="00B2385C"/>
    <w:rsid w:val="00B2415F"/>
    <w:rsid w:val="00B25A82"/>
    <w:rsid w:val="00B262C3"/>
    <w:rsid w:val="00B266C0"/>
    <w:rsid w:val="00B26BA9"/>
    <w:rsid w:val="00B26DCD"/>
    <w:rsid w:val="00B27C27"/>
    <w:rsid w:val="00B301F4"/>
    <w:rsid w:val="00B3097E"/>
    <w:rsid w:val="00B30D52"/>
    <w:rsid w:val="00B31BE1"/>
    <w:rsid w:val="00B33542"/>
    <w:rsid w:val="00B34257"/>
    <w:rsid w:val="00B34601"/>
    <w:rsid w:val="00B34C0C"/>
    <w:rsid w:val="00B35318"/>
    <w:rsid w:val="00B36337"/>
    <w:rsid w:val="00B37098"/>
    <w:rsid w:val="00B3726D"/>
    <w:rsid w:val="00B37B11"/>
    <w:rsid w:val="00B42362"/>
    <w:rsid w:val="00B42968"/>
    <w:rsid w:val="00B42A8E"/>
    <w:rsid w:val="00B43702"/>
    <w:rsid w:val="00B4475B"/>
    <w:rsid w:val="00B448E2"/>
    <w:rsid w:val="00B4496F"/>
    <w:rsid w:val="00B44A84"/>
    <w:rsid w:val="00B44DD5"/>
    <w:rsid w:val="00B45819"/>
    <w:rsid w:val="00B462FE"/>
    <w:rsid w:val="00B469CD"/>
    <w:rsid w:val="00B47469"/>
    <w:rsid w:val="00B47717"/>
    <w:rsid w:val="00B50743"/>
    <w:rsid w:val="00B5147C"/>
    <w:rsid w:val="00B51FEF"/>
    <w:rsid w:val="00B52204"/>
    <w:rsid w:val="00B5282C"/>
    <w:rsid w:val="00B529DE"/>
    <w:rsid w:val="00B5392E"/>
    <w:rsid w:val="00B53CE8"/>
    <w:rsid w:val="00B53FE5"/>
    <w:rsid w:val="00B5415D"/>
    <w:rsid w:val="00B54751"/>
    <w:rsid w:val="00B54890"/>
    <w:rsid w:val="00B54C2D"/>
    <w:rsid w:val="00B55FAF"/>
    <w:rsid w:val="00B56C42"/>
    <w:rsid w:val="00B56DBA"/>
    <w:rsid w:val="00B57AD0"/>
    <w:rsid w:val="00B6002D"/>
    <w:rsid w:val="00B60D32"/>
    <w:rsid w:val="00B61255"/>
    <w:rsid w:val="00B63332"/>
    <w:rsid w:val="00B63882"/>
    <w:rsid w:val="00B63E35"/>
    <w:rsid w:val="00B63F21"/>
    <w:rsid w:val="00B640F2"/>
    <w:rsid w:val="00B64242"/>
    <w:rsid w:val="00B65395"/>
    <w:rsid w:val="00B65D53"/>
    <w:rsid w:val="00B670EA"/>
    <w:rsid w:val="00B67167"/>
    <w:rsid w:val="00B67727"/>
    <w:rsid w:val="00B67ED0"/>
    <w:rsid w:val="00B70E7F"/>
    <w:rsid w:val="00B71053"/>
    <w:rsid w:val="00B711E8"/>
    <w:rsid w:val="00B71E4A"/>
    <w:rsid w:val="00B729AE"/>
    <w:rsid w:val="00B7356C"/>
    <w:rsid w:val="00B73BC0"/>
    <w:rsid w:val="00B73F1C"/>
    <w:rsid w:val="00B74B7F"/>
    <w:rsid w:val="00B7566A"/>
    <w:rsid w:val="00B7572A"/>
    <w:rsid w:val="00B75EB2"/>
    <w:rsid w:val="00B76257"/>
    <w:rsid w:val="00B772AC"/>
    <w:rsid w:val="00B777B1"/>
    <w:rsid w:val="00B807D2"/>
    <w:rsid w:val="00B810A8"/>
    <w:rsid w:val="00B810D3"/>
    <w:rsid w:val="00B822E8"/>
    <w:rsid w:val="00B8336C"/>
    <w:rsid w:val="00B83F76"/>
    <w:rsid w:val="00B8401E"/>
    <w:rsid w:val="00B84411"/>
    <w:rsid w:val="00B85078"/>
    <w:rsid w:val="00B85BBD"/>
    <w:rsid w:val="00B85EC0"/>
    <w:rsid w:val="00B86DFA"/>
    <w:rsid w:val="00B879A5"/>
    <w:rsid w:val="00B87DD3"/>
    <w:rsid w:val="00B90439"/>
    <w:rsid w:val="00B906F8"/>
    <w:rsid w:val="00B90E0B"/>
    <w:rsid w:val="00B91312"/>
    <w:rsid w:val="00B91829"/>
    <w:rsid w:val="00B91FA3"/>
    <w:rsid w:val="00B93B9C"/>
    <w:rsid w:val="00B9400E"/>
    <w:rsid w:val="00B9519E"/>
    <w:rsid w:val="00B95D54"/>
    <w:rsid w:val="00B963A2"/>
    <w:rsid w:val="00B96BE8"/>
    <w:rsid w:val="00B973A0"/>
    <w:rsid w:val="00B973C4"/>
    <w:rsid w:val="00B9753D"/>
    <w:rsid w:val="00B97601"/>
    <w:rsid w:val="00B9783B"/>
    <w:rsid w:val="00BA0040"/>
    <w:rsid w:val="00BA00EC"/>
    <w:rsid w:val="00BA0100"/>
    <w:rsid w:val="00BA072E"/>
    <w:rsid w:val="00BA0925"/>
    <w:rsid w:val="00BA0CB0"/>
    <w:rsid w:val="00BA16A7"/>
    <w:rsid w:val="00BA1F34"/>
    <w:rsid w:val="00BA2535"/>
    <w:rsid w:val="00BA4CF4"/>
    <w:rsid w:val="00BA5486"/>
    <w:rsid w:val="00BA54AF"/>
    <w:rsid w:val="00BA5B34"/>
    <w:rsid w:val="00BA5E97"/>
    <w:rsid w:val="00BA60F3"/>
    <w:rsid w:val="00BA6B12"/>
    <w:rsid w:val="00BA6C4B"/>
    <w:rsid w:val="00BA6CEE"/>
    <w:rsid w:val="00BB032A"/>
    <w:rsid w:val="00BB04C9"/>
    <w:rsid w:val="00BB240D"/>
    <w:rsid w:val="00BB2547"/>
    <w:rsid w:val="00BB2E00"/>
    <w:rsid w:val="00BB35D5"/>
    <w:rsid w:val="00BB360B"/>
    <w:rsid w:val="00BB3CBA"/>
    <w:rsid w:val="00BB4127"/>
    <w:rsid w:val="00BB4264"/>
    <w:rsid w:val="00BB44E8"/>
    <w:rsid w:val="00BB4A0D"/>
    <w:rsid w:val="00BB4C4B"/>
    <w:rsid w:val="00BB4FDD"/>
    <w:rsid w:val="00BB60B7"/>
    <w:rsid w:val="00BB6ACE"/>
    <w:rsid w:val="00BB6BAF"/>
    <w:rsid w:val="00BB6FA0"/>
    <w:rsid w:val="00BC016F"/>
    <w:rsid w:val="00BC03D9"/>
    <w:rsid w:val="00BC13E0"/>
    <w:rsid w:val="00BC1A60"/>
    <w:rsid w:val="00BC1B9B"/>
    <w:rsid w:val="00BC1E6B"/>
    <w:rsid w:val="00BC2913"/>
    <w:rsid w:val="00BC2BCF"/>
    <w:rsid w:val="00BC38C9"/>
    <w:rsid w:val="00BC39D5"/>
    <w:rsid w:val="00BC39ED"/>
    <w:rsid w:val="00BC412F"/>
    <w:rsid w:val="00BC4ED1"/>
    <w:rsid w:val="00BC5D5C"/>
    <w:rsid w:val="00BC5DFC"/>
    <w:rsid w:val="00BC5EBD"/>
    <w:rsid w:val="00BC6D31"/>
    <w:rsid w:val="00BC7774"/>
    <w:rsid w:val="00BC7808"/>
    <w:rsid w:val="00BD0EC7"/>
    <w:rsid w:val="00BD1FB2"/>
    <w:rsid w:val="00BD207F"/>
    <w:rsid w:val="00BD35EE"/>
    <w:rsid w:val="00BD3633"/>
    <w:rsid w:val="00BD3823"/>
    <w:rsid w:val="00BD41BB"/>
    <w:rsid w:val="00BD48D9"/>
    <w:rsid w:val="00BD4D22"/>
    <w:rsid w:val="00BD5D95"/>
    <w:rsid w:val="00BD6958"/>
    <w:rsid w:val="00BD6AF4"/>
    <w:rsid w:val="00BD76BA"/>
    <w:rsid w:val="00BD7E72"/>
    <w:rsid w:val="00BE00ED"/>
    <w:rsid w:val="00BE0533"/>
    <w:rsid w:val="00BE05BD"/>
    <w:rsid w:val="00BE183A"/>
    <w:rsid w:val="00BE2148"/>
    <w:rsid w:val="00BE2209"/>
    <w:rsid w:val="00BE2427"/>
    <w:rsid w:val="00BE27F7"/>
    <w:rsid w:val="00BE282C"/>
    <w:rsid w:val="00BE2EAE"/>
    <w:rsid w:val="00BE31A4"/>
    <w:rsid w:val="00BE34CA"/>
    <w:rsid w:val="00BE3621"/>
    <w:rsid w:val="00BE525E"/>
    <w:rsid w:val="00BE5FB3"/>
    <w:rsid w:val="00BE6AE3"/>
    <w:rsid w:val="00BE6CDE"/>
    <w:rsid w:val="00BE721D"/>
    <w:rsid w:val="00BE780E"/>
    <w:rsid w:val="00BE78B7"/>
    <w:rsid w:val="00BE7D92"/>
    <w:rsid w:val="00BF05DD"/>
    <w:rsid w:val="00BF0FD7"/>
    <w:rsid w:val="00BF11A1"/>
    <w:rsid w:val="00BF12D7"/>
    <w:rsid w:val="00BF13B8"/>
    <w:rsid w:val="00BF190E"/>
    <w:rsid w:val="00BF1AF0"/>
    <w:rsid w:val="00BF1C5D"/>
    <w:rsid w:val="00BF2F4B"/>
    <w:rsid w:val="00BF364C"/>
    <w:rsid w:val="00BF3B0B"/>
    <w:rsid w:val="00BF544A"/>
    <w:rsid w:val="00BF561C"/>
    <w:rsid w:val="00BF584C"/>
    <w:rsid w:val="00BF5FBA"/>
    <w:rsid w:val="00BF6A93"/>
    <w:rsid w:val="00BF6C8A"/>
    <w:rsid w:val="00BF6DE4"/>
    <w:rsid w:val="00BF73C7"/>
    <w:rsid w:val="00BF7773"/>
    <w:rsid w:val="00C0057F"/>
    <w:rsid w:val="00C01AA5"/>
    <w:rsid w:val="00C01DD2"/>
    <w:rsid w:val="00C02057"/>
    <w:rsid w:val="00C02161"/>
    <w:rsid w:val="00C028DF"/>
    <w:rsid w:val="00C0291E"/>
    <w:rsid w:val="00C02AE3"/>
    <w:rsid w:val="00C03273"/>
    <w:rsid w:val="00C03B0B"/>
    <w:rsid w:val="00C03C16"/>
    <w:rsid w:val="00C043DC"/>
    <w:rsid w:val="00C04C39"/>
    <w:rsid w:val="00C04EA0"/>
    <w:rsid w:val="00C05E1F"/>
    <w:rsid w:val="00C061AB"/>
    <w:rsid w:val="00C06242"/>
    <w:rsid w:val="00C0637E"/>
    <w:rsid w:val="00C07813"/>
    <w:rsid w:val="00C07CEB"/>
    <w:rsid w:val="00C11C32"/>
    <w:rsid w:val="00C11F83"/>
    <w:rsid w:val="00C123BB"/>
    <w:rsid w:val="00C12F9C"/>
    <w:rsid w:val="00C1473B"/>
    <w:rsid w:val="00C149D5"/>
    <w:rsid w:val="00C14CC5"/>
    <w:rsid w:val="00C15260"/>
    <w:rsid w:val="00C154A6"/>
    <w:rsid w:val="00C16919"/>
    <w:rsid w:val="00C171AC"/>
    <w:rsid w:val="00C204C6"/>
    <w:rsid w:val="00C20FC6"/>
    <w:rsid w:val="00C21AAF"/>
    <w:rsid w:val="00C22102"/>
    <w:rsid w:val="00C22519"/>
    <w:rsid w:val="00C225FF"/>
    <w:rsid w:val="00C2297A"/>
    <w:rsid w:val="00C2322F"/>
    <w:rsid w:val="00C23B4A"/>
    <w:rsid w:val="00C24709"/>
    <w:rsid w:val="00C2512F"/>
    <w:rsid w:val="00C25313"/>
    <w:rsid w:val="00C26143"/>
    <w:rsid w:val="00C2753D"/>
    <w:rsid w:val="00C276B9"/>
    <w:rsid w:val="00C30019"/>
    <w:rsid w:val="00C30629"/>
    <w:rsid w:val="00C3075D"/>
    <w:rsid w:val="00C311CF"/>
    <w:rsid w:val="00C31795"/>
    <w:rsid w:val="00C31D2E"/>
    <w:rsid w:val="00C32124"/>
    <w:rsid w:val="00C3350C"/>
    <w:rsid w:val="00C33718"/>
    <w:rsid w:val="00C33971"/>
    <w:rsid w:val="00C3405A"/>
    <w:rsid w:val="00C34F61"/>
    <w:rsid w:val="00C364F7"/>
    <w:rsid w:val="00C365B9"/>
    <w:rsid w:val="00C366B8"/>
    <w:rsid w:val="00C3715C"/>
    <w:rsid w:val="00C37A01"/>
    <w:rsid w:val="00C42341"/>
    <w:rsid w:val="00C434DA"/>
    <w:rsid w:val="00C43D4D"/>
    <w:rsid w:val="00C44C11"/>
    <w:rsid w:val="00C46429"/>
    <w:rsid w:val="00C5022A"/>
    <w:rsid w:val="00C50834"/>
    <w:rsid w:val="00C50A49"/>
    <w:rsid w:val="00C50D5C"/>
    <w:rsid w:val="00C52377"/>
    <w:rsid w:val="00C52B0E"/>
    <w:rsid w:val="00C52EFF"/>
    <w:rsid w:val="00C540BE"/>
    <w:rsid w:val="00C541ED"/>
    <w:rsid w:val="00C54FBC"/>
    <w:rsid w:val="00C55072"/>
    <w:rsid w:val="00C5574D"/>
    <w:rsid w:val="00C60465"/>
    <w:rsid w:val="00C62A7F"/>
    <w:rsid w:val="00C62D3B"/>
    <w:rsid w:val="00C63517"/>
    <w:rsid w:val="00C642FF"/>
    <w:rsid w:val="00C64A15"/>
    <w:rsid w:val="00C66AD9"/>
    <w:rsid w:val="00C676A9"/>
    <w:rsid w:val="00C7039F"/>
    <w:rsid w:val="00C70B0F"/>
    <w:rsid w:val="00C7154C"/>
    <w:rsid w:val="00C71849"/>
    <w:rsid w:val="00C71A9A"/>
    <w:rsid w:val="00C72129"/>
    <w:rsid w:val="00C72ADD"/>
    <w:rsid w:val="00C741AF"/>
    <w:rsid w:val="00C748E6"/>
    <w:rsid w:val="00C75854"/>
    <w:rsid w:val="00C7744E"/>
    <w:rsid w:val="00C776E4"/>
    <w:rsid w:val="00C801BE"/>
    <w:rsid w:val="00C808A0"/>
    <w:rsid w:val="00C818B8"/>
    <w:rsid w:val="00C820F2"/>
    <w:rsid w:val="00C82EE4"/>
    <w:rsid w:val="00C83063"/>
    <w:rsid w:val="00C848C3"/>
    <w:rsid w:val="00C84913"/>
    <w:rsid w:val="00C857A9"/>
    <w:rsid w:val="00C860DF"/>
    <w:rsid w:val="00C87CE8"/>
    <w:rsid w:val="00C90369"/>
    <w:rsid w:val="00C90583"/>
    <w:rsid w:val="00C90B8E"/>
    <w:rsid w:val="00C90C99"/>
    <w:rsid w:val="00C91C86"/>
    <w:rsid w:val="00C9328A"/>
    <w:rsid w:val="00C93477"/>
    <w:rsid w:val="00C935A1"/>
    <w:rsid w:val="00C93973"/>
    <w:rsid w:val="00C94826"/>
    <w:rsid w:val="00C94E88"/>
    <w:rsid w:val="00C94FCC"/>
    <w:rsid w:val="00C9530E"/>
    <w:rsid w:val="00C953A6"/>
    <w:rsid w:val="00C95B13"/>
    <w:rsid w:val="00C95EA6"/>
    <w:rsid w:val="00C9696C"/>
    <w:rsid w:val="00C96AFC"/>
    <w:rsid w:val="00C96E71"/>
    <w:rsid w:val="00CA0C73"/>
    <w:rsid w:val="00CA0DBD"/>
    <w:rsid w:val="00CA1694"/>
    <w:rsid w:val="00CA2394"/>
    <w:rsid w:val="00CA254F"/>
    <w:rsid w:val="00CA2676"/>
    <w:rsid w:val="00CA2E79"/>
    <w:rsid w:val="00CA3527"/>
    <w:rsid w:val="00CA3A39"/>
    <w:rsid w:val="00CA3A95"/>
    <w:rsid w:val="00CA3B2E"/>
    <w:rsid w:val="00CA3BC2"/>
    <w:rsid w:val="00CA553D"/>
    <w:rsid w:val="00CA6626"/>
    <w:rsid w:val="00CA6932"/>
    <w:rsid w:val="00CA7BC4"/>
    <w:rsid w:val="00CA7C4C"/>
    <w:rsid w:val="00CA7CF8"/>
    <w:rsid w:val="00CA7D75"/>
    <w:rsid w:val="00CB0475"/>
    <w:rsid w:val="00CB1015"/>
    <w:rsid w:val="00CB13DC"/>
    <w:rsid w:val="00CB23B5"/>
    <w:rsid w:val="00CB3434"/>
    <w:rsid w:val="00CB40AF"/>
    <w:rsid w:val="00CB7326"/>
    <w:rsid w:val="00CB7A81"/>
    <w:rsid w:val="00CC02B8"/>
    <w:rsid w:val="00CC0A04"/>
    <w:rsid w:val="00CC1BF0"/>
    <w:rsid w:val="00CC283B"/>
    <w:rsid w:val="00CC2ABF"/>
    <w:rsid w:val="00CC2C21"/>
    <w:rsid w:val="00CC4470"/>
    <w:rsid w:val="00CC44CD"/>
    <w:rsid w:val="00CC456D"/>
    <w:rsid w:val="00CC4B14"/>
    <w:rsid w:val="00CC4E3E"/>
    <w:rsid w:val="00CC5126"/>
    <w:rsid w:val="00CC63D2"/>
    <w:rsid w:val="00CC673C"/>
    <w:rsid w:val="00CC75D0"/>
    <w:rsid w:val="00CC7762"/>
    <w:rsid w:val="00CC7844"/>
    <w:rsid w:val="00CC7C1A"/>
    <w:rsid w:val="00CD07D7"/>
    <w:rsid w:val="00CD1237"/>
    <w:rsid w:val="00CD2E45"/>
    <w:rsid w:val="00CD34AF"/>
    <w:rsid w:val="00CD427E"/>
    <w:rsid w:val="00CD45E3"/>
    <w:rsid w:val="00CD5601"/>
    <w:rsid w:val="00CD63FF"/>
    <w:rsid w:val="00CD691A"/>
    <w:rsid w:val="00CD70BA"/>
    <w:rsid w:val="00CD7323"/>
    <w:rsid w:val="00CD7438"/>
    <w:rsid w:val="00CE09E3"/>
    <w:rsid w:val="00CE24CC"/>
    <w:rsid w:val="00CE286E"/>
    <w:rsid w:val="00CE2EFD"/>
    <w:rsid w:val="00CE3056"/>
    <w:rsid w:val="00CE312B"/>
    <w:rsid w:val="00CE321F"/>
    <w:rsid w:val="00CE404E"/>
    <w:rsid w:val="00CE41E5"/>
    <w:rsid w:val="00CE54DA"/>
    <w:rsid w:val="00CE57E3"/>
    <w:rsid w:val="00CE5E34"/>
    <w:rsid w:val="00CE6920"/>
    <w:rsid w:val="00CE69A2"/>
    <w:rsid w:val="00CE7749"/>
    <w:rsid w:val="00CE7CD7"/>
    <w:rsid w:val="00CF0F85"/>
    <w:rsid w:val="00CF1600"/>
    <w:rsid w:val="00CF37EA"/>
    <w:rsid w:val="00CF3C68"/>
    <w:rsid w:val="00CF541E"/>
    <w:rsid w:val="00CF56DA"/>
    <w:rsid w:val="00CF6D6C"/>
    <w:rsid w:val="00CF6E78"/>
    <w:rsid w:val="00CF7ADA"/>
    <w:rsid w:val="00D00F9E"/>
    <w:rsid w:val="00D01256"/>
    <w:rsid w:val="00D01E80"/>
    <w:rsid w:val="00D02719"/>
    <w:rsid w:val="00D02AB5"/>
    <w:rsid w:val="00D046C4"/>
    <w:rsid w:val="00D0481A"/>
    <w:rsid w:val="00D05733"/>
    <w:rsid w:val="00D10A84"/>
    <w:rsid w:val="00D1108A"/>
    <w:rsid w:val="00D110DA"/>
    <w:rsid w:val="00D11EB4"/>
    <w:rsid w:val="00D121BB"/>
    <w:rsid w:val="00D13227"/>
    <w:rsid w:val="00D133C7"/>
    <w:rsid w:val="00D14310"/>
    <w:rsid w:val="00D14460"/>
    <w:rsid w:val="00D14EAF"/>
    <w:rsid w:val="00D155B7"/>
    <w:rsid w:val="00D16308"/>
    <w:rsid w:val="00D16626"/>
    <w:rsid w:val="00D174CC"/>
    <w:rsid w:val="00D1752B"/>
    <w:rsid w:val="00D205FD"/>
    <w:rsid w:val="00D213F1"/>
    <w:rsid w:val="00D214CA"/>
    <w:rsid w:val="00D218AD"/>
    <w:rsid w:val="00D22C98"/>
    <w:rsid w:val="00D23E24"/>
    <w:rsid w:val="00D2445A"/>
    <w:rsid w:val="00D24670"/>
    <w:rsid w:val="00D24B96"/>
    <w:rsid w:val="00D25485"/>
    <w:rsid w:val="00D25985"/>
    <w:rsid w:val="00D25DA8"/>
    <w:rsid w:val="00D25E46"/>
    <w:rsid w:val="00D262BE"/>
    <w:rsid w:val="00D269B9"/>
    <w:rsid w:val="00D26CBB"/>
    <w:rsid w:val="00D27DE1"/>
    <w:rsid w:val="00D319CF"/>
    <w:rsid w:val="00D31AB3"/>
    <w:rsid w:val="00D31BB7"/>
    <w:rsid w:val="00D327C1"/>
    <w:rsid w:val="00D330B3"/>
    <w:rsid w:val="00D335AD"/>
    <w:rsid w:val="00D3503B"/>
    <w:rsid w:val="00D35717"/>
    <w:rsid w:val="00D365A7"/>
    <w:rsid w:val="00D36D2B"/>
    <w:rsid w:val="00D37197"/>
    <w:rsid w:val="00D37CFC"/>
    <w:rsid w:val="00D40334"/>
    <w:rsid w:val="00D411A6"/>
    <w:rsid w:val="00D41AA2"/>
    <w:rsid w:val="00D41FCD"/>
    <w:rsid w:val="00D4428B"/>
    <w:rsid w:val="00D44F69"/>
    <w:rsid w:val="00D44FC7"/>
    <w:rsid w:val="00D4563F"/>
    <w:rsid w:val="00D457D3"/>
    <w:rsid w:val="00D47B8E"/>
    <w:rsid w:val="00D50041"/>
    <w:rsid w:val="00D500EF"/>
    <w:rsid w:val="00D50DE7"/>
    <w:rsid w:val="00D5151D"/>
    <w:rsid w:val="00D51663"/>
    <w:rsid w:val="00D51D89"/>
    <w:rsid w:val="00D51DCF"/>
    <w:rsid w:val="00D523EE"/>
    <w:rsid w:val="00D53025"/>
    <w:rsid w:val="00D531C4"/>
    <w:rsid w:val="00D53448"/>
    <w:rsid w:val="00D53572"/>
    <w:rsid w:val="00D54D36"/>
    <w:rsid w:val="00D54F70"/>
    <w:rsid w:val="00D55BC4"/>
    <w:rsid w:val="00D55EFF"/>
    <w:rsid w:val="00D5682F"/>
    <w:rsid w:val="00D56D71"/>
    <w:rsid w:val="00D60542"/>
    <w:rsid w:val="00D60735"/>
    <w:rsid w:val="00D609AD"/>
    <w:rsid w:val="00D62427"/>
    <w:rsid w:val="00D62E19"/>
    <w:rsid w:val="00D63791"/>
    <w:rsid w:val="00D637BE"/>
    <w:rsid w:val="00D65468"/>
    <w:rsid w:val="00D65F20"/>
    <w:rsid w:val="00D66DDA"/>
    <w:rsid w:val="00D67521"/>
    <w:rsid w:val="00D67655"/>
    <w:rsid w:val="00D679B9"/>
    <w:rsid w:val="00D719D5"/>
    <w:rsid w:val="00D73CDB"/>
    <w:rsid w:val="00D7447C"/>
    <w:rsid w:val="00D75746"/>
    <w:rsid w:val="00D75D03"/>
    <w:rsid w:val="00D7653A"/>
    <w:rsid w:val="00D7672B"/>
    <w:rsid w:val="00D76C25"/>
    <w:rsid w:val="00D77B55"/>
    <w:rsid w:val="00D77DDB"/>
    <w:rsid w:val="00D81E16"/>
    <w:rsid w:val="00D81E46"/>
    <w:rsid w:val="00D8206A"/>
    <w:rsid w:val="00D82135"/>
    <w:rsid w:val="00D82346"/>
    <w:rsid w:val="00D82514"/>
    <w:rsid w:val="00D82788"/>
    <w:rsid w:val="00D837BD"/>
    <w:rsid w:val="00D838FA"/>
    <w:rsid w:val="00D83A5B"/>
    <w:rsid w:val="00D8469E"/>
    <w:rsid w:val="00D846C5"/>
    <w:rsid w:val="00D8492A"/>
    <w:rsid w:val="00D84995"/>
    <w:rsid w:val="00D85561"/>
    <w:rsid w:val="00D86C48"/>
    <w:rsid w:val="00D90982"/>
    <w:rsid w:val="00D90A90"/>
    <w:rsid w:val="00D921D6"/>
    <w:rsid w:val="00D92272"/>
    <w:rsid w:val="00D92A12"/>
    <w:rsid w:val="00D92EEF"/>
    <w:rsid w:val="00D93459"/>
    <w:rsid w:val="00D93EC2"/>
    <w:rsid w:val="00D947CC"/>
    <w:rsid w:val="00D94A8E"/>
    <w:rsid w:val="00D9603D"/>
    <w:rsid w:val="00D9662E"/>
    <w:rsid w:val="00D96AE6"/>
    <w:rsid w:val="00DA0BB1"/>
    <w:rsid w:val="00DA125F"/>
    <w:rsid w:val="00DA1606"/>
    <w:rsid w:val="00DA18B3"/>
    <w:rsid w:val="00DA1A6E"/>
    <w:rsid w:val="00DA345D"/>
    <w:rsid w:val="00DA3B9F"/>
    <w:rsid w:val="00DA3FB1"/>
    <w:rsid w:val="00DA4028"/>
    <w:rsid w:val="00DA46ED"/>
    <w:rsid w:val="00DA49A4"/>
    <w:rsid w:val="00DA4B6D"/>
    <w:rsid w:val="00DA5322"/>
    <w:rsid w:val="00DA54C1"/>
    <w:rsid w:val="00DA7137"/>
    <w:rsid w:val="00DA729A"/>
    <w:rsid w:val="00DA75B3"/>
    <w:rsid w:val="00DA7B07"/>
    <w:rsid w:val="00DA7EAF"/>
    <w:rsid w:val="00DB005D"/>
    <w:rsid w:val="00DB029E"/>
    <w:rsid w:val="00DB0A19"/>
    <w:rsid w:val="00DB27CB"/>
    <w:rsid w:val="00DB2EB2"/>
    <w:rsid w:val="00DB39BE"/>
    <w:rsid w:val="00DB39E3"/>
    <w:rsid w:val="00DB4CEC"/>
    <w:rsid w:val="00DB550F"/>
    <w:rsid w:val="00DB5BAE"/>
    <w:rsid w:val="00DB5C4B"/>
    <w:rsid w:val="00DB62DB"/>
    <w:rsid w:val="00DB650B"/>
    <w:rsid w:val="00DB779C"/>
    <w:rsid w:val="00DC0759"/>
    <w:rsid w:val="00DC1147"/>
    <w:rsid w:val="00DC1298"/>
    <w:rsid w:val="00DC248E"/>
    <w:rsid w:val="00DC314E"/>
    <w:rsid w:val="00DC31E8"/>
    <w:rsid w:val="00DC3F54"/>
    <w:rsid w:val="00DC4449"/>
    <w:rsid w:val="00DC561F"/>
    <w:rsid w:val="00DC5739"/>
    <w:rsid w:val="00DC5C6E"/>
    <w:rsid w:val="00DC6027"/>
    <w:rsid w:val="00DC666F"/>
    <w:rsid w:val="00DC6A7D"/>
    <w:rsid w:val="00DC6CE1"/>
    <w:rsid w:val="00DC6DCB"/>
    <w:rsid w:val="00DD0D3E"/>
    <w:rsid w:val="00DD0F8E"/>
    <w:rsid w:val="00DD1E4D"/>
    <w:rsid w:val="00DD2D0F"/>
    <w:rsid w:val="00DD3294"/>
    <w:rsid w:val="00DD3A42"/>
    <w:rsid w:val="00DD3E3B"/>
    <w:rsid w:val="00DD3E55"/>
    <w:rsid w:val="00DD40F8"/>
    <w:rsid w:val="00DD48F3"/>
    <w:rsid w:val="00DD502A"/>
    <w:rsid w:val="00DD5824"/>
    <w:rsid w:val="00DD5CD8"/>
    <w:rsid w:val="00DD66E2"/>
    <w:rsid w:val="00DD6F03"/>
    <w:rsid w:val="00DD71BF"/>
    <w:rsid w:val="00DE08D9"/>
    <w:rsid w:val="00DE17E3"/>
    <w:rsid w:val="00DE2453"/>
    <w:rsid w:val="00DE24DF"/>
    <w:rsid w:val="00DE2C15"/>
    <w:rsid w:val="00DE2D57"/>
    <w:rsid w:val="00DE310B"/>
    <w:rsid w:val="00DE31F4"/>
    <w:rsid w:val="00DE328A"/>
    <w:rsid w:val="00DE3B18"/>
    <w:rsid w:val="00DE3BE8"/>
    <w:rsid w:val="00DE45BC"/>
    <w:rsid w:val="00DE504B"/>
    <w:rsid w:val="00DE5F5B"/>
    <w:rsid w:val="00DE622F"/>
    <w:rsid w:val="00DE7B70"/>
    <w:rsid w:val="00DF0220"/>
    <w:rsid w:val="00DF111E"/>
    <w:rsid w:val="00DF169F"/>
    <w:rsid w:val="00DF1AAE"/>
    <w:rsid w:val="00DF2886"/>
    <w:rsid w:val="00DF3BA6"/>
    <w:rsid w:val="00DF44BD"/>
    <w:rsid w:val="00DF470A"/>
    <w:rsid w:val="00DF4C17"/>
    <w:rsid w:val="00DF57B5"/>
    <w:rsid w:val="00DF5893"/>
    <w:rsid w:val="00DF661C"/>
    <w:rsid w:val="00DF6F19"/>
    <w:rsid w:val="00DF7406"/>
    <w:rsid w:val="00E00674"/>
    <w:rsid w:val="00E011EE"/>
    <w:rsid w:val="00E0137F"/>
    <w:rsid w:val="00E01F8B"/>
    <w:rsid w:val="00E021A8"/>
    <w:rsid w:val="00E0238E"/>
    <w:rsid w:val="00E02927"/>
    <w:rsid w:val="00E0362D"/>
    <w:rsid w:val="00E040BE"/>
    <w:rsid w:val="00E04368"/>
    <w:rsid w:val="00E0457A"/>
    <w:rsid w:val="00E05083"/>
    <w:rsid w:val="00E066E9"/>
    <w:rsid w:val="00E07715"/>
    <w:rsid w:val="00E078F7"/>
    <w:rsid w:val="00E07B75"/>
    <w:rsid w:val="00E1003D"/>
    <w:rsid w:val="00E10051"/>
    <w:rsid w:val="00E10727"/>
    <w:rsid w:val="00E10992"/>
    <w:rsid w:val="00E10C55"/>
    <w:rsid w:val="00E10E7A"/>
    <w:rsid w:val="00E125E6"/>
    <w:rsid w:val="00E12BA2"/>
    <w:rsid w:val="00E13C8F"/>
    <w:rsid w:val="00E14B95"/>
    <w:rsid w:val="00E14CA5"/>
    <w:rsid w:val="00E1500D"/>
    <w:rsid w:val="00E15A06"/>
    <w:rsid w:val="00E16398"/>
    <w:rsid w:val="00E163BC"/>
    <w:rsid w:val="00E16944"/>
    <w:rsid w:val="00E1720B"/>
    <w:rsid w:val="00E17A0A"/>
    <w:rsid w:val="00E20F05"/>
    <w:rsid w:val="00E20FA1"/>
    <w:rsid w:val="00E23341"/>
    <w:rsid w:val="00E23B4A"/>
    <w:rsid w:val="00E23CF9"/>
    <w:rsid w:val="00E23FCA"/>
    <w:rsid w:val="00E2538D"/>
    <w:rsid w:val="00E25FCC"/>
    <w:rsid w:val="00E27555"/>
    <w:rsid w:val="00E2782D"/>
    <w:rsid w:val="00E303A8"/>
    <w:rsid w:val="00E30720"/>
    <w:rsid w:val="00E308A3"/>
    <w:rsid w:val="00E30F5A"/>
    <w:rsid w:val="00E31103"/>
    <w:rsid w:val="00E31613"/>
    <w:rsid w:val="00E317D1"/>
    <w:rsid w:val="00E32A3F"/>
    <w:rsid w:val="00E32BBA"/>
    <w:rsid w:val="00E32E19"/>
    <w:rsid w:val="00E33050"/>
    <w:rsid w:val="00E34167"/>
    <w:rsid w:val="00E345A1"/>
    <w:rsid w:val="00E348D7"/>
    <w:rsid w:val="00E350B1"/>
    <w:rsid w:val="00E35C2B"/>
    <w:rsid w:val="00E36AFE"/>
    <w:rsid w:val="00E371E6"/>
    <w:rsid w:val="00E37F83"/>
    <w:rsid w:val="00E401A2"/>
    <w:rsid w:val="00E40AA4"/>
    <w:rsid w:val="00E40B65"/>
    <w:rsid w:val="00E40C01"/>
    <w:rsid w:val="00E41084"/>
    <w:rsid w:val="00E41C8E"/>
    <w:rsid w:val="00E421B0"/>
    <w:rsid w:val="00E42A49"/>
    <w:rsid w:val="00E4313F"/>
    <w:rsid w:val="00E43178"/>
    <w:rsid w:val="00E43594"/>
    <w:rsid w:val="00E4372C"/>
    <w:rsid w:val="00E4448B"/>
    <w:rsid w:val="00E44D41"/>
    <w:rsid w:val="00E4530C"/>
    <w:rsid w:val="00E46247"/>
    <w:rsid w:val="00E46A9A"/>
    <w:rsid w:val="00E471CB"/>
    <w:rsid w:val="00E47D03"/>
    <w:rsid w:val="00E50178"/>
    <w:rsid w:val="00E50A28"/>
    <w:rsid w:val="00E50D2A"/>
    <w:rsid w:val="00E50E55"/>
    <w:rsid w:val="00E51101"/>
    <w:rsid w:val="00E515EF"/>
    <w:rsid w:val="00E51A4C"/>
    <w:rsid w:val="00E52492"/>
    <w:rsid w:val="00E52AF4"/>
    <w:rsid w:val="00E53CBF"/>
    <w:rsid w:val="00E54A74"/>
    <w:rsid w:val="00E54C5F"/>
    <w:rsid w:val="00E55246"/>
    <w:rsid w:val="00E55775"/>
    <w:rsid w:val="00E56405"/>
    <w:rsid w:val="00E56458"/>
    <w:rsid w:val="00E577BD"/>
    <w:rsid w:val="00E57A4D"/>
    <w:rsid w:val="00E57D02"/>
    <w:rsid w:val="00E6002A"/>
    <w:rsid w:val="00E605B9"/>
    <w:rsid w:val="00E6079C"/>
    <w:rsid w:val="00E62A32"/>
    <w:rsid w:val="00E62D74"/>
    <w:rsid w:val="00E6305B"/>
    <w:rsid w:val="00E63156"/>
    <w:rsid w:val="00E63735"/>
    <w:rsid w:val="00E63987"/>
    <w:rsid w:val="00E64540"/>
    <w:rsid w:val="00E649ED"/>
    <w:rsid w:val="00E64E86"/>
    <w:rsid w:val="00E65678"/>
    <w:rsid w:val="00E65B79"/>
    <w:rsid w:val="00E66068"/>
    <w:rsid w:val="00E67463"/>
    <w:rsid w:val="00E67F44"/>
    <w:rsid w:val="00E67FB2"/>
    <w:rsid w:val="00E70A8C"/>
    <w:rsid w:val="00E70CE0"/>
    <w:rsid w:val="00E71C9C"/>
    <w:rsid w:val="00E71D48"/>
    <w:rsid w:val="00E73269"/>
    <w:rsid w:val="00E736A2"/>
    <w:rsid w:val="00E75551"/>
    <w:rsid w:val="00E757D0"/>
    <w:rsid w:val="00E7584E"/>
    <w:rsid w:val="00E75884"/>
    <w:rsid w:val="00E75A46"/>
    <w:rsid w:val="00E75E1F"/>
    <w:rsid w:val="00E7617D"/>
    <w:rsid w:val="00E763E6"/>
    <w:rsid w:val="00E765B2"/>
    <w:rsid w:val="00E76B74"/>
    <w:rsid w:val="00E76C7C"/>
    <w:rsid w:val="00E76E39"/>
    <w:rsid w:val="00E76FDD"/>
    <w:rsid w:val="00E776E3"/>
    <w:rsid w:val="00E77815"/>
    <w:rsid w:val="00E8032E"/>
    <w:rsid w:val="00E8057B"/>
    <w:rsid w:val="00E809B4"/>
    <w:rsid w:val="00E812BF"/>
    <w:rsid w:val="00E81966"/>
    <w:rsid w:val="00E8265C"/>
    <w:rsid w:val="00E828A3"/>
    <w:rsid w:val="00E82969"/>
    <w:rsid w:val="00E82E46"/>
    <w:rsid w:val="00E83F89"/>
    <w:rsid w:val="00E857EC"/>
    <w:rsid w:val="00E85A44"/>
    <w:rsid w:val="00E85B25"/>
    <w:rsid w:val="00E863EF"/>
    <w:rsid w:val="00E87640"/>
    <w:rsid w:val="00E877B3"/>
    <w:rsid w:val="00E87F2C"/>
    <w:rsid w:val="00E90E01"/>
    <w:rsid w:val="00E90FB2"/>
    <w:rsid w:val="00E91270"/>
    <w:rsid w:val="00E92922"/>
    <w:rsid w:val="00E92C61"/>
    <w:rsid w:val="00E92D76"/>
    <w:rsid w:val="00E94349"/>
    <w:rsid w:val="00E949FF"/>
    <w:rsid w:val="00E94C6E"/>
    <w:rsid w:val="00E95E05"/>
    <w:rsid w:val="00E96A0B"/>
    <w:rsid w:val="00EA015E"/>
    <w:rsid w:val="00EA2AA5"/>
    <w:rsid w:val="00EA3206"/>
    <w:rsid w:val="00EA3BA7"/>
    <w:rsid w:val="00EA3F96"/>
    <w:rsid w:val="00EA4331"/>
    <w:rsid w:val="00EA47B6"/>
    <w:rsid w:val="00EA5313"/>
    <w:rsid w:val="00EA635E"/>
    <w:rsid w:val="00EA6A89"/>
    <w:rsid w:val="00EA7443"/>
    <w:rsid w:val="00EB0449"/>
    <w:rsid w:val="00EB0994"/>
    <w:rsid w:val="00EB0AFD"/>
    <w:rsid w:val="00EB1140"/>
    <w:rsid w:val="00EB264F"/>
    <w:rsid w:val="00EB2ADC"/>
    <w:rsid w:val="00EB3666"/>
    <w:rsid w:val="00EB3F82"/>
    <w:rsid w:val="00EB4759"/>
    <w:rsid w:val="00EB4863"/>
    <w:rsid w:val="00EB52FD"/>
    <w:rsid w:val="00EB542B"/>
    <w:rsid w:val="00EB6459"/>
    <w:rsid w:val="00EC00AB"/>
    <w:rsid w:val="00EC01C9"/>
    <w:rsid w:val="00EC01D7"/>
    <w:rsid w:val="00EC02D0"/>
    <w:rsid w:val="00EC033E"/>
    <w:rsid w:val="00EC054F"/>
    <w:rsid w:val="00EC07A0"/>
    <w:rsid w:val="00EC0AA4"/>
    <w:rsid w:val="00EC14D2"/>
    <w:rsid w:val="00EC1752"/>
    <w:rsid w:val="00EC25ED"/>
    <w:rsid w:val="00EC2CB6"/>
    <w:rsid w:val="00EC3158"/>
    <w:rsid w:val="00EC3258"/>
    <w:rsid w:val="00EC36DC"/>
    <w:rsid w:val="00EC3A9B"/>
    <w:rsid w:val="00EC5F8C"/>
    <w:rsid w:val="00EC6779"/>
    <w:rsid w:val="00EC6905"/>
    <w:rsid w:val="00EC782D"/>
    <w:rsid w:val="00EC7DCD"/>
    <w:rsid w:val="00ED04FB"/>
    <w:rsid w:val="00ED081A"/>
    <w:rsid w:val="00ED0CB8"/>
    <w:rsid w:val="00ED1E21"/>
    <w:rsid w:val="00ED1FBF"/>
    <w:rsid w:val="00ED2291"/>
    <w:rsid w:val="00ED2809"/>
    <w:rsid w:val="00ED2868"/>
    <w:rsid w:val="00ED303F"/>
    <w:rsid w:val="00ED3D7D"/>
    <w:rsid w:val="00ED3F0E"/>
    <w:rsid w:val="00ED48AD"/>
    <w:rsid w:val="00ED49B2"/>
    <w:rsid w:val="00ED4BB8"/>
    <w:rsid w:val="00ED52C1"/>
    <w:rsid w:val="00ED52FB"/>
    <w:rsid w:val="00ED63EB"/>
    <w:rsid w:val="00ED6685"/>
    <w:rsid w:val="00ED671A"/>
    <w:rsid w:val="00ED68E9"/>
    <w:rsid w:val="00ED6D64"/>
    <w:rsid w:val="00EE07AA"/>
    <w:rsid w:val="00EE0E2D"/>
    <w:rsid w:val="00EE130E"/>
    <w:rsid w:val="00EE1349"/>
    <w:rsid w:val="00EE13F7"/>
    <w:rsid w:val="00EE1A99"/>
    <w:rsid w:val="00EE1E15"/>
    <w:rsid w:val="00EE1E3C"/>
    <w:rsid w:val="00EE223E"/>
    <w:rsid w:val="00EE24A2"/>
    <w:rsid w:val="00EE28D8"/>
    <w:rsid w:val="00EE3009"/>
    <w:rsid w:val="00EE4261"/>
    <w:rsid w:val="00EE4DCC"/>
    <w:rsid w:val="00EE4E44"/>
    <w:rsid w:val="00EE4E7E"/>
    <w:rsid w:val="00EE56E0"/>
    <w:rsid w:val="00EE5CDE"/>
    <w:rsid w:val="00EE6173"/>
    <w:rsid w:val="00EE6CFA"/>
    <w:rsid w:val="00EE756C"/>
    <w:rsid w:val="00EE77B2"/>
    <w:rsid w:val="00EE78BB"/>
    <w:rsid w:val="00EE7A8C"/>
    <w:rsid w:val="00EF033D"/>
    <w:rsid w:val="00EF0FAE"/>
    <w:rsid w:val="00EF10E6"/>
    <w:rsid w:val="00EF12EE"/>
    <w:rsid w:val="00EF2505"/>
    <w:rsid w:val="00EF2BE3"/>
    <w:rsid w:val="00EF33F6"/>
    <w:rsid w:val="00EF3E0A"/>
    <w:rsid w:val="00EF3F44"/>
    <w:rsid w:val="00EF5682"/>
    <w:rsid w:val="00EF5872"/>
    <w:rsid w:val="00EF60D2"/>
    <w:rsid w:val="00EF7864"/>
    <w:rsid w:val="00F01362"/>
    <w:rsid w:val="00F02122"/>
    <w:rsid w:val="00F02326"/>
    <w:rsid w:val="00F02760"/>
    <w:rsid w:val="00F0493C"/>
    <w:rsid w:val="00F06DA9"/>
    <w:rsid w:val="00F070E0"/>
    <w:rsid w:val="00F077E2"/>
    <w:rsid w:val="00F10971"/>
    <w:rsid w:val="00F10B2E"/>
    <w:rsid w:val="00F116AA"/>
    <w:rsid w:val="00F1182A"/>
    <w:rsid w:val="00F1264D"/>
    <w:rsid w:val="00F12D5D"/>
    <w:rsid w:val="00F12E21"/>
    <w:rsid w:val="00F13010"/>
    <w:rsid w:val="00F13D55"/>
    <w:rsid w:val="00F13D6A"/>
    <w:rsid w:val="00F143F9"/>
    <w:rsid w:val="00F14E6B"/>
    <w:rsid w:val="00F15D39"/>
    <w:rsid w:val="00F161C2"/>
    <w:rsid w:val="00F162D6"/>
    <w:rsid w:val="00F16C1B"/>
    <w:rsid w:val="00F16F73"/>
    <w:rsid w:val="00F17926"/>
    <w:rsid w:val="00F17C90"/>
    <w:rsid w:val="00F20C11"/>
    <w:rsid w:val="00F20EFE"/>
    <w:rsid w:val="00F21FB5"/>
    <w:rsid w:val="00F22147"/>
    <w:rsid w:val="00F225C6"/>
    <w:rsid w:val="00F22BDC"/>
    <w:rsid w:val="00F23C8D"/>
    <w:rsid w:val="00F248C2"/>
    <w:rsid w:val="00F25239"/>
    <w:rsid w:val="00F25C07"/>
    <w:rsid w:val="00F276D6"/>
    <w:rsid w:val="00F27E7F"/>
    <w:rsid w:val="00F30C91"/>
    <w:rsid w:val="00F314AF"/>
    <w:rsid w:val="00F31839"/>
    <w:rsid w:val="00F31FF8"/>
    <w:rsid w:val="00F322BE"/>
    <w:rsid w:val="00F32892"/>
    <w:rsid w:val="00F32FCC"/>
    <w:rsid w:val="00F3372C"/>
    <w:rsid w:val="00F33A52"/>
    <w:rsid w:val="00F35CBE"/>
    <w:rsid w:val="00F35DD7"/>
    <w:rsid w:val="00F36295"/>
    <w:rsid w:val="00F36726"/>
    <w:rsid w:val="00F36CB8"/>
    <w:rsid w:val="00F37764"/>
    <w:rsid w:val="00F406C0"/>
    <w:rsid w:val="00F41FA0"/>
    <w:rsid w:val="00F4216E"/>
    <w:rsid w:val="00F425C2"/>
    <w:rsid w:val="00F43219"/>
    <w:rsid w:val="00F433D9"/>
    <w:rsid w:val="00F44331"/>
    <w:rsid w:val="00F445A9"/>
    <w:rsid w:val="00F448DE"/>
    <w:rsid w:val="00F45C3E"/>
    <w:rsid w:val="00F46D59"/>
    <w:rsid w:val="00F5055E"/>
    <w:rsid w:val="00F50B75"/>
    <w:rsid w:val="00F53437"/>
    <w:rsid w:val="00F535F9"/>
    <w:rsid w:val="00F53B84"/>
    <w:rsid w:val="00F543A6"/>
    <w:rsid w:val="00F54559"/>
    <w:rsid w:val="00F55AC9"/>
    <w:rsid w:val="00F565A7"/>
    <w:rsid w:val="00F5720E"/>
    <w:rsid w:val="00F602DE"/>
    <w:rsid w:val="00F609E8"/>
    <w:rsid w:val="00F60BA4"/>
    <w:rsid w:val="00F61457"/>
    <w:rsid w:val="00F624DC"/>
    <w:rsid w:val="00F62FC9"/>
    <w:rsid w:val="00F64874"/>
    <w:rsid w:val="00F64B47"/>
    <w:rsid w:val="00F65B74"/>
    <w:rsid w:val="00F65D0C"/>
    <w:rsid w:val="00F6663E"/>
    <w:rsid w:val="00F67203"/>
    <w:rsid w:val="00F67AA7"/>
    <w:rsid w:val="00F706A6"/>
    <w:rsid w:val="00F70E7F"/>
    <w:rsid w:val="00F714F0"/>
    <w:rsid w:val="00F7166A"/>
    <w:rsid w:val="00F71871"/>
    <w:rsid w:val="00F718E4"/>
    <w:rsid w:val="00F72352"/>
    <w:rsid w:val="00F72443"/>
    <w:rsid w:val="00F726B1"/>
    <w:rsid w:val="00F72910"/>
    <w:rsid w:val="00F73ADF"/>
    <w:rsid w:val="00F74781"/>
    <w:rsid w:val="00F74C0F"/>
    <w:rsid w:val="00F74D49"/>
    <w:rsid w:val="00F752C0"/>
    <w:rsid w:val="00F7568A"/>
    <w:rsid w:val="00F75DFC"/>
    <w:rsid w:val="00F76490"/>
    <w:rsid w:val="00F774CA"/>
    <w:rsid w:val="00F77914"/>
    <w:rsid w:val="00F80435"/>
    <w:rsid w:val="00F80B77"/>
    <w:rsid w:val="00F80CD4"/>
    <w:rsid w:val="00F80E7D"/>
    <w:rsid w:val="00F812F1"/>
    <w:rsid w:val="00F816E9"/>
    <w:rsid w:val="00F81A17"/>
    <w:rsid w:val="00F82F4D"/>
    <w:rsid w:val="00F83139"/>
    <w:rsid w:val="00F83486"/>
    <w:rsid w:val="00F8353D"/>
    <w:rsid w:val="00F835DB"/>
    <w:rsid w:val="00F839E2"/>
    <w:rsid w:val="00F83E9B"/>
    <w:rsid w:val="00F84027"/>
    <w:rsid w:val="00F860F1"/>
    <w:rsid w:val="00F87D58"/>
    <w:rsid w:val="00F87E92"/>
    <w:rsid w:val="00F90E59"/>
    <w:rsid w:val="00F9102B"/>
    <w:rsid w:val="00F91D27"/>
    <w:rsid w:val="00F92735"/>
    <w:rsid w:val="00F948F0"/>
    <w:rsid w:val="00F9603A"/>
    <w:rsid w:val="00F972D0"/>
    <w:rsid w:val="00F973B9"/>
    <w:rsid w:val="00F97AE7"/>
    <w:rsid w:val="00FA0F41"/>
    <w:rsid w:val="00FA1386"/>
    <w:rsid w:val="00FA1E10"/>
    <w:rsid w:val="00FA26E4"/>
    <w:rsid w:val="00FA2D91"/>
    <w:rsid w:val="00FA3AF5"/>
    <w:rsid w:val="00FA422C"/>
    <w:rsid w:val="00FA450F"/>
    <w:rsid w:val="00FA59CA"/>
    <w:rsid w:val="00FA5B9D"/>
    <w:rsid w:val="00FA686C"/>
    <w:rsid w:val="00FA6D82"/>
    <w:rsid w:val="00FA6FC3"/>
    <w:rsid w:val="00FA732C"/>
    <w:rsid w:val="00FA789B"/>
    <w:rsid w:val="00FA7C73"/>
    <w:rsid w:val="00FB0AE6"/>
    <w:rsid w:val="00FB1C0B"/>
    <w:rsid w:val="00FB2048"/>
    <w:rsid w:val="00FB240B"/>
    <w:rsid w:val="00FB4449"/>
    <w:rsid w:val="00FB4686"/>
    <w:rsid w:val="00FB52E3"/>
    <w:rsid w:val="00FB5B2A"/>
    <w:rsid w:val="00FB5F41"/>
    <w:rsid w:val="00FB61DF"/>
    <w:rsid w:val="00FB62E6"/>
    <w:rsid w:val="00FB7222"/>
    <w:rsid w:val="00FB726C"/>
    <w:rsid w:val="00FB76F7"/>
    <w:rsid w:val="00FB7ACB"/>
    <w:rsid w:val="00FC0106"/>
    <w:rsid w:val="00FC0262"/>
    <w:rsid w:val="00FC0D61"/>
    <w:rsid w:val="00FC11CE"/>
    <w:rsid w:val="00FC157F"/>
    <w:rsid w:val="00FC2064"/>
    <w:rsid w:val="00FC2AAD"/>
    <w:rsid w:val="00FC4CF3"/>
    <w:rsid w:val="00FC5281"/>
    <w:rsid w:val="00FC534F"/>
    <w:rsid w:val="00FC5843"/>
    <w:rsid w:val="00FC64AC"/>
    <w:rsid w:val="00FC64F2"/>
    <w:rsid w:val="00FC6A70"/>
    <w:rsid w:val="00FC7938"/>
    <w:rsid w:val="00FD0969"/>
    <w:rsid w:val="00FD1B4B"/>
    <w:rsid w:val="00FD2DE4"/>
    <w:rsid w:val="00FD318F"/>
    <w:rsid w:val="00FD3F6C"/>
    <w:rsid w:val="00FD51B7"/>
    <w:rsid w:val="00FD55DF"/>
    <w:rsid w:val="00FD5821"/>
    <w:rsid w:val="00FD6257"/>
    <w:rsid w:val="00FD6404"/>
    <w:rsid w:val="00FD6FC1"/>
    <w:rsid w:val="00FD7806"/>
    <w:rsid w:val="00FD7844"/>
    <w:rsid w:val="00FD7F91"/>
    <w:rsid w:val="00FE010D"/>
    <w:rsid w:val="00FE0621"/>
    <w:rsid w:val="00FE0A4F"/>
    <w:rsid w:val="00FE18DA"/>
    <w:rsid w:val="00FE1BD8"/>
    <w:rsid w:val="00FE29EC"/>
    <w:rsid w:val="00FE2A96"/>
    <w:rsid w:val="00FE2CCB"/>
    <w:rsid w:val="00FE2EFC"/>
    <w:rsid w:val="00FE34AF"/>
    <w:rsid w:val="00FE360A"/>
    <w:rsid w:val="00FE3DF0"/>
    <w:rsid w:val="00FE4151"/>
    <w:rsid w:val="00FE45C2"/>
    <w:rsid w:val="00FE59A1"/>
    <w:rsid w:val="00FE6305"/>
    <w:rsid w:val="00FE6819"/>
    <w:rsid w:val="00FE6AA3"/>
    <w:rsid w:val="00FE73D0"/>
    <w:rsid w:val="00FE7509"/>
    <w:rsid w:val="00FE7AA4"/>
    <w:rsid w:val="00FE7DF8"/>
    <w:rsid w:val="00FE7E37"/>
    <w:rsid w:val="00FF05ED"/>
    <w:rsid w:val="00FF0858"/>
    <w:rsid w:val="00FF1084"/>
    <w:rsid w:val="00FF1F25"/>
    <w:rsid w:val="00FF1FF4"/>
    <w:rsid w:val="00FF369D"/>
    <w:rsid w:val="00FF51E8"/>
    <w:rsid w:val="00FF6EDA"/>
    <w:rsid w:val="00FF6EF5"/>
    <w:rsid w:val="00FF74A9"/>
    <w:rsid w:val="00FF776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517D0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jc w:val="both"/>
      </w:pPr>
    </w:pPrDefault>
  </w:docDefaults>
  <w:latentStyles w:defLockedState="0" w:defUIPriority="99" w:defSemiHidden="0" w:defUnhideWhenUsed="0" w:defQFormat="0" w:count="371">
    <w:lsdException w:name="Normal" w:uiPriority="0"/>
    <w:lsdException w:name="heading 1" w:uiPriority="0" w:qFormat="1"/>
    <w:lsdException w:name="heading 2" w:semiHidden="1" w:uiPriority="0"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70313"/>
  </w:style>
  <w:style w:type="paragraph" w:styleId="Heading1">
    <w:name w:val="heading 1"/>
    <w:basedOn w:val="Normal"/>
    <w:next w:val="Normal"/>
    <w:link w:val="Heading1Char"/>
    <w:qFormat/>
    <w:rsid w:val="00A44DA6"/>
    <w:pPr>
      <w:keepNext/>
      <w:keepLines/>
      <w:numPr>
        <w:numId w:val="5"/>
      </w:numPr>
      <w:spacing w:before="480" w:after="240"/>
      <w:jc w:val="left"/>
      <w:outlineLvl w:val="0"/>
    </w:pPr>
    <w:rPr>
      <w:rFonts w:ascii="Calibri Light" w:eastAsiaTheme="majorEastAsia" w:hAnsi="Calibri Light" w:cstheme="majorBidi"/>
      <w:b/>
      <w:color w:val="002D88" w:themeColor="accent6" w:themeTint="E6"/>
      <w:sz w:val="32"/>
      <w:szCs w:val="32"/>
    </w:rPr>
  </w:style>
  <w:style w:type="paragraph" w:styleId="Heading2">
    <w:name w:val="heading 2"/>
    <w:aliases w:val="Heading 1.1"/>
    <w:basedOn w:val="Normal"/>
    <w:next w:val="Normal"/>
    <w:link w:val="Heading2Char"/>
    <w:unhideWhenUsed/>
    <w:qFormat/>
    <w:rsid w:val="00BD3823"/>
    <w:pPr>
      <w:keepNext/>
      <w:keepLines/>
      <w:spacing w:before="320" w:after="120"/>
      <w:jc w:val="left"/>
      <w:outlineLvl w:val="1"/>
    </w:pPr>
    <w:rPr>
      <w:rFonts w:ascii="Calibri Light" w:eastAsiaTheme="majorEastAsia" w:hAnsi="Calibri Light" w:cstheme="majorBidi"/>
      <w:b/>
      <w:color w:val="BC1D43"/>
      <w:sz w:val="24"/>
      <w:szCs w:val="26"/>
    </w:rPr>
  </w:style>
  <w:style w:type="paragraph" w:styleId="Heading3">
    <w:name w:val="heading 3"/>
    <w:basedOn w:val="Normal"/>
    <w:next w:val="Normal"/>
    <w:link w:val="Heading3Char"/>
    <w:uiPriority w:val="9"/>
    <w:unhideWhenUsed/>
    <w:rsid w:val="004F3638"/>
    <w:pPr>
      <w:keepNext/>
      <w:keepLines/>
      <w:numPr>
        <w:ilvl w:val="2"/>
        <w:numId w:val="5"/>
      </w:numPr>
      <w:spacing w:before="240" w:after="120"/>
      <w:jc w:val="left"/>
      <w:outlineLvl w:val="2"/>
    </w:pPr>
    <w:rPr>
      <w:rFonts w:ascii="Calibri Light" w:eastAsiaTheme="majorEastAsia" w:hAnsi="Calibri Light" w:cstheme="majorBidi"/>
      <w:color w:val="BC1D43"/>
      <w:sz w:val="21"/>
      <w:lang w:val="en-GB"/>
    </w:rPr>
  </w:style>
  <w:style w:type="paragraph" w:styleId="Heading4">
    <w:name w:val="heading 4"/>
    <w:basedOn w:val="Normal"/>
    <w:next w:val="Normal"/>
    <w:link w:val="Heading4Char"/>
    <w:uiPriority w:val="9"/>
    <w:unhideWhenUsed/>
    <w:rsid w:val="003A35E3"/>
    <w:pPr>
      <w:keepNext/>
      <w:keepLines/>
      <w:numPr>
        <w:ilvl w:val="3"/>
        <w:numId w:val="5"/>
      </w:numPr>
      <w:spacing w:before="200" w:after="0" w:line="276" w:lineRule="auto"/>
      <w:jc w:val="left"/>
      <w:outlineLvl w:val="3"/>
    </w:pPr>
    <w:rPr>
      <w:rFonts w:ascii="Arial" w:eastAsiaTheme="majorEastAsia" w:hAnsi="Arial" w:cstheme="majorBidi"/>
      <w:b/>
      <w:bCs/>
      <w:iCs/>
      <w:color w:val="002060"/>
      <w:lang w:eastAsia="en-AU"/>
    </w:rPr>
  </w:style>
  <w:style w:type="paragraph" w:styleId="Heading5">
    <w:name w:val="heading 5"/>
    <w:aliases w:val="h5"/>
    <w:basedOn w:val="Normal"/>
    <w:next w:val="Normal"/>
    <w:link w:val="Heading5Char"/>
    <w:uiPriority w:val="9"/>
    <w:unhideWhenUsed/>
    <w:rsid w:val="003A35E3"/>
    <w:pPr>
      <w:keepNext/>
      <w:keepLines/>
      <w:numPr>
        <w:ilvl w:val="4"/>
        <w:numId w:val="5"/>
      </w:numPr>
      <w:spacing w:before="200" w:after="0" w:line="276" w:lineRule="auto"/>
      <w:jc w:val="left"/>
      <w:outlineLvl w:val="4"/>
    </w:pPr>
    <w:rPr>
      <w:rFonts w:asciiTheme="majorHAnsi" w:eastAsiaTheme="majorEastAsia" w:hAnsiTheme="majorHAnsi" w:cstheme="majorBidi"/>
      <w:color w:val="004845" w:themeColor="accent1" w:themeShade="7F"/>
      <w:lang w:eastAsia="en-AU"/>
    </w:rPr>
  </w:style>
  <w:style w:type="paragraph" w:styleId="Heading6">
    <w:name w:val="heading 6"/>
    <w:basedOn w:val="Normal"/>
    <w:next w:val="Normal"/>
    <w:link w:val="Heading6Char"/>
    <w:uiPriority w:val="9"/>
    <w:unhideWhenUsed/>
    <w:rsid w:val="003A35E3"/>
    <w:pPr>
      <w:keepNext/>
      <w:keepLines/>
      <w:numPr>
        <w:ilvl w:val="5"/>
        <w:numId w:val="5"/>
      </w:numPr>
      <w:spacing w:before="200" w:after="0" w:line="276" w:lineRule="auto"/>
      <w:jc w:val="left"/>
      <w:outlineLvl w:val="5"/>
    </w:pPr>
    <w:rPr>
      <w:rFonts w:asciiTheme="majorHAnsi" w:eastAsiaTheme="majorEastAsia" w:hAnsiTheme="majorHAnsi" w:cstheme="majorBidi"/>
      <w:i/>
      <w:iCs/>
      <w:color w:val="004845" w:themeColor="accent1" w:themeShade="7F"/>
      <w:lang w:eastAsia="en-AU"/>
    </w:rPr>
  </w:style>
  <w:style w:type="paragraph" w:styleId="Heading7">
    <w:name w:val="heading 7"/>
    <w:basedOn w:val="Normal"/>
    <w:next w:val="Normal"/>
    <w:link w:val="Heading7Char"/>
    <w:uiPriority w:val="9"/>
    <w:unhideWhenUsed/>
    <w:rsid w:val="003A35E3"/>
    <w:pPr>
      <w:keepNext/>
      <w:keepLines/>
      <w:numPr>
        <w:ilvl w:val="6"/>
        <w:numId w:val="5"/>
      </w:numPr>
      <w:spacing w:before="200" w:after="0" w:line="276" w:lineRule="auto"/>
      <w:jc w:val="left"/>
      <w:outlineLvl w:val="6"/>
    </w:pPr>
    <w:rPr>
      <w:rFonts w:asciiTheme="majorHAnsi" w:eastAsiaTheme="majorEastAsia" w:hAnsiTheme="majorHAnsi" w:cstheme="majorBidi"/>
      <w:i/>
      <w:iCs/>
      <w:color w:val="404040" w:themeColor="text1" w:themeTint="BF"/>
      <w:lang w:eastAsia="en-AU"/>
    </w:rPr>
  </w:style>
  <w:style w:type="paragraph" w:styleId="Heading8">
    <w:name w:val="heading 8"/>
    <w:basedOn w:val="Normal"/>
    <w:next w:val="Normal"/>
    <w:link w:val="Heading8Char"/>
    <w:uiPriority w:val="9"/>
    <w:unhideWhenUsed/>
    <w:rsid w:val="003A35E3"/>
    <w:pPr>
      <w:keepNext/>
      <w:keepLines/>
      <w:numPr>
        <w:ilvl w:val="7"/>
        <w:numId w:val="5"/>
      </w:numPr>
      <w:spacing w:before="200" w:after="0" w:line="276" w:lineRule="auto"/>
      <w:jc w:val="left"/>
      <w:outlineLvl w:val="7"/>
    </w:pPr>
    <w:rPr>
      <w:rFonts w:asciiTheme="majorHAnsi" w:eastAsiaTheme="majorEastAsia" w:hAnsiTheme="majorHAnsi" w:cstheme="majorBidi"/>
      <w:color w:val="00928C" w:themeColor="accent1"/>
      <w:sz w:val="20"/>
      <w:szCs w:val="20"/>
      <w:lang w:eastAsia="en-AU"/>
    </w:rPr>
  </w:style>
  <w:style w:type="paragraph" w:styleId="Heading9">
    <w:name w:val="heading 9"/>
    <w:basedOn w:val="Normal"/>
    <w:next w:val="Normal"/>
    <w:link w:val="Heading9Char"/>
    <w:uiPriority w:val="9"/>
    <w:unhideWhenUsed/>
    <w:rsid w:val="003A35E3"/>
    <w:pPr>
      <w:keepNext/>
      <w:keepLines/>
      <w:numPr>
        <w:ilvl w:val="8"/>
        <w:numId w:val="5"/>
      </w:numPr>
      <w:spacing w:before="200" w:after="0" w:line="276" w:lineRule="auto"/>
      <w:jc w:val="left"/>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44DA6"/>
    <w:rPr>
      <w:rFonts w:ascii="Calibri Light" w:eastAsiaTheme="majorEastAsia" w:hAnsi="Calibri Light" w:cstheme="majorBidi"/>
      <w:b/>
      <w:color w:val="002D88" w:themeColor="accent6" w:themeTint="E6"/>
      <w:sz w:val="32"/>
      <w:szCs w:val="32"/>
    </w:rPr>
  </w:style>
  <w:style w:type="character" w:customStyle="1" w:styleId="Heading2Char">
    <w:name w:val="Heading 2 Char"/>
    <w:aliases w:val="Heading 1.1 Char"/>
    <w:basedOn w:val="DefaultParagraphFont"/>
    <w:link w:val="Heading2"/>
    <w:uiPriority w:val="9"/>
    <w:rsid w:val="00BD3823"/>
    <w:rPr>
      <w:rFonts w:ascii="Calibri Light" w:eastAsiaTheme="majorEastAsia" w:hAnsi="Calibri Light" w:cstheme="majorBidi"/>
      <w:b/>
      <w:color w:val="BC1D43"/>
      <w:sz w:val="24"/>
      <w:szCs w:val="26"/>
    </w:rPr>
  </w:style>
  <w:style w:type="character" w:customStyle="1" w:styleId="Heading3Char">
    <w:name w:val="Heading 3 Char"/>
    <w:basedOn w:val="DefaultParagraphFont"/>
    <w:link w:val="Heading3"/>
    <w:uiPriority w:val="9"/>
    <w:rsid w:val="004F3638"/>
    <w:rPr>
      <w:rFonts w:ascii="Calibri Light" w:eastAsiaTheme="majorEastAsia" w:hAnsi="Calibri Light" w:cstheme="majorBidi"/>
      <w:color w:val="BC1D43"/>
      <w:sz w:val="21"/>
      <w:lang w:val="en-GB"/>
    </w:rPr>
  </w:style>
  <w:style w:type="character" w:customStyle="1" w:styleId="Heading4Char">
    <w:name w:val="Heading 4 Char"/>
    <w:basedOn w:val="DefaultParagraphFont"/>
    <w:link w:val="Heading4"/>
    <w:uiPriority w:val="9"/>
    <w:rsid w:val="003A35E3"/>
    <w:rPr>
      <w:rFonts w:ascii="Arial" w:eastAsiaTheme="majorEastAsia" w:hAnsi="Arial" w:cstheme="majorBidi"/>
      <w:b/>
      <w:bCs/>
      <w:iCs/>
      <w:color w:val="002060"/>
      <w:lang w:eastAsia="en-AU"/>
    </w:rPr>
  </w:style>
  <w:style w:type="character" w:customStyle="1" w:styleId="Heading5Char">
    <w:name w:val="Heading 5 Char"/>
    <w:aliases w:val="h5 Char"/>
    <w:basedOn w:val="DefaultParagraphFont"/>
    <w:link w:val="Heading5"/>
    <w:uiPriority w:val="9"/>
    <w:rsid w:val="003A35E3"/>
    <w:rPr>
      <w:rFonts w:asciiTheme="majorHAnsi" w:eastAsiaTheme="majorEastAsia" w:hAnsiTheme="majorHAnsi" w:cstheme="majorBidi"/>
      <w:color w:val="004845" w:themeColor="accent1" w:themeShade="7F"/>
      <w:lang w:eastAsia="en-AU"/>
    </w:rPr>
  </w:style>
  <w:style w:type="character" w:customStyle="1" w:styleId="Heading6Char">
    <w:name w:val="Heading 6 Char"/>
    <w:basedOn w:val="DefaultParagraphFont"/>
    <w:link w:val="Heading6"/>
    <w:uiPriority w:val="9"/>
    <w:rsid w:val="003A35E3"/>
    <w:rPr>
      <w:rFonts w:asciiTheme="majorHAnsi" w:eastAsiaTheme="majorEastAsia" w:hAnsiTheme="majorHAnsi" w:cstheme="majorBidi"/>
      <w:i/>
      <w:iCs/>
      <w:color w:val="004845" w:themeColor="accent1" w:themeShade="7F"/>
      <w:lang w:eastAsia="en-AU"/>
    </w:rPr>
  </w:style>
  <w:style w:type="character" w:customStyle="1" w:styleId="Heading7Char">
    <w:name w:val="Heading 7 Char"/>
    <w:basedOn w:val="DefaultParagraphFont"/>
    <w:link w:val="Heading7"/>
    <w:uiPriority w:val="9"/>
    <w:rsid w:val="003A35E3"/>
    <w:rPr>
      <w:rFonts w:asciiTheme="majorHAnsi" w:eastAsiaTheme="majorEastAsia" w:hAnsiTheme="majorHAnsi" w:cstheme="majorBidi"/>
      <w:i/>
      <w:iCs/>
      <w:color w:val="404040" w:themeColor="text1" w:themeTint="BF"/>
      <w:lang w:eastAsia="en-AU"/>
    </w:rPr>
  </w:style>
  <w:style w:type="character" w:customStyle="1" w:styleId="Heading8Char">
    <w:name w:val="Heading 8 Char"/>
    <w:basedOn w:val="DefaultParagraphFont"/>
    <w:link w:val="Heading8"/>
    <w:uiPriority w:val="9"/>
    <w:rsid w:val="003A35E3"/>
    <w:rPr>
      <w:rFonts w:asciiTheme="majorHAnsi" w:eastAsiaTheme="majorEastAsia" w:hAnsiTheme="majorHAnsi" w:cstheme="majorBidi"/>
      <w:color w:val="00928C" w:themeColor="accent1"/>
      <w:sz w:val="20"/>
      <w:szCs w:val="20"/>
      <w:lang w:eastAsia="en-AU"/>
    </w:rPr>
  </w:style>
  <w:style w:type="character" w:customStyle="1" w:styleId="Heading9Char">
    <w:name w:val="Heading 9 Char"/>
    <w:basedOn w:val="DefaultParagraphFont"/>
    <w:link w:val="Heading9"/>
    <w:uiPriority w:val="9"/>
    <w:rsid w:val="003A35E3"/>
    <w:rPr>
      <w:rFonts w:asciiTheme="majorHAnsi" w:eastAsiaTheme="majorEastAsia" w:hAnsiTheme="majorHAnsi" w:cstheme="majorBidi"/>
      <w:i/>
      <w:iCs/>
      <w:color w:val="404040" w:themeColor="text1" w:themeTint="BF"/>
      <w:sz w:val="20"/>
      <w:szCs w:val="20"/>
      <w:lang w:eastAsia="en-AU"/>
    </w:rPr>
  </w:style>
  <w:style w:type="paragraph" w:customStyle="1" w:styleId="Default">
    <w:name w:val="Default"/>
    <w:rsid w:val="003D6597"/>
    <w:pPr>
      <w:autoSpaceDE w:val="0"/>
      <w:autoSpaceDN w:val="0"/>
      <w:adjustRightInd w:val="0"/>
      <w:spacing w:after="0"/>
      <w:jc w:val="left"/>
    </w:pPr>
    <w:rPr>
      <w:rFonts w:ascii="Times New Roman" w:hAnsi="Times New Roman" w:cs="Times New Roman"/>
      <w:color w:val="000000"/>
      <w:sz w:val="24"/>
      <w:szCs w:val="24"/>
    </w:rPr>
  </w:style>
  <w:style w:type="table" w:styleId="TableGrid">
    <w:name w:val="Table Grid"/>
    <w:aliases w:val="GRM Table"/>
    <w:basedOn w:val="TableNormal"/>
    <w:uiPriority w:val="39"/>
    <w:rsid w:val="003D659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74781"/>
    <w:rPr>
      <w:rFonts w:ascii="Arial" w:hAnsi="Arial"/>
      <w:b w:val="0"/>
      <w:color w:val="595959" w:themeColor="text1" w:themeTint="A6"/>
      <w:sz w:val="20"/>
      <w:u w:val="single"/>
    </w:rPr>
  </w:style>
  <w:style w:type="paragraph" w:styleId="BodyText">
    <w:name w:val="Body Text"/>
    <w:basedOn w:val="Normal"/>
    <w:link w:val="BodyTextChar"/>
    <w:uiPriority w:val="99"/>
    <w:unhideWhenUsed/>
    <w:qFormat/>
    <w:rsid w:val="00B5282C"/>
    <w:pPr>
      <w:spacing w:after="120" w:line="276" w:lineRule="auto"/>
      <w:jc w:val="left"/>
    </w:pPr>
  </w:style>
  <w:style w:type="character" w:customStyle="1" w:styleId="BodyTextChar">
    <w:name w:val="Body Text Char"/>
    <w:basedOn w:val="DefaultParagraphFont"/>
    <w:link w:val="BodyText"/>
    <w:uiPriority w:val="99"/>
    <w:rsid w:val="00B5282C"/>
  </w:style>
  <w:style w:type="paragraph" w:styleId="Header">
    <w:name w:val="header"/>
    <w:basedOn w:val="Normal"/>
    <w:link w:val="HeaderChar"/>
    <w:uiPriority w:val="99"/>
    <w:unhideWhenUsed/>
    <w:rsid w:val="004365FF"/>
    <w:pPr>
      <w:spacing w:after="0"/>
      <w:ind w:right="-709"/>
      <w:jc w:val="right"/>
    </w:pPr>
    <w:rPr>
      <w:rFonts w:cs="Arial"/>
      <w:color w:val="999999"/>
      <w:spacing w:val="20"/>
      <w:sz w:val="16"/>
      <w:szCs w:val="16"/>
    </w:rPr>
  </w:style>
  <w:style w:type="character" w:customStyle="1" w:styleId="HeaderChar">
    <w:name w:val="Header Char"/>
    <w:basedOn w:val="DefaultParagraphFont"/>
    <w:link w:val="Header"/>
    <w:uiPriority w:val="99"/>
    <w:rsid w:val="004365FF"/>
    <w:rPr>
      <w:rFonts w:cs="Arial"/>
      <w:color w:val="999999"/>
      <w:spacing w:val="20"/>
      <w:sz w:val="16"/>
      <w:szCs w:val="16"/>
    </w:rPr>
  </w:style>
  <w:style w:type="paragraph" w:styleId="Footer">
    <w:name w:val="footer"/>
    <w:basedOn w:val="Normal"/>
    <w:link w:val="FooterChar"/>
    <w:uiPriority w:val="99"/>
    <w:unhideWhenUsed/>
    <w:rsid w:val="00317DD3"/>
    <w:pPr>
      <w:tabs>
        <w:tab w:val="center" w:pos="4513"/>
        <w:tab w:val="right" w:pos="9026"/>
      </w:tabs>
      <w:spacing w:after="0"/>
    </w:pPr>
  </w:style>
  <w:style w:type="character" w:customStyle="1" w:styleId="FooterChar">
    <w:name w:val="Footer Char"/>
    <w:basedOn w:val="DefaultParagraphFont"/>
    <w:link w:val="Footer"/>
    <w:uiPriority w:val="99"/>
    <w:rsid w:val="00317DD3"/>
  </w:style>
  <w:style w:type="paragraph" w:styleId="Title">
    <w:name w:val="Title"/>
    <w:basedOn w:val="Normal"/>
    <w:next w:val="Normal"/>
    <w:link w:val="TitleChar"/>
    <w:rsid w:val="00423C57"/>
    <w:pPr>
      <w:spacing w:after="300"/>
      <w:jc w:val="left"/>
    </w:pPr>
    <w:rPr>
      <w:rFonts w:asciiTheme="majorHAnsi" w:eastAsiaTheme="majorEastAsia" w:hAnsiTheme="majorHAnsi" w:cstheme="majorBidi"/>
      <w:color w:val="009F93"/>
      <w:spacing w:val="5"/>
      <w:kern w:val="28"/>
      <w:sz w:val="36"/>
      <w:szCs w:val="52"/>
    </w:rPr>
  </w:style>
  <w:style w:type="character" w:customStyle="1" w:styleId="TitleChar">
    <w:name w:val="Title Char"/>
    <w:basedOn w:val="DefaultParagraphFont"/>
    <w:link w:val="Title"/>
    <w:rsid w:val="00423C57"/>
    <w:rPr>
      <w:rFonts w:asciiTheme="majorHAnsi" w:eastAsiaTheme="majorEastAsia" w:hAnsiTheme="majorHAnsi" w:cstheme="majorBidi"/>
      <w:color w:val="009F93"/>
      <w:spacing w:val="5"/>
      <w:kern w:val="28"/>
      <w:sz w:val="36"/>
      <w:szCs w:val="52"/>
    </w:rPr>
  </w:style>
  <w:style w:type="character" w:styleId="CommentReference">
    <w:name w:val="annotation reference"/>
    <w:basedOn w:val="DefaultParagraphFont"/>
    <w:uiPriority w:val="99"/>
    <w:unhideWhenUsed/>
    <w:rsid w:val="006B39A2"/>
    <w:rPr>
      <w:sz w:val="16"/>
      <w:szCs w:val="16"/>
    </w:rPr>
  </w:style>
  <w:style w:type="paragraph" w:styleId="CommentText">
    <w:name w:val="annotation text"/>
    <w:basedOn w:val="Normal"/>
    <w:link w:val="CommentTextChar"/>
    <w:uiPriority w:val="99"/>
    <w:unhideWhenUsed/>
    <w:rsid w:val="006B39A2"/>
    <w:rPr>
      <w:sz w:val="20"/>
      <w:szCs w:val="20"/>
    </w:rPr>
  </w:style>
  <w:style w:type="character" w:customStyle="1" w:styleId="CommentTextChar">
    <w:name w:val="Comment Text Char"/>
    <w:basedOn w:val="DefaultParagraphFont"/>
    <w:link w:val="CommentText"/>
    <w:uiPriority w:val="99"/>
    <w:rsid w:val="006B39A2"/>
    <w:rPr>
      <w:sz w:val="20"/>
      <w:szCs w:val="20"/>
    </w:rPr>
  </w:style>
  <w:style w:type="paragraph" w:styleId="CommentSubject">
    <w:name w:val="annotation subject"/>
    <w:basedOn w:val="CommentText"/>
    <w:next w:val="CommentText"/>
    <w:link w:val="CommentSubjectChar"/>
    <w:uiPriority w:val="99"/>
    <w:unhideWhenUsed/>
    <w:rsid w:val="006B39A2"/>
    <w:rPr>
      <w:b/>
      <w:bCs/>
    </w:rPr>
  </w:style>
  <w:style w:type="character" w:customStyle="1" w:styleId="CommentSubjectChar">
    <w:name w:val="Comment Subject Char"/>
    <w:basedOn w:val="CommentTextChar"/>
    <w:link w:val="CommentSubject"/>
    <w:uiPriority w:val="99"/>
    <w:rsid w:val="006B39A2"/>
    <w:rPr>
      <w:b/>
      <w:bCs/>
      <w:sz w:val="20"/>
      <w:szCs w:val="20"/>
    </w:rPr>
  </w:style>
  <w:style w:type="character" w:styleId="FollowedHyperlink">
    <w:name w:val="FollowedHyperlink"/>
    <w:basedOn w:val="DefaultParagraphFont"/>
    <w:uiPriority w:val="99"/>
    <w:semiHidden/>
    <w:unhideWhenUsed/>
    <w:rsid w:val="00DF6F19"/>
    <w:rPr>
      <w:color w:val="954F72" w:themeColor="followedHyperlink"/>
      <w:u w:val="single"/>
    </w:rPr>
  </w:style>
  <w:style w:type="paragraph" w:styleId="Revision">
    <w:name w:val="Revision"/>
    <w:hidden/>
    <w:uiPriority w:val="99"/>
    <w:semiHidden/>
    <w:rsid w:val="007B1EF8"/>
    <w:pPr>
      <w:spacing w:after="0"/>
      <w:jc w:val="left"/>
    </w:pPr>
  </w:style>
  <w:style w:type="paragraph" w:styleId="NormalWeb">
    <w:name w:val="Normal (Web)"/>
    <w:basedOn w:val="Normal"/>
    <w:uiPriority w:val="99"/>
    <w:unhideWhenUsed/>
    <w:rsid w:val="00AA2F9D"/>
    <w:pPr>
      <w:spacing w:before="100" w:beforeAutospacing="1" w:after="100" w:afterAutospacing="1"/>
      <w:jc w:val="left"/>
    </w:pPr>
    <w:rPr>
      <w:rFonts w:ascii="Times New Roman" w:eastAsia="Times New Roman" w:hAnsi="Times New Roman" w:cs="Times New Roman"/>
      <w:sz w:val="24"/>
      <w:szCs w:val="24"/>
      <w:lang w:eastAsia="en-AU"/>
    </w:rPr>
  </w:style>
  <w:style w:type="paragraph" w:styleId="Caption">
    <w:name w:val="caption"/>
    <w:aliases w:val="Caption table"/>
    <w:basedOn w:val="Normal"/>
    <w:next w:val="Normal"/>
    <w:link w:val="CaptionChar"/>
    <w:uiPriority w:val="35"/>
    <w:unhideWhenUsed/>
    <w:qFormat/>
    <w:rsid w:val="005B64B0"/>
    <w:pPr>
      <w:keepNext/>
      <w:spacing w:before="360" w:after="180"/>
      <w:ind w:left="1134" w:hanging="1134"/>
      <w:jc w:val="left"/>
    </w:pPr>
    <w:rPr>
      <w:rFonts w:ascii="Calibri" w:hAnsi="Calibri"/>
      <w:b/>
      <w:color w:val="BC1D43"/>
      <w:sz w:val="18"/>
      <w:szCs w:val="18"/>
    </w:rPr>
  </w:style>
  <w:style w:type="paragraph" w:customStyle="1" w:styleId="TableText">
    <w:name w:val="Table Text"/>
    <w:basedOn w:val="Normal"/>
    <w:rsid w:val="008C0AC4"/>
    <w:pPr>
      <w:spacing w:after="0"/>
      <w:jc w:val="left"/>
    </w:pPr>
    <w:rPr>
      <w:rFonts w:ascii="Arial" w:hAnsi="Arial" w:cs="Helvetica"/>
      <w:color w:val="404040" w:themeColor="text1" w:themeTint="BF"/>
      <w:sz w:val="16"/>
      <w:szCs w:val="20"/>
    </w:rPr>
  </w:style>
  <w:style w:type="paragraph" w:styleId="ListBullet">
    <w:name w:val="List Bullet"/>
    <w:basedOn w:val="Normal"/>
    <w:unhideWhenUsed/>
    <w:rsid w:val="00A37E94"/>
    <w:pPr>
      <w:numPr>
        <w:numId w:val="1"/>
      </w:numPr>
      <w:spacing w:after="120" w:line="276" w:lineRule="auto"/>
      <w:ind w:left="357" w:hanging="357"/>
      <w:jc w:val="left"/>
    </w:pPr>
    <w:rPr>
      <w:rFonts w:ascii="Arial" w:hAnsi="Arial"/>
      <w:sz w:val="20"/>
    </w:rPr>
  </w:style>
  <w:style w:type="paragraph" w:styleId="TOC1">
    <w:name w:val="toc 1"/>
    <w:basedOn w:val="Normal"/>
    <w:next w:val="Normal"/>
    <w:uiPriority w:val="39"/>
    <w:unhideWhenUsed/>
    <w:rsid w:val="00BC5DFC"/>
    <w:pPr>
      <w:tabs>
        <w:tab w:val="left" w:pos="454"/>
        <w:tab w:val="right" w:leader="dot" w:pos="9061"/>
      </w:tabs>
      <w:spacing w:before="180" w:after="0" w:line="360" w:lineRule="auto"/>
      <w:jc w:val="left"/>
    </w:pPr>
    <w:rPr>
      <w:rFonts w:ascii="Calibri Light" w:hAnsi="Calibri Light"/>
      <w:noProof/>
      <w:sz w:val="24"/>
    </w:rPr>
  </w:style>
  <w:style w:type="paragraph" w:styleId="TOC2">
    <w:name w:val="toc 2"/>
    <w:basedOn w:val="Normal"/>
    <w:next w:val="Normal"/>
    <w:uiPriority w:val="39"/>
    <w:unhideWhenUsed/>
    <w:rsid w:val="00EE77B2"/>
    <w:pPr>
      <w:tabs>
        <w:tab w:val="left" w:pos="880"/>
        <w:tab w:val="right" w:leader="dot" w:pos="9053"/>
      </w:tabs>
      <w:spacing w:after="0" w:line="360" w:lineRule="auto"/>
      <w:ind w:left="255"/>
      <w:jc w:val="left"/>
    </w:pPr>
    <w:rPr>
      <w:rFonts w:ascii="Calibri Light" w:hAnsi="Calibri Light"/>
      <w:noProof/>
    </w:rPr>
  </w:style>
  <w:style w:type="paragraph" w:styleId="TableofFigures">
    <w:name w:val="table of figures"/>
    <w:basedOn w:val="Normal"/>
    <w:next w:val="Normal"/>
    <w:uiPriority w:val="99"/>
    <w:unhideWhenUsed/>
    <w:rsid w:val="00E12BA2"/>
    <w:pPr>
      <w:tabs>
        <w:tab w:val="right" w:leader="dot" w:pos="9053"/>
      </w:tabs>
      <w:spacing w:after="0" w:line="360" w:lineRule="auto"/>
    </w:pPr>
    <w:rPr>
      <w:rFonts w:ascii="Calibri Light" w:hAnsi="Calibri Light"/>
      <w:bCs/>
      <w:noProof/>
      <w:color w:val="000000" w:themeColor="text1"/>
      <w:sz w:val="24"/>
      <w:szCs w:val="24"/>
    </w:rPr>
  </w:style>
  <w:style w:type="table" w:customStyle="1" w:styleId="LightShading-Accent11">
    <w:name w:val="Light Shading - Accent 11"/>
    <w:basedOn w:val="TableNormal"/>
    <w:uiPriority w:val="60"/>
    <w:rsid w:val="005D435B"/>
    <w:pPr>
      <w:spacing w:after="0"/>
      <w:jc w:val="left"/>
    </w:pPr>
    <w:rPr>
      <w:color w:val="006D68" w:themeColor="accent1" w:themeShade="BF"/>
    </w:rPr>
    <w:tblPr>
      <w:tblStyleRowBandSize w:val="1"/>
      <w:tblStyleColBandSize w:val="1"/>
      <w:tblBorders>
        <w:top w:val="single" w:sz="8" w:space="0" w:color="00928C" w:themeColor="accent1"/>
        <w:bottom w:val="single" w:sz="8" w:space="0" w:color="00928C" w:themeColor="accent1"/>
      </w:tblBorders>
    </w:tblPr>
    <w:tblStylePr w:type="firstRow">
      <w:pPr>
        <w:spacing w:before="0" w:after="0" w:line="240" w:lineRule="auto"/>
      </w:pPr>
      <w:rPr>
        <w:b/>
        <w:bCs/>
      </w:rPr>
      <w:tblPr/>
      <w:tcPr>
        <w:tcBorders>
          <w:top w:val="single" w:sz="8" w:space="0" w:color="00928C" w:themeColor="accent1"/>
          <w:left w:val="nil"/>
          <w:bottom w:val="single" w:sz="8" w:space="0" w:color="00928C" w:themeColor="accent1"/>
          <w:right w:val="nil"/>
          <w:insideH w:val="nil"/>
          <w:insideV w:val="nil"/>
        </w:tcBorders>
      </w:tcPr>
    </w:tblStylePr>
    <w:tblStylePr w:type="lastRow">
      <w:pPr>
        <w:spacing w:before="0" w:after="0" w:line="240" w:lineRule="auto"/>
      </w:pPr>
      <w:rPr>
        <w:b/>
        <w:bCs/>
      </w:rPr>
      <w:tblPr/>
      <w:tcPr>
        <w:tcBorders>
          <w:top w:val="single" w:sz="8" w:space="0" w:color="00928C" w:themeColor="accent1"/>
          <w:left w:val="nil"/>
          <w:bottom w:val="single" w:sz="8" w:space="0" w:color="00928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5FFFB" w:themeFill="accent1" w:themeFillTint="3F"/>
      </w:tcPr>
    </w:tblStylePr>
    <w:tblStylePr w:type="band1Horz">
      <w:tblPr/>
      <w:tcPr>
        <w:tcBorders>
          <w:left w:val="nil"/>
          <w:right w:val="nil"/>
          <w:insideH w:val="nil"/>
          <w:insideV w:val="nil"/>
        </w:tcBorders>
        <w:shd w:val="clear" w:color="auto" w:fill="A5FFFB" w:themeFill="accent1" w:themeFillTint="3F"/>
      </w:tcPr>
    </w:tblStylePr>
  </w:style>
  <w:style w:type="table" w:customStyle="1" w:styleId="MediumShading21">
    <w:name w:val="Medium Shading 21"/>
    <w:basedOn w:val="TableNormal"/>
    <w:uiPriority w:val="64"/>
    <w:rsid w:val="005D435B"/>
    <w:pPr>
      <w:spacing w:after="0"/>
      <w:jc w:val="left"/>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rsid w:val="005D435B"/>
    <w:pPr>
      <w:spacing w:after="0"/>
      <w:jc w:val="left"/>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28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28C" w:themeFill="accent1"/>
      </w:tcPr>
    </w:tblStylePr>
    <w:tblStylePr w:type="lastCol">
      <w:rPr>
        <w:b/>
        <w:bCs/>
        <w:color w:val="FFFFFF" w:themeColor="background1"/>
      </w:rPr>
      <w:tblPr/>
      <w:tcPr>
        <w:tcBorders>
          <w:left w:val="nil"/>
          <w:right w:val="nil"/>
          <w:insideH w:val="nil"/>
          <w:insideV w:val="nil"/>
        </w:tcBorders>
        <w:shd w:val="clear" w:color="auto" w:fill="00928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6">
    <w:name w:val="Medium Shading 1 Accent 6"/>
    <w:basedOn w:val="TableNormal"/>
    <w:uiPriority w:val="63"/>
    <w:rsid w:val="005D435B"/>
    <w:pPr>
      <w:spacing w:after="0"/>
      <w:jc w:val="left"/>
    </w:pPr>
    <w:tblPr>
      <w:tblStyleRowBandSize w:val="1"/>
      <w:tblStyleColBandSize w:val="1"/>
      <w:tblBorders>
        <w:top w:val="single" w:sz="8" w:space="0" w:color="0042C7" w:themeColor="accent6" w:themeTint="BF"/>
        <w:left w:val="single" w:sz="8" w:space="0" w:color="0042C7" w:themeColor="accent6" w:themeTint="BF"/>
        <w:bottom w:val="single" w:sz="8" w:space="0" w:color="0042C7" w:themeColor="accent6" w:themeTint="BF"/>
        <w:right w:val="single" w:sz="8" w:space="0" w:color="0042C7" w:themeColor="accent6" w:themeTint="BF"/>
        <w:insideH w:val="single" w:sz="8" w:space="0" w:color="0042C7" w:themeColor="accent6" w:themeTint="BF"/>
      </w:tblBorders>
    </w:tblPr>
    <w:tblStylePr w:type="firstRow">
      <w:pPr>
        <w:spacing w:before="0" w:after="0" w:line="240" w:lineRule="auto"/>
      </w:pPr>
      <w:rPr>
        <w:b/>
        <w:bCs/>
        <w:color w:val="FFFFFF" w:themeColor="background1"/>
      </w:rPr>
      <w:tblPr/>
      <w:tcPr>
        <w:tcBorders>
          <w:top w:val="single" w:sz="8" w:space="0" w:color="0042C7" w:themeColor="accent6" w:themeTint="BF"/>
          <w:left w:val="single" w:sz="8" w:space="0" w:color="0042C7" w:themeColor="accent6" w:themeTint="BF"/>
          <w:bottom w:val="single" w:sz="8" w:space="0" w:color="0042C7" w:themeColor="accent6" w:themeTint="BF"/>
          <w:right w:val="single" w:sz="8" w:space="0" w:color="0042C7" w:themeColor="accent6" w:themeTint="BF"/>
          <w:insideH w:val="nil"/>
          <w:insideV w:val="nil"/>
        </w:tcBorders>
        <w:shd w:val="clear" w:color="auto" w:fill="002060" w:themeFill="accent6"/>
      </w:tcPr>
    </w:tblStylePr>
    <w:tblStylePr w:type="lastRow">
      <w:pPr>
        <w:spacing w:before="0" w:after="0" w:line="240" w:lineRule="auto"/>
      </w:pPr>
      <w:rPr>
        <w:b/>
        <w:bCs/>
      </w:rPr>
      <w:tblPr/>
      <w:tcPr>
        <w:tcBorders>
          <w:top w:val="double" w:sz="6" w:space="0" w:color="0042C7" w:themeColor="accent6" w:themeTint="BF"/>
          <w:left w:val="single" w:sz="8" w:space="0" w:color="0042C7" w:themeColor="accent6" w:themeTint="BF"/>
          <w:bottom w:val="single" w:sz="8" w:space="0" w:color="0042C7" w:themeColor="accent6" w:themeTint="BF"/>
          <w:right w:val="single" w:sz="8" w:space="0" w:color="0042C7" w:themeColor="accent6"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6" w:themeFillTint="3F"/>
      </w:tcPr>
    </w:tblStylePr>
    <w:tblStylePr w:type="band1Horz">
      <w:tblPr/>
      <w:tcPr>
        <w:tcBorders>
          <w:insideH w:val="nil"/>
          <w:insideV w:val="nil"/>
        </w:tcBorders>
        <w:shd w:val="clear" w:color="auto" w:fill="98BAFF" w:themeFill="accent6" w:themeFillTint="3F"/>
      </w:tcPr>
    </w:tblStylePr>
    <w:tblStylePr w:type="band2Horz">
      <w:tblPr/>
      <w:tcPr>
        <w:tcBorders>
          <w:insideH w:val="nil"/>
          <w:insideV w:val="nil"/>
        </w:tcBorders>
      </w:tcPr>
    </w:tblStylePr>
  </w:style>
  <w:style w:type="table" w:customStyle="1" w:styleId="LightList-Accent11">
    <w:name w:val="Light List - Accent 11"/>
    <w:basedOn w:val="TableNormal"/>
    <w:uiPriority w:val="61"/>
    <w:rsid w:val="005D435B"/>
    <w:pPr>
      <w:spacing w:after="0"/>
      <w:jc w:val="left"/>
    </w:pPr>
    <w:tblPr>
      <w:tblStyleRowBandSize w:val="1"/>
      <w:tblStyleColBandSize w:val="1"/>
      <w:tblBorders>
        <w:top w:val="single" w:sz="8" w:space="0" w:color="00928C" w:themeColor="accent1"/>
        <w:left w:val="single" w:sz="8" w:space="0" w:color="00928C" w:themeColor="accent1"/>
        <w:bottom w:val="single" w:sz="8" w:space="0" w:color="00928C" w:themeColor="accent1"/>
        <w:right w:val="single" w:sz="8" w:space="0" w:color="00928C" w:themeColor="accent1"/>
      </w:tblBorders>
    </w:tblPr>
    <w:tblStylePr w:type="firstRow">
      <w:pPr>
        <w:spacing w:before="0" w:after="0" w:line="240" w:lineRule="auto"/>
      </w:pPr>
      <w:rPr>
        <w:b/>
        <w:bCs/>
        <w:color w:val="FFFFFF" w:themeColor="background1"/>
      </w:rPr>
      <w:tblPr/>
      <w:tcPr>
        <w:shd w:val="clear" w:color="auto" w:fill="00928C" w:themeFill="accent1"/>
      </w:tcPr>
    </w:tblStylePr>
    <w:tblStylePr w:type="lastRow">
      <w:pPr>
        <w:spacing w:before="0" w:after="0" w:line="240" w:lineRule="auto"/>
      </w:pPr>
      <w:rPr>
        <w:b/>
        <w:bCs/>
      </w:rPr>
      <w:tblPr/>
      <w:tcPr>
        <w:tcBorders>
          <w:top w:val="double" w:sz="6" w:space="0" w:color="00928C" w:themeColor="accent1"/>
          <w:left w:val="single" w:sz="8" w:space="0" w:color="00928C" w:themeColor="accent1"/>
          <w:bottom w:val="single" w:sz="8" w:space="0" w:color="00928C" w:themeColor="accent1"/>
          <w:right w:val="single" w:sz="8" w:space="0" w:color="00928C" w:themeColor="accent1"/>
        </w:tcBorders>
      </w:tcPr>
    </w:tblStylePr>
    <w:tblStylePr w:type="firstCol">
      <w:rPr>
        <w:b/>
        <w:bCs/>
      </w:rPr>
    </w:tblStylePr>
    <w:tblStylePr w:type="lastCol">
      <w:rPr>
        <w:b/>
        <w:bCs/>
      </w:rPr>
    </w:tblStylePr>
    <w:tblStylePr w:type="band1Vert">
      <w:tblPr/>
      <w:tcPr>
        <w:tcBorders>
          <w:top w:val="single" w:sz="8" w:space="0" w:color="00928C" w:themeColor="accent1"/>
          <w:left w:val="single" w:sz="8" w:space="0" w:color="00928C" w:themeColor="accent1"/>
          <w:bottom w:val="single" w:sz="8" w:space="0" w:color="00928C" w:themeColor="accent1"/>
          <w:right w:val="single" w:sz="8" w:space="0" w:color="00928C" w:themeColor="accent1"/>
        </w:tcBorders>
      </w:tcPr>
    </w:tblStylePr>
    <w:tblStylePr w:type="band1Horz">
      <w:tblPr/>
      <w:tcPr>
        <w:tcBorders>
          <w:top w:val="single" w:sz="8" w:space="0" w:color="00928C" w:themeColor="accent1"/>
          <w:left w:val="single" w:sz="8" w:space="0" w:color="00928C" w:themeColor="accent1"/>
          <w:bottom w:val="single" w:sz="8" w:space="0" w:color="00928C" w:themeColor="accent1"/>
          <w:right w:val="single" w:sz="8" w:space="0" w:color="00928C" w:themeColor="accent1"/>
        </w:tcBorders>
      </w:tcPr>
    </w:tblStylePr>
  </w:style>
  <w:style w:type="table" w:styleId="ColorfulGrid-Accent1">
    <w:name w:val="Colorful Grid Accent 1"/>
    <w:basedOn w:val="TableNormal"/>
    <w:uiPriority w:val="73"/>
    <w:rsid w:val="005D435B"/>
    <w:pPr>
      <w:spacing w:after="0"/>
      <w:jc w:val="left"/>
    </w:pPr>
    <w:rPr>
      <w:color w:val="000000" w:themeColor="text1"/>
    </w:rPr>
    <w:tblPr>
      <w:tblStyleRowBandSize w:val="1"/>
      <w:tblStyleColBandSize w:val="1"/>
      <w:tblBorders>
        <w:insideH w:val="single" w:sz="4" w:space="0" w:color="FFFFFF" w:themeColor="background1"/>
      </w:tblBorders>
    </w:tblPr>
    <w:tcPr>
      <w:shd w:val="clear" w:color="auto" w:fill="B6FFFB" w:themeFill="accent1" w:themeFillTint="33"/>
    </w:tcPr>
    <w:tblStylePr w:type="firstRow">
      <w:rPr>
        <w:b/>
        <w:bCs/>
      </w:rPr>
      <w:tblPr/>
      <w:tcPr>
        <w:shd w:val="clear" w:color="auto" w:fill="6DFFF8" w:themeFill="accent1" w:themeFillTint="66"/>
      </w:tcPr>
    </w:tblStylePr>
    <w:tblStylePr w:type="lastRow">
      <w:rPr>
        <w:b/>
        <w:bCs/>
        <w:color w:val="000000" w:themeColor="text1"/>
      </w:rPr>
      <w:tblPr/>
      <w:tcPr>
        <w:shd w:val="clear" w:color="auto" w:fill="6DFFF8" w:themeFill="accent1" w:themeFillTint="66"/>
      </w:tcPr>
    </w:tblStylePr>
    <w:tblStylePr w:type="firstCol">
      <w:rPr>
        <w:color w:val="FFFFFF" w:themeColor="background1"/>
      </w:rPr>
      <w:tblPr/>
      <w:tcPr>
        <w:shd w:val="clear" w:color="auto" w:fill="006D68" w:themeFill="accent1" w:themeFillShade="BF"/>
      </w:tcPr>
    </w:tblStylePr>
    <w:tblStylePr w:type="lastCol">
      <w:rPr>
        <w:color w:val="FFFFFF" w:themeColor="background1"/>
      </w:rPr>
      <w:tblPr/>
      <w:tcPr>
        <w:shd w:val="clear" w:color="auto" w:fill="006D68" w:themeFill="accent1" w:themeFillShade="BF"/>
      </w:tcPr>
    </w:tblStylePr>
    <w:tblStylePr w:type="band1Vert">
      <w:tblPr/>
      <w:tcPr>
        <w:shd w:val="clear" w:color="auto" w:fill="49FFF7" w:themeFill="accent1" w:themeFillTint="7F"/>
      </w:tcPr>
    </w:tblStylePr>
    <w:tblStylePr w:type="band1Horz">
      <w:tblPr/>
      <w:tcPr>
        <w:shd w:val="clear" w:color="auto" w:fill="49FFF7" w:themeFill="accent1" w:themeFillTint="7F"/>
      </w:tcPr>
    </w:tblStylePr>
  </w:style>
  <w:style w:type="paragraph" w:styleId="TOC3">
    <w:name w:val="toc 3"/>
    <w:basedOn w:val="Normal"/>
    <w:next w:val="Normal"/>
    <w:autoRedefine/>
    <w:uiPriority w:val="39"/>
    <w:unhideWhenUsed/>
    <w:rsid w:val="00BC5DFC"/>
    <w:pPr>
      <w:tabs>
        <w:tab w:val="left" w:pos="1320"/>
        <w:tab w:val="right" w:leader="dot" w:pos="9053"/>
      </w:tabs>
      <w:spacing w:after="0" w:line="360" w:lineRule="auto"/>
      <w:ind w:left="510"/>
      <w:jc w:val="left"/>
    </w:pPr>
    <w:rPr>
      <w:rFonts w:ascii="Calibri Light" w:hAnsi="Calibri Light"/>
      <w:noProof/>
      <w:sz w:val="21"/>
    </w:rPr>
  </w:style>
  <w:style w:type="paragraph" w:customStyle="1" w:styleId="source">
    <w:name w:val="source"/>
    <w:basedOn w:val="BodyText"/>
    <w:rsid w:val="005D435B"/>
    <w:pPr>
      <w:spacing w:before="120" w:after="360"/>
    </w:pPr>
    <w:rPr>
      <w:i/>
      <w:sz w:val="16"/>
      <w:szCs w:val="16"/>
    </w:rPr>
  </w:style>
  <w:style w:type="table" w:customStyle="1" w:styleId="TableGridLight1">
    <w:name w:val="Table Grid Light1"/>
    <w:basedOn w:val="TableNormal"/>
    <w:uiPriority w:val="40"/>
    <w:rsid w:val="005D435B"/>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casestudybody">
    <w:name w:val="case study body"/>
    <w:basedOn w:val="TableText"/>
    <w:rsid w:val="005D435B"/>
    <w:pPr>
      <w:spacing w:after="120" w:line="360" w:lineRule="auto"/>
    </w:pPr>
  </w:style>
  <w:style w:type="paragraph" w:customStyle="1" w:styleId="tablebullet">
    <w:name w:val="table bullet"/>
    <w:basedOn w:val="TableText"/>
    <w:rsid w:val="00D523EE"/>
    <w:pPr>
      <w:numPr>
        <w:numId w:val="2"/>
      </w:numPr>
      <w:ind w:left="227" w:hanging="227"/>
    </w:pPr>
    <w:rPr>
      <w:color w:val="auto"/>
    </w:rPr>
  </w:style>
  <w:style w:type="paragraph" w:customStyle="1" w:styleId="tabletext0">
    <w:name w:val="table text"/>
    <w:basedOn w:val="BodyText"/>
    <w:rsid w:val="008C0AC4"/>
    <w:pPr>
      <w:spacing w:after="0" w:line="240" w:lineRule="auto"/>
    </w:pPr>
    <w:rPr>
      <w:rFonts w:eastAsiaTheme="minorEastAsia"/>
      <w:sz w:val="16"/>
      <w:szCs w:val="16"/>
      <w:lang w:eastAsia="en-AU"/>
    </w:rPr>
  </w:style>
  <w:style w:type="character" w:styleId="PageNumber">
    <w:name w:val="page number"/>
    <w:basedOn w:val="DefaultParagraphFont"/>
    <w:uiPriority w:val="99"/>
    <w:rsid w:val="003A35E3"/>
  </w:style>
  <w:style w:type="table" w:customStyle="1" w:styleId="TableGrid1">
    <w:name w:val="Table Grid1"/>
    <w:basedOn w:val="TableNormal"/>
    <w:next w:val="TableGrid"/>
    <w:uiPriority w:val="59"/>
    <w:rsid w:val="003A35E3"/>
    <w:pPr>
      <w:spacing w:after="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11">
    <w:name w:val="Balloon Text Char11"/>
    <w:basedOn w:val="DefaultParagraphFont"/>
    <w:uiPriority w:val="99"/>
    <w:semiHidden/>
    <w:rsid w:val="003A35E3"/>
    <w:rPr>
      <w:rFonts w:ascii="Lucida Grande" w:hAnsi="Lucida Grande"/>
      <w:sz w:val="18"/>
      <w:szCs w:val="18"/>
    </w:rPr>
  </w:style>
  <w:style w:type="character" w:customStyle="1" w:styleId="BalloonTextChar7">
    <w:name w:val="Balloon Text Char7"/>
    <w:basedOn w:val="DefaultParagraphFont"/>
    <w:uiPriority w:val="99"/>
    <w:semiHidden/>
    <w:rsid w:val="003A35E3"/>
    <w:rPr>
      <w:rFonts w:ascii="Lucida Grande" w:hAnsi="Lucida Grande"/>
      <w:sz w:val="18"/>
      <w:szCs w:val="18"/>
    </w:rPr>
  </w:style>
  <w:style w:type="character" w:customStyle="1" w:styleId="BalloonTextChar4">
    <w:name w:val="Balloon Text Char4"/>
    <w:basedOn w:val="DefaultParagraphFont"/>
    <w:uiPriority w:val="99"/>
    <w:semiHidden/>
    <w:rsid w:val="003A35E3"/>
    <w:rPr>
      <w:rFonts w:ascii="Lucida Grande" w:hAnsi="Lucida Grande"/>
      <w:sz w:val="18"/>
      <w:szCs w:val="18"/>
    </w:rPr>
  </w:style>
  <w:style w:type="paragraph" w:styleId="NoSpacing">
    <w:name w:val="No Spacing"/>
    <w:link w:val="NoSpacingChar"/>
    <w:uiPriority w:val="1"/>
    <w:rsid w:val="003A35E3"/>
    <w:pPr>
      <w:spacing w:after="0"/>
      <w:jc w:val="left"/>
    </w:pPr>
    <w:rPr>
      <w:rFonts w:eastAsiaTheme="minorEastAsia"/>
      <w:lang w:eastAsia="en-AU"/>
    </w:rPr>
  </w:style>
  <w:style w:type="character" w:customStyle="1" w:styleId="NoSpacingChar">
    <w:name w:val="No Spacing Char"/>
    <w:basedOn w:val="DefaultParagraphFont"/>
    <w:link w:val="NoSpacing"/>
    <w:uiPriority w:val="1"/>
    <w:rsid w:val="003A35E3"/>
    <w:rPr>
      <w:rFonts w:eastAsiaTheme="minorEastAsia"/>
      <w:lang w:eastAsia="en-AU"/>
    </w:rPr>
  </w:style>
  <w:style w:type="paragraph" w:styleId="Quote">
    <w:name w:val="Quote"/>
    <w:basedOn w:val="Normal"/>
    <w:next w:val="Normal"/>
    <w:link w:val="QuoteChar"/>
    <w:uiPriority w:val="29"/>
    <w:rsid w:val="003A35E3"/>
    <w:pPr>
      <w:spacing w:line="276" w:lineRule="auto"/>
      <w:jc w:val="left"/>
    </w:pPr>
    <w:rPr>
      <w:rFonts w:eastAsiaTheme="minorEastAsia"/>
      <w:i/>
      <w:iCs/>
      <w:color w:val="000000" w:themeColor="text1"/>
      <w:lang w:eastAsia="en-AU"/>
    </w:rPr>
  </w:style>
  <w:style w:type="character" w:customStyle="1" w:styleId="QuoteChar">
    <w:name w:val="Quote Char"/>
    <w:basedOn w:val="DefaultParagraphFont"/>
    <w:link w:val="Quote"/>
    <w:uiPriority w:val="29"/>
    <w:rsid w:val="003A35E3"/>
    <w:rPr>
      <w:rFonts w:eastAsiaTheme="minorEastAsia"/>
      <w:i/>
      <w:iCs/>
      <w:color w:val="000000" w:themeColor="text1"/>
      <w:lang w:eastAsia="en-AU"/>
    </w:rPr>
  </w:style>
  <w:style w:type="paragraph" w:styleId="ListNumber2">
    <w:name w:val="List Number 2"/>
    <w:basedOn w:val="ListBullet"/>
    <w:rsid w:val="00E75551"/>
    <w:pPr>
      <w:numPr>
        <w:numId w:val="3"/>
      </w:numPr>
    </w:pPr>
  </w:style>
  <w:style w:type="paragraph" w:styleId="EndnoteText">
    <w:name w:val="endnote text"/>
    <w:basedOn w:val="Normal"/>
    <w:link w:val="EndnoteTextChar"/>
    <w:unhideWhenUsed/>
    <w:rsid w:val="003A35E3"/>
    <w:pPr>
      <w:spacing w:after="0"/>
      <w:jc w:val="left"/>
    </w:pPr>
    <w:rPr>
      <w:sz w:val="20"/>
      <w:szCs w:val="20"/>
    </w:rPr>
  </w:style>
  <w:style w:type="character" w:customStyle="1" w:styleId="EndnoteTextChar">
    <w:name w:val="Endnote Text Char"/>
    <w:basedOn w:val="DefaultParagraphFont"/>
    <w:link w:val="EndnoteText"/>
    <w:rsid w:val="003A35E3"/>
    <w:rPr>
      <w:sz w:val="20"/>
      <w:szCs w:val="20"/>
    </w:rPr>
  </w:style>
  <w:style w:type="character" w:styleId="EndnoteReference">
    <w:name w:val="endnote reference"/>
    <w:rsid w:val="003A35E3"/>
    <w:rPr>
      <w:vertAlign w:val="superscript"/>
    </w:rPr>
  </w:style>
  <w:style w:type="paragraph" w:styleId="TOC4">
    <w:name w:val="toc 4"/>
    <w:basedOn w:val="Normal"/>
    <w:next w:val="Normal"/>
    <w:autoRedefine/>
    <w:uiPriority w:val="39"/>
    <w:rsid w:val="003A35E3"/>
    <w:pPr>
      <w:spacing w:after="0"/>
      <w:ind w:left="660"/>
      <w:jc w:val="left"/>
    </w:pPr>
    <w:rPr>
      <w:sz w:val="20"/>
      <w:szCs w:val="20"/>
    </w:rPr>
  </w:style>
  <w:style w:type="paragraph" w:styleId="TOC5">
    <w:name w:val="toc 5"/>
    <w:basedOn w:val="Normal"/>
    <w:next w:val="Normal"/>
    <w:autoRedefine/>
    <w:uiPriority w:val="39"/>
    <w:rsid w:val="003A35E3"/>
    <w:pPr>
      <w:spacing w:after="0"/>
      <w:ind w:left="880"/>
      <w:jc w:val="left"/>
    </w:pPr>
    <w:rPr>
      <w:sz w:val="20"/>
      <w:szCs w:val="20"/>
    </w:rPr>
  </w:style>
  <w:style w:type="paragraph" w:styleId="TOC6">
    <w:name w:val="toc 6"/>
    <w:basedOn w:val="Normal"/>
    <w:next w:val="Normal"/>
    <w:autoRedefine/>
    <w:uiPriority w:val="39"/>
    <w:rsid w:val="003A35E3"/>
    <w:pPr>
      <w:spacing w:after="0"/>
      <w:ind w:left="1100"/>
      <w:jc w:val="left"/>
    </w:pPr>
    <w:rPr>
      <w:sz w:val="20"/>
      <w:szCs w:val="20"/>
    </w:rPr>
  </w:style>
  <w:style w:type="paragraph" w:styleId="TOC7">
    <w:name w:val="toc 7"/>
    <w:basedOn w:val="Normal"/>
    <w:next w:val="Normal"/>
    <w:autoRedefine/>
    <w:uiPriority w:val="39"/>
    <w:rsid w:val="003A35E3"/>
    <w:pPr>
      <w:spacing w:after="0"/>
      <w:ind w:left="1320"/>
      <w:jc w:val="left"/>
    </w:pPr>
    <w:rPr>
      <w:sz w:val="20"/>
      <w:szCs w:val="20"/>
    </w:rPr>
  </w:style>
  <w:style w:type="paragraph" w:styleId="TOC8">
    <w:name w:val="toc 8"/>
    <w:basedOn w:val="Normal"/>
    <w:next w:val="Normal"/>
    <w:autoRedefine/>
    <w:uiPriority w:val="39"/>
    <w:rsid w:val="003A35E3"/>
    <w:pPr>
      <w:spacing w:after="0"/>
      <w:ind w:left="1540"/>
      <w:jc w:val="left"/>
    </w:pPr>
    <w:rPr>
      <w:sz w:val="20"/>
      <w:szCs w:val="20"/>
    </w:rPr>
  </w:style>
  <w:style w:type="paragraph" w:styleId="TOC9">
    <w:name w:val="toc 9"/>
    <w:basedOn w:val="Normal"/>
    <w:next w:val="Normal"/>
    <w:autoRedefine/>
    <w:uiPriority w:val="39"/>
    <w:rsid w:val="003A35E3"/>
    <w:pPr>
      <w:spacing w:after="0"/>
      <w:ind w:left="1760"/>
      <w:jc w:val="left"/>
    </w:pPr>
    <w:rPr>
      <w:sz w:val="20"/>
      <w:szCs w:val="20"/>
    </w:rPr>
  </w:style>
  <w:style w:type="table" w:customStyle="1" w:styleId="TableGrid2">
    <w:name w:val="Table Grid2"/>
    <w:basedOn w:val="TableNormal"/>
    <w:next w:val="TableGrid"/>
    <w:uiPriority w:val="59"/>
    <w:rsid w:val="003A35E3"/>
    <w:pPr>
      <w:spacing w:after="0"/>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A125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125F"/>
    <w:rPr>
      <w:rFonts w:ascii="Segoe UI" w:hAnsi="Segoe UI" w:cs="Segoe UI"/>
      <w:sz w:val="18"/>
      <w:szCs w:val="18"/>
    </w:rPr>
  </w:style>
  <w:style w:type="paragraph" w:styleId="ListParagraph">
    <w:name w:val="List Paragraph"/>
    <w:aliases w:val="DWA List 1,List Paragraph1,List Paragraph11,L,Recommendation,CV text,Colorful List - Accent 11,COOP,Primary Bullet List,Paragraph,P3Numbered List,CRP Numbered List,List Paragraph (numbered (a)),F5 List Paragraph,Dot pt,List Paragraph111"/>
    <w:basedOn w:val="Normal"/>
    <w:link w:val="ListParagraphChar"/>
    <w:uiPriority w:val="34"/>
    <w:qFormat/>
    <w:rsid w:val="00637F40"/>
    <w:pPr>
      <w:spacing w:after="0"/>
      <w:ind w:left="720" w:firstLine="360"/>
      <w:contextualSpacing/>
      <w:jc w:val="left"/>
    </w:pPr>
    <w:rPr>
      <w:rFonts w:eastAsiaTheme="minorEastAsia"/>
      <w:lang w:val="en-US" w:eastAsia="ja-JP"/>
    </w:rPr>
  </w:style>
  <w:style w:type="paragraph" w:styleId="FootnoteText">
    <w:name w:val="footnote text"/>
    <w:aliases w:val="Footnote Text Char1,Footnote Text Char Char,Char"/>
    <w:basedOn w:val="Normal"/>
    <w:link w:val="FootnoteTextChar"/>
    <w:uiPriority w:val="99"/>
    <w:unhideWhenUsed/>
    <w:qFormat/>
    <w:rsid w:val="00397DD5"/>
    <w:pPr>
      <w:spacing w:after="0"/>
    </w:pPr>
    <w:rPr>
      <w:sz w:val="24"/>
      <w:szCs w:val="24"/>
    </w:rPr>
  </w:style>
  <w:style w:type="character" w:customStyle="1" w:styleId="FootnoteTextChar">
    <w:name w:val="Footnote Text Char"/>
    <w:aliases w:val="Footnote Text Char1 Char,Footnote Text Char Char Char,Char Char"/>
    <w:basedOn w:val="DefaultParagraphFont"/>
    <w:link w:val="FootnoteText"/>
    <w:uiPriority w:val="99"/>
    <w:rsid w:val="00397DD5"/>
    <w:rPr>
      <w:sz w:val="24"/>
      <w:szCs w:val="24"/>
    </w:rPr>
  </w:style>
  <w:style w:type="character" w:styleId="FootnoteReference">
    <w:name w:val="footnote reference"/>
    <w:aliases w:val=" BVI fnr,BVI fnr, BVI fnr Car Car,BVI fnr Car, BVI fnr Car Car Car Car, BVI fnr Car Car Car Car Char,16 Point,Superscript 6 Point,Ref,de nota al pie,ftref, Car Car Char Car Char Car Car Char Car Char Char,SUPERS"/>
    <w:basedOn w:val="DefaultParagraphFont"/>
    <w:link w:val="Char2"/>
    <w:uiPriority w:val="99"/>
    <w:unhideWhenUsed/>
    <w:rsid w:val="00397DD5"/>
    <w:rPr>
      <w:vertAlign w:val="superscript"/>
    </w:rPr>
  </w:style>
  <w:style w:type="character" w:styleId="Emphasis">
    <w:name w:val="Emphasis"/>
    <w:aliases w:val="Emphasis italic"/>
    <w:basedOn w:val="DefaultParagraphFont"/>
    <w:uiPriority w:val="20"/>
    <w:qFormat/>
    <w:rsid w:val="003F0A3B"/>
    <w:rPr>
      <w:i/>
      <w:iCs/>
    </w:rPr>
  </w:style>
  <w:style w:type="character" w:customStyle="1" w:styleId="apple-converted-space">
    <w:name w:val="apple-converted-space"/>
    <w:basedOn w:val="DefaultParagraphFont"/>
    <w:rsid w:val="00585A3F"/>
  </w:style>
  <w:style w:type="character" w:customStyle="1" w:styleId="italic">
    <w:name w:val="italic"/>
    <w:basedOn w:val="DefaultParagraphFont"/>
    <w:rsid w:val="00585A3F"/>
  </w:style>
  <w:style w:type="paragraph" w:customStyle="1" w:styleId="Bullets">
    <w:name w:val="Bullets"/>
    <w:basedOn w:val="Normal"/>
    <w:link w:val="BulletsChar"/>
    <w:qFormat/>
    <w:rsid w:val="00FD3F6C"/>
    <w:pPr>
      <w:numPr>
        <w:numId w:val="13"/>
      </w:numPr>
      <w:spacing w:after="120"/>
      <w:jc w:val="left"/>
    </w:pPr>
  </w:style>
  <w:style w:type="paragraph" w:customStyle="1" w:styleId="instruction">
    <w:name w:val="instruction"/>
    <w:basedOn w:val="BodyText"/>
    <w:rsid w:val="00C7039F"/>
    <w:pPr>
      <w:spacing w:line="280" w:lineRule="exact"/>
    </w:pPr>
    <w:rPr>
      <w:rFonts w:eastAsia="Times New Roman" w:cs="Times New Roman"/>
      <w:color w:val="808080" w:themeColor="background1" w:themeShade="80"/>
      <w:szCs w:val="24"/>
      <w:lang w:eastAsia="en-AU"/>
    </w:rPr>
  </w:style>
  <w:style w:type="table" w:customStyle="1" w:styleId="GridTable2-Accent41">
    <w:name w:val="Grid Table 2 - Accent 41"/>
    <w:basedOn w:val="TableNormal"/>
    <w:uiPriority w:val="47"/>
    <w:rsid w:val="005B5F82"/>
    <w:pPr>
      <w:spacing w:after="0"/>
    </w:pPr>
    <w:tblPr>
      <w:tblStyleRowBandSize w:val="1"/>
      <w:tblStyleColBandSize w:val="1"/>
      <w:tblBorders>
        <w:top w:val="single" w:sz="2" w:space="0" w:color="ECE5D6" w:themeColor="accent4" w:themeTint="99"/>
        <w:bottom w:val="single" w:sz="2" w:space="0" w:color="ECE5D6" w:themeColor="accent4" w:themeTint="99"/>
        <w:insideH w:val="single" w:sz="2" w:space="0" w:color="ECE5D6" w:themeColor="accent4" w:themeTint="99"/>
        <w:insideV w:val="single" w:sz="2" w:space="0" w:color="ECE5D6" w:themeColor="accent4" w:themeTint="99"/>
      </w:tblBorders>
    </w:tblPr>
    <w:tblStylePr w:type="firstRow">
      <w:rPr>
        <w:b/>
        <w:bCs/>
      </w:rPr>
      <w:tblPr/>
      <w:tcPr>
        <w:tcBorders>
          <w:top w:val="nil"/>
          <w:bottom w:val="single" w:sz="12" w:space="0" w:color="ECE5D6" w:themeColor="accent4" w:themeTint="99"/>
          <w:insideH w:val="nil"/>
          <w:insideV w:val="nil"/>
        </w:tcBorders>
        <w:shd w:val="clear" w:color="auto" w:fill="FFFFFF" w:themeFill="background1"/>
      </w:tcPr>
    </w:tblStylePr>
    <w:tblStylePr w:type="lastRow">
      <w:rPr>
        <w:b/>
        <w:bCs/>
      </w:rPr>
      <w:tblPr/>
      <w:tcPr>
        <w:tcBorders>
          <w:top w:val="double" w:sz="2" w:space="0" w:color="ECE5D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6F1" w:themeFill="accent4" w:themeFillTint="33"/>
      </w:tcPr>
    </w:tblStylePr>
    <w:tblStylePr w:type="band1Horz">
      <w:tblPr/>
      <w:tcPr>
        <w:shd w:val="clear" w:color="auto" w:fill="F8F6F1" w:themeFill="accent4" w:themeFillTint="33"/>
      </w:tcPr>
    </w:tblStylePr>
  </w:style>
  <w:style w:type="table" w:customStyle="1" w:styleId="PlainTable11">
    <w:name w:val="Plain Table 11"/>
    <w:basedOn w:val="TableNormal"/>
    <w:uiPriority w:val="41"/>
    <w:rsid w:val="005B5F82"/>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Style1">
    <w:name w:val="Style1"/>
    <w:uiPriority w:val="99"/>
    <w:rsid w:val="00E649ED"/>
    <w:pPr>
      <w:numPr>
        <w:numId w:val="4"/>
      </w:numPr>
    </w:pPr>
  </w:style>
  <w:style w:type="paragraph" w:customStyle="1" w:styleId="CONLevel1">
    <w:name w:val=".CON  Level   1."/>
    <w:basedOn w:val="Normal"/>
    <w:next w:val="Normal"/>
    <w:rsid w:val="00CE404E"/>
    <w:pPr>
      <w:keepNext/>
      <w:numPr>
        <w:numId w:val="6"/>
      </w:numPr>
      <w:spacing w:before="240" w:after="0"/>
      <w:jc w:val="left"/>
      <w:outlineLvl w:val="1"/>
    </w:pPr>
    <w:rPr>
      <w:rFonts w:ascii="Times New Roman" w:eastAsia="Times New Roman" w:hAnsi="Times New Roman" w:cs="Times New Roman"/>
      <w:b/>
      <w:sz w:val="24"/>
    </w:rPr>
  </w:style>
  <w:style w:type="paragraph" w:customStyle="1" w:styleId="CONLevela">
    <w:name w:val=".CON  Level  (a)"/>
    <w:basedOn w:val="Normal"/>
    <w:next w:val="Normal"/>
    <w:rsid w:val="00CE404E"/>
    <w:pPr>
      <w:numPr>
        <w:ilvl w:val="2"/>
        <w:numId w:val="6"/>
      </w:numPr>
      <w:spacing w:before="240" w:after="0"/>
      <w:jc w:val="left"/>
      <w:outlineLvl w:val="3"/>
    </w:pPr>
    <w:rPr>
      <w:rFonts w:ascii="Times New Roman" w:eastAsia="Times New Roman" w:hAnsi="Times New Roman" w:cs="Times New Roman"/>
      <w:sz w:val="24"/>
    </w:rPr>
  </w:style>
  <w:style w:type="paragraph" w:customStyle="1" w:styleId="CONLeveli">
    <w:name w:val=".CON  Level  (i)"/>
    <w:basedOn w:val="Normal"/>
    <w:next w:val="Normal"/>
    <w:rsid w:val="00CE404E"/>
    <w:pPr>
      <w:numPr>
        <w:ilvl w:val="3"/>
        <w:numId w:val="6"/>
      </w:numPr>
      <w:spacing w:before="240" w:after="0"/>
      <w:jc w:val="left"/>
      <w:outlineLvl w:val="4"/>
    </w:pPr>
    <w:rPr>
      <w:rFonts w:ascii="Times New Roman" w:eastAsia="Times New Roman" w:hAnsi="Times New Roman" w:cs="Times New Roman"/>
      <w:sz w:val="24"/>
    </w:rPr>
  </w:style>
  <w:style w:type="paragraph" w:customStyle="1" w:styleId="CONLevelI0">
    <w:name w:val=".CON  Level (I)"/>
    <w:basedOn w:val="Normal"/>
    <w:next w:val="Normal"/>
    <w:rsid w:val="00CE404E"/>
    <w:pPr>
      <w:numPr>
        <w:ilvl w:val="5"/>
        <w:numId w:val="6"/>
      </w:numPr>
      <w:spacing w:before="240" w:after="0"/>
      <w:jc w:val="left"/>
      <w:outlineLvl w:val="6"/>
    </w:pPr>
    <w:rPr>
      <w:rFonts w:ascii="Times New Roman" w:eastAsia="Times New Roman" w:hAnsi="Times New Roman" w:cs="Times New Roman"/>
      <w:sz w:val="24"/>
    </w:rPr>
  </w:style>
  <w:style w:type="paragraph" w:customStyle="1" w:styleId="Covertitle">
    <w:name w:val="Cover title"/>
    <w:qFormat/>
    <w:rsid w:val="00AE5136"/>
    <w:pPr>
      <w:spacing w:before="10320" w:after="720"/>
      <w:jc w:val="left"/>
    </w:pPr>
    <w:rPr>
      <w:rFonts w:asciiTheme="majorHAnsi" w:eastAsiaTheme="majorEastAsia" w:hAnsiTheme="majorHAnsi" w:cstheme="majorBidi"/>
      <w:bCs/>
      <w:color w:val="BC1D43"/>
      <w:kern w:val="28"/>
      <w:sz w:val="40"/>
      <w:szCs w:val="40"/>
    </w:rPr>
  </w:style>
  <w:style w:type="paragraph" w:customStyle="1" w:styleId="Coversubtitle">
    <w:name w:val="Cover subtitle"/>
    <w:qFormat/>
    <w:rsid w:val="00B810A8"/>
    <w:pPr>
      <w:spacing w:after="120"/>
      <w:jc w:val="left"/>
    </w:pPr>
    <w:rPr>
      <w:rFonts w:ascii="Calibri Light" w:eastAsiaTheme="majorEastAsia" w:hAnsi="Calibri Light" w:cstheme="majorBidi"/>
      <w:color w:val="000000" w:themeColor="text1"/>
      <w:kern w:val="28"/>
      <w:sz w:val="32"/>
      <w:szCs w:val="32"/>
    </w:rPr>
  </w:style>
  <w:style w:type="paragraph" w:customStyle="1" w:styleId="Coverdate">
    <w:name w:val="Cover date"/>
    <w:basedOn w:val="Coversubtitle"/>
    <w:rsid w:val="00B810A8"/>
    <w:rPr>
      <w:bCs/>
      <w:spacing w:val="15"/>
      <w:kern w:val="0"/>
      <w:sz w:val="30"/>
      <w:szCs w:val="30"/>
    </w:rPr>
  </w:style>
  <w:style w:type="paragraph" w:customStyle="1" w:styleId="Header1">
    <w:name w:val="Header1"/>
    <w:qFormat/>
    <w:rsid w:val="00980333"/>
    <w:pPr>
      <w:ind w:right="-709"/>
      <w:jc w:val="right"/>
    </w:pPr>
    <w:rPr>
      <w:rFonts w:cs="Arial"/>
      <w:color w:val="44546A" w:themeColor="text2"/>
      <w:spacing w:val="20"/>
      <w:sz w:val="16"/>
      <w:szCs w:val="16"/>
    </w:rPr>
  </w:style>
  <w:style w:type="paragraph" w:customStyle="1" w:styleId="Pageheading">
    <w:name w:val="Page heading"/>
    <w:qFormat/>
    <w:rsid w:val="00BC5DFC"/>
    <w:pPr>
      <w:spacing w:after="480"/>
      <w:jc w:val="left"/>
    </w:pPr>
    <w:rPr>
      <w:rFonts w:asciiTheme="majorHAnsi" w:eastAsiaTheme="majorEastAsia" w:hAnsiTheme="majorHAnsi" w:cstheme="majorBidi"/>
      <w:b/>
      <w:color w:val="BC1D43"/>
      <w:sz w:val="30"/>
      <w:szCs w:val="30"/>
    </w:rPr>
  </w:style>
  <w:style w:type="paragraph" w:customStyle="1" w:styleId="p1">
    <w:name w:val="p1"/>
    <w:basedOn w:val="Normal"/>
    <w:rsid w:val="00B5282C"/>
    <w:pPr>
      <w:spacing w:after="0"/>
      <w:jc w:val="left"/>
    </w:pPr>
    <w:rPr>
      <w:rFonts w:ascii="Minion Pro" w:hAnsi="Minion Pro" w:cs="Times New Roman"/>
      <w:sz w:val="18"/>
      <w:szCs w:val="18"/>
      <w:lang w:val="en-US"/>
    </w:rPr>
  </w:style>
  <w:style w:type="paragraph" w:customStyle="1" w:styleId="Contentssubheading">
    <w:name w:val="Contents subheading"/>
    <w:basedOn w:val="Normal"/>
    <w:rsid w:val="00636861"/>
    <w:pPr>
      <w:spacing w:before="600" w:after="120" w:line="360" w:lineRule="auto"/>
      <w:jc w:val="left"/>
    </w:pPr>
    <w:rPr>
      <w:rFonts w:asciiTheme="majorHAnsi" w:hAnsiTheme="majorHAnsi"/>
      <w:b/>
      <w:bCs/>
      <w:color w:val="BC1D43"/>
      <w:sz w:val="24"/>
    </w:rPr>
  </w:style>
  <w:style w:type="paragraph" w:customStyle="1" w:styleId="Numbers">
    <w:name w:val="Numbers"/>
    <w:basedOn w:val="Bullets"/>
    <w:qFormat/>
    <w:rsid w:val="004365FF"/>
    <w:pPr>
      <w:numPr>
        <w:numId w:val="7"/>
      </w:numPr>
      <w:tabs>
        <w:tab w:val="num" w:pos="1617"/>
      </w:tabs>
    </w:pPr>
  </w:style>
  <w:style w:type="table" w:styleId="PlainTable2">
    <w:name w:val="Plain Table 2"/>
    <w:basedOn w:val="TableNormal"/>
    <w:uiPriority w:val="42"/>
    <w:rsid w:val="00ED3F0E"/>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1">
    <w:name w:val="Plain Table 1"/>
    <w:basedOn w:val="TableNormal"/>
    <w:uiPriority w:val="41"/>
    <w:rsid w:val="00ED3F0E"/>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2">
    <w:name w:val="Grid Table 1 Light Accent 2"/>
    <w:basedOn w:val="TableNormal"/>
    <w:uiPriority w:val="46"/>
    <w:rsid w:val="00ED3F0E"/>
    <w:pPr>
      <w:spacing w:after="0"/>
    </w:pPr>
    <w:tblPr>
      <w:tblStyleRowBandSize w:val="1"/>
      <w:tblStyleColBandSize w:val="1"/>
      <w:tblBorders>
        <w:top w:val="single" w:sz="4" w:space="0" w:color="F5B4A8" w:themeColor="accent2" w:themeTint="66"/>
        <w:left w:val="single" w:sz="4" w:space="0" w:color="F5B4A8" w:themeColor="accent2" w:themeTint="66"/>
        <w:bottom w:val="single" w:sz="4" w:space="0" w:color="F5B4A8" w:themeColor="accent2" w:themeTint="66"/>
        <w:right w:val="single" w:sz="4" w:space="0" w:color="F5B4A8" w:themeColor="accent2" w:themeTint="66"/>
        <w:insideH w:val="single" w:sz="4" w:space="0" w:color="F5B4A8" w:themeColor="accent2" w:themeTint="66"/>
        <w:insideV w:val="single" w:sz="4" w:space="0" w:color="F5B4A8" w:themeColor="accent2" w:themeTint="66"/>
      </w:tblBorders>
    </w:tblPr>
    <w:tblStylePr w:type="firstRow">
      <w:rPr>
        <w:b/>
        <w:bCs/>
      </w:rPr>
      <w:tblPr/>
      <w:tcPr>
        <w:tcBorders>
          <w:bottom w:val="single" w:sz="12" w:space="0" w:color="F18E7D" w:themeColor="accent2" w:themeTint="99"/>
        </w:tcBorders>
      </w:tcPr>
    </w:tblStylePr>
    <w:tblStylePr w:type="lastRow">
      <w:rPr>
        <w:b/>
        <w:bCs/>
      </w:rPr>
      <w:tblPr/>
      <w:tcPr>
        <w:tcBorders>
          <w:top w:val="double" w:sz="2" w:space="0" w:color="F18E7D" w:themeColor="accent2" w:themeTint="99"/>
        </w:tcBorders>
      </w:tcPr>
    </w:tblStylePr>
    <w:tblStylePr w:type="firstCol">
      <w:rPr>
        <w:b/>
        <w:bCs/>
      </w:rPr>
    </w:tblStylePr>
    <w:tblStylePr w:type="lastCol">
      <w:rPr>
        <w:b/>
        <w:bCs/>
      </w:rPr>
    </w:tblStylePr>
  </w:style>
  <w:style w:type="table" w:styleId="GridTable1Light">
    <w:name w:val="Grid Table 1 Light"/>
    <w:basedOn w:val="TableNormal"/>
    <w:uiPriority w:val="46"/>
    <w:rsid w:val="00ED3F0E"/>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ED3F0E"/>
    <w:pPr>
      <w:spacing w:after="0"/>
    </w:pPr>
    <w:tblPr>
      <w:tblStyleRowBandSize w:val="1"/>
      <w:tblStyleColBandSize w:val="1"/>
      <w:tblBorders>
        <w:top w:val="single" w:sz="4" w:space="0" w:color="D7B281" w:themeColor="accent3" w:themeTint="66"/>
        <w:left w:val="single" w:sz="4" w:space="0" w:color="D7B281" w:themeColor="accent3" w:themeTint="66"/>
        <w:bottom w:val="single" w:sz="4" w:space="0" w:color="D7B281" w:themeColor="accent3" w:themeTint="66"/>
        <w:right w:val="single" w:sz="4" w:space="0" w:color="D7B281" w:themeColor="accent3" w:themeTint="66"/>
        <w:insideH w:val="single" w:sz="4" w:space="0" w:color="D7B281" w:themeColor="accent3" w:themeTint="66"/>
        <w:insideV w:val="single" w:sz="4" w:space="0" w:color="D7B281" w:themeColor="accent3" w:themeTint="66"/>
      </w:tblBorders>
    </w:tblPr>
    <w:tblStylePr w:type="firstRow">
      <w:rPr>
        <w:b/>
        <w:bCs/>
      </w:rPr>
      <w:tblPr/>
      <w:tcPr>
        <w:tcBorders>
          <w:bottom w:val="single" w:sz="12" w:space="0" w:color="C38C41" w:themeColor="accent3" w:themeTint="99"/>
        </w:tcBorders>
      </w:tcPr>
    </w:tblStylePr>
    <w:tblStylePr w:type="lastRow">
      <w:rPr>
        <w:b/>
        <w:bCs/>
      </w:rPr>
      <w:tblPr/>
      <w:tcPr>
        <w:tcBorders>
          <w:top w:val="double" w:sz="2" w:space="0" w:color="C38C41" w:themeColor="accent3" w:themeTint="99"/>
        </w:tcBorders>
      </w:tcPr>
    </w:tblStylePr>
    <w:tblStylePr w:type="firstCol">
      <w:rPr>
        <w:b/>
        <w:bCs/>
      </w:rPr>
    </w:tblStylePr>
    <w:tblStylePr w:type="lastCol">
      <w:rPr>
        <w:b/>
        <w:bCs/>
      </w:rPr>
    </w:tblStylePr>
  </w:style>
  <w:style w:type="table" w:styleId="GridTable2">
    <w:name w:val="Grid Table 2"/>
    <w:basedOn w:val="TableNormal"/>
    <w:uiPriority w:val="47"/>
    <w:rsid w:val="00ED3F0E"/>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ED3F0E"/>
    <w:pPr>
      <w:spacing w:after="0"/>
    </w:pPr>
    <w:tblPr>
      <w:tblStyleRowBandSize w:val="1"/>
      <w:tblStyleColBandSize w:val="1"/>
      <w:tblBorders>
        <w:top w:val="single" w:sz="2" w:space="0" w:color="24FFF5" w:themeColor="accent1" w:themeTint="99"/>
        <w:bottom w:val="single" w:sz="2" w:space="0" w:color="24FFF5" w:themeColor="accent1" w:themeTint="99"/>
        <w:insideH w:val="single" w:sz="2" w:space="0" w:color="24FFF5" w:themeColor="accent1" w:themeTint="99"/>
        <w:insideV w:val="single" w:sz="2" w:space="0" w:color="24FFF5" w:themeColor="accent1" w:themeTint="99"/>
      </w:tblBorders>
    </w:tblPr>
    <w:tblStylePr w:type="firstRow">
      <w:rPr>
        <w:b/>
        <w:bCs/>
      </w:rPr>
      <w:tblPr/>
      <w:tcPr>
        <w:tcBorders>
          <w:top w:val="nil"/>
          <w:bottom w:val="single" w:sz="12" w:space="0" w:color="24FFF5" w:themeColor="accent1" w:themeTint="99"/>
          <w:insideH w:val="nil"/>
          <w:insideV w:val="nil"/>
        </w:tcBorders>
        <w:shd w:val="clear" w:color="auto" w:fill="FFFFFF" w:themeFill="background1"/>
      </w:tcPr>
    </w:tblStylePr>
    <w:tblStylePr w:type="lastRow">
      <w:rPr>
        <w:b/>
        <w:bCs/>
      </w:rPr>
      <w:tblPr/>
      <w:tcPr>
        <w:tcBorders>
          <w:top w:val="double" w:sz="2" w:space="0" w:color="24FFF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6FFFB" w:themeFill="accent1" w:themeFillTint="33"/>
      </w:tcPr>
    </w:tblStylePr>
    <w:tblStylePr w:type="band1Horz">
      <w:tblPr/>
      <w:tcPr>
        <w:shd w:val="clear" w:color="auto" w:fill="B6FFFB" w:themeFill="accent1" w:themeFillTint="33"/>
      </w:tcPr>
    </w:tblStylePr>
  </w:style>
  <w:style w:type="table" w:styleId="GridTable2-Accent6">
    <w:name w:val="Grid Table 2 Accent 6"/>
    <w:basedOn w:val="TableNormal"/>
    <w:uiPriority w:val="47"/>
    <w:rsid w:val="00ED3F0E"/>
    <w:pPr>
      <w:spacing w:after="0"/>
    </w:pPr>
    <w:tblPr>
      <w:tblStyleRowBandSize w:val="1"/>
      <w:tblStyleColBandSize w:val="1"/>
      <w:tblBorders>
        <w:top w:val="single" w:sz="2" w:space="0" w:color="0659FF" w:themeColor="accent6" w:themeTint="99"/>
        <w:bottom w:val="single" w:sz="2" w:space="0" w:color="0659FF" w:themeColor="accent6" w:themeTint="99"/>
        <w:insideH w:val="single" w:sz="2" w:space="0" w:color="0659FF" w:themeColor="accent6" w:themeTint="99"/>
        <w:insideV w:val="single" w:sz="2" w:space="0" w:color="0659FF" w:themeColor="accent6" w:themeTint="99"/>
      </w:tblBorders>
    </w:tblPr>
    <w:tblStylePr w:type="firstRow">
      <w:rPr>
        <w:b/>
        <w:bCs/>
      </w:rPr>
      <w:tblPr/>
      <w:tcPr>
        <w:tcBorders>
          <w:top w:val="nil"/>
          <w:bottom w:val="single" w:sz="12" w:space="0" w:color="0659FF" w:themeColor="accent6" w:themeTint="99"/>
          <w:insideH w:val="nil"/>
          <w:insideV w:val="nil"/>
        </w:tcBorders>
        <w:shd w:val="clear" w:color="auto" w:fill="FFFFFF" w:themeFill="background1"/>
      </w:tcPr>
    </w:tblStylePr>
    <w:tblStylePr w:type="lastRow">
      <w:rPr>
        <w:b/>
        <w:bCs/>
      </w:rPr>
      <w:tblPr/>
      <w:tcPr>
        <w:tcBorders>
          <w:top w:val="double" w:sz="2" w:space="0" w:color="0659F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CC7FF" w:themeFill="accent6" w:themeFillTint="33"/>
      </w:tcPr>
    </w:tblStylePr>
    <w:tblStylePr w:type="band1Horz">
      <w:tblPr/>
      <w:tcPr>
        <w:shd w:val="clear" w:color="auto" w:fill="ACC7FF" w:themeFill="accent6" w:themeFillTint="33"/>
      </w:tcPr>
    </w:tblStylePr>
  </w:style>
  <w:style w:type="table" w:styleId="GridTable4-Accent2">
    <w:name w:val="Grid Table 4 Accent 2"/>
    <w:basedOn w:val="TableNormal"/>
    <w:uiPriority w:val="49"/>
    <w:rsid w:val="00ED3F0E"/>
    <w:pPr>
      <w:spacing w:after="0"/>
    </w:pPr>
    <w:tblPr>
      <w:tblStyleRowBandSize w:val="1"/>
      <w:tblStyleColBandSize w:val="1"/>
      <w:tblBorders>
        <w:top w:val="single" w:sz="4" w:space="0" w:color="F18E7D" w:themeColor="accent2" w:themeTint="99"/>
        <w:left w:val="single" w:sz="4" w:space="0" w:color="F18E7D" w:themeColor="accent2" w:themeTint="99"/>
        <w:bottom w:val="single" w:sz="4" w:space="0" w:color="F18E7D" w:themeColor="accent2" w:themeTint="99"/>
        <w:right w:val="single" w:sz="4" w:space="0" w:color="F18E7D" w:themeColor="accent2" w:themeTint="99"/>
        <w:insideH w:val="single" w:sz="4" w:space="0" w:color="F18E7D" w:themeColor="accent2" w:themeTint="99"/>
        <w:insideV w:val="single" w:sz="4" w:space="0" w:color="F18E7D" w:themeColor="accent2" w:themeTint="99"/>
      </w:tblBorders>
    </w:tblPr>
    <w:tblStylePr w:type="firstRow">
      <w:rPr>
        <w:b/>
        <w:bCs/>
        <w:color w:val="FFFFFF" w:themeColor="background1"/>
      </w:rPr>
      <w:tblPr/>
      <w:tcPr>
        <w:tcBorders>
          <w:top w:val="single" w:sz="4" w:space="0" w:color="E84427" w:themeColor="accent2"/>
          <w:left w:val="single" w:sz="4" w:space="0" w:color="E84427" w:themeColor="accent2"/>
          <w:bottom w:val="single" w:sz="4" w:space="0" w:color="E84427" w:themeColor="accent2"/>
          <w:right w:val="single" w:sz="4" w:space="0" w:color="E84427" w:themeColor="accent2"/>
          <w:insideH w:val="nil"/>
          <w:insideV w:val="nil"/>
        </w:tcBorders>
        <w:shd w:val="clear" w:color="auto" w:fill="E84427" w:themeFill="accent2"/>
      </w:tcPr>
    </w:tblStylePr>
    <w:tblStylePr w:type="lastRow">
      <w:rPr>
        <w:b/>
        <w:bCs/>
      </w:rPr>
      <w:tblPr/>
      <w:tcPr>
        <w:tcBorders>
          <w:top w:val="double" w:sz="4" w:space="0" w:color="E84427" w:themeColor="accent2"/>
        </w:tcBorders>
      </w:tcPr>
    </w:tblStylePr>
    <w:tblStylePr w:type="firstCol">
      <w:rPr>
        <w:b/>
        <w:bCs/>
      </w:rPr>
    </w:tblStylePr>
    <w:tblStylePr w:type="lastCol">
      <w:rPr>
        <w:b/>
        <w:bCs/>
      </w:rPr>
    </w:tblStylePr>
    <w:tblStylePr w:type="band1Vert">
      <w:tblPr/>
      <w:tcPr>
        <w:shd w:val="clear" w:color="auto" w:fill="FAD9D3" w:themeFill="accent2" w:themeFillTint="33"/>
      </w:tcPr>
    </w:tblStylePr>
    <w:tblStylePr w:type="band1Horz">
      <w:tblPr/>
      <w:tcPr>
        <w:shd w:val="clear" w:color="auto" w:fill="FAD9D3" w:themeFill="accent2" w:themeFillTint="33"/>
      </w:tcPr>
    </w:tblStylePr>
  </w:style>
  <w:style w:type="table" w:styleId="GridTable4-Accent1">
    <w:name w:val="Grid Table 4 Accent 1"/>
    <w:basedOn w:val="TableNormal"/>
    <w:uiPriority w:val="49"/>
    <w:rsid w:val="00ED3F0E"/>
    <w:pPr>
      <w:spacing w:after="0"/>
    </w:pPr>
    <w:tblPr>
      <w:tblStyleRowBandSize w:val="1"/>
      <w:tblStyleColBandSize w:val="1"/>
      <w:tblBorders>
        <w:top w:val="single" w:sz="4" w:space="0" w:color="24FFF5" w:themeColor="accent1" w:themeTint="99"/>
        <w:left w:val="single" w:sz="4" w:space="0" w:color="24FFF5" w:themeColor="accent1" w:themeTint="99"/>
        <w:bottom w:val="single" w:sz="4" w:space="0" w:color="24FFF5" w:themeColor="accent1" w:themeTint="99"/>
        <w:right w:val="single" w:sz="4" w:space="0" w:color="24FFF5" w:themeColor="accent1" w:themeTint="99"/>
        <w:insideH w:val="single" w:sz="4" w:space="0" w:color="24FFF5" w:themeColor="accent1" w:themeTint="99"/>
        <w:insideV w:val="single" w:sz="4" w:space="0" w:color="24FFF5" w:themeColor="accent1" w:themeTint="99"/>
      </w:tblBorders>
    </w:tblPr>
    <w:tblStylePr w:type="firstRow">
      <w:rPr>
        <w:b/>
        <w:bCs/>
        <w:color w:val="FFFFFF" w:themeColor="background1"/>
      </w:rPr>
      <w:tblPr/>
      <w:tcPr>
        <w:tcBorders>
          <w:top w:val="single" w:sz="4" w:space="0" w:color="00928C" w:themeColor="accent1"/>
          <w:left w:val="single" w:sz="4" w:space="0" w:color="00928C" w:themeColor="accent1"/>
          <w:bottom w:val="single" w:sz="4" w:space="0" w:color="00928C" w:themeColor="accent1"/>
          <w:right w:val="single" w:sz="4" w:space="0" w:color="00928C" w:themeColor="accent1"/>
          <w:insideH w:val="nil"/>
          <w:insideV w:val="nil"/>
        </w:tcBorders>
        <w:shd w:val="clear" w:color="auto" w:fill="00928C" w:themeFill="accent1"/>
      </w:tcPr>
    </w:tblStylePr>
    <w:tblStylePr w:type="lastRow">
      <w:rPr>
        <w:b/>
        <w:bCs/>
      </w:rPr>
      <w:tblPr/>
      <w:tcPr>
        <w:tcBorders>
          <w:top w:val="double" w:sz="4" w:space="0" w:color="00928C" w:themeColor="accent1"/>
        </w:tcBorders>
      </w:tcPr>
    </w:tblStylePr>
    <w:tblStylePr w:type="firstCol">
      <w:rPr>
        <w:b/>
        <w:bCs/>
      </w:rPr>
    </w:tblStylePr>
    <w:tblStylePr w:type="lastCol">
      <w:rPr>
        <w:b/>
        <w:bCs/>
      </w:rPr>
    </w:tblStylePr>
    <w:tblStylePr w:type="band1Vert">
      <w:tblPr/>
      <w:tcPr>
        <w:shd w:val="clear" w:color="auto" w:fill="B6FFFB" w:themeFill="accent1" w:themeFillTint="33"/>
      </w:tcPr>
    </w:tblStylePr>
    <w:tblStylePr w:type="band1Horz">
      <w:tblPr/>
      <w:tcPr>
        <w:shd w:val="clear" w:color="auto" w:fill="B6FFFB" w:themeFill="accent1" w:themeFillTint="33"/>
      </w:tcPr>
    </w:tblStylePr>
  </w:style>
  <w:style w:type="table" w:styleId="GridTable4">
    <w:name w:val="Grid Table 4"/>
    <w:basedOn w:val="TableNormal"/>
    <w:uiPriority w:val="49"/>
    <w:rsid w:val="00ED3F0E"/>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5Dark-Accent2">
    <w:name w:val="Grid Table 5 Dark Accent 2"/>
    <w:basedOn w:val="TableNormal"/>
    <w:uiPriority w:val="50"/>
    <w:rsid w:val="00ED3F0E"/>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D9D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844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844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844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84427" w:themeFill="accent2"/>
      </w:tcPr>
    </w:tblStylePr>
    <w:tblStylePr w:type="band1Vert">
      <w:tblPr/>
      <w:tcPr>
        <w:shd w:val="clear" w:color="auto" w:fill="F5B4A8" w:themeFill="accent2" w:themeFillTint="66"/>
      </w:tcPr>
    </w:tblStylePr>
    <w:tblStylePr w:type="band1Horz">
      <w:tblPr/>
      <w:tcPr>
        <w:shd w:val="clear" w:color="auto" w:fill="F5B4A8" w:themeFill="accent2" w:themeFillTint="66"/>
      </w:tcPr>
    </w:tblStylePr>
  </w:style>
  <w:style w:type="table" w:styleId="GridTable5Dark-Accent3">
    <w:name w:val="Grid Table 5 Dark Accent 3"/>
    <w:basedOn w:val="TableNormal"/>
    <w:uiPriority w:val="50"/>
    <w:rsid w:val="00ED3F0E"/>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D8B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9341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9341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9341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93417" w:themeFill="accent3"/>
      </w:tcPr>
    </w:tblStylePr>
    <w:tblStylePr w:type="band1Vert">
      <w:tblPr/>
      <w:tcPr>
        <w:shd w:val="clear" w:color="auto" w:fill="D7B281" w:themeFill="accent3" w:themeFillTint="66"/>
      </w:tcPr>
    </w:tblStylePr>
    <w:tblStylePr w:type="band1Horz">
      <w:tblPr/>
      <w:tcPr>
        <w:shd w:val="clear" w:color="auto" w:fill="D7B281" w:themeFill="accent3" w:themeFillTint="66"/>
      </w:tcPr>
    </w:tblStylePr>
  </w:style>
  <w:style w:type="table" w:styleId="GridTable7Colorful">
    <w:name w:val="Grid Table 7 Colorful"/>
    <w:basedOn w:val="TableNormal"/>
    <w:uiPriority w:val="52"/>
    <w:rsid w:val="00ED3F0E"/>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1Light">
    <w:name w:val="List Table 1 Light"/>
    <w:basedOn w:val="TableNormal"/>
    <w:uiPriority w:val="46"/>
    <w:rsid w:val="00ED3F0E"/>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ED3F0E"/>
    <w:pPr>
      <w:spacing w:after="0"/>
    </w:pPr>
    <w:tblPr>
      <w:tblStyleRowBandSize w:val="1"/>
      <w:tblStyleColBandSize w:val="1"/>
    </w:tblPr>
    <w:tblStylePr w:type="firstRow">
      <w:rPr>
        <w:b/>
        <w:bCs/>
      </w:rPr>
      <w:tblPr/>
      <w:tcPr>
        <w:tcBorders>
          <w:bottom w:val="single" w:sz="4" w:space="0" w:color="24FFF5" w:themeColor="accent1" w:themeTint="99"/>
        </w:tcBorders>
      </w:tcPr>
    </w:tblStylePr>
    <w:tblStylePr w:type="lastRow">
      <w:rPr>
        <w:b/>
        <w:bCs/>
      </w:rPr>
      <w:tblPr/>
      <w:tcPr>
        <w:tcBorders>
          <w:top w:val="single" w:sz="4" w:space="0" w:color="24FFF5" w:themeColor="accent1" w:themeTint="99"/>
        </w:tcBorders>
      </w:tcPr>
    </w:tblStylePr>
    <w:tblStylePr w:type="firstCol">
      <w:rPr>
        <w:b/>
        <w:bCs/>
      </w:rPr>
    </w:tblStylePr>
    <w:tblStylePr w:type="lastCol">
      <w:rPr>
        <w:b/>
        <w:bCs/>
      </w:rPr>
    </w:tblStylePr>
    <w:tblStylePr w:type="band1Vert">
      <w:tblPr/>
      <w:tcPr>
        <w:shd w:val="clear" w:color="auto" w:fill="B6FFFB" w:themeFill="accent1" w:themeFillTint="33"/>
      </w:tcPr>
    </w:tblStylePr>
    <w:tblStylePr w:type="band1Horz">
      <w:tblPr/>
      <w:tcPr>
        <w:shd w:val="clear" w:color="auto" w:fill="B6FFFB" w:themeFill="accent1" w:themeFillTint="33"/>
      </w:tcPr>
    </w:tblStylePr>
  </w:style>
  <w:style w:type="table" w:styleId="ListTable2-Accent6">
    <w:name w:val="List Table 2 Accent 6"/>
    <w:basedOn w:val="TableNormal"/>
    <w:uiPriority w:val="47"/>
    <w:rsid w:val="00ED3F0E"/>
    <w:pPr>
      <w:spacing w:after="0"/>
    </w:pPr>
    <w:tblPr>
      <w:tblStyleRowBandSize w:val="1"/>
      <w:tblStyleColBandSize w:val="1"/>
      <w:tblBorders>
        <w:top w:val="single" w:sz="4" w:space="0" w:color="0659FF" w:themeColor="accent6" w:themeTint="99"/>
        <w:bottom w:val="single" w:sz="4" w:space="0" w:color="0659FF" w:themeColor="accent6" w:themeTint="99"/>
        <w:insideH w:val="single" w:sz="4" w:space="0" w:color="0659F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CC7FF" w:themeFill="accent6" w:themeFillTint="33"/>
      </w:tcPr>
    </w:tblStylePr>
    <w:tblStylePr w:type="band1Horz">
      <w:tblPr/>
      <w:tcPr>
        <w:shd w:val="clear" w:color="auto" w:fill="ACC7FF" w:themeFill="accent6" w:themeFillTint="33"/>
      </w:tcPr>
    </w:tblStylePr>
  </w:style>
  <w:style w:type="table" w:styleId="ListTable5Dark-Accent3">
    <w:name w:val="List Table 5 Dark Accent 3"/>
    <w:basedOn w:val="TableNormal"/>
    <w:uiPriority w:val="50"/>
    <w:rsid w:val="00ED3F0E"/>
    <w:pPr>
      <w:spacing w:after="0"/>
    </w:pPr>
    <w:rPr>
      <w:color w:val="FFFFFF" w:themeColor="background1"/>
    </w:rPr>
    <w:tblPr>
      <w:tblStyleRowBandSize w:val="1"/>
      <w:tblStyleColBandSize w:val="1"/>
      <w:tblBorders>
        <w:top w:val="single" w:sz="24" w:space="0" w:color="493417" w:themeColor="accent3"/>
        <w:left w:val="single" w:sz="24" w:space="0" w:color="493417" w:themeColor="accent3"/>
        <w:bottom w:val="single" w:sz="24" w:space="0" w:color="493417" w:themeColor="accent3"/>
        <w:right w:val="single" w:sz="24" w:space="0" w:color="493417" w:themeColor="accent3"/>
      </w:tblBorders>
    </w:tblPr>
    <w:tcPr>
      <w:shd w:val="clear" w:color="auto" w:fill="493417"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4-Accent5">
    <w:name w:val="List Table 4 Accent 5"/>
    <w:basedOn w:val="TableNormal"/>
    <w:uiPriority w:val="49"/>
    <w:rsid w:val="00ED3F0E"/>
    <w:pPr>
      <w:spacing w:after="0"/>
    </w:pPr>
    <w:tblPr>
      <w:tblStyleRowBandSize w:val="1"/>
      <w:tblStyleColBandSize w:val="1"/>
      <w:tblBorders>
        <w:top w:val="single" w:sz="4" w:space="0" w:color="D8CEB9" w:themeColor="accent5" w:themeTint="99"/>
        <w:left w:val="single" w:sz="4" w:space="0" w:color="D8CEB9" w:themeColor="accent5" w:themeTint="99"/>
        <w:bottom w:val="single" w:sz="4" w:space="0" w:color="D8CEB9" w:themeColor="accent5" w:themeTint="99"/>
        <w:right w:val="single" w:sz="4" w:space="0" w:color="D8CEB9" w:themeColor="accent5" w:themeTint="99"/>
        <w:insideH w:val="single" w:sz="4" w:space="0" w:color="D8CEB9" w:themeColor="accent5" w:themeTint="99"/>
      </w:tblBorders>
    </w:tblPr>
    <w:tblStylePr w:type="firstRow">
      <w:rPr>
        <w:b/>
        <w:bCs/>
        <w:color w:val="FFFFFF" w:themeColor="background1"/>
      </w:rPr>
      <w:tblPr/>
      <w:tcPr>
        <w:tcBorders>
          <w:top w:val="single" w:sz="4" w:space="0" w:color="BFAF8C" w:themeColor="accent5"/>
          <w:left w:val="single" w:sz="4" w:space="0" w:color="BFAF8C" w:themeColor="accent5"/>
          <w:bottom w:val="single" w:sz="4" w:space="0" w:color="BFAF8C" w:themeColor="accent5"/>
          <w:right w:val="single" w:sz="4" w:space="0" w:color="BFAF8C" w:themeColor="accent5"/>
          <w:insideH w:val="nil"/>
        </w:tcBorders>
        <w:shd w:val="clear" w:color="auto" w:fill="BFAF8C" w:themeFill="accent5"/>
      </w:tcPr>
    </w:tblStylePr>
    <w:tblStylePr w:type="lastRow">
      <w:rPr>
        <w:b/>
        <w:bCs/>
      </w:rPr>
      <w:tblPr/>
      <w:tcPr>
        <w:tcBorders>
          <w:top w:val="double" w:sz="4" w:space="0" w:color="D8CEB9" w:themeColor="accent5" w:themeTint="99"/>
        </w:tcBorders>
      </w:tcPr>
    </w:tblStylePr>
    <w:tblStylePr w:type="firstCol">
      <w:rPr>
        <w:b/>
        <w:bCs/>
      </w:rPr>
    </w:tblStylePr>
    <w:tblStylePr w:type="lastCol">
      <w:rPr>
        <w:b/>
        <w:bCs/>
      </w:rPr>
    </w:tblStylePr>
    <w:tblStylePr w:type="band1Vert">
      <w:tblPr/>
      <w:tcPr>
        <w:shd w:val="clear" w:color="auto" w:fill="F2EEE7" w:themeFill="accent5" w:themeFillTint="33"/>
      </w:tcPr>
    </w:tblStylePr>
    <w:tblStylePr w:type="band1Horz">
      <w:tblPr/>
      <w:tcPr>
        <w:shd w:val="clear" w:color="auto" w:fill="F2EEE7" w:themeFill="accent5" w:themeFillTint="33"/>
      </w:tcPr>
    </w:tblStylePr>
  </w:style>
  <w:style w:type="table" w:customStyle="1" w:styleId="Table1">
    <w:name w:val="Table 1"/>
    <w:basedOn w:val="TableNormal"/>
    <w:uiPriority w:val="99"/>
    <w:rsid w:val="006D6754"/>
    <w:pPr>
      <w:spacing w:after="0"/>
      <w:jc w:val="left"/>
    </w:pPr>
    <w:tblPr>
      <w:tblBorders>
        <w:bottom w:val="single" w:sz="4" w:space="0" w:color="BC1D43"/>
        <w:insideH w:val="single" w:sz="4" w:space="0" w:color="BC1D43"/>
      </w:tblBorders>
    </w:tblPr>
    <w:tcPr>
      <w:tcMar>
        <w:top w:w="142" w:type="dxa"/>
        <w:bottom w:w="0" w:type="dxa"/>
      </w:tcMar>
    </w:tcPr>
    <w:tblStylePr w:type="firstRow">
      <w:rPr>
        <w:rFonts w:ascii="Calibri" w:hAnsi="Calibri"/>
        <w:b/>
        <w:bCs/>
        <w:i w:val="0"/>
        <w:iCs w:val="0"/>
        <w:caps/>
        <w:smallCaps w:val="0"/>
        <w:strike w:val="0"/>
        <w:dstrike w:val="0"/>
        <w:vanish w:val="0"/>
        <w:color w:val="FFFFFF" w:themeColor="background1"/>
        <w:spacing w:val="10"/>
        <w:sz w:val="21"/>
        <w:vertAlign w:val="baseline"/>
      </w:rPr>
      <w:tblPr/>
      <w:tcPr>
        <w:tcBorders>
          <w:top w:val="nil"/>
          <w:left w:val="nil"/>
          <w:bottom w:val="nil"/>
          <w:right w:val="nil"/>
          <w:insideH w:val="nil"/>
          <w:insideV w:val="nil"/>
          <w:tl2br w:val="nil"/>
          <w:tr2bl w:val="nil"/>
        </w:tcBorders>
        <w:shd w:val="clear" w:color="auto" w:fill="BC1D43"/>
      </w:tcPr>
    </w:tblStylePr>
  </w:style>
  <w:style w:type="table" w:customStyle="1" w:styleId="Table2">
    <w:name w:val="Table 2"/>
    <w:basedOn w:val="TableNormal"/>
    <w:uiPriority w:val="99"/>
    <w:rsid w:val="006D6754"/>
    <w:pPr>
      <w:spacing w:after="0"/>
      <w:jc w:val="left"/>
    </w:pPr>
    <w:tblPr>
      <w:tblStyleRowBandSize w:val="1"/>
      <w:tblBorders>
        <w:bottom w:val="single" w:sz="4" w:space="0" w:color="000000" w:themeColor="text1"/>
      </w:tblBorders>
    </w:tblPr>
    <w:tcPr>
      <w:tcMar>
        <w:top w:w="142" w:type="dxa"/>
      </w:tcMar>
    </w:tcPr>
    <w:tblStylePr w:type="firstRow">
      <w:rPr>
        <w:rFonts w:ascii="Calibri" w:hAnsi="Calibri"/>
        <w:b/>
        <w:bCs/>
        <w:i w:val="0"/>
        <w:iCs w:val="0"/>
        <w:caps/>
        <w:smallCaps w:val="0"/>
        <w:strike w:val="0"/>
        <w:dstrike w:val="0"/>
        <w:vanish w:val="0"/>
        <w:color w:val="FFFFFF" w:themeColor="background1"/>
        <w:spacing w:val="10"/>
        <w:sz w:val="21"/>
        <w:vertAlign w:val="baseline"/>
      </w:rPr>
      <w:tblPr/>
      <w:tcPr>
        <w:shd w:val="clear" w:color="auto" w:fill="BC1D43"/>
      </w:tcPr>
    </w:tblStylePr>
    <w:tblStylePr w:type="band1Horz">
      <w:tblPr/>
      <w:tcPr>
        <w:tcBorders>
          <w:top w:val="nil"/>
          <w:left w:val="nil"/>
          <w:bottom w:val="nil"/>
          <w:right w:val="nil"/>
          <w:insideH w:val="nil"/>
          <w:insideV w:val="nil"/>
          <w:tl2br w:val="nil"/>
          <w:tr2bl w:val="nil"/>
        </w:tcBorders>
      </w:tcPr>
    </w:tblStylePr>
    <w:tblStylePr w:type="band2Horz">
      <w:tblPr/>
      <w:tcPr>
        <w:tcBorders>
          <w:top w:val="nil"/>
          <w:left w:val="nil"/>
          <w:bottom w:val="nil"/>
          <w:right w:val="nil"/>
          <w:insideH w:val="nil"/>
          <w:insideV w:val="nil"/>
          <w:tl2br w:val="nil"/>
          <w:tr2bl w:val="nil"/>
        </w:tcBorders>
        <w:shd w:val="clear" w:color="auto" w:fill="DDDDDD"/>
      </w:tcPr>
    </w:tblStylePr>
  </w:style>
  <w:style w:type="table" w:styleId="TableGridLight">
    <w:name w:val="Grid Table Light"/>
    <w:basedOn w:val="TableNormal"/>
    <w:uiPriority w:val="40"/>
    <w:rsid w:val="00665761"/>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4-Accent3">
    <w:name w:val="Grid Table 4 Accent 3"/>
    <w:basedOn w:val="TableNormal"/>
    <w:uiPriority w:val="49"/>
    <w:rsid w:val="00665761"/>
    <w:pPr>
      <w:spacing w:after="0"/>
    </w:pPr>
    <w:tblPr>
      <w:tblStyleRowBandSize w:val="1"/>
      <w:tblStyleColBandSize w:val="1"/>
      <w:tblBorders>
        <w:top w:val="single" w:sz="4" w:space="0" w:color="C38C41" w:themeColor="accent3" w:themeTint="99"/>
        <w:left w:val="single" w:sz="4" w:space="0" w:color="C38C41" w:themeColor="accent3" w:themeTint="99"/>
        <w:bottom w:val="single" w:sz="4" w:space="0" w:color="C38C41" w:themeColor="accent3" w:themeTint="99"/>
        <w:right w:val="single" w:sz="4" w:space="0" w:color="C38C41" w:themeColor="accent3" w:themeTint="99"/>
        <w:insideH w:val="single" w:sz="4" w:space="0" w:color="C38C41" w:themeColor="accent3" w:themeTint="99"/>
        <w:insideV w:val="single" w:sz="4" w:space="0" w:color="C38C41" w:themeColor="accent3" w:themeTint="99"/>
      </w:tblBorders>
    </w:tblPr>
    <w:tblStylePr w:type="firstRow">
      <w:rPr>
        <w:b/>
        <w:bCs/>
        <w:color w:val="FFFFFF" w:themeColor="background1"/>
      </w:rPr>
      <w:tblPr/>
      <w:tcPr>
        <w:tcBorders>
          <w:top w:val="single" w:sz="4" w:space="0" w:color="493417" w:themeColor="accent3"/>
          <w:left w:val="single" w:sz="4" w:space="0" w:color="493417" w:themeColor="accent3"/>
          <w:bottom w:val="single" w:sz="4" w:space="0" w:color="493417" w:themeColor="accent3"/>
          <w:right w:val="single" w:sz="4" w:space="0" w:color="493417" w:themeColor="accent3"/>
          <w:insideH w:val="nil"/>
          <w:insideV w:val="nil"/>
        </w:tcBorders>
        <w:shd w:val="clear" w:color="auto" w:fill="493417" w:themeFill="accent3"/>
      </w:tcPr>
    </w:tblStylePr>
    <w:tblStylePr w:type="lastRow">
      <w:rPr>
        <w:b/>
        <w:bCs/>
      </w:rPr>
      <w:tblPr/>
      <w:tcPr>
        <w:tcBorders>
          <w:top w:val="double" w:sz="4" w:space="0" w:color="493417" w:themeColor="accent3"/>
        </w:tcBorders>
      </w:tcPr>
    </w:tblStylePr>
    <w:tblStylePr w:type="firstCol">
      <w:rPr>
        <w:b/>
        <w:bCs/>
      </w:rPr>
    </w:tblStylePr>
    <w:tblStylePr w:type="lastCol">
      <w:rPr>
        <w:b/>
        <w:bCs/>
      </w:rPr>
    </w:tblStylePr>
    <w:tblStylePr w:type="band1Vert">
      <w:tblPr/>
      <w:tcPr>
        <w:shd w:val="clear" w:color="auto" w:fill="EBD8BF" w:themeFill="accent3" w:themeFillTint="33"/>
      </w:tcPr>
    </w:tblStylePr>
    <w:tblStylePr w:type="band1Horz">
      <w:tblPr/>
      <w:tcPr>
        <w:shd w:val="clear" w:color="auto" w:fill="EBD8BF" w:themeFill="accent3" w:themeFillTint="33"/>
      </w:tcPr>
    </w:tblStylePr>
  </w:style>
  <w:style w:type="table" w:styleId="GridTable5Dark-Accent1">
    <w:name w:val="Grid Table 5 Dark Accent 1"/>
    <w:basedOn w:val="TableNormal"/>
    <w:uiPriority w:val="50"/>
    <w:rsid w:val="00665761"/>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6FFF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928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928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928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928C" w:themeFill="accent1"/>
      </w:tcPr>
    </w:tblStylePr>
    <w:tblStylePr w:type="band1Vert">
      <w:tblPr/>
      <w:tcPr>
        <w:shd w:val="clear" w:color="auto" w:fill="6DFFF8" w:themeFill="accent1" w:themeFillTint="66"/>
      </w:tcPr>
    </w:tblStylePr>
    <w:tblStylePr w:type="band1Horz">
      <w:tblPr/>
      <w:tcPr>
        <w:shd w:val="clear" w:color="auto" w:fill="6DFFF8" w:themeFill="accent1" w:themeFillTint="66"/>
      </w:tcPr>
    </w:tblStylePr>
  </w:style>
  <w:style w:type="table" w:styleId="GridTable6Colorful-Accent6">
    <w:name w:val="Grid Table 6 Colorful Accent 6"/>
    <w:basedOn w:val="TableNormal"/>
    <w:uiPriority w:val="51"/>
    <w:rsid w:val="00665761"/>
    <w:pPr>
      <w:spacing w:after="0"/>
    </w:pPr>
    <w:rPr>
      <w:color w:val="001747" w:themeColor="accent6" w:themeShade="BF"/>
    </w:rPr>
    <w:tblPr>
      <w:tblStyleRowBandSize w:val="1"/>
      <w:tblStyleColBandSize w:val="1"/>
      <w:tblBorders>
        <w:top w:val="single" w:sz="4" w:space="0" w:color="0659FF" w:themeColor="accent6" w:themeTint="99"/>
        <w:left w:val="single" w:sz="4" w:space="0" w:color="0659FF" w:themeColor="accent6" w:themeTint="99"/>
        <w:bottom w:val="single" w:sz="4" w:space="0" w:color="0659FF" w:themeColor="accent6" w:themeTint="99"/>
        <w:right w:val="single" w:sz="4" w:space="0" w:color="0659FF" w:themeColor="accent6" w:themeTint="99"/>
        <w:insideH w:val="single" w:sz="4" w:space="0" w:color="0659FF" w:themeColor="accent6" w:themeTint="99"/>
        <w:insideV w:val="single" w:sz="4" w:space="0" w:color="0659FF" w:themeColor="accent6" w:themeTint="99"/>
      </w:tblBorders>
    </w:tblPr>
    <w:tblStylePr w:type="firstRow">
      <w:rPr>
        <w:b/>
        <w:bCs/>
      </w:rPr>
      <w:tblPr/>
      <w:tcPr>
        <w:tcBorders>
          <w:bottom w:val="single" w:sz="12" w:space="0" w:color="0659FF" w:themeColor="accent6" w:themeTint="99"/>
        </w:tcBorders>
      </w:tcPr>
    </w:tblStylePr>
    <w:tblStylePr w:type="lastRow">
      <w:rPr>
        <w:b/>
        <w:bCs/>
      </w:rPr>
      <w:tblPr/>
      <w:tcPr>
        <w:tcBorders>
          <w:top w:val="double" w:sz="4" w:space="0" w:color="0659FF" w:themeColor="accent6" w:themeTint="99"/>
        </w:tcBorders>
      </w:tcPr>
    </w:tblStylePr>
    <w:tblStylePr w:type="firstCol">
      <w:rPr>
        <w:b/>
        <w:bCs/>
      </w:rPr>
    </w:tblStylePr>
    <w:tblStylePr w:type="lastCol">
      <w:rPr>
        <w:b/>
        <w:bCs/>
      </w:rPr>
    </w:tblStylePr>
    <w:tblStylePr w:type="band1Vert">
      <w:tblPr/>
      <w:tcPr>
        <w:shd w:val="clear" w:color="auto" w:fill="ACC7FF" w:themeFill="accent6" w:themeFillTint="33"/>
      </w:tcPr>
    </w:tblStylePr>
    <w:tblStylePr w:type="band1Horz">
      <w:tblPr/>
      <w:tcPr>
        <w:shd w:val="clear" w:color="auto" w:fill="ACC7FF" w:themeFill="accent6" w:themeFillTint="33"/>
      </w:tcPr>
    </w:tblStylePr>
  </w:style>
  <w:style w:type="table" w:styleId="ListTable3-Accent3">
    <w:name w:val="List Table 3 Accent 3"/>
    <w:basedOn w:val="TableNormal"/>
    <w:uiPriority w:val="48"/>
    <w:rsid w:val="00665761"/>
    <w:pPr>
      <w:spacing w:after="0"/>
    </w:pPr>
    <w:tblPr>
      <w:tblStyleRowBandSize w:val="1"/>
      <w:tblStyleColBandSize w:val="1"/>
      <w:tblBorders>
        <w:top w:val="single" w:sz="4" w:space="0" w:color="493417" w:themeColor="accent3"/>
        <w:left w:val="single" w:sz="4" w:space="0" w:color="493417" w:themeColor="accent3"/>
        <w:bottom w:val="single" w:sz="4" w:space="0" w:color="493417" w:themeColor="accent3"/>
        <w:right w:val="single" w:sz="4" w:space="0" w:color="493417" w:themeColor="accent3"/>
      </w:tblBorders>
    </w:tblPr>
    <w:tblStylePr w:type="firstRow">
      <w:rPr>
        <w:b/>
        <w:bCs/>
        <w:color w:val="FFFFFF" w:themeColor="background1"/>
      </w:rPr>
      <w:tblPr/>
      <w:tcPr>
        <w:shd w:val="clear" w:color="auto" w:fill="493417" w:themeFill="accent3"/>
      </w:tcPr>
    </w:tblStylePr>
    <w:tblStylePr w:type="lastRow">
      <w:rPr>
        <w:b/>
        <w:bCs/>
      </w:rPr>
      <w:tblPr/>
      <w:tcPr>
        <w:tcBorders>
          <w:top w:val="double" w:sz="4" w:space="0" w:color="493417"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93417" w:themeColor="accent3"/>
          <w:right w:val="single" w:sz="4" w:space="0" w:color="493417" w:themeColor="accent3"/>
        </w:tcBorders>
      </w:tcPr>
    </w:tblStylePr>
    <w:tblStylePr w:type="band1Horz">
      <w:tblPr/>
      <w:tcPr>
        <w:tcBorders>
          <w:top w:val="single" w:sz="4" w:space="0" w:color="493417" w:themeColor="accent3"/>
          <w:bottom w:val="single" w:sz="4" w:space="0" w:color="493417"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93417" w:themeColor="accent3"/>
          <w:left w:val="nil"/>
        </w:tcBorders>
      </w:tcPr>
    </w:tblStylePr>
    <w:tblStylePr w:type="swCell">
      <w:tblPr/>
      <w:tcPr>
        <w:tcBorders>
          <w:top w:val="double" w:sz="4" w:space="0" w:color="493417" w:themeColor="accent3"/>
          <w:right w:val="nil"/>
        </w:tcBorders>
      </w:tcPr>
    </w:tblStylePr>
  </w:style>
  <w:style w:type="table" w:styleId="ListTable4">
    <w:name w:val="List Table 4"/>
    <w:basedOn w:val="TableNormal"/>
    <w:uiPriority w:val="49"/>
    <w:rsid w:val="00665761"/>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7Colorful-Accent6">
    <w:name w:val="List Table 7 Colorful Accent 6"/>
    <w:basedOn w:val="TableNormal"/>
    <w:uiPriority w:val="52"/>
    <w:rsid w:val="00665761"/>
    <w:pPr>
      <w:spacing w:after="0"/>
    </w:pPr>
    <w:rPr>
      <w:color w:val="001747"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206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206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206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2060" w:themeColor="accent6"/>
        </w:tcBorders>
        <w:shd w:val="clear" w:color="auto" w:fill="FFFFFF" w:themeFill="background1"/>
      </w:tcPr>
    </w:tblStylePr>
    <w:tblStylePr w:type="band1Vert">
      <w:tblPr/>
      <w:tcPr>
        <w:shd w:val="clear" w:color="auto" w:fill="ACC7FF" w:themeFill="accent6" w:themeFillTint="33"/>
      </w:tcPr>
    </w:tblStylePr>
    <w:tblStylePr w:type="band1Horz">
      <w:tblPr/>
      <w:tcPr>
        <w:shd w:val="clear" w:color="auto" w:fill="ACC7FF"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3">
    <w:name w:val="Table 3"/>
    <w:basedOn w:val="TableNormal"/>
    <w:uiPriority w:val="99"/>
    <w:rsid w:val="006D6754"/>
    <w:pPr>
      <w:spacing w:after="0"/>
      <w:jc w:val="left"/>
    </w:pPr>
    <w:tblPr>
      <w:tblBorders>
        <w:top w:val="single" w:sz="4" w:space="0" w:color="BC1D43"/>
        <w:bottom w:val="single" w:sz="4" w:space="0" w:color="BC1D43"/>
        <w:insideH w:val="single" w:sz="4" w:space="0" w:color="BC1D43"/>
      </w:tblBorders>
    </w:tblPr>
    <w:tcPr>
      <w:tcMar>
        <w:top w:w="142" w:type="dxa"/>
      </w:tcMar>
    </w:tcPr>
    <w:tblStylePr w:type="firstRow">
      <w:rPr>
        <w:rFonts w:ascii="Calibri Light" w:hAnsi="Calibri Light"/>
        <w:b w:val="0"/>
        <w:bCs w:val="0"/>
        <w:i w:val="0"/>
        <w:iCs w:val="0"/>
        <w:color w:val="BC1D43"/>
        <w:sz w:val="24"/>
      </w:rPr>
    </w:tblStylePr>
  </w:style>
  <w:style w:type="character" w:customStyle="1" w:styleId="Captioncontent">
    <w:name w:val="Caption content"/>
    <w:basedOn w:val="DefaultParagraphFont"/>
    <w:uiPriority w:val="1"/>
    <w:qFormat/>
    <w:rsid w:val="005B64B0"/>
    <w:rPr>
      <w:rFonts w:ascii="Calibri" w:hAnsi="Calibri"/>
      <w:b/>
      <w:bCs w:val="0"/>
      <w:i w:val="0"/>
      <w:iCs w:val="0"/>
      <w:color w:val="000000" w:themeColor="text1"/>
      <w:sz w:val="18"/>
    </w:rPr>
  </w:style>
  <w:style w:type="paragraph" w:customStyle="1" w:styleId="Captionfigure">
    <w:name w:val="Caption figure"/>
    <w:basedOn w:val="Caption"/>
    <w:rsid w:val="005B64B0"/>
    <w:pPr>
      <w:spacing w:before="240" w:after="240"/>
    </w:pPr>
  </w:style>
  <w:style w:type="table" w:customStyle="1" w:styleId="Table4">
    <w:name w:val="Table 4"/>
    <w:basedOn w:val="TableNormal"/>
    <w:uiPriority w:val="99"/>
    <w:rsid w:val="006D6754"/>
    <w:pPr>
      <w:spacing w:after="0"/>
      <w:jc w:val="left"/>
    </w:pPr>
    <w:tblPr>
      <w:tblBorders>
        <w:top w:val="single" w:sz="4" w:space="0" w:color="BC1D43"/>
        <w:bottom w:val="single" w:sz="4" w:space="0" w:color="BC1D43"/>
        <w:insideH w:val="single" w:sz="4" w:space="0" w:color="BC1D43"/>
      </w:tblBorders>
    </w:tblPr>
    <w:tcPr>
      <w:tcMar>
        <w:top w:w="142" w:type="dxa"/>
      </w:tcMar>
    </w:tcPr>
    <w:tblStylePr w:type="firstRow">
      <w:rPr>
        <w:rFonts w:ascii="Calibri" w:hAnsi="Calibri"/>
        <w:b/>
        <w:bCs/>
        <w:i w:val="0"/>
        <w:iCs w:val="0"/>
        <w:caps/>
        <w:smallCaps w:val="0"/>
        <w:strike w:val="0"/>
        <w:dstrike w:val="0"/>
        <w:vanish w:val="0"/>
        <w:color w:val="BC1D43"/>
        <w:spacing w:val="10"/>
        <w:sz w:val="22"/>
        <w:vertAlign w:val="baseline"/>
      </w:rPr>
    </w:tblStylePr>
  </w:style>
  <w:style w:type="character" w:customStyle="1" w:styleId="Emphasisbold">
    <w:name w:val="Emphasis bold"/>
    <w:basedOn w:val="DefaultParagraphFont"/>
    <w:uiPriority w:val="1"/>
    <w:qFormat/>
    <w:rsid w:val="006540BA"/>
    <w:rPr>
      <w:b/>
    </w:rPr>
  </w:style>
  <w:style w:type="paragraph" w:customStyle="1" w:styleId="tablebullets">
    <w:name w:val="table bullets"/>
    <w:basedOn w:val="Bullets"/>
    <w:link w:val="tablebulletsChar"/>
    <w:qFormat/>
    <w:rsid w:val="00DD0D3E"/>
    <w:pPr>
      <w:numPr>
        <w:numId w:val="0"/>
      </w:numPr>
      <w:spacing w:after="60"/>
    </w:pPr>
    <w:rPr>
      <w:sz w:val="20"/>
      <w:szCs w:val="20"/>
    </w:rPr>
  </w:style>
  <w:style w:type="character" w:customStyle="1" w:styleId="BulletsChar">
    <w:name w:val="Bullets Char"/>
    <w:basedOn w:val="DefaultParagraphFont"/>
    <w:link w:val="Bullets"/>
    <w:rsid w:val="00FD3F6C"/>
  </w:style>
  <w:style w:type="character" w:customStyle="1" w:styleId="tablebulletsChar">
    <w:name w:val="table bullets Char"/>
    <w:basedOn w:val="BulletsChar"/>
    <w:link w:val="tablebullets"/>
    <w:rsid w:val="00DD0D3E"/>
    <w:rPr>
      <w:sz w:val="20"/>
      <w:szCs w:val="20"/>
    </w:rPr>
  </w:style>
  <w:style w:type="paragraph" w:customStyle="1" w:styleId="Char2">
    <w:name w:val="Char2"/>
    <w:basedOn w:val="Normal"/>
    <w:link w:val="FootnoteReference"/>
    <w:uiPriority w:val="99"/>
    <w:rsid w:val="003878B9"/>
    <w:pPr>
      <w:spacing w:after="160" w:line="240" w:lineRule="exact"/>
      <w:jc w:val="left"/>
    </w:pPr>
    <w:rPr>
      <w:vertAlign w:val="superscript"/>
    </w:rPr>
  </w:style>
  <w:style w:type="paragraph" w:customStyle="1" w:styleId="Table-list-number">
    <w:name w:val="Table-list-number"/>
    <w:basedOn w:val="Normal"/>
    <w:rsid w:val="00D838FA"/>
    <w:pPr>
      <w:numPr>
        <w:numId w:val="12"/>
      </w:numPr>
      <w:spacing w:before="60" w:after="0"/>
      <w:jc w:val="left"/>
    </w:pPr>
    <w:rPr>
      <w:rFonts w:ascii="Arial" w:eastAsia="Times New Roman" w:hAnsi="Arial" w:cs="Times New Roman"/>
      <w:sz w:val="20"/>
      <w:szCs w:val="24"/>
    </w:rPr>
  </w:style>
  <w:style w:type="paragraph" w:customStyle="1" w:styleId="TableText10pt">
    <w:name w:val="Table Text 10 pt"/>
    <w:qFormat/>
    <w:rsid w:val="00D838FA"/>
    <w:pPr>
      <w:spacing w:before="60" w:after="20"/>
    </w:pPr>
    <w:rPr>
      <w:rFonts w:ascii="Calibri" w:hAnsi="Calibri" w:cs="Angsana New"/>
      <w:color w:val="000000" w:themeColor="text1"/>
      <w:sz w:val="20"/>
      <w:szCs w:val="20"/>
      <w:lang w:eastAsia="en-GB" w:bidi="th-TH"/>
    </w:rPr>
  </w:style>
  <w:style w:type="table" w:customStyle="1" w:styleId="TableGrid3">
    <w:name w:val="Table Grid3"/>
    <w:basedOn w:val="TableNormal"/>
    <w:next w:val="TableGrid"/>
    <w:uiPriority w:val="39"/>
    <w:rsid w:val="000A5E7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DWA List 1 Char,List Paragraph1 Char,List Paragraph11 Char,L Char,Recommendation Char,CV text Char,Colorful List - Accent 11 Char,COOP Char,Primary Bullet List Char,Paragraph Char,P3Numbered List Char,CRP Numbered List Char"/>
    <w:link w:val="ListParagraph"/>
    <w:uiPriority w:val="34"/>
    <w:qFormat/>
    <w:locked/>
    <w:rsid w:val="000A5E7A"/>
    <w:rPr>
      <w:rFonts w:eastAsiaTheme="minorEastAsia"/>
      <w:lang w:val="en-US" w:eastAsia="ja-JP"/>
    </w:rPr>
  </w:style>
  <w:style w:type="paragraph" w:customStyle="1" w:styleId="Heading30">
    <w:name w:val="Heading 3."/>
    <w:basedOn w:val="BodyText"/>
    <w:link w:val="Heading3Char0"/>
    <w:qFormat/>
    <w:rsid w:val="004F4AEB"/>
    <w:pPr>
      <w:spacing w:line="240" w:lineRule="auto"/>
    </w:pPr>
    <w:rPr>
      <w:rFonts w:ascii="Calibri Light" w:hAnsi="Calibri Light" w:cs="Calibri Light"/>
      <w:b/>
      <w:color w:val="002060" w:themeColor="accent6"/>
      <w:lang w:val="en-US"/>
    </w:rPr>
  </w:style>
  <w:style w:type="character" w:customStyle="1" w:styleId="Heading3Char0">
    <w:name w:val="Heading 3. Char"/>
    <w:basedOn w:val="BodyTextChar"/>
    <w:link w:val="Heading30"/>
    <w:rsid w:val="004F4AEB"/>
    <w:rPr>
      <w:rFonts w:ascii="Calibri Light" w:hAnsi="Calibri Light" w:cs="Calibri Light"/>
      <w:b/>
      <w:color w:val="002060" w:themeColor="accent6"/>
      <w:lang w:val="en-US"/>
    </w:rPr>
  </w:style>
  <w:style w:type="paragraph" w:customStyle="1" w:styleId="TableCaption">
    <w:name w:val="Table Caption"/>
    <w:basedOn w:val="Normal"/>
    <w:next w:val="BodyText"/>
    <w:uiPriority w:val="7"/>
    <w:qFormat/>
    <w:rsid w:val="0028355C"/>
    <w:pPr>
      <w:numPr>
        <w:numId w:val="17"/>
      </w:numPr>
      <w:spacing w:before="360" w:after="120"/>
      <w:jc w:val="left"/>
    </w:pPr>
    <w:rPr>
      <w:rFonts w:ascii="Arial" w:eastAsia="Times New Roman" w:hAnsi="Arial" w:cs="Times New Roman"/>
      <w:b/>
      <w:color w:val="808080"/>
      <w:sz w:val="16"/>
      <w:lang w:eastAsia="en-AU"/>
    </w:rPr>
  </w:style>
  <w:style w:type="paragraph" w:customStyle="1" w:styleId="FigureCaption">
    <w:name w:val="Figure Caption"/>
    <w:basedOn w:val="TableCaption"/>
    <w:next w:val="BodyText"/>
    <w:uiPriority w:val="7"/>
    <w:qFormat/>
    <w:rsid w:val="0028355C"/>
    <w:pPr>
      <w:numPr>
        <w:ilvl w:val="1"/>
      </w:numPr>
      <w:tabs>
        <w:tab w:val="clear" w:pos="1134"/>
        <w:tab w:val="num" w:pos="720"/>
      </w:tabs>
      <w:spacing w:before="60" w:after="200"/>
      <w:ind w:left="1440" w:hanging="360"/>
    </w:pPr>
    <w:rPr>
      <w:sz w:val="20"/>
      <w:szCs w:val="20"/>
    </w:rPr>
  </w:style>
  <w:style w:type="paragraph" w:customStyle="1" w:styleId="NabilanMELP">
    <w:name w:val="Nabilan MELP"/>
    <w:basedOn w:val="Heading2"/>
    <w:rsid w:val="00E0457A"/>
    <w:pPr>
      <w:numPr>
        <w:ilvl w:val="1"/>
        <w:numId w:val="18"/>
      </w:numPr>
    </w:pPr>
    <w:rPr>
      <w:color w:val="002D88" w:themeColor="accent6" w:themeTint="E6"/>
    </w:rPr>
  </w:style>
  <w:style w:type="paragraph" w:customStyle="1" w:styleId="Style2">
    <w:name w:val="Style2"/>
    <w:basedOn w:val="TOC1"/>
    <w:autoRedefine/>
    <w:qFormat/>
    <w:rsid w:val="00E0457A"/>
    <w:rPr>
      <w:color w:val="002D88" w:themeColor="accent6" w:themeTint="E6"/>
      <w:sz w:val="22"/>
    </w:rPr>
  </w:style>
  <w:style w:type="table" w:customStyle="1" w:styleId="CardnoTableNavy">
    <w:name w:val="Cardno Table Navy"/>
    <w:basedOn w:val="TableNormal"/>
    <w:uiPriority w:val="99"/>
    <w:qFormat/>
    <w:rsid w:val="00992252"/>
    <w:pPr>
      <w:spacing w:after="0"/>
      <w:jc w:val="left"/>
    </w:pPr>
    <w:rPr>
      <w:rFonts w:eastAsia="Times New Roman" w:cs="Times New Roman"/>
      <w:sz w:val="20"/>
      <w:szCs w:val="20"/>
      <w:lang w:val="en-US"/>
    </w:rPr>
    <w:tblPr>
      <w:tblBorders>
        <w:bottom w:val="single" w:sz="4" w:space="0" w:color="00928C" w:themeColor="accent1"/>
        <w:insideH w:val="single" w:sz="4" w:space="0" w:color="00928C" w:themeColor="accent1"/>
      </w:tblBorders>
    </w:tblPr>
    <w:tblStylePr w:type="firstRow">
      <w:rPr>
        <w:color w:val="FFFFFF" w:themeColor="background1"/>
      </w:rPr>
      <w:tblPr/>
      <w:trPr>
        <w:tblHeader/>
      </w:trPr>
      <w:tcPr>
        <w:shd w:val="clear" w:color="auto" w:fill="00928C" w:themeFill="accent1"/>
      </w:tcPr>
    </w:tblStylePr>
  </w:style>
  <w:style w:type="character" w:customStyle="1" w:styleId="CaptionChar">
    <w:name w:val="Caption Char"/>
    <w:aliases w:val="Caption table Char"/>
    <w:link w:val="Caption"/>
    <w:uiPriority w:val="35"/>
    <w:rsid w:val="002E7674"/>
    <w:rPr>
      <w:rFonts w:ascii="Calibri" w:hAnsi="Calibri"/>
      <w:b/>
      <w:color w:val="BC1D43"/>
      <w:sz w:val="18"/>
      <w:szCs w:val="18"/>
    </w:rPr>
  </w:style>
  <w:style w:type="character" w:customStyle="1" w:styleId="UnresolvedMention1">
    <w:name w:val="Unresolved Mention1"/>
    <w:basedOn w:val="DefaultParagraphFont"/>
    <w:uiPriority w:val="99"/>
    <w:semiHidden/>
    <w:unhideWhenUsed/>
    <w:rsid w:val="001A3D2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86532">
      <w:bodyDiv w:val="1"/>
      <w:marLeft w:val="0"/>
      <w:marRight w:val="0"/>
      <w:marTop w:val="0"/>
      <w:marBottom w:val="0"/>
      <w:divBdr>
        <w:top w:val="none" w:sz="0" w:space="0" w:color="auto"/>
        <w:left w:val="none" w:sz="0" w:space="0" w:color="auto"/>
        <w:bottom w:val="none" w:sz="0" w:space="0" w:color="auto"/>
        <w:right w:val="none" w:sz="0" w:space="0" w:color="auto"/>
      </w:divBdr>
    </w:div>
    <w:div w:id="142741053">
      <w:bodyDiv w:val="1"/>
      <w:marLeft w:val="0"/>
      <w:marRight w:val="0"/>
      <w:marTop w:val="0"/>
      <w:marBottom w:val="0"/>
      <w:divBdr>
        <w:top w:val="none" w:sz="0" w:space="0" w:color="auto"/>
        <w:left w:val="none" w:sz="0" w:space="0" w:color="auto"/>
        <w:bottom w:val="none" w:sz="0" w:space="0" w:color="auto"/>
        <w:right w:val="none" w:sz="0" w:space="0" w:color="auto"/>
      </w:divBdr>
      <w:divsChild>
        <w:div w:id="1912961526">
          <w:marLeft w:val="0"/>
          <w:marRight w:val="0"/>
          <w:marTop w:val="0"/>
          <w:marBottom w:val="0"/>
          <w:divBdr>
            <w:top w:val="none" w:sz="0" w:space="0" w:color="auto"/>
            <w:left w:val="none" w:sz="0" w:space="0" w:color="auto"/>
            <w:bottom w:val="none" w:sz="0" w:space="0" w:color="auto"/>
            <w:right w:val="none" w:sz="0" w:space="0" w:color="auto"/>
          </w:divBdr>
          <w:divsChild>
            <w:div w:id="373964867">
              <w:marLeft w:val="0"/>
              <w:marRight w:val="0"/>
              <w:marTop w:val="0"/>
              <w:marBottom w:val="0"/>
              <w:divBdr>
                <w:top w:val="none" w:sz="0" w:space="0" w:color="auto"/>
                <w:left w:val="none" w:sz="0" w:space="0" w:color="auto"/>
                <w:bottom w:val="none" w:sz="0" w:space="0" w:color="auto"/>
                <w:right w:val="none" w:sz="0" w:space="0" w:color="auto"/>
              </w:divBdr>
              <w:divsChild>
                <w:div w:id="98628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02051">
      <w:bodyDiv w:val="1"/>
      <w:marLeft w:val="0"/>
      <w:marRight w:val="0"/>
      <w:marTop w:val="0"/>
      <w:marBottom w:val="0"/>
      <w:divBdr>
        <w:top w:val="none" w:sz="0" w:space="0" w:color="auto"/>
        <w:left w:val="none" w:sz="0" w:space="0" w:color="auto"/>
        <w:bottom w:val="none" w:sz="0" w:space="0" w:color="auto"/>
        <w:right w:val="none" w:sz="0" w:space="0" w:color="auto"/>
      </w:divBdr>
    </w:div>
    <w:div w:id="173308552">
      <w:bodyDiv w:val="1"/>
      <w:marLeft w:val="0"/>
      <w:marRight w:val="0"/>
      <w:marTop w:val="0"/>
      <w:marBottom w:val="0"/>
      <w:divBdr>
        <w:top w:val="none" w:sz="0" w:space="0" w:color="auto"/>
        <w:left w:val="none" w:sz="0" w:space="0" w:color="auto"/>
        <w:bottom w:val="none" w:sz="0" w:space="0" w:color="auto"/>
        <w:right w:val="none" w:sz="0" w:space="0" w:color="auto"/>
      </w:divBdr>
    </w:div>
    <w:div w:id="244806086">
      <w:bodyDiv w:val="1"/>
      <w:marLeft w:val="0"/>
      <w:marRight w:val="0"/>
      <w:marTop w:val="0"/>
      <w:marBottom w:val="0"/>
      <w:divBdr>
        <w:top w:val="none" w:sz="0" w:space="0" w:color="auto"/>
        <w:left w:val="none" w:sz="0" w:space="0" w:color="auto"/>
        <w:bottom w:val="none" w:sz="0" w:space="0" w:color="auto"/>
        <w:right w:val="none" w:sz="0" w:space="0" w:color="auto"/>
      </w:divBdr>
    </w:div>
    <w:div w:id="299726213">
      <w:bodyDiv w:val="1"/>
      <w:marLeft w:val="0"/>
      <w:marRight w:val="0"/>
      <w:marTop w:val="0"/>
      <w:marBottom w:val="0"/>
      <w:divBdr>
        <w:top w:val="none" w:sz="0" w:space="0" w:color="auto"/>
        <w:left w:val="none" w:sz="0" w:space="0" w:color="auto"/>
        <w:bottom w:val="none" w:sz="0" w:space="0" w:color="auto"/>
        <w:right w:val="none" w:sz="0" w:space="0" w:color="auto"/>
      </w:divBdr>
      <w:divsChild>
        <w:div w:id="810170737">
          <w:marLeft w:val="0"/>
          <w:marRight w:val="0"/>
          <w:marTop w:val="0"/>
          <w:marBottom w:val="0"/>
          <w:divBdr>
            <w:top w:val="none" w:sz="0" w:space="0" w:color="auto"/>
            <w:left w:val="none" w:sz="0" w:space="0" w:color="auto"/>
            <w:bottom w:val="none" w:sz="0" w:space="0" w:color="auto"/>
            <w:right w:val="none" w:sz="0" w:space="0" w:color="auto"/>
          </w:divBdr>
        </w:div>
        <w:div w:id="1333605148">
          <w:marLeft w:val="0"/>
          <w:marRight w:val="0"/>
          <w:marTop w:val="0"/>
          <w:marBottom w:val="0"/>
          <w:divBdr>
            <w:top w:val="none" w:sz="0" w:space="0" w:color="auto"/>
            <w:left w:val="none" w:sz="0" w:space="0" w:color="auto"/>
            <w:bottom w:val="none" w:sz="0" w:space="0" w:color="auto"/>
            <w:right w:val="none" w:sz="0" w:space="0" w:color="auto"/>
          </w:divBdr>
        </w:div>
        <w:div w:id="1454012134">
          <w:marLeft w:val="0"/>
          <w:marRight w:val="0"/>
          <w:marTop w:val="0"/>
          <w:marBottom w:val="0"/>
          <w:divBdr>
            <w:top w:val="none" w:sz="0" w:space="0" w:color="auto"/>
            <w:left w:val="none" w:sz="0" w:space="0" w:color="auto"/>
            <w:bottom w:val="none" w:sz="0" w:space="0" w:color="auto"/>
            <w:right w:val="none" w:sz="0" w:space="0" w:color="auto"/>
          </w:divBdr>
        </w:div>
      </w:divsChild>
    </w:div>
    <w:div w:id="302739280">
      <w:bodyDiv w:val="1"/>
      <w:marLeft w:val="0"/>
      <w:marRight w:val="0"/>
      <w:marTop w:val="0"/>
      <w:marBottom w:val="0"/>
      <w:divBdr>
        <w:top w:val="none" w:sz="0" w:space="0" w:color="auto"/>
        <w:left w:val="none" w:sz="0" w:space="0" w:color="auto"/>
        <w:bottom w:val="none" w:sz="0" w:space="0" w:color="auto"/>
        <w:right w:val="none" w:sz="0" w:space="0" w:color="auto"/>
      </w:divBdr>
    </w:div>
    <w:div w:id="328946031">
      <w:bodyDiv w:val="1"/>
      <w:marLeft w:val="0"/>
      <w:marRight w:val="0"/>
      <w:marTop w:val="0"/>
      <w:marBottom w:val="0"/>
      <w:divBdr>
        <w:top w:val="none" w:sz="0" w:space="0" w:color="auto"/>
        <w:left w:val="none" w:sz="0" w:space="0" w:color="auto"/>
        <w:bottom w:val="none" w:sz="0" w:space="0" w:color="auto"/>
        <w:right w:val="none" w:sz="0" w:space="0" w:color="auto"/>
      </w:divBdr>
    </w:div>
    <w:div w:id="394205594">
      <w:bodyDiv w:val="1"/>
      <w:marLeft w:val="0"/>
      <w:marRight w:val="0"/>
      <w:marTop w:val="0"/>
      <w:marBottom w:val="0"/>
      <w:divBdr>
        <w:top w:val="none" w:sz="0" w:space="0" w:color="auto"/>
        <w:left w:val="none" w:sz="0" w:space="0" w:color="auto"/>
        <w:bottom w:val="none" w:sz="0" w:space="0" w:color="auto"/>
        <w:right w:val="none" w:sz="0" w:space="0" w:color="auto"/>
      </w:divBdr>
    </w:div>
    <w:div w:id="493689365">
      <w:bodyDiv w:val="1"/>
      <w:marLeft w:val="0"/>
      <w:marRight w:val="0"/>
      <w:marTop w:val="0"/>
      <w:marBottom w:val="0"/>
      <w:divBdr>
        <w:top w:val="none" w:sz="0" w:space="0" w:color="auto"/>
        <w:left w:val="none" w:sz="0" w:space="0" w:color="auto"/>
        <w:bottom w:val="none" w:sz="0" w:space="0" w:color="auto"/>
        <w:right w:val="none" w:sz="0" w:space="0" w:color="auto"/>
      </w:divBdr>
    </w:div>
    <w:div w:id="495851163">
      <w:bodyDiv w:val="1"/>
      <w:marLeft w:val="0"/>
      <w:marRight w:val="0"/>
      <w:marTop w:val="0"/>
      <w:marBottom w:val="0"/>
      <w:divBdr>
        <w:top w:val="none" w:sz="0" w:space="0" w:color="auto"/>
        <w:left w:val="none" w:sz="0" w:space="0" w:color="auto"/>
        <w:bottom w:val="none" w:sz="0" w:space="0" w:color="auto"/>
        <w:right w:val="none" w:sz="0" w:space="0" w:color="auto"/>
      </w:divBdr>
      <w:divsChild>
        <w:div w:id="198976849">
          <w:marLeft w:val="0"/>
          <w:marRight w:val="0"/>
          <w:marTop w:val="0"/>
          <w:marBottom w:val="0"/>
          <w:divBdr>
            <w:top w:val="none" w:sz="0" w:space="0" w:color="auto"/>
            <w:left w:val="none" w:sz="0" w:space="0" w:color="auto"/>
            <w:bottom w:val="none" w:sz="0" w:space="0" w:color="auto"/>
            <w:right w:val="none" w:sz="0" w:space="0" w:color="auto"/>
          </w:divBdr>
        </w:div>
        <w:div w:id="431626872">
          <w:marLeft w:val="0"/>
          <w:marRight w:val="0"/>
          <w:marTop w:val="0"/>
          <w:marBottom w:val="0"/>
          <w:divBdr>
            <w:top w:val="none" w:sz="0" w:space="0" w:color="auto"/>
            <w:left w:val="none" w:sz="0" w:space="0" w:color="auto"/>
            <w:bottom w:val="none" w:sz="0" w:space="0" w:color="auto"/>
            <w:right w:val="none" w:sz="0" w:space="0" w:color="auto"/>
          </w:divBdr>
        </w:div>
        <w:div w:id="473789395">
          <w:marLeft w:val="0"/>
          <w:marRight w:val="0"/>
          <w:marTop w:val="0"/>
          <w:marBottom w:val="0"/>
          <w:divBdr>
            <w:top w:val="none" w:sz="0" w:space="0" w:color="auto"/>
            <w:left w:val="none" w:sz="0" w:space="0" w:color="auto"/>
            <w:bottom w:val="none" w:sz="0" w:space="0" w:color="auto"/>
            <w:right w:val="none" w:sz="0" w:space="0" w:color="auto"/>
          </w:divBdr>
        </w:div>
      </w:divsChild>
    </w:div>
    <w:div w:id="518391801">
      <w:bodyDiv w:val="1"/>
      <w:marLeft w:val="0"/>
      <w:marRight w:val="0"/>
      <w:marTop w:val="0"/>
      <w:marBottom w:val="0"/>
      <w:divBdr>
        <w:top w:val="none" w:sz="0" w:space="0" w:color="auto"/>
        <w:left w:val="none" w:sz="0" w:space="0" w:color="auto"/>
        <w:bottom w:val="none" w:sz="0" w:space="0" w:color="auto"/>
        <w:right w:val="none" w:sz="0" w:space="0" w:color="auto"/>
      </w:divBdr>
    </w:div>
    <w:div w:id="720831760">
      <w:bodyDiv w:val="1"/>
      <w:marLeft w:val="0"/>
      <w:marRight w:val="0"/>
      <w:marTop w:val="0"/>
      <w:marBottom w:val="0"/>
      <w:divBdr>
        <w:top w:val="none" w:sz="0" w:space="0" w:color="auto"/>
        <w:left w:val="none" w:sz="0" w:space="0" w:color="auto"/>
        <w:bottom w:val="none" w:sz="0" w:space="0" w:color="auto"/>
        <w:right w:val="none" w:sz="0" w:space="0" w:color="auto"/>
      </w:divBdr>
      <w:divsChild>
        <w:div w:id="488788974">
          <w:marLeft w:val="0"/>
          <w:marRight w:val="0"/>
          <w:marTop w:val="0"/>
          <w:marBottom w:val="0"/>
          <w:divBdr>
            <w:top w:val="none" w:sz="0" w:space="0" w:color="auto"/>
            <w:left w:val="none" w:sz="0" w:space="0" w:color="auto"/>
            <w:bottom w:val="none" w:sz="0" w:space="0" w:color="auto"/>
            <w:right w:val="none" w:sz="0" w:space="0" w:color="auto"/>
          </w:divBdr>
        </w:div>
        <w:div w:id="1392188705">
          <w:marLeft w:val="0"/>
          <w:marRight w:val="0"/>
          <w:marTop w:val="0"/>
          <w:marBottom w:val="0"/>
          <w:divBdr>
            <w:top w:val="none" w:sz="0" w:space="0" w:color="auto"/>
            <w:left w:val="none" w:sz="0" w:space="0" w:color="auto"/>
            <w:bottom w:val="none" w:sz="0" w:space="0" w:color="auto"/>
            <w:right w:val="none" w:sz="0" w:space="0" w:color="auto"/>
          </w:divBdr>
        </w:div>
        <w:div w:id="1614899303">
          <w:marLeft w:val="0"/>
          <w:marRight w:val="0"/>
          <w:marTop w:val="0"/>
          <w:marBottom w:val="0"/>
          <w:divBdr>
            <w:top w:val="none" w:sz="0" w:space="0" w:color="auto"/>
            <w:left w:val="none" w:sz="0" w:space="0" w:color="auto"/>
            <w:bottom w:val="none" w:sz="0" w:space="0" w:color="auto"/>
            <w:right w:val="none" w:sz="0" w:space="0" w:color="auto"/>
          </w:divBdr>
        </w:div>
        <w:div w:id="2145538345">
          <w:marLeft w:val="0"/>
          <w:marRight w:val="0"/>
          <w:marTop w:val="0"/>
          <w:marBottom w:val="0"/>
          <w:divBdr>
            <w:top w:val="none" w:sz="0" w:space="0" w:color="auto"/>
            <w:left w:val="none" w:sz="0" w:space="0" w:color="auto"/>
            <w:bottom w:val="none" w:sz="0" w:space="0" w:color="auto"/>
            <w:right w:val="none" w:sz="0" w:space="0" w:color="auto"/>
          </w:divBdr>
        </w:div>
      </w:divsChild>
    </w:div>
    <w:div w:id="747575725">
      <w:bodyDiv w:val="1"/>
      <w:marLeft w:val="0"/>
      <w:marRight w:val="0"/>
      <w:marTop w:val="0"/>
      <w:marBottom w:val="0"/>
      <w:divBdr>
        <w:top w:val="none" w:sz="0" w:space="0" w:color="auto"/>
        <w:left w:val="none" w:sz="0" w:space="0" w:color="auto"/>
        <w:bottom w:val="none" w:sz="0" w:space="0" w:color="auto"/>
        <w:right w:val="none" w:sz="0" w:space="0" w:color="auto"/>
      </w:divBdr>
    </w:div>
    <w:div w:id="798575592">
      <w:bodyDiv w:val="1"/>
      <w:marLeft w:val="0"/>
      <w:marRight w:val="0"/>
      <w:marTop w:val="0"/>
      <w:marBottom w:val="0"/>
      <w:divBdr>
        <w:top w:val="none" w:sz="0" w:space="0" w:color="auto"/>
        <w:left w:val="none" w:sz="0" w:space="0" w:color="auto"/>
        <w:bottom w:val="none" w:sz="0" w:space="0" w:color="auto"/>
        <w:right w:val="none" w:sz="0" w:space="0" w:color="auto"/>
      </w:divBdr>
      <w:divsChild>
        <w:div w:id="858006008">
          <w:marLeft w:val="0"/>
          <w:marRight w:val="0"/>
          <w:marTop w:val="0"/>
          <w:marBottom w:val="0"/>
          <w:divBdr>
            <w:top w:val="none" w:sz="0" w:space="0" w:color="auto"/>
            <w:left w:val="none" w:sz="0" w:space="0" w:color="auto"/>
            <w:bottom w:val="none" w:sz="0" w:space="0" w:color="auto"/>
            <w:right w:val="none" w:sz="0" w:space="0" w:color="auto"/>
          </w:divBdr>
          <w:divsChild>
            <w:div w:id="1269778378">
              <w:marLeft w:val="0"/>
              <w:marRight w:val="0"/>
              <w:marTop w:val="0"/>
              <w:marBottom w:val="0"/>
              <w:divBdr>
                <w:top w:val="none" w:sz="0" w:space="0" w:color="auto"/>
                <w:left w:val="none" w:sz="0" w:space="0" w:color="auto"/>
                <w:bottom w:val="none" w:sz="0" w:space="0" w:color="auto"/>
                <w:right w:val="none" w:sz="0" w:space="0" w:color="auto"/>
              </w:divBdr>
              <w:divsChild>
                <w:div w:id="54502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912981">
      <w:bodyDiv w:val="1"/>
      <w:marLeft w:val="0"/>
      <w:marRight w:val="0"/>
      <w:marTop w:val="0"/>
      <w:marBottom w:val="0"/>
      <w:divBdr>
        <w:top w:val="none" w:sz="0" w:space="0" w:color="auto"/>
        <w:left w:val="none" w:sz="0" w:space="0" w:color="auto"/>
        <w:bottom w:val="none" w:sz="0" w:space="0" w:color="auto"/>
        <w:right w:val="none" w:sz="0" w:space="0" w:color="auto"/>
      </w:divBdr>
    </w:div>
    <w:div w:id="836266508">
      <w:bodyDiv w:val="1"/>
      <w:marLeft w:val="0"/>
      <w:marRight w:val="0"/>
      <w:marTop w:val="0"/>
      <w:marBottom w:val="0"/>
      <w:divBdr>
        <w:top w:val="none" w:sz="0" w:space="0" w:color="auto"/>
        <w:left w:val="none" w:sz="0" w:space="0" w:color="auto"/>
        <w:bottom w:val="none" w:sz="0" w:space="0" w:color="auto"/>
        <w:right w:val="none" w:sz="0" w:space="0" w:color="auto"/>
      </w:divBdr>
    </w:div>
    <w:div w:id="838350295">
      <w:bodyDiv w:val="1"/>
      <w:marLeft w:val="0"/>
      <w:marRight w:val="0"/>
      <w:marTop w:val="0"/>
      <w:marBottom w:val="0"/>
      <w:divBdr>
        <w:top w:val="none" w:sz="0" w:space="0" w:color="auto"/>
        <w:left w:val="none" w:sz="0" w:space="0" w:color="auto"/>
        <w:bottom w:val="none" w:sz="0" w:space="0" w:color="auto"/>
        <w:right w:val="none" w:sz="0" w:space="0" w:color="auto"/>
      </w:divBdr>
      <w:divsChild>
        <w:div w:id="335352355">
          <w:marLeft w:val="0"/>
          <w:marRight w:val="0"/>
          <w:marTop w:val="0"/>
          <w:marBottom w:val="0"/>
          <w:divBdr>
            <w:top w:val="none" w:sz="0" w:space="0" w:color="auto"/>
            <w:left w:val="none" w:sz="0" w:space="0" w:color="auto"/>
            <w:bottom w:val="none" w:sz="0" w:space="0" w:color="auto"/>
            <w:right w:val="none" w:sz="0" w:space="0" w:color="auto"/>
          </w:divBdr>
        </w:div>
        <w:div w:id="1243756170">
          <w:marLeft w:val="0"/>
          <w:marRight w:val="0"/>
          <w:marTop w:val="0"/>
          <w:marBottom w:val="0"/>
          <w:divBdr>
            <w:top w:val="none" w:sz="0" w:space="0" w:color="auto"/>
            <w:left w:val="none" w:sz="0" w:space="0" w:color="auto"/>
            <w:bottom w:val="none" w:sz="0" w:space="0" w:color="auto"/>
            <w:right w:val="none" w:sz="0" w:space="0" w:color="auto"/>
          </w:divBdr>
        </w:div>
        <w:div w:id="1492286664">
          <w:marLeft w:val="0"/>
          <w:marRight w:val="0"/>
          <w:marTop w:val="0"/>
          <w:marBottom w:val="0"/>
          <w:divBdr>
            <w:top w:val="none" w:sz="0" w:space="0" w:color="auto"/>
            <w:left w:val="none" w:sz="0" w:space="0" w:color="auto"/>
            <w:bottom w:val="none" w:sz="0" w:space="0" w:color="auto"/>
            <w:right w:val="none" w:sz="0" w:space="0" w:color="auto"/>
          </w:divBdr>
        </w:div>
        <w:div w:id="1717118714">
          <w:marLeft w:val="0"/>
          <w:marRight w:val="0"/>
          <w:marTop w:val="0"/>
          <w:marBottom w:val="0"/>
          <w:divBdr>
            <w:top w:val="none" w:sz="0" w:space="0" w:color="auto"/>
            <w:left w:val="none" w:sz="0" w:space="0" w:color="auto"/>
            <w:bottom w:val="none" w:sz="0" w:space="0" w:color="auto"/>
            <w:right w:val="none" w:sz="0" w:space="0" w:color="auto"/>
          </w:divBdr>
        </w:div>
      </w:divsChild>
    </w:div>
    <w:div w:id="900139757">
      <w:bodyDiv w:val="1"/>
      <w:marLeft w:val="0"/>
      <w:marRight w:val="0"/>
      <w:marTop w:val="0"/>
      <w:marBottom w:val="0"/>
      <w:divBdr>
        <w:top w:val="none" w:sz="0" w:space="0" w:color="auto"/>
        <w:left w:val="none" w:sz="0" w:space="0" w:color="auto"/>
        <w:bottom w:val="none" w:sz="0" w:space="0" w:color="auto"/>
        <w:right w:val="none" w:sz="0" w:space="0" w:color="auto"/>
      </w:divBdr>
    </w:div>
    <w:div w:id="926692765">
      <w:bodyDiv w:val="1"/>
      <w:marLeft w:val="0"/>
      <w:marRight w:val="0"/>
      <w:marTop w:val="0"/>
      <w:marBottom w:val="0"/>
      <w:divBdr>
        <w:top w:val="none" w:sz="0" w:space="0" w:color="auto"/>
        <w:left w:val="none" w:sz="0" w:space="0" w:color="auto"/>
        <w:bottom w:val="none" w:sz="0" w:space="0" w:color="auto"/>
        <w:right w:val="none" w:sz="0" w:space="0" w:color="auto"/>
      </w:divBdr>
    </w:div>
    <w:div w:id="948123247">
      <w:bodyDiv w:val="1"/>
      <w:marLeft w:val="0"/>
      <w:marRight w:val="0"/>
      <w:marTop w:val="0"/>
      <w:marBottom w:val="0"/>
      <w:divBdr>
        <w:top w:val="none" w:sz="0" w:space="0" w:color="auto"/>
        <w:left w:val="none" w:sz="0" w:space="0" w:color="auto"/>
        <w:bottom w:val="none" w:sz="0" w:space="0" w:color="auto"/>
        <w:right w:val="none" w:sz="0" w:space="0" w:color="auto"/>
      </w:divBdr>
      <w:divsChild>
        <w:div w:id="85150803">
          <w:marLeft w:val="0"/>
          <w:marRight w:val="0"/>
          <w:marTop w:val="0"/>
          <w:marBottom w:val="0"/>
          <w:divBdr>
            <w:top w:val="none" w:sz="0" w:space="0" w:color="auto"/>
            <w:left w:val="none" w:sz="0" w:space="0" w:color="auto"/>
            <w:bottom w:val="none" w:sz="0" w:space="0" w:color="auto"/>
            <w:right w:val="none" w:sz="0" w:space="0" w:color="auto"/>
          </w:divBdr>
          <w:divsChild>
            <w:div w:id="507258372">
              <w:marLeft w:val="0"/>
              <w:marRight w:val="0"/>
              <w:marTop w:val="0"/>
              <w:marBottom w:val="0"/>
              <w:divBdr>
                <w:top w:val="none" w:sz="0" w:space="0" w:color="auto"/>
                <w:left w:val="none" w:sz="0" w:space="0" w:color="auto"/>
                <w:bottom w:val="none" w:sz="0" w:space="0" w:color="auto"/>
                <w:right w:val="none" w:sz="0" w:space="0" w:color="auto"/>
              </w:divBdr>
              <w:divsChild>
                <w:div w:id="1396471890">
                  <w:marLeft w:val="0"/>
                  <w:marRight w:val="0"/>
                  <w:marTop w:val="0"/>
                  <w:marBottom w:val="0"/>
                  <w:divBdr>
                    <w:top w:val="none" w:sz="0" w:space="0" w:color="auto"/>
                    <w:left w:val="none" w:sz="0" w:space="0" w:color="auto"/>
                    <w:bottom w:val="none" w:sz="0" w:space="0" w:color="auto"/>
                    <w:right w:val="none" w:sz="0" w:space="0" w:color="auto"/>
                  </w:divBdr>
                  <w:divsChild>
                    <w:div w:id="13128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1152838">
      <w:bodyDiv w:val="1"/>
      <w:marLeft w:val="0"/>
      <w:marRight w:val="0"/>
      <w:marTop w:val="0"/>
      <w:marBottom w:val="0"/>
      <w:divBdr>
        <w:top w:val="none" w:sz="0" w:space="0" w:color="auto"/>
        <w:left w:val="none" w:sz="0" w:space="0" w:color="auto"/>
        <w:bottom w:val="none" w:sz="0" w:space="0" w:color="auto"/>
        <w:right w:val="none" w:sz="0" w:space="0" w:color="auto"/>
      </w:divBdr>
      <w:divsChild>
        <w:div w:id="818881927">
          <w:marLeft w:val="0"/>
          <w:marRight w:val="0"/>
          <w:marTop w:val="0"/>
          <w:marBottom w:val="0"/>
          <w:divBdr>
            <w:top w:val="none" w:sz="0" w:space="0" w:color="auto"/>
            <w:left w:val="none" w:sz="0" w:space="0" w:color="auto"/>
            <w:bottom w:val="none" w:sz="0" w:space="0" w:color="auto"/>
            <w:right w:val="none" w:sz="0" w:space="0" w:color="auto"/>
          </w:divBdr>
          <w:divsChild>
            <w:div w:id="1163278785">
              <w:marLeft w:val="0"/>
              <w:marRight w:val="0"/>
              <w:marTop w:val="0"/>
              <w:marBottom w:val="0"/>
              <w:divBdr>
                <w:top w:val="none" w:sz="0" w:space="0" w:color="auto"/>
                <w:left w:val="none" w:sz="0" w:space="0" w:color="auto"/>
                <w:bottom w:val="none" w:sz="0" w:space="0" w:color="auto"/>
                <w:right w:val="none" w:sz="0" w:space="0" w:color="auto"/>
              </w:divBdr>
              <w:divsChild>
                <w:div w:id="381446630">
                  <w:marLeft w:val="0"/>
                  <w:marRight w:val="0"/>
                  <w:marTop w:val="0"/>
                  <w:marBottom w:val="0"/>
                  <w:divBdr>
                    <w:top w:val="none" w:sz="0" w:space="0" w:color="auto"/>
                    <w:left w:val="none" w:sz="0" w:space="0" w:color="auto"/>
                    <w:bottom w:val="none" w:sz="0" w:space="0" w:color="auto"/>
                    <w:right w:val="none" w:sz="0" w:space="0" w:color="auto"/>
                  </w:divBdr>
                  <w:divsChild>
                    <w:div w:id="38784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648962">
      <w:bodyDiv w:val="1"/>
      <w:marLeft w:val="0"/>
      <w:marRight w:val="0"/>
      <w:marTop w:val="0"/>
      <w:marBottom w:val="0"/>
      <w:divBdr>
        <w:top w:val="none" w:sz="0" w:space="0" w:color="auto"/>
        <w:left w:val="none" w:sz="0" w:space="0" w:color="auto"/>
        <w:bottom w:val="none" w:sz="0" w:space="0" w:color="auto"/>
        <w:right w:val="none" w:sz="0" w:space="0" w:color="auto"/>
      </w:divBdr>
    </w:div>
    <w:div w:id="1096053408">
      <w:bodyDiv w:val="1"/>
      <w:marLeft w:val="0"/>
      <w:marRight w:val="0"/>
      <w:marTop w:val="0"/>
      <w:marBottom w:val="0"/>
      <w:divBdr>
        <w:top w:val="none" w:sz="0" w:space="0" w:color="auto"/>
        <w:left w:val="none" w:sz="0" w:space="0" w:color="auto"/>
        <w:bottom w:val="none" w:sz="0" w:space="0" w:color="auto"/>
        <w:right w:val="none" w:sz="0" w:space="0" w:color="auto"/>
      </w:divBdr>
      <w:divsChild>
        <w:div w:id="1324041362">
          <w:marLeft w:val="0"/>
          <w:marRight w:val="0"/>
          <w:marTop w:val="0"/>
          <w:marBottom w:val="0"/>
          <w:divBdr>
            <w:top w:val="none" w:sz="0" w:space="0" w:color="auto"/>
            <w:left w:val="none" w:sz="0" w:space="0" w:color="auto"/>
            <w:bottom w:val="none" w:sz="0" w:space="0" w:color="auto"/>
            <w:right w:val="none" w:sz="0" w:space="0" w:color="auto"/>
          </w:divBdr>
          <w:divsChild>
            <w:div w:id="1038047944">
              <w:marLeft w:val="0"/>
              <w:marRight w:val="0"/>
              <w:marTop w:val="0"/>
              <w:marBottom w:val="0"/>
              <w:divBdr>
                <w:top w:val="none" w:sz="0" w:space="0" w:color="auto"/>
                <w:left w:val="none" w:sz="0" w:space="0" w:color="auto"/>
                <w:bottom w:val="none" w:sz="0" w:space="0" w:color="auto"/>
                <w:right w:val="none" w:sz="0" w:space="0" w:color="auto"/>
              </w:divBdr>
              <w:divsChild>
                <w:div w:id="693186758">
                  <w:marLeft w:val="0"/>
                  <w:marRight w:val="0"/>
                  <w:marTop w:val="0"/>
                  <w:marBottom w:val="0"/>
                  <w:divBdr>
                    <w:top w:val="none" w:sz="0" w:space="0" w:color="auto"/>
                    <w:left w:val="none" w:sz="0" w:space="0" w:color="auto"/>
                    <w:bottom w:val="none" w:sz="0" w:space="0" w:color="auto"/>
                    <w:right w:val="none" w:sz="0" w:space="0" w:color="auto"/>
                  </w:divBdr>
                  <w:divsChild>
                    <w:div w:id="159431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4783822">
      <w:bodyDiv w:val="1"/>
      <w:marLeft w:val="0"/>
      <w:marRight w:val="0"/>
      <w:marTop w:val="0"/>
      <w:marBottom w:val="0"/>
      <w:divBdr>
        <w:top w:val="none" w:sz="0" w:space="0" w:color="auto"/>
        <w:left w:val="none" w:sz="0" w:space="0" w:color="auto"/>
        <w:bottom w:val="none" w:sz="0" w:space="0" w:color="auto"/>
        <w:right w:val="none" w:sz="0" w:space="0" w:color="auto"/>
      </w:divBdr>
    </w:div>
    <w:div w:id="1187911445">
      <w:bodyDiv w:val="1"/>
      <w:marLeft w:val="0"/>
      <w:marRight w:val="0"/>
      <w:marTop w:val="0"/>
      <w:marBottom w:val="0"/>
      <w:divBdr>
        <w:top w:val="none" w:sz="0" w:space="0" w:color="auto"/>
        <w:left w:val="none" w:sz="0" w:space="0" w:color="auto"/>
        <w:bottom w:val="none" w:sz="0" w:space="0" w:color="auto"/>
        <w:right w:val="none" w:sz="0" w:space="0" w:color="auto"/>
      </w:divBdr>
    </w:div>
    <w:div w:id="1234659022">
      <w:bodyDiv w:val="1"/>
      <w:marLeft w:val="0"/>
      <w:marRight w:val="0"/>
      <w:marTop w:val="0"/>
      <w:marBottom w:val="0"/>
      <w:divBdr>
        <w:top w:val="none" w:sz="0" w:space="0" w:color="auto"/>
        <w:left w:val="none" w:sz="0" w:space="0" w:color="auto"/>
        <w:bottom w:val="none" w:sz="0" w:space="0" w:color="auto"/>
        <w:right w:val="none" w:sz="0" w:space="0" w:color="auto"/>
      </w:divBdr>
      <w:divsChild>
        <w:div w:id="449708981">
          <w:marLeft w:val="0"/>
          <w:marRight w:val="0"/>
          <w:marTop w:val="0"/>
          <w:marBottom w:val="0"/>
          <w:divBdr>
            <w:top w:val="none" w:sz="0" w:space="0" w:color="auto"/>
            <w:left w:val="none" w:sz="0" w:space="0" w:color="auto"/>
            <w:bottom w:val="none" w:sz="0" w:space="0" w:color="auto"/>
            <w:right w:val="none" w:sz="0" w:space="0" w:color="auto"/>
          </w:divBdr>
          <w:divsChild>
            <w:div w:id="192042768">
              <w:marLeft w:val="0"/>
              <w:marRight w:val="0"/>
              <w:marTop w:val="0"/>
              <w:marBottom w:val="0"/>
              <w:divBdr>
                <w:top w:val="none" w:sz="0" w:space="0" w:color="auto"/>
                <w:left w:val="none" w:sz="0" w:space="0" w:color="auto"/>
                <w:bottom w:val="none" w:sz="0" w:space="0" w:color="auto"/>
                <w:right w:val="none" w:sz="0" w:space="0" w:color="auto"/>
              </w:divBdr>
              <w:divsChild>
                <w:div w:id="58283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658191">
      <w:bodyDiv w:val="1"/>
      <w:marLeft w:val="0"/>
      <w:marRight w:val="0"/>
      <w:marTop w:val="0"/>
      <w:marBottom w:val="0"/>
      <w:divBdr>
        <w:top w:val="none" w:sz="0" w:space="0" w:color="auto"/>
        <w:left w:val="none" w:sz="0" w:space="0" w:color="auto"/>
        <w:bottom w:val="none" w:sz="0" w:space="0" w:color="auto"/>
        <w:right w:val="none" w:sz="0" w:space="0" w:color="auto"/>
      </w:divBdr>
    </w:div>
    <w:div w:id="1254044488">
      <w:bodyDiv w:val="1"/>
      <w:marLeft w:val="0"/>
      <w:marRight w:val="0"/>
      <w:marTop w:val="0"/>
      <w:marBottom w:val="0"/>
      <w:divBdr>
        <w:top w:val="none" w:sz="0" w:space="0" w:color="auto"/>
        <w:left w:val="none" w:sz="0" w:space="0" w:color="auto"/>
        <w:bottom w:val="none" w:sz="0" w:space="0" w:color="auto"/>
        <w:right w:val="none" w:sz="0" w:space="0" w:color="auto"/>
      </w:divBdr>
      <w:divsChild>
        <w:div w:id="997657766">
          <w:marLeft w:val="0"/>
          <w:marRight w:val="0"/>
          <w:marTop w:val="0"/>
          <w:marBottom w:val="0"/>
          <w:divBdr>
            <w:top w:val="none" w:sz="0" w:space="0" w:color="auto"/>
            <w:left w:val="none" w:sz="0" w:space="0" w:color="auto"/>
            <w:bottom w:val="none" w:sz="0" w:space="0" w:color="auto"/>
            <w:right w:val="none" w:sz="0" w:space="0" w:color="auto"/>
          </w:divBdr>
          <w:divsChild>
            <w:div w:id="1875457429">
              <w:marLeft w:val="0"/>
              <w:marRight w:val="0"/>
              <w:marTop w:val="0"/>
              <w:marBottom w:val="0"/>
              <w:divBdr>
                <w:top w:val="none" w:sz="0" w:space="0" w:color="auto"/>
                <w:left w:val="none" w:sz="0" w:space="0" w:color="auto"/>
                <w:bottom w:val="none" w:sz="0" w:space="0" w:color="auto"/>
                <w:right w:val="none" w:sz="0" w:space="0" w:color="auto"/>
              </w:divBdr>
              <w:divsChild>
                <w:div w:id="617295571">
                  <w:marLeft w:val="0"/>
                  <w:marRight w:val="0"/>
                  <w:marTop w:val="0"/>
                  <w:marBottom w:val="0"/>
                  <w:divBdr>
                    <w:top w:val="none" w:sz="0" w:space="0" w:color="auto"/>
                    <w:left w:val="none" w:sz="0" w:space="0" w:color="auto"/>
                    <w:bottom w:val="none" w:sz="0" w:space="0" w:color="auto"/>
                    <w:right w:val="none" w:sz="0" w:space="0" w:color="auto"/>
                  </w:divBdr>
                  <w:divsChild>
                    <w:div w:id="6076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3333329">
      <w:bodyDiv w:val="1"/>
      <w:marLeft w:val="0"/>
      <w:marRight w:val="0"/>
      <w:marTop w:val="0"/>
      <w:marBottom w:val="0"/>
      <w:divBdr>
        <w:top w:val="none" w:sz="0" w:space="0" w:color="auto"/>
        <w:left w:val="none" w:sz="0" w:space="0" w:color="auto"/>
        <w:bottom w:val="none" w:sz="0" w:space="0" w:color="auto"/>
        <w:right w:val="none" w:sz="0" w:space="0" w:color="auto"/>
      </w:divBdr>
      <w:divsChild>
        <w:div w:id="1445464138">
          <w:marLeft w:val="446"/>
          <w:marRight w:val="0"/>
          <w:marTop w:val="0"/>
          <w:marBottom w:val="0"/>
          <w:divBdr>
            <w:top w:val="none" w:sz="0" w:space="0" w:color="auto"/>
            <w:left w:val="none" w:sz="0" w:space="0" w:color="auto"/>
            <w:bottom w:val="none" w:sz="0" w:space="0" w:color="auto"/>
            <w:right w:val="none" w:sz="0" w:space="0" w:color="auto"/>
          </w:divBdr>
        </w:div>
        <w:div w:id="496388613">
          <w:marLeft w:val="446"/>
          <w:marRight w:val="0"/>
          <w:marTop w:val="0"/>
          <w:marBottom w:val="0"/>
          <w:divBdr>
            <w:top w:val="none" w:sz="0" w:space="0" w:color="auto"/>
            <w:left w:val="none" w:sz="0" w:space="0" w:color="auto"/>
            <w:bottom w:val="none" w:sz="0" w:space="0" w:color="auto"/>
            <w:right w:val="none" w:sz="0" w:space="0" w:color="auto"/>
          </w:divBdr>
        </w:div>
        <w:div w:id="1482651926">
          <w:marLeft w:val="446"/>
          <w:marRight w:val="0"/>
          <w:marTop w:val="0"/>
          <w:marBottom w:val="0"/>
          <w:divBdr>
            <w:top w:val="none" w:sz="0" w:space="0" w:color="auto"/>
            <w:left w:val="none" w:sz="0" w:space="0" w:color="auto"/>
            <w:bottom w:val="none" w:sz="0" w:space="0" w:color="auto"/>
            <w:right w:val="none" w:sz="0" w:space="0" w:color="auto"/>
          </w:divBdr>
        </w:div>
        <w:div w:id="1804763039">
          <w:marLeft w:val="446"/>
          <w:marRight w:val="0"/>
          <w:marTop w:val="0"/>
          <w:marBottom w:val="0"/>
          <w:divBdr>
            <w:top w:val="none" w:sz="0" w:space="0" w:color="auto"/>
            <w:left w:val="none" w:sz="0" w:space="0" w:color="auto"/>
            <w:bottom w:val="none" w:sz="0" w:space="0" w:color="auto"/>
            <w:right w:val="none" w:sz="0" w:space="0" w:color="auto"/>
          </w:divBdr>
        </w:div>
        <w:div w:id="1211957877">
          <w:marLeft w:val="446"/>
          <w:marRight w:val="0"/>
          <w:marTop w:val="0"/>
          <w:marBottom w:val="0"/>
          <w:divBdr>
            <w:top w:val="none" w:sz="0" w:space="0" w:color="auto"/>
            <w:left w:val="none" w:sz="0" w:space="0" w:color="auto"/>
            <w:bottom w:val="none" w:sz="0" w:space="0" w:color="auto"/>
            <w:right w:val="none" w:sz="0" w:space="0" w:color="auto"/>
          </w:divBdr>
        </w:div>
        <w:div w:id="58481255">
          <w:marLeft w:val="446"/>
          <w:marRight w:val="0"/>
          <w:marTop w:val="0"/>
          <w:marBottom w:val="0"/>
          <w:divBdr>
            <w:top w:val="none" w:sz="0" w:space="0" w:color="auto"/>
            <w:left w:val="none" w:sz="0" w:space="0" w:color="auto"/>
            <w:bottom w:val="none" w:sz="0" w:space="0" w:color="auto"/>
            <w:right w:val="none" w:sz="0" w:space="0" w:color="auto"/>
          </w:divBdr>
        </w:div>
      </w:divsChild>
    </w:div>
    <w:div w:id="1345400215">
      <w:bodyDiv w:val="1"/>
      <w:marLeft w:val="0"/>
      <w:marRight w:val="0"/>
      <w:marTop w:val="0"/>
      <w:marBottom w:val="0"/>
      <w:divBdr>
        <w:top w:val="none" w:sz="0" w:space="0" w:color="auto"/>
        <w:left w:val="none" w:sz="0" w:space="0" w:color="auto"/>
        <w:bottom w:val="none" w:sz="0" w:space="0" w:color="auto"/>
        <w:right w:val="none" w:sz="0" w:space="0" w:color="auto"/>
      </w:divBdr>
    </w:div>
    <w:div w:id="1378697429">
      <w:bodyDiv w:val="1"/>
      <w:marLeft w:val="0"/>
      <w:marRight w:val="0"/>
      <w:marTop w:val="0"/>
      <w:marBottom w:val="0"/>
      <w:divBdr>
        <w:top w:val="none" w:sz="0" w:space="0" w:color="auto"/>
        <w:left w:val="none" w:sz="0" w:space="0" w:color="auto"/>
        <w:bottom w:val="none" w:sz="0" w:space="0" w:color="auto"/>
        <w:right w:val="none" w:sz="0" w:space="0" w:color="auto"/>
      </w:divBdr>
    </w:div>
    <w:div w:id="1382243810">
      <w:bodyDiv w:val="1"/>
      <w:marLeft w:val="0"/>
      <w:marRight w:val="0"/>
      <w:marTop w:val="0"/>
      <w:marBottom w:val="0"/>
      <w:divBdr>
        <w:top w:val="none" w:sz="0" w:space="0" w:color="auto"/>
        <w:left w:val="none" w:sz="0" w:space="0" w:color="auto"/>
        <w:bottom w:val="none" w:sz="0" w:space="0" w:color="auto"/>
        <w:right w:val="none" w:sz="0" w:space="0" w:color="auto"/>
      </w:divBdr>
    </w:div>
    <w:div w:id="1422599377">
      <w:bodyDiv w:val="1"/>
      <w:marLeft w:val="0"/>
      <w:marRight w:val="0"/>
      <w:marTop w:val="0"/>
      <w:marBottom w:val="0"/>
      <w:divBdr>
        <w:top w:val="none" w:sz="0" w:space="0" w:color="auto"/>
        <w:left w:val="none" w:sz="0" w:space="0" w:color="auto"/>
        <w:bottom w:val="none" w:sz="0" w:space="0" w:color="auto"/>
        <w:right w:val="none" w:sz="0" w:space="0" w:color="auto"/>
      </w:divBdr>
      <w:divsChild>
        <w:div w:id="1482891942">
          <w:marLeft w:val="0"/>
          <w:marRight w:val="0"/>
          <w:marTop w:val="0"/>
          <w:marBottom w:val="0"/>
          <w:divBdr>
            <w:top w:val="none" w:sz="0" w:space="0" w:color="auto"/>
            <w:left w:val="none" w:sz="0" w:space="0" w:color="auto"/>
            <w:bottom w:val="none" w:sz="0" w:space="0" w:color="auto"/>
            <w:right w:val="none" w:sz="0" w:space="0" w:color="auto"/>
          </w:divBdr>
          <w:divsChild>
            <w:div w:id="817695203">
              <w:marLeft w:val="0"/>
              <w:marRight w:val="0"/>
              <w:marTop w:val="0"/>
              <w:marBottom w:val="0"/>
              <w:divBdr>
                <w:top w:val="none" w:sz="0" w:space="0" w:color="auto"/>
                <w:left w:val="none" w:sz="0" w:space="0" w:color="auto"/>
                <w:bottom w:val="none" w:sz="0" w:space="0" w:color="auto"/>
                <w:right w:val="none" w:sz="0" w:space="0" w:color="auto"/>
              </w:divBdr>
              <w:divsChild>
                <w:div w:id="60334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991415">
      <w:bodyDiv w:val="1"/>
      <w:marLeft w:val="0"/>
      <w:marRight w:val="0"/>
      <w:marTop w:val="0"/>
      <w:marBottom w:val="0"/>
      <w:divBdr>
        <w:top w:val="none" w:sz="0" w:space="0" w:color="auto"/>
        <w:left w:val="none" w:sz="0" w:space="0" w:color="auto"/>
        <w:bottom w:val="none" w:sz="0" w:space="0" w:color="auto"/>
        <w:right w:val="none" w:sz="0" w:space="0" w:color="auto"/>
      </w:divBdr>
      <w:divsChild>
        <w:div w:id="61147811">
          <w:marLeft w:val="0"/>
          <w:marRight w:val="0"/>
          <w:marTop w:val="0"/>
          <w:marBottom w:val="0"/>
          <w:divBdr>
            <w:top w:val="none" w:sz="0" w:space="0" w:color="auto"/>
            <w:left w:val="none" w:sz="0" w:space="0" w:color="auto"/>
            <w:bottom w:val="none" w:sz="0" w:space="0" w:color="auto"/>
            <w:right w:val="none" w:sz="0" w:space="0" w:color="auto"/>
          </w:divBdr>
        </w:div>
        <w:div w:id="245922818">
          <w:marLeft w:val="0"/>
          <w:marRight w:val="0"/>
          <w:marTop w:val="0"/>
          <w:marBottom w:val="0"/>
          <w:divBdr>
            <w:top w:val="none" w:sz="0" w:space="0" w:color="auto"/>
            <w:left w:val="none" w:sz="0" w:space="0" w:color="auto"/>
            <w:bottom w:val="none" w:sz="0" w:space="0" w:color="auto"/>
            <w:right w:val="none" w:sz="0" w:space="0" w:color="auto"/>
          </w:divBdr>
        </w:div>
        <w:div w:id="302974161">
          <w:marLeft w:val="0"/>
          <w:marRight w:val="0"/>
          <w:marTop w:val="0"/>
          <w:marBottom w:val="0"/>
          <w:divBdr>
            <w:top w:val="none" w:sz="0" w:space="0" w:color="auto"/>
            <w:left w:val="none" w:sz="0" w:space="0" w:color="auto"/>
            <w:bottom w:val="none" w:sz="0" w:space="0" w:color="auto"/>
            <w:right w:val="none" w:sz="0" w:space="0" w:color="auto"/>
          </w:divBdr>
        </w:div>
        <w:div w:id="462113706">
          <w:marLeft w:val="0"/>
          <w:marRight w:val="0"/>
          <w:marTop w:val="0"/>
          <w:marBottom w:val="0"/>
          <w:divBdr>
            <w:top w:val="none" w:sz="0" w:space="0" w:color="auto"/>
            <w:left w:val="none" w:sz="0" w:space="0" w:color="auto"/>
            <w:bottom w:val="none" w:sz="0" w:space="0" w:color="auto"/>
            <w:right w:val="none" w:sz="0" w:space="0" w:color="auto"/>
          </w:divBdr>
        </w:div>
        <w:div w:id="1079250219">
          <w:marLeft w:val="0"/>
          <w:marRight w:val="0"/>
          <w:marTop w:val="0"/>
          <w:marBottom w:val="0"/>
          <w:divBdr>
            <w:top w:val="none" w:sz="0" w:space="0" w:color="auto"/>
            <w:left w:val="none" w:sz="0" w:space="0" w:color="auto"/>
            <w:bottom w:val="none" w:sz="0" w:space="0" w:color="auto"/>
            <w:right w:val="none" w:sz="0" w:space="0" w:color="auto"/>
          </w:divBdr>
        </w:div>
        <w:div w:id="1159539492">
          <w:marLeft w:val="0"/>
          <w:marRight w:val="0"/>
          <w:marTop w:val="0"/>
          <w:marBottom w:val="0"/>
          <w:divBdr>
            <w:top w:val="none" w:sz="0" w:space="0" w:color="auto"/>
            <w:left w:val="none" w:sz="0" w:space="0" w:color="auto"/>
            <w:bottom w:val="none" w:sz="0" w:space="0" w:color="auto"/>
            <w:right w:val="none" w:sz="0" w:space="0" w:color="auto"/>
          </w:divBdr>
        </w:div>
        <w:div w:id="1640528615">
          <w:marLeft w:val="0"/>
          <w:marRight w:val="0"/>
          <w:marTop w:val="0"/>
          <w:marBottom w:val="0"/>
          <w:divBdr>
            <w:top w:val="none" w:sz="0" w:space="0" w:color="auto"/>
            <w:left w:val="none" w:sz="0" w:space="0" w:color="auto"/>
            <w:bottom w:val="none" w:sz="0" w:space="0" w:color="auto"/>
            <w:right w:val="none" w:sz="0" w:space="0" w:color="auto"/>
          </w:divBdr>
        </w:div>
        <w:div w:id="1678922013">
          <w:marLeft w:val="0"/>
          <w:marRight w:val="0"/>
          <w:marTop w:val="0"/>
          <w:marBottom w:val="0"/>
          <w:divBdr>
            <w:top w:val="none" w:sz="0" w:space="0" w:color="auto"/>
            <w:left w:val="none" w:sz="0" w:space="0" w:color="auto"/>
            <w:bottom w:val="none" w:sz="0" w:space="0" w:color="auto"/>
            <w:right w:val="none" w:sz="0" w:space="0" w:color="auto"/>
          </w:divBdr>
        </w:div>
      </w:divsChild>
    </w:div>
    <w:div w:id="1596591029">
      <w:bodyDiv w:val="1"/>
      <w:marLeft w:val="0"/>
      <w:marRight w:val="0"/>
      <w:marTop w:val="0"/>
      <w:marBottom w:val="0"/>
      <w:divBdr>
        <w:top w:val="none" w:sz="0" w:space="0" w:color="auto"/>
        <w:left w:val="none" w:sz="0" w:space="0" w:color="auto"/>
        <w:bottom w:val="none" w:sz="0" w:space="0" w:color="auto"/>
        <w:right w:val="none" w:sz="0" w:space="0" w:color="auto"/>
      </w:divBdr>
    </w:div>
    <w:div w:id="1637561424">
      <w:bodyDiv w:val="1"/>
      <w:marLeft w:val="0"/>
      <w:marRight w:val="0"/>
      <w:marTop w:val="0"/>
      <w:marBottom w:val="0"/>
      <w:divBdr>
        <w:top w:val="none" w:sz="0" w:space="0" w:color="auto"/>
        <w:left w:val="none" w:sz="0" w:space="0" w:color="auto"/>
        <w:bottom w:val="none" w:sz="0" w:space="0" w:color="auto"/>
        <w:right w:val="none" w:sz="0" w:space="0" w:color="auto"/>
      </w:divBdr>
    </w:div>
    <w:div w:id="1717896237">
      <w:bodyDiv w:val="1"/>
      <w:marLeft w:val="0"/>
      <w:marRight w:val="0"/>
      <w:marTop w:val="0"/>
      <w:marBottom w:val="0"/>
      <w:divBdr>
        <w:top w:val="none" w:sz="0" w:space="0" w:color="auto"/>
        <w:left w:val="none" w:sz="0" w:space="0" w:color="auto"/>
        <w:bottom w:val="none" w:sz="0" w:space="0" w:color="auto"/>
        <w:right w:val="none" w:sz="0" w:space="0" w:color="auto"/>
      </w:divBdr>
    </w:div>
    <w:div w:id="1727753694">
      <w:bodyDiv w:val="1"/>
      <w:marLeft w:val="0"/>
      <w:marRight w:val="0"/>
      <w:marTop w:val="0"/>
      <w:marBottom w:val="0"/>
      <w:divBdr>
        <w:top w:val="none" w:sz="0" w:space="0" w:color="auto"/>
        <w:left w:val="none" w:sz="0" w:space="0" w:color="auto"/>
        <w:bottom w:val="none" w:sz="0" w:space="0" w:color="auto"/>
        <w:right w:val="none" w:sz="0" w:space="0" w:color="auto"/>
      </w:divBdr>
    </w:div>
    <w:div w:id="1753313387">
      <w:bodyDiv w:val="1"/>
      <w:marLeft w:val="0"/>
      <w:marRight w:val="0"/>
      <w:marTop w:val="0"/>
      <w:marBottom w:val="0"/>
      <w:divBdr>
        <w:top w:val="none" w:sz="0" w:space="0" w:color="auto"/>
        <w:left w:val="none" w:sz="0" w:space="0" w:color="auto"/>
        <w:bottom w:val="none" w:sz="0" w:space="0" w:color="auto"/>
        <w:right w:val="none" w:sz="0" w:space="0" w:color="auto"/>
      </w:divBdr>
    </w:div>
    <w:div w:id="1765565350">
      <w:bodyDiv w:val="1"/>
      <w:marLeft w:val="0"/>
      <w:marRight w:val="0"/>
      <w:marTop w:val="0"/>
      <w:marBottom w:val="0"/>
      <w:divBdr>
        <w:top w:val="none" w:sz="0" w:space="0" w:color="auto"/>
        <w:left w:val="none" w:sz="0" w:space="0" w:color="auto"/>
        <w:bottom w:val="none" w:sz="0" w:space="0" w:color="auto"/>
        <w:right w:val="none" w:sz="0" w:space="0" w:color="auto"/>
      </w:divBdr>
    </w:div>
    <w:div w:id="1788695357">
      <w:bodyDiv w:val="1"/>
      <w:marLeft w:val="0"/>
      <w:marRight w:val="0"/>
      <w:marTop w:val="0"/>
      <w:marBottom w:val="0"/>
      <w:divBdr>
        <w:top w:val="none" w:sz="0" w:space="0" w:color="auto"/>
        <w:left w:val="none" w:sz="0" w:space="0" w:color="auto"/>
        <w:bottom w:val="none" w:sz="0" w:space="0" w:color="auto"/>
        <w:right w:val="none" w:sz="0" w:space="0" w:color="auto"/>
      </w:divBdr>
      <w:divsChild>
        <w:div w:id="1639645267">
          <w:marLeft w:val="0"/>
          <w:marRight w:val="0"/>
          <w:marTop w:val="0"/>
          <w:marBottom w:val="0"/>
          <w:divBdr>
            <w:top w:val="none" w:sz="0" w:space="0" w:color="auto"/>
            <w:left w:val="none" w:sz="0" w:space="0" w:color="auto"/>
            <w:bottom w:val="none" w:sz="0" w:space="0" w:color="auto"/>
            <w:right w:val="none" w:sz="0" w:space="0" w:color="auto"/>
          </w:divBdr>
          <w:divsChild>
            <w:div w:id="942614380">
              <w:marLeft w:val="0"/>
              <w:marRight w:val="0"/>
              <w:marTop w:val="0"/>
              <w:marBottom w:val="0"/>
              <w:divBdr>
                <w:top w:val="none" w:sz="0" w:space="0" w:color="auto"/>
                <w:left w:val="none" w:sz="0" w:space="0" w:color="auto"/>
                <w:bottom w:val="none" w:sz="0" w:space="0" w:color="auto"/>
                <w:right w:val="none" w:sz="0" w:space="0" w:color="auto"/>
              </w:divBdr>
              <w:divsChild>
                <w:div w:id="203299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937806">
      <w:bodyDiv w:val="1"/>
      <w:marLeft w:val="0"/>
      <w:marRight w:val="0"/>
      <w:marTop w:val="0"/>
      <w:marBottom w:val="0"/>
      <w:divBdr>
        <w:top w:val="none" w:sz="0" w:space="0" w:color="auto"/>
        <w:left w:val="none" w:sz="0" w:space="0" w:color="auto"/>
        <w:bottom w:val="none" w:sz="0" w:space="0" w:color="auto"/>
        <w:right w:val="none" w:sz="0" w:space="0" w:color="auto"/>
      </w:divBdr>
    </w:div>
    <w:div w:id="1859542607">
      <w:bodyDiv w:val="1"/>
      <w:marLeft w:val="0"/>
      <w:marRight w:val="0"/>
      <w:marTop w:val="0"/>
      <w:marBottom w:val="0"/>
      <w:divBdr>
        <w:top w:val="none" w:sz="0" w:space="0" w:color="auto"/>
        <w:left w:val="none" w:sz="0" w:space="0" w:color="auto"/>
        <w:bottom w:val="none" w:sz="0" w:space="0" w:color="auto"/>
        <w:right w:val="none" w:sz="0" w:space="0" w:color="auto"/>
      </w:divBdr>
      <w:divsChild>
        <w:div w:id="424766017">
          <w:marLeft w:val="0"/>
          <w:marRight w:val="0"/>
          <w:marTop w:val="0"/>
          <w:marBottom w:val="0"/>
          <w:divBdr>
            <w:top w:val="none" w:sz="0" w:space="0" w:color="auto"/>
            <w:left w:val="none" w:sz="0" w:space="0" w:color="auto"/>
            <w:bottom w:val="none" w:sz="0" w:space="0" w:color="auto"/>
            <w:right w:val="none" w:sz="0" w:space="0" w:color="auto"/>
          </w:divBdr>
        </w:div>
        <w:div w:id="430316487">
          <w:marLeft w:val="0"/>
          <w:marRight w:val="0"/>
          <w:marTop w:val="0"/>
          <w:marBottom w:val="0"/>
          <w:divBdr>
            <w:top w:val="none" w:sz="0" w:space="0" w:color="auto"/>
            <w:left w:val="none" w:sz="0" w:space="0" w:color="auto"/>
            <w:bottom w:val="none" w:sz="0" w:space="0" w:color="auto"/>
            <w:right w:val="none" w:sz="0" w:space="0" w:color="auto"/>
          </w:divBdr>
        </w:div>
        <w:div w:id="545339074">
          <w:marLeft w:val="0"/>
          <w:marRight w:val="0"/>
          <w:marTop w:val="0"/>
          <w:marBottom w:val="0"/>
          <w:divBdr>
            <w:top w:val="none" w:sz="0" w:space="0" w:color="auto"/>
            <w:left w:val="none" w:sz="0" w:space="0" w:color="auto"/>
            <w:bottom w:val="none" w:sz="0" w:space="0" w:color="auto"/>
            <w:right w:val="none" w:sz="0" w:space="0" w:color="auto"/>
          </w:divBdr>
        </w:div>
        <w:div w:id="1015612336">
          <w:marLeft w:val="0"/>
          <w:marRight w:val="0"/>
          <w:marTop w:val="0"/>
          <w:marBottom w:val="0"/>
          <w:divBdr>
            <w:top w:val="none" w:sz="0" w:space="0" w:color="auto"/>
            <w:left w:val="none" w:sz="0" w:space="0" w:color="auto"/>
            <w:bottom w:val="none" w:sz="0" w:space="0" w:color="auto"/>
            <w:right w:val="none" w:sz="0" w:space="0" w:color="auto"/>
          </w:divBdr>
        </w:div>
        <w:div w:id="1086146362">
          <w:marLeft w:val="0"/>
          <w:marRight w:val="0"/>
          <w:marTop w:val="0"/>
          <w:marBottom w:val="0"/>
          <w:divBdr>
            <w:top w:val="none" w:sz="0" w:space="0" w:color="auto"/>
            <w:left w:val="none" w:sz="0" w:space="0" w:color="auto"/>
            <w:bottom w:val="none" w:sz="0" w:space="0" w:color="auto"/>
            <w:right w:val="none" w:sz="0" w:space="0" w:color="auto"/>
          </w:divBdr>
        </w:div>
        <w:div w:id="1314749240">
          <w:marLeft w:val="0"/>
          <w:marRight w:val="0"/>
          <w:marTop w:val="0"/>
          <w:marBottom w:val="0"/>
          <w:divBdr>
            <w:top w:val="none" w:sz="0" w:space="0" w:color="auto"/>
            <w:left w:val="none" w:sz="0" w:space="0" w:color="auto"/>
            <w:bottom w:val="none" w:sz="0" w:space="0" w:color="auto"/>
            <w:right w:val="none" w:sz="0" w:space="0" w:color="auto"/>
          </w:divBdr>
        </w:div>
        <w:div w:id="2015574594">
          <w:marLeft w:val="0"/>
          <w:marRight w:val="0"/>
          <w:marTop w:val="0"/>
          <w:marBottom w:val="0"/>
          <w:divBdr>
            <w:top w:val="none" w:sz="0" w:space="0" w:color="auto"/>
            <w:left w:val="none" w:sz="0" w:space="0" w:color="auto"/>
            <w:bottom w:val="none" w:sz="0" w:space="0" w:color="auto"/>
            <w:right w:val="none" w:sz="0" w:space="0" w:color="auto"/>
          </w:divBdr>
        </w:div>
        <w:div w:id="2111510733">
          <w:marLeft w:val="0"/>
          <w:marRight w:val="0"/>
          <w:marTop w:val="0"/>
          <w:marBottom w:val="0"/>
          <w:divBdr>
            <w:top w:val="none" w:sz="0" w:space="0" w:color="auto"/>
            <w:left w:val="none" w:sz="0" w:space="0" w:color="auto"/>
            <w:bottom w:val="none" w:sz="0" w:space="0" w:color="auto"/>
            <w:right w:val="none" w:sz="0" w:space="0" w:color="auto"/>
          </w:divBdr>
        </w:div>
      </w:divsChild>
    </w:div>
    <w:div w:id="1882942000">
      <w:bodyDiv w:val="1"/>
      <w:marLeft w:val="0"/>
      <w:marRight w:val="0"/>
      <w:marTop w:val="0"/>
      <w:marBottom w:val="0"/>
      <w:divBdr>
        <w:top w:val="none" w:sz="0" w:space="0" w:color="auto"/>
        <w:left w:val="none" w:sz="0" w:space="0" w:color="auto"/>
        <w:bottom w:val="none" w:sz="0" w:space="0" w:color="auto"/>
        <w:right w:val="none" w:sz="0" w:space="0" w:color="auto"/>
      </w:divBdr>
      <w:divsChild>
        <w:div w:id="996693438">
          <w:marLeft w:val="0"/>
          <w:marRight w:val="0"/>
          <w:marTop w:val="0"/>
          <w:marBottom w:val="0"/>
          <w:divBdr>
            <w:top w:val="none" w:sz="0" w:space="0" w:color="auto"/>
            <w:left w:val="none" w:sz="0" w:space="0" w:color="auto"/>
            <w:bottom w:val="none" w:sz="0" w:space="0" w:color="auto"/>
            <w:right w:val="none" w:sz="0" w:space="0" w:color="auto"/>
          </w:divBdr>
          <w:divsChild>
            <w:div w:id="1572276997">
              <w:marLeft w:val="0"/>
              <w:marRight w:val="0"/>
              <w:marTop w:val="0"/>
              <w:marBottom w:val="0"/>
              <w:divBdr>
                <w:top w:val="none" w:sz="0" w:space="0" w:color="auto"/>
                <w:left w:val="none" w:sz="0" w:space="0" w:color="auto"/>
                <w:bottom w:val="none" w:sz="0" w:space="0" w:color="auto"/>
                <w:right w:val="none" w:sz="0" w:space="0" w:color="auto"/>
              </w:divBdr>
              <w:divsChild>
                <w:div w:id="191754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636316">
      <w:bodyDiv w:val="1"/>
      <w:marLeft w:val="0"/>
      <w:marRight w:val="0"/>
      <w:marTop w:val="0"/>
      <w:marBottom w:val="0"/>
      <w:divBdr>
        <w:top w:val="none" w:sz="0" w:space="0" w:color="auto"/>
        <w:left w:val="none" w:sz="0" w:space="0" w:color="auto"/>
        <w:bottom w:val="none" w:sz="0" w:space="0" w:color="auto"/>
        <w:right w:val="none" w:sz="0" w:space="0" w:color="auto"/>
      </w:divBdr>
    </w:div>
    <w:div w:id="1909923371">
      <w:bodyDiv w:val="1"/>
      <w:marLeft w:val="0"/>
      <w:marRight w:val="0"/>
      <w:marTop w:val="0"/>
      <w:marBottom w:val="0"/>
      <w:divBdr>
        <w:top w:val="none" w:sz="0" w:space="0" w:color="auto"/>
        <w:left w:val="none" w:sz="0" w:space="0" w:color="auto"/>
        <w:bottom w:val="none" w:sz="0" w:space="0" w:color="auto"/>
        <w:right w:val="none" w:sz="0" w:space="0" w:color="auto"/>
      </w:divBdr>
    </w:div>
    <w:div w:id="1982343748">
      <w:bodyDiv w:val="1"/>
      <w:marLeft w:val="0"/>
      <w:marRight w:val="0"/>
      <w:marTop w:val="0"/>
      <w:marBottom w:val="0"/>
      <w:divBdr>
        <w:top w:val="none" w:sz="0" w:space="0" w:color="auto"/>
        <w:left w:val="none" w:sz="0" w:space="0" w:color="auto"/>
        <w:bottom w:val="none" w:sz="0" w:space="0" w:color="auto"/>
        <w:right w:val="none" w:sz="0" w:space="0" w:color="auto"/>
      </w:divBdr>
    </w:div>
    <w:div w:id="2026638104">
      <w:bodyDiv w:val="1"/>
      <w:marLeft w:val="0"/>
      <w:marRight w:val="0"/>
      <w:marTop w:val="0"/>
      <w:marBottom w:val="0"/>
      <w:divBdr>
        <w:top w:val="none" w:sz="0" w:space="0" w:color="auto"/>
        <w:left w:val="none" w:sz="0" w:space="0" w:color="auto"/>
        <w:bottom w:val="none" w:sz="0" w:space="0" w:color="auto"/>
        <w:right w:val="none" w:sz="0" w:space="0" w:color="auto"/>
      </w:divBdr>
    </w:div>
    <w:div w:id="2041348055">
      <w:bodyDiv w:val="1"/>
      <w:marLeft w:val="0"/>
      <w:marRight w:val="0"/>
      <w:marTop w:val="0"/>
      <w:marBottom w:val="0"/>
      <w:divBdr>
        <w:top w:val="none" w:sz="0" w:space="0" w:color="auto"/>
        <w:left w:val="none" w:sz="0" w:space="0" w:color="auto"/>
        <w:bottom w:val="none" w:sz="0" w:space="0" w:color="auto"/>
        <w:right w:val="none" w:sz="0" w:space="0" w:color="auto"/>
      </w:divBdr>
    </w:div>
    <w:div w:id="2075816430">
      <w:bodyDiv w:val="1"/>
      <w:marLeft w:val="0"/>
      <w:marRight w:val="0"/>
      <w:marTop w:val="0"/>
      <w:marBottom w:val="0"/>
      <w:divBdr>
        <w:top w:val="none" w:sz="0" w:space="0" w:color="auto"/>
        <w:left w:val="none" w:sz="0" w:space="0" w:color="auto"/>
        <w:bottom w:val="none" w:sz="0" w:space="0" w:color="auto"/>
        <w:right w:val="none" w:sz="0" w:space="0" w:color="auto"/>
      </w:divBdr>
    </w:div>
    <w:div w:id="2136295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dfat.gov.au/about-us/publications/Documents/monitoring-evaluation-standards.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customXml" Target="../customXml/item3.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Pacific Women">
      <a:dk1>
        <a:sysClr val="windowText" lastClr="000000"/>
      </a:dk1>
      <a:lt1>
        <a:sysClr val="window" lastClr="FFFFFF"/>
      </a:lt1>
      <a:dk2>
        <a:srgbClr val="44546A"/>
      </a:dk2>
      <a:lt2>
        <a:srgbClr val="E7E6E6"/>
      </a:lt2>
      <a:accent1>
        <a:srgbClr val="00928C"/>
      </a:accent1>
      <a:accent2>
        <a:srgbClr val="E84427"/>
      </a:accent2>
      <a:accent3>
        <a:srgbClr val="493417"/>
      </a:accent3>
      <a:accent4>
        <a:srgbClr val="E0D5BB"/>
      </a:accent4>
      <a:accent5>
        <a:srgbClr val="BFAF8C"/>
      </a:accent5>
      <a:accent6>
        <a:srgbClr val="002060"/>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5559550-4C71-4A68-992F-D43400B78C49}"/>
</file>

<file path=customXml/itemProps2.xml><?xml version="1.0" encoding="utf-8"?>
<ds:datastoreItem xmlns:ds="http://schemas.openxmlformats.org/officeDocument/2006/customXml" ds:itemID="{AF1E81A6-EA70-4A3B-9954-2C78C8C71978}"/>
</file>

<file path=customXml/itemProps3.xml><?xml version="1.0" encoding="utf-8"?>
<ds:datastoreItem xmlns:ds="http://schemas.openxmlformats.org/officeDocument/2006/customXml" ds:itemID="{690AA316-171A-4E28-BA7B-4CF0BF14D813}"/>
</file>

<file path=customXml/itemProps4.xml><?xml version="1.0" encoding="utf-8"?>
<ds:datastoreItem xmlns:ds="http://schemas.openxmlformats.org/officeDocument/2006/customXml" ds:itemID="{4D095450-C8BB-4C93-8A7D-8BB4AD9D7DAC}"/>
</file>

<file path=docProps/app.xml><?xml version="1.0" encoding="utf-8"?>
<Properties xmlns="http://schemas.openxmlformats.org/officeDocument/2006/extended-properties" xmlns:vt="http://schemas.openxmlformats.org/officeDocument/2006/docPropsVTypes">
  <Template>Normal.dotm</Template>
  <TotalTime>0</TotalTime>
  <Pages>47</Pages>
  <Words>15793</Words>
  <Characters>90023</Characters>
  <Application>Microsoft Office Word</Application>
  <DocSecurity>0</DocSecurity>
  <Lines>750</Lines>
  <Paragraphs>211</Paragraphs>
  <ScaleCrop>false</ScaleCrop>
  <Company/>
  <LinksUpToDate>false</LinksUpToDate>
  <CharactersWithSpaces>105605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2018-08-24T00:30:00Z</dcterms:created>
  <dcterms:modified xsi:type="dcterms:W3CDTF">2018-08-24T00:31:00Z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683d1d40-5f2f-4003-8a37-192360fd3370</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0x01010050F19AC2165D2E47A5E6B7F563E4CF00</vt:lpwstr>
  </property>
  <property fmtid="{D5CDD505-2E9C-101B-9397-08002B2CF9AE}" pid="6" name="Order">
    <vt:r8>1186100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