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footer6.xml" ContentType="application/vnd.openxmlformats-officedocument.wordprocessingml.foot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2.xml" ContentType="application/vnd.openxmlformats-officedocument.wordprocessingml.header+xml"/>
  <Override PartName="/word/footer8.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7.xml" ContentType="application/vnd.openxmlformats-officedocument.wordprocessingml.header+xml"/>
  <Override PartName="/word/charts/chart9.xml" ContentType="application/vnd.openxmlformats-officedocument.drawingml.chart+xml"/>
  <Override PartName="/word/charts/colors8.xml" ContentType="application/vnd.ms-office.chartcolorstyle+xml"/>
  <Override PartName="/word/charts/style8.xml" ContentType="application/vnd.ms-office.chartstyle+xml"/>
  <Override PartName="/word/charts/chart8.xml" ContentType="application/vnd.openxmlformats-officedocument.drawingml.chart+xml"/>
  <Override PartName="/word/charts/style9.xml" ContentType="application/vnd.ms-office.chartstyle+xml"/>
  <Override PartName="/word/charts/style7.xml" ContentType="application/vnd.ms-office.chartstyle+xml"/>
  <Override PartName="/word/charts/chart7.xml" ContentType="application/vnd.openxmlformats-officedocument.drawingml.chart+xml"/>
  <Override PartName="/word/charts/colors6.xml" ContentType="application/vnd.ms-office.chartcolorstyle+xml"/>
  <Override PartName="/word/charts/style6.xml" ContentType="application/vnd.ms-office.chartstyle+xml"/>
  <Override PartName="/word/charts/colors7.xml" ContentType="application/vnd.ms-office.chartcolorstyle+xml"/>
  <Override PartName="/word/charts/chart6.xml" ContentType="application/vnd.openxmlformats-officedocument.drawingml.chart+xml"/>
  <Override PartName="/word/theme/theme1.xml" ContentType="application/vnd.openxmlformats-officedocument.theme+xml"/>
  <Override PartName="/word/charts/colors9.xml" ContentType="application/vnd.ms-office.chartcolorstyle+xml"/>
  <Override PartName="/word/charts/style3.xml" ContentType="application/vnd.ms-office.chartstyle+xml"/>
  <Override PartName="/word/charts/style5.xml" ContentType="application/vnd.ms-office.chartstyle+xml"/>
  <Override PartName="/word/charts/colors5.xml" ContentType="application/vnd.ms-office.chartcolorstyle+xml"/>
  <Override PartName="/word/charts/chart1.xml" ContentType="application/vnd.openxmlformats-officedocument.drawingml.chart+xml"/>
  <Override PartName="/word/charts/colors1.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1.xml" ContentType="application/vnd.ms-office.chartstyle+xml"/>
  <Override PartName="/word/charts/colors3.xml" ContentType="application/vnd.ms-office.chartcolorstyle+xml"/>
  <Override PartName="/word/charts/chart3.xml" ContentType="application/vnd.openxmlformats-officedocument.drawingml.chart+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settings.xml" ContentType="application/vnd.openxmlformats-officedocument.wordprocessingml.settings+xml"/>
  <Override PartName="/customXml/itemProps2.xml" ContentType="application/vnd.openxmlformats-officedocument.customXmlPropertie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01CA92D" w14:textId="2B827CDF" w:rsidR="008D743C" w:rsidRPr="00BF4F0F" w:rsidRDefault="00D849D4" w:rsidP="00447313">
      <w:pPr>
        <w:spacing w:line="288" w:lineRule="auto"/>
        <w:jc w:val="both"/>
        <w:outlineLvl w:val="0"/>
        <w:rPr>
          <w:rFonts w:asciiTheme="minorHAnsi" w:hAnsiTheme="minorHAnsi" w:cstheme="minorHAnsi"/>
          <w:color w:val="A94457"/>
          <w:sz w:val="56"/>
          <w:szCs w:val="56"/>
        </w:rPr>
      </w:pPr>
      <w:bookmarkStart w:id="0" w:name="_GoBack"/>
      <w:bookmarkEnd w:id="0"/>
      <w:r>
        <w:rPr>
          <w:rFonts w:asciiTheme="minorHAnsi" w:hAnsiTheme="minorHAnsi" w:cstheme="minorHAnsi"/>
          <w:noProof/>
          <w:color w:val="A94457"/>
          <w:sz w:val="56"/>
          <w:szCs w:val="56"/>
        </w:rPr>
        <w:drawing>
          <wp:anchor distT="0" distB="0" distL="114300" distR="114300" simplePos="0" relativeHeight="251800576" behindDoc="1" locked="0" layoutInCell="1" allowOverlap="1" wp14:anchorId="78186E94" wp14:editId="76885490">
            <wp:simplePos x="0" y="0"/>
            <wp:positionH relativeFrom="column">
              <wp:posOffset>-1007141</wp:posOffset>
            </wp:positionH>
            <wp:positionV relativeFrom="paragraph">
              <wp:posOffset>-852790</wp:posOffset>
            </wp:positionV>
            <wp:extent cx="8377911" cy="10724863"/>
            <wp:effectExtent l="0" t="0" r="4445" b="63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a:stretch/>
                  </pic:blipFill>
                  <pic:spPr bwMode="auto">
                    <a:xfrm>
                      <a:off x="0" y="0"/>
                      <a:ext cx="8386856" cy="1073631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66C0A">
        <w:rPr>
          <w:noProof/>
        </w:rPr>
        <w:drawing>
          <wp:anchor distT="0" distB="0" distL="114300" distR="114300" simplePos="0" relativeHeight="251795456" behindDoc="0" locked="0" layoutInCell="1" allowOverlap="1" wp14:anchorId="41B7F72C" wp14:editId="1A274A95">
            <wp:simplePos x="0" y="0"/>
            <wp:positionH relativeFrom="column">
              <wp:posOffset>4885055</wp:posOffset>
            </wp:positionH>
            <wp:positionV relativeFrom="paragraph">
              <wp:posOffset>-512445</wp:posOffset>
            </wp:positionV>
            <wp:extent cx="1779905" cy="80708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79905" cy="807085"/>
                    </a:xfrm>
                    <a:prstGeom prst="rect">
                      <a:avLst/>
                    </a:prstGeom>
                    <a:noFill/>
                    <a:ln>
                      <a:noFill/>
                    </a:ln>
                  </pic:spPr>
                </pic:pic>
              </a:graphicData>
            </a:graphic>
            <wp14:sizeRelH relativeFrom="page">
              <wp14:pctWidth>0</wp14:pctWidth>
            </wp14:sizeRelH>
            <wp14:sizeRelV relativeFrom="page">
              <wp14:pctHeight>0</wp14:pctHeight>
            </wp14:sizeRelV>
          </wp:anchor>
        </w:drawing>
      </w:r>
      <w:r w:rsidR="00C66C0A">
        <w:rPr>
          <w:b w:val="0"/>
          <w:noProof/>
          <w:color w:val="auto"/>
        </w:rPr>
        <w:drawing>
          <wp:anchor distT="0" distB="0" distL="114300" distR="114300" simplePos="0" relativeHeight="251796480" behindDoc="0" locked="0" layoutInCell="1" allowOverlap="1" wp14:anchorId="1B10107A" wp14:editId="3800A1EA">
            <wp:simplePos x="0" y="0"/>
            <wp:positionH relativeFrom="column">
              <wp:posOffset>4779645</wp:posOffset>
            </wp:positionH>
            <wp:positionV relativeFrom="paragraph">
              <wp:posOffset>424180</wp:posOffset>
            </wp:positionV>
            <wp:extent cx="1959429" cy="553880"/>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1">
                      <a:extLst>
                        <a:ext uri="{28A0092B-C50C-407E-A947-70E740481C1C}">
                          <a14:useLocalDpi xmlns:a14="http://schemas.microsoft.com/office/drawing/2010/main" val="0"/>
                        </a:ext>
                      </a:extLst>
                    </a:blip>
                    <a:srcRect/>
                    <a:stretch/>
                  </pic:blipFill>
                  <pic:spPr bwMode="auto">
                    <a:xfrm>
                      <a:off x="0" y="0"/>
                      <a:ext cx="1959429" cy="553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66C0A" w:rsidRPr="002F5B33">
        <w:rPr>
          <w:rFonts w:asciiTheme="minorHAnsi" w:hAnsiTheme="minorHAnsi" w:cstheme="minorHAnsi"/>
          <w:noProof/>
          <w:color w:val="404040"/>
          <w:sz w:val="36"/>
          <w:szCs w:val="36"/>
        </w:rPr>
        <mc:AlternateContent>
          <mc:Choice Requires="wps">
            <w:drawing>
              <wp:anchor distT="45720" distB="45720" distL="114300" distR="114300" simplePos="0" relativeHeight="251792384" behindDoc="0" locked="0" layoutInCell="1" allowOverlap="1" wp14:anchorId="21B0B353" wp14:editId="2A2F9F19">
                <wp:simplePos x="0" y="0"/>
                <wp:positionH relativeFrom="column">
                  <wp:posOffset>-563245</wp:posOffset>
                </wp:positionH>
                <wp:positionV relativeFrom="paragraph">
                  <wp:posOffset>-651659</wp:posOffset>
                </wp:positionV>
                <wp:extent cx="4001770" cy="2564765"/>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1770" cy="2564765"/>
                        </a:xfrm>
                        <a:prstGeom prst="rect">
                          <a:avLst/>
                        </a:prstGeom>
                        <a:noFill/>
                        <a:ln w="9525">
                          <a:noFill/>
                          <a:miter lim="800000"/>
                          <a:headEnd/>
                          <a:tailEnd/>
                        </a:ln>
                      </wps:spPr>
                      <wps:txbx>
                        <w:txbxContent>
                          <w:p w14:paraId="6E6A35C5" w14:textId="3C63089C" w:rsidR="00ED4461" w:rsidRPr="00EF4970" w:rsidRDefault="00ED4461" w:rsidP="00DE0260">
                            <w:pPr>
                              <w:rPr>
                                <w:rFonts w:asciiTheme="minorHAnsi" w:hAnsiTheme="minorHAnsi" w:cstheme="minorHAnsi"/>
                                <w:color w:val="FFFFFF" w:themeColor="background1"/>
                                <w:sz w:val="56"/>
                                <w:szCs w:val="56"/>
                                <w:u w:val="none"/>
                              </w:rPr>
                            </w:pPr>
                            <w:r w:rsidRPr="00EF4970">
                              <w:rPr>
                                <w:rFonts w:asciiTheme="minorHAnsi" w:hAnsiTheme="minorHAnsi" w:cstheme="minorHAnsi"/>
                                <w:color w:val="FFFFFF" w:themeColor="background1"/>
                                <w:sz w:val="56"/>
                                <w:szCs w:val="56"/>
                                <w:u w:val="none"/>
                              </w:rPr>
                              <w:t>Nabilan: Ending Violence Against Women Program</w:t>
                            </w:r>
                          </w:p>
                          <w:p w14:paraId="2514B351" w14:textId="44A67919" w:rsidR="00ED4461" w:rsidRPr="00DE0260" w:rsidRDefault="00ED4461" w:rsidP="00DE0260">
                            <w:pPr>
                              <w:spacing w:before="240"/>
                              <w:rPr>
                                <w:rFonts w:asciiTheme="majorHAnsi" w:hAnsiTheme="majorHAnsi" w:cstheme="majorHAnsi"/>
                                <w:color w:val="FFFFFF" w:themeColor="background1"/>
                                <w:sz w:val="24"/>
                                <w:szCs w:val="24"/>
                                <w:u w:val="none"/>
                                <w14:shadow w14:blurRad="50800" w14:dist="38100" w14:dir="2700000" w14:sx="100000" w14:sy="100000" w14:kx="0" w14:ky="0" w14:algn="tl">
                                  <w14:srgbClr w14:val="000000">
                                    <w14:alpha w14:val="60000"/>
                                  </w14:srgbClr>
                                </w14:shadow>
                              </w:rPr>
                            </w:pPr>
                            <w:r w:rsidRPr="00DE0260">
                              <w:rPr>
                                <w:rFonts w:asciiTheme="majorHAnsi" w:hAnsiTheme="majorHAnsi" w:cstheme="majorHAnsi"/>
                                <w:color w:val="FFFFFF" w:themeColor="background1"/>
                                <w:sz w:val="24"/>
                                <w:szCs w:val="36"/>
                                <w:u w:val="none"/>
                                <w14:shadow w14:blurRad="50800" w14:dist="38100" w14:dir="2700000" w14:sx="100000" w14:sy="100000" w14:kx="0" w14:ky="0" w14:algn="tl">
                                  <w14:srgbClr w14:val="000000">
                                    <w14:alpha w14:val="60000"/>
                                  </w14:srgbClr>
                                </w14:shadow>
                              </w:rPr>
                              <w:t xml:space="preserve">Annual Report </w:t>
                            </w:r>
                            <w:r w:rsidR="00F6144E">
                              <w:rPr>
                                <w:rFonts w:asciiTheme="majorHAnsi" w:hAnsiTheme="majorHAnsi" w:cstheme="majorHAnsi"/>
                                <w:color w:val="FFFFFF" w:themeColor="background1"/>
                                <w:sz w:val="24"/>
                                <w:szCs w:val="36"/>
                                <w:u w:val="none"/>
                                <w14:shadow w14:blurRad="50800" w14:dist="38100" w14:dir="2700000" w14:sx="100000" w14:sy="100000" w14:kx="0" w14:ky="0" w14:algn="tl">
                                  <w14:srgbClr w14:val="000000">
                                    <w14:alpha w14:val="60000"/>
                                  </w14:srgbClr>
                                </w14:shadow>
                              </w:rPr>
                              <w:t>(Volume 1)</w:t>
                            </w:r>
                            <w:r>
                              <w:rPr>
                                <w:rFonts w:asciiTheme="majorHAnsi" w:hAnsiTheme="majorHAnsi" w:cstheme="majorHAnsi"/>
                                <w:color w:val="FFFFFF" w:themeColor="background1"/>
                                <w:sz w:val="24"/>
                                <w:szCs w:val="36"/>
                                <w:u w:val="none"/>
                                <w14:shadow w14:blurRad="50800" w14:dist="38100" w14:dir="2700000" w14:sx="100000" w14:sy="100000" w14:kx="0" w14:ky="0" w14:algn="tl">
                                  <w14:srgbClr w14:val="000000">
                                    <w14:alpha w14:val="60000"/>
                                  </w14:srgbClr>
                                </w14:shadow>
                              </w:rPr>
                              <w:br/>
                            </w:r>
                            <w:r w:rsidRPr="00DE0260">
                              <w:rPr>
                                <w:rFonts w:asciiTheme="majorHAnsi" w:hAnsiTheme="majorHAnsi" w:cstheme="majorHAnsi"/>
                                <w:color w:val="FFFFFF" w:themeColor="background1"/>
                                <w:sz w:val="24"/>
                                <w:szCs w:val="36"/>
                                <w:u w:val="none"/>
                                <w14:shadow w14:blurRad="50800" w14:dist="38100" w14:dir="2700000" w14:sx="100000" w14:sy="100000" w14:kx="0" w14:ky="0" w14:algn="tl">
                                  <w14:srgbClr w14:val="000000">
                                    <w14:alpha w14:val="60000"/>
                                  </w14:srgbClr>
                                </w14:shadow>
                              </w:rPr>
                              <w:t xml:space="preserve">1 January 2018—31 December </w:t>
                            </w:r>
                            <w:r w:rsidRPr="00DE0260">
                              <w:rPr>
                                <w:rFonts w:asciiTheme="majorHAnsi" w:hAnsiTheme="majorHAnsi" w:cstheme="majorHAnsi"/>
                                <w:color w:val="FFFFFF" w:themeColor="background1"/>
                                <w:sz w:val="24"/>
                                <w:szCs w:val="24"/>
                                <w:u w:val="none"/>
                                <w14:shadow w14:blurRad="50800" w14:dist="38100" w14:dir="2700000" w14:sx="100000" w14:sy="100000" w14:kx="0" w14:ky="0" w14:algn="tl">
                                  <w14:srgbClr w14:val="000000">
                                    <w14:alpha w14:val="60000"/>
                                  </w14:srgbClr>
                                </w14:shadow>
                              </w:rPr>
                              <w:t xml:space="preserve">2018 </w:t>
                            </w:r>
                          </w:p>
                          <w:p w14:paraId="72639D56" w14:textId="2391A286" w:rsidR="00ED4461" w:rsidRPr="00DE0260" w:rsidRDefault="00ED4461" w:rsidP="00DE0260">
                            <w:pPr>
                              <w:rPr>
                                <w:rFonts w:asciiTheme="majorHAnsi" w:hAnsiTheme="majorHAnsi" w:cstheme="majorHAnsi"/>
                                <w:color w:val="FFFFFF" w:themeColor="background1"/>
                                <w:sz w:val="24"/>
                                <w:szCs w:val="24"/>
                                <w:u w:val="none"/>
                                <w14:shadow w14:blurRad="50800" w14:dist="38100" w14:dir="2700000" w14:sx="100000" w14:sy="100000" w14:kx="0" w14:ky="0" w14:algn="tl">
                                  <w14:srgbClr w14:val="000000">
                                    <w14:alpha w14:val="60000"/>
                                  </w14:srgbClr>
                                </w14:shadow>
                              </w:rPr>
                            </w:pPr>
                            <w:r w:rsidRPr="00DE0260">
                              <w:rPr>
                                <w:rFonts w:asciiTheme="majorHAnsi" w:hAnsiTheme="majorHAnsi" w:cstheme="majorHAnsi"/>
                                <w:color w:val="FFFFFF" w:themeColor="background1"/>
                                <w:sz w:val="24"/>
                                <w:szCs w:val="24"/>
                                <w:u w:val="none"/>
                                <w14:shadow w14:blurRad="50800" w14:dist="38100" w14:dir="2700000" w14:sx="100000" w14:sy="100000" w14:kx="0" w14:ky="0" w14:algn="tl">
                                  <w14:srgbClr w14:val="000000">
                                    <w14:alpha w14:val="60000"/>
                                  </w14:srgbClr>
                                </w14:shadow>
                              </w:rPr>
                              <w:t>Supported by the Australian Government</w:t>
                            </w:r>
                          </w:p>
                          <w:p w14:paraId="7297D0DE" w14:textId="77777777" w:rsidR="00ED4461" w:rsidRPr="00DE0260" w:rsidRDefault="00ED4461" w:rsidP="00DE0260">
                            <w:pPr>
                              <w:rPr>
                                <w:rFonts w:asciiTheme="majorHAnsi" w:hAnsiTheme="majorHAnsi" w:cstheme="majorHAnsi"/>
                                <w:color w:val="FFFFFF" w:themeColor="background1"/>
                                <w:sz w:val="24"/>
                                <w:szCs w:val="24"/>
                                <w:u w:val="none"/>
                              </w:rPr>
                            </w:pPr>
                            <w:r w:rsidRPr="00DE0260">
                              <w:rPr>
                                <w:rFonts w:asciiTheme="majorHAnsi" w:hAnsiTheme="majorHAnsi" w:cstheme="majorHAnsi"/>
                                <w:color w:val="FFFFFF" w:themeColor="background1"/>
                                <w:sz w:val="24"/>
                                <w:szCs w:val="24"/>
                                <w:u w:val="none"/>
                              </w:rPr>
                              <w:t>Submitted February 2019</w:t>
                            </w:r>
                          </w:p>
                          <w:p w14:paraId="18060715" w14:textId="7C65F4B8" w:rsidR="00ED4461" w:rsidRPr="00DE0260" w:rsidRDefault="00ED4461" w:rsidP="00DE0260">
                            <w:pPr>
                              <w:rPr>
                                <w:color w:val="FFFFFF" w:themeColor="background1"/>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21B0B353" id="_x0000_t202" coordsize="21600,21600" o:spt="202" path="m,l,21600r21600,l21600,xe">
                <v:stroke joinstyle="miter"/>
                <v:path gradientshapeok="t" o:connecttype="rect"/>
              </v:shapetype>
              <v:shape id="Text Box 2" o:spid="_x0000_s1026" type="#_x0000_t202" style="position:absolute;left:0;text-align:left;margin-left:-44.35pt;margin-top:-51.3pt;width:315.1pt;height:201.95pt;z-index:251792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" filled="f" stroked="f">
                <v:textbox>
                  <w:txbxContent>
                    <w:p w14:paraId="6E6A35C5" w14:textId="3C63089C" w:rsidR="00ED4461" w:rsidRPr="00EF4970" w:rsidRDefault="00ED4461" w:rsidP="00DE0260">
                      <w:pPr>
                        <w:rPr>
                          <w:rFonts w:asciiTheme="minorHAnsi" w:hAnsiTheme="minorHAnsi" w:cstheme="minorHAnsi"/>
                          <w:color w:val="FFFFFF" w:themeColor="background1"/>
                          <w:sz w:val="56"/>
                          <w:szCs w:val="56"/>
                          <w:u w:val="none"/>
                        </w:rPr>
                      </w:pPr>
                      <w:r w:rsidRPr="00EF4970">
                        <w:rPr>
                          <w:rFonts w:asciiTheme="minorHAnsi" w:hAnsiTheme="minorHAnsi" w:cstheme="minorHAnsi"/>
                          <w:color w:val="FFFFFF" w:themeColor="background1"/>
                          <w:sz w:val="56"/>
                          <w:szCs w:val="56"/>
                          <w:u w:val="none"/>
                        </w:rPr>
                        <w:t>Nabilan: Ending Violence Against Women Program</w:t>
                      </w:r>
                    </w:p>
                    <w:p w14:paraId="2514B351" w14:textId="44A67919" w:rsidR="00ED4461" w:rsidRPr="00DE0260" w:rsidRDefault="00ED4461" w:rsidP="00DE0260">
                      <w:pPr>
                        <w:spacing w:before="240"/>
                        <w:rPr>
                          <w:rFonts w:asciiTheme="majorHAnsi" w:hAnsiTheme="majorHAnsi" w:cstheme="majorHAnsi"/>
                          <w:color w:val="FFFFFF" w:themeColor="background1"/>
                          <w:sz w:val="24"/>
                          <w:szCs w:val="24"/>
                          <w:u w:val="none"/>
                          <w14:shadow w14:blurRad="50800" w14:dist="38100" w14:dir="2700000" w14:sx="100000" w14:sy="100000" w14:kx="0" w14:ky="0" w14:algn="tl">
                            <w14:srgbClr w14:val="000000">
                              <w14:alpha w14:val="60000"/>
                            </w14:srgbClr>
                          </w14:shadow>
                        </w:rPr>
                      </w:pPr>
                      <w:r w:rsidRPr="00DE0260">
                        <w:rPr>
                          <w:rFonts w:asciiTheme="majorHAnsi" w:hAnsiTheme="majorHAnsi" w:cstheme="majorHAnsi"/>
                          <w:color w:val="FFFFFF" w:themeColor="background1"/>
                          <w:sz w:val="24"/>
                          <w:szCs w:val="36"/>
                          <w:u w:val="none"/>
                          <w14:shadow w14:blurRad="50800" w14:dist="38100" w14:dir="2700000" w14:sx="100000" w14:sy="100000" w14:kx="0" w14:ky="0" w14:algn="tl">
                            <w14:srgbClr w14:val="000000">
                              <w14:alpha w14:val="60000"/>
                            </w14:srgbClr>
                          </w14:shadow>
                        </w:rPr>
                        <w:t xml:space="preserve">Annual Report </w:t>
                      </w:r>
                      <w:r w:rsidR="00F6144E">
                        <w:rPr>
                          <w:rFonts w:asciiTheme="majorHAnsi" w:hAnsiTheme="majorHAnsi" w:cstheme="majorHAnsi"/>
                          <w:color w:val="FFFFFF" w:themeColor="background1"/>
                          <w:sz w:val="24"/>
                          <w:szCs w:val="36"/>
                          <w:u w:val="none"/>
                          <w14:shadow w14:blurRad="50800" w14:dist="38100" w14:dir="2700000" w14:sx="100000" w14:sy="100000" w14:kx="0" w14:ky="0" w14:algn="tl">
                            <w14:srgbClr w14:val="000000">
                              <w14:alpha w14:val="60000"/>
                            </w14:srgbClr>
                          </w14:shadow>
                        </w:rPr>
                        <w:t>(Volume 1)</w:t>
                      </w:r>
                      <w:r>
                        <w:rPr>
                          <w:rFonts w:asciiTheme="majorHAnsi" w:hAnsiTheme="majorHAnsi" w:cstheme="majorHAnsi"/>
                          <w:color w:val="FFFFFF" w:themeColor="background1"/>
                          <w:sz w:val="24"/>
                          <w:szCs w:val="36"/>
                          <w:u w:val="none"/>
                          <w14:shadow w14:blurRad="50800" w14:dist="38100" w14:dir="2700000" w14:sx="100000" w14:sy="100000" w14:kx="0" w14:ky="0" w14:algn="tl">
                            <w14:srgbClr w14:val="000000">
                              <w14:alpha w14:val="60000"/>
                            </w14:srgbClr>
                          </w14:shadow>
                        </w:rPr>
                        <w:br/>
                      </w:r>
                      <w:r w:rsidRPr="00DE0260">
                        <w:rPr>
                          <w:rFonts w:asciiTheme="majorHAnsi" w:hAnsiTheme="majorHAnsi" w:cstheme="majorHAnsi"/>
                          <w:color w:val="FFFFFF" w:themeColor="background1"/>
                          <w:sz w:val="24"/>
                          <w:szCs w:val="36"/>
                          <w:u w:val="none"/>
                          <w14:shadow w14:blurRad="50800" w14:dist="38100" w14:dir="2700000" w14:sx="100000" w14:sy="100000" w14:kx="0" w14:ky="0" w14:algn="tl">
                            <w14:srgbClr w14:val="000000">
                              <w14:alpha w14:val="60000"/>
                            </w14:srgbClr>
                          </w14:shadow>
                        </w:rPr>
                        <w:t xml:space="preserve">1 January 2018—31 December </w:t>
                      </w:r>
                      <w:r w:rsidRPr="00DE0260">
                        <w:rPr>
                          <w:rFonts w:asciiTheme="majorHAnsi" w:hAnsiTheme="majorHAnsi" w:cstheme="majorHAnsi"/>
                          <w:color w:val="FFFFFF" w:themeColor="background1"/>
                          <w:sz w:val="24"/>
                          <w:szCs w:val="24"/>
                          <w:u w:val="none"/>
                          <w14:shadow w14:blurRad="50800" w14:dist="38100" w14:dir="2700000" w14:sx="100000" w14:sy="100000" w14:kx="0" w14:ky="0" w14:algn="tl">
                            <w14:srgbClr w14:val="000000">
                              <w14:alpha w14:val="60000"/>
                            </w14:srgbClr>
                          </w14:shadow>
                        </w:rPr>
                        <w:t xml:space="preserve">2018 </w:t>
                      </w:r>
                    </w:p>
                    <w:p w14:paraId="72639D56" w14:textId="2391A286" w:rsidR="00ED4461" w:rsidRPr="00DE0260" w:rsidRDefault="00ED4461" w:rsidP="00DE0260">
                      <w:pPr>
                        <w:rPr>
                          <w:rFonts w:asciiTheme="majorHAnsi" w:hAnsiTheme="majorHAnsi" w:cstheme="majorHAnsi"/>
                          <w:color w:val="FFFFFF" w:themeColor="background1"/>
                          <w:sz w:val="24"/>
                          <w:szCs w:val="24"/>
                          <w:u w:val="none"/>
                          <w14:shadow w14:blurRad="50800" w14:dist="38100" w14:dir="2700000" w14:sx="100000" w14:sy="100000" w14:kx="0" w14:ky="0" w14:algn="tl">
                            <w14:srgbClr w14:val="000000">
                              <w14:alpha w14:val="60000"/>
                            </w14:srgbClr>
                          </w14:shadow>
                        </w:rPr>
                      </w:pPr>
                      <w:r w:rsidRPr="00DE0260">
                        <w:rPr>
                          <w:rFonts w:asciiTheme="majorHAnsi" w:hAnsiTheme="majorHAnsi" w:cstheme="majorHAnsi"/>
                          <w:color w:val="FFFFFF" w:themeColor="background1"/>
                          <w:sz w:val="24"/>
                          <w:szCs w:val="24"/>
                          <w:u w:val="none"/>
                          <w14:shadow w14:blurRad="50800" w14:dist="38100" w14:dir="2700000" w14:sx="100000" w14:sy="100000" w14:kx="0" w14:ky="0" w14:algn="tl">
                            <w14:srgbClr w14:val="000000">
                              <w14:alpha w14:val="60000"/>
                            </w14:srgbClr>
                          </w14:shadow>
                        </w:rPr>
                        <w:t>Supported by the Australian Government</w:t>
                      </w:r>
                    </w:p>
                    <w:p w14:paraId="7297D0DE" w14:textId="77777777" w:rsidR="00ED4461" w:rsidRPr="00DE0260" w:rsidRDefault="00ED4461" w:rsidP="00DE0260">
                      <w:pPr>
                        <w:rPr>
                          <w:rFonts w:asciiTheme="majorHAnsi" w:hAnsiTheme="majorHAnsi" w:cstheme="majorHAnsi"/>
                          <w:color w:val="FFFFFF" w:themeColor="background1"/>
                          <w:sz w:val="24"/>
                          <w:szCs w:val="24"/>
                          <w:u w:val="none"/>
                        </w:rPr>
                      </w:pPr>
                      <w:r w:rsidRPr="00DE0260">
                        <w:rPr>
                          <w:rFonts w:asciiTheme="majorHAnsi" w:hAnsiTheme="majorHAnsi" w:cstheme="majorHAnsi"/>
                          <w:color w:val="FFFFFF" w:themeColor="background1"/>
                          <w:sz w:val="24"/>
                          <w:szCs w:val="24"/>
                          <w:u w:val="none"/>
                        </w:rPr>
                        <w:t>Submitted February 2019</w:t>
                      </w:r>
                    </w:p>
                    <w:p w14:paraId="18060715" w14:textId="7C65F4B8" w:rsidR="00ED4461" w:rsidRPr="00DE0260" w:rsidRDefault="00ED4461" w:rsidP="00DE0260">
                      <w:pPr>
                        <w:rPr>
                          <w:color w:val="FFFFFF" w:themeColor="background1"/>
                          <w:sz w:val="24"/>
                          <w:szCs w:val="24"/>
                        </w:rPr>
                      </w:pPr>
                    </w:p>
                  </w:txbxContent>
                </v:textbox>
              </v:shape>
            </w:pict>
          </mc:Fallback>
        </mc:AlternateContent>
      </w:r>
    </w:p>
    <w:p w14:paraId="3DEB846C" w14:textId="64D113C0" w:rsidR="008D743C" w:rsidRPr="00BF4F0F" w:rsidRDefault="008D743C" w:rsidP="00447313">
      <w:pPr>
        <w:spacing w:line="288" w:lineRule="auto"/>
        <w:jc w:val="both"/>
        <w:outlineLvl w:val="0"/>
        <w:rPr>
          <w:rFonts w:asciiTheme="minorHAnsi" w:hAnsiTheme="minorHAnsi" w:cstheme="minorHAnsi"/>
          <w:color w:val="A94457"/>
          <w:sz w:val="56"/>
          <w:szCs w:val="56"/>
        </w:rPr>
      </w:pPr>
    </w:p>
    <w:p w14:paraId="4CE1A8BD" w14:textId="51E2F8EC" w:rsidR="008D743C" w:rsidRPr="00BF4F0F" w:rsidRDefault="008D743C" w:rsidP="00447313">
      <w:pPr>
        <w:spacing w:after="0" w:line="288" w:lineRule="auto"/>
        <w:jc w:val="both"/>
        <w:outlineLvl w:val="0"/>
        <w:rPr>
          <w:rFonts w:asciiTheme="minorHAnsi" w:hAnsiTheme="minorHAnsi" w:cstheme="minorHAnsi"/>
          <w:color w:val="404040"/>
          <w:sz w:val="36"/>
          <w:szCs w:val="36"/>
        </w:rPr>
      </w:pPr>
    </w:p>
    <w:p w14:paraId="08133B79" w14:textId="6DC1C79E" w:rsidR="008D743C" w:rsidRPr="00BF4F0F" w:rsidRDefault="008D743C" w:rsidP="00447313">
      <w:pPr>
        <w:spacing w:after="0" w:line="288" w:lineRule="auto"/>
        <w:jc w:val="both"/>
        <w:outlineLvl w:val="0"/>
        <w:rPr>
          <w:rFonts w:asciiTheme="minorHAnsi" w:hAnsiTheme="minorHAnsi" w:cstheme="minorHAnsi"/>
          <w:color w:val="404040"/>
          <w:sz w:val="36"/>
          <w:szCs w:val="36"/>
        </w:rPr>
      </w:pPr>
    </w:p>
    <w:p w14:paraId="64DD3825" w14:textId="18BF2DDD" w:rsidR="008D743C" w:rsidRPr="00BF4F0F" w:rsidRDefault="008D743C" w:rsidP="00447313">
      <w:pPr>
        <w:spacing w:after="0" w:line="288" w:lineRule="auto"/>
        <w:jc w:val="both"/>
        <w:outlineLvl w:val="0"/>
        <w:rPr>
          <w:rFonts w:asciiTheme="minorHAnsi" w:hAnsiTheme="minorHAnsi" w:cstheme="minorHAnsi"/>
          <w:color w:val="404040"/>
          <w:sz w:val="36"/>
          <w:szCs w:val="36"/>
        </w:rPr>
      </w:pPr>
    </w:p>
    <w:p w14:paraId="15BFBD35" w14:textId="378B42D1" w:rsidR="008D743C" w:rsidRPr="00BF4F0F" w:rsidRDefault="008D743C" w:rsidP="00447313">
      <w:pPr>
        <w:spacing w:after="0" w:line="288" w:lineRule="auto"/>
        <w:jc w:val="both"/>
        <w:outlineLvl w:val="0"/>
        <w:rPr>
          <w:rFonts w:asciiTheme="minorHAnsi" w:hAnsiTheme="minorHAnsi" w:cstheme="minorHAnsi"/>
          <w:color w:val="404040"/>
          <w:sz w:val="36"/>
          <w:szCs w:val="36"/>
        </w:rPr>
      </w:pPr>
    </w:p>
    <w:p w14:paraId="77CA64F4" w14:textId="4B204AFD" w:rsidR="008D743C" w:rsidRPr="00BF4F0F" w:rsidRDefault="008D743C" w:rsidP="00447313">
      <w:pPr>
        <w:spacing w:after="0" w:line="288" w:lineRule="auto"/>
        <w:jc w:val="both"/>
        <w:outlineLvl w:val="0"/>
        <w:rPr>
          <w:rFonts w:asciiTheme="minorHAnsi" w:hAnsiTheme="minorHAnsi" w:cstheme="minorHAnsi"/>
          <w:color w:val="404040"/>
          <w:sz w:val="36"/>
          <w:szCs w:val="3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9"/>
        <w:gridCol w:w="3209"/>
        <w:gridCol w:w="3210"/>
      </w:tblGrid>
      <w:tr w:rsidR="008D743C" w:rsidRPr="00BF4F0F" w14:paraId="7568CDE7" w14:textId="77777777" w:rsidTr="008D743C">
        <w:tc>
          <w:tcPr>
            <w:tcW w:w="3209" w:type="dxa"/>
          </w:tcPr>
          <w:p w14:paraId="2A8FE884" w14:textId="6980BA48" w:rsidR="008D743C" w:rsidRPr="00BF4F0F" w:rsidRDefault="008D743C" w:rsidP="00447313">
            <w:pPr>
              <w:spacing w:after="0" w:line="288" w:lineRule="auto"/>
              <w:jc w:val="both"/>
              <w:outlineLvl w:val="0"/>
              <w:rPr>
                <w:rFonts w:asciiTheme="minorHAnsi" w:hAnsiTheme="minorHAnsi" w:cstheme="minorHAnsi"/>
                <w:color w:val="404040"/>
                <w:sz w:val="36"/>
                <w:szCs w:val="36"/>
              </w:rPr>
            </w:pPr>
          </w:p>
        </w:tc>
        <w:tc>
          <w:tcPr>
            <w:tcW w:w="3209" w:type="dxa"/>
          </w:tcPr>
          <w:p w14:paraId="6DD7DDCD" w14:textId="4113B138" w:rsidR="008D743C" w:rsidRPr="00BF4F0F" w:rsidRDefault="008D743C" w:rsidP="00447313">
            <w:pPr>
              <w:spacing w:after="0" w:line="288" w:lineRule="auto"/>
              <w:jc w:val="both"/>
              <w:outlineLvl w:val="0"/>
              <w:rPr>
                <w:rFonts w:asciiTheme="minorHAnsi" w:hAnsiTheme="minorHAnsi" w:cstheme="minorHAnsi"/>
                <w:color w:val="404040"/>
                <w:sz w:val="36"/>
                <w:szCs w:val="36"/>
              </w:rPr>
            </w:pPr>
          </w:p>
        </w:tc>
        <w:tc>
          <w:tcPr>
            <w:tcW w:w="3210" w:type="dxa"/>
          </w:tcPr>
          <w:p w14:paraId="0D64F71D" w14:textId="608C0CFD" w:rsidR="008D743C" w:rsidRPr="00BF4F0F" w:rsidRDefault="008D743C" w:rsidP="00447313">
            <w:pPr>
              <w:spacing w:after="0" w:line="288" w:lineRule="auto"/>
              <w:jc w:val="both"/>
              <w:outlineLvl w:val="0"/>
              <w:rPr>
                <w:rFonts w:asciiTheme="minorHAnsi" w:hAnsiTheme="minorHAnsi" w:cstheme="minorHAnsi"/>
                <w:color w:val="404040"/>
                <w:sz w:val="36"/>
                <w:szCs w:val="36"/>
              </w:rPr>
            </w:pPr>
          </w:p>
        </w:tc>
      </w:tr>
    </w:tbl>
    <w:p w14:paraId="50B003DD" w14:textId="0BE763CA" w:rsidR="000008B5" w:rsidRPr="00BF4F0F" w:rsidRDefault="000008B5" w:rsidP="00447313">
      <w:pPr>
        <w:spacing w:line="288" w:lineRule="auto"/>
        <w:jc w:val="both"/>
        <w:rPr>
          <w:rFonts w:asciiTheme="minorHAnsi" w:hAnsiTheme="minorHAnsi" w:cstheme="minorHAnsi"/>
          <w:color w:val="404040"/>
          <w:sz w:val="28"/>
          <w:szCs w:val="28"/>
        </w:rPr>
      </w:pPr>
    </w:p>
    <w:p w14:paraId="57E11864" w14:textId="72BABC9A" w:rsidR="000008B5" w:rsidRPr="00BF4F0F" w:rsidRDefault="000008B5" w:rsidP="00447313">
      <w:pPr>
        <w:spacing w:line="288" w:lineRule="auto"/>
        <w:jc w:val="both"/>
        <w:rPr>
          <w:rFonts w:asciiTheme="minorHAnsi" w:hAnsiTheme="minorHAnsi" w:cstheme="minorHAnsi"/>
        </w:rPr>
      </w:pPr>
    </w:p>
    <w:p w14:paraId="71718B04" w14:textId="37AEA79C" w:rsidR="000008B5" w:rsidRPr="00BF4F0F" w:rsidRDefault="000008B5" w:rsidP="00447313">
      <w:pPr>
        <w:spacing w:line="288" w:lineRule="auto"/>
        <w:jc w:val="both"/>
        <w:rPr>
          <w:rFonts w:asciiTheme="minorHAnsi" w:hAnsiTheme="minorHAnsi" w:cstheme="minorHAnsi"/>
        </w:rPr>
      </w:pPr>
    </w:p>
    <w:p w14:paraId="2BEF1EBA" w14:textId="77777777" w:rsidR="000008B5" w:rsidRPr="00BF4F0F" w:rsidRDefault="000008B5" w:rsidP="00447313">
      <w:pPr>
        <w:pStyle w:val="Heading1"/>
        <w:sectPr w:rsidR="000008B5" w:rsidRPr="00BF4F0F" w:rsidSect="004447C8">
          <w:headerReference w:type="even" r:id="rId12"/>
          <w:headerReference w:type="default" r:id="rId13"/>
          <w:footerReference w:type="even" r:id="rId14"/>
          <w:footerReference w:type="default" r:id="rId15"/>
          <w:headerReference w:type="first" r:id="rId16"/>
          <w:footerReference w:type="first" r:id="rId17"/>
          <w:endnotePr>
            <w:numFmt w:val="decimal"/>
          </w:endnotePr>
          <w:pgSz w:w="11906" w:h="16838" w:code="9"/>
          <w:pgMar w:top="1276" w:right="1134" w:bottom="1134" w:left="1134" w:header="709" w:footer="624" w:gutter="0"/>
          <w:pgNumType w:fmt="lowerRoman" w:start="1"/>
          <w:cols w:space="567"/>
          <w:docGrid w:linePitch="360"/>
        </w:sectPr>
      </w:pPr>
      <w:bookmarkStart w:id="1" w:name="_Toc531966528"/>
    </w:p>
    <w:p w14:paraId="0FE0B45D" w14:textId="46D81886" w:rsidR="002F5B33" w:rsidRDefault="00C66C0A" w:rsidP="00AC4CAC">
      <w:pPr>
        <w:pStyle w:val="Heading1"/>
        <w:ind w:left="0"/>
        <w:sectPr w:rsidR="002F5B33" w:rsidSect="00151A1F">
          <w:footerReference w:type="default" r:id="rId18"/>
          <w:endnotePr>
            <w:numFmt w:val="decimal"/>
          </w:endnotePr>
          <w:type w:val="continuous"/>
          <w:pgSz w:w="11906" w:h="16838" w:code="9"/>
          <w:pgMar w:top="1276" w:right="1134" w:bottom="1134" w:left="1134" w:header="709" w:footer="624" w:gutter="0"/>
          <w:pgNumType w:fmt="lowerRoman" w:start="1"/>
          <w:cols w:space="567"/>
          <w:docGrid w:linePitch="360"/>
        </w:sectPr>
      </w:pPr>
      <w:bookmarkStart w:id="2" w:name="_Toc1902703"/>
      <w:bookmarkStart w:id="3" w:name="_Toc425336"/>
      <w:bookmarkStart w:id="4" w:name="_Toc437958"/>
      <w:bookmarkStart w:id="5" w:name="_Toc1994619"/>
      <w:bookmarkStart w:id="6" w:name="_Toc1999840"/>
      <w:bookmarkStart w:id="7" w:name="_Toc2019637"/>
      <w:r>
        <w:rPr>
          <w:b w:val="0"/>
          <w:noProof/>
          <w:color w:val="auto"/>
        </w:rPr>
        <w:drawing>
          <wp:anchor distT="0" distB="0" distL="114300" distR="114300" simplePos="0" relativeHeight="251797504" behindDoc="0" locked="0" layoutInCell="1" allowOverlap="1" wp14:anchorId="3E96CFE3" wp14:editId="458E4BD3">
            <wp:simplePos x="0" y="0"/>
            <wp:positionH relativeFrom="column">
              <wp:posOffset>-565150</wp:posOffset>
            </wp:positionH>
            <wp:positionV relativeFrom="paragraph">
              <wp:posOffset>5041149</wp:posOffset>
            </wp:positionV>
            <wp:extent cx="2244437" cy="1119273"/>
            <wp:effectExtent l="0" t="0" r="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44437" cy="111927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B9574E" w14:textId="184358DE" w:rsidR="00E27F7C" w:rsidRPr="00BF4F0F" w:rsidRDefault="00830661" w:rsidP="00AC4CAC">
      <w:pPr>
        <w:pStyle w:val="Heading1"/>
        <w:ind w:left="0"/>
      </w:pPr>
      <w:r w:rsidRPr="00255424">
        <w:lastRenderedPageBreak/>
        <w:t>Abbreviations and Acronym</w:t>
      </w:r>
      <w:r w:rsidR="00D52DF6" w:rsidRPr="00255424">
        <w:t>s</w:t>
      </w:r>
      <w:bookmarkEnd w:id="1"/>
      <w:bookmarkEnd w:id="2"/>
      <w:bookmarkEnd w:id="3"/>
      <w:bookmarkEnd w:id="4"/>
      <w:bookmarkEnd w:id="5"/>
      <w:bookmarkEnd w:id="6"/>
      <w:bookmarkEnd w:id="7"/>
    </w:p>
    <w:tbl>
      <w:tblPr>
        <w:tblW w:w="9981" w:type="dxa"/>
        <w:tblBorders>
          <w:insideH w:val="single" w:sz="4" w:space="0" w:color="2D2D42"/>
        </w:tblBorders>
        <w:tblLook w:val="04A0" w:firstRow="1" w:lastRow="0" w:firstColumn="1" w:lastColumn="0" w:noHBand="0" w:noVBand="1"/>
      </w:tblPr>
      <w:tblGrid>
        <w:gridCol w:w="1195"/>
        <w:gridCol w:w="8786"/>
      </w:tblGrid>
      <w:tr w:rsidR="000008B5" w:rsidRPr="00A743FF" w14:paraId="4954270E" w14:textId="77777777" w:rsidTr="002D696B">
        <w:trPr>
          <w:trHeight w:val="295"/>
        </w:trPr>
        <w:tc>
          <w:tcPr>
            <w:tcW w:w="1195" w:type="dxa"/>
            <w:tcBorders>
              <w:top w:val="single" w:sz="4" w:space="0" w:color="auto"/>
              <w:bottom w:val="single" w:sz="4" w:space="0" w:color="2D2D42"/>
            </w:tcBorders>
            <w:shd w:val="clear" w:color="auto" w:fill="auto"/>
            <w:noWrap/>
            <w:vAlign w:val="center"/>
          </w:tcPr>
          <w:p w14:paraId="73572CD1" w14:textId="77777777" w:rsidR="000008B5" w:rsidRPr="00705BD3" w:rsidRDefault="000008B5" w:rsidP="00AC4CAC">
            <w:pPr>
              <w:spacing w:before="60" w:after="0"/>
              <w:jc w:val="both"/>
              <w:rPr>
                <w:rFonts w:asciiTheme="minorHAnsi" w:hAnsiTheme="minorHAnsi" w:cstheme="minorHAnsi"/>
                <w:color w:val="822B6A"/>
                <w:sz w:val="20"/>
                <w:szCs w:val="20"/>
                <w:u w:val="none"/>
              </w:rPr>
            </w:pPr>
            <w:r w:rsidRPr="00705BD3">
              <w:rPr>
                <w:rFonts w:asciiTheme="minorHAnsi" w:hAnsiTheme="minorHAnsi" w:cstheme="minorHAnsi"/>
                <w:color w:val="822B6A"/>
                <w:sz w:val="20"/>
                <w:szCs w:val="20"/>
                <w:u w:val="none"/>
              </w:rPr>
              <w:t>ADTL</w:t>
            </w:r>
          </w:p>
        </w:tc>
        <w:tc>
          <w:tcPr>
            <w:tcW w:w="8786" w:type="dxa"/>
            <w:tcBorders>
              <w:top w:val="single" w:sz="4" w:space="0" w:color="auto"/>
              <w:bottom w:val="single" w:sz="4" w:space="0" w:color="2D2D42"/>
            </w:tcBorders>
            <w:shd w:val="clear" w:color="auto" w:fill="auto"/>
            <w:noWrap/>
            <w:vAlign w:val="center"/>
          </w:tcPr>
          <w:p w14:paraId="725F33D3" w14:textId="77777777" w:rsidR="000008B5" w:rsidRPr="00705BD3" w:rsidRDefault="000008B5" w:rsidP="00AC4CAC">
            <w:pPr>
              <w:spacing w:before="60" w:after="0"/>
              <w:jc w:val="both"/>
              <w:rPr>
                <w:rFonts w:asciiTheme="minorHAnsi" w:hAnsiTheme="minorHAnsi" w:cstheme="minorHAnsi"/>
                <w:b w:val="0"/>
                <w:color w:val="000000" w:themeColor="text1"/>
                <w:sz w:val="20"/>
                <w:szCs w:val="20"/>
                <w:u w:val="none"/>
              </w:rPr>
            </w:pPr>
            <w:r w:rsidRPr="00705BD3">
              <w:rPr>
                <w:rFonts w:asciiTheme="minorHAnsi" w:hAnsiTheme="minorHAnsi" w:cstheme="minorHAnsi"/>
                <w:b w:val="0"/>
                <w:iCs/>
                <w:color w:val="000000" w:themeColor="text1"/>
                <w:sz w:val="20"/>
                <w:szCs w:val="20"/>
                <w:u w:val="none"/>
              </w:rPr>
              <w:t>Asosiasaun Defisiente Timor-Leste (Disability Association of Timor-Leste)</w:t>
            </w:r>
          </w:p>
        </w:tc>
      </w:tr>
      <w:tr w:rsidR="000008B5" w:rsidRPr="00A743FF" w14:paraId="1CF17E04" w14:textId="77777777" w:rsidTr="002D696B">
        <w:trPr>
          <w:trHeight w:val="295"/>
        </w:trPr>
        <w:tc>
          <w:tcPr>
            <w:tcW w:w="1195" w:type="dxa"/>
            <w:tcBorders>
              <w:top w:val="single" w:sz="4" w:space="0" w:color="2D2D42"/>
            </w:tcBorders>
            <w:shd w:val="clear" w:color="auto" w:fill="auto"/>
            <w:noWrap/>
          </w:tcPr>
          <w:p w14:paraId="3C6B123D" w14:textId="77777777" w:rsidR="000008B5" w:rsidRPr="00705BD3" w:rsidRDefault="000008B5" w:rsidP="00AC4CAC">
            <w:pPr>
              <w:spacing w:before="60" w:after="0"/>
              <w:jc w:val="both"/>
              <w:rPr>
                <w:rFonts w:asciiTheme="minorHAnsi" w:hAnsiTheme="minorHAnsi" w:cstheme="minorHAnsi"/>
                <w:color w:val="822B6A"/>
                <w:sz w:val="20"/>
                <w:szCs w:val="20"/>
                <w:u w:val="none"/>
              </w:rPr>
            </w:pPr>
            <w:r w:rsidRPr="00705BD3">
              <w:rPr>
                <w:rFonts w:asciiTheme="minorHAnsi" w:hAnsiTheme="minorHAnsi" w:cstheme="minorHAnsi"/>
                <w:color w:val="822B6A"/>
                <w:sz w:val="20"/>
                <w:szCs w:val="20"/>
                <w:u w:val="none"/>
              </w:rPr>
              <w:t xml:space="preserve">ALFeLa </w:t>
            </w:r>
          </w:p>
        </w:tc>
        <w:tc>
          <w:tcPr>
            <w:tcW w:w="8786" w:type="dxa"/>
            <w:tcBorders>
              <w:top w:val="single" w:sz="4" w:space="0" w:color="2D2D42"/>
            </w:tcBorders>
            <w:shd w:val="clear" w:color="auto" w:fill="auto"/>
            <w:noWrap/>
          </w:tcPr>
          <w:p w14:paraId="72A772F1" w14:textId="77777777" w:rsidR="000008B5" w:rsidRPr="00705BD3" w:rsidRDefault="00C87E88" w:rsidP="00AC4CAC">
            <w:pPr>
              <w:spacing w:before="60" w:after="0"/>
              <w:jc w:val="both"/>
              <w:rPr>
                <w:rFonts w:asciiTheme="minorHAnsi" w:hAnsiTheme="minorHAnsi" w:cstheme="minorHAnsi"/>
                <w:b w:val="0"/>
                <w:color w:val="000000" w:themeColor="text1"/>
                <w:sz w:val="20"/>
                <w:szCs w:val="20"/>
                <w:u w:val="none"/>
              </w:rPr>
            </w:pPr>
            <w:r w:rsidRPr="00705BD3">
              <w:rPr>
                <w:rFonts w:asciiTheme="minorHAnsi" w:hAnsiTheme="minorHAnsi" w:cstheme="minorHAnsi"/>
                <w:b w:val="0"/>
                <w:iCs/>
                <w:color w:val="000000" w:themeColor="text1"/>
                <w:sz w:val="20"/>
                <w:szCs w:val="20"/>
                <w:u w:val="none"/>
              </w:rPr>
              <w:t xml:space="preserve">Asisténsia Legál ba Feto no Labarik </w:t>
            </w:r>
            <w:r w:rsidRPr="00705BD3">
              <w:rPr>
                <w:rFonts w:asciiTheme="minorHAnsi" w:hAnsiTheme="minorHAnsi" w:cstheme="minorHAnsi"/>
                <w:b w:val="0"/>
                <w:color w:val="000000" w:themeColor="text1"/>
                <w:sz w:val="20"/>
                <w:szCs w:val="20"/>
                <w:u w:val="none"/>
              </w:rPr>
              <w:t>(Women and Children’s Legal Aid)</w:t>
            </w:r>
          </w:p>
        </w:tc>
      </w:tr>
      <w:tr w:rsidR="00456101" w:rsidRPr="00A743FF" w14:paraId="64FAF2D4" w14:textId="77777777" w:rsidTr="0021134C">
        <w:trPr>
          <w:trHeight w:val="295"/>
        </w:trPr>
        <w:tc>
          <w:tcPr>
            <w:tcW w:w="1195" w:type="dxa"/>
            <w:shd w:val="clear" w:color="auto" w:fill="auto"/>
            <w:noWrap/>
          </w:tcPr>
          <w:p w14:paraId="07BEEB09" w14:textId="786BA3F6" w:rsidR="00456101" w:rsidRPr="00705BD3" w:rsidRDefault="00456101" w:rsidP="00AC4CAC">
            <w:pPr>
              <w:spacing w:before="60" w:after="0"/>
              <w:jc w:val="both"/>
              <w:rPr>
                <w:rFonts w:asciiTheme="minorHAnsi" w:hAnsiTheme="minorHAnsi" w:cstheme="minorHAnsi"/>
                <w:color w:val="822B6A"/>
                <w:sz w:val="20"/>
                <w:szCs w:val="20"/>
                <w:u w:val="none"/>
              </w:rPr>
            </w:pPr>
            <w:r w:rsidRPr="00705BD3">
              <w:rPr>
                <w:rFonts w:asciiTheme="minorHAnsi" w:hAnsiTheme="minorHAnsi" w:cstheme="minorHAnsi"/>
                <w:color w:val="822B6A"/>
                <w:sz w:val="20"/>
                <w:szCs w:val="20"/>
                <w:u w:val="none"/>
              </w:rPr>
              <w:t>CAN</w:t>
            </w:r>
          </w:p>
        </w:tc>
        <w:tc>
          <w:tcPr>
            <w:tcW w:w="8786" w:type="dxa"/>
            <w:shd w:val="clear" w:color="auto" w:fill="auto"/>
            <w:noWrap/>
          </w:tcPr>
          <w:p w14:paraId="424B7CAE" w14:textId="09FE6046" w:rsidR="00456101" w:rsidRPr="00705BD3" w:rsidRDefault="00456101" w:rsidP="00AC4CAC">
            <w:pPr>
              <w:spacing w:before="60" w:after="0"/>
              <w:jc w:val="both"/>
              <w:rPr>
                <w:rFonts w:asciiTheme="minorHAnsi" w:hAnsiTheme="minorHAnsi" w:cstheme="minorHAnsi"/>
                <w:b w:val="0"/>
                <w:color w:val="000000" w:themeColor="text1"/>
                <w:sz w:val="20"/>
                <w:szCs w:val="20"/>
                <w:u w:val="none"/>
              </w:rPr>
            </w:pPr>
            <w:r w:rsidRPr="00705BD3">
              <w:rPr>
                <w:rFonts w:asciiTheme="minorHAnsi" w:hAnsiTheme="minorHAnsi" w:cstheme="minorHAnsi"/>
                <w:b w:val="0"/>
                <w:color w:val="000000" w:themeColor="text1"/>
                <w:sz w:val="20"/>
                <w:szCs w:val="20"/>
                <w:u w:val="none"/>
              </w:rPr>
              <w:t>Change Ambassador</w:t>
            </w:r>
            <w:r w:rsidR="00D52DF6">
              <w:rPr>
                <w:rFonts w:asciiTheme="minorHAnsi" w:hAnsiTheme="minorHAnsi" w:cstheme="minorHAnsi"/>
                <w:b w:val="0"/>
                <w:color w:val="000000" w:themeColor="text1"/>
                <w:sz w:val="20"/>
                <w:szCs w:val="20"/>
                <w:u w:val="none"/>
              </w:rPr>
              <w:t>s’</w:t>
            </w:r>
            <w:r w:rsidRPr="00705BD3">
              <w:rPr>
                <w:rFonts w:asciiTheme="minorHAnsi" w:hAnsiTheme="minorHAnsi" w:cstheme="minorHAnsi"/>
                <w:b w:val="0"/>
                <w:color w:val="000000" w:themeColor="text1"/>
                <w:sz w:val="20"/>
                <w:szCs w:val="20"/>
                <w:u w:val="none"/>
              </w:rPr>
              <w:t xml:space="preserve"> Network</w:t>
            </w:r>
          </w:p>
        </w:tc>
      </w:tr>
      <w:tr w:rsidR="000008B5" w:rsidRPr="00A743FF" w14:paraId="4A8C59E6" w14:textId="77777777" w:rsidTr="0021134C">
        <w:trPr>
          <w:trHeight w:val="295"/>
        </w:trPr>
        <w:tc>
          <w:tcPr>
            <w:tcW w:w="1195" w:type="dxa"/>
            <w:shd w:val="clear" w:color="auto" w:fill="auto"/>
            <w:noWrap/>
          </w:tcPr>
          <w:p w14:paraId="777C19AB" w14:textId="77777777" w:rsidR="000008B5" w:rsidRPr="00705BD3" w:rsidRDefault="000008B5" w:rsidP="00AC4CAC">
            <w:pPr>
              <w:spacing w:before="60" w:after="0"/>
              <w:jc w:val="both"/>
              <w:rPr>
                <w:rFonts w:asciiTheme="minorHAnsi" w:hAnsiTheme="minorHAnsi" w:cstheme="minorHAnsi"/>
                <w:color w:val="822B6A"/>
                <w:sz w:val="20"/>
                <w:szCs w:val="20"/>
                <w:u w:val="none"/>
              </w:rPr>
            </w:pPr>
            <w:r w:rsidRPr="00705BD3">
              <w:rPr>
                <w:rFonts w:asciiTheme="minorHAnsi" w:hAnsiTheme="minorHAnsi" w:cstheme="minorHAnsi"/>
                <w:color w:val="822B6A"/>
                <w:sz w:val="20"/>
                <w:szCs w:val="20"/>
                <w:u w:val="none"/>
              </w:rPr>
              <w:t xml:space="preserve">CBA </w:t>
            </w:r>
          </w:p>
        </w:tc>
        <w:tc>
          <w:tcPr>
            <w:tcW w:w="8786" w:type="dxa"/>
            <w:shd w:val="clear" w:color="auto" w:fill="auto"/>
            <w:noWrap/>
          </w:tcPr>
          <w:p w14:paraId="6EF1BA7E" w14:textId="77777777" w:rsidR="000008B5" w:rsidRPr="00705BD3" w:rsidRDefault="009202ED" w:rsidP="00AC4CAC">
            <w:pPr>
              <w:spacing w:before="60" w:after="0"/>
              <w:jc w:val="both"/>
              <w:rPr>
                <w:rFonts w:asciiTheme="minorHAnsi" w:hAnsiTheme="minorHAnsi" w:cstheme="minorHAnsi"/>
                <w:b w:val="0"/>
                <w:color w:val="000000" w:themeColor="text1"/>
                <w:sz w:val="20"/>
                <w:szCs w:val="20"/>
                <w:u w:val="none"/>
              </w:rPr>
            </w:pPr>
            <w:r w:rsidRPr="00705BD3">
              <w:rPr>
                <w:rFonts w:asciiTheme="minorHAnsi" w:hAnsiTheme="minorHAnsi" w:cstheme="minorHAnsi"/>
                <w:b w:val="0"/>
                <w:color w:val="000000" w:themeColor="text1"/>
                <w:sz w:val="20"/>
                <w:szCs w:val="20"/>
                <w:u w:val="none"/>
              </w:rPr>
              <w:t>Community-based approaches</w:t>
            </w:r>
          </w:p>
        </w:tc>
      </w:tr>
      <w:tr w:rsidR="000008B5" w:rsidRPr="00A743FF" w14:paraId="471E32D0" w14:textId="77777777" w:rsidTr="0021134C">
        <w:trPr>
          <w:trHeight w:val="295"/>
        </w:trPr>
        <w:tc>
          <w:tcPr>
            <w:tcW w:w="1195" w:type="dxa"/>
            <w:shd w:val="clear" w:color="auto" w:fill="auto"/>
            <w:noWrap/>
          </w:tcPr>
          <w:p w14:paraId="0561BC94" w14:textId="2BE8D863" w:rsidR="000008B5" w:rsidRPr="00705BD3" w:rsidRDefault="000008B5" w:rsidP="00AC4CAC">
            <w:pPr>
              <w:spacing w:before="60" w:after="0"/>
              <w:jc w:val="both"/>
              <w:rPr>
                <w:rFonts w:asciiTheme="minorHAnsi" w:hAnsiTheme="minorHAnsi" w:cstheme="minorHAnsi"/>
                <w:color w:val="822B6A"/>
                <w:sz w:val="20"/>
                <w:szCs w:val="20"/>
                <w:u w:val="none"/>
              </w:rPr>
            </w:pPr>
            <w:r w:rsidRPr="00705BD3">
              <w:rPr>
                <w:rFonts w:asciiTheme="minorHAnsi" w:hAnsiTheme="minorHAnsi" w:cstheme="minorHAnsi"/>
                <w:color w:val="822B6A"/>
                <w:sz w:val="20"/>
                <w:szCs w:val="20"/>
                <w:u w:val="none"/>
              </w:rPr>
              <w:t xml:space="preserve">CM </w:t>
            </w:r>
          </w:p>
        </w:tc>
        <w:tc>
          <w:tcPr>
            <w:tcW w:w="8786" w:type="dxa"/>
            <w:shd w:val="clear" w:color="auto" w:fill="auto"/>
            <w:noWrap/>
          </w:tcPr>
          <w:p w14:paraId="118C1C16" w14:textId="77777777" w:rsidR="000008B5" w:rsidRPr="00705BD3" w:rsidRDefault="009202ED" w:rsidP="00AC4CAC">
            <w:pPr>
              <w:spacing w:before="60" w:after="0"/>
              <w:jc w:val="both"/>
              <w:rPr>
                <w:rFonts w:asciiTheme="minorHAnsi" w:hAnsiTheme="minorHAnsi" w:cstheme="minorHAnsi"/>
                <w:b w:val="0"/>
                <w:color w:val="000000" w:themeColor="text1"/>
                <w:sz w:val="20"/>
                <w:szCs w:val="20"/>
                <w:u w:val="none"/>
              </w:rPr>
            </w:pPr>
            <w:r w:rsidRPr="00705BD3">
              <w:rPr>
                <w:rFonts w:asciiTheme="minorHAnsi" w:hAnsiTheme="minorHAnsi" w:cstheme="minorHAnsi"/>
                <w:b w:val="0"/>
                <w:color w:val="000000" w:themeColor="text1"/>
                <w:sz w:val="20"/>
                <w:szCs w:val="20"/>
                <w:u w:val="none"/>
              </w:rPr>
              <w:t>Community Mobilisers</w:t>
            </w:r>
          </w:p>
        </w:tc>
      </w:tr>
      <w:tr w:rsidR="00D1055D" w:rsidRPr="00A743FF" w14:paraId="49DDE63E" w14:textId="77777777" w:rsidTr="0021134C">
        <w:trPr>
          <w:trHeight w:val="295"/>
        </w:trPr>
        <w:tc>
          <w:tcPr>
            <w:tcW w:w="1195" w:type="dxa"/>
            <w:shd w:val="clear" w:color="auto" w:fill="auto"/>
            <w:noWrap/>
          </w:tcPr>
          <w:p w14:paraId="2A4B0480" w14:textId="50A67764" w:rsidR="00D1055D" w:rsidRPr="00705BD3" w:rsidRDefault="00D1055D" w:rsidP="00AC4CAC">
            <w:pPr>
              <w:spacing w:before="60" w:after="0"/>
              <w:jc w:val="both"/>
              <w:rPr>
                <w:rFonts w:asciiTheme="minorHAnsi" w:hAnsiTheme="minorHAnsi" w:cstheme="minorHAnsi"/>
                <w:color w:val="822B6A"/>
                <w:sz w:val="20"/>
                <w:szCs w:val="20"/>
                <w:u w:val="none"/>
              </w:rPr>
            </w:pPr>
            <w:r w:rsidRPr="00705BD3">
              <w:rPr>
                <w:rFonts w:asciiTheme="minorHAnsi" w:hAnsiTheme="minorHAnsi" w:cstheme="minorHAnsi"/>
                <w:color w:val="822B6A"/>
                <w:sz w:val="20"/>
                <w:szCs w:val="20"/>
                <w:u w:val="none"/>
              </w:rPr>
              <w:t>CODIVA</w:t>
            </w:r>
          </w:p>
        </w:tc>
        <w:tc>
          <w:tcPr>
            <w:tcW w:w="8786" w:type="dxa"/>
            <w:shd w:val="clear" w:color="auto" w:fill="auto"/>
            <w:noWrap/>
          </w:tcPr>
          <w:p w14:paraId="1AF87CF1" w14:textId="272A765A" w:rsidR="00D1055D" w:rsidRPr="00705BD3" w:rsidRDefault="00D1055D" w:rsidP="00AC4CAC">
            <w:pPr>
              <w:spacing w:before="60" w:after="0"/>
              <w:jc w:val="both"/>
              <w:rPr>
                <w:rFonts w:asciiTheme="minorHAnsi" w:hAnsiTheme="minorHAnsi" w:cstheme="minorHAnsi"/>
                <w:b w:val="0"/>
                <w:color w:val="000000" w:themeColor="text1"/>
                <w:sz w:val="20"/>
                <w:szCs w:val="20"/>
                <w:u w:val="none"/>
              </w:rPr>
            </w:pPr>
            <w:r w:rsidRPr="00705BD3">
              <w:rPr>
                <w:rFonts w:asciiTheme="minorHAnsi" w:hAnsiTheme="minorHAnsi" w:cstheme="minorHAnsi"/>
                <w:b w:val="0"/>
                <w:color w:val="000000" w:themeColor="text1"/>
                <w:sz w:val="20"/>
                <w:szCs w:val="20"/>
                <w:u w:val="none"/>
              </w:rPr>
              <w:t>Coalition for Diversity and Action</w:t>
            </w:r>
          </w:p>
        </w:tc>
      </w:tr>
      <w:tr w:rsidR="000008B5" w:rsidRPr="00A743FF" w14:paraId="02D888E5" w14:textId="77777777" w:rsidTr="0021134C">
        <w:trPr>
          <w:trHeight w:val="295"/>
        </w:trPr>
        <w:tc>
          <w:tcPr>
            <w:tcW w:w="1195" w:type="dxa"/>
            <w:shd w:val="clear" w:color="auto" w:fill="auto"/>
            <w:noWrap/>
          </w:tcPr>
          <w:p w14:paraId="6C901F97" w14:textId="14F3AE46" w:rsidR="000008B5" w:rsidRPr="00705BD3" w:rsidRDefault="000008B5" w:rsidP="00AC4CAC">
            <w:pPr>
              <w:spacing w:before="60" w:after="0"/>
              <w:jc w:val="both"/>
              <w:rPr>
                <w:rFonts w:asciiTheme="minorHAnsi" w:hAnsiTheme="minorHAnsi" w:cstheme="minorHAnsi"/>
                <w:color w:val="822B6A"/>
                <w:sz w:val="20"/>
                <w:szCs w:val="20"/>
                <w:u w:val="none"/>
              </w:rPr>
            </w:pPr>
            <w:r w:rsidRPr="00705BD3">
              <w:rPr>
                <w:rFonts w:asciiTheme="minorHAnsi" w:hAnsiTheme="minorHAnsi" w:cstheme="minorHAnsi"/>
                <w:color w:val="822B6A"/>
                <w:sz w:val="20"/>
                <w:szCs w:val="20"/>
                <w:u w:val="none"/>
              </w:rPr>
              <w:t xml:space="preserve">CSO </w:t>
            </w:r>
          </w:p>
        </w:tc>
        <w:tc>
          <w:tcPr>
            <w:tcW w:w="8786" w:type="dxa"/>
            <w:shd w:val="clear" w:color="auto" w:fill="auto"/>
            <w:noWrap/>
          </w:tcPr>
          <w:p w14:paraId="7018CF60" w14:textId="77777777" w:rsidR="000008B5" w:rsidRPr="00705BD3" w:rsidRDefault="009202ED" w:rsidP="00AC4CAC">
            <w:pPr>
              <w:spacing w:before="60" w:after="0"/>
              <w:jc w:val="both"/>
              <w:rPr>
                <w:rFonts w:asciiTheme="minorHAnsi" w:hAnsiTheme="minorHAnsi" w:cstheme="minorHAnsi"/>
                <w:b w:val="0"/>
                <w:color w:val="000000" w:themeColor="text1"/>
                <w:sz w:val="20"/>
                <w:szCs w:val="20"/>
                <w:u w:val="none"/>
              </w:rPr>
            </w:pPr>
            <w:r w:rsidRPr="00705BD3">
              <w:rPr>
                <w:rFonts w:asciiTheme="minorHAnsi" w:hAnsiTheme="minorHAnsi" w:cstheme="minorHAnsi"/>
                <w:b w:val="0"/>
                <w:color w:val="000000" w:themeColor="text1"/>
                <w:sz w:val="20"/>
                <w:szCs w:val="20"/>
                <w:u w:val="none"/>
              </w:rPr>
              <w:t>Civil Society Organisation</w:t>
            </w:r>
          </w:p>
        </w:tc>
      </w:tr>
      <w:tr w:rsidR="000008B5" w:rsidRPr="00A743FF" w14:paraId="73F4462B" w14:textId="77777777" w:rsidTr="0021134C">
        <w:trPr>
          <w:trHeight w:val="295"/>
        </w:trPr>
        <w:tc>
          <w:tcPr>
            <w:tcW w:w="1195" w:type="dxa"/>
            <w:shd w:val="clear" w:color="auto" w:fill="auto"/>
            <w:noWrap/>
          </w:tcPr>
          <w:p w14:paraId="3C339895" w14:textId="77777777" w:rsidR="000008B5" w:rsidRPr="00705BD3" w:rsidRDefault="000008B5" w:rsidP="00AC4CAC">
            <w:pPr>
              <w:spacing w:before="60" w:after="0"/>
              <w:jc w:val="both"/>
              <w:rPr>
                <w:rFonts w:asciiTheme="minorHAnsi" w:hAnsiTheme="minorHAnsi" w:cstheme="minorHAnsi"/>
                <w:color w:val="822B6A"/>
                <w:sz w:val="20"/>
                <w:szCs w:val="20"/>
                <w:u w:val="none"/>
              </w:rPr>
            </w:pPr>
            <w:r w:rsidRPr="00705BD3">
              <w:rPr>
                <w:rFonts w:asciiTheme="minorHAnsi" w:hAnsiTheme="minorHAnsi" w:cstheme="minorHAnsi"/>
                <w:color w:val="822B6A"/>
                <w:sz w:val="20"/>
                <w:szCs w:val="20"/>
                <w:u w:val="none"/>
              </w:rPr>
              <w:t xml:space="preserve">DFAT </w:t>
            </w:r>
          </w:p>
        </w:tc>
        <w:tc>
          <w:tcPr>
            <w:tcW w:w="8786" w:type="dxa"/>
            <w:shd w:val="clear" w:color="auto" w:fill="auto"/>
            <w:noWrap/>
          </w:tcPr>
          <w:p w14:paraId="227169CB" w14:textId="77777777" w:rsidR="000008B5" w:rsidRPr="00705BD3" w:rsidRDefault="009202ED" w:rsidP="00AC4CAC">
            <w:pPr>
              <w:spacing w:before="60" w:after="0"/>
              <w:jc w:val="both"/>
              <w:rPr>
                <w:rFonts w:asciiTheme="minorHAnsi" w:hAnsiTheme="minorHAnsi" w:cstheme="minorHAnsi"/>
                <w:b w:val="0"/>
                <w:color w:val="000000" w:themeColor="text1"/>
                <w:sz w:val="20"/>
                <w:szCs w:val="20"/>
                <w:u w:val="none"/>
              </w:rPr>
            </w:pPr>
            <w:r w:rsidRPr="00705BD3">
              <w:rPr>
                <w:rFonts w:asciiTheme="minorHAnsi" w:hAnsiTheme="minorHAnsi" w:cstheme="minorHAnsi"/>
                <w:b w:val="0"/>
                <w:color w:val="000000" w:themeColor="text1"/>
                <w:sz w:val="20"/>
                <w:szCs w:val="20"/>
                <w:u w:val="none"/>
              </w:rPr>
              <w:t>Department of Foreign Affairs and Trade</w:t>
            </w:r>
          </w:p>
        </w:tc>
      </w:tr>
      <w:tr w:rsidR="000008B5" w:rsidRPr="00A743FF" w14:paraId="2BFA3E10" w14:textId="77777777" w:rsidTr="0021134C">
        <w:trPr>
          <w:trHeight w:val="295"/>
        </w:trPr>
        <w:tc>
          <w:tcPr>
            <w:tcW w:w="1195" w:type="dxa"/>
            <w:shd w:val="clear" w:color="auto" w:fill="auto"/>
            <w:noWrap/>
          </w:tcPr>
          <w:p w14:paraId="7D34CD03" w14:textId="77777777" w:rsidR="000008B5" w:rsidRPr="00705BD3" w:rsidRDefault="000008B5" w:rsidP="00AC4CAC">
            <w:pPr>
              <w:spacing w:before="60" w:after="0"/>
              <w:jc w:val="both"/>
              <w:rPr>
                <w:rFonts w:asciiTheme="minorHAnsi" w:hAnsiTheme="minorHAnsi" w:cstheme="minorHAnsi"/>
                <w:color w:val="822B6A"/>
                <w:sz w:val="20"/>
                <w:szCs w:val="20"/>
                <w:u w:val="none"/>
              </w:rPr>
            </w:pPr>
            <w:r w:rsidRPr="00705BD3">
              <w:rPr>
                <w:rFonts w:asciiTheme="minorHAnsi" w:hAnsiTheme="minorHAnsi" w:cstheme="minorHAnsi"/>
                <w:color w:val="822B6A"/>
                <w:sz w:val="20"/>
                <w:szCs w:val="20"/>
                <w:u w:val="none"/>
              </w:rPr>
              <w:t xml:space="preserve">DPO </w:t>
            </w:r>
          </w:p>
        </w:tc>
        <w:tc>
          <w:tcPr>
            <w:tcW w:w="8786" w:type="dxa"/>
            <w:shd w:val="clear" w:color="auto" w:fill="auto"/>
            <w:noWrap/>
          </w:tcPr>
          <w:p w14:paraId="6DA9F3C8" w14:textId="77777777" w:rsidR="000008B5" w:rsidRPr="00705BD3" w:rsidRDefault="009202ED" w:rsidP="00AC4CAC">
            <w:pPr>
              <w:spacing w:before="60" w:after="0"/>
              <w:jc w:val="both"/>
              <w:rPr>
                <w:rFonts w:asciiTheme="minorHAnsi" w:hAnsiTheme="minorHAnsi" w:cstheme="minorHAnsi"/>
                <w:b w:val="0"/>
                <w:color w:val="000000" w:themeColor="text1"/>
                <w:sz w:val="20"/>
                <w:szCs w:val="20"/>
                <w:u w:val="none"/>
              </w:rPr>
            </w:pPr>
            <w:r w:rsidRPr="00705BD3">
              <w:rPr>
                <w:rFonts w:asciiTheme="minorHAnsi" w:hAnsiTheme="minorHAnsi" w:cstheme="minorHAnsi"/>
                <w:b w:val="0"/>
                <w:color w:val="000000" w:themeColor="text1"/>
                <w:sz w:val="20"/>
                <w:szCs w:val="20"/>
                <w:u w:val="none"/>
              </w:rPr>
              <w:t>Disabled People’s Organisation</w:t>
            </w:r>
          </w:p>
        </w:tc>
      </w:tr>
      <w:tr w:rsidR="000008B5" w:rsidRPr="00A743FF" w14:paraId="45673FEC" w14:textId="77777777" w:rsidTr="0021134C">
        <w:trPr>
          <w:trHeight w:val="295"/>
        </w:trPr>
        <w:tc>
          <w:tcPr>
            <w:tcW w:w="1195" w:type="dxa"/>
            <w:shd w:val="clear" w:color="auto" w:fill="auto"/>
            <w:noWrap/>
          </w:tcPr>
          <w:p w14:paraId="3A2BAFC6" w14:textId="77777777" w:rsidR="000008B5" w:rsidRPr="00705BD3" w:rsidRDefault="000008B5" w:rsidP="00AC4CAC">
            <w:pPr>
              <w:spacing w:before="60" w:after="0"/>
              <w:jc w:val="both"/>
              <w:rPr>
                <w:rFonts w:asciiTheme="minorHAnsi" w:hAnsiTheme="minorHAnsi" w:cstheme="minorHAnsi"/>
                <w:color w:val="822B6A"/>
                <w:sz w:val="20"/>
                <w:szCs w:val="20"/>
                <w:u w:val="none"/>
              </w:rPr>
            </w:pPr>
            <w:r w:rsidRPr="00705BD3">
              <w:rPr>
                <w:rFonts w:asciiTheme="minorHAnsi" w:hAnsiTheme="minorHAnsi" w:cstheme="minorHAnsi"/>
                <w:color w:val="822B6A"/>
                <w:sz w:val="20"/>
                <w:szCs w:val="20"/>
                <w:u w:val="none"/>
              </w:rPr>
              <w:t xml:space="preserve">EOPO </w:t>
            </w:r>
          </w:p>
        </w:tc>
        <w:tc>
          <w:tcPr>
            <w:tcW w:w="8786" w:type="dxa"/>
            <w:shd w:val="clear" w:color="auto" w:fill="auto"/>
            <w:noWrap/>
          </w:tcPr>
          <w:p w14:paraId="39030F1B" w14:textId="77777777" w:rsidR="000008B5" w:rsidRPr="00705BD3" w:rsidRDefault="009202ED" w:rsidP="00AC4CAC">
            <w:pPr>
              <w:spacing w:before="60" w:after="0"/>
              <w:jc w:val="both"/>
              <w:rPr>
                <w:rFonts w:asciiTheme="minorHAnsi" w:hAnsiTheme="minorHAnsi" w:cstheme="minorHAnsi"/>
                <w:b w:val="0"/>
                <w:color w:val="000000" w:themeColor="text1"/>
                <w:sz w:val="20"/>
                <w:szCs w:val="20"/>
                <w:u w:val="none"/>
              </w:rPr>
            </w:pPr>
            <w:r w:rsidRPr="00705BD3">
              <w:rPr>
                <w:rFonts w:asciiTheme="minorHAnsi" w:hAnsiTheme="minorHAnsi" w:cstheme="minorHAnsi"/>
                <w:b w:val="0"/>
                <w:color w:val="000000" w:themeColor="text1"/>
                <w:sz w:val="20"/>
                <w:szCs w:val="20"/>
                <w:u w:val="none"/>
              </w:rPr>
              <w:t>End of Program Outcomes</w:t>
            </w:r>
          </w:p>
        </w:tc>
      </w:tr>
      <w:tr w:rsidR="000008B5" w:rsidRPr="00A743FF" w14:paraId="06E643EF" w14:textId="77777777" w:rsidTr="0021134C">
        <w:trPr>
          <w:trHeight w:val="295"/>
        </w:trPr>
        <w:tc>
          <w:tcPr>
            <w:tcW w:w="1195" w:type="dxa"/>
            <w:shd w:val="clear" w:color="auto" w:fill="auto"/>
            <w:noWrap/>
          </w:tcPr>
          <w:p w14:paraId="250C14A8" w14:textId="77777777" w:rsidR="000008B5" w:rsidRPr="00705BD3" w:rsidRDefault="000008B5" w:rsidP="00AC4CAC">
            <w:pPr>
              <w:spacing w:before="60" w:after="0"/>
              <w:jc w:val="both"/>
              <w:rPr>
                <w:rFonts w:asciiTheme="minorHAnsi" w:hAnsiTheme="minorHAnsi" w:cstheme="minorHAnsi"/>
                <w:color w:val="822B6A"/>
                <w:sz w:val="20"/>
                <w:szCs w:val="20"/>
                <w:u w:val="none"/>
              </w:rPr>
            </w:pPr>
            <w:r w:rsidRPr="00705BD3">
              <w:rPr>
                <w:rFonts w:asciiTheme="minorHAnsi" w:hAnsiTheme="minorHAnsi" w:cstheme="minorHAnsi"/>
                <w:color w:val="822B6A"/>
                <w:sz w:val="20"/>
                <w:szCs w:val="20"/>
                <w:u w:val="none"/>
              </w:rPr>
              <w:t>EVAW</w:t>
            </w:r>
          </w:p>
        </w:tc>
        <w:tc>
          <w:tcPr>
            <w:tcW w:w="8786" w:type="dxa"/>
            <w:shd w:val="clear" w:color="auto" w:fill="auto"/>
            <w:noWrap/>
          </w:tcPr>
          <w:p w14:paraId="5B81354A" w14:textId="77777777" w:rsidR="000008B5" w:rsidRPr="00705BD3" w:rsidRDefault="009202ED" w:rsidP="00AC4CAC">
            <w:pPr>
              <w:spacing w:before="60" w:after="0"/>
              <w:jc w:val="both"/>
              <w:rPr>
                <w:rFonts w:asciiTheme="minorHAnsi" w:hAnsiTheme="minorHAnsi" w:cstheme="minorHAnsi"/>
                <w:b w:val="0"/>
                <w:color w:val="000000" w:themeColor="text1"/>
                <w:sz w:val="20"/>
                <w:szCs w:val="20"/>
                <w:u w:val="none"/>
              </w:rPr>
            </w:pPr>
            <w:r w:rsidRPr="00705BD3">
              <w:rPr>
                <w:rFonts w:asciiTheme="minorHAnsi" w:hAnsiTheme="minorHAnsi" w:cstheme="minorHAnsi"/>
                <w:b w:val="0"/>
                <w:color w:val="000000" w:themeColor="text1"/>
                <w:sz w:val="20"/>
                <w:szCs w:val="20"/>
                <w:u w:val="none"/>
              </w:rPr>
              <w:t>Ending Violence Against Women</w:t>
            </w:r>
          </w:p>
        </w:tc>
      </w:tr>
      <w:tr w:rsidR="00456101" w:rsidRPr="00A743FF" w14:paraId="2F8F0E8A" w14:textId="77777777" w:rsidTr="0021134C">
        <w:trPr>
          <w:trHeight w:val="295"/>
        </w:trPr>
        <w:tc>
          <w:tcPr>
            <w:tcW w:w="1195" w:type="dxa"/>
            <w:shd w:val="clear" w:color="auto" w:fill="auto"/>
            <w:noWrap/>
          </w:tcPr>
          <w:p w14:paraId="17F3E5FB" w14:textId="375F391A" w:rsidR="00456101" w:rsidRPr="00705BD3" w:rsidRDefault="00456101" w:rsidP="00AC4CAC">
            <w:pPr>
              <w:spacing w:before="60" w:after="0"/>
              <w:jc w:val="both"/>
              <w:rPr>
                <w:rFonts w:asciiTheme="minorHAnsi" w:hAnsiTheme="minorHAnsi" w:cstheme="minorHAnsi"/>
                <w:color w:val="822B6A"/>
                <w:sz w:val="20"/>
                <w:szCs w:val="20"/>
                <w:u w:val="none"/>
              </w:rPr>
            </w:pPr>
            <w:r w:rsidRPr="00705BD3">
              <w:rPr>
                <w:rFonts w:asciiTheme="minorHAnsi" w:hAnsiTheme="minorHAnsi" w:cstheme="minorHAnsi"/>
                <w:color w:val="822B6A"/>
                <w:sz w:val="20"/>
                <w:szCs w:val="20"/>
                <w:u w:val="none"/>
              </w:rPr>
              <w:t>FGD</w:t>
            </w:r>
          </w:p>
        </w:tc>
        <w:tc>
          <w:tcPr>
            <w:tcW w:w="8786" w:type="dxa"/>
            <w:shd w:val="clear" w:color="auto" w:fill="auto"/>
            <w:noWrap/>
          </w:tcPr>
          <w:p w14:paraId="02CA8CFA" w14:textId="239954F6" w:rsidR="00456101" w:rsidRPr="00705BD3" w:rsidRDefault="00456101" w:rsidP="00AC4CAC">
            <w:pPr>
              <w:spacing w:before="60" w:after="0"/>
              <w:jc w:val="both"/>
              <w:rPr>
                <w:rFonts w:asciiTheme="minorHAnsi" w:hAnsiTheme="minorHAnsi" w:cstheme="minorHAnsi"/>
                <w:b w:val="0"/>
                <w:color w:val="000000" w:themeColor="text1"/>
                <w:sz w:val="20"/>
                <w:szCs w:val="20"/>
                <w:u w:val="none"/>
              </w:rPr>
            </w:pPr>
            <w:r w:rsidRPr="00705BD3">
              <w:rPr>
                <w:rFonts w:asciiTheme="minorHAnsi" w:hAnsiTheme="minorHAnsi" w:cstheme="minorHAnsi"/>
                <w:b w:val="0"/>
                <w:color w:val="000000" w:themeColor="text1"/>
                <w:sz w:val="20"/>
                <w:szCs w:val="20"/>
                <w:u w:val="none"/>
              </w:rPr>
              <w:t>Focus Group Discussion</w:t>
            </w:r>
          </w:p>
        </w:tc>
      </w:tr>
      <w:tr w:rsidR="00D1055D" w:rsidRPr="00A743FF" w14:paraId="6BCD8167" w14:textId="77777777" w:rsidTr="0021134C">
        <w:trPr>
          <w:trHeight w:val="295"/>
        </w:trPr>
        <w:tc>
          <w:tcPr>
            <w:tcW w:w="1195" w:type="dxa"/>
            <w:shd w:val="clear" w:color="auto" w:fill="auto"/>
            <w:noWrap/>
          </w:tcPr>
          <w:p w14:paraId="1BA23252" w14:textId="536B5700" w:rsidR="00D1055D" w:rsidRPr="00705BD3" w:rsidRDefault="00D1055D" w:rsidP="00AC4CAC">
            <w:pPr>
              <w:spacing w:before="60" w:after="0"/>
              <w:jc w:val="both"/>
              <w:rPr>
                <w:rFonts w:asciiTheme="minorHAnsi" w:hAnsiTheme="minorHAnsi" w:cstheme="minorHAnsi"/>
                <w:color w:val="822B6A"/>
                <w:sz w:val="20"/>
                <w:szCs w:val="20"/>
                <w:u w:val="none"/>
              </w:rPr>
            </w:pPr>
            <w:r w:rsidRPr="00705BD3">
              <w:rPr>
                <w:rFonts w:asciiTheme="minorHAnsi" w:hAnsiTheme="minorHAnsi" w:cstheme="minorHAnsi"/>
                <w:color w:val="822B6A"/>
                <w:sz w:val="20"/>
                <w:szCs w:val="20"/>
                <w:u w:val="none"/>
              </w:rPr>
              <w:t>FMDC</w:t>
            </w:r>
          </w:p>
        </w:tc>
        <w:tc>
          <w:tcPr>
            <w:tcW w:w="8786" w:type="dxa"/>
            <w:shd w:val="clear" w:color="auto" w:fill="auto"/>
            <w:noWrap/>
          </w:tcPr>
          <w:p w14:paraId="387140BE" w14:textId="5F30CC04" w:rsidR="00D1055D" w:rsidRPr="00705BD3" w:rsidRDefault="00D1055D" w:rsidP="00AC4CAC">
            <w:pPr>
              <w:spacing w:before="60" w:after="0"/>
              <w:jc w:val="both"/>
              <w:rPr>
                <w:rFonts w:asciiTheme="minorHAnsi" w:hAnsiTheme="minorHAnsi" w:cstheme="minorHAnsi"/>
                <w:b w:val="0"/>
                <w:color w:val="000000" w:themeColor="text1"/>
                <w:sz w:val="20"/>
                <w:szCs w:val="20"/>
                <w:u w:val="none"/>
              </w:rPr>
            </w:pPr>
            <w:r w:rsidRPr="00705BD3">
              <w:rPr>
                <w:rFonts w:asciiTheme="minorHAnsi" w:hAnsiTheme="minorHAnsi" w:cstheme="minorHAnsi"/>
                <w:b w:val="0"/>
                <w:color w:val="000000" w:themeColor="text1"/>
                <w:sz w:val="20"/>
                <w:szCs w:val="20"/>
                <w:u w:val="none"/>
              </w:rPr>
              <w:t>Fundasaun Media Development Centre</w:t>
            </w:r>
            <w:r w:rsidRPr="00705BD3">
              <w:rPr>
                <w:rFonts w:asciiTheme="minorHAnsi" w:hAnsiTheme="minorHAnsi" w:cstheme="minorHAnsi"/>
                <w:b w:val="0"/>
                <w:i/>
                <w:color w:val="auto"/>
                <w:sz w:val="20"/>
                <w:szCs w:val="20"/>
                <w:u w:val="none"/>
              </w:rPr>
              <w:t xml:space="preserve"> </w:t>
            </w:r>
          </w:p>
        </w:tc>
      </w:tr>
      <w:tr w:rsidR="000008B5" w:rsidRPr="00A743FF" w14:paraId="62636B67" w14:textId="77777777" w:rsidTr="0021134C">
        <w:trPr>
          <w:trHeight w:val="295"/>
        </w:trPr>
        <w:tc>
          <w:tcPr>
            <w:tcW w:w="1195" w:type="dxa"/>
            <w:shd w:val="clear" w:color="auto" w:fill="auto"/>
            <w:noWrap/>
          </w:tcPr>
          <w:p w14:paraId="318B7CE6" w14:textId="77777777" w:rsidR="000008B5" w:rsidRPr="00705BD3" w:rsidRDefault="000008B5" w:rsidP="00AC4CAC">
            <w:pPr>
              <w:spacing w:before="60" w:after="0"/>
              <w:jc w:val="both"/>
              <w:rPr>
                <w:rFonts w:asciiTheme="minorHAnsi" w:hAnsiTheme="minorHAnsi" w:cstheme="minorHAnsi"/>
                <w:color w:val="822B6A"/>
                <w:sz w:val="20"/>
                <w:szCs w:val="20"/>
                <w:u w:val="none"/>
              </w:rPr>
            </w:pPr>
            <w:r w:rsidRPr="00705BD3">
              <w:rPr>
                <w:rFonts w:asciiTheme="minorHAnsi" w:hAnsiTheme="minorHAnsi" w:cstheme="minorHAnsi"/>
                <w:color w:val="822B6A"/>
                <w:sz w:val="20"/>
                <w:szCs w:val="20"/>
                <w:u w:val="none"/>
              </w:rPr>
              <w:t xml:space="preserve">GoTL </w:t>
            </w:r>
          </w:p>
        </w:tc>
        <w:tc>
          <w:tcPr>
            <w:tcW w:w="8786" w:type="dxa"/>
            <w:shd w:val="clear" w:color="auto" w:fill="auto"/>
            <w:noWrap/>
          </w:tcPr>
          <w:p w14:paraId="4F4342B8" w14:textId="77777777" w:rsidR="000008B5" w:rsidRPr="00705BD3" w:rsidRDefault="009202ED" w:rsidP="00AC4CAC">
            <w:pPr>
              <w:spacing w:before="60" w:after="0"/>
              <w:jc w:val="both"/>
              <w:rPr>
                <w:rFonts w:asciiTheme="minorHAnsi" w:hAnsiTheme="minorHAnsi" w:cstheme="minorHAnsi"/>
                <w:b w:val="0"/>
                <w:color w:val="000000" w:themeColor="text1"/>
                <w:sz w:val="20"/>
                <w:szCs w:val="20"/>
                <w:u w:val="none"/>
              </w:rPr>
            </w:pPr>
            <w:r w:rsidRPr="00705BD3">
              <w:rPr>
                <w:rFonts w:asciiTheme="minorHAnsi" w:hAnsiTheme="minorHAnsi" w:cstheme="minorHAnsi"/>
                <w:b w:val="0"/>
                <w:color w:val="000000" w:themeColor="text1"/>
                <w:sz w:val="20"/>
                <w:szCs w:val="20"/>
                <w:u w:val="none"/>
              </w:rPr>
              <w:t>Government of Timor-Leste</w:t>
            </w:r>
          </w:p>
        </w:tc>
      </w:tr>
      <w:tr w:rsidR="005E6500" w:rsidRPr="00A743FF" w14:paraId="21FC8912" w14:textId="77777777" w:rsidTr="0021134C">
        <w:trPr>
          <w:trHeight w:val="295"/>
        </w:trPr>
        <w:tc>
          <w:tcPr>
            <w:tcW w:w="1195" w:type="dxa"/>
            <w:shd w:val="clear" w:color="auto" w:fill="auto"/>
            <w:noWrap/>
          </w:tcPr>
          <w:p w14:paraId="28C08CD1" w14:textId="77777777" w:rsidR="005E6500" w:rsidRPr="00705BD3" w:rsidRDefault="005E6500" w:rsidP="00AC4CAC">
            <w:pPr>
              <w:spacing w:before="60" w:after="0"/>
              <w:jc w:val="both"/>
              <w:rPr>
                <w:rFonts w:asciiTheme="minorHAnsi" w:hAnsiTheme="minorHAnsi" w:cstheme="minorHAnsi"/>
                <w:color w:val="822B6A"/>
                <w:sz w:val="20"/>
                <w:szCs w:val="20"/>
                <w:u w:val="none"/>
              </w:rPr>
            </w:pPr>
            <w:r w:rsidRPr="00705BD3">
              <w:rPr>
                <w:rFonts w:asciiTheme="minorHAnsi" w:hAnsiTheme="minorHAnsi" w:cstheme="minorHAnsi"/>
                <w:color w:val="822B6A"/>
                <w:sz w:val="20"/>
                <w:szCs w:val="20"/>
                <w:u w:val="none"/>
              </w:rPr>
              <w:t>INS</w:t>
            </w:r>
          </w:p>
        </w:tc>
        <w:tc>
          <w:tcPr>
            <w:tcW w:w="8786" w:type="dxa"/>
            <w:shd w:val="clear" w:color="auto" w:fill="auto"/>
            <w:noWrap/>
          </w:tcPr>
          <w:p w14:paraId="7DE7001E" w14:textId="2D2BEBE6" w:rsidR="005E6500" w:rsidRPr="00705BD3" w:rsidRDefault="005E6500" w:rsidP="00AC4CAC">
            <w:pPr>
              <w:spacing w:before="60" w:after="0"/>
              <w:jc w:val="both"/>
              <w:rPr>
                <w:rFonts w:asciiTheme="minorHAnsi" w:hAnsiTheme="minorHAnsi" w:cstheme="minorHAnsi"/>
                <w:b w:val="0"/>
                <w:color w:val="000000" w:themeColor="text1"/>
                <w:sz w:val="20"/>
                <w:szCs w:val="20"/>
                <w:u w:val="none"/>
              </w:rPr>
            </w:pPr>
            <w:r w:rsidRPr="00705BD3">
              <w:rPr>
                <w:rFonts w:asciiTheme="minorHAnsi" w:hAnsiTheme="minorHAnsi" w:cstheme="minorHAnsi"/>
                <w:b w:val="0"/>
                <w:color w:val="000000" w:themeColor="text1"/>
                <w:sz w:val="20"/>
                <w:szCs w:val="20"/>
                <w:u w:val="none"/>
              </w:rPr>
              <w:t>Instituto Nacional de Saúde</w:t>
            </w:r>
            <w:r w:rsidR="009C25E4">
              <w:rPr>
                <w:rFonts w:asciiTheme="minorHAnsi" w:hAnsiTheme="minorHAnsi" w:cstheme="minorHAnsi"/>
                <w:b w:val="0"/>
                <w:color w:val="000000" w:themeColor="text1"/>
                <w:sz w:val="20"/>
                <w:szCs w:val="20"/>
                <w:u w:val="none"/>
              </w:rPr>
              <w:t xml:space="preserve"> (National Institute for Health)</w:t>
            </w:r>
          </w:p>
        </w:tc>
      </w:tr>
      <w:tr w:rsidR="000008B5" w:rsidRPr="00A743FF" w14:paraId="5DA8C679" w14:textId="77777777" w:rsidTr="0021134C">
        <w:trPr>
          <w:trHeight w:val="295"/>
        </w:trPr>
        <w:tc>
          <w:tcPr>
            <w:tcW w:w="1195" w:type="dxa"/>
            <w:shd w:val="clear" w:color="auto" w:fill="auto"/>
            <w:noWrap/>
          </w:tcPr>
          <w:p w14:paraId="48712CBE" w14:textId="77777777" w:rsidR="000008B5" w:rsidRPr="00705BD3" w:rsidRDefault="000008B5" w:rsidP="00AC4CAC">
            <w:pPr>
              <w:spacing w:before="60" w:after="0"/>
              <w:jc w:val="both"/>
              <w:rPr>
                <w:rFonts w:asciiTheme="minorHAnsi" w:hAnsiTheme="minorHAnsi" w:cstheme="minorHAnsi"/>
                <w:color w:val="822B6A"/>
                <w:sz w:val="20"/>
                <w:szCs w:val="20"/>
                <w:u w:val="none"/>
              </w:rPr>
            </w:pPr>
            <w:r w:rsidRPr="00705BD3">
              <w:rPr>
                <w:rFonts w:asciiTheme="minorHAnsi" w:hAnsiTheme="minorHAnsi" w:cstheme="minorHAnsi"/>
                <w:color w:val="822B6A"/>
                <w:sz w:val="20"/>
                <w:szCs w:val="20"/>
                <w:u w:val="none"/>
              </w:rPr>
              <w:t xml:space="preserve">JSMP </w:t>
            </w:r>
          </w:p>
        </w:tc>
        <w:tc>
          <w:tcPr>
            <w:tcW w:w="8786" w:type="dxa"/>
            <w:shd w:val="clear" w:color="auto" w:fill="auto"/>
            <w:noWrap/>
          </w:tcPr>
          <w:p w14:paraId="38CE4E90" w14:textId="77777777" w:rsidR="000008B5" w:rsidRPr="00705BD3" w:rsidRDefault="009202ED" w:rsidP="00AC4CAC">
            <w:pPr>
              <w:spacing w:before="60" w:after="0"/>
              <w:jc w:val="both"/>
              <w:rPr>
                <w:rFonts w:asciiTheme="minorHAnsi" w:hAnsiTheme="minorHAnsi" w:cstheme="minorHAnsi"/>
                <w:b w:val="0"/>
                <w:color w:val="000000" w:themeColor="text1"/>
                <w:sz w:val="20"/>
                <w:szCs w:val="20"/>
                <w:u w:val="none"/>
              </w:rPr>
            </w:pPr>
            <w:r w:rsidRPr="00705BD3">
              <w:rPr>
                <w:rFonts w:asciiTheme="minorHAnsi" w:hAnsiTheme="minorHAnsi" w:cstheme="minorHAnsi"/>
                <w:b w:val="0"/>
                <w:color w:val="000000" w:themeColor="text1"/>
                <w:sz w:val="20"/>
                <w:szCs w:val="20"/>
                <w:u w:val="none"/>
              </w:rPr>
              <w:t>Judicial System Monitoring Programme</w:t>
            </w:r>
          </w:p>
        </w:tc>
      </w:tr>
      <w:tr w:rsidR="00456101" w:rsidRPr="00A743FF" w14:paraId="394DDFEC" w14:textId="77777777" w:rsidTr="0021134C">
        <w:trPr>
          <w:trHeight w:val="295"/>
        </w:trPr>
        <w:tc>
          <w:tcPr>
            <w:tcW w:w="1195" w:type="dxa"/>
            <w:shd w:val="clear" w:color="auto" w:fill="auto"/>
            <w:noWrap/>
          </w:tcPr>
          <w:p w14:paraId="2450A9E9" w14:textId="2E63E1DB" w:rsidR="00456101" w:rsidRPr="00705BD3" w:rsidRDefault="00456101" w:rsidP="00AC4CAC">
            <w:pPr>
              <w:spacing w:before="60" w:after="0"/>
              <w:jc w:val="both"/>
              <w:rPr>
                <w:rFonts w:asciiTheme="minorHAnsi" w:hAnsiTheme="minorHAnsi" w:cstheme="minorHAnsi"/>
                <w:color w:val="822B6A"/>
                <w:sz w:val="20"/>
                <w:szCs w:val="20"/>
                <w:u w:val="none"/>
              </w:rPr>
            </w:pPr>
            <w:r w:rsidRPr="00705BD3">
              <w:rPr>
                <w:rFonts w:asciiTheme="minorHAnsi" w:hAnsiTheme="minorHAnsi" w:cstheme="minorHAnsi"/>
                <w:color w:val="822B6A"/>
                <w:sz w:val="20"/>
                <w:szCs w:val="20"/>
                <w:u w:val="none"/>
              </w:rPr>
              <w:t>KEQ</w:t>
            </w:r>
          </w:p>
        </w:tc>
        <w:tc>
          <w:tcPr>
            <w:tcW w:w="8786" w:type="dxa"/>
            <w:shd w:val="clear" w:color="auto" w:fill="auto"/>
            <w:noWrap/>
          </w:tcPr>
          <w:p w14:paraId="4593270C" w14:textId="54026F36" w:rsidR="00456101" w:rsidRPr="00705BD3" w:rsidRDefault="00456101" w:rsidP="00AC4CAC">
            <w:pPr>
              <w:spacing w:before="60" w:after="0"/>
              <w:jc w:val="both"/>
              <w:rPr>
                <w:rFonts w:asciiTheme="minorHAnsi" w:hAnsiTheme="minorHAnsi" w:cstheme="minorHAnsi"/>
                <w:b w:val="0"/>
                <w:color w:val="000000" w:themeColor="text1"/>
                <w:sz w:val="20"/>
                <w:szCs w:val="20"/>
                <w:u w:val="none"/>
              </w:rPr>
            </w:pPr>
            <w:r w:rsidRPr="00705BD3">
              <w:rPr>
                <w:rFonts w:asciiTheme="minorHAnsi" w:hAnsiTheme="minorHAnsi" w:cstheme="minorHAnsi"/>
                <w:b w:val="0"/>
                <w:color w:val="000000" w:themeColor="text1"/>
                <w:sz w:val="20"/>
                <w:szCs w:val="20"/>
                <w:u w:val="none"/>
              </w:rPr>
              <w:t>Key Evaluation Question</w:t>
            </w:r>
          </w:p>
        </w:tc>
      </w:tr>
      <w:tr w:rsidR="000008B5" w:rsidRPr="00A743FF" w14:paraId="42BA8EBC" w14:textId="77777777" w:rsidTr="0021134C">
        <w:trPr>
          <w:trHeight w:val="295"/>
        </w:trPr>
        <w:tc>
          <w:tcPr>
            <w:tcW w:w="1195" w:type="dxa"/>
            <w:shd w:val="clear" w:color="auto" w:fill="auto"/>
            <w:noWrap/>
          </w:tcPr>
          <w:p w14:paraId="0BE2380E" w14:textId="77777777" w:rsidR="000008B5" w:rsidRPr="00705BD3" w:rsidRDefault="000008B5" w:rsidP="00AC4CAC">
            <w:pPr>
              <w:spacing w:before="60" w:after="0"/>
              <w:jc w:val="both"/>
              <w:rPr>
                <w:rFonts w:asciiTheme="minorHAnsi" w:hAnsiTheme="minorHAnsi" w:cstheme="minorHAnsi"/>
                <w:color w:val="822B6A"/>
                <w:sz w:val="20"/>
                <w:szCs w:val="20"/>
                <w:u w:val="none"/>
                <w:lang w:val="pt-PT"/>
              </w:rPr>
            </w:pPr>
            <w:r w:rsidRPr="00705BD3">
              <w:rPr>
                <w:rFonts w:asciiTheme="minorHAnsi" w:hAnsiTheme="minorHAnsi" w:cstheme="minorHAnsi"/>
                <w:color w:val="822B6A"/>
                <w:sz w:val="20"/>
                <w:szCs w:val="20"/>
                <w:u w:val="none"/>
              </w:rPr>
              <w:t xml:space="preserve">LGBTI </w:t>
            </w:r>
          </w:p>
        </w:tc>
        <w:tc>
          <w:tcPr>
            <w:tcW w:w="8786" w:type="dxa"/>
            <w:shd w:val="clear" w:color="auto" w:fill="auto"/>
            <w:noWrap/>
          </w:tcPr>
          <w:p w14:paraId="008D2B16" w14:textId="77777777" w:rsidR="000008B5" w:rsidRPr="00705BD3" w:rsidRDefault="009202ED" w:rsidP="00AC4CAC">
            <w:pPr>
              <w:spacing w:before="60" w:after="0"/>
              <w:jc w:val="both"/>
              <w:rPr>
                <w:rFonts w:asciiTheme="minorHAnsi" w:hAnsiTheme="minorHAnsi" w:cstheme="minorHAnsi"/>
                <w:b w:val="0"/>
                <w:color w:val="000000" w:themeColor="text1"/>
                <w:sz w:val="20"/>
                <w:szCs w:val="20"/>
                <w:u w:val="none"/>
              </w:rPr>
            </w:pPr>
            <w:r w:rsidRPr="00705BD3">
              <w:rPr>
                <w:rFonts w:asciiTheme="minorHAnsi" w:hAnsiTheme="minorHAnsi" w:cstheme="minorHAnsi"/>
                <w:b w:val="0"/>
                <w:color w:val="000000" w:themeColor="text1"/>
                <w:sz w:val="20"/>
                <w:szCs w:val="20"/>
                <w:u w:val="none"/>
              </w:rPr>
              <w:t>Lesbian, Gay, Bisexual, Transgender and Intersex</w:t>
            </w:r>
          </w:p>
        </w:tc>
      </w:tr>
      <w:tr w:rsidR="000008B5" w:rsidRPr="00A743FF" w14:paraId="4446D8CD" w14:textId="77777777" w:rsidTr="0021134C">
        <w:trPr>
          <w:trHeight w:val="295"/>
        </w:trPr>
        <w:tc>
          <w:tcPr>
            <w:tcW w:w="1195" w:type="dxa"/>
            <w:shd w:val="clear" w:color="auto" w:fill="auto"/>
            <w:noWrap/>
          </w:tcPr>
          <w:p w14:paraId="73969472" w14:textId="77777777" w:rsidR="000008B5" w:rsidRPr="00705BD3" w:rsidRDefault="000008B5" w:rsidP="00AC4CAC">
            <w:pPr>
              <w:spacing w:before="60" w:after="0"/>
              <w:jc w:val="both"/>
              <w:rPr>
                <w:rFonts w:asciiTheme="minorHAnsi" w:hAnsiTheme="minorHAnsi" w:cstheme="minorHAnsi"/>
                <w:color w:val="822B6A"/>
                <w:sz w:val="20"/>
                <w:szCs w:val="20"/>
                <w:u w:val="none"/>
              </w:rPr>
            </w:pPr>
            <w:r w:rsidRPr="00705BD3">
              <w:rPr>
                <w:rFonts w:asciiTheme="minorHAnsi" w:hAnsiTheme="minorHAnsi" w:cstheme="minorHAnsi"/>
                <w:color w:val="822B6A"/>
                <w:sz w:val="20"/>
                <w:szCs w:val="20"/>
                <w:u w:val="none"/>
              </w:rPr>
              <w:t xml:space="preserve">M&amp;E </w:t>
            </w:r>
          </w:p>
        </w:tc>
        <w:tc>
          <w:tcPr>
            <w:tcW w:w="8786" w:type="dxa"/>
            <w:shd w:val="clear" w:color="auto" w:fill="auto"/>
            <w:noWrap/>
          </w:tcPr>
          <w:p w14:paraId="72C9D6EB" w14:textId="77777777" w:rsidR="000008B5" w:rsidRPr="00705BD3" w:rsidRDefault="009202ED" w:rsidP="00AC4CAC">
            <w:pPr>
              <w:spacing w:before="60" w:after="0"/>
              <w:jc w:val="both"/>
              <w:rPr>
                <w:rFonts w:asciiTheme="minorHAnsi" w:hAnsiTheme="minorHAnsi" w:cstheme="minorHAnsi"/>
                <w:b w:val="0"/>
                <w:color w:val="000000" w:themeColor="text1"/>
                <w:sz w:val="20"/>
                <w:szCs w:val="20"/>
                <w:u w:val="none"/>
              </w:rPr>
            </w:pPr>
            <w:r w:rsidRPr="00705BD3">
              <w:rPr>
                <w:rFonts w:asciiTheme="minorHAnsi" w:hAnsiTheme="minorHAnsi" w:cstheme="minorHAnsi"/>
                <w:b w:val="0"/>
                <w:color w:val="000000" w:themeColor="text1"/>
                <w:sz w:val="20"/>
                <w:szCs w:val="20"/>
                <w:u w:val="none"/>
              </w:rPr>
              <w:t>Monitoring and Evaluation</w:t>
            </w:r>
          </w:p>
        </w:tc>
      </w:tr>
      <w:tr w:rsidR="00E73380" w:rsidRPr="00A743FF" w14:paraId="378E85E0" w14:textId="77777777" w:rsidTr="0021134C">
        <w:trPr>
          <w:trHeight w:val="295"/>
        </w:trPr>
        <w:tc>
          <w:tcPr>
            <w:tcW w:w="1195" w:type="dxa"/>
            <w:shd w:val="clear" w:color="auto" w:fill="auto"/>
            <w:noWrap/>
          </w:tcPr>
          <w:p w14:paraId="7073B269" w14:textId="6F17A702" w:rsidR="00E73380" w:rsidRPr="00705BD3" w:rsidRDefault="00E73380" w:rsidP="00AC4CAC">
            <w:pPr>
              <w:spacing w:before="60" w:after="0"/>
              <w:jc w:val="both"/>
              <w:rPr>
                <w:rFonts w:asciiTheme="minorHAnsi" w:hAnsiTheme="minorHAnsi" w:cstheme="minorHAnsi"/>
                <w:color w:val="822B6A"/>
                <w:sz w:val="20"/>
                <w:szCs w:val="20"/>
                <w:u w:val="none"/>
              </w:rPr>
            </w:pPr>
            <w:r w:rsidRPr="00705BD3">
              <w:rPr>
                <w:rFonts w:asciiTheme="minorHAnsi" w:hAnsiTheme="minorHAnsi" w:cstheme="minorHAnsi"/>
                <w:color w:val="822B6A"/>
                <w:sz w:val="20"/>
                <w:szCs w:val="20"/>
                <w:u w:val="none"/>
              </w:rPr>
              <w:t>MELP</w:t>
            </w:r>
          </w:p>
        </w:tc>
        <w:tc>
          <w:tcPr>
            <w:tcW w:w="8786" w:type="dxa"/>
            <w:shd w:val="clear" w:color="auto" w:fill="auto"/>
            <w:noWrap/>
          </w:tcPr>
          <w:p w14:paraId="21904AB3" w14:textId="07E5F267" w:rsidR="00E73380" w:rsidRPr="00705BD3" w:rsidRDefault="00E73380" w:rsidP="00AC4CAC">
            <w:pPr>
              <w:spacing w:before="60" w:after="0"/>
              <w:jc w:val="both"/>
              <w:rPr>
                <w:rFonts w:asciiTheme="minorHAnsi" w:hAnsiTheme="minorHAnsi" w:cstheme="minorHAnsi"/>
                <w:b w:val="0"/>
                <w:color w:val="000000" w:themeColor="text1"/>
                <w:sz w:val="20"/>
                <w:szCs w:val="20"/>
                <w:u w:val="none"/>
              </w:rPr>
            </w:pPr>
            <w:r w:rsidRPr="00705BD3">
              <w:rPr>
                <w:rFonts w:asciiTheme="minorHAnsi" w:hAnsiTheme="minorHAnsi" w:cstheme="minorHAnsi"/>
                <w:b w:val="0"/>
                <w:color w:val="000000" w:themeColor="text1"/>
                <w:sz w:val="20"/>
                <w:szCs w:val="20"/>
                <w:u w:val="none"/>
              </w:rPr>
              <w:t>Monitoring, Evaluation and Learning Plan</w:t>
            </w:r>
          </w:p>
        </w:tc>
      </w:tr>
      <w:tr w:rsidR="00D1055D" w:rsidRPr="00A743FF" w14:paraId="2BC69BD7" w14:textId="77777777" w:rsidTr="0021134C">
        <w:trPr>
          <w:trHeight w:val="295"/>
        </w:trPr>
        <w:tc>
          <w:tcPr>
            <w:tcW w:w="1195" w:type="dxa"/>
            <w:shd w:val="clear" w:color="auto" w:fill="auto"/>
            <w:noWrap/>
          </w:tcPr>
          <w:p w14:paraId="0903608D" w14:textId="1EC215AC" w:rsidR="00D1055D" w:rsidRPr="00705BD3" w:rsidRDefault="00D1055D" w:rsidP="00AC4CAC">
            <w:pPr>
              <w:spacing w:before="60" w:after="0"/>
              <w:jc w:val="both"/>
              <w:rPr>
                <w:rFonts w:asciiTheme="minorHAnsi" w:hAnsiTheme="minorHAnsi" w:cstheme="minorHAnsi"/>
                <w:color w:val="822B6A"/>
                <w:sz w:val="20"/>
                <w:szCs w:val="20"/>
                <w:u w:val="none"/>
              </w:rPr>
            </w:pPr>
            <w:r w:rsidRPr="00705BD3">
              <w:rPr>
                <w:rFonts w:asciiTheme="minorHAnsi" w:hAnsiTheme="minorHAnsi" w:cstheme="minorHAnsi"/>
                <w:color w:val="822B6A"/>
                <w:sz w:val="20"/>
                <w:szCs w:val="20"/>
                <w:u w:val="none"/>
              </w:rPr>
              <w:t>MH</w:t>
            </w:r>
            <w:r w:rsidR="00D707AE">
              <w:rPr>
                <w:rFonts w:asciiTheme="minorHAnsi" w:hAnsiTheme="minorHAnsi" w:cstheme="minorHAnsi"/>
                <w:color w:val="822B6A"/>
                <w:sz w:val="20"/>
                <w:szCs w:val="20"/>
                <w:u w:val="none"/>
              </w:rPr>
              <w:t>VF</w:t>
            </w:r>
          </w:p>
        </w:tc>
        <w:tc>
          <w:tcPr>
            <w:tcW w:w="8786" w:type="dxa"/>
            <w:shd w:val="clear" w:color="auto" w:fill="auto"/>
            <w:noWrap/>
          </w:tcPr>
          <w:p w14:paraId="619BA99B" w14:textId="5EE57345" w:rsidR="00D1055D" w:rsidRPr="00705BD3" w:rsidRDefault="00D1055D" w:rsidP="00AC4CAC">
            <w:pPr>
              <w:spacing w:before="60" w:after="0"/>
              <w:jc w:val="both"/>
              <w:rPr>
                <w:rFonts w:asciiTheme="minorHAnsi" w:hAnsiTheme="minorHAnsi" w:cstheme="minorHAnsi"/>
                <w:b w:val="0"/>
                <w:color w:val="000000" w:themeColor="text1"/>
                <w:sz w:val="20"/>
                <w:szCs w:val="20"/>
                <w:u w:val="none"/>
              </w:rPr>
            </w:pPr>
            <w:r w:rsidRPr="00705BD3">
              <w:rPr>
                <w:rFonts w:asciiTheme="minorHAnsi" w:hAnsiTheme="minorHAnsi" w:cstheme="minorHAnsi"/>
                <w:b w:val="0"/>
                <w:i/>
                <w:color w:val="000000" w:themeColor="text1"/>
                <w:sz w:val="20"/>
                <w:szCs w:val="20"/>
                <w:u w:val="none"/>
              </w:rPr>
              <w:t>Mane Ho Vizaun Foun</w:t>
            </w:r>
            <w:r w:rsidRPr="00705BD3">
              <w:rPr>
                <w:rFonts w:asciiTheme="minorHAnsi" w:hAnsiTheme="minorHAnsi" w:cstheme="minorHAnsi"/>
                <w:b w:val="0"/>
                <w:color w:val="000000" w:themeColor="text1"/>
                <w:sz w:val="20"/>
                <w:szCs w:val="20"/>
                <w:u w:val="none"/>
              </w:rPr>
              <w:t xml:space="preserve"> (Men With a New Vision)</w:t>
            </w:r>
          </w:p>
        </w:tc>
      </w:tr>
      <w:tr w:rsidR="000008B5" w:rsidRPr="00A743FF" w14:paraId="54E03B06" w14:textId="77777777" w:rsidTr="0021134C">
        <w:trPr>
          <w:trHeight w:val="295"/>
        </w:trPr>
        <w:tc>
          <w:tcPr>
            <w:tcW w:w="1195" w:type="dxa"/>
            <w:shd w:val="clear" w:color="auto" w:fill="auto"/>
            <w:noWrap/>
          </w:tcPr>
          <w:p w14:paraId="5D4EB851" w14:textId="77777777" w:rsidR="000008B5" w:rsidRPr="00705BD3" w:rsidRDefault="000008B5" w:rsidP="00AC4CAC">
            <w:pPr>
              <w:spacing w:before="60" w:after="0"/>
              <w:jc w:val="both"/>
              <w:rPr>
                <w:rFonts w:asciiTheme="minorHAnsi" w:hAnsiTheme="minorHAnsi" w:cstheme="minorHAnsi"/>
                <w:color w:val="822B6A"/>
                <w:sz w:val="20"/>
                <w:szCs w:val="20"/>
                <w:u w:val="none"/>
              </w:rPr>
            </w:pPr>
            <w:r w:rsidRPr="00705BD3">
              <w:rPr>
                <w:rFonts w:asciiTheme="minorHAnsi" w:hAnsiTheme="minorHAnsi" w:cstheme="minorHAnsi"/>
                <w:color w:val="822B6A"/>
                <w:sz w:val="20"/>
                <w:szCs w:val="20"/>
                <w:u w:val="none"/>
              </w:rPr>
              <w:t xml:space="preserve">MO </w:t>
            </w:r>
          </w:p>
        </w:tc>
        <w:tc>
          <w:tcPr>
            <w:tcW w:w="8786" w:type="dxa"/>
            <w:shd w:val="clear" w:color="auto" w:fill="auto"/>
            <w:noWrap/>
          </w:tcPr>
          <w:p w14:paraId="3001ECA5" w14:textId="77777777" w:rsidR="000008B5" w:rsidRPr="00705BD3" w:rsidRDefault="009202ED" w:rsidP="00AC4CAC">
            <w:pPr>
              <w:spacing w:before="60" w:after="0"/>
              <w:jc w:val="both"/>
              <w:rPr>
                <w:rFonts w:asciiTheme="minorHAnsi" w:hAnsiTheme="minorHAnsi" w:cstheme="minorHAnsi"/>
                <w:b w:val="0"/>
                <w:color w:val="000000" w:themeColor="text1"/>
                <w:sz w:val="20"/>
                <w:szCs w:val="20"/>
                <w:u w:val="none"/>
              </w:rPr>
            </w:pPr>
            <w:r w:rsidRPr="00705BD3">
              <w:rPr>
                <w:rFonts w:asciiTheme="minorHAnsi" w:hAnsiTheme="minorHAnsi" w:cstheme="minorHAnsi"/>
                <w:b w:val="0"/>
                <w:color w:val="000000" w:themeColor="text1"/>
                <w:sz w:val="20"/>
                <w:szCs w:val="20"/>
                <w:u w:val="none"/>
              </w:rPr>
              <w:t>Municipal Officer</w:t>
            </w:r>
          </w:p>
        </w:tc>
      </w:tr>
      <w:tr w:rsidR="000008B5" w:rsidRPr="00A743FF" w14:paraId="4D284257" w14:textId="77777777" w:rsidTr="0021134C">
        <w:trPr>
          <w:trHeight w:val="295"/>
        </w:trPr>
        <w:tc>
          <w:tcPr>
            <w:tcW w:w="1195" w:type="dxa"/>
            <w:shd w:val="clear" w:color="auto" w:fill="auto"/>
            <w:noWrap/>
          </w:tcPr>
          <w:p w14:paraId="39454127" w14:textId="77777777" w:rsidR="000008B5" w:rsidRPr="00705BD3" w:rsidRDefault="000008B5" w:rsidP="00AC4CAC">
            <w:pPr>
              <w:spacing w:before="60" w:after="0"/>
              <w:jc w:val="both"/>
              <w:rPr>
                <w:rFonts w:asciiTheme="minorHAnsi" w:hAnsiTheme="minorHAnsi" w:cstheme="minorHAnsi"/>
                <w:color w:val="822B6A"/>
                <w:sz w:val="20"/>
                <w:szCs w:val="20"/>
                <w:u w:val="none"/>
              </w:rPr>
            </w:pPr>
            <w:r w:rsidRPr="00705BD3">
              <w:rPr>
                <w:rFonts w:asciiTheme="minorHAnsi" w:hAnsiTheme="minorHAnsi" w:cstheme="minorHAnsi"/>
                <w:color w:val="822B6A"/>
                <w:sz w:val="20"/>
                <w:szCs w:val="20"/>
                <w:u w:val="none"/>
              </w:rPr>
              <w:t>MSS</w:t>
            </w:r>
            <w:r w:rsidR="00A34B98" w:rsidRPr="00705BD3">
              <w:rPr>
                <w:rFonts w:asciiTheme="minorHAnsi" w:hAnsiTheme="minorHAnsi" w:cstheme="minorHAnsi"/>
                <w:color w:val="822B6A"/>
                <w:sz w:val="20"/>
                <w:szCs w:val="20"/>
                <w:u w:val="none"/>
              </w:rPr>
              <w:t>I</w:t>
            </w:r>
            <w:r w:rsidRPr="00705BD3">
              <w:rPr>
                <w:rFonts w:asciiTheme="minorHAnsi" w:hAnsiTheme="minorHAnsi" w:cstheme="minorHAnsi"/>
                <w:color w:val="822B6A"/>
                <w:sz w:val="20"/>
                <w:szCs w:val="20"/>
                <w:u w:val="none"/>
              </w:rPr>
              <w:t xml:space="preserve"> </w:t>
            </w:r>
          </w:p>
        </w:tc>
        <w:tc>
          <w:tcPr>
            <w:tcW w:w="8786" w:type="dxa"/>
            <w:shd w:val="clear" w:color="auto" w:fill="auto"/>
            <w:noWrap/>
          </w:tcPr>
          <w:p w14:paraId="30E14531" w14:textId="77777777" w:rsidR="000008B5" w:rsidRPr="00705BD3" w:rsidRDefault="00A34B98" w:rsidP="00AC4CAC">
            <w:pPr>
              <w:spacing w:before="60" w:after="0"/>
              <w:jc w:val="both"/>
              <w:rPr>
                <w:rFonts w:asciiTheme="minorHAnsi" w:hAnsiTheme="minorHAnsi" w:cstheme="minorHAnsi"/>
                <w:b w:val="0"/>
                <w:color w:val="000000" w:themeColor="text1"/>
                <w:sz w:val="20"/>
                <w:szCs w:val="20"/>
                <w:u w:val="none"/>
                <w:shd w:val="clear" w:color="auto" w:fill="FFFFFF"/>
              </w:rPr>
            </w:pPr>
            <w:r w:rsidRPr="00705BD3">
              <w:rPr>
                <w:rFonts w:asciiTheme="minorHAnsi" w:hAnsiTheme="minorHAnsi" w:cstheme="minorHAnsi"/>
                <w:b w:val="0"/>
                <w:color w:val="000000" w:themeColor="text1"/>
                <w:sz w:val="20"/>
                <w:szCs w:val="20"/>
                <w:u w:val="none"/>
                <w:shd w:val="clear" w:color="auto" w:fill="FFFFFF"/>
              </w:rPr>
              <w:t>Ministry of Social Solidarity and Inclusion</w:t>
            </w:r>
          </w:p>
        </w:tc>
      </w:tr>
      <w:tr w:rsidR="000008B5" w:rsidRPr="00A743FF" w14:paraId="5C0167FE" w14:textId="77777777" w:rsidTr="0021134C">
        <w:trPr>
          <w:trHeight w:val="295"/>
        </w:trPr>
        <w:tc>
          <w:tcPr>
            <w:tcW w:w="1195" w:type="dxa"/>
            <w:shd w:val="clear" w:color="auto" w:fill="auto"/>
            <w:noWrap/>
          </w:tcPr>
          <w:p w14:paraId="1C85DFC5" w14:textId="77777777" w:rsidR="000008B5" w:rsidRPr="00705BD3" w:rsidRDefault="000008B5" w:rsidP="00AC4CAC">
            <w:pPr>
              <w:spacing w:before="60" w:after="0"/>
              <w:jc w:val="both"/>
              <w:rPr>
                <w:rFonts w:asciiTheme="minorHAnsi" w:hAnsiTheme="minorHAnsi" w:cstheme="minorHAnsi"/>
                <w:color w:val="822B6A"/>
                <w:sz w:val="20"/>
                <w:szCs w:val="20"/>
                <w:u w:val="none"/>
              </w:rPr>
            </w:pPr>
            <w:r w:rsidRPr="00705BD3">
              <w:rPr>
                <w:rFonts w:asciiTheme="minorHAnsi" w:hAnsiTheme="minorHAnsi" w:cstheme="minorHAnsi"/>
                <w:color w:val="822B6A"/>
                <w:sz w:val="20"/>
                <w:szCs w:val="20"/>
                <w:u w:val="none"/>
              </w:rPr>
              <w:t xml:space="preserve">NAP-GBV </w:t>
            </w:r>
          </w:p>
        </w:tc>
        <w:tc>
          <w:tcPr>
            <w:tcW w:w="8786" w:type="dxa"/>
            <w:shd w:val="clear" w:color="auto" w:fill="auto"/>
            <w:noWrap/>
          </w:tcPr>
          <w:p w14:paraId="56E64C13" w14:textId="4906990B" w:rsidR="000008B5" w:rsidRPr="00705BD3" w:rsidRDefault="000008B5" w:rsidP="009C25E4">
            <w:pPr>
              <w:spacing w:before="60" w:after="0"/>
              <w:jc w:val="both"/>
              <w:rPr>
                <w:rFonts w:asciiTheme="minorHAnsi" w:hAnsiTheme="minorHAnsi" w:cstheme="minorHAnsi"/>
                <w:b w:val="0"/>
                <w:color w:val="000000" w:themeColor="text1"/>
                <w:sz w:val="20"/>
                <w:szCs w:val="20"/>
                <w:u w:val="none"/>
                <w:shd w:val="clear" w:color="auto" w:fill="FFFFFF"/>
              </w:rPr>
            </w:pPr>
            <w:r w:rsidRPr="00705BD3">
              <w:rPr>
                <w:rFonts w:asciiTheme="minorHAnsi" w:hAnsiTheme="minorHAnsi" w:cstheme="minorHAnsi"/>
                <w:b w:val="0"/>
                <w:color w:val="000000" w:themeColor="text1"/>
                <w:sz w:val="20"/>
                <w:szCs w:val="20"/>
                <w:u w:val="none"/>
              </w:rPr>
              <w:t xml:space="preserve">National Action Plan </w:t>
            </w:r>
            <w:r w:rsidR="009C25E4">
              <w:rPr>
                <w:rFonts w:asciiTheme="minorHAnsi" w:hAnsiTheme="minorHAnsi" w:cstheme="minorHAnsi"/>
                <w:b w:val="0"/>
                <w:color w:val="000000" w:themeColor="text1"/>
                <w:sz w:val="20"/>
                <w:szCs w:val="20"/>
                <w:u w:val="none"/>
              </w:rPr>
              <w:t>Against</w:t>
            </w:r>
            <w:r w:rsidR="009C25E4" w:rsidRPr="00705BD3">
              <w:rPr>
                <w:rFonts w:asciiTheme="minorHAnsi" w:hAnsiTheme="minorHAnsi" w:cstheme="minorHAnsi"/>
                <w:b w:val="0"/>
                <w:color w:val="000000" w:themeColor="text1"/>
                <w:sz w:val="20"/>
                <w:szCs w:val="20"/>
                <w:u w:val="none"/>
              </w:rPr>
              <w:t xml:space="preserve"> </w:t>
            </w:r>
            <w:r w:rsidRPr="00705BD3">
              <w:rPr>
                <w:rFonts w:asciiTheme="minorHAnsi" w:hAnsiTheme="minorHAnsi" w:cstheme="minorHAnsi"/>
                <w:b w:val="0"/>
                <w:color w:val="000000" w:themeColor="text1"/>
                <w:sz w:val="20"/>
                <w:szCs w:val="20"/>
                <w:u w:val="none"/>
              </w:rPr>
              <w:t>Gender-Based Violence</w:t>
            </w:r>
          </w:p>
        </w:tc>
      </w:tr>
      <w:tr w:rsidR="00456101" w:rsidRPr="00A743FF" w14:paraId="5CDCEFA5" w14:textId="77777777" w:rsidTr="0021134C">
        <w:trPr>
          <w:trHeight w:val="295"/>
        </w:trPr>
        <w:tc>
          <w:tcPr>
            <w:tcW w:w="1195" w:type="dxa"/>
            <w:shd w:val="clear" w:color="auto" w:fill="auto"/>
            <w:noWrap/>
          </w:tcPr>
          <w:p w14:paraId="27B09A8A" w14:textId="1AA7DD2B" w:rsidR="00456101" w:rsidRPr="00705BD3" w:rsidRDefault="00456101" w:rsidP="00AC4CAC">
            <w:pPr>
              <w:spacing w:before="60" w:after="0"/>
              <w:jc w:val="both"/>
              <w:rPr>
                <w:rFonts w:asciiTheme="minorHAnsi" w:hAnsiTheme="minorHAnsi" w:cstheme="minorHAnsi"/>
                <w:color w:val="822B6A"/>
                <w:sz w:val="20"/>
                <w:szCs w:val="20"/>
                <w:u w:val="none"/>
              </w:rPr>
            </w:pPr>
            <w:r w:rsidRPr="00705BD3">
              <w:rPr>
                <w:rFonts w:asciiTheme="minorHAnsi" w:hAnsiTheme="minorHAnsi" w:cstheme="minorHAnsi"/>
                <w:color w:val="822B6A"/>
                <w:sz w:val="20"/>
                <w:szCs w:val="20"/>
                <w:u w:val="none"/>
              </w:rPr>
              <w:t>ODE</w:t>
            </w:r>
          </w:p>
        </w:tc>
        <w:tc>
          <w:tcPr>
            <w:tcW w:w="8786" w:type="dxa"/>
            <w:shd w:val="clear" w:color="auto" w:fill="auto"/>
            <w:noWrap/>
          </w:tcPr>
          <w:p w14:paraId="3D25593B" w14:textId="09ABD635" w:rsidR="00456101" w:rsidRPr="00705BD3" w:rsidRDefault="00456101" w:rsidP="00AC4CAC">
            <w:pPr>
              <w:spacing w:before="60" w:after="0"/>
              <w:jc w:val="both"/>
              <w:rPr>
                <w:rFonts w:asciiTheme="minorHAnsi" w:hAnsiTheme="minorHAnsi" w:cstheme="minorHAnsi"/>
                <w:b w:val="0"/>
                <w:color w:val="000000" w:themeColor="text1"/>
                <w:sz w:val="20"/>
                <w:szCs w:val="20"/>
                <w:u w:val="none"/>
              </w:rPr>
            </w:pPr>
            <w:r w:rsidRPr="00705BD3">
              <w:rPr>
                <w:rFonts w:asciiTheme="minorHAnsi" w:hAnsiTheme="minorHAnsi" w:cstheme="minorHAnsi"/>
                <w:b w:val="0"/>
                <w:color w:val="000000" w:themeColor="text1"/>
                <w:sz w:val="20"/>
                <w:szCs w:val="20"/>
                <w:u w:val="none"/>
              </w:rPr>
              <w:t>Office of Development Effectiveness (DFAT)</w:t>
            </w:r>
          </w:p>
        </w:tc>
      </w:tr>
      <w:tr w:rsidR="000008B5" w:rsidRPr="00A743FF" w14:paraId="4DC7C9A5" w14:textId="77777777" w:rsidTr="0021134C">
        <w:trPr>
          <w:trHeight w:val="295"/>
        </w:trPr>
        <w:tc>
          <w:tcPr>
            <w:tcW w:w="1195" w:type="dxa"/>
            <w:shd w:val="clear" w:color="auto" w:fill="auto"/>
            <w:noWrap/>
          </w:tcPr>
          <w:p w14:paraId="3CFF551D" w14:textId="77777777" w:rsidR="000008B5" w:rsidRPr="00705BD3" w:rsidRDefault="000008B5" w:rsidP="00AC4CAC">
            <w:pPr>
              <w:spacing w:before="60" w:after="0"/>
              <w:jc w:val="both"/>
              <w:rPr>
                <w:rFonts w:asciiTheme="minorHAnsi" w:hAnsiTheme="minorHAnsi" w:cstheme="minorHAnsi"/>
                <w:color w:val="822B6A"/>
                <w:sz w:val="20"/>
                <w:szCs w:val="20"/>
                <w:u w:val="none"/>
              </w:rPr>
            </w:pPr>
            <w:r w:rsidRPr="00705BD3">
              <w:rPr>
                <w:rFonts w:asciiTheme="minorHAnsi" w:hAnsiTheme="minorHAnsi" w:cstheme="minorHAnsi"/>
                <w:color w:val="822B6A"/>
                <w:sz w:val="20"/>
                <w:szCs w:val="20"/>
                <w:u w:val="none"/>
              </w:rPr>
              <w:t xml:space="preserve">OIS </w:t>
            </w:r>
          </w:p>
        </w:tc>
        <w:tc>
          <w:tcPr>
            <w:tcW w:w="8786" w:type="dxa"/>
            <w:shd w:val="clear" w:color="auto" w:fill="auto"/>
            <w:noWrap/>
          </w:tcPr>
          <w:p w14:paraId="2A710B35" w14:textId="77777777" w:rsidR="000008B5" w:rsidRPr="00705BD3" w:rsidRDefault="002D696B" w:rsidP="00AC4CAC">
            <w:pPr>
              <w:spacing w:before="60" w:after="0"/>
              <w:jc w:val="both"/>
              <w:rPr>
                <w:rFonts w:asciiTheme="minorHAnsi" w:hAnsiTheme="minorHAnsi" w:cstheme="minorHAnsi"/>
                <w:b w:val="0"/>
                <w:color w:val="000000" w:themeColor="text1"/>
                <w:sz w:val="20"/>
                <w:szCs w:val="20"/>
                <w:u w:val="none"/>
              </w:rPr>
            </w:pPr>
            <w:r w:rsidRPr="00705BD3">
              <w:rPr>
                <w:rFonts w:asciiTheme="minorHAnsi" w:hAnsiTheme="minorHAnsi" w:cstheme="minorHAnsi"/>
                <w:b w:val="0"/>
                <w:color w:val="000000" w:themeColor="text1"/>
                <w:sz w:val="20"/>
                <w:szCs w:val="20"/>
                <w:u w:val="none"/>
              </w:rPr>
              <w:t>Organisational and institutional strengthening</w:t>
            </w:r>
          </w:p>
        </w:tc>
      </w:tr>
      <w:tr w:rsidR="000008B5" w:rsidRPr="00A743FF" w14:paraId="0A8B778C" w14:textId="77777777" w:rsidTr="002D696B">
        <w:trPr>
          <w:trHeight w:val="295"/>
        </w:trPr>
        <w:tc>
          <w:tcPr>
            <w:tcW w:w="1195" w:type="dxa"/>
            <w:tcBorders>
              <w:top w:val="single" w:sz="4" w:space="0" w:color="2D2D42"/>
              <w:bottom w:val="single" w:sz="4" w:space="0" w:color="auto"/>
            </w:tcBorders>
            <w:shd w:val="clear" w:color="auto" w:fill="auto"/>
            <w:noWrap/>
          </w:tcPr>
          <w:p w14:paraId="04531BD7" w14:textId="77777777" w:rsidR="000008B5" w:rsidRPr="00705BD3" w:rsidRDefault="000008B5" w:rsidP="00AC4CAC">
            <w:pPr>
              <w:spacing w:before="60" w:after="0"/>
              <w:jc w:val="both"/>
              <w:rPr>
                <w:rFonts w:asciiTheme="minorHAnsi" w:hAnsiTheme="minorHAnsi" w:cstheme="minorHAnsi"/>
                <w:color w:val="822B6A"/>
                <w:sz w:val="20"/>
                <w:szCs w:val="20"/>
                <w:u w:val="none"/>
              </w:rPr>
            </w:pPr>
            <w:r w:rsidRPr="00705BD3">
              <w:rPr>
                <w:rFonts w:asciiTheme="minorHAnsi" w:hAnsiTheme="minorHAnsi" w:cstheme="minorHAnsi"/>
                <w:color w:val="822B6A"/>
                <w:sz w:val="20"/>
                <w:szCs w:val="20"/>
                <w:u w:val="none"/>
              </w:rPr>
              <w:t xml:space="preserve">PDC </w:t>
            </w:r>
          </w:p>
        </w:tc>
        <w:tc>
          <w:tcPr>
            <w:tcW w:w="8786" w:type="dxa"/>
            <w:tcBorders>
              <w:top w:val="single" w:sz="4" w:space="0" w:color="2D2D42"/>
              <w:bottom w:val="single" w:sz="4" w:space="0" w:color="auto"/>
            </w:tcBorders>
            <w:shd w:val="clear" w:color="auto" w:fill="auto"/>
            <w:noWrap/>
          </w:tcPr>
          <w:p w14:paraId="035FBABC" w14:textId="77777777" w:rsidR="000008B5" w:rsidRPr="00705BD3" w:rsidRDefault="002D696B" w:rsidP="00AC4CAC">
            <w:pPr>
              <w:spacing w:before="60" w:after="0"/>
              <w:jc w:val="both"/>
              <w:rPr>
                <w:rFonts w:asciiTheme="minorHAnsi" w:hAnsiTheme="minorHAnsi" w:cstheme="minorHAnsi"/>
                <w:b w:val="0"/>
                <w:color w:val="000000" w:themeColor="text1"/>
                <w:sz w:val="20"/>
                <w:szCs w:val="20"/>
                <w:u w:val="none"/>
              </w:rPr>
            </w:pPr>
            <w:r w:rsidRPr="00705BD3">
              <w:rPr>
                <w:rFonts w:asciiTheme="minorHAnsi" w:hAnsiTheme="minorHAnsi" w:cstheme="minorHAnsi"/>
                <w:b w:val="0"/>
                <w:color w:val="000000" w:themeColor="text1"/>
                <w:sz w:val="20"/>
                <w:szCs w:val="20"/>
                <w:u w:val="none"/>
              </w:rPr>
              <w:t>Personal Development Courses</w:t>
            </w:r>
          </w:p>
        </w:tc>
      </w:tr>
      <w:tr w:rsidR="000008B5" w:rsidRPr="00A743FF" w14:paraId="675C7F4A" w14:textId="77777777" w:rsidTr="0021134C">
        <w:trPr>
          <w:trHeight w:val="295"/>
        </w:trPr>
        <w:tc>
          <w:tcPr>
            <w:tcW w:w="1195" w:type="dxa"/>
            <w:shd w:val="clear" w:color="auto" w:fill="auto"/>
            <w:noWrap/>
          </w:tcPr>
          <w:p w14:paraId="6F7FFB64" w14:textId="77777777" w:rsidR="000008B5" w:rsidRPr="00705BD3" w:rsidRDefault="000008B5" w:rsidP="00AC4CAC">
            <w:pPr>
              <w:spacing w:before="60" w:after="0"/>
              <w:jc w:val="both"/>
              <w:rPr>
                <w:rFonts w:asciiTheme="minorHAnsi" w:hAnsiTheme="minorHAnsi" w:cstheme="minorHAnsi"/>
                <w:color w:val="822B6A"/>
                <w:sz w:val="20"/>
                <w:szCs w:val="20"/>
                <w:u w:val="none"/>
              </w:rPr>
            </w:pPr>
            <w:r w:rsidRPr="00705BD3">
              <w:rPr>
                <w:rFonts w:asciiTheme="minorHAnsi" w:hAnsiTheme="minorHAnsi" w:cstheme="minorHAnsi"/>
                <w:color w:val="822B6A"/>
                <w:sz w:val="20"/>
                <w:szCs w:val="20"/>
                <w:u w:val="none"/>
              </w:rPr>
              <w:t>PNDS</w:t>
            </w:r>
          </w:p>
        </w:tc>
        <w:tc>
          <w:tcPr>
            <w:tcW w:w="8786" w:type="dxa"/>
            <w:shd w:val="clear" w:color="auto" w:fill="auto"/>
            <w:noWrap/>
          </w:tcPr>
          <w:p w14:paraId="1BDC23F7" w14:textId="77777777" w:rsidR="000008B5" w:rsidRPr="00705BD3" w:rsidRDefault="002D696B" w:rsidP="00AC4CAC">
            <w:pPr>
              <w:spacing w:before="60" w:after="0"/>
              <w:jc w:val="both"/>
              <w:rPr>
                <w:rFonts w:asciiTheme="minorHAnsi" w:hAnsiTheme="minorHAnsi" w:cstheme="minorHAnsi"/>
                <w:b w:val="0"/>
                <w:color w:val="000000" w:themeColor="text1"/>
                <w:sz w:val="20"/>
                <w:szCs w:val="20"/>
                <w:u w:val="none"/>
              </w:rPr>
            </w:pPr>
            <w:r w:rsidRPr="00705BD3">
              <w:rPr>
                <w:rFonts w:asciiTheme="minorHAnsi" w:hAnsiTheme="minorHAnsi" w:cstheme="minorHAnsi"/>
                <w:b w:val="0"/>
                <w:color w:val="000000" w:themeColor="text1"/>
                <w:sz w:val="20"/>
                <w:szCs w:val="20"/>
                <w:u w:val="none"/>
              </w:rPr>
              <w:t>Programa Nasional Dezenvolvimentu Suku (National Suku Development Program)</w:t>
            </w:r>
          </w:p>
        </w:tc>
      </w:tr>
      <w:tr w:rsidR="000008B5" w:rsidRPr="00A743FF" w14:paraId="7968FEC9" w14:textId="77777777" w:rsidTr="0021134C">
        <w:trPr>
          <w:trHeight w:val="295"/>
        </w:trPr>
        <w:tc>
          <w:tcPr>
            <w:tcW w:w="1195" w:type="dxa"/>
            <w:shd w:val="clear" w:color="auto" w:fill="auto"/>
            <w:noWrap/>
          </w:tcPr>
          <w:p w14:paraId="73816B18" w14:textId="77777777" w:rsidR="000008B5" w:rsidRPr="00705BD3" w:rsidRDefault="000008B5" w:rsidP="00AC4CAC">
            <w:pPr>
              <w:spacing w:before="60" w:after="0"/>
              <w:jc w:val="both"/>
              <w:rPr>
                <w:rFonts w:asciiTheme="minorHAnsi" w:hAnsiTheme="minorHAnsi" w:cstheme="minorHAnsi"/>
                <w:color w:val="822B6A"/>
                <w:sz w:val="20"/>
                <w:szCs w:val="20"/>
                <w:u w:val="none"/>
              </w:rPr>
            </w:pPr>
            <w:r w:rsidRPr="00705BD3">
              <w:rPr>
                <w:rFonts w:asciiTheme="minorHAnsi" w:hAnsiTheme="minorHAnsi" w:cstheme="minorHAnsi"/>
                <w:color w:val="822B6A"/>
                <w:sz w:val="20"/>
                <w:szCs w:val="20"/>
                <w:u w:val="none"/>
              </w:rPr>
              <w:t xml:space="preserve">PRADET </w:t>
            </w:r>
          </w:p>
        </w:tc>
        <w:tc>
          <w:tcPr>
            <w:tcW w:w="8786" w:type="dxa"/>
            <w:shd w:val="clear" w:color="auto" w:fill="auto"/>
            <w:noWrap/>
          </w:tcPr>
          <w:p w14:paraId="46F67EBD" w14:textId="77777777" w:rsidR="000008B5" w:rsidRPr="00705BD3" w:rsidRDefault="000008B5" w:rsidP="00AC4CAC">
            <w:pPr>
              <w:spacing w:before="60" w:after="0"/>
              <w:jc w:val="both"/>
              <w:rPr>
                <w:rFonts w:asciiTheme="minorHAnsi" w:hAnsiTheme="minorHAnsi" w:cstheme="minorHAnsi"/>
                <w:b w:val="0"/>
                <w:color w:val="000000" w:themeColor="text1"/>
                <w:sz w:val="20"/>
                <w:szCs w:val="20"/>
                <w:u w:val="none"/>
              </w:rPr>
            </w:pPr>
            <w:r w:rsidRPr="00705BD3">
              <w:rPr>
                <w:rFonts w:asciiTheme="minorHAnsi" w:hAnsiTheme="minorHAnsi" w:cstheme="minorHAnsi"/>
                <w:b w:val="0"/>
                <w:color w:val="000000" w:themeColor="text1"/>
                <w:sz w:val="20"/>
                <w:szCs w:val="20"/>
                <w:u w:val="none"/>
              </w:rPr>
              <w:t>Psychosocial Recovery and Development in East Timor</w:t>
            </w:r>
          </w:p>
        </w:tc>
      </w:tr>
      <w:tr w:rsidR="00456101" w:rsidRPr="00A743FF" w14:paraId="71E22799" w14:textId="77777777" w:rsidTr="0021134C">
        <w:trPr>
          <w:trHeight w:val="295"/>
        </w:trPr>
        <w:tc>
          <w:tcPr>
            <w:tcW w:w="1195" w:type="dxa"/>
            <w:shd w:val="clear" w:color="auto" w:fill="auto"/>
            <w:noWrap/>
          </w:tcPr>
          <w:p w14:paraId="78A18EFC" w14:textId="7F1031C6" w:rsidR="00456101" w:rsidRPr="00705BD3" w:rsidRDefault="00456101" w:rsidP="00AC4CAC">
            <w:pPr>
              <w:spacing w:before="60" w:after="0"/>
              <w:jc w:val="both"/>
              <w:rPr>
                <w:rFonts w:asciiTheme="minorHAnsi" w:hAnsiTheme="minorHAnsi" w:cstheme="minorHAnsi"/>
                <w:color w:val="822B6A"/>
                <w:sz w:val="20"/>
                <w:szCs w:val="20"/>
                <w:u w:val="none"/>
              </w:rPr>
            </w:pPr>
            <w:r w:rsidRPr="00705BD3">
              <w:rPr>
                <w:rFonts w:asciiTheme="minorHAnsi" w:hAnsiTheme="minorHAnsi" w:cstheme="minorHAnsi"/>
                <w:color w:val="822B6A"/>
                <w:sz w:val="20"/>
                <w:szCs w:val="20"/>
                <w:u w:val="none"/>
              </w:rPr>
              <w:t>RAS</w:t>
            </w:r>
          </w:p>
        </w:tc>
        <w:tc>
          <w:tcPr>
            <w:tcW w:w="8786" w:type="dxa"/>
            <w:shd w:val="clear" w:color="auto" w:fill="auto"/>
            <w:noWrap/>
          </w:tcPr>
          <w:p w14:paraId="68F74A16" w14:textId="5B108149" w:rsidR="00456101" w:rsidRPr="00705BD3" w:rsidRDefault="00456101" w:rsidP="00AC4CAC">
            <w:pPr>
              <w:spacing w:before="60" w:after="0"/>
              <w:jc w:val="both"/>
              <w:rPr>
                <w:rFonts w:asciiTheme="minorHAnsi" w:hAnsiTheme="minorHAnsi" w:cstheme="minorHAnsi"/>
                <w:b w:val="0"/>
                <w:color w:val="000000" w:themeColor="text1"/>
                <w:sz w:val="20"/>
                <w:szCs w:val="20"/>
                <w:u w:val="none"/>
              </w:rPr>
            </w:pPr>
            <w:r w:rsidRPr="00705BD3">
              <w:rPr>
                <w:rFonts w:asciiTheme="minorHAnsi" w:hAnsiTheme="minorHAnsi" w:cstheme="minorHAnsi"/>
                <w:b w:val="0"/>
                <w:color w:val="000000" w:themeColor="text1"/>
                <w:sz w:val="20"/>
                <w:szCs w:val="20"/>
                <w:u w:val="none"/>
              </w:rPr>
              <w:t>Rapid Assessment Survey</w:t>
            </w:r>
          </w:p>
        </w:tc>
      </w:tr>
      <w:tr w:rsidR="00E73380" w:rsidRPr="00A743FF" w14:paraId="5278328D" w14:textId="77777777" w:rsidTr="0021134C">
        <w:trPr>
          <w:trHeight w:val="295"/>
        </w:trPr>
        <w:tc>
          <w:tcPr>
            <w:tcW w:w="1195" w:type="dxa"/>
            <w:shd w:val="clear" w:color="auto" w:fill="auto"/>
            <w:noWrap/>
          </w:tcPr>
          <w:p w14:paraId="41B41ECA" w14:textId="15CBC2BE" w:rsidR="00E73380" w:rsidRPr="00705BD3" w:rsidRDefault="00E73380" w:rsidP="00AC4CAC">
            <w:pPr>
              <w:spacing w:before="60" w:after="0"/>
              <w:jc w:val="both"/>
              <w:rPr>
                <w:rFonts w:asciiTheme="minorHAnsi" w:hAnsiTheme="minorHAnsi" w:cstheme="minorHAnsi"/>
                <w:color w:val="822B6A"/>
                <w:sz w:val="20"/>
                <w:szCs w:val="20"/>
                <w:u w:val="none"/>
              </w:rPr>
            </w:pPr>
            <w:r w:rsidRPr="00705BD3">
              <w:rPr>
                <w:rFonts w:asciiTheme="minorHAnsi" w:hAnsiTheme="minorHAnsi" w:cstheme="minorHAnsi"/>
                <w:color w:val="822B6A"/>
                <w:sz w:val="20"/>
                <w:szCs w:val="20"/>
                <w:u w:val="none"/>
              </w:rPr>
              <w:t>SECOM</w:t>
            </w:r>
          </w:p>
        </w:tc>
        <w:tc>
          <w:tcPr>
            <w:tcW w:w="8786" w:type="dxa"/>
            <w:shd w:val="clear" w:color="auto" w:fill="auto"/>
            <w:noWrap/>
          </w:tcPr>
          <w:p w14:paraId="360E023A" w14:textId="35344F13" w:rsidR="00E73380" w:rsidRPr="00705BD3" w:rsidRDefault="00D1055D" w:rsidP="00AC4CAC">
            <w:pPr>
              <w:spacing w:before="60" w:after="0"/>
              <w:jc w:val="both"/>
              <w:rPr>
                <w:rFonts w:asciiTheme="minorHAnsi" w:hAnsiTheme="minorHAnsi" w:cstheme="minorHAnsi"/>
                <w:b w:val="0"/>
                <w:color w:val="000000" w:themeColor="text1"/>
                <w:sz w:val="20"/>
                <w:szCs w:val="20"/>
                <w:u w:val="none"/>
              </w:rPr>
            </w:pPr>
            <w:r w:rsidRPr="00705BD3">
              <w:rPr>
                <w:rFonts w:asciiTheme="minorHAnsi" w:hAnsiTheme="minorHAnsi" w:cstheme="minorHAnsi"/>
                <w:b w:val="0"/>
                <w:color w:val="000000" w:themeColor="text1"/>
                <w:sz w:val="20"/>
                <w:szCs w:val="20"/>
                <w:u w:val="none"/>
              </w:rPr>
              <w:t>Secretary of State for Social Communications</w:t>
            </w:r>
          </w:p>
        </w:tc>
      </w:tr>
      <w:tr w:rsidR="000008B5" w:rsidRPr="00A743FF" w14:paraId="2F277ED1" w14:textId="77777777" w:rsidTr="0021134C">
        <w:trPr>
          <w:trHeight w:val="295"/>
        </w:trPr>
        <w:tc>
          <w:tcPr>
            <w:tcW w:w="1195" w:type="dxa"/>
            <w:shd w:val="clear" w:color="auto" w:fill="auto"/>
            <w:noWrap/>
          </w:tcPr>
          <w:p w14:paraId="242A957F" w14:textId="77777777" w:rsidR="000008B5" w:rsidRPr="00705BD3" w:rsidRDefault="0079329B" w:rsidP="00AC4CAC">
            <w:pPr>
              <w:spacing w:before="60" w:after="0"/>
              <w:jc w:val="both"/>
              <w:rPr>
                <w:rFonts w:asciiTheme="minorHAnsi" w:hAnsiTheme="minorHAnsi" w:cstheme="minorHAnsi"/>
                <w:color w:val="822B6A"/>
                <w:sz w:val="20"/>
                <w:szCs w:val="20"/>
                <w:u w:val="none"/>
              </w:rPr>
            </w:pPr>
            <w:r w:rsidRPr="00705BD3">
              <w:rPr>
                <w:rFonts w:asciiTheme="minorHAnsi" w:hAnsiTheme="minorHAnsi" w:cstheme="minorHAnsi"/>
                <w:color w:val="822B6A"/>
                <w:sz w:val="20"/>
                <w:szCs w:val="20"/>
                <w:u w:val="none"/>
              </w:rPr>
              <w:t>SEII</w:t>
            </w:r>
          </w:p>
        </w:tc>
        <w:tc>
          <w:tcPr>
            <w:tcW w:w="8786" w:type="dxa"/>
            <w:shd w:val="clear" w:color="auto" w:fill="auto"/>
            <w:noWrap/>
          </w:tcPr>
          <w:p w14:paraId="10B5F292" w14:textId="77777777" w:rsidR="000008B5" w:rsidRPr="00705BD3" w:rsidRDefault="0079329B" w:rsidP="00AC4CAC">
            <w:pPr>
              <w:spacing w:before="60" w:after="0"/>
              <w:jc w:val="both"/>
              <w:rPr>
                <w:rFonts w:asciiTheme="minorHAnsi" w:hAnsiTheme="minorHAnsi" w:cstheme="minorHAnsi"/>
                <w:b w:val="0"/>
                <w:color w:val="000000" w:themeColor="text1"/>
                <w:sz w:val="20"/>
                <w:szCs w:val="20"/>
                <w:u w:val="none"/>
              </w:rPr>
            </w:pPr>
            <w:r w:rsidRPr="00705BD3">
              <w:rPr>
                <w:rFonts w:asciiTheme="minorHAnsi" w:hAnsiTheme="minorHAnsi" w:cstheme="minorHAnsi"/>
                <w:b w:val="0"/>
                <w:color w:val="000000" w:themeColor="text1"/>
                <w:sz w:val="20"/>
                <w:szCs w:val="20"/>
                <w:u w:val="none"/>
              </w:rPr>
              <w:t>Secretary of State for Equality and Inclusion</w:t>
            </w:r>
          </w:p>
        </w:tc>
      </w:tr>
      <w:tr w:rsidR="00046F7B" w:rsidRPr="00A743FF" w14:paraId="086D9FE4" w14:textId="77777777" w:rsidTr="0021134C">
        <w:trPr>
          <w:trHeight w:val="295"/>
        </w:trPr>
        <w:tc>
          <w:tcPr>
            <w:tcW w:w="1195" w:type="dxa"/>
            <w:shd w:val="clear" w:color="auto" w:fill="auto"/>
            <w:noWrap/>
          </w:tcPr>
          <w:p w14:paraId="6E201BC2" w14:textId="2C7C16C7" w:rsidR="00046F7B" w:rsidRPr="00705BD3" w:rsidRDefault="00046F7B" w:rsidP="00AC4CAC">
            <w:pPr>
              <w:spacing w:before="60" w:after="0"/>
              <w:jc w:val="both"/>
              <w:rPr>
                <w:rFonts w:asciiTheme="minorHAnsi" w:hAnsiTheme="minorHAnsi" w:cstheme="minorHAnsi"/>
                <w:color w:val="822B6A"/>
                <w:sz w:val="20"/>
                <w:szCs w:val="20"/>
                <w:u w:val="none"/>
              </w:rPr>
            </w:pPr>
            <w:r w:rsidRPr="00705BD3">
              <w:rPr>
                <w:rFonts w:asciiTheme="minorHAnsi" w:hAnsiTheme="minorHAnsi" w:cstheme="minorHAnsi"/>
                <w:color w:val="822B6A"/>
                <w:sz w:val="20"/>
                <w:szCs w:val="20"/>
                <w:u w:val="none"/>
              </w:rPr>
              <w:t>SOGIESC</w:t>
            </w:r>
          </w:p>
        </w:tc>
        <w:tc>
          <w:tcPr>
            <w:tcW w:w="8786" w:type="dxa"/>
            <w:shd w:val="clear" w:color="auto" w:fill="auto"/>
            <w:noWrap/>
          </w:tcPr>
          <w:p w14:paraId="60D5E2E0" w14:textId="44F4776C" w:rsidR="00046F7B" w:rsidRPr="00705BD3" w:rsidRDefault="00046F7B" w:rsidP="00AC4CAC">
            <w:pPr>
              <w:spacing w:before="60" w:after="0"/>
              <w:jc w:val="both"/>
              <w:rPr>
                <w:rFonts w:asciiTheme="minorHAnsi" w:hAnsiTheme="minorHAnsi" w:cstheme="minorHAnsi"/>
                <w:b w:val="0"/>
                <w:color w:val="000000" w:themeColor="text1"/>
                <w:sz w:val="20"/>
                <w:szCs w:val="20"/>
                <w:u w:val="none"/>
              </w:rPr>
            </w:pPr>
            <w:r w:rsidRPr="00705BD3">
              <w:rPr>
                <w:rFonts w:asciiTheme="minorHAnsi" w:hAnsiTheme="minorHAnsi" w:cstheme="minorHAnsi"/>
                <w:b w:val="0"/>
                <w:color w:val="000000" w:themeColor="text1"/>
                <w:sz w:val="20"/>
                <w:szCs w:val="20"/>
                <w:u w:val="none"/>
              </w:rPr>
              <w:t>Sexual Orientation, Gender Identity and Expression, and Sex Characteristics</w:t>
            </w:r>
          </w:p>
        </w:tc>
      </w:tr>
      <w:tr w:rsidR="00E73380" w:rsidRPr="00A743FF" w14:paraId="6A89766D" w14:textId="77777777" w:rsidTr="0021134C">
        <w:trPr>
          <w:trHeight w:val="295"/>
        </w:trPr>
        <w:tc>
          <w:tcPr>
            <w:tcW w:w="1195" w:type="dxa"/>
            <w:shd w:val="clear" w:color="auto" w:fill="auto"/>
            <w:noWrap/>
          </w:tcPr>
          <w:p w14:paraId="73BECA05" w14:textId="5ED85AC0" w:rsidR="00E73380" w:rsidRPr="00705BD3" w:rsidRDefault="00E73380" w:rsidP="00AC4CAC">
            <w:pPr>
              <w:spacing w:before="60" w:after="0"/>
              <w:jc w:val="both"/>
              <w:rPr>
                <w:rFonts w:asciiTheme="minorHAnsi" w:hAnsiTheme="minorHAnsi" w:cstheme="minorHAnsi"/>
                <w:color w:val="822B6A"/>
                <w:sz w:val="20"/>
                <w:szCs w:val="20"/>
                <w:u w:val="none"/>
              </w:rPr>
            </w:pPr>
            <w:r w:rsidRPr="00705BD3">
              <w:rPr>
                <w:rFonts w:asciiTheme="minorHAnsi" w:hAnsiTheme="minorHAnsi" w:cstheme="minorHAnsi"/>
                <w:color w:val="822B6A"/>
                <w:sz w:val="20"/>
                <w:szCs w:val="20"/>
                <w:u w:val="none"/>
              </w:rPr>
              <w:t>SSC</w:t>
            </w:r>
          </w:p>
        </w:tc>
        <w:tc>
          <w:tcPr>
            <w:tcW w:w="8786" w:type="dxa"/>
            <w:shd w:val="clear" w:color="auto" w:fill="auto"/>
            <w:noWrap/>
          </w:tcPr>
          <w:p w14:paraId="79591BB9" w14:textId="5BE49B5B" w:rsidR="00E73380" w:rsidRPr="00705BD3" w:rsidRDefault="00E73380" w:rsidP="00AC4CAC">
            <w:pPr>
              <w:spacing w:before="60" w:after="0"/>
              <w:jc w:val="both"/>
              <w:rPr>
                <w:rFonts w:asciiTheme="minorHAnsi" w:hAnsiTheme="minorHAnsi" w:cstheme="minorHAnsi"/>
                <w:b w:val="0"/>
                <w:color w:val="000000" w:themeColor="text1"/>
                <w:sz w:val="20"/>
                <w:szCs w:val="20"/>
                <w:u w:val="none"/>
              </w:rPr>
            </w:pPr>
            <w:r w:rsidRPr="00705BD3">
              <w:rPr>
                <w:rFonts w:asciiTheme="minorHAnsi" w:hAnsiTheme="minorHAnsi" w:cstheme="minorHAnsi"/>
                <w:b w:val="0"/>
                <w:color w:val="000000" w:themeColor="text1"/>
                <w:sz w:val="20"/>
                <w:szCs w:val="20"/>
                <w:u w:val="none"/>
              </w:rPr>
              <w:t>Stories of Significant Change</w:t>
            </w:r>
          </w:p>
        </w:tc>
      </w:tr>
      <w:tr w:rsidR="00447313" w:rsidRPr="00A743FF" w14:paraId="735B8569" w14:textId="77777777" w:rsidTr="0021134C">
        <w:trPr>
          <w:trHeight w:val="295"/>
        </w:trPr>
        <w:tc>
          <w:tcPr>
            <w:tcW w:w="1195" w:type="dxa"/>
            <w:shd w:val="clear" w:color="auto" w:fill="auto"/>
            <w:noWrap/>
          </w:tcPr>
          <w:p w14:paraId="306E2F35" w14:textId="2511F11B" w:rsidR="00447313" w:rsidRPr="004447C8" w:rsidRDefault="00447313" w:rsidP="00AC4CAC">
            <w:pPr>
              <w:spacing w:before="60" w:after="0"/>
              <w:jc w:val="both"/>
              <w:rPr>
                <w:rFonts w:asciiTheme="minorHAnsi" w:hAnsiTheme="minorHAnsi" w:cstheme="minorHAnsi"/>
                <w:color w:val="822B6A"/>
                <w:sz w:val="20"/>
                <w:szCs w:val="20"/>
                <w:u w:val="none"/>
              </w:rPr>
            </w:pPr>
            <w:r>
              <w:rPr>
                <w:rFonts w:asciiTheme="minorHAnsi" w:hAnsiTheme="minorHAnsi" w:cstheme="minorHAnsi"/>
                <w:color w:val="822B6A"/>
                <w:sz w:val="20"/>
                <w:szCs w:val="20"/>
                <w:u w:val="none"/>
              </w:rPr>
              <w:t>ToC</w:t>
            </w:r>
          </w:p>
        </w:tc>
        <w:tc>
          <w:tcPr>
            <w:tcW w:w="8786" w:type="dxa"/>
            <w:shd w:val="clear" w:color="auto" w:fill="auto"/>
            <w:noWrap/>
          </w:tcPr>
          <w:p w14:paraId="0E15BF60" w14:textId="2EF74BDB" w:rsidR="00447313" w:rsidRPr="004447C8" w:rsidRDefault="00447313" w:rsidP="00AC4CAC">
            <w:pPr>
              <w:spacing w:before="60" w:after="0"/>
              <w:jc w:val="both"/>
              <w:rPr>
                <w:rFonts w:asciiTheme="minorHAnsi" w:hAnsiTheme="minorHAnsi" w:cstheme="minorHAnsi"/>
                <w:b w:val="0"/>
                <w:color w:val="000000" w:themeColor="text1"/>
                <w:sz w:val="20"/>
                <w:szCs w:val="20"/>
                <w:u w:val="none"/>
              </w:rPr>
            </w:pPr>
            <w:r>
              <w:rPr>
                <w:rFonts w:asciiTheme="minorHAnsi" w:hAnsiTheme="minorHAnsi" w:cstheme="minorHAnsi"/>
                <w:b w:val="0"/>
                <w:color w:val="000000" w:themeColor="text1"/>
                <w:sz w:val="20"/>
                <w:szCs w:val="20"/>
                <w:u w:val="none"/>
              </w:rPr>
              <w:t>Theory of Change</w:t>
            </w:r>
          </w:p>
        </w:tc>
      </w:tr>
      <w:tr w:rsidR="00D1055D" w:rsidRPr="00A743FF" w14:paraId="17FA347B" w14:textId="77777777" w:rsidTr="00705BD3">
        <w:trPr>
          <w:trHeight w:val="295"/>
        </w:trPr>
        <w:tc>
          <w:tcPr>
            <w:tcW w:w="1195" w:type="dxa"/>
            <w:tcBorders>
              <w:bottom w:val="single" w:sz="4" w:space="0" w:color="auto"/>
            </w:tcBorders>
            <w:shd w:val="clear" w:color="auto" w:fill="auto"/>
            <w:noWrap/>
          </w:tcPr>
          <w:p w14:paraId="323868E3" w14:textId="660C9FC7" w:rsidR="00D1055D" w:rsidRPr="00705BD3" w:rsidRDefault="00D1055D" w:rsidP="00AC4CAC">
            <w:pPr>
              <w:spacing w:before="60" w:after="0"/>
              <w:jc w:val="both"/>
              <w:rPr>
                <w:rFonts w:asciiTheme="minorHAnsi" w:hAnsiTheme="minorHAnsi" w:cstheme="minorHAnsi"/>
                <w:color w:val="822B6A"/>
                <w:sz w:val="20"/>
                <w:szCs w:val="20"/>
                <w:u w:val="none"/>
              </w:rPr>
            </w:pPr>
            <w:r w:rsidRPr="00705BD3">
              <w:rPr>
                <w:rFonts w:asciiTheme="minorHAnsi" w:hAnsiTheme="minorHAnsi" w:cstheme="minorHAnsi"/>
                <w:color w:val="822B6A"/>
                <w:sz w:val="20"/>
                <w:szCs w:val="20"/>
                <w:u w:val="none"/>
              </w:rPr>
              <w:t>UMS</w:t>
            </w:r>
          </w:p>
        </w:tc>
        <w:tc>
          <w:tcPr>
            <w:tcW w:w="8786" w:type="dxa"/>
            <w:tcBorders>
              <w:bottom w:val="single" w:sz="4" w:space="0" w:color="auto"/>
            </w:tcBorders>
            <w:shd w:val="clear" w:color="auto" w:fill="auto"/>
            <w:noWrap/>
          </w:tcPr>
          <w:p w14:paraId="391C912D" w14:textId="59D8087F" w:rsidR="00D1055D" w:rsidRPr="00705BD3" w:rsidRDefault="00D1055D" w:rsidP="00AC4CAC">
            <w:pPr>
              <w:spacing w:before="60" w:after="0"/>
              <w:jc w:val="both"/>
              <w:rPr>
                <w:rFonts w:asciiTheme="minorHAnsi" w:hAnsiTheme="minorHAnsi" w:cstheme="minorHAnsi"/>
                <w:b w:val="0"/>
                <w:color w:val="000000" w:themeColor="text1"/>
                <w:sz w:val="20"/>
                <w:szCs w:val="20"/>
                <w:u w:val="none"/>
              </w:rPr>
            </w:pPr>
            <w:r w:rsidRPr="00705BD3">
              <w:rPr>
                <w:rFonts w:asciiTheme="minorHAnsi" w:hAnsiTheme="minorHAnsi" w:cstheme="minorHAnsi"/>
                <w:b w:val="0"/>
                <w:color w:val="000000" w:themeColor="text1"/>
                <w:sz w:val="20"/>
                <w:szCs w:val="20"/>
                <w:u w:val="none"/>
              </w:rPr>
              <w:t>Uma Mahon Salele (Shelter for Women and Children)</w:t>
            </w:r>
          </w:p>
        </w:tc>
      </w:tr>
      <w:tr w:rsidR="00174047" w:rsidRPr="00A743FF" w14:paraId="31A2C8A0" w14:textId="77777777" w:rsidTr="00705BD3">
        <w:trPr>
          <w:trHeight w:val="295"/>
        </w:trPr>
        <w:tc>
          <w:tcPr>
            <w:tcW w:w="1195" w:type="dxa"/>
            <w:tcBorders>
              <w:top w:val="single" w:sz="4" w:space="0" w:color="auto"/>
              <w:bottom w:val="single" w:sz="4" w:space="0" w:color="2D2D42"/>
            </w:tcBorders>
            <w:shd w:val="clear" w:color="auto" w:fill="auto"/>
            <w:noWrap/>
          </w:tcPr>
          <w:p w14:paraId="481DBEDF" w14:textId="77777777" w:rsidR="00174047" w:rsidRPr="00705BD3" w:rsidRDefault="00174047" w:rsidP="00AC4CAC">
            <w:pPr>
              <w:spacing w:before="60" w:after="0"/>
              <w:jc w:val="both"/>
              <w:rPr>
                <w:rFonts w:asciiTheme="minorHAnsi" w:hAnsiTheme="minorHAnsi" w:cstheme="minorHAnsi"/>
                <w:color w:val="822B6A"/>
                <w:sz w:val="20"/>
                <w:szCs w:val="20"/>
                <w:u w:val="none"/>
              </w:rPr>
            </w:pPr>
            <w:r w:rsidRPr="00705BD3">
              <w:rPr>
                <w:rFonts w:asciiTheme="minorHAnsi" w:hAnsiTheme="minorHAnsi" w:cstheme="minorHAnsi"/>
                <w:color w:val="822B6A"/>
                <w:sz w:val="20"/>
                <w:szCs w:val="20"/>
                <w:u w:val="none"/>
              </w:rPr>
              <w:t>VAWC</w:t>
            </w:r>
          </w:p>
        </w:tc>
        <w:tc>
          <w:tcPr>
            <w:tcW w:w="8786" w:type="dxa"/>
            <w:tcBorders>
              <w:top w:val="single" w:sz="4" w:space="0" w:color="auto"/>
              <w:bottom w:val="single" w:sz="4" w:space="0" w:color="2D2D42"/>
            </w:tcBorders>
            <w:shd w:val="clear" w:color="auto" w:fill="auto"/>
            <w:noWrap/>
          </w:tcPr>
          <w:p w14:paraId="383057BD" w14:textId="77777777" w:rsidR="00174047" w:rsidRPr="00705BD3" w:rsidRDefault="00174047" w:rsidP="00AC4CAC">
            <w:pPr>
              <w:spacing w:before="60" w:after="0"/>
              <w:jc w:val="both"/>
              <w:rPr>
                <w:rFonts w:asciiTheme="minorHAnsi" w:hAnsiTheme="minorHAnsi" w:cstheme="minorHAnsi"/>
                <w:b w:val="0"/>
                <w:color w:val="000000" w:themeColor="text1"/>
                <w:sz w:val="20"/>
                <w:szCs w:val="20"/>
                <w:u w:val="none"/>
              </w:rPr>
            </w:pPr>
            <w:r w:rsidRPr="00705BD3">
              <w:rPr>
                <w:rFonts w:asciiTheme="minorHAnsi" w:hAnsiTheme="minorHAnsi" w:cstheme="minorHAnsi"/>
                <w:b w:val="0"/>
                <w:color w:val="000000" w:themeColor="text1"/>
                <w:sz w:val="20"/>
                <w:szCs w:val="20"/>
                <w:u w:val="none"/>
              </w:rPr>
              <w:t>Violence against women and children</w:t>
            </w:r>
          </w:p>
        </w:tc>
      </w:tr>
      <w:tr w:rsidR="00D1055D" w:rsidRPr="00A743FF" w14:paraId="76C7EEC9" w14:textId="77777777" w:rsidTr="00D1055D">
        <w:trPr>
          <w:trHeight w:val="295"/>
        </w:trPr>
        <w:tc>
          <w:tcPr>
            <w:tcW w:w="1195" w:type="dxa"/>
            <w:tcBorders>
              <w:top w:val="single" w:sz="4" w:space="0" w:color="auto"/>
              <w:bottom w:val="single" w:sz="4" w:space="0" w:color="2D2D42"/>
            </w:tcBorders>
            <w:shd w:val="clear" w:color="auto" w:fill="auto"/>
            <w:noWrap/>
          </w:tcPr>
          <w:p w14:paraId="55AD4914" w14:textId="374BF277" w:rsidR="00D1055D" w:rsidRPr="00705BD3" w:rsidRDefault="00D1055D" w:rsidP="00AC4CAC">
            <w:pPr>
              <w:spacing w:before="60" w:after="0"/>
              <w:jc w:val="both"/>
              <w:rPr>
                <w:rFonts w:asciiTheme="minorHAnsi" w:hAnsiTheme="minorHAnsi" w:cstheme="minorHAnsi"/>
                <w:color w:val="822B6A"/>
                <w:sz w:val="20"/>
                <w:szCs w:val="20"/>
                <w:u w:val="none"/>
              </w:rPr>
            </w:pPr>
            <w:r w:rsidRPr="00705BD3">
              <w:rPr>
                <w:rFonts w:asciiTheme="minorHAnsi" w:hAnsiTheme="minorHAnsi" w:cstheme="minorHAnsi"/>
                <w:color w:val="822B6A"/>
                <w:sz w:val="20"/>
                <w:szCs w:val="20"/>
                <w:u w:val="none"/>
              </w:rPr>
              <w:t>WGQ</w:t>
            </w:r>
          </w:p>
        </w:tc>
        <w:tc>
          <w:tcPr>
            <w:tcW w:w="8786" w:type="dxa"/>
            <w:tcBorders>
              <w:top w:val="single" w:sz="4" w:space="0" w:color="auto"/>
              <w:bottom w:val="single" w:sz="4" w:space="0" w:color="2D2D42"/>
            </w:tcBorders>
            <w:shd w:val="clear" w:color="auto" w:fill="auto"/>
            <w:noWrap/>
          </w:tcPr>
          <w:p w14:paraId="73D96A17" w14:textId="0CE56A56" w:rsidR="00D1055D" w:rsidRPr="00705BD3" w:rsidRDefault="00D1055D" w:rsidP="00AC4CAC">
            <w:pPr>
              <w:spacing w:before="60" w:after="0"/>
              <w:jc w:val="both"/>
              <w:rPr>
                <w:rFonts w:asciiTheme="minorHAnsi" w:hAnsiTheme="minorHAnsi" w:cstheme="minorHAnsi"/>
                <w:b w:val="0"/>
                <w:color w:val="000000" w:themeColor="text1"/>
                <w:sz w:val="20"/>
                <w:szCs w:val="20"/>
                <w:u w:val="none"/>
              </w:rPr>
            </w:pPr>
            <w:r w:rsidRPr="00705BD3">
              <w:rPr>
                <w:rFonts w:asciiTheme="minorHAnsi" w:hAnsiTheme="minorHAnsi" w:cstheme="minorHAnsi"/>
                <w:b w:val="0"/>
                <w:color w:val="000000" w:themeColor="text1"/>
                <w:sz w:val="20"/>
                <w:szCs w:val="20"/>
                <w:u w:val="none"/>
              </w:rPr>
              <w:t>Washington Group Questions</w:t>
            </w:r>
          </w:p>
        </w:tc>
      </w:tr>
    </w:tbl>
    <w:p w14:paraId="4DC62CC0" w14:textId="77777777" w:rsidR="00536E2D" w:rsidRPr="00BF4F0F" w:rsidRDefault="00536E2D" w:rsidP="00447313">
      <w:pPr>
        <w:spacing w:line="288" w:lineRule="auto"/>
        <w:jc w:val="both"/>
        <w:rPr>
          <w:rFonts w:asciiTheme="minorHAnsi" w:hAnsiTheme="minorHAnsi" w:cstheme="minorHAnsi"/>
        </w:rPr>
        <w:sectPr w:rsidR="00536E2D" w:rsidRPr="00BF4F0F" w:rsidSect="002F5B33">
          <w:endnotePr>
            <w:numFmt w:val="decimal"/>
          </w:endnotePr>
          <w:pgSz w:w="11906" w:h="16838" w:code="9"/>
          <w:pgMar w:top="1276" w:right="1134" w:bottom="1134" w:left="1134" w:header="709" w:footer="624" w:gutter="0"/>
          <w:pgNumType w:fmt="lowerRoman" w:start="1"/>
          <w:cols w:space="567"/>
          <w:docGrid w:linePitch="360"/>
        </w:sectPr>
      </w:pPr>
    </w:p>
    <w:p w14:paraId="517ED2E4" w14:textId="631AC1BB" w:rsidR="00DA64E4" w:rsidRDefault="003A50AD" w:rsidP="00A8116D">
      <w:pPr>
        <w:pStyle w:val="TOC1"/>
        <w:tabs>
          <w:tab w:val="right" w:leader="dot" w:pos="9913"/>
        </w:tabs>
        <w:jc w:val="both"/>
        <w:rPr>
          <w:sz w:val="18"/>
          <w:szCs w:val="18"/>
        </w:rPr>
      </w:pPr>
      <w:r w:rsidRPr="00BF4F0F">
        <w:rPr>
          <w:bCs w:val="0"/>
          <w:caps w:val="0"/>
          <w:noProof/>
          <w:color w:val="822B6A"/>
          <w:sz w:val="32"/>
          <w:szCs w:val="32"/>
          <w:u w:val="none"/>
        </w:rPr>
        <w:lastRenderedPageBreak/>
        <w:t>T</w:t>
      </w:r>
      <w:r w:rsidR="00255424">
        <w:rPr>
          <w:bCs w:val="0"/>
          <w:caps w:val="0"/>
          <w:noProof/>
          <w:color w:val="822B6A"/>
          <w:sz w:val="32"/>
          <w:szCs w:val="32"/>
          <w:u w:val="none"/>
        </w:rPr>
        <w:t>able of Contents</w:t>
      </w:r>
    </w:p>
    <w:sdt>
      <w:sdtPr>
        <w:rPr>
          <w:color w:val="2D2D42"/>
          <w:spacing w:val="0"/>
          <w:sz w:val="22"/>
          <w:szCs w:val="22"/>
        </w:rPr>
        <w:id w:val="2008005887"/>
        <w:docPartObj>
          <w:docPartGallery w:val="Table of Contents"/>
          <w:docPartUnique/>
        </w:docPartObj>
      </w:sdtPr>
      <w:sdtEndPr>
        <w:rPr>
          <w:bCs/>
          <w:noProof/>
        </w:rPr>
      </w:sdtEndPr>
      <w:sdtContent>
        <w:p w14:paraId="260FFE66" w14:textId="6E1BCEC1" w:rsidR="005E4703" w:rsidRPr="00B4133A" w:rsidRDefault="005E4703">
          <w:pPr>
            <w:pStyle w:val="TOCHeading"/>
            <w:rPr>
              <w:sz w:val="22"/>
              <w:szCs w:val="22"/>
            </w:rPr>
          </w:pPr>
          <w:r w:rsidRPr="00B4133A">
            <w:rPr>
              <w:sz w:val="22"/>
              <w:szCs w:val="22"/>
            </w:rPr>
            <w:t>Contents</w:t>
          </w:r>
        </w:p>
        <w:p w14:paraId="402BEC30" w14:textId="4F5D45EC" w:rsidR="005E4703" w:rsidRPr="00B4133A" w:rsidRDefault="005E4703" w:rsidP="00B4133A">
          <w:pPr>
            <w:pStyle w:val="TOC1"/>
            <w:tabs>
              <w:tab w:val="right" w:leader="dot" w:pos="9913"/>
            </w:tabs>
            <w:rPr>
              <w:rFonts w:eastAsiaTheme="minorEastAsia"/>
              <w:b w:val="0"/>
              <w:bCs w:val="0"/>
              <w:caps w:val="0"/>
              <w:noProof/>
              <w:color w:val="auto"/>
              <w:u w:val="none"/>
            </w:rPr>
          </w:pPr>
          <w:r w:rsidRPr="00B4133A">
            <w:rPr>
              <w:b w:val="0"/>
              <w:noProof/>
              <w:color w:val="auto"/>
              <w:u w:val="none"/>
            </w:rPr>
            <w:fldChar w:fldCharType="begin"/>
          </w:r>
          <w:r w:rsidRPr="00B4133A">
            <w:rPr>
              <w:b w:val="0"/>
              <w:noProof/>
              <w:color w:val="auto"/>
              <w:u w:val="none"/>
            </w:rPr>
            <w:instrText xml:space="preserve"> TOC \o "1-3" \h \z \u </w:instrText>
          </w:r>
          <w:r w:rsidRPr="00B4133A">
            <w:rPr>
              <w:b w:val="0"/>
              <w:noProof/>
              <w:color w:val="auto"/>
              <w:u w:val="none"/>
            </w:rPr>
            <w:fldChar w:fldCharType="separate"/>
          </w:r>
        </w:p>
        <w:p w14:paraId="50CAA8AB" w14:textId="6A631329" w:rsidR="005E4703" w:rsidRPr="00B4133A" w:rsidRDefault="00C6150D">
          <w:pPr>
            <w:pStyle w:val="TOC1"/>
            <w:tabs>
              <w:tab w:val="right" w:leader="dot" w:pos="9913"/>
            </w:tabs>
            <w:rPr>
              <w:rFonts w:eastAsiaTheme="minorEastAsia"/>
              <w:b w:val="0"/>
              <w:bCs w:val="0"/>
              <w:caps w:val="0"/>
              <w:noProof/>
              <w:color w:val="auto"/>
              <w:u w:val="none"/>
            </w:rPr>
          </w:pPr>
          <w:hyperlink w:anchor="_Toc2019637" w:history="1">
            <w:r w:rsidR="005E4703" w:rsidRPr="00B4133A">
              <w:rPr>
                <w:rStyle w:val="Hyperlink"/>
                <w:rFonts w:asciiTheme="minorHAnsi" w:hAnsiTheme="minorHAnsi" w:cstheme="minorHAnsi"/>
                <w:b w:val="0"/>
                <w:noProof/>
                <w:color w:val="auto"/>
                <w:sz w:val="22"/>
                <w:u w:val="none"/>
              </w:rPr>
              <w:t>Abbreviations and Acronyms</w:t>
            </w:r>
            <w:r w:rsidR="005E4703" w:rsidRPr="00B4133A">
              <w:rPr>
                <w:b w:val="0"/>
                <w:noProof/>
                <w:webHidden/>
                <w:color w:val="auto"/>
                <w:u w:val="none"/>
              </w:rPr>
              <w:tab/>
            </w:r>
            <w:r w:rsidR="005E4703" w:rsidRPr="00B4133A">
              <w:rPr>
                <w:b w:val="0"/>
                <w:noProof/>
                <w:webHidden/>
                <w:color w:val="auto"/>
                <w:u w:val="none"/>
              </w:rPr>
              <w:fldChar w:fldCharType="begin"/>
            </w:r>
            <w:r w:rsidR="005E4703" w:rsidRPr="00B4133A">
              <w:rPr>
                <w:b w:val="0"/>
                <w:noProof/>
                <w:webHidden/>
                <w:color w:val="auto"/>
                <w:u w:val="none"/>
              </w:rPr>
              <w:instrText xml:space="preserve"> PAGEREF _Toc2019637 \h </w:instrText>
            </w:r>
            <w:r w:rsidR="005E4703" w:rsidRPr="00B4133A">
              <w:rPr>
                <w:b w:val="0"/>
                <w:noProof/>
                <w:webHidden/>
                <w:color w:val="auto"/>
                <w:u w:val="none"/>
              </w:rPr>
            </w:r>
            <w:r w:rsidR="005E4703" w:rsidRPr="00B4133A">
              <w:rPr>
                <w:b w:val="0"/>
                <w:noProof/>
                <w:webHidden/>
                <w:color w:val="auto"/>
                <w:u w:val="none"/>
              </w:rPr>
              <w:fldChar w:fldCharType="separate"/>
            </w:r>
            <w:r w:rsidR="00F6144E">
              <w:rPr>
                <w:b w:val="0"/>
                <w:noProof/>
                <w:webHidden/>
                <w:color w:val="auto"/>
                <w:u w:val="none"/>
              </w:rPr>
              <w:t>i</w:t>
            </w:r>
            <w:r w:rsidR="005E4703" w:rsidRPr="00B4133A">
              <w:rPr>
                <w:b w:val="0"/>
                <w:noProof/>
                <w:webHidden/>
                <w:color w:val="auto"/>
                <w:u w:val="none"/>
              </w:rPr>
              <w:fldChar w:fldCharType="end"/>
            </w:r>
          </w:hyperlink>
        </w:p>
        <w:p w14:paraId="09B58AA8" w14:textId="057C4AFD" w:rsidR="005E4703" w:rsidRPr="00B4133A" w:rsidRDefault="00C6150D">
          <w:pPr>
            <w:pStyle w:val="TOC1"/>
            <w:tabs>
              <w:tab w:val="right" w:leader="dot" w:pos="9913"/>
            </w:tabs>
            <w:rPr>
              <w:rFonts w:eastAsiaTheme="minorEastAsia"/>
              <w:b w:val="0"/>
              <w:bCs w:val="0"/>
              <w:caps w:val="0"/>
              <w:noProof/>
              <w:color w:val="auto"/>
              <w:u w:val="none"/>
            </w:rPr>
          </w:pPr>
          <w:hyperlink w:anchor="_Toc2019638" w:history="1">
            <w:r w:rsidR="005E4703" w:rsidRPr="00B4133A">
              <w:rPr>
                <w:rStyle w:val="Hyperlink"/>
                <w:rFonts w:asciiTheme="minorHAnsi" w:hAnsiTheme="minorHAnsi" w:cstheme="minorHAnsi"/>
                <w:b w:val="0"/>
                <w:noProof/>
                <w:color w:val="auto"/>
                <w:sz w:val="22"/>
                <w:u w:val="none"/>
              </w:rPr>
              <w:t>Executive Summary</w:t>
            </w:r>
            <w:r w:rsidR="005E4703" w:rsidRPr="00B4133A">
              <w:rPr>
                <w:b w:val="0"/>
                <w:noProof/>
                <w:webHidden/>
                <w:color w:val="auto"/>
                <w:u w:val="none"/>
              </w:rPr>
              <w:tab/>
            </w:r>
            <w:r w:rsidR="005E4703" w:rsidRPr="00B4133A">
              <w:rPr>
                <w:b w:val="0"/>
                <w:noProof/>
                <w:webHidden/>
                <w:color w:val="auto"/>
                <w:u w:val="none"/>
              </w:rPr>
              <w:fldChar w:fldCharType="begin"/>
            </w:r>
            <w:r w:rsidR="005E4703" w:rsidRPr="00B4133A">
              <w:rPr>
                <w:b w:val="0"/>
                <w:noProof/>
                <w:webHidden/>
                <w:color w:val="auto"/>
                <w:u w:val="none"/>
              </w:rPr>
              <w:instrText xml:space="preserve"> PAGEREF _Toc2019638 \h </w:instrText>
            </w:r>
            <w:r w:rsidR="005E4703" w:rsidRPr="00B4133A">
              <w:rPr>
                <w:b w:val="0"/>
                <w:noProof/>
                <w:webHidden/>
                <w:color w:val="auto"/>
                <w:u w:val="none"/>
              </w:rPr>
            </w:r>
            <w:r w:rsidR="005E4703" w:rsidRPr="00B4133A">
              <w:rPr>
                <w:b w:val="0"/>
                <w:noProof/>
                <w:webHidden/>
                <w:color w:val="auto"/>
                <w:u w:val="none"/>
              </w:rPr>
              <w:fldChar w:fldCharType="separate"/>
            </w:r>
            <w:r w:rsidR="00F6144E">
              <w:rPr>
                <w:b w:val="0"/>
                <w:noProof/>
                <w:webHidden/>
                <w:color w:val="auto"/>
                <w:u w:val="none"/>
              </w:rPr>
              <w:t>1</w:t>
            </w:r>
            <w:r w:rsidR="005E4703" w:rsidRPr="00B4133A">
              <w:rPr>
                <w:b w:val="0"/>
                <w:noProof/>
                <w:webHidden/>
                <w:color w:val="auto"/>
                <w:u w:val="none"/>
              </w:rPr>
              <w:fldChar w:fldCharType="end"/>
            </w:r>
          </w:hyperlink>
        </w:p>
        <w:p w14:paraId="1250F2E8" w14:textId="0C251280" w:rsidR="005E4703" w:rsidRPr="00B4133A" w:rsidRDefault="00C6150D" w:rsidP="00B4133A">
          <w:pPr>
            <w:pStyle w:val="TOC1"/>
            <w:tabs>
              <w:tab w:val="right" w:leader="dot" w:pos="9913"/>
            </w:tabs>
            <w:rPr>
              <w:rFonts w:eastAsiaTheme="minorEastAsia"/>
              <w:b w:val="0"/>
              <w:bCs w:val="0"/>
              <w:caps w:val="0"/>
              <w:noProof/>
              <w:color w:val="auto"/>
              <w:u w:val="none"/>
            </w:rPr>
          </w:pPr>
          <w:hyperlink w:anchor="_Toc2019639" w:history="1">
            <w:r w:rsidR="005E4703" w:rsidRPr="00B4133A">
              <w:rPr>
                <w:rStyle w:val="Hyperlink"/>
                <w:rFonts w:asciiTheme="minorHAnsi" w:hAnsiTheme="minorHAnsi" w:cstheme="minorHAnsi"/>
                <w:b w:val="0"/>
                <w:noProof/>
                <w:color w:val="auto"/>
                <w:sz w:val="22"/>
                <w:u w:val="none"/>
              </w:rPr>
              <w:t>1. Introduction</w:t>
            </w:r>
            <w:r w:rsidR="005E4703" w:rsidRPr="00B4133A">
              <w:rPr>
                <w:b w:val="0"/>
                <w:noProof/>
                <w:webHidden/>
                <w:color w:val="auto"/>
                <w:u w:val="none"/>
              </w:rPr>
              <w:tab/>
            </w:r>
            <w:r w:rsidR="005E4703" w:rsidRPr="00B4133A">
              <w:rPr>
                <w:b w:val="0"/>
                <w:noProof/>
                <w:webHidden/>
                <w:color w:val="auto"/>
                <w:u w:val="none"/>
              </w:rPr>
              <w:fldChar w:fldCharType="begin"/>
            </w:r>
            <w:r w:rsidR="005E4703" w:rsidRPr="00B4133A">
              <w:rPr>
                <w:b w:val="0"/>
                <w:noProof/>
                <w:webHidden/>
                <w:color w:val="auto"/>
                <w:u w:val="none"/>
              </w:rPr>
              <w:instrText xml:space="preserve"> PAGEREF _Toc2019639 \h </w:instrText>
            </w:r>
            <w:r w:rsidR="005E4703" w:rsidRPr="00B4133A">
              <w:rPr>
                <w:b w:val="0"/>
                <w:noProof/>
                <w:webHidden/>
                <w:color w:val="auto"/>
                <w:u w:val="none"/>
              </w:rPr>
            </w:r>
            <w:r w:rsidR="005E4703" w:rsidRPr="00B4133A">
              <w:rPr>
                <w:b w:val="0"/>
                <w:noProof/>
                <w:webHidden/>
                <w:color w:val="auto"/>
                <w:u w:val="none"/>
              </w:rPr>
              <w:fldChar w:fldCharType="separate"/>
            </w:r>
            <w:r w:rsidR="00F6144E">
              <w:rPr>
                <w:b w:val="0"/>
                <w:noProof/>
                <w:webHidden/>
                <w:color w:val="auto"/>
                <w:u w:val="none"/>
              </w:rPr>
              <w:t>3</w:t>
            </w:r>
            <w:r w:rsidR="005E4703" w:rsidRPr="00B4133A">
              <w:rPr>
                <w:b w:val="0"/>
                <w:noProof/>
                <w:webHidden/>
                <w:color w:val="auto"/>
                <w:u w:val="none"/>
              </w:rPr>
              <w:fldChar w:fldCharType="end"/>
            </w:r>
          </w:hyperlink>
        </w:p>
        <w:p w14:paraId="22FD898D" w14:textId="12BFDA91" w:rsidR="005E4703" w:rsidRPr="00B4133A" w:rsidRDefault="00C6150D" w:rsidP="00B4133A">
          <w:pPr>
            <w:pStyle w:val="TOC1"/>
            <w:tabs>
              <w:tab w:val="right" w:leader="dot" w:pos="9913"/>
            </w:tabs>
            <w:rPr>
              <w:rFonts w:eastAsiaTheme="minorEastAsia"/>
              <w:b w:val="0"/>
              <w:bCs w:val="0"/>
              <w:caps w:val="0"/>
              <w:noProof/>
              <w:color w:val="auto"/>
              <w:u w:val="none"/>
            </w:rPr>
          </w:pPr>
          <w:hyperlink w:anchor="_Toc2019655" w:history="1">
            <w:r w:rsidR="005E4703" w:rsidRPr="00B4133A">
              <w:rPr>
                <w:rStyle w:val="Hyperlink"/>
                <w:rFonts w:asciiTheme="minorHAnsi" w:hAnsiTheme="minorHAnsi" w:cstheme="minorHAnsi"/>
                <w:b w:val="0"/>
                <w:noProof/>
                <w:color w:val="auto"/>
                <w:sz w:val="22"/>
                <w:u w:val="none"/>
              </w:rPr>
              <w:t>2. Progress towards outcomes: Services</w:t>
            </w:r>
            <w:r w:rsidR="005E4703" w:rsidRPr="00B4133A">
              <w:rPr>
                <w:b w:val="0"/>
                <w:noProof/>
                <w:webHidden/>
                <w:color w:val="auto"/>
                <w:u w:val="none"/>
              </w:rPr>
              <w:tab/>
            </w:r>
            <w:r w:rsidR="005E4703" w:rsidRPr="00B4133A">
              <w:rPr>
                <w:b w:val="0"/>
                <w:noProof/>
                <w:webHidden/>
                <w:color w:val="auto"/>
                <w:u w:val="none"/>
              </w:rPr>
              <w:fldChar w:fldCharType="begin"/>
            </w:r>
            <w:r w:rsidR="005E4703" w:rsidRPr="00B4133A">
              <w:rPr>
                <w:b w:val="0"/>
                <w:noProof/>
                <w:webHidden/>
                <w:color w:val="auto"/>
                <w:u w:val="none"/>
              </w:rPr>
              <w:instrText xml:space="preserve"> PAGEREF _Toc2019655 \h </w:instrText>
            </w:r>
            <w:r w:rsidR="005E4703" w:rsidRPr="00B4133A">
              <w:rPr>
                <w:b w:val="0"/>
                <w:noProof/>
                <w:webHidden/>
                <w:color w:val="auto"/>
                <w:u w:val="none"/>
              </w:rPr>
            </w:r>
            <w:r w:rsidR="005E4703" w:rsidRPr="00B4133A">
              <w:rPr>
                <w:b w:val="0"/>
                <w:noProof/>
                <w:webHidden/>
                <w:color w:val="auto"/>
                <w:u w:val="none"/>
              </w:rPr>
              <w:fldChar w:fldCharType="separate"/>
            </w:r>
            <w:r w:rsidR="00F6144E">
              <w:rPr>
                <w:b w:val="0"/>
                <w:noProof/>
                <w:webHidden/>
                <w:color w:val="auto"/>
                <w:u w:val="none"/>
              </w:rPr>
              <w:t>9</w:t>
            </w:r>
            <w:r w:rsidR="005E4703" w:rsidRPr="00B4133A">
              <w:rPr>
                <w:b w:val="0"/>
                <w:noProof/>
                <w:webHidden/>
                <w:color w:val="auto"/>
                <w:u w:val="none"/>
              </w:rPr>
              <w:fldChar w:fldCharType="end"/>
            </w:r>
          </w:hyperlink>
        </w:p>
        <w:p w14:paraId="73E0340F" w14:textId="32134F7C" w:rsidR="005E4703" w:rsidRPr="00B4133A" w:rsidRDefault="00C6150D" w:rsidP="00B4133A">
          <w:pPr>
            <w:pStyle w:val="TOC1"/>
            <w:tabs>
              <w:tab w:val="right" w:leader="dot" w:pos="9913"/>
            </w:tabs>
            <w:rPr>
              <w:rFonts w:eastAsiaTheme="minorEastAsia"/>
              <w:b w:val="0"/>
              <w:bCs w:val="0"/>
              <w:caps w:val="0"/>
              <w:noProof/>
              <w:color w:val="auto"/>
              <w:u w:val="none"/>
            </w:rPr>
          </w:pPr>
          <w:hyperlink w:anchor="_Toc2019665" w:history="1">
            <w:r w:rsidR="005E4703" w:rsidRPr="00B4133A">
              <w:rPr>
                <w:rStyle w:val="Hyperlink"/>
                <w:rFonts w:asciiTheme="minorHAnsi" w:hAnsiTheme="minorHAnsi" w:cstheme="minorHAnsi"/>
                <w:b w:val="0"/>
                <w:noProof/>
                <w:color w:val="auto"/>
                <w:sz w:val="22"/>
                <w:u w:val="none"/>
              </w:rPr>
              <w:t>3. Progress towards outcomes: Behaviour change</w:t>
            </w:r>
            <w:r w:rsidR="005E4703" w:rsidRPr="00B4133A">
              <w:rPr>
                <w:b w:val="0"/>
                <w:noProof/>
                <w:webHidden/>
                <w:color w:val="auto"/>
                <w:u w:val="none"/>
              </w:rPr>
              <w:tab/>
            </w:r>
            <w:r w:rsidR="005E4703" w:rsidRPr="00B4133A">
              <w:rPr>
                <w:b w:val="0"/>
                <w:noProof/>
                <w:webHidden/>
                <w:color w:val="auto"/>
                <w:u w:val="none"/>
              </w:rPr>
              <w:fldChar w:fldCharType="begin"/>
            </w:r>
            <w:r w:rsidR="005E4703" w:rsidRPr="00B4133A">
              <w:rPr>
                <w:b w:val="0"/>
                <w:noProof/>
                <w:webHidden/>
                <w:color w:val="auto"/>
                <w:u w:val="none"/>
              </w:rPr>
              <w:instrText xml:space="preserve"> PAGEREF _Toc2019665 \h </w:instrText>
            </w:r>
            <w:r w:rsidR="005E4703" w:rsidRPr="00B4133A">
              <w:rPr>
                <w:b w:val="0"/>
                <w:noProof/>
                <w:webHidden/>
                <w:color w:val="auto"/>
                <w:u w:val="none"/>
              </w:rPr>
            </w:r>
            <w:r w:rsidR="005E4703" w:rsidRPr="00B4133A">
              <w:rPr>
                <w:b w:val="0"/>
                <w:noProof/>
                <w:webHidden/>
                <w:color w:val="auto"/>
                <w:u w:val="none"/>
              </w:rPr>
              <w:fldChar w:fldCharType="separate"/>
            </w:r>
            <w:r w:rsidR="00F6144E">
              <w:rPr>
                <w:b w:val="0"/>
                <w:noProof/>
                <w:webHidden/>
                <w:color w:val="auto"/>
                <w:u w:val="none"/>
              </w:rPr>
              <w:t>18</w:t>
            </w:r>
            <w:r w:rsidR="005E4703" w:rsidRPr="00B4133A">
              <w:rPr>
                <w:b w:val="0"/>
                <w:noProof/>
                <w:webHidden/>
                <w:color w:val="auto"/>
                <w:u w:val="none"/>
              </w:rPr>
              <w:fldChar w:fldCharType="end"/>
            </w:r>
          </w:hyperlink>
        </w:p>
        <w:p w14:paraId="7B3A1663" w14:textId="2A07F6FA" w:rsidR="005E4703" w:rsidRPr="00B4133A" w:rsidRDefault="00C6150D">
          <w:pPr>
            <w:pStyle w:val="TOC1"/>
            <w:tabs>
              <w:tab w:val="right" w:leader="dot" w:pos="9913"/>
            </w:tabs>
            <w:rPr>
              <w:rFonts w:eastAsiaTheme="minorEastAsia"/>
              <w:b w:val="0"/>
              <w:bCs w:val="0"/>
              <w:caps w:val="0"/>
              <w:noProof/>
              <w:color w:val="auto"/>
              <w:u w:val="none"/>
            </w:rPr>
          </w:pPr>
          <w:hyperlink w:anchor="_Toc2019676" w:history="1">
            <w:r w:rsidR="005E4703" w:rsidRPr="00B4133A">
              <w:rPr>
                <w:rStyle w:val="Hyperlink"/>
                <w:rFonts w:asciiTheme="minorHAnsi" w:hAnsiTheme="minorHAnsi" w:cstheme="minorHAnsi"/>
                <w:b w:val="0"/>
                <w:noProof/>
                <w:color w:val="auto"/>
                <w:sz w:val="22"/>
                <w:u w:val="none"/>
              </w:rPr>
              <w:t>4. Sustainability and appropriateness across the program</w:t>
            </w:r>
            <w:r w:rsidR="005E4703" w:rsidRPr="00B4133A">
              <w:rPr>
                <w:b w:val="0"/>
                <w:noProof/>
                <w:webHidden/>
                <w:color w:val="auto"/>
                <w:u w:val="none"/>
              </w:rPr>
              <w:tab/>
            </w:r>
            <w:r w:rsidR="005E4703" w:rsidRPr="00B4133A">
              <w:rPr>
                <w:b w:val="0"/>
                <w:noProof/>
                <w:webHidden/>
                <w:color w:val="auto"/>
                <w:u w:val="none"/>
              </w:rPr>
              <w:fldChar w:fldCharType="begin"/>
            </w:r>
            <w:r w:rsidR="005E4703" w:rsidRPr="00B4133A">
              <w:rPr>
                <w:b w:val="0"/>
                <w:noProof/>
                <w:webHidden/>
                <w:color w:val="auto"/>
                <w:u w:val="none"/>
              </w:rPr>
              <w:instrText xml:space="preserve"> PAGEREF _Toc2019676 \h </w:instrText>
            </w:r>
            <w:r w:rsidR="005E4703" w:rsidRPr="00B4133A">
              <w:rPr>
                <w:b w:val="0"/>
                <w:noProof/>
                <w:webHidden/>
                <w:color w:val="auto"/>
                <w:u w:val="none"/>
              </w:rPr>
            </w:r>
            <w:r w:rsidR="005E4703" w:rsidRPr="00B4133A">
              <w:rPr>
                <w:b w:val="0"/>
                <w:noProof/>
                <w:webHidden/>
                <w:color w:val="auto"/>
                <w:u w:val="none"/>
              </w:rPr>
              <w:fldChar w:fldCharType="separate"/>
            </w:r>
            <w:r w:rsidR="00F6144E">
              <w:rPr>
                <w:b w:val="0"/>
                <w:noProof/>
                <w:webHidden/>
                <w:color w:val="auto"/>
                <w:u w:val="none"/>
              </w:rPr>
              <w:t>23</w:t>
            </w:r>
            <w:r w:rsidR="005E4703" w:rsidRPr="00B4133A">
              <w:rPr>
                <w:b w:val="0"/>
                <w:noProof/>
                <w:webHidden/>
                <w:color w:val="auto"/>
                <w:u w:val="none"/>
              </w:rPr>
              <w:fldChar w:fldCharType="end"/>
            </w:r>
          </w:hyperlink>
        </w:p>
        <w:p w14:paraId="20BC5F2B" w14:textId="527E36E4" w:rsidR="005E4703" w:rsidRPr="00B4133A" w:rsidRDefault="00C6150D">
          <w:pPr>
            <w:pStyle w:val="TOC1"/>
            <w:tabs>
              <w:tab w:val="right" w:leader="dot" w:pos="9913"/>
            </w:tabs>
            <w:rPr>
              <w:rFonts w:eastAsiaTheme="minorEastAsia"/>
              <w:b w:val="0"/>
              <w:bCs w:val="0"/>
              <w:caps w:val="0"/>
              <w:noProof/>
              <w:color w:val="auto"/>
              <w:u w:val="none"/>
            </w:rPr>
          </w:pPr>
          <w:hyperlink w:anchor="_Toc2019678" w:history="1">
            <w:r w:rsidR="005E4703" w:rsidRPr="00B4133A">
              <w:rPr>
                <w:rStyle w:val="Hyperlink"/>
                <w:rFonts w:asciiTheme="minorHAnsi" w:hAnsiTheme="minorHAnsi" w:cstheme="minorHAnsi"/>
                <w:b w:val="0"/>
                <w:noProof/>
                <w:color w:val="auto"/>
                <w:sz w:val="22"/>
                <w:u w:val="none"/>
              </w:rPr>
              <w:t>5. Learning &amp; Management Responses</w:t>
            </w:r>
            <w:r w:rsidR="005E4703" w:rsidRPr="00B4133A">
              <w:rPr>
                <w:b w:val="0"/>
                <w:noProof/>
                <w:webHidden/>
                <w:color w:val="auto"/>
                <w:u w:val="none"/>
              </w:rPr>
              <w:tab/>
            </w:r>
            <w:r w:rsidR="005E4703" w:rsidRPr="00B4133A">
              <w:rPr>
                <w:b w:val="0"/>
                <w:noProof/>
                <w:webHidden/>
                <w:color w:val="auto"/>
                <w:u w:val="none"/>
              </w:rPr>
              <w:fldChar w:fldCharType="begin"/>
            </w:r>
            <w:r w:rsidR="005E4703" w:rsidRPr="00B4133A">
              <w:rPr>
                <w:b w:val="0"/>
                <w:noProof/>
                <w:webHidden/>
                <w:color w:val="auto"/>
                <w:u w:val="none"/>
              </w:rPr>
              <w:instrText xml:space="preserve"> PAGEREF _Toc2019678 \h </w:instrText>
            </w:r>
            <w:r w:rsidR="005E4703" w:rsidRPr="00B4133A">
              <w:rPr>
                <w:b w:val="0"/>
                <w:noProof/>
                <w:webHidden/>
                <w:color w:val="auto"/>
                <w:u w:val="none"/>
              </w:rPr>
            </w:r>
            <w:r w:rsidR="005E4703" w:rsidRPr="00B4133A">
              <w:rPr>
                <w:b w:val="0"/>
                <w:noProof/>
                <w:webHidden/>
                <w:color w:val="auto"/>
                <w:u w:val="none"/>
              </w:rPr>
              <w:fldChar w:fldCharType="separate"/>
            </w:r>
            <w:r w:rsidR="00F6144E">
              <w:rPr>
                <w:b w:val="0"/>
                <w:noProof/>
                <w:webHidden/>
                <w:color w:val="auto"/>
                <w:u w:val="none"/>
              </w:rPr>
              <w:t>24</w:t>
            </w:r>
            <w:r w:rsidR="005E4703" w:rsidRPr="00B4133A">
              <w:rPr>
                <w:b w:val="0"/>
                <w:noProof/>
                <w:webHidden/>
                <w:color w:val="auto"/>
                <w:u w:val="none"/>
              </w:rPr>
              <w:fldChar w:fldCharType="end"/>
            </w:r>
          </w:hyperlink>
        </w:p>
        <w:p w14:paraId="759BA5B2" w14:textId="417EFABE" w:rsidR="005E4703" w:rsidRPr="00B4133A" w:rsidRDefault="00C6150D">
          <w:pPr>
            <w:pStyle w:val="TOC1"/>
            <w:tabs>
              <w:tab w:val="right" w:leader="dot" w:pos="9913"/>
            </w:tabs>
            <w:rPr>
              <w:rFonts w:eastAsiaTheme="minorEastAsia"/>
              <w:b w:val="0"/>
              <w:bCs w:val="0"/>
              <w:caps w:val="0"/>
              <w:noProof/>
              <w:color w:val="auto"/>
              <w:u w:val="none"/>
            </w:rPr>
          </w:pPr>
          <w:hyperlink w:anchor="_Toc2019679" w:history="1">
            <w:r w:rsidR="005E4703" w:rsidRPr="00B4133A">
              <w:rPr>
                <w:rStyle w:val="Hyperlink"/>
                <w:rFonts w:asciiTheme="minorHAnsi" w:hAnsiTheme="minorHAnsi" w:cstheme="minorHAnsi"/>
                <w:b w:val="0"/>
                <w:noProof/>
                <w:color w:val="auto"/>
                <w:sz w:val="22"/>
                <w:u w:val="none"/>
              </w:rPr>
              <w:t>Annexes</w:t>
            </w:r>
            <w:r w:rsidR="005E4703" w:rsidRPr="00B4133A">
              <w:rPr>
                <w:b w:val="0"/>
                <w:noProof/>
                <w:webHidden/>
                <w:color w:val="auto"/>
                <w:u w:val="none"/>
              </w:rPr>
              <w:tab/>
            </w:r>
            <w:r w:rsidR="005E4703" w:rsidRPr="00B4133A">
              <w:rPr>
                <w:b w:val="0"/>
                <w:noProof/>
                <w:webHidden/>
                <w:color w:val="auto"/>
                <w:u w:val="none"/>
              </w:rPr>
              <w:fldChar w:fldCharType="begin"/>
            </w:r>
            <w:r w:rsidR="005E4703" w:rsidRPr="00B4133A">
              <w:rPr>
                <w:b w:val="0"/>
                <w:noProof/>
                <w:webHidden/>
                <w:color w:val="auto"/>
                <w:u w:val="none"/>
              </w:rPr>
              <w:instrText xml:space="preserve"> PAGEREF _Toc2019679 \h </w:instrText>
            </w:r>
            <w:r w:rsidR="005E4703" w:rsidRPr="00B4133A">
              <w:rPr>
                <w:b w:val="0"/>
                <w:noProof/>
                <w:webHidden/>
                <w:color w:val="auto"/>
                <w:u w:val="none"/>
              </w:rPr>
            </w:r>
            <w:r w:rsidR="005E4703" w:rsidRPr="00B4133A">
              <w:rPr>
                <w:b w:val="0"/>
                <w:noProof/>
                <w:webHidden/>
                <w:color w:val="auto"/>
                <w:u w:val="none"/>
              </w:rPr>
              <w:fldChar w:fldCharType="separate"/>
            </w:r>
            <w:r w:rsidR="00F6144E">
              <w:rPr>
                <w:b w:val="0"/>
                <w:noProof/>
                <w:webHidden/>
                <w:color w:val="auto"/>
                <w:u w:val="none"/>
              </w:rPr>
              <w:t>26</w:t>
            </w:r>
            <w:r w:rsidR="005E4703" w:rsidRPr="00B4133A">
              <w:rPr>
                <w:b w:val="0"/>
                <w:noProof/>
                <w:webHidden/>
                <w:color w:val="auto"/>
                <w:u w:val="none"/>
              </w:rPr>
              <w:fldChar w:fldCharType="end"/>
            </w:r>
          </w:hyperlink>
        </w:p>
        <w:p w14:paraId="4E9F521D" w14:textId="58D7E93E" w:rsidR="005E4703" w:rsidRDefault="005E4703">
          <w:r w:rsidRPr="00B4133A">
            <w:rPr>
              <w:rFonts w:asciiTheme="minorHAnsi" w:hAnsiTheme="minorHAnsi" w:cstheme="minorHAnsi"/>
              <w:b w:val="0"/>
              <w:bCs/>
              <w:noProof/>
              <w:color w:val="auto"/>
              <w:u w:val="none"/>
            </w:rPr>
            <w:fldChar w:fldCharType="end"/>
          </w:r>
        </w:p>
      </w:sdtContent>
    </w:sdt>
    <w:p w14:paraId="23CFCD2B" w14:textId="07DA856E" w:rsidR="005C41ED" w:rsidRDefault="005C41ED" w:rsidP="005C41ED">
      <w:pPr>
        <w:pStyle w:val="TOC1"/>
        <w:tabs>
          <w:tab w:val="right" w:pos="9913"/>
        </w:tabs>
        <w:rPr>
          <w:rFonts w:eastAsiaTheme="minorEastAsia" w:cstheme="minorBidi"/>
          <w:b w:val="0"/>
          <w:bCs w:val="0"/>
          <w:caps w:val="0"/>
          <w:noProof/>
          <w:color w:val="auto"/>
          <w:sz w:val="24"/>
          <w:szCs w:val="24"/>
          <w:u w:val="none"/>
          <w:lang w:eastAsia="en-US"/>
        </w:rPr>
      </w:pPr>
      <w:r>
        <w:fldChar w:fldCharType="begin"/>
      </w:r>
      <w:r>
        <w:instrText xml:space="preserve"> TOC \o "1-2" \h \z \u </w:instrText>
      </w:r>
      <w:r>
        <w:fldChar w:fldCharType="separate"/>
      </w:r>
    </w:p>
    <w:p w14:paraId="0E193F50" w14:textId="1EB2ED5C" w:rsidR="005C41ED" w:rsidRPr="00CE4A51" w:rsidRDefault="005C41ED" w:rsidP="005C41ED">
      <w:pPr>
        <w:autoSpaceDE/>
        <w:autoSpaceDN/>
        <w:adjustRightInd/>
        <w:spacing w:before="60" w:after="60" w:line="288" w:lineRule="auto"/>
        <w:jc w:val="both"/>
        <w:textAlignment w:val="auto"/>
        <w:rPr>
          <w:rFonts w:asciiTheme="minorHAnsi" w:hAnsiTheme="minorHAnsi" w:cstheme="minorHAnsi"/>
          <w:b w:val="0"/>
          <w:color w:val="auto"/>
          <w:sz w:val="21"/>
          <w:szCs w:val="21"/>
          <w:u w:val="none"/>
        </w:rPr>
      </w:pPr>
      <w:r>
        <w:fldChar w:fldCharType="end"/>
      </w:r>
      <w:r w:rsidRPr="00CE4A51">
        <w:rPr>
          <w:rFonts w:asciiTheme="minorHAnsi" w:hAnsiTheme="minorHAnsi" w:cstheme="minorHAnsi"/>
          <w:b w:val="0"/>
          <w:color w:val="auto"/>
          <w:sz w:val="21"/>
          <w:szCs w:val="21"/>
          <w:u w:val="none"/>
        </w:rPr>
        <w:t>Annex 1 Key Evaluation Questions and sub-questions</w:t>
      </w:r>
    </w:p>
    <w:p w14:paraId="799E9A34" w14:textId="77777777" w:rsidR="005C41ED" w:rsidRPr="00CE4A51" w:rsidRDefault="005C41ED" w:rsidP="005C41ED">
      <w:pPr>
        <w:autoSpaceDE/>
        <w:autoSpaceDN/>
        <w:adjustRightInd/>
        <w:spacing w:before="60" w:after="60" w:line="288" w:lineRule="auto"/>
        <w:jc w:val="both"/>
        <w:textAlignment w:val="auto"/>
        <w:rPr>
          <w:rFonts w:asciiTheme="minorHAnsi" w:hAnsiTheme="minorHAnsi" w:cstheme="minorHAnsi"/>
          <w:b w:val="0"/>
          <w:color w:val="auto"/>
          <w:sz w:val="21"/>
          <w:szCs w:val="21"/>
          <w:u w:val="none"/>
        </w:rPr>
      </w:pPr>
      <w:r w:rsidRPr="00CE4A51">
        <w:rPr>
          <w:rFonts w:asciiTheme="minorHAnsi" w:hAnsiTheme="minorHAnsi" w:cstheme="minorHAnsi"/>
          <w:b w:val="0"/>
          <w:color w:val="auto"/>
          <w:sz w:val="21"/>
          <w:szCs w:val="21"/>
          <w:u w:val="none"/>
        </w:rPr>
        <w:t>Annex 2 Progress Against Indicators</w:t>
      </w:r>
    </w:p>
    <w:p w14:paraId="548EBB4B" w14:textId="77777777" w:rsidR="005C41ED" w:rsidRPr="00CE4A51" w:rsidRDefault="005C41ED" w:rsidP="005C41ED">
      <w:pPr>
        <w:autoSpaceDE/>
        <w:autoSpaceDN/>
        <w:adjustRightInd/>
        <w:spacing w:before="60" w:after="60" w:line="288" w:lineRule="auto"/>
        <w:jc w:val="both"/>
        <w:textAlignment w:val="auto"/>
        <w:rPr>
          <w:rFonts w:asciiTheme="minorHAnsi" w:hAnsiTheme="minorHAnsi" w:cstheme="minorHAnsi"/>
          <w:b w:val="0"/>
          <w:color w:val="auto"/>
          <w:sz w:val="21"/>
          <w:szCs w:val="21"/>
          <w:u w:val="none"/>
        </w:rPr>
      </w:pPr>
      <w:r w:rsidRPr="00CE4A51">
        <w:rPr>
          <w:rFonts w:asciiTheme="minorHAnsi" w:hAnsiTheme="minorHAnsi" w:cstheme="minorHAnsi"/>
          <w:b w:val="0"/>
          <w:color w:val="auto"/>
          <w:sz w:val="21"/>
          <w:szCs w:val="21"/>
          <w:u w:val="none"/>
        </w:rPr>
        <w:t>Annex 3 Grant Summary Table</w:t>
      </w:r>
    </w:p>
    <w:p w14:paraId="02B41693" w14:textId="77777777" w:rsidR="005C41ED" w:rsidRPr="00CE4A51" w:rsidRDefault="005C41ED" w:rsidP="005C41ED">
      <w:pPr>
        <w:autoSpaceDE/>
        <w:autoSpaceDN/>
        <w:adjustRightInd/>
        <w:spacing w:before="60" w:after="60" w:line="288" w:lineRule="auto"/>
        <w:jc w:val="both"/>
        <w:textAlignment w:val="auto"/>
        <w:rPr>
          <w:rFonts w:asciiTheme="minorHAnsi" w:hAnsiTheme="minorHAnsi" w:cstheme="minorHAnsi"/>
          <w:b w:val="0"/>
          <w:color w:val="auto"/>
          <w:sz w:val="21"/>
          <w:szCs w:val="21"/>
          <w:u w:val="none"/>
        </w:rPr>
      </w:pPr>
      <w:r w:rsidRPr="00CE4A51">
        <w:rPr>
          <w:rFonts w:asciiTheme="minorHAnsi" w:hAnsiTheme="minorHAnsi" w:cstheme="minorHAnsi"/>
          <w:b w:val="0"/>
          <w:color w:val="auto"/>
          <w:sz w:val="21"/>
          <w:szCs w:val="21"/>
          <w:u w:val="none"/>
        </w:rPr>
        <w:t>Annex 4 Management Responses</w:t>
      </w:r>
    </w:p>
    <w:p w14:paraId="57723AEF" w14:textId="66060C82" w:rsidR="00A8116D" w:rsidRPr="00A8116D" w:rsidRDefault="00A8116D" w:rsidP="00A8116D"/>
    <w:p w14:paraId="1487131B" w14:textId="77777777" w:rsidR="00A8116D" w:rsidRPr="00A8116D" w:rsidRDefault="00A8116D" w:rsidP="00A8116D"/>
    <w:p w14:paraId="1AD5A9AB" w14:textId="77777777" w:rsidR="00DA64E4" w:rsidRDefault="00DA64E4" w:rsidP="00447313">
      <w:pPr>
        <w:pStyle w:val="BodyText"/>
        <w:spacing w:after="0" w:line="288" w:lineRule="auto"/>
        <w:jc w:val="both"/>
        <w:rPr>
          <w:rFonts w:asciiTheme="minorHAnsi" w:hAnsiTheme="minorHAnsi" w:cstheme="minorHAnsi"/>
          <w:sz w:val="18"/>
          <w:szCs w:val="18"/>
        </w:rPr>
        <w:sectPr w:rsidR="00DA64E4" w:rsidSect="00160A2F">
          <w:headerReference w:type="default" r:id="rId20"/>
          <w:footerReference w:type="default" r:id="rId21"/>
          <w:endnotePr>
            <w:numFmt w:val="decimal"/>
          </w:endnotePr>
          <w:pgSz w:w="11906" w:h="16838"/>
          <w:pgMar w:top="993" w:right="849" w:bottom="851" w:left="1134" w:header="284" w:footer="232" w:gutter="0"/>
          <w:pgNumType w:fmt="lowerRoman" w:start="0"/>
          <w:cols w:space="708"/>
          <w:docGrid w:linePitch="360"/>
        </w:sectPr>
      </w:pPr>
    </w:p>
    <w:p w14:paraId="589739B7" w14:textId="76CF5D2A" w:rsidR="00B35237" w:rsidRPr="00D0536E" w:rsidRDefault="00B35237" w:rsidP="00447313">
      <w:pPr>
        <w:pStyle w:val="Heading1"/>
        <w:ind w:left="0"/>
        <w:rPr>
          <w:bCs w:val="0"/>
        </w:rPr>
      </w:pPr>
      <w:bookmarkStart w:id="8" w:name="_Toc531966529"/>
      <w:bookmarkStart w:id="9" w:name="_Toc425337"/>
      <w:bookmarkStart w:id="10" w:name="_Toc437959"/>
      <w:bookmarkStart w:id="11" w:name="_Toc1902704"/>
      <w:bookmarkStart w:id="12" w:name="_Toc1994620"/>
      <w:bookmarkStart w:id="13" w:name="_Toc1999841"/>
      <w:bookmarkStart w:id="14" w:name="_Toc2019638"/>
      <w:bookmarkStart w:id="15" w:name="_Toc365456375"/>
      <w:bookmarkStart w:id="16" w:name="_Toc365640173"/>
      <w:bookmarkStart w:id="17" w:name="_Toc365884707"/>
      <w:bookmarkStart w:id="18" w:name="_Toc365884875"/>
      <w:bookmarkStart w:id="19" w:name="_Toc365885095"/>
      <w:r w:rsidRPr="00D0536E">
        <w:rPr>
          <w:bCs w:val="0"/>
        </w:rPr>
        <w:t xml:space="preserve">Executive </w:t>
      </w:r>
      <w:r w:rsidRPr="00D0536E">
        <w:t>Summary</w:t>
      </w:r>
      <w:bookmarkEnd w:id="8"/>
      <w:bookmarkEnd w:id="9"/>
      <w:bookmarkEnd w:id="10"/>
      <w:bookmarkEnd w:id="11"/>
      <w:bookmarkEnd w:id="12"/>
      <w:bookmarkEnd w:id="13"/>
      <w:bookmarkEnd w:id="14"/>
    </w:p>
    <w:p w14:paraId="3851C8A7" w14:textId="6B1C9EFC" w:rsidR="00540B61" w:rsidRPr="00705BD3" w:rsidRDefault="006D35CB" w:rsidP="00705BD3">
      <w:pPr>
        <w:spacing w:line="264" w:lineRule="auto"/>
        <w:jc w:val="both"/>
        <w:rPr>
          <w:rFonts w:asciiTheme="minorHAnsi" w:hAnsiTheme="minorHAnsi" w:cstheme="minorHAnsi"/>
          <w:b w:val="0"/>
          <w:color w:val="000000" w:themeColor="text1"/>
          <w:sz w:val="21"/>
          <w:szCs w:val="21"/>
          <w:u w:val="none"/>
        </w:rPr>
      </w:pPr>
      <w:bookmarkStart w:id="20" w:name="_Toc531966530"/>
      <w:r>
        <w:rPr>
          <w:rFonts w:asciiTheme="minorHAnsi" w:hAnsiTheme="minorHAnsi" w:cstheme="minorHAnsi"/>
          <w:b w:val="0"/>
          <w:color w:val="000000" w:themeColor="text1"/>
          <w:sz w:val="21"/>
          <w:szCs w:val="21"/>
          <w:u w:val="none"/>
        </w:rPr>
        <w:t xml:space="preserve">The </w:t>
      </w:r>
      <w:r w:rsidR="00A743FF" w:rsidRPr="00705BD3">
        <w:rPr>
          <w:rFonts w:asciiTheme="minorHAnsi" w:hAnsiTheme="minorHAnsi" w:cstheme="minorHAnsi"/>
          <w:b w:val="0"/>
          <w:color w:val="000000" w:themeColor="text1"/>
          <w:sz w:val="21"/>
          <w:szCs w:val="21"/>
          <w:u w:val="none"/>
        </w:rPr>
        <w:t xml:space="preserve">Nabilan (Ending Violence Against Women and Children) Program is an 8-year Australian </w:t>
      </w:r>
      <w:r w:rsidR="00D76A5B">
        <w:rPr>
          <w:rFonts w:asciiTheme="minorHAnsi" w:hAnsiTheme="minorHAnsi" w:cstheme="minorHAnsi"/>
          <w:b w:val="0"/>
          <w:color w:val="000000" w:themeColor="text1"/>
          <w:sz w:val="21"/>
          <w:szCs w:val="21"/>
          <w:u w:val="none"/>
        </w:rPr>
        <w:t>A</w:t>
      </w:r>
      <w:r w:rsidR="00D76A5B" w:rsidRPr="00705BD3">
        <w:rPr>
          <w:rFonts w:asciiTheme="minorHAnsi" w:hAnsiTheme="minorHAnsi" w:cstheme="minorHAnsi"/>
          <w:b w:val="0"/>
          <w:color w:val="000000" w:themeColor="text1"/>
          <w:sz w:val="21"/>
          <w:szCs w:val="21"/>
          <w:u w:val="none"/>
        </w:rPr>
        <w:t xml:space="preserve">id </w:t>
      </w:r>
      <w:r w:rsidR="00A743FF" w:rsidRPr="00705BD3">
        <w:rPr>
          <w:rFonts w:asciiTheme="minorHAnsi" w:hAnsiTheme="minorHAnsi" w:cstheme="minorHAnsi"/>
          <w:b w:val="0"/>
          <w:color w:val="000000" w:themeColor="text1"/>
          <w:sz w:val="21"/>
          <w:szCs w:val="21"/>
          <w:u w:val="none"/>
        </w:rPr>
        <w:t xml:space="preserve">initiative implemented by The Asia Foundation in Timor-Leste on behalf of the Australian Government. </w:t>
      </w:r>
      <w:r w:rsidR="006D29A3">
        <w:rPr>
          <w:rFonts w:asciiTheme="minorHAnsi" w:hAnsiTheme="minorHAnsi" w:cstheme="minorHAnsi"/>
          <w:b w:val="0"/>
          <w:color w:val="000000" w:themeColor="text1"/>
          <w:sz w:val="21"/>
          <w:szCs w:val="21"/>
          <w:u w:val="none"/>
        </w:rPr>
        <w:t xml:space="preserve">Nabilan </w:t>
      </w:r>
      <w:r w:rsidR="00A743FF" w:rsidRPr="00705BD3">
        <w:rPr>
          <w:rFonts w:asciiTheme="minorHAnsi" w:hAnsiTheme="minorHAnsi" w:cstheme="minorHAnsi"/>
          <w:b w:val="0"/>
          <w:color w:val="000000" w:themeColor="text1"/>
          <w:sz w:val="21"/>
          <w:szCs w:val="21"/>
          <w:u w:val="none"/>
        </w:rPr>
        <w:t>commenced in April 2014, with Phase 2 continuing from April 2018 until June 2022</w:t>
      </w:r>
      <w:r w:rsidR="009C235C" w:rsidRPr="00705BD3">
        <w:rPr>
          <w:rFonts w:asciiTheme="minorHAnsi" w:hAnsiTheme="minorHAnsi" w:cstheme="minorHAnsi"/>
          <w:b w:val="0"/>
          <w:color w:val="000000" w:themeColor="text1"/>
          <w:sz w:val="21"/>
          <w:szCs w:val="21"/>
          <w:u w:val="none"/>
        </w:rPr>
        <w:t>,</w:t>
      </w:r>
      <w:r w:rsidR="0075369E" w:rsidRPr="00705BD3">
        <w:rPr>
          <w:rFonts w:asciiTheme="minorHAnsi" w:hAnsiTheme="minorHAnsi" w:cstheme="minorHAnsi"/>
          <w:b w:val="0"/>
          <w:color w:val="000000" w:themeColor="text1"/>
          <w:sz w:val="21"/>
          <w:szCs w:val="21"/>
          <w:u w:val="none"/>
        </w:rPr>
        <w:t xml:space="preserve"> with a budget of</w:t>
      </w:r>
      <w:r w:rsidR="000F14FD" w:rsidRPr="00705BD3">
        <w:rPr>
          <w:rFonts w:asciiTheme="minorHAnsi" w:hAnsiTheme="minorHAnsi" w:cstheme="minorHAnsi"/>
          <w:b w:val="0"/>
          <w:color w:val="000000" w:themeColor="text1"/>
          <w:sz w:val="21"/>
          <w:szCs w:val="21"/>
          <w:u w:val="none"/>
        </w:rPr>
        <w:t xml:space="preserve"> $A14.2m over four years</w:t>
      </w:r>
      <w:r w:rsidR="0075369E" w:rsidRPr="00705BD3">
        <w:rPr>
          <w:rFonts w:asciiTheme="minorHAnsi" w:hAnsiTheme="minorHAnsi" w:cstheme="minorHAnsi"/>
          <w:b w:val="0"/>
          <w:color w:val="000000" w:themeColor="text1"/>
          <w:sz w:val="21"/>
          <w:szCs w:val="21"/>
          <w:u w:val="none"/>
        </w:rPr>
        <w:t>.</w:t>
      </w:r>
      <w:r w:rsidR="000F14FD" w:rsidRPr="00705BD3">
        <w:rPr>
          <w:rFonts w:asciiTheme="minorHAnsi" w:hAnsiTheme="minorHAnsi" w:cstheme="minorHAnsi"/>
          <w:b w:val="0"/>
          <w:color w:val="000000" w:themeColor="text1"/>
          <w:sz w:val="21"/>
          <w:szCs w:val="21"/>
          <w:u w:val="none"/>
        </w:rPr>
        <w:t xml:space="preserve"> </w:t>
      </w:r>
      <w:r w:rsidR="00A743FF" w:rsidRPr="00705BD3">
        <w:rPr>
          <w:rFonts w:asciiTheme="minorHAnsi" w:hAnsiTheme="minorHAnsi" w:cstheme="minorHAnsi"/>
          <w:b w:val="0"/>
          <w:color w:val="000000" w:themeColor="text1"/>
          <w:sz w:val="21"/>
          <w:szCs w:val="21"/>
          <w:u w:val="none"/>
        </w:rPr>
        <w:t xml:space="preserve">The goal of Phase 2 of Nabilan is that “Women and children live free from violence and can enjoy their rights”. </w:t>
      </w:r>
      <w:r w:rsidR="009C1FC2" w:rsidRPr="00705BD3">
        <w:rPr>
          <w:rFonts w:asciiTheme="minorHAnsi" w:hAnsiTheme="minorHAnsi" w:cstheme="minorHAnsi"/>
          <w:b w:val="0"/>
          <w:color w:val="000000" w:themeColor="text1"/>
          <w:sz w:val="21"/>
          <w:szCs w:val="21"/>
          <w:u w:val="none"/>
        </w:rPr>
        <w:t>To contribute to this goal, Phase 2 has two End of Program Outcomes (EOPOs</w:t>
      </w:r>
      <w:r w:rsidR="00B21199" w:rsidRPr="00705BD3">
        <w:rPr>
          <w:rFonts w:asciiTheme="minorHAnsi" w:hAnsiTheme="minorHAnsi" w:cstheme="minorHAnsi"/>
          <w:b w:val="0"/>
          <w:color w:val="000000" w:themeColor="text1"/>
          <w:sz w:val="21"/>
          <w:szCs w:val="21"/>
          <w:u w:val="none"/>
        </w:rPr>
        <w:t xml:space="preserve">). EOPO1 is </w:t>
      </w:r>
      <w:r w:rsidR="009C235C" w:rsidRPr="00705BD3">
        <w:rPr>
          <w:rFonts w:asciiTheme="minorHAnsi" w:hAnsiTheme="minorHAnsi" w:cstheme="minorHAnsi"/>
          <w:b w:val="0"/>
          <w:color w:val="000000" w:themeColor="text1"/>
          <w:sz w:val="21"/>
          <w:szCs w:val="21"/>
          <w:u w:val="none"/>
        </w:rPr>
        <w:t>“</w:t>
      </w:r>
      <w:r w:rsidR="009C1FC2" w:rsidRPr="00705BD3">
        <w:rPr>
          <w:rFonts w:asciiTheme="minorHAnsi" w:hAnsiTheme="minorHAnsi" w:cstheme="minorHAnsi"/>
          <w:b w:val="0"/>
          <w:color w:val="000000" w:themeColor="text1"/>
          <w:sz w:val="21"/>
          <w:szCs w:val="21"/>
          <w:u w:val="none"/>
        </w:rPr>
        <w:t>women and children who experience violence have access to quality and inclusive services</w:t>
      </w:r>
      <w:r w:rsidR="009C235C" w:rsidRPr="00705BD3">
        <w:rPr>
          <w:rFonts w:asciiTheme="minorHAnsi" w:hAnsiTheme="minorHAnsi" w:cstheme="minorHAnsi"/>
          <w:b w:val="0"/>
          <w:color w:val="000000" w:themeColor="text1"/>
          <w:sz w:val="21"/>
          <w:szCs w:val="21"/>
          <w:u w:val="none"/>
        </w:rPr>
        <w:t>”</w:t>
      </w:r>
      <w:r w:rsidR="009C1FC2" w:rsidRPr="00705BD3">
        <w:rPr>
          <w:rFonts w:asciiTheme="minorHAnsi" w:hAnsiTheme="minorHAnsi" w:cstheme="minorHAnsi"/>
          <w:b w:val="0"/>
          <w:color w:val="000000" w:themeColor="text1"/>
          <w:sz w:val="21"/>
          <w:szCs w:val="21"/>
          <w:u w:val="none"/>
        </w:rPr>
        <w:t xml:space="preserve">; and </w:t>
      </w:r>
      <w:r w:rsidR="00B21199" w:rsidRPr="00705BD3">
        <w:rPr>
          <w:rFonts w:asciiTheme="minorHAnsi" w:hAnsiTheme="minorHAnsi" w:cstheme="minorHAnsi"/>
          <w:b w:val="0"/>
          <w:color w:val="000000" w:themeColor="text1"/>
          <w:sz w:val="21"/>
          <w:szCs w:val="21"/>
          <w:u w:val="none"/>
        </w:rPr>
        <w:t xml:space="preserve">EOPO 2 is </w:t>
      </w:r>
      <w:r w:rsidR="009C235C" w:rsidRPr="00705BD3">
        <w:rPr>
          <w:rFonts w:asciiTheme="minorHAnsi" w:hAnsiTheme="minorHAnsi" w:cstheme="minorHAnsi"/>
          <w:b w:val="0"/>
          <w:color w:val="000000" w:themeColor="text1"/>
          <w:sz w:val="21"/>
          <w:szCs w:val="21"/>
          <w:u w:val="none"/>
        </w:rPr>
        <w:t>“</w:t>
      </w:r>
      <w:r w:rsidR="009C1FC2" w:rsidRPr="00705BD3">
        <w:rPr>
          <w:rFonts w:asciiTheme="minorHAnsi" w:hAnsiTheme="minorHAnsi" w:cstheme="minorHAnsi"/>
          <w:b w:val="0"/>
          <w:color w:val="000000" w:themeColor="text1"/>
          <w:sz w:val="21"/>
          <w:szCs w:val="21"/>
          <w:u w:val="none"/>
        </w:rPr>
        <w:t>individuals, communities and institutions take action to reduce violence against women and children</w:t>
      </w:r>
      <w:r w:rsidR="009C235C" w:rsidRPr="00705BD3">
        <w:rPr>
          <w:rFonts w:asciiTheme="minorHAnsi" w:hAnsiTheme="minorHAnsi" w:cstheme="minorHAnsi"/>
          <w:b w:val="0"/>
          <w:color w:val="000000" w:themeColor="text1"/>
          <w:sz w:val="21"/>
          <w:szCs w:val="21"/>
          <w:u w:val="none"/>
        </w:rPr>
        <w:t>”</w:t>
      </w:r>
      <w:r w:rsidR="009C1FC2" w:rsidRPr="00705BD3">
        <w:rPr>
          <w:rFonts w:asciiTheme="minorHAnsi" w:hAnsiTheme="minorHAnsi" w:cstheme="minorHAnsi"/>
          <w:b w:val="0"/>
          <w:color w:val="000000" w:themeColor="text1"/>
          <w:sz w:val="21"/>
          <w:szCs w:val="21"/>
          <w:u w:val="none"/>
        </w:rPr>
        <w:t>.</w:t>
      </w:r>
    </w:p>
    <w:p w14:paraId="3FC145EA" w14:textId="1D2A0A1F" w:rsidR="0050535E" w:rsidRPr="00705BD3" w:rsidRDefault="002F4F3B" w:rsidP="006D29A3">
      <w:pPr>
        <w:spacing w:line="264" w:lineRule="auto"/>
        <w:jc w:val="both"/>
        <w:rPr>
          <w:rFonts w:asciiTheme="minorHAnsi" w:hAnsiTheme="minorHAnsi" w:cstheme="minorHAnsi"/>
          <w:b w:val="0"/>
          <w:color w:val="000000" w:themeColor="text1"/>
          <w:sz w:val="21"/>
          <w:szCs w:val="21"/>
          <w:u w:val="none"/>
        </w:rPr>
      </w:pPr>
      <w:r w:rsidRPr="00705BD3">
        <w:rPr>
          <w:rFonts w:asciiTheme="minorHAnsi" w:hAnsiTheme="minorHAnsi" w:cstheme="minorHAnsi"/>
          <w:b w:val="0"/>
          <w:color w:val="000000" w:themeColor="text1"/>
          <w:sz w:val="21"/>
          <w:szCs w:val="21"/>
          <w:u w:val="none"/>
        </w:rPr>
        <w:t xml:space="preserve">This </w:t>
      </w:r>
      <w:r w:rsidR="00E5124E" w:rsidRPr="00705BD3">
        <w:rPr>
          <w:rFonts w:asciiTheme="minorHAnsi" w:hAnsiTheme="minorHAnsi" w:cstheme="minorHAnsi"/>
          <w:b w:val="0"/>
          <w:color w:val="000000" w:themeColor="text1"/>
          <w:sz w:val="21"/>
          <w:szCs w:val="21"/>
          <w:u w:val="none"/>
        </w:rPr>
        <w:t xml:space="preserve">Annual Report for 2018 outlines our work and </w:t>
      </w:r>
      <w:r w:rsidR="0077486C" w:rsidRPr="00705BD3">
        <w:rPr>
          <w:rFonts w:asciiTheme="minorHAnsi" w:hAnsiTheme="minorHAnsi" w:cstheme="minorHAnsi"/>
          <w:b w:val="0"/>
          <w:color w:val="000000" w:themeColor="text1"/>
          <w:sz w:val="21"/>
          <w:szCs w:val="21"/>
          <w:u w:val="none"/>
        </w:rPr>
        <w:t>progress</w:t>
      </w:r>
      <w:r w:rsidR="005541FD" w:rsidRPr="00705BD3">
        <w:rPr>
          <w:rFonts w:asciiTheme="minorHAnsi" w:hAnsiTheme="minorHAnsi" w:cstheme="minorHAnsi"/>
          <w:b w:val="0"/>
          <w:color w:val="000000" w:themeColor="text1"/>
          <w:sz w:val="21"/>
          <w:szCs w:val="21"/>
          <w:u w:val="none"/>
        </w:rPr>
        <w:t xml:space="preserve"> </w:t>
      </w:r>
      <w:r w:rsidR="00E5124E" w:rsidRPr="00705BD3">
        <w:rPr>
          <w:rFonts w:asciiTheme="minorHAnsi" w:hAnsiTheme="minorHAnsi" w:cstheme="minorHAnsi"/>
          <w:b w:val="0"/>
          <w:color w:val="000000" w:themeColor="text1"/>
          <w:sz w:val="21"/>
          <w:szCs w:val="21"/>
          <w:u w:val="none"/>
        </w:rPr>
        <w:t xml:space="preserve">towards </w:t>
      </w:r>
      <w:r w:rsidR="00965F33" w:rsidRPr="00705BD3">
        <w:rPr>
          <w:rFonts w:asciiTheme="minorHAnsi" w:hAnsiTheme="minorHAnsi" w:cstheme="minorHAnsi"/>
          <w:b w:val="0"/>
          <w:color w:val="000000" w:themeColor="text1"/>
          <w:sz w:val="21"/>
          <w:szCs w:val="21"/>
          <w:u w:val="none"/>
        </w:rPr>
        <w:t xml:space="preserve">these </w:t>
      </w:r>
      <w:r w:rsidR="00540B61" w:rsidRPr="00705BD3">
        <w:rPr>
          <w:rFonts w:asciiTheme="minorHAnsi" w:hAnsiTheme="minorHAnsi" w:cstheme="minorHAnsi"/>
          <w:b w:val="0"/>
          <w:color w:val="000000" w:themeColor="text1"/>
          <w:sz w:val="21"/>
          <w:szCs w:val="21"/>
          <w:u w:val="none"/>
        </w:rPr>
        <w:t>EOPO</w:t>
      </w:r>
      <w:r w:rsidR="009C235C" w:rsidRPr="00705BD3">
        <w:rPr>
          <w:rFonts w:asciiTheme="minorHAnsi" w:hAnsiTheme="minorHAnsi" w:cstheme="minorHAnsi"/>
          <w:b w:val="0"/>
          <w:color w:val="000000" w:themeColor="text1"/>
          <w:sz w:val="21"/>
          <w:szCs w:val="21"/>
          <w:u w:val="none"/>
        </w:rPr>
        <w:t>s</w:t>
      </w:r>
      <w:r w:rsidR="005541FD" w:rsidRPr="00705BD3">
        <w:rPr>
          <w:rFonts w:asciiTheme="minorHAnsi" w:hAnsiTheme="minorHAnsi" w:cstheme="minorHAnsi"/>
          <w:b w:val="0"/>
          <w:color w:val="000000" w:themeColor="text1"/>
          <w:sz w:val="21"/>
          <w:szCs w:val="21"/>
          <w:u w:val="none"/>
        </w:rPr>
        <w:t xml:space="preserve">. </w:t>
      </w:r>
      <w:r w:rsidR="00160A2F" w:rsidRPr="00705BD3">
        <w:rPr>
          <w:rFonts w:asciiTheme="minorHAnsi" w:hAnsiTheme="minorHAnsi" w:cstheme="minorHAnsi"/>
          <w:b w:val="0"/>
          <w:color w:val="000000" w:themeColor="text1"/>
          <w:sz w:val="21"/>
          <w:szCs w:val="21"/>
          <w:u w:val="none"/>
        </w:rPr>
        <w:t>Nabilan’s new Theory of Change (ToC) and Monitoring, Evaluation and Learning Plan (MELP) for Phase 2 was developed during this reporting period, and this report responds to that MELP.</w:t>
      </w:r>
      <w:r w:rsidR="00160A2F">
        <w:rPr>
          <w:rFonts w:asciiTheme="minorHAnsi" w:hAnsiTheme="minorHAnsi" w:cstheme="minorHAnsi"/>
          <w:b w:val="0"/>
          <w:color w:val="000000" w:themeColor="text1"/>
          <w:sz w:val="21"/>
          <w:szCs w:val="21"/>
          <w:u w:val="none"/>
        </w:rPr>
        <w:t xml:space="preserve"> </w:t>
      </w:r>
      <w:r w:rsidR="00160A2F" w:rsidRPr="00705BD3">
        <w:rPr>
          <w:rFonts w:asciiTheme="minorHAnsi" w:hAnsiTheme="minorHAnsi" w:cstheme="minorHAnsi"/>
          <w:b w:val="0"/>
          <w:color w:val="000000" w:themeColor="text1"/>
          <w:sz w:val="21"/>
          <w:szCs w:val="21"/>
          <w:u w:val="none"/>
        </w:rPr>
        <w:t xml:space="preserve">During this period Nabilan moved from six-monthly written progress reporting, to an annual progress report and six-monthly verbal progress briefing. </w:t>
      </w:r>
      <w:r w:rsidR="00C82366" w:rsidRPr="00705BD3">
        <w:rPr>
          <w:rFonts w:asciiTheme="minorHAnsi" w:hAnsiTheme="minorHAnsi" w:cstheme="minorHAnsi"/>
          <w:b w:val="0"/>
          <w:color w:val="000000" w:themeColor="text1"/>
          <w:sz w:val="21"/>
          <w:szCs w:val="21"/>
          <w:u w:val="none"/>
        </w:rPr>
        <w:t>In 2018 Nabilan also contributed to the Australia</w:t>
      </w:r>
      <w:r w:rsidR="006D35CB">
        <w:rPr>
          <w:rFonts w:asciiTheme="minorHAnsi" w:hAnsiTheme="minorHAnsi" w:cstheme="minorHAnsi"/>
          <w:b w:val="0"/>
          <w:color w:val="000000" w:themeColor="text1"/>
          <w:sz w:val="21"/>
          <w:szCs w:val="21"/>
          <w:u w:val="none"/>
        </w:rPr>
        <w:t>-Timor-Leste Bilateral</w:t>
      </w:r>
      <w:r w:rsidR="00C82366" w:rsidRPr="00705BD3">
        <w:rPr>
          <w:rFonts w:asciiTheme="minorHAnsi" w:hAnsiTheme="minorHAnsi" w:cstheme="minorHAnsi"/>
          <w:b w:val="0"/>
          <w:color w:val="000000" w:themeColor="text1"/>
          <w:sz w:val="21"/>
          <w:szCs w:val="21"/>
          <w:u w:val="none"/>
        </w:rPr>
        <w:t xml:space="preserve"> Development Cooperation Program Performance Assessment Framework (PAF), reporting against </w:t>
      </w:r>
      <w:r w:rsidR="00151A1F" w:rsidRPr="00151A1F">
        <w:rPr>
          <w:rFonts w:asciiTheme="minorHAnsi" w:hAnsiTheme="minorHAnsi" w:cstheme="minorHAnsi"/>
          <w:b w:val="0"/>
          <w:color w:val="000000" w:themeColor="text1"/>
          <w:sz w:val="21"/>
          <w:szCs w:val="21"/>
          <w:u w:val="none"/>
        </w:rPr>
        <w:t>nine</w:t>
      </w:r>
      <w:r w:rsidR="00C82366" w:rsidRPr="00705BD3">
        <w:rPr>
          <w:rFonts w:asciiTheme="minorHAnsi" w:hAnsiTheme="minorHAnsi" w:cstheme="minorHAnsi"/>
          <w:b w:val="0"/>
          <w:color w:val="000000" w:themeColor="text1"/>
          <w:sz w:val="21"/>
          <w:szCs w:val="21"/>
          <w:u w:val="none"/>
        </w:rPr>
        <w:t xml:space="preserve"> out of 19 indicators, and submitting four Stories of Significant Change (SSC).</w:t>
      </w:r>
      <w:r w:rsidR="00151A1F">
        <w:rPr>
          <w:rFonts w:asciiTheme="minorHAnsi" w:hAnsiTheme="minorHAnsi" w:cstheme="minorHAnsi"/>
          <w:b w:val="0"/>
          <w:color w:val="000000" w:themeColor="text1"/>
          <w:sz w:val="21"/>
          <w:szCs w:val="21"/>
          <w:u w:val="none"/>
        </w:rPr>
        <w:t xml:space="preserve"> </w:t>
      </w:r>
      <w:r w:rsidR="00C82366" w:rsidRPr="00705BD3">
        <w:rPr>
          <w:rFonts w:asciiTheme="minorHAnsi" w:hAnsiTheme="minorHAnsi" w:cstheme="minorHAnsi"/>
          <w:b w:val="0"/>
          <w:color w:val="000000" w:themeColor="text1"/>
          <w:sz w:val="21"/>
          <w:szCs w:val="21"/>
          <w:u w:val="none"/>
        </w:rPr>
        <w:t>Three SSCs were verified as highly significant.</w:t>
      </w:r>
      <w:r w:rsidR="009C235C" w:rsidRPr="00705BD3">
        <w:rPr>
          <w:rFonts w:asciiTheme="minorHAnsi" w:hAnsiTheme="minorHAnsi" w:cstheme="minorHAnsi"/>
          <w:b w:val="0"/>
          <w:color w:val="000000" w:themeColor="text1"/>
          <w:sz w:val="21"/>
          <w:szCs w:val="21"/>
          <w:u w:val="none"/>
        </w:rPr>
        <w:t xml:space="preserve"> Progress against PAF indicators is included in this report.</w:t>
      </w:r>
      <w:r w:rsidR="00C82366" w:rsidRPr="00705BD3">
        <w:rPr>
          <w:rFonts w:asciiTheme="minorHAnsi" w:hAnsiTheme="minorHAnsi" w:cstheme="minorHAnsi"/>
          <w:b w:val="0"/>
          <w:color w:val="000000" w:themeColor="text1"/>
          <w:sz w:val="21"/>
          <w:szCs w:val="21"/>
          <w:u w:val="none"/>
        </w:rPr>
        <w:t xml:space="preserve"> </w:t>
      </w:r>
    </w:p>
    <w:p w14:paraId="7ACCB4C4" w14:textId="22A036D5" w:rsidR="0075369E" w:rsidRPr="00705BD3" w:rsidRDefault="005541FD" w:rsidP="00AF3402">
      <w:pPr>
        <w:spacing w:line="264" w:lineRule="auto"/>
        <w:jc w:val="both"/>
        <w:rPr>
          <w:rFonts w:asciiTheme="minorHAnsi" w:hAnsiTheme="minorHAnsi" w:cstheme="minorHAnsi"/>
          <w:b w:val="0"/>
          <w:color w:val="000000" w:themeColor="text1"/>
          <w:sz w:val="21"/>
          <w:szCs w:val="21"/>
          <w:u w:val="none"/>
        </w:rPr>
      </w:pPr>
      <w:r w:rsidRPr="00705BD3">
        <w:rPr>
          <w:rFonts w:asciiTheme="minorHAnsi" w:hAnsiTheme="minorHAnsi" w:cstheme="minorHAnsi"/>
          <w:b w:val="0"/>
          <w:color w:val="000000" w:themeColor="text1"/>
          <w:sz w:val="21"/>
          <w:szCs w:val="21"/>
          <w:u w:val="none"/>
        </w:rPr>
        <w:t xml:space="preserve">During 2018 the </w:t>
      </w:r>
      <w:r w:rsidR="00C82366" w:rsidRPr="00705BD3">
        <w:rPr>
          <w:rFonts w:asciiTheme="minorHAnsi" w:hAnsiTheme="minorHAnsi" w:cstheme="minorHAnsi"/>
          <w:b w:val="0"/>
          <w:color w:val="000000" w:themeColor="text1"/>
          <w:sz w:val="21"/>
          <w:szCs w:val="21"/>
          <w:u w:val="none"/>
        </w:rPr>
        <w:t xml:space="preserve">Nabilan </w:t>
      </w:r>
      <w:r w:rsidRPr="00705BD3">
        <w:rPr>
          <w:rFonts w:asciiTheme="minorHAnsi" w:hAnsiTheme="minorHAnsi" w:cstheme="minorHAnsi"/>
          <w:b w:val="0"/>
          <w:color w:val="000000" w:themeColor="text1"/>
          <w:sz w:val="21"/>
          <w:szCs w:val="21"/>
          <w:u w:val="none"/>
        </w:rPr>
        <w:t>team was reduced</w:t>
      </w:r>
      <w:r w:rsidR="006D29A3">
        <w:rPr>
          <w:rFonts w:asciiTheme="minorHAnsi" w:hAnsiTheme="minorHAnsi" w:cstheme="minorHAnsi"/>
          <w:b w:val="0"/>
          <w:color w:val="000000" w:themeColor="text1"/>
          <w:sz w:val="21"/>
          <w:szCs w:val="21"/>
          <w:u w:val="none"/>
        </w:rPr>
        <w:t xml:space="preserve"> and n</w:t>
      </w:r>
      <w:r w:rsidRPr="00705BD3">
        <w:rPr>
          <w:rFonts w:asciiTheme="minorHAnsi" w:hAnsiTheme="minorHAnsi" w:cstheme="minorHAnsi"/>
          <w:b w:val="0"/>
          <w:color w:val="000000" w:themeColor="text1"/>
          <w:sz w:val="21"/>
          <w:szCs w:val="21"/>
          <w:u w:val="none"/>
        </w:rPr>
        <w:t xml:space="preserve">ational staff took over leadership of the main program areas. </w:t>
      </w:r>
      <w:r w:rsidR="00540B61" w:rsidRPr="00705BD3">
        <w:rPr>
          <w:rFonts w:asciiTheme="minorHAnsi" w:hAnsiTheme="minorHAnsi" w:cstheme="minorHAnsi"/>
          <w:b w:val="0"/>
          <w:color w:val="000000" w:themeColor="text1"/>
          <w:sz w:val="21"/>
          <w:szCs w:val="21"/>
          <w:u w:val="none"/>
        </w:rPr>
        <w:t>Nabilan has limited M&amp;E resources in Phase 2: an M&amp;E Adviser will be contracted on a Short Term Adviser basis as required, and an internal M&amp;E Officer for limited days per month. M&amp;E is led principally by the Team Leader and all Nabilan staff are engaged in M&amp;E activities.</w:t>
      </w:r>
    </w:p>
    <w:p w14:paraId="1B5FE861" w14:textId="4552A55A" w:rsidR="005541FD" w:rsidRPr="00705BD3" w:rsidRDefault="00A4386F" w:rsidP="00705BD3">
      <w:pPr>
        <w:spacing w:line="264" w:lineRule="auto"/>
        <w:jc w:val="both"/>
        <w:rPr>
          <w:rFonts w:asciiTheme="minorHAnsi" w:hAnsiTheme="minorHAnsi" w:cstheme="minorHAnsi"/>
          <w:b w:val="0"/>
          <w:color w:val="000000" w:themeColor="text1"/>
          <w:sz w:val="21"/>
          <w:szCs w:val="21"/>
          <w:u w:val="none"/>
        </w:rPr>
      </w:pPr>
      <w:r w:rsidRPr="00705BD3">
        <w:rPr>
          <w:rFonts w:asciiTheme="minorHAnsi" w:hAnsiTheme="minorHAnsi" w:cstheme="minorHAnsi"/>
          <w:b w:val="0"/>
          <w:color w:val="000000" w:themeColor="text1"/>
          <w:sz w:val="21"/>
          <w:szCs w:val="21"/>
          <w:u w:val="none"/>
        </w:rPr>
        <w:t xml:space="preserve">Nabilan remains </w:t>
      </w:r>
      <w:r w:rsidR="00447313">
        <w:rPr>
          <w:rFonts w:asciiTheme="minorHAnsi" w:hAnsiTheme="minorHAnsi" w:cstheme="minorHAnsi"/>
          <w:b w:val="0"/>
          <w:color w:val="000000" w:themeColor="text1"/>
          <w:sz w:val="21"/>
          <w:szCs w:val="21"/>
          <w:u w:val="none"/>
        </w:rPr>
        <w:t>highly</w:t>
      </w:r>
      <w:r w:rsidRPr="00705BD3">
        <w:rPr>
          <w:rFonts w:asciiTheme="minorHAnsi" w:hAnsiTheme="minorHAnsi" w:cstheme="minorHAnsi"/>
          <w:b w:val="0"/>
          <w:color w:val="000000" w:themeColor="text1"/>
          <w:sz w:val="21"/>
          <w:szCs w:val="21"/>
          <w:u w:val="none"/>
        </w:rPr>
        <w:t xml:space="preserve"> relevant to the agenda of </w:t>
      </w:r>
      <w:r w:rsidR="00F83255" w:rsidRPr="00705BD3">
        <w:rPr>
          <w:rFonts w:asciiTheme="minorHAnsi" w:hAnsiTheme="minorHAnsi" w:cstheme="minorHAnsi"/>
          <w:b w:val="0"/>
          <w:color w:val="000000" w:themeColor="text1"/>
          <w:sz w:val="21"/>
          <w:szCs w:val="21"/>
          <w:u w:val="none"/>
        </w:rPr>
        <w:t>Government of Timor-Leste (</w:t>
      </w:r>
      <w:r w:rsidRPr="00705BD3">
        <w:rPr>
          <w:rFonts w:asciiTheme="minorHAnsi" w:hAnsiTheme="minorHAnsi" w:cstheme="minorHAnsi"/>
          <w:b w:val="0"/>
          <w:color w:val="000000" w:themeColor="text1"/>
          <w:sz w:val="21"/>
          <w:szCs w:val="21"/>
          <w:u w:val="none"/>
        </w:rPr>
        <w:t>GoTL</w:t>
      </w:r>
      <w:r w:rsidR="00F83255" w:rsidRPr="00705BD3">
        <w:rPr>
          <w:rFonts w:asciiTheme="minorHAnsi" w:hAnsiTheme="minorHAnsi" w:cstheme="minorHAnsi"/>
          <w:b w:val="0"/>
          <w:color w:val="000000" w:themeColor="text1"/>
          <w:sz w:val="21"/>
          <w:szCs w:val="21"/>
          <w:u w:val="none"/>
        </w:rPr>
        <w:t>)</w:t>
      </w:r>
      <w:r w:rsidRPr="00705BD3">
        <w:rPr>
          <w:rFonts w:asciiTheme="minorHAnsi" w:hAnsiTheme="minorHAnsi" w:cstheme="minorHAnsi"/>
          <w:b w:val="0"/>
          <w:color w:val="000000" w:themeColor="text1"/>
          <w:sz w:val="21"/>
          <w:szCs w:val="21"/>
          <w:u w:val="none"/>
        </w:rPr>
        <w:t xml:space="preserve">, supporting it to achieve the goals in the Strategic Development Plan, the program of the </w:t>
      </w:r>
      <w:r w:rsidR="009C235C" w:rsidRPr="00705BD3">
        <w:rPr>
          <w:rFonts w:asciiTheme="minorHAnsi" w:hAnsiTheme="minorHAnsi" w:cstheme="minorHAnsi"/>
          <w:b w:val="0"/>
          <w:color w:val="000000" w:themeColor="text1"/>
          <w:sz w:val="21"/>
          <w:szCs w:val="21"/>
          <w:u w:val="none"/>
        </w:rPr>
        <w:t>8th</w:t>
      </w:r>
      <w:r w:rsidRPr="00705BD3">
        <w:rPr>
          <w:rFonts w:asciiTheme="minorHAnsi" w:hAnsiTheme="minorHAnsi" w:cstheme="minorHAnsi"/>
          <w:b w:val="0"/>
          <w:color w:val="000000" w:themeColor="text1"/>
          <w:sz w:val="21"/>
          <w:szCs w:val="21"/>
          <w:u w:val="none"/>
        </w:rPr>
        <w:t xml:space="preserve"> C</w:t>
      </w:r>
      <w:r w:rsidR="009C235C" w:rsidRPr="00705BD3">
        <w:rPr>
          <w:rFonts w:asciiTheme="minorHAnsi" w:hAnsiTheme="minorHAnsi" w:cstheme="minorHAnsi"/>
          <w:b w:val="0"/>
          <w:color w:val="000000" w:themeColor="text1"/>
          <w:sz w:val="21"/>
          <w:szCs w:val="21"/>
          <w:u w:val="none"/>
        </w:rPr>
        <w:t>onstitutional Government</w:t>
      </w:r>
      <w:r w:rsidRPr="00705BD3">
        <w:rPr>
          <w:rFonts w:asciiTheme="minorHAnsi" w:hAnsiTheme="minorHAnsi" w:cstheme="minorHAnsi"/>
          <w:b w:val="0"/>
          <w:color w:val="000000" w:themeColor="text1"/>
          <w:sz w:val="21"/>
          <w:szCs w:val="21"/>
          <w:u w:val="none"/>
        </w:rPr>
        <w:t xml:space="preserve">, the National Action Plan against Gender Based Violence (NAP-GBV) and the Sustainable Development Goals. </w:t>
      </w:r>
      <w:r w:rsidR="00F83255" w:rsidRPr="00705BD3">
        <w:rPr>
          <w:rFonts w:asciiTheme="minorHAnsi" w:hAnsiTheme="minorHAnsi" w:cstheme="minorHAnsi"/>
          <w:b w:val="0"/>
          <w:color w:val="000000" w:themeColor="text1"/>
          <w:sz w:val="21"/>
          <w:szCs w:val="21"/>
          <w:u w:val="none"/>
        </w:rPr>
        <w:t>Nabilan</w:t>
      </w:r>
      <w:r w:rsidRPr="00705BD3">
        <w:rPr>
          <w:rFonts w:asciiTheme="minorHAnsi" w:hAnsiTheme="minorHAnsi" w:cstheme="minorHAnsi"/>
          <w:b w:val="0"/>
          <w:color w:val="000000" w:themeColor="text1"/>
          <w:sz w:val="21"/>
          <w:szCs w:val="21"/>
          <w:u w:val="none"/>
        </w:rPr>
        <w:t xml:space="preserve"> also remains relevant to the objectives of </w:t>
      </w:r>
      <w:r w:rsidR="00F83255" w:rsidRPr="00705BD3">
        <w:rPr>
          <w:rFonts w:asciiTheme="minorHAnsi" w:hAnsiTheme="minorHAnsi" w:cstheme="minorHAnsi"/>
          <w:b w:val="0"/>
          <w:color w:val="000000" w:themeColor="text1"/>
          <w:sz w:val="21"/>
          <w:szCs w:val="21"/>
          <w:u w:val="none"/>
        </w:rPr>
        <w:t xml:space="preserve">the Government of </w:t>
      </w:r>
      <w:r w:rsidRPr="00705BD3">
        <w:rPr>
          <w:rFonts w:asciiTheme="minorHAnsi" w:hAnsiTheme="minorHAnsi" w:cstheme="minorHAnsi"/>
          <w:b w:val="0"/>
          <w:color w:val="000000" w:themeColor="text1"/>
          <w:sz w:val="21"/>
          <w:szCs w:val="21"/>
          <w:u w:val="none"/>
        </w:rPr>
        <w:t xml:space="preserve">Australia’s </w:t>
      </w:r>
      <w:r w:rsidR="004B1293" w:rsidRPr="00705BD3">
        <w:rPr>
          <w:rFonts w:asciiTheme="minorHAnsi" w:hAnsiTheme="minorHAnsi" w:cstheme="minorHAnsi"/>
          <w:b w:val="0"/>
          <w:color w:val="000000" w:themeColor="text1"/>
          <w:sz w:val="21"/>
          <w:szCs w:val="21"/>
          <w:u w:val="none"/>
        </w:rPr>
        <w:t xml:space="preserve">(GoA) </w:t>
      </w:r>
      <w:r w:rsidRPr="00705BD3">
        <w:rPr>
          <w:rFonts w:asciiTheme="minorHAnsi" w:hAnsiTheme="minorHAnsi" w:cstheme="minorHAnsi"/>
          <w:b w:val="0"/>
          <w:color w:val="000000" w:themeColor="text1"/>
          <w:sz w:val="21"/>
          <w:szCs w:val="21"/>
          <w:u w:val="none"/>
        </w:rPr>
        <w:t>foreign aid program</w:t>
      </w:r>
      <w:r w:rsidR="004B1293" w:rsidRPr="00705BD3">
        <w:rPr>
          <w:rFonts w:asciiTheme="minorHAnsi" w:hAnsiTheme="minorHAnsi" w:cstheme="minorHAnsi"/>
          <w:b w:val="0"/>
          <w:color w:val="000000" w:themeColor="text1"/>
          <w:sz w:val="21"/>
          <w:szCs w:val="21"/>
          <w:u w:val="none"/>
        </w:rPr>
        <w:t>—</w:t>
      </w:r>
      <w:r w:rsidRPr="00705BD3">
        <w:rPr>
          <w:rFonts w:asciiTheme="minorHAnsi" w:hAnsiTheme="minorHAnsi" w:cstheme="minorHAnsi"/>
          <w:b w:val="0"/>
          <w:color w:val="000000" w:themeColor="text1"/>
          <w:sz w:val="21"/>
          <w:szCs w:val="21"/>
          <w:u w:val="none"/>
        </w:rPr>
        <w:t>as expressed in Australi</w:t>
      </w:r>
      <w:r w:rsidR="009C235C" w:rsidRPr="00705BD3">
        <w:rPr>
          <w:rFonts w:asciiTheme="minorHAnsi" w:hAnsiTheme="minorHAnsi" w:cstheme="minorHAnsi"/>
          <w:b w:val="0"/>
          <w:color w:val="000000" w:themeColor="text1"/>
          <w:sz w:val="21"/>
          <w:szCs w:val="21"/>
          <w:u w:val="none"/>
        </w:rPr>
        <w:t>a’</w:t>
      </w:r>
      <w:r w:rsidRPr="00705BD3">
        <w:rPr>
          <w:rFonts w:asciiTheme="minorHAnsi" w:hAnsiTheme="minorHAnsi" w:cstheme="minorHAnsi"/>
          <w:b w:val="0"/>
          <w:color w:val="000000" w:themeColor="text1"/>
          <w:sz w:val="21"/>
          <w:szCs w:val="21"/>
          <w:u w:val="none"/>
        </w:rPr>
        <w:t xml:space="preserve">s Foreign Policy White Paper, DFAT’s </w:t>
      </w:r>
      <w:r w:rsidR="00D76A5B">
        <w:rPr>
          <w:rFonts w:asciiTheme="minorHAnsi" w:hAnsiTheme="minorHAnsi" w:cstheme="minorHAnsi"/>
          <w:b w:val="0"/>
          <w:color w:val="000000" w:themeColor="text1"/>
          <w:sz w:val="21"/>
          <w:szCs w:val="21"/>
          <w:u w:val="none"/>
        </w:rPr>
        <w:t>G</w:t>
      </w:r>
      <w:r w:rsidRPr="00705BD3">
        <w:rPr>
          <w:rFonts w:asciiTheme="minorHAnsi" w:hAnsiTheme="minorHAnsi" w:cstheme="minorHAnsi"/>
          <w:b w:val="0"/>
          <w:color w:val="000000" w:themeColor="text1"/>
          <w:sz w:val="21"/>
          <w:szCs w:val="21"/>
          <w:u w:val="none"/>
        </w:rPr>
        <w:t>ender equality and women’s empowerment strategy</w:t>
      </w:r>
      <w:r w:rsidR="00221BFC">
        <w:rPr>
          <w:rFonts w:asciiTheme="minorHAnsi" w:hAnsiTheme="minorHAnsi" w:cstheme="minorHAnsi"/>
          <w:b w:val="0"/>
          <w:color w:val="000000" w:themeColor="text1"/>
          <w:sz w:val="21"/>
          <w:szCs w:val="21"/>
          <w:u w:val="none"/>
        </w:rPr>
        <w:t xml:space="preserve"> 2016</w:t>
      </w:r>
      <w:r w:rsidRPr="00705BD3">
        <w:rPr>
          <w:rFonts w:asciiTheme="minorHAnsi" w:hAnsiTheme="minorHAnsi" w:cstheme="minorHAnsi"/>
          <w:b w:val="0"/>
          <w:color w:val="000000" w:themeColor="text1"/>
          <w:sz w:val="21"/>
          <w:szCs w:val="21"/>
          <w:u w:val="none"/>
        </w:rPr>
        <w:t xml:space="preserve">, and DFAT’s aid investment plan for Timor-Leste 2015/16–2018/19. Additionally, </w:t>
      </w:r>
      <w:r w:rsidR="0075369E" w:rsidRPr="00705BD3">
        <w:rPr>
          <w:rFonts w:asciiTheme="minorHAnsi" w:hAnsiTheme="minorHAnsi" w:cstheme="minorHAnsi"/>
          <w:b w:val="0"/>
          <w:color w:val="000000" w:themeColor="text1"/>
          <w:sz w:val="21"/>
          <w:szCs w:val="21"/>
          <w:u w:val="none"/>
        </w:rPr>
        <w:t>DFAT</w:t>
      </w:r>
      <w:r w:rsidR="00221BFC">
        <w:rPr>
          <w:rFonts w:asciiTheme="minorHAnsi" w:hAnsiTheme="minorHAnsi" w:cstheme="minorHAnsi"/>
          <w:b w:val="0"/>
          <w:color w:val="000000" w:themeColor="text1"/>
          <w:sz w:val="21"/>
          <w:szCs w:val="21"/>
          <w:u w:val="none"/>
        </w:rPr>
        <w:t>’s</w:t>
      </w:r>
      <w:r w:rsidR="0075369E" w:rsidRPr="00705BD3">
        <w:rPr>
          <w:rFonts w:asciiTheme="minorHAnsi" w:hAnsiTheme="minorHAnsi" w:cstheme="minorHAnsi"/>
          <w:b w:val="0"/>
          <w:color w:val="000000" w:themeColor="text1"/>
          <w:sz w:val="21"/>
          <w:szCs w:val="21"/>
          <w:u w:val="none"/>
        </w:rPr>
        <w:t xml:space="preserve"> Office of Development Effectiveness (ODE) strategic evaluation of Australia’s development assistance to end violence against women and girls found that the Australian aid program’s focus on support for services and prevention activities, primarily through Nabilan, is appropriate and contextually relevant, and should be continued. The evaluation found that Nabilan represents global best practice in its integrated approach to prevention and </w:t>
      </w:r>
      <w:r w:rsidR="00447313" w:rsidRPr="00705BD3">
        <w:rPr>
          <w:rFonts w:asciiTheme="minorHAnsi" w:hAnsiTheme="minorHAnsi" w:cstheme="minorHAnsi"/>
          <w:b w:val="0"/>
          <w:color w:val="000000" w:themeColor="text1"/>
          <w:sz w:val="21"/>
          <w:szCs w:val="21"/>
          <w:u w:val="none"/>
        </w:rPr>
        <w:t xml:space="preserve">Violence Against Women and Children </w:t>
      </w:r>
      <w:r w:rsidR="00447313">
        <w:rPr>
          <w:rFonts w:asciiTheme="minorHAnsi" w:hAnsiTheme="minorHAnsi" w:cstheme="minorHAnsi"/>
          <w:b w:val="0"/>
          <w:color w:val="000000" w:themeColor="text1"/>
          <w:sz w:val="21"/>
          <w:szCs w:val="21"/>
          <w:u w:val="none"/>
        </w:rPr>
        <w:t>(</w:t>
      </w:r>
      <w:r w:rsidR="0075369E" w:rsidRPr="00705BD3">
        <w:rPr>
          <w:rFonts w:asciiTheme="minorHAnsi" w:hAnsiTheme="minorHAnsi" w:cstheme="minorHAnsi"/>
          <w:b w:val="0"/>
          <w:color w:val="000000" w:themeColor="text1"/>
          <w:sz w:val="21"/>
          <w:szCs w:val="21"/>
          <w:u w:val="none"/>
        </w:rPr>
        <w:t>VAWC</w:t>
      </w:r>
      <w:r w:rsidR="00447313">
        <w:rPr>
          <w:rFonts w:asciiTheme="minorHAnsi" w:hAnsiTheme="minorHAnsi" w:cstheme="minorHAnsi"/>
          <w:b w:val="0"/>
          <w:color w:val="000000" w:themeColor="text1"/>
          <w:sz w:val="21"/>
          <w:szCs w:val="21"/>
          <w:u w:val="none"/>
        </w:rPr>
        <w:t>)</w:t>
      </w:r>
      <w:r w:rsidR="0075369E" w:rsidRPr="00705BD3">
        <w:rPr>
          <w:rFonts w:asciiTheme="minorHAnsi" w:hAnsiTheme="minorHAnsi" w:cstheme="minorHAnsi"/>
          <w:b w:val="0"/>
          <w:color w:val="000000" w:themeColor="text1"/>
          <w:sz w:val="21"/>
          <w:szCs w:val="21"/>
          <w:u w:val="none"/>
        </w:rPr>
        <w:t xml:space="preserve"> services.</w:t>
      </w:r>
      <w:r w:rsidR="009C235C" w:rsidRPr="00705BD3">
        <w:rPr>
          <w:rFonts w:asciiTheme="minorHAnsi" w:hAnsiTheme="minorHAnsi" w:cstheme="minorHAnsi"/>
          <w:b w:val="0"/>
          <w:color w:val="000000" w:themeColor="text1"/>
          <w:sz w:val="21"/>
          <w:szCs w:val="21"/>
          <w:u w:val="none"/>
        </w:rPr>
        <w:t xml:space="preserve"> The subsidiary agreement between the </w:t>
      </w:r>
      <w:r w:rsidR="00F83255" w:rsidRPr="00705BD3">
        <w:rPr>
          <w:rFonts w:asciiTheme="minorHAnsi" w:hAnsiTheme="minorHAnsi" w:cstheme="minorHAnsi"/>
          <w:b w:val="0"/>
          <w:color w:val="000000" w:themeColor="text1"/>
          <w:sz w:val="21"/>
          <w:szCs w:val="21"/>
          <w:u w:val="none"/>
        </w:rPr>
        <w:t>GoA</w:t>
      </w:r>
      <w:r w:rsidR="009C235C" w:rsidRPr="00705BD3">
        <w:rPr>
          <w:rFonts w:asciiTheme="minorHAnsi" w:hAnsiTheme="minorHAnsi" w:cstheme="minorHAnsi"/>
          <w:b w:val="0"/>
          <w:color w:val="000000" w:themeColor="text1"/>
          <w:sz w:val="21"/>
          <w:szCs w:val="21"/>
          <w:u w:val="none"/>
        </w:rPr>
        <w:t xml:space="preserve"> and GoTL regarding the Nabilan Program lapsed in April 2018.</w:t>
      </w:r>
      <w:r w:rsidR="00540B61" w:rsidRPr="00705BD3">
        <w:rPr>
          <w:rFonts w:asciiTheme="minorHAnsi" w:hAnsiTheme="minorHAnsi" w:cstheme="minorHAnsi"/>
          <w:b w:val="0"/>
          <w:color w:val="000000" w:themeColor="text1"/>
          <w:sz w:val="21"/>
          <w:szCs w:val="21"/>
          <w:u w:val="none"/>
        </w:rPr>
        <w:t xml:space="preserve"> </w:t>
      </w:r>
      <w:r w:rsidR="00745531" w:rsidRPr="00745531">
        <w:rPr>
          <w:rFonts w:asciiTheme="minorHAnsi" w:hAnsiTheme="minorHAnsi" w:cstheme="minorHAnsi"/>
          <w:b w:val="0"/>
          <w:color w:val="000000" w:themeColor="text1"/>
          <w:sz w:val="21"/>
          <w:szCs w:val="21"/>
          <w:u w:val="none"/>
        </w:rPr>
        <w:t xml:space="preserve">Negotiations between the GoA and GoTL have progressed throughout the year with a new subsidiary agreement likely </w:t>
      </w:r>
      <w:r w:rsidR="006D35CB">
        <w:rPr>
          <w:rFonts w:asciiTheme="minorHAnsi" w:hAnsiTheme="minorHAnsi" w:cstheme="minorHAnsi"/>
          <w:b w:val="0"/>
          <w:color w:val="000000" w:themeColor="text1"/>
          <w:sz w:val="21"/>
          <w:szCs w:val="21"/>
          <w:u w:val="none"/>
        </w:rPr>
        <w:t>by mid</w:t>
      </w:r>
      <w:r w:rsidR="00745531" w:rsidRPr="00745531">
        <w:rPr>
          <w:rFonts w:asciiTheme="minorHAnsi" w:hAnsiTheme="minorHAnsi" w:cstheme="minorHAnsi"/>
          <w:b w:val="0"/>
          <w:color w:val="000000" w:themeColor="text1"/>
          <w:sz w:val="21"/>
          <w:szCs w:val="21"/>
          <w:u w:val="none"/>
        </w:rPr>
        <w:t xml:space="preserve"> 2019.</w:t>
      </w:r>
    </w:p>
    <w:p w14:paraId="1BA85EEF" w14:textId="703628D5" w:rsidR="00381FB7" w:rsidRPr="00705BD3" w:rsidRDefault="00362A9F" w:rsidP="00AF3402">
      <w:pPr>
        <w:spacing w:line="264" w:lineRule="auto"/>
        <w:jc w:val="both"/>
        <w:rPr>
          <w:rFonts w:asciiTheme="minorHAnsi" w:hAnsiTheme="minorHAnsi" w:cstheme="minorHAnsi"/>
          <w:b w:val="0"/>
          <w:color w:val="000000" w:themeColor="text1"/>
          <w:sz w:val="21"/>
          <w:szCs w:val="21"/>
          <w:u w:val="none"/>
        </w:rPr>
      </w:pPr>
      <w:r w:rsidRPr="00705BD3">
        <w:rPr>
          <w:rFonts w:asciiTheme="minorHAnsi" w:hAnsiTheme="minorHAnsi" w:cstheme="minorHAnsi"/>
          <w:color w:val="822B6A"/>
          <w:sz w:val="21"/>
          <w:szCs w:val="21"/>
          <w:u w:val="none"/>
        </w:rPr>
        <w:t>Services</w:t>
      </w:r>
      <w:r w:rsidR="00033CF0" w:rsidRPr="00705BD3">
        <w:rPr>
          <w:rFonts w:asciiTheme="minorHAnsi" w:hAnsiTheme="minorHAnsi" w:cstheme="minorHAnsi"/>
          <w:color w:val="000000" w:themeColor="text1"/>
          <w:sz w:val="21"/>
          <w:szCs w:val="21"/>
          <w:u w:val="none"/>
        </w:rPr>
        <w:t xml:space="preserve">: </w:t>
      </w:r>
      <w:r w:rsidR="00F503EE" w:rsidRPr="00705BD3">
        <w:rPr>
          <w:rFonts w:asciiTheme="minorHAnsi" w:hAnsiTheme="minorHAnsi" w:cstheme="minorHAnsi"/>
          <w:color w:val="000000" w:themeColor="text1"/>
          <w:sz w:val="21"/>
          <w:szCs w:val="21"/>
          <w:u w:val="none"/>
        </w:rPr>
        <w:t>P</w:t>
      </w:r>
      <w:r w:rsidR="00B956B5" w:rsidRPr="00705BD3">
        <w:rPr>
          <w:rFonts w:asciiTheme="minorHAnsi" w:hAnsiTheme="minorHAnsi" w:cstheme="minorHAnsi"/>
          <w:color w:val="000000" w:themeColor="text1"/>
          <w:sz w:val="21"/>
          <w:szCs w:val="21"/>
          <w:u w:val="none"/>
        </w:rPr>
        <w:t>rogress towards EOPO1</w:t>
      </w:r>
      <w:r w:rsidR="00F503EE" w:rsidRPr="00705BD3">
        <w:rPr>
          <w:rFonts w:asciiTheme="minorHAnsi" w:hAnsiTheme="minorHAnsi" w:cstheme="minorHAnsi"/>
          <w:color w:val="000000" w:themeColor="text1"/>
          <w:sz w:val="21"/>
          <w:szCs w:val="21"/>
          <w:u w:val="none"/>
        </w:rPr>
        <w:t xml:space="preserve"> is mostly on track.</w:t>
      </w:r>
      <w:r w:rsidR="00F503EE" w:rsidRPr="00705BD3">
        <w:rPr>
          <w:rFonts w:asciiTheme="minorHAnsi" w:hAnsiTheme="minorHAnsi" w:cstheme="minorHAnsi"/>
          <w:b w:val="0"/>
          <w:color w:val="000000" w:themeColor="text1"/>
          <w:sz w:val="21"/>
          <w:szCs w:val="21"/>
          <w:u w:val="none"/>
        </w:rPr>
        <w:t xml:space="preserve"> </w:t>
      </w:r>
      <w:r w:rsidR="00644DEB" w:rsidRPr="00705BD3">
        <w:rPr>
          <w:rFonts w:asciiTheme="minorHAnsi" w:hAnsiTheme="minorHAnsi" w:cstheme="minorHAnsi"/>
          <w:b w:val="0"/>
          <w:color w:val="000000" w:themeColor="text1"/>
          <w:sz w:val="21"/>
          <w:szCs w:val="21"/>
          <w:u w:val="none"/>
        </w:rPr>
        <w:t xml:space="preserve">In the transition from Phase 1 to Phase </w:t>
      </w:r>
      <w:r w:rsidR="00644DEB">
        <w:rPr>
          <w:rFonts w:asciiTheme="minorHAnsi" w:hAnsiTheme="minorHAnsi" w:cstheme="minorHAnsi"/>
          <w:b w:val="0"/>
          <w:color w:val="000000" w:themeColor="text1"/>
          <w:sz w:val="21"/>
          <w:szCs w:val="21"/>
          <w:u w:val="none"/>
        </w:rPr>
        <w:t>2,</w:t>
      </w:r>
      <w:r w:rsidR="00644DEB" w:rsidRPr="00705BD3">
        <w:rPr>
          <w:rFonts w:asciiTheme="minorHAnsi" w:hAnsiTheme="minorHAnsi" w:cstheme="minorHAnsi"/>
          <w:b w:val="0"/>
          <w:color w:val="000000" w:themeColor="text1"/>
          <w:sz w:val="21"/>
          <w:szCs w:val="21"/>
          <w:u w:val="none"/>
        </w:rPr>
        <w:t xml:space="preserve"> Nabilan supported continuity of essential VAWC services through grants to services partners, while leading efforts to improve quality and inclusiveness of those services through training and technical assistance. Nabilan’s services partners have national coverage, reaching all municipalities and supported 1,343 new clients in 2018, compared with 1,092 new clients in 2017</w:t>
      </w:r>
      <w:r w:rsidR="00644DEB">
        <w:rPr>
          <w:rFonts w:asciiTheme="minorHAnsi" w:hAnsiTheme="minorHAnsi" w:cstheme="minorHAnsi"/>
          <w:b w:val="0"/>
          <w:color w:val="000000" w:themeColor="text1"/>
          <w:sz w:val="21"/>
          <w:szCs w:val="21"/>
          <w:u w:val="none"/>
        </w:rPr>
        <w:t xml:space="preserve"> (representing a 23 percent increase)</w:t>
      </w:r>
      <w:r w:rsidR="00644DEB" w:rsidRPr="00705BD3">
        <w:rPr>
          <w:rFonts w:asciiTheme="minorHAnsi" w:hAnsiTheme="minorHAnsi" w:cstheme="minorHAnsi"/>
          <w:b w:val="0"/>
          <w:color w:val="000000" w:themeColor="text1"/>
          <w:sz w:val="21"/>
          <w:szCs w:val="21"/>
          <w:u w:val="none"/>
        </w:rPr>
        <w:t>. Of all new clients, 36 had a disability (2.6%). A total of 10,038 individual services were provided to new and existing clients in 2018, compared with 7,599 services in 2017</w:t>
      </w:r>
      <w:r w:rsidR="00644DEB">
        <w:rPr>
          <w:rFonts w:asciiTheme="minorHAnsi" w:hAnsiTheme="minorHAnsi" w:cstheme="minorHAnsi"/>
          <w:b w:val="0"/>
          <w:color w:val="000000" w:themeColor="text1"/>
          <w:sz w:val="21"/>
          <w:szCs w:val="21"/>
          <w:u w:val="none"/>
        </w:rPr>
        <w:t xml:space="preserve"> (representing a 32 percent increase)</w:t>
      </w:r>
      <w:r w:rsidR="00644DEB" w:rsidRPr="00705BD3">
        <w:rPr>
          <w:rFonts w:asciiTheme="minorHAnsi" w:hAnsiTheme="minorHAnsi" w:cstheme="minorHAnsi"/>
          <w:b w:val="0"/>
          <w:color w:val="000000" w:themeColor="text1"/>
          <w:sz w:val="21"/>
          <w:szCs w:val="21"/>
          <w:u w:val="none"/>
        </w:rPr>
        <w:t>. Both new clients and services numbers greatly exceeded our targets.</w:t>
      </w:r>
    </w:p>
    <w:p w14:paraId="4476A833" w14:textId="149BE6A4" w:rsidR="00F503EE" w:rsidRPr="00705BD3" w:rsidRDefault="00F503EE" w:rsidP="00AF3402">
      <w:pPr>
        <w:spacing w:line="264" w:lineRule="auto"/>
        <w:jc w:val="both"/>
        <w:rPr>
          <w:rFonts w:asciiTheme="minorHAnsi" w:hAnsiTheme="minorHAnsi" w:cstheme="minorHAnsi"/>
          <w:b w:val="0"/>
          <w:color w:val="000000" w:themeColor="text1"/>
          <w:sz w:val="21"/>
          <w:szCs w:val="21"/>
          <w:u w:val="none"/>
        </w:rPr>
      </w:pPr>
      <w:r w:rsidRPr="00705BD3">
        <w:rPr>
          <w:rFonts w:asciiTheme="minorHAnsi" w:hAnsiTheme="minorHAnsi" w:cstheme="minorHAnsi"/>
          <w:b w:val="0"/>
          <w:color w:val="000000" w:themeColor="text1"/>
          <w:sz w:val="21"/>
          <w:szCs w:val="21"/>
          <w:u w:val="none"/>
        </w:rPr>
        <w:t>Nabilan continues to support strengthened referral pathways through provision of ongoing support to partners, improving monitoring data, and supporting design of a referral app called ‘Hamahon’.</w:t>
      </w:r>
      <w:r w:rsidR="00381FB7" w:rsidRPr="00705BD3">
        <w:rPr>
          <w:rFonts w:asciiTheme="minorHAnsi" w:hAnsiTheme="minorHAnsi" w:cstheme="minorHAnsi"/>
          <w:b w:val="0"/>
          <w:color w:val="000000" w:themeColor="text1"/>
          <w:sz w:val="21"/>
          <w:szCs w:val="21"/>
          <w:u w:val="none"/>
        </w:rPr>
        <w:t xml:space="preserve"> There was a significant increase in referrals between partners</w:t>
      </w:r>
      <w:r w:rsidR="00B661D1">
        <w:rPr>
          <w:rFonts w:asciiTheme="minorHAnsi" w:hAnsiTheme="minorHAnsi" w:cstheme="minorHAnsi"/>
          <w:b w:val="0"/>
          <w:color w:val="000000" w:themeColor="text1"/>
          <w:sz w:val="21"/>
          <w:szCs w:val="21"/>
          <w:u w:val="none"/>
        </w:rPr>
        <w:t xml:space="preserve"> in 2018, compared with the previous reporting period</w:t>
      </w:r>
      <w:r w:rsidR="00381FB7" w:rsidRPr="00705BD3">
        <w:rPr>
          <w:rFonts w:asciiTheme="minorHAnsi" w:hAnsiTheme="minorHAnsi" w:cstheme="minorHAnsi"/>
          <w:b w:val="0"/>
          <w:color w:val="000000" w:themeColor="text1"/>
          <w:sz w:val="21"/>
          <w:szCs w:val="21"/>
          <w:u w:val="none"/>
        </w:rPr>
        <w:t>.</w:t>
      </w:r>
    </w:p>
    <w:p w14:paraId="00920E76" w14:textId="1CBC5EFA" w:rsidR="0077486C" w:rsidRPr="00705BD3" w:rsidRDefault="00381FB7" w:rsidP="00AF3402">
      <w:pPr>
        <w:spacing w:line="264" w:lineRule="auto"/>
        <w:jc w:val="both"/>
        <w:rPr>
          <w:rFonts w:asciiTheme="minorHAnsi" w:hAnsiTheme="minorHAnsi" w:cstheme="minorHAnsi"/>
          <w:b w:val="0"/>
          <w:color w:val="000000" w:themeColor="text1"/>
          <w:sz w:val="21"/>
          <w:szCs w:val="21"/>
          <w:u w:val="none"/>
        </w:rPr>
      </w:pPr>
      <w:r w:rsidRPr="00705BD3">
        <w:rPr>
          <w:rFonts w:asciiTheme="minorHAnsi" w:hAnsiTheme="minorHAnsi" w:cstheme="minorHAnsi"/>
          <w:b w:val="0"/>
          <w:color w:val="000000" w:themeColor="text1"/>
          <w:sz w:val="21"/>
          <w:szCs w:val="21"/>
          <w:u w:val="none"/>
        </w:rPr>
        <w:t xml:space="preserve">Nabilan contributed to improved quality of service delivery. </w:t>
      </w:r>
      <w:r w:rsidR="00540B61" w:rsidRPr="00705BD3">
        <w:rPr>
          <w:rFonts w:asciiTheme="minorHAnsi" w:hAnsiTheme="minorHAnsi" w:cstheme="minorHAnsi"/>
          <w:b w:val="0"/>
          <w:color w:val="000000" w:themeColor="text1"/>
          <w:sz w:val="21"/>
          <w:szCs w:val="21"/>
          <w:u w:val="none"/>
        </w:rPr>
        <w:t xml:space="preserve">Notably, 21 staff from a wide range of Civil Society Organisations (CSO) graduated with their Certificate III in Social Services, and 12 new medical forensic examiners successfully completed their training. An external evaluation of the Certificate III in Social Services, and review of course materials, was conducted in 2018. </w:t>
      </w:r>
      <w:r w:rsidR="006D29A3">
        <w:rPr>
          <w:rFonts w:asciiTheme="minorHAnsi" w:hAnsiTheme="minorHAnsi" w:cstheme="minorHAnsi"/>
          <w:b w:val="0"/>
          <w:color w:val="000000" w:themeColor="text1"/>
          <w:sz w:val="21"/>
          <w:szCs w:val="21"/>
          <w:u w:val="none"/>
        </w:rPr>
        <w:t>The evaluation found</w:t>
      </w:r>
      <w:r w:rsidR="00E5124E" w:rsidRPr="00705BD3">
        <w:rPr>
          <w:rFonts w:asciiTheme="minorHAnsi" w:hAnsiTheme="minorHAnsi" w:cstheme="minorHAnsi"/>
          <w:b w:val="0"/>
          <w:color w:val="000000" w:themeColor="text1"/>
          <w:sz w:val="21"/>
          <w:szCs w:val="21"/>
          <w:u w:val="none"/>
        </w:rPr>
        <w:t xml:space="preserve"> that key service provider staff have improved knowledge and skills, and service providers are using those increased skills, knowledge and sensitivity to deliver services. </w:t>
      </w:r>
      <w:r w:rsidR="00540B61" w:rsidRPr="00705BD3">
        <w:rPr>
          <w:rFonts w:asciiTheme="minorHAnsi" w:hAnsiTheme="minorHAnsi" w:cstheme="minorHAnsi"/>
          <w:b w:val="0"/>
          <w:color w:val="000000" w:themeColor="text1"/>
          <w:sz w:val="21"/>
          <w:szCs w:val="21"/>
          <w:u w:val="none"/>
        </w:rPr>
        <w:t xml:space="preserve">An external review of Nabilan’s Case Management and Assessment Tools was also undertaken in 2018. In response to the review, Nabilan adjusted the case audit process to focus on key minimum standards, and other standards which indicate ‘high’ quality case management. </w:t>
      </w:r>
      <w:r w:rsidR="00E5124E" w:rsidRPr="00705BD3">
        <w:rPr>
          <w:rFonts w:asciiTheme="minorHAnsi" w:hAnsiTheme="minorHAnsi" w:cstheme="minorHAnsi"/>
          <w:b w:val="0"/>
          <w:color w:val="000000" w:themeColor="text1"/>
          <w:sz w:val="21"/>
          <w:szCs w:val="21"/>
          <w:u w:val="none"/>
        </w:rPr>
        <w:t xml:space="preserve">Further work </w:t>
      </w:r>
      <w:r w:rsidR="00DF6924" w:rsidRPr="00705BD3">
        <w:rPr>
          <w:rFonts w:asciiTheme="minorHAnsi" w:hAnsiTheme="minorHAnsi" w:cstheme="minorHAnsi"/>
          <w:b w:val="0"/>
          <w:color w:val="000000" w:themeColor="text1"/>
          <w:sz w:val="21"/>
          <w:szCs w:val="21"/>
          <w:u w:val="none"/>
        </w:rPr>
        <w:t xml:space="preserve">with partners </w:t>
      </w:r>
      <w:r w:rsidR="00E5124E" w:rsidRPr="00705BD3">
        <w:rPr>
          <w:rFonts w:asciiTheme="minorHAnsi" w:hAnsiTheme="minorHAnsi" w:cstheme="minorHAnsi"/>
          <w:b w:val="0"/>
          <w:color w:val="000000" w:themeColor="text1"/>
          <w:sz w:val="21"/>
          <w:szCs w:val="21"/>
          <w:u w:val="none"/>
        </w:rPr>
        <w:t xml:space="preserve">is required to support case management. </w:t>
      </w:r>
    </w:p>
    <w:p w14:paraId="6D33EDC0" w14:textId="08DB75B3" w:rsidR="007C645A" w:rsidRPr="00705BD3" w:rsidRDefault="0077486C" w:rsidP="00AF3402">
      <w:pPr>
        <w:pStyle w:val="NormalWeb"/>
        <w:spacing w:line="264" w:lineRule="auto"/>
        <w:jc w:val="both"/>
        <w:rPr>
          <w:rFonts w:asciiTheme="minorHAnsi" w:hAnsiTheme="minorHAnsi" w:cstheme="minorHAnsi"/>
          <w:b w:val="0"/>
          <w:color w:val="000000" w:themeColor="text1"/>
          <w:sz w:val="21"/>
          <w:szCs w:val="21"/>
          <w:u w:val="none"/>
        </w:rPr>
      </w:pPr>
      <w:r w:rsidRPr="00705BD3">
        <w:rPr>
          <w:rFonts w:asciiTheme="minorHAnsi" w:hAnsiTheme="minorHAnsi" w:cstheme="minorHAnsi"/>
          <w:b w:val="0"/>
          <w:color w:val="000000" w:themeColor="text1"/>
          <w:sz w:val="21"/>
          <w:szCs w:val="21"/>
          <w:u w:val="none"/>
        </w:rPr>
        <w:t>Nabilan contributed</w:t>
      </w:r>
      <w:r w:rsidR="007C645A" w:rsidRPr="00705BD3">
        <w:rPr>
          <w:rFonts w:asciiTheme="minorHAnsi" w:hAnsiTheme="minorHAnsi" w:cstheme="minorHAnsi"/>
          <w:b w:val="0"/>
          <w:color w:val="000000" w:themeColor="text1"/>
          <w:sz w:val="21"/>
          <w:szCs w:val="21"/>
          <w:u w:val="none"/>
        </w:rPr>
        <w:t xml:space="preserve"> significantly</w:t>
      </w:r>
      <w:r w:rsidRPr="00705BD3">
        <w:rPr>
          <w:rFonts w:asciiTheme="minorHAnsi" w:hAnsiTheme="minorHAnsi" w:cstheme="minorHAnsi"/>
          <w:b w:val="0"/>
          <w:color w:val="000000" w:themeColor="text1"/>
          <w:sz w:val="21"/>
          <w:szCs w:val="21"/>
          <w:u w:val="none"/>
        </w:rPr>
        <w:t xml:space="preserve"> to inclusive service delivery</w:t>
      </w:r>
      <w:r w:rsidR="007C645A" w:rsidRPr="00705BD3">
        <w:rPr>
          <w:rFonts w:asciiTheme="minorHAnsi" w:hAnsiTheme="minorHAnsi" w:cstheme="minorHAnsi"/>
          <w:b w:val="0"/>
          <w:color w:val="000000" w:themeColor="text1"/>
          <w:sz w:val="21"/>
          <w:szCs w:val="21"/>
          <w:u w:val="none"/>
        </w:rPr>
        <w:t>.</w:t>
      </w:r>
      <w:r w:rsidRPr="00705BD3">
        <w:rPr>
          <w:rFonts w:asciiTheme="minorHAnsi" w:hAnsiTheme="minorHAnsi" w:cstheme="minorHAnsi"/>
          <w:b w:val="0"/>
          <w:color w:val="000000" w:themeColor="text1"/>
          <w:sz w:val="21"/>
          <w:szCs w:val="21"/>
          <w:u w:val="none"/>
        </w:rPr>
        <w:t xml:space="preserve"> </w:t>
      </w:r>
      <w:r w:rsidR="004B1293" w:rsidRPr="00705BD3">
        <w:rPr>
          <w:rFonts w:asciiTheme="minorHAnsi" w:hAnsiTheme="minorHAnsi" w:cstheme="minorHAnsi"/>
          <w:b w:val="0"/>
          <w:color w:val="000000" w:themeColor="text1"/>
          <w:sz w:val="21"/>
          <w:szCs w:val="21"/>
          <w:u w:val="none"/>
        </w:rPr>
        <w:t xml:space="preserve">The </w:t>
      </w:r>
      <w:r w:rsidR="005C0D62" w:rsidRPr="00705BD3">
        <w:rPr>
          <w:rFonts w:asciiTheme="minorHAnsi" w:hAnsiTheme="minorHAnsi" w:cstheme="minorHAnsi"/>
          <w:b w:val="0"/>
          <w:color w:val="000000" w:themeColor="text1"/>
          <w:sz w:val="21"/>
          <w:szCs w:val="21"/>
          <w:u w:val="none"/>
        </w:rPr>
        <w:t xml:space="preserve">December 2018 </w:t>
      </w:r>
      <w:r w:rsidR="004B1293" w:rsidRPr="00705BD3">
        <w:rPr>
          <w:rFonts w:asciiTheme="minorHAnsi" w:hAnsiTheme="minorHAnsi" w:cstheme="minorHAnsi"/>
          <w:b w:val="0"/>
          <w:color w:val="000000" w:themeColor="text1"/>
          <w:sz w:val="21"/>
          <w:szCs w:val="21"/>
          <w:u w:val="none"/>
        </w:rPr>
        <w:t>O</w:t>
      </w:r>
      <w:r w:rsidR="005C0D62" w:rsidRPr="00705BD3">
        <w:rPr>
          <w:rFonts w:asciiTheme="minorHAnsi" w:hAnsiTheme="minorHAnsi" w:cstheme="minorHAnsi"/>
          <w:b w:val="0"/>
          <w:color w:val="000000" w:themeColor="text1"/>
          <w:sz w:val="21"/>
          <w:szCs w:val="21"/>
          <w:u w:val="none"/>
        </w:rPr>
        <w:t>DE Evaluation—</w:t>
      </w:r>
      <w:r w:rsidR="005C0D62" w:rsidRPr="00705BD3">
        <w:rPr>
          <w:rFonts w:asciiTheme="minorHAnsi" w:hAnsiTheme="minorHAnsi" w:cstheme="minorHAnsi"/>
          <w:b w:val="0"/>
          <w:i/>
          <w:color w:val="000000" w:themeColor="text1"/>
          <w:sz w:val="21"/>
          <w:szCs w:val="21"/>
          <w:u w:val="none"/>
        </w:rPr>
        <w:t>Development for All: Evaluation of progress made in strengthening disability inclusion in Australian aid</w:t>
      </w:r>
      <w:r w:rsidR="005C0D62" w:rsidRPr="00705BD3">
        <w:rPr>
          <w:rFonts w:asciiTheme="minorHAnsi" w:hAnsiTheme="minorHAnsi" w:cstheme="minorHAnsi"/>
          <w:b w:val="0"/>
          <w:color w:val="000000" w:themeColor="text1"/>
          <w:sz w:val="21"/>
          <w:szCs w:val="21"/>
          <w:u w:val="none"/>
        </w:rPr>
        <w:t xml:space="preserve"> </w:t>
      </w:r>
      <w:r w:rsidR="00C66916" w:rsidRPr="00705BD3">
        <w:rPr>
          <w:rFonts w:asciiTheme="minorHAnsi" w:hAnsiTheme="minorHAnsi" w:cstheme="minorHAnsi"/>
          <w:b w:val="0"/>
          <w:color w:val="000000" w:themeColor="text1"/>
          <w:sz w:val="21"/>
          <w:szCs w:val="21"/>
          <w:u w:val="none"/>
        </w:rPr>
        <w:t xml:space="preserve">cites Nabilan </w:t>
      </w:r>
      <w:r w:rsidR="007C645A" w:rsidRPr="00705BD3">
        <w:rPr>
          <w:rFonts w:asciiTheme="minorHAnsi" w:hAnsiTheme="minorHAnsi" w:cstheme="minorHAnsi"/>
          <w:b w:val="0"/>
          <w:color w:val="000000" w:themeColor="text1"/>
          <w:sz w:val="21"/>
          <w:szCs w:val="21"/>
          <w:u w:val="none"/>
        </w:rPr>
        <w:t xml:space="preserve">very positively, including for </w:t>
      </w:r>
      <w:r w:rsidR="00C66916" w:rsidRPr="00705BD3">
        <w:rPr>
          <w:rFonts w:asciiTheme="minorHAnsi" w:hAnsiTheme="minorHAnsi" w:cstheme="minorHAnsi"/>
          <w:b w:val="0"/>
          <w:color w:val="000000" w:themeColor="text1"/>
          <w:sz w:val="21"/>
          <w:szCs w:val="21"/>
          <w:u w:val="none"/>
        </w:rPr>
        <w:t>“establish</w:t>
      </w:r>
      <w:r w:rsidR="007C645A" w:rsidRPr="00705BD3">
        <w:rPr>
          <w:rFonts w:asciiTheme="minorHAnsi" w:hAnsiTheme="minorHAnsi" w:cstheme="minorHAnsi"/>
          <w:b w:val="0"/>
          <w:color w:val="000000" w:themeColor="text1"/>
          <w:sz w:val="21"/>
          <w:szCs w:val="21"/>
          <w:u w:val="none"/>
        </w:rPr>
        <w:t>[ing]</w:t>
      </w:r>
      <w:r w:rsidR="00C66916" w:rsidRPr="00705BD3">
        <w:rPr>
          <w:rFonts w:asciiTheme="minorHAnsi" w:hAnsiTheme="minorHAnsi" w:cstheme="minorHAnsi"/>
          <w:b w:val="0"/>
          <w:color w:val="000000" w:themeColor="text1"/>
          <w:sz w:val="21"/>
          <w:szCs w:val="21"/>
          <w:u w:val="none"/>
        </w:rPr>
        <w:t xml:space="preserve"> good working relationships with local</w:t>
      </w:r>
      <w:r w:rsidR="007C645A" w:rsidRPr="00705BD3">
        <w:rPr>
          <w:rFonts w:asciiTheme="minorHAnsi" w:hAnsiTheme="minorHAnsi" w:cstheme="minorHAnsi"/>
          <w:b w:val="0"/>
          <w:color w:val="000000" w:themeColor="text1"/>
          <w:sz w:val="21"/>
          <w:szCs w:val="21"/>
          <w:u w:val="none"/>
        </w:rPr>
        <w:t xml:space="preserve"> </w:t>
      </w:r>
      <w:r w:rsidR="00C66916" w:rsidRPr="00705BD3">
        <w:rPr>
          <w:rFonts w:asciiTheme="minorHAnsi" w:hAnsiTheme="minorHAnsi" w:cstheme="minorHAnsi"/>
          <w:b w:val="0"/>
          <w:color w:val="000000" w:themeColor="text1"/>
          <w:sz w:val="21"/>
          <w:szCs w:val="21"/>
          <w:u w:val="none"/>
        </w:rPr>
        <w:t>DPOs</w:t>
      </w:r>
      <w:r w:rsidR="007C645A" w:rsidRPr="00705BD3">
        <w:rPr>
          <w:rFonts w:asciiTheme="minorHAnsi" w:hAnsiTheme="minorHAnsi" w:cstheme="minorHAnsi"/>
          <w:b w:val="0"/>
          <w:color w:val="000000" w:themeColor="text1"/>
          <w:sz w:val="21"/>
          <w:szCs w:val="21"/>
          <w:u w:val="none"/>
        </w:rPr>
        <w:t xml:space="preserve"> [Disabled Peoples Organisations]</w:t>
      </w:r>
      <w:r w:rsidR="00C66916" w:rsidRPr="00705BD3">
        <w:rPr>
          <w:rFonts w:asciiTheme="minorHAnsi" w:hAnsiTheme="minorHAnsi" w:cstheme="minorHAnsi"/>
          <w:b w:val="0"/>
          <w:color w:val="000000" w:themeColor="text1"/>
          <w:sz w:val="21"/>
          <w:szCs w:val="21"/>
          <w:u w:val="none"/>
        </w:rPr>
        <w:t>, which have been mutually beneficial</w:t>
      </w:r>
      <w:r w:rsidR="007C645A" w:rsidRPr="00705BD3">
        <w:rPr>
          <w:rFonts w:asciiTheme="minorHAnsi" w:hAnsiTheme="minorHAnsi" w:cstheme="minorHAnsi" w:hint="eastAsia"/>
          <w:b w:val="0"/>
          <w:color w:val="000000" w:themeColor="text1"/>
          <w:sz w:val="21"/>
          <w:szCs w:val="21"/>
          <w:u w:val="none"/>
        </w:rPr>
        <w:t>”</w:t>
      </w:r>
      <w:r w:rsidR="007C645A" w:rsidRPr="00705BD3">
        <w:rPr>
          <w:rFonts w:asciiTheme="minorHAnsi" w:hAnsiTheme="minorHAnsi" w:cstheme="minorHAnsi"/>
          <w:b w:val="0"/>
          <w:color w:val="000000" w:themeColor="text1"/>
          <w:sz w:val="21"/>
          <w:szCs w:val="21"/>
          <w:u w:val="none"/>
        </w:rPr>
        <w:t>, “</w:t>
      </w:r>
      <w:r w:rsidR="00C66916" w:rsidRPr="00705BD3">
        <w:rPr>
          <w:rFonts w:asciiTheme="minorHAnsi" w:hAnsiTheme="minorHAnsi" w:cstheme="minorHAnsi"/>
          <w:b w:val="0"/>
          <w:color w:val="000000" w:themeColor="text1"/>
          <w:sz w:val="21"/>
          <w:szCs w:val="21"/>
          <w:u w:val="none"/>
        </w:rPr>
        <w:t>modelling inclusion by leading and managing work to make facilities accessible</w:t>
      </w:r>
      <w:r w:rsidR="007C645A" w:rsidRPr="00705BD3">
        <w:rPr>
          <w:rFonts w:asciiTheme="minorHAnsi" w:hAnsiTheme="minorHAnsi" w:cstheme="minorHAnsi"/>
          <w:b w:val="0"/>
          <w:color w:val="000000" w:themeColor="text1"/>
          <w:sz w:val="21"/>
          <w:szCs w:val="21"/>
          <w:u w:val="none"/>
        </w:rPr>
        <w:t>”, inclusion of DPO members in the Certificate III in Social Services training, and assisting DPOs on Convention on the Rights of People with Disabilities (CRPD) reporting.</w:t>
      </w:r>
      <w:r w:rsidR="00911CE5" w:rsidRPr="00705BD3">
        <w:rPr>
          <w:rFonts w:asciiTheme="minorHAnsi" w:hAnsiTheme="minorHAnsi" w:cstheme="minorHAnsi"/>
          <w:b w:val="0"/>
          <w:color w:val="000000" w:themeColor="text1"/>
          <w:sz w:val="21"/>
          <w:szCs w:val="21"/>
          <w:u w:val="none"/>
        </w:rPr>
        <w:t xml:space="preserve"> During this period Nabilan also supported service partners to identify and support clients with a disability and clients from other vulnerable groups; and improved data collection on Lesbian, Gay, Bisexual, </w:t>
      </w:r>
      <w:r w:rsidR="00B17EEB" w:rsidRPr="00B17EEB">
        <w:rPr>
          <w:rFonts w:asciiTheme="minorHAnsi" w:hAnsiTheme="minorHAnsi" w:cstheme="minorHAnsi"/>
          <w:b w:val="0"/>
          <w:color w:val="000000" w:themeColor="text1"/>
          <w:sz w:val="21"/>
          <w:szCs w:val="21"/>
          <w:u w:val="none"/>
        </w:rPr>
        <w:t>Transsexual</w:t>
      </w:r>
      <w:r w:rsidR="00911CE5" w:rsidRPr="00705BD3">
        <w:rPr>
          <w:rFonts w:asciiTheme="minorHAnsi" w:hAnsiTheme="minorHAnsi" w:cstheme="minorHAnsi"/>
          <w:b w:val="0"/>
          <w:color w:val="000000" w:themeColor="text1"/>
          <w:sz w:val="21"/>
          <w:szCs w:val="21"/>
          <w:u w:val="none"/>
        </w:rPr>
        <w:t xml:space="preserve"> and Intersex (LGBTI) clients.</w:t>
      </w:r>
    </w:p>
    <w:p w14:paraId="76E088D2" w14:textId="55FC3A18" w:rsidR="0077486C" w:rsidRPr="00705BD3" w:rsidRDefault="00B21199" w:rsidP="00AF3402">
      <w:pPr>
        <w:spacing w:line="264" w:lineRule="auto"/>
        <w:jc w:val="both"/>
        <w:rPr>
          <w:rFonts w:asciiTheme="minorHAnsi" w:hAnsiTheme="minorHAnsi" w:cstheme="minorHAnsi"/>
          <w:b w:val="0"/>
          <w:color w:val="000000" w:themeColor="text1"/>
          <w:sz w:val="21"/>
          <w:szCs w:val="21"/>
          <w:u w:val="none"/>
        </w:rPr>
      </w:pPr>
      <w:r w:rsidRPr="00705BD3">
        <w:rPr>
          <w:rFonts w:asciiTheme="minorHAnsi" w:hAnsiTheme="minorHAnsi" w:cstheme="minorHAnsi"/>
          <w:b w:val="0"/>
          <w:color w:val="000000" w:themeColor="text1"/>
          <w:sz w:val="21"/>
          <w:szCs w:val="21"/>
          <w:u w:val="none"/>
        </w:rPr>
        <w:t>Nabilan continued to support improved justice sector response to VAWC by funding key justice sector partners</w:t>
      </w:r>
      <w:r w:rsidR="00FC3BE4" w:rsidRPr="00705BD3">
        <w:rPr>
          <w:rFonts w:asciiTheme="minorHAnsi" w:hAnsiTheme="minorHAnsi" w:cstheme="minorHAnsi"/>
          <w:b w:val="0"/>
          <w:color w:val="000000" w:themeColor="text1"/>
          <w:sz w:val="21"/>
          <w:szCs w:val="21"/>
          <w:u w:val="none"/>
        </w:rPr>
        <w:t xml:space="preserve"> </w:t>
      </w:r>
      <w:r w:rsidRPr="00705BD3">
        <w:rPr>
          <w:rFonts w:asciiTheme="minorHAnsi" w:hAnsiTheme="minorHAnsi" w:cstheme="minorHAnsi"/>
          <w:b w:val="0"/>
          <w:color w:val="000000" w:themeColor="text1"/>
          <w:sz w:val="21"/>
          <w:szCs w:val="21"/>
          <w:u w:val="none"/>
        </w:rPr>
        <w:t>ALFeLa</w:t>
      </w:r>
      <w:r w:rsidR="00FC3BE4" w:rsidRPr="00705BD3">
        <w:rPr>
          <w:rFonts w:asciiTheme="minorHAnsi" w:hAnsiTheme="minorHAnsi" w:cstheme="minorHAnsi"/>
          <w:b w:val="0"/>
          <w:color w:val="000000" w:themeColor="text1"/>
          <w:sz w:val="21"/>
          <w:szCs w:val="21"/>
          <w:u w:val="none"/>
        </w:rPr>
        <w:t xml:space="preserve"> (Women and Children’s Legal Aid)</w:t>
      </w:r>
      <w:r w:rsidRPr="00705BD3">
        <w:rPr>
          <w:rFonts w:asciiTheme="minorHAnsi" w:hAnsiTheme="minorHAnsi" w:cstheme="minorHAnsi"/>
          <w:b w:val="0"/>
          <w:color w:val="000000" w:themeColor="text1"/>
          <w:sz w:val="21"/>
          <w:szCs w:val="21"/>
          <w:u w:val="none"/>
        </w:rPr>
        <w:t xml:space="preserve"> and</w:t>
      </w:r>
      <w:r w:rsidR="00FC3BE4" w:rsidRPr="00705BD3">
        <w:rPr>
          <w:rFonts w:asciiTheme="minorHAnsi" w:hAnsiTheme="minorHAnsi" w:cstheme="minorHAnsi"/>
          <w:b w:val="0"/>
          <w:color w:val="000000" w:themeColor="text1"/>
          <w:sz w:val="21"/>
          <w:szCs w:val="21"/>
          <w:u w:val="none"/>
        </w:rPr>
        <w:t xml:space="preserve"> Judicial System Monit</w:t>
      </w:r>
      <w:r w:rsidR="005C0D62" w:rsidRPr="00705BD3">
        <w:rPr>
          <w:rFonts w:asciiTheme="minorHAnsi" w:hAnsiTheme="minorHAnsi" w:cstheme="minorHAnsi"/>
          <w:b w:val="0"/>
          <w:color w:val="000000" w:themeColor="text1"/>
          <w:sz w:val="21"/>
          <w:szCs w:val="21"/>
          <w:u w:val="none"/>
        </w:rPr>
        <w:t>or</w:t>
      </w:r>
      <w:r w:rsidR="00FC3BE4" w:rsidRPr="00705BD3">
        <w:rPr>
          <w:rFonts w:asciiTheme="minorHAnsi" w:hAnsiTheme="minorHAnsi" w:cstheme="minorHAnsi"/>
          <w:b w:val="0"/>
          <w:color w:val="000000" w:themeColor="text1"/>
          <w:sz w:val="21"/>
          <w:szCs w:val="21"/>
          <w:u w:val="none"/>
        </w:rPr>
        <w:t>ing Programme</w:t>
      </w:r>
      <w:r w:rsidRPr="00705BD3">
        <w:rPr>
          <w:rFonts w:asciiTheme="minorHAnsi" w:hAnsiTheme="minorHAnsi" w:cstheme="minorHAnsi"/>
          <w:b w:val="0"/>
          <w:color w:val="000000" w:themeColor="text1"/>
          <w:sz w:val="21"/>
          <w:szCs w:val="21"/>
          <w:u w:val="none"/>
        </w:rPr>
        <w:t xml:space="preserve"> </w:t>
      </w:r>
      <w:r w:rsidR="00FC3BE4" w:rsidRPr="00705BD3">
        <w:rPr>
          <w:rFonts w:asciiTheme="minorHAnsi" w:hAnsiTheme="minorHAnsi" w:cstheme="minorHAnsi"/>
          <w:b w:val="0"/>
          <w:color w:val="000000" w:themeColor="text1"/>
          <w:sz w:val="21"/>
          <w:szCs w:val="21"/>
          <w:u w:val="none"/>
        </w:rPr>
        <w:t>(</w:t>
      </w:r>
      <w:r w:rsidRPr="00705BD3">
        <w:rPr>
          <w:rFonts w:asciiTheme="minorHAnsi" w:hAnsiTheme="minorHAnsi" w:cstheme="minorHAnsi"/>
          <w:b w:val="0"/>
          <w:color w:val="000000" w:themeColor="text1"/>
          <w:sz w:val="21"/>
          <w:szCs w:val="21"/>
          <w:u w:val="none"/>
        </w:rPr>
        <w:t>JSMP</w:t>
      </w:r>
      <w:r w:rsidR="00FC3BE4" w:rsidRPr="00705BD3">
        <w:rPr>
          <w:rFonts w:asciiTheme="minorHAnsi" w:hAnsiTheme="minorHAnsi" w:cstheme="minorHAnsi"/>
          <w:b w:val="0"/>
          <w:color w:val="000000" w:themeColor="text1"/>
          <w:sz w:val="21"/>
          <w:szCs w:val="21"/>
          <w:u w:val="none"/>
        </w:rPr>
        <w:t>)</w:t>
      </w:r>
      <w:r w:rsidRPr="00705BD3">
        <w:rPr>
          <w:rFonts w:asciiTheme="minorHAnsi" w:hAnsiTheme="minorHAnsi" w:cstheme="minorHAnsi"/>
          <w:b w:val="0"/>
          <w:color w:val="000000" w:themeColor="text1"/>
          <w:sz w:val="21"/>
          <w:szCs w:val="21"/>
          <w:u w:val="none"/>
        </w:rPr>
        <w:t>. The number of cases of VAWC monitored by JSMP during 2018 has increased compared with the previous reporting period. This exceeds the target of the number of cases monitored holding steady.</w:t>
      </w:r>
      <w:r w:rsidR="00B4218E" w:rsidRPr="00705BD3">
        <w:rPr>
          <w:rFonts w:asciiTheme="minorHAnsi" w:hAnsiTheme="minorHAnsi" w:cstheme="minorHAnsi"/>
          <w:b w:val="0"/>
          <w:color w:val="000000" w:themeColor="text1"/>
          <w:sz w:val="21"/>
          <w:szCs w:val="21"/>
          <w:u w:val="none"/>
        </w:rPr>
        <w:t xml:space="preserve"> </w:t>
      </w:r>
      <w:r w:rsidRPr="00705BD3">
        <w:rPr>
          <w:rFonts w:asciiTheme="minorHAnsi" w:hAnsiTheme="minorHAnsi" w:cstheme="minorHAnsi"/>
          <w:b w:val="0"/>
          <w:color w:val="000000" w:themeColor="text1"/>
          <w:sz w:val="21"/>
          <w:szCs w:val="21"/>
          <w:u w:val="none"/>
        </w:rPr>
        <w:t>Nabilan</w:t>
      </w:r>
      <w:r w:rsidR="00B4218E" w:rsidRPr="00705BD3">
        <w:rPr>
          <w:rFonts w:asciiTheme="minorHAnsi" w:hAnsiTheme="minorHAnsi" w:cstheme="minorHAnsi"/>
          <w:b w:val="0"/>
          <w:color w:val="000000" w:themeColor="text1"/>
          <w:sz w:val="21"/>
          <w:szCs w:val="21"/>
          <w:u w:val="none"/>
        </w:rPr>
        <w:t>’s</w:t>
      </w:r>
      <w:r w:rsidRPr="00705BD3">
        <w:rPr>
          <w:rFonts w:asciiTheme="minorHAnsi" w:hAnsiTheme="minorHAnsi" w:cstheme="minorHAnsi"/>
          <w:b w:val="0"/>
          <w:color w:val="000000" w:themeColor="text1"/>
          <w:sz w:val="21"/>
          <w:szCs w:val="21"/>
          <w:u w:val="none"/>
        </w:rPr>
        <w:t xml:space="preserve"> approach to justice sector programming will be reviewed in 2019</w:t>
      </w:r>
      <w:r w:rsidR="00B4218E" w:rsidRPr="00705BD3">
        <w:rPr>
          <w:rFonts w:asciiTheme="minorHAnsi" w:hAnsiTheme="minorHAnsi" w:cstheme="minorHAnsi"/>
          <w:b w:val="0"/>
          <w:color w:val="000000" w:themeColor="text1"/>
          <w:sz w:val="21"/>
          <w:szCs w:val="21"/>
          <w:u w:val="none"/>
        </w:rPr>
        <w:t xml:space="preserve"> </w:t>
      </w:r>
      <w:r w:rsidR="00381FB7" w:rsidRPr="00705BD3">
        <w:rPr>
          <w:rFonts w:asciiTheme="minorHAnsi" w:hAnsiTheme="minorHAnsi" w:cstheme="minorHAnsi"/>
          <w:b w:val="0"/>
          <w:color w:val="000000" w:themeColor="text1"/>
          <w:sz w:val="21"/>
          <w:szCs w:val="21"/>
          <w:u w:val="none"/>
        </w:rPr>
        <w:t>to ensure advocacy is targeted and achieving results.</w:t>
      </w:r>
    </w:p>
    <w:p w14:paraId="3CB19CA0" w14:textId="35F555F3" w:rsidR="00B4218E" w:rsidRPr="00705BD3" w:rsidRDefault="00DF6924" w:rsidP="00AF3402">
      <w:pPr>
        <w:spacing w:line="264" w:lineRule="auto"/>
        <w:jc w:val="both"/>
        <w:rPr>
          <w:rFonts w:asciiTheme="minorHAnsi" w:hAnsiTheme="minorHAnsi" w:cstheme="minorHAnsi"/>
          <w:b w:val="0"/>
          <w:color w:val="000000" w:themeColor="text1"/>
          <w:sz w:val="21"/>
          <w:szCs w:val="21"/>
          <w:u w:val="none"/>
        </w:rPr>
      </w:pPr>
      <w:r w:rsidRPr="00705BD3">
        <w:rPr>
          <w:rFonts w:asciiTheme="minorHAnsi" w:hAnsiTheme="minorHAnsi" w:cstheme="minorHAnsi"/>
          <w:color w:val="822B6A"/>
          <w:sz w:val="21"/>
          <w:szCs w:val="21"/>
          <w:u w:val="none"/>
        </w:rPr>
        <w:t>Social norms change:</w:t>
      </w:r>
      <w:r w:rsidR="00F503EE" w:rsidRPr="00705BD3">
        <w:rPr>
          <w:rFonts w:asciiTheme="minorHAnsi" w:hAnsiTheme="minorHAnsi" w:cstheme="minorHAnsi"/>
          <w:b w:val="0"/>
          <w:color w:val="822B6A"/>
          <w:sz w:val="21"/>
          <w:szCs w:val="21"/>
          <w:u w:val="none"/>
        </w:rPr>
        <w:t xml:space="preserve"> </w:t>
      </w:r>
      <w:r w:rsidR="00F503EE" w:rsidRPr="00705BD3">
        <w:rPr>
          <w:rFonts w:asciiTheme="minorHAnsi" w:hAnsiTheme="minorHAnsi" w:cstheme="minorHAnsi"/>
          <w:color w:val="000000" w:themeColor="text1"/>
          <w:sz w:val="21"/>
          <w:szCs w:val="21"/>
          <w:u w:val="none"/>
        </w:rPr>
        <w:t>There is some delay in progress towards EOPO2.</w:t>
      </w:r>
      <w:r w:rsidR="00F503EE" w:rsidRPr="00705BD3">
        <w:rPr>
          <w:rFonts w:asciiTheme="minorHAnsi" w:hAnsiTheme="minorHAnsi" w:cstheme="minorHAnsi"/>
          <w:b w:val="0"/>
          <w:color w:val="000000" w:themeColor="text1"/>
          <w:sz w:val="21"/>
          <w:szCs w:val="21"/>
          <w:u w:val="none"/>
        </w:rPr>
        <w:t xml:space="preserve"> </w:t>
      </w:r>
      <w:r w:rsidR="00B4218E" w:rsidRPr="00705BD3">
        <w:rPr>
          <w:rFonts w:asciiTheme="minorHAnsi" w:hAnsiTheme="minorHAnsi" w:cstheme="minorHAnsi"/>
          <w:b w:val="0"/>
          <w:color w:val="000000" w:themeColor="text1"/>
          <w:sz w:val="21"/>
          <w:szCs w:val="21"/>
          <w:u w:val="none"/>
        </w:rPr>
        <w:t xml:space="preserve">During 2018 we reoriented our prevention work towards a broader social norms change approach, primarily through the community-based </w:t>
      </w:r>
      <w:r w:rsidR="00782FDB">
        <w:rPr>
          <w:rFonts w:asciiTheme="minorHAnsi" w:hAnsiTheme="minorHAnsi" w:cstheme="minorHAnsi"/>
          <w:b w:val="0"/>
          <w:color w:val="000000" w:themeColor="text1"/>
          <w:sz w:val="21"/>
          <w:szCs w:val="21"/>
          <w:u w:val="none"/>
        </w:rPr>
        <w:t>approaches (CBA)</w:t>
      </w:r>
      <w:r w:rsidR="00B4218E" w:rsidRPr="00705BD3">
        <w:rPr>
          <w:rFonts w:asciiTheme="minorHAnsi" w:hAnsiTheme="minorHAnsi" w:cstheme="minorHAnsi"/>
          <w:b w:val="0"/>
          <w:color w:val="000000" w:themeColor="text1"/>
          <w:sz w:val="21"/>
          <w:szCs w:val="21"/>
          <w:u w:val="none"/>
        </w:rPr>
        <w:t xml:space="preserve"> work in Suku Letefoho, Manufahi; and the newly formed Change Ambassadors’ Network (CAN). Due to budget cuts, grants to prevention partners were delayed until 2019.</w:t>
      </w:r>
    </w:p>
    <w:p w14:paraId="22E9449D" w14:textId="7516EEE2" w:rsidR="0050535E" w:rsidRPr="00705BD3" w:rsidRDefault="00DF6924" w:rsidP="00AF3402">
      <w:pPr>
        <w:spacing w:line="264" w:lineRule="auto"/>
        <w:jc w:val="both"/>
        <w:rPr>
          <w:rFonts w:asciiTheme="minorHAnsi" w:hAnsiTheme="minorHAnsi" w:cstheme="minorHAnsi"/>
          <w:b w:val="0"/>
          <w:color w:val="000000" w:themeColor="text1"/>
          <w:sz w:val="21"/>
          <w:szCs w:val="21"/>
          <w:u w:val="none"/>
        </w:rPr>
      </w:pPr>
      <w:r w:rsidRPr="00705BD3">
        <w:rPr>
          <w:rFonts w:asciiTheme="minorHAnsi" w:hAnsiTheme="minorHAnsi" w:cstheme="minorHAnsi"/>
          <w:b w:val="0"/>
          <w:color w:val="000000" w:themeColor="text1"/>
          <w:sz w:val="21"/>
          <w:szCs w:val="21"/>
          <w:u w:val="none"/>
        </w:rPr>
        <w:t>Nabilan is directly supporting communities and institutions to take</w:t>
      </w:r>
      <w:r w:rsidR="00626FCA">
        <w:rPr>
          <w:rFonts w:asciiTheme="minorHAnsi" w:hAnsiTheme="minorHAnsi" w:cstheme="minorHAnsi"/>
          <w:b w:val="0"/>
          <w:color w:val="000000" w:themeColor="text1"/>
          <w:sz w:val="21"/>
          <w:szCs w:val="21"/>
          <w:u w:val="none"/>
        </w:rPr>
        <w:t xml:space="preserve"> </w:t>
      </w:r>
      <w:r w:rsidRPr="00705BD3">
        <w:rPr>
          <w:rFonts w:asciiTheme="minorHAnsi" w:hAnsiTheme="minorHAnsi" w:cstheme="minorHAnsi"/>
          <w:b w:val="0"/>
          <w:color w:val="000000" w:themeColor="text1"/>
          <w:sz w:val="21"/>
          <w:szCs w:val="21"/>
          <w:u w:val="none"/>
        </w:rPr>
        <w:t xml:space="preserve">action to prevent VAWC. </w:t>
      </w:r>
      <w:r w:rsidR="001C22F5" w:rsidRPr="00705BD3">
        <w:rPr>
          <w:rFonts w:asciiTheme="minorHAnsi" w:hAnsiTheme="minorHAnsi" w:cstheme="minorHAnsi"/>
          <w:b w:val="0"/>
          <w:color w:val="000000" w:themeColor="text1"/>
          <w:sz w:val="21"/>
          <w:szCs w:val="21"/>
          <w:u w:val="none"/>
        </w:rPr>
        <w:t xml:space="preserve">Our </w:t>
      </w:r>
      <w:r w:rsidR="00782FDB">
        <w:rPr>
          <w:rFonts w:asciiTheme="minorHAnsi" w:hAnsiTheme="minorHAnsi" w:cstheme="minorHAnsi"/>
          <w:b w:val="0"/>
          <w:color w:val="000000" w:themeColor="text1"/>
          <w:sz w:val="21"/>
          <w:szCs w:val="21"/>
          <w:u w:val="none"/>
        </w:rPr>
        <w:t xml:space="preserve">CBA </w:t>
      </w:r>
      <w:r w:rsidR="001C22F5" w:rsidRPr="00705BD3">
        <w:rPr>
          <w:rFonts w:asciiTheme="minorHAnsi" w:hAnsiTheme="minorHAnsi" w:cstheme="minorHAnsi"/>
          <w:b w:val="0"/>
          <w:color w:val="000000" w:themeColor="text1"/>
          <w:sz w:val="21"/>
          <w:szCs w:val="21"/>
          <w:u w:val="none"/>
        </w:rPr>
        <w:t>prevention work</w:t>
      </w:r>
      <w:r w:rsidR="000A31B8" w:rsidRPr="00705BD3">
        <w:rPr>
          <w:rFonts w:asciiTheme="minorHAnsi" w:hAnsiTheme="minorHAnsi" w:cstheme="minorHAnsi"/>
          <w:b w:val="0"/>
          <w:color w:val="000000" w:themeColor="text1"/>
          <w:sz w:val="21"/>
          <w:szCs w:val="21"/>
          <w:u w:val="none"/>
        </w:rPr>
        <w:t xml:space="preserve"> (KOKOSA!)</w:t>
      </w:r>
      <w:r w:rsidR="001C22F5" w:rsidRPr="00705BD3">
        <w:rPr>
          <w:rFonts w:asciiTheme="minorHAnsi" w:hAnsiTheme="minorHAnsi" w:cstheme="minorHAnsi"/>
          <w:b w:val="0"/>
          <w:color w:val="000000" w:themeColor="text1"/>
          <w:sz w:val="21"/>
          <w:szCs w:val="21"/>
          <w:u w:val="none"/>
        </w:rPr>
        <w:t xml:space="preserve"> in Suku Letefoho, Manufahi, moved into Phase II during 2018</w:t>
      </w:r>
      <w:r w:rsidR="000A31B8" w:rsidRPr="00705BD3">
        <w:rPr>
          <w:rFonts w:asciiTheme="minorHAnsi" w:hAnsiTheme="minorHAnsi" w:cstheme="minorHAnsi"/>
          <w:b w:val="0"/>
          <w:color w:val="000000" w:themeColor="text1"/>
          <w:sz w:val="21"/>
          <w:szCs w:val="21"/>
          <w:u w:val="none"/>
        </w:rPr>
        <w:t xml:space="preserve">, and </w:t>
      </w:r>
      <w:r w:rsidR="00782FDB">
        <w:rPr>
          <w:rFonts w:asciiTheme="minorHAnsi" w:hAnsiTheme="minorHAnsi" w:cstheme="minorHAnsi"/>
          <w:b w:val="0"/>
          <w:color w:val="000000" w:themeColor="text1"/>
          <w:sz w:val="21"/>
          <w:szCs w:val="21"/>
          <w:u w:val="none"/>
        </w:rPr>
        <w:t xml:space="preserve">Phase II </w:t>
      </w:r>
      <w:r w:rsidR="00540B61" w:rsidRPr="00705BD3">
        <w:rPr>
          <w:rFonts w:asciiTheme="minorHAnsi" w:hAnsiTheme="minorHAnsi" w:cstheme="minorHAnsi"/>
          <w:b w:val="0"/>
          <w:color w:val="000000" w:themeColor="text1"/>
          <w:sz w:val="21"/>
          <w:szCs w:val="21"/>
          <w:u w:val="none"/>
        </w:rPr>
        <w:t xml:space="preserve">is </w:t>
      </w:r>
      <w:r w:rsidR="000A31B8" w:rsidRPr="00705BD3">
        <w:rPr>
          <w:rFonts w:asciiTheme="minorHAnsi" w:hAnsiTheme="minorHAnsi" w:cstheme="minorHAnsi"/>
          <w:b w:val="0"/>
          <w:color w:val="000000" w:themeColor="text1"/>
          <w:sz w:val="21"/>
          <w:szCs w:val="21"/>
          <w:u w:val="none"/>
        </w:rPr>
        <w:t xml:space="preserve">scheduled for completion by June 2019. </w:t>
      </w:r>
      <w:r w:rsidR="001C22F5" w:rsidRPr="00705BD3">
        <w:rPr>
          <w:rFonts w:asciiTheme="minorHAnsi" w:hAnsiTheme="minorHAnsi" w:cstheme="minorHAnsi"/>
          <w:b w:val="0"/>
          <w:color w:val="000000" w:themeColor="text1"/>
          <w:sz w:val="21"/>
          <w:szCs w:val="21"/>
          <w:u w:val="none"/>
        </w:rPr>
        <w:t xml:space="preserve">Thirteen mobilisers are actively raising awareness about VAWC in their communities, and six new community action groups have been identified. </w:t>
      </w:r>
      <w:r w:rsidR="00782FDB">
        <w:rPr>
          <w:rFonts w:asciiTheme="minorHAnsi" w:hAnsiTheme="minorHAnsi" w:cstheme="minorHAnsi"/>
          <w:b w:val="0"/>
          <w:color w:val="000000" w:themeColor="text1"/>
          <w:sz w:val="21"/>
          <w:szCs w:val="21"/>
          <w:u w:val="none"/>
        </w:rPr>
        <w:t>However, b</w:t>
      </w:r>
      <w:r w:rsidR="00540B61" w:rsidRPr="00705BD3">
        <w:rPr>
          <w:rFonts w:asciiTheme="minorHAnsi" w:hAnsiTheme="minorHAnsi" w:cstheme="minorHAnsi"/>
          <w:b w:val="0"/>
          <w:color w:val="000000" w:themeColor="text1"/>
          <w:sz w:val="21"/>
          <w:szCs w:val="21"/>
          <w:u w:val="none"/>
        </w:rPr>
        <w:t>aseline data on existing community awareness collected in 2018 suggests there is considerable work to be done.</w:t>
      </w:r>
      <w:r w:rsidR="0050535E" w:rsidRPr="00705BD3">
        <w:rPr>
          <w:rFonts w:asciiTheme="minorHAnsi" w:hAnsiTheme="minorHAnsi" w:cstheme="minorHAnsi"/>
          <w:b w:val="0"/>
          <w:color w:val="000000" w:themeColor="text1"/>
          <w:sz w:val="21"/>
          <w:szCs w:val="21"/>
          <w:u w:val="none"/>
        </w:rPr>
        <w:t xml:space="preserve"> There are already positive examples of Nabilan’s KOKOSA! training modules</w:t>
      </w:r>
      <w:r w:rsidR="006D29A3">
        <w:rPr>
          <w:rFonts w:asciiTheme="minorHAnsi" w:hAnsiTheme="minorHAnsi" w:cstheme="minorHAnsi"/>
          <w:b w:val="0"/>
          <w:color w:val="000000" w:themeColor="text1"/>
          <w:sz w:val="21"/>
          <w:szCs w:val="21"/>
          <w:u w:val="none"/>
        </w:rPr>
        <w:t xml:space="preserve"> </w:t>
      </w:r>
      <w:r w:rsidR="0050535E" w:rsidRPr="00705BD3">
        <w:rPr>
          <w:rFonts w:asciiTheme="minorHAnsi" w:hAnsiTheme="minorHAnsi" w:cstheme="minorHAnsi"/>
          <w:b w:val="0"/>
          <w:color w:val="000000" w:themeColor="text1"/>
          <w:sz w:val="21"/>
          <w:szCs w:val="21"/>
          <w:u w:val="none"/>
        </w:rPr>
        <w:t xml:space="preserve">being used by other agencies, and this is a significant achievement at this early stage. </w:t>
      </w:r>
      <w:r w:rsidR="00540B61" w:rsidRPr="00705BD3">
        <w:rPr>
          <w:rFonts w:asciiTheme="minorHAnsi" w:hAnsiTheme="minorHAnsi" w:cstheme="minorHAnsi"/>
          <w:b w:val="0"/>
          <w:color w:val="000000" w:themeColor="text1"/>
          <w:sz w:val="21"/>
          <w:szCs w:val="21"/>
          <w:u w:val="none"/>
        </w:rPr>
        <w:t xml:space="preserve"> </w:t>
      </w:r>
    </w:p>
    <w:p w14:paraId="3D9EF9F9" w14:textId="0C4F473A" w:rsidR="00C82366" w:rsidRPr="00705BD3" w:rsidRDefault="001C22F5" w:rsidP="00AF3402">
      <w:pPr>
        <w:spacing w:line="264" w:lineRule="auto"/>
        <w:jc w:val="both"/>
        <w:rPr>
          <w:rFonts w:asciiTheme="minorHAnsi" w:hAnsiTheme="minorHAnsi" w:cstheme="minorHAnsi"/>
          <w:b w:val="0"/>
          <w:color w:val="000000" w:themeColor="text1"/>
          <w:sz w:val="21"/>
          <w:szCs w:val="21"/>
          <w:u w:val="none"/>
        </w:rPr>
      </w:pPr>
      <w:r w:rsidRPr="00705BD3">
        <w:rPr>
          <w:rFonts w:asciiTheme="minorHAnsi" w:hAnsiTheme="minorHAnsi" w:cstheme="minorHAnsi"/>
          <w:b w:val="0"/>
          <w:color w:val="000000" w:themeColor="text1"/>
          <w:sz w:val="21"/>
          <w:szCs w:val="21"/>
          <w:u w:val="none"/>
        </w:rPr>
        <w:t>At the institutional level, Nabilan established the CAN with representatives from Australian Aid Investment Partners and key CSOs. CAN members were actively engaged throughout 2018</w:t>
      </w:r>
      <w:r w:rsidR="00965F33" w:rsidRPr="00705BD3">
        <w:rPr>
          <w:rFonts w:asciiTheme="minorHAnsi" w:hAnsiTheme="minorHAnsi" w:cstheme="minorHAnsi"/>
          <w:b w:val="0"/>
          <w:color w:val="000000" w:themeColor="text1"/>
          <w:sz w:val="21"/>
          <w:szCs w:val="21"/>
          <w:u w:val="none"/>
        </w:rPr>
        <w:t>,</w:t>
      </w:r>
      <w:r w:rsidRPr="00705BD3">
        <w:rPr>
          <w:rFonts w:asciiTheme="minorHAnsi" w:hAnsiTheme="minorHAnsi" w:cstheme="minorHAnsi"/>
          <w:b w:val="0"/>
          <w:color w:val="000000" w:themeColor="text1"/>
          <w:sz w:val="21"/>
          <w:szCs w:val="21"/>
          <w:u w:val="none"/>
        </w:rPr>
        <w:t xml:space="preserve"> and continued to increase their skills and knowledge on effective violence prevention methods. </w:t>
      </w:r>
      <w:r w:rsidR="00C82366" w:rsidRPr="00705BD3">
        <w:rPr>
          <w:rFonts w:asciiTheme="minorHAnsi" w:hAnsiTheme="minorHAnsi" w:cstheme="minorHAnsi"/>
          <w:b w:val="0"/>
          <w:color w:val="000000" w:themeColor="text1"/>
          <w:sz w:val="21"/>
          <w:szCs w:val="21"/>
          <w:u w:val="none"/>
        </w:rPr>
        <w:t xml:space="preserve">There are already positive examples of CAN members using their learnings to promote gender equality in their programs, laying the foundation for future integration of quality prevention approaches. Nabilan completed baseline research for the CAN, which will allow us to monitor progress, and adapt our programming as required. </w:t>
      </w:r>
    </w:p>
    <w:p w14:paraId="3C6CDC7F" w14:textId="484D9E8F" w:rsidR="0050535E" w:rsidRPr="00705BD3" w:rsidRDefault="0050535E" w:rsidP="00AF3402">
      <w:pPr>
        <w:spacing w:line="264" w:lineRule="auto"/>
        <w:jc w:val="both"/>
        <w:rPr>
          <w:rFonts w:asciiTheme="minorHAnsi" w:hAnsiTheme="minorHAnsi" w:cstheme="minorHAnsi"/>
          <w:b w:val="0"/>
          <w:color w:val="000000" w:themeColor="text1"/>
          <w:sz w:val="21"/>
          <w:szCs w:val="21"/>
          <w:u w:val="none"/>
        </w:rPr>
      </w:pPr>
      <w:r w:rsidRPr="00705BD3">
        <w:rPr>
          <w:rFonts w:asciiTheme="minorHAnsi" w:hAnsiTheme="minorHAnsi" w:cstheme="minorHAnsi"/>
          <w:b w:val="0"/>
          <w:color w:val="000000" w:themeColor="text1"/>
          <w:sz w:val="21"/>
          <w:szCs w:val="21"/>
          <w:u w:val="none"/>
        </w:rPr>
        <w:t xml:space="preserve">At the societal level, Nabilan intensified support to the independent feminist movement, through </w:t>
      </w:r>
      <w:r w:rsidR="00C966B2" w:rsidRPr="00C966B2">
        <w:rPr>
          <w:rFonts w:asciiTheme="minorHAnsi" w:hAnsiTheme="minorHAnsi" w:cstheme="minorHAnsi"/>
          <w:b w:val="0"/>
          <w:i/>
          <w:color w:val="000000" w:themeColor="text1"/>
          <w:sz w:val="21"/>
          <w:szCs w:val="21"/>
          <w:u w:val="none"/>
        </w:rPr>
        <w:t>Grupu Feminista</w:t>
      </w:r>
      <w:r w:rsidRPr="00705BD3">
        <w:rPr>
          <w:rFonts w:asciiTheme="minorHAnsi" w:hAnsiTheme="minorHAnsi" w:cstheme="minorHAnsi"/>
          <w:b w:val="0"/>
          <w:color w:val="000000" w:themeColor="text1"/>
          <w:sz w:val="21"/>
          <w:szCs w:val="21"/>
          <w:u w:val="none"/>
        </w:rPr>
        <w:t xml:space="preserve"> and other activists. Nabilan supported successful social media campaigns through Facebook,</w:t>
      </w:r>
      <w:r w:rsidR="00B661D1">
        <w:rPr>
          <w:rFonts w:asciiTheme="minorHAnsi" w:hAnsiTheme="minorHAnsi" w:cstheme="minorHAnsi"/>
          <w:b w:val="0"/>
          <w:color w:val="000000" w:themeColor="text1"/>
          <w:sz w:val="21"/>
          <w:szCs w:val="21"/>
          <w:u w:val="none"/>
        </w:rPr>
        <w:t xml:space="preserve"> with Nabilan’s boosting of </w:t>
      </w:r>
      <w:r w:rsidR="00B661D1" w:rsidRPr="00624520">
        <w:rPr>
          <w:rFonts w:asciiTheme="minorHAnsi" w:hAnsiTheme="minorHAnsi" w:cstheme="minorHAnsi"/>
          <w:b w:val="0"/>
          <w:i/>
          <w:color w:val="000000" w:themeColor="text1"/>
          <w:sz w:val="21"/>
          <w:szCs w:val="21"/>
          <w:u w:val="none"/>
        </w:rPr>
        <w:t>Grupu Feminista</w:t>
      </w:r>
      <w:r w:rsidR="00B661D1">
        <w:rPr>
          <w:rFonts w:asciiTheme="minorHAnsi" w:hAnsiTheme="minorHAnsi" w:cstheme="minorHAnsi"/>
          <w:b w:val="0"/>
          <w:color w:val="000000" w:themeColor="text1"/>
          <w:sz w:val="21"/>
          <w:szCs w:val="21"/>
          <w:u w:val="none"/>
        </w:rPr>
        <w:t xml:space="preserve">’s Facebook posts leading </w:t>
      </w:r>
      <w:r w:rsidRPr="00705BD3">
        <w:rPr>
          <w:rFonts w:asciiTheme="minorHAnsi" w:hAnsiTheme="minorHAnsi" w:cstheme="minorHAnsi"/>
          <w:b w:val="0"/>
          <w:color w:val="000000" w:themeColor="text1"/>
          <w:sz w:val="21"/>
          <w:szCs w:val="21"/>
          <w:u w:val="none"/>
        </w:rPr>
        <w:t xml:space="preserve"> to an 8-fold increase in the</w:t>
      </w:r>
      <w:r w:rsidR="00B661D1">
        <w:rPr>
          <w:rFonts w:asciiTheme="minorHAnsi" w:hAnsiTheme="minorHAnsi" w:cstheme="minorHAnsi"/>
          <w:b w:val="0"/>
          <w:color w:val="000000" w:themeColor="text1"/>
          <w:sz w:val="21"/>
          <w:szCs w:val="21"/>
          <w:u w:val="none"/>
        </w:rPr>
        <w:t xml:space="preserve"> number of</w:t>
      </w:r>
      <w:r w:rsidRPr="00705BD3">
        <w:rPr>
          <w:rFonts w:asciiTheme="minorHAnsi" w:hAnsiTheme="minorHAnsi" w:cstheme="minorHAnsi"/>
          <w:b w:val="0"/>
          <w:color w:val="000000" w:themeColor="text1"/>
          <w:sz w:val="21"/>
          <w:szCs w:val="21"/>
          <w:u w:val="none"/>
        </w:rPr>
        <w:t xml:space="preserve"> users reached, and a 10-fold increase in positive engagement with the posts. Alumni from the Certificate III in Social Services course are active in this movement, applying their learnings and skills to push for a change in social norms in Timor-Leste.</w:t>
      </w:r>
    </w:p>
    <w:p w14:paraId="2A6CE932" w14:textId="6F1FD76A" w:rsidR="009C1FC2" w:rsidRPr="00705BD3" w:rsidRDefault="00C82366" w:rsidP="00AF3402">
      <w:pPr>
        <w:spacing w:line="264" w:lineRule="auto"/>
        <w:jc w:val="both"/>
        <w:rPr>
          <w:rFonts w:asciiTheme="minorHAnsi" w:hAnsiTheme="minorHAnsi" w:cstheme="minorHAnsi"/>
          <w:b w:val="0"/>
          <w:color w:val="000000" w:themeColor="text1"/>
          <w:sz w:val="21"/>
          <w:szCs w:val="21"/>
          <w:u w:val="none"/>
        </w:rPr>
      </w:pPr>
      <w:r w:rsidRPr="00705BD3">
        <w:rPr>
          <w:rFonts w:asciiTheme="minorHAnsi" w:hAnsiTheme="minorHAnsi" w:cstheme="minorHAnsi"/>
          <w:b w:val="0"/>
          <w:color w:val="000000" w:themeColor="text1"/>
          <w:sz w:val="21"/>
          <w:szCs w:val="21"/>
          <w:u w:val="none"/>
        </w:rPr>
        <w:t xml:space="preserve">Nabilan has made progress on influencing increased government dialogue and action on preventing VAWC. This has occurred through a strengthened relationship with </w:t>
      </w:r>
      <w:r w:rsidR="00B769C9" w:rsidRPr="00705BD3">
        <w:rPr>
          <w:rFonts w:asciiTheme="minorHAnsi" w:hAnsiTheme="minorHAnsi" w:cstheme="minorHAnsi"/>
          <w:b w:val="0"/>
          <w:color w:val="000000" w:themeColor="text1"/>
          <w:sz w:val="21"/>
          <w:szCs w:val="21"/>
          <w:u w:val="none"/>
        </w:rPr>
        <w:t>the Secretary of State for Equality and Inclusion (</w:t>
      </w:r>
      <w:r w:rsidRPr="00705BD3">
        <w:rPr>
          <w:rFonts w:asciiTheme="minorHAnsi" w:hAnsiTheme="minorHAnsi" w:cstheme="minorHAnsi"/>
          <w:b w:val="0"/>
          <w:color w:val="000000" w:themeColor="text1"/>
          <w:sz w:val="21"/>
          <w:szCs w:val="21"/>
          <w:u w:val="none"/>
        </w:rPr>
        <w:t>SEII</w:t>
      </w:r>
      <w:r w:rsidR="00B769C9" w:rsidRPr="00705BD3">
        <w:rPr>
          <w:rFonts w:asciiTheme="minorHAnsi" w:hAnsiTheme="minorHAnsi" w:cstheme="minorHAnsi"/>
          <w:b w:val="0"/>
          <w:color w:val="000000" w:themeColor="text1"/>
          <w:sz w:val="21"/>
          <w:szCs w:val="21"/>
          <w:u w:val="none"/>
        </w:rPr>
        <w:t>)</w:t>
      </w:r>
      <w:r w:rsidRPr="00705BD3">
        <w:rPr>
          <w:rFonts w:asciiTheme="minorHAnsi" w:hAnsiTheme="minorHAnsi" w:cstheme="minorHAnsi"/>
          <w:b w:val="0"/>
          <w:color w:val="000000" w:themeColor="text1"/>
          <w:sz w:val="21"/>
          <w:szCs w:val="21"/>
          <w:u w:val="none"/>
        </w:rPr>
        <w:t>, and joint activities at both national and Manufahi level. Nabilan worked with</w:t>
      </w:r>
      <w:r w:rsidR="00782FDB">
        <w:rPr>
          <w:rFonts w:asciiTheme="minorHAnsi" w:hAnsiTheme="minorHAnsi" w:cstheme="minorHAnsi"/>
          <w:b w:val="0"/>
          <w:color w:val="000000" w:themeColor="text1"/>
          <w:sz w:val="21"/>
          <w:szCs w:val="21"/>
          <w:u w:val="none"/>
        </w:rPr>
        <w:t xml:space="preserve"> the</w:t>
      </w:r>
      <w:r w:rsidRPr="00705BD3">
        <w:rPr>
          <w:rFonts w:asciiTheme="minorHAnsi" w:hAnsiTheme="minorHAnsi" w:cstheme="minorHAnsi"/>
          <w:b w:val="0"/>
          <w:color w:val="000000" w:themeColor="text1"/>
          <w:sz w:val="21"/>
          <w:szCs w:val="21"/>
          <w:u w:val="none"/>
        </w:rPr>
        <w:t xml:space="preserve"> GoTL on media training to improve reporting standards on gender and VAWC. There is opportunity to work with SEII going forward to strengthen their approach to effective prevention.</w:t>
      </w:r>
      <w:r w:rsidR="0050535E" w:rsidRPr="00705BD3">
        <w:rPr>
          <w:rFonts w:asciiTheme="minorHAnsi" w:hAnsiTheme="minorHAnsi" w:cstheme="minorHAnsi"/>
          <w:b w:val="0"/>
          <w:color w:val="000000" w:themeColor="text1"/>
          <w:sz w:val="21"/>
          <w:szCs w:val="21"/>
          <w:u w:val="none"/>
        </w:rPr>
        <w:t xml:space="preserve"> </w:t>
      </w:r>
    </w:p>
    <w:p w14:paraId="65E5D6E3" w14:textId="3B518F50" w:rsidR="00FC3BE4" w:rsidRPr="00705BD3" w:rsidRDefault="00FC3BE4" w:rsidP="00705BD3">
      <w:pPr>
        <w:spacing w:line="264" w:lineRule="auto"/>
        <w:jc w:val="both"/>
        <w:rPr>
          <w:rFonts w:asciiTheme="minorHAnsi" w:hAnsiTheme="minorHAnsi" w:cstheme="minorHAnsi"/>
          <w:b w:val="0"/>
          <w:color w:val="822B6A"/>
          <w:sz w:val="21"/>
          <w:szCs w:val="21"/>
          <w:u w:val="none"/>
        </w:rPr>
      </w:pPr>
      <w:r w:rsidRPr="00705BD3">
        <w:rPr>
          <w:rFonts w:asciiTheme="minorHAnsi" w:hAnsiTheme="minorHAnsi" w:cstheme="minorHAnsi"/>
          <w:b w:val="0"/>
          <w:color w:val="000000" w:themeColor="text1"/>
          <w:sz w:val="21"/>
          <w:szCs w:val="21"/>
          <w:u w:val="none"/>
        </w:rPr>
        <w:t>Sustainability and appropriateness</w:t>
      </w:r>
      <w:r w:rsidR="008A4E08">
        <w:rPr>
          <w:rFonts w:asciiTheme="minorHAnsi" w:hAnsiTheme="minorHAnsi" w:cstheme="minorHAnsi"/>
          <w:b w:val="0"/>
          <w:color w:val="000000" w:themeColor="text1"/>
          <w:sz w:val="21"/>
          <w:szCs w:val="21"/>
          <w:u w:val="none"/>
        </w:rPr>
        <w:t xml:space="preserve"> (EOPO3 and 4)</w:t>
      </w:r>
      <w:r w:rsidRPr="00705BD3">
        <w:rPr>
          <w:rFonts w:asciiTheme="minorHAnsi" w:hAnsiTheme="minorHAnsi" w:cstheme="minorHAnsi"/>
          <w:b w:val="0"/>
          <w:color w:val="000000" w:themeColor="text1"/>
          <w:sz w:val="21"/>
          <w:szCs w:val="21"/>
          <w:u w:val="none"/>
        </w:rPr>
        <w:t xml:space="preserve"> will be the focus of the mid-term review of Nabilan, although progress has been made already in sustainability of Nabilan program outcomes</w:t>
      </w:r>
      <w:r w:rsidR="009C235C" w:rsidRPr="00705BD3">
        <w:rPr>
          <w:rFonts w:asciiTheme="minorHAnsi" w:hAnsiTheme="minorHAnsi" w:cstheme="minorHAnsi"/>
          <w:b w:val="0"/>
          <w:color w:val="000000" w:themeColor="text1"/>
          <w:sz w:val="21"/>
          <w:szCs w:val="21"/>
          <w:u w:val="none"/>
        </w:rPr>
        <w:t xml:space="preserve"> by working through and enhancing local systems and structures</w:t>
      </w:r>
      <w:r w:rsidR="00221BFC">
        <w:rPr>
          <w:rFonts w:asciiTheme="minorHAnsi" w:hAnsiTheme="minorHAnsi" w:cstheme="minorHAnsi"/>
          <w:b w:val="0"/>
          <w:color w:val="000000" w:themeColor="text1"/>
          <w:sz w:val="21"/>
          <w:szCs w:val="21"/>
          <w:u w:val="none"/>
        </w:rPr>
        <w:t>;</w:t>
      </w:r>
      <w:r w:rsidR="009C235C" w:rsidRPr="00705BD3">
        <w:rPr>
          <w:rFonts w:asciiTheme="minorHAnsi" w:hAnsiTheme="minorHAnsi" w:cstheme="minorHAnsi"/>
          <w:b w:val="0"/>
          <w:color w:val="000000" w:themeColor="text1"/>
          <w:sz w:val="21"/>
          <w:szCs w:val="21"/>
          <w:u w:val="none"/>
        </w:rPr>
        <w:t xml:space="preserve"> and building the capacity of service providers, communities and institutions</w:t>
      </w:r>
      <w:r w:rsidRPr="00705BD3">
        <w:rPr>
          <w:rFonts w:asciiTheme="minorHAnsi" w:hAnsiTheme="minorHAnsi" w:cstheme="minorHAnsi"/>
          <w:b w:val="0"/>
          <w:color w:val="000000" w:themeColor="text1"/>
          <w:sz w:val="21"/>
          <w:szCs w:val="21"/>
          <w:u w:val="none"/>
        </w:rPr>
        <w:t xml:space="preserve">. Further work is required with GoTL, in particular </w:t>
      </w:r>
      <w:r w:rsidR="00B769C9" w:rsidRPr="00705BD3">
        <w:rPr>
          <w:rFonts w:asciiTheme="minorHAnsi" w:hAnsiTheme="minorHAnsi" w:cstheme="minorHAnsi"/>
          <w:b w:val="0"/>
          <w:color w:val="000000" w:themeColor="text1"/>
          <w:sz w:val="21"/>
          <w:szCs w:val="21"/>
          <w:u w:val="none"/>
        </w:rPr>
        <w:t>the Ministry of Social Solidarity and Inclusion (</w:t>
      </w:r>
      <w:r w:rsidRPr="00705BD3">
        <w:rPr>
          <w:rFonts w:asciiTheme="minorHAnsi" w:hAnsiTheme="minorHAnsi" w:cstheme="minorHAnsi"/>
          <w:b w:val="0"/>
          <w:color w:val="000000" w:themeColor="text1"/>
          <w:sz w:val="21"/>
          <w:szCs w:val="21"/>
          <w:u w:val="none"/>
        </w:rPr>
        <w:t>MSSI</w:t>
      </w:r>
      <w:r w:rsidR="00B769C9" w:rsidRPr="00705BD3">
        <w:rPr>
          <w:rFonts w:asciiTheme="minorHAnsi" w:hAnsiTheme="minorHAnsi" w:cstheme="minorHAnsi"/>
          <w:b w:val="0"/>
          <w:color w:val="000000" w:themeColor="text1"/>
          <w:sz w:val="21"/>
          <w:szCs w:val="21"/>
          <w:u w:val="none"/>
        </w:rPr>
        <w:t>)</w:t>
      </w:r>
      <w:r w:rsidRPr="00705BD3">
        <w:rPr>
          <w:rFonts w:asciiTheme="minorHAnsi" w:hAnsiTheme="minorHAnsi" w:cstheme="minorHAnsi"/>
          <w:b w:val="0"/>
          <w:color w:val="000000" w:themeColor="text1"/>
          <w:sz w:val="21"/>
          <w:szCs w:val="21"/>
          <w:u w:val="none"/>
        </w:rPr>
        <w:t xml:space="preserve">, and service providers to address the issue of sustainable funding for essential VAWC services. The delays in passing the State Budgets in 2017 and 2018 meant that no progress was possible in terms of advocating for increased percentage of government funding for these services. </w:t>
      </w:r>
    </w:p>
    <w:p w14:paraId="3C8E0117" w14:textId="1A6611EF" w:rsidR="00466570" w:rsidRPr="00BF4F0F" w:rsidRDefault="00466570" w:rsidP="00447313">
      <w:pPr>
        <w:spacing w:line="288" w:lineRule="auto"/>
        <w:jc w:val="both"/>
        <w:rPr>
          <w:rFonts w:asciiTheme="minorHAnsi" w:hAnsiTheme="minorHAnsi" w:cstheme="minorHAnsi"/>
        </w:rPr>
        <w:sectPr w:rsidR="00466570" w:rsidRPr="00BF4F0F" w:rsidSect="00705BD3">
          <w:headerReference w:type="default" r:id="rId22"/>
          <w:footerReference w:type="default" r:id="rId23"/>
          <w:endnotePr>
            <w:numFmt w:val="decimal"/>
          </w:endnotePr>
          <w:pgSz w:w="11906" w:h="16838"/>
          <w:pgMar w:top="993" w:right="849" w:bottom="851" w:left="1134" w:header="284" w:footer="232" w:gutter="0"/>
          <w:pgNumType w:start="1"/>
          <w:cols w:space="708"/>
          <w:docGrid w:linePitch="360"/>
        </w:sectPr>
      </w:pPr>
      <w:bookmarkStart w:id="21" w:name="_Toc425338"/>
      <w:bookmarkStart w:id="22" w:name="_Toc437960"/>
    </w:p>
    <w:p w14:paraId="2ECCA081" w14:textId="77777777" w:rsidR="00EA1644" w:rsidRPr="00D57FC2" w:rsidRDefault="004B6BAC" w:rsidP="00447313">
      <w:pPr>
        <w:pStyle w:val="NoHeading1"/>
        <w:rPr>
          <w:rStyle w:val="Style1Char"/>
          <w:rFonts w:asciiTheme="minorHAnsi" w:hAnsiTheme="minorHAnsi" w:cstheme="minorHAnsi"/>
          <w:b/>
          <w:bCs/>
          <w:color w:val="822B6A"/>
          <w:sz w:val="28"/>
          <w:szCs w:val="28"/>
        </w:rPr>
      </w:pPr>
      <w:bookmarkStart w:id="23" w:name="_Toc1902705"/>
      <w:bookmarkStart w:id="24" w:name="_Toc1994621"/>
      <w:bookmarkStart w:id="25" w:name="_Toc1999842"/>
      <w:bookmarkStart w:id="26" w:name="_Toc2019639"/>
      <w:r w:rsidRPr="00D0536E">
        <w:rPr>
          <w:rStyle w:val="Style1Char"/>
          <w:rFonts w:asciiTheme="minorHAnsi" w:hAnsiTheme="minorHAnsi" w:cstheme="minorHAnsi"/>
          <w:b/>
          <w:bCs/>
          <w:color w:val="822B6A"/>
          <w:sz w:val="28"/>
          <w:szCs w:val="28"/>
        </w:rPr>
        <w:t xml:space="preserve">1. </w:t>
      </w:r>
      <w:r w:rsidR="003F18DF" w:rsidRPr="00D0536E">
        <w:rPr>
          <w:rStyle w:val="Style1Char"/>
          <w:rFonts w:asciiTheme="minorHAnsi" w:hAnsiTheme="minorHAnsi" w:cstheme="minorHAnsi"/>
          <w:b/>
          <w:bCs/>
          <w:color w:val="822B6A"/>
          <w:sz w:val="28"/>
          <w:szCs w:val="28"/>
        </w:rPr>
        <w:t>Introduction</w:t>
      </w:r>
      <w:bookmarkEnd w:id="20"/>
      <w:bookmarkEnd w:id="21"/>
      <w:bookmarkEnd w:id="22"/>
      <w:bookmarkEnd w:id="23"/>
      <w:bookmarkEnd w:id="24"/>
      <w:bookmarkEnd w:id="25"/>
      <w:bookmarkEnd w:id="26"/>
      <w:r w:rsidR="00EA1644" w:rsidRPr="00D57FC2">
        <w:rPr>
          <w:rStyle w:val="Style1Char"/>
          <w:rFonts w:asciiTheme="minorHAnsi" w:hAnsiTheme="minorHAnsi" w:cstheme="minorHAnsi"/>
          <w:b/>
          <w:bCs/>
          <w:color w:val="822B6A"/>
          <w:sz w:val="28"/>
          <w:szCs w:val="28"/>
        </w:rPr>
        <w:t xml:space="preserve"> </w:t>
      </w:r>
    </w:p>
    <w:p w14:paraId="7B3643D6" w14:textId="77777777" w:rsidR="00BF20F4" w:rsidRPr="00ED4E65" w:rsidRDefault="00A53EF4" w:rsidP="00705BD3">
      <w:pPr>
        <w:pStyle w:val="Heading2"/>
      </w:pPr>
      <w:bookmarkStart w:id="27" w:name="_Toc425339"/>
      <w:bookmarkStart w:id="28" w:name="_Toc437961"/>
      <w:bookmarkStart w:id="29" w:name="_Toc1902706"/>
      <w:bookmarkStart w:id="30" w:name="_Toc1994622"/>
      <w:bookmarkStart w:id="31" w:name="_Toc1999843"/>
      <w:bookmarkStart w:id="32" w:name="_Toc2019640"/>
      <w:r w:rsidRPr="00F51AE6">
        <w:t>Nabilan Overview</w:t>
      </w:r>
      <w:bookmarkEnd w:id="27"/>
      <w:bookmarkEnd w:id="28"/>
      <w:bookmarkEnd w:id="29"/>
      <w:bookmarkEnd w:id="30"/>
      <w:bookmarkEnd w:id="31"/>
      <w:bookmarkEnd w:id="32"/>
    </w:p>
    <w:p w14:paraId="1BDED7AA" w14:textId="71306ADA" w:rsidR="00A53EF4" w:rsidRPr="00AF3402" w:rsidRDefault="006D35CB" w:rsidP="006D29A3">
      <w:pPr>
        <w:spacing w:line="264" w:lineRule="auto"/>
        <w:jc w:val="both"/>
        <w:rPr>
          <w:rFonts w:asciiTheme="minorHAnsi" w:hAnsiTheme="minorHAnsi" w:cstheme="minorHAnsi"/>
          <w:b w:val="0"/>
          <w:color w:val="auto"/>
          <w:sz w:val="21"/>
          <w:szCs w:val="21"/>
          <w:u w:val="none"/>
        </w:rPr>
      </w:pPr>
      <w:r>
        <w:rPr>
          <w:rFonts w:asciiTheme="minorHAnsi" w:hAnsiTheme="minorHAnsi" w:cstheme="minorHAnsi"/>
          <w:b w:val="0"/>
          <w:color w:val="auto"/>
          <w:sz w:val="21"/>
          <w:szCs w:val="21"/>
          <w:u w:val="none"/>
        </w:rPr>
        <w:t xml:space="preserve">The </w:t>
      </w:r>
      <w:r w:rsidR="00366B96" w:rsidRPr="00AF3402">
        <w:rPr>
          <w:rFonts w:asciiTheme="minorHAnsi" w:hAnsiTheme="minorHAnsi" w:cstheme="minorHAnsi"/>
          <w:b w:val="0"/>
          <w:color w:val="auto"/>
          <w:sz w:val="21"/>
          <w:szCs w:val="21"/>
          <w:u w:val="none"/>
        </w:rPr>
        <w:t>Nabilan (Ending Violence Against Women and Children) Program is an 8-year Australian aid initiative implemented by The Asia Foundation in Timor-Leste on behalf of the Government</w:t>
      </w:r>
      <w:r w:rsidR="00AB375C" w:rsidRPr="00AF3402">
        <w:rPr>
          <w:rFonts w:asciiTheme="minorHAnsi" w:hAnsiTheme="minorHAnsi" w:cstheme="minorHAnsi"/>
          <w:b w:val="0"/>
          <w:color w:val="auto"/>
          <w:sz w:val="21"/>
          <w:szCs w:val="21"/>
          <w:u w:val="none"/>
        </w:rPr>
        <w:t xml:space="preserve"> </w:t>
      </w:r>
      <w:r w:rsidR="00782FDB" w:rsidRPr="00AF3402">
        <w:rPr>
          <w:rFonts w:asciiTheme="minorHAnsi" w:hAnsiTheme="minorHAnsi" w:cstheme="minorHAnsi"/>
          <w:b w:val="0"/>
          <w:color w:val="auto"/>
          <w:sz w:val="21"/>
          <w:szCs w:val="21"/>
          <w:u w:val="none"/>
        </w:rPr>
        <w:t xml:space="preserve">of Australia </w:t>
      </w:r>
      <w:r w:rsidR="00AB375C" w:rsidRPr="00AF3402">
        <w:rPr>
          <w:rFonts w:asciiTheme="minorHAnsi" w:hAnsiTheme="minorHAnsi" w:cstheme="minorHAnsi"/>
          <w:b w:val="0"/>
          <w:color w:val="auto"/>
          <w:sz w:val="21"/>
          <w:szCs w:val="21"/>
          <w:u w:val="none"/>
        </w:rPr>
        <w:t>(GoA)</w:t>
      </w:r>
      <w:r w:rsidR="00366B96" w:rsidRPr="00AF3402">
        <w:rPr>
          <w:rFonts w:asciiTheme="minorHAnsi" w:hAnsiTheme="minorHAnsi" w:cstheme="minorHAnsi"/>
          <w:b w:val="0"/>
          <w:color w:val="auto"/>
          <w:sz w:val="21"/>
          <w:szCs w:val="21"/>
          <w:u w:val="none"/>
        </w:rPr>
        <w:t>. The program commenced in April 2014, with Phase 2 continuing from April 2018 until June 2022. The goal of Phase 2 of Nabilan is that “Women and children live free from violence and can enjoy their rights”. To contribute to this goal, Phase 2 has two End of Program Outcomes (EOPO):</w:t>
      </w:r>
      <w:r w:rsidR="006D29A3">
        <w:rPr>
          <w:rFonts w:asciiTheme="minorHAnsi" w:hAnsiTheme="minorHAnsi" w:cstheme="minorHAnsi"/>
          <w:b w:val="0"/>
          <w:color w:val="auto"/>
          <w:sz w:val="21"/>
          <w:szCs w:val="21"/>
          <w:u w:val="none"/>
        </w:rPr>
        <w:t xml:space="preserve"> </w:t>
      </w:r>
      <w:r w:rsidR="00366B96" w:rsidRPr="00AF3402">
        <w:rPr>
          <w:rFonts w:asciiTheme="minorHAnsi" w:hAnsiTheme="minorHAnsi" w:cstheme="minorHAnsi"/>
          <w:b w:val="0"/>
          <w:color w:val="822B6A"/>
          <w:sz w:val="21"/>
          <w:szCs w:val="21"/>
          <w:u w:val="none"/>
        </w:rPr>
        <w:t>EOPO1</w:t>
      </w:r>
      <w:r w:rsidR="00D76FBA" w:rsidRPr="00AF3402">
        <w:rPr>
          <w:rFonts w:asciiTheme="minorHAnsi" w:hAnsiTheme="minorHAnsi" w:cstheme="minorHAnsi"/>
          <w:b w:val="0"/>
          <w:color w:val="822B6A"/>
          <w:sz w:val="21"/>
          <w:szCs w:val="21"/>
          <w:u w:val="none"/>
        </w:rPr>
        <w:t xml:space="preserve"> (Services)</w:t>
      </w:r>
      <w:r w:rsidR="00366B96" w:rsidRPr="00AF3402">
        <w:rPr>
          <w:rFonts w:asciiTheme="minorHAnsi" w:hAnsiTheme="minorHAnsi" w:cstheme="minorHAnsi"/>
          <w:b w:val="0"/>
          <w:color w:val="822B6A"/>
          <w:sz w:val="21"/>
          <w:szCs w:val="21"/>
          <w:u w:val="none"/>
        </w:rPr>
        <w:t>:</w:t>
      </w:r>
      <w:r w:rsidR="00366B96" w:rsidRPr="00AF3402">
        <w:rPr>
          <w:rFonts w:asciiTheme="minorHAnsi" w:hAnsiTheme="minorHAnsi" w:cstheme="minorHAnsi"/>
          <w:b w:val="0"/>
          <w:color w:val="auto"/>
          <w:sz w:val="21"/>
          <w:szCs w:val="21"/>
          <w:u w:val="none"/>
        </w:rPr>
        <w:t xml:space="preserve"> Women and children who experience violence have access to quality and inclusive services; and</w:t>
      </w:r>
      <w:r w:rsidR="006D29A3">
        <w:rPr>
          <w:rFonts w:asciiTheme="minorHAnsi" w:hAnsiTheme="minorHAnsi" w:cstheme="minorHAnsi"/>
          <w:b w:val="0"/>
          <w:color w:val="auto"/>
          <w:sz w:val="21"/>
          <w:szCs w:val="21"/>
          <w:u w:val="none"/>
        </w:rPr>
        <w:t xml:space="preserve"> </w:t>
      </w:r>
      <w:r w:rsidR="00366B96" w:rsidRPr="00AF3402">
        <w:rPr>
          <w:rFonts w:asciiTheme="minorHAnsi" w:hAnsiTheme="minorHAnsi" w:cstheme="minorHAnsi"/>
          <w:b w:val="0"/>
          <w:color w:val="822B6A"/>
          <w:sz w:val="21"/>
          <w:szCs w:val="21"/>
          <w:u w:val="none"/>
        </w:rPr>
        <w:t>EOPO2</w:t>
      </w:r>
      <w:r w:rsidR="00D76FBA" w:rsidRPr="00AF3402">
        <w:rPr>
          <w:rFonts w:asciiTheme="minorHAnsi" w:hAnsiTheme="minorHAnsi" w:cstheme="minorHAnsi"/>
          <w:b w:val="0"/>
          <w:color w:val="822B6A"/>
          <w:sz w:val="21"/>
          <w:szCs w:val="21"/>
          <w:u w:val="none"/>
        </w:rPr>
        <w:t xml:space="preserve"> (Social Norms Change)</w:t>
      </w:r>
      <w:r w:rsidR="00366B96" w:rsidRPr="00AF3402">
        <w:rPr>
          <w:rFonts w:asciiTheme="minorHAnsi" w:hAnsiTheme="minorHAnsi" w:cstheme="minorHAnsi"/>
          <w:b w:val="0"/>
          <w:color w:val="822B6A"/>
          <w:sz w:val="21"/>
          <w:szCs w:val="21"/>
          <w:u w:val="none"/>
        </w:rPr>
        <w:t>:</w:t>
      </w:r>
      <w:r w:rsidR="00366B96" w:rsidRPr="00AF3402">
        <w:rPr>
          <w:rFonts w:asciiTheme="minorHAnsi" w:hAnsiTheme="minorHAnsi" w:cstheme="minorHAnsi"/>
          <w:b w:val="0"/>
          <w:color w:val="auto"/>
          <w:sz w:val="21"/>
          <w:szCs w:val="21"/>
          <w:u w:val="none"/>
        </w:rPr>
        <w:t xml:space="preserve"> Individuals, communities and institutions take</w:t>
      </w:r>
      <w:r w:rsidR="00885F08" w:rsidRPr="00AF3402">
        <w:rPr>
          <w:rFonts w:asciiTheme="minorHAnsi" w:hAnsiTheme="minorHAnsi" w:cstheme="minorHAnsi"/>
          <w:b w:val="0"/>
          <w:color w:val="auto"/>
          <w:sz w:val="21"/>
          <w:szCs w:val="21"/>
          <w:u w:val="none"/>
        </w:rPr>
        <w:t xml:space="preserve"> </w:t>
      </w:r>
      <w:r w:rsidR="00366B96" w:rsidRPr="00AF3402">
        <w:rPr>
          <w:rFonts w:asciiTheme="minorHAnsi" w:hAnsiTheme="minorHAnsi" w:cstheme="minorHAnsi"/>
          <w:b w:val="0"/>
          <w:color w:val="auto"/>
          <w:sz w:val="21"/>
          <w:szCs w:val="21"/>
          <w:u w:val="none"/>
        </w:rPr>
        <w:t>action to reduce violence against women and children.</w:t>
      </w:r>
    </w:p>
    <w:p w14:paraId="4F0448FB" w14:textId="64C8A6BE" w:rsidR="003D2D18" w:rsidRPr="00AF3402" w:rsidRDefault="00366B96" w:rsidP="00AF3402">
      <w:pPr>
        <w:spacing w:line="264" w:lineRule="auto"/>
        <w:jc w:val="both"/>
        <w:rPr>
          <w:rFonts w:asciiTheme="minorHAnsi" w:hAnsiTheme="minorHAnsi" w:cstheme="minorHAnsi"/>
          <w:b w:val="0"/>
          <w:color w:val="auto"/>
          <w:sz w:val="21"/>
          <w:szCs w:val="21"/>
          <w:u w:val="none"/>
        </w:rPr>
      </w:pPr>
      <w:r w:rsidRPr="00AF3402">
        <w:rPr>
          <w:rFonts w:asciiTheme="minorHAnsi" w:hAnsiTheme="minorHAnsi" w:cstheme="minorHAnsi"/>
          <w:b w:val="0"/>
          <w:color w:val="auto"/>
          <w:sz w:val="21"/>
          <w:szCs w:val="21"/>
          <w:u w:val="none"/>
        </w:rPr>
        <w:t xml:space="preserve">Nabilan’s </w:t>
      </w:r>
      <w:r w:rsidR="00D76FBA" w:rsidRPr="00AF3402">
        <w:rPr>
          <w:rFonts w:asciiTheme="minorHAnsi" w:hAnsiTheme="minorHAnsi" w:cstheme="minorHAnsi"/>
          <w:b w:val="0"/>
          <w:color w:val="auto"/>
          <w:sz w:val="21"/>
          <w:szCs w:val="21"/>
          <w:u w:val="none"/>
        </w:rPr>
        <w:t xml:space="preserve">Phase 2 </w:t>
      </w:r>
      <w:r w:rsidRPr="00AF3402">
        <w:rPr>
          <w:rFonts w:asciiTheme="minorHAnsi" w:hAnsiTheme="minorHAnsi" w:cstheme="minorHAnsi"/>
          <w:b w:val="0"/>
          <w:color w:val="auto"/>
          <w:sz w:val="21"/>
          <w:szCs w:val="21"/>
          <w:u w:val="none"/>
        </w:rPr>
        <w:t xml:space="preserve">goal reflects the goal of the Timor-Leste National Action Plan </w:t>
      </w:r>
      <w:r w:rsidR="006D35CB">
        <w:rPr>
          <w:rFonts w:asciiTheme="minorHAnsi" w:hAnsiTheme="minorHAnsi" w:cstheme="minorHAnsi"/>
          <w:b w:val="0"/>
          <w:color w:val="auto"/>
          <w:sz w:val="21"/>
          <w:szCs w:val="21"/>
          <w:u w:val="none"/>
        </w:rPr>
        <w:t>Against</w:t>
      </w:r>
      <w:r w:rsidR="006D35CB" w:rsidRPr="00AF3402">
        <w:rPr>
          <w:rFonts w:asciiTheme="minorHAnsi" w:hAnsiTheme="minorHAnsi" w:cstheme="minorHAnsi"/>
          <w:b w:val="0"/>
          <w:color w:val="auto"/>
          <w:sz w:val="21"/>
          <w:szCs w:val="21"/>
          <w:u w:val="none"/>
        </w:rPr>
        <w:t xml:space="preserve"> </w:t>
      </w:r>
      <w:r w:rsidRPr="00AF3402">
        <w:rPr>
          <w:rFonts w:asciiTheme="minorHAnsi" w:hAnsiTheme="minorHAnsi" w:cstheme="minorHAnsi"/>
          <w:b w:val="0"/>
          <w:color w:val="auto"/>
          <w:sz w:val="21"/>
          <w:szCs w:val="21"/>
          <w:u w:val="none"/>
        </w:rPr>
        <w:t>Gender Based Violence (NAP-GBV</w:t>
      </w:r>
      <w:r w:rsidR="00885F08" w:rsidRPr="00AF3402">
        <w:rPr>
          <w:rFonts w:asciiTheme="minorHAnsi" w:hAnsiTheme="minorHAnsi" w:cstheme="minorHAnsi"/>
          <w:b w:val="0"/>
          <w:color w:val="auto"/>
          <w:sz w:val="21"/>
          <w:szCs w:val="21"/>
          <w:u w:val="none"/>
        </w:rPr>
        <w:t>)</w:t>
      </w:r>
      <w:r w:rsidRPr="00AF3402">
        <w:rPr>
          <w:rFonts w:asciiTheme="minorHAnsi" w:hAnsiTheme="minorHAnsi" w:cstheme="minorHAnsi"/>
          <w:b w:val="0"/>
          <w:color w:val="auto"/>
          <w:sz w:val="21"/>
          <w:szCs w:val="21"/>
          <w:u w:val="none"/>
        </w:rPr>
        <w:t xml:space="preserve"> 2017-21 which is </w:t>
      </w:r>
      <w:r w:rsidR="00013483" w:rsidRPr="00AF3402">
        <w:rPr>
          <w:rFonts w:asciiTheme="minorHAnsi" w:hAnsiTheme="minorHAnsi" w:cstheme="minorHAnsi"/>
          <w:b w:val="0"/>
          <w:color w:val="auto"/>
          <w:sz w:val="21"/>
          <w:szCs w:val="21"/>
          <w:u w:val="none"/>
        </w:rPr>
        <w:t>r</w:t>
      </w:r>
      <w:r w:rsidRPr="00AF3402">
        <w:rPr>
          <w:rFonts w:asciiTheme="minorHAnsi" w:hAnsiTheme="minorHAnsi" w:cstheme="minorHAnsi"/>
          <w:b w:val="0"/>
          <w:color w:val="auto"/>
          <w:sz w:val="21"/>
          <w:szCs w:val="21"/>
          <w:u w:val="none"/>
        </w:rPr>
        <w:t xml:space="preserve">educing and ultimately eliminating </w:t>
      </w:r>
      <w:r w:rsidR="00922A44" w:rsidRPr="00AF3402">
        <w:rPr>
          <w:rFonts w:asciiTheme="minorHAnsi" w:hAnsiTheme="minorHAnsi" w:cstheme="minorHAnsi"/>
          <w:b w:val="0"/>
          <w:color w:val="auto"/>
          <w:sz w:val="21"/>
          <w:szCs w:val="21"/>
          <w:u w:val="none"/>
        </w:rPr>
        <w:t>gender-based violence (</w:t>
      </w:r>
      <w:r w:rsidRPr="00AF3402">
        <w:rPr>
          <w:rFonts w:asciiTheme="minorHAnsi" w:hAnsiTheme="minorHAnsi" w:cstheme="minorHAnsi"/>
          <w:b w:val="0"/>
          <w:color w:val="auto"/>
          <w:sz w:val="21"/>
          <w:szCs w:val="21"/>
          <w:u w:val="none"/>
        </w:rPr>
        <w:t>GBV</w:t>
      </w:r>
      <w:r w:rsidR="00922A44" w:rsidRPr="00AF3402">
        <w:rPr>
          <w:rFonts w:asciiTheme="minorHAnsi" w:hAnsiTheme="minorHAnsi" w:cstheme="minorHAnsi"/>
          <w:b w:val="0"/>
          <w:color w:val="auto"/>
          <w:sz w:val="21"/>
          <w:szCs w:val="21"/>
          <w:u w:val="none"/>
        </w:rPr>
        <w:t>)</w:t>
      </w:r>
      <w:r w:rsidRPr="00AF3402">
        <w:rPr>
          <w:rFonts w:asciiTheme="minorHAnsi" w:hAnsiTheme="minorHAnsi" w:cstheme="minorHAnsi"/>
          <w:b w:val="0"/>
          <w:color w:val="auto"/>
          <w:sz w:val="21"/>
          <w:szCs w:val="21"/>
          <w:u w:val="none"/>
        </w:rPr>
        <w:t xml:space="preserve"> through a multi-sectoral coordinated approach. </w:t>
      </w:r>
      <w:r w:rsidR="00922A44" w:rsidRPr="00AF3402">
        <w:rPr>
          <w:rFonts w:asciiTheme="minorHAnsi" w:hAnsiTheme="minorHAnsi" w:cstheme="minorHAnsi"/>
          <w:b w:val="0"/>
          <w:color w:val="auto"/>
          <w:sz w:val="21"/>
          <w:szCs w:val="21"/>
          <w:u w:val="none"/>
        </w:rPr>
        <w:t>Nabilan EOPO 1 aligns with NAP-GBV Pillars 2 &amp; 3 on Services and Access to Justice, and EOPO 2 aligns with NAP-GBV Pillar 1 on Prevention.</w:t>
      </w:r>
      <w:r w:rsidR="00580956" w:rsidRPr="00AF3402">
        <w:rPr>
          <w:rFonts w:asciiTheme="minorHAnsi" w:hAnsiTheme="minorHAnsi" w:cstheme="minorHAnsi"/>
          <w:b w:val="0"/>
          <w:color w:val="auto"/>
          <w:sz w:val="21"/>
          <w:szCs w:val="21"/>
          <w:u w:val="none"/>
        </w:rPr>
        <w:t xml:space="preserve"> </w:t>
      </w:r>
      <w:r w:rsidR="00D76FBA" w:rsidRPr="00AF3402">
        <w:rPr>
          <w:rFonts w:asciiTheme="minorHAnsi" w:hAnsiTheme="minorHAnsi" w:cstheme="minorHAnsi"/>
          <w:b w:val="0"/>
          <w:color w:val="auto"/>
          <w:sz w:val="21"/>
          <w:szCs w:val="21"/>
          <w:u w:val="none"/>
        </w:rPr>
        <w:t>Nabilan Phase 2 also continues its extensive engagement with civil society organisations (CSO), with an intensified emphasis supporting local feminists and movements.</w:t>
      </w:r>
    </w:p>
    <w:p w14:paraId="7270B62C" w14:textId="77777777" w:rsidR="00A53EF4" w:rsidRPr="00AF3402" w:rsidRDefault="00CD5A44" w:rsidP="00AF3402">
      <w:pPr>
        <w:spacing w:line="264" w:lineRule="auto"/>
        <w:jc w:val="both"/>
        <w:rPr>
          <w:rFonts w:asciiTheme="minorHAnsi" w:hAnsiTheme="minorHAnsi" w:cstheme="minorHAnsi"/>
          <w:b w:val="0"/>
          <w:color w:val="auto"/>
          <w:sz w:val="21"/>
          <w:szCs w:val="21"/>
          <w:u w:val="none"/>
        </w:rPr>
      </w:pPr>
      <w:r w:rsidRPr="00AF3402">
        <w:rPr>
          <w:rFonts w:asciiTheme="minorHAnsi" w:hAnsiTheme="minorHAnsi" w:cstheme="minorHAnsi"/>
          <w:b w:val="0"/>
          <w:color w:val="auto"/>
          <w:sz w:val="21"/>
          <w:szCs w:val="21"/>
          <w:u w:val="none"/>
        </w:rPr>
        <w:t xml:space="preserve">The budget for </w:t>
      </w:r>
      <w:r w:rsidR="00E0573C" w:rsidRPr="00AF3402">
        <w:rPr>
          <w:rFonts w:asciiTheme="minorHAnsi" w:hAnsiTheme="minorHAnsi" w:cstheme="minorHAnsi"/>
          <w:b w:val="0"/>
          <w:color w:val="auto"/>
          <w:sz w:val="21"/>
          <w:szCs w:val="21"/>
          <w:u w:val="none"/>
        </w:rPr>
        <w:t xml:space="preserve">Nabilan Phase 2 </w:t>
      </w:r>
      <w:r w:rsidRPr="00AF3402">
        <w:rPr>
          <w:rFonts w:asciiTheme="minorHAnsi" w:hAnsiTheme="minorHAnsi" w:cstheme="minorHAnsi"/>
          <w:b w:val="0"/>
          <w:color w:val="auto"/>
          <w:sz w:val="21"/>
          <w:szCs w:val="21"/>
          <w:u w:val="none"/>
        </w:rPr>
        <w:t>is $A14.2m over four years.</w:t>
      </w:r>
      <w:r w:rsidR="00E20309" w:rsidRPr="00AF3402">
        <w:rPr>
          <w:rFonts w:asciiTheme="minorHAnsi" w:hAnsiTheme="minorHAnsi" w:cstheme="minorHAnsi"/>
          <w:b w:val="0"/>
          <w:color w:val="auto"/>
          <w:sz w:val="21"/>
          <w:szCs w:val="21"/>
          <w:u w:val="none"/>
        </w:rPr>
        <w:t xml:space="preserve"> Nabilan Phase 2 was officially launched on 31 July 2018 by the Australian Minister for Foreign Affairs.</w:t>
      </w:r>
      <w:r w:rsidR="00D76FBA" w:rsidRPr="00AF3402">
        <w:rPr>
          <w:rFonts w:asciiTheme="minorHAnsi" w:hAnsiTheme="minorHAnsi" w:cstheme="minorHAnsi"/>
          <w:b w:val="0"/>
          <w:color w:val="auto"/>
          <w:sz w:val="21"/>
          <w:szCs w:val="21"/>
          <w:u w:val="none"/>
        </w:rPr>
        <w:t xml:space="preserve"> </w:t>
      </w:r>
    </w:p>
    <w:p w14:paraId="6909B2E3" w14:textId="77777777" w:rsidR="00BF20F4" w:rsidRPr="00AF3402" w:rsidRDefault="00A53EF4" w:rsidP="00705BD3">
      <w:pPr>
        <w:pStyle w:val="Heading2"/>
        <w:spacing w:line="264" w:lineRule="auto"/>
        <w:rPr>
          <w:sz w:val="21"/>
          <w:szCs w:val="21"/>
        </w:rPr>
      </w:pPr>
      <w:bookmarkStart w:id="33" w:name="_Toc425340"/>
      <w:bookmarkStart w:id="34" w:name="_Toc437962"/>
      <w:bookmarkStart w:id="35" w:name="_Toc1902707"/>
      <w:bookmarkStart w:id="36" w:name="_Toc1994623"/>
      <w:bookmarkStart w:id="37" w:name="_Toc1999844"/>
      <w:bookmarkStart w:id="38" w:name="_Toc2019641"/>
      <w:r w:rsidRPr="00AF3402">
        <w:rPr>
          <w:sz w:val="21"/>
          <w:szCs w:val="21"/>
        </w:rPr>
        <w:t xml:space="preserve">Nabilan </w:t>
      </w:r>
      <w:r w:rsidR="00FA0A8E" w:rsidRPr="00AF3402">
        <w:rPr>
          <w:sz w:val="21"/>
          <w:szCs w:val="21"/>
        </w:rPr>
        <w:t xml:space="preserve">Operating </w:t>
      </w:r>
      <w:r w:rsidR="00BF20F4" w:rsidRPr="00AF3402">
        <w:rPr>
          <w:sz w:val="21"/>
          <w:szCs w:val="21"/>
        </w:rPr>
        <w:t>Context</w:t>
      </w:r>
      <w:bookmarkEnd w:id="33"/>
      <w:bookmarkEnd w:id="34"/>
      <w:bookmarkEnd w:id="35"/>
      <w:bookmarkEnd w:id="36"/>
      <w:bookmarkEnd w:id="37"/>
      <w:bookmarkEnd w:id="38"/>
    </w:p>
    <w:p w14:paraId="3420A6E0" w14:textId="77777777" w:rsidR="003D2D18" w:rsidRPr="00AF3402" w:rsidRDefault="003D2D18" w:rsidP="00AF3402">
      <w:pPr>
        <w:spacing w:line="264" w:lineRule="auto"/>
        <w:jc w:val="both"/>
        <w:rPr>
          <w:rFonts w:asciiTheme="minorHAnsi" w:hAnsiTheme="minorHAnsi" w:cstheme="minorHAnsi"/>
          <w:b w:val="0"/>
          <w:color w:val="auto"/>
          <w:sz w:val="21"/>
          <w:szCs w:val="21"/>
          <w:u w:val="none"/>
        </w:rPr>
      </w:pPr>
      <w:r w:rsidRPr="00AF3402">
        <w:rPr>
          <w:rFonts w:asciiTheme="minorHAnsi" w:hAnsiTheme="minorHAnsi" w:cstheme="minorHAnsi"/>
          <w:b w:val="0"/>
          <w:color w:val="auto"/>
          <w:sz w:val="21"/>
          <w:szCs w:val="21"/>
          <w:u w:val="none"/>
        </w:rPr>
        <w:t xml:space="preserve">Nabilan transitioned into Phase 2 in April 2018. The team was reduced, to correspond with programming changes and budget. National staff took over leadership of the main program areas. The subsidiary agreement between the Governments of Australia and Timor-Leste regarding the Nabilan Program lapsed in April 2018. </w:t>
      </w:r>
    </w:p>
    <w:p w14:paraId="63AEB53E" w14:textId="3C8431A4" w:rsidR="008A4E08" w:rsidRPr="00AF3402" w:rsidRDefault="00D76FBA" w:rsidP="00AF3402">
      <w:pPr>
        <w:spacing w:line="264" w:lineRule="auto"/>
        <w:jc w:val="both"/>
        <w:rPr>
          <w:rFonts w:asciiTheme="minorHAnsi" w:hAnsiTheme="minorHAnsi" w:cstheme="minorHAnsi"/>
          <w:b w:val="0"/>
          <w:color w:val="auto"/>
          <w:sz w:val="21"/>
          <w:szCs w:val="21"/>
          <w:u w:val="none"/>
        </w:rPr>
      </w:pPr>
      <w:r w:rsidRPr="00AF3402">
        <w:rPr>
          <w:rFonts w:asciiTheme="minorHAnsi" w:hAnsiTheme="minorHAnsi" w:cstheme="minorHAnsi"/>
          <w:b w:val="0"/>
          <w:color w:val="auto"/>
          <w:sz w:val="21"/>
          <w:szCs w:val="21"/>
          <w:u w:val="none"/>
        </w:rPr>
        <w:t xml:space="preserve">In 2018, </w:t>
      </w:r>
      <w:r w:rsidR="00CD5A44" w:rsidRPr="00AF3402">
        <w:rPr>
          <w:rFonts w:asciiTheme="minorHAnsi" w:hAnsiTheme="minorHAnsi" w:cstheme="minorHAnsi"/>
          <w:b w:val="0"/>
          <w:color w:val="auto"/>
          <w:sz w:val="21"/>
          <w:szCs w:val="21"/>
          <w:u w:val="none"/>
        </w:rPr>
        <w:t xml:space="preserve">Nabilan and partner CSOs operated in a context of political change. </w:t>
      </w:r>
      <w:r w:rsidR="00A34B98" w:rsidRPr="00AF3402">
        <w:rPr>
          <w:rFonts w:asciiTheme="minorHAnsi" w:hAnsiTheme="minorHAnsi" w:cstheme="minorHAnsi"/>
          <w:b w:val="0"/>
          <w:color w:val="auto"/>
          <w:sz w:val="21"/>
          <w:szCs w:val="21"/>
          <w:u w:val="none"/>
        </w:rPr>
        <w:t>The 7th Constitutional Government</w:t>
      </w:r>
      <w:r w:rsidR="00AB375C" w:rsidRPr="00AF3402">
        <w:rPr>
          <w:rFonts w:asciiTheme="minorHAnsi" w:hAnsiTheme="minorHAnsi" w:cstheme="minorHAnsi"/>
          <w:b w:val="0"/>
          <w:color w:val="auto"/>
          <w:sz w:val="21"/>
          <w:szCs w:val="21"/>
          <w:u w:val="none"/>
        </w:rPr>
        <w:t xml:space="preserve"> of Timor-Leste (GoTL)</w:t>
      </w:r>
      <w:r w:rsidR="00A34B98" w:rsidRPr="00AF3402">
        <w:rPr>
          <w:rFonts w:asciiTheme="minorHAnsi" w:hAnsiTheme="minorHAnsi" w:cstheme="minorHAnsi"/>
          <w:b w:val="0"/>
          <w:color w:val="auto"/>
          <w:sz w:val="21"/>
          <w:szCs w:val="21"/>
          <w:u w:val="none"/>
        </w:rPr>
        <w:t xml:space="preserve"> </w:t>
      </w:r>
      <w:r w:rsidR="00E20309" w:rsidRPr="00AF3402">
        <w:rPr>
          <w:rFonts w:asciiTheme="minorHAnsi" w:hAnsiTheme="minorHAnsi" w:cstheme="minorHAnsi"/>
          <w:b w:val="0"/>
          <w:color w:val="auto"/>
          <w:sz w:val="21"/>
          <w:szCs w:val="21"/>
          <w:u w:val="none"/>
        </w:rPr>
        <w:t xml:space="preserve">was </w:t>
      </w:r>
      <w:r w:rsidR="00A34B98" w:rsidRPr="00AF3402">
        <w:rPr>
          <w:rFonts w:asciiTheme="minorHAnsi" w:hAnsiTheme="minorHAnsi" w:cstheme="minorHAnsi"/>
          <w:b w:val="0"/>
          <w:color w:val="auto"/>
          <w:sz w:val="21"/>
          <w:szCs w:val="21"/>
          <w:u w:val="none"/>
        </w:rPr>
        <w:t>unable to pass the State Budget. This mean</w:t>
      </w:r>
      <w:r w:rsidR="00E20309" w:rsidRPr="00AF3402">
        <w:rPr>
          <w:rFonts w:asciiTheme="minorHAnsi" w:hAnsiTheme="minorHAnsi" w:cstheme="minorHAnsi"/>
          <w:b w:val="0"/>
          <w:color w:val="auto"/>
          <w:sz w:val="21"/>
          <w:szCs w:val="21"/>
          <w:u w:val="none"/>
        </w:rPr>
        <w:t>t</w:t>
      </w:r>
      <w:r w:rsidR="00A34B98" w:rsidRPr="00AF3402">
        <w:rPr>
          <w:rFonts w:asciiTheme="minorHAnsi" w:hAnsiTheme="minorHAnsi" w:cstheme="minorHAnsi"/>
          <w:b w:val="0"/>
          <w:color w:val="auto"/>
          <w:sz w:val="21"/>
          <w:szCs w:val="21"/>
          <w:u w:val="none"/>
        </w:rPr>
        <w:t xml:space="preserve"> CSO service providers received intermittent support under the emergency </w:t>
      </w:r>
      <w:bookmarkStart w:id="39" w:name="_Hlk446474"/>
      <w:r w:rsidR="00A34B98" w:rsidRPr="00AF3402">
        <w:rPr>
          <w:rFonts w:asciiTheme="minorHAnsi" w:hAnsiTheme="minorHAnsi" w:cstheme="minorHAnsi"/>
          <w:b w:val="0"/>
          <w:i/>
          <w:color w:val="auto"/>
          <w:sz w:val="21"/>
          <w:szCs w:val="21"/>
          <w:u w:val="none"/>
        </w:rPr>
        <w:t>duodecimo</w:t>
      </w:r>
      <w:r w:rsidR="00A34B98" w:rsidRPr="00AF3402">
        <w:rPr>
          <w:rFonts w:asciiTheme="minorHAnsi" w:hAnsiTheme="minorHAnsi" w:cstheme="minorHAnsi"/>
          <w:b w:val="0"/>
          <w:color w:val="auto"/>
          <w:sz w:val="21"/>
          <w:szCs w:val="21"/>
          <w:u w:val="none"/>
        </w:rPr>
        <w:t xml:space="preserve"> system</w:t>
      </w:r>
      <w:bookmarkEnd w:id="39"/>
      <w:r w:rsidR="00A34B98" w:rsidRPr="00AF3402">
        <w:rPr>
          <w:rFonts w:asciiTheme="minorHAnsi" w:hAnsiTheme="minorHAnsi" w:cstheme="minorHAnsi"/>
          <w:b w:val="0"/>
          <w:color w:val="auto"/>
          <w:sz w:val="21"/>
          <w:szCs w:val="21"/>
          <w:u w:val="none"/>
        </w:rPr>
        <w:t>.</w:t>
      </w:r>
      <w:bookmarkEnd w:id="15"/>
      <w:bookmarkEnd w:id="16"/>
      <w:bookmarkEnd w:id="17"/>
      <w:bookmarkEnd w:id="18"/>
      <w:bookmarkEnd w:id="19"/>
      <w:r w:rsidR="008A4E08" w:rsidRPr="00AF3402">
        <w:rPr>
          <w:rFonts w:asciiTheme="minorHAnsi" w:hAnsiTheme="minorHAnsi" w:cstheme="minorHAnsi"/>
          <w:b w:val="0"/>
          <w:color w:val="auto"/>
          <w:sz w:val="21"/>
          <w:szCs w:val="21"/>
          <w:u w:val="none"/>
          <w:vertAlign w:val="superscript"/>
        </w:rPr>
        <w:footnoteReference w:id="2"/>
      </w:r>
      <w:r w:rsidR="008A4E08" w:rsidRPr="00AF3402">
        <w:rPr>
          <w:rFonts w:asciiTheme="minorHAnsi" w:hAnsiTheme="minorHAnsi" w:cstheme="minorHAnsi"/>
          <w:b w:val="0"/>
          <w:color w:val="auto"/>
          <w:sz w:val="21"/>
          <w:szCs w:val="21"/>
          <w:u w:val="none"/>
        </w:rPr>
        <w:t xml:space="preserve"> On 22 June 2018, the 8th Constitutional Government of Prime Minister HE Jose (Taur Matan Ruak) Vasconcelos commenced with an absolute majority with 34 seats in the 65-seat legislature. The 2018 rectification budget was finally passed in August 2018, meaning that CSO service providers were able to receive their funding from the Ministry of Social Solidarity and Inclusion (MSSI). </w:t>
      </w:r>
    </w:p>
    <w:p w14:paraId="406BEB82" w14:textId="4D0280CE" w:rsidR="008A4E08" w:rsidRPr="00AF3402" w:rsidRDefault="008A4E08" w:rsidP="00AF3402">
      <w:pPr>
        <w:spacing w:line="264" w:lineRule="auto"/>
        <w:jc w:val="both"/>
        <w:rPr>
          <w:rFonts w:asciiTheme="minorHAnsi" w:hAnsiTheme="minorHAnsi" w:cstheme="minorHAnsi"/>
          <w:b w:val="0"/>
          <w:color w:val="auto"/>
          <w:sz w:val="21"/>
          <w:szCs w:val="21"/>
          <w:u w:val="none"/>
        </w:rPr>
      </w:pPr>
      <w:r w:rsidRPr="00AF3402">
        <w:rPr>
          <w:rFonts w:asciiTheme="minorHAnsi" w:hAnsiTheme="minorHAnsi" w:cstheme="minorHAnsi"/>
          <w:b w:val="0"/>
          <w:color w:val="auto"/>
          <w:sz w:val="21"/>
          <w:szCs w:val="21"/>
          <w:u w:val="none"/>
        </w:rPr>
        <w:t xml:space="preserve">Under the 8th Constitutional Government, the Secretary of State for Gender Equality and Social Inclusion (the gender equality ministry), became the Secretary of State for Equality and Inclusion (SEII). The allocation for MSSI was $US52.23 million of which $US2.029 million was allocated for services and victims of natural </w:t>
      </w:r>
      <w:r w:rsidR="00BD709E" w:rsidRPr="00AF3402">
        <w:rPr>
          <w:rFonts w:asciiTheme="minorHAnsi" w:hAnsiTheme="minorHAnsi" w:cstheme="minorHAnsi"/>
          <w:b w:val="0"/>
          <w:color w:val="auto"/>
          <w:sz w:val="21"/>
          <w:szCs w:val="21"/>
          <w:u w:val="none"/>
        </w:rPr>
        <w:t>disasters</w:t>
      </w:r>
      <w:r w:rsidRPr="00AF3402">
        <w:rPr>
          <w:rFonts w:asciiTheme="minorHAnsi" w:hAnsiTheme="minorHAnsi" w:cstheme="minorHAnsi"/>
          <w:b w:val="0"/>
          <w:color w:val="auto"/>
          <w:sz w:val="21"/>
          <w:szCs w:val="21"/>
          <w:u w:val="none"/>
        </w:rPr>
        <w:t>, and for SEII $US684,000, most of which was for operational and salary costs. The Ministry of Health is, on a transitional basis, under the leadership of the Deputy Minister of Health. The 2019 State Budget was promulgated on 7</w:t>
      </w:r>
      <w:r w:rsidR="00BD709E" w:rsidRPr="00AF3402">
        <w:rPr>
          <w:rFonts w:asciiTheme="minorHAnsi" w:hAnsiTheme="minorHAnsi" w:cstheme="minorHAnsi"/>
          <w:b w:val="0"/>
          <w:color w:val="auto"/>
          <w:sz w:val="21"/>
          <w:szCs w:val="21"/>
          <w:u w:val="none"/>
        </w:rPr>
        <w:t> </w:t>
      </w:r>
      <w:r w:rsidRPr="00AF3402">
        <w:rPr>
          <w:rFonts w:asciiTheme="minorHAnsi" w:hAnsiTheme="minorHAnsi" w:cstheme="minorHAnsi"/>
          <w:b w:val="0"/>
          <w:color w:val="auto"/>
          <w:sz w:val="21"/>
          <w:szCs w:val="21"/>
          <w:u w:val="none"/>
        </w:rPr>
        <w:t>February 2019.</w:t>
      </w:r>
      <w:r w:rsidRPr="00AF3402">
        <w:rPr>
          <w:rFonts w:asciiTheme="minorHAnsi" w:hAnsiTheme="minorHAnsi" w:cstheme="minorHAnsi"/>
          <w:b w:val="0"/>
          <w:color w:val="auto"/>
          <w:sz w:val="21"/>
          <w:szCs w:val="21"/>
          <w:u w:val="none"/>
          <w:vertAlign w:val="superscript"/>
        </w:rPr>
        <w:footnoteReference w:id="3"/>
      </w:r>
      <w:r w:rsidRPr="00AF3402">
        <w:rPr>
          <w:rFonts w:asciiTheme="minorHAnsi" w:hAnsiTheme="minorHAnsi" w:cstheme="minorHAnsi"/>
          <w:b w:val="0"/>
          <w:color w:val="auto"/>
          <w:sz w:val="21"/>
          <w:szCs w:val="21"/>
          <w:u w:val="none"/>
        </w:rPr>
        <w:t xml:space="preserve"> The Gender Budget Statement for 2019 states that 40% of the budget was allocated for principally women’s programs; and 30% was allocated for specific women’s programs. However, none of the ministries responsible for implementing the NAP-GBV 2017-21 have allocated any funding to NAP-GBV activities. </w:t>
      </w:r>
    </w:p>
    <w:p w14:paraId="0736A7DB" w14:textId="6788B10C" w:rsidR="008A4E08" w:rsidRPr="00AF3402" w:rsidRDefault="008A4E08" w:rsidP="00AF3402">
      <w:pPr>
        <w:spacing w:line="264" w:lineRule="auto"/>
        <w:jc w:val="both"/>
        <w:rPr>
          <w:rFonts w:asciiTheme="minorHAnsi" w:hAnsiTheme="minorHAnsi" w:cstheme="minorHAnsi"/>
          <w:b w:val="0"/>
          <w:color w:val="000000" w:themeColor="text1"/>
          <w:sz w:val="21"/>
          <w:szCs w:val="21"/>
        </w:rPr>
      </w:pPr>
      <w:r w:rsidRPr="00AF3402">
        <w:rPr>
          <w:rFonts w:asciiTheme="minorHAnsi" w:hAnsiTheme="minorHAnsi" w:cstheme="minorHAnsi"/>
          <w:b w:val="0"/>
          <w:color w:val="auto"/>
          <w:sz w:val="21"/>
          <w:szCs w:val="21"/>
          <w:u w:val="none"/>
        </w:rPr>
        <w:t xml:space="preserve">Throughout 2018, there was growing feminist activism by individuals and groups such as the </w:t>
      </w:r>
      <w:r w:rsidR="00C966B2" w:rsidRPr="00C966B2">
        <w:rPr>
          <w:rFonts w:asciiTheme="minorHAnsi" w:hAnsiTheme="minorHAnsi" w:cstheme="minorHAnsi"/>
          <w:b w:val="0"/>
          <w:i/>
          <w:color w:val="auto"/>
          <w:sz w:val="21"/>
          <w:szCs w:val="21"/>
          <w:u w:val="none"/>
        </w:rPr>
        <w:t>Grupu Feminista</w:t>
      </w:r>
      <w:r w:rsidRPr="00AF3402">
        <w:rPr>
          <w:rFonts w:asciiTheme="minorHAnsi" w:hAnsiTheme="minorHAnsi" w:cstheme="minorHAnsi"/>
          <w:b w:val="0"/>
          <w:color w:val="auto"/>
          <w:sz w:val="21"/>
          <w:szCs w:val="21"/>
          <w:u w:val="none"/>
        </w:rPr>
        <w:t>. Young Timorese women and men, many who are graduates of Nabilan’s Certificate III in Social Services Course, are increasingly taking public action to promote gender equality and end</w:t>
      </w:r>
      <w:r w:rsidR="00BD709E" w:rsidRPr="00AF3402">
        <w:rPr>
          <w:rFonts w:asciiTheme="minorHAnsi" w:hAnsiTheme="minorHAnsi" w:cstheme="minorHAnsi"/>
          <w:b w:val="0"/>
          <w:color w:val="000000" w:themeColor="text1"/>
          <w:sz w:val="21"/>
          <w:szCs w:val="21"/>
          <w:u w:val="none"/>
        </w:rPr>
        <w:t xml:space="preserve"> </w:t>
      </w:r>
      <w:r w:rsidRPr="00AF3402">
        <w:rPr>
          <w:rFonts w:asciiTheme="minorHAnsi" w:hAnsiTheme="minorHAnsi" w:cstheme="minorHAnsi"/>
          <w:b w:val="0"/>
          <w:color w:val="auto"/>
          <w:sz w:val="21"/>
          <w:szCs w:val="21"/>
          <w:u w:val="none"/>
        </w:rPr>
        <w:t>discrimination against all marginalised groups. Using social media and public events, including over the 16 Days of Activism Against Gender-Based Violence, these individuals and groups are contributing to a change in social norms in Timor-Leste.</w:t>
      </w:r>
      <w:r w:rsidRPr="00AF3402">
        <w:rPr>
          <w:rFonts w:asciiTheme="minorHAnsi" w:hAnsiTheme="minorHAnsi" w:cstheme="minorHAnsi"/>
          <w:b w:val="0"/>
          <w:color w:val="000000" w:themeColor="text1"/>
          <w:sz w:val="21"/>
          <w:szCs w:val="21"/>
        </w:rPr>
        <w:t xml:space="preserve"> </w:t>
      </w:r>
    </w:p>
    <w:p w14:paraId="56D236ED" w14:textId="77777777" w:rsidR="008A4E08" w:rsidRPr="00AF3402" w:rsidRDefault="008A4E08" w:rsidP="00705BD3">
      <w:pPr>
        <w:pStyle w:val="Heading2"/>
        <w:spacing w:line="264" w:lineRule="auto"/>
        <w:rPr>
          <w:sz w:val="21"/>
          <w:szCs w:val="21"/>
        </w:rPr>
      </w:pPr>
      <w:bookmarkStart w:id="40" w:name="_Toc425341"/>
      <w:bookmarkStart w:id="41" w:name="_Toc437963"/>
      <w:bookmarkStart w:id="42" w:name="_Toc1902708"/>
      <w:bookmarkStart w:id="43" w:name="_Toc1994624"/>
      <w:bookmarkStart w:id="44" w:name="_Toc1999845"/>
      <w:bookmarkStart w:id="45" w:name="_Toc2019642"/>
      <w:r w:rsidRPr="00AF3402">
        <w:rPr>
          <w:sz w:val="21"/>
          <w:szCs w:val="21"/>
        </w:rPr>
        <w:t>Relevance of Nabilan</w:t>
      </w:r>
      <w:bookmarkEnd w:id="40"/>
      <w:bookmarkEnd w:id="41"/>
      <w:bookmarkEnd w:id="42"/>
      <w:bookmarkEnd w:id="43"/>
      <w:bookmarkEnd w:id="44"/>
      <w:bookmarkEnd w:id="45"/>
    </w:p>
    <w:p w14:paraId="5AECB199" w14:textId="00B1BC37" w:rsidR="008A4E08" w:rsidRPr="00AF3402" w:rsidRDefault="008A4E08" w:rsidP="00AF3402">
      <w:pPr>
        <w:spacing w:line="264" w:lineRule="auto"/>
        <w:jc w:val="both"/>
        <w:rPr>
          <w:rFonts w:asciiTheme="minorHAnsi" w:hAnsiTheme="minorHAnsi" w:cstheme="minorHAnsi"/>
          <w:b w:val="0"/>
          <w:color w:val="auto"/>
          <w:sz w:val="21"/>
          <w:szCs w:val="21"/>
          <w:u w:val="none"/>
        </w:rPr>
      </w:pPr>
      <w:r w:rsidRPr="00AF3402">
        <w:rPr>
          <w:rFonts w:asciiTheme="minorHAnsi" w:hAnsiTheme="minorHAnsi" w:cstheme="minorHAnsi"/>
          <w:b w:val="0"/>
          <w:color w:val="auto"/>
          <w:sz w:val="21"/>
          <w:szCs w:val="21"/>
          <w:u w:val="none"/>
        </w:rPr>
        <w:t>Nabilan remains extremely relevant to the agenda of GoTL, supporting it to achieve the goals in the Strategic Development Plan</w:t>
      </w:r>
      <w:r w:rsidR="003122E6" w:rsidRPr="00AF3402">
        <w:rPr>
          <w:rFonts w:asciiTheme="minorHAnsi" w:hAnsiTheme="minorHAnsi" w:cstheme="minorHAnsi"/>
          <w:b w:val="0"/>
          <w:color w:val="auto"/>
          <w:sz w:val="21"/>
          <w:szCs w:val="21"/>
          <w:u w:val="none"/>
        </w:rPr>
        <w:t xml:space="preserve"> 2011-2030</w:t>
      </w:r>
      <w:r w:rsidRPr="00AF3402">
        <w:rPr>
          <w:rFonts w:asciiTheme="minorHAnsi" w:hAnsiTheme="minorHAnsi" w:cstheme="minorHAnsi"/>
          <w:b w:val="0"/>
          <w:color w:val="auto"/>
          <w:sz w:val="21"/>
          <w:szCs w:val="21"/>
          <w:u w:val="none"/>
        </w:rPr>
        <w:t xml:space="preserve">, </w:t>
      </w:r>
      <w:r w:rsidR="003122E6" w:rsidRPr="00AF3402">
        <w:rPr>
          <w:rFonts w:asciiTheme="minorHAnsi" w:hAnsiTheme="minorHAnsi" w:cstheme="minorHAnsi"/>
          <w:b w:val="0"/>
          <w:color w:val="auto"/>
          <w:sz w:val="21"/>
          <w:szCs w:val="21"/>
          <w:u w:val="none"/>
        </w:rPr>
        <w:t xml:space="preserve">through </w:t>
      </w:r>
      <w:r w:rsidRPr="00AF3402">
        <w:rPr>
          <w:rFonts w:asciiTheme="minorHAnsi" w:hAnsiTheme="minorHAnsi" w:cstheme="minorHAnsi"/>
          <w:b w:val="0"/>
          <w:color w:val="auto"/>
          <w:sz w:val="21"/>
          <w:szCs w:val="21"/>
          <w:u w:val="none"/>
        </w:rPr>
        <w:t>its focus on gender equality, combating domestic violence, vulnerable people and families, and vulnerable children. Nabilan is also relevant to the program of the 8th Constitutional Government, the NAP-GBV</w:t>
      </w:r>
      <w:r w:rsidR="00BD709E" w:rsidRPr="00AF3402">
        <w:rPr>
          <w:rFonts w:asciiTheme="minorHAnsi" w:hAnsiTheme="minorHAnsi" w:cstheme="minorHAnsi"/>
          <w:b w:val="0"/>
          <w:color w:val="auto"/>
          <w:sz w:val="21"/>
          <w:szCs w:val="21"/>
          <w:u w:val="none"/>
        </w:rPr>
        <w:t xml:space="preserve"> </w:t>
      </w:r>
      <w:r w:rsidR="003122E6" w:rsidRPr="00AF3402">
        <w:rPr>
          <w:rFonts w:asciiTheme="minorHAnsi" w:hAnsiTheme="minorHAnsi" w:cstheme="minorHAnsi"/>
          <w:b w:val="0"/>
          <w:color w:val="auto"/>
          <w:sz w:val="21"/>
          <w:szCs w:val="21"/>
          <w:u w:val="none"/>
        </w:rPr>
        <w:t>2017-2021,</w:t>
      </w:r>
      <w:r w:rsidRPr="00AF3402">
        <w:rPr>
          <w:rFonts w:asciiTheme="minorHAnsi" w:hAnsiTheme="minorHAnsi" w:cstheme="minorHAnsi"/>
          <w:b w:val="0"/>
          <w:color w:val="auto"/>
          <w:sz w:val="21"/>
          <w:szCs w:val="21"/>
          <w:u w:val="none"/>
        </w:rPr>
        <w:t xml:space="preserve"> and the Sustainable Development Goals. Nabilan remains relevant to the objectives of Australia’s aid program, as expressed in Australia’s Foreign Policy White Paper, which emphasises advancing human rights and gender equality</w:t>
      </w:r>
      <w:r w:rsidR="003122E6" w:rsidRPr="00AF3402">
        <w:rPr>
          <w:rFonts w:asciiTheme="minorHAnsi" w:hAnsiTheme="minorHAnsi" w:cstheme="minorHAnsi"/>
          <w:b w:val="0"/>
          <w:color w:val="auto"/>
          <w:sz w:val="21"/>
          <w:szCs w:val="21"/>
          <w:u w:val="none"/>
        </w:rPr>
        <w:t>. It is also aligned with</w:t>
      </w:r>
      <w:r w:rsidRPr="00AF3402">
        <w:rPr>
          <w:rFonts w:asciiTheme="minorHAnsi" w:hAnsiTheme="minorHAnsi" w:cstheme="minorHAnsi"/>
          <w:b w:val="0"/>
          <w:color w:val="auto"/>
          <w:sz w:val="21"/>
          <w:szCs w:val="21"/>
          <w:u w:val="none"/>
        </w:rPr>
        <w:t xml:space="preserve"> DFAT’s gender equality and women’s empowerment strategy; and DFAT’s aid investment plan for Timor-Leste 2015/16–2018/19, in particular Objective 2: Advancing Human Development, and the multi-sectoral issue of “Empowering women and girls”. </w:t>
      </w:r>
    </w:p>
    <w:p w14:paraId="7A9E05F9" w14:textId="6877ED4B" w:rsidR="008A4E08" w:rsidRPr="00AF3402" w:rsidRDefault="008A4E08" w:rsidP="00AF3402">
      <w:pPr>
        <w:pStyle w:val="Heading3"/>
        <w:spacing w:before="200" w:line="264" w:lineRule="auto"/>
        <w:jc w:val="both"/>
        <w:rPr>
          <w:rFonts w:asciiTheme="minorHAnsi" w:hAnsiTheme="minorHAnsi" w:cstheme="minorHAnsi"/>
          <w:b w:val="0"/>
          <w:color w:val="auto"/>
          <w:sz w:val="21"/>
          <w:szCs w:val="21"/>
        </w:rPr>
      </w:pPr>
      <w:bookmarkStart w:id="46" w:name="_Toc2019643"/>
      <w:r w:rsidRPr="00AF3402">
        <w:rPr>
          <w:rFonts w:asciiTheme="minorHAnsi" w:hAnsiTheme="minorHAnsi" w:cstheme="minorHAnsi"/>
          <w:b w:val="0"/>
          <w:color w:val="auto"/>
          <w:sz w:val="21"/>
          <w:szCs w:val="21"/>
        </w:rPr>
        <w:t>Additionally, DFAT’s Office of Development Effectiveness (ODE) strategic evaluation of Australia’s development assistance to end violence against women and girls found that the Australian aid program’s focus on support for services and prevention activities, primarily through Nabilan, is appropriate and contextually relevant, and should be continued. The ODE evaluation found that there has been substantial progress in services, and Nabilan represents global best practice in its integrated approach to prevention and violence against women and children (VAWC) services.</w:t>
      </w:r>
      <w:r w:rsidRPr="00AF3402">
        <w:rPr>
          <w:rStyle w:val="FootnoteReference"/>
          <w:rFonts w:asciiTheme="minorHAnsi" w:hAnsiTheme="minorHAnsi" w:cstheme="minorHAnsi"/>
          <w:b w:val="0"/>
          <w:color w:val="000000" w:themeColor="text1"/>
          <w:sz w:val="21"/>
          <w:szCs w:val="21"/>
        </w:rPr>
        <w:footnoteReference w:id="4"/>
      </w:r>
      <w:bookmarkEnd w:id="46"/>
      <w:r w:rsidRPr="00AF3402">
        <w:rPr>
          <w:rFonts w:asciiTheme="minorHAnsi" w:hAnsiTheme="minorHAnsi" w:cstheme="minorHAnsi"/>
          <w:b w:val="0"/>
          <w:color w:val="auto"/>
          <w:sz w:val="21"/>
          <w:szCs w:val="21"/>
        </w:rPr>
        <w:t xml:space="preserve"> </w:t>
      </w:r>
    </w:p>
    <w:p w14:paraId="59920F0B" w14:textId="7A6BB00E" w:rsidR="008A4E08" w:rsidRPr="00AF3402" w:rsidRDefault="008A4E08" w:rsidP="00AF3402">
      <w:pPr>
        <w:pStyle w:val="Heading3"/>
        <w:spacing w:before="200" w:line="264" w:lineRule="auto"/>
        <w:jc w:val="both"/>
        <w:rPr>
          <w:rFonts w:asciiTheme="minorHAnsi" w:hAnsiTheme="minorHAnsi" w:cstheme="minorHAnsi"/>
          <w:b w:val="0"/>
          <w:color w:val="auto"/>
          <w:sz w:val="21"/>
          <w:szCs w:val="21"/>
        </w:rPr>
      </w:pPr>
      <w:bookmarkStart w:id="47" w:name="_Toc2019644"/>
      <w:r w:rsidRPr="00AF3402">
        <w:rPr>
          <w:rFonts w:asciiTheme="minorHAnsi" w:hAnsiTheme="minorHAnsi" w:cstheme="minorHAnsi"/>
          <w:b w:val="0"/>
          <w:color w:val="auto"/>
          <w:sz w:val="21"/>
          <w:szCs w:val="21"/>
        </w:rPr>
        <w:t>Violence against women and children remains one of the biggest development challenges in Timor</w:t>
      </w:r>
      <w:r w:rsidRPr="00AF3402">
        <w:rPr>
          <w:rFonts w:asciiTheme="minorHAnsi" w:hAnsiTheme="minorHAnsi" w:cstheme="minorHAnsi"/>
          <w:b w:val="0"/>
          <w:color w:val="auto"/>
          <w:sz w:val="21"/>
          <w:szCs w:val="21"/>
        </w:rPr>
        <w:noBreakHyphen/>
        <w:t>Leste. In their lifetimes, most women in Timor-Leste experience some form of physical, sexual, emotional, or economic violence by an intimate partner. Women’s experiences of intimate partner violence are frequent and severe, and women rarely leave these violent relationships.</w:t>
      </w:r>
      <w:r w:rsidRPr="005E4703">
        <w:rPr>
          <w:rFonts w:asciiTheme="minorHAnsi" w:hAnsiTheme="minorHAnsi" w:cstheme="minorHAnsi"/>
          <w:b w:val="0"/>
          <w:color w:val="auto"/>
          <w:sz w:val="21"/>
          <w:szCs w:val="21"/>
          <w:vertAlign w:val="superscript"/>
        </w:rPr>
        <w:footnoteReference w:id="5"/>
      </w:r>
      <w:r w:rsidRPr="00561430">
        <w:rPr>
          <w:rFonts w:asciiTheme="minorHAnsi" w:hAnsiTheme="minorHAnsi" w:cstheme="minorHAnsi"/>
          <w:b w:val="0"/>
          <w:color w:val="auto"/>
          <w:sz w:val="21"/>
          <w:szCs w:val="21"/>
        </w:rPr>
        <w:t xml:space="preserve"> </w:t>
      </w:r>
      <w:r w:rsidRPr="00AF3402">
        <w:rPr>
          <w:rFonts w:asciiTheme="minorHAnsi" w:hAnsiTheme="minorHAnsi" w:cstheme="minorHAnsi"/>
          <w:b w:val="0"/>
          <w:color w:val="auto"/>
          <w:sz w:val="21"/>
          <w:szCs w:val="21"/>
        </w:rPr>
        <w:t xml:space="preserve">The </w:t>
      </w:r>
      <w:r w:rsidR="00BD709E" w:rsidRPr="00AF3402">
        <w:rPr>
          <w:rFonts w:asciiTheme="minorHAnsi" w:hAnsiTheme="minorHAnsi" w:cstheme="minorHAnsi"/>
          <w:b w:val="0"/>
          <w:color w:val="auto"/>
          <w:sz w:val="21"/>
          <w:szCs w:val="21"/>
        </w:rPr>
        <w:t xml:space="preserve">GoTL </w:t>
      </w:r>
      <w:r w:rsidRPr="00AF3402">
        <w:rPr>
          <w:rFonts w:asciiTheme="minorHAnsi" w:hAnsiTheme="minorHAnsi" w:cstheme="minorHAnsi"/>
          <w:b w:val="0"/>
          <w:color w:val="auto"/>
          <w:sz w:val="21"/>
          <w:szCs w:val="21"/>
        </w:rPr>
        <w:t>remains committed to reducing violence against women, through the NAP-GBV 2017</w:t>
      </w:r>
      <w:r w:rsidRPr="00AF3402">
        <w:rPr>
          <w:rFonts w:asciiTheme="minorHAnsi" w:hAnsiTheme="minorHAnsi" w:cstheme="minorHAnsi"/>
          <w:b w:val="0"/>
          <w:color w:val="auto"/>
          <w:sz w:val="21"/>
          <w:szCs w:val="21"/>
        </w:rPr>
        <w:noBreakHyphen/>
        <w:t>21, and has a strong legislative and policy framework for addressing violence against women and children.</w:t>
      </w:r>
      <w:bookmarkEnd w:id="47"/>
    </w:p>
    <w:p w14:paraId="534A624C" w14:textId="4738631D" w:rsidR="00E2015B" w:rsidRPr="00705BD3" w:rsidRDefault="008A4E08" w:rsidP="00705BD3">
      <w:pPr>
        <w:pStyle w:val="Heading3"/>
        <w:spacing w:before="200" w:line="264" w:lineRule="auto"/>
        <w:jc w:val="both"/>
        <w:rPr>
          <w:rFonts w:asciiTheme="minorHAnsi" w:hAnsiTheme="minorHAnsi" w:cstheme="minorHAnsi"/>
          <w:b w:val="0"/>
          <w:color w:val="auto"/>
          <w:sz w:val="21"/>
          <w:szCs w:val="21"/>
        </w:rPr>
      </w:pPr>
      <w:bookmarkStart w:id="48" w:name="_Toc2019645"/>
      <w:r w:rsidRPr="00AF3402">
        <w:rPr>
          <w:rFonts w:asciiTheme="minorHAnsi" w:hAnsiTheme="minorHAnsi" w:cstheme="minorHAnsi"/>
          <w:b w:val="0"/>
          <w:color w:val="auto"/>
          <w:sz w:val="21"/>
          <w:szCs w:val="21"/>
        </w:rPr>
        <w:t xml:space="preserve">Nabilan remains the single biggest gender program in Timor-Leste. It funds half of all shelters, the only women’s legal aid organisation, and one-stop crisis centres for victims of violence. Nabilan has also been leading primary prevention activities, and the push for a broader social norms change approach to violence prevention. Nabilan’s pilot community-based intervention in Suku Letefoho, Manufahi, is the first adaptation of SASA! </w:t>
      </w:r>
      <w:r w:rsidR="00FB2298" w:rsidRPr="00AF3402">
        <w:rPr>
          <w:rFonts w:asciiTheme="minorHAnsi" w:hAnsiTheme="minorHAnsi" w:cstheme="minorHAnsi"/>
          <w:b w:val="0"/>
          <w:color w:val="auto"/>
          <w:sz w:val="21"/>
          <w:szCs w:val="21"/>
        </w:rPr>
        <w:t>in Timor-Leste.</w:t>
      </w:r>
      <w:r w:rsidR="00D22C15" w:rsidRPr="00BD709E">
        <w:rPr>
          <w:rFonts w:asciiTheme="minorHAnsi" w:hAnsiTheme="minorHAnsi" w:cstheme="minorHAnsi"/>
          <w:b w:val="0"/>
          <w:color w:val="auto"/>
          <w:vertAlign w:val="superscript"/>
        </w:rPr>
        <w:footnoteReference w:id="6"/>
      </w:r>
      <w:r w:rsidR="00FB2298" w:rsidRPr="00AF3402">
        <w:rPr>
          <w:rFonts w:asciiTheme="minorHAnsi" w:hAnsiTheme="minorHAnsi" w:cstheme="minorHAnsi"/>
          <w:b w:val="0"/>
          <w:color w:val="auto"/>
          <w:sz w:val="21"/>
          <w:szCs w:val="21"/>
        </w:rPr>
        <w:t xml:space="preserve"> Nabilan’s evidence-based approach to prevention has already been adopted by other agencies.</w:t>
      </w:r>
      <w:bookmarkStart w:id="49" w:name="_Toc425342"/>
      <w:bookmarkStart w:id="50" w:name="_Toc365456376"/>
      <w:bookmarkStart w:id="51" w:name="_Toc365640174"/>
      <w:bookmarkStart w:id="52" w:name="_Toc365884708"/>
      <w:bookmarkStart w:id="53" w:name="_Toc365884876"/>
      <w:bookmarkStart w:id="54" w:name="_Toc365885096"/>
      <w:bookmarkEnd w:id="48"/>
      <w:r w:rsidR="00FB2298" w:rsidRPr="00AF3402">
        <w:rPr>
          <w:rFonts w:asciiTheme="minorHAnsi" w:hAnsiTheme="minorHAnsi" w:cstheme="minorHAnsi"/>
          <w:b w:val="0"/>
          <w:color w:val="auto"/>
          <w:sz w:val="21"/>
          <w:szCs w:val="21"/>
        </w:rPr>
        <w:t xml:space="preserve"> </w:t>
      </w:r>
    </w:p>
    <w:p w14:paraId="52AE8AFE" w14:textId="14189CC0" w:rsidR="00FB2298" w:rsidRPr="00D22C15" w:rsidRDefault="00FB2298" w:rsidP="00D22C15">
      <w:pPr>
        <w:pStyle w:val="Heading2"/>
        <w:spacing w:line="264" w:lineRule="auto"/>
        <w:rPr>
          <w:sz w:val="21"/>
          <w:szCs w:val="21"/>
        </w:rPr>
      </w:pPr>
      <w:bookmarkStart w:id="55" w:name="_Toc437964"/>
      <w:bookmarkStart w:id="56" w:name="_Toc1902709"/>
      <w:bookmarkStart w:id="57" w:name="_Toc1994625"/>
      <w:bookmarkStart w:id="58" w:name="_Toc1999846"/>
      <w:bookmarkStart w:id="59" w:name="_Toc2019646"/>
      <w:r w:rsidRPr="00AF3402">
        <w:rPr>
          <w:sz w:val="21"/>
          <w:szCs w:val="21"/>
        </w:rPr>
        <w:t>Monitoring and Evaluation (M&amp;E)</w:t>
      </w:r>
      <w:bookmarkEnd w:id="49"/>
      <w:bookmarkEnd w:id="55"/>
      <w:bookmarkEnd w:id="56"/>
      <w:bookmarkEnd w:id="57"/>
      <w:bookmarkEnd w:id="58"/>
      <w:bookmarkEnd w:id="59"/>
    </w:p>
    <w:p w14:paraId="137544FD" w14:textId="45476D64" w:rsidR="00771933" w:rsidRPr="00AF3402" w:rsidRDefault="00FB2298" w:rsidP="00AF3402">
      <w:pPr>
        <w:spacing w:line="264" w:lineRule="auto"/>
        <w:jc w:val="both"/>
        <w:rPr>
          <w:rFonts w:asciiTheme="minorHAnsi" w:hAnsiTheme="minorHAnsi" w:cstheme="minorHAnsi"/>
          <w:b w:val="0"/>
          <w:color w:val="auto"/>
          <w:sz w:val="21"/>
          <w:szCs w:val="21"/>
          <w:u w:val="none"/>
        </w:rPr>
      </w:pPr>
      <w:r w:rsidRPr="00AF3402">
        <w:rPr>
          <w:rFonts w:asciiTheme="minorHAnsi" w:hAnsiTheme="minorHAnsi" w:cstheme="minorHAnsi"/>
          <w:b w:val="0"/>
          <w:color w:val="auto"/>
          <w:sz w:val="21"/>
          <w:szCs w:val="21"/>
          <w:u w:val="none"/>
        </w:rPr>
        <w:t>Nabilan’s new Theory of Change (ToC)</w:t>
      </w:r>
      <w:r w:rsidR="003E1562" w:rsidRPr="00AF3402">
        <w:rPr>
          <w:rFonts w:asciiTheme="minorHAnsi" w:hAnsiTheme="minorHAnsi" w:cstheme="minorHAnsi"/>
          <w:b w:val="0"/>
          <w:color w:val="auto"/>
          <w:sz w:val="21"/>
          <w:szCs w:val="21"/>
          <w:u w:val="none"/>
        </w:rPr>
        <w:t xml:space="preserve"> </w:t>
      </w:r>
      <w:r w:rsidRPr="00AF3402">
        <w:rPr>
          <w:rFonts w:asciiTheme="minorHAnsi" w:hAnsiTheme="minorHAnsi" w:cstheme="minorHAnsi"/>
          <w:b w:val="0"/>
          <w:color w:val="auto"/>
          <w:sz w:val="21"/>
          <w:szCs w:val="21"/>
          <w:u w:val="none"/>
        </w:rPr>
        <w:t xml:space="preserve">and Monitoring, Evaluation and Learning Plan (MELP) for Phase 2 </w:t>
      </w:r>
      <w:r w:rsidR="008A4E08" w:rsidRPr="00AF3402">
        <w:rPr>
          <w:rFonts w:asciiTheme="minorHAnsi" w:hAnsiTheme="minorHAnsi" w:cstheme="minorHAnsi"/>
          <w:b w:val="0"/>
          <w:color w:val="auto"/>
          <w:sz w:val="21"/>
          <w:szCs w:val="21"/>
          <w:u w:val="none"/>
        </w:rPr>
        <w:t xml:space="preserve">were </w:t>
      </w:r>
      <w:r w:rsidRPr="00AF3402">
        <w:rPr>
          <w:rFonts w:asciiTheme="minorHAnsi" w:hAnsiTheme="minorHAnsi" w:cstheme="minorHAnsi"/>
          <w:b w:val="0"/>
          <w:color w:val="auto"/>
          <w:sz w:val="21"/>
          <w:szCs w:val="21"/>
          <w:u w:val="none"/>
        </w:rPr>
        <w:t>developed during this reporting period.</w:t>
      </w:r>
      <w:r w:rsidR="00102CC0" w:rsidRPr="00AF3402">
        <w:rPr>
          <w:rFonts w:asciiTheme="minorHAnsi" w:hAnsiTheme="minorHAnsi" w:cstheme="minorHAnsi"/>
          <w:b w:val="0"/>
          <w:color w:val="auto"/>
          <w:sz w:val="21"/>
          <w:szCs w:val="21"/>
          <w:u w:val="none"/>
        </w:rPr>
        <w:t xml:space="preserve"> </w:t>
      </w:r>
      <w:r w:rsidR="00A55445" w:rsidRPr="00705BD3">
        <w:rPr>
          <w:rFonts w:asciiTheme="minorHAnsi" w:hAnsiTheme="minorHAnsi" w:cstheme="minorHAnsi"/>
          <w:b w:val="0"/>
          <w:color w:val="auto"/>
          <w:sz w:val="21"/>
          <w:szCs w:val="21"/>
          <w:u w:val="none"/>
        </w:rPr>
        <w:t xml:space="preserve">The MELP documents the system that Nabilan will use to provide evidence, learning and improvements to its program. </w:t>
      </w:r>
      <w:r w:rsidR="00771933" w:rsidRPr="00AF3402">
        <w:rPr>
          <w:rFonts w:asciiTheme="minorHAnsi" w:hAnsiTheme="minorHAnsi" w:cstheme="minorHAnsi"/>
          <w:b w:val="0"/>
          <w:color w:val="auto"/>
          <w:sz w:val="21"/>
          <w:szCs w:val="21"/>
          <w:u w:val="none"/>
        </w:rPr>
        <w:t>The MELP will also assist Nabilan to contribute to the Australia</w:t>
      </w:r>
      <w:r w:rsidR="00B661D1">
        <w:rPr>
          <w:rFonts w:asciiTheme="minorHAnsi" w:hAnsiTheme="minorHAnsi" w:cstheme="minorHAnsi"/>
          <w:b w:val="0"/>
          <w:color w:val="auto"/>
          <w:sz w:val="21"/>
          <w:szCs w:val="21"/>
          <w:u w:val="none"/>
        </w:rPr>
        <w:t xml:space="preserve"> Timor-</w:t>
      </w:r>
      <w:r w:rsidR="006D35CB">
        <w:rPr>
          <w:rFonts w:asciiTheme="minorHAnsi" w:hAnsiTheme="minorHAnsi" w:cstheme="minorHAnsi"/>
          <w:b w:val="0"/>
          <w:color w:val="auto"/>
          <w:sz w:val="21"/>
          <w:szCs w:val="21"/>
          <w:u w:val="none"/>
        </w:rPr>
        <w:t>Leste</w:t>
      </w:r>
      <w:r w:rsidR="00B661D1">
        <w:rPr>
          <w:rFonts w:asciiTheme="minorHAnsi" w:hAnsiTheme="minorHAnsi" w:cstheme="minorHAnsi"/>
          <w:b w:val="0"/>
          <w:color w:val="auto"/>
          <w:sz w:val="21"/>
          <w:szCs w:val="21"/>
          <w:u w:val="none"/>
        </w:rPr>
        <w:t xml:space="preserve"> Bilateral Development Program</w:t>
      </w:r>
      <w:r w:rsidR="00771933" w:rsidRPr="00AF3402">
        <w:rPr>
          <w:rFonts w:asciiTheme="minorHAnsi" w:hAnsiTheme="minorHAnsi" w:cstheme="minorHAnsi"/>
          <w:b w:val="0"/>
          <w:color w:val="auto"/>
          <w:sz w:val="21"/>
          <w:szCs w:val="21"/>
          <w:u w:val="none"/>
        </w:rPr>
        <w:t xml:space="preserve"> Performance Assessment Framework and to report against </w:t>
      </w:r>
      <w:r w:rsidR="00626FCA" w:rsidRPr="00AF3402">
        <w:rPr>
          <w:rFonts w:asciiTheme="minorHAnsi" w:hAnsiTheme="minorHAnsi" w:cstheme="minorHAnsi"/>
          <w:b w:val="0"/>
          <w:color w:val="auto"/>
          <w:sz w:val="21"/>
          <w:szCs w:val="21"/>
          <w:u w:val="none"/>
        </w:rPr>
        <w:t>n</w:t>
      </w:r>
      <w:r w:rsidR="00626FCA">
        <w:rPr>
          <w:rFonts w:asciiTheme="minorHAnsi" w:hAnsiTheme="minorHAnsi" w:cstheme="minorHAnsi"/>
          <w:b w:val="0"/>
          <w:color w:val="auto"/>
          <w:sz w:val="21"/>
          <w:szCs w:val="21"/>
          <w:u w:val="none"/>
        </w:rPr>
        <w:t>i</w:t>
      </w:r>
      <w:r w:rsidR="00626FCA" w:rsidRPr="00AF3402">
        <w:rPr>
          <w:rFonts w:asciiTheme="minorHAnsi" w:hAnsiTheme="minorHAnsi" w:cstheme="minorHAnsi"/>
          <w:b w:val="0"/>
          <w:color w:val="auto"/>
          <w:sz w:val="21"/>
          <w:szCs w:val="21"/>
          <w:u w:val="none"/>
        </w:rPr>
        <w:t xml:space="preserve">ne </w:t>
      </w:r>
      <w:r w:rsidR="00771933" w:rsidRPr="00AF3402">
        <w:rPr>
          <w:rFonts w:asciiTheme="minorHAnsi" w:hAnsiTheme="minorHAnsi" w:cstheme="minorHAnsi"/>
          <w:b w:val="0"/>
          <w:color w:val="auto"/>
          <w:sz w:val="21"/>
          <w:szCs w:val="21"/>
          <w:u w:val="none"/>
        </w:rPr>
        <w:t>out of 19 indicators, as detailed below.</w:t>
      </w:r>
      <w:r w:rsidR="000B1FDE" w:rsidRPr="00AF3402">
        <w:rPr>
          <w:rFonts w:asciiTheme="minorHAnsi" w:hAnsiTheme="minorHAnsi" w:cstheme="minorHAnsi"/>
          <w:b w:val="0"/>
          <w:color w:val="auto"/>
          <w:sz w:val="21"/>
          <w:szCs w:val="21"/>
          <w:u w:val="none"/>
        </w:rPr>
        <w:t xml:space="preserve"> </w:t>
      </w: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979"/>
        <w:gridCol w:w="2920"/>
        <w:gridCol w:w="983"/>
        <w:gridCol w:w="4473"/>
      </w:tblGrid>
      <w:tr w:rsidR="000B1FDE" w:rsidRPr="00AF3402" w14:paraId="545C5107" w14:textId="77777777" w:rsidTr="00705BD3">
        <w:trPr>
          <w:trHeight w:val="548"/>
        </w:trPr>
        <w:tc>
          <w:tcPr>
            <w:tcW w:w="979" w:type="dxa"/>
            <w:tcBorders>
              <w:top w:val="nil"/>
              <w:bottom w:val="nil"/>
            </w:tcBorders>
            <w:shd w:val="clear" w:color="auto" w:fill="69A2B0"/>
          </w:tcPr>
          <w:p w14:paraId="26A46EC8" w14:textId="5F780F61" w:rsidR="00771933" w:rsidRPr="00705BD3" w:rsidRDefault="00771933" w:rsidP="00705BD3">
            <w:pPr>
              <w:spacing w:line="264" w:lineRule="auto"/>
              <w:jc w:val="both"/>
              <w:rPr>
                <w:rFonts w:asciiTheme="minorHAnsi" w:hAnsiTheme="minorHAnsi" w:cstheme="minorHAnsi"/>
                <w:color w:val="FFFFFF" w:themeColor="background1"/>
                <w:sz w:val="16"/>
                <w:szCs w:val="16"/>
                <w:u w:val="none"/>
              </w:rPr>
            </w:pPr>
            <w:r w:rsidRPr="00705BD3">
              <w:rPr>
                <w:rFonts w:asciiTheme="minorHAnsi" w:hAnsiTheme="minorHAnsi" w:cstheme="minorHAnsi"/>
                <w:color w:val="FFFFFF" w:themeColor="background1"/>
                <w:sz w:val="16"/>
                <w:szCs w:val="16"/>
                <w:u w:val="none"/>
              </w:rPr>
              <w:t>Strategic Themes</w:t>
            </w:r>
          </w:p>
        </w:tc>
        <w:tc>
          <w:tcPr>
            <w:tcW w:w="2920" w:type="dxa"/>
            <w:tcBorders>
              <w:top w:val="nil"/>
              <w:bottom w:val="nil"/>
            </w:tcBorders>
            <w:shd w:val="clear" w:color="auto" w:fill="69A2B0"/>
          </w:tcPr>
          <w:p w14:paraId="0D3AAC07" w14:textId="2B9FE774" w:rsidR="00771933" w:rsidRPr="00705BD3" w:rsidRDefault="00771933" w:rsidP="00705BD3">
            <w:pPr>
              <w:spacing w:line="264" w:lineRule="auto"/>
              <w:jc w:val="both"/>
              <w:rPr>
                <w:rFonts w:asciiTheme="minorHAnsi" w:hAnsiTheme="minorHAnsi" w:cstheme="minorHAnsi"/>
                <w:color w:val="FFFFFF" w:themeColor="background1"/>
                <w:sz w:val="16"/>
                <w:szCs w:val="16"/>
                <w:u w:val="none"/>
              </w:rPr>
            </w:pPr>
            <w:r w:rsidRPr="00705BD3">
              <w:rPr>
                <w:rFonts w:asciiTheme="minorHAnsi" w:hAnsiTheme="minorHAnsi" w:cstheme="minorHAnsi"/>
                <w:color w:val="FFFFFF" w:themeColor="background1"/>
                <w:sz w:val="16"/>
                <w:szCs w:val="16"/>
                <w:u w:val="none"/>
              </w:rPr>
              <w:t>Outcome</w:t>
            </w:r>
          </w:p>
        </w:tc>
        <w:tc>
          <w:tcPr>
            <w:tcW w:w="983" w:type="dxa"/>
            <w:tcBorders>
              <w:top w:val="nil"/>
              <w:bottom w:val="nil"/>
            </w:tcBorders>
            <w:shd w:val="clear" w:color="auto" w:fill="69A2B0"/>
          </w:tcPr>
          <w:p w14:paraId="1EE632F4" w14:textId="0B26E675" w:rsidR="00771933" w:rsidRPr="00705BD3" w:rsidRDefault="00771933" w:rsidP="00705BD3">
            <w:pPr>
              <w:spacing w:line="264" w:lineRule="auto"/>
              <w:jc w:val="both"/>
              <w:rPr>
                <w:rFonts w:asciiTheme="minorHAnsi" w:hAnsiTheme="minorHAnsi" w:cstheme="minorHAnsi"/>
                <w:color w:val="FFFFFF" w:themeColor="background1"/>
                <w:sz w:val="16"/>
                <w:szCs w:val="16"/>
                <w:u w:val="none"/>
              </w:rPr>
            </w:pPr>
            <w:r w:rsidRPr="00705BD3">
              <w:rPr>
                <w:rFonts w:asciiTheme="minorHAnsi" w:hAnsiTheme="minorHAnsi" w:cstheme="minorHAnsi"/>
                <w:color w:val="FFFFFF" w:themeColor="background1"/>
                <w:sz w:val="16"/>
                <w:szCs w:val="16"/>
                <w:u w:val="none"/>
              </w:rPr>
              <w:t>PAF Indicator #</w:t>
            </w:r>
          </w:p>
        </w:tc>
        <w:tc>
          <w:tcPr>
            <w:tcW w:w="4473" w:type="dxa"/>
            <w:tcBorders>
              <w:top w:val="nil"/>
              <w:bottom w:val="nil"/>
            </w:tcBorders>
            <w:shd w:val="clear" w:color="auto" w:fill="69A2B0"/>
          </w:tcPr>
          <w:p w14:paraId="003D8D24" w14:textId="0BB5EAB9" w:rsidR="00771933" w:rsidRPr="00705BD3" w:rsidRDefault="00771933" w:rsidP="00705BD3">
            <w:pPr>
              <w:spacing w:line="264" w:lineRule="auto"/>
              <w:jc w:val="both"/>
              <w:rPr>
                <w:rFonts w:asciiTheme="minorHAnsi" w:hAnsiTheme="minorHAnsi" w:cstheme="minorHAnsi"/>
                <w:color w:val="FFFFFF" w:themeColor="background1"/>
                <w:sz w:val="16"/>
                <w:szCs w:val="16"/>
                <w:u w:val="none"/>
              </w:rPr>
            </w:pPr>
            <w:r w:rsidRPr="00705BD3">
              <w:rPr>
                <w:rFonts w:asciiTheme="minorHAnsi" w:hAnsiTheme="minorHAnsi" w:cstheme="minorHAnsi"/>
                <w:color w:val="FFFFFF" w:themeColor="background1"/>
                <w:sz w:val="16"/>
                <w:szCs w:val="16"/>
                <w:u w:val="none"/>
              </w:rPr>
              <w:t>Indicator</w:t>
            </w:r>
          </w:p>
        </w:tc>
      </w:tr>
      <w:tr w:rsidR="000B1FDE" w:rsidRPr="00AF3402" w14:paraId="1A38E3D6" w14:textId="77777777" w:rsidTr="00705BD3">
        <w:trPr>
          <w:trHeight w:val="362"/>
        </w:trPr>
        <w:tc>
          <w:tcPr>
            <w:tcW w:w="979" w:type="dxa"/>
            <w:vMerge w:val="restart"/>
            <w:tcBorders>
              <w:top w:val="nil"/>
            </w:tcBorders>
          </w:tcPr>
          <w:p w14:paraId="749D6729" w14:textId="66913B9A" w:rsidR="000B1FDE" w:rsidRPr="00705BD3" w:rsidRDefault="000B1FDE" w:rsidP="00AF3402">
            <w:pPr>
              <w:spacing w:line="264" w:lineRule="auto"/>
              <w:jc w:val="both"/>
              <w:rPr>
                <w:rFonts w:asciiTheme="minorHAnsi" w:hAnsiTheme="minorHAnsi" w:cstheme="minorHAnsi"/>
                <w:color w:val="auto"/>
                <w:sz w:val="18"/>
                <w:szCs w:val="18"/>
                <w:u w:val="none"/>
              </w:rPr>
            </w:pPr>
            <w:r w:rsidRPr="00705BD3">
              <w:rPr>
                <w:rFonts w:asciiTheme="minorHAnsi" w:hAnsiTheme="minorHAnsi" w:cstheme="minorHAnsi"/>
                <w:color w:val="auto"/>
                <w:sz w:val="18"/>
                <w:szCs w:val="18"/>
                <w:u w:val="none"/>
              </w:rPr>
              <w:t>People</w:t>
            </w:r>
          </w:p>
        </w:tc>
        <w:tc>
          <w:tcPr>
            <w:tcW w:w="2920" w:type="dxa"/>
            <w:vMerge w:val="restart"/>
            <w:tcBorders>
              <w:top w:val="nil"/>
            </w:tcBorders>
          </w:tcPr>
          <w:p w14:paraId="558B9484" w14:textId="521F9DEB" w:rsidR="000B1FDE" w:rsidRPr="00705BD3" w:rsidRDefault="000B1FDE" w:rsidP="00AF3402">
            <w:pPr>
              <w:spacing w:line="264" w:lineRule="auto"/>
              <w:jc w:val="both"/>
              <w:rPr>
                <w:rFonts w:asciiTheme="minorHAnsi" w:hAnsiTheme="minorHAnsi" w:cstheme="minorHAnsi"/>
                <w:b w:val="0"/>
                <w:color w:val="auto"/>
                <w:sz w:val="18"/>
                <w:szCs w:val="18"/>
                <w:u w:val="none"/>
              </w:rPr>
            </w:pPr>
            <w:r w:rsidRPr="00AF3402">
              <w:rPr>
                <w:rFonts w:asciiTheme="minorHAnsi" w:hAnsiTheme="minorHAnsi" w:cstheme="minorHAnsi"/>
                <w:b w:val="0"/>
                <w:color w:val="auto"/>
                <w:sz w:val="18"/>
                <w:szCs w:val="18"/>
                <w:u w:val="none"/>
              </w:rPr>
              <w:t>Higher quality frontline services</w:t>
            </w:r>
          </w:p>
        </w:tc>
        <w:tc>
          <w:tcPr>
            <w:tcW w:w="983" w:type="dxa"/>
            <w:tcBorders>
              <w:top w:val="nil"/>
              <w:bottom w:val="single" w:sz="4" w:space="0" w:color="477F80" w:themeColor="accent6"/>
            </w:tcBorders>
          </w:tcPr>
          <w:p w14:paraId="66CD7945" w14:textId="55AD0EDF" w:rsidR="000B1FDE" w:rsidRPr="00705BD3" w:rsidRDefault="00D22C15" w:rsidP="00AF3402">
            <w:pPr>
              <w:spacing w:line="264" w:lineRule="auto"/>
              <w:jc w:val="both"/>
              <w:rPr>
                <w:rFonts w:asciiTheme="minorHAnsi" w:hAnsiTheme="minorHAnsi" w:cstheme="minorHAnsi"/>
                <w:b w:val="0"/>
                <w:color w:val="auto"/>
                <w:sz w:val="18"/>
                <w:szCs w:val="18"/>
                <w:u w:val="none"/>
              </w:rPr>
            </w:pPr>
            <w:r>
              <w:rPr>
                <w:rFonts w:asciiTheme="minorHAnsi" w:hAnsiTheme="minorHAnsi" w:cstheme="minorHAnsi"/>
                <w:b w:val="0"/>
                <w:color w:val="auto"/>
                <w:sz w:val="18"/>
                <w:szCs w:val="18"/>
                <w:u w:val="none"/>
              </w:rPr>
              <w:t>8</w:t>
            </w:r>
          </w:p>
        </w:tc>
        <w:tc>
          <w:tcPr>
            <w:tcW w:w="4473" w:type="dxa"/>
            <w:tcBorders>
              <w:top w:val="nil"/>
              <w:bottom w:val="single" w:sz="4" w:space="0" w:color="477F80" w:themeColor="accent6"/>
            </w:tcBorders>
          </w:tcPr>
          <w:p w14:paraId="73B24CCA" w14:textId="27463D3D" w:rsidR="000B1FDE" w:rsidRPr="00705BD3" w:rsidRDefault="00D22C15" w:rsidP="00AF3402">
            <w:pPr>
              <w:spacing w:line="264" w:lineRule="auto"/>
              <w:jc w:val="both"/>
              <w:rPr>
                <w:rFonts w:asciiTheme="minorHAnsi" w:hAnsiTheme="minorHAnsi" w:cstheme="minorHAnsi"/>
                <w:b w:val="0"/>
                <w:color w:val="auto"/>
                <w:sz w:val="18"/>
                <w:szCs w:val="18"/>
                <w:u w:val="none"/>
              </w:rPr>
            </w:pPr>
            <w:r w:rsidRPr="00D22C15">
              <w:rPr>
                <w:rFonts w:asciiTheme="minorHAnsi" w:hAnsiTheme="minorHAnsi" w:cstheme="minorHAnsi"/>
                <w:b w:val="0"/>
                <w:color w:val="auto"/>
                <w:sz w:val="18"/>
                <w:szCs w:val="18"/>
                <w:u w:val="none"/>
              </w:rPr>
              <w:t>Instances of improved systems for service delivery</w:t>
            </w:r>
          </w:p>
        </w:tc>
      </w:tr>
      <w:tr w:rsidR="000B1FDE" w:rsidRPr="00AF3402" w14:paraId="563FA36F" w14:textId="77777777" w:rsidTr="00705BD3">
        <w:trPr>
          <w:trHeight w:val="617"/>
        </w:trPr>
        <w:tc>
          <w:tcPr>
            <w:tcW w:w="979" w:type="dxa"/>
            <w:vMerge/>
          </w:tcPr>
          <w:p w14:paraId="1389455D" w14:textId="77777777" w:rsidR="000B1FDE" w:rsidRPr="00705BD3" w:rsidRDefault="000B1FDE" w:rsidP="00AF3402">
            <w:pPr>
              <w:spacing w:line="264" w:lineRule="auto"/>
              <w:jc w:val="both"/>
              <w:rPr>
                <w:rFonts w:asciiTheme="minorHAnsi" w:hAnsiTheme="minorHAnsi" w:cstheme="minorHAnsi"/>
                <w:color w:val="auto"/>
                <w:sz w:val="18"/>
                <w:szCs w:val="18"/>
                <w:u w:val="none"/>
              </w:rPr>
            </w:pPr>
          </w:p>
        </w:tc>
        <w:tc>
          <w:tcPr>
            <w:tcW w:w="2920" w:type="dxa"/>
            <w:vMerge/>
          </w:tcPr>
          <w:p w14:paraId="1436B23E" w14:textId="77777777" w:rsidR="000B1FDE" w:rsidRPr="00705BD3" w:rsidRDefault="000B1FDE" w:rsidP="00AF3402">
            <w:pPr>
              <w:spacing w:line="264" w:lineRule="auto"/>
              <w:jc w:val="both"/>
              <w:rPr>
                <w:rFonts w:asciiTheme="minorHAnsi" w:hAnsiTheme="minorHAnsi" w:cstheme="minorHAnsi"/>
                <w:b w:val="0"/>
                <w:color w:val="auto"/>
                <w:sz w:val="18"/>
                <w:szCs w:val="18"/>
                <w:u w:val="none"/>
              </w:rPr>
            </w:pPr>
          </w:p>
        </w:tc>
        <w:tc>
          <w:tcPr>
            <w:tcW w:w="983" w:type="dxa"/>
            <w:tcBorders>
              <w:top w:val="single" w:sz="4" w:space="0" w:color="477F80" w:themeColor="accent6"/>
              <w:bottom w:val="single" w:sz="4" w:space="0" w:color="477F80" w:themeColor="accent6"/>
            </w:tcBorders>
          </w:tcPr>
          <w:p w14:paraId="1160A382" w14:textId="54CE3D68" w:rsidR="000B1FDE" w:rsidRPr="00705BD3" w:rsidRDefault="00D22C15" w:rsidP="00AF3402">
            <w:pPr>
              <w:spacing w:line="264" w:lineRule="auto"/>
              <w:jc w:val="both"/>
              <w:rPr>
                <w:rFonts w:asciiTheme="minorHAnsi" w:hAnsiTheme="minorHAnsi" w:cstheme="minorHAnsi"/>
                <w:b w:val="0"/>
                <w:color w:val="auto"/>
                <w:sz w:val="18"/>
                <w:szCs w:val="18"/>
                <w:u w:val="none"/>
              </w:rPr>
            </w:pPr>
            <w:r>
              <w:rPr>
                <w:rFonts w:asciiTheme="minorHAnsi" w:hAnsiTheme="minorHAnsi" w:cstheme="minorHAnsi"/>
                <w:b w:val="0"/>
                <w:color w:val="auto"/>
                <w:sz w:val="18"/>
                <w:szCs w:val="18"/>
                <w:u w:val="none"/>
              </w:rPr>
              <w:t>9</w:t>
            </w:r>
          </w:p>
        </w:tc>
        <w:tc>
          <w:tcPr>
            <w:tcW w:w="4473" w:type="dxa"/>
            <w:tcBorders>
              <w:top w:val="single" w:sz="4" w:space="0" w:color="477F80" w:themeColor="accent6"/>
              <w:bottom w:val="single" w:sz="4" w:space="0" w:color="477F80" w:themeColor="accent6"/>
            </w:tcBorders>
          </w:tcPr>
          <w:p w14:paraId="436D616E" w14:textId="6FAED488" w:rsidR="000B1FDE" w:rsidRPr="00705BD3" w:rsidRDefault="00D22C15" w:rsidP="00AF3402">
            <w:pPr>
              <w:spacing w:line="264" w:lineRule="auto"/>
              <w:jc w:val="both"/>
              <w:rPr>
                <w:rFonts w:asciiTheme="minorHAnsi" w:hAnsiTheme="minorHAnsi" w:cstheme="minorHAnsi"/>
                <w:b w:val="0"/>
                <w:color w:val="auto"/>
                <w:sz w:val="18"/>
                <w:szCs w:val="18"/>
                <w:u w:val="none"/>
              </w:rPr>
            </w:pPr>
            <w:r w:rsidRPr="00D22C15">
              <w:rPr>
                <w:rFonts w:asciiTheme="minorHAnsi" w:hAnsiTheme="minorHAnsi" w:cstheme="minorHAnsi"/>
                <w:b w:val="0"/>
                <w:color w:val="auto"/>
                <w:sz w:val="18"/>
                <w:szCs w:val="18"/>
                <w:u w:val="none"/>
              </w:rPr>
              <w:t>Number of people who applied improved skills to deliver better quality services</w:t>
            </w:r>
          </w:p>
        </w:tc>
      </w:tr>
      <w:tr w:rsidR="000B1FDE" w:rsidRPr="00AF3402" w14:paraId="03096E06" w14:textId="77777777" w:rsidTr="00705BD3">
        <w:trPr>
          <w:trHeight w:val="372"/>
        </w:trPr>
        <w:tc>
          <w:tcPr>
            <w:tcW w:w="979" w:type="dxa"/>
            <w:vMerge/>
          </w:tcPr>
          <w:p w14:paraId="626DB76F" w14:textId="77777777" w:rsidR="000B1FDE" w:rsidRPr="00705BD3" w:rsidRDefault="000B1FDE" w:rsidP="00AF3402">
            <w:pPr>
              <w:spacing w:line="264" w:lineRule="auto"/>
              <w:jc w:val="both"/>
              <w:rPr>
                <w:rFonts w:asciiTheme="minorHAnsi" w:hAnsiTheme="minorHAnsi" w:cstheme="minorHAnsi"/>
                <w:color w:val="auto"/>
                <w:sz w:val="18"/>
                <w:szCs w:val="18"/>
                <w:u w:val="none"/>
              </w:rPr>
            </w:pPr>
          </w:p>
        </w:tc>
        <w:tc>
          <w:tcPr>
            <w:tcW w:w="2920" w:type="dxa"/>
            <w:vMerge/>
            <w:tcBorders>
              <w:bottom w:val="single" w:sz="4" w:space="0" w:color="477F80" w:themeColor="accent6"/>
            </w:tcBorders>
          </w:tcPr>
          <w:p w14:paraId="2622FC8F" w14:textId="77777777" w:rsidR="000B1FDE" w:rsidRPr="00705BD3" w:rsidRDefault="000B1FDE" w:rsidP="00AF3402">
            <w:pPr>
              <w:spacing w:line="264" w:lineRule="auto"/>
              <w:jc w:val="both"/>
              <w:rPr>
                <w:rFonts w:asciiTheme="minorHAnsi" w:hAnsiTheme="minorHAnsi" w:cstheme="minorHAnsi"/>
                <w:b w:val="0"/>
                <w:color w:val="auto"/>
                <w:sz w:val="18"/>
                <w:szCs w:val="18"/>
                <w:u w:val="none"/>
              </w:rPr>
            </w:pPr>
          </w:p>
        </w:tc>
        <w:tc>
          <w:tcPr>
            <w:tcW w:w="983" w:type="dxa"/>
            <w:tcBorders>
              <w:top w:val="single" w:sz="4" w:space="0" w:color="477F80" w:themeColor="accent6"/>
              <w:bottom w:val="single" w:sz="4" w:space="0" w:color="477F80" w:themeColor="accent6"/>
            </w:tcBorders>
          </w:tcPr>
          <w:p w14:paraId="273FCE9F" w14:textId="186DC166" w:rsidR="000B1FDE" w:rsidRPr="00705BD3" w:rsidRDefault="00D22C15" w:rsidP="00AF3402">
            <w:pPr>
              <w:spacing w:line="264" w:lineRule="auto"/>
              <w:jc w:val="both"/>
              <w:rPr>
                <w:rFonts w:asciiTheme="minorHAnsi" w:hAnsiTheme="minorHAnsi" w:cstheme="minorHAnsi"/>
                <w:b w:val="0"/>
                <w:color w:val="auto"/>
                <w:sz w:val="18"/>
                <w:szCs w:val="18"/>
                <w:u w:val="none"/>
              </w:rPr>
            </w:pPr>
            <w:r>
              <w:rPr>
                <w:rFonts w:asciiTheme="minorHAnsi" w:hAnsiTheme="minorHAnsi" w:cstheme="minorHAnsi"/>
                <w:b w:val="0"/>
                <w:color w:val="auto"/>
                <w:sz w:val="18"/>
                <w:szCs w:val="18"/>
                <w:u w:val="none"/>
              </w:rPr>
              <w:t>10</w:t>
            </w:r>
          </w:p>
        </w:tc>
        <w:tc>
          <w:tcPr>
            <w:tcW w:w="4473" w:type="dxa"/>
            <w:tcBorders>
              <w:top w:val="single" w:sz="4" w:space="0" w:color="477F80" w:themeColor="accent6"/>
              <w:bottom w:val="single" w:sz="4" w:space="0" w:color="477F80" w:themeColor="accent6"/>
            </w:tcBorders>
          </w:tcPr>
          <w:p w14:paraId="55E666FA" w14:textId="0716AB5B" w:rsidR="000B1FDE" w:rsidRPr="00705BD3" w:rsidRDefault="000B1FDE" w:rsidP="00AF3402">
            <w:pPr>
              <w:spacing w:line="264" w:lineRule="auto"/>
              <w:jc w:val="both"/>
              <w:rPr>
                <w:rFonts w:asciiTheme="minorHAnsi" w:hAnsiTheme="minorHAnsi" w:cstheme="minorHAnsi"/>
                <w:b w:val="0"/>
                <w:color w:val="auto"/>
                <w:sz w:val="18"/>
                <w:szCs w:val="18"/>
                <w:u w:val="none"/>
              </w:rPr>
            </w:pPr>
            <w:r w:rsidRPr="00705BD3">
              <w:rPr>
                <w:rFonts w:asciiTheme="minorHAnsi" w:hAnsiTheme="minorHAnsi" w:cstheme="minorHAnsi"/>
                <w:b w:val="0"/>
                <w:color w:val="auto"/>
                <w:sz w:val="18"/>
                <w:szCs w:val="18"/>
                <w:u w:val="none"/>
              </w:rPr>
              <w:t xml:space="preserve">Number of service delivery improvements </w:t>
            </w:r>
          </w:p>
        </w:tc>
      </w:tr>
      <w:tr w:rsidR="000131CD" w:rsidRPr="00AF3402" w14:paraId="06BF43B8" w14:textId="77777777" w:rsidTr="00AF0206">
        <w:trPr>
          <w:trHeight w:val="246"/>
        </w:trPr>
        <w:tc>
          <w:tcPr>
            <w:tcW w:w="979" w:type="dxa"/>
            <w:vMerge/>
          </w:tcPr>
          <w:p w14:paraId="1BCE908F" w14:textId="77777777" w:rsidR="000131CD" w:rsidRPr="00705BD3" w:rsidRDefault="000131CD" w:rsidP="00AF3402">
            <w:pPr>
              <w:spacing w:line="264" w:lineRule="auto"/>
              <w:jc w:val="both"/>
              <w:rPr>
                <w:rFonts w:asciiTheme="minorHAnsi" w:hAnsiTheme="minorHAnsi" w:cstheme="minorHAnsi"/>
                <w:color w:val="auto"/>
                <w:sz w:val="18"/>
                <w:szCs w:val="18"/>
                <w:u w:val="none"/>
              </w:rPr>
            </w:pPr>
          </w:p>
        </w:tc>
        <w:tc>
          <w:tcPr>
            <w:tcW w:w="2920" w:type="dxa"/>
            <w:tcBorders>
              <w:top w:val="single" w:sz="4" w:space="0" w:color="477F80" w:themeColor="accent6"/>
              <w:bottom w:val="single" w:sz="4" w:space="0" w:color="477F80" w:themeColor="accent6"/>
            </w:tcBorders>
          </w:tcPr>
          <w:p w14:paraId="5E8C7027" w14:textId="0DB5EFAC" w:rsidR="000131CD" w:rsidRPr="00705BD3" w:rsidRDefault="000131CD" w:rsidP="00AF3402">
            <w:pPr>
              <w:spacing w:line="264" w:lineRule="auto"/>
              <w:jc w:val="both"/>
              <w:rPr>
                <w:rFonts w:asciiTheme="minorHAnsi" w:hAnsiTheme="minorHAnsi" w:cstheme="minorHAnsi"/>
                <w:b w:val="0"/>
                <w:color w:val="auto"/>
                <w:sz w:val="18"/>
                <w:szCs w:val="18"/>
                <w:u w:val="none"/>
              </w:rPr>
            </w:pPr>
            <w:r w:rsidRPr="00AF3402">
              <w:rPr>
                <w:rFonts w:asciiTheme="minorHAnsi" w:hAnsiTheme="minorHAnsi" w:cstheme="minorHAnsi"/>
                <w:b w:val="0"/>
                <w:color w:val="auto"/>
                <w:sz w:val="18"/>
                <w:szCs w:val="18"/>
                <w:u w:val="none"/>
              </w:rPr>
              <w:t>More people benefit from services</w:t>
            </w:r>
          </w:p>
        </w:tc>
        <w:tc>
          <w:tcPr>
            <w:tcW w:w="983" w:type="dxa"/>
            <w:tcBorders>
              <w:top w:val="single" w:sz="4" w:space="0" w:color="477F80" w:themeColor="accent6"/>
              <w:bottom w:val="single" w:sz="4" w:space="0" w:color="477F80" w:themeColor="accent6"/>
            </w:tcBorders>
          </w:tcPr>
          <w:p w14:paraId="4CB76D78" w14:textId="140EF2DE" w:rsidR="000131CD" w:rsidRPr="00705BD3" w:rsidRDefault="000131CD" w:rsidP="00AF3402">
            <w:pPr>
              <w:spacing w:line="264" w:lineRule="auto"/>
              <w:jc w:val="both"/>
              <w:rPr>
                <w:rFonts w:asciiTheme="minorHAnsi" w:hAnsiTheme="minorHAnsi" w:cstheme="minorHAnsi"/>
                <w:b w:val="0"/>
                <w:color w:val="auto"/>
                <w:sz w:val="18"/>
                <w:szCs w:val="18"/>
                <w:u w:val="none"/>
              </w:rPr>
            </w:pPr>
            <w:r w:rsidRPr="00705BD3">
              <w:rPr>
                <w:rFonts w:asciiTheme="minorHAnsi" w:hAnsiTheme="minorHAnsi" w:cstheme="minorHAnsi"/>
                <w:b w:val="0"/>
                <w:color w:val="auto"/>
                <w:sz w:val="18"/>
                <w:szCs w:val="18"/>
                <w:u w:val="none"/>
              </w:rPr>
              <w:t>12</w:t>
            </w:r>
          </w:p>
        </w:tc>
        <w:tc>
          <w:tcPr>
            <w:tcW w:w="4473" w:type="dxa"/>
            <w:tcBorders>
              <w:top w:val="single" w:sz="4" w:space="0" w:color="477F80" w:themeColor="accent6"/>
            </w:tcBorders>
          </w:tcPr>
          <w:p w14:paraId="33EF849D" w14:textId="70A76359" w:rsidR="000131CD" w:rsidRPr="00705BD3" w:rsidRDefault="000131CD" w:rsidP="00AF3402">
            <w:pPr>
              <w:spacing w:line="264" w:lineRule="auto"/>
              <w:jc w:val="both"/>
              <w:rPr>
                <w:rFonts w:asciiTheme="minorHAnsi" w:hAnsiTheme="minorHAnsi" w:cstheme="minorHAnsi"/>
                <w:b w:val="0"/>
                <w:color w:val="auto"/>
                <w:sz w:val="18"/>
                <w:szCs w:val="18"/>
                <w:u w:val="none"/>
              </w:rPr>
            </w:pPr>
            <w:r w:rsidRPr="00D22C15">
              <w:rPr>
                <w:rFonts w:asciiTheme="minorHAnsi" w:hAnsiTheme="minorHAnsi" w:cstheme="minorHAnsi"/>
                <w:b w:val="0"/>
                <w:color w:val="auto"/>
                <w:sz w:val="18"/>
                <w:szCs w:val="18"/>
                <w:u w:val="none"/>
              </w:rPr>
              <w:t>Number of services provided</w:t>
            </w:r>
          </w:p>
        </w:tc>
      </w:tr>
      <w:tr w:rsidR="00F83255" w:rsidRPr="00AF3402" w14:paraId="47BEA31B" w14:textId="77777777" w:rsidTr="00705BD3">
        <w:trPr>
          <w:trHeight w:val="617"/>
        </w:trPr>
        <w:tc>
          <w:tcPr>
            <w:tcW w:w="979" w:type="dxa"/>
            <w:vMerge/>
          </w:tcPr>
          <w:p w14:paraId="2FF343D3" w14:textId="77777777" w:rsidR="00F83255" w:rsidRPr="00705BD3" w:rsidRDefault="00F83255" w:rsidP="00AF3402">
            <w:pPr>
              <w:spacing w:line="264" w:lineRule="auto"/>
              <w:jc w:val="both"/>
              <w:rPr>
                <w:rFonts w:asciiTheme="minorHAnsi" w:hAnsiTheme="minorHAnsi" w:cstheme="minorHAnsi"/>
                <w:color w:val="auto"/>
                <w:sz w:val="18"/>
                <w:szCs w:val="18"/>
                <w:u w:val="none"/>
              </w:rPr>
            </w:pPr>
          </w:p>
        </w:tc>
        <w:tc>
          <w:tcPr>
            <w:tcW w:w="2920" w:type="dxa"/>
            <w:vMerge w:val="restart"/>
            <w:tcBorders>
              <w:top w:val="single" w:sz="4" w:space="0" w:color="477F80" w:themeColor="accent6"/>
            </w:tcBorders>
          </w:tcPr>
          <w:p w14:paraId="227DB5A5" w14:textId="373AB5B1" w:rsidR="00F83255" w:rsidRPr="00705BD3" w:rsidRDefault="00F83255" w:rsidP="00AF3402">
            <w:pPr>
              <w:spacing w:line="264" w:lineRule="auto"/>
              <w:jc w:val="both"/>
              <w:rPr>
                <w:rFonts w:asciiTheme="minorHAnsi" w:hAnsiTheme="minorHAnsi" w:cstheme="minorHAnsi"/>
                <w:b w:val="0"/>
                <w:color w:val="auto"/>
                <w:sz w:val="18"/>
                <w:szCs w:val="18"/>
                <w:u w:val="none"/>
              </w:rPr>
            </w:pPr>
            <w:r w:rsidRPr="00AF3402">
              <w:rPr>
                <w:rFonts w:asciiTheme="minorHAnsi" w:hAnsiTheme="minorHAnsi" w:cstheme="minorHAnsi"/>
                <w:b w:val="0"/>
                <w:color w:val="auto"/>
                <w:sz w:val="18"/>
                <w:szCs w:val="18"/>
                <w:u w:val="none"/>
              </w:rPr>
              <w:t>More women and girls are safe and empowered</w:t>
            </w:r>
          </w:p>
        </w:tc>
        <w:tc>
          <w:tcPr>
            <w:tcW w:w="983" w:type="dxa"/>
            <w:tcBorders>
              <w:top w:val="single" w:sz="4" w:space="0" w:color="477F80" w:themeColor="accent6"/>
              <w:bottom w:val="single" w:sz="4" w:space="0" w:color="477F80" w:themeColor="accent6"/>
            </w:tcBorders>
          </w:tcPr>
          <w:p w14:paraId="4BAE3310" w14:textId="6B7B0833" w:rsidR="00F83255" w:rsidRPr="00705BD3" w:rsidRDefault="00F83255" w:rsidP="00AF3402">
            <w:pPr>
              <w:spacing w:line="264" w:lineRule="auto"/>
              <w:jc w:val="both"/>
              <w:rPr>
                <w:rFonts w:asciiTheme="minorHAnsi" w:hAnsiTheme="minorHAnsi" w:cstheme="minorHAnsi"/>
                <w:b w:val="0"/>
                <w:color w:val="auto"/>
                <w:sz w:val="18"/>
                <w:szCs w:val="18"/>
                <w:u w:val="none"/>
              </w:rPr>
            </w:pPr>
            <w:r w:rsidRPr="00705BD3">
              <w:rPr>
                <w:rFonts w:asciiTheme="minorHAnsi" w:hAnsiTheme="minorHAnsi" w:cstheme="minorHAnsi"/>
                <w:b w:val="0"/>
                <w:color w:val="auto"/>
                <w:sz w:val="18"/>
                <w:szCs w:val="18"/>
                <w:u w:val="none"/>
              </w:rPr>
              <w:t>13</w:t>
            </w:r>
          </w:p>
        </w:tc>
        <w:tc>
          <w:tcPr>
            <w:tcW w:w="4473" w:type="dxa"/>
            <w:tcBorders>
              <w:bottom w:val="single" w:sz="4" w:space="0" w:color="477F80" w:themeColor="accent6"/>
            </w:tcBorders>
          </w:tcPr>
          <w:p w14:paraId="74E9C886" w14:textId="3E589888" w:rsidR="00F83255" w:rsidRPr="00705BD3" w:rsidRDefault="00F83255" w:rsidP="00AF3402">
            <w:pPr>
              <w:spacing w:line="264" w:lineRule="auto"/>
              <w:jc w:val="both"/>
              <w:rPr>
                <w:rFonts w:asciiTheme="minorHAnsi" w:hAnsiTheme="minorHAnsi" w:cstheme="minorHAnsi"/>
                <w:b w:val="0"/>
                <w:color w:val="auto"/>
                <w:sz w:val="18"/>
                <w:szCs w:val="18"/>
                <w:u w:val="none"/>
              </w:rPr>
            </w:pPr>
            <w:r w:rsidRPr="00705BD3">
              <w:rPr>
                <w:rFonts w:asciiTheme="minorHAnsi" w:hAnsiTheme="minorHAnsi" w:cstheme="minorHAnsi"/>
                <w:b w:val="0"/>
                <w:color w:val="auto"/>
                <w:sz w:val="18"/>
                <w:szCs w:val="18"/>
                <w:u w:val="none"/>
              </w:rPr>
              <w:t>Number of people that demonstrate improved attitudes to women and girls</w:t>
            </w:r>
          </w:p>
        </w:tc>
      </w:tr>
      <w:tr w:rsidR="00F83255" w:rsidRPr="00AF3402" w14:paraId="7CD2BFD8" w14:textId="77777777" w:rsidTr="00705BD3">
        <w:trPr>
          <w:trHeight w:val="617"/>
        </w:trPr>
        <w:tc>
          <w:tcPr>
            <w:tcW w:w="979" w:type="dxa"/>
            <w:vMerge/>
            <w:tcBorders>
              <w:bottom w:val="nil"/>
            </w:tcBorders>
          </w:tcPr>
          <w:p w14:paraId="3691B883" w14:textId="77777777" w:rsidR="00F83255" w:rsidRPr="00705BD3" w:rsidRDefault="00F83255" w:rsidP="00AF3402">
            <w:pPr>
              <w:spacing w:line="264" w:lineRule="auto"/>
              <w:jc w:val="both"/>
              <w:rPr>
                <w:rFonts w:asciiTheme="minorHAnsi" w:hAnsiTheme="minorHAnsi" w:cstheme="minorHAnsi"/>
                <w:color w:val="auto"/>
                <w:sz w:val="18"/>
                <w:szCs w:val="18"/>
                <w:u w:val="none"/>
              </w:rPr>
            </w:pPr>
          </w:p>
        </w:tc>
        <w:tc>
          <w:tcPr>
            <w:tcW w:w="2920" w:type="dxa"/>
            <w:vMerge/>
            <w:tcBorders>
              <w:bottom w:val="nil"/>
            </w:tcBorders>
          </w:tcPr>
          <w:p w14:paraId="0F604EA3" w14:textId="77777777" w:rsidR="00F83255" w:rsidRPr="00705BD3" w:rsidRDefault="00F83255" w:rsidP="00AF3402">
            <w:pPr>
              <w:spacing w:line="264" w:lineRule="auto"/>
              <w:jc w:val="both"/>
              <w:rPr>
                <w:rFonts w:asciiTheme="minorHAnsi" w:hAnsiTheme="minorHAnsi" w:cstheme="minorHAnsi"/>
                <w:b w:val="0"/>
                <w:color w:val="auto"/>
                <w:sz w:val="18"/>
                <w:szCs w:val="18"/>
                <w:u w:val="none"/>
              </w:rPr>
            </w:pPr>
          </w:p>
        </w:tc>
        <w:tc>
          <w:tcPr>
            <w:tcW w:w="983" w:type="dxa"/>
            <w:tcBorders>
              <w:top w:val="single" w:sz="4" w:space="0" w:color="477F80" w:themeColor="accent6"/>
              <w:bottom w:val="single" w:sz="4" w:space="0" w:color="477F80" w:themeColor="accent6"/>
            </w:tcBorders>
          </w:tcPr>
          <w:p w14:paraId="7CB57CE8" w14:textId="05C29C19" w:rsidR="00F83255" w:rsidRPr="00705BD3" w:rsidRDefault="00F83255" w:rsidP="00AF3402">
            <w:pPr>
              <w:spacing w:line="264" w:lineRule="auto"/>
              <w:jc w:val="both"/>
              <w:rPr>
                <w:rFonts w:asciiTheme="minorHAnsi" w:hAnsiTheme="minorHAnsi" w:cstheme="minorHAnsi"/>
                <w:b w:val="0"/>
                <w:color w:val="auto"/>
                <w:sz w:val="18"/>
                <w:szCs w:val="18"/>
                <w:u w:val="none"/>
              </w:rPr>
            </w:pPr>
            <w:r w:rsidRPr="00705BD3">
              <w:rPr>
                <w:rFonts w:asciiTheme="minorHAnsi" w:hAnsiTheme="minorHAnsi" w:cstheme="minorHAnsi"/>
                <w:b w:val="0"/>
                <w:color w:val="auto"/>
                <w:sz w:val="18"/>
                <w:szCs w:val="18"/>
                <w:u w:val="none"/>
              </w:rPr>
              <w:t>14</w:t>
            </w:r>
          </w:p>
        </w:tc>
        <w:tc>
          <w:tcPr>
            <w:tcW w:w="4473" w:type="dxa"/>
            <w:tcBorders>
              <w:top w:val="single" w:sz="4" w:space="0" w:color="477F80" w:themeColor="accent6"/>
              <w:bottom w:val="single" w:sz="4" w:space="0" w:color="477F80" w:themeColor="accent6"/>
            </w:tcBorders>
          </w:tcPr>
          <w:p w14:paraId="5985CB3D" w14:textId="31940906" w:rsidR="00F83255" w:rsidRPr="00705BD3" w:rsidRDefault="00F83255" w:rsidP="00AF3402">
            <w:pPr>
              <w:spacing w:line="264" w:lineRule="auto"/>
              <w:jc w:val="both"/>
              <w:rPr>
                <w:rFonts w:asciiTheme="minorHAnsi" w:hAnsiTheme="minorHAnsi" w:cstheme="minorHAnsi"/>
                <w:b w:val="0"/>
                <w:color w:val="auto"/>
                <w:sz w:val="18"/>
                <w:szCs w:val="18"/>
                <w:u w:val="none"/>
              </w:rPr>
            </w:pPr>
            <w:r w:rsidRPr="00705BD3">
              <w:rPr>
                <w:rFonts w:asciiTheme="minorHAnsi" w:hAnsiTheme="minorHAnsi" w:cstheme="minorHAnsi"/>
                <w:b w:val="0"/>
                <w:color w:val="auto"/>
                <w:sz w:val="18"/>
                <w:szCs w:val="18"/>
                <w:u w:val="none"/>
              </w:rPr>
              <w:t>Instances of women’s leadership opportunities and empowerment</w:t>
            </w:r>
          </w:p>
        </w:tc>
      </w:tr>
      <w:tr w:rsidR="000131CD" w:rsidRPr="00AF3402" w14:paraId="39FA5E12" w14:textId="77777777" w:rsidTr="00AF0206">
        <w:trPr>
          <w:trHeight w:val="617"/>
        </w:trPr>
        <w:tc>
          <w:tcPr>
            <w:tcW w:w="979" w:type="dxa"/>
            <w:tcBorders>
              <w:top w:val="nil"/>
              <w:bottom w:val="nil"/>
            </w:tcBorders>
          </w:tcPr>
          <w:p w14:paraId="6FCA1766" w14:textId="77777777" w:rsidR="000131CD" w:rsidRPr="00AF0206" w:rsidRDefault="000131CD" w:rsidP="00AF3402">
            <w:pPr>
              <w:spacing w:line="264" w:lineRule="auto"/>
              <w:jc w:val="both"/>
              <w:rPr>
                <w:rFonts w:asciiTheme="minorHAnsi" w:hAnsiTheme="minorHAnsi" w:cstheme="minorHAnsi"/>
                <w:color w:val="auto"/>
                <w:sz w:val="18"/>
                <w:szCs w:val="18"/>
                <w:u w:val="none"/>
              </w:rPr>
            </w:pPr>
          </w:p>
        </w:tc>
        <w:tc>
          <w:tcPr>
            <w:tcW w:w="2920" w:type="dxa"/>
            <w:tcBorders>
              <w:top w:val="nil"/>
              <w:bottom w:val="single" w:sz="4" w:space="0" w:color="477F80" w:themeColor="accent6"/>
            </w:tcBorders>
          </w:tcPr>
          <w:p w14:paraId="36F0A921" w14:textId="77777777" w:rsidR="000131CD" w:rsidRPr="00AF0206" w:rsidRDefault="000131CD" w:rsidP="00AF3402">
            <w:pPr>
              <w:spacing w:line="264" w:lineRule="auto"/>
              <w:jc w:val="both"/>
              <w:rPr>
                <w:rFonts w:asciiTheme="minorHAnsi" w:hAnsiTheme="minorHAnsi" w:cstheme="minorHAnsi"/>
                <w:b w:val="0"/>
                <w:color w:val="auto"/>
                <w:sz w:val="18"/>
                <w:szCs w:val="18"/>
                <w:u w:val="none"/>
              </w:rPr>
            </w:pPr>
          </w:p>
        </w:tc>
        <w:tc>
          <w:tcPr>
            <w:tcW w:w="983" w:type="dxa"/>
            <w:tcBorders>
              <w:top w:val="single" w:sz="4" w:space="0" w:color="477F80" w:themeColor="accent6"/>
              <w:bottom w:val="single" w:sz="4" w:space="0" w:color="477F80" w:themeColor="accent6"/>
            </w:tcBorders>
          </w:tcPr>
          <w:p w14:paraId="4995213E" w14:textId="7F28CFDE" w:rsidR="000131CD" w:rsidRPr="00AF0206" w:rsidRDefault="000131CD" w:rsidP="00AF3402">
            <w:pPr>
              <w:spacing w:line="264" w:lineRule="auto"/>
              <w:jc w:val="both"/>
              <w:rPr>
                <w:rFonts w:asciiTheme="minorHAnsi" w:hAnsiTheme="minorHAnsi" w:cstheme="minorHAnsi"/>
                <w:b w:val="0"/>
                <w:color w:val="auto"/>
                <w:sz w:val="18"/>
                <w:szCs w:val="18"/>
                <w:u w:val="none"/>
              </w:rPr>
            </w:pPr>
            <w:r>
              <w:rPr>
                <w:rFonts w:asciiTheme="minorHAnsi" w:hAnsiTheme="minorHAnsi" w:cstheme="minorHAnsi"/>
                <w:b w:val="0"/>
                <w:color w:val="auto"/>
                <w:sz w:val="18"/>
                <w:szCs w:val="18"/>
                <w:u w:val="none"/>
              </w:rPr>
              <w:t>15</w:t>
            </w:r>
          </w:p>
        </w:tc>
        <w:tc>
          <w:tcPr>
            <w:tcW w:w="4473" w:type="dxa"/>
            <w:tcBorders>
              <w:top w:val="single" w:sz="4" w:space="0" w:color="477F80" w:themeColor="accent6"/>
              <w:bottom w:val="single" w:sz="4" w:space="0" w:color="477F80" w:themeColor="accent6"/>
            </w:tcBorders>
          </w:tcPr>
          <w:p w14:paraId="79292196" w14:textId="1FEA1370" w:rsidR="000131CD" w:rsidRPr="00AF0206" w:rsidRDefault="000131CD" w:rsidP="00AF3402">
            <w:pPr>
              <w:spacing w:line="264" w:lineRule="auto"/>
              <w:jc w:val="both"/>
              <w:rPr>
                <w:rFonts w:asciiTheme="minorHAnsi" w:hAnsiTheme="minorHAnsi" w:cstheme="minorHAnsi"/>
                <w:b w:val="0"/>
                <w:color w:val="auto"/>
                <w:sz w:val="18"/>
                <w:szCs w:val="18"/>
                <w:u w:val="none"/>
              </w:rPr>
            </w:pPr>
            <w:r w:rsidRPr="000131CD">
              <w:rPr>
                <w:rFonts w:asciiTheme="minorHAnsi" w:hAnsiTheme="minorHAnsi" w:cstheme="minorHAnsi"/>
                <w:b w:val="0"/>
                <w:color w:val="auto"/>
                <w:sz w:val="18"/>
                <w:szCs w:val="18"/>
                <w:u w:val="none"/>
              </w:rPr>
              <w:t>Number of women and girls who experience violence accessing essential services</w:t>
            </w:r>
          </w:p>
        </w:tc>
      </w:tr>
      <w:tr w:rsidR="00F83255" w:rsidRPr="00AF3402" w14:paraId="646EDC73" w14:textId="77777777" w:rsidTr="00705BD3">
        <w:trPr>
          <w:trHeight w:val="352"/>
        </w:trPr>
        <w:tc>
          <w:tcPr>
            <w:tcW w:w="979" w:type="dxa"/>
            <w:vMerge w:val="restart"/>
            <w:tcBorders>
              <w:top w:val="nil"/>
              <w:bottom w:val="single" w:sz="4" w:space="0" w:color="auto"/>
            </w:tcBorders>
          </w:tcPr>
          <w:p w14:paraId="3C16B5C2" w14:textId="1F81418B" w:rsidR="00F83255" w:rsidRPr="00705BD3" w:rsidRDefault="00F83255" w:rsidP="00AF3402">
            <w:pPr>
              <w:spacing w:line="264" w:lineRule="auto"/>
              <w:jc w:val="both"/>
              <w:rPr>
                <w:rFonts w:asciiTheme="minorHAnsi" w:hAnsiTheme="minorHAnsi" w:cstheme="minorHAnsi"/>
                <w:color w:val="auto"/>
                <w:sz w:val="18"/>
                <w:szCs w:val="18"/>
                <w:u w:val="none"/>
              </w:rPr>
            </w:pPr>
            <w:r w:rsidRPr="00705BD3">
              <w:rPr>
                <w:rFonts w:asciiTheme="minorHAnsi" w:hAnsiTheme="minorHAnsi" w:cstheme="minorHAnsi"/>
                <w:color w:val="auto"/>
                <w:sz w:val="18"/>
                <w:szCs w:val="18"/>
                <w:u w:val="none"/>
              </w:rPr>
              <w:t>Society</w:t>
            </w:r>
          </w:p>
        </w:tc>
        <w:tc>
          <w:tcPr>
            <w:tcW w:w="2920" w:type="dxa"/>
            <w:vMerge w:val="restart"/>
            <w:tcBorders>
              <w:top w:val="single" w:sz="4" w:space="0" w:color="477F80" w:themeColor="accent6"/>
              <w:bottom w:val="single" w:sz="4" w:space="0" w:color="auto"/>
            </w:tcBorders>
          </w:tcPr>
          <w:p w14:paraId="6E2F3D4D" w14:textId="77777777" w:rsidR="00F83255" w:rsidRPr="00705BD3" w:rsidRDefault="00F83255" w:rsidP="00705BD3">
            <w:pPr>
              <w:pStyle w:val="Pa10"/>
              <w:spacing w:before="100" w:line="264" w:lineRule="auto"/>
              <w:jc w:val="both"/>
              <w:rPr>
                <w:rFonts w:asciiTheme="minorHAnsi" w:hAnsiTheme="minorHAnsi" w:cstheme="minorHAnsi"/>
                <w:b w:val="0"/>
                <w:color w:val="auto"/>
                <w:sz w:val="18"/>
                <w:szCs w:val="18"/>
                <w:u w:val="none"/>
                <w:lang w:val="en-AU"/>
              </w:rPr>
            </w:pPr>
            <w:r w:rsidRPr="00705BD3">
              <w:rPr>
                <w:rFonts w:asciiTheme="minorHAnsi" w:hAnsiTheme="minorHAnsi" w:cstheme="minorHAnsi"/>
                <w:b w:val="0"/>
                <w:color w:val="auto"/>
                <w:sz w:val="18"/>
                <w:szCs w:val="18"/>
                <w:u w:val="none"/>
                <w:lang w:val="en-AU"/>
              </w:rPr>
              <w:t>Better decision-making and evidence-based policy</w:t>
            </w:r>
          </w:p>
          <w:p w14:paraId="4E47A9B8" w14:textId="77777777" w:rsidR="00F83255" w:rsidRPr="00705BD3" w:rsidRDefault="00F83255" w:rsidP="00705BD3">
            <w:pPr>
              <w:spacing w:line="264" w:lineRule="auto"/>
              <w:jc w:val="both"/>
              <w:rPr>
                <w:rFonts w:asciiTheme="minorHAnsi" w:hAnsiTheme="minorHAnsi" w:cstheme="minorHAnsi"/>
                <w:b w:val="0"/>
                <w:color w:val="auto"/>
                <w:sz w:val="18"/>
                <w:szCs w:val="18"/>
                <w:u w:val="none"/>
              </w:rPr>
            </w:pPr>
          </w:p>
        </w:tc>
        <w:tc>
          <w:tcPr>
            <w:tcW w:w="983" w:type="dxa"/>
            <w:tcBorders>
              <w:top w:val="single" w:sz="4" w:space="0" w:color="477F80" w:themeColor="accent6"/>
              <w:bottom w:val="single" w:sz="4" w:space="0" w:color="477F80" w:themeColor="accent6"/>
            </w:tcBorders>
          </w:tcPr>
          <w:p w14:paraId="2E46D44F" w14:textId="54064EF8" w:rsidR="00F83255" w:rsidRPr="00705BD3" w:rsidRDefault="000131CD" w:rsidP="00AF3402">
            <w:pPr>
              <w:spacing w:line="264" w:lineRule="auto"/>
              <w:jc w:val="both"/>
              <w:rPr>
                <w:rFonts w:asciiTheme="minorHAnsi" w:hAnsiTheme="minorHAnsi" w:cstheme="minorHAnsi"/>
                <w:b w:val="0"/>
                <w:color w:val="auto"/>
                <w:sz w:val="18"/>
                <w:szCs w:val="18"/>
                <w:u w:val="none"/>
              </w:rPr>
            </w:pPr>
            <w:r>
              <w:rPr>
                <w:rFonts w:asciiTheme="minorHAnsi" w:hAnsiTheme="minorHAnsi" w:cstheme="minorHAnsi"/>
                <w:b w:val="0"/>
                <w:color w:val="auto"/>
                <w:sz w:val="18"/>
                <w:szCs w:val="18"/>
                <w:u w:val="none"/>
              </w:rPr>
              <w:t>20</w:t>
            </w:r>
          </w:p>
        </w:tc>
        <w:tc>
          <w:tcPr>
            <w:tcW w:w="4473" w:type="dxa"/>
            <w:tcBorders>
              <w:top w:val="single" w:sz="4" w:space="0" w:color="477F80" w:themeColor="accent6"/>
              <w:bottom w:val="single" w:sz="4" w:space="0" w:color="477F80" w:themeColor="accent6"/>
            </w:tcBorders>
          </w:tcPr>
          <w:p w14:paraId="6E4B93B8" w14:textId="5E86399A" w:rsidR="00F83255" w:rsidRPr="00705BD3" w:rsidRDefault="00F83255" w:rsidP="00AF3402">
            <w:pPr>
              <w:spacing w:line="264" w:lineRule="auto"/>
              <w:jc w:val="both"/>
              <w:rPr>
                <w:rFonts w:asciiTheme="minorHAnsi" w:hAnsiTheme="minorHAnsi" w:cstheme="minorHAnsi"/>
                <w:b w:val="0"/>
                <w:color w:val="auto"/>
                <w:sz w:val="18"/>
                <w:szCs w:val="18"/>
                <w:u w:val="none"/>
              </w:rPr>
            </w:pPr>
            <w:r w:rsidRPr="00705BD3">
              <w:rPr>
                <w:rFonts w:asciiTheme="minorHAnsi" w:hAnsiTheme="minorHAnsi" w:cstheme="minorHAnsi"/>
                <w:b w:val="0"/>
                <w:color w:val="auto"/>
                <w:sz w:val="18"/>
                <w:szCs w:val="18"/>
                <w:u w:val="none"/>
              </w:rPr>
              <w:t>Instances of improved policy and implementation</w:t>
            </w:r>
          </w:p>
        </w:tc>
      </w:tr>
      <w:tr w:rsidR="00F83255" w:rsidRPr="00AF3402" w14:paraId="22190612" w14:textId="77777777" w:rsidTr="00705BD3">
        <w:trPr>
          <w:trHeight w:val="578"/>
        </w:trPr>
        <w:tc>
          <w:tcPr>
            <w:tcW w:w="979" w:type="dxa"/>
            <w:vMerge/>
            <w:tcBorders>
              <w:top w:val="single" w:sz="4" w:space="0" w:color="auto"/>
              <w:bottom w:val="single" w:sz="4" w:space="0" w:color="477F80" w:themeColor="accent6"/>
            </w:tcBorders>
          </w:tcPr>
          <w:p w14:paraId="0C0C031E" w14:textId="77777777" w:rsidR="00F83255" w:rsidRPr="00705BD3" w:rsidRDefault="00F83255" w:rsidP="00AF3402">
            <w:pPr>
              <w:spacing w:line="264" w:lineRule="auto"/>
              <w:jc w:val="both"/>
              <w:rPr>
                <w:rFonts w:asciiTheme="minorHAnsi" w:hAnsiTheme="minorHAnsi" w:cstheme="minorHAnsi"/>
                <w:b w:val="0"/>
                <w:color w:val="auto"/>
                <w:sz w:val="18"/>
                <w:szCs w:val="18"/>
                <w:u w:val="none"/>
              </w:rPr>
            </w:pPr>
          </w:p>
        </w:tc>
        <w:tc>
          <w:tcPr>
            <w:tcW w:w="2920" w:type="dxa"/>
            <w:vMerge/>
            <w:tcBorders>
              <w:top w:val="single" w:sz="4" w:space="0" w:color="auto"/>
              <w:bottom w:val="single" w:sz="4" w:space="0" w:color="477F80" w:themeColor="accent6"/>
            </w:tcBorders>
          </w:tcPr>
          <w:p w14:paraId="43E0597C" w14:textId="77777777" w:rsidR="00F83255" w:rsidRPr="00705BD3" w:rsidRDefault="00F83255" w:rsidP="00AF3402">
            <w:pPr>
              <w:spacing w:line="264" w:lineRule="auto"/>
              <w:jc w:val="both"/>
              <w:rPr>
                <w:rFonts w:asciiTheme="minorHAnsi" w:hAnsiTheme="minorHAnsi" w:cstheme="minorHAnsi"/>
                <w:b w:val="0"/>
                <w:color w:val="auto"/>
                <w:sz w:val="18"/>
                <w:szCs w:val="18"/>
                <w:u w:val="none"/>
              </w:rPr>
            </w:pPr>
          </w:p>
        </w:tc>
        <w:tc>
          <w:tcPr>
            <w:tcW w:w="983" w:type="dxa"/>
            <w:tcBorders>
              <w:top w:val="single" w:sz="4" w:space="0" w:color="477F80" w:themeColor="accent6"/>
              <w:bottom w:val="single" w:sz="4" w:space="0" w:color="477F80" w:themeColor="accent6"/>
            </w:tcBorders>
          </w:tcPr>
          <w:p w14:paraId="10D5BDBF" w14:textId="179A7C2A" w:rsidR="00F83255" w:rsidRPr="00705BD3" w:rsidRDefault="000131CD" w:rsidP="00AF3402">
            <w:pPr>
              <w:spacing w:line="264" w:lineRule="auto"/>
              <w:jc w:val="both"/>
              <w:rPr>
                <w:rFonts w:asciiTheme="minorHAnsi" w:hAnsiTheme="minorHAnsi" w:cstheme="minorHAnsi"/>
                <w:b w:val="0"/>
                <w:color w:val="auto"/>
                <w:sz w:val="18"/>
                <w:szCs w:val="18"/>
                <w:u w:val="none"/>
              </w:rPr>
            </w:pPr>
            <w:r>
              <w:rPr>
                <w:rFonts w:asciiTheme="minorHAnsi" w:hAnsiTheme="minorHAnsi" w:cstheme="minorHAnsi"/>
                <w:b w:val="0"/>
                <w:color w:val="auto"/>
                <w:sz w:val="18"/>
                <w:szCs w:val="18"/>
                <w:u w:val="none"/>
              </w:rPr>
              <w:t>21</w:t>
            </w:r>
          </w:p>
        </w:tc>
        <w:tc>
          <w:tcPr>
            <w:tcW w:w="4473" w:type="dxa"/>
            <w:tcBorders>
              <w:top w:val="single" w:sz="4" w:space="0" w:color="477F80" w:themeColor="accent6"/>
              <w:bottom w:val="single" w:sz="4" w:space="0" w:color="477F80" w:themeColor="accent6"/>
            </w:tcBorders>
          </w:tcPr>
          <w:p w14:paraId="72DCF7BD" w14:textId="7DCC98DC" w:rsidR="00F83255" w:rsidRPr="00705BD3" w:rsidRDefault="00F83255" w:rsidP="00AF3402">
            <w:pPr>
              <w:spacing w:line="264" w:lineRule="auto"/>
              <w:jc w:val="both"/>
              <w:rPr>
                <w:rFonts w:asciiTheme="minorHAnsi" w:hAnsiTheme="minorHAnsi" w:cstheme="minorHAnsi"/>
                <w:b w:val="0"/>
                <w:color w:val="auto"/>
                <w:sz w:val="18"/>
                <w:szCs w:val="18"/>
                <w:u w:val="none"/>
              </w:rPr>
            </w:pPr>
            <w:r w:rsidRPr="00705BD3">
              <w:rPr>
                <w:rFonts w:asciiTheme="minorHAnsi" w:hAnsiTheme="minorHAnsi" w:cstheme="minorHAnsi"/>
                <w:b w:val="0"/>
                <w:color w:val="auto"/>
                <w:sz w:val="18"/>
                <w:szCs w:val="18"/>
                <w:u w:val="none"/>
              </w:rPr>
              <w:t>Instances of evidence available for decision</w:t>
            </w:r>
            <w:r w:rsidR="000131CD">
              <w:rPr>
                <w:rFonts w:asciiTheme="minorHAnsi" w:hAnsiTheme="minorHAnsi" w:cstheme="minorHAnsi"/>
                <w:b w:val="0"/>
                <w:color w:val="auto"/>
                <w:sz w:val="18"/>
                <w:szCs w:val="18"/>
                <w:u w:val="none"/>
              </w:rPr>
              <w:t>-</w:t>
            </w:r>
            <w:r w:rsidRPr="00705BD3">
              <w:rPr>
                <w:rFonts w:asciiTheme="minorHAnsi" w:hAnsiTheme="minorHAnsi" w:cstheme="minorHAnsi"/>
                <w:b w:val="0"/>
                <w:color w:val="auto"/>
                <w:sz w:val="18"/>
                <w:szCs w:val="18"/>
                <w:u w:val="none"/>
              </w:rPr>
              <w:t>mak</w:t>
            </w:r>
            <w:r w:rsidR="000131CD">
              <w:rPr>
                <w:rFonts w:asciiTheme="minorHAnsi" w:hAnsiTheme="minorHAnsi" w:cstheme="minorHAnsi"/>
                <w:b w:val="0"/>
                <w:color w:val="auto"/>
                <w:sz w:val="18"/>
                <w:szCs w:val="18"/>
                <w:u w:val="none"/>
              </w:rPr>
              <w:t>ing</w:t>
            </w:r>
          </w:p>
        </w:tc>
      </w:tr>
    </w:tbl>
    <w:p w14:paraId="0D1714CF" w14:textId="412FE625" w:rsidR="00E23F3D" w:rsidRPr="00415DEE" w:rsidRDefault="00102CC0" w:rsidP="00415DEE">
      <w:pPr>
        <w:pStyle w:val="Heading3"/>
        <w:spacing w:before="200" w:line="264" w:lineRule="auto"/>
        <w:jc w:val="both"/>
        <w:rPr>
          <w:rFonts w:asciiTheme="minorHAnsi" w:hAnsiTheme="minorHAnsi" w:cstheme="minorHAnsi"/>
          <w:b w:val="0"/>
          <w:color w:val="auto"/>
          <w:sz w:val="21"/>
          <w:szCs w:val="21"/>
        </w:rPr>
      </w:pPr>
      <w:bookmarkStart w:id="60" w:name="_Toc2019647"/>
      <w:r w:rsidRPr="00415DEE">
        <w:rPr>
          <w:rFonts w:asciiTheme="minorHAnsi" w:hAnsiTheme="minorHAnsi" w:cstheme="minorHAnsi"/>
          <w:b w:val="0"/>
          <w:color w:val="auto"/>
          <w:sz w:val="21"/>
          <w:szCs w:val="21"/>
        </w:rPr>
        <w:t>Nabilan moved from six-monthly written progress reporting, to an annual progress report and six</w:t>
      </w:r>
      <w:r w:rsidR="000131CD" w:rsidRPr="00415DEE">
        <w:rPr>
          <w:rFonts w:asciiTheme="minorHAnsi" w:hAnsiTheme="minorHAnsi" w:cstheme="minorHAnsi"/>
          <w:b w:val="0"/>
          <w:color w:val="auto"/>
          <w:sz w:val="21"/>
          <w:szCs w:val="21"/>
        </w:rPr>
        <w:noBreakHyphen/>
      </w:r>
      <w:r w:rsidRPr="00415DEE">
        <w:rPr>
          <w:rFonts w:asciiTheme="minorHAnsi" w:hAnsiTheme="minorHAnsi" w:cstheme="minorHAnsi"/>
          <w:b w:val="0"/>
          <w:color w:val="auto"/>
          <w:sz w:val="21"/>
          <w:szCs w:val="21"/>
        </w:rPr>
        <w:t xml:space="preserve">monthly verbal progress briefing. Learning dialogues were held with Nabilan, the Australian Embassy, and M&amp;E House on 9 August 2018 and 29 January 2019 in preparation </w:t>
      </w:r>
      <w:r w:rsidR="008F7759" w:rsidRPr="00415DEE">
        <w:rPr>
          <w:rFonts w:asciiTheme="minorHAnsi" w:hAnsiTheme="minorHAnsi" w:cstheme="minorHAnsi"/>
          <w:b w:val="0"/>
          <w:color w:val="auto"/>
          <w:sz w:val="21"/>
          <w:szCs w:val="21"/>
        </w:rPr>
        <w:t xml:space="preserve">for </w:t>
      </w:r>
      <w:r w:rsidRPr="00415DEE">
        <w:rPr>
          <w:rFonts w:asciiTheme="minorHAnsi" w:hAnsiTheme="minorHAnsi" w:cstheme="minorHAnsi"/>
          <w:b w:val="0"/>
          <w:color w:val="auto"/>
          <w:sz w:val="21"/>
          <w:szCs w:val="21"/>
        </w:rPr>
        <w:t>the verbal briefing and this annual report.</w:t>
      </w:r>
      <w:r w:rsidR="00385740" w:rsidRPr="00415DEE">
        <w:rPr>
          <w:rFonts w:asciiTheme="minorHAnsi" w:hAnsiTheme="minorHAnsi" w:cstheme="minorHAnsi"/>
          <w:b w:val="0"/>
          <w:color w:val="auto"/>
          <w:sz w:val="21"/>
          <w:szCs w:val="21"/>
        </w:rPr>
        <w:t xml:space="preserve"> The Key Evaluation Questions</w:t>
      </w:r>
      <w:r w:rsidR="005D6B5E" w:rsidRPr="00415DEE">
        <w:rPr>
          <w:rFonts w:asciiTheme="minorHAnsi" w:hAnsiTheme="minorHAnsi" w:cstheme="minorHAnsi"/>
          <w:b w:val="0"/>
          <w:color w:val="auto"/>
          <w:sz w:val="21"/>
          <w:szCs w:val="21"/>
        </w:rPr>
        <w:t xml:space="preserve"> (KEQ)</w:t>
      </w:r>
      <w:r w:rsidR="00385740" w:rsidRPr="00415DEE">
        <w:rPr>
          <w:rFonts w:asciiTheme="minorHAnsi" w:hAnsiTheme="minorHAnsi" w:cstheme="minorHAnsi"/>
          <w:b w:val="0"/>
          <w:color w:val="auto"/>
          <w:sz w:val="21"/>
          <w:szCs w:val="21"/>
        </w:rPr>
        <w:t xml:space="preserve"> and sub-questions that guide these processes can be found at Annex </w:t>
      </w:r>
      <w:r w:rsidR="008A4E08" w:rsidRPr="00415DEE">
        <w:rPr>
          <w:rFonts w:asciiTheme="minorHAnsi" w:hAnsiTheme="minorHAnsi" w:cstheme="minorHAnsi"/>
          <w:b w:val="0"/>
          <w:color w:val="auto"/>
          <w:sz w:val="21"/>
          <w:szCs w:val="21"/>
        </w:rPr>
        <w:t>1</w:t>
      </w:r>
      <w:r w:rsidR="00385740" w:rsidRPr="00415DEE">
        <w:rPr>
          <w:rFonts w:asciiTheme="minorHAnsi" w:hAnsiTheme="minorHAnsi" w:cstheme="minorHAnsi"/>
          <w:b w:val="0"/>
          <w:color w:val="auto"/>
          <w:sz w:val="21"/>
          <w:szCs w:val="21"/>
        </w:rPr>
        <w:t>.</w:t>
      </w:r>
      <w:bookmarkEnd w:id="60"/>
    </w:p>
    <w:p w14:paraId="27357E94" w14:textId="4D661B10" w:rsidR="00771933" w:rsidRPr="00415DEE" w:rsidRDefault="00E23F3D" w:rsidP="00415DEE">
      <w:pPr>
        <w:pStyle w:val="Heading3"/>
        <w:spacing w:before="200" w:line="264" w:lineRule="auto"/>
        <w:jc w:val="both"/>
        <w:rPr>
          <w:rFonts w:asciiTheme="minorHAnsi" w:hAnsiTheme="minorHAnsi" w:cstheme="minorHAnsi"/>
          <w:b w:val="0"/>
          <w:color w:val="auto"/>
          <w:sz w:val="21"/>
          <w:szCs w:val="21"/>
        </w:rPr>
      </w:pPr>
      <w:bookmarkStart w:id="61" w:name="_Toc2019648"/>
      <w:r w:rsidRPr="00415DEE">
        <w:rPr>
          <w:rFonts w:asciiTheme="minorHAnsi" w:hAnsiTheme="minorHAnsi" w:cstheme="minorHAnsi"/>
          <w:b w:val="0"/>
          <w:color w:val="auto"/>
          <w:sz w:val="21"/>
          <w:szCs w:val="21"/>
        </w:rPr>
        <w:t>An external evaluation of the Cert</w:t>
      </w:r>
      <w:r w:rsidR="006540D9" w:rsidRPr="00415DEE">
        <w:rPr>
          <w:rFonts w:asciiTheme="minorHAnsi" w:hAnsiTheme="minorHAnsi" w:cstheme="minorHAnsi"/>
          <w:b w:val="0"/>
          <w:color w:val="auto"/>
          <w:sz w:val="21"/>
          <w:szCs w:val="21"/>
        </w:rPr>
        <w:t>ificate</w:t>
      </w:r>
      <w:r w:rsidRPr="00415DEE">
        <w:rPr>
          <w:rFonts w:asciiTheme="minorHAnsi" w:hAnsiTheme="minorHAnsi" w:cstheme="minorHAnsi"/>
          <w:b w:val="0"/>
          <w:color w:val="auto"/>
          <w:sz w:val="21"/>
          <w:szCs w:val="21"/>
        </w:rPr>
        <w:t xml:space="preserve"> III in Social Services was conducted by </w:t>
      </w:r>
      <w:r w:rsidR="00236662" w:rsidRPr="00415DEE">
        <w:rPr>
          <w:rFonts w:asciiTheme="minorHAnsi" w:hAnsiTheme="minorHAnsi" w:cstheme="minorHAnsi"/>
          <w:b w:val="0"/>
          <w:color w:val="auto"/>
          <w:sz w:val="21"/>
          <w:szCs w:val="21"/>
        </w:rPr>
        <w:t>Ruth Hugo</w:t>
      </w:r>
      <w:r w:rsidRPr="00415DEE">
        <w:rPr>
          <w:rFonts w:asciiTheme="minorHAnsi" w:hAnsiTheme="minorHAnsi" w:cstheme="minorHAnsi"/>
          <w:b w:val="0"/>
          <w:color w:val="auto"/>
          <w:sz w:val="21"/>
          <w:szCs w:val="21"/>
        </w:rPr>
        <w:t xml:space="preserve"> </w:t>
      </w:r>
      <w:r w:rsidR="006540D9" w:rsidRPr="00415DEE">
        <w:rPr>
          <w:rFonts w:asciiTheme="minorHAnsi" w:hAnsiTheme="minorHAnsi" w:cstheme="minorHAnsi"/>
          <w:b w:val="0"/>
          <w:color w:val="auto"/>
          <w:sz w:val="21"/>
          <w:szCs w:val="21"/>
        </w:rPr>
        <w:t>over</w:t>
      </w:r>
      <w:r w:rsidR="00236662" w:rsidRPr="00415DEE">
        <w:rPr>
          <w:rFonts w:asciiTheme="minorHAnsi" w:hAnsiTheme="minorHAnsi" w:cstheme="minorHAnsi"/>
          <w:b w:val="0"/>
          <w:color w:val="auto"/>
          <w:sz w:val="21"/>
          <w:szCs w:val="21"/>
        </w:rPr>
        <w:t xml:space="preserve"> 9 April</w:t>
      </w:r>
      <w:r w:rsidR="002F2153" w:rsidRPr="00415DEE">
        <w:rPr>
          <w:rFonts w:asciiTheme="minorHAnsi" w:hAnsiTheme="minorHAnsi" w:cstheme="minorHAnsi"/>
          <w:b w:val="0"/>
          <w:color w:val="auto"/>
          <w:sz w:val="21"/>
          <w:szCs w:val="21"/>
        </w:rPr>
        <w:t>–</w:t>
      </w:r>
      <w:r w:rsidR="00236662" w:rsidRPr="00415DEE">
        <w:rPr>
          <w:rFonts w:asciiTheme="minorHAnsi" w:hAnsiTheme="minorHAnsi" w:cstheme="minorHAnsi"/>
          <w:b w:val="0"/>
          <w:color w:val="auto"/>
          <w:sz w:val="21"/>
          <w:szCs w:val="21"/>
        </w:rPr>
        <w:t>1 June 2018</w:t>
      </w:r>
      <w:r w:rsidR="003720CA" w:rsidRPr="00415DEE">
        <w:rPr>
          <w:rFonts w:asciiTheme="minorHAnsi" w:hAnsiTheme="minorHAnsi" w:cstheme="minorHAnsi"/>
          <w:b w:val="0"/>
          <w:color w:val="auto"/>
          <w:sz w:val="21"/>
          <w:szCs w:val="21"/>
        </w:rPr>
        <w:t>.</w:t>
      </w:r>
      <w:r w:rsidR="00130DA0" w:rsidRPr="00415DEE">
        <w:rPr>
          <w:rFonts w:asciiTheme="minorHAnsi" w:hAnsiTheme="minorHAnsi" w:cstheme="minorHAnsi"/>
          <w:b w:val="0"/>
          <w:color w:val="auto"/>
          <w:sz w:val="21"/>
          <w:szCs w:val="21"/>
        </w:rPr>
        <w:t xml:space="preserve"> The consultant interviewed 33 people and reviewed the course materials. The final evaluation report with 18 recommendations was submitted on 1 June 2018. Nabilan is continuing to implement most of these recommendations. Nabilan also engaged Ben Larke to review Nabilan’s Case Management and Assessment Tools. The review was conducted over 10 days, between 22 May and 13 July 2018. </w:t>
      </w:r>
      <w:r w:rsidR="006C07E4" w:rsidRPr="00415DEE">
        <w:rPr>
          <w:rFonts w:asciiTheme="minorHAnsi" w:hAnsiTheme="minorHAnsi" w:cstheme="minorHAnsi"/>
          <w:b w:val="0"/>
          <w:color w:val="auto"/>
          <w:sz w:val="21"/>
          <w:szCs w:val="21"/>
        </w:rPr>
        <w:t xml:space="preserve">In response to the review, </w:t>
      </w:r>
      <w:r w:rsidR="00130DA0" w:rsidRPr="00415DEE">
        <w:rPr>
          <w:rFonts w:asciiTheme="minorHAnsi" w:hAnsiTheme="minorHAnsi" w:cstheme="minorHAnsi"/>
          <w:b w:val="0"/>
          <w:color w:val="auto"/>
          <w:sz w:val="21"/>
          <w:szCs w:val="21"/>
        </w:rPr>
        <w:t xml:space="preserve">Nabilan adjusted </w:t>
      </w:r>
      <w:r w:rsidR="006540D9" w:rsidRPr="00415DEE">
        <w:rPr>
          <w:rFonts w:asciiTheme="minorHAnsi" w:hAnsiTheme="minorHAnsi" w:cstheme="minorHAnsi"/>
          <w:b w:val="0"/>
          <w:color w:val="auto"/>
          <w:sz w:val="21"/>
          <w:szCs w:val="21"/>
        </w:rPr>
        <w:t xml:space="preserve">the </w:t>
      </w:r>
      <w:r w:rsidR="00130DA0" w:rsidRPr="00415DEE">
        <w:rPr>
          <w:rFonts w:asciiTheme="minorHAnsi" w:hAnsiTheme="minorHAnsi" w:cstheme="minorHAnsi"/>
          <w:b w:val="0"/>
          <w:color w:val="auto"/>
          <w:sz w:val="21"/>
          <w:szCs w:val="21"/>
        </w:rPr>
        <w:t>case audit process to focus on key minimum standards, and other standards which indicate ‘high’ quality case management.</w:t>
      </w:r>
      <w:bookmarkEnd w:id="61"/>
    </w:p>
    <w:p w14:paraId="3331AE65" w14:textId="77777777" w:rsidR="00546EF8" w:rsidRDefault="00FB2298" w:rsidP="00415DEE">
      <w:pPr>
        <w:pStyle w:val="Heading3"/>
        <w:spacing w:before="200" w:line="264" w:lineRule="auto"/>
        <w:jc w:val="both"/>
        <w:rPr>
          <w:rFonts w:asciiTheme="minorHAnsi" w:hAnsiTheme="minorHAnsi" w:cstheme="minorHAnsi"/>
          <w:b w:val="0"/>
          <w:color w:val="auto"/>
          <w:sz w:val="21"/>
          <w:szCs w:val="21"/>
        </w:rPr>
        <w:sectPr w:rsidR="00546EF8" w:rsidSect="00E1032F">
          <w:footerReference w:type="default" r:id="rId24"/>
          <w:endnotePr>
            <w:numFmt w:val="decimal"/>
          </w:endnotePr>
          <w:pgSz w:w="11906" w:h="16838" w:code="9"/>
          <w:pgMar w:top="1418" w:right="1133" w:bottom="1135" w:left="1418" w:header="709" w:footer="624" w:gutter="0"/>
          <w:cols w:space="567"/>
          <w:docGrid w:linePitch="360"/>
        </w:sectPr>
      </w:pPr>
      <w:bookmarkStart w:id="62" w:name="_Toc2019649"/>
      <w:r w:rsidRPr="00415DEE">
        <w:rPr>
          <w:rFonts w:asciiTheme="minorHAnsi" w:hAnsiTheme="minorHAnsi" w:cstheme="minorHAnsi"/>
          <w:b w:val="0"/>
          <w:color w:val="auto"/>
          <w:sz w:val="21"/>
          <w:szCs w:val="21"/>
        </w:rPr>
        <w:t xml:space="preserve">Four Stories of Significant Change (SSC) were submitted in 2018, covering the July–December 2017 and January–June 2018 reporting periods. Three SSCs were verified as highly significant. Nabilan has limited M&amp;E resources in Phase 2: </w:t>
      </w:r>
      <w:r w:rsidR="008F7759" w:rsidRPr="00415DEE">
        <w:rPr>
          <w:rFonts w:asciiTheme="minorHAnsi" w:hAnsiTheme="minorHAnsi" w:cstheme="minorHAnsi"/>
          <w:b w:val="0"/>
          <w:color w:val="auto"/>
          <w:sz w:val="21"/>
          <w:szCs w:val="21"/>
        </w:rPr>
        <w:t xml:space="preserve">an </w:t>
      </w:r>
      <w:r w:rsidRPr="00415DEE">
        <w:rPr>
          <w:rFonts w:asciiTheme="minorHAnsi" w:hAnsiTheme="minorHAnsi" w:cstheme="minorHAnsi"/>
          <w:b w:val="0"/>
          <w:color w:val="auto"/>
          <w:sz w:val="21"/>
          <w:szCs w:val="21"/>
        </w:rPr>
        <w:t xml:space="preserve">M&amp;E Adviser who will be contracted on </w:t>
      </w:r>
      <w:r w:rsidR="00FF6A5E" w:rsidRPr="00415DEE">
        <w:rPr>
          <w:rFonts w:asciiTheme="minorHAnsi" w:hAnsiTheme="minorHAnsi" w:cstheme="minorHAnsi"/>
          <w:b w:val="0"/>
          <w:color w:val="auto"/>
          <w:sz w:val="21"/>
          <w:szCs w:val="21"/>
        </w:rPr>
        <w:t>a Short Term Adviser</w:t>
      </w:r>
      <w:r w:rsidRPr="00415DEE">
        <w:rPr>
          <w:rFonts w:asciiTheme="minorHAnsi" w:hAnsiTheme="minorHAnsi" w:cstheme="minorHAnsi"/>
          <w:b w:val="0"/>
          <w:color w:val="auto"/>
          <w:sz w:val="21"/>
          <w:szCs w:val="21"/>
        </w:rPr>
        <w:t xml:space="preserve"> basis as required, and an internal M&amp;E Officer for limited days per month. M&amp;E is led principally by the Team Leader and all Nabilan staff are engaged in M&amp;E activities.</w:t>
      </w:r>
      <w:bookmarkEnd w:id="62"/>
    </w:p>
    <w:p w14:paraId="6F9277AF" w14:textId="260F33DA" w:rsidR="005E4703" w:rsidRDefault="00B04DF4" w:rsidP="00415DEE">
      <w:pPr>
        <w:pStyle w:val="Heading3"/>
        <w:spacing w:before="200" w:line="264" w:lineRule="auto"/>
        <w:jc w:val="both"/>
        <w:rPr>
          <w:rFonts w:asciiTheme="minorHAnsi" w:hAnsiTheme="minorHAnsi" w:cstheme="minorHAnsi"/>
          <w:b w:val="0"/>
          <w:color w:val="auto"/>
          <w:sz w:val="21"/>
          <w:szCs w:val="21"/>
        </w:rPr>
      </w:pPr>
      <w:r>
        <w:rPr>
          <w:rFonts w:asciiTheme="minorHAnsi" w:hAnsiTheme="minorHAnsi" w:cstheme="minorHAnsi"/>
          <w:b w:val="0"/>
          <w:color w:val="auto"/>
          <w:sz w:val="21"/>
          <w:szCs w:val="21"/>
        </w:rPr>
        <w:object w:dxaOrig="17865" w:dyaOrig="12630" w14:anchorId="64C757F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80.8pt;height:694pt" o:ole="">
            <v:imagedata r:id="rId25" o:title=""/>
          </v:shape>
          <o:OLEObject Type="Embed" ProgID="Acrobat.Document.2017" ShapeID="_x0000_i1025" DrawAspect="Content" ObjectID="_1629176563" r:id="rId26"/>
        </w:object>
      </w:r>
      <w:r w:rsidR="005E4703">
        <w:rPr>
          <w:rFonts w:asciiTheme="minorHAnsi" w:hAnsiTheme="minorHAnsi" w:cstheme="minorHAnsi"/>
          <w:b w:val="0"/>
          <w:color w:val="auto"/>
          <w:sz w:val="21"/>
          <w:szCs w:val="21"/>
        </w:rPr>
        <w:br w:type="page"/>
      </w:r>
    </w:p>
    <w:p w14:paraId="7C4980B9" w14:textId="77777777" w:rsidR="00546EF8" w:rsidRDefault="00546EF8" w:rsidP="00447313">
      <w:pPr>
        <w:pStyle w:val="Heading2"/>
        <w:sectPr w:rsidR="00546EF8" w:rsidSect="00546EF8">
          <w:endnotePr>
            <w:numFmt w:val="decimal"/>
          </w:endnotePr>
          <w:pgSz w:w="16838" w:h="11906" w:orient="landscape" w:code="9"/>
          <w:pgMar w:top="1418" w:right="1418" w:bottom="1133" w:left="1135" w:header="709" w:footer="624" w:gutter="0"/>
          <w:cols w:space="567"/>
          <w:docGrid w:linePitch="360"/>
        </w:sectPr>
      </w:pPr>
      <w:bookmarkStart w:id="63" w:name="_Toc1994626"/>
      <w:bookmarkStart w:id="64" w:name="_Toc1999847"/>
      <w:bookmarkStart w:id="65" w:name="_Toc2019650"/>
    </w:p>
    <w:p w14:paraId="6106742D" w14:textId="3016F88A" w:rsidR="00FB2298" w:rsidRPr="00BF4F0F" w:rsidRDefault="00FB2298" w:rsidP="00447313">
      <w:pPr>
        <w:pStyle w:val="Heading2"/>
      </w:pPr>
      <w:r w:rsidRPr="00BF4F0F">
        <w:t>About this report</w:t>
      </w:r>
      <w:bookmarkEnd w:id="63"/>
      <w:bookmarkEnd w:id="64"/>
      <w:bookmarkEnd w:id="65"/>
    </w:p>
    <w:p w14:paraId="3A554F22" w14:textId="6BB7B2F9" w:rsidR="008E0172" w:rsidRPr="00415DEE" w:rsidRDefault="00FB2298" w:rsidP="00415DEE">
      <w:pPr>
        <w:pStyle w:val="Heading3"/>
        <w:spacing w:before="200" w:line="264" w:lineRule="auto"/>
        <w:jc w:val="both"/>
        <w:rPr>
          <w:rFonts w:asciiTheme="minorHAnsi" w:hAnsiTheme="minorHAnsi" w:cstheme="minorHAnsi"/>
          <w:b w:val="0"/>
          <w:color w:val="auto"/>
          <w:sz w:val="21"/>
          <w:szCs w:val="21"/>
        </w:rPr>
      </w:pPr>
      <w:bookmarkStart w:id="66" w:name="_Toc2019651"/>
      <w:r w:rsidRPr="00415DEE">
        <w:rPr>
          <w:rFonts w:asciiTheme="minorHAnsi" w:hAnsiTheme="minorHAnsi" w:cstheme="minorHAnsi"/>
          <w:b w:val="0"/>
          <w:color w:val="auto"/>
          <w:sz w:val="21"/>
          <w:szCs w:val="21"/>
        </w:rPr>
        <w:t>This 2018 Annual Progress Report covers the period 1 January–31 December 2018.</w:t>
      </w:r>
      <w:r w:rsidR="00991E6A" w:rsidRPr="00415DEE">
        <w:rPr>
          <w:rFonts w:asciiTheme="minorHAnsi" w:hAnsiTheme="minorHAnsi" w:cstheme="minorHAnsi"/>
          <w:b w:val="0"/>
          <w:color w:val="auto"/>
          <w:sz w:val="21"/>
          <w:szCs w:val="21"/>
        </w:rPr>
        <w:t xml:space="preserve"> </w:t>
      </w:r>
      <w:r w:rsidR="007C739D" w:rsidRPr="00705BD3">
        <w:rPr>
          <w:rFonts w:asciiTheme="minorHAnsi" w:hAnsiTheme="minorHAnsi" w:cstheme="minorHAnsi"/>
          <w:b w:val="0"/>
          <w:color w:val="auto"/>
          <w:sz w:val="21"/>
          <w:szCs w:val="21"/>
        </w:rPr>
        <w:t xml:space="preserve">The report has been written in accordance with </w:t>
      </w:r>
      <w:r w:rsidR="007C739D" w:rsidRPr="00705BD3">
        <w:rPr>
          <w:rFonts w:asciiTheme="minorHAnsi" w:hAnsiTheme="minorHAnsi" w:cstheme="minorHAnsi"/>
          <w:b w:val="0"/>
          <w:i/>
          <w:color w:val="auto"/>
          <w:sz w:val="21"/>
          <w:szCs w:val="21"/>
        </w:rPr>
        <w:t>DFAT Monitoring and Evaluation Standards</w:t>
      </w:r>
      <w:r w:rsidR="007C739D" w:rsidRPr="00705BD3">
        <w:rPr>
          <w:rFonts w:asciiTheme="minorHAnsi" w:hAnsiTheme="minorHAnsi" w:cstheme="minorHAnsi"/>
          <w:b w:val="0"/>
          <w:color w:val="auto"/>
          <w:sz w:val="21"/>
          <w:szCs w:val="21"/>
        </w:rPr>
        <w:t>, April 2017; and is informed by M&amp;E House</w:t>
      </w:r>
      <w:r w:rsidR="00B661D1">
        <w:rPr>
          <w:rFonts w:asciiTheme="minorHAnsi" w:hAnsiTheme="minorHAnsi" w:cstheme="minorHAnsi"/>
          <w:b w:val="0"/>
          <w:color w:val="auto"/>
          <w:sz w:val="21"/>
          <w:szCs w:val="21"/>
        </w:rPr>
        <w:t>’s</w:t>
      </w:r>
      <w:r w:rsidR="007C739D" w:rsidRPr="00705BD3">
        <w:rPr>
          <w:rFonts w:asciiTheme="minorHAnsi" w:hAnsiTheme="minorHAnsi" w:cstheme="minorHAnsi"/>
          <w:b w:val="0"/>
          <w:color w:val="auto"/>
          <w:sz w:val="21"/>
          <w:szCs w:val="21"/>
        </w:rPr>
        <w:t xml:space="preserve"> </w:t>
      </w:r>
      <w:r w:rsidR="007C739D" w:rsidRPr="00705BD3">
        <w:rPr>
          <w:rFonts w:asciiTheme="minorHAnsi" w:hAnsiTheme="minorHAnsi" w:cstheme="minorHAnsi"/>
          <w:b w:val="0"/>
          <w:i/>
          <w:color w:val="auto"/>
          <w:sz w:val="21"/>
          <w:szCs w:val="21"/>
        </w:rPr>
        <w:t>Good Practice Note: Progress Reporting</w:t>
      </w:r>
      <w:r w:rsidR="007C739D" w:rsidRPr="00705BD3">
        <w:rPr>
          <w:rFonts w:asciiTheme="minorHAnsi" w:hAnsiTheme="minorHAnsi" w:cstheme="minorHAnsi"/>
          <w:b w:val="0"/>
          <w:color w:val="auto"/>
          <w:sz w:val="21"/>
          <w:szCs w:val="21"/>
        </w:rPr>
        <w:t>.</w:t>
      </w:r>
      <w:bookmarkEnd w:id="66"/>
      <w:r w:rsidR="007C739D" w:rsidRPr="00705BD3">
        <w:rPr>
          <w:rFonts w:asciiTheme="minorHAnsi" w:hAnsiTheme="minorHAnsi" w:cstheme="minorHAnsi"/>
          <w:b w:val="0"/>
          <w:color w:val="auto"/>
          <w:sz w:val="21"/>
          <w:szCs w:val="21"/>
        </w:rPr>
        <w:t xml:space="preserve"> </w:t>
      </w:r>
    </w:p>
    <w:p w14:paraId="00F65C96" w14:textId="33E2353B" w:rsidR="00DA64E4" w:rsidRPr="00415DEE" w:rsidRDefault="001F545C" w:rsidP="00705BD3">
      <w:pPr>
        <w:pStyle w:val="Heading3"/>
        <w:spacing w:before="200" w:line="264" w:lineRule="auto"/>
        <w:jc w:val="both"/>
        <w:rPr>
          <w:rFonts w:asciiTheme="minorHAnsi" w:hAnsiTheme="minorHAnsi" w:cstheme="minorHAnsi"/>
          <w:b w:val="0"/>
          <w:color w:val="auto"/>
          <w:sz w:val="21"/>
          <w:szCs w:val="21"/>
        </w:rPr>
      </w:pPr>
      <w:bookmarkStart w:id="67" w:name="_Toc2019652"/>
      <w:r w:rsidRPr="00415DEE">
        <w:rPr>
          <w:rFonts w:asciiTheme="minorHAnsi" w:hAnsiTheme="minorHAnsi" w:cstheme="minorHAnsi"/>
          <w:b w:val="0"/>
          <w:color w:val="auto"/>
          <w:sz w:val="21"/>
          <w:szCs w:val="21"/>
        </w:rPr>
        <w:t xml:space="preserve">This Chapter </w:t>
      </w:r>
      <w:r w:rsidR="00626FCA">
        <w:rPr>
          <w:rFonts w:asciiTheme="minorHAnsi" w:hAnsiTheme="minorHAnsi" w:cstheme="minorHAnsi"/>
          <w:b w:val="0"/>
          <w:color w:val="auto"/>
          <w:sz w:val="21"/>
          <w:szCs w:val="21"/>
        </w:rPr>
        <w:t>introduced</w:t>
      </w:r>
      <w:r w:rsidR="003E1562" w:rsidRPr="00705BD3">
        <w:rPr>
          <w:rFonts w:asciiTheme="minorHAnsi" w:hAnsiTheme="minorHAnsi" w:cstheme="minorHAnsi"/>
          <w:b w:val="0"/>
          <w:color w:val="auto"/>
          <w:sz w:val="21"/>
          <w:szCs w:val="21"/>
        </w:rPr>
        <w:t xml:space="preserve"> the Nabilan Program including an overview, operating context, relevance, </w:t>
      </w:r>
      <w:r w:rsidR="00362A66" w:rsidRPr="00705BD3">
        <w:rPr>
          <w:rFonts w:asciiTheme="minorHAnsi" w:hAnsiTheme="minorHAnsi" w:cstheme="minorHAnsi"/>
          <w:b w:val="0"/>
          <w:color w:val="auto"/>
          <w:sz w:val="21"/>
          <w:szCs w:val="21"/>
        </w:rPr>
        <w:t>M&amp;E, and ToC.</w:t>
      </w:r>
      <w:r w:rsidR="003E1562" w:rsidRPr="00705BD3">
        <w:rPr>
          <w:rFonts w:asciiTheme="minorHAnsi" w:hAnsiTheme="minorHAnsi" w:cstheme="minorHAnsi"/>
          <w:b w:val="0"/>
          <w:color w:val="auto"/>
          <w:sz w:val="21"/>
          <w:szCs w:val="21"/>
        </w:rPr>
        <w:t xml:space="preserve"> </w:t>
      </w:r>
      <w:r w:rsidR="00362A66" w:rsidRPr="00705BD3">
        <w:rPr>
          <w:rFonts w:asciiTheme="minorHAnsi" w:hAnsiTheme="minorHAnsi" w:cstheme="minorHAnsi"/>
          <w:b w:val="0"/>
          <w:color w:val="auto"/>
          <w:sz w:val="21"/>
          <w:szCs w:val="21"/>
        </w:rPr>
        <w:t>Chapter</w:t>
      </w:r>
      <w:r w:rsidR="008E0172" w:rsidRPr="00415DEE">
        <w:rPr>
          <w:rFonts w:asciiTheme="minorHAnsi" w:hAnsiTheme="minorHAnsi" w:cstheme="minorHAnsi"/>
          <w:b w:val="0"/>
          <w:color w:val="auto"/>
          <w:sz w:val="21"/>
          <w:szCs w:val="21"/>
        </w:rPr>
        <w:t>s</w:t>
      </w:r>
      <w:r w:rsidR="00362A66" w:rsidRPr="00705BD3">
        <w:rPr>
          <w:rFonts w:asciiTheme="minorHAnsi" w:hAnsiTheme="minorHAnsi" w:cstheme="minorHAnsi"/>
          <w:b w:val="0"/>
          <w:color w:val="auto"/>
          <w:sz w:val="21"/>
          <w:szCs w:val="21"/>
        </w:rPr>
        <w:t xml:space="preserve"> 2 and 3 </w:t>
      </w:r>
      <w:r w:rsidR="007C739D" w:rsidRPr="00705BD3">
        <w:rPr>
          <w:rFonts w:asciiTheme="minorHAnsi" w:hAnsiTheme="minorHAnsi" w:cstheme="minorHAnsi"/>
          <w:b w:val="0"/>
          <w:color w:val="auto"/>
          <w:sz w:val="21"/>
          <w:szCs w:val="21"/>
        </w:rPr>
        <w:t>outline the</w:t>
      </w:r>
      <w:r w:rsidR="008E0172" w:rsidRPr="00415DEE">
        <w:rPr>
          <w:rFonts w:asciiTheme="minorHAnsi" w:hAnsiTheme="minorHAnsi" w:cstheme="minorHAnsi"/>
          <w:b w:val="0"/>
          <w:color w:val="auto"/>
          <w:sz w:val="21"/>
          <w:szCs w:val="21"/>
        </w:rPr>
        <w:t xml:space="preserve"> effectiveness of </w:t>
      </w:r>
      <w:r w:rsidR="007C739D" w:rsidRPr="00705BD3">
        <w:rPr>
          <w:rFonts w:asciiTheme="minorHAnsi" w:hAnsiTheme="minorHAnsi" w:cstheme="minorHAnsi"/>
          <w:b w:val="0"/>
          <w:color w:val="auto"/>
          <w:sz w:val="21"/>
          <w:szCs w:val="21"/>
        </w:rPr>
        <w:t xml:space="preserve"> progress</w:t>
      </w:r>
      <w:r w:rsidR="008E0172" w:rsidRPr="00415DEE">
        <w:rPr>
          <w:rFonts w:asciiTheme="minorHAnsi" w:hAnsiTheme="minorHAnsi" w:cstheme="minorHAnsi"/>
          <w:b w:val="0"/>
          <w:color w:val="auto"/>
          <w:sz w:val="21"/>
          <w:szCs w:val="21"/>
        </w:rPr>
        <w:t xml:space="preserve"> towards </w:t>
      </w:r>
      <w:r w:rsidR="00362A66" w:rsidRPr="00705BD3">
        <w:rPr>
          <w:rFonts w:asciiTheme="minorHAnsi" w:hAnsiTheme="minorHAnsi" w:cstheme="minorHAnsi"/>
          <w:b w:val="0"/>
          <w:color w:val="auto"/>
          <w:sz w:val="21"/>
          <w:szCs w:val="21"/>
        </w:rPr>
        <w:t>EOPO1 (services) and EOPO2 (behaviour change). Chapter 4 discusses</w:t>
      </w:r>
      <w:r w:rsidR="00362A66" w:rsidRPr="00415DEE">
        <w:rPr>
          <w:rFonts w:asciiTheme="minorHAnsi" w:hAnsiTheme="minorHAnsi" w:cstheme="minorHAnsi"/>
          <w:b w:val="0"/>
          <w:color w:val="auto"/>
          <w:sz w:val="21"/>
          <w:szCs w:val="21"/>
        </w:rPr>
        <w:t xml:space="preserve"> </w:t>
      </w:r>
      <w:r w:rsidR="008E0172" w:rsidRPr="00415DEE">
        <w:rPr>
          <w:rFonts w:asciiTheme="minorHAnsi" w:hAnsiTheme="minorHAnsi" w:cstheme="minorHAnsi"/>
          <w:b w:val="0"/>
          <w:color w:val="auto"/>
          <w:sz w:val="21"/>
          <w:szCs w:val="21"/>
        </w:rPr>
        <w:t>EOPO3 (</w:t>
      </w:r>
      <w:r w:rsidR="00362A66" w:rsidRPr="00415DEE">
        <w:rPr>
          <w:rFonts w:asciiTheme="minorHAnsi" w:hAnsiTheme="minorHAnsi" w:cstheme="minorHAnsi"/>
          <w:b w:val="0"/>
          <w:color w:val="auto"/>
          <w:sz w:val="21"/>
          <w:szCs w:val="21"/>
        </w:rPr>
        <w:t>sustainability</w:t>
      </w:r>
      <w:r w:rsidR="008E0172" w:rsidRPr="00415DEE">
        <w:rPr>
          <w:rFonts w:asciiTheme="minorHAnsi" w:hAnsiTheme="minorHAnsi" w:cstheme="minorHAnsi"/>
          <w:b w:val="0"/>
          <w:color w:val="auto"/>
          <w:sz w:val="21"/>
          <w:szCs w:val="21"/>
        </w:rPr>
        <w:t>)</w:t>
      </w:r>
      <w:r w:rsidR="00362A66" w:rsidRPr="00415DEE">
        <w:rPr>
          <w:rFonts w:asciiTheme="minorHAnsi" w:hAnsiTheme="minorHAnsi" w:cstheme="minorHAnsi"/>
          <w:b w:val="0"/>
          <w:color w:val="auto"/>
          <w:sz w:val="21"/>
          <w:szCs w:val="21"/>
        </w:rPr>
        <w:t xml:space="preserve"> and </w:t>
      </w:r>
      <w:r w:rsidR="008E0172" w:rsidRPr="00415DEE">
        <w:rPr>
          <w:rFonts w:asciiTheme="minorHAnsi" w:hAnsiTheme="minorHAnsi" w:cstheme="minorHAnsi"/>
          <w:b w:val="0"/>
          <w:color w:val="auto"/>
          <w:sz w:val="21"/>
          <w:szCs w:val="21"/>
        </w:rPr>
        <w:t>EOPO4 (</w:t>
      </w:r>
      <w:r w:rsidR="00362A66" w:rsidRPr="00415DEE">
        <w:rPr>
          <w:rFonts w:asciiTheme="minorHAnsi" w:hAnsiTheme="minorHAnsi" w:cstheme="minorHAnsi"/>
          <w:b w:val="0"/>
          <w:color w:val="auto"/>
          <w:sz w:val="21"/>
          <w:szCs w:val="21"/>
        </w:rPr>
        <w:t>appropriateness</w:t>
      </w:r>
      <w:r w:rsidR="008E0172" w:rsidRPr="00415DEE">
        <w:rPr>
          <w:rFonts w:asciiTheme="minorHAnsi" w:hAnsiTheme="minorHAnsi" w:cstheme="minorHAnsi"/>
          <w:b w:val="0"/>
          <w:color w:val="auto"/>
          <w:sz w:val="21"/>
          <w:szCs w:val="21"/>
        </w:rPr>
        <w:t>)</w:t>
      </w:r>
      <w:r w:rsidR="00362A66" w:rsidRPr="00415DEE">
        <w:rPr>
          <w:rFonts w:asciiTheme="minorHAnsi" w:hAnsiTheme="minorHAnsi" w:cstheme="minorHAnsi"/>
          <w:b w:val="0"/>
          <w:color w:val="auto"/>
          <w:sz w:val="21"/>
          <w:szCs w:val="21"/>
        </w:rPr>
        <w:t>. Annex</w:t>
      </w:r>
      <w:r w:rsidR="008E0172" w:rsidRPr="00415DEE">
        <w:rPr>
          <w:rFonts w:asciiTheme="minorHAnsi" w:hAnsiTheme="minorHAnsi" w:cstheme="minorHAnsi"/>
          <w:b w:val="0"/>
          <w:color w:val="auto"/>
          <w:sz w:val="21"/>
          <w:szCs w:val="21"/>
        </w:rPr>
        <w:t xml:space="preserve"> 1 </w:t>
      </w:r>
      <w:r w:rsidR="00362A66" w:rsidRPr="00415DEE">
        <w:rPr>
          <w:rFonts w:asciiTheme="minorHAnsi" w:hAnsiTheme="minorHAnsi" w:cstheme="minorHAnsi"/>
          <w:b w:val="0"/>
          <w:color w:val="auto"/>
          <w:sz w:val="21"/>
          <w:szCs w:val="21"/>
        </w:rPr>
        <w:t>cover</w:t>
      </w:r>
      <w:r w:rsidR="008E0172" w:rsidRPr="00415DEE">
        <w:rPr>
          <w:rFonts w:asciiTheme="minorHAnsi" w:hAnsiTheme="minorHAnsi" w:cstheme="minorHAnsi"/>
          <w:b w:val="0"/>
          <w:color w:val="auto"/>
          <w:sz w:val="21"/>
          <w:szCs w:val="21"/>
        </w:rPr>
        <w:t>s</w:t>
      </w:r>
      <w:r w:rsidR="00DA64E4" w:rsidRPr="00415DEE">
        <w:rPr>
          <w:rFonts w:asciiTheme="minorHAnsi" w:hAnsiTheme="minorHAnsi" w:cstheme="minorHAnsi"/>
          <w:b w:val="0"/>
          <w:color w:val="auto"/>
          <w:sz w:val="21"/>
          <w:szCs w:val="21"/>
        </w:rPr>
        <w:t xml:space="preserve"> </w:t>
      </w:r>
      <w:r w:rsidR="00DA64E4" w:rsidRPr="00705BD3">
        <w:rPr>
          <w:rFonts w:asciiTheme="minorHAnsi" w:hAnsiTheme="minorHAnsi" w:cstheme="minorHAnsi"/>
          <w:b w:val="0"/>
          <w:color w:val="auto"/>
          <w:sz w:val="21"/>
          <w:szCs w:val="21"/>
        </w:rPr>
        <w:t xml:space="preserve">Key Evaluation Questions and sub-questions, </w:t>
      </w:r>
      <w:r w:rsidR="008E0172" w:rsidRPr="00415DEE">
        <w:rPr>
          <w:rFonts w:asciiTheme="minorHAnsi" w:hAnsiTheme="minorHAnsi" w:cstheme="minorHAnsi"/>
          <w:b w:val="0"/>
          <w:color w:val="auto"/>
          <w:sz w:val="21"/>
          <w:szCs w:val="21"/>
        </w:rPr>
        <w:t xml:space="preserve">Annex 2 </w:t>
      </w:r>
      <w:r w:rsidR="003122E6" w:rsidRPr="00415DEE">
        <w:rPr>
          <w:rFonts w:asciiTheme="minorHAnsi" w:hAnsiTheme="minorHAnsi" w:cstheme="minorHAnsi"/>
          <w:b w:val="0"/>
          <w:color w:val="auto"/>
          <w:sz w:val="21"/>
          <w:szCs w:val="21"/>
        </w:rPr>
        <w:t>details</w:t>
      </w:r>
      <w:r w:rsidR="008E0172" w:rsidRPr="00415DEE">
        <w:rPr>
          <w:rFonts w:asciiTheme="minorHAnsi" w:hAnsiTheme="minorHAnsi" w:cstheme="minorHAnsi"/>
          <w:b w:val="0"/>
          <w:color w:val="auto"/>
          <w:sz w:val="21"/>
          <w:szCs w:val="21"/>
        </w:rPr>
        <w:t xml:space="preserve"> </w:t>
      </w:r>
      <w:r w:rsidR="00B661D1">
        <w:rPr>
          <w:rFonts w:asciiTheme="minorHAnsi" w:hAnsiTheme="minorHAnsi" w:cstheme="minorHAnsi"/>
          <w:b w:val="0"/>
          <w:color w:val="auto"/>
          <w:sz w:val="21"/>
          <w:szCs w:val="21"/>
        </w:rPr>
        <w:t>p</w:t>
      </w:r>
      <w:r w:rsidR="00DA64E4" w:rsidRPr="00705BD3">
        <w:rPr>
          <w:rFonts w:asciiTheme="minorHAnsi" w:hAnsiTheme="minorHAnsi" w:cstheme="minorHAnsi"/>
          <w:b w:val="0"/>
          <w:color w:val="auto"/>
          <w:sz w:val="21"/>
          <w:szCs w:val="21"/>
        </w:rPr>
        <w:t xml:space="preserve">rogress </w:t>
      </w:r>
      <w:r w:rsidR="00B661D1">
        <w:rPr>
          <w:rFonts w:asciiTheme="minorHAnsi" w:hAnsiTheme="minorHAnsi" w:cstheme="minorHAnsi"/>
          <w:b w:val="0"/>
          <w:color w:val="auto"/>
          <w:sz w:val="21"/>
          <w:szCs w:val="21"/>
        </w:rPr>
        <w:t>a</w:t>
      </w:r>
      <w:r w:rsidR="00DA64E4" w:rsidRPr="00705BD3">
        <w:rPr>
          <w:rFonts w:asciiTheme="minorHAnsi" w:hAnsiTheme="minorHAnsi" w:cstheme="minorHAnsi"/>
          <w:b w:val="0"/>
          <w:color w:val="auto"/>
          <w:sz w:val="21"/>
          <w:szCs w:val="21"/>
        </w:rPr>
        <w:t xml:space="preserve">gainst </w:t>
      </w:r>
      <w:r w:rsidR="00B661D1">
        <w:rPr>
          <w:rFonts w:asciiTheme="minorHAnsi" w:hAnsiTheme="minorHAnsi" w:cstheme="minorHAnsi"/>
          <w:b w:val="0"/>
          <w:color w:val="auto"/>
          <w:sz w:val="21"/>
          <w:szCs w:val="21"/>
        </w:rPr>
        <w:t>i</w:t>
      </w:r>
      <w:r w:rsidR="00DA64E4" w:rsidRPr="00705BD3">
        <w:rPr>
          <w:rFonts w:asciiTheme="minorHAnsi" w:hAnsiTheme="minorHAnsi" w:cstheme="minorHAnsi"/>
          <w:b w:val="0"/>
          <w:color w:val="auto"/>
          <w:sz w:val="21"/>
          <w:szCs w:val="21"/>
        </w:rPr>
        <w:t xml:space="preserve">ndicators, </w:t>
      </w:r>
      <w:r w:rsidR="008E0172" w:rsidRPr="00415DEE">
        <w:rPr>
          <w:rFonts w:asciiTheme="minorHAnsi" w:hAnsiTheme="minorHAnsi" w:cstheme="minorHAnsi"/>
          <w:b w:val="0"/>
          <w:color w:val="auto"/>
          <w:sz w:val="21"/>
          <w:szCs w:val="21"/>
        </w:rPr>
        <w:t xml:space="preserve">Annex 3 provides a </w:t>
      </w:r>
      <w:r w:rsidR="00DA64E4" w:rsidRPr="00705BD3">
        <w:rPr>
          <w:rFonts w:asciiTheme="minorHAnsi" w:hAnsiTheme="minorHAnsi" w:cstheme="minorHAnsi"/>
          <w:b w:val="0"/>
          <w:color w:val="auto"/>
          <w:sz w:val="21"/>
          <w:szCs w:val="21"/>
        </w:rPr>
        <w:t>Grant</w:t>
      </w:r>
      <w:r w:rsidR="00DA64E4" w:rsidRPr="00415DEE">
        <w:rPr>
          <w:rFonts w:asciiTheme="minorHAnsi" w:hAnsiTheme="minorHAnsi" w:cstheme="minorHAnsi"/>
          <w:b w:val="0"/>
          <w:color w:val="auto"/>
          <w:sz w:val="21"/>
          <w:szCs w:val="21"/>
        </w:rPr>
        <w:t>s</w:t>
      </w:r>
      <w:r w:rsidR="00DA64E4" w:rsidRPr="00705BD3">
        <w:rPr>
          <w:rFonts w:asciiTheme="minorHAnsi" w:hAnsiTheme="minorHAnsi" w:cstheme="minorHAnsi"/>
          <w:b w:val="0"/>
          <w:color w:val="auto"/>
          <w:sz w:val="21"/>
          <w:szCs w:val="21"/>
        </w:rPr>
        <w:t xml:space="preserve"> Summary Table</w:t>
      </w:r>
      <w:r w:rsidR="00DA64E4" w:rsidRPr="00415DEE">
        <w:rPr>
          <w:rFonts w:asciiTheme="minorHAnsi" w:hAnsiTheme="minorHAnsi" w:cstheme="minorHAnsi"/>
          <w:b w:val="0"/>
          <w:color w:val="auto"/>
          <w:sz w:val="21"/>
          <w:szCs w:val="21"/>
        </w:rPr>
        <w:t xml:space="preserve">, and </w:t>
      </w:r>
      <w:r w:rsidR="008E0172" w:rsidRPr="00415DEE">
        <w:rPr>
          <w:rFonts w:asciiTheme="minorHAnsi" w:hAnsiTheme="minorHAnsi" w:cstheme="minorHAnsi"/>
          <w:b w:val="0"/>
          <w:color w:val="auto"/>
          <w:sz w:val="21"/>
          <w:szCs w:val="21"/>
        </w:rPr>
        <w:t xml:space="preserve">Annex 4 </w:t>
      </w:r>
      <w:r w:rsidR="003122E6" w:rsidRPr="00415DEE">
        <w:rPr>
          <w:rFonts w:asciiTheme="minorHAnsi" w:hAnsiTheme="minorHAnsi" w:cstheme="minorHAnsi"/>
          <w:b w:val="0"/>
          <w:color w:val="auto"/>
          <w:sz w:val="21"/>
          <w:szCs w:val="21"/>
        </w:rPr>
        <w:t>outlines</w:t>
      </w:r>
      <w:r w:rsidR="008E0172" w:rsidRPr="00415DEE">
        <w:rPr>
          <w:rFonts w:asciiTheme="minorHAnsi" w:hAnsiTheme="minorHAnsi" w:cstheme="minorHAnsi"/>
          <w:b w:val="0"/>
          <w:color w:val="auto"/>
          <w:sz w:val="21"/>
          <w:szCs w:val="21"/>
        </w:rPr>
        <w:t xml:space="preserve"> </w:t>
      </w:r>
      <w:r w:rsidR="00DA64E4" w:rsidRPr="00415DEE">
        <w:rPr>
          <w:rFonts w:asciiTheme="minorHAnsi" w:hAnsiTheme="minorHAnsi" w:cstheme="minorHAnsi"/>
          <w:b w:val="0"/>
          <w:color w:val="auto"/>
          <w:sz w:val="21"/>
          <w:szCs w:val="21"/>
        </w:rPr>
        <w:t>Management Responses (to previous recommendations</w:t>
      </w:r>
      <w:r w:rsidR="008E0172" w:rsidRPr="00415DEE">
        <w:rPr>
          <w:rFonts w:asciiTheme="minorHAnsi" w:hAnsiTheme="minorHAnsi" w:cstheme="minorHAnsi"/>
          <w:b w:val="0"/>
          <w:color w:val="auto"/>
          <w:sz w:val="21"/>
          <w:szCs w:val="21"/>
        </w:rPr>
        <w:t>)</w:t>
      </w:r>
      <w:r w:rsidR="00DA64E4" w:rsidRPr="00705BD3">
        <w:rPr>
          <w:rFonts w:asciiTheme="minorHAnsi" w:hAnsiTheme="minorHAnsi" w:cstheme="minorHAnsi"/>
          <w:b w:val="0"/>
          <w:color w:val="auto"/>
          <w:sz w:val="21"/>
          <w:szCs w:val="21"/>
        </w:rPr>
        <w:t>.</w:t>
      </w:r>
      <w:bookmarkEnd w:id="67"/>
    </w:p>
    <w:p w14:paraId="59B39042" w14:textId="3CB60EDA" w:rsidR="007C739D" w:rsidRPr="00705BD3" w:rsidRDefault="007C739D" w:rsidP="00705BD3">
      <w:pPr>
        <w:pStyle w:val="Heading3"/>
        <w:spacing w:before="200" w:line="264" w:lineRule="auto"/>
        <w:jc w:val="both"/>
        <w:rPr>
          <w:rFonts w:asciiTheme="minorHAnsi" w:hAnsiTheme="minorHAnsi" w:cstheme="minorHAnsi"/>
          <w:b w:val="0"/>
          <w:color w:val="auto"/>
          <w:sz w:val="21"/>
          <w:szCs w:val="21"/>
        </w:rPr>
      </w:pPr>
      <w:bookmarkStart w:id="68" w:name="_Toc2019653"/>
      <w:r w:rsidRPr="00705BD3">
        <w:rPr>
          <w:rFonts w:asciiTheme="minorHAnsi" w:hAnsiTheme="minorHAnsi" w:cstheme="minorHAnsi"/>
          <w:b w:val="0"/>
          <w:color w:val="auto"/>
          <w:sz w:val="21"/>
          <w:szCs w:val="21"/>
        </w:rPr>
        <w:t>A</w:t>
      </w:r>
      <w:r w:rsidR="00DA64E4" w:rsidRPr="00705BD3">
        <w:rPr>
          <w:rFonts w:asciiTheme="minorHAnsi" w:hAnsiTheme="minorHAnsi" w:cstheme="minorHAnsi"/>
          <w:b w:val="0"/>
          <w:color w:val="auto"/>
          <w:sz w:val="21"/>
          <w:szCs w:val="21"/>
        </w:rPr>
        <w:t xml:space="preserve"> separately submitted </w:t>
      </w:r>
      <w:r w:rsidR="00DA64E4" w:rsidRPr="00415DEE">
        <w:rPr>
          <w:rFonts w:asciiTheme="minorHAnsi" w:hAnsiTheme="minorHAnsi" w:cstheme="minorHAnsi"/>
          <w:b w:val="0"/>
          <w:color w:val="auto"/>
          <w:sz w:val="21"/>
          <w:szCs w:val="21"/>
        </w:rPr>
        <w:t>volume</w:t>
      </w:r>
      <w:r w:rsidR="00DA64E4" w:rsidRPr="00705BD3">
        <w:rPr>
          <w:rFonts w:asciiTheme="minorHAnsi" w:hAnsiTheme="minorHAnsi" w:cstheme="minorHAnsi"/>
          <w:b w:val="0"/>
          <w:color w:val="auto"/>
          <w:sz w:val="21"/>
          <w:szCs w:val="21"/>
        </w:rPr>
        <w:t xml:space="preserve"> includes </w:t>
      </w:r>
      <w:r w:rsidR="00DA64E4" w:rsidRPr="00415DEE">
        <w:rPr>
          <w:rFonts w:asciiTheme="minorHAnsi" w:hAnsiTheme="minorHAnsi" w:cstheme="minorHAnsi"/>
          <w:b w:val="0"/>
          <w:color w:val="auto"/>
          <w:sz w:val="21"/>
          <w:szCs w:val="21"/>
        </w:rPr>
        <w:t>revised Risk and Mitigation Measures, the Financial Report with explanation of deviations, and the Evidence Matrix.</w:t>
      </w:r>
      <w:bookmarkEnd w:id="68"/>
      <w:r w:rsidR="00DA64E4" w:rsidRPr="00415DEE">
        <w:rPr>
          <w:rFonts w:asciiTheme="minorHAnsi" w:hAnsiTheme="minorHAnsi" w:cstheme="minorHAnsi"/>
          <w:b w:val="0"/>
          <w:color w:val="auto"/>
          <w:sz w:val="21"/>
          <w:szCs w:val="21"/>
        </w:rPr>
        <w:t xml:space="preserve"> </w:t>
      </w:r>
      <w:r w:rsidRPr="00705BD3">
        <w:rPr>
          <w:rFonts w:asciiTheme="minorHAnsi" w:hAnsiTheme="minorHAnsi" w:cstheme="minorHAnsi"/>
          <w:b w:val="0"/>
          <w:color w:val="auto"/>
          <w:sz w:val="21"/>
          <w:szCs w:val="21"/>
        </w:rPr>
        <w:t xml:space="preserve"> </w:t>
      </w:r>
    </w:p>
    <w:p w14:paraId="5863808B" w14:textId="468BF913" w:rsidR="008E0172" w:rsidRDefault="006B0C84" w:rsidP="00447313">
      <w:pPr>
        <w:spacing w:line="288" w:lineRule="auto"/>
        <w:jc w:val="both"/>
        <w:rPr>
          <w:rStyle w:val="Style1Char"/>
          <w:rFonts w:asciiTheme="minorHAnsi" w:hAnsiTheme="minorHAnsi" w:cstheme="minorHAnsi"/>
          <w:b/>
          <w:bCs w:val="0"/>
          <w:color w:val="822B6A"/>
          <w:sz w:val="28"/>
          <w:szCs w:val="28"/>
        </w:rPr>
        <w:sectPr w:rsidR="008E0172" w:rsidSect="00E1032F">
          <w:endnotePr>
            <w:numFmt w:val="decimal"/>
          </w:endnotePr>
          <w:pgSz w:w="11906" w:h="16838" w:code="9"/>
          <w:pgMar w:top="1418" w:right="1133" w:bottom="1135" w:left="1418" w:header="709" w:footer="624" w:gutter="0"/>
          <w:cols w:space="567"/>
          <w:docGrid w:linePitch="360"/>
        </w:sectPr>
      </w:pPr>
      <w:r w:rsidRPr="00AF3402">
        <w:rPr>
          <w:rFonts w:asciiTheme="minorHAnsi" w:hAnsiTheme="minorHAnsi" w:cstheme="minorHAnsi"/>
          <w:noProof/>
          <w:color w:val="822B6A"/>
          <w:sz w:val="21"/>
          <w:szCs w:val="21"/>
        </w:rPr>
        <mc:AlternateContent>
          <mc:Choice Requires="wps">
            <w:drawing>
              <wp:anchor distT="0" distB="0" distL="114300" distR="114300" simplePos="0" relativeHeight="251767808" behindDoc="0" locked="0" layoutInCell="1" allowOverlap="1" wp14:anchorId="6E347D9E" wp14:editId="5DF432A8">
                <wp:simplePos x="0" y="0"/>
                <wp:positionH relativeFrom="column">
                  <wp:posOffset>-916187</wp:posOffset>
                </wp:positionH>
                <wp:positionV relativeFrom="paragraph">
                  <wp:posOffset>1387151</wp:posOffset>
                </wp:positionV>
                <wp:extent cx="7624349" cy="321945"/>
                <wp:effectExtent l="0" t="0" r="0" b="1270"/>
                <wp:wrapNone/>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4349" cy="321945"/>
                        </a:xfrm>
                        <a:prstGeom prst="rect">
                          <a:avLst/>
                        </a:prstGeom>
                        <a:noFill/>
                        <a:ln w="9525">
                          <a:noFill/>
                          <a:miter lim="800000"/>
                          <a:headEnd/>
                          <a:tailEnd/>
                        </a:ln>
                      </wps:spPr>
                      <wps:txbx>
                        <w:txbxContent>
                          <w:p w14:paraId="092E8551" w14:textId="77777777" w:rsidR="00ED4461" w:rsidRPr="00D27A4C" w:rsidRDefault="00ED4461" w:rsidP="006B0C84">
                            <w:pPr>
                              <w:ind w:left="720"/>
                              <w:rPr>
                                <w:rFonts w:asciiTheme="minorHAnsi" w:hAnsiTheme="minorHAnsi" w:cstheme="minorHAnsi"/>
                                <w:b w:val="0"/>
                                <w:color w:val="auto"/>
                                <w:sz w:val="18"/>
                                <w:u w:val="none"/>
                                <w:lang w:val="en-US"/>
                              </w:rPr>
                            </w:pPr>
                            <w:r w:rsidRPr="00D27A4C">
                              <w:rPr>
                                <w:rFonts w:asciiTheme="minorHAnsi" w:hAnsiTheme="minorHAnsi" w:cstheme="minorHAnsi"/>
                                <w:b w:val="0"/>
                                <w:color w:val="auto"/>
                                <w:sz w:val="18"/>
                                <w:u w:val="none"/>
                                <w:lang w:val="en-US"/>
                              </w:rPr>
                              <w:t>Launch of Nabilan Phase 2 on 31 July 2018.</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E347D9E" id="_x0000_s1027" type="#_x0000_t202" style="position:absolute;left:0;text-align:left;margin-left:-72.15pt;margin-top:109.2pt;width:600.35pt;height:25.35pt;z-index:251767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" filled="f" stroked="f">
                <v:textbox style="mso-fit-shape-to-text:t">
                  <w:txbxContent>
                    <w:p w14:paraId="092E8551" w14:textId="77777777" w:rsidR="00ED4461" w:rsidRPr="00D27A4C" w:rsidRDefault="00ED4461" w:rsidP="006B0C84">
                      <w:pPr>
                        <w:ind w:left="720"/>
                        <w:rPr>
                          <w:rFonts w:asciiTheme="minorHAnsi" w:hAnsiTheme="minorHAnsi" w:cstheme="minorHAnsi"/>
                          <w:b w:val="0"/>
                          <w:color w:val="auto"/>
                          <w:sz w:val="18"/>
                          <w:u w:val="none"/>
                          <w:lang w:val="en-US"/>
                        </w:rPr>
                      </w:pPr>
                      <w:r w:rsidRPr="00D27A4C">
                        <w:rPr>
                          <w:rFonts w:asciiTheme="minorHAnsi" w:hAnsiTheme="minorHAnsi" w:cstheme="minorHAnsi"/>
                          <w:b w:val="0"/>
                          <w:color w:val="auto"/>
                          <w:sz w:val="18"/>
                          <w:u w:val="none"/>
                          <w:lang w:val="en-US"/>
                        </w:rPr>
                        <w:t>Launch of Nabilan Phase 2 on 31 July 2018.</w:t>
                      </w:r>
                    </w:p>
                  </w:txbxContent>
                </v:textbox>
              </v:shape>
            </w:pict>
          </mc:Fallback>
        </mc:AlternateContent>
      </w:r>
      <w:r w:rsidRPr="00AF3402">
        <w:rPr>
          <w:rFonts w:asciiTheme="minorHAnsi" w:hAnsiTheme="minorHAnsi" w:cstheme="minorHAnsi"/>
          <w:b w:val="0"/>
          <w:noProof/>
          <w:color w:val="595959" w:themeColor="text1" w:themeTint="A6"/>
          <w:sz w:val="21"/>
          <w:szCs w:val="21"/>
          <w:u w:val="none"/>
        </w:rPr>
        <w:drawing>
          <wp:anchor distT="0" distB="0" distL="114300" distR="114300" simplePos="0" relativeHeight="251765760" behindDoc="0" locked="0" layoutInCell="1" allowOverlap="1" wp14:anchorId="46D561B5" wp14:editId="7C4840D4">
            <wp:simplePos x="0" y="0"/>
            <wp:positionH relativeFrom="column">
              <wp:posOffset>-1931213</wp:posOffset>
            </wp:positionH>
            <wp:positionV relativeFrom="page">
              <wp:posOffset>4848343</wp:posOffset>
            </wp:positionV>
            <wp:extent cx="8979535" cy="5856605"/>
            <wp:effectExtent l="0" t="0" r="0"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a:extLst>
                        <a:ext uri="{28A0092B-C50C-407E-A947-70E740481C1C}">
                          <a14:useLocalDpi xmlns:a14="http://schemas.microsoft.com/office/drawing/2010/main" val="0"/>
                        </a:ext>
                      </a:extLst>
                    </a:blip>
                    <a:srcRect/>
                    <a:stretch/>
                  </pic:blipFill>
                  <pic:spPr bwMode="auto">
                    <a:xfrm>
                      <a:off x="0" y="0"/>
                      <a:ext cx="8979535" cy="58566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69" w:name="_Toc357766329"/>
      <w:bookmarkStart w:id="70" w:name="_Toc357766535"/>
      <w:bookmarkStart w:id="71" w:name="_Toc357773001"/>
      <w:bookmarkStart w:id="72" w:name="_Toc357773124"/>
      <w:bookmarkStart w:id="73" w:name="_Toc357773255"/>
      <w:bookmarkStart w:id="74" w:name="_Toc357773475"/>
      <w:bookmarkStart w:id="75" w:name="_Toc357773594"/>
      <w:bookmarkStart w:id="76" w:name="_Toc357773713"/>
      <w:bookmarkStart w:id="77" w:name="_Toc357776375"/>
      <w:bookmarkStart w:id="78" w:name="_Toc425344"/>
      <w:bookmarkStart w:id="79" w:name="_Toc437966"/>
      <w:bookmarkStart w:id="80" w:name="_Toc426060340"/>
      <w:bookmarkStart w:id="81" w:name="_Toc365456380"/>
      <w:bookmarkStart w:id="82" w:name="_Toc365640176"/>
      <w:bookmarkStart w:id="83" w:name="_Toc365884712"/>
      <w:bookmarkStart w:id="84" w:name="_Toc365884880"/>
      <w:bookmarkStart w:id="85" w:name="_Toc365885098"/>
      <w:bookmarkEnd w:id="50"/>
      <w:bookmarkEnd w:id="51"/>
      <w:bookmarkEnd w:id="52"/>
      <w:bookmarkEnd w:id="53"/>
      <w:bookmarkEnd w:id="54"/>
      <w:bookmarkEnd w:id="69"/>
      <w:bookmarkEnd w:id="70"/>
      <w:bookmarkEnd w:id="71"/>
      <w:bookmarkEnd w:id="72"/>
      <w:bookmarkEnd w:id="73"/>
      <w:bookmarkEnd w:id="74"/>
      <w:bookmarkEnd w:id="75"/>
      <w:bookmarkEnd w:id="76"/>
      <w:bookmarkEnd w:id="77"/>
      <w:r w:rsidR="004F4DBF" w:rsidRPr="00BF4F0F">
        <w:rPr>
          <w:rStyle w:val="Style1Char"/>
          <w:rFonts w:asciiTheme="minorHAnsi" w:hAnsiTheme="minorHAnsi" w:cstheme="minorHAnsi"/>
          <w:b/>
          <w:bCs w:val="0"/>
          <w:color w:val="822B6A"/>
          <w:sz w:val="28"/>
          <w:szCs w:val="28"/>
        </w:rPr>
        <w:t xml:space="preserve"> </w:t>
      </w:r>
    </w:p>
    <w:bookmarkStart w:id="86" w:name="_Toc2019654"/>
    <w:bookmarkStart w:id="87" w:name="_Toc1902713"/>
    <w:p w14:paraId="1DD92E86" w14:textId="11252887" w:rsidR="00AC4CAC" w:rsidRDefault="00AC4CAC" w:rsidP="00AC4CAC">
      <w:pPr>
        <w:pStyle w:val="Heading3"/>
        <w:spacing w:before="200" w:line="264" w:lineRule="auto"/>
        <w:jc w:val="both"/>
        <w:rPr>
          <w:rStyle w:val="Style1Char"/>
          <w:rFonts w:asciiTheme="minorHAnsi" w:hAnsiTheme="minorHAnsi" w:cstheme="minorHAnsi"/>
          <w:b/>
          <w:bCs w:val="0"/>
          <w:color w:val="822B6A"/>
          <w:sz w:val="28"/>
          <w:szCs w:val="28"/>
        </w:rPr>
      </w:pPr>
      <w:r w:rsidRPr="00BF4F0F">
        <w:rPr>
          <w:rStyle w:val="Style1Char"/>
          <w:rFonts w:asciiTheme="minorHAnsi" w:hAnsiTheme="minorHAnsi" w:cstheme="minorHAnsi"/>
          <w:b/>
          <w:bCs w:val="0"/>
          <w:noProof/>
          <w:color w:val="822B6A"/>
          <w:sz w:val="28"/>
          <w:szCs w:val="28"/>
        </w:rPr>
        <mc:AlternateContent>
          <mc:Choice Requires="wps">
            <w:drawing>
              <wp:anchor distT="45720" distB="45720" distL="114300" distR="114300" simplePos="0" relativeHeight="251786240" behindDoc="0" locked="0" layoutInCell="1" allowOverlap="1" wp14:anchorId="3FF8759C" wp14:editId="7AEBF122">
                <wp:simplePos x="0" y="0"/>
                <wp:positionH relativeFrom="column">
                  <wp:posOffset>-529458</wp:posOffset>
                </wp:positionH>
                <wp:positionV relativeFrom="paragraph">
                  <wp:posOffset>-770686</wp:posOffset>
                </wp:positionV>
                <wp:extent cx="2665095" cy="465826"/>
                <wp:effectExtent l="0" t="0" r="0" b="0"/>
                <wp:wrapNone/>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5095" cy="465826"/>
                        </a:xfrm>
                        <a:prstGeom prst="rect">
                          <a:avLst/>
                        </a:prstGeom>
                        <a:noFill/>
                        <a:ln w="9525">
                          <a:noFill/>
                          <a:miter lim="800000"/>
                          <a:headEnd/>
                          <a:tailEnd/>
                        </a:ln>
                      </wps:spPr>
                      <wps:txbx>
                        <w:txbxContent>
                          <w:p w14:paraId="6AB4F942" w14:textId="77777777" w:rsidR="00ED4461" w:rsidRPr="00AC4CAC" w:rsidRDefault="00ED4461" w:rsidP="00AC4CAC">
                            <w:pPr>
                              <w:rPr>
                                <w:rFonts w:asciiTheme="minorHAnsi" w:hAnsiTheme="minorHAnsi" w:cstheme="minorHAnsi"/>
                                <w:color w:val="auto"/>
                                <w:sz w:val="18"/>
                                <w:szCs w:val="20"/>
                                <w:u w:val="none"/>
                              </w:rPr>
                            </w:pPr>
                            <w:r w:rsidRPr="00AC4CAC">
                              <w:rPr>
                                <w:rFonts w:asciiTheme="minorHAnsi" w:hAnsiTheme="minorHAnsi" w:cstheme="minorHAnsi"/>
                                <w:b w:val="0"/>
                                <w:color w:val="auto"/>
                                <w:sz w:val="18"/>
                                <w:szCs w:val="20"/>
                                <w:u w:val="none"/>
                                <w:lang w:val="en-US"/>
                              </w:rPr>
                              <w:t xml:space="preserve">Design session for the ‘Hamahon’ referral app by Catalpa International, 27 October 2018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FF8759C" id="_x0000_s1028" type="#_x0000_t202" style="position:absolute;left:0;text-align:left;margin-left:-41.7pt;margin-top:-60.7pt;width:209.85pt;height:36.7pt;z-index:251786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" filled="f" stroked="f">
                <v:textbox>
                  <w:txbxContent>
                    <w:p w14:paraId="6AB4F942" w14:textId="77777777" w:rsidR="00ED4461" w:rsidRPr="00AC4CAC" w:rsidRDefault="00ED4461" w:rsidP="00AC4CAC">
                      <w:pPr>
                        <w:rPr>
                          <w:rFonts w:asciiTheme="minorHAnsi" w:hAnsiTheme="minorHAnsi" w:cstheme="minorHAnsi"/>
                          <w:color w:val="auto"/>
                          <w:sz w:val="18"/>
                          <w:szCs w:val="20"/>
                          <w:u w:val="none"/>
                        </w:rPr>
                      </w:pPr>
                      <w:r w:rsidRPr="00AC4CAC">
                        <w:rPr>
                          <w:rFonts w:asciiTheme="minorHAnsi" w:hAnsiTheme="minorHAnsi" w:cstheme="minorHAnsi"/>
                          <w:b w:val="0"/>
                          <w:color w:val="auto"/>
                          <w:sz w:val="18"/>
                          <w:szCs w:val="20"/>
                          <w:u w:val="none"/>
                          <w:lang w:val="en-US"/>
                        </w:rPr>
                        <w:t xml:space="preserve">Design session for the ‘Hamahon’ referral app by Catalpa International, 27 October 2018 </w:t>
                      </w:r>
                    </w:p>
                  </w:txbxContent>
                </v:textbox>
              </v:shape>
            </w:pict>
          </mc:Fallback>
        </mc:AlternateContent>
      </w:r>
      <w:r w:rsidRPr="00BF4F0F">
        <w:rPr>
          <w:rStyle w:val="Heading2Char"/>
          <w:b w:val="0"/>
          <w:bCs/>
          <w:noProof/>
        </w:rPr>
        <w:drawing>
          <wp:anchor distT="0" distB="0" distL="114300" distR="114300" simplePos="0" relativeHeight="251785216" behindDoc="1" locked="0" layoutInCell="1" allowOverlap="1" wp14:anchorId="012C4247" wp14:editId="488EA9C0">
            <wp:simplePos x="0" y="0"/>
            <wp:positionH relativeFrom="column">
              <wp:posOffset>-1440611</wp:posOffset>
            </wp:positionH>
            <wp:positionV relativeFrom="page">
              <wp:posOffset>-15145</wp:posOffset>
            </wp:positionV>
            <wp:extent cx="8495030" cy="10717530"/>
            <wp:effectExtent l="0" t="0" r="1270" b="7620"/>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a:extLst>
                        <a:ext uri="{28A0092B-C50C-407E-A947-70E740481C1C}">
                          <a14:useLocalDpi xmlns:a14="http://schemas.microsoft.com/office/drawing/2010/main" val="0"/>
                        </a:ext>
                      </a:extLst>
                    </a:blip>
                    <a:srcRect/>
                    <a:stretch/>
                  </pic:blipFill>
                  <pic:spPr bwMode="auto">
                    <a:xfrm>
                      <a:off x="0" y="0"/>
                      <a:ext cx="8495030" cy="107175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86"/>
    </w:p>
    <w:p w14:paraId="29CE4EE2" w14:textId="007A452B" w:rsidR="00AC4CAC" w:rsidRDefault="00AC4CAC" w:rsidP="00447313">
      <w:pPr>
        <w:pStyle w:val="NoHeading1"/>
        <w:rPr>
          <w:rStyle w:val="Style1Char"/>
          <w:rFonts w:asciiTheme="minorHAnsi" w:hAnsiTheme="minorHAnsi" w:cstheme="minorHAnsi"/>
          <w:b/>
          <w:bCs/>
          <w:color w:val="822B6A"/>
          <w:sz w:val="28"/>
          <w:szCs w:val="28"/>
        </w:rPr>
        <w:sectPr w:rsidR="00AC4CAC" w:rsidSect="00E1032F">
          <w:endnotePr>
            <w:numFmt w:val="decimal"/>
          </w:endnotePr>
          <w:pgSz w:w="11906" w:h="16838" w:code="9"/>
          <w:pgMar w:top="1418" w:right="1133" w:bottom="1135" w:left="1418" w:header="709" w:footer="624" w:gutter="0"/>
          <w:cols w:space="567"/>
          <w:docGrid w:linePitch="360"/>
        </w:sectPr>
      </w:pPr>
    </w:p>
    <w:p w14:paraId="1379615A" w14:textId="7D5465B2" w:rsidR="00FB2298" w:rsidRPr="00D57FC2" w:rsidRDefault="00FB2298" w:rsidP="00447313">
      <w:pPr>
        <w:pStyle w:val="NoHeading1"/>
      </w:pPr>
      <w:bookmarkStart w:id="88" w:name="_Toc1994627"/>
      <w:bookmarkStart w:id="89" w:name="_Toc1999848"/>
      <w:bookmarkStart w:id="90" w:name="_Toc2019655"/>
      <w:r w:rsidRPr="00D0536E">
        <w:rPr>
          <w:rStyle w:val="Style1Char"/>
          <w:rFonts w:asciiTheme="minorHAnsi" w:hAnsiTheme="minorHAnsi" w:cstheme="minorHAnsi"/>
          <w:b/>
          <w:bCs/>
          <w:color w:val="822B6A"/>
          <w:sz w:val="28"/>
          <w:szCs w:val="28"/>
        </w:rPr>
        <w:t>2</w:t>
      </w:r>
      <w:r w:rsidR="00CC0D2F" w:rsidRPr="00D0536E">
        <w:rPr>
          <w:rStyle w:val="Style1Char"/>
          <w:rFonts w:asciiTheme="minorHAnsi" w:hAnsiTheme="minorHAnsi" w:cstheme="minorHAnsi"/>
          <w:b/>
          <w:bCs/>
          <w:color w:val="822B6A"/>
          <w:sz w:val="28"/>
          <w:szCs w:val="28"/>
        </w:rPr>
        <w:t>.</w:t>
      </w:r>
      <w:r w:rsidRPr="00D57FC2">
        <w:rPr>
          <w:rStyle w:val="Style1Char"/>
          <w:rFonts w:asciiTheme="minorHAnsi" w:hAnsiTheme="minorHAnsi" w:cstheme="minorHAnsi"/>
          <w:b/>
          <w:bCs/>
          <w:color w:val="822B6A"/>
          <w:sz w:val="28"/>
          <w:szCs w:val="28"/>
        </w:rPr>
        <w:t xml:space="preserve"> Progress towards outcomes: Services</w:t>
      </w:r>
      <w:bookmarkEnd w:id="78"/>
      <w:bookmarkEnd w:id="79"/>
      <w:bookmarkEnd w:id="87"/>
      <w:bookmarkEnd w:id="88"/>
      <w:bookmarkEnd w:id="89"/>
      <w:bookmarkEnd w:id="90"/>
    </w:p>
    <w:p w14:paraId="036D1F93" w14:textId="77777777" w:rsidR="00FB2298" w:rsidRPr="00BF4F0F" w:rsidRDefault="00FB2298" w:rsidP="00705BD3">
      <w:pPr>
        <w:pStyle w:val="Heading2"/>
      </w:pPr>
      <w:bookmarkStart w:id="91" w:name="_Toc425346"/>
      <w:bookmarkStart w:id="92" w:name="_Toc437968"/>
      <w:bookmarkStart w:id="93" w:name="_Toc1902714"/>
      <w:bookmarkStart w:id="94" w:name="_Toc1994628"/>
      <w:bookmarkStart w:id="95" w:name="_Toc1999849"/>
      <w:bookmarkStart w:id="96" w:name="_Toc2019656"/>
      <w:bookmarkStart w:id="97" w:name="_Toc365884721"/>
      <w:bookmarkStart w:id="98" w:name="_Toc365884894"/>
      <w:bookmarkStart w:id="99" w:name="_Toc365885105"/>
      <w:bookmarkStart w:id="100" w:name="_Hlk514589778"/>
      <w:bookmarkEnd w:id="80"/>
      <w:bookmarkEnd w:id="81"/>
      <w:bookmarkEnd w:id="82"/>
      <w:bookmarkEnd w:id="83"/>
      <w:bookmarkEnd w:id="84"/>
      <w:bookmarkEnd w:id="85"/>
      <w:r w:rsidRPr="00BF4F0F">
        <w:t>What Nabilan did</w:t>
      </w:r>
      <w:bookmarkEnd w:id="91"/>
      <w:bookmarkEnd w:id="92"/>
      <w:bookmarkEnd w:id="93"/>
      <w:bookmarkEnd w:id="94"/>
      <w:bookmarkEnd w:id="95"/>
      <w:bookmarkEnd w:id="96"/>
    </w:p>
    <w:p w14:paraId="0C61011A" w14:textId="1F94014C" w:rsidR="00500C7B" w:rsidRPr="005E4703" w:rsidRDefault="00DD7313" w:rsidP="005E4703">
      <w:pPr>
        <w:spacing w:line="264" w:lineRule="auto"/>
        <w:jc w:val="both"/>
        <w:rPr>
          <w:rFonts w:asciiTheme="minorHAnsi" w:hAnsiTheme="minorHAnsi" w:cstheme="minorHAnsi"/>
          <w:b w:val="0"/>
          <w:color w:val="auto"/>
          <w:sz w:val="21"/>
          <w:szCs w:val="21"/>
          <w:u w:val="none"/>
        </w:rPr>
      </w:pPr>
      <w:r w:rsidRPr="005E4703">
        <w:rPr>
          <w:rFonts w:asciiTheme="minorHAnsi" w:hAnsiTheme="minorHAnsi" w:cstheme="minorHAnsi"/>
          <w:b w:val="0"/>
          <w:color w:val="auto"/>
          <w:sz w:val="21"/>
          <w:szCs w:val="21"/>
          <w:u w:val="none"/>
        </w:rPr>
        <w:t>In 2018, Nabilan provided a total of $</w:t>
      </w:r>
      <w:r w:rsidR="003122E6" w:rsidRPr="005E4703">
        <w:rPr>
          <w:rFonts w:asciiTheme="minorHAnsi" w:hAnsiTheme="minorHAnsi" w:cstheme="minorHAnsi"/>
          <w:b w:val="0"/>
          <w:color w:val="auto"/>
          <w:sz w:val="21"/>
          <w:szCs w:val="21"/>
          <w:u w:val="none"/>
        </w:rPr>
        <w:t>US</w:t>
      </w:r>
      <w:r w:rsidRPr="005E4703">
        <w:rPr>
          <w:rFonts w:asciiTheme="minorHAnsi" w:hAnsiTheme="minorHAnsi" w:cstheme="minorHAnsi"/>
          <w:b w:val="0"/>
          <w:color w:val="auto"/>
          <w:sz w:val="21"/>
          <w:szCs w:val="21"/>
          <w:u w:val="none"/>
        </w:rPr>
        <w:t xml:space="preserve">1,476,042.07 in grants to </w:t>
      </w:r>
      <w:r w:rsidR="00563E43" w:rsidRPr="005E4703">
        <w:rPr>
          <w:rFonts w:asciiTheme="minorHAnsi" w:hAnsiTheme="minorHAnsi" w:cstheme="minorHAnsi"/>
          <w:b w:val="0"/>
          <w:color w:val="auto"/>
          <w:sz w:val="21"/>
          <w:szCs w:val="21"/>
          <w:u w:val="none"/>
        </w:rPr>
        <w:t xml:space="preserve">essential violence against women </w:t>
      </w:r>
      <w:r w:rsidRPr="005E4703">
        <w:rPr>
          <w:rFonts w:asciiTheme="minorHAnsi" w:hAnsiTheme="minorHAnsi" w:cstheme="minorHAnsi"/>
          <w:b w:val="0"/>
          <w:color w:val="auto"/>
          <w:sz w:val="21"/>
          <w:szCs w:val="21"/>
          <w:u w:val="none"/>
        </w:rPr>
        <w:t xml:space="preserve">services and advocacy partners: </w:t>
      </w:r>
      <w:r w:rsidRPr="005E4703">
        <w:rPr>
          <w:rFonts w:asciiTheme="minorHAnsi" w:hAnsiTheme="minorHAnsi" w:cstheme="minorHAnsi"/>
          <w:b w:val="0"/>
          <w:i/>
          <w:color w:val="auto"/>
          <w:sz w:val="21"/>
          <w:szCs w:val="21"/>
          <w:u w:val="none"/>
        </w:rPr>
        <w:t>Asisténsia Legal ba Feto no Labari</w:t>
      </w:r>
      <w:r w:rsidR="00DB5434" w:rsidRPr="005E4703">
        <w:rPr>
          <w:rFonts w:asciiTheme="minorHAnsi" w:hAnsiTheme="minorHAnsi" w:cstheme="minorHAnsi"/>
          <w:b w:val="0"/>
          <w:i/>
          <w:color w:val="auto"/>
          <w:sz w:val="21"/>
          <w:szCs w:val="21"/>
          <w:u w:val="none"/>
        </w:rPr>
        <w:t>k</w:t>
      </w:r>
      <w:r w:rsidRPr="005E4703">
        <w:rPr>
          <w:rFonts w:asciiTheme="minorHAnsi" w:hAnsiTheme="minorHAnsi" w:cstheme="minorHAnsi"/>
          <w:b w:val="0"/>
          <w:color w:val="auto"/>
          <w:sz w:val="21"/>
          <w:szCs w:val="21"/>
          <w:u w:val="none"/>
        </w:rPr>
        <w:t xml:space="preserve"> (ALFeLa–legal aid for women and children),</w:t>
      </w:r>
      <w:r w:rsidR="00DB5434" w:rsidRPr="005E4703">
        <w:rPr>
          <w:rFonts w:asciiTheme="minorHAnsi" w:hAnsiTheme="minorHAnsi" w:cstheme="minorHAnsi"/>
          <w:b w:val="0"/>
          <w:color w:val="auto"/>
          <w:sz w:val="21"/>
          <w:szCs w:val="21"/>
          <w:u w:val="none"/>
        </w:rPr>
        <w:t xml:space="preserve"> </w:t>
      </w:r>
      <w:r w:rsidR="00DB5434" w:rsidRPr="005E4703">
        <w:rPr>
          <w:rFonts w:asciiTheme="minorHAnsi" w:hAnsiTheme="minorHAnsi" w:cstheme="minorHAnsi"/>
          <w:b w:val="0"/>
          <w:i/>
          <w:color w:val="auto"/>
          <w:sz w:val="21"/>
          <w:szCs w:val="21"/>
          <w:u w:val="none"/>
        </w:rPr>
        <w:t>Casa Vida</w:t>
      </w:r>
      <w:r w:rsidR="00DB5434" w:rsidRPr="005E4703">
        <w:rPr>
          <w:rFonts w:asciiTheme="minorHAnsi" w:hAnsiTheme="minorHAnsi" w:cstheme="minorHAnsi"/>
          <w:b w:val="0"/>
          <w:color w:val="auto"/>
          <w:sz w:val="21"/>
          <w:szCs w:val="21"/>
          <w:u w:val="none"/>
        </w:rPr>
        <w:t xml:space="preserve"> (shelter for children), </w:t>
      </w:r>
      <w:r w:rsidR="00A4141E" w:rsidRPr="005E4703">
        <w:rPr>
          <w:rFonts w:asciiTheme="minorHAnsi" w:hAnsiTheme="minorHAnsi" w:cstheme="minorHAnsi"/>
          <w:b w:val="0"/>
          <w:color w:val="auto"/>
          <w:sz w:val="21"/>
          <w:szCs w:val="21"/>
          <w:u w:val="none"/>
        </w:rPr>
        <w:t xml:space="preserve">FOKUPERS (shelter for women), </w:t>
      </w:r>
      <w:r w:rsidR="007023FD" w:rsidRPr="005E4703">
        <w:rPr>
          <w:rFonts w:asciiTheme="minorHAnsi" w:hAnsiTheme="minorHAnsi" w:cstheme="minorHAnsi"/>
          <w:b w:val="0"/>
          <w:color w:val="auto"/>
          <w:sz w:val="21"/>
          <w:szCs w:val="21"/>
          <w:u w:val="none"/>
        </w:rPr>
        <w:t xml:space="preserve">Judicial System Monitoring Programme (JSMP–court monitoring </w:t>
      </w:r>
      <w:r w:rsidR="00105C1E" w:rsidRPr="005E4703">
        <w:rPr>
          <w:rFonts w:asciiTheme="minorHAnsi" w:hAnsiTheme="minorHAnsi" w:cstheme="minorHAnsi"/>
          <w:b w:val="0"/>
          <w:color w:val="auto"/>
          <w:sz w:val="21"/>
          <w:szCs w:val="21"/>
          <w:u w:val="none"/>
        </w:rPr>
        <w:t>and</w:t>
      </w:r>
      <w:r w:rsidR="007023FD" w:rsidRPr="005E4703">
        <w:rPr>
          <w:rFonts w:asciiTheme="minorHAnsi" w:hAnsiTheme="minorHAnsi" w:cstheme="minorHAnsi"/>
          <w:b w:val="0"/>
          <w:color w:val="auto"/>
          <w:sz w:val="21"/>
          <w:szCs w:val="21"/>
          <w:u w:val="none"/>
        </w:rPr>
        <w:t xml:space="preserve"> advocacy), </w:t>
      </w:r>
      <w:r w:rsidR="00BD23CE" w:rsidRPr="005E4703">
        <w:rPr>
          <w:rFonts w:asciiTheme="minorHAnsi" w:hAnsiTheme="minorHAnsi" w:cstheme="minorHAnsi"/>
          <w:b w:val="0"/>
          <w:color w:val="auto"/>
          <w:sz w:val="21"/>
          <w:szCs w:val="21"/>
          <w:u w:val="none"/>
        </w:rPr>
        <w:t>Psychosocial Recovery and Development in East Timor (</w:t>
      </w:r>
      <w:r w:rsidR="00DB5434" w:rsidRPr="005E4703">
        <w:rPr>
          <w:rFonts w:asciiTheme="minorHAnsi" w:hAnsiTheme="minorHAnsi" w:cstheme="minorHAnsi"/>
          <w:b w:val="0"/>
          <w:color w:val="auto"/>
          <w:sz w:val="21"/>
          <w:szCs w:val="21"/>
          <w:u w:val="none"/>
        </w:rPr>
        <w:t>PRADET</w:t>
      </w:r>
      <w:r w:rsidR="00BD23CE" w:rsidRPr="005E4703">
        <w:rPr>
          <w:rFonts w:asciiTheme="minorHAnsi" w:hAnsiTheme="minorHAnsi" w:cstheme="minorHAnsi"/>
          <w:b w:val="0"/>
          <w:color w:val="auto"/>
          <w:sz w:val="21"/>
          <w:szCs w:val="21"/>
          <w:u w:val="none"/>
        </w:rPr>
        <w:t>–</w:t>
      </w:r>
      <w:r w:rsidR="00DB5434" w:rsidRPr="005E4703">
        <w:rPr>
          <w:rFonts w:asciiTheme="minorHAnsi" w:hAnsiTheme="minorHAnsi" w:cstheme="minorHAnsi"/>
          <w:b w:val="0"/>
          <w:color w:val="auto"/>
          <w:sz w:val="21"/>
          <w:szCs w:val="21"/>
          <w:u w:val="none"/>
        </w:rPr>
        <w:t xml:space="preserve">one-stop crisis centre for victims of violence), </w:t>
      </w:r>
      <w:r w:rsidR="007023FD" w:rsidRPr="005E4703">
        <w:rPr>
          <w:rFonts w:asciiTheme="minorHAnsi" w:hAnsiTheme="minorHAnsi" w:cstheme="minorHAnsi"/>
          <w:b w:val="0"/>
          <w:color w:val="auto"/>
          <w:sz w:val="21"/>
          <w:szCs w:val="21"/>
          <w:u w:val="none"/>
        </w:rPr>
        <w:t xml:space="preserve">and </w:t>
      </w:r>
      <w:r w:rsidR="00DB5434" w:rsidRPr="005E4703">
        <w:rPr>
          <w:rFonts w:asciiTheme="minorHAnsi" w:hAnsiTheme="minorHAnsi" w:cstheme="minorHAnsi"/>
          <w:b w:val="0"/>
          <w:i/>
          <w:color w:val="auto"/>
          <w:sz w:val="21"/>
          <w:szCs w:val="21"/>
          <w:u w:val="none"/>
        </w:rPr>
        <w:t>Uma Mahon Salele</w:t>
      </w:r>
      <w:r w:rsidR="00DB5434" w:rsidRPr="005E4703">
        <w:rPr>
          <w:rFonts w:asciiTheme="minorHAnsi" w:hAnsiTheme="minorHAnsi" w:cstheme="minorHAnsi"/>
          <w:b w:val="0"/>
          <w:color w:val="auto"/>
          <w:sz w:val="21"/>
          <w:szCs w:val="21"/>
          <w:u w:val="none"/>
        </w:rPr>
        <w:t xml:space="preserve"> (UMS–shelter for women and children</w:t>
      </w:r>
      <w:r w:rsidR="007023FD" w:rsidRPr="005E4703">
        <w:rPr>
          <w:rFonts w:asciiTheme="minorHAnsi" w:hAnsiTheme="minorHAnsi" w:cstheme="minorHAnsi"/>
          <w:b w:val="0"/>
          <w:color w:val="auto"/>
          <w:sz w:val="21"/>
          <w:szCs w:val="21"/>
          <w:u w:val="none"/>
        </w:rPr>
        <w:t xml:space="preserve">). </w:t>
      </w:r>
      <w:r w:rsidR="006756EB" w:rsidRPr="005E4703">
        <w:rPr>
          <w:rFonts w:asciiTheme="minorHAnsi" w:hAnsiTheme="minorHAnsi" w:cstheme="minorHAnsi"/>
          <w:b w:val="0"/>
          <w:color w:val="auto"/>
          <w:sz w:val="21"/>
          <w:szCs w:val="21"/>
          <w:u w:val="none"/>
        </w:rPr>
        <w:t>All grants were awarded after a competitive call for proposals</w:t>
      </w:r>
      <w:r w:rsidR="003122E6" w:rsidRPr="005E4703">
        <w:rPr>
          <w:rFonts w:asciiTheme="minorHAnsi" w:hAnsiTheme="minorHAnsi" w:cstheme="minorHAnsi"/>
          <w:b w:val="0"/>
          <w:color w:val="auto"/>
          <w:sz w:val="21"/>
          <w:szCs w:val="21"/>
          <w:u w:val="none"/>
        </w:rPr>
        <w:t>;</w:t>
      </w:r>
      <w:r w:rsidR="006756EB" w:rsidRPr="005E4703">
        <w:rPr>
          <w:rFonts w:asciiTheme="minorHAnsi" w:hAnsiTheme="minorHAnsi" w:cstheme="minorHAnsi"/>
          <w:b w:val="0"/>
          <w:color w:val="auto"/>
          <w:sz w:val="21"/>
          <w:szCs w:val="21"/>
          <w:u w:val="none"/>
        </w:rPr>
        <w:t xml:space="preserve"> and evaluation by a selection committee comprising representatives from SEII, the Australian Embassy, WaterAid and a prevention expert nominated by Nabilan.</w:t>
      </w:r>
    </w:p>
    <w:p w14:paraId="00740CDA" w14:textId="0820D6ED" w:rsidR="002C0F03" w:rsidRPr="005E4703" w:rsidRDefault="002C0F03" w:rsidP="005E4703">
      <w:pPr>
        <w:spacing w:line="264" w:lineRule="auto"/>
        <w:jc w:val="both"/>
        <w:rPr>
          <w:rFonts w:asciiTheme="minorHAnsi" w:hAnsiTheme="minorHAnsi" w:cstheme="minorHAnsi"/>
          <w:b w:val="0"/>
          <w:color w:val="auto"/>
          <w:sz w:val="21"/>
          <w:szCs w:val="21"/>
          <w:u w:val="none"/>
        </w:rPr>
      </w:pPr>
      <w:r w:rsidRPr="005E4703">
        <w:rPr>
          <w:rFonts w:asciiTheme="minorHAnsi" w:hAnsiTheme="minorHAnsi" w:cstheme="minorHAnsi"/>
          <w:b w:val="0"/>
          <w:color w:val="auto"/>
          <w:sz w:val="21"/>
          <w:szCs w:val="21"/>
          <w:u w:val="none"/>
        </w:rPr>
        <w:t>Key training interventions (Certificate III in Social Service</w:t>
      </w:r>
      <w:r w:rsidR="00B661D1">
        <w:rPr>
          <w:rFonts w:asciiTheme="minorHAnsi" w:hAnsiTheme="minorHAnsi" w:cstheme="minorHAnsi"/>
          <w:b w:val="0"/>
          <w:color w:val="auto"/>
          <w:sz w:val="21"/>
          <w:szCs w:val="21"/>
          <w:u w:val="none"/>
        </w:rPr>
        <w:t>s</w:t>
      </w:r>
      <w:r w:rsidRPr="005E4703">
        <w:rPr>
          <w:rFonts w:asciiTheme="minorHAnsi" w:hAnsiTheme="minorHAnsi" w:cstheme="minorHAnsi"/>
          <w:b w:val="0"/>
          <w:color w:val="auto"/>
          <w:sz w:val="21"/>
          <w:szCs w:val="21"/>
          <w:u w:val="none"/>
        </w:rPr>
        <w:t xml:space="preserve">, 4R training on recognising and responding to non-accidental injuries, and medical forensic examination training) were implemented according to the work plan in 2018. Twenty-one students </w:t>
      </w:r>
      <w:r w:rsidR="003A74E3" w:rsidRPr="005E4703">
        <w:rPr>
          <w:rFonts w:asciiTheme="minorHAnsi" w:hAnsiTheme="minorHAnsi" w:cstheme="minorHAnsi"/>
          <w:b w:val="0"/>
          <w:color w:val="auto"/>
          <w:sz w:val="21"/>
          <w:szCs w:val="21"/>
          <w:u w:val="none"/>
        </w:rPr>
        <w:t xml:space="preserve">from the second round </w:t>
      </w:r>
      <w:r w:rsidRPr="005E4703">
        <w:rPr>
          <w:rFonts w:asciiTheme="minorHAnsi" w:hAnsiTheme="minorHAnsi" w:cstheme="minorHAnsi"/>
          <w:b w:val="0"/>
          <w:color w:val="auto"/>
          <w:sz w:val="21"/>
          <w:szCs w:val="21"/>
          <w:u w:val="none"/>
        </w:rPr>
        <w:t xml:space="preserve">graduated with their Certificate III in Social Services; 98 health workers completed PRADET’s 4R training; and 12 new medical forensic examiners successfully completed their theory and practicum. </w:t>
      </w:r>
    </w:p>
    <w:p w14:paraId="7F1DC8D4" w14:textId="6EE2084E" w:rsidR="00346CD3" w:rsidRPr="005E4703" w:rsidRDefault="00500C7B" w:rsidP="005E4703">
      <w:pPr>
        <w:spacing w:line="264" w:lineRule="auto"/>
        <w:jc w:val="both"/>
        <w:rPr>
          <w:rFonts w:asciiTheme="minorHAnsi" w:hAnsiTheme="minorHAnsi" w:cstheme="minorHAnsi"/>
          <w:b w:val="0"/>
          <w:color w:val="auto"/>
          <w:sz w:val="21"/>
          <w:szCs w:val="21"/>
          <w:u w:val="none"/>
        </w:rPr>
      </w:pPr>
      <w:r w:rsidRPr="005E4703">
        <w:rPr>
          <w:rFonts w:asciiTheme="minorHAnsi" w:hAnsiTheme="minorHAnsi" w:cstheme="minorHAnsi"/>
          <w:b w:val="0"/>
          <w:color w:val="auto"/>
          <w:sz w:val="21"/>
          <w:szCs w:val="21"/>
          <w:u w:val="none"/>
        </w:rPr>
        <w:t xml:space="preserve">Nabilan facilitated make-up sessions for eight students from the second round of the Certificate III course, ensuring that they could graduate. Course materials were updated throughout 2018 in response to the recommendations from the evaluation of the course. Nabilan also supported six </w:t>
      </w:r>
      <w:r w:rsidR="00B661D1">
        <w:rPr>
          <w:rFonts w:asciiTheme="minorHAnsi" w:hAnsiTheme="minorHAnsi" w:cstheme="minorHAnsi"/>
          <w:b w:val="0"/>
          <w:color w:val="auto"/>
          <w:sz w:val="21"/>
          <w:szCs w:val="21"/>
          <w:u w:val="none"/>
        </w:rPr>
        <w:t xml:space="preserve">Certificate III </w:t>
      </w:r>
      <w:r w:rsidRPr="005E4703">
        <w:rPr>
          <w:rFonts w:asciiTheme="minorHAnsi" w:hAnsiTheme="minorHAnsi" w:cstheme="minorHAnsi"/>
          <w:b w:val="0"/>
          <w:color w:val="auto"/>
          <w:sz w:val="21"/>
          <w:szCs w:val="21"/>
          <w:u w:val="none"/>
        </w:rPr>
        <w:t>alumni to undertake their Certificate III in Training</w:t>
      </w:r>
      <w:r w:rsidR="00346CD3" w:rsidRPr="005E4703">
        <w:rPr>
          <w:rFonts w:asciiTheme="minorHAnsi" w:hAnsiTheme="minorHAnsi" w:cstheme="minorHAnsi"/>
          <w:b w:val="0"/>
          <w:color w:val="auto"/>
          <w:sz w:val="21"/>
          <w:szCs w:val="21"/>
          <w:u w:val="none"/>
        </w:rPr>
        <w:t xml:space="preserve"> and Assessment</w:t>
      </w:r>
      <w:r w:rsidRPr="005E4703">
        <w:rPr>
          <w:rFonts w:asciiTheme="minorHAnsi" w:hAnsiTheme="minorHAnsi" w:cstheme="minorHAnsi"/>
          <w:b w:val="0"/>
          <w:color w:val="auto"/>
          <w:sz w:val="21"/>
          <w:szCs w:val="21"/>
          <w:u w:val="none"/>
        </w:rPr>
        <w:t xml:space="preserve"> so that they </w:t>
      </w:r>
      <w:r w:rsidR="00346CD3" w:rsidRPr="005E4703">
        <w:rPr>
          <w:rFonts w:asciiTheme="minorHAnsi" w:hAnsiTheme="minorHAnsi" w:cstheme="minorHAnsi"/>
          <w:b w:val="0"/>
          <w:color w:val="auto"/>
          <w:sz w:val="21"/>
          <w:szCs w:val="21"/>
          <w:u w:val="none"/>
        </w:rPr>
        <w:t xml:space="preserve">can </w:t>
      </w:r>
      <w:r w:rsidRPr="005E4703">
        <w:rPr>
          <w:rFonts w:asciiTheme="minorHAnsi" w:hAnsiTheme="minorHAnsi" w:cstheme="minorHAnsi"/>
          <w:b w:val="0"/>
          <w:color w:val="auto"/>
          <w:sz w:val="21"/>
          <w:szCs w:val="21"/>
          <w:u w:val="none"/>
        </w:rPr>
        <w:t>join as facilitators in the next round of the social services course.</w:t>
      </w:r>
    </w:p>
    <w:p w14:paraId="34AE71B7" w14:textId="2065D78E" w:rsidR="00C06789" w:rsidRPr="005E4703" w:rsidRDefault="00C06789" w:rsidP="005E4703">
      <w:pPr>
        <w:spacing w:line="264" w:lineRule="auto"/>
        <w:jc w:val="both"/>
        <w:rPr>
          <w:rFonts w:asciiTheme="minorHAnsi" w:hAnsiTheme="minorHAnsi" w:cstheme="minorHAnsi"/>
          <w:b w:val="0"/>
          <w:color w:val="auto"/>
          <w:sz w:val="21"/>
          <w:szCs w:val="21"/>
          <w:u w:val="none"/>
        </w:rPr>
      </w:pPr>
      <w:r w:rsidRPr="005E4703">
        <w:rPr>
          <w:rFonts w:asciiTheme="minorHAnsi" w:hAnsiTheme="minorHAnsi" w:cstheme="minorHAnsi"/>
          <w:b w:val="0"/>
          <w:color w:val="auto"/>
          <w:sz w:val="21"/>
          <w:szCs w:val="21"/>
          <w:u w:val="none"/>
        </w:rPr>
        <w:t xml:space="preserve">Nabilan partner PRADET focused </w:t>
      </w:r>
      <w:r w:rsidR="009327E3" w:rsidRPr="005E4703">
        <w:rPr>
          <w:rFonts w:asciiTheme="minorHAnsi" w:hAnsiTheme="minorHAnsi" w:cstheme="minorHAnsi"/>
          <w:b w:val="0"/>
          <w:color w:val="auto"/>
          <w:sz w:val="21"/>
          <w:szCs w:val="21"/>
          <w:u w:val="none"/>
        </w:rPr>
        <w:t>o</w:t>
      </w:r>
      <w:r w:rsidRPr="005E4703">
        <w:rPr>
          <w:rFonts w:asciiTheme="minorHAnsi" w:hAnsiTheme="minorHAnsi" w:cstheme="minorHAnsi"/>
          <w:b w:val="0"/>
          <w:color w:val="auto"/>
          <w:sz w:val="21"/>
          <w:szCs w:val="21"/>
          <w:u w:val="none"/>
        </w:rPr>
        <w:t xml:space="preserve">n improving identification and referral of victims by health providers. PRADET, with Dr Margaret Gibbons and </w:t>
      </w:r>
      <w:r w:rsidR="00046F7B" w:rsidRPr="005E4703">
        <w:rPr>
          <w:rFonts w:asciiTheme="minorHAnsi" w:hAnsiTheme="minorHAnsi" w:cstheme="minorHAnsi"/>
          <w:b w:val="0"/>
          <w:i/>
          <w:color w:val="auto"/>
          <w:sz w:val="21"/>
          <w:szCs w:val="21"/>
          <w:u w:val="none"/>
        </w:rPr>
        <w:t>Instituto Nacional de Saúde</w:t>
      </w:r>
      <w:r w:rsidR="00046F7B" w:rsidRPr="005E4703">
        <w:rPr>
          <w:rFonts w:asciiTheme="minorHAnsi" w:hAnsiTheme="minorHAnsi" w:cstheme="minorHAnsi"/>
          <w:b w:val="0"/>
          <w:color w:val="auto"/>
          <w:sz w:val="21"/>
          <w:szCs w:val="21"/>
          <w:u w:val="none"/>
        </w:rPr>
        <w:t xml:space="preserve"> (</w:t>
      </w:r>
      <w:r w:rsidRPr="005E4703">
        <w:rPr>
          <w:rFonts w:asciiTheme="minorHAnsi" w:hAnsiTheme="minorHAnsi" w:cstheme="minorHAnsi"/>
          <w:b w:val="0"/>
          <w:color w:val="auto"/>
          <w:sz w:val="21"/>
          <w:szCs w:val="21"/>
          <w:u w:val="none"/>
        </w:rPr>
        <w:t>INS</w:t>
      </w:r>
      <w:r w:rsidR="00046F7B" w:rsidRPr="005E4703">
        <w:rPr>
          <w:rFonts w:asciiTheme="minorHAnsi" w:hAnsiTheme="minorHAnsi" w:cstheme="minorHAnsi"/>
          <w:b w:val="0"/>
          <w:color w:val="auto"/>
          <w:sz w:val="21"/>
          <w:szCs w:val="21"/>
          <w:u w:val="none"/>
        </w:rPr>
        <w:t>)</w:t>
      </w:r>
      <w:r w:rsidRPr="005E4703">
        <w:rPr>
          <w:rFonts w:asciiTheme="minorHAnsi" w:hAnsiTheme="minorHAnsi" w:cstheme="minorHAnsi"/>
          <w:b w:val="0"/>
          <w:color w:val="auto"/>
          <w:sz w:val="21"/>
          <w:szCs w:val="21"/>
          <w:u w:val="none"/>
        </w:rPr>
        <w:t>, trained 12 doctors, midwives and nurses</w:t>
      </w:r>
      <w:r w:rsidR="009327E3" w:rsidRPr="005E4703">
        <w:rPr>
          <w:rFonts w:asciiTheme="minorHAnsi" w:hAnsiTheme="minorHAnsi" w:cstheme="minorHAnsi"/>
          <w:b w:val="0"/>
          <w:color w:val="auto"/>
          <w:sz w:val="21"/>
          <w:szCs w:val="21"/>
          <w:u w:val="none"/>
        </w:rPr>
        <w:t>,</w:t>
      </w:r>
      <w:r w:rsidRPr="005E4703">
        <w:rPr>
          <w:rFonts w:asciiTheme="minorHAnsi" w:hAnsiTheme="minorHAnsi" w:cstheme="minorHAnsi"/>
          <w:b w:val="0"/>
          <w:color w:val="auto"/>
          <w:sz w:val="21"/>
          <w:szCs w:val="21"/>
          <w:u w:val="none"/>
        </w:rPr>
        <w:t xml:space="preserve"> to become accredited medical forensic examiners.</w:t>
      </w:r>
      <w:r w:rsidR="009327E3" w:rsidRPr="005E4703">
        <w:rPr>
          <w:rFonts w:asciiTheme="minorHAnsi" w:hAnsiTheme="minorHAnsi" w:cstheme="minorHAnsi"/>
          <w:b w:val="0"/>
          <w:color w:val="auto"/>
          <w:sz w:val="21"/>
          <w:szCs w:val="21"/>
          <w:u w:val="none"/>
        </w:rPr>
        <w:t xml:space="preserve"> </w:t>
      </w:r>
      <w:r w:rsidRPr="005E4703">
        <w:rPr>
          <w:rFonts w:asciiTheme="minorHAnsi" w:hAnsiTheme="minorHAnsi" w:cstheme="minorHAnsi"/>
          <w:b w:val="0"/>
          <w:color w:val="auto"/>
          <w:sz w:val="21"/>
          <w:szCs w:val="21"/>
          <w:u w:val="none"/>
        </w:rPr>
        <w:t xml:space="preserve">PRADET also delivered </w:t>
      </w:r>
      <w:r w:rsidR="002C0F03" w:rsidRPr="005E4703">
        <w:rPr>
          <w:rFonts w:asciiTheme="minorHAnsi" w:hAnsiTheme="minorHAnsi" w:cstheme="minorHAnsi"/>
          <w:b w:val="0"/>
          <w:color w:val="auto"/>
          <w:sz w:val="21"/>
          <w:szCs w:val="21"/>
          <w:u w:val="none"/>
        </w:rPr>
        <w:t xml:space="preserve">three </w:t>
      </w:r>
      <w:r w:rsidRPr="005E4703">
        <w:rPr>
          <w:rFonts w:asciiTheme="minorHAnsi" w:hAnsiTheme="minorHAnsi" w:cstheme="minorHAnsi"/>
          <w:b w:val="0"/>
          <w:color w:val="auto"/>
          <w:sz w:val="21"/>
          <w:szCs w:val="21"/>
          <w:u w:val="none"/>
        </w:rPr>
        <w:t>rounds of 4R training on recognising and responding to non-accidental injuries. Other work in the health</w:t>
      </w:r>
      <w:r w:rsidR="009327E3" w:rsidRPr="005E4703">
        <w:rPr>
          <w:rFonts w:asciiTheme="minorHAnsi" w:hAnsiTheme="minorHAnsi" w:cstheme="minorHAnsi"/>
          <w:b w:val="0"/>
          <w:color w:val="auto"/>
          <w:sz w:val="21"/>
          <w:szCs w:val="21"/>
          <w:u w:val="none"/>
        </w:rPr>
        <w:t xml:space="preserve"> sector included training for Health Alliance International staff on gender, child protection and the legal framework.</w:t>
      </w:r>
    </w:p>
    <w:p w14:paraId="234D52DF" w14:textId="58E98D9A" w:rsidR="00FC1E26" w:rsidRPr="005E4703" w:rsidRDefault="00C06789" w:rsidP="005E4703">
      <w:pPr>
        <w:spacing w:line="264" w:lineRule="auto"/>
        <w:jc w:val="both"/>
        <w:rPr>
          <w:rFonts w:asciiTheme="minorHAnsi" w:hAnsiTheme="minorHAnsi" w:cstheme="minorHAnsi"/>
          <w:b w:val="0"/>
          <w:color w:val="auto"/>
          <w:sz w:val="21"/>
          <w:szCs w:val="21"/>
          <w:u w:val="none"/>
        </w:rPr>
      </w:pPr>
      <w:r w:rsidRPr="005E4703">
        <w:rPr>
          <w:rFonts w:asciiTheme="minorHAnsi" w:hAnsiTheme="minorHAnsi" w:cstheme="minorHAnsi"/>
          <w:b w:val="0"/>
          <w:color w:val="auto"/>
          <w:sz w:val="21"/>
          <w:szCs w:val="21"/>
          <w:u w:val="none"/>
        </w:rPr>
        <w:t>ALFeLa worked with MSSI to deliver training to referral network partners on the Nabilan-supported MSSI standard operating procedures on referrals and case management. ALFeLa also partnered with Nabilan to train the</w:t>
      </w:r>
      <w:r w:rsidR="00CD347F" w:rsidRPr="005E4703">
        <w:rPr>
          <w:rFonts w:asciiTheme="minorHAnsi" w:hAnsiTheme="minorHAnsi" w:cstheme="minorHAnsi"/>
          <w:b w:val="0"/>
          <w:color w:val="auto"/>
          <w:sz w:val="21"/>
          <w:szCs w:val="21"/>
          <w:u w:val="none"/>
        </w:rPr>
        <w:t xml:space="preserve"> </w:t>
      </w:r>
      <w:r w:rsidR="00CD347F" w:rsidRPr="005E4703">
        <w:rPr>
          <w:rFonts w:asciiTheme="minorHAnsi" w:hAnsiTheme="minorHAnsi" w:cstheme="minorHAnsi"/>
          <w:b w:val="0"/>
          <w:i/>
          <w:color w:val="auto"/>
          <w:sz w:val="21"/>
          <w:szCs w:val="21"/>
          <w:u w:val="none"/>
        </w:rPr>
        <w:t>Polícia Nacional Timor-Leste</w:t>
      </w:r>
      <w:r w:rsidR="00CD347F" w:rsidRPr="005E4703">
        <w:rPr>
          <w:rFonts w:asciiTheme="minorHAnsi" w:hAnsiTheme="minorHAnsi" w:cstheme="minorHAnsi"/>
          <w:b w:val="0"/>
          <w:color w:val="auto"/>
          <w:sz w:val="21"/>
          <w:szCs w:val="21"/>
          <w:u w:val="none"/>
        </w:rPr>
        <w:t xml:space="preserve"> (PNTL—</w:t>
      </w:r>
      <w:r w:rsidR="00C91F78" w:rsidRPr="005E4703">
        <w:rPr>
          <w:rFonts w:asciiTheme="minorHAnsi" w:hAnsiTheme="minorHAnsi" w:cstheme="minorHAnsi"/>
          <w:b w:val="0"/>
          <w:color w:val="auto"/>
          <w:sz w:val="21"/>
          <w:szCs w:val="21"/>
          <w:u w:val="none"/>
        </w:rPr>
        <w:t xml:space="preserve">National Police of </w:t>
      </w:r>
      <w:r w:rsidR="00CD347F" w:rsidRPr="005E4703">
        <w:rPr>
          <w:rFonts w:asciiTheme="minorHAnsi" w:hAnsiTheme="minorHAnsi" w:cstheme="minorHAnsi"/>
          <w:b w:val="0"/>
          <w:color w:val="auto"/>
          <w:sz w:val="21"/>
          <w:szCs w:val="21"/>
          <w:u w:val="none"/>
        </w:rPr>
        <w:t>East Timor</w:t>
      </w:r>
      <w:r w:rsidR="00C91F78" w:rsidRPr="005E4703">
        <w:rPr>
          <w:rFonts w:asciiTheme="minorHAnsi" w:hAnsiTheme="minorHAnsi" w:cstheme="minorHAnsi"/>
          <w:b w:val="0"/>
          <w:color w:val="auto"/>
          <w:sz w:val="21"/>
          <w:szCs w:val="21"/>
          <w:u w:val="none"/>
        </w:rPr>
        <w:t>)</w:t>
      </w:r>
      <w:r w:rsidR="00FC1E26" w:rsidRPr="005E4703">
        <w:rPr>
          <w:rFonts w:asciiTheme="minorHAnsi" w:hAnsiTheme="minorHAnsi" w:cstheme="minorHAnsi"/>
          <w:b w:val="0"/>
          <w:color w:val="auto"/>
          <w:sz w:val="21"/>
          <w:szCs w:val="21"/>
          <w:u w:val="none"/>
        </w:rPr>
        <w:t xml:space="preserve"> in Manufahi</w:t>
      </w:r>
      <w:r w:rsidRPr="005E4703">
        <w:rPr>
          <w:rFonts w:asciiTheme="minorHAnsi" w:hAnsiTheme="minorHAnsi" w:cstheme="minorHAnsi"/>
          <w:b w:val="0"/>
          <w:color w:val="auto"/>
          <w:sz w:val="21"/>
          <w:szCs w:val="21"/>
          <w:u w:val="none"/>
        </w:rPr>
        <w:t xml:space="preserve"> on legal frameworks and mandatory reporting obligations.</w:t>
      </w:r>
      <w:r w:rsidR="00FC1E26" w:rsidRPr="005E4703">
        <w:rPr>
          <w:rFonts w:asciiTheme="minorHAnsi" w:hAnsiTheme="minorHAnsi" w:cstheme="minorHAnsi"/>
          <w:b w:val="0"/>
          <w:color w:val="auto"/>
          <w:sz w:val="21"/>
          <w:szCs w:val="21"/>
          <w:u w:val="none"/>
        </w:rPr>
        <w:t xml:space="preserve"> This was in response to findings from Nabila</w:t>
      </w:r>
      <w:r w:rsidR="00046F7B" w:rsidRPr="005E4703">
        <w:rPr>
          <w:rFonts w:asciiTheme="minorHAnsi" w:hAnsiTheme="minorHAnsi" w:cstheme="minorHAnsi"/>
          <w:b w:val="0"/>
          <w:color w:val="auto"/>
          <w:sz w:val="21"/>
          <w:szCs w:val="21"/>
          <w:u w:val="none"/>
        </w:rPr>
        <w:t>n</w:t>
      </w:r>
      <w:r w:rsidR="00FC1E26" w:rsidRPr="005E4703">
        <w:rPr>
          <w:rFonts w:asciiTheme="minorHAnsi" w:hAnsiTheme="minorHAnsi" w:cstheme="minorHAnsi"/>
          <w:b w:val="0"/>
          <w:color w:val="auto"/>
          <w:sz w:val="21"/>
          <w:szCs w:val="21"/>
          <w:u w:val="none"/>
        </w:rPr>
        <w:t xml:space="preserve">’s community-based </w:t>
      </w:r>
      <w:r w:rsidR="00B00376" w:rsidRPr="005E4703">
        <w:rPr>
          <w:rFonts w:asciiTheme="minorHAnsi" w:hAnsiTheme="minorHAnsi" w:cstheme="minorHAnsi"/>
          <w:b w:val="0"/>
          <w:color w:val="auto"/>
          <w:sz w:val="21"/>
          <w:szCs w:val="21"/>
          <w:u w:val="none"/>
        </w:rPr>
        <w:t>prevention</w:t>
      </w:r>
      <w:r w:rsidR="00FC1E26" w:rsidRPr="005E4703">
        <w:rPr>
          <w:rFonts w:asciiTheme="minorHAnsi" w:hAnsiTheme="minorHAnsi" w:cstheme="minorHAnsi"/>
          <w:b w:val="0"/>
          <w:color w:val="auto"/>
          <w:sz w:val="21"/>
          <w:szCs w:val="21"/>
          <w:u w:val="none"/>
        </w:rPr>
        <w:t xml:space="preserve"> work in Suku Letefoho, Manufahi.</w:t>
      </w:r>
    </w:p>
    <w:p w14:paraId="529606E9" w14:textId="76C002D4" w:rsidR="000A49A4" w:rsidRPr="005E4703" w:rsidRDefault="00FC1E26" w:rsidP="005E4703">
      <w:pPr>
        <w:spacing w:line="264" w:lineRule="auto"/>
        <w:jc w:val="both"/>
        <w:rPr>
          <w:rFonts w:asciiTheme="minorHAnsi" w:hAnsiTheme="minorHAnsi" w:cstheme="minorHAnsi"/>
          <w:b w:val="0"/>
          <w:color w:val="auto"/>
          <w:sz w:val="21"/>
          <w:szCs w:val="21"/>
          <w:u w:val="none"/>
        </w:rPr>
      </w:pPr>
      <w:r w:rsidRPr="005E4703">
        <w:rPr>
          <w:rFonts w:asciiTheme="minorHAnsi" w:hAnsiTheme="minorHAnsi" w:cstheme="minorHAnsi"/>
          <w:b w:val="0"/>
          <w:color w:val="auto"/>
          <w:sz w:val="21"/>
          <w:szCs w:val="21"/>
          <w:u w:val="none"/>
        </w:rPr>
        <w:t xml:space="preserve">Ensuring inclusive service delivery is a key focus of Nabilan’s work with partners. With </w:t>
      </w:r>
      <w:r w:rsidR="00B61334" w:rsidRPr="005E4703">
        <w:rPr>
          <w:rFonts w:asciiTheme="minorHAnsi" w:hAnsiTheme="minorHAnsi" w:cstheme="minorHAnsi"/>
          <w:b w:val="0"/>
          <w:i/>
          <w:color w:val="auto"/>
          <w:sz w:val="21"/>
          <w:szCs w:val="21"/>
          <w:u w:val="none"/>
        </w:rPr>
        <w:t>Asosiasaun Defisiente Timor-Leste</w:t>
      </w:r>
      <w:r w:rsidR="00B61334" w:rsidRPr="005E4703">
        <w:rPr>
          <w:rFonts w:asciiTheme="minorHAnsi" w:hAnsiTheme="minorHAnsi" w:cstheme="minorHAnsi"/>
          <w:b w:val="0"/>
          <w:color w:val="auto"/>
          <w:sz w:val="21"/>
          <w:szCs w:val="21"/>
          <w:u w:val="none"/>
        </w:rPr>
        <w:t xml:space="preserve"> (ADTL–Disability Association of Timor-Leste)</w:t>
      </w:r>
      <w:r w:rsidRPr="005E4703">
        <w:rPr>
          <w:rFonts w:asciiTheme="minorHAnsi" w:hAnsiTheme="minorHAnsi" w:cstheme="minorHAnsi"/>
          <w:b w:val="0"/>
          <w:color w:val="auto"/>
          <w:sz w:val="21"/>
          <w:szCs w:val="21"/>
          <w:u w:val="none"/>
        </w:rPr>
        <w:t xml:space="preserve">, Nabilan funded </w:t>
      </w:r>
      <w:r w:rsidR="0082688D" w:rsidRPr="005E4703">
        <w:rPr>
          <w:rFonts w:asciiTheme="minorHAnsi" w:hAnsiTheme="minorHAnsi" w:cstheme="minorHAnsi"/>
          <w:b w:val="0"/>
          <w:color w:val="auto"/>
          <w:sz w:val="21"/>
          <w:szCs w:val="21"/>
          <w:u w:val="none"/>
        </w:rPr>
        <w:t xml:space="preserve">accessibility modifications for PRADET’s </w:t>
      </w:r>
      <w:r w:rsidR="0082688D" w:rsidRPr="005E4703">
        <w:rPr>
          <w:rFonts w:asciiTheme="minorHAnsi" w:hAnsiTheme="minorHAnsi" w:cstheme="minorHAnsi"/>
          <w:b w:val="0"/>
          <w:i/>
          <w:color w:val="auto"/>
          <w:sz w:val="21"/>
          <w:szCs w:val="21"/>
          <w:u w:val="none"/>
        </w:rPr>
        <w:t>Fatin Hakmatek</w:t>
      </w:r>
      <w:r w:rsidR="0082688D" w:rsidRPr="005E4703">
        <w:rPr>
          <w:rFonts w:asciiTheme="minorHAnsi" w:hAnsiTheme="minorHAnsi" w:cstheme="minorHAnsi"/>
          <w:b w:val="0"/>
          <w:color w:val="auto"/>
          <w:sz w:val="21"/>
          <w:szCs w:val="21"/>
          <w:u w:val="none"/>
        </w:rPr>
        <w:t xml:space="preserve"> Baucau building. ADTL also provided</w:t>
      </w:r>
      <w:r w:rsidR="00B61334" w:rsidRPr="005E4703">
        <w:rPr>
          <w:rFonts w:asciiTheme="minorHAnsi" w:hAnsiTheme="minorHAnsi" w:cstheme="minorHAnsi"/>
          <w:b w:val="0"/>
          <w:color w:val="auto"/>
          <w:sz w:val="21"/>
          <w:szCs w:val="21"/>
          <w:u w:val="none"/>
        </w:rPr>
        <w:t xml:space="preserve"> Washington Group Question</w:t>
      </w:r>
      <w:r w:rsidR="0071303E" w:rsidRPr="005E4703">
        <w:rPr>
          <w:rFonts w:asciiTheme="minorHAnsi" w:hAnsiTheme="minorHAnsi" w:cstheme="minorHAnsi"/>
          <w:b w:val="0"/>
          <w:color w:val="auto"/>
          <w:sz w:val="21"/>
          <w:szCs w:val="21"/>
          <w:u w:val="none"/>
        </w:rPr>
        <w:t>s (WGQ)</w:t>
      </w:r>
      <w:r w:rsidR="00B61334" w:rsidRPr="005E4703">
        <w:rPr>
          <w:rFonts w:asciiTheme="minorHAnsi" w:hAnsiTheme="minorHAnsi" w:cstheme="minorHAnsi"/>
          <w:b w:val="0"/>
          <w:color w:val="auto"/>
          <w:sz w:val="21"/>
          <w:szCs w:val="21"/>
          <w:u w:val="none"/>
        </w:rPr>
        <w:t xml:space="preserve"> training to Nabilan partners. Nabilan partnered with Marie Stopes Timor-Leste and Hivos to fund </w:t>
      </w:r>
      <w:r w:rsidR="00046F7B" w:rsidRPr="005E4703">
        <w:rPr>
          <w:rFonts w:asciiTheme="minorHAnsi" w:hAnsiTheme="minorHAnsi" w:cstheme="minorHAnsi"/>
          <w:b w:val="0"/>
          <w:color w:val="auto"/>
          <w:sz w:val="21"/>
          <w:szCs w:val="21"/>
          <w:u w:val="none"/>
        </w:rPr>
        <w:t>Sexual Orientation, Gender Identity and Expression, and Sex Characteristics (</w:t>
      </w:r>
      <w:r w:rsidR="00B61334" w:rsidRPr="005E4703">
        <w:rPr>
          <w:rFonts w:asciiTheme="minorHAnsi" w:hAnsiTheme="minorHAnsi" w:cstheme="minorHAnsi"/>
          <w:b w:val="0"/>
          <w:color w:val="auto"/>
          <w:sz w:val="21"/>
          <w:szCs w:val="21"/>
          <w:u w:val="none"/>
        </w:rPr>
        <w:t>SOGIESC</w:t>
      </w:r>
      <w:r w:rsidR="00046F7B" w:rsidRPr="005E4703">
        <w:rPr>
          <w:rFonts w:asciiTheme="minorHAnsi" w:hAnsiTheme="minorHAnsi" w:cstheme="minorHAnsi"/>
          <w:b w:val="0"/>
          <w:color w:val="auto"/>
          <w:sz w:val="21"/>
          <w:szCs w:val="21"/>
          <w:u w:val="none"/>
        </w:rPr>
        <w:t>)</w:t>
      </w:r>
      <w:r w:rsidR="00B61334" w:rsidRPr="005E4703">
        <w:rPr>
          <w:rFonts w:asciiTheme="minorHAnsi" w:hAnsiTheme="minorHAnsi" w:cstheme="minorHAnsi"/>
          <w:b w:val="0"/>
          <w:color w:val="auto"/>
          <w:sz w:val="21"/>
          <w:szCs w:val="21"/>
          <w:u w:val="none"/>
        </w:rPr>
        <w:t xml:space="preserve"> training for service providers. Nabilan also provided child protection training to </w:t>
      </w:r>
      <w:r w:rsidR="00B61334" w:rsidRPr="005E4703">
        <w:rPr>
          <w:rFonts w:asciiTheme="minorHAnsi" w:hAnsiTheme="minorHAnsi" w:cstheme="minorHAnsi"/>
          <w:b w:val="0"/>
          <w:i/>
          <w:color w:val="auto"/>
          <w:sz w:val="21"/>
          <w:szCs w:val="21"/>
          <w:u w:val="none"/>
        </w:rPr>
        <w:t>Casa Vida</w:t>
      </w:r>
      <w:r w:rsidR="00B61334" w:rsidRPr="005E4703">
        <w:rPr>
          <w:rFonts w:asciiTheme="minorHAnsi" w:hAnsiTheme="minorHAnsi" w:cstheme="minorHAnsi"/>
          <w:b w:val="0"/>
          <w:color w:val="auto"/>
          <w:sz w:val="21"/>
          <w:szCs w:val="21"/>
          <w:u w:val="none"/>
        </w:rPr>
        <w:t xml:space="preserve"> and FOKUPERS to ensure that child residents are protected from abuse within these institutions.</w:t>
      </w:r>
      <w:bookmarkStart w:id="101" w:name="_Toc531966539"/>
      <w:bookmarkStart w:id="102" w:name="_Toc425347"/>
      <w:bookmarkStart w:id="103" w:name="_Toc437969"/>
    </w:p>
    <w:p w14:paraId="1B74506B" w14:textId="77777777" w:rsidR="00561430" w:rsidRDefault="00561430" w:rsidP="00705BD3">
      <w:pPr>
        <w:pStyle w:val="Heading2"/>
      </w:pPr>
      <w:bookmarkStart w:id="104" w:name="_Toc1902715"/>
      <w:bookmarkStart w:id="105" w:name="_Toc1993841"/>
      <w:bookmarkStart w:id="106" w:name="_Toc1994629"/>
      <w:bookmarkStart w:id="107" w:name="_Toc1999850"/>
      <w:bookmarkStart w:id="108" w:name="_Toc437970"/>
      <w:bookmarkEnd w:id="101"/>
      <w:bookmarkEnd w:id="102"/>
      <w:bookmarkEnd w:id="103"/>
      <w:r>
        <w:br w:type="page"/>
      </w:r>
    </w:p>
    <w:p w14:paraId="2A76466E" w14:textId="1E40150D" w:rsidR="003A0923" w:rsidRPr="00ED4E65" w:rsidRDefault="003A0923" w:rsidP="00705BD3">
      <w:pPr>
        <w:pStyle w:val="Heading2"/>
      </w:pPr>
      <w:bookmarkStart w:id="109" w:name="_Toc2019657"/>
      <w:r w:rsidRPr="00ED4E65">
        <w:t>EOPO 1</w:t>
      </w:r>
      <w:r w:rsidR="000E679D">
        <w:t>—</w:t>
      </w:r>
      <w:r w:rsidRPr="00ED4E65">
        <w:t>Women and children who experience violence have access to quality and inclusive services</w:t>
      </w:r>
      <w:bookmarkEnd w:id="104"/>
      <w:bookmarkEnd w:id="105"/>
      <w:bookmarkEnd w:id="106"/>
      <w:bookmarkEnd w:id="107"/>
      <w:bookmarkEnd w:id="109"/>
    </w:p>
    <w:p w14:paraId="1678BE7C" w14:textId="77777777" w:rsidR="003A0923" w:rsidRPr="00561430" w:rsidRDefault="003A0923" w:rsidP="00561430">
      <w:pPr>
        <w:spacing w:line="264" w:lineRule="auto"/>
        <w:jc w:val="both"/>
        <w:rPr>
          <w:rFonts w:asciiTheme="minorHAnsi" w:hAnsiTheme="minorHAnsi" w:cstheme="minorHAnsi"/>
          <w:b w:val="0"/>
          <w:color w:val="822B6A"/>
          <w:u w:val="none"/>
        </w:rPr>
      </w:pPr>
      <w:r w:rsidRPr="00561430">
        <w:rPr>
          <w:rFonts w:asciiTheme="minorHAnsi" w:hAnsiTheme="minorHAnsi" w:cstheme="minorHAnsi"/>
          <w:b w:val="0"/>
          <w:color w:val="822B6A"/>
          <w:u w:val="none"/>
        </w:rPr>
        <w:t>KEQ 1: How effective was the Nabilan program in ensuring women and children who experience violence have access to adequate and responsive services?</w:t>
      </w:r>
    </w:p>
    <w:p w14:paraId="31304A54" w14:textId="65BCE37F" w:rsidR="00E23F3D" w:rsidRPr="00561430" w:rsidRDefault="00FB2298" w:rsidP="00561430">
      <w:pPr>
        <w:spacing w:line="264" w:lineRule="auto"/>
        <w:jc w:val="both"/>
        <w:rPr>
          <w:rFonts w:asciiTheme="minorHAnsi" w:hAnsiTheme="minorHAnsi" w:cstheme="minorHAnsi"/>
          <w:color w:val="822B6A"/>
          <w:sz w:val="21"/>
          <w:szCs w:val="21"/>
          <w:u w:val="none"/>
        </w:rPr>
      </w:pPr>
      <w:bookmarkStart w:id="110" w:name="_Toc1902716"/>
      <w:bookmarkStart w:id="111" w:name="_Toc1993842"/>
      <w:bookmarkStart w:id="112" w:name="_Toc1994630"/>
      <w:bookmarkStart w:id="113" w:name="_Toc1999851"/>
      <w:r w:rsidRPr="00561430">
        <w:rPr>
          <w:rFonts w:asciiTheme="minorHAnsi" w:hAnsiTheme="minorHAnsi" w:cstheme="minorHAnsi"/>
          <w:color w:val="822B6A"/>
          <w:u w:val="none"/>
        </w:rPr>
        <w:t>Findings</w:t>
      </w:r>
      <w:r w:rsidR="000E679D" w:rsidRPr="00561430">
        <w:rPr>
          <w:rFonts w:asciiTheme="minorHAnsi" w:hAnsiTheme="minorHAnsi" w:cstheme="minorHAnsi"/>
          <w:color w:val="822B6A"/>
          <w:u w:val="none"/>
        </w:rPr>
        <w:t>—</w:t>
      </w:r>
      <w:bookmarkEnd w:id="108"/>
      <w:r w:rsidR="006945B4" w:rsidRPr="00561430">
        <w:rPr>
          <w:rFonts w:asciiTheme="minorHAnsi" w:hAnsiTheme="minorHAnsi" w:cstheme="minorHAnsi"/>
          <w:color w:val="822B6A"/>
          <w:u w:val="none"/>
        </w:rPr>
        <w:t xml:space="preserve">EOPO1 </w:t>
      </w:r>
      <w:r w:rsidR="00D7191E" w:rsidRPr="00561430">
        <w:rPr>
          <w:rFonts w:asciiTheme="minorHAnsi" w:hAnsiTheme="minorHAnsi" w:cstheme="minorHAnsi"/>
          <w:color w:val="822B6A"/>
          <w:u w:val="none"/>
        </w:rPr>
        <w:t xml:space="preserve">is </w:t>
      </w:r>
      <w:r w:rsidR="00046F7B" w:rsidRPr="00561430">
        <w:rPr>
          <w:rFonts w:asciiTheme="minorHAnsi" w:hAnsiTheme="minorHAnsi" w:cstheme="minorHAnsi"/>
          <w:color w:val="822B6A"/>
          <w:u w:val="none"/>
        </w:rPr>
        <w:t>mostly</w:t>
      </w:r>
      <w:r w:rsidR="00640E86" w:rsidRPr="00561430">
        <w:rPr>
          <w:rFonts w:asciiTheme="minorHAnsi" w:hAnsiTheme="minorHAnsi" w:cstheme="minorHAnsi"/>
          <w:color w:val="822B6A"/>
          <w:u w:val="none"/>
        </w:rPr>
        <w:t xml:space="preserve"> </w:t>
      </w:r>
      <w:r w:rsidR="00D7191E" w:rsidRPr="00561430">
        <w:rPr>
          <w:rFonts w:asciiTheme="minorHAnsi" w:hAnsiTheme="minorHAnsi" w:cstheme="minorHAnsi"/>
          <w:color w:val="822B6A"/>
          <w:u w:val="none"/>
        </w:rPr>
        <w:t>on track.</w:t>
      </w:r>
      <w:bookmarkEnd w:id="110"/>
      <w:bookmarkEnd w:id="111"/>
      <w:bookmarkEnd w:id="112"/>
      <w:bookmarkEnd w:id="113"/>
      <w:r w:rsidR="00D7191E" w:rsidRPr="00561430">
        <w:rPr>
          <w:rFonts w:asciiTheme="minorHAnsi" w:hAnsiTheme="minorHAnsi" w:cstheme="minorHAnsi"/>
          <w:color w:val="822B6A"/>
          <w:sz w:val="21"/>
          <w:szCs w:val="21"/>
          <w:u w:val="none"/>
        </w:rPr>
        <w:t xml:space="preserve"> </w:t>
      </w:r>
    </w:p>
    <w:p w14:paraId="24A04399" w14:textId="77777777" w:rsidR="00E23F3D" w:rsidRPr="005F65B1" w:rsidRDefault="002348B0" w:rsidP="005F65B1">
      <w:pPr>
        <w:pStyle w:val="ListParagraph"/>
        <w:numPr>
          <w:ilvl w:val="0"/>
          <w:numId w:val="32"/>
        </w:numPr>
        <w:jc w:val="both"/>
        <w:rPr>
          <w:rFonts w:asciiTheme="minorHAnsi" w:hAnsiTheme="minorHAnsi" w:cstheme="minorHAnsi"/>
          <w:b w:val="0"/>
          <w:color w:val="auto"/>
          <w:sz w:val="21"/>
          <w:szCs w:val="21"/>
          <w:u w:val="none"/>
        </w:rPr>
      </w:pPr>
      <w:r w:rsidRPr="005F65B1">
        <w:rPr>
          <w:rFonts w:asciiTheme="minorHAnsi" w:hAnsiTheme="minorHAnsi" w:cstheme="minorHAnsi"/>
          <w:b w:val="0"/>
          <w:color w:val="auto"/>
          <w:sz w:val="21"/>
          <w:szCs w:val="21"/>
          <w:u w:val="none"/>
        </w:rPr>
        <w:t xml:space="preserve">Nabilan has exceeded its target for the reporting period for the number of new clients and the number of services provided by Nabilan partners. </w:t>
      </w:r>
    </w:p>
    <w:p w14:paraId="334DF835" w14:textId="40ECCB52" w:rsidR="00E23F3D" w:rsidRPr="005F65B1" w:rsidRDefault="00396505" w:rsidP="005F65B1">
      <w:pPr>
        <w:pStyle w:val="ListParagraph"/>
        <w:numPr>
          <w:ilvl w:val="0"/>
          <w:numId w:val="32"/>
        </w:numPr>
        <w:jc w:val="both"/>
        <w:rPr>
          <w:rFonts w:asciiTheme="minorHAnsi" w:hAnsiTheme="minorHAnsi" w:cstheme="minorHAnsi"/>
          <w:b w:val="0"/>
          <w:color w:val="auto"/>
          <w:sz w:val="21"/>
          <w:szCs w:val="21"/>
          <w:u w:val="none"/>
        </w:rPr>
      </w:pPr>
      <w:r w:rsidRPr="005F65B1">
        <w:rPr>
          <w:rFonts w:asciiTheme="minorHAnsi" w:hAnsiTheme="minorHAnsi" w:cstheme="minorHAnsi"/>
          <w:b w:val="0"/>
          <w:color w:val="auto"/>
          <w:sz w:val="21"/>
          <w:szCs w:val="21"/>
          <w:u w:val="none"/>
        </w:rPr>
        <w:t xml:space="preserve">Key provider staff have improved knowledge and skills. </w:t>
      </w:r>
      <w:r w:rsidR="002348B0" w:rsidRPr="005F65B1">
        <w:rPr>
          <w:rFonts w:asciiTheme="minorHAnsi" w:hAnsiTheme="minorHAnsi" w:cstheme="minorHAnsi"/>
          <w:b w:val="0"/>
          <w:color w:val="auto"/>
          <w:sz w:val="21"/>
          <w:szCs w:val="21"/>
          <w:u w:val="none"/>
        </w:rPr>
        <w:t xml:space="preserve">Nabilan has exceeded its target for 2018 for the number of </w:t>
      </w:r>
      <w:r w:rsidR="00E23F3D" w:rsidRPr="005F65B1">
        <w:rPr>
          <w:rFonts w:asciiTheme="minorHAnsi" w:hAnsiTheme="minorHAnsi" w:cstheme="minorHAnsi"/>
          <w:b w:val="0"/>
          <w:color w:val="auto"/>
          <w:sz w:val="21"/>
          <w:szCs w:val="21"/>
          <w:u w:val="none"/>
        </w:rPr>
        <w:t xml:space="preserve">Nabilan partners completing the Certificate III in </w:t>
      </w:r>
      <w:r w:rsidR="002E204A" w:rsidRPr="005F65B1">
        <w:rPr>
          <w:rFonts w:asciiTheme="minorHAnsi" w:hAnsiTheme="minorHAnsi" w:cstheme="minorHAnsi"/>
          <w:b w:val="0"/>
          <w:color w:val="auto"/>
          <w:sz w:val="21"/>
          <w:szCs w:val="21"/>
          <w:u w:val="none"/>
        </w:rPr>
        <w:t>S</w:t>
      </w:r>
      <w:r w:rsidR="00E23F3D" w:rsidRPr="005F65B1">
        <w:rPr>
          <w:rFonts w:asciiTheme="minorHAnsi" w:hAnsiTheme="minorHAnsi" w:cstheme="minorHAnsi"/>
          <w:b w:val="0"/>
          <w:color w:val="auto"/>
          <w:sz w:val="21"/>
          <w:szCs w:val="21"/>
          <w:u w:val="none"/>
        </w:rPr>
        <w:t xml:space="preserve">ocial </w:t>
      </w:r>
      <w:r w:rsidR="002E204A" w:rsidRPr="005F65B1">
        <w:rPr>
          <w:rFonts w:asciiTheme="minorHAnsi" w:hAnsiTheme="minorHAnsi" w:cstheme="minorHAnsi"/>
          <w:b w:val="0"/>
          <w:color w:val="auto"/>
          <w:sz w:val="21"/>
          <w:szCs w:val="21"/>
          <w:u w:val="none"/>
        </w:rPr>
        <w:t>S</w:t>
      </w:r>
      <w:r w:rsidR="00E23F3D" w:rsidRPr="005F65B1">
        <w:rPr>
          <w:rFonts w:asciiTheme="minorHAnsi" w:hAnsiTheme="minorHAnsi" w:cstheme="minorHAnsi"/>
          <w:b w:val="0"/>
          <w:color w:val="auto"/>
          <w:sz w:val="21"/>
          <w:szCs w:val="21"/>
          <w:u w:val="none"/>
        </w:rPr>
        <w:t xml:space="preserve">ervices and is well on track to meet or exceed the target for new </w:t>
      </w:r>
      <w:r w:rsidR="00333490" w:rsidRPr="005F65B1">
        <w:rPr>
          <w:rFonts w:asciiTheme="minorHAnsi" w:hAnsiTheme="minorHAnsi" w:cstheme="minorHAnsi"/>
          <w:b w:val="0"/>
          <w:color w:val="auto"/>
          <w:sz w:val="21"/>
          <w:szCs w:val="21"/>
          <w:u w:val="none"/>
        </w:rPr>
        <w:t>M</w:t>
      </w:r>
      <w:r w:rsidR="00E23F3D" w:rsidRPr="005F65B1">
        <w:rPr>
          <w:rFonts w:asciiTheme="minorHAnsi" w:hAnsiTheme="minorHAnsi" w:cstheme="minorHAnsi"/>
          <w:b w:val="0"/>
          <w:color w:val="auto"/>
          <w:sz w:val="21"/>
          <w:szCs w:val="21"/>
          <w:u w:val="none"/>
        </w:rPr>
        <w:t xml:space="preserve">edical </w:t>
      </w:r>
      <w:r w:rsidR="00333490" w:rsidRPr="005F65B1">
        <w:rPr>
          <w:rFonts w:asciiTheme="minorHAnsi" w:hAnsiTheme="minorHAnsi" w:cstheme="minorHAnsi"/>
          <w:b w:val="0"/>
          <w:color w:val="auto"/>
          <w:sz w:val="21"/>
          <w:szCs w:val="21"/>
          <w:u w:val="none"/>
        </w:rPr>
        <w:t>F</w:t>
      </w:r>
      <w:r w:rsidR="00E23F3D" w:rsidRPr="005F65B1">
        <w:rPr>
          <w:rFonts w:asciiTheme="minorHAnsi" w:hAnsiTheme="minorHAnsi" w:cstheme="minorHAnsi"/>
          <w:b w:val="0"/>
          <w:color w:val="auto"/>
          <w:sz w:val="21"/>
          <w:szCs w:val="21"/>
          <w:u w:val="none"/>
        </w:rPr>
        <w:t xml:space="preserve">orensic </w:t>
      </w:r>
      <w:r w:rsidR="00333490" w:rsidRPr="005F65B1">
        <w:rPr>
          <w:rFonts w:asciiTheme="minorHAnsi" w:hAnsiTheme="minorHAnsi" w:cstheme="minorHAnsi"/>
          <w:b w:val="0"/>
          <w:color w:val="auto"/>
          <w:sz w:val="21"/>
          <w:szCs w:val="21"/>
          <w:u w:val="none"/>
        </w:rPr>
        <w:t>E</w:t>
      </w:r>
      <w:r w:rsidR="00E23F3D" w:rsidRPr="005F65B1">
        <w:rPr>
          <w:rFonts w:asciiTheme="minorHAnsi" w:hAnsiTheme="minorHAnsi" w:cstheme="minorHAnsi"/>
          <w:b w:val="0"/>
          <w:color w:val="auto"/>
          <w:sz w:val="21"/>
          <w:szCs w:val="21"/>
          <w:u w:val="none"/>
        </w:rPr>
        <w:t>xaminers trained by the end of 2019.</w:t>
      </w:r>
    </w:p>
    <w:p w14:paraId="42B7472F" w14:textId="619495E8" w:rsidR="00BF1A1E" w:rsidRPr="005F65B1" w:rsidRDefault="00046F7B" w:rsidP="005F65B1">
      <w:pPr>
        <w:pStyle w:val="ListParagraph"/>
        <w:numPr>
          <w:ilvl w:val="0"/>
          <w:numId w:val="32"/>
        </w:numPr>
        <w:jc w:val="both"/>
        <w:rPr>
          <w:rFonts w:asciiTheme="minorHAnsi" w:hAnsiTheme="minorHAnsi" w:cstheme="minorHAnsi"/>
          <w:b w:val="0"/>
          <w:color w:val="auto"/>
          <w:sz w:val="21"/>
          <w:szCs w:val="21"/>
          <w:u w:val="none"/>
        </w:rPr>
      </w:pPr>
      <w:r w:rsidRPr="005F65B1">
        <w:rPr>
          <w:rFonts w:asciiTheme="minorHAnsi" w:hAnsiTheme="minorHAnsi" w:cstheme="minorHAnsi"/>
          <w:b w:val="0"/>
          <w:color w:val="auto"/>
          <w:sz w:val="21"/>
          <w:szCs w:val="21"/>
          <w:u w:val="none"/>
        </w:rPr>
        <w:t xml:space="preserve">Twenty-one </w:t>
      </w:r>
      <w:r w:rsidR="00BF1A1E" w:rsidRPr="005F65B1">
        <w:rPr>
          <w:rFonts w:asciiTheme="minorHAnsi" w:hAnsiTheme="minorHAnsi" w:cstheme="minorHAnsi"/>
          <w:b w:val="0"/>
          <w:color w:val="auto"/>
          <w:sz w:val="21"/>
          <w:szCs w:val="21"/>
          <w:u w:val="none"/>
        </w:rPr>
        <w:t xml:space="preserve">out of 26 </w:t>
      </w:r>
      <w:r w:rsidR="0098240F" w:rsidRPr="005F65B1">
        <w:rPr>
          <w:rFonts w:asciiTheme="minorHAnsi" w:hAnsiTheme="minorHAnsi" w:cstheme="minorHAnsi"/>
          <w:b w:val="0"/>
          <w:color w:val="auto"/>
          <w:sz w:val="21"/>
          <w:szCs w:val="21"/>
          <w:u w:val="none"/>
        </w:rPr>
        <w:t>CSO staff</w:t>
      </w:r>
      <w:r w:rsidR="00BF1A1E" w:rsidRPr="005F65B1">
        <w:rPr>
          <w:rFonts w:asciiTheme="minorHAnsi" w:hAnsiTheme="minorHAnsi" w:cstheme="minorHAnsi"/>
          <w:b w:val="0"/>
          <w:color w:val="auto"/>
          <w:sz w:val="21"/>
          <w:szCs w:val="21"/>
          <w:u w:val="none"/>
        </w:rPr>
        <w:t xml:space="preserve"> who commenced the Certificate III in Social Services </w:t>
      </w:r>
      <w:r w:rsidR="0098240F" w:rsidRPr="005F65B1">
        <w:rPr>
          <w:rFonts w:asciiTheme="minorHAnsi" w:hAnsiTheme="minorHAnsi" w:cstheme="minorHAnsi"/>
          <w:b w:val="0"/>
          <w:color w:val="auto"/>
          <w:sz w:val="21"/>
          <w:szCs w:val="21"/>
          <w:u w:val="none"/>
        </w:rPr>
        <w:t xml:space="preserve">course </w:t>
      </w:r>
      <w:r w:rsidR="00BF1A1E" w:rsidRPr="005F65B1">
        <w:rPr>
          <w:rFonts w:asciiTheme="minorHAnsi" w:hAnsiTheme="minorHAnsi" w:cstheme="minorHAnsi"/>
          <w:b w:val="0"/>
          <w:color w:val="auto"/>
          <w:sz w:val="21"/>
          <w:szCs w:val="21"/>
          <w:u w:val="none"/>
        </w:rPr>
        <w:t xml:space="preserve">successfully completed </w:t>
      </w:r>
      <w:r w:rsidR="00EB4DE5" w:rsidRPr="005F65B1">
        <w:rPr>
          <w:rFonts w:asciiTheme="minorHAnsi" w:hAnsiTheme="minorHAnsi" w:cstheme="minorHAnsi"/>
          <w:b w:val="0"/>
          <w:color w:val="auto"/>
          <w:sz w:val="21"/>
          <w:szCs w:val="21"/>
          <w:u w:val="none"/>
        </w:rPr>
        <w:t xml:space="preserve">the qualification </w:t>
      </w:r>
      <w:r w:rsidR="00BF1A1E" w:rsidRPr="005F65B1">
        <w:rPr>
          <w:rFonts w:asciiTheme="minorHAnsi" w:hAnsiTheme="minorHAnsi" w:cstheme="minorHAnsi"/>
          <w:b w:val="0"/>
          <w:color w:val="auto"/>
          <w:sz w:val="21"/>
          <w:szCs w:val="21"/>
          <w:u w:val="none"/>
        </w:rPr>
        <w:t xml:space="preserve">(three dropouts, two did not pass). All </w:t>
      </w:r>
      <w:r w:rsidR="0098240F" w:rsidRPr="005F65B1">
        <w:rPr>
          <w:rFonts w:asciiTheme="minorHAnsi" w:hAnsiTheme="minorHAnsi" w:cstheme="minorHAnsi"/>
          <w:b w:val="0"/>
          <w:color w:val="auto"/>
          <w:sz w:val="21"/>
          <w:szCs w:val="21"/>
          <w:u w:val="none"/>
        </w:rPr>
        <w:t>12</w:t>
      </w:r>
      <w:r w:rsidR="00BF1A1E" w:rsidRPr="005F65B1">
        <w:rPr>
          <w:rFonts w:asciiTheme="minorHAnsi" w:hAnsiTheme="minorHAnsi" w:cstheme="minorHAnsi"/>
          <w:b w:val="0"/>
          <w:color w:val="auto"/>
          <w:sz w:val="21"/>
          <w:szCs w:val="21"/>
          <w:u w:val="none"/>
        </w:rPr>
        <w:t xml:space="preserve"> </w:t>
      </w:r>
      <w:r w:rsidR="0098240F" w:rsidRPr="005F65B1">
        <w:rPr>
          <w:rFonts w:asciiTheme="minorHAnsi" w:hAnsiTheme="minorHAnsi" w:cstheme="minorHAnsi"/>
          <w:b w:val="0"/>
          <w:color w:val="auto"/>
          <w:sz w:val="21"/>
          <w:szCs w:val="21"/>
          <w:u w:val="none"/>
        </w:rPr>
        <w:t xml:space="preserve">health professionals </w:t>
      </w:r>
      <w:r w:rsidR="00BF1A1E" w:rsidRPr="005F65B1">
        <w:rPr>
          <w:rFonts w:asciiTheme="minorHAnsi" w:hAnsiTheme="minorHAnsi" w:cstheme="minorHAnsi"/>
          <w:b w:val="0"/>
          <w:color w:val="auto"/>
          <w:sz w:val="21"/>
          <w:szCs w:val="21"/>
          <w:u w:val="none"/>
        </w:rPr>
        <w:t xml:space="preserve">completing </w:t>
      </w:r>
      <w:r w:rsidR="00CD347F" w:rsidRPr="005F65B1">
        <w:rPr>
          <w:rFonts w:asciiTheme="minorHAnsi" w:hAnsiTheme="minorHAnsi" w:cstheme="minorHAnsi"/>
          <w:b w:val="0"/>
          <w:color w:val="auto"/>
          <w:sz w:val="21"/>
          <w:szCs w:val="21"/>
          <w:u w:val="none"/>
        </w:rPr>
        <w:t xml:space="preserve">Medical Forensic Examiner </w:t>
      </w:r>
      <w:r w:rsidR="00BF1A1E" w:rsidRPr="005F65B1">
        <w:rPr>
          <w:rFonts w:asciiTheme="minorHAnsi" w:hAnsiTheme="minorHAnsi" w:cstheme="minorHAnsi"/>
          <w:b w:val="0"/>
          <w:color w:val="auto"/>
          <w:sz w:val="21"/>
          <w:szCs w:val="21"/>
          <w:u w:val="none"/>
        </w:rPr>
        <w:t xml:space="preserve">training were deemed </w:t>
      </w:r>
      <w:r w:rsidR="0004411A" w:rsidRPr="005F65B1">
        <w:rPr>
          <w:rFonts w:asciiTheme="minorHAnsi" w:hAnsiTheme="minorHAnsi" w:cstheme="minorHAnsi"/>
          <w:b w:val="0"/>
          <w:color w:val="auto"/>
          <w:sz w:val="21"/>
          <w:szCs w:val="21"/>
          <w:u w:val="none"/>
        </w:rPr>
        <w:t>able</w:t>
      </w:r>
      <w:r w:rsidR="00BF1A1E" w:rsidRPr="005F65B1">
        <w:rPr>
          <w:rFonts w:asciiTheme="minorHAnsi" w:hAnsiTheme="minorHAnsi" w:cstheme="minorHAnsi"/>
          <w:b w:val="0"/>
          <w:color w:val="auto"/>
          <w:sz w:val="21"/>
          <w:szCs w:val="21"/>
          <w:u w:val="none"/>
        </w:rPr>
        <w:t xml:space="preserve"> to conduct </w:t>
      </w:r>
      <w:r w:rsidR="0098240F" w:rsidRPr="005F65B1">
        <w:rPr>
          <w:rFonts w:asciiTheme="minorHAnsi" w:hAnsiTheme="minorHAnsi" w:cstheme="minorHAnsi"/>
          <w:b w:val="0"/>
          <w:color w:val="auto"/>
          <w:sz w:val="21"/>
          <w:szCs w:val="21"/>
          <w:u w:val="none"/>
        </w:rPr>
        <w:t>examinations</w:t>
      </w:r>
      <w:r w:rsidR="00BF1A1E" w:rsidRPr="005F65B1">
        <w:rPr>
          <w:rFonts w:asciiTheme="minorHAnsi" w:hAnsiTheme="minorHAnsi" w:cstheme="minorHAnsi"/>
          <w:b w:val="0"/>
          <w:color w:val="auto"/>
          <w:sz w:val="21"/>
          <w:szCs w:val="21"/>
          <w:u w:val="none"/>
        </w:rPr>
        <w:t xml:space="preserve"> by Dr</w:t>
      </w:r>
      <w:r w:rsidR="000163EA" w:rsidRPr="005F65B1">
        <w:rPr>
          <w:rFonts w:asciiTheme="minorHAnsi" w:hAnsiTheme="minorHAnsi" w:cstheme="minorHAnsi"/>
          <w:b w:val="0"/>
          <w:color w:val="auto"/>
          <w:sz w:val="21"/>
          <w:szCs w:val="21"/>
          <w:u w:val="none"/>
        </w:rPr>
        <w:t> </w:t>
      </w:r>
      <w:r w:rsidR="00BF1A1E" w:rsidRPr="005F65B1">
        <w:rPr>
          <w:rFonts w:asciiTheme="minorHAnsi" w:hAnsiTheme="minorHAnsi" w:cstheme="minorHAnsi"/>
          <w:b w:val="0"/>
          <w:color w:val="auto"/>
          <w:sz w:val="21"/>
          <w:szCs w:val="21"/>
          <w:u w:val="none"/>
        </w:rPr>
        <w:t xml:space="preserve">Margaret Gibbons. </w:t>
      </w:r>
      <w:r w:rsidRPr="005F65B1">
        <w:rPr>
          <w:rFonts w:asciiTheme="minorHAnsi" w:hAnsiTheme="minorHAnsi" w:cstheme="minorHAnsi"/>
          <w:b w:val="0"/>
          <w:color w:val="auto"/>
          <w:sz w:val="21"/>
          <w:szCs w:val="21"/>
          <w:u w:val="none"/>
        </w:rPr>
        <w:t>Pre- and post-testing of partners completing the Certificate III in Social Services and Medical Forensic Examiner Training was not undertaken</w:t>
      </w:r>
      <w:r w:rsidR="00644DEB">
        <w:rPr>
          <w:rFonts w:asciiTheme="minorHAnsi" w:hAnsiTheme="minorHAnsi" w:cstheme="minorHAnsi"/>
          <w:b w:val="0"/>
          <w:color w:val="auto"/>
          <w:sz w:val="21"/>
          <w:szCs w:val="21"/>
          <w:u w:val="none"/>
        </w:rPr>
        <w:t xml:space="preserve"> as continuous assessments were built into the training</w:t>
      </w:r>
      <w:r w:rsidRPr="005F65B1">
        <w:rPr>
          <w:rFonts w:asciiTheme="minorHAnsi" w:hAnsiTheme="minorHAnsi" w:cstheme="minorHAnsi"/>
          <w:b w:val="0"/>
          <w:color w:val="auto"/>
          <w:sz w:val="21"/>
          <w:szCs w:val="21"/>
          <w:u w:val="none"/>
        </w:rPr>
        <w:t>.</w:t>
      </w:r>
    </w:p>
    <w:p w14:paraId="68ED376E" w14:textId="5F0870F2" w:rsidR="00E5266A" w:rsidRPr="005F65B1" w:rsidRDefault="0004411A" w:rsidP="005F65B1">
      <w:pPr>
        <w:pStyle w:val="ListParagraph"/>
        <w:numPr>
          <w:ilvl w:val="0"/>
          <w:numId w:val="32"/>
        </w:numPr>
        <w:jc w:val="both"/>
        <w:rPr>
          <w:rFonts w:asciiTheme="minorHAnsi" w:hAnsiTheme="minorHAnsi" w:cstheme="minorHAnsi"/>
          <w:b w:val="0"/>
          <w:color w:val="auto"/>
          <w:sz w:val="21"/>
          <w:szCs w:val="21"/>
          <w:u w:val="none"/>
        </w:rPr>
      </w:pPr>
      <w:r w:rsidRPr="005F65B1">
        <w:rPr>
          <w:rFonts w:asciiTheme="minorHAnsi" w:hAnsiTheme="minorHAnsi" w:cstheme="minorHAnsi"/>
          <w:b w:val="0"/>
          <w:color w:val="auto"/>
          <w:sz w:val="21"/>
          <w:szCs w:val="21"/>
          <w:u w:val="none"/>
        </w:rPr>
        <w:t xml:space="preserve">Nabilan has contributed to improved quality service delivery through the Certificate III in Social Services course, and ongoing technical assistance and other training. </w:t>
      </w:r>
      <w:r w:rsidR="00CD347F" w:rsidRPr="005F65B1">
        <w:rPr>
          <w:rFonts w:asciiTheme="minorHAnsi" w:hAnsiTheme="minorHAnsi" w:cstheme="minorHAnsi"/>
          <w:b w:val="0"/>
          <w:color w:val="auto"/>
          <w:sz w:val="21"/>
          <w:szCs w:val="21"/>
          <w:u w:val="none"/>
        </w:rPr>
        <w:t>The</w:t>
      </w:r>
      <w:r w:rsidR="00AD16A2" w:rsidRPr="005F65B1">
        <w:rPr>
          <w:rFonts w:asciiTheme="minorHAnsi" w:hAnsiTheme="minorHAnsi" w:cstheme="minorHAnsi"/>
          <w:b w:val="0"/>
          <w:color w:val="auto"/>
          <w:sz w:val="21"/>
          <w:szCs w:val="21"/>
          <w:u w:val="none"/>
        </w:rPr>
        <w:t xml:space="preserve"> recent evaluation</w:t>
      </w:r>
      <w:r w:rsidR="00CD347F" w:rsidRPr="005F65B1">
        <w:rPr>
          <w:rFonts w:asciiTheme="minorHAnsi" w:hAnsiTheme="minorHAnsi" w:cstheme="minorHAnsi"/>
          <w:b w:val="0"/>
          <w:color w:val="auto"/>
          <w:sz w:val="21"/>
          <w:szCs w:val="21"/>
          <w:u w:val="none"/>
        </w:rPr>
        <w:t xml:space="preserve"> of the Certificate III in Social Serv</w:t>
      </w:r>
      <w:r w:rsidR="00F00A29" w:rsidRPr="005F65B1">
        <w:rPr>
          <w:rFonts w:asciiTheme="minorHAnsi" w:hAnsiTheme="minorHAnsi" w:cstheme="minorHAnsi"/>
          <w:b w:val="0"/>
          <w:color w:val="auto"/>
          <w:sz w:val="21"/>
          <w:szCs w:val="21"/>
          <w:u w:val="none"/>
        </w:rPr>
        <w:t>i</w:t>
      </w:r>
      <w:r w:rsidR="00CD347F" w:rsidRPr="005F65B1">
        <w:rPr>
          <w:rFonts w:asciiTheme="minorHAnsi" w:hAnsiTheme="minorHAnsi" w:cstheme="minorHAnsi"/>
          <w:b w:val="0"/>
          <w:color w:val="auto"/>
          <w:sz w:val="21"/>
          <w:szCs w:val="21"/>
          <w:u w:val="none"/>
        </w:rPr>
        <w:t>ces</w:t>
      </w:r>
      <w:r w:rsidR="00AD16A2" w:rsidRPr="005F65B1">
        <w:rPr>
          <w:rFonts w:asciiTheme="minorHAnsi" w:hAnsiTheme="minorHAnsi" w:cstheme="minorHAnsi"/>
          <w:b w:val="0"/>
          <w:color w:val="auto"/>
          <w:sz w:val="21"/>
          <w:szCs w:val="21"/>
          <w:u w:val="none"/>
        </w:rPr>
        <w:t xml:space="preserve"> </w:t>
      </w:r>
      <w:r w:rsidR="00CD347F" w:rsidRPr="005F65B1">
        <w:rPr>
          <w:rFonts w:asciiTheme="minorHAnsi" w:hAnsiTheme="minorHAnsi" w:cstheme="minorHAnsi"/>
          <w:b w:val="0"/>
          <w:color w:val="auto"/>
          <w:sz w:val="21"/>
          <w:szCs w:val="21"/>
          <w:u w:val="none"/>
        </w:rPr>
        <w:t xml:space="preserve">provides </w:t>
      </w:r>
      <w:r w:rsidR="00AD16A2" w:rsidRPr="005F65B1">
        <w:rPr>
          <w:rFonts w:asciiTheme="minorHAnsi" w:hAnsiTheme="minorHAnsi" w:cstheme="minorHAnsi"/>
          <w:b w:val="0"/>
          <w:color w:val="auto"/>
          <w:sz w:val="21"/>
          <w:szCs w:val="21"/>
          <w:u w:val="none"/>
        </w:rPr>
        <w:t>clear evidence of staff improving the way they support clients as a result</w:t>
      </w:r>
      <w:r w:rsidR="00CD347F" w:rsidRPr="005F65B1">
        <w:rPr>
          <w:rFonts w:asciiTheme="minorHAnsi" w:hAnsiTheme="minorHAnsi" w:cstheme="minorHAnsi"/>
          <w:b w:val="0"/>
          <w:color w:val="auto"/>
          <w:sz w:val="21"/>
          <w:szCs w:val="21"/>
          <w:u w:val="none"/>
        </w:rPr>
        <w:t xml:space="preserve"> of completing the course</w:t>
      </w:r>
      <w:r w:rsidR="00AD16A2" w:rsidRPr="005F65B1">
        <w:rPr>
          <w:rFonts w:asciiTheme="minorHAnsi" w:hAnsiTheme="minorHAnsi" w:cstheme="minorHAnsi"/>
          <w:b w:val="0"/>
          <w:color w:val="auto"/>
          <w:sz w:val="21"/>
          <w:szCs w:val="21"/>
          <w:u w:val="none"/>
        </w:rPr>
        <w:t>. However, the</w:t>
      </w:r>
      <w:r w:rsidRPr="005F65B1">
        <w:rPr>
          <w:rFonts w:asciiTheme="minorHAnsi" w:hAnsiTheme="minorHAnsi" w:cstheme="minorHAnsi"/>
          <w:b w:val="0"/>
          <w:color w:val="auto"/>
          <w:sz w:val="21"/>
          <w:szCs w:val="21"/>
          <w:u w:val="none"/>
        </w:rPr>
        <w:t xml:space="preserve"> case management audit of services partners</w:t>
      </w:r>
      <w:r w:rsidR="007E2403" w:rsidRPr="005F65B1">
        <w:rPr>
          <w:rFonts w:asciiTheme="minorHAnsi" w:hAnsiTheme="minorHAnsi" w:cstheme="minorHAnsi"/>
          <w:b w:val="0"/>
          <w:color w:val="auto"/>
          <w:sz w:val="21"/>
          <w:szCs w:val="21"/>
          <w:u w:val="none"/>
        </w:rPr>
        <w:t xml:space="preserve"> (</w:t>
      </w:r>
      <w:r w:rsidRPr="005F65B1">
        <w:rPr>
          <w:rFonts w:asciiTheme="minorHAnsi" w:hAnsiTheme="minorHAnsi" w:cstheme="minorHAnsi"/>
          <w:b w:val="0"/>
          <w:color w:val="auto"/>
          <w:sz w:val="21"/>
          <w:szCs w:val="21"/>
          <w:u w:val="none"/>
        </w:rPr>
        <w:t>the primary method of assessing improvements in the service quality of Nabilan CSO partners</w:t>
      </w:r>
      <w:r w:rsidR="007E2403" w:rsidRPr="005F65B1">
        <w:rPr>
          <w:rFonts w:asciiTheme="minorHAnsi" w:hAnsiTheme="minorHAnsi" w:cstheme="minorHAnsi"/>
          <w:b w:val="0"/>
          <w:color w:val="auto"/>
          <w:sz w:val="21"/>
          <w:szCs w:val="21"/>
          <w:u w:val="none"/>
        </w:rPr>
        <w:t xml:space="preserve">) found that </w:t>
      </w:r>
      <w:r w:rsidR="00E5266A" w:rsidRPr="005F65B1">
        <w:rPr>
          <w:rFonts w:asciiTheme="minorHAnsi" w:hAnsiTheme="minorHAnsi" w:cstheme="minorHAnsi"/>
          <w:b w:val="0"/>
          <w:color w:val="auto"/>
          <w:sz w:val="21"/>
          <w:szCs w:val="21"/>
          <w:u w:val="none"/>
        </w:rPr>
        <w:t>Nabilan is</w:t>
      </w:r>
      <w:r w:rsidR="009833EC" w:rsidRPr="005F65B1">
        <w:rPr>
          <w:rFonts w:asciiTheme="minorHAnsi" w:hAnsiTheme="minorHAnsi" w:cstheme="minorHAnsi"/>
          <w:b w:val="0"/>
          <w:color w:val="auto"/>
          <w:sz w:val="21"/>
          <w:szCs w:val="21"/>
          <w:u w:val="none"/>
        </w:rPr>
        <w:t xml:space="preserve"> </w:t>
      </w:r>
      <w:r w:rsidR="00E5266A" w:rsidRPr="005F65B1">
        <w:rPr>
          <w:rFonts w:asciiTheme="minorHAnsi" w:hAnsiTheme="minorHAnsi" w:cstheme="minorHAnsi"/>
          <w:b w:val="0"/>
          <w:color w:val="auto"/>
          <w:sz w:val="21"/>
          <w:szCs w:val="21"/>
          <w:u w:val="none"/>
        </w:rPr>
        <w:t xml:space="preserve">unlikely to meet service quality targets in 2019 due to issues with a new partner’s poor case management systems. </w:t>
      </w:r>
      <w:r w:rsidR="00644DEB" w:rsidRPr="00644DEB">
        <w:rPr>
          <w:rFonts w:asciiTheme="minorHAnsi" w:hAnsiTheme="minorHAnsi" w:cstheme="minorHAnsi"/>
          <w:b w:val="0"/>
          <w:color w:val="auto"/>
          <w:sz w:val="21"/>
          <w:szCs w:val="21"/>
          <w:u w:val="none"/>
        </w:rPr>
        <w:t>In response to this finding, Nabilan will need to intensify its efforts to improve partner case management.</w:t>
      </w:r>
    </w:p>
    <w:p w14:paraId="1D8A0556" w14:textId="74A0D44E" w:rsidR="0098240F" w:rsidRPr="00705BD3" w:rsidRDefault="000A2CA4" w:rsidP="005F65B1">
      <w:pPr>
        <w:pStyle w:val="ListParagraph"/>
        <w:numPr>
          <w:ilvl w:val="0"/>
          <w:numId w:val="32"/>
        </w:numPr>
        <w:jc w:val="both"/>
        <w:rPr>
          <w:rFonts w:asciiTheme="minorHAnsi" w:hAnsiTheme="minorHAnsi" w:cstheme="minorHAnsi"/>
          <w:b w:val="0"/>
          <w:color w:val="auto"/>
          <w:sz w:val="21"/>
          <w:szCs w:val="21"/>
          <w:u w:val="none"/>
        </w:rPr>
      </w:pPr>
      <w:r w:rsidRPr="00705BD3">
        <w:rPr>
          <w:rFonts w:asciiTheme="minorHAnsi" w:hAnsiTheme="minorHAnsi" w:cstheme="minorHAnsi"/>
          <w:b w:val="0"/>
          <w:color w:val="auto"/>
          <w:sz w:val="21"/>
          <w:szCs w:val="21"/>
          <w:u w:val="none"/>
        </w:rPr>
        <w:t>Nabilan contributed to inclusive service delivery by supporting service</w:t>
      </w:r>
      <w:r w:rsidR="009F62E5">
        <w:rPr>
          <w:rFonts w:asciiTheme="minorHAnsi" w:hAnsiTheme="minorHAnsi" w:cstheme="minorHAnsi"/>
          <w:b w:val="0"/>
          <w:color w:val="auto"/>
          <w:sz w:val="21"/>
          <w:szCs w:val="21"/>
          <w:u w:val="none"/>
        </w:rPr>
        <w:t>s</w:t>
      </w:r>
      <w:r w:rsidRPr="00705BD3">
        <w:rPr>
          <w:rFonts w:asciiTheme="minorHAnsi" w:hAnsiTheme="minorHAnsi" w:cstheme="minorHAnsi"/>
          <w:b w:val="0"/>
          <w:color w:val="auto"/>
          <w:sz w:val="21"/>
          <w:szCs w:val="21"/>
          <w:u w:val="none"/>
        </w:rPr>
        <w:t xml:space="preserve"> partners to identify and support clients with a disability and clients from other vulnerable groups</w:t>
      </w:r>
      <w:r w:rsidR="009F62E5">
        <w:rPr>
          <w:rFonts w:asciiTheme="minorHAnsi" w:hAnsiTheme="minorHAnsi" w:cstheme="minorHAnsi"/>
          <w:b w:val="0"/>
          <w:color w:val="auto"/>
          <w:sz w:val="21"/>
          <w:szCs w:val="21"/>
          <w:u w:val="none"/>
        </w:rPr>
        <w:t>,</w:t>
      </w:r>
      <w:r w:rsidR="0098240F" w:rsidRPr="00705BD3">
        <w:rPr>
          <w:rFonts w:asciiTheme="minorHAnsi" w:hAnsiTheme="minorHAnsi" w:cstheme="minorHAnsi"/>
          <w:b w:val="0"/>
          <w:color w:val="auto"/>
          <w:sz w:val="21"/>
          <w:szCs w:val="21"/>
          <w:u w:val="none"/>
        </w:rPr>
        <w:t xml:space="preserve"> </w:t>
      </w:r>
      <w:r w:rsidRPr="00705BD3">
        <w:rPr>
          <w:rFonts w:asciiTheme="minorHAnsi" w:hAnsiTheme="minorHAnsi" w:cstheme="minorHAnsi"/>
          <w:b w:val="0"/>
          <w:color w:val="auto"/>
          <w:sz w:val="21"/>
          <w:szCs w:val="21"/>
          <w:u w:val="none"/>
        </w:rPr>
        <w:t xml:space="preserve">and improving data collection on </w:t>
      </w:r>
      <w:r w:rsidR="00C91F78" w:rsidRPr="00705BD3">
        <w:rPr>
          <w:rFonts w:asciiTheme="minorHAnsi" w:hAnsiTheme="minorHAnsi" w:cstheme="minorHAnsi"/>
          <w:b w:val="0"/>
          <w:color w:val="auto"/>
          <w:sz w:val="21"/>
          <w:szCs w:val="21"/>
          <w:u w:val="none"/>
        </w:rPr>
        <w:t xml:space="preserve">Lesbian, Gay, Bisexual, </w:t>
      </w:r>
      <w:r w:rsidR="00B17EEB" w:rsidRPr="005F65B1">
        <w:rPr>
          <w:rFonts w:asciiTheme="minorHAnsi" w:hAnsiTheme="minorHAnsi" w:cstheme="minorHAnsi"/>
          <w:b w:val="0"/>
          <w:color w:val="auto"/>
          <w:sz w:val="21"/>
          <w:szCs w:val="21"/>
          <w:u w:val="none"/>
        </w:rPr>
        <w:t>Transsexual</w:t>
      </w:r>
      <w:r w:rsidR="00C91F78" w:rsidRPr="00705BD3">
        <w:rPr>
          <w:rFonts w:asciiTheme="minorHAnsi" w:hAnsiTheme="minorHAnsi" w:cstheme="minorHAnsi"/>
          <w:b w:val="0"/>
          <w:color w:val="auto"/>
          <w:sz w:val="21"/>
          <w:szCs w:val="21"/>
          <w:u w:val="none"/>
        </w:rPr>
        <w:t xml:space="preserve"> and Intersex (</w:t>
      </w:r>
      <w:r w:rsidRPr="00705BD3">
        <w:rPr>
          <w:rFonts w:asciiTheme="minorHAnsi" w:hAnsiTheme="minorHAnsi" w:cstheme="minorHAnsi"/>
          <w:b w:val="0"/>
          <w:color w:val="auto"/>
          <w:sz w:val="21"/>
          <w:szCs w:val="21"/>
          <w:u w:val="none"/>
        </w:rPr>
        <w:t>LGBTI</w:t>
      </w:r>
      <w:r w:rsidR="00C91F78" w:rsidRPr="00705BD3">
        <w:rPr>
          <w:rFonts w:asciiTheme="minorHAnsi" w:hAnsiTheme="minorHAnsi" w:cstheme="minorHAnsi"/>
          <w:b w:val="0"/>
          <w:color w:val="auto"/>
          <w:sz w:val="21"/>
          <w:szCs w:val="21"/>
          <w:u w:val="none"/>
        </w:rPr>
        <w:t>)</w:t>
      </w:r>
      <w:r w:rsidRPr="00705BD3">
        <w:rPr>
          <w:rFonts w:asciiTheme="minorHAnsi" w:hAnsiTheme="minorHAnsi" w:cstheme="minorHAnsi"/>
          <w:b w:val="0"/>
          <w:color w:val="auto"/>
          <w:sz w:val="21"/>
          <w:szCs w:val="21"/>
          <w:u w:val="none"/>
        </w:rPr>
        <w:t xml:space="preserve"> clients.</w:t>
      </w:r>
      <w:r w:rsidR="0098240F" w:rsidRPr="00705BD3">
        <w:rPr>
          <w:rFonts w:asciiTheme="minorHAnsi" w:hAnsiTheme="minorHAnsi" w:cstheme="minorHAnsi"/>
          <w:b w:val="0"/>
          <w:color w:val="auto"/>
          <w:sz w:val="21"/>
          <w:szCs w:val="21"/>
          <w:u w:val="none"/>
        </w:rPr>
        <w:t xml:space="preserve"> Vulnerable clients, such as clients with a disability, are accessing VAWC services. In 2018, partners supported </w:t>
      </w:r>
      <w:r w:rsidR="00044674" w:rsidRPr="005F65B1">
        <w:rPr>
          <w:rFonts w:asciiTheme="minorHAnsi" w:hAnsiTheme="minorHAnsi" w:cstheme="minorHAnsi"/>
          <w:b w:val="0"/>
          <w:color w:val="auto"/>
          <w:sz w:val="21"/>
          <w:szCs w:val="21"/>
          <w:u w:val="none"/>
        </w:rPr>
        <w:t xml:space="preserve">an increased number of clients with a disability compared with the 2014 baseline. </w:t>
      </w:r>
      <w:r w:rsidR="00044674" w:rsidRPr="00705BD3">
        <w:rPr>
          <w:rFonts w:asciiTheme="minorHAnsi" w:hAnsiTheme="minorHAnsi" w:cstheme="minorHAnsi"/>
          <w:b w:val="0"/>
          <w:color w:val="auto"/>
          <w:sz w:val="21"/>
          <w:szCs w:val="21"/>
          <w:u w:val="none"/>
        </w:rPr>
        <w:t>The December 2018 ODE Evaluation on strengthening disability inclusion in Australian aid cites Nabilan very positively for a number of aspects of its disability inclusive work.</w:t>
      </w:r>
    </w:p>
    <w:p w14:paraId="606B8AAE" w14:textId="261F478C" w:rsidR="00333490" w:rsidRPr="00615EAC" w:rsidRDefault="003E3D32" w:rsidP="005F65B1">
      <w:pPr>
        <w:pStyle w:val="ListParagraph"/>
        <w:numPr>
          <w:ilvl w:val="0"/>
          <w:numId w:val="32"/>
        </w:numPr>
        <w:jc w:val="both"/>
        <w:rPr>
          <w:rFonts w:asciiTheme="minorHAnsi" w:hAnsiTheme="minorHAnsi" w:cstheme="minorHAnsi"/>
          <w:b w:val="0"/>
          <w:color w:val="auto"/>
          <w:sz w:val="21"/>
          <w:szCs w:val="21"/>
          <w:u w:val="none"/>
        </w:rPr>
      </w:pPr>
      <w:r w:rsidRPr="005F65B1">
        <w:rPr>
          <w:rFonts w:asciiTheme="minorHAnsi" w:hAnsiTheme="minorHAnsi" w:cstheme="minorHAnsi"/>
          <w:b w:val="0"/>
          <w:color w:val="auto"/>
          <w:sz w:val="21"/>
          <w:szCs w:val="21"/>
          <w:u w:val="none"/>
        </w:rPr>
        <w:t xml:space="preserve">Nabilan continues to support strengthened referral pathways through provision of ongoing support to </w:t>
      </w:r>
      <w:r w:rsidRPr="00615EAC">
        <w:rPr>
          <w:rFonts w:asciiTheme="minorHAnsi" w:hAnsiTheme="minorHAnsi" w:cstheme="minorHAnsi"/>
          <w:b w:val="0"/>
          <w:color w:val="auto"/>
          <w:sz w:val="21"/>
          <w:szCs w:val="21"/>
          <w:u w:val="none"/>
        </w:rPr>
        <w:t xml:space="preserve">partners, improving monitoring data, and supporting design of a referral app called ‘Hamahon’. </w:t>
      </w:r>
      <w:r w:rsidR="00073FFE" w:rsidRPr="00615EAC">
        <w:rPr>
          <w:rFonts w:asciiTheme="minorHAnsi" w:hAnsiTheme="minorHAnsi" w:cstheme="minorHAnsi"/>
          <w:b w:val="0"/>
          <w:color w:val="auto"/>
          <w:sz w:val="21"/>
          <w:szCs w:val="21"/>
          <w:u w:val="none"/>
        </w:rPr>
        <w:t>There was an increase in referrals between service providers, compared with 2017</w:t>
      </w:r>
      <w:r w:rsidR="009833EC" w:rsidRPr="00615EAC">
        <w:rPr>
          <w:rFonts w:asciiTheme="minorHAnsi" w:hAnsiTheme="minorHAnsi" w:cstheme="minorHAnsi"/>
          <w:b w:val="0"/>
          <w:color w:val="auto"/>
          <w:sz w:val="21"/>
          <w:szCs w:val="21"/>
          <w:u w:val="none"/>
        </w:rPr>
        <w:t>.</w:t>
      </w:r>
      <w:r w:rsidR="00AD16A2" w:rsidRPr="00615EAC">
        <w:rPr>
          <w:rFonts w:asciiTheme="minorHAnsi" w:hAnsiTheme="minorHAnsi" w:cstheme="minorHAnsi"/>
          <w:b w:val="0"/>
          <w:color w:val="auto"/>
          <w:sz w:val="21"/>
          <w:szCs w:val="21"/>
          <w:u w:val="none"/>
        </w:rPr>
        <w:t xml:space="preserve"> </w:t>
      </w:r>
    </w:p>
    <w:p w14:paraId="18B424C8" w14:textId="1CF3B4B1" w:rsidR="000E3980" w:rsidRPr="00615EAC" w:rsidRDefault="000A2CA4" w:rsidP="005F65B1">
      <w:pPr>
        <w:pStyle w:val="ListParagraph"/>
        <w:numPr>
          <w:ilvl w:val="0"/>
          <w:numId w:val="32"/>
        </w:numPr>
        <w:jc w:val="both"/>
        <w:rPr>
          <w:rFonts w:asciiTheme="minorHAnsi" w:hAnsiTheme="minorHAnsi" w:cstheme="minorHAnsi"/>
          <w:b w:val="0"/>
          <w:color w:val="auto"/>
          <w:sz w:val="21"/>
          <w:szCs w:val="21"/>
          <w:u w:val="none"/>
        </w:rPr>
      </w:pPr>
      <w:r w:rsidRPr="00615EAC">
        <w:rPr>
          <w:rFonts w:asciiTheme="minorHAnsi" w:hAnsiTheme="minorHAnsi" w:cstheme="minorHAnsi"/>
          <w:b w:val="0"/>
          <w:color w:val="auto"/>
          <w:sz w:val="21"/>
          <w:szCs w:val="21"/>
          <w:u w:val="none"/>
        </w:rPr>
        <w:t xml:space="preserve">Nabilan continued to support improved justice sector response to VAWC by </w:t>
      </w:r>
      <w:r w:rsidR="007E2403" w:rsidRPr="00615EAC">
        <w:rPr>
          <w:rFonts w:asciiTheme="minorHAnsi" w:hAnsiTheme="minorHAnsi" w:cstheme="minorHAnsi"/>
          <w:b w:val="0"/>
          <w:color w:val="auto"/>
          <w:sz w:val="21"/>
          <w:szCs w:val="21"/>
          <w:u w:val="none"/>
        </w:rPr>
        <w:t xml:space="preserve">providing </w:t>
      </w:r>
      <w:r w:rsidRPr="00615EAC">
        <w:rPr>
          <w:rFonts w:asciiTheme="minorHAnsi" w:hAnsiTheme="minorHAnsi" w:cstheme="minorHAnsi"/>
          <w:b w:val="0"/>
          <w:color w:val="auto"/>
          <w:sz w:val="21"/>
          <w:szCs w:val="21"/>
          <w:u w:val="none"/>
        </w:rPr>
        <w:t xml:space="preserve">funding to key justice sector partners ALFeLa and JSMP. </w:t>
      </w:r>
      <w:r w:rsidR="000E3980" w:rsidRPr="00615EAC">
        <w:rPr>
          <w:rFonts w:asciiTheme="minorHAnsi" w:hAnsiTheme="minorHAnsi" w:cstheme="minorHAnsi"/>
          <w:b w:val="0"/>
          <w:color w:val="auto"/>
          <w:sz w:val="21"/>
          <w:szCs w:val="21"/>
          <w:u w:val="none"/>
        </w:rPr>
        <w:t>The number of cases of VAWC monitored by JSMP during 2018 has increased compared with the</w:t>
      </w:r>
      <w:r w:rsidR="003720CA" w:rsidRPr="00615EAC">
        <w:rPr>
          <w:rFonts w:asciiTheme="minorHAnsi" w:hAnsiTheme="minorHAnsi" w:cstheme="minorHAnsi"/>
          <w:b w:val="0"/>
          <w:color w:val="auto"/>
          <w:sz w:val="21"/>
          <w:szCs w:val="21"/>
          <w:u w:val="none"/>
        </w:rPr>
        <w:t xml:space="preserve"> previous</w:t>
      </w:r>
      <w:r w:rsidR="000E3980" w:rsidRPr="00615EAC">
        <w:rPr>
          <w:rFonts w:asciiTheme="minorHAnsi" w:hAnsiTheme="minorHAnsi" w:cstheme="minorHAnsi"/>
          <w:b w:val="0"/>
          <w:color w:val="auto"/>
          <w:sz w:val="21"/>
          <w:szCs w:val="21"/>
          <w:u w:val="none"/>
        </w:rPr>
        <w:t xml:space="preserve"> reporting period</w:t>
      </w:r>
      <w:r w:rsidR="00AF3A56" w:rsidRPr="00615EAC">
        <w:rPr>
          <w:rFonts w:asciiTheme="minorHAnsi" w:hAnsiTheme="minorHAnsi" w:cstheme="minorHAnsi"/>
          <w:b w:val="0"/>
          <w:color w:val="auto"/>
          <w:sz w:val="21"/>
          <w:szCs w:val="21"/>
          <w:u w:val="none"/>
        </w:rPr>
        <w:t>, due to JSMP increasing its court monitoring activities</w:t>
      </w:r>
      <w:r w:rsidR="000E3980" w:rsidRPr="00615EAC">
        <w:rPr>
          <w:rFonts w:asciiTheme="minorHAnsi" w:hAnsiTheme="minorHAnsi" w:cstheme="minorHAnsi"/>
          <w:b w:val="0"/>
          <w:color w:val="auto"/>
          <w:sz w:val="21"/>
          <w:szCs w:val="21"/>
          <w:u w:val="none"/>
        </w:rPr>
        <w:t>. This exceeds the target of the number of cases monitored holding steady.</w:t>
      </w:r>
    </w:p>
    <w:p w14:paraId="51F3D1E4" w14:textId="0680266C" w:rsidR="000E3980" w:rsidRPr="00615EAC" w:rsidRDefault="00AF3A56" w:rsidP="005F65B1">
      <w:pPr>
        <w:pStyle w:val="ListParagraph"/>
        <w:numPr>
          <w:ilvl w:val="0"/>
          <w:numId w:val="32"/>
        </w:numPr>
        <w:jc w:val="both"/>
        <w:rPr>
          <w:rFonts w:asciiTheme="minorHAnsi" w:hAnsiTheme="minorHAnsi" w:cstheme="minorHAnsi"/>
          <w:b w:val="0"/>
          <w:color w:val="auto"/>
          <w:sz w:val="21"/>
          <w:szCs w:val="21"/>
          <w:u w:val="none"/>
        </w:rPr>
      </w:pPr>
      <w:r w:rsidRPr="00615EAC">
        <w:rPr>
          <w:rFonts w:asciiTheme="minorHAnsi" w:hAnsiTheme="minorHAnsi" w:cstheme="minorHAnsi"/>
          <w:b w:val="0"/>
          <w:color w:val="auto"/>
          <w:sz w:val="21"/>
          <w:szCs w:val="21"/>
          <w:u w:val="none"/>
        </w:rPr>
        <w:t xml:space="preserve">However, there has been no progress in improving charging and sentencing of domestic violence cases, and Nabilan’s targets in this area have not been met. </w:t>
      </w:r>
      <w:r w:rsidR="003720CA" w:rsidRPr="00615EAC">
        <w:rPr>
          <w:rFonts w:asciiTheme="minorHAnsi" w:hAnsiTheme="minorHAnsi" w:cstheme="minorHAnsi"/>
          <w:b w:val="0"/>
          <w:color w:val="auto"/>
          <w:sz w:val="21"/>
          <w:szCs w:val="21"/>
          <w:u w:val="none"/>
        </w:rPr>
        <w:t xml:space="preserve">Nabilan </w:t>
      </w:r>
      <w:r w:rsidR="009F62E5" w:rsidRPr="00615EAC">
        <w:rPr>
          <w:rFonts w:asciiTheme="minorHAnsi" w:hAnsiTheme="minorHAnsi" w:cstheme="minorHAnsi"/>
          <w:b w:val="0"/>
          <w:color w:val="auto"/>
          <w:sz w:val="21"/>
          <w:szCs w:val="21"/>
          <w:u w:val="none"/>
        </w:rPr>
        <w:t xml:space="preserve">will review our </w:t>
      </w:r>
      <w:r w:rsidR="003720CA" w:rsidRPr="00615EAC">
        <w:rPr>
          <w:rFonts w:asciiTheme="minorHAnsi" w:hAnsiTheme="minorHAnsi" w:cstheme="minorHAnsi"/>
          <w:b w:val="0"/>
          <w:color w:val="auto"/>
          <w:sz w:val="21"/>
          <w:szCs w:val="21"/>
          <w:u w:val="none"/>
        </w:rPr>
        <w:t xml:space="preserve">approach </w:t>
      </w:r>
      <w:r w:rsidR="00252A15" w:rsidRPr="00615EAC">
        <w:rPr>
          <w:rFonts w:asciiTheme="minorHAnsi" w:hAnsiTheme="minorHAnsi" w:cstheme="minorHAnsi"/>
          <w:b w:val="0"/>
          <w:color w:val="auto"/>
          <w:sz w:val="21"/>
          <w:szCs w:val="21"/>
          <w:u w:val="none"/>
        </w:rPr>
        <w:t xml:space="preserve">to </w:t>
      </w:r>
      <w:r w:rsidR="003720CA" w:rsidRPr="00615EAC">
        <w:rPr>
          <w:rFonts w:asciiTheme="minorHAnsi" w:hAnsiTheme="minorHAnsi" w:cstheme="minorHAnsi"/>
          <w:b w:val="0"/>
          <w:color w:val="auto"/>
          <w:sz w:val="21"/>
          <w:szCs w:val="21"/>
          <w:u w:val="none"/>
        </w:rPr>
        <w:t>justice sector programming</w:t>
      </w:r>
      <w:r w:rsidR="000E3980" w:rsidRPr="00615EAC">
        <w:rPr>
          <w:rFonts w:asciiTheme="minorHAnsi" w:hAnsiTheme="minorHAnsi" w:cstheme="minorHAnsi"/>
          <w:b w:val="0"/>
          <w:color w:val="auto"/>
          <w:sz w:val="21"/>
          <w:szCs w:val="21"/>
          <w:u w:val="none"/>
        </w:rPr>
        <w:t xml:space="preserve"> </w:t>
      </w:r>
      <w:r w:rsidR="00BF1A1E" w:rsidRPr="00615EAC">
        <w:rPr>
          <w:rFonts w:asciiTheme="minorHAnsi" w:hAnsiTheme="minorHAnsi" w:cstheme="minorHAnsi"/>
          <w:b w:val="0"/>
          <w:color w:val="auto"/>
          <w:sz w:val="21"/>
          <w:szCs w:val="21"/>
          <w:u w:val="none"/>
        </w:rPr>
        <w:t>in 2019</w:t>
      </w:r>
      <w:r w:rsidR="000E3980" w:rsidRPr="00615EAC">
        <w:rPr>
          <w:rFonts w:asciiTheme="minorHAnsi" w:hAnsiTheme="minorHAnsi" w:cstheme="minorHAnsi"/>
          <w:b w:val="0"/>
          <w:color w:val="auto"/>
          <w:sz w:val="21"/>
          <w:szCs w:val="21"/>
          <w:u w:val="none"/>
        </w:rPr>
        <w:t xml:space="preserve">.  </w:t>
      </w:r>
    </w:p>
    <w:p w14:paraId="11C7EB60" w14:textId="21B5CADA" w:rsidR="00E5266A" w:rsidRPr="005F65B1" w:rsidRDefault="00B67257" w:rsidP="005F65B1">
      <w:pPr>
        <w:pStyle w:val="ListParagraph"/>
        <w:numPr>
          <w:ilvl w:val="0"/>
          <w:numId w:val="32"/>
        </w:numPr>
        <w:jc w:val="both"/>
        <w:rPr>
          <w:rFonts w:asciiTheme="minorHAnsi" w:hAnsiTheme="minorHAnsi" w:cstheme="minorHAnsi"/>
          <w:b w:val="0"/>
          <w:color w:val="auto"/>
          <w:sz w:val="21"/>
          <w:szCs w:val="21"/>
          <w:u w:val="none"/>
        </w:rPr>
      </w:pPr>
      <w:r w:rsidRPr="005F65B1">
        <w:rPr>
          <w:rFonts w:asciiTheme="minorHAnsi" w:hAnsiTheme="minorHAnsi" w:cstheme="minorHAnsi"/>
          <w:b w:val="0"/>
          <w:color w:val="auto"/>
          <w:sz w:val="21"/>
          <w:szCs w:val="21"/>
          <w:u w:val="none"/>
        </w:rPr>
        <w:t>Nabilan</w:t>
      </w:r>
      <w:r w:rsidR="00D7191E" w:rsidRPr="005F65B1">
        <w:rPr>
          <w:rFonts w:asciiTheme="minorHAnsi" w:hAnsiTheme="minorHAnsi" w:cstheme="minorHAnsi"/>
          <w:b w:val="0"/>
          <w:color w:val="auto"/>
          <w:sz w:val="21"/>
          <w:szCs w:val="21"/>
          <w:u w:val="none"/>
        </w:rPr>
        <w:t>’s services partners</w:t>
      </w:r>
      <w:r w:rsidRPr="005F65B1">
        <w:rPr>
          <w:rFonts w:asciiTheme="minorHAnsi" w:hAnsiTheme="minorHAnsi" w:cstheme="minorHAnsi"/>
          <w:b w:val="0"/>
          <w:color w:val="auto"/>
          <w:sz w:val="21"/>
          <w:szCs w:val="21"/>
          <w:u w:val="none"/>
        </w:rPr>
        <w:t xml:space="preserve"> </w:t>
      </w:r>
      <w:r w:rsidR="00D7191E" w:rsidRPr="005F65B1">
        <w:rPr>
          <w:rFonts w:asciiTheme="minorHAnsi" w:hAnsiTheme="minorHAnsi" w:cstheme="minorHAnsi"/>
          <w:b w:val="0"/>
          <w:color w:val="auto"/>
          <w:sz w:val="21"/>
          <w:szCs w:val="21"/>
          <w:u w:val="none"/>
        </w:rPr>
        <w:t xml:space="preserve">have </w:t>
      </w:r>
      <w:r w:rsidRPr="005F65B1">
        <w:rPr>
          <w:rFonts w:asciiTheme="minorHAnsi" w:hAnsiTheme="minorHAnsi" w:cstheme="minorHAnsi"/>
          <w:b w:val="0"/>
          <w:color w:val="auto"/>
          <w:sz w:val="21"/>
          <w:szCs w:val="21"/>
          <w:u w:val="none"/>
        </w:rPr>
        <w:t>national coverage, reaching all municipalities</w:t>
      </w:r>
      <w:r w:rsidR="00B05BF3" w:rsidRPr="005F65B1">
        <w:rPr>
          <w:rFonts w:asciiTheme="minorHAnsi" w:hAnsiTheme="minorHAnsi" w:cstheme="minorHAnsi"/>
          <w:b w:val="0"/>
          <w:color w:val="auto"/>
          <w:sz w:val="21"/>
          <w:szCs w:val="21"/>
          <w:u w:val="none"/>
        </w:rPr>
        <w:t>,</w:t>
      </w:r>
      <w:r w:rsidRPr="005F65B1">
        <w:rPr>
          <w:rFonts w:asciiTheme="minorHAnsi" w:hAnsiTheme="minorHAnsi" w:cstheme="minorHAnsi"/>
          <w:b w:val="0"/>
          <w:color w:val="auto"/>
          <w:sz w:val="21"/>
          <w:szCs w:val="21"/>
          <w:u w:val="none"/>
        </w:rPr>
        <w:t xml:space="preserve"> and </w:t>
      </w:r>
      <w:r w:rsidR="006B0350" w:rsidRPr="005F65B1">
        <w:rPr>
          <w:rFonts w:asciiTheme="minorHAnsi" w:hAnsiTheme="minorHAnsi" w:cstheme="minorHAnsi"/>
          <w:b w:val="0"/>
          <w:color w:val="auto"/>
          <w:sz w:val="21"/>
          <w:szCs w:val="21"/>
          <w:u w:val="none"/>
        </w:rPr>
        <w:t xml:space="preserve">increasing numbers of </w:t>
      </w:r>
      <w:r w:rsidRPr="005F65B1">
        <w:rPr>
          <w:rFonts w:asciiTheme="minorHAnsi" w:hAnsiTheme="minorHAnsi" w:cstheme="minorHAnsi"/>
          <w:b w:val="0"/>
          <w:color w:val="auto"/>
          <w:sz w:val="21"/>
          <w:szCs w:val="21"/>
          <w:u w:val="none"/>
        </w:rPr>
        <w:t>women and children.</w:t>
      </w:r>
      <w:r w:rsidR="006756EB" w:rsidRPr="005F65B1">
        <w:rPr>
          <w:rFonts w:asciiTheme="minorHAnsi" w:hAnsiTheme="minorHAnsi" w:cstheme="minorHAnsi"/>
          <w:b w:val="0"/>
          <w:color w:val="auto"/>
          <w:sz w:val="21"/>
          <w:szCs w:val="21"/>
          <w:u w:val="none"/>
        </w:rPr>
        <w:t xml:space="preserve"> Nabilan funding support allows continuity of essential </w:t>
      </w:r>
      <w:r w:rsidR="006B0350" w:rsidRPr="005F65B1">
        <w:rPr>
          <w:rFonts w:asciiTheme="minorHAnsi" w:hAnsiTheme="minorHAnsi" w:cstheme="minorHAnsi"/>
          <w:b w:val="0"/>
          <w:color w:val="auto"/>
          <w:sz w:val="21"/>
          <w:szCs w:val="21"/>
          <w:u w:val="none"/>
        </w:rPr>
        <w:t>VAW</w:t>
      </w:r>
      <w:r w:rsidR="0098240F" w:rsidRPr="005F65B1">
        <w:rPr>
          <w:rFonts w:asciiTheme="minorHAnsi" w:hAnsiTheme="minorHAnsi" w:cstheme="minorHAnsi"/>
          <w:b w:val="0"/>
          <w:color w:val="auto"/>
          <w:sz w:val="21"/>
          <w:szCs w:val="21"/>
          <w:u w:val="none"/>
        </w:rPr>
        <w:t>C</w:t>
      </w:r>
      <w:r w:rsidR="006B0350" w:rsidRPr="005F65B1">
        <w:rPr>
          <w:rFonts w:asciiTheme="minorHAnsi" w:hAnsiTheme="minorHAnsi" w:cstheme="minorHAnsi"/>
          <w:b w:val="0"/>
          <w:color w:val="auto"/>
          <w:sz w:val="21"/>
          <w:szCs w:val="21"/>
          <w:u w:val="none"/>
        </w:rPr>
        <w:t xml:space="preserve"> </w:t>
      </w:r>
      <w:r w:rsidR="006756EB" w:rsidRPr="005F65B1">
        <w:rPr>
          <w:rFonts w:asciiTheme="minorHAnsi" w:hAnsiTheme="minorHAnsi" w:cstheme="minorHAnsi"/>
          <w:b w:val="0"/>
          <w:color w:val="auto"/>
          <w:sz w:val="21"/>
          <w:szCs w:val="21"/>
          <w:u w:val="none"/>
        </w:rPr>
        <w:t>services, such as the only dedicated women and children’s legal aid service, one-stop crisis centre, and shelters</w:t>
      </w:r>
      <w:r w:rsidR="00174047" w:rsidRPr="005F65B1">
        <w:rPr>
          <w:rFonts w:asciiTheme="minorHAnsi" w:hAnsiTheme="minorHAnsi" w:cstheme="minorHAnsi"/>
          <w:b w:val="0"/>
          <w:color w:val="auto"/>
          <w:sz w:val="21"/>
          <w:szCs w:val="21"/>
          <w:u w:val="none"/>
        </w:rPr>
        <w:t xml:space="preserve"> in four municipalities</w:t>
      </w:r>
      <w:r w:rsidR="006756EB" w:rsidRPr="005F65B1">
        <w:rPr>
          <w:rFonts w:asciiTheme="minorHAnsi" w:hAnsiTheme="minorHAnsi" w:cstheme="minorHAnsi"/>
          <w:b w:val="0"/>
          <w:color w:val="auto"/>
          <w:sz w:val="21"/>
          <w:szCs w:val="21"/>
          <w:u w:val="none"/>
        </w:rPr>
        <w:t xml:space="preserve">. </w:t>
      </w:r>
    </w:p>
    <w:p w14:paraId="78C6F39F" w14:textId="68A8B0F3" w:rsidR="00640E86" w:rsidRPr="0098240F" w:rsidRDefault="00FB2298" w:rsidP="00705BD3">
      <w:pPr>
        <w:pStyle w:val="Heading2"/>
        <w:rPr>
          <w:b w:val="0"/>
          <w:color w:val="000000"/>
          <w14:textFill>
            <w14:solidFill>
              <w14:srgbClr w14:val="000000">
                <w14:alpha w14:val="4000"/>
              </w14:srgbClr>
            </w14:solidFill>
          </w14:textFill>
        </w:rPr>
      </w:pPr>
      <w:bookmarkStart w:id="114" w:name="_Toc1902717"/>
      <w:bookmarkStart w:id="115" w:name="_Toc437971"/>
      <w:bookmarkStart w:id="116" w:name="_Toc1994631"/>
      <w:bookmarkStart w:id="117" w:name="_Toc1999852"/>
      <w:bookmarkStart w:id="118" w:name="_Toc2019658"/>
      <w:bookmarkStart w:id="119" w:name="_Hlk1390609"/>
      <w:r w:rsidRPr="0098240F">
        <w:t>Evidence</w:t>
      </w:r>
      <w:bookmarkEnd w:id="114"/>
      <w:bookmarkEnd w:id="115"/>
      <w:bookmarkEnd w:id="116"/>
      <w:bookmarkEnd w:id="117"/>
      <w:bookmarkEnd w:id="118"/>
      <w:r w:rsidRPr="0098240F">
        <w:rPr>
          <w:b w:val="0"/>
          <w:color w:val="000000"/>
          <w14:textFill>
            <w14:solidFill>
              <w14:srgbClr w14:val="000000">
                <w14:alpha w14:val="4000"/>
              </w14:srgbClr>
            </w14:solidFill>
          </w14:textFill>
        </w:rPr>
        <w:t xml:space="preserve"> </w:t>
      </w:r>
    </w:p>
    <w:p w14:paraId="2F42EFF0" w14:textId="587E77FE" w:rsidR="00396505" w:rsidRPr="00A8116D" w:rsidRDefault="00396505" w:rsidP="00F7014B">
      <w:pPr>
        <w:pStyle w:val="Heading3"/>
        <w:spacing w:before="240"/>
        <w:rPr>
          <w:rFonts w:asciiTheme="minorHAnsi" w:hAnsiTheme="minorHAnsi" w:cstheme="minorHAnsi"/>
          <w:b w:val="0"/>
          <w:i/>
          <w:color w:val="822B6A"/>
        </w:rPr>
      </w:pPr>
      <w:bookmarkStart w:id="120" w:name="_Toc2019659"/>
      <w:r w:rsidRPr="00A8116D">
        <w:rPr>
          <w:rFonts w:asciiTheme="minorHAnsi" w:hAnsiTheme="minorHAnsi" w:cstheme="minorHAnsi"/>
          <w:b w:val="0"/>
          <w:i/>
          <w:color w:val="822B6A"/>
        </w:rPr>
        <w:t>Numbers of new clients supported by Nabilan partners</w:t>
      </w:r>
      <w:bookmarkEnd w:id="120"/>
      <w:r w:rsidRPr="00A8116D">
        <w:rPr>
          <w:rFonts w:asciiTheme="minorHAnsi" w:hAnsiTheme="minorHAnsi" w:cstheme="minorHAnsi"/>
          <w:b w:val="0"/>
          <w:i/>
          <w:color w:val="822B6A"/>
        </w:rPr>
        <w:t xml:space="preserve"> </w:t>
      </w:r>
    </w:p>
    <w:p w14:paraId="7F25D20D" w14:textId="159A2344" w:rsidR="00561430" w:rsidRDefault="00561430" w:rsidP="00833B5B">
      <w:pPr>
        <w:spacing w:line="22" w:lineRule="atLeast"/>
        <w:jc w:val="both"/>
        <w:rPr>
          <w:rFonts w:asciiTheme="minorHAnsi" w:hAnsiTheme="minorHAnsi" w:cstheme="minorHAnsi"/>
          <w:b w:val="0"/>
          <w:color w:val="auto"/>
          <w:sz w:val="21"/>
          <w:szCs w:val="21"/>
          <w:u w:val="none"/>
        </w:rPr>
      </w:pPr>
      <w:r w:rsidRPr="009F62E5">
        <w:rPr>
          <w:rFonts w:asciiTheme="minorHAnsi" w:hAnsiTheme="minorHAnsi" w:cstheme="minorHAnsi"/>
          <w:noProof/>
          <w:sz w:val="21"/>
          <w:szCs w:val="21"/>
          <w:shd w:val="clear" w:color="auto" w:fill="69A2B0"/>
        </w:rPr>
        <w:drawing>
          <wp:anchor distT="0" distB="0" distL="114300" distR="114300" simplePos="0" relativeHeight="251788288" behindDoc="0" locked="0" layoutInCell="1" allowOverlap="1" wp14:anchorId="308054EE" wp14:editId="7482DBA7">
            <wp:simplePos x="0" y="0"/>
            <wp:positionH relativeFrom="column">
              <wp:posOffset>0</wp:posOffset>
            </wp:positionH>
            <wp:positionV relativeFrom="paragraph">
              <wp:posOffset>1397635</wp:posOffset>
            </wp:positionV>
            <wp:extent cx="6521570" cy="2613660"/>
            <wp:effectExtent l="0" t="0" r="0" b="0"/>
            <wp:wrapTopAndBottom/>
            <wp:docPr id="8" name="Chart 8">
              <a:extLst xmlns:a="http://schemas.openxmlformats.org/drawingml/2006/main">
                <a:ext uri="{FF2B5EF4-FFF2-40B4-BE49-F238E27FC236}">
                  <a16:creationId xmlns:a16="http://schemas.microsoft.com/office/drawing/2014/main" id="{ABA7BDDA-BF5C-4C7A-AC2C-983158FF3D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anchor>
        </w:drawing>
      </w:r>
      <w:r w:rsidR="00640E86" w:rsidRPr="009F62E5">
        <w:rPr>
          <w:rFonts w:asciiTheme="minorHAnsi" w:hAnsiTheme="minorHAnsi" w:cstheme="minorHAnsi"/>
          <w:b w:val="0"/>
          <w:color w:val="auto"/>
          <w:sz w:val="21"/>
          <w:szCs w:val="21"/>
          <w:u w:val="none"/>
        </w:rPr>
        <w:t xml:space="preserve">Nabilan services partners are helping increasing numbers of women and children clients. Partners supported 1,343 new clients in 2018, compared with 1,092 new clients in 2017. </w:t>
      </w:r>
      <w:bookmarkEnd w:id="119"/>
      <w:r w:rsidR="00A6495B" w:rsidRPr="009F62E5">
        <w:rPr>
          <w:rFonts w:asciiTheme="minorHAnsi" w:hAnsiTheme="minorHAnsi" w:cstheme="minorHAnsi"/>
          <w:b w:val="0"/>
          <w:color w:val="auto"/>
          <w:sz w:val="21"/>
          <w:szCs w:val="21"/>
          <w:u w:val="none"/>
        </w:rPr>
        <w:t>Half of the new clients were victims of domestic violence, 19% of cases involved sexual violence</w:t>
      </w:r>
      <w:r w:rsidR="004D5A7E" w:rsidRPr="009F62E5">
        <w:rPr>
          <w:rFonts w:asciiTheme="minorHAnsi" w:hAnsiTheme="minorHAnsi" w:cstheme="minorHAnsi"/>
          <w:b w:val="0"/>
          <w:color w:val="auto"/>
          <w:sz w:val="21"/>
          <w:szCs w:val="21"/>
          <w:u w:val="none"/>
        </w:rPr>
        <w:t xml:space="preserve"> (non-domestic violence), 9% civil cases (including abandonment), 7% multiple forms of domestic violence, and 5% sexual violence within a family context. Of all new clients, 1,264 were female and 49 </w:t>
      </w:r>
      <w:r w:rsidR="008410B1" w:rsidRPr="009F62E5">
        <w:rPr>
          <w:rFonts w:asciiTheme="minorHAnsi" w:hAnsiTheme="minorHAnsi" w:cstheme="minorHAnsi"/>
          <w:b w:val="0"/>
          <w:color w:val="auto"/>
          <w:sz w:val="21"/>
          <w:szCs w:val="21"/>
          <w:u w:val="none"/>
        </w:rPr>
        <w:t xml:space="preserve">were </w:t>
      </w:r>
      <w:r w:rsidR="004D5A7E" w:rsidRPr="009F62E5">
        <w:rPr>
          <w:rFonts w:asciiTheme="minorHAnsi" w:hAnsiTheme="minorHAnsi" w:cstheme="minorHAnsi"/>
          <w:b w:val="0"/>
          <w:color w:val="auto"/>
          <w:sz w:val="21"/>
          <w:szCs w:val="21"/>
          <w:u w:val="none"/>
        </w:rPr>
        <w:t xml:space="preserve">male. </w:t>
      </w:r>
      <w:r w:rsidR="00D32A38" w:rsidRPr="009F62E5">
        <w:rPr>
          <w:rFonts w:asciiTheme="minorHAnsi" w:hAnsiTheme="minorHAnsi" w:cstheme="minorHAnsi"/>
          <w:b w:val="0"/>
          <w:color w:val="auto"/>
          <w:sz w:val="21"/>
          <w:szCs w:val="21"/>
          <w:u w:val="none"/>
        </w:rPr>
        <w:t xml:space="preserve">Most new clients came from Dili (37%), followed by Baucau (13%) and Oecusse (12%). </w:t>
      </w:r>
      <w:r w:rsidR="00285DB5" w:rsidRPr="009F62E5">
        <w:rPr>
          <w:rFonts w:asciiTheme="minorHAnsi" w:hAnsiTheme="minorHAnsi" w:cstheme="minorHAnsi"/>
          <w:b w:val="0"/>
          <w:color w:val="auto"/>
          <w:sz w:val="21"/>
          <w:szCs w:val="21"/>
          <w:u w:val="none"/>
        </w:rPr>
        <w:t xml:space="preserve">As shown in Chart 1 below, Nabilan partners have national coverage. </w:t>
      </w:r>
      <w:r w:rsidR="00833B5B" w:rsidRPr="009F62E5">
        <w:rPr>
          <w:rFonts w:asciiTheme="minorHAnsi" w:hAnsiTheme="minorHAnsi" w:cstheme="minorHAnsi"/>
          <w:b w:val="0"/>
          <w:color w:val="auto"/>
          <w:sz w:val="21"/>
          <w:szCs w:val="21"/>
          <w:u w:val="none"/>
        </w:rPr>
        <w:t xml:space="preserve">Nabilan partners continued to support children, as well as vulnerable women. </w:t>
      </w:r>
    </w:p>
    <w:p w14:paraId="2E26E250" w14:textId="544C7E67" w:rsidR="00561430" w:rsidRDefault="00561430" w:rsidP="00833B5B">
      <w:pPr>
        <w:spacing w:line="22" w:lineRule="atLeast"/>
        <w:jc w:val="both"/>
        <w:rPr>
          <w:rFonts w:asciiTheme="minorHAnsi" w:hAnsiTheme="minorHAnsi" w:cstheme="minorHAnsi"/>
          <w:b w:val="0"/>
          <w:color w:val="auto"/>
          <w:sz w:val="21"/>
          <w:szCs w:val="21"/>
        </w:rPr>
      </w:pPr>
      <w:r w:rsidRPr="009F62E5">
        <w:rPr>
          <w:rFonts w:asciiTheme="minorHAnsi" w:hAnsiTheme="minorHAnsi" w:cstheme="minorHAnsi"/>
          <w:noProof/>
          <w:sz w:val="21"/>
          <w:szCs w:val="21"/>
        </w:rPr>
        <w:drawing>
          <wp:anchor distT="0" distB="0" distL="114300" distR="114300" simplePos="0" relativeHeight="251789312" behindDoc="0" locked="0" layoutInCell="1" allowOverlap="1" wp14:anchorId="2C6FB6A8" wp14:editId="52872167">
            <wp:simplePos x="0" y="0"/>
            <wp:positionH relativeFrom="column">
              <wp:posOffset>0</wp:posOffset>
            </wp:positionH>
            <wp:positionV relativeFrom="paragraph">
              <wp:posOffset>2940050</wp:posOffset>
            </wp:positionV>
            <wp:extent cx="5952227" cy="2040890"/>
            <wp:effectExtent l="0" t="0" r="0" b="0"/>
            <wp:wrapTopAndBottom/>
            <wp:docPr id="27" name="Chart 27">
              <a:extLst xmlns:a="http://schemas.openxmlformats.org/drawingml/2006/main">
                <a:ext uri="{FF2B5EF4-FFF2-40B4-BE49-F238E27FC236}">
                  <a16:creationId xmlns:a16="http://schemas.microsoft.com/office/drawing/2014/main" id="{ABA7BDDA-BF5C-4C7A-AC2C-983158FF3D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anchor>
        </w:drawing>
      </w:r>
    </w:p>
    <w:p w14:paraId="05F4A221" w14:textId="77777777" w:rsidR="00561430" w:rsidRDefault="00561430" w:rsidP="00833B5B">
      <w:pPr>
        <w:spacing w:line="22" w:lineRule="atLeast"/>
        <w:jc w:val="both"/>
        <w:rPr>
          <w:rFonts w:asciiTheme="minorHAnsi" w:hAnsiTheme="minorHAnsi" w:cstheme="minorHAnsi"/>
          <w:b w:val="0"/>
          <w:color w:val="auto"/>
          <w:sz w:val="21"/>
          <w:szCs w:val="21"/>
          <w:u w:val="none"/>
        </w:rPr>
      </w:pPr>
    </w:p>
    <w:p w14:paraId="116904F2" w14:textId="7913C189" w:rsidR="00833B5B" w:rsidRPr="00561430" w:rsidRDefault="00833B5B" w:rsidP="00833B5B">
      <w:pPr>
        <w:spacing w:line="22" w:lineRule="atLeast"/>
        <w:jc w:val="both"/>
        <w:rPr>
          <w:rFonts w:asciiTheme="minorHAnsi" w:hAnsiTheme="minorHAnsi" w:cstheme="minorHAnsi"/>
          <w:b w:val="0"/>
          <w:color w:val="auto"/>
          <w:sz w:val="21"/>
          <w:szCs w:val="21"/>
        </w:rPr>
      </w:pPr>
      <w:r w:rsidRPr="009F62E5">
        <w:rPr>
          <w:rFonts w:asciiTheme="minorHAnsi" w:hAnsiTheme="minorHAnsi" w:cstheme="minorHAnsi"/>
          <w:b w:val="0"/>
          <w:color w:val="auto"/>
          <w:sz w:val="21"/>
          <w:szCs w:val="21"/>
          <w:u w:val="none"/>
        </w:rPr>
        <w:t>Of all new clients, 28% were children. Eighteen percent of new female clients had never attended formal schooling; 3% have a disability; 14% are heads of their households; and 11% do not speak Tetum. (See below charts 3-6.)</w:t>
      </w:r>
    </w:p>
    <w:p w14:paraId="1ED337B1" w14:textId="3EC4727D" w:rsidR="00396505" w:rsidRPr="00970E3F" w:rsidRDefault="00396505" w:rsidP="00F7014B">
      <w:pPr>
        <w:pStyle w:val="Heading3"/>
        <w:spacing w:before="240"/>
        <w:rPr>
          <w:rFonts w:asciiTheme="minorHAnsi" w:hAnsiTheme="minorHAnsi" w:cstheme="minorHAnsi"/>
          <w:b w:val="0"/>
          <w:i/>
          <w:color w:val="822B6A"/>
        </w:rPr>
      </w:pPr>
      <w:bookmarkStart w:id="121" w:name="_Toc2019660"/>
      <w:r w:rsidRPr="00970E3F">
        <w:rPr>
          <w:rFonts w:asciiTheme="minorHAnsi" w:hAnsiTheme="minorHAnsi" w:cstheme="minorHAnsi"/>
          <w:b w:val="0"/>
          <w:i/>
          <w:color w:val="822B6A"/>
        </w:rPr>
        <w:t>Number of services provided</w:t>
      </w:r>
      <w:r w:rsidRPr="00BF4F0F">
        <w:rPr>
          <w:rFonts w:asciiTheme="minorHAnsi" w:hAnsiTheme="minorHAnsi" w:cstheme="minorHAnsi"/>
          <w:b w:val="0"/>
          <w:i/>
          <w:color w:val="822B6A"/>
        </w:rPr>
        <w:t xml:space="preserve"> by Nabilan partners</w:t>
      </w:r>
      <w:bookmarkEnd w:id="121"/>
    </w:p>
    <w:p w14:paraId="7EABC5B0" w14:textId="375C47EE" w:rsidR="003044EC" w:rsidRPr="009F62E5" w:rsidRDefault="0011176B" w:rsidP="009F62E5">
      <w:pPr>
        <w:spacing w:line="22" w:lineRule="atLeast"/>
        <w:jc w:val="both"/>
        <w:rPr>
          <w:rFonts w:asciiTheme="minorHAnsi" w:hAnsiTheme="minorHAnsi" w:cstheme="minorHAnsi"/>
          <w:b w:val="0"/>
          <w:color w:val="auto"/>
          <w:sz w:val="21"/>
          <w:szCs w:val="21"/>
          <w:u w:val="none"/>
        </w:rPr>
      </w:pPr>
      <w:r w:rsidRPr="009F62E5">
        <w:rPr>
          <w:rFonts w:asciiTheme="minorHAnsi" w:hAnsiTheme="minorHAnsi" w:cstheme="minorHAnsi"/>
          <w:b w:val="0"/>
          <w:color w:val="auto"/>
          <w:sz w:val="21"/>
          <w:szCs w:val="21"/>
          <w:u w:val="none"/>
        </w:rPr>
        <w:t xml:space="preserve">Nabilan services partners provided a </w:t>
      </w:r>
      <w:r w:rsidR="00F20877" w:rsidRPr="009F62E5">
        <w:rPr>
          <w:rFonts w:asciiTheme="minorHAnsi" w:hAnsiTheme="minorHAnsi" w:cstheme="minorHAnsi"/>
          <w:b w:val="0"/>
          <w:color w:val="auto"/>
          <w:sz w:val="21"/>
          <w:szCs w:val="21"/>
          <w:u w:val="none"/>
        </w:rPr>
        <w:t>wide range of VAWC services</w:t>
      </w:r>
      <w:r w:rsidR="00BA49CA" w:rsidRPr="009F62E5">
        <w:rPr>
          <w:rFonts w:asciiTheme="minorHAnsi" w:hAnsiTheme="minorHAnsi" w:cstheme="minorHAnsi"/>
          <w:b w:val="0"/>
          <w:color w:val="auto"/>
          <w:sz w:val="21"/>
          <w:szCs w:val="21"/>
          <w:u w:val="none"/>
        </w:rPr>
        <w:t>. A total of 10,038 individual services were provided to new and existing clients</w:t>
      </w:r>
      <w:r w:rsidR="00014341" w:rsidRPr="009F62E5">
        <w:rPr>
          <w:rFonts w:asciiTheme="minorHAnsi" w:hAnsiTheme="minorHAnsi" w:cstheme="minorHAnsi"/>
          <w:b w:val="0"/>
          <w:color w:val="auto"/>
          <w:sz w:val="21"/>
          <w:szCs w:val="21"/>
          <w:u w:val="none"/>
        </w:rPr>
        <w:t xml:space="preserve"> in 2018</w:t>
      </w:r>
      <w:r w:rsidR="00BA49CA" w:rsidRPr="009F62E5">
        <w:rPr>
          <w:rFonts w:asciiTheme="minorHAnsi" w:hAnsiTheme="minorHAnsi" w:cstheme="minorHAnsi"/>
          <w:b w:val="0"/>
          <w:color w:val="auto"/>
          <w:sz w:val="21"/>
          <w:szCs w:val="21"/>
          <w:u w:val="none"/>
        </w:rPr>
        <w:t>, compared with 7,599 services in 201</w:t>
      </w:r>
      <w:r w:rsidR="00014341" w:rsidRPr="009F62E5">
        <w:rPr>
          <w:rFonts w:asciiTheme="minorHAnsi" w:hAnsiTheme="minorHAnsi" w:cstheme="minorHAnsi"/>
          <w:b w:val="0"/>
          <w:color w:val="auto"/>
          <w:sz w:val="21"/>
          <w:szCs w:val="21"/>
          <w:u w:val="none"/>
        </w:rPr>
        <w:t>7</w:t>
      </w:r>
      <w:r w:rsidR="00BA49CA" w:rsidRPr="009F62E5">
        <w:rPr>
          <w:rFonts w:asciiTheme="minorHAnsi" w:hAnsiTheme="minorHAnsi" w:cstheme="minorHAnsi"/>
          <w:b w:val="0"/>
          <w:color w:val="auto"/>
          <w:sz w:val="21"/>
          <w:szCs w:val="21"/>
          <w:u w:val="none"/>
        </w:rPr>
        <w:t xml:space="preserve">. These services respond to </w:t>
      </w:r>
      <w:r w:rsidR="003044EC" w:rsidRPr="009F62E5">
        <w:rPr>
          <w:rFonts w:asciiTheme="minorHAnsi" w:hAnsiTheme="minorHAnsi" w:cstheme="minorHAnsi"/>
          <w:b w:val="0"/>
          <w:color w:val="auto"/>
          <w:sz w:val="21"/>
          <w:szCs w:val="21"/>
          <w:u w:val="none"/>
        </w:rPr>
        <w:t>women and children’s needs in the immediate aftermath of violence, as well as ongoing support required such longer-term shelter, access to education and training, and follow-up.</w:t>
      </w:r>
      <w:r w:rsidR="00640E86" w:rsidRPr="009F62E5">
        <w:rPr>
          <w:rFonts w:asciiTheme="minorHAnsi" w:hAnsiTheme="minorHAnsi" w:cstheme="minorHAnsi"/>
          <w:b w:val="0"/>
          <w:color w:val="auto"/>
          <w:sz w:val="21"/>
          <w:szCs w:val="21"/>
          <w:u w:val="none"/>
        </w:rPr>
        <w:t xml:space="preserve"> There was an increase in referrals made by partners and follow</w:t>
      </w:r>
      <w:r w:rsidR="00640E86" w:rsidRPr="009F62E5">
        <w:rPr>
          <w:rFonts w:asciiTheme="minorHAnsi" w:hAnsiTheme="minorHAnsi" w:cstheme="minorHAnsi"/>
          <w:b w:val="0"/>
          <w:color w:val="auto"/>
          <w:sz w:val="21"/>
          <w:szCs w:val="21"/>
          <w:u w:val="none"/>
        </w:rPr>
        <w:noBreakHyphen/>
        <w:t>up of clients’ cases.</w:t>
      </w:r>
    </w:p>
    <w:p w14:paraId="6A404422" w14:textId="26E9D716" w:rsidR="00970E3F" w:rsidRPr="00BF4F0F" w:rsidRDefault="00833B5B" w:rsidP="00447313">
      <w:pPr>
        <w:spacing w:line="288" w:lineRule="auto"/>
        <w:jc w:val="both"/>
        <w:rPr>
          <w:rFonts w:asciiTheme="minorHAnsi" w:hAnsiTheme="minorHAnsi" w:cstheme="minorHAnsi"/>
          <w:b w:val="0"/>
          <w:color w:val="auto"/>
          <w:u w:val="none"/>
        </w:rPr>
      </w:pPr>
      <w:r>
        <w:rPr>
          <w:rFonts w:asciiTheme="minorHAnsi" w:hAnsiTheme="minorHAnsi" w:cstheme="minorHAnsi"/>
          <w:b w:val="0"/>
          <w:noProof/>
          <w:color w:val="000000" w:themeColor="text1"/>
        </w:rPr>
        <w:drawing>
          <wp:anchor distT="0" distB="0" distL="114300" distR="114300" simplePos="0" relativeHeight="251729920" behindDoc="1" locked="0" layoutInCell="1" allowOverlap="1" wp14:anchorId="4131F011" wp14:editId="23CC37F8">
            <wp:simplePos x="0" y="0"/>
            <wp:positionH relativeFrom="column">
              <wp:posOffset>2992000</wp:posOffset>
            </wp:positionH>
            <wp:positionV relativeFrom="paragraph">
              <wp:posOffset>2407920</wp:posOffset>
            </wp:positionV>
            <wp:extent cx="3524250" cy="2228850"/>
            <wp:effectExtent l="0" t="0" r="0" b="0"/>
            <wp:wrapNone/>
            <wp:docPr id="22" name="Chart 22">
              <a:extLst xmlns:a="http://schemas.openxmlformats.org/drawingml/2006/main">
                <a:ext uri="{FF2B5EF4-FFF2-40B4-BE49-F238E27FC236}">
                  <a16:creationId xmlns:a16="http://schemas.microsoft.com/office/drawing/2014/main" id="{10471587-CA02-423F-8C3A-8E0317593C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margin">
              <wp14:pctWidth>0</wp14:pctWidth>
            </wp14:sizeRelH>
            <wp14:sizeRelV relativeFrom="margin">
              <wp14:pctHeight>0</wp14:pctHeight>
            </wp14:sizeRelV>
          </wp:anchor>
        </w:drawing>
      </w:r>
      <w:r w:rsidRPr="009C5B0F">
        <w:rPr>
          <w:rFonts w:asciiTheme="minorHAnsi" w:hAnsiTheme="minorHAnsi" w:cstheme="minorHAnsi"/>
          <w:b w:val="0"/>
          <w:noProof/>
          <w:color w:val="auto"/>
          <w:u w:val="none"/>
        </w:rPr>
        <w:drawing>
          <wp:anchor distT="0" distB="0" distL="114300" distR="114300" simplePos="0" relativeHeight="251725824" behindDoc="0" locked="0" layoutInCell="1" allowOverlap="1" wp14:anchorId="588CFB0C" wp14:editId="203089B3">
            <wp:simplePos x="0" y="0"/>
            <wp:positionH relativeFrom="column">
              <wp:posOffset>2964827</wp:posOffset>
            </wp:positionH>
            <wp:positionV relativeFrom="paragraph">
              <wp:posOffset>0</wp:posOffset>
            </wp:positionV>
            <wp:extent cx="3552825" cy="2286000"/>
            <wp:effectExtent l="0" t="0" r="0" b="0"/>
            <wp:wrapTight wrapText="bothSides">
              <wp:wrapPolygon edited="0">
                <wp:start x="0" y="0"/>
                <wp:lineTo x="0" y="21420"/>
                <wp:lineTo x="21426" y="21420"/>
                <wp:lineTo x="21426" y="0"/>
                <wp:lineTo x="0" y="0"/>
              </wp:wrapPolygon>
            </wp:wrapTight>
            <wp:docPr id="12" name="Chart 12">
              <a:extLst xmlns:a="http://schemas.openxmlformats.org/drawingml/2006/main">
                <a:ext uri="{FF2B5EF4-FFF2-40B4-BE49-F238E27FC236}">
                  <a16:creationId xmlns:a16="http://schemas.microsoft.com/office/drawing/2014/main" id="{10471587-CA02-423F-8C3A-8E0317593C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r>
        <w:rPr>
          <w:rFonts w:asciiTheme="minorHAnsi" w:hAnsiTheme="minorHAnsi" w:cstheme="minorHAnsi"/>
          <w:b w:val="0"/>
          <w:noProof/>
          <w:color w:val="000000" w:themeColor="text1"/>
        </w:rPr>
        <w:drawing>
          <wp:anchor distT="0" distB="0" distL="114300" distR="114300" simplePos="0" relativeHeight="251727872" behindDoc="1" locked="0" layoutInCell="1" allowOverlap="1" wp14:anchorId="2497AAEA" wp14:editId="25B449F0">
            <wp:simplePos x="0" y="0"/>
            <wp:positionH relativeFrom="column">
              <wp:posOffset>-414547</wp:posOffset>
            </wp:positionH>
            <wp:positionV relativeFrom="paragraph">
              <wp:posOffset>2409190</wp:posOffset>
            </wp:positionV>
            <wp:extent cx="4384040" cy="2286000"/>
            <wp:effectExtent l="0" t="0" r="0" b="0"/>
            <wp:wrapNone/>
            <wp:docPr id="21" name="Chart 21">
              <a:extLst xmlns:a="http://schemas.openxmlformats.org/drawingml/2006/main">
                <a:ext uri="{FF2B5EF4-FFF2-40B4-BE49-F238E27FC236}">
                  <a16:creationId xmlns:a16="http://schemas.microsoft.com/office/drawing/2014/main" id="{7157F8F9-F9AE-4888-9FAD-58E43694F8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V relativeFrom="margin">
              <wp14:pctHeight>0</wp14:pctHeight>
            </wp14:sizeRelV>
          </wp:anchor>
        </w:drawing>
      </w:r>
      <w:r w:rsidRPr="009C5B0F">
        <w:rPr>
          <w:rFonts w:asciiTheme="minorHAnsi" w:hAnsiTheme="minorHAnsi" w:cstheme="minorHAnsi"/>
          <w:b w:val="0"/>
          <w:noProof/>
          <w:color w:val="auto"/>
          <w:u w:val="none"/>
        </w:rPr>
        <w:drawing>
          <wp:anchor distT="0" distB="0" distL="114300" distR="114300" simplePos="0" relativeHeight="251723776" behindDoc="0" locked="0" layoutInCell="1" allowOverlap="1" wp14:anchorId="4B0AE547" wp14:editId="4BF658A9">
            <wp:simplePos x="0" y="0"/>
            <wp:positionH relativeFrom="column">
              <wp:posOffset>-295802</wp:posOffset>
            </wp:positionH>
            <wp:positionV relativeFrom="paragraph">
              <wp:posOffset>108</wp:posOffset>
            </wp:positionV>
            <wp:extent cx="4384675" cy="2286000"/>
            <wp:effectExtent l="0" t="0" r="6985" b="0"/>
            <wp:wrapTight wrapText="bothSides">
              <wp:wrapPolygon edited="0">
                <wp:start x="0" y="0"/>
                <wp:lineTo x="0" y="21480"/>
                <wp:lineTo x="21522" y="21480"/>
                <wp:lineTo x="21522" y="0"/>
                <wp:lineTo x="0" y="0"/>
              </wp:wrapPolygon>
            </wp:wrapTight>
            <wp:docPr id="11" name="Chart 11">
              <a:extLst xmlns:a="http://schemas.openxmlformats.org/drawingml/2006/main">
                <a:ext uri="{FF2B5EF4-FFF2-40B4-BE49-F238E27FC236}">
                  <a16:creationId xmlns:a16="http://schemas.microsoft.com/office/drawing/2014/main" id="{7157F8F9-F9AE-4888-9FAD-58E43694F8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margin">
              <wp14:pctWidth>0</wp14:pctWidth>
            </wp14:sizeRelH>
            <wp14:sizeRelV relativeFrom="margin">
              <wp14:pctHeight>0</wp14:pctHeight>
            </wp14:sizeRelV>
          </wp:anchor>
        </w:drawing>
      </w:r>
    </w:p>
    <w:p w14:paraId="38D5DF50" w14:textId="39EFA62A" w:rsidR="00640E86" w:rsidRDefault="00640E86" w:rsidP="00447313">
      <w:pPr>
        <w:spacing w:line="288" w:lineRule="auto"/>
        <w:jc w:val="both"/>
        <w:rPr>
          <w:rFonts w:asciiTheme="minorHAnsi" w:hAnsiTheme="minorHAnsi" w:cstheme="minorHAnsi"/>
          <w:b w:val="0"/>
          <w:color w:val="auto"/>
          <w:u w:val="none"/>
        </w:rPr>
      </w:pPr>
    </w:p>
    <w:p w14:paraId="584790A5" w14:textId="534EAB60" w:rsidR="00987417" w:rsidRDefault="00987417" w:rsidP="00447313">
      <w:pPr>
        <w:spacing w:line="288" w:lineRule="auto"/>
        <w:jc w:val="both"/>
        <w:rPr>
          <w:rFonts w:asciiTheme="minorHAnsi" w:hAnsiTheme="minorHAnsi" w:cstheme="minorHAnsi"/>
          <w:b w:val="0"/>
          <w:color w:val="auto"/>
          <w:u w:val="none"/>
        </w:rPr>
      </w:pPr>
    </w:p>
    <w:p w14:paraId="5C4857D5" w14:textId="5E5E6FF4" w:rsidR="00987417" w:rsidRDefault="00987417" w:rsidP="00447313">
      <w:pPr>
        <w:spacing w:line="288" w:lineRule="auto"/>
        <w:jc w:val="both"/>
        <w:rPr>
          <w:rFonts w:asciiTheme="minorHAnsi" w:hAnsiTheme="minorHAnsi" w:cstheme="minorHAnsi"/>
          <w:b w:val="0"/>
          <w:color w:val="auto"/>
          <w:u w:val="none"/>
        </w:rPr>
      </w:pPr>
    </w:p>
    <w:p w14:paraId="67F9BADB" w14:textId="3C045BB6" w:rsidR="00987417" w:rsidRDefault="00987417" w:rsidP="00447313">
      <w:pPr>
        <w:spacing w:line="288" w:lineRule="auto"/>
        <w:jc w:val="both"/>
        <w:rPr>
          <w:rFonts w:asciiTheme="minorHAnsi" w:hAnsiTheme="minorHAnsi" w:cstheme="minorHAnsi"/>
          <w:b w:val="0"/>
          <w:color w:val="auto"/>
          <w:u w:val="none"/>
        </w:rPr>
      </w:pPr>
    </w:p>
    <w:p w14:paraId="0BF2A747" w14:textId="7708100D" w:rsidR="00987417" w:rsidRDefault="00987417" w:rsidP="00447313">
      <w:pPr>
        <w:spacing w:line="288" w:lineRule="auto"/>
        <w:jc w:val="both"/>
        <w:rPr>
          <w:rFonts w:asciiTheme="minorHAnsi" w:hAnsiTheme="minorHAnsi" w:cstheme="minorHAnsi"/>
          <w:b w:val="0"/>
          <w:color w:val="auto"/>
          <w:u w:val="none"/>
        </w:rPr>
      </w:pPr>
    </w:p>
    <w:p w14:paraId="0B5CCAF2" w14:textId="21E67577" w:rsidR="00987417" w:rsidRDefault="00987417" w:rsidP="00447313">
      <w:pPr>
        <w:spacing w:line="288" w:lineRule="auto"/>
        <w:jc w:val="both"/>
        <w:rPr>
          <w:rFonts w:asciiTheme="minorHAnsi" w:hAnsiTheme="minorHAnsi" w:cstheme="minorHAnsi"/>
          <w:b w:val="0"/>
          <w:color w:val="auto"/>
          <w:u w:val="none"/>
        </w:rPr>
      </w:pPr>
    </w:p>
    <w:p w14:paraId="5B84BB90" w14:textId="77777777" w:rsidR="00833B5B" w:rsidRDefault="00833B5B" w:rsidP="00AF3A56">
      <w:pPr>
        <w:autoSpaceDE/>
        <w:autoSpaceDN/>
        <w:adjustRightInd/>
        <w:spacing w:before="60" w:after="60"/>
        <w:ind w:left="3686" w:hanging="851"/>
        <w:jc w:val="center"/>
        <w:textAlignment w:val="auto"/>
        <w:rPr>
          <w:rFonts w:asciiTheme="minorHAnsi" w:hAnsiTheme="minorHAnsi" w:cstheme="minorHAnsi"/>
          <w:b w:val="0"/>
          <w:color w:val="auto"/>
          <w:u w:val="none"/>
        </w:rPr>
      </w:pPr>
    </w:p>
    <w:p w14:paraId="71651061" w14:textId="77777777" w:rsidR="00833B5B" w:rsidRDefault="00833B5B" w:rsidP="00833B5B">
      <w:pPr>
        <w:autoSpaceDE/>
        <w:autoSpaceDN/>
        <w:adjustRightInd/>
        <w:spacing w:before="60" w:after="60"/>
        <w:ind w:left="3686" w:hanging="851"/>
        <w:jc w:val="both"/>
        <w:textAlignment w:val="auto"/>
        <w:rPr>
          <w:rFonts w:asciiTheme="minorHAnsi" w:hAnsiTheme="minorHAnsi" w:cstheme="minorHAnsi"/>
          <w:b w:val="0"/>
          <w:color w:val="auto"/>
          <w:u w:val="none"/>
        </w:rPr>
      </w:pPr>
    </w:p>
    <w:tbl>
      <w:tblPr>
        <w:tblW w:w="9341" w:type="dxa"/>
        <w:tblBorders>
          <w:top w:val="single" w:sz="4" w:space="0" w:color="69A2B0"/>
          <w:left w:val="single" w:sz="4" w:space="0" w:color="69A2B0"/>
          <w:bottom w:val="single" w:sz="4" w:space="0" w:color="69A2B0"/>
          <w:right w:val="single" w:sz="4" w:space="0" w:color="69A2B0"/>
          <w:insideH w:val="single" w:sz="4" w:space="0" w:color="69A2B0"/>
          <w:insideV w:val="single" w:sz="4" w:space="0" w:color="69A2B0"/>
        </w:tblBorders>
        <w:tblLook w:val="04A0" w:firstRow="1" w:lastRow="0" w:firstColumn="1" w:lastColumn="0" w:noHBand="0" w:noVBand="1"/>
      </w:tblPr>
      <w:tblGrid>
        <w:gridCol w:w="7760"/>
        <w:gridCol w:w="1581"/>
      </w:tblGrid>
      <w:tr w:rsidR="00833B5B" w:rsidRPr="00BF4F0F" w14:paraId="6D47088C" w14:textId="77777777" w:rsidTr="00895EB2">
        <w:trPr>
          <w:trHeight w:val="289"/>
        </w:trPr>
        <w:tc>
          <w:tcPr>
            <w:tcW w:w="7760" w:type="dxa"/>
            <w:shd w:val="clear" w:color="auto" w:fill="69A2B0"/>
            <w:noWrap/>
            <w:vAlign w:val="bottom"/>
            <w:hideMark/>
          </w:tcPr>
          <w:p w14:paraId="4D32576B" w14:textId="2A995AEE" w:rsidR="00833B5B" w:rsidRPr="00BF4F0F" w:rsidRDefault="00833B5B" w:rsidP="00705BD3">
            <w:pPr>
              <w:autoSpaceDE/>
              <w:autoSpaceDN/>
              <w:adjustRightInd/>
              <w:spacing w:after="0"/>
              <w:jc w:val="both"/>
              <w:textAlignment w:val="auto"/>
              <w:rPr>
                <w:rFonts w:asciiTheme="minorHAnsi" w:hAnsiTheme="minorHAnsi" w:cstheme="minorHAnsi"/>
                <w:b w:val="0"/>
                <w:color w:val="FFFFFF" w:themeColor="background1"/>
                <w:sz w:val="20"/>
                <w:u w:val="none"/>
                <w:lang w:val="en-US" w:eastAsia="en-US"/>
              </w:rPr>
            </w:pPr>
            <w:r w:rsidRPr="00BF4F0F">
              <w:rPr>
                <w:rFonts w:asciiTheme="minorHAnsi" w:hAnsiTheme="minorHAnsi" w:cstheme="minorHAnsi"/>
                <w:b w:val="0"/>
                <w:color w:val="FFFFFF" w:themeColor="background1"/>
                <w:sz w:val="20"/>
                <w:u w:val="none"/>
                <w:lang w:val="en-US" w:eastAsia="en-US"/>
              </w:rPr>
              <w:t xml:space="preserve">Table </w:t>
            </w:r>
            <w:r>
              <w:rPr>
                <w:rFonts w:asciiTheme="minorHAnsi" w:hAnsiTheme="minorHAnsi" w:cstheme="minorHAnsi"/>
                <w:b w:val="0"/>
                <w:color w:val="FFFFFF" w:themeColor="background1"/>
                <w:sz w:val="20"/>
                <w:u w:val="none"/>
                <w:lang w:val="en-US" w:eastAsia="en-US"/>
              </w:rPr>
              <w:t>2</w:t>
            </w:r>
            <w:r w:rsidRPr="00BF4F0F">
              <w:rPr>
                <w:rFonts w:asciiTheme="minorHAnsi" w:hAnsiTheme="minorHAnsi" w:cstheme="minorHAnsi"/>
                <w:b w:val="0"/>
                <w:color w:val="FFFFFF" w:themeColor="background1"/>
                <w:sz w:val="20"/>
                <w:u w:val="none"/>
                <w:lang w:val="en-US" w:eastAsia="en-US"/>
              </w:rPr>
              <w:t>. Services provided in 2018</w:t>
            </w:r>
          </w:p>
        </w:tc>
        <w:tc>
          <w:tcPr>
            <w:tcW w:w="1581" w:type="dxa"/>
            <w:shd w:val="clear" w:color="auto" w:fill="69A2B0"/>
            <w:noWrap/>
            <w:vAlign w:val="bottom"/>
            <w:hideMark/>
          </w:tcPr>
          <w:p w14:paraId="1F507937" w14:textId="77777777" w:rsidR="00833B5B" w:rsidRPr="00BF4F0F" w:rsidRDefault="00833B5B" w:rsidP="00705BD3">
            <w:pPr>
              <w:autoSpaceDE/>
              <w:autoSpaceDN/>
              <w:adjustRightInd/>
              <w:spacing w:after="0"/>
              <w:jc w:val="both"/>
              <w:textAlignment w:val="auto"/>
              <w:rPr>
                <w:rFonts w:asciiTheme="minorHAnsi" w:hAnsiTheme="minorHAnsi" w:cstheme="minorHAnsi"/>
                <w:b w:val="0"/>
                <w:color w:val="FFFFFF" w:themeColor="background1"/>
                <w:sz w:val="20"/>
                <w:u w:val="none"/>
                <w:lang w:val="en-US" w:eastAsia="en-US"/>
              </w:rPr>
            </w:pPr>
            <w:r w:rsidRPr="00BF4F0F">
              <w:rPr>
                <w:rFonts w:asciiTheme="minorHAnsi" w:hAnsiTheme="minorHAnsi" w:cstheme="minorHAnsi"/>
                <w:b w:val="0"/>
                <w:color w:val="FFFFFF" w:themeColor="background1"/>
                <w:sz w:val="20"/>
                <w:u w:val="none"/>
                <w:lang w:val="en-US" w:eastAsia="en-US"/>
              </w:rPr>
              <w:t>Total</w:t>
            </w:r>
          </w:p>
        </w:tc>
      </w:tr>
      <w:tr w:rsidR="00833B5B" w:rsidRPr="00BF4F0F" w14:paraId="27AF9004" w14:textId="77777777" w:rsidTr="00895EB2">
        <w:trPr>
          <w:trHeight w:val="289"/>
        </w:trPr>
        <w:tc>
          <w:tcPr>
            <w:tcW w:w="7760" w:type="dxa"/>
            <w:shd w:val="clear" w:color="auto" w:fill="auto"/>
            <w:noWrap/>
            <w:vAlign w:val="bottom"/>
            <w:hideMark/>
          </w:tcPr>
          <w:p w14:paraId="591FCD55" w14:textId="77777777" w:rsidR="00833B5B" w:rsidRPr="00BF4F0F" w:rsidRDefault="00833B5B" w:rsidP="00705BD3">
            <w:pPr>
              <w:autoSpaceDE/>
              <w:autoSpaceDN/>
              <w:adjustRightInd/>
              <w:spacing w:after="0"/>
              <w:jc w:val="both"/>
              <w:textAlignment w:val="auto"/>
              <w:rPr>
                <w:rFonts w:asciiTheme="minorHAnsi" w:hAnsiTheme="minorHAnsi" w:cstheme="minorHAnsi"/>
                <w:b w:val="0"/>
                <w:color w:val="000000"/>
                <w:sz w:val="20"/>
                <w:u w:val="none"/>
                <w:lang w:val="en-US" w:eastAsia="en-US"/>
              </w:rPr>
            </w:pPr>
            <w:r w:rsidRPr="00BF4F0F">
              <w:rPr>
                <w:rFonts w:asciiTheme="minorHAnsi" w:hAnsiTheme="minorHAnsi" w:cstheme="minorHAnsi"/>
                <w:b w:val="0"/>
                <w:color w:val="000000"/>
                <w:sz w:val="20"/>
                <w:u w:val="none"/>
                <w:lang w:val="en-US" w:eastAsia="en-US"/>
              </w:rPr>
              <w:t>Referrals made</w:t>
            </w:r>
          </w:p>
        </w:tc>
        <w:tc>
          <w:tcPr>
            <w:tcW w:w="1581" w:type="dxa"/>
            <w:shd w:val="clear" w:color="auto" w:fill="auto"/>
            <w:noWrap/>
            <w:vAlign w:val="bottom"/>
            <w:hideMark/>
          </w:tcPr>
          <w:p w14:paraId="34151411" w14:textId="77777777" w:rsidR="00833B5B" w:rsidRPr="00BF4F0F" w:rsidRDefault="00833B5B" w:rsidP="00705BD3">
            <w:pPr>
              <w:autoSpaceDE/>
              <w:autoSpaceDN/>
              <w:adjustRightInd/>
              <w:spacing w:after="0"/>
              <w:jc w:val="both"/>
              <w:textAlignment w:val="auto"/>
              <w:rPr>
                <w:rFonts w:asciiTheme="minorHAnsi" w:hAnsiTheme="minorHAnsi" w:cstheme="minorHAnsi"/>
                <w:b w:val="0"/>
                <w:color w:val="000000"/>
                <w:sz w:val="20"/>
                <w:u w:val="none"/>
                <w:lang w:val="en-US" w:eastAsia="en-US"/>
              </w:rPr>
            </w:pPr>
            <w:r w:rsidRPr="00BF4F0F">
              <w:rPr>
                <w:rFonts w:asciiTheme="minorHAnsi" w:hAnsiTheme="minorHAnsi" w:cstheme="minorHAnsi"/>
                <w:b w:val="0"/>
                <w:color w:val="000000"/>
                <w:sz w:val="20"/>
                <w:u w:val="none"/>
                <w:lang w:val="en-US" w:eastAsia="en-US"/>
              </w:rPr>
              <w:t>1,266</w:t>
            </w:r>
          </w:p>
        </w:tc>
      </w:tr>
      <w:tr w:rsidR="00833B5B" w:rsidRPr="00BF4F0F" w14:paraId="3249F752" w14:textId="77777777" w:rsidTr="00895EB2">
        <w:trPr>
          <w:trHeight w:val="289"/>
        </w:trPr>
        <w:tc>
          <w:tcPr>
            <w:tcW w:w="7760" w:type="dxa"/>
            <w:shd w:val="clear" w:color="auto" w:fill="auto"/>
            <w:noWrap/>
            <w:vAlign w:val="bottom"/>
            <w:hideMark/>
          </w:tcPr>
          <w:p w14:paraId="1534BA01" w14:textId="77777777" w:rsidR="00833B5B" w:rsidRPr="00BF4F0F" w:rsidRDefault="00833B5B" w:rsidP="00705BD3">
            <w:pPr>
              <w:autoSpaceDE/>
              <w:autoSpaceDN/>
              <w:adjustRightInd/>
              <w:spacing w:after="0"/>
              <w:jc w:val="both"/>
              <w:textAlignment w:val="auto"/>
              <w:rPr>
                <w:rFonts w:asciiTheme="minorHAnsi" w:hAnsiTheme="minorHAnsi" w:cstheme="minorHAnsi"/>
                <w:b w:val="0"/>
                <w:color w:val="000000"/>
                <w:sz w:val="20"/>
                <w:u w:val="none"/>
                <w:lang w:val="en-US" w:eastAsia="en-US"/>
              </w:rPr>
            </w:pPr>
            <w:r w:rsidRPr="00BF4F0F">
              <w:rPr>
                <w:rFonts w:asciiTheme="minorHAnsi" w:hAnsiTheme="minorHAnsi" w:cstheme="minorHAnsi"/>
                <w:b w:val="0"/>
                <w:color w:val="000000"/>
                <w:sz w:val="20"/>
                <w:u w:val="none"/>
                <w:lang w:val="en-US" w:eastAsia="en-US"/>
              </w:rPr>
              <w:t>Legal assistance</w:t>
            </w:r>
          </w:p>
        </w:tc>
        <w:tc>
          <w:tcPr>
            <w:tcW w:w="1581" w:type="dxa"/>
            <w:shd w:val="clear" w:color="auto" w:fill="auto"/>
            <w:noWrap/>
            <w:vAlign w:val="bottom"/>
            <w:hideMark/>
          </w:tcPr>
          <w:p w14:paraId="22D075F5" w14:textId="77777777" w:rsidR="00833B5B" w:rsidRPr="00BF4F0F" w:rsidRDefault="00833B5B" w:rsidP="00705BD3">
            <w:pPr>
              <w:autoSpaceDE/>
              <w:autoSpaceDN/>
              <w:adjustRightInd/>
              <w:spacing w:after="0"/>
              <w:jc w:val="both"/>
              <w:textAlignment w:val="auto"/>
              <w:rPr>
                <w:rFonts w:asciiTheme="minorHAnsi" w:hAnsiTheme="minorHAnsi" w:cstheme="minorHAnsi"/>
                <w:b w:val="0"/>
                <w:color w:val="000000"/>
                <w:sz w:val="20"/>
                <w:u w:val="none"/>
                <w:lang w:val="en-US" w:eastAsia="en-US"/>
              </w:rPr>
            </w:pPr>
            <w:r w:rsidRPr="00BF4F0F">
              <w:rPr>
                <w:rFonts w:asciiTheme="minorHAnsi" w:hAnsiTheme="minorHAnsi" w:cstheme="minorHAnsi"/>
                <w:b w:val="0"/>
                <w:color w:val="000000"/>
                <w:sz w:val="20"/>
                <w:u w:val="none"/>
                <w:lang w:val="en-US" w:eastAsia="en-US"/>
              </w:rPr>
              <w:t>2,623</w:t>
            </w:r>
          </w:p>
        </w:tc>
      </w:tr>
      <w:tr w:rsidR="00833B5B" w:rsidRPr="00BF4F0F" w14:paraId="75116D09" w14:textId="77777777" w:rsidTr="00895EB2">
        <w:trPr>
          <w:trHeight w:val="289"/>
        </w:trPr>
        <w:tc>
          <w:tcPr>
            <w:tcW w:w="7760" w:type="dxa"/>
            <w:shd w:val="clear" w:color="auto" w:fill="auto"/>
            <w:noWrap/>
            <w:vAlign w:val="bottom"/>
            <w:hideMark/>
          </w:tcPr>
          <w:p w14:paraId="5AA1CAEC" w14:textId="77777777" w:rsidR="00833B5B" w:rsidRPr="00BF4F0F" w:rsidRDefault="00833B5B" w:rsidP="00705BD3">
            <w:pPr>
              <w:autoSpaceDE/>
              <w:autoSpaceDN/>
              <w:adjustRightInd/>
              <w:spacing w:after="0"/>
              <w:jc w:val="both"/>
              <w:textAlignment w:val="auto"/>
              <w:rPr>
                <w:rFonts w:asciiTheme="minorHAnsi" w:hAnsiTheme="minorHAnsi" w:cstheme="minorHAnsi"/>
                <w:b w:val="0"/>
                <w:color w:val="000000"/>
                <w:sz w:val="20"/>
                <w:u w:val="none"/>
                <w:lang w:val="en-US" w:eastAsia="en-US"/>
              </w:rPr>
            </w:pPr>
            <w:r w:rsidRPr="00BF4F0F">
              <w:rPr>
                <w:rFonts w:asciiTheme="minorHAnsi" w:hAnsiTheme="minorHAnsi" w:cstheme="minorHAnsi"/>
                <w:b w:val="0"/>
                <w:color w:val="000000"/>
                <w:sz w:val="20"/>
                <w:u w:val="none"/>
                <w:lang w:val="en-US" w:eastAsia="en-US"/>
              </w:rPr>
              <w:t>Medical treatment</w:t>
            </w:r>
          </w:p>
        </w:tc>
        <w:tc>
          <w:tcPr>
            <w:tcW w:w="1581" w:type="dxa"/>
            <w:shd w:val="clear" w:color="auto" w:fill="auto"/>
            <w:noWrap/>
            <w:vAlign w:val="bottom"/>
            <w:hideMark/>
          </w:tcPr>
          <w:p w14:paraId="0BF29A2D" w14:textId="77777777" w:rsidR="00833B5B" w:rsidRPr="00BF4F0F" w:rsidRDefault="00833B5B" w:rsidP="00705BD3">
            <w:pPr>
              <w:autoSpaceDE/>
              <w:autoSpaceDN/>
              <w:adjustRightInd/>
              <w:spacing w:after="0"/>
              <w:jc w:val="both"/>
              <w:textAlignment w:val="auto"/>
              <w:rPr>
                <w:rFonts w:asciiTheme="minorHAnsi" w:hAnsiTheme="minorHAnsi" w:cstheme="minorHAnsi"/>
                <w:b w:val="0"/>
                <w:color w:val="000000"/>
                <w:sz w:val="20"/>
                <w:u w:val="none"/>
                <w:lang w:val="en-US" w:eastAsia="en-US"/>
              </w:rPr>
            </w:pPr>
            <w:r w:rsidRPr="00BF4F0F">
              <w:rPr>
                <w:rFonts w:asciiTheme="minorHAnsi" w:hAnsiTheme="minorHAnsi" w:cstheme="minorHAnsi"/>
                <w:b w:val="0"/>
                <w:color w:val="000000"/>
                <w:sz w:val="20"/>
                <w:u w:val="none"/>
                <w:lang w:val="en-US" w:eastAsia="en-US"/>
              </w:rPr>
              <w:t>494</w:t>
            </w:r>
          </w:p>
        </w:tc>
      </w:tr>
      <w:tr w:rsidR="00833B5B" w:rsidRPr="00BF4F0F" w14:paraId="76176F87" w14:textId="77777777" w:rsidTr="00895EB2">
        <w:trPr>
          <w:trHeight w:val="289"/>
        </w:trPr>
        <w:tc>
          <w:tcPr>
            <w:tcW w:w="7760" w:type="dxa"/>
            <w:shd w:val="clear" w:color="auto" w:fill="auto"/>
            <w:noWrap/>
            <w:vAlign w:val="bottom"/>
            <w:hideMark/>
          </w:tcPr>
          <w:p w14:paraId="3890F76B" w14:textId="77777777" w:rsidR="00833B5B" w:rsidRPr="00BF4F0F" w:rsidRDefault="00833B5B" w:rsidP="00705BD3">
            <w:pPr>
              <w:autoSpaceDE/>
              <w:autoSpaceDN/>
              <w:adjustRightInd/>
              <w:spacing w:after="0"/>
              <w:jc w:val="both"/>
              <w:textAlignment w:val="auto"/>
              <w:rPr>
                <w:rFonts w:asciiTheme="minorHAnsi" w:hAnsiTheme="minorHAnsi" w:cstheme="minorHAnsi"/>
                <w:b w:val="0"/>
                <w:color w:val="000000"/>
                <w:sz w:val="20"/>
                <w:u w:val="none"/>
                <w:lang w:val="en-US" w:eastAsia="en-US"/>
              </w:rPr>
            </w:pPr>
            <w:r w:rsidRPr="00BF4F0F">
              <w:rPr>
                <w:rFonts w:asciiTheme="minorHAnsi" w:hAnsiTheme="minorHAnsi" w:cstheme="minorHAnsi"/>
                <w:b w:val="0"/>
                <w:color w:val="000000"/>
                <w:sz w:val="20"/>
                <w:u w:val="none"/>
                <w:lang w:val="en-US" w:eastAsia="en-US"/>
              </w:rPr>
              <w:t>MFP</w:t>
            </w:r>
          </w:p>
        </w:tc>
        <w:tc>
          <w:tcPr>
            <w:tcW w:w="1581" w:type="dxa"/>
            <w:shd w:val="clear" w:color="auto" w:fill="auto"/>
            <w:noWrap/>
            <w:vAlign w:val="bottom"/>
            <w:hideMark/>
          </w:tcPr>
          <w:p w14:paraId="2C70952B" w14:textId="77777777" w:rsidR="00833B5B" w:rsidRPr="00BF4F0F" w:rsidRDefault="00833B5B" w:rsidP="00705BD3">
            <w:pPr>
              <w:autoSpaceDE/>
              <w:autoSpaceDN/>
              <w:adjustRightInd/>
              <w:spacing w:after="0"/>
              <w:jc w:val="both"/>
              <w:textAlignment w:val="auto"/>
              <w:rPr>
                <w:rFonts w:asciiTheme="minorHAnsi" w:hAnsiTheme="minorHAnsi" w:cstheme="minorHAnsi"/>
                <w:b w:val="0"/>
                <w:color w:val="000000"/>
                <w:sz w:val="20"/>
                <w:u w:val="none"/>
                <w:lang w:val="en-US" w:eastAsia="en-US"/>
              </w:rPr>
            </w:pPr>
            <w:r w:rsidRPr="00BF4F0F">
              <w:rPr>
                <w:rFonts w:asciiTheme="minorHAnsi" w:hAnsiTheme="minorHAnsi" w:cstheme="minorHAnsi"/>
                <w:b w:val="0"/>
                <w:color w:val="000000"/>
                <w:sz w:val="20"/>
                <w:u w:val="none"/>
                <w:lang w:val="en-US" w:eastAsia="en-US"/>
              </w:rPr>
              <w:t>698</w:t>
            </w:r>
          </w:p>
        </w:tc>
      </w:tr>
      <w:tr w:rsidR="00833B5B" w:rsidRPr="00BF4F0F" w14:paraId="65DC4229" w14:textId="77777777" w:rsidTr="00895EB2">
        <w:trPr>
          <w:trHeight w:val="289"/>
        </w:trPr>
        <w:tc>
          <w:tcPr>
            <w:tcW w:w="7760" w:type="dxa"/>
            <w:shd w:val="clear" w:color="auto" w:fill="auto"/>
            <w:noWrap/>
            <w:vAlign w:val="bottom"/>
            <w:hideMark/>
          </w:tcPr>
          <w:p w14:paraId="7C1E973C" w14:textId="77777777" w:rsidR="00833B5B" w:rsidRPr="00BF4F0F" w:rsidRDefault="00833B5B" w:rsidP="00705BD3">
            <w:pPr>
              <w:autoSpaceDE/>
              <w:autoSpaceDN/>
              <w:adjustRightInd/>
              <w:spacing w:after="0"/>
              <w:jc w:val="both"/>
              <w:textAlignment w:val="auto"/>
              <w:rPr>
                <w:rFonts w:asciiTheme="minorHAnsi" w:hAnsiTheme="minorHAnsi" w:cstheme="minorHAnsi"/>
                <w:b w:val="0"/>
                <w:color w:val="000000"/>
                <w:sz w:val="20"/>
                <w:u w:val="none"/>
                <w:lang w:val="en-US" w:eastAsia="en-US"/>
              </w:rPr>
            </w:pPr>
            <w:r w:rsidRPr="00BF4F0F">
              <w:rPr>
                <w:rFonts w:asciiTheme="minorHAnsi" w:hAnsiTheme="minorHAnsi" w:cstheme="minorHAnsi"/>
                <w:b w:val="0"/>
                <w:color w:val="000000"/>
                <w:sz w:val="20"/>
                <w:u w:val="none"/>
                <w:lang w:val="en-US" w:eastAsia="en-US"/>
              </w:rPr>
              <w:t>Temporary accommodation (Fatin Hakmatek)</w:t>
            </w:r>
          </w:p>
        </w:tc>
        <w:tc>
          <w:tcPr>
            <w:tcW w:w="1581" w:type="dxa"/>
            <w:shd w:val="clear" w:color="auto" w:fill="auto"/>
            <w:noWrap/>
            <w:vAlign w:val="bottom"/>
            <w:hideMark/>
          </w:tcPr>
          <w:p w14:paraId="3C9CC91D" w14:textId="77777777" w:rsidR="00833B5B" w:rsidRPr="00BF4F0F" w:rsidRDefault="00833B5B" w:rsidP="00705BD3">
            <w:pPr>
              <w:autoSpaceDE/>
              <w:autoSpaceDN/>
              <w:adjustRightInd/>
              <w:spacing w:after="0"/>
              <w:jc w:val="both"/>
              <w:textAlignment w:val="auto"/>
              <w:rPr>
                <w:rFonts w:asciiTheme="minorHAnsi" w:hAnsiTheme="minorHAnsi" w:cstheme="minorHAnsi"/>
                <w:b w:val="0"/>
                <w:color w:val="000000"/>
                <w:sz w:val="20"/>
                <w:u w:val="none"/>
                <w:lang w:val="en-US" w:eastAsia="en-US"/>
              </w:rPr>
            </w:pPr>
            <w:r w:rsidRPr="00BF4F0F">
              <w:rPr>
                <w:rFonts w:asciiTheme="minorHAnsi" w:hAnsiTheme="minorHAnsi" w:cstheme="minorHAnsi"/>
                <w:b w:val="0"/>
                <w:color w:val="000000"/>
                <w:sz w:val="20"/>
                <w:u w:val="none"/>
                <w:lang w:val="en-US" w:eastAsia="en-US"/>
              </w:rPr>
              <w:t>192</w:t>
            </w:r>
          </w:p>
        </w:tc>
      </w:tr>
      <w:tr w:rsidR="00833B5B" w:rsidRPr="00BF4F0F" w14:paraId="5DCA6DAC" w14:textId="77777777" w:rsidTr="00895EB2">
        <w:trPr>
          <w:trHeight w:val="289"/>
        </w:trPr>
        <w:tc>
          <w:tcPr>
            <w:tcW w:w="7760" w:type="dxa"/>
            <w:shd w:val="clear" w:color="auto" w:fill="auto"/>
            <w:noWrap/>
            <w:vAlign w:val="bottom"/>
            <w:hideMark/>
          </w:tcPr>
          <w:p w14:paraId="4DE31CEC" w14:textId="77777777" w:rsidR="00833B5B" w:rsidRPr="00BF4F0F" w:rsidRDefault="00833B5B" w:rsidP="00705BD3">
            <w:pPr>
              <w:autoSpaceDE/>
              <w:autoSpaceDN/>
              <w:adjustRightInd/>
              <w:spacing w:after="0"/>
              <w:jc w:val="both"/>
              <w:textAlignment w:val="auto"/>
              <w:rPr>
                <w:rFonts w:asciiTheme="minorHAnsi" w:hAnsiTheme="minorHAnsi" w:cstheme="minorHAnsi"/>
                <w:b w:val="0"/>
                <w:color w:val="000000"/>
                <w:sz w:val="20"/>
                <w:u w:val="none"/>
                <w:lang w:val="en-US" w:eastAsia="en-US"/>
              </w:rPr>
            </w:pPr>
            <w:r w:rsidRPr="00BF4F0F">
              <w:rPr>
                <w:rFonts w:asciiTheme="minorHAnsi" w:hAnsiTheme="minorHAnsi" w:cstheme="minorHAnsi"/>
                <w:b w:val="0"/>
                <w:color w:val="000000"/>
                <w:sz w:val="20"/>
                <w:u w:val="none"/>
                <w:lang w:val="en-US" w:eastAsia="en-US"/>
              </w:rPr>
              <w:t>Shelter</w:t>
            </w:r>
          </w:p>
        </w:tc>
        <w:tc>
          <w:tcPr>
            <w:tcW w:w="1581" w:type="dxa"/>
            <w:shd w:val="clear" w:color="auto" w:fill="auto"/>
            <w:noWrap/>
            <w:vAlign w:val="bottom"/>
            <w:hideMark/>
          </w:tcPr>
          <w:p w14:paraId="1CD97782" w14:textId="77777777" w:rsidR="00833B5B" w:rsidRPr="00BF4F0F" w:rsidRDefault="00833B5B" w:rsidP="00705BD3">
            <w:pPr>
              <w:autoSpaceDE/>
              <w:autoSpaceDN/>
              <w:adjustRightInd/>
              <w:spacing w:after="0"/>
              <w:jc w:val="both"/>
              <w:textAlignment w:val="auto"/>
              <w:rPr>
                <w:rFonts w:asciiTheme="minorHAnsi" w:hAnsiTheme="minorHAnsi" w:cstheme="minorHAnsi"/>
                <w:b w:val="0"/>
                <w:color w:val="000000"/>
                <w:sz w:val="20"/>
                <w:u w:val="none"/>
                <w:lang w:val="en-US" w:eastAsia="en-US"/>
              </w:rPr>
            </w:pPr>
            <w:r w:rsidRPr="00BF4F0F">
              <w:rPr>
                <w:rFonts w:asciiTheme="minorHAnsi" w:hAnsiTheme="minorHAnsi" w:cstheme="minorHAnsi"/>
                <w:b w:val="0"/>
                <w:color w:val="000000"/>
                <w:sz w:val="20"/>
                <w:u w:val="none"/>
                <w:lang w:val="en-US" w:eastAsia="en-US"/>
              </w:rPr>
              <w:t>324</w:t>
            </w:r>
          </w:p>
        </w:tc>
      </w:tr>
      <w:tr w:rsidR="00833B5B" w:rsidRPr="00BF4F0F" w14:paraId="0BDE86DE" w14:textId="77777777" w:rsidTr="00895EB2">
        <w:trPr>
          <w:trHeight w:val="289"/>
        </w:trPr>
        <w:tc>
          <w:tcPr>
            <w:tcW w:w="7760" w:type="dxa"/>
            <w:shd w:val="clear" w:color="auto" w:fill="auto"/>
            <w:noWrap/>
            <w:vAlign w:val="bottom"/>
            <w:hideMark/>
          </w:tcPr>
          <w:p w14:paraId="39DE4935" w14:textId="77777777" w:rsidR="00833B5B" w:rsidRPr="00BF4F0F" w:rsidRDefault="00833B5B" w:rsidP="00705BD3">
            <w:pPr>
              <w:autoSpaceDE/>
              <w:autoSpaceDN/>
              <w:adjustRightInd/>
              <w:spacing w:after="0"/>
              <w:jc w:val="both"/>
              <w:textAlignment w:val="auto"/>
              <w:rPr>
                <w:rFonts w:asciiTheme="minorHAnsi" w:hAnsiTheme="minorHAnsi" w:cstheme="minorHAnsi"/>
                <w:b w:val="0"/>
                <w:color w:val="000000"/>
                <w:sz w:val="20"/>
                <w:u w:val="none"/>
                <w:lang w:val="en-US" w:eastAsia="en-US"/>
              </w:rPr>
            </w:pPr>
            <w:r w:rsidRPr="00BF4F0F">
              <w:rPr>
                <w:rFonts w:asciiTheme="minorHAnsi" w:hAnsiTheme="minorHAnsi" w:cstheme="minorHAnsi"/>
                <w:b w:val="0"/>
                <w:color w:val="000000"/>
                <w:sz w:val="20"/>
                <w:u w:val="none"/>
                <w:lang w:val="en-US" w:eastAsia="en-US"/>
              </w:rPr>
              <w:t>Counselling</w:t>
            </w:r>
          </w:p>
        </w:tc>
        <w:tc>
          <w:tcPr>
            <w:tcW w:w="1581" w:type="dxa"/>
            <w:shd w:val="clear" w:color="auto" w:fill="auto"/>
            <w:noWrap/>
            <w:vAlign w:val="bottom"/>
            <w:hideMark/>
          </w:tcPr>
          <w:p w14:paraId="1FAB5B69" w14:textId="77777777" w:rsidR="00833B5B" w:rsidRPr="00BF4F0F" w:rsidRDefault="00833B5B" w:rsidP="00705BD3">
            <w:pPr>
              <w:autoSpaceDE/>
              <w:autoSpaceDN/>
              <w:adjustRightInd/>
              <w:spacing w:after="0"/>
              <w:jc w:val="both"/>
              <w:textAlignment w:val="auto"/>
              <w:rPr>
                <w:rFonts w:asciiTheme="minorHAnsi" w:hAnsiTheme="minorHAnsi" w:cstheme="minorHAnsi"/>
                <w:b w:val="0"/>
                <w:color w:val="000000"/>
                <w:sz w:val="20"/>
                <w:u w:val="none"/>
                <w:lang w:val="en-US" w:eastAsia="en-US"/>
              </w:rPr>
            </w:pPr>
            <w:r w:rsidRPr="00BF4F0F">
              <w:rPr>
                <w:rFonts w:asciiTheme="minorHAnsi" w:hAnsiTheme="minorHAnsi" w:cstheme="minorHAnsi"/>
                <w:b w:val="0"/>
                <w:color w:val="000000"/>
                <w:sz w:val="20"/>
                <w:u w:val="none"/>
                <w:lang w:val="en-US" w:eastAsia="en-US"/>
              </w:rPr>
              <w:t>1,174</w:t>
            </w:r>
          </w:p>
        </w:tc>
      </w:tr>
      <w:tr w:rsidR="00833B5B" w:rsidRPr="00BF4F0F" w14:paraId="20496316" w14:textId="77777777" w:rsidTr="00895EB2">
        <w:trPr>
          <w:trHeight w:val="289"/>
        </w:trPr>
        <w:tc>
          <w:tcPr>
            <w:tcW w:w="7760" w:type="dxa"/>
            <w:shd w:val="clear" w:color="auto" w:fill="auto"/>
            <w:noWrap/>
            <w:vAlign w:val="bottom"/>
            <w:hideMark/>
          </w:tcPr>
          <w:p w14:paraId="72E89D34" w14:textId="77777777" w:rsidR="00833B5B" w:rsidRPr="00BF4F0F" w:rsidRDefault="00833B5B" w:rsidP="00705BD3">
            <w:pPr>
              <w:autoSpaceDE/>
              <w:autoSpaceDN/>
              <w:adjustRightInd/>
              <w:spacing w:after="0"/>
              <w:jc w:val="both"/>
              <w:textAlignment w:val="auto"/>
              <w:rPr>
                <w:rFonts w:asciiTheme="minorHAnsi" w:hAnsiTheme="minorHAnsi" w:cstheme="minorHAnsi"/>
                <w:b w:val="0"/>
                <w:color w:val="000000"/>
                <w:sz w:val="20"/>
                <w:u w:val="none"/>
                <w:lang w:val="en-US" w:eastAsia="en-US"/>
              </w:rPr>
            </w:pPr>
            <w:r w:rsidRPr="00BF4F0F">
              <w:rPr>
                <w:rFonts w:asciiTheme="minorHAnsi" w:hAnsiTheme="minorHAnsi" w:cstheme="minorHAnsi"/>
                <w:b w:val="0"/>
                <w:color w:val="000000"/>
                <w:sz w:val="20"/>
                <w:u w:val="none"/>
                <w:lang w:val="en-US" w:eastAsia="en-US"/>
              </w:rPr>
              <w:t>Life-skills training</w:t>
            </w:r>
          </w:p>
        </w:tc>
        <w:tc>
          <w:tcPr>
            <w:tcW w:w="1581" w:type="dxa"/>
            <w:shd w:val="clear" w:color="auto" w:fill="auto"/>
            <w:noWrap/>
            <w:vAlign w:val="bottom"/>
            <w:hideMark/>
          </w:tcPr>
          <w:p w14:paraId="60E3DAAF" w14:textId="77777777" w:rsidR="00833B5B" w:rsidRPr="00BF4F0F" w:rsidRDefault="00833B5B" w:rsidP="00705BD3">
            <w:pPr>
              <w:autoSpaceDE/>
              <w:autoSpaceDN/>
              <w:adjustRightInd/>
              <w:spacing w:after="0"/>
              <w:jc w:val="both"/>
              <w:textAlignment w:val="auto"/>
              <w:rPr>
                <w:rFonts w:asciiTheme="minorHAnsi" w:hAnsiTheme="minorHAnsi" w:cstheme="minorHAnsi"/>
                <w:b w:val="0"/>
                <w:color w:val="000000"/>
                <w:sz w:val="20"/>
                <w:u w:val="none"/>
                <w:lang w:val="en-US" w:eastAsia="en-US"/>
              </w:rPr>
            </w:pPr>
            <w:r w:rsidRPr="00BF4F0F">
              <w:rPr>
                <w:rFonts w:asciiTheme="minorHAnsi" w:hAnsiTheme="minorHAnsi" w:cstheme="minorHAnsi"/>
                <w:b w:val="0"/>
                <w:color w:val="000000"/>
                <w:sz w:val="20"/>
                <w:u w:val="none"/>
                <w:lang w:val="en-US" w:eastAsia="en-US"/>
              </w:rPr>
              <w:t>403</w:t>
            </w:r>
          </w:p>
        </w:tc>
      </w:tr>
      <w:tr w:rsidR="00833B5B" w:rsidRPr="00BF4F0F" w14:paraId="7E4076F6" w14:textId="77777777" w:rsidTr="00895EB2">
        <w:trPr>
          <w:trHeight w:val="289"/>
        </w:trPr>
        <w:tc>
          <w:tcPr>
            <w:tcW w:w="7760" w:type="dxa"/>
            <w:shd w:val="clear" w:color="auto" w:fill="auto"/>
            <w:noWrap/>
            <w:vAlign w:val="bottom"/>
            <w:hideMark/>
          </w:tcPr>
          <w:p w14:paraId="3A6B11F8" w14:textId="77777777" w:rsidR="00833B5B" w:rsidRPr="00BF4F0F" w:rsidRDefault="00833B5B" w:rsidP="00705BD3">
            <w:pPr>
              <w:autoSpaceDE/>
              <w:autoSpaceDN/>
              <w:adjustRightInd/>
              <w:spacing w:after="0"/>
              <w:jc w:val="both"/>
              <w:textAlignment w:val="auto"/>
              <w:rPr>
                <w:rFonts w:asciiTheme="minorHAnsi" w:hAnsiTheme="minorHAnsi" w:cstheme="minorHAnsi"/>
                <w:b w:val="0"/>
                <w:color w:val="000000"/>
                <w:sz w:val="20"/>
                <w:u w:val="none"/>
                <w:lang w:val="en-US" w:eastAsia="en-US"/>
              </w:rPr>
            </w:pPr>
            <w:r w:rsidRPr="00BF4F0F">
              <w:rPr>
                <w:rFonts w:asciiTheme="minorHAnsi" w:hAnsiTheme="minorHAnsi" w:cstheme="minorHAnsi"/>
                <w:b w:val="0"/>
                <w:color w:val="000000"/>
                <w:sz w:val="20"/>
                <w:u w:val="none"/>
                <w:lang w:val="en-US" w:eastAsia="en-US"/>
              </w:rPr>
              <w:t xml:space="preserve">Access to formal education </w:t>
            </w:r>
          </w:p>
        </w:tc>
        <w:tc>
          <w:tcPr>
            <w:tcW w:w="1581" w:type="dxa"/>
            <w:shd w:val="clear" w:color="auto" w:fill="auto"/>
            <w:noWrap/>
            <w:vAlign w:val="bottom"/>
            <w:hideMark/>
          </w:tcPr>
          <w:p w14:paraId="389D1BCE" w14:textId="77777777" w:rsidR="00833B5B" w:rsidRPr="00BF4F0F" w:rsidRDefault="00833B5B" w:rsidP="00705BD3">
            <w:pPr>
              <w:autoSpaceDE/>
              <w:autoSpaceDN/>
              <w:adjustRightInd/>
              <w:spacing w:after="0"/>
              <w:jc w:val="both"/>
              <w:textAlignment w:val="auto"/>
              <w:rPr>
                <w:rFonts w:asciiTheme="minorHAnsi" w:hAnsiTheme="minorHAnsi" w:cstheme="minorHAnsi"/>
                <w:b w:val="0"/>
                <w:color w:val="000000"/>
                <w:sz w:val="20"/>
                <w:u w:val="none"/>
                <w:lang w:val="en-US" w:eastAsia="en-US"/>
              </w:rPr>
            </w:pPr>
            <w:r w:rsidRPr="00BF4F0F">
              <w:rPr>
                <w:rFonts w:asciiTheme="minorHAnsi" w:hAnsiTheme="minorHAnsi" w:cstheme="minorHAnsi"/>
                <w:b w:val="0"/>
                <w:color w:val="000000"/>
                <w:sz w:val="20"/>
                <w:u w:val="none"/>
                <w:lang w:val="en-US" w:eastAsia="en-US"/>
              </w:rPr>
              <w:t>142</w:t>
            </w:r>
          </w:p>
        </w:tc>
      </w:tr>
      <w:tr w:rsidR="00833B5B" w:rsidRPr="00BF4F0F" w14:paraId="478F0CA2" w14:textId="77777777" w:rsidTr="00895EB2">
        <w:trPr>
          <w:trHeight w:val="289"/>
        </w:trPr>
        <w:tc>
          <w:tcPr>
            <w:tcW w:w="7760" w:type="dxa"/>
            <w:shd w:val="clear" w:color="auto" w:fill="auto"/>
            <w:noWrap/>
            <w:vAlign w:val="bottom"/>
            <w:hideMark/>
          </w:tcPr>
          <w:p w14:paraId="0A20C65D" w14:textId="77777777" w:rsidR="00833B5B" w:rsidRPr="00BF4F0F" w:rsidRDefault="00833B5B" w:rsidP="00705BD3">
            <w:pPr>
              <w:autoSpaceDE/>
              <w:autoSpaceDN/>
              <w:adjustRightInd/>
              <w:spacing w:after="0"/>
              <w:jc w:val="both"/>
              <w:textAlignment w:val="auto"/>
              <w:rPr>
                <w:rFonts w:asciiTheme="minorHAnsi" w:hAnsiTheme="minorHAnsi" w:cstheme="minorHAnsi"/>
                <w:b w:val="0"/>
                <w:color w:val="000000"/>
                <w:sz w:val="20"/>
                <w:u w:val="none"/>
                <w:lang w:val="en-US" w:eastAsia="en-US"/>
              </w:rPr>
            </w:pPr>
            <w:r w:rsidRPr="00BF4F0F">
              <w:rPr>
                <w:rFonts w:asciiTheme="minorHAnsi" w:hAnsiTheme="minorHAnsi" w:cstheme="minorHAnsi"/>
                <w:b w:val="0"/>
                <w:color w:val="000000"/>
                <w:sz w:val="20"/>
                <w:u w:val="none"/>
                <w:lang w:val="en-US" w:eastAsia="en-US"/>
              </w:rPr>
              <w:t>Family visits</w:t>
            </w:r>
          </w:p>
        </w:tc>
        <w:tc>
          <w:tcPr>
            <w:tcW w:w="1581" w:type="dxa"/>
            <w:shd w:val="clear" w:color="auto" w:fill="auto"/>
            <w:noWrap/>
            <w:vAlign w:val="bottom"/>
            <w:hideMark/>
          </w:tcPr>
          <w:p w14:paraId="26668F2A" w14:textId="77777777" w:rsidR="00833B5B" w:rsidRPr="00BF4F0F" w:rsidRDefault="00833B5B" w:rsidP="00705BD3">
            <w:pPr>
              <w:autoSpaceDE/>
              <w:autoSpaceDN/>
              <w:adjustRightInd/>
              <w:spacing w:after="0"/>
              <w:jc w:val="both"/>
              <w:textAlignment w:val="auto"/>
              <w:rPr>
                <w:rFonts w:asciiTheme="minorHAnsi" w:hAnsiTheme="minorHAnsi" w:cstheme="minorHAnsi"/>
                <w:b w:val="0"/>
                <w:color w:val="000000"/>
                <w:sz w:val="20"/>
                <w:u w:val="none"/>
                <w:lang w:val="en-US" w:eastAsia="en-US"/>
              </w:rPr>
            </w:pPr>
            <w:r w:rsidRPr="00BF4F0F">
              <w:rPr>
                <w:rFonts w:asciiTheme="minorHAnsi" w:hAnsiTheme="minorHAnsi" w:cstheme="minorHAnsi"/>
                <w:b w:val="0"/>
                <w:color w:val="000000"/>
                <w:sz w:val="20"/>
                <w:u w:val="none"/>
                <w:lang w:val="en-US" w:eastAsia="en-US"/>
              </w:rPr>
              <w:t>95</w:t>
            </w:r>
          </w:p>
        </w:tc>
      </w:tr>
      <w:tr w:rsidR="00833B5B" w:rsidRPr="00BF4F0F" w14:paraId="16CB4D11" w14:textId="77777777" w:rsidTr="00895EB2">
        <w:trPr>
          <w:trHeight w:val="289"/>
        </w:trPr>
        <w:tc>
          <w:tcPr>
            <w:tcW w:w="7760" w:type="dxa"/>
            <w:shd w:val="clear" w:color="auto" w:fill="auto"/>
            <w:noWrap/>
            <w:vAlign w:val="bottom"/>
            <w:hideMark/>
          </w:tcPr>
          <w:p w14:paraId="55E47C8A" w14:textId="77777777" w:rsidR="00833B5B" w:rsidRPr="00BF4F0F" w:rsidRDefault="00833B5B" w:rsidP="00705BD3">
            <w:pPr>
              <w:autoSpaceDE/>
              <w:autoSpaceDN/>
              <w:adjustRightInd/>
              <w:spacing w:after="0"/>
              <w:jc w:val="both"/>
              <w:textAlignment w:val="auto"/>
              <w:rPr>
                <w:rFonts w:asciiTheme="minorHAnsi" w:hAnsiTheme="minorHAnsi" w:cstheme="minorHAnsi"/>
                <w:b w:val="0"/>
                <w:color w:val="000000"/>
                <w:sz w:val="20"/>
                <w:u w:val="none"/>
                <w:lang w:val="en-US" w:eastAsia="en-US"/>
              </w:rPr>
            </w:pPr>
            <w:r w:rsidRPr="00BF4F0F">
              <w:rPr>
                <w:rFonts w:asciiTheme="minorHAnsi" w:hAnsiTheme="minorHAnsi" w:cstheme="minorHAnsi"/>
                <w:b w:val="0"/>
                <w:color w:val="000000"/>
                <w:sz w:val="20"/>
                <w:u w:val="none"/>
                <w:lang w:val="en-US" w:eastAsia="en-US"/>
              </w:rPr>
              <w:t>Reintegration support</w:t>
            </w:r>
          </w:p>
        </w:tc>
        <w:tc>
          <w:tcPr>
            <w:tcW w:w="1581" w:type="dxa"/>
            <w:shd w:val="clear" w:color="auto" w:fill="auto"/>
            <w:noWrap/>
            <w:vAlign w:val="bottom"/>
            <w:hideMark/>
          </w:tcPr>
          <w:p w14:paraId="398AA43B" w14:textId="77777777" w:rsidR="00833B5B" w:rsidRPr="00BF4F0F" w:rsidRDefault="00833B5B" w:rsidP="00705BD3">
            <w:pPr>
              <w:autoSpaceDE/>
              <w:autoSpaceDN/>
              <w:adjustRightInd/>
              <w:spacing w:after="0"/>
              <w:jc w:val="both"/>
              <w:textAlignment w:val="auto"/>
              <w:rPr>
                <w:rFonts w:asciiTheme="minorHAnsi" w:hAnsiTheme="minorHAnsi" w:cstheme="minorHAnsi"/>
                <w:b w:val="0"/>
                <w:color w:val="000000"/>
                <w:sz w:val="20"/>
                <w:u w:val="none"/>
                <w:lang w:val="en-US" w:eastAsia="en-US"/>
              </w:rPr>
            </w:pPr>
            <w:r w:rsidRPr="00BF4F0F">
              <w:rPr>
                <w:rFonts w:asciiTheme="minorHAnsi" w:hAnsiTheme="minorHAnsi" w:cstheme="minorHAnsi"/>
                <w:b w:val="0"/>
                <w:color w:val="000000"/>
                <w:sz w:val="20"/>
                <w:u w:val="none"/>
                <w:lang w:val="en-US" w:eastAsia="en-US"/>
              </w:rPr>
              <w:t>647</w:t>
            </w:r>
          </w:p>
        </w:tc>
      </w:tr>
      <w:tr w:rsidR="00833B5B" w:rsidRPr="00BF4F0F" w14:paraId="4DF6DB0E" w14:textId="77777777" w:rsidTr="00895EB2">
        <w:trPr>
          <w:trHeight w:val="289"/>
        </w:trPr>
        <w:tc>
          <w:tcPr>
            <w:tcW w:w="7760" w:type="dxa"/>
            <w:shd w:val="clear" w:color="auto" w:fill="auto"/>
            <w:noWrap/>
            <w:vAlign w:val="bottom"/>
            <w:hideMark/>
          </w:tcPr>
          <w:p w14:paraId="105852A8" w14:textId="77777777" w:rsidR="00833B5B" w:rsidRPr="00BF4F0F" w:rsidRDefault="00833B5B" w:rsidP="00705BD3">
            <w:pPr>
              <w:autoSpaceDE/>
              <w:autoSpaceDN/>
              <w:adjustRightInd/>
              <w:spacing w:after="0"/>
              <w:jc w:val="both"/>
              <w:textAlignment w:val="auto"/>
              <w:rPr>
                <w:rFonts w:asciiTheme="minorHAnsi" w:hAnsiTheme="minorHAnsi" w:cstheme="minorHAnsi"/>
                <w:b w:val="0"/>
                <w:color w:val="000000"/>
                <w:sz w:val="20"/>
                <w:u w:val="none"/>
                <w:lang w:val="en-US" w:eastAsia="en-US"/>
              </w:rPr>
            </w:pPr>
            <w:r w:rsidRPr="00BF4F0F">
              <w:rPr>
                <w:rFonts w:asciiTheme="minorHAnsi" w:hAnsiTheme="minorHAnsi" w:cstheme="minorHAnsi"/>
                <w:b w:val="0"/>
                <w:color w:val="000000"/>
                <w:sz w:val="20"/>
                <w:u w:val="none"/>
                <w:lang w:val="en-US" w:eastAsia="en-US"/>
              </w:rPr>
              <w:t>Financial / material support</w:t>
            </w:r>
          </w:p>
        </w:tc>
        <w:tc>
          <w:tcPr>
            <w:tcW w:w="1581" w:type="dxa"/>
            <w:shd w:val="clear" w:color="auto" w:fill="auto"/>
            <w:noWrap/>
            <w:vAlign w:val="bottom"/>
            <w:hideMark/>
          </w:tcPr>
          <w:p w14:paraId="2767A377" w14:textId="77777777" w:rsidR="00833B5B" w:rsidRPr="00BF4F0F" w:rsidRDefault="00833B5B" w:rsidP="00705BD3">
            <w:pPr>
              <w:autoSpaceDE/>
              <w:autoSpaceDN/>
              <w:adjustRightInd/>
              <w:spacing w:after="0"/>
              <w:jc w:val="both"/>
              <w:textAlignment w:val="auto"/>
              <w:rPr>
                <w:rFonts w:asciiTheme="minorHAnsi" w:hAnsiTheme="minorHAnsi" w:cstheme="minorHAnsi"/>
                <w:b w:val="0"/>
                <w:color w:val="000000"/>
                <w:sz w:val="20"/>
                <w:u w:val="none"/>
                <w:lang w:val="en-US" w:eastAsia="en-US"/>
              </w:rPr>
            </w:pPr>
            <w:r w:rsidRPr="00BF4F0F">
              <w:rPr>
                <w:rFonts w:asciiTheme="minorHAnsi" w:hAnsiTheme="minorHAnsi" w:cstheme="minorHAnsi"/>
                <w:b w:val="0"/>
                <w:color w:val="000000"/>
                <w:sz w:val="20"/>
                <w:u w:val="none"/>
                <w:lang w:val="en-US" w:eastAsia="en-US"/>
              </w:rPr>
              <w:t>566</w:t>
            </w:r>
          </w:p>
        </w:tc>
      </w:tr>
      <w:tr w:rsidR="00833B5B" w:rsidRPr="00BF4F0F" w14:paraId="53C1BC25" w14:textId="77777777" w:rsidTr="00895EB2">
        <w:trPr>
          <w:trHeight w:val="289"/>
        </w:trPr>
        <w:tc>
          <w:tcPr>
            <w:tcW w:w="7760" w:type="dxa"/>
            <w:shd w:val="clear" w:color="auto" w:fill="auto"/>
            <w:noWrap/>
            <w:vAlign w:val="bottom"/>
            <w:hideMark/>
          </w:tcPr>
          <w:p w14:paraId="123E853A" w14:textId="77777777" w:rsidR="00833B5B" w:rsidRPr="00BF4F0F" w:rsidRDefault="00833B5B" w:rsidP="00705BD3">
            <w:pPr>
              <w:autoSpaceDE/>
              <w:autoSpaceDN/>
              <w:adjustRightInd/>
              <w:spacing w:after="0"/>
              <w:jc w:val="both"/>
              <w:textAlignment w:val="auto"/>
              <w:rPr>
                <w:rFonts w:asciiTheme="minorHAnsi" w:hAnsiTheme="minorHAnsi" w:cstheme="minorHAnsi"/>
                <w:b w:val="0"/>
                <w:color w:val="000000"/>
                <w:sz w:val="20"/>
                <w:u w:val="none"/>
                <w:lang w:val="en-US" w:eastAsia="en-US"/>
              </w:rPr>
            </w:pPr>
            <w:r w:rsidRPr="00BF4F0F">
              <w:rPr>
                <w:rFonts w:asciiTheme="minorHAnsi" w:hAnsiTheme="minorHAnsi" w:cstheme="minorHAnsi"/>
                <w:b w:val="0"/>
                <w:color w:val="000000"/>
                <w:sz w:val="20"/>
                <w:u w:val="none"/>
                <w:lang w:val="en-US" w:eastAsia="en-US"/>
              </w:rPr>
              <w:t>Follow-up visits</w:t>
            </w:r>
          </w:p>
        </w:tc>
        <w:tc>
          <w:tcPr>
            <w:tcW w:w="1581" w:type="dxa"/>
            <w:shd w:val="clear" w:color="auto" w:fill="auto"/>
            <w:noWrap/>
            <w:vAlign w:val="bottom"/>
            <w:hideMark/>
          </w:tcPr>
          <w:p w14:paraId="0389AD15" w14:textId="77777777" w:rsidR="00833B5B" w:rsidRPr="00BF4F0F" w:rsidRDefault="00833B5B" w:rsidP="00705BD3">
            <w:pPr>
              <w:autoSpaceDE/>
              <w:autoSpaceDN/>
              <w:adjustRightInd/>
              <w:spacing w:after="0"/>
              <w:jc w:val="both"/>
              <w:textAlignment w:val="auto"/>
              <w:rPr>
                <w:rFonts w:asciiTheme="minorHAnsi" w:hAnsiTheme="minorHAnsi" w:cstheme="minorHAnsi"/>
                <w:b w:val="0"/>
                <w:color w:val="000000"/>
                <w:sz w:val="20"/>
                <w:u w:val="none"/>
                <w:lang w:val="en-US" w:eastAsia="en-US"/>
              </w:rPr>
            </w:pPr>
            <w:r w:rsidRPr="00BF4F0F">
              <w:rPr>
                <w:rFonts w:asciiTheme="minorHAnsi" w:hAnsiTheme="minorHAnsi" w:cstheme="minorHAnsi"/>
                <w:b w:val="0"/>
                <w:color w:val="000000"/>
                <w:sz w:val="20"/>
                <w:u w:val="none"/>
                <w:lang w:val="en-US" w:eastAsia="en-US"/>
              </w:rPr>
              <w:t>1,414</w:t>
            </w:r>
          </w:p>
        </w:tc>
      </w:tr>
      <w:tr w:rsidR="00833B5B" w:rsidRPr="00BF4F0F" w14:paraId="164DC94D" w14:textId="77777777" w:rsidTr="00895EB2">
        <w:trPr>
          <w:trHeight w:val="289"/>
        </w:trPr>
        <w:tc>
          <w:tcPr>
            <w:tcW w:w="7760" w:type="dxa"/>
            <w:shd w:val="clear" w:color="auto" w:fill="69A2B0"/>
            <w:noWrap/>
            <w:vAlign w:val="bottom"/>
            <w:hideMark/>
          </w:tcPr>
          <w:p w14:paraId="4A5BB627" w14:textId="77777777" w:rsidR="00833B5B" w:rsidRPr="00BF4F0F" w:rsidRDefault="00833B5B" w:rsidP="00705BD3">
            <w:pPr>
              <w:autoSpaceDE/>
              <w:autoSpaceDN/>
              <w:adjustRightInd/>
              <w:spacing w:after="0"/>
              <w:jc w:val="both"/>
              <w:textAlignment w:val="auto"/>
              <w:rPr>
                <w:rFonts w:asciiTheme="minorHAnsi" w:hAnsiTheme="minorHAnsi" w:cstheme="minorHAnsi"/>
                <w:b w:val="0"/>
                <w:color w:val="FFFFFF" w:themeColor="background1"/>
                <w:sz w:val="20"/>
                <w:u w:val="none"/>
                <w:lang w:val="en-US" w:eastAsia="en-US"/>
              </w:rPr>
            </w:pPr>
            <w:r w:rsidRPr="00BF4F0F">
              <w:rPr>
                <w:rFonts w:asciiTheme="minorHAnsi" w:hAnsiTheme="minorHAnsi" w:cstheme="minorHAnsi"/>
                <w:b w:val="0"/>
                <w:color w:val="FFFFFF" w:themeColor="background1"/>
                <w:sz w:val="20"/>
                <w:u w:val="none"/>
                <w:lang w:val="en-US" w:eastAsia="en-US"/>
              </w:rPr>
              <w:t>Total</w:t>
            </w:r>
          </w:p>
        </w:tc>
        <w:tc>
          <w:tcPr>
            <w:tcW w:w="1581" w:type="dxa"/>
            <w:shd w:val="clear" w:color="auto" w:fill="69A2B0"/>
            <w:noWrap/>
            <w:vAlign w:val="bottom"/>
            <w:hideMark/>
          </w:tcPr>
          <w:p w14:paraId="3B67C06C" w14:textId="77777777" w:rsidR="00833B5B" w:rsidRPr="00BF4F0F" w:rsidRDefault="00833B5B" w:rsidP="00705BD3">
            <w:pPr>
              <w:autoSpaceDE/>
              <w:autoSpaceDN/>
              <w:adjustRightInd/>
              <w:spacing w:after="0"/>
              <w:jc w:val="both"/>
              <w:textAlignment w:val="auto"/>
              <w:rPr>
                <w:rFonts w:asciiTheme="minorHAnsi" w:hAnsiTheme="minorHAnsi" w:cstheme="minorHAnsi"/>
                <w:b w:val="0"/>
                <w:color w:val="FFFFFF" w:themeColor="background1"/>
                <w:sz w:val="20"/>
                <w:u w:val="none"/>
                <w:lang w:val="en-US" w:eastAsia="en-US"/>
              </w:rPr>
            </w:pPr>
            <w:r w:rsidRPr="00BF4F0F">
              <w:rPr>
                <w:rFonts w:asciiTheme="minorHAnsi" w:hAnsiTheme="minorHAnsi" w:cstheme="minorHAnsi"/>
                <w:b w:val="0"/>
                <w:color w:val="FFFFFF" w:themeColor="background1"/>
                <w:sz w:val="20"/>
                <w:u w:val="none"/>
                <w:lang w:val="en-US" w:eastAsia="en-US"/>
              </w:rPr>
              <w:t>10,038</w:t>
            </w:r>
          </w:p>
        </w:tc>
      </w:tr>
    </w:tbl>
    <w:p w14:paraId="0D11A46F" w14:textId="755AB176" w:rsidR="00EB4DE5" w:rsidRPr="00A8116D" w:rsidRDefault="00EB4DE5" w:rsidP="00F7014B">
      <w:pPr>
        <w:pStyle w:val="Heading3"/>
        <w:spacing w:before="240"/>
        <w:rPr>
          <w:rFonts w:asciiTheme="minorHAnsi" w:hAnsiTheme="minorHAnsi" w:cstheme="minorHAnsi"/>
          <w:b w:val="0"/>
          <w:i/>
          <w:color w:val="822B6A"/>
        </w:rPr>
      </w:pPr>
      <w:bookmarkStart w:id="122" w:name="_Toc2019661"/>
      <w:r w:rsidRPr="00BF4F0F">
        <w:rPr>
          <w:rFonts w:asciiTheme="minorHAnsi" w:hAnsiTheme="minorHAnsi" w:cstheme="minorHAnsi"/>
          <w:b w:val="0"/>
          <w:i/>
          <w:color w:val="822B6A"/>
        </w:rPr>
        <w:t>Quality of</w:t>
      </w:r>
      <w:r w:rsidRPr="00987417">
        <w:rPr>
          <w:rFonts w:asciiTheme="minorHAnsi" w:hAnsiTheme="minorHAnsi" w:cstheme="minorHAnsi"/>
          <w:b w:val="0"/>
          <w:i/>
          <w:color w:val="822B6A"/>
        </w:rPr>
        <w:t xml:space="preserve"> service delivery</w:t>
      </w:r>
      <w:bookmarkEnd w:id="122"/>
    </w:p>
    <w:p w14:paraId="52CA3951" w14:textId="016B4E9C" w:rsidR="005C31CA" w:rsidRPr="009C0914" w:rsidRDefault="00396505" w:rsidP="004447C8">
      <w:pPr>
        <w:spacing w:line="22" w:lineRule="atLeast"/>
        <w:jc w:val="both"/>
        <w:rPr>
          <w:rFonts w:asciiTheme="minorHAnsi" w:hAnsiTheme="minorHAnsi" w:cstheme="minorHAnsi"/>
          <w:b w:val="0"/>
          <w:color w:val="auto"/>
          <w:sz w:val="21"/>
          <w:szCs w:val="21"/>
          <w:u w:val="none"/>
        </w:rPr>
      </w:pPr>
      <w:r w:rsidRPr="004447C8">
        <w:rPr>
          <w:rFonts w:asciiTheme="minorHAnsi" w:hAnsiTheme="minorHAnsi" w:cstheme="minorHAnsi"/>
          <w:b w:val="0"/>
          <w:color w:val="auto"/>
          <w:sz w:val="21"/>
          <w:szCs w:val="21"/>
          <w:u w:val="none"/>
        </w:rPr>
        <w:t>Key</w:t>
      </w:r>
      <w:r w:rsidR="00987417" w:rsidRPr="004447C8">
        <w:rPr>
          <w:rFonts w:asciiTheme="minorHAnsi" w:hAnsiTheme="minorHAnsi" w:cstheme="minorHAnsi"/>
          <w:b w:val="0"/>
          <w:color w:val="auto"/>
          <w:sz w:val="21"/>
          <w:szCs w:val="21"/>
          <w:u w:val="none"/>
        </w:rPr>
        <w:t xml:space="preserve"> service</w:t>
      </w:r>
      <w:r w:rsidRPr="004447C8">
        <w:rPr>
          <w:rFonts w:asciiTheme="minorHAnsi" w:hAnsiTheme="minorHAnsi" w:cstheme="minorHAnsi"/>
          <w:b w:val="0"/>
          <w:color w:val="auto"/>
          <w:sz w:val="21"/>
          <w:szCs w:val="21"/>
          <w:u w:val="none"/>
        </w:rPr>
        <w:t xml:space="preserve"> provider staff have improved knowledge and skills, and service providers are using those increased skills, knowledge and sensitivity to deliver services. </w:t>
      </w:r>
      <w:r w:rsidR="00BC4A5F" w:rsidRPr="004447C8">
        <w:rPr>
          <w:rFonts w:asciiTheme="minorHAnsi" w:hAnsiTheme="minorHAnsi" w:cstheme="minorHAnsi"/>
          <w:b w:val="0"/>
          <w:color w:val="auto"/>
          <w:sz w:val="21"/>
          <w:szCs w:val="21"/>
          <w:u w:val="none"/>
        </w:rPr>
        <w:t>Twenty-one students</w:t>
      </w:r>
      <w:r w:rsidR="00F56651" w:rsidRPr="004447C8">
        <w:rPr>
          <w:rFonts w:asciiTheme="minorHAnsi" w:hAnsiTheme="minorHAnsi" w:cstheme="minorHAnsi"/>
          <w:b w:val="0"/>
          <w:color w:val="auto"/>
          <w:sz w:val="21"/>
          <w:szCs w:val="21"/>
          <w:u w:val="none"/>
        </w:rPr>
        <w:t xml:space="preserve"> </w:t>
      </w:r>
      <w:r w:rsidR="00BC4A5F" w:rsidRPr="004447C8">
        <w:rPr>
          <w:rFonts w:asciiTheme="minorHAnsi" w:hAnsiTheme="minorHAnsi" w:cstheme="minorHAnsi"/>
          <w:b w:val="0"/>
          <w:color w:val="auto"/>
          <w:sz w:val="21"/>
          <w:szCs w:val="21"/>
          <w:u w:val="none"/>
        </w:rPr>
        <w:t>from the second round graduated with their Certificate III in Social Services</w:t>
      </w:r>
      <w:r w:rsidR="00C91F78" w:rsidRPr="004447C8">
        <w:rPr>
          <w:rFonts w:asciiTheme="minorHAnsi" w:hAnsiTheme="minorHAnsi" w:cstheme="minorHAnsi"/>
          <w:b w:val="0"/>
          <w:color w:val="auto"/>
          <w:sz w:val="21"/>
          <w:szCs w:val="21"/>
          <w:u w:val="none"/>
        </w:rPr>
        <w:t>, with</w:t>
      </w:r>
      <w:r w:rsidR="00014341" w:rsidRPr="004447C8">
        <w:rPr>
          <w:rFonts w:asciiTheme="minorHAnsi" w:hAnsiTheme="minorHAnsi" w:cstheme="minorHAnsi"/>
          <w:b w:val="0"/>
          <w:color w:val="auto"/>
          <w:sz w:val="21"/>
          <w:szCs w:val="21"/>
          <w:u w:val="none"/>
        </w:rPr>
        <w:t xml:space="preserve"> evidence of </w:t>
      </w:r>
      <w:r w:rsidR="005C31CA" w:rsidRPr="004447C8">
        <w:rPr>
          <w:rFonts w:asciiTheme="minorHAnsi" w:hAnsiTheme="minorHAnsi" w:cstheme="minorHAnsi"/>
          <w:b w:val="0"/>
          <w:color w:val="auto"/>
          <w:sz w:val="21"/>
          <w:szCs w:val="21"/>
          <w:u w:val="none"/>
        </w:rPr>
        <w:t xml:space="preserve">improvements </w:t>
      </w:r>
      <w:r w:rsidR="00CF2D81" w:rsidRPr="004447C8">
        <w:rPr>
          <w:rFonts w:asciiTheme="minorHAnsi" w:hAnsiTheme="minorHAnsi" w:cstheme="minorHAnsi"/>
          <w:b w:val="0"/>
          <w:color w:val="auto"/>
          <w:sz w:val="21"/>
          <w:szCs w:val="21"/>
          <w:u w:val="none"/>
        </w:rPr>
        <w:t xml:space="preserve">in service quality </w:t>
      </w:r>
      <w:r w:rsidR="00014341" w:rsidRPr="004447C8">
        <w:rPr>
          <w:rFonts w:asciiTheme="minorHAnsi" w:hAnsiTheme="minorHAnsi" w:cstheme="minorHAnsi"/>
          <w:b w:val="0"/>
          <w:color w:val="auto"/>
          <w:sz w:val="21"/>
          <w:szCs w:val="21"/>
          <w:u w:val="none"/>
        </w:rPr>
        <w:t xml:space="preserve">as a result. The </w:t>
      </w:r>
      <w:r w:rsidR="00B42723" w:rsidRPr="004447C8">
        <w:rPr>
          <w:rFonts w:asciiTheme="minorHAnsi" w:hAnsiTheme="minorHAnsi" w:cstheme="minorHAnsi"/>
          <w:b w:val="0"/>
          <w:color w:val="auto"/>
          <w:sz w:val="21"/>
          <w:szCs w:val="21"/>
          <w:u w:val="none"/>
        </w:rPr>
        <w:t xml:space="preserve">external </w:t>
      </w:r>
      <w:r w:rsidR="00014341" w:rsidRPr="004447C8">
        <w:rPr>
          <w:rFonts w:asciiTheme="minorHAnsi" w:hAnsiTheme="minorHAnsi" w:cstheme="minorHAnsi"/>
          <w:b w:val="0"/>
          <w:color w:val="auto"/>
          <w:sz w:val="21"/>
          <w:szCs w:val="21"/>
          <w:u w:val="none"/>
        </w:rPr>
        <w:t xml:space="preserve">evaluation of the </w:t>
      </w:r>
      <w:r w:rsidR="00E23F3D" w:rsidRPr="004447C8">
        <w:rPr>
          <w:rFonts w:asciiTheme="minorHAnsi" w:hAnsiTheme="minorHAnsi" w:cstheme="minorHAnsi"/>
          <w:b w:val="0"/>
          <w:color w:val="auto"/>
          <w:sz w:val="21"/>
          <w:szCs w:val="21"/>
          <w:u w:val="none"/>
        </w:rPr>
        <w:t xml:space="preserve">course </w:t>
      </w:r>
      <w:r w:rsidR="002F2153" w:rsidRPr="004447C8">
        <w:rPr>
          <w:rFonts w:asciiTheme="minorHAnsi" w:hAnsiTheme="minorHAnsi" w:cstheme="minorHAnsi"/>
          <w:b w:val="0"/>
          <w:color w:val="auto"/>
          <w:sz w:val="21"/>
          <w:szCs w:val="21"/>
          <w:u w:val="none"/>
        </w:rPr>
        <w:t>conducted between 9 April – 1 June 2018</w:t>
      </w:r>
      <w:r w:rsidR="00634CC2" w:rsidRPr="004447C8">
        <w:rPr>
          <w:rFonts w:asciiTheme="minorHAnsi" w:hAnsiTheme="minorHAnsi" w:cstheme="minorHAnsi"/>
          <w:b w:val="0"/>
          <w:color w:val="auto"/>
          <w:sz w:val="21"/>
          <w:szCs w:val="21"/>
          <w:u w:val="none"/>
        </w:rPr>
        <w:t xml:space="preserve"> concluded there was </w:t>
      </w:r>
      <w:r w:rsidR="00014341" w:rsidRPr="004447C8">
        <w:rPr>
          <w:rFonts w:asciiTheme="minorHAnsi" w:hAnsiTheme="minorHAnsi" w:cstheme="minorHAnsi"/>
          <w:b w:val="0"/>
          <w:color w:val="auto"/>
          <w:sz w:val="21"/>
          <w:szCs w:val="21"/>
          <w:u w:val="none"/>
        </w:rPr>
        <w:t xml:space="preserve">strong level of student satisfaction </w:t>
      </w:r>
      <w:r w:rsidR="00014341" w:rsidRPr="009C0914">
        <w:rPr>
          <w:rFonts w:asciiTheme="minorHAnsi" w:hAnsiTheme="minorHAnsi" w:cstheme="minorHAnsi"/>
          <w:b w:val="0"/>
          <w:color w:val="auto"/>
          <w:sz w:val="21"/>
          <w:szCs w:val="21"/>
          <w:u w:val="none"/>
        </w:rPr>
        <w:t>with the training</w:t>
      </w:r>
      <w:r w:rsidR="007E2403" w:rsidRPr="009C0914">
        <w:rPr>
          <w:rFonts w:asciiTheme="minorHAnsi" w:hAnsiTheme="minorHAnsi" w:cstheme="minorHAnsi"/>
          <w:b w:val="0"/>
          <w:color w:val="auto"/>
          <w:sz w:val="21"/>
          <w:szCs w:val="21"/>
          <w:u w:val="none"/>
        </w:rPr>
        <w:t xml:space="preserve">; </w:t>
      </w:r>
      <w:r w:rsidR="00014341" w:rsidRPr="009C0914">
        <w:rPr>
          <w:rFonts w:asciiTheme="minorHAnsi" w:hAnsiTheme="minorHAnsi" w:cstheme="minorHAnsi"/>
          <w:b w:val="0"/>
          <w:color w:val="auto"/>
          <w:sz w:val="21"/>
          <w:szCs w:val="21"/>
          <w:u w:val="none"/>
        </w:rPr>
        <w:t>and employer feedback has been positive</w:t>
      </w:r>
      <w:r w:rsidR="00B42723" w:rsidRPr="009C0914">
        <w:rPr>
          <w:rFonts w:asciiTheme="minorHAnsi" w:hAnsiTheme="minorHAnsi" w:cstheme="minorHAnsi"/>
          <w:b w:val="0"/>
          <w:color w:val="auto"/>
          <w:sz w:val="21"/>
          <w:szCs w:val="21"/>
          <w:u w:val="none"/>
        </w:rPr>
        <w:t xml:space="preserve">, </w:t>
      </w:r>
      <w:r w:rsidR="005C31CA" w:rsidRPr="009C0914">
        <w:rPr>
          <w:rFonts w:asciiTheme="minorHAnsi" w:hAnsiTheme="minorHAnsi" w:cstheme="minorHAnsi"/>
          <w:b w:val="0"/>
          <w:color w:val="auto"/>
          <w:sz w:val="21"/>
          <w:szCs w:val="21"/>
          <w:u w:val="none"/>
        </w:rPr>
        <w:t xml:space="preserve">with </w:t>
      </w:r>
      <w:r w:rsidR="00B42723" w:rsidRPr="009C0914">
        <w:rPr>
          <w:rFonts w:asciiTheme="minorHAnsi" w:hAnsiTheme="minorHAnsi" w:cstheme="minorHAnsi"/>
          <w:b w:val="0"/>
          <w:color w:val="auto"/>
          <w:sz w:val="21"/>
          <w:szCs w:val="21"/>
          <w:u w:val="none"/>
        </w:rPr>
        <w:t xml:space="preserve">specific examples such as staff having better communication </w:t>
      </w:r>
      <w:r w:rsidR="005C31CA" w:rsidRPr="009C0914">
        <w:rPr>
          <w:rFonts w:asciiTheme="minorHAnsi" w:hAnsiTheme="minorHAnsi" w:cstheme="minorHAnsi"/>
          <w:b w:val="0"/>
          <w:color w:val="auto"/>
          <w:sz w:val="21"/>
          <w:szCs w:val="21"/>
          <w:u w:val="none"/>
        </w:rPr>
        <w:t xml:space="preserve">and </w:t>
      </w:r>
      <w:r w:rsidR="00B42723" w:rsidRPr="009C0914">
        <w:rPr>
          <w:rFonts w:asciiTheme="minorHAnsi" w:hAnsiTheme="minorHAnsi" w:cstheme="minorHAnsi"/>
          <w:b w:val="0"/>
          <w:color w:val="auto"/>
          <w:sz w:val="21"/>
          <w:szCs w:val="21"/>
          <w:u w:val="none"/>
        </w:rPr>
        <w:t>leadership skills, better referral skill</w:t>
      </w:r>
      <w:r w:rsidR="005C31CA" w:rsidRPr="009C0914">
        <w:rPr>
          <w:rFonts w:asciiTheme="minorHAnsi" w:hAnsiTheme="minorHAnsi" w:cstheme="minorHAnsi"/>
          <w:b w:val="0"/>
          <w:color w:val="auto"/>
          <w:sz w:val="21"/>
          <w:szCs w:val="21"/>
          <w:u w:val="none"/>
        </w:rPr>
        <w:t xml:space="preserve">s, and </w:t>
      </w:r>
      <w:r w:rsidR="00CF2D81" w:rsidRPr="009C0914">
        <w:rPr>
          <w:rFonts w:asciiTheme="minorHAnsi" w:hAnsiTheme="minorHAnsi" w:cstheme="minorHAnsi"/>
          <w:b w:val="0"/>
          <w:color w:val="auto"/>
          <w:sz w:val="21"/>
          <w:szCs w:val="21"/>
          <w:u w:val="none"/>
        </w:rPr>
        <w:t>a reduction in victim-blaming attitudes</w:t>
      </w:r>
      <w:r w:rsidR="00014341" w:rsidRPr="009C0914">
        <w:rPr>
          <w:rFonts w:asciiTheme="minorHAnsi" w:hAnsiTheme="minorHAnsi" w:cstheme="minorHAnsi"/>
          <w:b w:val="0"/>
          <w:color w:val="auto"/>
          <w:sz w:val="21"/>
          <w:szCs w:val="21"/>
          <w:u w:val="none"/>
        </w:rPr>
        <w:t xml:space="preserve">. </w:t>
      </w:r>
      <w:r w:rsidR="00C13A1D" w:rsidRPr="009C0914">
        <w:rPr>
          <w:rFonts w:asciiTheme="minorHAnsi" w:hAnsiTheme="minorHAnsi" w:cstheme="minorHAnsi"/>
          <w:b w:val="0"/>
          <w:color w:val="auto"/>
          <w:sz w:val="21"/>
          <w:szCs w:val="21"/>
          <w:u w:val="none"/>
        </w:rPr>
        <w:t xml:space="preserve">Importantly, </w:t>
      </w:r>
      <w:r w:rsidR="00AF3A56" w:rsidRPr="009C0914">
        <w:rPr>
          <w:rFonts w:asciiTheme="minorHAnsi" w:hAnsiTheme="minorHAnsi" w:cstheme="minorHAnsi"/>
          <w:b w:val="0"/>
          <w:color w:val="auto"/>
          <w:sz w:val="21"/>
          <w:szCs w:val="21"/>
          <w:u w:val="none"/>
        </w:rPr>
        <w:t xml:space="preserve">according to stakeholder interviews conducted during the evaluation of the course, </w:t>
      </w:r>
      <w:r w:rsidR="00C13A1D" w:rsidRPr="009C0914">
        <w:rPr>
          <w:rFonts w:asciiTheme="minorHAnsi" w:hAnsiTheme="minorHAnsi" w:cstheme="minorHAnsi"/>
          <w:b w:val="0"/>
          <w:color w:val="auto"/>
          <w:sz w:val="21"/>
          <w:szCs w:val="21"/>
          <w:u w:val="none"/>
        </w:rPr>
        <w:t xml:space="preserve">the </w:t>
      </w:r>
      <w:r w:rsidR="00AF3A56" w:rsidRPr="009C0914">
        <w:rPr>
          <w:rFonts w:asciiTheme="minorHAnsi" w:hAnsiTheme="minorHAnsi" w:cstheme="minorHAnsi"/>
          <w:b w:val="0"/>
          <w:color w:val="auto"/>
          <w:sz w:val="21"/>
          <w:szCs w:val="21"/>
          <w:u w:val="none"/>
        </w:rPr>
        <w:t>Certificate III in Social Services</w:t>
      </w:r>
      <w:r w:rsidR="00C13A1D" w:rsidRPr="009C0914">
        <w:rPr>
          <w:rFonts w:asciiTheme="minorHAnsi" w:hAnsiTheme="minorHAnsi" w:cstheme="minorHAnsi"/>
          <w:b w:val="0"/>
          <w:color w:val="auto"/>
          <w:sz w:val="21"/>
          <w:szCs w:val="21"/>
          <w:u w:val="none"/>
        </w:rPr>
        <w:t xml:space="preserve"> has led to the emergence of ‘social services’ as a profession in Timor</w:t>
      </w:r>
      <w:r w:rsidR="00C13A1D" w:rsidRPr="009C0914">
        <w:rPr>
          <w:rFonts w:asciiTheme="minorHAnsi" w:hAnsiTheme="minorHAnsi" w:cstheme="minorHAnsi"/>
          <w:b w:val="0"/>
          <w:color w:val="auto"/>
          <w:sz w:val="21"/>
          <w:szCs w:val="21"/>
          <w:u w:val="none"/>
        </w:rPr>
        <w:noBreakHyphen/>
        <w:t xml:space="preserve">Leste. Prior to the course, staff providing frontline services did not label themselves as a ‘social worker’. They didn’t view the commonalities between their roles and did not always consider themselves as part </w:t>
      </w:r>
      <w:r w:rsidR="0004411A" w:rsidRPr="009C0914">
        <w:rPr>
          <w:rFonts w:asciiTheme="minorHAnsi" w:hAnsiTheme="minorHAnsi" w:cstheme="minorHAnsi"/>
          <w:b w:val="0"/>
          <w:color w:val="auto"/>
          <w:sz w:val="21"/>
          <w:szCs w:val="21"/>
          <w:u w:val="none"/>
        </w:rPr>
        <w:t xml:space="preserve">of </w:t>
      </w:r>
      <w:r w:rsidR="00C13A1D" w:rsidRPr="009C0914">
        <w:rPr>
          <w:rFonts w:asciiTheme="minorHAnsi" w:hAnsiTheme="minorHAnsi" w:cstheme="minorHAnsi"/>
          <w:b w:val="0"/>
          <w:color w:val="auto"/>
          <w:sz w:val="21"/>
          <w:szCs w:val="21"/>
          <w:u w:val="none"/>
        </w:rPr>
        <w:t xml:space="preserve">the same valuable profession, sector or industry. Through course design and two rounds of course delivery, </w:t>
      </w:r>
      <w:r w:rsidR="00AE7EFB" w:rsidRPr="009C0914">
        <w:rPr>
          <w:rFonts w:asciiTheme="minorHAnsi" w:hAnsiTheme="minorHAnsi" w:cstheme="minorHAnsi"/>
          <w:b w:val="0"/>
          <w:color w:val="auto"/>
          <w:sz w:val="21"/>
          <w:szCs w:val="21"/>
          <w:u w:val="none"/>
        </w:rPr>
        <w:t xml:space="preserve">a </w:t>
      </w:r>
      <w:r w:rsidR="00C13A1D" w:rsidRPr="009C0914">
        <w:rPr>
          <w:rFonts w:asciiTheme="minorHAnsi" w:hAnsiTheme="minorHAnsi" w:cstheme="minorHAnsi"/>
          <w:b w:val="0"/>
          <w:color w:val="auto"/>
          <w:sz w:val="21"/>
          <w:szCs w:val="21"/>
          <w:u w:val="none"/>
        </w:rPr>
        <w:t xml:space="preserve">social service profession </w:t>
      </w:r>
      <w:r w:rsidR="00B42723" w:rsidRPr="009C0914">
        <w:rPr>
          <w:rFonts w:asciiTheme="minorHAnsi" w:hAnsiTheme="minorHAnsi" w:cstheme="minorHAnsi"/>
          <w:b w:val="0"/>
          <w:color w:val="auto"/>
          <w:sz w:val="21"/>
          <w:szCs w:val="21"/>
          <w:u w:val="none"/>
        </w:rPr>
        <w:t>w</w:t>
      </w:r>
      <w:r w:rsidR="00C13A1D" w:rsidRPr="009C0914">
        <w:rPr>
          <w:rFonts w:asciiTheme="minorHAnsi" w:hAnsiTheme="minorHAnsi" w:cstheme="minorHAnsi"/>
          <w:b w:val="0"/>
          <w:color w:val="auto"/>
          <w:sz w:val="21"/>
          <w:szCs w:val="21"/>
          <w:u w:val="none"/>
        </w:rPr>
        <w:t>as created</w:t>
      </w:r>
      <w:r w:rsidR="00B42723" w:rsidRPr="009C0914">
        <w:rPr>
          <w:rFonts w:asciiTheme="minorHAnsi" w:hAnsiTheme="minorHAnsi" w:cstheme="minorHAnsi"/>
          <w:b w:val="0"/>
          <w:color w:val="auto"/>
          <w:sz w:val="21"/>
          <w:szCs w:val="21"/>
          <w:u w:val="none"/>
        </w:rPr>
        <w:t xml:space="preserve"> in Timor-Leste</w:t>
      </w:r>
      <w:r w:rsidR="00C13A1D" w:rsidRPr="009C0914">
        <w:rPr>
          <w:rFonts w:asciiTheme="minorHAnsi" w:hAnsiTheme="minorHAnsi" w:cstheme="minorHAnsi"/>
          <w:b w:val="0"/>
          <w:color w:val="auto"/>
          <w:sz w:val="21"/>
          <w:szCs w:val="21"/>
          <w:u w:val="none"/>
        </w:rPr>
        <w:t>.</w:t>
      </w:r>
    </w:p>
    <w:p w14:paraId="000CE46B" w14:textId="2BA39595" w:rsidR="00C13A1D" w:rsidRPr="009C0914" w:rsidRDefault="0004411A" w:rsidP="004447C8">
      <w:pPr>
        <w:spacing w:line="22" w:lineRule="atLeast"/>
        <w:jc w:val="both"/>
        <w:rPr>
          <w:rFonts w:asciiTheme="minorHAnsi" w:hAnsiTheme="minorHAnsi" w:cstheme="minorHAnsi"/>
          <w:b w:val="0"/>
          <w:color w:val="auto"/>
          <w:sz w:val="21"/>
          <w:szCs w:val="21"/>
          <w:u w:val="none"/>
        </w:rPr>
      </w:pPr>
      <w:r w:rsidRPr="009C0914">
        <w:rPr>
          <w:rFonts w:asciiTheme="minorHAnsi" w:hAnsiTheme="minorHAnsi" w:cstheme="minorHAnsi"/>
          <w:b w:val="0"/>
          <w:color w:val="auto"/>
          <w:sz w:val="21"/>
          <w:szCs w:val="21"/>
          <w:u w:val="none"/>
        </w:rPr>
        <w:t xml:space="preserve">PRADET trained </w:t>
      </w:r>
      <w:r w:rsidR="00895EB2" w:rsidRPr="009C0914">
        <w:rPr>
          <w:rFonts w:asciiTheme="minorHAnsi" w:hAnsiTheme="minorHAnsi" w:cstheme="minorHAnsi"/>
          <w:b w:val="0"/>
          <w:color w:val="auto"/>
          <w:sz w:val="21"/>
          <w:szCs w:val="21"/>
          <w:u w:val="none"/>
        </w:rPr>
        <w:t>12</w:t>
      </w:r>
      <w:r w:rsidRPr="009C0914">
        <w:rPr>
          <w:rFonts w:asciiTheme="minorHAnsi" w:hAnsiTheme="minorHAnsi" w:cstheme="minorHAnsi"/>
          <w:b w:val="0"/>
          <w:color w:val="auto"/>
          <w:sz w:val="21"/>
          <w:szCs w:val="21"/>
          <w:u w:val="none"/>
        </w:rPr>
        <w:t xml:space="preserve"> new medical forensic examiners, </w:t>
      </w:r>
      <w:r w:rsidR="00F56651" w:rsidRPr="009C0914">
        <w:rPr>
          <w:rFonts w:asciiTheme="minorHAnsi" w:hAnsiTheme="minorHAnsi" w:cstheme="minorHAnsi"/>
          <w:b w:val="0"/>
          <w:color w:val="auto"/>
          <w:sz w:val="21"/>
          <w:szCs w:val="21"/>
          <w:u w:val="none"/>
        </w:rPr>
        <w:t xml:space="preserve">all </w:t>
      </w:r>
      <w:r w:rsidRPr="009C0914">
        <w:rPr>
          <w:rFonts w:asciiTheme="minorHAnsi" w:hAnsiTheme="minorHAnsi" w:cstheme="minorHAnsi"/>
          <w:b w:val="0"/>
          <w:color w:val="auto"/>
          <w:sz w:val="21"/>
          <w:szCs w:val="21"/>
          <w:u w:val="none"/>
        </w:rPr>
        <w:t>who are ready to be accredited by the INS. These examiners will work from municipal referral hospitals, strengthening the link between the public health sector and VAW</w:t>
      </w:r>
      <w:r w:rsidR="00987417" w:rsidRPr="009C0914">
        <w:rPr>
          <w:rFonts w:asciiTheme="minorHAnsi" w:hAnsiTheme="minorHAnsi" w:cstheme="minorHAnsi"/>
          <w:b w:val="0"/>
          <w:color w:val="auto"/>
          <w:sz w:val="21"/>
          <w:szCs w:val="21"/>
          <w:u w:val="none"/>
        </w:rPr>
        <w:t>C</w:t>
      </w:r>
      <w:r w:rsidRPr="009C0914">
        <w:rPr>
          <w:rFonts w:asciiTheme="minorHAnsi" w:hAnsiTheme="minorHAnsi" w:cstheme="minorHAnsi"/>
          <w:b w:val="0"/>
          <w:color w:val="auto"/>
          <w:sz w:val="21"/>
          <w:szCs w:val="21"/>
          <w:u w:val="none"/>
        </w:rPr>
        <w:t xml:space="preserve"> services. The exit report by the trainer, Dr Margaret Gibbons, states that the examiners have the required skills and confidence to undertake examinations</w:t>
      </w:r>
      <w:r w:rsidR="00AF3A56" w:rsidRPr="009C0914">
        <w:rPr>
          <w:rFonts w:asciiTheme="minorHAnsi" w:hAnsiTheme="minorHAnsi" w:cstheme="minorHAnsi"/>
          <w:b w:val="0"/>
          <w:color w:val="auto"/>
          <w:sz w:val="21"/>
          <w:szCs w:val="21"/>
          <w:u w:val="none"/>
        </w:rPr>
        <w:t xml:space="preserve"> and all passed the three-hour long </w:t>
      </w:r>
      <w:r w:rsidR="00CC1686" w:rsidRPr="009C0914">
        <w:rPr>
          <w:rFonts w:asciiTheme="minorHAnsi" w:hAnsiTheme="minorHAnsi" w:cstheme="minorHAnsi"/>
          <w:b w:val="0"/>
          <w:color w:val="auto"/>
          <w:sz w:val="21"/>
          <w:szCs w:val="21"/>
          <w:u w:val="none"/>
        </w:rPr>
        <w:t>theory</w:t>
      </w:r>
      <w:r w:rsidR="00AF3A56" w:rsidRPr="009C0914">
        <w:rPr>
          <w:rFonts w:asciiTheme="minorHAnsi" w:hAnsiTheme="minorHAnsi" w:cstheme="minorHAnsi"/>
          <w:b w:val="0"/>
          <w:color w:val="auto"/>
          <w:sz w:val="21"/>
          <w:szCs w:val="21"/>
          <w:u w:val="none"/>
        </w:rPr>
        <w:t xml:space="preserve"> examination</w:t>
      </w:r>
      <w:r w:rsidRPr="009C0914">
        <w:rPr>
          <w:rFonts w:asciiTheme="minorHAnsi" w:hAnsiTheme="minorHAnsi" w:cstheme="minorHAnsi"/>
          <w:b w:val="0"/>
          <w:color w:val="auto"/>
          <w:sz w:val="21"/>
          <w:szCs w:val="21"/>
          <w:u w:val="none"/>
        </w:rPr>
        <w:t xml:space="preserve">. </w:t>
      </w:r>
      <w:r w:rsidR="00A936CD" w:rsidRPr="009C0914">
        <w:rPr>
          <w:rFonts w:asciiTheme="minorHAnsi" w:hAnsiTheme="minorHAnsi" w:cstheme="minorHAnsi"/>
          <w:b w:val="0"/>
          <w:color w:val="auto"/>
          <w:sz w:val="21"/>
          <w:szCs w:val="21"/>
          <w:u w:val="none"/>
        </w:rPr>
        <w:t xml:space="preserve">There were mixed results </w:t>
      </w:r>
      <w:r w:rsidR="00AE7EFB" w:rsidRPr="009C0914">
        <w:rPr>
          <w:rFonts w:asciiTheme="minorHAnsi" w:hAnsiTheme="minorHAnsi" w:cstheme="minorHAnsi"/>
          <w:b w:val="0"/>
          <w:color w:val="auto"/>
          <w:sz w:val="21"/>
          <w:szCs w:val="21"/>
          <w:u w:val="none"/>
        </w:rPr>
        <w:t>from</w:t>
      </w:r>
      <w:r w:rsidR="00A936CD" w:rsidRPr="009C0914">
        <w:rPr>
          <w:rFonts w:asciiTheme="minorHAnsi" w:hAnsiTheme="minorHAnsi" w:cstheme="minorHAnsi"/>
          <w:b w:val="0"/>
          <w:color w:val="auto"/>
          <w:sz w:val="21"/>
          <w:szCs w:val="21"/>
          <w:u w:val="none"/>
        </w:rPr>
        <w:t xml:space="preserve"> PRADET’s 4R</w:t>
      </w:r>
      <w:r w:rsidR="004447C8" w:rsidRPr="009C0914">
        <w:rPr>
          <w:rFonts w:asciiTheme="minorHAnsi" w:hAnsiTheme="minorHAnsi" w:cstheme="minorHAnsi"/>
          <w:b w:val="0"/>
          <w:color w:val="auto"/>
          <w:sz w:val="21"/>
          <w:szCs w:val="21"/>
          <w:u w:val="none"/>
        </w:rPr>
        <w:t xml:space="preserve"> training on recognising and responding to non-accidental injuries</w:t>
      </w:r>
      <w:r w:rsidR="00A936CD" w:rsidRPr="009C0914">
        <w:rPr>
          <w:rFonts w:asciiTheme="minorHAnsi" w:hAnsiTheme="minorHAnsi" w:cstheme="minorHAnsi"/>
          <w:b w:val="0"/>
          <w:color w:val="auto"/>
          <w:sz w:val="21"/>
          <w:szCs w:val="21"/>
          <w:u w:val="none"/>
        </w:rPr>
        <w:t xml:space="preserve">. While the </w:t>
      </w:r>
      <w:r w:rsidR="00CC1686" w:rsidRPr="009C0914">
        <w:rPr>
          <w:rFonts w:asciiTheme="minorHAnsi" w:hAnsiTheme="minorHAnsi" w:cstheme="minorHAnsi"/>
          <w:b w:val="0"/>
          <w:color w:val="auto"/>
          <w:sz w:val="21"/>
          <w:szCs w:val="21"/>
          <w:u w:val="none"/>
        </w:rPr>
        <w:t xml:space="preserve">pre and post-training assessments showed that the </w:t>
      </w:r>
      <w:r w:rsidR="00A936CD" w:rsidRPr="009C0914">
        <w:rPr>
          <w:rFonts w:asciiTheme="minorHAnsi" w:hAnsiTheme="minorHAnsi" w:cstheme="minorHAnsi"/>
          <w:b w:val="0"/>
          <w:color w:val="auto"/>
          <w:sz w:val="21"/>
          <w:szCs w:val="21"/>
          <w:u w:val="none"/>
        </w:rPr>
        <w:t>training</w:t>
      </w:r>
      <w:r w:rsidR="00AE7EFB" w:rsidRPr="009C0914">
        <w:rPr>
          <w:rFonts w:asciiTheme="minorHAnsi" w:hAnsiTheme="minorHAnsi" w:cstheme="minorHAnsi"/>
          <w:b w:val="0"/>
          <w:color w:val="auto"/>
          <w:sz w:val="21"/>
          <w:szCs w:val="21"/>
          <w:u w:val="none"/>
        </w:rPr>
        <w:t xml:space="preserve"> generally</w:t>
      </w:r>
      <w:r w:rsidR="00A936CD" w:rsidRPr="009C0914">
        <w:rPr>
          <w:rFonts w:asciiTheme="minorHAnsi" w:hAnsiTheme="minorHAnsi" w:cstheme="minorHAnsi"/>
          <w:b w:val="0"/>
          <w:color w:val="auto"/>
          <w:sz w:val="21"/>
          <w:szCs w:val="21"/>
          <w:u w:val="none"/>
        </w:rPr>
        <w:t xml:space="preserve"> improved participants’ knowledge of </w:t>
      </w:r>
      <w:r w:rsidR="00A936CD" w:rsidRPr="009C0914">
        <w:rPr>
          <w:rFonts w:asciiTheme="minorHAnsi" w:hAnsiTheme="minorHAnsi" w:cstheme="minorHAnsi"/>
          <w:b w:val="0"/>
          <w:i/>
          <w:color w:val="auto"/>
          <w:sz w:val="21"/>
          <w:szCs w:val="21"/>
          <w:u w:val="none"/>
        </w:rPr>
        <w:t>Fatin Hakmatek</w:t>
      </w:r>
      <w:r w:rsidR="00A936CD" w:rsidRPr="009C0914">
        <w:rPr>
          <w:rFonts w:asciiTheme="minorHAnsi" w:hAnsiTheme="minorHAnsi" w:cstheme="minorHAnsi"/>
          <w:b w:val="0"/>
          <w:color w:val="auto"/>
          <w:sz w:val="21"/>
          <w:szCs w:val="21"/>
          <w:u w:val="none"/>
        </w:rPr>
        <w:t xml:space="preserve"> services, and confidence about managing cases of VAWC, there </w:t>
      </w:r>
      <w:r w:rsidR="006B6F9A" w:rsidRPr="009C0914">
        <w:rPr>
          <w:rFonts w:asciiTheme="minorHAnsi" w:hAnsiTheme="minorHAnsi" w:cstheme="minorHAnsi"/>
          <w:b w:val="0"/>
          <w:color w:val="auto"/>
          <w:sz w:val="21"/>
          <w:szCs w:val="21"/>
          <w:u w:val="none"/>
        </w:rPr>
        <w:t xml:space="preserve">were no clear </w:t>
      </w:r>
      <w:r w:rsidR="00A936CD" w:rsidRPr="009C0914">
        <w:rPr>
          <w:rFonts w:asciiTheme="minorHAnsi" w:hAnsiTheme="minorHAnsi" w:cstheme="minorHAnsi"/>
          <w:b w:val="0"/>
          <w:color w:val="auto"/>
          <w:sz w:val="21"/>
          <w:szCs w:val="21"/>
          <w:u w:val="none"/>
        </w:rPr>
        <w:t xml:space="preserve">improvement </w:t>
      </w:r>
      <w:r w:rsidR="001D22B2" w:rsidRPr="009C0914">
        <w:rPr>
          <w:rFonts w:asciiTheme="minorHAnsi" w:hAnsiTheme="minorHAnsi" w:cstheme="minorHAnsi"/>
          <w:b w:val="0"/>
          <w:color w:val="auto"/>
          <w:sz w:val="21"/>
          <w:szCs w:val="21"/>
          <w:u w:val="none"/>
        </w:rPr>
        <w:t>i</w:t>
      </w:r>
      <w:r w:rsidR="00A936CD" w:rsidRPr="009C0914">
        <w:rPr>
          <w:rFonts w:asciiTheme="minorHAnsi" w:hAnsiTheme="minorHAnsi" w:cstheme="minorHAnsi"/>
          <w:b w:val="0"/>
          <w:color w:val="auto"/>
          <w:sz w:val="21"/>
          <w:szCs w:val="21"/>
          <w:u w:val="none"/>
        </w:rPr>
        <w:t>n specific clinical practices.</w:t>
      </w:r>
      <w:r w:rsidR="001D22B2" w:rsidRPr="009C0914">
        <w:rPr>
          <w:rFonts w:asciiTheme="minorHAnsi" w:hAnsiTheme="minorHAnsi" w:cstheme="minorHAnsi"/>
          <w:b w:val="0"/>
          <w:color w:val="auto"/>
          <w:sz w:val="21"/>
          <w:szCs w:val="21"/>
          <w:u w:val="none"/>
        </w:rPr>
        <w:t xml:space="preserve"> Use of English in the </w:t>
      </w:r>
      <w:r w:rsidRPr="009C0914">
        <w:rPr>
          <w:rFonts w:asciiTheme="minorHAnsi" w:hAnsiTheme="minorHAnsi" w:cstheme="minorHAnsi"/>
          <w:b w:val="0"/>
          <w:color w:val="auto"/>
          <w:sz w:val="21"/>
          <w:szCs w:val="21"/>
          <w:u w:val="none"/>
        </w:rPr>
        <w:t>pre-</w:t>
      </w:r>
      <w:r w:rsidR="001D22B2" w:rsidRPr="009C0914">
        <w:rPr>
          <w:rFonts w:asciiTheme="minorHAnsi" w:hAnsiTheme="minorHAnsi" w:cstheme="minorHAnsi"/>
          <w:b w:val="0"/>
          <w:color w:val="auto"/>
          <w:sz w:val="21"/>
          <w:szCs w:val="21"/>
          <w:u w:val="none"/>
        </w:rPr>
        <w:t>and post</w:t>
      </w:r>
      <w:r w:rsidRPr="009C0914">
        <w:rPr>
          <w:rFonts w:asciiTheme="minorHAnsi" w:hAnsiTheme="minorHAnsi" w:cstheme="minorHAnsi"/>
          <w:b w:val="0"/>
          <w:color w:val="auto"/>
          <w:sz w:val="21"/>
          <w:szCs w:val="21"/>
          <w:u w:val="none"/>
        </w:rPr>
        <w:t>-</w:t>
      </w:r>
      <w:r w:rsidR="001D22B2" w:rsidRPr="009C0914">
        <w:rPr>
          <w:rFonts w:asciiTheme="minorHAnsi" w:hAnsiTheme="minorHAnsi" w:cstheme="minorHAnsi"/>
          <w:b w:val="0"/>
          <w:color w:val="auto"/>
          <w:sz w:val="21"/>
          <w:szCs w:val="21"/>
          <w:u w:val="none"/>
        </w:rPr>
        <w:t xml:space="preserve">testing could explain the mixed results. </w:t>
      </w:r>
    </w:p>
    <w:p w14:paraId="5D17DB77" w14:textId="24AD2074" w:rsidR="00F56651" w:rsidRPr="009C0914" w:rsidRDefault="00F56651" w:rsidP="004447C8">
      <w:pPr>
        <w:spacing w:line="22" w:lineRule="atLeast"/>
        <w:jc w:val="both"/>
        <w:rPr>
          <w:rFonts w:asciiTheme="minorHAnsi" w:hAnsiTheme="minorHAnsi" w:cstheme="minorHAnsi"/>
          <w:b w:val="0"/>
          <w:color w:val="auto"/>
          <w:sz w:val="21"/>
          <w:szCs w:val="21"/>
          <w:u w:val="none"/>
        </w:rPr>
      </w:pPr>
      <w:r w:rsidRPr="009C0914">
        <w:rPr>
          <w:rFonts w:asciiTheme="minorHAnsi" w:hAnsiTheme="minorHAnsi" w:cstheme="minorHAnsi"/>
          <w:b w:val="0"/>
          <w:color w:val="auto"/>
          <w:sz w:val="21"/>
          <w:szCs w:val="21"/>
          <w:u w:val="none"/>
        </w:rPr>
        <w:t xml:space="preserve">Dr Gibbons also audited 151 medical forensic protocols to assess the quality of current examiners. </w:t>
      </w:r>
      <w:r w:rsidR="00151900" w:rsidRPr="009C0914">
        <w:rPr>
          <w:rFonts w:asciiTheme="minorHAnsi" w:hAnsiTheme="minorHAnsi" w:cstheme="minorHAnsi"/>
          <w:b w:val="0"/>
          <w:color w:val="auto"/>
          <w:sz w:val="21"/>
          <w:szCs w:val="21"/>
          <w:u w:val="none"/>
        </w:rPr>
        <w:t>She</w:t>
      </w:r>
      <w:r w:rsidRPr="009C0914">
        <w:rPr>
          <w:rFonts w:asciiTheme="minorHAnsi" w:hAnsiTheme="minorHAnsi" w:cstheme="minorHAnsi"/>
          <w:b w:val="0"/>
          <w:color w:val="auto"/>
          <w:sz w:val="21"/>
          <w:szCs w:val="21"/>
          <w:u w:val="none"/>
        </w:rPr>
        <w:t xml:space="preserve"> found that 40 protocols (26%) had one or more major issues, mostly incorrect completion of the client consent field. This is a minor technical error, however has consequences for the legality of the evidence collected. In 2017, the same audit found a similar number of protocols (22%) had one or </w:t>
      </w:r>
      <w:r w:rsidR="007E2403" w:rsidRPr="009C0914">
        <w:rPr>
          <w:rFonts w:asciiTheme="minorHAnsi" w:hAnsiTheme="minorHAnsi" w:cstheme="minorHAnsi"/>
          <w:b w:val="0"/>
          <w:color w:val="auto"/>
          <w:sz w:val="21"/>
          <w:szCs w:val="21"/>
          <w:u w:val="none"/>
        </w:rPr>
        <w:t xml:space="preserve">more </w:t>
      </w:r>
      <w:r w:rsidRPr="009C0914">
        <w:rPr>
          <w:rFonts w:asciiTheme="minorHAnsi" w:hAnsiTheme="minorHAnsi" w:cstheme="minorHAnsi"/>
          <w:b w:val="0"/>
          <w:color w:val="auto"/>
          <w:sz w:val="21"/>
          <w:szCs w:val="21"/>
          <w:u w:val="none"/>
        </w:rPr>
        <w:t xml:space="preserve">major issues. Nabilan will update the protocol to simplify the consent page and continue supporting refresher training for examiners. </w:t>
      </w:r>
    </w:p>
    <w:p w14:paraId="09A3887C" w14:textId="1606854F" w:rsidR="003C6614" w:rsidRPr="009C0914" w:rsidRDefault="00A4141E" w:rsidP="004447C8">
      <w:pPr>
        <w:spacing w:line="22" w:lineRule="atLeast"/>
        <w:jc w:val="both"/>
        <w:rPr>
          <w:rFonts w:asciiTheme="minorHAnsi" w:hAnsiTheme="minorHAnsi" w:cstheme="minorHAnsi"/>
          <w:b w:val="0"/>
          <w:color w:val="auto"/>
          <w:sz w:val="21"/>
          <w:szCs w:val="21"/>
          <w:u w:val="none"/>
        </w:rPr>
      </w:pPr>
      <w:r w:rsidRPr="009C0914">
        <w:rPr>
          <w:rFonts w:asciiTheme="minorHAnsi" w:hAnsiTheme="minorHAnsi" w:cstheme="minorHAnsi"/>
          <w:b w:val="0"/>
          <w:color w:val="auto"/>
          <w:sz w:val="21"/>
          <w:szCs w:val="21"/>
          <w:u w:val="none"/>
        </w:rPr>
        <w:t>Nabilan did not administer routine pre</w:t>
      </w:r>
      <w:r w:rsidR="002E204A" w:rsidRPr="009C0914">
        <w:rPr>
          <w:rFonts w:asciiTheme="minorHAnsi" w:hAnsiTheme="minorHAnsi" w:cstheme="minorHAnsi"/>
          <w:b w:val="0"/>
          <w:color w:val="auto"/>
          <w:sz w:val="21"/>
          <w:szCs w:val="21"/>
          <w:u w:val="none"/>
        </w:rPr>
        <w:t>-</w:t>
      </w:r>
      <w:r w:rsidRPr="009C0914">
        <w:rPr>
          <w:rFonts w:asciiTheme="minorHAnsi" w:hAnsiTheme="minorHAnsi" w:cstheme="minorHAnsi"/>
          <w:b w:val="0"/>
          <w:color w:val="auto"/>
          <w:sz w:val="21"/>
          <w:szCs w:val="21"/>
          <w:u w:val="none"/>
        </w:rPr>
        <w:t xml:space="preserve"> and post</w:t>
      </w:r>
      <w:r w:rsidR="002E204A" w:rsidRPr="009C0914">
        <w:rPr>
          <w:rFonts w:asciiTheme="minorHAnsi" w:hAnsiTheme="minorHAnsi" w:cstheme="minorHAnsi"/>
          <w:b w:val="0"/>
          <w:color w:val="auto"/>
          <w:sz w:val="21"/>
          <w:szCs w:val="21"/>
          <w:u w:val="none"/>
        </w:rPr>
        <w:t>-</w:t>
      </w:r>
      <w:r w:rsidRPr="009C0914">
        <w:rPr>
          <w:rFonts w:asciiTheme="minorHAnsi" w:hAnsiTheme="minorHAnsi" w:cstheme="minorHAnsi"/>
          <w:b w:val="0"/>
          <w:color w:val="auto"/>
          <w:sz w:val="21"/>
          <w:szCs w:val="21"/>
          <w:u w:val="none"/>
        </w:rPr>
        <w:t>training assessments for training directly facilitated by Nabilan</w:t>
      </w:r>
      <w:r w:rsidR="003A74E3" w:rsidRPr="009C0914">
        <w:rPr>
          <w:rFonts w:asciiTheme="minorHAnsi" w:hAnsiTheme="minorHAnsi" w:cstheme="minorHAnsi"/>
          <w:b w:val="0"/>
          <w:color w:val="auto"/>
          <w:sz w:val="21"/>
          <w:szCs w:val="21"/>
          <w:u w:val="none"/>
        </w:rPr>
        <w:t xml:space="preserve"> (gender, child protection, legal frameworks and mandatory reporting obligations)</w:t>
      </w:r>
      <w:r w:rsidRPr="009C0914">
        <w:rPr>
          <w:rFonts w:asciiTheme="minorHAnsi" w:hAnsiTheme="minorHAnsi" w:cstheme="minorHAnsi"/>
          <w:b w:val="0"/>
          <w:color w:val="auto"/>
          <w:sz w:val="21"/>
          <w:szCs w:val="21"/>
          <w:u w:val="none"/>
        </w:rPr>
        <w:t>.</w:t>
      </w:r>
      <w:r w:rsidR="00F56651" w:rsidRPr="009C0914">
        <w:rPr>
          <w:rFonts w:asciiTheme="minorHAnsi" w:hAnsiTheme="minorHAnsi" w:cstheme="minorHAnsi"/>
          <w:b w:val="0"/>
          <w:color w:val="auto"/>
          <w:sz w:val="21"/>
          <w:szCs w:val="21"/>
          <w:u w:val="none"/>
        </w:rPr>
        <w:t xml:space="preserve"> Eighty</w:t>
      </w:r>
      <w:r w:rsidR="00F672D8" w:rsidRPr="009C0914">
        <w:rPr>
          <w:rFonts w:asciiTheme="minorHAnsi" w:hAnsiTheme="minorHAnsi" w:cstheme="minorHAnsi"/>
          <w:b w:val="0"/>
          <w:color w:val="auto"/>
          <w:sz w:val="21"/>
          <w:szCs w:val="21"/>
          <w:u w:val="none"/>
        </w:rPr>
        <w:t xml:space="preserve"> percent </w:t>
      </w:r>
      <w:r w:rsidR="00F56651" w:rsidRPr="009C0914">
        <w:rPr>
          <w:rFonts w:asciiTheme="minorHAnsi" w:hAnsiTheme="minorHAnsi" w:cstheme="minorHAnsi"/>
          <w:b w:val="0"/>
          <w:color w:val="auto"/>
          <w:sz w:val="21"/>
          <w:szCs w:val="21"/>
          <w:u w:val="none"/>
        </w:rPr>
        <w:t>of those who enrolled in the Certificate III in Social Services course, and 100% of trainees who attended the medical forensic examination course, successfully completed the training.</w:t>
      </w:r>
      <w:r w:rsidRPr="009C0914">
        <w:rPr>
          <w:rFonts w:asciiTheme="minorHAnsi" w:hAnsiTheme="minorHAnsi" w:cstheme="minorHAnsi"/>
          <w:b w:val="0"/>
          <w:color w:val="auto"/>
          <w:sz w:val="21"/>
          <w:szCs w:val="21"/>
          <w:u w:val="none"/>
        </w:rPr>
        <w:t xml:space="preserve"> M&amp;E will be strengthened with support from M&amp;E House</w:t>
      </w:r>
      <w:r w:rsidR="003A74E3" w:rsidRPr="009C0914">
        <w:rPr>
          <w:rFonts w:asciiTheme="minorHAnsi" w:hAnsiTheme="minorHAnsi" w:cstheme="minorHAnsi"/>
          <w:b w:val="0"/>
          <w:color w:val="auto"/>
          <w:sz w:val="21"/>
          <w:szCs w:val="21"/>
          <w:u w:val="none"/>
        </w:rPr>
        <w:t xml:space="preserve"> and the</w:t>
      </w:r>
      <w:r w:rsidR="00AE7EFB" w:rsidRPr="009C0914">
        <w:rPr>
          <w:rFonts w:asciiTheme="minorHAnsi" w:hAnsiTheme="minorHAnsi" w:cstheme="minorHAnsi"/>
          <w:b w:val="0"/>
          <w:color w:val="auto"/>
          <w:sz w:val="21"/>
          <w:szCs w:val="21"/>
          <w:u w:val="none"/>
        </w:rPr>
        <w:t xml:space="preserve"> Nabilan</w:t>
      </w:r>
      <w:r w:rsidR="003A74E3" w:rsidRPr="009C0914">
        <w:rPr>
          <w:rFonts w:asciiTheme="minorHAnsi" w:hAnsiTheme="minorHAnsi" w:cstheme="minorHAnsi"/>
          <w:b w:val="0"/>
          <w:color w:val="auto"/>
          <w:sz w:val="21"/>
          <w:szCs w:val="21"/>
          <w:u w:val="none"/>
        </w:rPr>
        <w:t xml:space="preserve"> M&amp;E adviser</w:t>
      </w:r>
      <w:r w:rsidRPr="009C0914">
        <w:rPr>
          <w:rFonts w:asciiTheme="minorHAnsi" w:hAnsiTheme="minorHAnsi" w:cstheme="minorHAnsi"/>
          <w:b w:val="0"/>
          <w:color w:val="auto"/>
          <w:sz w:val="21"/>
          <w:szCs w:val="21"/>
          <w:u w:val="none"/>
        </w:rPr>
        <w:t xml:space="preserve">. </w:t>
      </w:r>
      <w:r w:rsidR="001D22B2" w:rsidRPr="009C0914">
        <w:rPr>
          <w:rFonts w:asciiTheme="minorHAnsi" w:hAnsiTheme="minorHAnsi" w:cstheme="minorHAnsi"/>
          <w:b w:val="0"/>
          <w:color w:val="auto"/>
          <w:sz w:val="21"/>
          <w:szCs w:val="21"/>
          <w:u w:val="none"/>
        </w:rPr>
        <w:t>Follow-up is required to collect better information about how participants are using the</w:t>
      </w:r>
      <w:r w:rsidR="00AE7EFB" w:rsidRPr="009C0914">
        <w:rPr>
          <w:rFonts w:asciiTheme="minorHAnsi" w:hAnsiTheme="minorHAnsi" w:cstheme="minorHAnsi"/>
          <w:b w:val="0"/>
          <w:color w:val="auto"/>
          <w:sz w:val="21"/>
          <w:szCs w:val="21"/>
          <w:u w:val="none"/>
        </w:rPr>
        <w:t>ir</w:t>
      </w:r>
      <w:r w:rsidR="001D22B2" w:rsidRPr="009C0914">
        <w:rPr>
          <w:rFonts w:asciiTheme="minorHAnsi" w:hAnsiTheme="minorHAnsi" w:cstheme="minorHAnsi"/>
          <w:b w:val="0"/>
          <w:color w:val="auto"/>
          <w:sz w:val="21"/>
          <w:szCs w:val="21"/>
          <w:u w:val="none"/>
        </w:rPr>
        <w:t xml:space="preserve"> skills for improving service delivery.</w:t>
      </w:r>
    </w:p>
    <w:p w14:paraId="61B7A595" w14:textId="458F739A" w:rsidR="006B6F9A" w:rsidRPr="009C0914" w:rsidRDefault="003C6614" w:rsidP="00F672D8">
      <w:pPr>
        <w:spacing w:line="22" w:lineRule="atLeast"/>
        <w:jc w:val="both"/>
        <w:rPr>
          <w:rFonts w:asciiTheme="minorHAnsi" w:hAnsiTheme="minorHAnsi" w:cstheme="minorHAnsi"/>
          <w:b w:val="0"/>
          <w:color w:val="auto"/>
          <w:sz w:val="21"/>
          <w:szCs w:val="21"/>
          <w:u w:val="none"/>
        </w:rPr>
      </w:pPr>
      <w:r w:rsidRPr="009C0914">
        <w:rPr>
          <w:rFonts w:asciiTheme="minorHAnsi" w:hAnsiTheme="minorHAnsi" w:cstheme="minorHAnsi"/>
          <w:color w:val="822B6A"/>
          <w:sz w:val="21"/>
          <w:szCs w:val="21"/>
          <w:u w:val="none"/>
        </w:rPr>
        <w:t>Rec</w:t>
      </w:r>
      <w:r w:rsidR="009C5B0F" w:rsidRPr="009C0914">
        <w:rPr>
          <w:rFonts w:asciiTheme="minorHAnsi" w:hAnsiTheme="minorHAnsi" w:cstheme="minorHAnsi"/>
          <w:color w:val="822B6A"/>
          <w:sz w:val="21"/>
          <w:szCs w:val="21"/>
          <w:u w:val="none"/>
        </w:rPr>
        <w:t>ommendation:</w:t>
      </w:r>
      <w:r w:rsidR="009C5B0F" w:rsidRPr="009C0914">
        <w:rPr>
          <w:rFonts w:asciiTheme="minorHAnsi" w:hAnsiTheme="minorHAnsi" w:cstheme="minorHAnsi"/>
          <w:b w:val="0"/>
          <w:color w:val="auto"/>
          <w:sz w:val="21"/>
          <w:szCs w:val="21"/>
          <w:u w:val="none"/>
        </w:rPr>
        <w:t xml:space="preserve"> </w:t>
      </w:r>
      <w:bookmarkStart w:id="123" w:name="_Hlk1999431"/>
      <w:r w:rsidR="006B6F9A" w:rsidRPr="009C0914">
        <w:rPr>
          <w:rFonts w:asciiTheme="minorHAnsi" w:hAnsiTheme="minorHAnsi" w:cstheme="minorHAnsi"/>
          <w:b w:val="0"/>
          <w:color w:val="822B6A"/>
          <w:sz w:val="21"/>
          <w:szCs w:val="21"/>
          <w:u w:val="none"/>
        </w:rPr>
        <w:t>Develop monitoring tools to better assess impact of Nabilan supported</w:t>
      </w:r>
      <w:r w:rsidR="0036620E" w:rsidRPr="009C0914">
        <w:rPr>
          <w:rFonts w:asciiTheme="minorHAnsi" w:hAnsiTheme="minorHAnsi" w:cstheme="minorHAnsi"/>
          <w:b w:val="0"/>
          <w:color w:val="822B6A"/>
          <w:sz w:val="21"/>
          <w:szCs w:val="21"/>
          <w:u w:val="none"/>
        </w:rPr>
        <w:t xml:space="preserve"> </w:t>
      </w:r>
      <w:r w:rsidR="00F56651" w:rsidRPr="009C0914">
        <w:rPr>
          <w:rFonts w:asciiTheme="minorHAnsi" w:hAnsiTheme="minorHAnsi" w:cstheme="minorHAnsi"/>
          <w:b w:val="0"/>
          <w:color w:val="822B6A"/>
          <w:sz w:val="21"/>
          <w:szCs w:val="21"/>
          <w:u w:val="none"/>
        </w:rPr>
        <w:t xml:space="preserve">training </w:t>
      </w:r>
      <w:r w:rsidR="0036620E" w:rsidRPr="009C0914">
        <w:rPr>
          <w:rFonts w:asciiTheme="minorHAnsi" w:hAnsiTheme="minorHAnsi" w:cstheme="minorHAnsi"/>
          <w:b w:val="0"/>
          <w:color w:val="822B6A"/>
          <w:sz w:val="21"/>
          <w:szCs w:val="21"/>
          <w:u w:val="none"/>
        </w:rPr>
        <w:t xml:space="preserve">and 4R </w:t>
      </w:r>
      <w:r w:rsidR="006B6F9A" w:rsidRPr="009C0914">
        <w:rPr>
          <w:rFonts w:asciiTheme="minorHAnsi" w:hAnsiTheme="minorHAnsi" w:cstheme="minorHAnsi"/>
          <w:b w:val="0"/>
          <w:color w:val="822B6A"/>
          <w:sz w:val="21"/>
          <w:szCs w:val="21"/>
          <w:u w:val="none"/>
        </w:rPr>
        <w:t>training, including post-training survey tool, and routine pre</w:t>
      </w:r>
      <w:r w:rsidR="0059248C" w:rsidRPr="009C0914">
        <w:rPr>
          <w:rFonts w:asciiTheme="minorHAnsi" w:hAnsiTheme="minorHAnsi" w:cstheme="minorHAnsi"/>
          <w:b w:val="0"/>
          <w:color w:val="822B6A"/>
          <w:sz w:val="21"/>
          <w:szCs w:val="21"/>
          <w:u w:val="none"/>
        </w:rPr>
        <w:t>-</w:t>
      </w:r>
      <w:r w:rsidR="006B6F9A" w:rsidRPr="009C0914">
        <w:rPr>
          <w:rFonts w:asciiTheme="minorHAnsi" w:hAnsiTheme="minorHAnsi" w:cstheme="minorHAnsi"/>
          <w:b w:val="0"/>
          <w:color w:val="822B6A"/>
          <w:sz w:val="21"/>
          <w:szCs w:val="21"/>
          <w:u w:val="none"/>
        </w:rPr>
        <w:t xml:space="preserve"> and post</w:t>
      </w:r>
      <w:r w:rsidR="0059248C" w:rsidRPr="009C0914">
        <w:rPr>
          <w:rFonts w:asciiTheme="minorHAnsi" w:hAnsiTheme="minorHAnsi" w:cstheme="minorHAnsi"/>
          <w:b w:val="0"/>
          <w:color w:val="822B6A"/>
          <w:sz w:val="21"/>
          <w:szCs w:val="21"/>
          <w:u w:val="none"/>
        </w:rPr>
        <w:t>-</w:t>
      </w:r>
      <w:r w:rsidR="006B6F9A" w:rsidRPr="009C0914">
        <w:rPr>
          <w:rFonts w:asciiTheme="minorHAnsi" w:hAnsiTheme="minorHAnsi" w:cstheme="minorHAnsi"/>
          <w:b w:val="0"/>
          <w:color w:val="822B6A"/>
          <w:sz w:val="21"/>
          <w:szCs w:val="21"/>
          <w:u w:val="none"/>
        </w:rPr>
        <w:t>training assessments.</w:t>
      </w:r>
      <w:r w:rsidR="002F2153" w:rsidRPr="009C0914">
        <w:rPr>
          <w:rFonts w:asciiTheme="minorHAnsi" w:hAnsiTheme="minorHAnsi" w:cstheme="minorHAnsi"/>
          <w:b w:val="0"/>
          <w:color w:val="822B6A"/>
          <w:sz w:val="21"/>
          <w:szCs w:val="21"/>
          <w:u w:val="none"/>
        </w:rPr>
        <w:t xml:space="preserve"> </w:t>
      </w:r>
      <w:r w:rsidR="00F56651" w:rsidRPr="009C0914">
        <w:rPr>
          <w:rFonts w:asciiTheme="minorHAnsi" w:hAnsiTheme="minorHAnsi" w:cstheme="minorHAnsi"/>
          <w:b w:val="0"/>
          <w:color w:val="822B6A"/>
          <w:sz w:val="21"/>
          <w:szCs w:val="21"/>
          <w:u w:val="none"/>
        </w:rPr>
        <w:t>Update the medical forensic protocol and continue supporting refresher training for examiners.</w:t>
      </w:r>
      <w:bookmarkEnd w:id="123"/>
    </w:p>
    <w:p w14:paraId="7AC437C3" w14:textId="589BB99F" w:rsidR="007E5879" w:rsidRPr="009C0914" w:rsidRDefault="007C1F67" w:rsidP="00F672D8">
      <w:pPr>
        <w:spacing w:line="22" w:lineRule="atLeast"/>
        <w:jc w:val="both"/>
        <w:rPr>
          <w:rFonts w:asciiTheme="minorHAnsi" w:hAnsiTheme="minorHAnsi" w:cstheme="minorHAnsi"/>
          <w:b w:val="0"/>
          <w:color w:val="auto"/>
          <w:sz w:val="21"/>
          <w:szCs w:val="21"/>
          <w:u w:val="none"/>
        </w:rPr>
      </w:pPr>
      <w:r w:rsidRPr="009C0914">
        <w:rPr>
          <w:rFonts w:asciiTheme="minorHAnsi" w:hAnsiTheme="minorHAnsi" w:cstheme="minorHAnsi"/>
          <w:b w:val="0"/>
          <w:color w:val="auto"/>
          <w:sz w:val="21"/>
          <w:szCs w:val="21"/>
          <w:u w:val="none"/>
        </w:rPr>
        <w:t xml:space="preserve">Nabilan has contributed to high quality service delivery through the Certificate III in Social Services course, and ongoing technical assistance and other training. </w:t>
      </w:r>
      <w:r w:rsidR="00A4141E" w:rsidRPr="009C0914">
        <w:rPr>
          <w:rFonts w:asciiTheme="minorHAnsi" w:hAnsiTheme="minorHAnsi" w:cstheme="minorHAnsi"/>
          <w:b w:val="0"/>
          <w:color w:val="auto"/>
          <w:sz w:val="21"/>
          <w:szCs w:val="21"/>
          <w:u w:val="none"/>
        </w:rPr>
        <w:t xml:space="preserve">The case management audit of services partners is the primary method of assessing improvements in </w:t>
      </w:r>
      <w:r w:rsidR="00AE7EFB" w:rsidRPr="009C0914">
        <w:rPr>
          <w:rFonts w:asciiTheme="minorHAnsi" w:hAnsiTheme="minorHAnsi" w:cstheme="minorHAnsi"/>
          <w:b w:val="0"/>
          <w:color w:val="auto"/>
          <w:sz w:val="21"/>
          <w:szCs w:val="21"/>
          <w:u w:val="none"/>
        </w:rPr>
        <w:t xml:space="preserve">the </w:t>
      </w:r>
      <w:r w:rsidR="00A4141E" w:rsidRPr="009C0914">
        <w:rPr>
          <w:rFonts w:asciiTheme="minorHAnsi" w:hAnsiTheme="minorHAnsi" w:cstheme="minorHAnsi"/>
          <w:b w:val="0"/>
          <w:color w:val="auto"/>
          <w:sz w:val="21"/>
          <w:szCs w:val="21"/>
          <w:u w:val="none"/>
        </w:rPr>
        <w:t xml:space="preserve">service quality of Nabilan CSO partners. In 2018, a consultant reviewed the case audit tools and recommended </w:t>
      </w:r>
      <w:r w:rsidR="0045513D" w:rsidRPr="009C0914">
        <w:rPr>
          <w:rFonts w:asciiTheme="minorHAnsi" w:hAnsiTheme="minorHAnsi" w:cstheme="minorHAnsi"/>
          <w:b w:val="0"/>
          <w:color w:val="auto"/>
          <w:sz w:val="21"/>
          <w:szCs w:val="21"/>
          <w:u w:val="none"/>
        </w:rPr>
        <w:t>changes</w:t>
      </w:r>
      <w:r w:rsidRPr="009C0914">
        <w:rPr>
          <w:rFonts w:asciiTheme="minorHAnsi" w:hAnsiTheme="minorHAnsi" w:cstheme="minorHAnsi"/>
          <w:b w:val="0"/>
          <w:color w:val="auto"/>
          <w:sz w:val="21"/>
          <w:szCs w:val="21"/>
          <w:u w:val="none"/>
        </w:rPr>
        <w:t>,</w:t>
      </w:r>
      <w:r w:rsidR="00A4141E" w:rsidRPr="009C0914">
        <w:rPr>
          <w:rFonts w:asciiTheme="minorHAnsi" w:hAnsiTheme="minorHAnsi" w:cstheme="minorHAnsi"/>
          <w:b w:val="0"/>
          <w:color w:val="auto"/>
          <w:sz w:val="21"/>
          <w:szCs w:val="21"/>
          <w:u w:val="none"/>
        </w:rPr>
        <w:t xml:space="preserve"> which were </w:t>
      </w:r>
      <w:r w:rsidRPr="009C0914">
        <w:rPr>
          <w:rFonts w:asciiTheme="minorHAnsi" w:hAnsiTheme="minorHAnsi" w:cstheme="minorHAnsi"/>
          <w:b w:val="0"/>
          <w:color w:val="auto"/>
          <w:sz w:val="21"/>
          <w:szCs w:val="21"/>
          <w:u w:val="none"/>
        </w:rPr>
        <w:t xml:space="preserve">then </w:t>
      </w:r>
      <w:r w:rsidR="00A4141E" w:rsidRPr="009C0914">
        <w:rPr>
          <w:rFonts w:asciiTheme="minorHAnsi" w:hAnsiTheme="minorHAnsi" w:cstheme="minorHAnsi"/>
          <w:b w:val="0"/>
          <w:color w:val="auto"/>
          <w:sz w:val="21"/>
          <w:szCs w:val="21"/>
          <w:u w:val="none"/>
        </w:rPr>
        <w:t xml:space="preserve">implemented. </w:t>
      </w:r>
    </w:p>
    <w:p w14:paraId="1C3E9076" w14:textId="22AA290D" w:rsidR="00A4141E" w:rsidRPr="009C0914" w:rsidRDefault="00F672D8" w:rsidP="00F672D8">
      <w:pPr>
        <w:spacing w:line="22" w:lineRule="atLeast"/>
        <w:jc w:val="both"/>
        <w:rPr>
          <w:rFonts w:asciiTheme="minorHAnsi" w:hAnsiTheme="minorHAnsi" w:cstheme="minorHAnsi"/>
          <w:b w:val="0"/>
          <w:color w:val="auto"/>
          <w:sz w:val="21"/>
          <w:szCs w:val="21"/>
          <w:u w:val="none"/>
        </w:rPr>
      </w:pPr>
      <w:r w:rsidRPr="009C0914">
        <w:rPr>
          <w:rFonts w:asciiTheme="minorHAnsi" w:hAnsiTheme="minorHAnsi" w:cstheme="minorHAnsi"/>
          <w:b w:val="0"/>
          <w:noProof/>
          <w:color w:val="auto"/>
          <w:sz w:val="21"/>
          <w:szCs w:val="21"/>
          <w:u w:val="none"/>
        </w:rPr>
        <w:drawing>
          <wp:anchor distT="0" distB="0" distL="114300" distR="114300" simplePos="0" relativeHeight="251662335" behindDoc="1" locked="0" layoutInCell="1" allowOverlap="1" wp14:anchorId="7F478526" wp14:editId="015C9343">
            <wp:simplePos x="0" y="0"/>
            <wp:positionH relativeFrom="column">
              <wp:posOffset>-426085</wp:posOffset>
            </wp:positionH>
            <wp:positionV relativeFrom="paragraph">
              <wp:posOffset>42545</wp:posOffset>
            </wp:positionV>
            <wp:extent cx="2932430" cy="2061210"/>
            <wp:effectExtent l="0" t="0" r="1270" b="0"/>
            <wp:wrapTight wrapText="bothSides">
              <wp:wrapPolygon edited="0">
                <wp:start x="0" y="0"/>
                <wp:lineTo x="0" y="21360"/>
                <wp:lineTo x="21469" y="21360"/>
                <wp:lineTo x="21469" y="0"/>
                <wp:lineTo x="0" y="0"/>
              </wp:wrapPolygon>
            </wp:wrapTight>
            <wp:docPr id="6" name="Chart 6">
              <a:extLst xmlns:a="http://schemas.openxmlformats.org/drawingml/2006/main">
                <a:ext uri="{FF2B5EF4-FFF2-40B4-BE49-F238E27FC236}">
                  <a16:creationId xmlns:a16="http://schemas.microsoft.com/office/drawing/2014/main" id="{7157F8F9-F9AE-4888-9FAD-58E43694F8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14:sizeRelV relativeFrom="margin">
              <wp14:pctHeight>0</wp14:pctHeight>
            </wp14:sizeRelV>
          </wp:anchor>
        </w:drawing>
      </w:r>
      <w:r w:rsidR="00AE7EFB" w:rsidRPr="009C0914">
        <w:rPr>
          <w:rFonts w:asciiTheme="minorHAnsi" w:hAnsiTheme="minorHAnsi" w:cstheme="minorHAnsi"/>
          <w:b w:val="0"/>
          <w:color w:val="auto"/>
          <w:sz w:val="21"/>
          <w:szCs w:val="21"/>
          <w:u w:val="none"/>
        </w:rPr>
        <w:t xml:space="preserve">Subsequently, </w:t>
      </w:r>
      <w:r w:rsidR="00A4141E" w:rsidRPr="009C0914">
        <w:rPr>
          <w:rFonts w:asciiTheme="minorHAnsi" w:hAnsiTheme="minorHAnsi" w:cstheme="minorHAnsi"/>
          <w:b w:val="0"/>
          <w:color w:val="auto"/>
          <w:sz w:val="21"/>
          <w:szCs w:val="21"/>
          <w:u w:val="none"/>
        </w:rPr>
        <w:t xml:space="preserve">Nabilan audited 207 case files from </w:t>
      </w:r>
      <w:r w:rsidR="00A4141E" w:rsidRPr="009C0914">
        <w:rPr>
          <w:rFonts w:asciiTheme="minorHAnsi" w:hAnsiTheme="minorHAnsi" w:cstheme="minorHAnsi"/>
          <w:b w:val="0"/>
          <w:i/>
          <w:color w:val="auto"/>
          <w:sz w:val="21"/>
          <w:szCs w:val="21"/>
          <w:u w:val="none"/>
        </w:rPr>
        <w:t>Casa Vida</w:t>
      </w:r>
      <w:r w:rsidR="00A4141E" w:rsidRPr="009C0914">
        <w:rPr>
          <w:rFonts w:asciiTheme="minorHAnsi" w:hAnsiTheme="minorHAnsi" w:cstheme="minorHAnsi"/>
          <w:b w:val="0"/>
          <w:color w:val="auto"/>
          <w:sz w:val="21"/>
          <w:szCs w:val="21"/>
          <w:u w:val="none"/>
        </w:rPr>
        <w:t xml:space="preserve">, </w:t>
      </w:r>
      <w:r w:rsidR="00AE7EFB" w:rsidRPr="009C0914">
        <w:rPr>
          <w:rFonts w:asciiTheme="minorHAnsi" w:hAnsiTheme="minorHAnsi" w:cstheme="minorHAnsi"/>
          <w:b w:val="0"/>
          <w:color w:val="auto"/>
          <w:sz w:val="21"/>
          <w:szCs w:val="21"/>
          <w:u w:val="none"/>
        </w:rPr>
        <w:t xml:space="preserve">five PRADET </w:t>
      </w:r>
      <w:r w:rsidR="00AE7EFB" w:rsidRPr="009C0914">
        <w:rPr>
          <w:rFonts w:asciiTheme="minorHAnsi" w:hAnsiTheme="minorHAnsi" w:cstheme="minorHAnsi"/>
          <w:b w:val="0"/>
          <w:i/>
          <w:color w:val="auto"/>
          <w:sz w:val="21"/>
          <w:szCs w:val="21"/>
          <w:u w:val="none"/>
        </w:rPr>
        <w:t>Fatin Hakmatek</w:t>
      </w:r>
      <w:r w:rsidR="00AE7EFB" w:rsidRPr="009C0914">
        <w:rPr>
          <w:rFonts w:asciiTheme="minorHAnsi" w:hAnsiTheme="minorHAnsi" w:cstheme="minorHAnsi"/>
          <w:b w:val="0"/>
          <w:color w:val="auto"/>
          <w:sz w:val="21"/>
          <w:szCs w:val="21"/>
          <w:u w:val="none"/>
        </w:rPr>
        <w:t xml:space="preserve">, FOKUPERS in Dili, Suai and Maliana, and UMS. </w:t>
      </w:r>
      <w:r w:rsidR="00C615B4" w:rsidRPr="009C0914">
        <w:rPr>
          <w:rFonts w:asciiTheme="minorHAnsi" w:hAnsiTheme="minorHAnsi" w:cstheme="minorHAnsi"/>
          <w:b w:val="0"/>
          <w:color w:val="auto"/>
          <w:sz w:val="21"/>
          <w:szCs w:val="21"/>
          <w:u w:val="none"/>
        </w:rPr>
        <w:t xml:space="preserve">Thirty-two </w:t>
      </w:r>
      <w:r w:rsidR="00EC44DF" w:rsidRPr="009C0914">
        <w:rPr>
          <w:rFonts w:asciiTheme="minorHAnsi" w:hAnsiTheme="minorHAnsi" w:cstheme="minorHAnsi"/>
          <w:b w:val="0"/>
          <w:color w:val="auto"/>
          <w:sz w:val="21"/>
          <w:szCs w:val="21"/>
          <w:u w:val="none"/>
        </w:rPr>
        <w:t>p</w:t>
      </w:r>
      <w:r w:rsidR="00C615B4" w:rsidRPr="009C0914">
        <w:rPr>
          <w:rFonts w:asciiTheme="minorHAnsi" w:hAnsiTheme="minorHAnsi" w:cstheme="minorHAnsi"/>
          <w:b w:val="0"/>
          <w:color w:val="auto"/>
          <w:sz w:val="21"/>
          <w:szCs w:val="21"/>
          <w:u w:val="none"/>
        </w:rPr>
        <w:t>ercen</w:t>
      </w:r>
      <w:r w:rsidR="00EC44DF" w:rsidRPr="009C0914">
        <w:rPr>
          <w:rFonts w:asciiTheme="minorHAnsi" w:hAnsiTheme="minorHAnsi" w:cstheme="minorHAnsi"/>
          <w:b w:val="0"/>
          <w:color w:val="auto"/>
          <w:sz w:val="21"/>
          <w:szCs w:val="21"/>
          <w:u w:val="none"/>
        </w:rPr>
        <w:t xml:space="preserve">t </w:t>
      </w:r>
      <w:r w:rsidR="00551BBF" w:rsidRPr="009C0914">
        <w:rPr>
          <w:rFonts w:asciiTheme="minorHAnsi" w:hAnsiTheme="minorHAnsi" w:cstheme="minorHAnsi"/>
          <w:b w:val="0"/>
          <w:color w:val="auto"/>
          <w:sz w:val="21"/>
          <w:szCs w:val="21"/>
          <w:u w:val="none"/>
        </w:rPr>
        <w:t xml:space="preserve">of cases </w:t>
      </w:r>
      <w:r w:rsidR="00EC44DF" w:rsidRPr="009C0914">
        <w:rPr>
          <w:rFonts w:asciiTheme="minorHAnsi" w:hAnsiTheme="minorHAnsi" w:cstheme="minorHAnsi"/>
          <w:b w:val="0"/>
          <w:color w:val="auto"/>
          <w:sz w:val="21"/>
          <w:szCs w:val="21"/>
          <w:u w:val="none"/>
        </w:rPr>
        <w:t xml:space="preserve">audited </w:t>
      </w:r>
      <w:r w:rsidR="00551BBF" w:rsidRPr="009C0914">
        <w:rPr>
          <w:rFonts w:asciiTheme="minorHAnsi" w:hAnsiTheme="minorHAnsi" w:cstheme="minorHAnsi"/>
          <w:b w:val="0"/>
          <w:color w:val="auto"/>
          <w:sz w:val="21"/>
          <w:szCs w:val="21"/>
          <w:u w:val="none"/>
        </w:rPr>
        <w:t>met minimum standards</w:t>
      </w:r>
      <w:r w:rsidR="00EC44DF" w:rsidRPr="009C0914">
        <w:rPr>
          <w:rFonts w:asciiTheme="minorHAnsi" w:hAnsiTheme="minorHAnsi" w:cstheme="minorHAnsi"/>
          <w:b w:val="0"/>
          <w:color w:val="auto"/>
          <w:sz w:val="21"/>
          <w:szCs w:val="21"/>
          <w:u w:val="none"/>
        </w:rPr>
        <w:t>, and a further 21% met high standards, meaning a total of 53% of cases met at least the minimum standards</w:t>
      </w:r>
      <w:r w:rsidR="00551BBF" w:rsidRPr="009C0914">
        <w:rPr>
          <w:rFonts w:asciiTheme="minorHAnsi" w:hAnsiTheme="minorHAnsi" w:cstheme="minorHAnsi"/>
          <w:b w:val="0"/>
          <w:color w:val="auto"/>
          <w:sz w:val="21"/>
          <w:szCs w:val="21"/>
          <w:u w:val="none"/>
        </w:rPr>
        <w:t xml:space="preserve">. The </w:t>
      </w:r>
      <w:r w:rsidR="00150FFE" w:rsidRPr="009C0914">
        <w:rPr>
          <w:rFonts w:asciiTheme="minorHAnsi" w:hAnsiTheme="minorHAnsi" w:cstheme="minorHAnsi"/>
          <w:b w:val="0"/>
          <w:color w:val="auto"/>
          <w:sz w:val="21"/>
          <w:szCs w:val="21"/>
          <w:u w:val="none"/>
        </w:rPr>
        <w:t xml:space="preserve">mid-term </w:t>
      </w:r>
      <w:r w:rsidR="00551BBF" w:rsidRPr="009C0914">
        <w:rPr>
          <w:rFonts w:asciiTheme="minorHAnsi" w:hAnsiTheme="minorHAnsi" w:cstheme="minorHAnsi"/>
          <w:b w:val="0"/>
          <w:color w:val="auto"/>
          <w:sz w:val="21"/>
          <w:szCs w:val="21"/>
          <w:u w:val="none"/>
        </w:rPr>
        <w:t>target for July 2019 is that 70% of case</w:t>
      </w:r>
      <w:r w:rsidR="0045513D" w:rsidRPr="009C0914">
        <w:rPr>
          <w:rFonts w:asciiTheme="minorHAnsi" w:hAnsiTheme="minorHAnsi" w:cstheme="minorHAnsi"/>
          <w:b w:val="0"/>
          <w:color w:val="auto"/>
          <w:sz w:val="21"/>
          <w:szCs w:val="21"/>
          <w:u w:val="none"/>
        </w:rPr>
        <w:t>s</w:t>
      </w:r>
      <w:r w:rsidR="00551BBF" w:rsidRPr="009C0914">
        <w:rPr>
          <w:rFonts w:asciiTheme="minorHAnsi" w:hAnsiTheme="minorHAnsi" w:cstheme="minorHAnsi"/>
          <w:b w:val="0"/>
          <w:color w:val="auto"/>
          <w:sz w:val="21"/>
          <w:szCs w:val="21"/>
          <w:u w:val="none"/>
        </w:rPr>
        <w:t xml:space="preserve"> meet </w:t>
      </w:r>
      <w:r w:rsidR="00EC44DF" w:rsidRPr="009C0914">
        <w:rPr>
          <w:rFonts w:asciiTheme="minorHAnsi" w:hAnsiTheme="minorHAnsi" w:cstheme="minorHAnsi"/>
          <w:b w:val="0"/>
          <w:color w:val="auto"/>
          <w:sz w:val="21"/>
          <w:szCs w:val="21"/>
          <w:u w:val="none"/>
        </w:rPr>
        <w:t xml:space="preserve">at least </w:t>
      </w:r>
      <w:r w:rsidR="00551BBF" w:rsidRPr="009C0914">
        <w:rPr>
          <w:rFonts w:asciiTheme="minorHAnsi" w:hAnsiTheme="minorHAnsi" w:cstheme="minorHAnsi"/>
          <w:b w:val="0"/>
          <w:color w:val="auto"/>
          <w:sz w:val="21"/>
          <w:szCs w:val="21"/>
          <w:u w:val="none"/>
        </w:rPr>
        <w:t xml:space="preserve">minimum standards. </w:t>
      </w:r>
      <w:r w:rsidR="00EC44DF" w:rsidRPr="009C0914">
        <w:rPr>
          <w:rFonts w:asciiTheme="minorHAnsi" w:hAnsiTheme="minorHAnsi" w:cstheme="minorHAnsi"/>
          <w:b w:val="0"/>
          <w:color w:val="auto"/>
          <w:sz w:val="21"/>
          <w:szCs w:val="21"/>
          <w:u w:val="none"/>
        </w:rPr>
        <w:t xml:space="preserve">Minimum standards are basic case management standards such as: each client having one case file; files are kept in a secure location; there is an intake form; and there is evidence that the client consented to receive the services. </w:t>
      </w:r>
      <w:r w:rsidR="00551BBF" w:rsidRPr="009C0914">
        <w:rPr>
          <w:rFonts w:asciiTheme="minorHAnsi" w:hAnsiTheme="minorHAnsi" w:cstheme="minorHAnsi"/>
          <w:b w:val="0"/>
          <w:color w:val="auto"/>
          <w:sz w:val="21"/>
          <w:szCs w:val="21"/>
          <w:u w:val="none"/>
        </w:rPr>
        <w:t>None of the audited cases from FOKUPERS met minimum standards</w:t>
      </w:r>
      <w:r w:rsidR="0045513D" w:rsidRPr="009C0914">
        <w:rPr>
          <w:rFonts w:asciiTheme="minorHAnsi" w:hAnsiTheme="minorHAnsi" w:cstheme="minorHAnsi"/>
          <w:b w:val="0"/>
          <w:color w:val="auto"/>
          <w:sz w:val="21"/>
          <w:szCs w:val="21"/>
          <w:u w:val="none"/>
        </w:rPr>
        <w:t xml:space="preserve"> in this round</w:t>
      </w:r>
      <w:r w:rsidR="00551BBF" w:rsidRPr="009C0914">
        <w:rPr>
          <w:rFonts w:asciiTheme="minorHAnsi" w:hAnsiTheme="minorHAnsi" w:cstheme="minorHAnsi"/>
          <w:b w:val="0"/>
          <w:color w:val="auto"/>
          <w:sz w:val="21"/>
          <w:szCs w:val="21"/>
          <w:u w:val="none"/>
        </w:rPr>
        <w:t xml:space="preserve">. Nabilan will work </w:t>
      </w:r>
      <w:r w:rsidR="002F2153" w:rsidRPr="009C0914">
        <w:rPr>
          <w:rFonts w:asciiTheme="minorHAnsi" w:hAnsiTheme="minorHAnsi" w:cstheme="minorHAnsi"/>
          <w:b w:val="0"/>
          <w:color w:val="auto"/>
          <w:sz w:val="21"/>
          <w:szCs w:val="21"/>
          <w:u w:val="none"/>
        </w:rPr>
        <w:t>continue to work with partners to improve the minimum standards of their case management, with a particular emphasis on FOKUPERS</w:t>
      </w:r>
    </w:p>
    <w:p w14:paraId="29A2D091" w14:textId="3BEA32C3" w:rsidR="00F672D8" w:rsidRPr="009C0914" w:rsidRDefault="006B6F9A" w:rsidP="009930F4">
      <w:pPr>
        <w:spacing w:line="22" w:lineRule="atLeast"/>
        <w:jc w:val="both"/>
        <w:rPr>
          <w:rFonts w:asciiTheme="minorHAnsi" w:hAnsiTheme="minorHAnsi" w:cstheme="minorHAnsi"/>
          <w:b w:val="0"/>
          <w:color w:val="822B6A"/>
          <w:sz w:val="21"/>
          <w:szCs w:val="21"/>
          <w:u w:val="none"/>
        </w:rPr>
      </w:pPr>
      <w:r w:rsidRPr="009C0914">
        <w:rPr>
          <w:rFonts w:asciiTheme="minorHAnsi" w:hAnsiTheme="minorHAnsi" w:cstheme="minorHAnsi"/>
          <w:color w:val="822B6A"/>
          <w:sz w:val="21"/>
          <w:szCs w:val="21"/>
          <w:u w:val="none"/>
        </w:rPr>
        <w:t>Recommendation:</w:t>
      </w:r>
      <w:r w:rsidRPr="009C0914">
        <w:rPr>
          <w:rFonts w:asciiTheme="minorHAnsi" w:hAnsiTheme="minorHAnsi" w:cstheme="minorHAnsi"/>
          <w:b w:val="0"/>
          <w:color w:val="822B6A"/>
          <w:sz w:val="21"/>
          <w:szCs w:val="21"/>
          <w:u w:val="none"/>
        </w:rPr>
        <w:t xml:space="preserve"> </w:t>
      </w:r>
      <w:bookmarkStart w:id="124" w:name="_Hlk1999438"/>
      <w:r w:rsidR="007E5879" w:rsidRPr="009C0914">
        <w:rPr>
          <w:rFonts w:asciiTheme="minorHAnsi" w:hAnsiTheme="minorHAnsi" w:cstheme="minorHAnsi"/>
          <w:b w:val="0"/>
          <w:color w:val="822B6A"/>
          <w:sz w:val="21"/>
          <w:szCs w:val="21"/>
          <w:u w:val="none"/>
        </w:rPr>
        <w:t xml:space="preserve">Continue to support service providers to improve their case management, with a particular emphasis on </w:t>
      </w:r>
      <w:r w:rsidRPr="009C0914">
        <w:rPr>
          <w:rFonts w:asciiTheme="minorHAnsi" w:hAnsiTheme="minorHAnsi" w:cstheme="minorHAnsi"/>
          <w:b w:val="0"/>
          <w:color w:val="822B6A"/>
          <w:sz w:val="21"/>
          <w:szCs w:val="21"/>
          <w:u w:val="none"/>
        </w:rPr>
        <w:t>FOKUPERS</w:t>
      </w:r>
      <w:r w:rsidR="007E5879" w:rsidRPr="009C0914">
        <w:rPr>
          <w:rFonts w:asciiTheme="minorHAnsi" w:hAnsiTheme="minorHAnsi" w:cstheme="minorHAnsi"/>
          <w:b w:val="0"/>
          <w:color w:val="822B6A"/>
          <w:sz w:val="21"/>
          <w:szCs w:val="21"/>
          <w:u w:val="none"/>
        </w:rPr>
        <w:t>.</w:t>
      </w:r>
      <w:bookmarkEnd w:id="124"/>
    </w:p>
    <w:p w14:paraId="61955B28" w14:textId="7E33F09E" w:rsidR="003E3D32" w:rsidRPr="009C0914" w:rsidRDefault="003E3D32" w:rsidP="00EC44DF">
      <w:pPr>
        <w:pStyle w:val="Heading3"/>
        <w:keepNext/>
        <w:keepLines/>
        <w:rPr>
          <w:rFonts w:asciiTheme="minorHAnsi" w:hAnsiTheme="minorHAnsi" w:cstheme="minorHAnsi"/>
          <w:b w:val="0"/>
          <w:i/>
          <w:color w:val="822B6A"/>
        </w:rPr>
      </w:pPr>
      <w:bookmarkStart w:id="125" w:name="_Toc2019662"/>
      <w:r w:rsidRPr="009C0914">
        <w:rPr>
          <w:rFonts w:asciiTheme="minorHAnsi" w:hAnsiTheme="minorHAnsi" w:cstheme="minorHAnsi"/>
          <w:b w:val="0"/>
          <w:i/>
          <w:color w:val="822B6A"/>
        </w:rPr>
        <w:t>Inclusive service delivery</w:t>
      </w:r>
      <w:bookmarkEnd w:id="125"/>
    </w:p>
    <w:p w14:paraId="3C2FBCB8" w14:textId="7924EE90" w:rsidR="00044674" w:rsidRPr="009C0914" w:rsidRDefault="00044674" w:rsidP="00705BD3">
      <w:pPr>
        <w:spacing w:line="22" w:lineRule="atLeast"/>
        <w:jc w:val="both"/>
        <w:rPr>
          <w:rFonts w:asciiTheme="minorHAnsi" w:hAnsiTheme="minorHAnsi" w:cstheme="minorHAnsi"/>
          <w:b w:val="0"/>
          <w:color w:val="auto"/>
          <w:sz w:val="21"/>
          <w:szCs w:val="21"/>
          <w:u w:val="none"/>
        </w:rPr>
      </w:pPr>
      <w:r w:rsidRPr="009C0914">
        <w:rPr>
          <w:rFonts w:asciiTheme="minorHAnsi" w:hAnsiTheme="minorHAnsi" w:cstheme="minorHAnsi"/>
          <w:b w:val="0"/>
          <w:color w:val="auto"/>
          <w:sz w:val="21"/>
          <w:szCs w:val="21"/>
          <w:u w:val="none"/>
        </w:rPr>
        <w:t>Nabilan contributed significantly to inclusive service delivery. The December 2018 ODE Evaluation—</w:t>
      </w:r>
      <w:r w:rsidRPr="009C0914">
        <w:rPr>
          <w:rFonts w:asciiTheme="minorHAnsi" w:hAnsiTheme="minorHAnsi" w:cstheme="minorHAnsi"/>
          <w:b w:val="0"/>
          <w:i/>
          <w:color w:val="auto"/>
          <w:sz w:val="21"/>
          <w:szCs w:val="21"/>
          <w:u w:val="none"/>
        </w:rPr>
        <w:t xml:space="preserve">Development for All: Evaluation of progress made in strengthening disability inclusion in Australian aid </w:t>
      </w:r>
      <w:r w:rsidRPr="009C0914">
        <w:rPr>
          <w:rFonts w:asciiTheme="minorHAnsi" w:hAnsiTheme="minorHAnsi" w:cstheme="minorHAnsi"/>
          <w:b w:val="0"/>
          <w:color w:val="auto"/>
          <w:sz w:val="21"/>
          <w:szCs w:val="21"/>
          <w:u w:val="none"/>
        </w:rPr>
        <w:t xml:space="preserve">cites Nabilan very positively, including for “establish[ing] good working relationships with local DPOs [Disabled Peoples Organisations], which have been mutually beneficial”, “modelling inclusion by leading and managing work to make facilities accessible”, inclusion of DPO members in the Certificate III in Social Services training, and assisting DPOs on Convention on the Rights of People with Disabilities (CRPD) reporting. </w:t>
      </w:r>
    </w:p>
    <w:p w14:paraId="47FCDFAB" w14:textId="28F43207" w:rsidR="003C6614" w:rsidRPr="00F672D8" w:rsidRDefault="00044674" w:rsidP="00F672D8">
      <w:pPr>
        <w:spacing w:line="22" w:lineRule="atLeast"/>
        <w:jc w:val="both"/>
        <w:rPr>
          <w:rFonts w:asciiTheme="minorHAnsi" w:hAnsiTheme="minorHAnsi" w:cstheme="minorHAnsi"/>
          <w:b w:val="0"/>
          <w:color w:val="auto"/>
          <w:sz w:val="21"/>
          <w:szCs w:val="21"/>
          <w:u w:val="none"/>
        </w:rPr>
      </w:pPr>
      <w:r w:rsidRPr="009C0914">
        <w:rPr>
          <w:rFonts w:asciiTheme="minorHAnsi" w:hAnsiTheme="minorHAnsi" w:cstheme="minorHAnsi"/>
          <w:b w:val="0"/>
          <w:color w:val="auto"/>
          <w:sz w:val="21"/>
          <w:szCs w:val="21"/>
          <w:u w:val="none"/>
        </w:rPr>
        <w:t xml:space="preserve">During this reporting period Nabilan </w:t>
      </w:r>
      <w:r w:rsidR="000A2CA4" w:rsidRPr="009C0914">
        <w:rPr>
          <w:rFonts w:asciiTheme="minorHAnsi" w:hAnsiTheme="minorHAnsi" w:cstheme="minorHAnsi"/>
          <w:b w:val="0"/>
          <w:color w:val="auto"/>
          <w:sz w:val="21"/>
          <w:szCs w:val="21"/>
          <w:u w:val="none"/>
        </w:rPr>
        <w:t xml:space="preserve">contributed to inclusive service delivery by supporting service partners </w:t>
      </w:r>
      <w:r w:rsidR="00150FFE" w:rsidRPr="009C0914">
        <w:rPr>
          <w:rFonts w:asciiTheme="minorHAnsi" w:hAnsiTheme="minorHAnsi" w:cstheme="minorHAnsi"/>
          <w:b w:val="0"/>
          <w:color w:val="auto"/>
          <w:sz w:val="21"/>
          <w:szCs w:val="21"/>
          <w:u w:val="none"/>
        </w:rPr>
        <w:t>to identify and support clients with a disability and clients from other vulnerable groups</w:t>
      </w:r>
      <w:r w:rsidR="000A2CA4" w:rsidRPr="009C0914">
        <w:rPr>
          <w:rFonts w:asciiTheme="minorHAnsi" w:hAnsiTheme="minorHAnsi" w:cstheme="minorHAnsi"/>
          <w:b w:val="0"/>
          <w:color w:val="auto"/>
          <w:sz w:val="21"/>
          <w:szCs w:val="21"/>
          <w:u w:val="none"/>
        </w:rPr>
        <w:t xml:space="preserve"> and improving data collection on LGBTI clients</w:t>
      </w:r>
      <w:r w:rsidR="00150FFE" w:rsidRPr="009C0914">
        <w:rPr>
          <w:rFonts w:asciiTheme="minorHAnsi" w:hAnsiTheme="minorHAnsi" w:cstheme="minorHAnsi"/>
          <w:b w:val="0"/>
          <w:color w:val="auto"/>
          <w:sz w:val="21"/>
          <w:szCs w:val="21"/>
          <w:u w:val="none"/>
        </w:rPr>
        <w:t xml:space="preserve">. </w:t>
      </w:r>
      <w:r w:rsidR="0071303E" w:rsidRPr="009C0914">
        <w:rPr>
          <w:rFonts w:asciiTheme="minorHAnsi" w:hAnsiTheme="minorHAnsi" w:cstheme="minorHAnsi"/>
          <w:b w:val="0"/>
          <w:color w:val="auto"/>
          <w:sz w:val="21"/>
          <w:szCs w:val="21"/>
          <w:u w:val="none"/>
        </w:rPr>
        <w:t xml:space="preserve">In 2018, partners supported a total of 36 clients with a disability (2.6% of all new clients). This is holding steady compared with 2017, when 2% of new clients had a disability. It is an increase compared with the 2014 baseline of </w:t>
      </w:r>
      <w:r w:rsidR="006D3B9C" w:rsidRPr="009C0914">
        <w:rPr>
          <w:rFonts w:asciiTheme="minorHAnsi" w:hAnsiTheme="minorHAnsi" w:cstheme="minorHAnsi"/>
          <w:b w:val="0"/>
          <w:color w:val="auto"/>
          <w:sz w:val="21"/>
          <w:szCs w:val="21"/>
          <w:u w:val="none"/>
        </w:rPr>
        <w:t xml:space="preserve">five </w:t>
      </w:r>
      <w:r w:rsidR="0071303E" w:rsidRPr="009C0914">
        <w:rPr>
          <w:rFonts w:asciiTheme="minorHAnsi" w:hAnsiTheme="minorHAnsi" w:cstheme="minorHAnsi"/>
          <w:b w:val="0"/>
          <w:color w:val="auto"/>
          <w:sz w:val="21"/>
          <w:szCs w:val="21"/>
          <w:u w:val="none"/>
        </w:rPr>
        <w:t xml:space="preserve">out of 302 (1.6%) new clients with a disability. </w:t>
      </w:r>
      <w:r w:rsidR="00150FFE" w:rsidRPr="009C0914">
        <w:rPr>
          <w:rFonts w:asciiTheme="minorHAnsi" w:hAnsiTheme="minorHAnsi" w:cstheme="minorHAnsi"/>
          <w:b w:val="0"/>
          <w:color w:val="auto"/>
          <w:sz w:val="21"/>
          <w:szCs w:val="21"/>
          <w:u w:val="none"/>
        </w:rPr>
        <w:t>Partners referred 14 new clients to a disabled people’s organisation (DPO), however no referrals were recorded from DPOs to Nabilan partners.</w:t>
      </w:r>
      <w:r w:rsidR="006723A8" w:rsidRPr="009C0914">
        <w:rPr>
          <w:rFonts w:asciiTheme="minorHAnsi" w:hAnsiTheme="minorHAnsi" w:cstheme="minorHAnsi"/>
          <w:b w:val="0"/>
          <w:color w:val="auto"/>
          <w:sz w:val="21"/>
          <w:szCs w:val="21"/>
          <w:u w:val="none"/>
        </w:rPr>
        <w:t xml:space="preserve"> Nabilan invited DPOs to attend the bi-monthly partners meetings to strengthen the relationships between the sectors. </w:t>
      </w:r>
      <w:r w:rsidR="00150FFE" w:rsidRPr="009C0914">
        <w:rPr>
          <w:rFonts w:asciiTheme="minorHAnsi" w:hAnsiTheme="minorHAnsi" w:cstheme="minorHAnsi"/>
          <w:b w:val="0"/>
          <w:color w:val="auto"/>
          <w:sz w:val="21"/>
          <w:szCs w:val="21"/>
          <w:u w:val="none"/>
        </w:rPr>
        <w:t xml:space="preserve">Partners are </w:t>
      </w:r>
      <w:r w:rsidR="006723A8" w:rsidRPr="009C0914">
        <w:rPr>
          <w:rFonts w:asciiTheme="minorHAnsi" w:hAnsiTheme="minorHAnsi" w:cstheme="minorHAnsi"/>
          <w:b w:val="0"/>
          <w:color w:val="auto"/>
          <w:sz w:val="21"/>
          <w:szCs w:val="21"/>
          <w:u w:val="none"/>
        </w:rPr>
        <w:t>providing increasingly detailed information</w:t>
      </w:r>
      <w:r w:rsidR="00C50F0F" w:rsidRPr="009C0914">
        <w:rPr>
          <w:rFonts w:asciiTheme="minorHAnsi" w:hAnsiTheme="minorHAnsi" w:cstheme="minorHAnsi"/>
          <w:b w:val="0"/>
          <w:color w:val="auto"/>
          <w:sz w:val="21"/>
          <w:szCs w:val="21"/>
          <w:u w:val="none"/>
        </w:rPr>
        <w:t xml:space="preserve"> in their narrative reports</w:t>
      </w:r>
      <w:r w:rsidR="006723A8" w:rsidRPr="009C0914">
        <w:rPr>
          <w:rFonts w:asciiTheme="minorHAnsi" w:hAnsiTheme="minorHAnsi" w:cstheme="minorHAnsi"/>
          <w:b w:val="0"/>
          <w:color w:val="auto"/>
          <w:sz w:val="21"/>
          <w:szCs w:val="21"/>
          <w:u w:val="none"/>
        </w:rPr>
        <w:t xml:space="preserve"> about the situation of clients with disabilities</w:t>
      </w:r>
      <w:r w:rsidR="00150FFE" w:rsidRPr="009C0914">
        <w:rPr>
          <w:rFonts w:asciiTheme="minorHAnsi" w:hAnsiTheme="minorHAnsi" w:cstheme="minorHAnsi"/>
          <w:b w:val="0"/>
          <w:color w:val="auto"/>
          <w:sz w:val="21"/>
          <w:szCs w:val="21"/>
          <w:u w:val="none"/>
        </w:rPr>
        <w:t xml:space="preserve">, evidencing the impact of </w:t>
      </w:r>
      <w:r w:rsidR="006723A8" w:rsidRPr="009C0914">
        <w:rPr>
          <w:rFonts w:asciiTheme="minorHAnsi" w:hAnsiTheme="minorHAnsi" w:cstheme="minorHAnsi"/>
          <w:b w:val="0"/>
          <w:color w:val="auto"/>
          <w:sz w:val="21"/>
          <w:szCs w:val="21"/>
          <w:u w:val="none"/>
        </w:rPr>
        <w:t>Nabilan’s</w:t>
      </w:r>
      <w:r w:rsidR="00150FFE" w:rsidRPr="009C0914">
        <w:rPr>
          <w:rFonts w:asciiTheme="minorHAnsi" w:hAnsiTheme="minorHAnsi" w:cstheme="minorHAnsi"/>
          <w:b w:val="0"/>
          <w:color w:val="auto"/>
          <w:sz w:val="21"/>
          <w:szCs w:val="21"/>
          <w:u w:val="none"/>
        </w:rPr>
        <w:t xml:space="preserve"> training sessions and the Certificate</w:t>
      </w:r>
      <w:r w:rsidR="00150FFE" w:rsidRPr="00F672D8">
        <w:rPr>
          <w:rFonts w:asciiTheme="minorHAnsi" w:hAnsiTheme="minorHAnsi" w:cstheme="minorHAnsi"/>
          <w:b w:val="0"/>
          <w:color w:val="auto"/>
          <w:sz w:val="21"/>
          <w:szCs w:val="21"/>
          <w:u w:val="none"/>
        </w:rPr>
        <w:t xml:space="preserve"> III </w:t>
      </w:r>
      <w:r w:rsidR="006723A8" w:rsidRPr="00F672D8">
        <w:rPr>
          <w:rFonts w:asciiTheme="minorHAnsi" w:hAnsiTheme="minorHAnsi" w:cstheme="minorHAnsi"/>
          <w:b w:val="0"/>
          <w:color w:val="auto"/>
          <w:sz w:val="21"/>
          <w:szCs w:val="21"/>
          <w:u w:val="none"/>
        </w:rPr>
        <w:t xml:space="preserve">in Social Services </w:t>
      </w:r>
      <w:r w:rsidR="00150FFE" w:rsidRPr="00F672D8">
        <w:rPr>
          <w:rFonts w:asciiTheme="minorHAnsi" w:hAnsiTheme="minorHAnsi" w:cstheme="minorHAnsi"/>
          <w:b w:val="0"/>
          <w:color w:val="auto"/>
          <w:sz w:val="21"/>
          <w:szCs w:val="21"/>
          <w:u w:val="none"/>
        </w:rPr>
        <w:t>course.</w:t>
      </w:r>
      <w:r w:rsidR="006723A8" w:rsidRPr="00F672D8">
        <w:rPr>
          <w:rFonts w:asciiTheme="minorHAnsi" w:hAnsiTheme="minorHAnsi" w:cstheme="minorHAnsi"/>
          <w:b w:val="0"/>
          <w:color w:val="auto"/>
          <w:sz w:val="21"/>
          <w:szCs w:val="21"/>
          <w:u w:val="none"/>
        </w:rPr>
        <w:t xml:space="preserve"> </w:t>
      </w:r>
    </w:p>
    <w:p w14:paraId="4B1D7AA3" w14:textId="66CF3B1D" w:rsidR="006723A8" w:rsidRPr="00F672D8" w:rsidRDefault="006723A8" w:rsidP="00F672D8">
      <w:pPr>
        <w:spacing w:line="22" w:lineRule="atLeast"/>
        <w:jc w:val="both"/>
        <w:rPr>
          <w:rFonts w:asciiTheme="minorHAnsi" w:hAnsiTheme="minorHAnsi" w:cstheme="minorHAnsi"/>
          <w:b w:val="0"/>
          <w:color w:val="auto"/>
          <w:sz w:val="21"/>
          <w:szCs w:val="21"/>
          <w:u w:val="none"/>
        </w:rPr>
      </w:pPr>
      <w:r w:rsidRPr="00F672D8">
        <w:rPr>
          <w:rFonts w:asciiTheme="minorHAnsi" w:hAnsiTheme="minorHAnsi" w:cstheme="minorHAnsi"/>
          <w:b w:val="0"/>
          <w:color w:val="auto"/>
          <w:sz w:val="21"/>
          <w:szCs w:val="21"/>
          <w:u w:val="none"/>
        </w:rPr>
        <w:t>Nabilan also started collecting information about LGBTI clients in 2018.</w:t>
      </w:r>
      <w:r w:rsidR="00F672D8">
        <w:rPr>
          <w:rFonts w:asciiTheme="minorHAnsi" w:hAnsiTheme="minorHAnsi" w:cstheme="minorHAnsi"/>
          <w:b w:val="0"/>
          <w:color w:val="auto"/>
          <w:sz w:val="21"/>
          <w:szCs w:val="21"/>
          <w:u w:val="none"/>
        </w:rPr>
        <w:t xml:space="preserve"> </w:t>
      </w:r>
      <w:r w:rsidRPr="00F672D8">
        <w:rPr>
          <w:rFonts w:asciiTheme="minorHAnsi" w:hAnsiTheme="minorHAnsi" w:cstheme="minorHAnsi"/>
          <w:b w:val="0"/>
          <w:color w:val="auto"/>
          <w:sz w:val="21"/>
          <w:szCs w:val="21"/>
          <w:u w:val="none"/>
        </w:rPr>
        <w:t xml:space="preserve">ALFeLa supported one transgender male client in a discrimination complaint and worked with Hatutan (a youth advocacy group) to raise awareness about discrimination against the LGBTI community in Timor-Leste. </w:t>
      </w:r>
    </w:p>
    <w:p w14:paraId="44F69F0C" w14:textId="4D6C9C16" w:rsidR="009C5B0F" w:rsidRPr="00F672D8" w:rsidRDefault="009C5B0F" w:rsidP="00F672D8">
      <w:pPr>
        <w:spacing w:line="22" w:lineRule="atLeast"/>
        <w:jc w:val="both"/>
        <w:rPr>
          <w:rFonts w:asciiTheme="minorHAnsi" w:hAnsiTheme="minorHAnsi" w:cstheme="minorHAnsi"/>
          <w:b w:val="0"/>
          <w:color w:val="822B6A"/>
          <w:sz w:val="21"/>
          <w:szCs w:val="21"/>
          <w:u w:val="none"/>
        </w:rPr>
      </w:pPr>
      <w:r w:rsidRPr="00F672D8">
        <w:rPr>
          <w:rFonts w:asciiTheme="minorHAnsi" w:hAnsiTheme="minorHAnsi" w:cstheme="minorHAnsi"/>
          <w:color w:val="822B6A"/>
          <w:sz w:val="21"/>
          <w:szCs w:val="21"/>
          <w:u w:val="none"/>
        </w:rPr>
        <w:t>Recommendation:</w:t>
      </w:r>
      <w:r w:rsidRPr="00F672D8">
        <w:rPr>
          <w:rFonts w:asciiTheme="minorHAnsi" w:hAnsiTheme="minorHAnsi" w:cstheme="minorHAnsi"/>
          <w:b w:val="0"/>
          <w:color w:val="822B6A"/>
          <w:sz w:val="21"/>
          <w:szCs w:val="21"/>
          <w:u w:val="none"/>
        </w:rPr>
        <w:t xml:space="preserve"> </w:t>
      </w:r>
      <w:bookmarkStart w:id="126" w:name="_Hlk1999453"/>
      <w:r w:rsidR="00773FF4" w:rsidRPr="00F672D8">
        <w:rPr>
          <w:rFonts w:asciiTheme="minorHAnsi" w:hAnsiTheme="minorHAnsi" w:cstheme="minorHAnsi"/>
          <w:b w:val="0"/>
          <w:color w:val="822B6A"/>
          <w:sz w:val="21"/>
          <w:szCs w:val="21"/>
          <w:u w:val="none"/>
        </w:rPr>
        <w:t>Support partners to use WGQ during client intake</w:t>
      </w:r>
      <w:r w:rsidR="007E2403" w:rsidRPr="00F672D8">
        <w:rPr>
          <w:rFonts w:asciiTheme="minorHAnsi" w:hAnsiTheme="minorHAnsi" w:cstheme="minorHAnsi"/>
          <w:b w:val="0"/>
          <w:color w:val="822B6A"/>
          <w:sz w:val="21"/>
          <w:szCs w:val="21"/>
          <w:u w:val="none"/>
        </w:rPr>
        <w:t xml:space="preserve"> - </w:t>
      </w:r>
      <w:r w:rsidR="00773FF4" w:rsidRPr="00F672D8">
        <w:rPr>
          <w:rFonts w:asciiTheme="minorHAnsi" w:hAnsiTheme="minorHAnsi" w:cstheme="minorHAnsi"/>
          <w:b w:val="0"/>
          <w:color w:val="822B6A"/>
          <w:sz w:val="21"/>
          <w:szCs w:val="21"/>
          <w:u w:val="none"/>
        </w:rPr>
        <w:t>this will take training and support</w:t>
      </w:r>
      <w:r w:rsidR="0071303E" w:rsidRPr="00F672D8">
        <w:rPr>
          <w:rFonts w:asciiTheme="minorHAnsi" w:hAnsiTheme="minorHAnsi" w:cstheme="minorHAnsi"/>
          <w:b w:val="0"/>
          <w:color w:val="822B6A"/>
          <w:sz w:val="21"/>
          <w:szCs w:val="21"/>
          <w:u w:val="none"/>
        </w:rPr>
        <w:t xml:space="preserve">, </w:t>
      </w:r>
      <w:r w:rsidR="00773FF4" w:rsidRPr="00F672D8">
        <w:rPr>
          <w:rFonts w:asciiTheme="minorHAnsi" w:hAnsiTheme="minorHAnsi" w:cstheme="minorHAnsi"/>
          <w:b w:val="0"/>
          <w:color w:val="822B6A"/>
          <w:sz w:val="21"/>
          <w:szCs w:val="21"/>
          <w:u w:val="none"/>
        </w:rPr>
        <w:t>and should be delivered in coordination with DPOs.</w:t>
      </w:r>
      <w:bookmarkEnd w:id="126"/>
    </w:p>
    <w:bookmarkStart w:id="127" w:name="_Toc2019663"/>
    <w:p w14:paraId="519C7C60" w14:textId="5B537529" w:rsidR="009930F4" w:rsidRDefault="009930F4">
      <w:pPr>
        <w:autoSpaceDE/>
        <w:autoSpaceDN/>
        <w:adjustRightInd/>
        <w:spacing w:before="60" w:after="60"/>
        <w:ind w:left="3686" w:hanging="851"/>
        <w:textAlignment w:val="auto"/>
        <w:rPr>
          <w:rFonts w:asciiTheme="minorHAnsi" w:hAnsiTheme="minorHAnsi" w:cstheme="minorHAnsi"/>
          <w:b w:val="0"/>
          <w:i/>
          <w:color w:val="822B6A"/>
          <w:u w:val="none"/>
        </w:rPr>
      </w:pPr>
      <w:r w:rsidRPr="00BF4F0F">
        <w:rPr>
          <w:rStyle w:val="Style1Char"/>
          <w:rFonts w:asciiTheme="minorHAnsi" w:hAnsiTheme="minorHAnsi" w:cstheme="minorHAnsi"/>
          <w:bCs w:val="0"/>
          <w:noProof/>
          <w:color w:val="auto"/>
          <w:kern w:val="0"/>
          <w:sz w:val="22"/>
          <w:szCs w:val="22"/>
          <w:u w:val="none"/>
        </w:rPr>
        <mc:AlternateContent>
          <mc:Choice Requires="wps">
            <w:drawing>
              <wp:anchor distT="45720" distB="45720" distL="114300" distR="114300" simplePos="0" relativeHeight="251804672" behindDoc="0" locked="0" layoutInCell="1" allowOverlap="1" wp14:anchorId="04F03A60" wp14:editId="268D13FB">
                <wp:simplePos x="0" y="0"/>
                <wp:positionH relativeFrom="column">
                  <wp:posOffset>-628650</wp:posOffset>
                </wp:positionH>
                <wp:positionV relativeFrom="paragraph">
                  <wp:posOffset>997585</wp:posOffset>
                </wp:positionV>
                <wp:extent cx="6794500" cy="1404620"/>
                <wp:effectExtent l="0" t="0" r="0" b="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00" cy="1404620"/>
                        </a:xfrm>
                        <a:prstGeom prst="rect">
                          <a:avLst/>
                        </a:prstGeom>
                        <a:noFill/>
                        <a:ln w="9525">
                          <a:noFill/>
                          <a:miter lim="800000"/>
                          <a:headEnd/>
                          <a:tailEnd/>
                        </a:ln>
                      </wps:spPr>
                      <wps:txbx>
                        <w:txbxContent>
                          <w:p w14:paraId="075DECDF" w14:textId="77777777" w:rsidR="009930F4" w:rsidRPr="00705BD3" w:rsidRDefault="009930F4" w:rsidP="009930F4">
                            <w:pPr>
                              <w:rPr>
                                <w:rFonts w:asciiTheme="minorHAnsi" w:hAnsiTheme="minorHAnsi" w:cstheme="minorHAnsi"/>
                                <w:b w:val="0"/>
                                <w:color w:val="auto"/>
                                <w:u w:val="none"/>
                                <w:lang w:val="en-US"/>
                              </w:rPr>
                            </w:pPr>
                            <w:r w:rsidRPr="00705BD3">
                              <w:rPr>
                                <w:rFonts w:asciiTheme="minorHAnsi" w:hAnsiTheme="minorHAnsi" w:cstheme="minorHAnsi"/>
                                <w:b w:val="0"/>
                                <w:color w:val="auto"/>
                                <w:sz w:val="18"/>
                                <w:szCs w:val="18"/>
                                <w:u w:val="none"/>
                                <w:lang w:val="en-US"/>
                              </w:rPr>
                              <w:t>Participants from the SOGIESC training held with Marie Stopes and Hivos, 17–18 October 2018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4F03A60" id="_x0000_s1029" type="#_x0000_t202" style="position:absolute;left:0;text-align:left;margin-left:-49.5pt;margin-top:78.55pt;width:535pt;height:110.6pt;z-index:2518046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" filled="f" stroked="f">
                <v:textbox style="mso-fit-shape-to-text:t">
                  <w:txbxContent>
                    <w:p w14:paraId="075DECDF" w14:textId="77777777" w:rsidR="009930F4" w:rsidRPr="00705BD3" w:rsidRDefault="009930F4" w:rsidP="009930F4">
                      <w:pPr>
                        <w:rPr>
                          <w:rFonts w:asciiTheme="minorHAnsi" w:hAnsiTheme="minorHAnsi" w:cstheme="minorHAnsi"/>
                          <w:b w:val="0"/>
                          <w:color w:val="auto"/>
                          <w:u w:val="none"/>
                          <w:lang w:val="en-US"/>
                        </w:rPr>
                      </w:pPr>
                      <w:r w:rsidRPr="00705BD3">
                        <w:rPr>
                          <w:rFonts w:asciiTheme="minorHAnsi" w:hAnsiTheme="minorHAnsi" w:cstheme="minorHAnsi"/>
                          <w:b w:val="0"/>
                          <w:color w:val="auto"/>
                          <w:sz w:val="18"/>
                          <w:szCs w:val="18"/>
                          <w:u w:val="none"/>
                          <w:lang w:val="en-US"/>
                        </w:rPr>
                        <w:t>Participants from the SOGIESC training held with Marie Stopes and Hivos, 17–18 October 2018</w:t>
                      </w:r>
                    </w:p>
                  </w:txbxContent>
                </v:textbox>
              </v:shape>
            </w:pict>
          </mc:Fallback>
        </mc:AlternateContent>
      </w:r>
      <w:r>
        <w:rPr>
          <w:noProof/>
        </w:rPr>
        <w:drawing>
          <wp:anchor distT="0" distB="0" distL="114300" distR="114300" simplePos="0" relativeHeight="251802624" behindDoc="0" locked="0" layoutInCell="1" allowOverlap="1" wp14:anchorId="1EC021C2" wp14:editId="248BD933">
            <wp:simplePos x="0" y="0"/>
            <wp:positionH relativeFrom="column">
              <wp:posOffset>-1329055</wp:posOffset>
            </wp:positionH>
            <wp:positionV relativeFrom="page">
              <wp:posOffset>5810250</wp:posOffset>
            </wp:positionV>
            <wp:extent cx="9806305" cy="4862195"/>
            <wp:effectExtent l="0" t="0" r="4445" b="0"/>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rotWithShape="1">
                    <a:blip r:embed="rId36">
                      <a:extLst>
                        <a:ext uri="{28A0092B-C50C-407E-A947-70E740481C1C}">
                          <a14:useLocalDpi xmlns:a14="http://schemas.microsoft.com/office/drawing/2010/main" val="0"/>
                        </a:ext>
                      </a:extLst>
                    </a:blip>
                    <a:srcRect/>
                    <a:stretch/>
                  </pic:blipFill>
                  <pic:spPr bwMode="auto">
                    <a:xfrm>
                      <a:off x="0" y="0"/>
                      <a:ext cx="9806305" cy="48621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cstheme="minorHAnsi"/>
          <w:b w:val="0"/>
          <w:i/>
          <w:color w:val="822B6A"/>
        </w:rPr>
        <w:br w:type="page"/>
      </w:r>
    </w:p>
    <w:p w14:paraId="4B267938" w14:textId="75974CF5" w:rsidR="003E3D32" w:rsidRPr="00A8116D" w:rsidRDefault="003E3D32" w:rsidP="00F7014B">
      <w:pPr>
        <w:pStyle w:val="Heading3"/>
        <w:spacing w:before="240"/>
        <w:rPr>
          <w:rFonts w:asciiTheme="minorHAnsi" w:hAnsiTheme="minorHAnsi" w:cstheme="minorHAnsi"/>
          <w:b w:val="0"/>
          <w:i/>
          <w:color w:val="822B6A"/>
        </w:rPr>
      </w:pPr>
      <w:r w:rsidRPr="0071303E">
        <w:rPr>
          <w:rFonts w:asciiTheme="minorHAnsi" w:hAnsiTheme="minorHAnsi" w:cstheme="minorHAnsi"/>
          <w:b w:val="0"/>
          <w:i/>
          <w:color w:val="822B6A"/>
        </w:rPr>
        <w:t>Referral pathways</w:t>
      </w:r>
      <w:bookmarkEnd w:id="127"/>
    </w:p>
    <w:p w14:paraId="77E5261E" w14:textId="25ECBA9D" w:rsidR="00544722" w:rsidRPr="00F672D8" w:rsidRDefault="003E3D32" w:rsidP="00F672D8">
      <w:pPr>
        <w:spacing w:line="22" w:lineRule="atLeast"/>
        <w:jc w:val="both"/>
        <w:rPr>
          <w:rFonts w:asciiTheme="minorHAnsi" w:hAnsiTheme="minorHAnsi" w:cstheme="minorHAnsi"/>
          <w:b w:val="0"/>
          <w:color w:val="auto"/>
          <w:sz w:val="21"/>
          <w:szCs w:val="21"/>
          <w:u w:val="none"/>
        </w:rPr>
      </w:pPr>
      <w:r w:rsidRPr="00F672D8">
        <w:rPr>
          <w:rFonts w:asciiTheme="minorHAnsi" w:hAnsiTheme="minorHAnsi" w:cstheme="minorHAnsi"/>
          <w:b w:val="0"/>
          <w:color w:val="auto"/>
          <w:sz w:val="21"/>
          <w:szCs w:val="21"/>
          <w:u w:val="none"/>
        </w:rPr>
        <w:t xml:space="preserve">Nabilan continues to support strengthened referral pathways through provision of ongoing support to partners, improving monitoring data, and supporting design of a referral app called ‘Hamahon’. Compared with 2017, there was an increase in referrals overall. </w:t>
      </w:r>
      <w:r w:rsidR="006723A8" w:rsidRPr="00F672D8">
        <w:rPr>
          <w:rFonts w:asciiTheme="minorHAnsi" w:hAnsiTheme="minorHAnsi" w:cstheme="minorHAnsi"/>
          <w:b w:val="0"/>
          <w:color w:val="auto"/>
          <w:sz w:val="21"/>
          <w:szCs w:val="21"/>
          <w:u w:val="none"/>
        </w:rPr>
        <w:t xml:space="preserve">In 2018, Nabilan partners </w:t>
      </w:r>
      <w:r w:rsidR="00F26A8A" w:rsidRPr="00F672D8">
        <w:rPr>
          <w:rFonts w:asciiTheme="minorHAnsi" w:hAnsiTheme="minorHAnsi" w:cstheme="minorHAnsi"/>
          <w:b w:val="0"/>
          <w:color w:val="auto"/>
          <w:sz w:val="21"/>
          <w:szCs w:val="21"/>
          <w:u w:val="none"/>
        </w:rPr>
        <w:t xml:space="preserve">received a total of 1,343 new clients. Of those new clients, 1,111 (83%) were referred from other organisations within the referral network (police, VAWC service providers, MSSI), and 232 (17%) were referred from organisations outside the referral network (self-referred, family, other NGOs, DPOs, health providers, community leaders). Partners </w:t>
      </w:r>
      <w:r w:rsidR="006723A8" w:rsidRPr="00F672D8">
        <w:rPr>
          <w:rFonts w:asciiTheme="minorHAnsi" w:hAnsiTheme="minorHAnsi" w:cstheme="minorHAnsi"/>
          <w:b w:val="0"/>
          <w:color w:val="auto"/>
          <w:sz w:val="21"/>
          <w:szCs w:val="21"/>
          <w:u w:val="none"/>
        </w:rPr>
        <w:t>made a total of 1,266 referrals: a total of 937</w:t>
      </w:r>
      <w:r w:rsidR="00F26A8A" w:rsidRPr="00F672D8">
        <w:rPr>
          <w:rFonts w:asciiTheme="minorHAnsi" w:hAnsiTheme="minorHAnsi" w:cstheme="minorHAnsi"/>
          <w:b w:val="0"/>
          <w:color w:val="auto"/>
          <w:sz w:val="21"/>
          <w:szCs w:val="21"/>
          <w:u w:val="none"/>
        </w:rPr>
        <w:t xml:space="preserve"> (74%)</w:t>
      </w:r>
      <w:r w:rsidR="006723A8" w:rsidRPr="00F672D8">
        <w:rPr>
          <w:rFonts w:asciiTheme="minorHAnsi" w:hAnsiTheme="minorHAnsi" w:cstheme="minorHAnsi"/>
          <w:b w:val="0"/>
          <w:color w:val="auto"/>
          <w:sz w:val="21"/>
          <w:szCs w:val="21"/>
          <w:u w:val="none"/>
        </w:rPr>
        <w:t xml:space="preserve"> were to organisations within the referral network and 329</w:t>
      </w:r>
      <w:r w:rsidR="00F26A8A" w:rsidRPr="00F672D8">
        <w:rPr>
          <w:rFonts w:asciiTheme="minorHAnsi" w:hAnsiTheme="minorHAnsi" w:cstheme="minorHAnsi"/>
          <w:b w:val="0"/>
          <w:color w:val="auto"/>
          <w:sz w:val="21"/>
          <w:szCs w:val="21"/>
          <w:u w:val="none"/>
        </w:rPr>
        <w:t xml:space="preserve"> (26%)</w:t>
      </w:r>
      <w:r w:rsidR="006723A8" w:rsidRPr="00F672D8">
        <w:rPr>
          <w:rFonts w:asciiTheme="minorHAnsi" w:hAnsiTheme="minorHAnsi" w:cstheme="minorHAnsi"/>
          <w:b w:val="0"/>
          <w:color w:val="auto"/>
          <w:sz w:val="21"/>
          <w:szCs w:val="21"/>
          <w:u w:val="none"/>
        </w:rPr>
        <w:t xml:space="preserve"> referrals were made to organisations outside of the referral network</w:t>
      </w:r>
      <w:r w:rsidR="00F26A8A" w:rsidRPr="00F672D8">
        <w:rPr>
          <w:rFonts w:asciiTheme="minorHAnsi" w:hAnsiTheme="minorHAnsi" w:cstheme="minorHAnsi"/>
          <w:b w:val="0"/>
          <w:color w:val="auto"/>
          <w:sz w:val="21"/>
          <w:szCs w:val="21"/>
          <w:u w:val="none"/>
        </w:rPr>
        <w:t>.</w:t>
      </w:r>
      <w:r w:rsidR="0071303E" w:rsidRPr="00F672D8">
        <w:rPr>
          <w:rFonts w:asciiTheme="minorHAnsi" w:hAnsiTheme="minorHAnsi" w:cstheme="minorHAnsi"/>
          <w:b w:val="0"/>
          <w:color w:val="auto"/>
          <w:sz w:val="21"/>
          <w:szCs w:val="21"/>
          <w:u w:val="none"/>
        </w:rPr>
        <w:t xml:space="preserve"> In 2017, partners received a total of 1,092 referral and made a total of 820 referrals.</w:t>
      </w:r>
      <w:r w:rsidR="00F26A8A" w:rsidRPr="00F672D8">
        <w:rPr>
          <w:rFonts w:asciiTheme="minorHAnsi" w:hAnsiTheme="minorHAnsi" w:cstheme="minorHAnsi"/>
          <w:b w:val="0"/>
          <w:color w:val="auto"/>
          <w:sz w:val="21"/>
          <w:szCs w:val="21"/>
          <w:u w:val="none"/>
        </w:rPr>
        <w:t xml:space="preserve"> </w:t>
      </w:r>
      <w:r w:rsidR="00026E77" w:rsidRPr="00F672D8">
        <w:rPr>
          <w:rFonts w:asciiTheme="minorHAnsi" w:hAnsiTheme="minorHAnsi" w:cstheme="minorHAnsi"/>
          <w:b w:val="0"/>
          <w:color w:val="auto"/>
          <w:sz w:val="21"/>
          <w:szCs w:val="21"/>
          <w:u w:val="none"/>
        </w:rPr>
        <w:t xml:space="preserve">Nabilan updated the partner reporting templates for the July-December 2018 period to more accurately collect information on referrals. </w:t>
      </w:r>
      <w:r w:rsidR="00773FF4" w:rsidRPr="00F672D8">
        <w:rPr>
          <w:rFonts w:asciiTheme="minorHAnsi" w:hAnsiTheme="minorHAnsi" w:cstheme="minorHAnsi"/>
          <w:b w:val="0"/>
          <w:color w:val="auto"/>
          <w:sz w:val="21"/>
          <w:szCs w:val="21"/>
          <w:u w:val="none"/>
        </w:rPr>
        <w:t xml:space="preserve">ALFeLa and FOKUPERS require ongoing support to accurately record referrals. </w:t>
      </w:r>
    </w:p>
    <w:p w14:paraId="2CF43919" w14:textId="77777777" w:rsidR="00544722" w:rsidRPr="00BF4F0F" w:rsidRDefault="005C2C83" w:rsidP="00447313">
      <w:pPr>
        <w:pStyle w:val="BodyText"/>
        <w:jc w:val="both"/>
        <w:rPr>
          <w:rFonts w:asciiTheme="minorHAnsi" w:hAnsiTheme="minorHAnsi" w:cstheme="minorHAnsi"/>
        </w:rPr>
      </w:pPr>
      <w:r w:rsidRPr="00BF4F0F">
        <w:rPr>
          <w:rFonts w:asciiTheme="minorHAnsi" w:hAnsiTheme="minorHAnsi" w:cstheme="minorHAnsi"/>
          <w:noProof/>
        </w:rPr>
        <w:drawing>
          <wp:inline distT="0" distB="0" distL="0" distR="0" wp14:anchorId="302603AF" wp14:editId="3C82FB99">
            <wp:extent cx="5926347" cy="1604010"/>
            <wp:effectExtent l="0" t="0" r="0" b="0"/>
            <wp:docPr id="14" name="Chart 14">
              <a:extLst xmlns:a="http://schemas.openxmlformats.org/drawingml/2006/main">
                <a:ext uri="{FF2B5EF4-FFF2-40B4-BE49-F238E27FC236}">
                  <a16:creationId xmlns:a16="http://schemas.microsoft.com/office/drawing/2014/main" id="{CEF283EB-7E86-4AD8-9092-E123BAB421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303F32A6" w14:textId="3B300D3C" w:rsidR="006723A8" w:rsidRPr="00F672D8" w:rsidRDefault="00026E77" w:rsidP="00F672D8">
      <w:pPr>
        <w:spacing w:line="22" w:lineRule="atLeast"/>
        <w:jc w:val="both"/>
        <w:rPr>
          <w:rFonts w:asciiTheme="minorHAnsi" w:hAnsiTheme="minorHAnsi" w:cstheme="minorHAnsi"/>
          <w:b w:val="0"/>
          <w:color w:val="auto"/>
          <w:sz w:val="21"/>
          <w:szCs w:val="21"/>
          <w:u w:val="none"/>
        </w:rPr>
      </w:pPr>
      <w:r w:rsidRPr="00F672D8">
        <w:rPr>
          <w:rFonts w:asciiTheme="minorHAnsi" w:hAnsiTheme="minorHAnsi" w:cstheme="minorHAnsi"/>
          <w:b w:val="0"/>
          <w:color w:val="auto"/>
          <w:sz w:val="21"/>
          <w:szCs w:val="21"/>
          <w:u w:val="none"/>
        </w:rPr>
        <w:t>Nabilan also supported SEII and referral network partners to design a referral app called ‘Hamahon’</w:t>
      </w:r>
      <w:r w:rsidR="005C2C83" w:rsidRPr="00F672D8">
        <w:rPr>
          <w:rFonts w:asciiTheme="minorHAnsi" w:hAnsiTheme="minorHAnsi" w:cstheme="minorHAnsi"/>
          <w:b w:val="0"/>
          <w:color w:val="auto"/>
          <w:sz w:val="21"/>
          <w:szCs w:val="21"/>
          <w:u w:val="none"/>
        </w:rPr>
        <w:t xml:space="preserve"> (www.hamahon.tl)</w:t>
      </w:r>
      <w:r w:rsidRPr="00F672D8">
        <w:rPr>
          <w:rFonts w:asciiTheme="minorHAnsi" w:hAnsiTheme="minorHAnsi" w:cstheme="minorHAnsi"/>
          <w:b w:val="0"/>
          <w:color w:val="auto"/>
          <w:sz w:val="21"/>
          <w:szCs w:val="21"/>
          <w:u w:val="none"/>
        </w:rPr>
        <w:t xml:space="preserve">, to </w:t>
      </w:r>
      <w:r w:rsidR="005C2C83" w:rsidRPr="00F672D8">
        <w:rPr>
          <w:rFonts w:asciiTheme="minorHAnsi" w:hAnsiTheme="minorHAnsi" w:cstheme="minorHAnsi"/>
          <w:b w:val="0"/>
          <w:color w:val="auto"/>
          <w:sz w:val="21"/>
          <w:szCs w:val="21"/>
          <w:u w:val="none"/>
        </w:rPr>
        <w:t xml:space="preserve">ease referrals. Network members will be able to easily update their phone numbers when staff change and notify each other when phone numbers are inactive. The app will also </w:t>
      </w:r>
      <w:r w:rsidRPr="00F672D8">
        <w:rPr>
          <w:rFonts w:asciiTheme="minorHAnsi" w:hAnsiTheme="minorHAnsi" w:cstheme="minorHAnsi"/>
          <w:b w:val="0"/>
          <w:color w:val="auto"/>
          <w:sz w:val="21"/>
          <w:szCs w:val="21"/>
          <w:u w:val="none"/>
        </w:rPr>
        <w:t xml:space="preserve">help organisations outside the referral network to </w:t>
      </w:r>
      <w:r w:rsidR="005C2C83" w:rsidRPr="00F672D8">
        <w:rPr>
          <w:rFonts w:asciiTheme="minorHAnsi" w:hAnsiTheme="minorHAnsi" w:cstheme="minorHAnsi"/>
          <w:b w:val="0"/>
          <w:color w:val="auto"/>
          <w:sz w:val="21"/>
          <w:szCs w:val="21"/>
          <w:u w:val="none"/>
        </w:rPr>
        <w:t>refer</w:t>
      </w:r>
      <w:r w:rsidRPr="00F672D8">
        <w:rPr>
          <w:rFonts w:asciiTheme="minorHAnsi" w:hAnsiTheme="minorHAnsi" w:cstheme="minorHAnsi"/>
          <w:b w:val="0"/>
          <w:color w:val="auto"/>
          <w:sz w:val="21"/>
          <w:szCs w:val="21"/>
          <w:u w:val="none"/>
        </w:rPr>
        <w:t xml:space="preserve"> women and children </w:t>
      </w:r>
      <w:r w:rsidR="005C2C83" w:rsidRPr="00F672D8">
        <w:rPr>
          <w:rFonts w:asciiTheme="minorHAnsi" w:hAnsiTheme="minorHAnsi" w:cstheme="minorHAnsi"/>
          <w:b w:val="0"/>
          <w:color w:val="auto"/>
          <w:sz w:val="21"/>
          <w:szCs w:val="21"/>
          <w:u w:val="none"/>
        </w:rPr>
        <w:t xml:space="preserve">to </w:t>
      </w:r>
      <w:r w:rsidRPr="00F672D8">
        <w:rPr>
          <w:rFonts w:asciiTheme="minorHAnsi" w:hAnsiTheme="minorHAnsi" w:cstheme="minorHAnsi"/>
          <w:b w:val="0"/>
          <w:color w:val="auto"/>
          <w:sz w:val="21"/>
          <w:szCs w:val="21"/>
          <w:u w:val="none"/>
        </w:rPr>
        <w:t>VAWC service providers.</w:t>
      </w:r>
      <w:r w:rsidR="00BB435F" w:rsidRPr="00F672D8">
        <w:rPr>
          <w:rFonts w:asciiTheme="minorHAnsi" w:hAnsiTheme="minorHAnsi" w:cstheme="minorHAnsi"/>
          <w:b w:val="0"/>
          <w:color w:val="auto"/>
          <w:sz w:val="21"/>
          <w:szCs w:val="21"/>
          <w:u w:val="none"/>
        </w:rPr>
        <w:t xml:space="preserve"> Since the launch on 6 December 2018, the site has had 109 visits per month.</w:t>
      </w:r>
      <w:r w:rsidR="00D42684" w:rsidRPr="00F672D8">
        <w:rPr>
          <w:rFonts w:asciiTheme="minorHAnsi" w:hAnsiTheme="minorHAnsi" w:cstheme="minorHAnsi"/>
          <w:b w:val="0"/>
          <w:color w:val="auto"/>
          <w:sz w:val="21"/>
          <w:szCs w:val="21"/>
          <w:u w:val="none"/>
        </w:rPr>
        <w:t xml:space="preserve"> Half of all visitors are linking through to the contact pages (with phone numbers of partners), showing that the app is being used. </w:t>
      </w:r>
      <w:r w:rsidR="00D42684" w:rsidRPr="00705BD3">
        <w:rPr>
          <w:rFonts w:asciiTheme="minorHAnsi" w:hAnsiTheme="minorHAnsi" w:cstheme="minorHAnsi"/>
          <w:b w:val="0"/>
          <w:i/>
          <w:color w:val="auto"/>
          <w:sz w:val="21"/>
          <w:szCs w:val="21"/>
          <w:u w:val="none"/>
        </w:rPr>
        <w:t>Uma Paz Baucau</w:t>
      </w:r>
      <w:r w:rsidR="00D42684" w:rsidRPr="00F672D8">
        <w:rPr>
          <w:rFonts w:asciiTheme="minorHAnsi" w:hAnsiTheme="minorHAnsi" w:cstheme="minorHAnsi"/>
          <w:b w:val="0"/>
          <w:color w:val="auto"/>
          <w:sz w:val="21"/>
          <w:szCs w:val="21"/>
          <w:u w:val="none"/>
        </w:rPr>
        <w:t xml:space="preserve">, a shelter organisation not funded by Nabilan, has logged into the app, showing its use outside of Nabilan partners. </w:t>
      </w:r>
      <w:r w:rsidR="00BB435F" w:rsidRPr="00F672D8">
        <w:rPr>
          <w:rFonts w:asciiTheme="minorHAnsi" w:hAnsiTheme="minorHAnsi" w:cstheme="minorHAnsi"/>
          <w:b w:val="0"/>
          <w:color w:val="auto"/>
          <w:sz w:val="21"/>
          <w:szCs w:val="21"/>
          <w:u w:val="none"/>
        </w:rPr>
        <w:t xml:space="preserve">The app </w:t>
      </w:r>
      <w:r w:rsidR="00F672D8">
        <w:rPr>
          <w:rFonts w:asciiTheme="minorHAnsi" w:hAnsiTheme="minorHAnsi" w:cstheme="minorHAnsi"/>
          <w:b w:val="0"/>
          <w:color w:val="auto"/>
          <w:sz w:val="21"/>
          <w:szCs w:val="21"/>
          <w:u w:val="none"/>
        </w:rPr>
        <w:t xml:space="preserve">is </w:t>
      </w:r>
      <w:r w:rsidR="00BB435F" w:rsidRPr="00F672D8">
        <w:rPr>
          <w:rFonts w:asciiTheme="minorHAnsi" w:hAnsiTheme="minorHAnsi" w:cstheme="minorHAnsi"/>
          <w:b w:val="0"/>
          <w:color w:val="auto"/>
          <w:sz w:val="21"/>
          <w:szCs w:val="21"/>
          <w:u w:val="none"/>
        </w:rPr>
        <w:t xml:space="preserve">available </w:t>
      </w:r>
      <w:r w:rsidR="009E5364">
        <w:rPr>
          <w:rFonts w:asciiTheme="minorHAnsi" w:hAnsiTheme="minorHAnsi" w:cstheme="minorHAnsi"/>
          <w:b w:val="0"/>
          <w:color w:val="auto"/>
          <w:sz w:val="21"/>
          <w:szCs w:val="21"/>
          <w:u w:val="none"/>
        </w:rPr>
        <w:t>for free download from</w:t>
      </w:r>
      <w:r w:rsidR="00BB435F" w:rsidRPr="00F672D8">
        <w:rPr>
          <w:rFonts w:asciiTheme="minorHAnsi" w:hAnsiTheme="minorHAnsi" w:cstheme="minorHAnsi"/>
          <w:b w:val="0"/>
          <w:color w:val="auto"/>
          <w:sz w:val="21"/>
          <w:szCs w:val="21"/>
          <w:u w:val="none"/>
        </w:rPr>
        <w:t xml:space="preserve"> the Google Play store. </w:t>
      </w:r>
    </w:p>
    <w:p w14:paraId="0386D77C" w14:textId="77777777" w:rsidR="00773FF4" w:rsidRPr="00F672D8" w:rsidRDefault="00773FF4" w:rsidP="00F672D8">
      <w:pPr>
        <w:spacing w:line="22" w:lineRule="atLeast"/>
        <w:jc w:val="both"/>
        <w:rPr>
          <w:rFonts w:asciiTheme="minorHAnsi" w:hAnsiTheme="minorHAnsi" w:cstheme="minorHAnsi"/>
          <w:b w:val="0"/>
          <w:color w:val="822B6A"/>
          <w:sz w:val="21"/>
          <w:szCs w:val="21"/>
          <w:u w:val="none"/>
        </w:rPr>
      </w:pPr>
      <w:r w:rsidRPr="00F672D8">
        <w:rPr>
          <w:rFonts w:asciiTheme="minorHAnsi" w:hAnsiTheme="minorHAnsi" w:cstheme="minorHAnsi"/>
          <w:color w:val="822B6A"/>
          <w:sz w:val="21"/>
          <w:szCs w:val="21"/>
          <w:u w:val="none"/>
        </w:rPr>
        <w:t>Recommendation:</w:t>
      </w:r>
      <w:r w:rsidRPr="00F672D8">
        <w:rPr>
          <w:rFonts w:asciiTheme="minorHAnsi" w:hAnsiTheme="minorHAnsi" w:cstheme="minorHAnsi"/>
          <w:b w:val="0"/>
          <w:color w:val="822B6A"/>
          <w:sz w:val="21"/>
          <w:szCs w:val="21"/>
          <w:u w:val="none"/>
        </w:rPr>
        <w:t xml:space="preserve"> </w:t>
      </w:r>
      <w:bookmarkStart w:id="128" w:name="_Hlk1999463"/>
      <w:r w:rsidRPr="00F672D8">
        <w:rPr>
          <w:rFonts w:asciiTheme="minorHAnsi" w:hAnsiTheme="minorHAnsi" w:cstheme="minorHAnsi"/>
          <w:b w:val="0"/>
          <w:color w:val="822B6A"/>
          <w:sz w:val="21"/>
          <w:szCs w:val="21"/>
          <w:u w:val="none"/>
        </w:rPr>
        <w:t>Work with ALFeLa and FOKUPERS to improve referral data, including possible update to ALFeLa’s case management database.</w:t>
      </w:r>
      <w:bookmarkEnd w:id="128"/>
    </w:p>
    <w:p w14:paraId="670566F8" w14:textId="166565A2" w:rsidR="003A6693" w:rsidRPr="00A8116D" w:rsidRDefault="003E3D32" w:rsidP="00F7014B">
      <w:pPr>
        <w:pStyle w:val="Heading3"/>
        <w:keepNext/>
        <w:spacing w:before="240"/>
        <w:rPr>
          <w:rFonts w:asciiTheme="minorHAnsi" w:hAnsiTheme="minorHAnsi" w:cstheme="minorHAnsi"/>
          <w:b w:val="0"/>
          <w:i/>
          <w:color w:val="822B6A"/>
        </w:rPr>
      </w:pPr>
      <w:bookmarkStart w:id="129" w:name="_Toc2019664"/>
      <w:r w:rsidRPr="00D31309">
        <w:rPr>
          <w:rFonts w:asciiTheme="minorHAnsi" w:hAnsiTheme="minorHAnsi" w:cstheme="minorHAnsi"/>
          <w:b w:val="0"/>
          <w:i/>
          <w:color w:val="822B6A"/>
        </w:rPr>
        <w:t>Justice sector response</w:t>
      </w:r>
      <w:bookmarkEnd w:id="129"/>
    </w:p>
    <w:p w14:paraId="259C5DAC" w14:textId="096E3835" w:rsidR="009930F4" w:rsidRDefault="00D42684" w:rsidP="00917BD1">
      <w:pPr>
        <w:spacing w:line="22" w:lineRule="atLeast"/>
        <w:jc w:val="both"/>
        <w:rPr>
          <w:rFonts w:asciiTheme="minorHAnsi" w:hAnsiTheme="minorHAnsi" w:cstheme="minorHAnsi"/>
          <w:b w:val="0"/>
          <w:color w:val="auto"/>
          <w:sz w:val="21"/>
          <w:szCs w:val="21"/>
          <w:u w:val="none"/>
        </w:rPr>
      </w:pPr>
      <w:r w:rsidRPr="00917BD1">
        <w:rPr>
          <w:rFonts w:asciiTheme="minorHAnsi" w:hAnsiTheme="minorHAnsi" w:cstheme="minorHAnsi"/>
          <w:b w:val="0"/>
          <w:color w:val="auto"/>
          <w:sz w:val="21"/>
          <w:szCs w:val="21"/>
          <w:u w:val="none"/>
        </w:rPr>
        <w:t>Nabilan continued to</w:t>
      </w:r>
      <w:r w:rsidR="000A2CA4" w:rsidRPr="00917BD1">
        <w:rPr>
          <w:rFonts w:asciiTheme="minorHAnsi" w:hAnsiTheme="minorHAnsi" w:cstheme="minorHAnsi"/>
          <w:b w:val="0"/>
          <w:color w:val="auto"/>
          <w:sz w:val="21"/>
          <w:szCs w:val="21"/>
          <w:u w:val="none"/>
        </w:rPr>
        <w:t xml:space="preserve"> support improved justice sector response to VAWC by</w:t>
      </w:r>
      <w:r w:rsidRPr="00917BD1">
        <w:rPr>
          <w:rFonts w:asciiTheme="minorHAnsi" w:hAnsiTheme="minorHAnsi" w:cstheme="minorHAnsi"/>
          <w:b w:val="0"/>
          <w:color w:val="auto"/>
          <w:sz w:val="21"/>
          <w:szCs w:val="21"/>
          <w:u w:val="none"/>
        </w:rPr>
        <w:t xml:space="preserve"> </w:t>
      </w:r>
      <w:r w:rsidR="006D3B9C" w:rsidRPr="00917BD1">
        <w:rPr>
          <w:rFonts w:asciiTheme="minorHAnsi" w:hAnsiTheme="minorHAnsi" w:cstheme="minorHAnsi"/>
          <w:b w:val="0"/>
          <w:color w:val="auto"/>
          <w:sz w:val="21"/>
          <w:szCs w:val="21"/>
          <w:u w:val="none"/>
        </w:rPr>
        <w:t>provid</w:t>
      </w:r>
      <w:r w:rsidR="006D3B9C">
        <w:rPr>
          <w:rFonts w:asciiTheme="minorHAnsi" w:hAnsiTheme="minorHAnsi" w:cstheme="minorHAnsi"/>
          <w:b w:val="0"/>
          <w:color w:val="auto"/>
          <w:sz w:val="21"/>
          <w:szCs w:val="21"/>
          <w:u w:val="none"/>
        </w:rPr>
        <w:t>ing</w:t>
      </w:r>
      <w:r w:rsidR="006D3B9C" w:rsidRPr="00917BD1">
        <w:rPr>
          <w:rFonts w:asciiTheme="minorHAnsi" w:hAnsiTheme="minorHAnsi" w:cstheme="minorHAnsi"/>
          <w:b w:val="0"/>
          <w:color w:val="auto"/>
          <w:sz w:val="21"/>
          <w:szCs w:val="21"/>
          <w:u w:val="none"/>
        </w:rPr>
        <w:t xml:space="preserve"> </w:t>
      </w:r>
      <w:r w:rsidRPr="00917BD1">
        <w:rPr>
          <w:rFonts w:asciiTheme="minorHAnsi" w:hAnsiTheme="minorHAnsi" w:cstheme="minorHAnsi"/>
          <w:b w:val="0"/>
          <w:color w:val="auto"/>
          <w:sz w:val="21"/>
          <w:szCs w:val="21"/>
          <w:u w:val="none"/>
        </w:rPr>
        <w:t xml:space="preserve">funding to key justice sector partners ALFeLa and JSMP. In 2015, Nabilan </w:t>
      </w:r>
      <w:r w:rsidR="003317BE" w:rsidRPr="00917BD1">
        <w:rPr>
          <w:rFonts w:asciiTheme="minorHAnsi" w:hAnsiTheme="minorHAnsi" w:cstheme="minorHAnsi"/>
          <w:b w:val="0"/>
          <w:color w:val="auto"/>
          <w:sz w:val="21"/>
          <w:szCs w:val="21"/>
          <w:u w:val="none"/>
        </w:rPr>
        <w:t>funded</w:t>
      </w:r>
      <w:r w:rsidRPr="00917BD1">
        <w:rPr>
          <w:rFonts w:asciiTheme="minorHAnsi" w:hAnsiTheme="minorHAnsi" w:cstheme="minorHAnsi"/>
          <w:b w:val="0"/>
          <w:color w:val="auto"/>
          <w:sz w:val="21"/>
          <w:szCs w:val="21"/>
          <w:u w:val="none"/>
        </w:rPr>
        <w:t xml:space="preserve"> ALFeLa to </w:t>
      </w:r>
      <w:r w:rsidR="00917BD1">
        <w:rPr>
          <w:rFonts w:asciiTheme="minorHAnsi" w:hAnsiTheme="minorHAnsi" w:cstheme="minorHAnsi"/>
          <w:b w:val="0"/>
          <w:color w:val="auto"/>
          <w:sz w:val="21"/>
          <w:szCs w:val="21"/>
          <w:u w:val="none"/>
        </w:rPr>
        <w:t>lodge</w:t>
      </w:r>
      <w:r w:rsidRPr="00917BD1">
        <w:rPr>
          <w:rFonts w:asciiTheme="minorHAnsi" w:hAnsiTheme="minorHAnsi" w:cstheme="minorHAnsi"/>
          <w:b w:val="0"/>
          <w:color w:val="auto"/>
          <w:sz w:val="21"/>
          <w:szCs w:val="21"/>
          <w:u w:val="none"/>
        </w:rPr>
        <w:t xml:space="preserve"> an individual communication </w:t>
      </w:r>
      <w:r w:rsidR="003317BE" w:rsidRPr="00917BD1">
        <w:rPr>
          <w:rFonts w:asciiTheme="minorHAnsi" w:hAnsiTheme="minorHAnsi" w:cstheme="minorHAnsi"/>
          <w:b w:val="0"/>
          <w:color w:val="auto"/>
          <w:sz w:val="21"/>
          <w:szCs w:val="21"/>
          <w:u w:val="none"/>
        </w:rPr>
        <w:t xml:space="preserve">to the Committee on the Elimination of Discrimination on behalf of a client who had been sentenced </w:t>
      </w:r>
      <w:r w:rsidR="00D31309" w:rsidRPr="00917BD1">
        <w:rPr>
          <w:rFonts w:asciiTheme="minorHAnsi" w:hAnsiTheme="minorHAnsi" w:cstheme="minorHAnsi"/>
          <w:b w:val="0"/>
          <w:color w:val="auto"/>
          <w:sz w:val="21"/>
          <w:szCs w:val="21"/>
          <w:u w:val="none"/>
        </w:rPr>
        <w:t>for</w:t>
      </w:r>
      <w:r w:rsidR="003317BE" w:rsidRPr="00917BD1">
        <w:rPr>
          <w:rFonts w:asciiTheme="minorHAnsi" w:hAnsiTheme="minorHAnsi" w:cstheme="minorHAnsi"/>
          <w:b w:val="0"/>
          <w:color w:val="auto"/>
          <w:sz w:val="21"/>
          <w:szCs w:val="21"/>
          <w:u w:val="none"/>
        </w:rPr>
        <w:t xml:space="preserve"> </w:t>
      </w:r>
      <w:r w:rsidR="00D31309" w:rsidRPr="00917BD1">
        <w:rPr>
          <w:rFonts w:asciiTheme="minorHAnsi" w:hAnsiTheme="minorHAnsi" w:cstheme="minorHAnsi"/>
          <w:b w:val="0"/>
          <w:color w:val="auto"/>
          <w:sz w:val="21"/>
          <w:szCs w:val="21"/>
          <w:u w:val="none"/>
        </w:rPr>
        <w:t>killing</w:t>
      </w:r>
      <w:r w:rsidR="003317BE" w:rsidRPr="00917BD1">
        <w:rPr>
          <w:rFonts w:asciiTheme="minorHAnsi" w:hAnsiTheme="minorHAnsi" w:cstheme="minorHAnsi"/>
          <w:b w:val="0"/>
          <w:color w:val="auto"/>
          <w:sz w:val="21"/>
          <w:szCs w:val="21"/>
          <w:u w:val="none"/>
        </w:rPr>
        <w:t xml:space="preserve"> her husband while acting in self-defence. On 26 February 2018, the Committee made its recommendations to the </w:t>
      </w:r>
      <w:r w:rsidR="00921ED8" w:rsidRPr="00917BD1">
        <w:rPr>
          <w:rFonts w:asciiTheme="minorHAnsi" w:hAnsiTheme="minorHAnsi" w:cstheme="minorHAnsi"/>
          <w:b w:val="0"/>
          <w:color w:val="auto"/>
          <w:sz w:val="21"/>
          <w:szCs w:val="21"/>
          <w:u w:val="none"/>
        </w:rPr>
        <w:t>GoTL</w:t>
      </w:r>
      <w:r w:rsidR="003317BE" w:rsidRPr="00917BD1">
        <w:rPr>
          <w:rFonts w:asciiTheme="minorHAnsi" w:hAnsiTheme="minorHAnsi" w:cstheme="minorHAnsi"/>
          <w:b w:val="0"/>
          <w:color w:val="auto"/>
          <w:sz w:val="21"/>
          <w:szCs w:val="21"/>
          <w:u w:val="none"/>
        </w:rPr>
        <w:t>, finding that the</w:t>
      </w:r>
      <w:r w:rsidR="00FE59B3" w:rsidRPr="00917BD1">
        <w:rPr>
          <w:rFonts w:asciiTheme="minorHAnsi" w:hAnsiTheme="minorHAnsi" w:cstheme="minorHAnsi"/>
          <w:b w:val="0"/>
          <w:color w:val="auto"/>
          <w:sz w:val="21"/>
          <w:szCs w:val="21"/>
          <w:u w:val="none"/>
        </w:rPr>
        <w:t>re have been systemic failures in preventing domestic violence in this case and that the client had been discriminated against by the justice sector. This was a highly significant decision, and the first time Timor-Leste has used the individual communication</w:t>
      </w:r>
      <w:r w:rsidR="00917BD1">
        <w:rPr>
          <w:rFonts w:asciiTheme="minorHAnsi" w:hAnsiTheme="minorHAnsi" w:cstheme="minorHAnsi"/>
          <w:b w:val="0"/>
          <w:color w:val="auto"/>
          <w:sz w:val="21"/>
          <w:szCs w:val="21"/>
          <w:u w:val="none"/>
        </w:rPr>
        <w:t>s</w:t>
      </w:r>
      <w:r w:rsidR="00FE59B3" w:rsidRPr="00917BD1">
        <w:rPr>
          <w:rFonts w:asciiTheme="minorHAnsi" w:hAnsiTheme="minorHAnsi" w:cstheme="minorHAnsi"/>
          <w:b w:val="0"/>
          <w:color w:val="auto"/>
          <w:sz w:val="21"/>
          <w:szCs w:val="21"/>
          <w:u w:val="none"/>
        </w:rPr>
        <w:t xml:space="preserve"> mechanism. </w:t>
      </w:r>
      <w:r w:rsidR="003317BE" w:rsidRPr="00917BD1">
        <w:rPr>
          <w:rFonts w:asciiTheme="minorHAnsi" w:hAnsiTheme="minorHAnsi" w:cstheme="minorHAnsi"/>
          <w:b w:val="0"/>
          <w:color w:val="auto"/>
          <w:sz w:val="21"/>
          <w:szCs w:val="21"/>
          <w:u w:val="none"/>
        </w:rPr>
        <w:t>The Committee’s recommendations have implications for how the police, community leaders, and the justice sector must respond to domestic violence.</w:t>
      </w:r>
      <w:r w:rsidR="00784162" w:rsidRPr="00917BD1">
        <w:rPr>
          <w:rFonts w:asciiTheme="minorHAnsi" w:hAnsiTheme="minorHAnsi" w:cstheme="minorHAnsi"/>
          <w:b w:val="0"/>
          <w:color w:val="auto"/>
          <w:sz w:val="21"/>
          <w:szCs w:val="21"/>
          <w:u w:val="none"/>
        </w:rPr>
        <w:t xml:space="preserve"> ALFeLa continued advocacy on adoption of these recommendations with the Prime Minister’s Office and SEII. </w:t>
      </w:r>
      <w:r w:rsidR="003317BE" w:rsidRPr="00917BD1">
        <w:rPr>
          <w:rFonts w:asciiTheme="minorHAnsi" w:hAnsiTheme="minorHAnsi" w:cstheme="minorHAnsi"/>
          <w:b w:val="0"/>
          <w:color w:val="auto"/>
          <w:sz w:val="21"/>
          <w:szCs w:val="21"/>
          <w:u w:val="none"/>
        </w:rPr>
        <w:t xml:space="preserve"> </w:t>
      </w:r>
    </w:p>
    <w:p w14:paraId="632AA60E" w14:textId="38482D6A" w:rsidR="00DB3056" w:rsidRPr="00917BD1" w:rsidRDefault="00FE59B3" w:rsidP="00917BD1">
      <w:pPr>
        <w:spacing w:line="22" w:lineRule="atLeast"/>
        <w:jc w:val="both"/>
        <w:rPr>
          <w:rFonts w:asciiTheme="minorHAnsi" w:hAnsiTheme="minorHAnsi" w:cstheme="minorHAnsi"/>
          <w:b w:val="0"/>
          <w:color w:val="auto"/>
          <w:sz w:val="21"/>
          <w:szCs w:val="21"/>
          <w:u w:val="none"/>
        </w:rPr>
      </w:pPr>
      <w:r w:rsidRPr="00917BD1">
        <w:rPr>
          <w:rFonts w:asciiTheme="minorHAnsi" w:hAnsiTheme="minorHAnsi" w:cstheme="minorHAnsi"/>
          <w:b w:val="0"/>
          <w:color w:val="auto"/>
          <w:sz w:val="21"/>
          <w:szCs w:val="21"/>
          <w:u w:val="none"/>
        </w:rPr>
        <w:t>JSMP continued to monitor the courts and advocate on key issues. In 2018, JSMP monitored a total of 1,008 cases</w:t>
      </w:r>
      <w:r w:rsidR="00D31309" w:rsidRPr="00917BD1">
        <w:rPr>
          <w:rFonts w:asciiTheme="minorHAnsi" w:hAnsiTheme="minorHAnsi" w:cstheme="minorHAnsi"/>
          <w:b w:val="0"/>
          <w:color w:val="auto"/>
          <w:sz w:val="21"/>
          <w:szCs w:val="21"/>
          <w:u w:val="none"/>
        </w:rPr>
        <w:t xml:space="preserve"> (644 domestic violence cases; 55 sexual violence cases, 409 other cases)</w:t>
      </w:r>
      <w:r w:rsidR="004A64CB" w:rsidRPr="00917BD1">
        <w:rPr>
          <w:rFonts w:asciiTheme="minorHAnsi" w:hAnsiTheme="minorHAnsi" w:cstheme="minorHAnsi"/>
          <w:b w:val="0"/>
          <w:color w:val="auto"/>
          <w:sz w:val="21"/>
          <w:szCs w:val="21"/>
          <w:u w:val="none"/>
        </w:rPr>
        <w:t xml:space="preserve">, an increase from </w:t>
      </w:r>
      <w:r w:rsidRPr="00917BD1">
        <w:rPr>
          <w:rFonts w:asciiTheme="minorHAnsi" w:hAnsiTheme="minorHAnsi" w:cstheme="minorHAnsi"/>
          <w:b w:val="0"/>
          <w:color w:val="auto"/>
          <w:sz w:val="21"/>
          <w:szCs w:val="21"/>
          <w:u w:val="none"/>
        </w:rPr>
        <w:t>836 cases monitored in 2017</w:t>
      </w:r>
      <w:r w:rsidR="00D31309" w:rsidRPr="00917BD1">
        <w:rPr>
          <w:rFonts w:asciiTheme="minorHAnsi" w:hAnsiTheme="minorHAnsi" w:cstheme="minorHAnsi"/>
          <w:b w:val="0"/>
          <w:color w:val="auto"/>
          <w:sz w:val="21"/>
          <w:szCs w:val="21"/>
          <w:u w:val="none"/>
        </w:rPr>
        <w:t xml:space="preserve"> (403 domestic violence cases; </w:t>
      </w:r>
      <w:r w:rsidR="00A8777F" w:rsidRPr="00917BD1">
        <w:rPr>
          <w:rFonts w:asciiTheme="minorHAnsi" w:hAnsiTheme="minorHAnsi" w:cstheme="minorHAnsi"/>
          <w:b w:val="0"/>
          <w:color w:val="auto"/>
          <w:sz w:val="21"/>
          <w:szCs w:val="21"/>
          <w:u w:val="none"/>
        </w:rPr>
        <w:t>29 sexual violence cases, 404 other cases)</w:t>
      </w:r>
      <w:r w:rsidRPr="00917BD1">
        <w:rPr>
          <w:rFonts w:asciiTheme="minorHAnsi" w:hAnsiTheme="minorHAnsi" w:cstheme="minorHAnsi"/>
          <w:b w:val="0"/>
          <w:color w:val="auto"/>
          <w:sz w:val="21"/>
          <w:szCs w:val="21"/>
          <w:u w:val="none"/>
        </w:rPr>
        <w:t xml:space="preserve">. </w:t>
      </w:r>
      <w:r w:rsidR="004A64CB" w:rsidRPr="00917BD1">
        <w:rPr>
          <w:rFonts w:asciiTheme="minorHAnsi" w:hAnsiTheme="minorHAnsi" w:cstheme="minorHAnsi"/>
          <w:b w:val="0"/>
          <w:color w:val="auto"/>
          <w:sz w:val="21"/>
          <w:szCs w:val="21"/>
          <w:u w:val="none"/>
        </w:rPr>
        <w:t xml:space="preserve"> </w:t>
      </w:r>
    </w:p>
    <w:p w14:paraId="5FE385D4" w14:textId="44E98DEB" w:rsidR="00143AC6" w:rsidRPr="00917BD1" w:rsidRDefault="004A64CB" w:rsidP="00705BD3">
      <w:pPr>
        <w:spacing w:line="22" w:lineRule="atLeast"/>
        <w:jc w:val="both"/>
        <w:rPr>
          <w:rFonts w:asciiTheme="minorHAnsi" w:hAnsiTheme="minorHAnsi" w:cstheme="minorHAnsi"/>
          <w:b w:val="0"/>
          <w:color w:val="auto"/>
          <w:sz w:val="21"/>
          <w:szCs w:val="21"/>
          <w:u w:val="none"/>
        </w:rPr>
      </w:pPr>
      <w:r w:rsidRPr="00917BD1">
        <w:rPr>
          <w:rFonts w:asciiTheme="minorHAnsi" w:hAnsiTheme="minorHAnsi" w:cstheme="minorHAnsi"/>
          <w:b w:val="0"/>
          <w:color w:val="auto"/>
          <w:sz w:val="21"/>
          <w:szCs w:val="21"/>
          <w:u w:val="none"/>
        </w:rPr>
        <w:t>There has been no progress in improving charging and sentencing in domestic violence cases. There has been no increase in the number of domestic violence cases resulting in a conditional suspended sentence</w:t>
      </w:r>
      <w:r w:rsidR="00975B34" w:rsidRPr="00917BD1">
        <w:rPr>
          <w:rFonts w:asciiTheme="minorHAnsi" w:hAnsiTheme="minorHAnsi" w:cstheme="minorHAnsi"/>
          <w:b w:val="0"/>
          <w:color w:val="auto"/>
          <w:sz w:val="21"/>
          <w:szCs w:val="21"/>
          <w:u w:val="none"/>
        </w:rPr>
        <w:t>.</w:t>
      </w:r>
      <w:r w:rsidRPr="00917BD1">
        <w:rPr>
          <w:rFonts w:asciiTheme="minorHAnsi" w:hAnsiTheme="minorHAnsi" w:cstheme="minorHAnsi"/>
          <w:b w:val="0"/>
          <w:color w:val="auto"/>
          <w:sz w:val="21"/>
          <w:szCs w:val="21"/>
          <w:u w:val="none"/>
        </w:rPr>
        <w:t xml:space="preserve"> In 2017 and 2018, the per</w:t>
      </w:r>
      <w:r w:rsidR="00975B34" w:rsidRPr="00917BD1">
        <w:rPr>
          <w:rFonts w:asciiTheme="minorHAnsi" w:hAnsiTheme="minorHAnsi" w:cstheme="minorHAnsi"/>
          <w:b w:val="0"/>
          <w:color w:val="auto"/>
          <w:sz w:val="21"/>
          <w:szCs w:val="21"/>
          <w:u w:val="none"/>
        </w:rPr>
        <w:t xml:space="preserve">centage of domestic violence cases monitored resulting in a conditional suspended sentence has remained steady at </w:t>
      </w:r>
      <w:r w:rsidR="00A8777F" w:rsidRPr="00917BD1">
        <w:rPr>
          <w:rFonts w:asciiTheme="minorHAnsi" w:hAnsiTheme="minorHAnsi" w:cstheme="minorHAnsi"/>
          <w:b w:val="0"/>
          <w:color w:val="auto"/>
          <w:sz w:val="21"/>
          <w:szCs w:val="21"/>
          <w:u w:val="none"/>
        </w:rPr>
        <w:t>5%</w:t>
      </w:r>
      <w:r w:rsidR="00975B34" w:rsidRPr="00917BD1">
        <w:rPr>
          <w:rFonts w:asciiTheme="minorHAnsi" w:hAnsiTheme="minorHAnsi" w:cstheme="minorHAnsi"/>
          <w:b w:val="0"/>
          <w:color w:val="auto"/>
          <w:sz w:val="21"/>
          <w:szCs w:val="21"/>
          <w:u w:val="none"/>
        </w:rPr>
        <w:t xml:space="preserve">. </w:t>
      </w:r>
      <w:r w:rsidR="009833EC" w:rsidRPr="00917BD1">
        <w:rPr>
          <w:rFonts w:asciiTheme="minorHAnsi" w:hAnsiTheme="minorHAnsi" w:cstheme="minorHAnsi"/>
          <w:b w:val="0"/>
          <w:color w:val="auto"/>
          <w:sz w:val="21"/>
          <w:szCs w:val="21"/>
          <w:u w:val="none"/>
        </w:rPr>
        <w:t xml:space="preserve">The application of the more serious charge of mistreatment of a spouse or serious assault in domestic violence cases has </w:t>
      </w:r>
      <w:r w:rsidR="00A8777F" w:rsidRPr="00917BD1">
        <w:rPr>
          <w:rFonts w:asciiTheme="minorHAnsi" w:hAnsiTheme="minorHAnsi" w:cstheme="minorHAnsi"/>
          <w:b w:val="0"/>
          <w:color w:val="auto"/>
          <w:sz w:val="21"/>
          <w:szCs w:val="21"/>
          <w:u w:val="none"/>
        </w:rPr>
        <w:t xml:space="preserve">marginally </w:t>
      </w:r>
      <w:r w:rsidR="009930F4" w:rsidRPr="00917BD1">
        <w:rPr>
          <w:rFonts w:asciiTheme="minorHAnsi" w:hAnsiTheme="minorHAnsi" w:cstheme="minorHAnsi"/>
          <w:b w:val="0"/>
          <w:noProof/>
          <w:color w:val="auto"/>
          <w:sz w:val="21"/>
          <w:szCs w:val="21"/>
          <w:u w:val="none"/>
        </w:rPr>
        <w:drawing>
          <wp:anchor distT="0" distB="0" distL="114300" distR="114300" simplePos="0" relativeHeight="251806720" behindDoc="1" locked="0" layoutInCell="1" allowOverlap="1" wp14:anchorId="4EF64CE8" wp14:editId="2FE3AECC">
            <wp:simplePos x="0" y="0"/>
            <wp:positionH relativeFrom="column">
              <wp:posOffset>-266700</wp:posOffset>
            </wp:positionH>
            <wp:positionV relativeFrom="page">
              <wp:posOffset>871220</wp:posOffset>
            </wp:positionV>
            <wp:extent cx="3148330" cy="2286000"/>
            <wp:effectExtent l="0" t="0" r="0" b="0"/>
            <wp:wrapTight wrapText="bothSides">
              <wp:wrapPolygon edited="0">
                <wp:start x="0" y="0"/>
                <wp:lineTo x="0" y="21420"/>
                <wp:lineTo x="21434" y="21420"/>
                <wp:lineTo x="21434" y="0"/>
                <wp:lineTo x="0" y="0"/>
              </wp:wrapPolygon>
            </wp:wrapTight>
            <wp:docPr id="16" name="Chart 16">
              <a:extLst xmlns:a="http://schemas.openxmlformats.org/drawingml/2006/main">
                <a:ext uri="{FF2B5EF4-FFF2-40B4-BE49-F238E27FC236}">
                  <a16:creationId xmlns:a16="http://schemas.microsoft.com/office/drawing/2014/main" id="{7157F8F9-F9AE-4888-9FAD-58E43694F8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margin">
              <wp14:pctWidth>0</wp14:pctWidth>
            </wp14:sizeRelH>
            <wp14:sizeRelV relativeFrom="margin">
              <wp14:pctHeight>0</wp14:pctHeight>
            </wp14:sizeRelV>
          </wp:anchor>
        </w:drawing>
      </w:r>
      <w:r w:rsidR="009833EC" w:rsidRPr="00917BD1">
        <w:rPr>
          <w:rFonts w:asciiTheme="minorHAnsi" w:hAnsiTheme="minorHAnsi" w:cstheme="minorHAnsi"/>
          <w:b w:val="0"/>
          <w:color w:val="auto"/>
          <w:sz w:val="21"/>
          <w:szCs w:val="21"/>
          <w:u w:val="none"/>
        </w:rPr>
        <w:t xml:space="preserve">decreased (9% in 2018 compared with 10% in 2017). </w:t>
      </w:r>
      <w:r w:rsidR="00975B34" w:rsidRPr="00917BD1">
        <w:rPr>
          <w:rFonts w:asciiTheme="minorHAnsi" w:hAnsiTheme="minorHAnsi" w:cstheme="minorHAnsi"/>
          <w:b w:val="0"/>
          <w:color w:val="auto"/>
          <w:sz w:val="21"/>
          <w:szCs w:val="21"/>
          <w:u w:val="none"/>
        </w:rPr>
        <w:t xml:space="preserve">The use of fines has increased (14% in 2018 compared with 11% in 2017). </w:t>
      </w:r>
      <w:r w:rsidR="00A84E45" w:rsidRPr="00917BD1">
        <w:rPr>
          <w:rFonts w:asciiTheme="minorHAnsi" w:hAnsiTheme="minorHAnsi" w:cstheme="minorHAnsi"/>
          <w:b w:val="0"/>
          <w:color w:val="auto"/>
          <w:sz w:val="21"/>
          <w:szCs w:val="21"/>
          <w:u w:val="none"/>
        </w:rPr>
        <w:t xml:space="preserve">While JSMP is continuing to advocate within its sphere of influence, progress against these three indicators are not on track. Nabilan will review its </w:t>
      </w:r>
      <w:r w:rsidR="00146063" w:rsidRPr="00917BD1">
        <w:rPr>
          <w:rFonts w:asciiTheme="minorHAnsi" w:hAnsiTheme="minorHAnsi" w:cstheme="minorHAnsi"/>
          <w:b w:val="0"/>
          <w:color w:val="auto"/>
          <w:sz w:val="21"/>
          <w:szCs w:val="21"/>
          <w:u w:val="none"/>
        </w:rPr>
        <w:t xml:space="preserve">programming </w:t>
      </w:r>
      <w:r w:rsidR="00A84E45" w:rsidRPr="00917BD1">
        <w:rPr>
          <w:rFonts w:asciiTheme="minorHAnsi" w:hAnsiTheme="minorHAnsi" w:cstheme="minorHAnsi"/>
          <w:b w:val="0"/>
          <w:color w:val="auto"/>
          <w:sz w:val="21"/>
          <w:szCs w:val="21"/>
          <w:u w:val="none"/>
        </w:rPr>
        <w:t>in the justice sector in 2019.</w:t>
      </w:r>
    </w:p>
    <w:p w14:paraId="01A40D7F" w14:textId="77777777" w:rsidR="009930F4" w:rsidRDefault="00784162" w:rsidP="00D27A4C">
      <w:pPr>
        <w:spacing w:line="22" w:lineRule="atLeast"/>
        <w:jc w:val="both"/>
        <w:rPr>
          <w:rFonts w:asciiTheme="minorHAnsi" w:hAnsiTheme="minorHAnsi" w:cstheme="minorHAnsi"/>
          <w:b w:val="0"/>
          <w:color w:val="auto"/>
          <w:sz w:val="21"/>
          <w:szCs w:val="21"/>
          <w:u w:val="none"/>
        </w:rPr>
      </w:pPr>
      <w:r w:rsidRPr="00917BD1">
        <w:rPr>
          <w:rFonts w:asciiTheme="minorHAnsi" w:hAnsiTheme="minorHAnsi" w:cstheme="minorHAnsi"/>
          <w:b w:val="0"/>
          <w:color w:val="auto"/>
          <w:sz w:val="21"/>
          <w:szCs w:val="21"/>
          <w:u w:val="none"/>
        </w:rPr>
        <w:t xml:space="preserve">JSMP is continuing to develop a guide to the Penal Code, which aims to improve the understanding of key provisions in the Penal Code on physical assault and sexual assault, as well as the Law Against Domestic Violence. There is now support from the Legal Training Centre and Ministry of Justice for this project. </w:t>
      </w:r>
    </w:p>
    <w:p w14:paraId="7081900F" w14:textId="03B645B6" w:rsidR="00FB2298" w:rsidRPr="009930F4" w:rsidRDefault="00397F20" w:rsidP="00D27A4C">
      <w:pPr>
        <w:spacing w:line="22" w:lineRule="atLeast"/>
        <w:jc w:val="both"/>
        <w:rPr>
          <w:rFonts w:asciiTheme="minorHAnsi" w:hAnsiTheme="minorHAnsi" w:cstheme="minorHAnsi"/>
          <w:b w:val="0"/>
          <w:color w:val="auto"/>
          <w:sz w:val="21"/>
          <w:szCs w:val="21"/>
          <w:u w:val="none"/>
        </w:rPr>
      </w:pPr>
      <w:r w:rsidRPr="00D27A4C">
        <w:rPr>
          <w:rFonts w:asciiTheme="minorHAnsi" w:hAnsiTheme="minorHAnsi" w:cstheme="minorHAnsi"/>
          <w:color w:val="822B6A"/>
          <w:sz w:val="21"/>
          <w:szCs w:val="21"/>
          <w:u w:val="none"/>
        </w:rPr>
        <w:t xml:space="preserve">Recommendation: </w:t>
      </w:r>
      <w:bookmarkStart w:id="130" w:name="_Hlk1999473"/>
      <w:r w:rsidRPr="00D27A4C">
        <w:rPr>
          <w:rFonts w:asciiTheme="minorHAnsi" w:hAnsiTheme="minorHAnsi" w:cstheme="minorHAnsi"/>
          <w:b w:val="0"/>
          <w:color w:val="822B6A"/>
          <w:sz w:val="21"/>
          <w:szCs w:val="21"/>
          <w:u w:val="none"/>
        </w:rPr>
        <w:t xml:space="preserve">Review Nabilan’s programming in the justice sector, particularly the balance between JSMP’s court monitoring work versus its advocacy work. A change in advocacy goals should be considered, for example moving away from the focus on charging and sentencing, and more on </w:t>
      </w:r>
      <w:r w:rsidR="00784162" w:rsidRPr="00D27A4C">
        <w:rPr>
          <w:rFonts w:asciiTheme="minorHAnsi" w:hAnsiTheme="minorHAnsi" w:cstheme="minorHAnsi"/>
          <w:b w:val="0"/>
          <w:color w:val="822B6A"/>
          <w:sz w:val="21"/>
          <w:szCs w:val="21"/>
          <w:u w:val="none"/>
        </w:rPr>
        <w:t>practical monitoring mechanisms for those on suspended sentences.</w:t>
      </w:r>
      <w:r w:rsidR="00784162" w:rsidRPr="00BF4F0F">
        <w:rPr>
          <w:rFonts w:asciiTheme="minorHAnsi" w:hAnsiTheme="minorHAnsi" w:cstheme="minorHAnsi"/>
          <w:b w:val="0"/>
          <w:color w:val="auto"/>
          <w:u w:val="none"/>
        </w:rPr>
        <w:t xml:space="preserve"> </w:t>
      </w:r>
      <w:bookmarkStart w:id="131" w:name="_Toc531966540"/>
      <w:bookmarkStart w:id="132" w:name="_Hlk514589420"/>
      <w:bookmarkEnd w:id="130"/>
      <w:r w:rsidR="00FB2298" w:rsidRPr="00BF4F0F">
        <w:rPr>
          <w:rFonts w:asciiTheme="minorHAnsi" w:hAnsiTheme="minorHAnsi" w:cstheme="minorHAnsi"/>
        </w:rPr>
        <w:br w:type="page"/>
      </w:r>
    </w:p>
    <w:bookmarkStart w:id="133" w:name="_Toc425348"/>
    <w:bookmarkStart w:id="134" w:name="_Toc437972"/>
    <w:bookmarkStart w:id="135" w:name="_Toc1902718"/>
    <w:bookmarkStart w:id="136" w:name="_Hlk518257203"/>
    <w:bookmarkEnd w:id="97"/>
    <w:bookmarkEnd w:id="98"/>
    <w:bookmarkEnd w:id="99"/>
    <w:bookmarkEnd w:id="100"/>
    <w:bookmarkEnd w:id="131"/>
    <w:bookmarkEnd w:id="132"/>
    <w:p w14:paraId="0BB53033" w14:textId="63822A6C" w:rsidR="00FE7ED1" w:rsidRDefault="00DE0260" w:rsidP="00447313">
      <w:pPr>
        <w:autoSpaceDE/>
        <w:autoSpaceDN/>
        <w:adjustRightInd/>
        <w:spacing w:before="60" w:after="60"/>
        <w:ind w:left="3686" w:hanging="851"/>
        <w:jc w:val="both"/>
        <w:textAlignment w:val="auto"/>
        <w:rPr>
          <w:rFonts w:asciiTheme="minorHAnsi" w:hAnsiTheme="minorHAnsi" w:cstheme="minorHAnsi"/>
          <w:bCs/>
          <w:color w:val="822B6A"/>
          <w:kern w:val="32"/>
          <w:sz w:val="28"/>
          <w:szCs w:val="28"/>
          <w:u w:val="none"/>
        </w:rPr>
      </w:pPr>
      <w:r>
        <w:rPr>
          <w:rFonts w:asciiTheme="minorHAnsi" w:hAnsiTheme="minorHAnsi" w:cstheme="minorHAnsi"/>
          <w:b w:val="0"/>
          <w:noProof/>
          <w:color w:val="auto"/>
          <w:u w:val="none"/>
        </w:rPr>
        <mc:AlternateContent>
          <mc:Choice Requires="wps">
            <w:drawing>
              <wp:anchor distT="0" distB="0" distL="114300" distR="114300" simplePos="0" relativeHeight="251753472" behindDoc="0" locked="0" layoutInCell="1" allowOverlap="1" wp14:anchorId="2F6290A4" wp14:editId="150DE726">
                <wp:simplePos x="0" y="0"/>
                <wp:positionH relativeFrom="column">
                  <wp:posOffset>-437292</wp:posOffset>
                </wp:positionH>
                <wp:positionV relativeFrom="paragraph">
                  <wp:posOffset>-734175</wp:posOffset>
                </wp:positionV>
                <wp:extent cx="3526971" cy="422275"/>
                <wp:effectExtent l="0" t="0" r="0" b="0"/>
                <wp:wrapNone/>
                <wp:docPr id="45" name="Text Box 45"/>
                <wp:cNvGraphicFramePr/>
                <a:graphic xmlns:a="http://schemas.openxmlformats.org/drawingml/2006/main">
                  <a:graphicData uri="http://schemas.microsoft.com/office/word/2010/wordprocessingShape">
                    <wps:wsp>
                      <wps:cNvSpPr txBox="1"/>
                      <wps:spPr>
                        <a:xfrm>
                          <a:off x="0" y="0"/>
                          <a:ext cx="3526971" cy="422275"/>
                        </a:xfrm>
                        <a:prstGeom prst="rect">
                          <a:avLst/>
                        </a:prstGeom>
                        <a:noFill/>
                        <a:ln w="6350">
                          <a:noFill/>
                        </a:ln>
                      </wps:spPr>
                      <wps:txbx>
                        <w:txbxContent>
                          <w:p w14:paraId="21A1501F" w14:textId="2492BB96" w:rsidR="00ED4461" w:rsidRPr="00DE0260" w:rsidRDefault="00ED4461" w:rsidP="00FE7ED1">
                            <w:pPr>
                              <w:rPr>
                                <w:rFonts w:asciiTheme="minorHAnsi" w:hAnsiTheme="minorHAnsi" w:cstheme="minorHAnsi"/>
                                <w:b w:val="0"/>
                                <w:color w:val="auto"/>
                                <w:sz w:val="18"/>
                                <w:szCs w:val="18"/>
                                <w:u w:val="none"/>
                                <w:lang w:val="en-US"/>
                              </w:rPr>
                            </w:pPr>
                            <w:r w:rsidRPr="00DE0260">
                              <w:rPr>
                                <w:rFonts w:asciiTheme="minorHAnsi" w:hAnsiTheme="minorHAnsi" w:cstheme="minorHAnsi"/>
                                <w:b w:val="0"/>
                                <w:color w:val="auto"/>
                                <w:sz w:val="18"/>
                                <w:szCs w:val="18"/>
                                <w:u w:val="none"/>
                                <w:lang w:val="en-US"/>
                              </w:rPr>
                              <w:t xml:space="preserve">Community </w:t>
                            </w:r>
                            <w:r>
                              <w:rPr>
                                <w:rFonts w:asciiTheme="minorHAnsi" w:hAnsiTheme="minorHAnsi" w:cstheme="minorHAnsi"/>
                                <w:b w:val="0"/>
                                <w:color w:val="auto"/>
                                <w:sz w:val="18"/>
                                <w:szCs w:val="18"/>
                                <w:u w:val="none"/>
                                <w:lang w:val="en-US"/>
                              </w:rPr>
                              <w:t xml:space="preserve">events </w:t>
                            </w:r>
                            <w:r w:rsidRPr="00DE0260">
                              <w:rPr>
                                <w:rFonts w:asciiTheme="minorHAnsi" w:hAnsiTheme="minorHAnsi" w:cstheme="minorHAnsi"/>
                                <w:b w:val="0"/>
                                <w:color w:val="auto"/>
                                <w:sz w:val="18"/>
                                <w:szCs w:val="18"/>
                                <w:u w:val="none"/>
                                <w:lang w:val="en-US"/>
                              </w:rPr>
                              <w:t>in Suku Letefoho to celebrate the 16 Days of Activism Against Gender-Based Violence, 10 December 2018</w:t>
                            </w:r>
                          </w:p>
                          <w:p w14:paraId="22E16523" w14:textId="77777777" w:rsidR="00ED4461" w:rsidRPr="00DE0260" w:rsidRDefault="00ED4461">
                            <w:pPr>
                              <w:rPr>
                                <w:color w:val="aut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F6290A4" id="Text Box 45" o:spid="_x0000_s1030" type="#_x0000_t202" style="position:absolute;left:0;text-align:left;margin-left:-34.45pt;margin-top:-57.8pt;width:277.7pt;height:33.2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" filled="f" stroked="f" strokeweight=".5pt">
                <v:textbox>
                  <w:txbxContent>
                    <w:p w14:paraId="21A1501F" w14:textId="2492BB96" w:rsidR="00ED4461" w:rsidRPr="00DE0260" w:rsidRDefault="00ED4461" w:rsidP="00FE7ED1">
                      <w:pPr>
                        <w:rPr>
                          <w:rFonts w:asciiTheme="minorHAnsi" w:hAnsiTheme="minorHAnsi" w:cstheme="minorHAnsi"/>
                          <w:b w:val="0"/>
                          <w:color w:val="auto"/>
                          <w:sz w:val="18"/>
                          <w:szCs w:val="18"/>
                          <w:u w:val="none"/>
                          <w:lang w:val="en-US"/>
                        </w:rPr>
                      </w:pPr>
                      <w:r w:rsidRPr="00DE0260">
                        <w:rPr>
                          <w:rFonts w:asciiTheme="minorHAnsi" w:hAnsiTheme="minorHAnsi" w:cstheme="minorHAnsi"/>
                          <w:b w:val="0"/>
                          <w:color w:val="auto"/>
                          <w:sz w:val="18"/>
                          <w:szCs w:val="18"/>
                          <w:u w:val="none"/>
                          <w:lang w:val="en-US"/>
                        </w:rPr>
                        <w:t xml:space="preserve">Community </w:t>
                      </w:r>
                      <w:r>
                        <w:rPr>
                          <w:rFonts w:asciiTheme="minorHAnsi" w:hAnsiTheme="minorHAnsi" w:cstheme="minorHAnsi"/>
                          <w:b w:val="0"/>
                          <w:color w:val="auto"/>
                          <w:sz w:val="18"/>
                          <w:szCs w:val="18"/>
                          <w:u w:val="none"/>
                          <w:lang w:val="en-US"/>
                        </w:rPr>
                        <w:t xml:space="preserve">events </w:t>
                      </w:r>
                      <w:r w:rsidRPr="00DE0260">
                        <w:rPr>
                          <w:rFonts w:asciiTheme="minorHAnsi" w:hAnsiTheme="minorHAnsi" w:cstheme="minorHAnsi"/>
                          <w:b w:val="0"/>
                          <w:color w:val="auto"/>
                          <w:sz w:val="18"/>
                          <w:szCs w:val="18"/>
                          <w:u w:val="none"/>
                          <w:lang w:val="en-US"/>
                        </w:rPr>
                        <w:t>in Suku Letefoho to celebrate the 16 Days of Activism Against Gender-Based Violence, 10 December 2018</w:t>
                      </w:r>
                    </w:p>
                    <w:p w14:paraId="22E16523" w14:textId="77777777" w:rsidR="00ED4461" w:rsidRPr="00DE0260" w:rsidRDefault="00ED4461">
                      <w:pPr>
                        <w:rPr>
                          <w:color w:val="auto"/>
                        </w:rPr>
                      </w:pPr>
                    </w:p>
                  </w:txbxContent>
                </v:textbox>
              </v:shape>
            </w:pict>
          </mc:Fallback>
        </mc:AlternateContent>
      </w:r>
      <w:r>
        <w:rPr>
          <w:rFonts w:asciiTheme="minorHAnsi" w:hAnsiTheme="minorHAnsi" w:cstheme="minorHAnsi"/>
          <w:noProof/>
          <w:color w:val="A94457"/>
          <w:sz w:val="56"/>
          <w:szCs w:val="56"/>
        </w:rPr>
        <w:drawing>
          <wp:anchor distT="0" distB="0" distL="114300" distR="114300" simplePos="0" relativeHeight="251794432" behindDoc="1" locked="0" layoutInCell="1" allowOverlap="1" wp14:anchorId="28229F46" wp14:editId="1358634A">
            <wp:simplePos x="0" y="0"/>
            <wp:positionH relativeFrom="column">
              <wp:posOffset>-2039678</wp:posOffset>
            </wp:positionH>
            <wp:positionV relativeFrom="paragraph">
              <wp:posOffset>-1125468</wp:posOffset>
            </wp:positionV>
            <wp:extent cx="12860977" cy="10907901"/>
            <wp:effectExtent l="0" t="0" r="0" b="825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2860977" cy="10907901"/>
                    </a:xfrm>
                    <a:prstGeom prst="rect">
                      <a:avLst/>
                    </a:prstGeom>
                    <a:noFill/>
                    <a:ln>
                      <a:noFill/>
                    </a:ln>
                  </pic:spPr>
                </pic:pic>
              </a:graphicData>
            </a:graphic>
            <wp14:sizeRelH relativeFrom="page">
              <wp14:pctWidth>0</wp14:pctWidth>
            </wp14:sizeRelH>
            <wp14:sizeRelV relativeFrom="page">
              <wp14:pctHeight>0</wp14:pctHeight>
            </wp14:sizeRelV>
          </wp:anchor>
        </w:drawing>
      </w:r>
      <w:r w:rsidR="00FE7ED1" w:rsidRPr="00BF4F0F">
        <w:rPr>
          <w:rStyle w:val="Style1Char"/>
          <w:rFonts w:asciiTheme="minorHAnsi" w:hAnsiTheme="minorHAnsi" w:cstheme="minorHAnsi"/>
          <w:bCs w:val="0"/>
          <w:noProof/>
          <w:color w:val="auto"/>
          <w:kern w:val="0"/>
          <w:sz w:val="22"/>
          <w:szCs w:val="22"/>
          <w:u w:val="none"/>
        </w:rPr>
        <mc:AlternateContent>
          <mc:Choice Requires="wps">
            <w:drawing>
              <wp:anchor distT="45720" distB="45720" distL="114300" distR="114300" simplePos="0" relativeHeight="251755520" behindDoc="0" locked="0" layoutInCell="1" allowOverlap="1" wp14:anchorId="282322E1" wp14:editId="322183F1">
                <wp:simplePos x="0" y="0"/>
                <wp:positionH relativeFrom="column">
                  <wp:posOffset>-4272280</wp:posOffset>
                </wp:positionH>
                <wp:positionV relativeFrom="paragraph">
                  <wp:posOffset>-1465580</wp:posOffset>
                </wp:positionV>
                <wp:extent cx="6794500" cy="1404620"/>
                <wp:effectExtent l="0" t="0" r="0" b="0"/>
                <wp:wrapNone/>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00" cy="1404620"/>
                        </a:xfrm>
                        <a:prstGeom prst="rect">
                          <a:avLst/>
                        </a:prstGeom>
                        <a:noFill/>
                        <a:ln w="9525">
                          <a:noFill/>
                          <a:miter lim="800000"/>
                          <a:headEnd/>
                          <a:tailEnd/>
                        </a:ln>
                      </wps:spPr>
                      <wps:txbx>
                        <w:txbxContent>
                          <w:p w14:paraId="7EE69E8F" w14:textId="77777777" w:rsidR="00ED4461" w:rsidRPr="00AD2A76" w:rsidRDefault="00ED4461" w:rsidP="00FE7ED1">
                            <w:pPr>
                              <w:rPr>
                                <w:rFonts w:asciiTheme="minorHAnsi" w:hAnsiTheme="minorHAnsi" w:cstheme="minorHAnsi"/>
                                <w:b w:val="0"/>
                                <w:color w:val="FFFFFF" w:themeColor="background1"/>
                                <w:u w:val="none"/>
                                <w:lang w:val="en-US"/>
                              </w:rPr>
                            </w:pPr>
                            <w:r>
                              <w:rPr>
                                <w:rFonts w:asciiTheme="minorHAnsi" w:hAnsiTheme="minorHAnsi" w:cstheme="minorHAnsi"/>
                                <w:b w:val="0"/>
                                <w:color w:val="FFFFFF" w:themeColor="background1"/>
                                <w:u w:val="none"/>
                                <w:lang w:val="en-US"/>
                              </w:rPr>
                              <w:t xml:space="preserve">Community march in Suku Letefoho to celebrate the </w:t>
                            </w:r>
                            <w:r w:rsidRPr="00AD2A76">
                              <w:rPr>
                                <w:rFonts w:asciiTheme="minorHAnsi" w:hAnsiTheme="minorHAnsi" w:cstheme="minorHAnsi"/>
                                <w:b w:val="0"/>
                                <w:color w:val="FFFFFF" w:themeColor="background1"/>
                                <w:u w:val="none"/>
                                <w:lang w:val="en-US"/>
                              </w:rPr>
                              <w:t>16 Days of Activism Against Gender-Based Violence</w:t>
                            </w:r>
                            <w:r>
                              <w:rPr>
                                <w:rFonts w:asciiTheme="minorHAnsi" w:hAnsiTheme="minorHAnsi" w:cstheme="minorHAnsi"/>
                                <w:b w:val="0"/>
                                <w:color w:val="FFFFFF" w:themeColor="background1"/>
                                <w:u w:val="none"/>
                                <w:lang w:val="en-US"/>
                              </w:rPr>
                              <w:t>, 10 December 2018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82322E1" id="_x0000_s1031" type="#_x0000_t202" style="position:absolute;left:0;text-align:left;margin-left:-336.4pt;margin-top:-115.4pt;width:535pt;height:110.6pt;z-index:2517555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" filled="f" stroked="f">
                <v:textbox style="mso-fit-shape-to-text:t">
                  <w:txbxContent>
                    <w:p w14:paraId="7EE69E8F" w14:textId="77777777" w:rsidR="00ED4461" w:rsidRPr="00AD2A76" w:rsidRDefault="00ED4461" w:rsidP="00FE7ED1">
                      <w:pPr>
                        <w:rPr>
                          <w:rFonts w:asciiTheme="minorHAnsi" w:hAnsiTheme="minorHAnsi" w:cstheme="minorHAnsi"/>
                          <w:b w:val="0"/>
                          <w:color w:val="FFFFFF" w:themeColor="background1"/>
                          <w:u w:val="none"/>
                          <w:lang w:val="en-US"/>
                        </w:rPr>
                      </w:pPr>
                      <w:r>
                        <w:rPr>
                          <w:rFonts w:asciiTheme="minorHAnsi" w:hAnsiTheme="minorHAnsi" w:cstheme="minorHAnsi"/>
                          <w:b w:val="0"/>
                          <w:color w:val="FFFFFF" w:themeColor="background1"/>
                          <w:u w:val="none"/>
                          <w:lang w:val="en-US"/>
                        </w:rPr>
                        <w:t xml:space="preserve">Community march in Suku Letefoho to celebrate the </w:t>
                      </w:r>
                      <w:r w:rsidRPr="00AD2A76">
                        <w:rPr>
                          <w:rFonts w:asciiTheme="minorHAnsi" w:hAnsiTheme="minorHAnsi" w:cstheme="minorHAnsi"/>
                          <w:b w:val="0"/>
                          <w:color w:val="FFFFFF" w:themeColor="background1"/>
                          <w:u w:val="none"/>
                          <w:lang w:val="en-US"/>
                        </w:rPr>
                        <w:t>16 Days of Activism Against Gender-Based Violence</w:t>
                      </w:r>
                      <w:r>
                        <w:rPr>
                          <w:rFonts w:asciiTheme="minorHAnsi" w:hAnsiTheme="minorHAnsi" w:cstheme="minorHAnsi"/>
                          <w:b w:val="0"/>
                          <w:color w:val="FFFFFF" w:themeColor="background1"/>
                          <w:u w:val="none"/>
                          <w:lang w:val="en-US"/>
                        </w:rPr>
                        <w:t>, 10 December 2018</w:t>
                      </w:r>
                    </w:p>
                  </w:txbxContent>
                </v:textbox>
              </v:shape>
            </w:pict>
          </mc:Fallback>
        </mc:AlternateContent>
      </w:r>
      <w:r w:rsidR="00FE7ED1">
        <w:br w:type="page"/>
      </w:r>
    </w:p>
    <w:p w14:paraId="065D5B08" w14:textId="1CB5F643" w:rsidR="00236662" w:rsidRPr="00BF4F0F" w:rsidRDefault="00236662" w:rsidP="00447313">
      <w:pPr>
        <w:pStyle w:val="NoHeading1"/>
      </w:pPr>
      <w:bookmarkStart w:id="137" w:name="_Toc1994632"/>
      <w:bookmarkStart w:id="138" w:name="_Toc1999853"/>
      <w:bookmarkStart w:id="139" w:name="_Toc2019665"/>
      <w:r w:rsidRPr="00BF4F0F">
        <w:t>3</w:t>
      </w:r>
      <w:r w:rsidR="00D0536E">
        <w:t>.</w:t>
      </w:r>
      <w:r w:rsidRPr="00BF4F0F">
        <w:t xml:space="preserve"> Progress towards outcomes: Behaviour change</w:t>
      </w:r>
      <w:bookmarkEnd w:id="133"/>
      <w:bookmarkEnd w:id="134"/>
      <w:bookmarkEnd w:id="135"/>
      <w:bookmarkEnd w:id="137"/>
      <w:bookmarkEnd w:id="138"/>
      <w:bookmarkEnd w:id="139"/>
    </w:p>
    <w:p w14:paraId="24B38757" w14:textId="77777777" w:rsidR="00236662" w:rsidRPr="00BF4F0F" w:rsidRDefault="00236662" w:rsidP="00705BD3">
      <w:pPr>
        <w:pStyle w:val="Heading2"/>
      </w:pPr>
      <w:bookmarkStart w:id="140" w:name="_Toc1902719"/>
      <w:bookmarkStart w:id="141" w:name="_Toc1994633"/>
      <w:bookmarkStart w:id="142" w:name="_Toc1999854"/>
      <w:bookmarkStart w:id="143" w:name="_Toc2019666"/>
      <w:r w:rsidRPr="00BF4F0F">
        <w:t>What Nabilan did</w:t>
      </w:r>
      <w:bookmarkEnd w:id="140"/>
      <w:bookmarkEnd w:id="141"/>
      <w:bookmarkEnd w:id="142"/>
      <w:bookmarkEnd w:id="143"/>
    </w:p>
    <w:p w14:paraId="165BE023" w14:textId="4D392EE5" w:rsidR="00236662" w:rsidRPr="009C0914" w:rsidRDefault="00385740" w:rsidP="00D27A4C">
      <w:pPr>
        <w:spacing w:line="264" w:lineRule="auto"/>
        <w:jc w:val="both"/>
        <w:rPr>
          <w:rFonts w:asciiTheme="minorHAnsi" w:hAnsiTheme="minorHAnsi" w:cstheme="minorHAnsi"/>
          <w:b w:val="0"/>
          <w:color w:val="auto"/>
          <w:sz w:val="21"/>
          <w:szCs w:val="21"/>
          <w:u w:val="none"/>
        </w:rPr>
      </w:pPr>
      <w:r w:rsidRPr="00D27A4C">
        <w:rPr>
          <w:rFonts w:asciiTheme="minorHAnsi" w:hAnsiTheme="minorHAnsi" w:cstheme="minorHAnsi"/>
          <w:b w:val="0"/>
          <w:color w:val="auto"/>
          <w:sz w:val="21"/>
          <w:szCs w:val="21"/>
          <w:u w:val="none"/>
        </w:rPr>
        <w:t>Prevention</w:t>
      </w:r>
      <w:r w:rsidR="00236662" w:rsidRPr="00D27A4C">
        <w:rPr>
          <w:rFonts w:asciiTheme="minorHAnsi" w:hAnsiTheme="minorHAnsi" w:cstheme="minorHAnsi"/>
          <w:b w:val="0"/>
          <w:color w:val="auto"/>
          <w:sz w:val="21"/>
          <w:szCs w:val="21"/>
          <w:u w:val="none"/>
        </w:rPr>
        <w:t xml:space="preserve"> partners were selected </w:t>
      </w:r>
      <w:r w:rsidRPr="00D27A4C">
        <w:rPr>
          <w:rFonts w:asciiTheme="minorHAnsi" w:hAnsiTheme="minorHAnsi" w:cstheme="minorHAnsi"/>
          <w:b w:val="0"/>
          <w:color w:val="auto"/>
          <w:sz w:val="21"/>
          <w:szCs w:val="21"/>
          <w:u w:val="none"/>
        </w:rPr>
        <w:t xml:space="preserve">by Nabilan </w:t>
      </w:r>
      <w:r w:rsidR="00236662" w:rsidRPr="00D27A4C">
        <w:rPr>
          <w:rFonts w:asciiTheme="minorHAnsi" w:hAnsiTheme="minorHAnsi" w:cstheme="minorHAnsi"/>
          <w:b w:val="0"/>
          <w:color w:val="auto"/>
          <w:sz w:val="21"/>
          <w:szCs w:val="21"/>
          <w:u w:val="none"/>
        </w:rPr>
        <w:t xml:space="preserve">after a competitive call for proposals, however </w:t>
      </w:r>
      <w:r w:rsidRPr="00D27A4C">
        <w:rPr>
          <w:rFonts w:asciiTheme="minorHAnsi" w:hAnsiTheme="minorHAnsi" w:cstheme="minorHAnsi"/>
          <w:b w:val="0"/>
          <w:color w:val="auto"/>
          <w:sz w:val="21"/>
          <w:szCs w:val="21"/>
          <w:u w:val="none"/>
        </w:rPr>
        <w:t>disbursement of grants was delayed</w:t>
      </w:r>
      <w:r w:rsidR="00236662" w:rsidRPr="00D27A4C">
        <w:rPr>
          <w:rFonts w:asciiTheme="minorHAnsi" w:hAnsiTheme="minorHAnsi" w:cstheme="minorHAnsi"/>
          <w:b w:val="0"/>
          <w:color w:val="auto"/>
          <w:sz w:val="21"/>
          <w:szCs w:val="21"/>
          <w:u w:val="none"/>
        </w:rPr>
        <w:t xml:space="preserve"> until January 2019 due to the reduction in Nabilan’s budget. </w:t>
      </w:r>
      <w:r w:rsidRPr="00D27A4C">
        <w:rPr>
          <w:rFonts w:asciiTheme="minorHAnsi" w:hAnsiTheme="minorHAnsi" w:cstheme="minorHAnsi"/>
          <w:b w:val="0"/>
          <w:color w:val="auto"/>
          <w:sz w:val="21"/>
          <w:szCs w:val="21"/>
          <w:u w:val="none"/>
        </w:rPr>
        <w:t xml:space="preserve">Grant agreements </w:t>
      </w:r>
      <w:r w:rsidR="00236662" w:rsidRPr="00D27A4C">
        <w:rPr>
          <w:rFonts w:asciiTheme="minorHAnsi" w:hAnsiTheme="minorHAnsi" w:cstheme="minorHAnsi"/>
          <w:b w:val="0"/>
          <w:color w:val="auto"/>
          <w:sz w:val="21"/>
          <w:szCs w:val="21"/>
          <w:u w:val="none"/>
        </w:rPr>
        <w:t>were signed with: PRADET’s Personal Development Course (PRADET</w:t>
      </w:r>
      <w:r w:rsidR="00921ED8" w:rsidRPr="00D27A4C">
        <w:rPr>
          <w:rFonts w:asciiTheme="minorHAnsi" w:hAnsiTheme="minorHAnsi" w:cstheme="minorHAnsi"/>
          <w:b w:val="0"/>
          <w:color w:val="auto"/>
          <w:sz w:val="21"/>
          <w:szCs w:val="21"/>
          <w:u w:val="none"/>
        </w:rPr>
        <w:t>-</w:t>
      </w:r>
      <w:r w:rsidR="00236662" w:rsidRPr="00D27A4C">
        <w:rPr>
          <w:rFonts w:asciiTheme="minorHAnsi" w:hAnsiTheme="minorHAnsi" w:cstheme="minorHAnsi"/>
          <w:b w:val="0"/>
          <w:color w:val="auto"/>
          <w:sz w:val="21"/>
          <w:szCs w:val="21"/>
          <w:u w:val="none"/>
        </w:rPr>
        <w:t xml:space="preserve">PDC); </w:t>
      </w:r>
      <w:r w:rsidR="00236662" w:rsidRPr="00D27A4C">
        <w:rPr>
          <w:rFonts w:asciiTheme="minorHAnsi" w:hAnsiTheme="minorHAnsi" w:cstheme="minorHAnsi"/>
          <w:b w:val="0"/>
          <w:i/>
          <w:color w:val="auto"/>
          <w:sz w:val="21"/>
          <w:szCs w:val="21"/>
          <w:u w:val="none"/>
        </w:rPr>
        <w:t>Mane Ho Vizaun Foun</w:t>
      </w:r>
      <w:r w:rsidR="00236662" w:rsidRPr="00D27A4C">
        <w:rPr>
          <w:rFonts w:asciiTheme="minorHAnsi" w:hAnsiTheme="minorHAnsi" w:cstheme="minorHAnsi"/>
          <w:b w:val="0"/>
          <w:color w:val="auto"/>
          <w:sz w:val="21"/>
          <w:szCs w:val="21"/>
          <w:u w:val="none"/>
        </w:rPr>
        <w:t xml:space="preserve"> (MHFV–Men With a New Vision) for their Suku Protection Group program; </w:t>
      </w:r>
      <w:r w:rsidR="00236662" w:rsidRPr="00D27A4C">
        <w:rPr>
          <w:rFonts w:asciiTheme="minorHAnsi" w:hAnsiTheme="minorHAnsi" w:cstheme="minorHAnsi"/>
          <w:b w:val="0"/>
          <w:i/>
          <w:color w:val="auto"/>
          <w:sz w:val="21"/>
          <w:szCs w:val="21"/>
          <w:u w:val="none"/>
        </w:rPr>
        <w:t xml:space="preserve">Fundasaun Media Development Centre </w:t>
      </w:r>
      <w:r w:rsidR="00236662" w:rsidRPr="00D27A4C">
        <w:rPr>
          <w:rFonts w:asciiTheme="minorHAnsi" w:hAnsiTheme="minorHAnsi" w:cstheme="minorHAnsi"/>
          <w:b w:val="0"/>
          <w:color w:val="auto"/>
          <w:sz w:val="21"/>
          <w:szCs w:val="21"/>
          <w:u w:val="none"/>
        </w:rPr>
        <w:t xml:space="preserve">(FMDC) for their </w:t>
      </w:r>
      <w:r w:rsidR="00236662" w:rsidRPr="00705BD3">
        <w:rPr>
          <w:rFonts w:asciiTheme="minorHAnsi" w:hAnsiTheme="minorHAnsi" w:cstheme="minorHAnsi"/>
          <w:b w:val="0"/>
          <w:i/>
          <w:color w:val="auto"/>
          <w:sz w:val="21"/>
          <w:szCs w:val="21"/>
          <w:u w:val="none"/>
        </w:rPr>
        <w:t>TekiToke</w:t>
      </w:r>
      <w:r w:rsidR="00236662" w:rsidRPr="00D27A4C">
        <w:rPr>
          <w:rFonts w:asciiTheme="minorHAnsi" w:hAnsiTheme="minorHAnsi" w:cstheme="minorHAnsi"/>
          <w:b w:val="0"/>
          <w:color w:val="auto"/>
          <w:sz w:val="21"/>
          <w:szCs w:val="21"/>
          <w:u w:val="none"/>
        </w:rPr>
        <w:t xml:space="preserve"> radio shows and youth listening groups; and Coalition for </w:t>
      </w:r>
      <w:r w:rsidR="00236662" w:rsidRPr="009C0914">
        <w:rPr>
          <w:rFonts w:asciiTheme="minorHAnsi" w:hAnsiTheme="minorHAnsi" w:cstheme="minorHAnsi"/>
          <w:b w:val="0"/>
          <w:color w:val="auto"/>
          <w:sz w:val="21"/>
          <w:szCs w:val="21"/>
          <w:u w:val="none"/>
        </w:rPr>
        <w:t>Diversity and Action (</w:t>
      </w:r>
      <w:r w:rsidR="0036620E" w:rsidRPr="009C0914">
        <w:rPr>
          <w:rFonts w:asciiTheme="minorHAnsi" w:hAnsiTheme="minorHAnsi" w:cstheme="minorHAnsi"/>
          <w:b w:val="0"/>
          <w:color w:val="auto"/>
          <w:sz w:val="21"/>
          <w:szCs w:val="21"/>
          <w:u w:val="none"/>
        </w:rPr>
        <w:t>CODIVA</w:t>
      </w:r>
      <w:r w:rsidR="00236662" w:rsidRPr="009C0914">
        <w:rPr>
          <w:rFonts w:asciiTheme="minorHAnsi" w:hAnsiTheme="minorHAnsi" w:cstheme="minorHAnsi"/>
          <w:b w:val="0"/>
          <w:color w:val="auto"/>
          <w:sz w:val="21"/>
          <w:szCs w:val="21"/>
          <w:u w:val="none"/>
        </w:rPr>
        <w:t>) to contribute to social inclusiveness in Timor-Leste. These partners will reach the individual, families/relationship, community, and societal levels of the ecological framework.</w:t>
      </w:r>
      <w:r w:rsidR="00C50F0F" w:rsidRPr="009C0914">
        <w:rPr>
          <w:rFonts w:asciiTheme="minorHAnsi" w:hAnsiTheme="minorHAnsi" w:cstheme="minorHAnsi"/>
          <w:b w:val="0"/>
          <w:color w:val="auto"/>
          <w:sz w:val="21"/>
          <w:szCs w:val="21"/>
          <w:u w:val="none"/>
        </w:rPr>
        <w:t xml:space="preserve"> During the last six months of 2018, Nabilan reviewed all partner materials and provided training to implementing staff to improve their readiness to deliver high-quality prevention activities.</w:t>
      </w:r>
    </w:p>
    <w:p w14:paraId="5DB255C9" w14:textId="0421365C" w:rsidR="00236662" w:rsidRPr="00D27A4C" w:rsidRDefault="00236662" w:rsidP="00D27A4C">
      <w:pPr>
        <w:spacing w:line="264" w:lineRule="auto"/>
        <w:jc w:val="both"/>
        <w:rPr>
          <w:rFonts w:asciiTheme="minorHAnsi" w:hAnsiTheme="minorHAnsi" w:cstheme="minorHAnsi"/>
          <w:b w:val="0"/>
          <w:color w:val="auto"/>
          <w:sz w:val="21"/>
          <w:szCs w:val="21"/>
          <w:u w:val="none"/>
        </w:rPr>
      </w:pPr>
      <w:r w:rsidRPr="009C0914">
        <w:rPr>
          <w:rFonts w:asciiTheme="minorHAnsi" w:hAnsiTheme="minorHAnsi" w:cstheme="minorHAnsi"/>
          <w:b w:val="0"/>
          <w:color w:val="auto"/>
          <w:sz w:val="21"/>
          <w:szCs w:val="21"/>
          <w:u w:val="none"/>
        </w:rPr>
        <w:t>Nabilan continued the community-based prevention work in Suku Letefoho, adapted from the SASA! methodology developed by Raising Voices in Uganda. Nabilan’s adaptation is called KOKOSA! which stands for each of the four phases of SASA!: Start (</w:t>
      </w:r>
      <w:r w:rsidRPr="009C0914">
        <w:rPr>
          <w:rFonts w:asciiTheme="minorHAnsi" w:hAnsiTheme="minorHAnsi" w:cstheme="minorHAnsi"/>
          <w:b w:val="0"/>
          <w:i/>
          <w:color w:val="auto"/>
          <w:sz w:val="21"/>
          <w:szCs w:val="21"/>
          <w:u w:val="none"/>
        </w:rPr>
        <w:t>Komesa</w:t>
      </w:r>
      <w:r w:rsidRPr="009C0914">
        <w:rPr>
          <w:rFonts w:asciiTheme="minorHAnsi" w:hAnsiTheme="minorHAnsi" w:cstheme="minorHAnsi"/>
          <w:b w:val="0"/>
          <w:color w:val="auto"/>
          <w:sz w:val="21"/>
          <w:szCs w:val="21"/>
          <w:u w:val="none"/>
        </w:rPr>
        <w:t>); Awareness (</w:t>
      </w:r>
      <w:r w:rsidRPr="009C0914">
        <w:rPr>
          <w:rFonts w:asciiTheme="minorHAnsi" w:hAnsiTheme="minorHAnsi" w:cstheme="minorHAnsi"/>
          <w:b w:val="0"/>
          <w:i/>
          <w:color w:val="auto"/>
          <w:sz w:val="21"/>
          <w:szCs w:val="21"/>
          <w:u w:val="none"/>
        </w:rPr>
        <w:t>Konxiénsia</w:t>
      </w:r>
      <w:r w:rsidRPr="00D27A4C">
        <w:rPr>
          <w:rFonts w:asciiTheme="minorHAnsi" w:hAnsiTheme="minorHAnsi" w:cstheme="minorHAnsi"/>
          <w:b w:val="0"/>
          <w:color w:val="auto"/>
          <w:sz w:val="21"/>
          <w:szCs w:val="21"/>
          <w:u w:val="none"/>
        </w:rPr>
        <w:t>); Support (</w:t>
      </w:r>
      <w:r w:rsidRPr="00D27A4C">
        <w:rPr>
          <w:rFonts w:asciiTheme="minorHAnsi" w:hAnsiTheme="minorHAnsi" w:cstheme="minorHAnsi"/>
          <w:b w:val="0"/>
          <w:i/>
          <w:color w:val="auto"/>
          <w:sz w:val="21"/>
          <w:szCs w:val="21"/>
          <w:u w:val="none"/>
        </w:rPr>
        <w:t>Suporta</w:t>
      </w:r>
      <w:r w:rsidRPr="00D27A4C">
        <w:rPr>
          <w:rFonts w:asciiTheme="minorHAnsi" w:hAnsiTheme="minorHAnsi" w:cstheme="minorHAnsi"/>
          <w:b w:val="0"/>
          <w:color w:val="auto"/>
          <w:sz w:val="21"/>
          <w:szCs w:val="21"/>
          <w:u w:val="none"/>
        </w:rPr>
        <w:t>); and Action (</w:t>
      </w:r>
      <w:r w:rsidRPr="00D27A4C">
        <w:rPr>
          <w:rFonts w:asciiTheme="minorHAnsi" w:hAnsiTheme="minorHAnsi" w:cstheme="minorHAnsi"/>
          <w:b w:val="0"/>
          <w:i/>
          <w:color w:val="auto"/>
          <w:sz w:val="21"/>
          <w:szCs w:val="21"/>
          <w:u w:val="none"/>
        </w:rPr>
        <w:t>Asaun</w:t>
      </w:r>
      <w:r w:rsidRPr="00D27A4C">
        <w:rPr>
          <w:rFonts w:asciiTheme="minorHAnsi" w:hAnsiTheme="minorHAnsi" w:cstheme="minorHAnsi"/>
          <w:b w:val="0"/>
          <w:color w:val="auto"/>
          <w:sz w:val="21"/>
          <w:szCs w:val="21"/>
          <w:u w:val="none"/>
        </w:rPr>
        <w:t>). We completed Phase I and supported the community mobilisers</w:t>
      </w:r>
      <w:r w:rsidR="00371AA5" w:rsidRPr="00D27A4C">
        <w:rPr>
          <w:rFonts w:asciiTheme="minorHAnsi" w:hAnsiTheme="minorHAnsi" w:cstheme="minorHAnsi"/>
          <w:b w:val="0"/>
          <w:color w:val="auto"/>
          <w:sz w:val="21"/>
          <w:szCs w:val="21"/>
          <w:u w:val="none"/>
        </w:rPr>
        <w:t xml:space="preserve"> (CM)</w:t>
      </w:r>
      <w:r w:rsidRPr="00D27A4C">
        <w:rPr>
          <w:rFonts w:asciiTheme="minorHAnsi" w:hAnsiTheme="minorHAnsi" w:cstheme="minorHAnsi"/>
          <w:b w:val="0"/>
          <w:color w:val="auto"/>
          <w:sz w:val="21"/>
          <w:szCs w:val="21"/>
          <w:u w:val="none"/>
        </w:rPr>
        <w:t xml:space="preserve"> to move into the second phase (Awareness) with training on the new tools. We identified and trained six community action groups (two women’s groups, two agriculture groups, one art group, and one youth drama group), as well as other key groups such as community healthcare workers, </w:t>
      </w:r>
      <w:r w:rsidR="00921ED8" w:rsidRPr="00D27A4C">
        <w:rPr>
          <w:rFonts w:asciiTheme="minorHAnsi" w:hAnsiTheme="minorHAnsi" w:cstheme="minorHAnsi"/>
          <w:b w:val="0"/>
          <w:color w:val="auto"/>
          <w:sz w:val="21"/>
          <w:szCs w:val="21"/>
          <w:u w:val="none"/>
        </w:rPr>
        <w:t>Community Policing Council</w:t>
      </w:r>
      <w:r w:rsidRPr="00D27A4C">
        <w:rPr>
          <w:rFonts w:asciiTheme="minorHAnsi" w:hAnsiTheme="minorHAnsi" w:cstheme="minorHAnsi"/>
          <w:b w:val="0"/>
          <w:color w:val="auto"/>
          <w:sz w:val="21"/>
          <w:szCs w:val="21"/>
          <w:u w:val="none"/>
        </w:rPr>
        <w:t xml:space="preserve">, and religious leaders. A new Municipal Officer was assigned to Manufahi at the beginning of 2018, and this has greatly motivated the </w:t>
      </w:r>
      <w:r w:rsidR="00371AA5" w:rsidRPr="00D27A4C">
        <w:rPr>
          <w:rFonts w:asciiTheme="minorHAnsi" w:hAnsiTheme="minorHAnsi" w:cstheme="minorHAnsi"/>
          <w:b w:val="0"/>
          <w:color w:val="auto"/>
          <w:sz w:val="21"/>
          <w:szCs w:val="21"/>
          <w:u w:val="none"/>
        </w:rPr>
        <w:t>CM</w:t>
      </w:r>
      <w:r w:rsidR="00326CB3" w:rsidRPr="00D27A4C">
        <w:rPr>
          <w:rFonts w:asciiTheme="minorHAnsi" w:hAnsiTheme="minorHAnsi" w:cstheme="minorHAnsi"/>
          <w:b w:val="0"/>
          <w:color w:val="auto"/>
          <w:sz w:val="21"/>
          <w:szCs w:val="21"/>
          <w:u w:val="none"/>
        </w:rPr>
        <w:t>s</w:t>
      </w:r>
      <w:r w:rsidR="00371AA5" w:rsidRPr="00D27A4C">
        <w:rPr>
          <w:rFonts w:asciiTheme="minorHAnsi" w:hAnsiTheme="minorHAnsi" w:cstheme="minorHAnsi"/>
          <w:b w:val="0"/>
          <w:color w:val="auto"/>
          <w:sz w:val="21"/>
          <w:szCs w:val="21"/>
          <w:u w:val="none"/>
        </w:rPr>
        <w:t xml:space="preserve"> </w:t>
      </w:r>
      <w:r w:rsidRPr="00D27A4C">
        <w:rPr>
          <w:rFonts w:asciiTheme="minorHAnsi" w:hAnsiTheme="minorHAnsi" w:cstheme="minorHAnsi"/>
          <w:b w:val="0"/>
          <w:color w:val="auto"/>
          <w:sz w:val="21"/>
          <w:szCs w:val="21"/>
          <w:u w:val="none"/>
        </w:rPr>
        <w:t xml:space="preserve">and </w:t>
      </w:r>
      <w:r w:rsidR="00326CB3" w:rsidRPr="00D27A4C">
        <w:rPr>
          <w:rFonts w:asciiTheme="minorHAnsi" w:hAnsiTheme="minorHAnsi" w:cstheme="minorHAnsi"/>
          <w:b w:val="0"/>
          <w:color w:val="auto"/>
          <w:sz w:val="21"/>
          <w:szCs w:val="21"/>
          <w:u w:val="none"/>
        </w:rPr>
        <w:t xml:space="preserve">the </w:t>
      </w:r>
      <w:r w:rsidRPr="00D27A4C">
        <w:rPr>
          <w:rFonts w:asciiTheme="minorHAnsi" w:hAnsiTheme="minorHAnsi" w:cstheme="minorHAnsi"/>
          <w:b w:val="0"/>
          <w:color w:val="auto"/>
          <w:sz w:val="21"/>
          <w:szCs w:val="21"/>
          <w:u w:val="none"/>
        </w:rPr>
        <w:t>community. We also signed</w:t>
      </w:r>
      <w:r w:rsidR="00456101" w:rsidRPr="00D27A4C">
        <w:rPr>
          <w:rFonts w:asciiTheme="minorHAnsi" w:hAnsiTheme="minorHAnsi" w:cstheme="minorHAnsi"/>
          <w:b w:val="0"/>
          <w:color w:val="auto"/>
          <w:sz w:val="21"/>
          <w:szCs w:val="21"/>
          <w:u w:val="none"/>
        </w:rPr>
        <w:t xml:space="preserve"> </w:t>
      </w:r>
      <w:r w:rsidRPr="00D27A4C">
        <w:rPr>
          <w:rFonts w:asciiTheme="minorHAnsi" w:hAnsiTheme="minorHAnsi" w:cstheme="minorHAnsi"/>
          <w:b w:val="0"/>
          <w:color w:val="auto"/>
          <w:sz w:val="21"/>
          <w:szCs w:val="21"/>
          <w:u w:val="none"/>
        </w:rPr>
        <w:t>MoU</w:t>
      </w:r>
      <w:r w:rsidR="00921ED8" w:rsidRPr="00D27A4C">
        <w:rPr>
          <w:rFonts w:asciiTheme="minorHAnsi" w:hAnsiTheme="minorHAnsi" w:cstheme="minorHAnsi"/>
          <w:b w:val="0"/>
          <w:color w:val="auto"/>
          <w:sz w:val="21"/>
          <w:szCs w:val="21"/>
          <w:u w:val="none"/>
        </w:rPr>
        <w:t>s</w:t>
      </w:r>
      <w:r w:rsidRPr="00D27A4C">
        <w:rPr>
          <w:rFonts w:asciiTheme="minorHAnsi" w:hAnsiTheme="minorHAnsi" w:cstheme="minorHAnsi"/>
          <w:b w:val="0"/>
          <w:color w:val="auto"/>
          <w:sz w:val="21"/>
          <w:szCs w:val="21"/>
          <w:u w:val="none"/>
        </w:rPr>
        <w:t xml:space="preserve"> with two new mobilisers. As part of ongoing monitoring and programming, we conducted the first rapid assessment survey (RAS) and focus group discussions</w:t>
      </w:r>
      <w:r w:rsidR="003F0440" w:rsidRPr="00D27A4C">
        <w:rPr>
          <w:rFonts w:asciiTheme="minorHAnsi" w:hAnsiTheme="minorHAnsi" w:cstheme="minorHAnsi"/>
          <w:b w:val="0"/>
          <w:color w:val="auto"/>
          <w:sz w:val="21"/>
          <w:szCs w:val="21"/>
          <w:u w:val="none"/>
        </w:rPr>
        <w:t xml:space="preserve"> (FGD)</w:t>
      </w:r>
      <w:r w:rsidRPr="00D27A4C">
        <w:rPr>
          <w:rFonts w:asciiTheme="minorHAnsi" w:hAnsiTheme="minorHAnsi" w:cstheme="minorHAnsi"/>
          <w:b w:val="0"/>
          <w:color w:val="auto"/>
          <w:sz w:val="21"/>
          <w:szCs w:val="21"/>
          <w:u w:val="none"/>
        </w:rPr>
        <w:t xml:space="preserve"> in May 2018. The </w:t>
      </w:r>
      <w:r w:rsidR="003F0440" w:rsidRPr="00D27A4C">
        <w:rPr>
          <w:rFonts w:asciiTheme="minorHAnsi" w:hAnsiTheme="minorHAnsi" w:cstheme="minorHAnsi"/>
          <w:b w:val="0"/>
          <w:color w:val="auto"/>
          <w:sz w:val="21"/>
          <w:szCs w:val="21"/>
          <w:u w:val="none"/>
        </w:rPr>
        <w:t xml:space="preserve">RAS and FGD </w:t>
      </w:r>
      <w:r w:rsidRPr="00D27A4C">
        <w:rPr>
          <w:rFonts w:asciiTheme="minorHAnsi" w:hAnsiTheme="minorHAnsi" w:cstheme="minorHAnsi"/>
          <w:b w:val="0"/>
          <w:color w:val="auto"/>
          <w:sz w:val="21"/>
          <w:szCs w:val="21"/>
          <w:u w:val="none"/>
        </w:rPr>
        <w:t xml:space="preserve">results </w:t>
      </w:r>
      <w:r w:rsidR="00EA21EF" w:rsidRPr="00D27A4C">
        <w:rPr>
          <w:rFonts w:asciiTheme="minorHAnsi" w:hAnsiTheme="minorHAnsi" w:cstheme="minorHAnsi"/>
          <w:b w:val="0"/>
          <w:color w:val="auto"/>
          <w:sz w:val="21"/>
          <w:szCs w:val="21"/>
          <w:u w:val="none"/>
        </w:rPr>
        <w:t>provide</w:t>
      </w:r>
      <w:r w:rsidR="009D318B" w:rsidRPr="00D27A4C">
        <w:rPr>
          <w:rFonts w:asciiTheme="minorHAnsi" w:hAnsiTheme="minorHAnsi" w:cstheme="minorHAnsi"/>
          <w:b w:val="0"/>
          <w:color w:val="auto"/>
          <w:sz w:val="21"/>
          <w:szCs w:val="21"/>
          <w:u w:val="none"/>
        </w:rPr>
        <w:t xml:space="preserve"> </w:t>
      </w:r>
      <w:r w:rsidRPr="00D27A4C">
        <w:rPr>
          <w:rFonts w:asciiTheme="minorHAnsi" w:hAnsiTheme="minorHAnsi" w:cstheme="minorHAnsi"/>
          <w:b w:val="0"/>
          <w:color w:val="auto"/>
          <w:sz w:val="21"/>
          <w:szCs w:val="21"/>
          <w:u w:val="none"/>
        </w:rPr>
        <w:t xml:space="preserve">the baseline for KOKOSA! in Suku Letefoho. </w:t>
      </w:r>
    </w:p>
    <w:p w14:paraId="1D91ED44" w14:textId="5FA00AE3" w:rsidR="00236662" w:rsidRPr="00D27A4C" w:rsidRDefault="00236662" w:rsidP="00D27A4C">
      <w:pPr>
        <w:spacing w:line="264" w:lineRule="auto"/>
        <w:jc w:val="both"/>
        <w:rPr>
          <w:rFonts w:asciiTheme="minorHAnsi" w:hAnsiTheme="minorHAnsi" w:cstheme="minorHAnsi"/>
          <w:b w:val="0"/>
          <w:color w:val="auto"/>
          <w:sz w:val="21"/>
          <w:szCs w:val="21"/>
          <w:u w:val="none"/>
        </w:rPr>
      </w:pPr>
      <w:r w:rsidRPr="00D27A4C">
        <w:rPr>
          <w:rFonts w:asciiTheme="minorHAnsi" w:hAnsiTheme="minorHAnsi" w:cstheme="minorHAnsi"/>
          <w:b w:val="0"/>
          <w:color w:val="auto"/>
          <w:sz w:val="21"/>
          <w:szCs w:val="21"/>
          <w:u w:val="none"/>
        </w:rPr>
        <w:t xml:space="preserve">Nabilan created the Change Ambassadors’ Network (CAN) in January 2018 to support the mainstreaming of violence against women prevention work across </w:t>
      </w:r>
      <w:r w:rsidR="00D27A4C">
        <w:rPr>
          <w:rFonts w:asciiTheme="minorHAnsi" w:hAnsiTheme="minorHAnsi" w:cstheme="minorHAnsi"/>
          <w:b w:val="0"/>
          <w:color w:val="auto"/>
          <w:sz w:val="21"/>
          <w:szCs w:val="21"/>
          <w:u w:val="none"/>
        </w:rPr>
        <w:t xml:space="preserve">GoA </w:t>
      </w:r>
      <w:r w:rsidRPr="00D27A4C">
        <w:rPr>
          <w:rFonts w:asciiTheme="minorHAnsi" w:hAnsiTheme="minorHAnsi" w:cstheme="minorHAnsi"/>
          <w:b w:val="0"/>
          <w:color w:val="auto"/>
          <w:sz w:val="21"/>
          <w:szCs w:val="21"/>
          <w:u w:val="none"/>
        </w:rPr>
        <w:t>funded programs in Timor</w:t>
      </w:r>
      <w:r w:rsidR="00D27A4C">
        <w:rPr>
          <w:rFonts w:asciiTheme="minorHAnsi" w:hAnsiTheme="minorHAnsi" w:cstheme="minorHAnsi"/>
          <w:b w:val="0"/>
          <w:color w:val="auto"/>
          <w:sz w:val="21"/>
          <w:szCs w:val="21"/>
          <w:u w:val="none"/>
        </w:rPr>
        <w:noBreakHyphen/>
      </w:r>
      <w:r w:rsidRPr="00D27A4C">
        <w:rPr>
          <w:rFonts w:asciiTheme="minorHAnsi" w:hAnsiTheme="minorHAnsi" w:cstheme="minorHAnsi"/>
          <w:b w:val="0"/>
          <w:color w:val="auto"/>
          <w:sz w:val="21"/>
          <w:szCs w:val="21"/>
          <w:u w:val="none"/>
        </w:rPr>
        <w:t xml:space="preserve">Leste. Nabilan held five one-day workshops in 2018, two make-up sessions and two meetings with CAN members. Using a transformative approach, Nabilan is supporting </w:t>
      </w:r>
      <w:r w:rsidR="009E5364">
        <w:rPr>
          <w:rFonts w:asciiTheme="minorHAnsi" w:hAnsiTheme="minorHAnsi" w:cstheme="minorHAnsi"/>
          <w:b w:val="0"/>
          <w:color w:val="auto"/>
          <w:sz w:val="21"/>
          <w:szCs w:val="21"/>
          <w:u w:val="none"/>
        </w:rPr>
        <w:t xml:space="preserve">voluntary </w:t>
      </w:r>
      <w:r w:rsidRPr="00D27A4C">
        <w:rPr>
          <w:rFonts w:asciiTheme="minorHAnsi" w:hAnsiTheme="minorHAnsi" w:cstheme="minorHAnsi"/>
          <w:b w:val="0"/>
          <w:color w:val="auto"/>
          <w:sz w:val="21"/>
          <w:szCs w:val="21"/>
          <w:u w:val="none"/>
        </w:rPr>
        <w:t xml:space="preserve">members with the skills and mutual support required to influence change in their organisations, and to integrate quality prevention approaches into their own work. Nabilan also developed a CAN training package with the members, which can be integrated into their own programming. </w:t>
      </w:r>
    </w:p>
    <w:p w14:paraId="3889FC80" w14:textId="6FE2C1CC" w:rsidR="004D1ABC" w:rsidRPr="00D27A4C" w:rsidRDefault="004D1ABC" w:rsidP="00D27A4C">
      <w:pPr>
        <w:spacing w:line="264" w:lineRule="auto"/>
        <w:jc w:val="both"/>
        <w:rPr>
          <w:rFonts w:asciiTheme="minorHAnsi" w:hAnsiTheme="minorHAnsi" w:cstheme="minorHAnsi"/>
          <w:b w:val="0"/>
          <w:color w:val="auto"/>
          <w:sz w:val="21"/>
          <w:szCs w:val="21"/>
          <w:u w:val="none"/>
        </w:rPr>
      </w:pPr>
      <w:r w:rsidRPr="00D27A4C">
        <w:rPr>
          <w:rFonts w:asciiTheme="minorHAnsi" w:hAnsiTheme="minorHAnsi" w:cstheme="minorHAnsi"/>
          <w:b w:val="0"/>
          <w:color w:val="auto"/>
          <w:sz w:val="21"/>
          <w:szCs w:val="21"/>
          <w:u w:val="none"/>
        </w:rPr>
        <w:t xml:space="preserve">Nabilan continued to support the local feminist movement, </w:t>
      </w:r>
      <w:r w:rsidR="00C966B2" w:rsidRPr="00C966B2">
        <w:rPr>
          <w:rFonts w:asciiTheme="minorHAnsi" w:hAnsiTheme="minorHAnsi" w:cstheme="minorHAnsi"/>
          <w:b w:val="0"/>
          <w:i/>
          <w:color w:val="auto"/>
          <w:sz w:val="21"/>
          <w:szCs w:val="21"/>
          <w:u w:val="none"/>
        </w:rPr>
        <w:t>Grupu Feminista</w:t>
      </w:r>
      <w:r w:rsidRPr="00D27A4C">
        <w:rPr>
          <w:rFonts w:asciiTheme="minorHAnsi" w:hAnsiTheme="minorHAnsi" w:cstheme="minorHAnsi"/>
          <w:b w:val="0"/>
          <w:color w:val="auto"/>
          <w:sz w:val="21"/>
          <w:szCs w:val="21"/>
          <w:u w:val="none"/>
        </w:rPr>
        <w:t xml:space="preserve">, and other women leaders with funding for events and technical support. Nabilan supported the </w:t>
      </w:r>
      <w:r w:rsidR="00C966B2" w:rsidRPr="00C966B2">
        <w:rPr>
          <w:rFonts w:asciiTheme="minorHAnsi" w:hAnsiTheme="minorHAnsi" w:cstheme="minorHAnsi"/>
          <w:b w:val="0"/>
          <w:i/>
          <w:color w:val="auto"/>
          <w:sz w:val="21"/>
          <w:szCs w:val="21"/>
          <w:u w:val="none"/>
        </w:rPr>
        <w:t>Grupu Feminista</w:t>
      </w:r>
      <w:r w:rsidRPr="00D27A4C">
        <w:rPr>
          <w:rFonts w:asciiTheme="minorHAnsi" w:hAnsiTheme="minorHAnsi" w:cstheme="minorHAnsi"/>
          <w:b w:val="0"/>
          <w:color w:val="auto"/>
          <w:sz w:val="21"/>
          <w:szCs w:val="21"/>
          <w:u w:val="none"/>
        </w:rPr>
        <w:t xml:space="preserve"> fun run for International Women’s Day 2018, a public event against sexual harassment, a youth debate on child abandonment and victim-blaming, a “male allies for gender equity” campaign, and a silent march over 16 days. Nabilan helped </w:t>
      </w:r>
      <w:r w:rsidR="00C966B2" w:rsidRPr="00C966B2">
        <w:rPr>
          <w:rFonts w:asciiTheme="minorHAnsi" w:hAnsiTheme="minorHAnsi" w:cstheme="minorHAnsi"/>
          <w:b w:val="0"/>
          <w:i/>
          <w:color w:val="auto"/>
          <w:sz w:val="21"/>
          <w:szCs w:val="21"/>
          <w:u w:val="none"/>
        </w:rPr>
        <w:t>Grupu Feminista</w:t>
      </w:r>
      <w:r w:rsidRPr="00D27A4C">
        <w:rPr>
          <w:rFonts w:asciiTheme="minorHAnsi" w:hAnsiTheme="minorHAnsi" w:cstheme="minorHAnsi"/>
          <w:b w:val="0"/>
          <w:color w:val="auto"/>
          <w:sz w:val="21"/>
          <w:szCs w:val="21"/>
          <w:u w:val="none"/>
        </w:rPr>
        <w:t xml:space="preserve"> to boost their Facebook posts and held a series of meetings on effective advocacy approaches. </w:t>
      </w:r>
    </w:p>
    <w:p w14:paraId="02481D1A" w14:textId="48082D5A" w:rsidR="00236662" w:rsidRPr="00D27A4C" w:rsidRDefault="00236662" w:rsidP="00D27A4C">
      <w:pPr>
        <w:spacing w:line="264" w:lineRule="auto"/>
        <w:jc w:val="both"/>
        <w:rPr>
          <w:rFonts w:asciiTheme="minorHAnsi" w:hAnsiTheme="minorHAnsi" w:cstheme="minorHAnsi"/>
          <w:b w:val="0"/>
          <w:color w:val="auto"/>
          <w:sz w:val="21"/>
          <w:szCs w:val="21"/>
          <w:u w:val="none"/>
        </w:rPr>
      </w:pPr>
      <w:r w:rsidRPr="00D27A4C">
        <w:rPr>
          <w:rFonts w:asciiTheme="minorHAnsi" w:hAnsiTheme="minorHAnsi" w:cstheme="minorHAnsi"/>
          <w:b w:val="0"/>
          <w:color w:val="auto"/>
          <w:sz w:val="21"/>
          <w:szCs w:val="21"/>
          <w:u w:val="none"/>
        </w:rPr>
        <w:t xml:space="preserve">Nabilan focused on improving media reporting of VAWC through media monitoring and developing a positive media kit which was launched during the 16 Days of Activism Against Gender-Based Violence. Nabilan published </w:t>
      </w:r>
      <w:r w:rsidR="007B64BC" w:rsidRPr="00D27A4C">
        <w:rPr>
          <w:rFonts w:asciiTheme="minorHAnsi" w:hAnsiTheme="minorHAnsi" w:cstheme="minorHAnsi"/>
          <w:b w:val="0"/>
          <w:color w:val="auto"/>
          <w:sz w:val="21"/>
          <w:szCs w:val="21"/>
          <w:u w:val="none"/>
        </w:rPr>
        <w:t>f</w:t>
      </w:r>
      <w:r w:rsidRPr="00D27A4C">
        <w:rPr>
          <w:rFonts w:asciiTheme="minorHAnsi" w:hAnsiTheme="minorHAnsi" w:cstheme="minorHAnsi"/>
          <w:b w:val="0"/>
          <w:color w:val="auto"/>
          <w:sz w:val="21"/>
          <w:szCs w:val="21"/>
          <w:u w:val="none"/>
        </w:rPr>
        <w:t xml:space="preserve">ive ‘advertorials’ in two national newspapers (STL and Timor Post) to spread positive prevention messages in the community. During the16 Days of Activism Against Gender-Based Violence, Nabilan also launched two SASA!-adapted radio plays on GMN Radio and Manufahi local radio, and three Nabilan public service announcements from 2017 and coffee-consent films were played on GMN TV. </w:t>
      </w:r>
    </w:p>
    <w:p w14:paraId="300F0A52" w14:textId="750085FE" w:rsidR="004D1ABC" w:rsidRPr="00D27A4C" w:rsidRDefault="004D1ABC" w:rsidP="00D27A4C">
      <w:pPr>
        <w:spacing w:line="264" w:lineRule="auto"/>
        <w:jc w:val="both"/>
        <w:rPr>
          <w:rFonts w:asciiTheme="minorHAnsi" w:hAnsiTheme="minorHAnsi" w:cstheme="minorHAnsi"/>
          <w:b w:val="0"/>
          <w:color w:val="auto"/>
          <w:sz w:val="21"/>
          <w:szCs w:val="21"/>
          <w:u w:val="none"/>
        </w:rPr>
      </w:pPr>
      <w:r w:rsidRPr="00D27A4C">
        <w:rPr>
          <w:rFonts w:asciiTheme="minorHAnsi" w:hAnsiTheme="minorHAnsi" w:cstheme="minorHAnsi"/>
          <w:b w:val="0"/>
          <w:color w:val="auto"/>
          <w:sz w:val="21"/>
          <w:szCs w:val="21"/>
          <w:u w:val="none"/>
        </w:rPr>
        <w:t xml:space="preserve">Nabilan </w:t>
      </w:r>
      <w:r w:rsidR="00D27A4C">
        <w:rPr>
          <w:rFonts w:asciiTheme="minorHAnsi" w:hAnsiTheme="minorHAnsi" w:cstheme="minorHAnsi"/>
          <w:b w:val="0"/>
          <w:color w:val="auto"/>
          <w:sz w:val="21"/>
          <w:szCs w:val="21"/>
          <w:u w:val="none"/>
        </w:rPr>
        <w:t xml:space="preserve">also </w:t>
      </w:r>
      <w:r w:rsidRPr="00D27A4C">
        <w:rPr>
          <w:rFonts w:asciiTheme="minorHAnsi" w:hAnsiTheme="minorHAnsi" w:cstheme="minorHAnsi"/>
          <w:b w:val="0"/>
          <w:color w:val="auto"/>
          <w:sz w:val="21"/>
          <w:szCs w:val="21"/>
          <w:u w:val="none"/>
        </w:rPr>
        <w:t xml:space="preserve">conducted a joint media training workshop with SEII, JSMP, the Secretary of State for Social Communication (SECOM) and the Press Council. This was the first joint prevention activity with SEII, and sets the foundation for closer cooperation in Phase II. </w:t>
      </w:r>
    </w:p>
    <w:p w14:paraId="7148AAE1" w14:textId="2B13B5F6" w:rsidR="00236662" w:rsidRPr="00D27A4C" w:rsidRDefault="004D1ABC" w:rsidP="00D27A4C">
      <w:pPr>
        <w:spacing w:line="264" w:lineRule="auto"/>
        <w:jc w:val="both"/>
        <w:rPr>
          <w:rFonts w:asciiTheme="minorHAnsi" w:hAnsiTheme="minorHAnsi" w:cstheme="minorHAnsi"/>
          <w:b w:val="0"/>
          <w:color w:val="auto"/>
          <w:sz w:val="21"/>
          <w:szCs w:val="21"/>
          <w:u w:val="none"/>
        </w:rPr>
      </w:pPr>
      <w:r w:rsidRPr="00D27A4C">
        <w:rPr>
          <w:rFonts w:asciiTheme="minorHAnsi" w:hAnsiTheme="minorHAnsi" w:cstheme="minorHAnsi"/>
          <w:b w:val="0"/>
          <w:color w:val="auto"/>
          <w:sz w:val="21"/>
          <w:szCs w:val="21"/>
          <w:u w:val="none"/>
        </w:rPr>
        <w:t xml:space="preserve">Nabilan completed baseline research for both the community-based work in Suku Letefoho and </w:t>
      </w:r>
      <w:r w:rsidR="00622C31" w:rsidRPr="00D27A4C">
        <w:rPr>
          <w:rFonts w:asciiTheme="minorHAnsi" w:hAnsiTheme="minorHAnsi" w:cstheme="minorHAnsi"/>
          <w:b w:val="0"/>
          <w:color w:val="auto"/>
          <w:sz w:val="21"/>
          <w:szCs w:val="21"/>
          <w:u w:val="none"/>
        </w:rPr>
        <w:t>the CAN</w:t>
      </w:r>
      <w:r w:rsidRPr="00D27A4C">
        <w:rPr>
          <w:rFonts w:asciiTheme="minorHAnsi" w:hAnsiTheme="minorHAnsi" w:cstheme="minorHAnsi"/>
          <w:b w:val="0"/>
          <w:color w:val="auto"/>
          <w:sz w:val="21"/>
          <w:szCs w:val="21"/>
          <w:u w:val="none"/>
        </w:rPr>
        <w:t>. This will allow us to monitor progress and adapt our programming as required.</w:t>
      </w:r>
      <w:r w:rsidR="00D27A4C" w:rsidRPr="00BF4F0F" w:rsidDel="00E5163D">
        <w:rPr>
          <w:rFonts w:asciiTheme="minorHAnsi" w:hAnsiTheme="minorHAnsi" w:cstheme="minorHAnsi"/>
          <w:noProof/>
          <w:color w:val="822B6A"/>
        </w:rPr>
        <w:t xml:space="preserve"> </w:t>
      </w:r>
      <w:r w:rsidR="00236662" w:rsidRPr="00BF4F0F">
        <w:rPr>
          <w:rFonts w:asciiTheme="minorHAnsi" w:hAnsiTheme="minorHAnsi" w:cstheme="minorHAnsi"/>
        </w:rPr>
        <w:br w:type="page"/>
      </w:r>
    </w:p>
    <w:p w14:paraId="0BD05EBF" w14:textId="2E3878A8" w:rsidR="00236662" w:rsidRPr="00BF4F0F" w:rsidRDefault="00236662" w:rsidP="00705BD3">
      <w:pPr>
        <w:pStyle w:val="Heading2"/>
      </w:pPr>
      <w:bookmarkStart w:id="144" w:name="_Toc531966543"/>
      <w:bookmarkStart w:id="145" w:name="_Toc425351"/>
      <w:bookmarkStart w:id="146" w:name="_Toc437975"/>
      <w:bookmarkStart w:id="147" w:name="_Toc1902720"/>
      <w:bookmarkStart w:id="148" w:name="_Toc1993846"/>
      <w:bookmarkStart w:id="149" w:name="_Toc1994634"/>
      <w:bookmarkStart w:id="150" w:name="_Toc1999855"/>
      <w:bookmarkStart w:id="151" w:name="_Toc2019667"/>
      <w:r w:rsidRPr="00BF4F0F">
        <w:t>EOPO 2</w:t>
      </w:r>
      <w:r w:rsidR="000E679D">
        <w:t>—</w:t>
      </w:r>
      <w:bookmarkEnd w:id="144"/>
      <w:r w:rsidRPr="00BF4F0F">
        <w:t xml:space="preserve">Individuals, communities and institutions take action to reduce </w:t>
      </w:r>
      <w:bookmarkEnd w:id="145"/>
      <w:r w:rsidRPr="00BF4F0F">
        <w:t>VAWC</w:t>
      </w:r>
      <w:bookmarkEnd w:id="146"/>
      <w:bookmarkEnd w:id="147"/>
      <w:bookmarkEnd w:id="148"/>
      <w:bookmarkEnd w:id="149"/>
      <w:bookmarkEnd w:id="150"/>
      <w:bookmarkEnd w:id="151"/>
    </w:p>
    <w:p w14:paraId="53CF732B" w14:textId="77777777" w:rsidR="00236662" w:rsidRPr="00BF4F0F" w:rsidRDefault="00236662" w:rsidP="00447313">
      <w:pPr>
        <w:pStyle w:val="Heading4"/>
        <w:spacing w:line="288" w:lineRule="auto"/>
        <w:jc w:val="both"/>
        <w:rPr>
          <w:rFonts w:asciiTheme="minorHAnsi" w:hAnsiTheme="minorHAnsi" w:cstheme="minorHAnsi"/>
        </w:rPr>
      </w:pPr>
      <w:r w:rsidRPr="00BF4F0F">
        <w:rPr>
          <w:rFonts w:asciiTheme="minorHAnsi" w:hAnsiTheme="minorHAnsi" w:cstheme="minorHAnsi"/>
        </w:rPr>
        <w:t>KEQ 2: To what extent are individuals, communities and institutions taking action to reduce VAWC?</w:t>
      </w:r>
    </w:p>
    <w:p w14:paraId="588211C9" w14:textId="1F1B8AD5" w:rsidR="00236662" w:rsidRPr="0004215E" w:rsidRDefault="00236662" w:rsidP="00705BD3">
      <w:pPr>
        <w:pStyle w:val="Heading2"/>
        <w:rPr>
          <w:b w:val="0"/>
          <w:color w:val="000000"/>
          <w:sz w:val="21"/>
          <w:szCs w:val="21"/>
          <w14:textFill>
            <w14:solidFill>
              <w14:srgbClr w14:val="000000">
                <w14:alpha w14:val="4000"/>
              </w14:srgbClr>
            </w14:solidFill>
          </w14:textFill>
        </w:rPr>
      </w:pPr>
      <w:bookmarkStart w:id="152" w:name="_Toc1902721"/>
      <w:bookmarkStart w:id="153" w:name="_Toc1993847"/>
      <w:bookmarkStart w:id="154" w:name="_Toc1994635"/>
      <w:bookmarkStart w:id="155" w:name="_Toc1999856"/>
      <w:bookmarkStart w:id="156" w:name="_Toc2019668"/>
      <w:r w:rsidRPr="0004215E">
        <w:rPr>
          <w:sz w:val="21"/>
          <w:szCs w:val="21"/>
        </w:rPr>
        <w:t>Findings</w:t>
      </w:r>
      <w:r w:rsidR="000E679D" w:rsidRPr="0004215E">
        <w:rPr>
          <w:sz w:val="21"/>
          <w:szCs w:val="21"/>
        </w:rPr>
        <w:t>—</w:t>
      </w:r>
      <w:r w:rsidR="0047658C" w:rsidRPr="00705BD3">
        <w:rPr>
          <w:sz w:val="21"/>
          <w:szCs w:val="21"/>
        </w:rPr>
        <w:t xml:space="preserve">Some aspects of </w:t>
      </w:r>
      <w:r w:rsidR="0036620E" w:rsidRPr="00705BD3">
        <w:rPr>
          <w:sz w:val="21"/>
          <w:szCs w:val="21"/>
        </w:rPr>
        <w:t>EOPO 2</w:t>
      </w:r>
      <w:r w:rsidRPr="00705BD3">
        <w:rPr>
          <w:sz w:val="21"/>
          <w:szCs w:val="21"/>
        </w:rPr>
        <w:t xml:space="preserve"> </w:t>
      </w:r>
      <w:r w:rsidR="0047658C" w:rsidRPr="00705BD3">
        <w:rPr>
          <w:sz w:val="21"/>
          <w:szCs w:val="21"/>
        </w:rPr>
        <w:t xml:space="preserve">are </w:t>
      </w:r>
      <w:r w:rsidRPr="00705BD3">
        <w:rPr>
          <w:sz w:val="21"/>
          <w:szCs w:val="21"/>
        </w:rPr>
        <w:t>delayed</w:t>
      </w:r>
      <w:r w:rsidRPr="00705BD3">
        <w:rPr>
          <w:color w:val="000000"/>
          <w:sz w:val="21"/>
          <w:szCs w:val="21"/>
          <w14:textFill>
            <w14:solidFill>
              <w14:srgbClr w14:val="000000">
                <w14:alpha w14:val="4000"/>
              </w14:srgbClr>
            </w14:solidFill>
          </w14:textFill>
        </w:rPr>
        <w:t>.</w:t>
      </w:r>
      <w:bookmarkEnd w:id="152"/>
      <w:bookmarkEnd w:id="153"/>
      <w:bookmarkEnd w:id="154"/>
      <w:bookmarkEnd w:id="155"/>
      <w:bookmarkEnd w:id="156"/>
      <w:r w:rsidRPr="0004215E">
        <w:rPr>
          <w:b w:val="0"/>
          <w:color w:val="000000"/>
          <w:sz w:val="21"/>
          <w:szCs w:val="21"/>
          <w14:textFill>
            <w14:solidFill>
              <w14:srgbClr w14:val="000000">
                <w14:alpha w14:val="4000"/>
              </w14:srgbClr>
            </w14:solidFill>
          </w14:textFill>
        </w:rPr>
        <w:t xml:space="preserve"> </w:t>
      </w:r>
    </w:p>
    <w:p w14:paraId="10F12BB5" w14:textId="001B521A" w:rsidR="00236662" w:rsidRPr="009C0914" w:rsidRDefault="00236662" w:rsidP="0004215E">
      <w:pPr>
        <w:pStyle w:val="ListParagraph"/>
        <w:numPr>
          <w:ilvl w:val="0"/>
          <w:numId w:val="32"/>
        </w:numPr>
        <w:jc w:val="both"/>
        <w:rPr>
          <w:rFonts w:asciiTheme="minorHAnsi" w:hAnsiTheme="minorHAnsi" w:cstheme="minorHAnsi"/>
          <w:b w:val="0"/>
          <w:color w:val="auto"/>
          <w:sz w:val="21"/>
          <w:szCs w:val="21"/>
          <w:u w:val="none"/>
        </w:rPr>
      </w:pPr>
      <w:r w:rsidRPr="0004215E">
        <w:rPr>
          <w:rFonts w:asciiTheme="minorHAnsi" w:hAnsiTheme="minorHAnsi" w:cstheme="minorHAnsi"/>
          <w:b w:val="0"/>
          <w:color w:val="auto"/>
          <w:sz w:val="21"/>
          <w:szCs w:val="21"/>
          <w:u w:val="none"/>
        </w:rPr>
        <w:t>Nabilan</w:t>
      </w:r>
      <w:r w:rsidR="00BB305F" w:rsidRPr="0004215E">
        <w:rPr>
          <w:rFonts w:asciiTheme="minorHAnsi" w:hAnsiTheme="minorHAnsi" w:cstheme="minorHAnsi"/>
          <w:b w:val="0"/>
          <w:color w:val="auto"/>
          <w:sz w:val="21"/>
          <w:szCs w:val="21"/>
          <w:u w:val="none"/>
        </w:rPr>
        <w:t xml:space="preserve"> has </w:t>
      </w:r>
      <w:r w:rsidR="00BB305F" w:rsidRPr="009C0914">
        <w:rPr>
          <w:rFonts w:asciiTheme="minorHAnsi" w:hAnsiTheme="minorHAnsi" w:cstheme="minorHAnsi"/>
          <w:b w:val="0"/>
          <w:color w:val="auto"/>
          <w:sz w:val="21"/>
          <w:szCs w:val="21"/>
          <w:u w:val="none"/>
        </w:rPr>
        <w:t>selected prevention partners but</w:t>
      </w:r>
      <w:r w:rsidRPr="009C0914">
        <w:rPr>
          <w:rFonts w:asciiTheme="minorHAnsi" w:hAnsiTheme="minorHAnsi" w:cstheme="minorHAnsi"/>
          <w:b w:val="0"/>
          <w:color w:val="auto"/>
          <w:sz w:val="21"/>
          <w:szCs w:val="21"/>
          <w:u w:val="none"/>
        </w:rPr>
        <w:t xml:space="preserve"> </w:t>
      </w:r>
      <w:r w:rsidR="0047658C" w:rsidRPr="009C0914">
        <w:rPr>
          <w:rFonts w:asciiTheme="minorHAnsi" w:hAnsiTheme="minorHAnsi" w:cstheme="minorHAnsi"/>
          <w:b w:val="0"/>
          <w:color w:val="auto"/>
          <w:sz w:val="21"/>
          <w:szCs w:val="21"/>
          <w:u w:val="none"/>
        </w:rPr>
        <w:t xml:space="preserve">grant disbursements </w:t>
      </w:r>
      <w:r w:rsidR="00BB305F" w:rsidRPr="009C0914">
        <w:rPr>
          <w:rFonts w:asciiTheme="minorHAnsi" w:hAnsiTheme="minorHAnsi" w:cstheme="minorHAnsi"/>
          <w:b w:val="0"/>
          <w:color w:val="auto"/>
          <w:sz w:val="21"/>
          <w:szCs w:val="21"/>
          <w:u w:val="none"/>
        </w:rPr>
        <w:t>were</w:t>
      </w:r>
      <w:r w:rsidRPr="009C0914">
        <w:rPr>
          <w:rFonts w:asciiTheme="minorHAnsi" w:hAnsiTheme="minorHAnsi" w:cstheme="minorHAnsi"/>
          <w:b w:val="0"/>
          <w:color w:val="auto"/>
          <w:sz w:val="21"/>
          <w:szCs w:val="21"/>
          <w:u w:val="none"/>
        </w:rPr>
        <w:t xml:space="preserve"> delayed until January 2019 due to the reduction in Nabilan’s budget. </w:t>
      </w:r>
      <w:r w:rsidR="00C50F0F" w:rsidRPr="009C0914">
        <w:rPr>
          <w:rFonts w:asciiTheme="minorHAnsi" w:hAnsiTheme="minorHAnsi" w:cstheme="minorHAnsi"/>
          <w:b w:val="0"/>
          <w:color w:val="auto"/>
          <w:sz w:val="21"/>
          <w:szCs w:val="21"/>
          <w:u w:val="none"/>
        </w:rPr>
        <w:t>This provided time for Nabilan to improve partner materials and provide staff with capacity-building. An intensive monitoring schedule of partner activities was also developed. This work is continuing.</w:t>
      </w:r>
    </w:p>
    <w:p w14:paraId="2A7318C6" w14:textId="29CED6C2" w:rsidR="00CE7269" w:rsidRPr="009C0914" w:rsidRDefault="00CE7269" w:rsidP="0004215E">
      <w:pPr>
        <w:pStyle w:val="ListParagraph"/>
        <w:numPr>
          <w:ilvl w:val="0"/>
          <w:numId w:val="32"/>
        </w:numPr>
        <w:jc w:val="both"/>
        <w:rPr>
          <w:rFonts w:asciiTheme="minorHAnsi" w:hAnsiTheme="minorHAnsi" w:cstheme="minorHAnsi"/>
          <w:b w:val="0"/>
          <w:color w:val="auto"/>
          <w:sz w:val="21"/>
          <w:szCs w:val="21"/>
          <w:u w:val="none"/>
        </w:rPr>
      </w:pPr>
      <w:r w:rsidRPr="009C0914">
        <w:rPr>
          <w:rFonts w:asciiTheme="minorHAnsi" w:hAnsiTheme="minorHAnsi" w:cstheme="minorHAnsi"/>
          <w:b w:val="0"/>
          <w:color w:val="auto"/>
          <w:sz w:val="21"/>
          <w:szCs w:val="21"/>
          <w:u w:val="none"/>
        </w:rPr>
        <w:t xml:space="preserve">Nabilan </w:t>
      </w:r>
      <w:r w:rsidR="00BB1616" w:rsidRPr="009C0914">
        <w:rPr>
          <w:rFonts w:asciiTheme="minorHAnsi" w:hAnsiTheme="minorHAnsi" w:cstheme="minorHAnsi"/>
          <w:b w:val="0"/>
          <w:color w:val="auto"/>
          <w:sz w:val="21"/>
          <w:szCs w:val="21"/>
          <w:u w:val="none"/>
        </w:rPr>
        <w:t>continued to support communities to take independent action to prevent VAWC</w:t>
      </w:r>
      <w:r w:rsidR="004E46AD" w:rsidRPr="009C0914">
        <w:rPr>
          <w:rFonts w:asciiTheme="minorHAnsi" w:hAnsiTheme="minorHAnsi" w:cstheme="minorHAnsi"/>
          <w:b w:val="0"/>
          <w:color w:val="auto"/>
          <w:sz w:val="21"/>
          <w:szCs w:val="21"/>
          <w:u w:val="none"/>
        </w:rPr>
        <w:t>.</w:t>
      </w:r>
      <w:r w:rsidR="00BB1616" w:rsidRPr="009C0914">
        <w:rPr>
          <w:rFonts w:asciiTheme="minorHAnsi" w:hAnsiTheme="minorHAnsi" w:cstheme="minorHAnsi"/>
          <w:b w:val="0"/>
          <w:color w:val="auto"/>
          <w:sz w:val="21"/>
          <w:szCs w:val="21"/>
          <w:u w:val="none"/>
        </w:rPr>
        <w:t xml:space="preserve"> </w:t>
      </w:r>
      <w:r w:rsidR="004E46AD" w:rsidRPr="009C0914">
        <w:rPr>
          <w:rFonts w:asciiTheme="minorHAnsi" w:hAnsiTheme="minorHAnsi" w:cstheme="minorHAnsi"/>
          <w:b w:val="0"/>
          <w:color w:val="auto"/>
          <w:sz w:val="21"/>
          <w:szCs w:val="21"/>
          <w:u w:val="none"/>
        </w:rPr>
        <w:t xml:space="preserve">The </w:t>
      </w:r>
      <w:r w:rsidR="00777F2B" w:rsidRPr="009C0914">
        <w:rPr>
          <w:rFonts w:asciiTheme="minorHAnsi" w:hAnsiTheme="minorHAnsi" w:cstheme="minorHAnsi"/>
          <w:b w:val="0"/>
          <w:color w:val="auto"/>
          <w:sz w:val="21"/>
          <w:szCs w:val="21"/>
          <w:u w:val="none"/>
        </w:rPr>
        <w:t xml:space="preserve">KOKOSA! </w:t>
      </w:r>
      <w:r w:rsidR="004E46AD" w:rsidRPr="009C0914">
        <w:rPr>
          <w:rFonts w:asciiTheme="minorHAnsi" w:hAnsiTheme="minorHAnsi" w:cstheme="minorHAnsi"/>
          <w:b w:val="0"/>
          <w:color w:val="auto"/>
          <w:sz w:val="21"/>
          <w:szCs w:val="21"/>
          <w:u w:val="none"/>
        </w:rPr>
        <w:t xml:space="preserve">program </w:t>
      </w:r>
      <w:r w:rsidR="00777F2B" w:rsidRPr="009C0914">
        <w:rPr>
          <w:rFonts w:asciiTheme="minorHAnsi" w:hAnsiTheme="minorHAnsi" w:cstheme="minorHAnsi"/>
          <w:b w:val="0"/>
          <w:color w:val="auto"/>
          <w:sz w:val="21"/>
          <w:szCs w:val="21"/>
          <w:u w:val="none"/>
        </w:rPr>
        <w:t xml:space="preserve">in Suku Letefoho </w:t>
      </w:r>
      <w:r w:rsidR="004E46AD" w:rsidRPr="009C0914">
        <w:rPr>
          <w:rFonts w:asciiTheme="minorHAnsi" w:hAnsiTheme="minorHAnsi" w:cstheme="minorHAnsi"/>
          <w:b w:val="0"/>
          <w:color w:val="auto"/>
          <w:sz w:val="21"/>
          <w:szCs w:val="21"/>
          <w:u w:val="none"/>
        </w:rPr>
        <w:t>transitioned from Phase 1</w:t>
      </w:r>
      <w:r w:rsidR="00777F2B" w:rsidRPr="009C0914">
        <w:rPr>
          <w:rFonts w:asciiTheme="minorHAnsi" w:hAnsiTheme="minorHAnsi" w:cstheme="minorHAnsi"/>
          <w:b w:val="0"/>
          <w:color w:val="auto"/>
          <w:sz w:val="21"/>
          <w:szCs w:val="21"/>
          <w:u w:val="none"/>
        </w:rPr>
        <w:t>(</w:t>
      </w:r>
      <w:r w:rsidR="00F41CFC" w:rsidRPr="009C0914">
        <w:rPr>
          <w:rFonts w:asciiTheme="minorHAnsi" w:hAnsiTheme="minorHAnsi" w:cstheme="minorHAnsi"/>
          <w:b w:val="0"/>
          <w:i/>
          <w:color w:val="auto"/>
          <w:sz w:val="21"/>
          <w:szCs w:val="21"/>
          <w:u w:val="none"/>
        </w:rPr>
        <w:t>Komesa</w:t>
      </w:r>
      <w:r w:rsidR="00F41CFC" w:rsidRPr="009C0914">
        <w:rPr>
          <w:rFonts w:asciiTheme="minorHAnsi" w:hAnsiTheme="minorHAnsi" w:cstheme="minorHAnsi"/>
          <w:b w:val="0"/>
          <w:color w:val="auto"/>
          <w:sz w:val="21"/>
          <w:szCs w:val="21"/>
          <w:u w:val="none"/>
        </w:rPr>
        <w:t>/</w:t>
      </w:r>
      <w:r w:rsidR="00777F2B" w:rsidRPr="009C0914">
        <w:rPr>
          <w:rFonts w:asciiTheme="minorHAnsi" w:hAnsiTheme="minorHAnsi" w:cstheme="minorHAnsi"/>
          <w:b w:val="0"/>
          <w:color w:val="auto"/>
          <w:sz w:val="21"/>
          <w:szCs w:val="21"/>
          <w:u w:val="none"/>
        </w:rPr>
        <w:t>Start)</w:t>
      </w:r>
      <w:r w:rsidR="004E46AD" w:rsidRPr="009C0914">
        <w:rPr>
          <w:rFonts w:asciiTheme="minorHAnsi" w:hAnsiTheme="minorHAnsi" w:cstheme="minorHAnsi"/>
          <w:b w:val="0"/>
          <w:color w:val="auto"/>
          <w:sz w:val="21"/>
          <w:szCs w:val="21"/>
          <w:u w:val="none"/>
        </w:rPr>
        <w:t xml:space="preserve"> to Phase II (</w:t>
      </w:r>
      <w:r w:rsidR="00F41CFC" w:rsidRPr="009C0914">
        <w:rPr>
          <w:rFonts w:asciiTheme="minorHAnsi" w:hAnsiTheme="minorHAnsi" w:cstheme="minorHAnsi"/>
          <w:b w:val="0"/>
          <w:i/>
          <w:color w:val="auto"/>
          <w:sz w:val="21"/>
          <w:szCs w:val="21"/>
          <w:u w:val="none"/>
        </w:rPr>
        <w:t>Konxiénsia</w:t>
      </w:r>
      <w:r w:rsidR="00F41CFC" w:rsidRPr="009C0914">
        <w:rPr>
          <w:rFonts w:asciiTheme="minorHAnsi" w:hAnsiTheme="minorHAnsi" w:cstheme="minorHAnsi"/>
          <w:b w:val="0"/>
          <w:color w:val="auto"/>
          <w:sz w:val="21"/>
          <w:szCs w:val="21"/>
          <w:u w:val="none"/>
        </w:rPr>
        <w:t>/Awareness</w:t>
      </w:r>
      <w:r w:rsidR="004E46AD" w:rsidRPr="009C0914">
        <w:rPr>
          <w:rFonts w:asciiTheme="minorHAnsi" w:hAnsiTheme="minorHAnsi" w:cstheme="minorHAnsi"/>
          <w:b w:val="0"/>
          <w:color w:val="auto"/>
          <w:sz w:val="21"/>
          <w:szCs w:val="21"/>
          <w:u w:val="none"/>
        </w:rPr>
        <w:t xml:space="preserve">) during 2018. </w:t>
      </w:r>
      <w:r w:rsidR="00F667BC" w:rsidRPr="009C0914">
        <w:rPr>
          <w:rFonts w:asciiTheme="minorHAnsi" w:hAnsiTheme="minorHAnsi" w:cstheme="minorHAnsi"/>
          <w:b w:val="0"/>
          <w:color w:val="auto"/>
          <w:sz w:val="21"/>
          <w:szCs w:val="21"/>
          <w:u w:val="none"/>
        </w:rPr>
        <w:t>We are</w:t>
      </w:r>
      <w:r w:rsidR="004E46AD" w:rsidRPr="009C0914">
        <w:rPr>
          <w:rFonts w:asciiTheme="minorHAnsi" w:hAnsiTheme="minorHAnsi" w:cstheme="minorHAnsi"/>
          <w:b w:val="0"/>
          <w:color w:val="auto"/>
          <w:sz w:val="21"/>
          <w:szCs w:val="21"/>
          <w:u w:val="none"/>
        </w:rPr>
        <w:t xml:space="preserve"> progressing</w:t>
      </w:r>
      <w:r w:rsidR="0020245F" w:rsidRPr="009C0914">
        <w:rPr>
          <w:rFonts w:asciiTheme="minorHAnsi" w:hAnsiTheme="minorHAnsi" w:cstheme="minorHAnsi"/>
          <w:b w:val="0"/>
          <w:color w:val="auto"/>
          <w:sz w:val="21"/>
          <w:szCs w:val="21"/>
          <w:u w:val="none"/>
        </w:rPr>
        <w:t xml:space="preserve"> </w:t>
      </w:r>
      <w:r w:rsidRPr="009C0914">
        <w:rPr>
          <w:rFonts w:asciiTheme="minorHAnsi" w:hAnsiTheme="minorHAnsi" w:cstheme="minorHAnsi"/>
          <w:b w:val="0"/>
          <w:color w:val="auto"/>
          <w:sz w:val="21"/>
          <w:szCs w:val="21"/>
          <w:u w:val="none"/>
        </w:rPr>
        <w:t>to</w:t>
      </w:r>
      <w:r w:rsidR="0020245F" w:rsidRPr="009C0914">
        <w:rPr>
          <w:rFonts w:asciiTheme="minorHAnsi" w:hAnsiTheme="minorHAnsi" w:cstheme="minorHAnsi"/>
          <w:b w:val="0"/>
          <w:color w:val="auto"/>
          <w:sz w:val="21"/>
          <w:szCs w:val="21"/>
          <w:u w:val="none"/>
        </w:rPr>
        <w:t>ward</w:t>
      </w:r>
      <w:r w:rsidRPr="009C0914">
        <w:rPr>
          <w:rFonts w:asciiTheme="minorHAnsi" w:hAnsiTheme="minorHAnsi" w:cstheme="minorHAnsi"/>
          <w:b w:val="0"/>
          <w:color w:val="auto"/>
          <w:sz w:val="21"/>
          <w:szCs w:val="21"/>
          <w:u w:val="none"/>
        </w:rPr>
        <w:t xml:space="preserve"> the target of completing Phase II by June 2019</w:t>
      </w:r>
      <w:r w:rsidR="00F667BC" w:rsidRPr="009C0914">
        <w:rPr>
          <w:rFonts w:asciiTheme="minorHAnsi" w:hAnsiTheme="minorHAnsi" w:cstheme="minorHAnsi"/>
          <w:b w:val="0"/>
          <w:color w:val="auto"/>
          <w:sz w:val="21"/>
          <w:szCs w:val="21"/>
          <w:u w:val="none"/>
        </w:rPr>
        <w:t>. However,</w:t>
      </w:r>
      <w:r w:rsidR="00BB1616" w:rsidRPr="009C0914">
        <w:rPr>
          <w:rFonts w:asciiTheme="minorHAnsi" w:hAnsiTheme="minorHAnsi" w:cstheme="minorHAnsi"/>
          <w:b w:val="0"/>
          <w:color w:val="auto"/>
          <w:sz w:val="21"/>
          <w:szCs w:val="21"/>
          <w:u w:val="none"/>
        </w:rPr>
        <w:t xml:space="preserve"> b</w:t>
      </w:r>
      <w:r w:rsidRPr="009C0914">
        <w:rPr>
          <w:rFonts w:asciiTheme="minorHAnsi" w:hAnsiTheme="minorHAnsi" w:cstheme="minorHAnsi"/>
          <w:b w:val="0"/>
          <w:color w:val="auto"/>
          <w:sz w:val="21"/>
          <w:szCs w:val="21"/>
          <w:u w:val="none"/>
        </w:rPr>
        <w:t xml:space="preserve">aseline data </w:t>
      </w:r>
      <w:r w:rsidR="00BB1616" w:rsidRPr="009C0914">
        <w:rPr>
          <w:rFonts w:asciiTheme="minorHAnsi" w:hAnsiTheme="minorHAnsi" w:cstheme="minorHAnsi"/>
          <w:b w:val="0"/>
          <w:color w:val="auto"/>
          <w:sz w:val="21"/>
          <w:szCs w:val="21"/>
          <w:u w:val="none"/>
        </w:rPr>
        <w:t xml:space="preserve">on existing community awareness </w:t>
      </w:r>
      <w:r w:rsidRPr="009C0914">
        <w:rPr>
          <w:rFonts w:asciiTheme="minorHAnsi" w:hAnsiTheme="minorHAnsi" w:cstheme="minorHAnsi"/>
          <w:b w:val="0"/>
          <w:color w:val="auto"/>
          <w:sz w:val="21"/>
          <w:szCs w:val="21"/>
          <w:u w:val="none"/>
        </w:rPr>
        <w:t xml:space="preserve">collected in 2018, </w:t>
      </w:r>
      <w:r w:rsidR="00BB1616" w:rsidRPr="009C0914">
        <w:rPr>
          <w:rFonts w:asciiTheme="minorHAnsi" w:hAnsiTheme="minorHAnsi" w:cstheme="minorHAnsi"/>
          <w:b w:val="0"/>
          <w:color w:val="auto"/>
          <w:sz w:val="21"/>
          <w:szCs w:val="21"/>
          <w:u w:val="none"/>
        </w:rPr>
        <w:t xml:space="preserve">suggests there is considerable work to be done. </w:t>
      </w:r>
      <w:r w:rsidR="00F41CFC" w:rsidRPr="009C0914">
        <w:rPr>
          <w:rFonts w:asciiTheme="minorHAnsi" w:hAnsiTheme="minorHAnsi" w:cstheme="minorHAnsi"/>
          <w:b w:val="0"/>
          <w:color w:val="auto"/>
          <w:sz w:val="21"/>
          <w:szCs w:val="21"/>
          <w:u w:val="none"/>
        </w:rPr>
        <w:t>Comparing this</w:t>
      </w:r>
      <w:r w:rsidR="00BB1616" w:rsidRPr="009C0914">
        <w:rPr>
          <w:rFonts w:asciiTheme="minorHAnsi" w:hAnsiTheme="minorHAnsi" w:cstheme="minorHAnsi"/>
          <w:b w:val="0"/>
          <w:color w:val="auto"/>
          <w:sz w:val="21"/>
          <w:szCs w:val="21"/>
          <w:u w:val="none"/>
        </w:rPr>
        <w:t xml:space="preserve"> baseline</w:t>
      </w:r>
      <w:r w:rsidR="00F41CFC" w:rsidRPr="009C0914">
        <w:rPr>
          <w:rFonts w:asciiTheme="minorHAnsi" w:hAnsiTheme="minorHAnsi" w:cstheme="minorHAnsi"/>
          <w:b w:val="0"/>
          <w:color w:val="auto"/>
          <w:sz w:val="21"/>
          <w:szCs w:val="21"/>
          <w:u w:val="none"/>
        </w:rPr>
        <w:t xml:space="preserve"> with data to be collected in 2019</w:t>
      </w:r>
      <w:r w:rsidR="00BB1616" w:rsidRPr="009C0914">
        <w:rPr>
          <w:rFonts w:asciiTheme="minorHAnsi" w:hAnsiTheme="minorHAnsi" w:cstheme="minorHAnsi"/>
          <w:b w:val="0"/>
          <w:color w:val="auto"/>
          <w:sz w:val="21"/>
          <w:szCs w:val="21"/>
          <w:u w:val="none"/>
        </w:rPr>
        <w:t xml:space="preserve"> </w:t>
      </w:r>
      <w:r w:rsidRPr="009C0914">
        <w:rPr>
          <w:rFonts w:asciiTheme="minorHAnsi" w:hAnsiTheme="minorHAnsi" w:cstheme="minorHAnsi"/>
          <w:b w:val="0"/>
          <w:color w:val="auto"/>
          <w:sz w:val="21"/>
          <w:szCs w:val="21"/>
          <w:u w:val="none"/>
        </w:rPr>
        <w:t xml:space="preserve">will </w:t>
      </w:r>
      <w:r w:rsidR="00BB305F" w:rsidRPr="009C0914">
        <w:rPr>
          <w:rFonts w:asciiTheme="minorHAnsi" w:hAnsiTheme="minorHAnsi" w:cstheme="minorHAnsi"/>
          <w:b w:val="0"/>
          <w:color w:val="auto"/>
          <w:sz w:val="21"/>
          <w:szCs w:val="21"/>
          <w:u w:val="none"/>
        </w:rPr>
        <w:t xml:space="preserve">allow us to assess </w:t>
      </w:r>
      <w:r w:rsidRPr="009C0914">
        <w:rPr>
          <w:rFonts w:asciiTheme="minorHAnsi" w:hAnsiTheme="minorHAnsi" w:cstheme="minorHAnsi"/>
          <w:b w:val="0"/>
          <w:color w:val="auto"/>
          <w:sz w:val="21"/>
          <w:szCs w:val="21"/>
          <w:u w:val="none"/>
        </w:rPr>
        <w:t xml:space="preserve">whether the intervention </w:t>
      </w:r>
      <w:r w:rsidR="00777F2B" w:rsidRPr="009C0914">
        <w:rPr>
          <w:rFonts w:asciiTheme="minorHAnsi" w:hAnsiTheme="minorHAnsi" w:cstheme="minorHAnsi"/>
          <w:b w:val="0"/>
          <w:color w:val="auto"/>
          <w:sz w:val="21"/>
          <w:szCs w:val="21"/>
          <w:u w:val="none"/>
        </w:rPr>
        <w:t xml:space="preserve">remains </w:t>
      </w:r>
      <w:r w:rsidRPr="009C0914">
        <w:rPr>
          <w:rFonts w:asciiTheme="minorHAnsi" w:hAnsiTheme="minorHAnsi" w:cstheme="minorHAnsi"/>
          <w:b w:val="0"/>
          <w:color w:val="auto"/>
          <w:sz w:val="21"/>
          <w:szCs w:val="21"/>
          <w:u w:val="none"/>
        </w:rPr>
        <w:t>on track</w:t>
      </w:r>
      <w:r w:rsidR="00BB1616" w:rsidRPr="009C0914">
        <w:rPr>
          <w:rFonts w:asciiTheme="minorHAnsi" w:hAnsiTheme="minorHAnsi" w:cstheme="minorHAnsi"/>
          <w:b w:val="0"/>
          <w:color w:val="auto"/>
          <w:sz w:val="21"/>
          <w:szCs w:val="21"/>
          <w:u w:val="none"/>
        </w:rPr>
        <w:t xml:space="preserve"> and</w:t>
      </w:r>
      <w:r w:rsidR="00D31883" w:rsidRPr="009C0914">
        <w:rPr>
          <w:rFonts w:asciiTheme="minorHAnsi" w:hAnsiTheme="minorHAnsi" w:cstheme="minorHAnsi"/>
          <w:b w:val="0"/>
          <w:color w:val="auto"/>
          <w:sz w:val="21"/>
          <w:szCs w:val="21"/>
          <w:u w:val="none"/>
        </w:rPr>
        <w:t xml:space="preserve"> inform a decision on whether to progress to Phase III (Action) in 2020.</w:t>
      </w:r>
    </w:p>
    <w:p w14:paraId="0F26CE03" w14:textId="7B55BB95" w:rsidR="00CE7269" w:rsidRPr="0004215E" w:rsidRDefault="001B7D11" w:rsidP="0004215E">
      <w:pPr>
        <w:pStyle w:val="ListParagraph"/>
        <w:numPr>
          <w:ilvl w:val="0"/>
          <w:numId w:val="32"/>
        </w:numPr>
        <w:jc w:val="both"/>
        <w:rPr>
          <w:rFonts w:asciiTheme="minorHAnsi" w:hAnsiTheme="minorHAnsi" w:cstheme="minorHAnsi"/>
          <w:b w:val="0"/>
          <w:color w:val="auto"/>
          <w:sz w:val="21"/>
          <w:szCs w:val="21"/>
          <w:u w:val="none"/>
        </w:rPr>
      </w:pPr>
      <w:r w:rsidRPr="009C0914">
        <w:rPr>
          <w:rFonts w:asciiTheme="minorHAnsi" w:hAnsiTheme="minorHAnsi" w:cstheme="minorHAnsi"/>
          <w:b w:val="0"/>
          <w:color w:val="auto"/>
          <w:sz w:val="21"/>
          <w:szCs w:val="21"/>
          <w:u w:val="none"/>
        </w:rPr>
        <w:t>There are already positive examples of Nabilan’s KOKOSA! training modules</w:t>
      </w:r>
      <w:r w:rsidRPr="0004215E">
        <w:rPr>
          <w:rFonts w:asciiTheme="minorHAnsi" w:hAnsiTheme="minorHAnsi" w:cstheme="minorHAnsi"/>
          <w:b w:val="0"/>
          <w:color w:val="auto"/>
          <w:sz w:val="21"/>
          <w:szCs w:val="21"/>
          <w:u w:val="none"/>
        </w:rPr>
        <w:t xml:space="preserve">, </w:t>
      </w:r>
      <w:r w:rsidR="00F667BC" w:rsidRPr="0004215E">
        <w:rPr>
          <w:rFonts w:asciiTheme="minorHAnsi" w:hAnsiTheme="minorHAnsi" w:cstheme="minorHAnsi"/>
          <w:b w:val="0"/>
          <w:color w:val="auto"/>
          <w:sz w:val="21"/>
          <w:szCs w:val="21"/>
          <w:u w:val="none"/>
        </w:rPr>
        <w:t>informed</w:t>
      </w:r>
      <w:r w:rsidRPr="0004215E">
        <w:rPr>
          <w:rFonts w:asciiTheme="minorHAnsi" w:hAnsiTheme="minorHAnsi" w:cstheme="minorHAnsi"/>
          <w:b w:val="0"/>
          <w:color w:val="auto"/>
          <w:sz w:val="21"/>
          <w:szCs w:val="21"/>
          <w:u w:val="none"/>
        </w:rPr>
        <w:t xml:space="preserve"> by the </w:t>
      </w:r>
      <w:r w:rsidR="00EA21EF" w:rsidRPr="0004215E">
        <w:rPr>
          <w:rFonts w:asciiTheme="minorHAnsi" w:hAnsiTheme="minorHAnsi" w:cstheme="minorHAnsi"/>
          <w:b w:val="0"/>
          <w:color w:val="auto"/>
          <w:sz w:val="21"/>
          <w:szCs w:val="21"/>
          <w:u w:val="none"/>
        </w:rPr>
        <w:t>Community-based approaches (</w:t>
      </w:r>
      <w:r w:rsidRPr="0004215E">
        <w:rPr>
          <w:rFonts w:asciiTheme="minorHAnsi" w:hAnsiTheme="minorHAnsi" w:cstheme="minorHAnsi"/>
          <w:b w:val="0"/>
          <w:color w:val="auto"/>
          <w:sz w:val="21"/>
          <w:szCs w:val="21"/>
          <w:u w:val="none"/>
        </w:rPr>
        <w:t>CBA</w:t>
      </w:r>
      <w:r w:rsidR="00EA21EF" w:rsidRPr="0004215E">
        <w:rPr>
          <w:rFonts w:asciiTheme="minorHAnsi" w:hAnsiTheme="minorHAnsi" w:cstheme="minorHAnsi"/>
          <w:b w:val="0"/>
          <w:color w:val="auto"/>
          <w:sz w:val="21"/>
          <w:szCs w:val="21"/>
          <w:u w:val="none"/>
        </w:rPr>
        <w:t>)</w:t>
      </w:r>
      <w:r w:rsidRPr="0004215E">
        <w:rPr>
          <w:rFonts w:asciiTheme="minorHAnsi" w:hAnsiTheme="minorHAnsi" w:cstheme="minorHAnsi"/>
          <w:b w:val="0"/>
          <w:color w:val="auto"/>
          <w:sz w:val="21"/>
          <w:szCs w:val="21"/>
          <w:u w:val="none"/>
        </w:rPr>
        <w:t xml:space="preserve"> pilot, being used by other agencies, and this is a significant achievement at this early stage. </w:t>
      </w:r>
      <w:r w:rsidR="00E5163D" w:rsidRPr="0004215E">
        <w:rPr>
          <w:rFonts w:asciiTheme="minorHAnsi" w:hAnsiTheme="minorHAnsi" w:cstheme="minorHAnsi"/>
          <w:b w:val="0"/>
          <w:color w:val="auto"/>
          <w:sz w:val="21"/>
          <w:szCs w:val="21"/>
          <w:u w:val="none"/>
        </w:rPr>
        <w:t xml:space="preserve">Examples have been provided of CAN members using their learnings to promote gender equality in their programs, laying the foundation for future integration of quality prevention approaches. </w:t>
      </w:r>
      <w:r w:rsidR="0047658C" w:rsidRPr="0004215E">
        <w:rPr>
          <w:rFonts w:asciiTheme="minorHAnsi" w:hAnsiTheme="minorHAnsi" w:cstheme="minorHAnsi"/>
          <w:b w:val="0"/>
          <w:color w:val="auto"/>
          <w:sz w:val="21"/>
          <w:szCs w:val="21"/>
          <w:u w:val="none"/>
        </w:rPr>
        <w:t xml:space="preserve">Nabilan continues to support Change Ambassadors to influence their programs on quality prevention approaches. </w:t>
      </w:r>
      <w:r w:rsidR="00E5163D" w:rsidRPr="0004215E">
        <w:rPr>
          <w:rFonts w:asciiTheme="minorHAnsi" w:hAnsiTheme="minorHAnsi" w:cstheme="minorHAnsi"/>
          <w:b w:val="0"/>
          <w:color w:val="auto"/>
          <w:sz w:val="21"/>
          <w:szCs w:val="21"/>
          <w:u w:val="none"/>
        </w:rPr>
        <w:t xml:space="preserve">During 2018 </w:t>
      </w:r>
      <w:r w:rsidR="000F2414" w:rsidRPr="0004215E">
        <w:rPr>
          <w:rFonts w:asciiTheme="minorHAnsi" w:hAnsiTheme="minorHAnsi" w:cstheme="minorHAnsi"/>
          <w:b w:val="0"/>
          <w:color w:val="auto"/>
          <w:sz w:val="21"/>
          <w:szCs w:val="21"/>
          <w:u w:val="none"/>
        </w:rPr>
        <w:t>Nabilan completed baseline research for the CAN</w:t>
      </w:r>
      <w:r w:rsidR="0047658C" w:rsidRPr="0004215E">
        <w:rPr>
          <w:rFonts w:asciiTheme="minorHAnsi" w:hAnsiTheme="minorHAnsi" w:cstheme="minorHAnsi"/>
          <w:b w:val="0"/>
          <w:color w:val="auto"/>
          <w:sz w:val="21"/>
          <w:szCs w:val="21"/>
          <w:u w:val="none"/>
        </w:rPr>
        <w:t>, which will allow us</w:t>
      </w:r>
      <w:r w:rsidR="000F2414" w:rsidRPr="0004215E">
        <w:rPr>
          <w:rFonts w:asciiTheme="minorHAnsi" w:hAnsiTheme="minorHAnsi" w:cstheme="minorHAnsi"/>
          <w:b w:val="0"/>
          <w:color w:val="auto"/>
          <w:sz w:val="21"/>
          <w:szCs w:val="21"/>
          <w:u w:val="none"/>
        </w:rPr>
        <w:t xml:space="preserve"> to monitor progress</w:t>
      </w:r>
      <w:r w:rsidR="0047658C" w:rsidRPr="0004215E">
        <w:rPr>
          <w:rFonts w:asciiTheme="minorHAnsi" w:hAnsiTheme="minorHAnsi" w:cstheme="minorHAnsi"/>
          <w:b w:val="0"/>
          <w:color w:val="auto"/>
          <w:sz w:val="21"/>
          <w:szCs w:val="21"/>
          <w:u w:val="none"/>
        </w:rPr>
        <w:t>,</w:t>
      </w:r>
      <w:r w:rsidR="000F2414" w:rsidRPr="0004215E">
        <w:rPr>
          <w:rFonts w:asciiTheme="minorHAnsi" w:hAnsiTheme="minorHAnsi" w:cstheme="minorHAnsi"/>
          <w:b w:val="0"/>
          <w:color w:val="auto"/>
          <w:sz w:val="21"/>
          <w:szCs w:val="21"/>
          <w:u w:val="none"/>
        </w:rPr>
        <w:t xml:space="preserve"> and adapt our programming as required. </w:t>
      </w:r>
      <w:r w:rsidR="00CE7269" w:rsidRPr="0004215E">
        <w:rPr>
          <w:rFonts w:asciiTheme="minorHAnsi" w:hAnsiTheme="minorHAnsi" w:cstheme="minorHAnsi"/>
          <w:b w:val="0"/>
          <w:color w:val="auto"/>
          <w:sz w:val="21"/>
          <w:szCs w:val="21"/>
          <w:u w:val="none"/>
        </w:rPr>
        <w:t>More time is required to fully assess impact.</w:t>
      </w:r>
      <w:r w:rsidR="000F2414" w:rsidRPr="0004215E">
        <w:rPr>
          <w:rFonts w:asciiTheme="minorHAnsi" w:hAnsiTheme="minorHAnsi" w:cstheme="minorHAnsi"/>
          <w:b w:val="0"/>
          <w:color w:val="auto"/>
          <w:sz w:val="21"/>
          <w:szCs w:val="21"/>
          <w:u w:val="none"/>
        </w:rPr>
        <w:t xml:space="preserve"> </w:t>
      </w:r>
    </w:p>
    <w:p w14:paraId="5315FD79" w14:textId="31BDA635" w:rsidR="001B7D11" w:rsidRPr="0004215E" w:rsidRDefault="001B7D11" w:rsidP="0004215E">
      <w:pPr>
        <w:pStyle w:val="ListParagraph"/>
        <w:numPr>
          <w:ilvl w:val="0"/>
          <w:numId w:val="32"/>
        </w:numPr>
        <w:jc w:val="both"/>
        <w:rPr>
          <w:rFonts w:asciiTheme="minorHAnsi" w:hAnsiTheme="minorHAnsi" w:cstheme="minorHAnsi"/>
          <w:b w:val="0"/>
          <w:color w:val="auto"/>
          <w:sz w:val="21"/>
          <w:szCs w:val="21"/>
          <w:u w:val="none"/>
        </w:rPr>
      </w:pPr>
      <w:r w:rsidRPr="0004215E">
        <w:rPr>
          <w:rFonts w:asciiTheme="minorHAnsi" w:hAnsiTheme="minorHAnsi" w:cstheme="minorHAnsi"/>
          <w:b w:val="0"/>
          <w:color w:val="auto"/>
          <w:sz w:val="21"/>
          <w:szCs w:val="21"/>
          <w:u w:val="none"/>
        </w:rPr>
        <w:t>Nabilan has continued to contribute to the independent women’s movement through supporting increased reach and effectiveness of the independent feminist movement</w:t>
      </w:r>
      <w:r w:rsidR="00ED1F8D" w:rsidRPr="0004215E">
        <w:rPr>
          <w:rFonts w:asciiTheme="minorHAnsi" w:hAnsiTheme="minorHAnsi" w:cstheme="minorHAnsi"/>
          <w:b w:val="0"/>
          <w:color w:val="auto"/>
          <w:sz w:val="21"/>
          <w:szCs w:val="21"/>
          <w:u w:val="none"/>
        </w:rPr>
        <w:t xml:space="preserve">, </w:t>
      </w:r>
      <w:r w:rsidR="00C966B2" w:rsidRPr="00C966B2">
        <w:rPr>
          <w:rFonts w:asciiTheme="minorHAnsi" w:hAnsiTheme="minorHAnsi" w:cstheme="minorHAnsi"/>
          <w:b w:val="0"/>
          <w:i/>
          <w:color w:val="auto"/>
          <w:sz w:val="21"/>
          <w:szCs w:val="21"/>
          <w:u w:val="none"/>
        </w:rPr>
        <w:t>Grupu Feminista</w:t>
      </w:r>
      <w:r w:rsidRPr="0004215E">
        <w:rPr>
          <w:rFonts w:asciiTheme="minorHAnsi" w:hAnsiTheme="minorHAnsi" w:cstheme="minorHAnsi"/>
          <w:b w:val="0"/>
          <w:color w:val="auto"/>
          <w:sz w:val="21"/>
          <w:szCs w:val="21"/>
          <w:u w:val="none"/>
        </w:rPr>
        <w:t>, and some alumni of the Certificate III in Social Services, who are mobilising to promote gender equity and ending violence against women.</w:t>
      </w:r>
    </w:p>
    <w:p w14:paraId="3BB4509A" w14:textId="6444DA2E" w:rsidR="00D31883" w:rsidRPr="0004215E" w:rsidRDefault="00165EDF" w:rsidP="0004215E">
      <w:pPr>
        <w:pStyle w:val="ListParagraph"/>
        <w:numPr>
          <w:ilvl w:val="0"/>
          <w:numId w:val="32"/>
        </w:numPr>
        <w:jc w:val="both"/>
        <w:rPr>
          <w:rFonts w:asciiTheme="minorHAnsi" w:hAnsiTheme="minorHAnsi" w:cstheme="minorHAnsi"/>
          <w:b w:val="0"/>
          <w:color w:val="auto"/>
          <w:sz w:val="21"/>
          <w:szCs w:val="21"/>
          <w:u w:val="none"/>
        </w:rPr>
      </w:pPr>
      <w:r>
        <w:rPr>
          <w:noProof/>
        </w:rPr>
        <w:drawing>
          <wp:anchor distT="0" distB="0" distL="114300" distR="114300" simplePos="0" relativeHeight="251777024" behindDoc="0" locked="0" layoutInCell="1" allowOverlap="1" wp14:anchorId="748F13FC" wp14:editId="500B34D9">
            <wp:simplePos x="0" y="0"/>
            <wp:positionH relativeFrom="column">
              <wp:posOffset>-900430</wp:posOffset>
            </wp:positionH>
            <wp:positionV relativeFrom="page">
              <wp:posOffset>7229475</wp:posOffset>
            </wp:positionV>
            <wp:extent cx="7573645" cy="4451350"/>
            <wp:effectExtent l="0" t="0" r="8255" b="6350"/>
            <wp:wrapTopAndBottom/>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0">
                      <a:extLst>
                        <a:ext uri="{28A0092B-C50C-407E-A947-70E740481C1C}">
                          <a14:useLocalDpi xmlns:a14="http://schemas.microsoft.com/office/drawing/2010/main" val="0"/>
                        </a:ext>
                      </a:extLst>
                    </a:blip>
                    <a:srcRect/>
                    <a:stretch/>
                  </pic:blipFill>
                  <pic:spPr bwMode="auto">
                    <a:xfrm>
                      <a:off x="0" y="0"/>
                      <a:ext cx="7573645" cy="4451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cstheme="minorHAnsi"/>
          <w:b w:val="0"/>
          <w:noProof/>
          <w:color w:val="auto"/>
          <w:u w:val="none"/>
        </w:rPr>
        <mc:AlternateContent>
          <mc:Choice Requires="wps">
            <w:drawing>
              <wp:anchor distT="0" distB="0" distL="114300" distR="114300" simplePos="0" relativeHeight="251779072" behindDoc="0" locked="0" layoutInCell="1" allowOverlap="1" wp14:anchorId="640F5976" wp14:editId="128F6F47">
                <wp:simplePos x="0" y="0"/>
                <wp:positionH relativeFrom="column">
                  <wp:posOffset>-433705</wp:posOffset>
                </wp:positionH>
                <wp:positionV relativeFrom="paragraph">
                  <wp:posOffset>1061085</wp:posOffset>
                </wp:positionV>
                <wp:extent cx="2476500" cy="885825"/>
                <wp:effectExtent l="0" t="0" r="0" b="0"/>
                <wp:wrapNone/>
                <wp:docPr id="48" name="Text Box 48"/>
                <wp:cNvGraphicFramePr/>
                <a:graphic xmlns:a="http://schemas.openxmlformats.org/drawingml/2006/main">
                  <a:graphicData uri="http://schemas.microsoft.com/office/word/2010/wordprocessingShape">
                    <wps:wsp>
                      <wps:cNvSpPr txBox="1"/>
                      <wps:spPr>
                        <a:xfrm>
                          <a:off x="0" y="0"/>
                          <a:ext cx="2476500" cy="885825"/>
                        </a:xfrm>
                        <a:prstGeom prst="rect">
                          <a:avLst/>
                        </a:prstGeom>
                        <a:noFill/>
                        <a:ln w="6350">
                          <a:noFill/>
                        </a:ln>
                      </wps:spPr>
                      <wps:txbx>
                        <w:txbxContent>
                          <w:p w14:paraId="2D825BB4" w14:textId="7A3F032B" w:rsidR="00ED4461" w:rsidRPr="00705BD3" w:rsidRDefault="00ED4461" w:rsidP="00165EDF">
                            <w:pPr>
                              <w:rPr>
                                <w:rFonts w:asciiTheme="minorHAnsi" w:hAnsiTheme="minorHAnsi" w:cstheme="minorHAnsi"/>
                                <w:b w:val="0"/>
                                <w:color w:val="FFFFFF" w:themeColor="background1"/>
                                <w:sz w:val="18"/>
                                <w:szCs w:val="18"/>
                                <w:u w:val="none"/>
                                <w:lang w:val="en-US"/>
                              </w:rPr>
                            </w:pPr>
                            <w:r>
                              <w:rPr>
                                <w:rFonts w:asciiTheme="minorHAnsi" w:hAnsiTheme="minorHAnsi" w:cstheme="minorHAnsi"/>
                                <w:b w:val="0"/>
                                <w:color w:val="FFFFFF" w:themeColor="background1"/>
                                <w:sz w:val="18"/>
                                <w:szCs w:val="18"/>
                                <w:u w:val="none"/>
                                <w:lang w:val="en-US"/>
                              </w:rPr>
                              <w:t xml:space="preserve">Nabilan prevention team at the Aileu Expo, 26 November 2018 </w:t>
                            </w:r>
                          </w:p>
                          <w:p w14:paraId="7D04C4A1" w14:textId="77777777" w:rsidR="00ED4461" w:rsidRPr="00D27A4C" w:rsidRDefault="00ED4461" w:rsidP="00165EDF">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40F5976" id="Text Box 48" o:spid="_x0000_s1032" type="#_x0000_t202" style="position:absolute;left:0;text-align:left;margin-left:-34.15pt;margin-top:83.55pt;width:195pt;height:69.7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" filled="f" stroked="f" strokeweight=".5pt">
                <v:textbox>
                  <w:txbxContent>
                    <w:p w14:paraId="2D825BB4" w14:textId="7A3F032B" w:rsidR="00ED4461" w:rsidRPr="00705BD3" w:rsidRDefault="00ED4461" w:rsidP="00165EDF">
                      <w:pPr>
                        <w:rPr>
                          <w:rFonts w:asciiTheme="minorHAnsi" w:hAnsiTheme="minorHAnsi" w:cstheme="minorHAnsi"/>
                          <w:b w:val="0"/>
                          <w:color w:val="FFFFFF" w:themeColor="background1"/>
                          <w:sz w:val="18"/>
                          <w:szCs w:val="18"/>
                          <w:u w:val="none"/>
                          <w:lang w:val="en-US"/>
                        </w:rPr>
                      </w:pPr>
                      <w:r>
                        <w:rPr>
                          <w:rFonts w:asciiTheme="minorHAnsi" w:hAnsiTheme="minorHAnsi" w:cstheme="minorHAnsi"/>
                          <w:b w:val="0"/>
                          <w:color w:val="FFFFFF" w:themeColor="background1"/>
                          <w:sz w:val="18"/>
                          <w:szCs w:val="18"/>
                          <w:u w:val="none"/>
                          <w:lang w:val="en-US"/>
                        </w:rPr>
                        <w:t xml:space="preserve">Nabilan prevention team at the Aileu Expo, 26 November 2018 </w:t>
                      </w:r>
                    </w:p>
                    <w:p w14:paraId="7D04C4A1" w14:textId="77777777" w:rsidR="00ED4461" w:rsidRPr="00D27A4C" w:rsidRDefault="00ED4461" w:rsidP="00165EDF">
                      <w:pPr>
                        <w:rPr>
                          <w:color w:val="FFFFFF" w:themeColor="background1"/>
                        </w:rPr>
                      </w:pPr>
                    </w:p>
                  </w:txbxContent>
                </v:textbox>
              </v:shape>
            </w:pict>
          </mc:Fallback>
        </mc:AlternateContent>
      </w:r>
      <w:r w:rsidR="00FC0330" w:rsidRPr="0004215E">
        <w:rPr>
          <w:rFonts w:asciiTheme="minorHAnsi" w:hAnsiTheme="minorHAnsi" w:cstheme="minorHAnsi"/>
          <w:b w:val="0"/>
          <w:color w:val="auto"/>
          <w:sz w:val="21"/>
          <w:szCs w:val="21"/>
          <w:u w:val="none"/>
        </w:rPr>
        <w:t xml:space="preserve">Nabilan has made progress on influencing increased </w:t>
      </w:r>
      <w:r w:rsidR="00ED1F8D" w:rsidRPr="0004215E">
        <w:rPr>
          <w:rFonts w:asciiTheme="minorHAnsi" w:hAnsiTheme="minorHAnsi" w:cstheme="minorHAnsi"/>
          <w:b w:val="0"/>
          <w:color w:val="auto"/>
          <w:sz w:val="21"/>
          <w:szCs w:val="21"/>
          <w:u w:val="none"/>
        </w:rPr>
        <w:t>government</w:t>
      </w:r>
      <w:r w:rsidR="00FC0330" w:rsidRPr="0004215E">
        <w:rPr>
          <w:rFonts w:asciiTheme="minorHAnsi" w:hAnsiTheme="minorHAnsi" w:cstheme="minorHAnsi"/>
          <w:b w:val="0"/>
          <w:color w:val="auto"/>
          <w:sz w:val="21"/>
          <w:szCs w:val="21"/>
          <w:u w:val="none"/>
        </w:rPr>
        <w:t xml:space="preserve"> dialogue and action on preventing VAWC. This has occurred</w:t>
      </w:r>
      <w:r w:rsidR="00D1571E" w:rsidRPr="0004215E">
        <w:rPr>
          <w:rFonts w:asciiTheme="minorHAnsi" w:hAnsiTheme="minorHAnsi" w:cstheme="minorHAnsi"/>
          <w:b w:val="0"/>
          <w:color w:val="auto"/>
          <w:sz w:val="21"/>
          <w:szCs w:val="21"/>
          <w:u w:val="none"/>
        </w:rPr>
        <w:t xml:space="preserve"> through a strengthened relationship with SEII, and joint activities at both national and Manufahi level.</w:t>
      </w:r>
      <w:r w:rsidR="00ED1F8D" w:rsidRPr="0004215E">
        <w:rPr>
          <w:rFonts w:asciiTheme="minorHAnsi" w:hAnsiTheme="minorHAnsi" w:cstheme="minorHAnsi"/>
          <w:b w:val="0"/>
          <w:color w:val="auto"/>
          <w:sz w:val="21"/>
          <w:szCs w:val="21"/>
          <w:u w:val="none"/>
        </w:rPr>
        <w:t xml:space="preserve"> </w:t>
      </w:r>
      <w:r w:rsidR="00CE7269" w:rsidRPr="0004215E">
        <w:rPr>
          <w:rFonts w:asciiTheme="minorHAnsi" w:hAnsiTheme="minorHAnsi" w:cstheme="minorHAnsi"/>
          <w:b w:val="0"/>
          <w:color w:val="auto"/>
          <w:sz w:val="21"/>
          <w:szCs w:val="21"/>
          <w:u w:val="none"/>
        </w:rPr>
        <w:t>There is opportunity to work with SEII going forward to strengthen their approach to effective prevention.</w:t>
      </w:r>
    </w:p>
    <w:p w14:paraId="20314697" w14:textId="230A3639" w:rsidR="00371AA5" w:rsidRPr="0004215E" w:rsidRDefault="00236662" w:rsidP="00705BD3">
      <w:pPr>
        <w:pStyle w:val="Heading2"/>
      </w:pPr>
      <w:bookmarkStart w:id="157" w:name="_Toc1902722"/>
      <w:bookmarkStart w:id="158" w:name="_Toc1994636"/>
      <w:bookmarkStart w:id="159" w:name="_Toc1999857"/>
      <w:bookmarkStart w:id="160" w:name="_Toc2019669"/>
      <w:r w:rsidRPr="00BF4F0F">
        <w:t>Evidence</w:t>
      </w:r>
      <w:bookmarkEnd w:id="157"/>
      <w:bookmarkEnd w:id="158"/>
      <w:bookmarkEnd w:id="159"/>
      <w:bookmarkEnd w:id="160"/>
      <w:r w:rsidRPr="00BF4F0F">
        <w:rPr>
          <w:b w:val="0"/>
          <w:color w:val="000000"/>
          <w14:textFill>
            <w14:solidFill>
              <w14:srgbClr w14:val="000000">
                <w14:alpha w14:val="4000"/>
              </w14:srgbClr>
            </w14:solidFill>
          </w14:textFill>
        </w:rPr>
        <w:t xml:space="preserve"> </w:t>
      </w:r>
    </w:p>
    <w:p w14:paraId="407B7EE4" w14:textId="7EFEDD14" w:rsidR="00252A15" w:rsidRPr="00ED1F8D" w:rsidRDefault="00252A15" w:rsidP="00F7014B">
      <w:pPr>
        <w:pStyle w:val="Heading3"/>
        <w:spacing w:before="240"/>
        <w:rPr>
          <w:rFonts w:asciiTheme="minorHAnsi" w:hAnsiTheme="minorHAnsi" w:cstheme="minorHAnsi"/>
          <w:b w:val="0"/>
          <w:i/>
          <w:color w:val="822B6A"/>
        </w:rPr>
      </w:pPr>
      <w:bookmarkStart w:id="161" w:name="_Toc2019670"/>
      <w:r w:rsidRPr="00ED1F8D">
        <w:rPr>
          <w:rFonts w:asciiTheme="minorHAnsi" w:hAnsiTheme="minorHAnsi" w:cstheme="minorHAnsi"/>
          <w:b w:val="0"/>
          <w:i/>
          <w:color w:val="822B6A"/>
        </w:rPr>
        <w:t>Prevention partners</w:t>
      </w:r>
      <w:bookmarkEnd w:id="161"/>
    </w:p>
    <w:p w14:paraId="6BFBD03B" w14:textId="0A8AD631" w:rsidR="004D1ABC" w:rsidRPr="00165EDF" w:rsidRDefault="004D1ABC" w:rsidP="00165EDF">
      <w:pPr>
        <w:spacing w:line="22" w:lineRule="atLeast"/>
        <w:jc w:val="both"/>
        <w:rPr>
          <w:rFonts w:asciiTheme="minorHAnsi" w:hAnsiTheme="minorHAnsi" w:cstheme="minorHAnsi"/>
          <w:b w:val="0"/>
          <w:color w:val="auto"/>
          <w:sz w:val="21"/>
          <w:szCs w:val="21"/>
          <w:u w:val="none"/>
        </w:rPr>
      </w:pPr>
      <w:r w:rsidRPr="00165EDF">
        <w:rPr>
          <w:rFonts w:asciiTheme="minorHAnsi" w:hAnsiTheme="minorHAnsi" w:cstheme="minorHAnsi"/>
          <w:b w:val="0"/>
          <w:color w:val="auto"/>
          <w:sz w:val="21"/>
          <w:szCs w:val="21"/>
          <w:u w:val="none"/>
        </w:rPr>
        <w:t>Nabilan selected four prevention partners (CODIVA, FMDC, MH</w:t>
      </w:r>
      <w:r w:rsidR="005D6B5E" w:rsidRPr="00165EDF">
        <w:rPr>
          <w:rFonts w:asciiTheme="minorHAnsi" w:hAnsiTheme="minorHAnsi" w:cstheme="minorHAnsi"/>
          <w:b w:val="0"/>
          <w:color w:val="auto"/>
          <w:sz w:val="21"/>
          <w:szCs w:val="21"/>
          <w:u w:val="none"/>
        </w:rPr>
        <w:t>F</w:t>
      </w:r>
      <w:r w:rsidRPr="00165EDF">
        <w:rPr>
          <w:rFonts w:asciiTheme="minorHAnsi" w:hAnsiTheme="minorHAnsi" w:cstheme="minorHAnsi"/>
          <w:b w:val="0"/>
          <w:color w:val="auto"/>
          <w:sz w:val="21"/>
          <w:szCs w:val="21"/>
          <w:u w:val="none"/>
        </w:rPr>
        <w:t>V and PRADET-PDC), however there was no other progress in 2018 due to the delay in these grants. The new grants will commence in January 2019. Nabilan used this gap to support the partners with feedback on their prevention approaches.</w:t>
      </w:r>
    </w:p>
    <w:p w14:paraId="5DA908C7" w14:textId="51212F7E" w:rsidR="00252A15" w:rsidRPr="00ED1F8D" w:rsidRDefault="00252A15" w:rsidP="00F7014B">
      <w:pPr>
        <w:pStyle w:val="Heading3"/>
        <w:spacing w:before="240"/>
        <w:rPr>
          <w:rFonts w:asciiTheme="minorHAnsi" w:hAnsiTheme="minorHAnsi" w:cstheme="minorHAnsi"/>
          <w:b w:val="0"/>
          <w:i/>
          <w:color w:val="822B6A"/>
        </w:rPr>
      </w:pPr>
      <w:bookmarkStart w:id="162" w:name="_Toc2019671"/>
      <w:r w:rsidRPr="00ED1F8D">
        <w:rPr>
          <w:rFonts w:asciiTheme="minorHAnsi" w:hAnsiTheme="minorHAnsi" w:cstheme="minorHAnsi"/>
          <w:b w:val="0"/>
          <w:i/>
          <w:color w:val="822B6A"/>
        </w:rPr>
        <w:t>KOKOSA!</w:t>
      </w:r>
      <w:bookmarkEnd w:id="162"/>
    </w:p>
    <w:p w14:paraId="6867DE28" w14:textId="7C3EBC2B" w:rsidR="00BB1616" w:rsidRPr="00165EDF" w:rsidRDefault="001B7D11" w:rsidP="00165EDF">
      <w:pPr>
        <w:spacing w:line="22" w:lineRule="atLeast"/>
        <w:jc w:val="both"/>
        <w:rPr>
          <w:rFonts w:asciiTheme="minorHAnsi" w:hAnsiTheme="minorHAnsi" w:cstheme="minorHAnsi"/>
          <w:b w:val="0"/>
          <w:color w:val="auto"/>
          <w:sz w:val="21"/>
          <w:szCs w:val="21"/>
          <w:u w:val="none"/>
        </w:rPr>
      </w:pPr>
      <w:r w:rsidRPr="00165EDF">
        <w:rPr>
          <w:rFonts w:asciiTheme="minorHAnsi" w:hAnsiTheme="minorHAnsi" w:cstheme="minorHAnsi"/>
          <w:b w:val="0"/>
          <w:color w:val="auto"/>
          <w:sz w:val="21"/>
          <w:szCs w:val="21"/>
          <w:u w:val="none"/>
        </w:rPr>
        <w:t xml:space="preserve">Nabilan continued to support communities to take independent action to prevent VAWC. The KOKOSA! program in Suku Letefoho transitioned from Phase </w:t>
      </w:r>
      <w:r w:rsidR="00ED1F8D" w:rsidRPr="00165EDF">
        <w:rPr>
          <w:rFonts w:asciiTheme="minorHAnsi" w:hAnsiTheme="minorHAnsi" w:cstheme="minorHAnsi"/>
          <w:b w:val="0"/>
          <w:color w:val="auto"/>
          <w:sz w:val="21"/>
          <w:szCs w:val="21"/>
          <w:u w:val="none"/>
        </w:rPr>
        <w:t xml:space="preserve">I </w:t>
      </w:r>
      <w:r w:rsidRPr="00165EDF">
        <w:rPr>
          <w:rFonts w:asciiTheme="minorHAnsi" w:hAnsiTheme="minorHAnsi" w:cstheme="minorHAnsi"/>
          <w:b w:val="0"/>
          <w:color w:val="auto"/>
          <w:sz w:val="21"/>
          <w:szCs w:val="21"/>
          <w:u w:val="none"/>
        </w:rPr>
        <w:t>(</w:t>
      </w:r>
      <w:r w:rsidRPr="00165EDF">
        <w:rPr>
          <w:rFonts w:asciiTheme="minorHAnsi" w:hAnsiTheme="minorHAnsi" w:cstheme="minorHAnsi"/>
          <w:b w:val="0"/>
          <w:i/>
          <w:color w:val="auto"/>
          <w:sz w:val="21"/>
          <w:szCs w:val="21"/>
          <w:u w:val="none"/>
        </w:rPr>
        <w:t>Komesa</w:t>
      </w:r>
      <w:r w:rsidRPr="00165EDF">
        <w:rPr>
          <w:rFonts w:asciiTheme="minorHAnsi" w:hAnsiTheme="minorHAnsi" w:cstheme="minorHAnsi"/>
          <w:b w:val="0"/>
          <w:color w:val="auto"/>
          <w:sz w:val="21"/>
          <w:szCs w:val="21"/>
          <w:u w:val="none"/>
        </w:rPr>
        <w:t>/Start) to Phase II (</w:t>
      </w:r>
      <w:r w:rsidRPr="00165EDF">
        <w:rPr>
          <w:rFonts w:asciiTheme="minorHAnsi" w:hAnsiTheme="minorHAnsi" w:cstheme="minorHAnsi"/>
          <w:b w:val="0"/>
          <w:i/>
          <w:color w:val="auto"/>
          <w:sz w:val="21"/>
          <w:szCs w:val="21"/>
          <w:u w:val="none"/>
        </w:rPr>
        <w:t>Konxiénsia</w:t>
      </w:r>
      <w:r w:rsidRPr="00165EDF">
        <w:rPr>
          <w:rFonts w:asciiTheme="minorHAnsi" w:hAnsiTheme="minorHAnsi" w:cstheme="minorHAnsi"/>
          <w:b w:val="0"/>
          <w:color w:val="auto"/>
          <w:sz w:val="21"/>
          <w:szCs w:val="21"/>
          <w:u w:val="none"/>
        </w:rPr>
        <w:t>/</w:t>
      </w:r>
      <w:r w:rsidR="00ED1F8D" w:rsidRPr="00165EDF">
        <w:rPr>
          <w:rFonts w:asciiTheme="minorHAnsi" w:hAnsiTheme="minorHAnsi" w:cstheme="minorHAnsi"/>
          <w:b w:val="0"/>
          <w:color w:val="auto"/>
          <w:sz w:val="21"/>
          <w:szCs w:val="21"/>
          <w:u w:val="none"/>
        </w:rPr>
        <w:t xml:space="preserve"> </w:t>
      </w:r>
      <w:r w:rsidRPr="00165EDF">
        <w:rPr>
          <w:rFonts w:asciiTheme="minorHAnsi" w:hAnsiTheme="minorHAnsi" w:cstheme="minorHAnsi"/>
          <w:b w:val="0"/>
          <w:color w:val="auto"/>
          <w:sz w:val="21"/>
          <w:szCs w:val="21"/>
          <w:u w:val="none"/>
        </w:rPr>
        <w:t xml:space="preserve">Awareness) during 2018. </w:t>
      </w:r>
      <w:r w:rsidR="00236662" w:rsidRPr="00165EDF">
        <w:rPr>
          <w:rFonts w:asciiTheme="minorHAnsi" w:hAnsiTheme="minorHAnsi" w:cstheme="minorHAnsi"/>
          <w:b w:val="0"/>
          <w:color w:val="auto"/>
          <w:sz w:val="21"/>
          <w:szCs w:val="21"/>
          <w:u w:val="none"/>
        </w:rPr>
        <w:t xml:space="preserve">Thirteen </w:t>
      </w:r>
      <w:r w:rsidR="00165EDF">
        <w:rPr>
          <w:rFonts w:asciiTheme="minorHAnsi" w:hAnsiTheme="minorHAnsi" w:cstheme="minorHAnsi"/>
          <w:b w:val="0"/>
          <w:color w:val="auto"/>
          <w:sz w:val="21"/>
          <w:szCs w:val="21"/>
          <w:u w:val="none"/>
        </w:rPr>
        <w:t xml:space="preserve">CMs </w:t>
      </w:r>
      <w:r w:rsidR="00236662" w:rsidRPr="00165EDF">
        <w:rPr>
          <w:rFonts w:asciiTheme="minorHAnsi" w:hAnsiTheme="minorHAnsi" w:cstheme="minorHAnsi"/>
          <w:b w:val="0"/>
          <w:color w:val="auto"/>
          <w:sz w:val="21"/>
          <w:szCs w:val="21"/>
          <w:u w:val="none"/>
        </w:rPr>
        <w:t xml:space="preserve">continued to take action in Suku Letefoho as part of KOKOSA!, conducting 126 documented activities over 2018 and referring four cases to the police and a DPO. </w:t>
      </w:r>
      <w:r w:rsidR="00BB1616" w:rsidRPr="00165EDF">
        <w:rPr>
          <w:rFonts w:asciiTheme="minorHAnsi" w:hAnsiTheme="minorHAnsi" w:cstheme="minorHAnsi"/>
          <w:b w:val="0"/>
          <w:color w:val="auto"/>
          <w:sz w:val="21"/>
          <w:szCs w:val="21"/>
          <w:u w:val="none"/>
        </w:rPr>
        <w:t>The Nabilan Municipal officer also identified a case of domestic violence which had not been registered by the police. Nabilan responded with training support for the police officers during the</w:t>
      </w:r>
      <w:r w:rsidR="004C2B9C" w:rsidRPr="004C2B9C">
        <w:rPr>
          <w:rFonts w:asciiTheme="minorHAnsi" w:hAnsiTheme="minorHAnsi" w:cstheme="minorHAnsi"/>
          <w:b w:val="0"/>
          <w:color w:val="auto"/>
          <w:sz w:val="21"/>
          <w:szCs w:val="21"/>
          <w:u w:val="none"/>
        </w:rPr>
        <w:t xml:space="preserve"> </w:t>
      </w:r>
      <w:r w:rsidR="004C2B9C" w:rsidRPr="00165EDF">
        <w:rPr>
          <w:rFonts w:asciiTheme="minorHAnsi" w:hAnsiTheme="minorHAnsi" w:cstheme="minorHAnsi"/>
          <w:b w:val="0"/>
          <w:color w:val="auto"/>
          <w:sz w:val="21"/>
          <w:szCs w:val="21"/>
          <w:u w:val="none"/>
        </w:rPr>
        <w:t xml:space="preserve">16 </w:t>
      </w:r>
      <w:r w:rsidR="004C2B9C">
        <w:rPr>
          <w:rFonts w:asciiTheme="minorHAnsi" w:hAnsiTheme="minorHAnsi" w:cstheme="minorHAnsi"/>
          <w:b w:val="0"/>
          <w:color w:val="auto"/>
          <w:sz w:val="21"/>
          <w:szCs w:val="21"/>
          <w:u w:val="none"/>
        </w:rPr>
        <w:t>D</w:t>
      </w:r>
      <w:r w:rsidR="004C2B9C" w:rsidRPr="00165EDF">
        <w:rPr>
          <w:rFonts w:asciiTheme="minorHAnsi" w:hAnsiTheme="minorHAnsi" w:cstheme="minorHAnsi"/>
          <w:b w:val="0"/>
          <w:color w:val="auto"/>
          <w:sz w:val="21"/>
          <w:szCs w:val="21"/>
          <w:u w:val="none"/>
        </w:rPr>
        <w:t>ays</w:t>
      </w:r>
      <w:r w:rsidR="004C2B9C">
        <w:rPr>
          <w:rFonts w:asciiTheme="minorHAnsi" w:hAnsiTheme="minorHAnsi" w:cstheme="minorHAnsi"/>
          <w:b w:val="0"/>
          <w:color w:val="auto"/>
          <w:sz w:val="21"/>
          <w:szCs w:val="21"/>
          <w:u w:val="none"/>
        </w:rPr>
        <w:t xml:space="preserve"> </w:t>
      </w:r>
      <w:r w:rsidR="004C2B9C" w:rsidRPr="00165EDF">
        <w:rPr>
          <w:rFonts w:asciiTheme="minorHAnsi" w:hAnsiTheme="minorHAnsi" w:cstheme="minorHAnsi"/>
          <w:b w:val="0"/>
          <w:color w:val="auto"/>
          <w:sz w:val="21"/>
          <w:szCs w:val="21"/>
          <w:u w:val="none"/>
        </w:rPr>
        <w:t>of Activism Against Gender-Based Violence</w:t>
      </w:r>
      <w:r w:rsidR="00BB1616" w:rsidRPr="00165EDF">
        <w:rPr>
          <w:rFonts w:asciiTheme="minorHAnsi" w:hAnsiTheme="minorHAnsi" w:cstheme="minorHAnsi"/>
          <w:b w:val="0"/>
          <w:color w:val="auto"/>
          <w:sz w:val="21"/>
          <w:szCs w:val="21"/>
          <w:u w:val="none"/>
        </w:rPr>
        <w:t xml:space="preserve">. While </w:t>
      </w:r>
      <w:r w:rsidR="00165EDF">
        <w:rPr>
          <w:rFonts w:asciiTheme="minorHAnsi" w:hAnsiTheme="minorHAnsi" w:cstheme="minorHAnsi"/>
          <w:b w:val="0"/>
          <w:color w:val="auto"/>
          <w:sz w:val="21"/>
          <w:szCs w:val="21"/>
          <w:u w:val="none"/>
        </w:rPr>
        <w:t>CMs</w:t>
      </w:r>
      <w:r w:rsidR="00BB1616" w:rsidRPr="00165EDF">
        <w:rPr>
          <w:rFonts w:asciiTheme="minorHAnsi" w:hAnsiTheme="minorHAnsi" w:cstheme="minorHAnsi"/>
          <w:b w:val="0"/>
          <w:color w:val="auto"/>
          <w:sz w:val="21"/>
          <w:szCs w:val="21"/>
          <w:u w:val="none"/>
        </w:rPr>
        <w:t xml:space="preserve"> are not yet completing four activities per month, they have increased their activities since the new Municipal Officer started working more closely to motivate and monitor their activities. </w:t>
      </w:r>
    </w:p>
    <w:p w14:paraId="358F8336" w14:textId="0DC5C9E4" w:rsidR="004E46AD" w:rsidRPr="00165EDF" w:rsidRDefault="00236662" w:rsidP="00165EDF">
      <w:pPr>
        <w:spacing w:line="22" w:lineRule="atLeast"/>
        <w:jc w:val="both"/>
        <w:rPr>
          <w:rFonts w:asciiTheme="minorHAnsi" w:hAnsiTheme="minorHAnsi" w:cstheme="minorHAnsi"/>
          <w:b w:val="0"/>
          <w:color w:val="auto"/>
          <w:sz w:val="21"/>
          <w:szCs w:val="21"/>
          <w:u w:val="none"/>
        </w:rPr>
      </w:pPr>
      <w:r w:rsidRPr="00165EDF">
        <w:rPr>
          <w:rFonts w:asciiTheme="minorHAnsi" w:hAnsiTheme="minorHAnsi" w:cstheme="minorHAnsi"/>
          <w:b w:val="0"/>
          <w:color w:val="auto"/>
          <w:sz w:val="21"/>
          <w:szCs w:val="21"/>
          <w:u w:val="none"/>
        </w:rPr>
        <w:t>The Suku Letofoho community was actively engaged in the 16 Days of Activism</w:t>
      </w:r>
      <w:r w:rsidR="004E46AD" w:rsidRPr="00165EDF">
        <w:rPr>
          <w:rFonts w:asciiTheme="minorHAnsi" w:hAnsiTheme="minorHAnsi" w:cstheme="minorHAnsi"/>
          <w:b w:val="0"/>
          <w:color w:val="auto"/>
          <w:sz w:val="21"/>
          <w:szCs w:val="21"/>
          <w:u w:val="none"/>
        </w:rPr>
        <w:t>.</w:t>
      </w:r>
      <w:r w:rsidRPr="00165EDF">
        <w:rPr>
          <w:rFonts w:asciiTheme="minorHAnsi" w:hAnsiTheme="minorHAnsi" w:cstheme="minorHAnsi"/>
          <w:b w:val="0"/>
          <w:color w:val="auto"/>
          <w:sz w:val="21"/>
          <w:szCs w:val="21"/>
          <w:u w:val="none"/>
        </w:rPr>
        <w:t xml:space="preserve"> </w:t>
      </w:r>
      <w:r w:rsidR="004E46AD" w:rsidRPr="00165EDF">
        <w:rPr>
          <w:rFonts w:asciiTheme="minorHAnsi" w:hAnsiTheme="minorHAnsi" w:cstheme="minorHAnsi"/>
          <w:b w:val="0"/>
          <w:color w:val="auto"/>
          <w:sz w:val="21"/>
          <w:szCs w:val="21"/>
          <w:u w:val="none"/>
        </w:rPr>
        <w:t>The youth drama group rehearsed and</w:t>
      </w:r>
      <w:r w:rsidR="004E46AD" w:rsidRPr="00165EDF" w:rsidDel="004E46AD">
        <w:rPr>
          <w:rFonts w:asciiTheme="minorHAnsi" w:hAnsiTheme="minorHAnsi" w:cstheme="minorHAnsi"/>
          <w:b w:val="0"/>
          <w:color w:val="auto"/>
          <w:sz w:val="21"/>
          <w:szCs w:val="21"/>
          <w:u w:val="none"/>
        </w:rPr>
        <w:t xml:space="preserve"> </w:t>
      </w:r>
      <w:r w:rsidR="004E46AD" w:rsidRPr="00165EDF">
        <w:rPr>
          <w:rFonts w:asciiTheme="minorHAnsi" w:hAnsiTheme="minorHAnsi" w:cstheme="minorHAnsi"/>
          <w:b w:val="0"/>
          <w:color w:val="auto"/>
          <w:sz w:val="21"/>
          <w:szCs w:val="21"/>
          <w:u w:val="none"/>
        </w:rPr>
        <w:t>performed a KOKOSA! play at the market and on International Human Rights Day.</w:t>
      </w:r>
      <w:r w:rsidR="00F41CFC" w:rsidRPr="00165EDF">
        <w:rPr>
          <w:rFonts w:asciiTheme="minorHAnsi" w:hAnsiTheme="minorHAnsi" w:cstheme="minorHAnsi"/>
          <w:b w:val="0"/>
          <w:color w:val="auto"/>
          <w:sz w:val="21"/>
          <w:szCs w:val="21"/>
          <w:u w:val="none"/>
        </w:rPr>
        <w:t xml:space="preserve"> </w:t>
      </w:r>
      <w:r w:rsidR="004E46AD" w:rsidRPr="00165EDF">
        <w:rPr>
          <w:rFonts w:asciiTheme="minorHAnsi" w:hAnsiTheme="minorHAnsi" w:cstheme="minorHAnsi"/>
          <w:b w:val="0"/>
          <w:color w:val="auto"/>
          <w:sz w:val="21"/>
          <w:szCs w:val="21"/>
          <w:u w:val="none"/>
        </w:rPr>
        <w:t xml:space="preserve">The municipal hospital took part in a press conference on International AIDS day, highlighting the link between HIV/AIDS and VAW. The community also held a march to mark International Human Rights Day. These activities are all examples of collective action taken by the </w:t>
      </w:r>
      <w:r w:rsidR="00F667BC" w:rsidRPr="00165EDF">
        <w:rPr>
          <w:rFonts w:asciiTheme="minorHAnsi" w:hAnsiTheme="minorHAnsi" w:cstheme="minorHAnsi"/>
          <w:b w:val="0"/>
          <w:color w:val="auto"/>
          <w:sz w:val="21"/>
          <w:szCs w:val="21"/>
          <w:u w:val="none"/>
        </w:rPr>
        <w:t>Suku</w:t>
      </w:r>
      <w:r w:rsidR="004E46AD" w:rsidRPr="00165EDF">
        <w:rPr>
          <w:rFonts w:asciiTheme="minorHAnsi" w:hAnsiTheme="minorHAnsi" w:cstheme="minorHAnsi"/>
          <w:b w:val="0"/>
          <w:color w:val="auto"/>
          <w:sz w:val="21"/>
          <w:szCs w:val="21"/>
          <w:u w:val="none"/>
        </w:rPr>
        <w:t xml:space="preserve"> Letefoho community, with Nabilan support. </w:t>
      </w:r>
    </w:p>
    <w:p w14:paraId="00FC0037" w14:textId="59CEDC2E" w:rsidR="004E46AD" w:rsidRPr="00165EDF" w:rsidRDefault="004E46AD" w:rsidP="00165EDF">
      <w:pPr>
        <w:spacing w:line="22" w:lineRule="atLeast"/>
        <w:jc w:val="both"/>
        <w:rPr>
          <w:rFonts w:asciiTheme="minorHAnsi" w:hAnsiTheme="minorHAnsi" w:cstheme="minorHAnsi"/>
          <w:b w:val="0"/>
          <w:color w:val="auto"/>
          <w:sz w:val="21"/>
          <w:szCs w:val="21"/>
          <w:u w:val="none"/>
        </w:rPr>
      </w:pPr>
      <w:r w:rsidRPr="00165EDF">
        <w:rPr>
          <w:rFonts w:asciiTheme="minorHAnsi" w:hAnsiTheme="minorHAnsi" w:cstheme="minorHAnsi"/>
          <w:b w:val="0"/>
          <w:color w:val="auto"/>
          <w:sz w:val="21"/>
          <w:szCs w:val="21"/>
          <w:u w:val="none"/>
        </w:rPr>
        <w:t xml:space="preserve">Despite these positive developments in Suku Letefoho, the 2018 baseline (derived from the RAS and </w:t>
      </w:r>
      <w:r w:rsidR="00E5163D" w:rsidRPr="00165EDF">
        <w:rPr>
          <w:rFonts w:asciiTheme="minorHAnsi" w:hAnsiTheme="minorHAnsi" w:cstheme="minorHAnsi"/>
          <w:b w:val="0"/>
          <w:color w:val="auto"/>
          <w:sz w:val="21"/>
          <w:szCs w:val="21"/>
          <w:u w:val="none"/>
        </w:rPr>
        <w:t>FGDs</w:t>
      </w:r>
      <w:r w:rsidRPr="00165EDF">
        <w:rPr>
          <w:rFonts w:asciiTheme="minorHAnsi" w:hAnsiTheme="minorHAnsi" w:cstheme="minorHAnsi"/>
          <w:b w:val="0"/>
          <w:color w:val="auto"/>
          <w:sz w:val="21"/>
          <w:szCs w:val="21"/>
          <w:u w:val="none"/>
        </w:rPr>
        <w:t xml:space="preserve">) indicates that there is considerable work to be done: </w:t>
      </w:r>
    </w:p>
    <w:p w14:paraId="5EA0DD00" w14:textId="1F8EE1CE" w:rsidR="004E46AD" w:rsidRPr="00165EDF" w:rsidRDefault="004E46AD" w:rsidP="00165EDF">
      <w:pPr>
        <w:pStyle w:val="ListParagraph"/>
        <w:numPr>
          <w:ilvl w:val="0"/>
          <w:numId w:val="32"/>
        </w:numPr>
        <w:jc w:val="both"/>
        <w:rPr>
          <w:rFonts w:asciiTheme="minorHAnsi" w:hAnsiTheme="minorHAnsi" w:cstheme="minorHAnsi"/>
          <w:b w:val="0"/>
          <w:color w:val="auto"/>
          <w:sz w:val="21"/>
          <w:szCs w:val="21"/>
          <w:u w:val="none"/>
        </w:rPr>
      </w:pPr>
      <w:r w:rsidRPr="00165EDF">
        <w:rPr>
          <w:rFonts w:asciiTheme="minorHAnsi" w:hAnsiTheme="minorHAnsi" w:cstheme="minorHAnsi"/>
          <w:b w:val="0"/>
          <w:color w:val="auto"/>
          <w:sz w:val="21"/>
          <w:szCs w:val="21"/>
          <w:u w:val="none"/>
        </w:rPr>
        <w:t xml:space="preserve">50% </w:t>
      </w:r>
      <w:r w:rsidR="009E5364">
        <w:rPr>
          <w:rFonts w:asciiTheme="minorHAnsi" w:hAnsiTheme="minorHAnsi" w:cstheme="minorHAnsi"/>
          <w:b w:val="0"/>
          <w:color w:val="auto"/>
          <w:sz w:val="21"/>
          <w:szCs w:val="21"/>
          <w:u w:val="none"/>
        </w:rPr>
        <w:t xml:space="preserve">of </w:t>
      </w:r>
      <w:r w:rsidRPr="00165EDF">
        <w:rPr>
          <w:rFonts w:asciiTheme="minorHAnsi" w:hAnsiTheme="minorHAnsi" w:cstheme="minorHAnsi"/>
          <w:b w:val="0"/>
          <w:color w:val="auto"/>
          <w:sz w:val="21"/>
          <w:szCs w:val="21"/>
          <w:u w:val="none"/>
        </w:rPr>
        <w:t>women and 40%</w:t>
      </w:r>
      <w:r w:rsidR="009E5364">
        <w:rPr>
          <w:rFonts w:asciiTheme="minorHAnsi" w:hAnsiTheme="minorHAnsi" w:cstheme="minorHAnsi"/>
          <w:b w:val="0"/>
          <w:color w:val="auto"/>
          <w:sz w:val="21"/>
          <w:szCs w:val="21"/>
          <w:u w:val="none"/>
        </w:rPr>
        <w:t xml:space="preserve"> of</w:t>
      </w:r>
      <w:r w:rsidRPr="00165EDF">
        <w:rPr>
          <w:rFonts w:asciiTheme="minorHAnsi" w:hAnsiTheme="minorHAnsi" w:cstheme="minorHAnsi"/>
          <w:b w:val="0"/>
          <w:color w:val="auto"/>
          <w:sz w:val="21"/>
          <w:szCs w:val="21"/>
          <w:u w:val="none"/>
        </w:rPr>
        <w:t xml:space="preserve"> men think VAW is normal in a relationship;</w:t>
      </w:r>
    </w:p>
    <w:p w14:paraId="5C4B35FB" w14:textId="2D593B92" w:rsidR="004E46AD" w:rsidRPr="00165EDF" w:rsidRDefault="004E46AD" w:rsidP="00165EDF">
      <w:pPr>
        <w:pStyle w:val="ListParagraph"/>
        <w:numPr>
          <w:ilvl w:val="0"/>
          <w:numId w:val="32"/>
        </w:numPr>
        <w:jc w:val="both"/>
        <w:rPr>
          <w:rFonts w:asciiTheme="minorHAnsi" w:hAnsiTheme="minorHAnsi" w:cstheme="minorHAnsi"/>
          <w:b w:val="0"/>
          <w:color w:val="auto"/>
          <w:sz w:val="21"/>
          <w:szCs w:val="21"/>
          <w:u w:val="none"/>
        </w:rPr>
      </w:pPr>
      <w:r w:rsidRPr="00165EDF">
        <w:rPr>
          <w:rFonts w:asciiTheme="minorHAnsi" w:hAnsiTheme="minorHAnsi" w:cstheme="minorHAnsi"/>
          <w:b w:val="0"/>
          <w:color w:val="auto"/>
          <w:sz w:val="21"/>
          <w:szCs w:val="21"/>
          <w:u w:val="none"/>
        </w:rPr>
        <w:t xml:space="preserve">90% </w:t>
      </w:r>
      <w:r w:rsidR="009E5364">
        <w:rPr>
          <w:rFonts w:asciiTheme="minorHAnsi" w:hAnsiTheme="minorHAnsi" w:cstheme="minorHAnsi"/>
          <w:b w:val="0"/>
          <w:color w:val="auto"/>
          <w:sz w:val="21"/>
          <w:szCs w:val="21"/>
          <w:u w:val="none"/>
        </w:rPr>
        <w:t xml:space="preserve">of </w:t>
      </w:r>
      <w:r w:rsidRPr="00165EDF">
        <w:rPr>
          <w:rFonts w:asciiTheme="minorHAnsi" w:hAnsiTheme="minorHAnsi" w:cstheme="minorHAnsi"/>
          <w:b w:val="0"/>
          <w:color w:val="auto"/>
          <w:sz w:val="21"/>
          <w:szCs w:val="21"/>
          <w:u w:val="none"/>
        </w:rPr>
        <w:t xml:space="preserve">women and 100% </w:t>
      </w:r>
      <w:r w:rsidR="009E5364">
        <w:rPr>
          <w:rFonts w:asciiTheme="minorHAnsi" w:hAnsiTheme="minorHAnsi" w:cstheme="minorHAnsi"/>
          <w:b w:val="0"/>
          <w:color w:val="auto"/>
          <w:sz w:val="21"/>
          <w:szCs w:val="21"/>
          <w:u w:val="none"/>
        </w:rPr>
        <w:t xml:space="preserve">of </w:t>
      </w:r>
      <w:r w:rsidRPr="00165EDF">
        <w:rPr>
          <w:rFonts w:asciiTheme="minorHAnsi" w:hAnsiTheme="minorHAnsi" w:cstheme="minorHAnsi"/>
          <w:b w:val="0"/>
          <w:color w:val="auto"/>
          <w:sz w:val="21"/>
          <w:szCs w:val="21"/>
          <w:u w:val="none"/>
        </w:rPr>
        <w:t>men believe when men discipline their wives it makes their family stronger;</w:t>
      </w:r>
    </w:p>
    <w:p w14:paraId="4C62BBC5" w14:textId="77777777" w:rsidR="004E46AD" w:rsidRPr="00165EDF" w:rsidRDefault="004E46AD" w:rsidP="00165EDF">
      <w:pPr>
        <w:pStyle w:val="ListParagraph"/>
        <w:numPr>
          <w:ilvl w:val="0"/>
          <w:numId w:val="32"/>
        </w:numPr>
        <w:jc w:val="both"/>
        <w:rPr>
          <w:rFonts w:asciiTheme="minorHAnsi" w:hAnsiTheme="minorHAnsi" w:cstheme="minorHAnsi"/>
          <w:b w:val="0"/>
          <w:color w:val="auto"/>
          <w:sz w:val="21"/>
          <w:szCs w:val="21"/>
          <w:u w:val="none"/>
        </w:rPr>
      </w:pPr>
      <w:r w:rsidRPr="00165EDF">
        <w:rPr>
          <w:rFonts w:asciiTheme="minorHAnsi" w:hAnsiTheme="minorHAnsi" w:cstheme="minorHAnsi"/>
          <w:b w:val="0"/>
          <w:color w:val="auto"/>
          <w:sz w:val="21"/>
          <w:szCs w:val="21"/>
          <w:u w:val="none"/>
        </w:rPr>
        <w:t>43% of women and 34% of men believe women are to blame for violence against them;</w:t>
      </w:r>
    </w:p>
    <w:p w14:paraId="02CA4964" w14:textId="77777777" w:rsidR="004E46AD" w:rsidRPr="00165EDF" w:rsidRDefault="004E46AD" w:rsidP="00165EDF">
      <w:pPr>
        <w:pStyle w:val="ListParagraph"/>
        <w:numPr>
          <w:ilvl w:val="0"/>
          <w:numId w:val="32"/>
        </w:numPr>
        <w:jc w:val="both"/>
        <w:rPr>
          <w:rFonts w:asciiTheme="minorHAnsi" w:hAnsiTheme="minorHAnsi" w:cstheme="minorHAnsi"/>
          <w:b w:val="0"/>
          <w:color w:val="auto"/>
          <w:sz w:val="21"/>
          <w:szCs w:val="21"/>
          <w:u w:val="none"/>
        </w:rPr>
      </w:pPr>
      <w:r w:rsidRPr="00165EDF">
        <w:rPr>
          <w:rFonts w:asciiTheme="minorHAnsi" w:hAnsiTheme="minorHAnsi" w:cstheme="minorHAnsi"/>
          <w:b w:val="0"/>
          <w:color w:val="auto"/>
          <w:sz w:val="21"/>
          <w:szCs w:val="21"/>
          <w:u w:val="none"/>
        </w:rPr>
        <w:t>57% of women and 53% of men report having supported someone experiencing or using violence in the last 12 months; and</w:t>
      </w:r>
    </w:p>
    <w:p w14:paraId="256E261F" w14:textId="77777777" w:rsidR="004E46AD" w:rsidRPr="00165EDF" w:rsidRDefault="004E46AD" w:rsidP="00165EDF">
      <w:pPr>
        <w:pStyle w:val="ListParagraph"/>
        <w:numPr>
          <w:ilvl w:val="0"/>
          <w:numId w:val="32"/>
        </w:numPr>
        <w:jc w:val="both"/>
        <w:rPr>
          <w:rFonts w:asciiTheme="minorHAnsi" w:hAnsiTheme="minorHAnsi" w:cstheme="minorHAnsi"/>
          <w:b w:val="0"/>
          <w:color w:val="auto"/>
          <w:sz w:val="21"/>
          <w:szCs w:val="21"/>
          <w:u w:val="none"/>
        </w:rPr>
      </w:pPr>
      <w:r w:rsidRPr="00165EDF">
        <w:rPr>
          <w:rFonts w:asciiTheme="minorHAnsi" w:hAnsiTheme="minorHAnsi" w:cstheme="minorHAnsi"/>
          <w:b w:val="0"/>
          <w:color w:val="auto"/>
          <w:sz w:val="21"/>
          <w:szCs w:val="21"/>
          <w:u w:val="none"/>
        </w:rPr>
        <w:t>40% of women and 49% of men reported having being involved with others in promoting non-violence relationships.</w:t>
      </w:r>
    </w:p>
    <w:p w14:paraId="0BE45924" w14:textId="1D926D8A" w:rsidR="001B7D11" w:rsidRDefault="004E46AD" w:rsidP="00165EDF">
      <w:pPr>
        <w:spacing w:line="22" w:lineRule="atLeast"/>
        <w:jc w:val="both"/>
        <w:rPr>
          <w:rFonts w:asciiTheme="minorHAnsi" w:hAnsiTheme="minorHAnsi" w:cstheme="minorHAnsi"/>
          <w:b w:val="0"/>
          <w:color w:val="auto"/>
          <w:sz w:val="21"/>
          <w:szCs w:val="21"/>
          <w:u w:val="none"/>
        </w:rPr>
      </w:pPr>
      <w:r w:rsidRPr="00165EDF">
        <w:rPr>
          <w:rFonts w:asciiTheme="minorHAnsi" w:hAnsiTheme="minorHAnsi" w:cstheme="minorHAnsi"/>
          <w:b w:val="0"/>
          <w:color w:val="auto"/>
          <w:sz w:val="21"/>
          <w:szCs w:val="21"/>
          <w:u w:val="none"/>
        </w:rPr>
        <w:t xml:space="preserve">Nabilan presented these findings to the community, as an essential step towards increased awareness of the extent of the problem. </w:t>
      </w:r>
    </w:p>
    <w:p w14:paraId="15811549" w14:textId="104D2940" w:rsidR="006211B6" w:rsidRPr="00165EDF" w:rsidRDefault="006211B6" w:rsidP="00165EDF">
      <w:pPr>
        <w:spacing w:line="22" w:lineRule="atLeast"/>
        <w:jc w:val="both"/>
        <w:rPr>
          <w:rFonts w:asciiTheme="minorHAnsi" w:hAnsiTheme="minorHAnsi" w:cstheme="minorHAnsi"/>
          <w:b w:val="0"/>
          <w:color w:val="auto"/>
          <w:sz w:val="21"/>
          <w:szCs w:val="21"/>
          <w:u w:val="none"/>
        </w:rPr>
      </w:pPr>
      <w:bookmarkStart w:id="163" w:name="_Hlk1999724"/>
      <w:r w:rsidRPr="006211B6">
        <w:rPr>
          <w:rFonts w:asciiTheme="minorHAnsi" w:hAnsiTheme="minorHAnsi" w:cstheme="minorHAnsi"/>
          <w:color w:val="822B6A"/>
          <w:sz w:val="21"/>
          <w:szCs w:val="21"/>
          <w:u w:val="none"/>
        </w:rPr>
        <w:t>Recommendation:</w:t>
      </w:r>
      <w:r>
        <w:rPr>
          <w:rFonts w:asciiTheme="minorHAnsi" w:hAnsiTheme="minorHAnsi" w:cstheme="minorHAnsi"/>
          <w:b w:val="0"/>
          <w:color w:val="822B6A"/>
          <w:sz w:val="21"/>
          <w:szCs w:val="21"/>
          <w:u w:val="none"/>
        </w:rPr>
        <w:t xml:space="preserve"> Finish adaptation/translation of SASA! toolkit</w:t>
      </w:r>
      <w:r w:rsidR="00F7014B">
        <w:rPr>
          <w:rFonts w:asciiTheme="minorHAnsi" w:hAnsiTheme="minorHAnsi" w:cstheme="minorHAnsi"/>
          <w:b w:val="0"/>
          <w:color w:val="822B6A"/>
          <w:sz w:val="21"/>
          <w:szCs w:val="21"/>
          <w:u w:val="none"/>
        </w:rPr>
        <w:t>.</w:t>
      </w:r>
    </w:p>
    <w:p w14:paraId="40D1186C" w14:textId="7BB0112A" w:rsidR="001B7D11" w:rsidRPr="00ED1F8D" w:rsidRDefault="001B7D11" w:rsidP="00F7014B">
      <w:pPr>
        <w:pStyle w:val="Heading3"/>
        <w:spacing w:before="240"/>
        <w:rPr>
          <w:rFonts w:asciiTheme="minorHAnsi" w:hAnsiTheme="minorHAnsi" w:cstheme="minorHAnsi"/>
          <w:b w:val="0"/>
          <w:i/>
          <w:color w:val="822B6A"/>
        </w:rPr>
      </w:pPr>
      <w:bookmarkStart w:id="164" w:name="_Toc2019672"/>
      <w:bookmarkEnd w:id="163"/>
      <w:r w:rsidRPr="00ED1F8D">
        <w:rPr>
          <w:rFonts w:asciiTheme="minorHAnsi" w:hAnsiTheme="minorHAnsi" w:cstheme="minorHAnsi"/>
          <w:b w:val="0"/>
          <w:i/>
          <w:color w:val="822B6A"/>
        </w:rPr>
        <w:t>Adoption of KOKOSA! Approaches</w:t>
      </w:r>
      <w:bookmarkEnd w:id="164"/>
    </w:p>
    <w:p w14:paraId="6F438034" w14:textId="42E1A584" w:rsidR="004E46AD" w:rsidRPr="00165EDF" w:rsidRDefault="001B7D11" w:rsidP="00165EDF">
      <w:pPr>
        <w:spacing w:line="22" w:lineRule="atLeast"/>
        <w:jc w:val="both"/>
        <w:rPr>
          <w:rFonts w:asciiTheme="minorHAnsi" w:hAnsiTheme="minorHAnsi" w:cstheme="minorHAnsi"/>
          <w:b w:val="0"/>
          <w:color w:val="auto"/>
          <w:sz w:val="21"/>
          <w:szCs w:val="21"/>
          <w:u w:val="none"/>
        </w:rPr>
      </w:pPr>
      <w:r w:rsidRPr="00165EDF">
        <w:rPr>
          <w:rFonts w:asciiTheme="minorHAnsi" w:hAnsiTheme="minorHAnsi" w:cstheme="minorHAnsi"/>
          <w:b w:val="0"/>
          <w:color w:val="auto"/>
          <w:sz w:val="21"/>
          <w:szCs w:val="21"/>
          <w:u w:val="none"/>
        </w:rPr>
        <w:t>Even at this early stage, there are positive examples of Nabilan’s community-based approach being adopted by other agencies. Components of the KOKOSA! training materials have been incorporated into Community Policing training manuals, the Certificate III in Social Services curriculum (comprising members from 10 civil society organisations), the CAN training package</w:t>
      </w:r>
      <w:r w:rsidRPr="00165EDF">
        <w:rPr>
          <w:rFonts w:asciiTheme="minorHAnsi" w:hAnsiTheme="minorHAnsi" w:cstheme="minorHAnsi"/>
          <w:b w:val="0"/>
          <w:i/>
          <w:color w:val="auto"/>
          <w:sz w:val="21"/>
          <w:szCs w:val="21"/>
          <w:u w:val="none"/>
        </w:rPr>
        <w:t xml:space="preserve">, </w:t>
      </w:r>
      <w:r w:rsidRPr="00705BD3">
        <w:rPr>
          <w:rFonts w:asciiTheme="minorHAnsi" w:hAnsiTheme="minorHAnsi" w:cstheme="minorHAnsi"/>
          <w:b w:val="0"/>
          <w:i/>
          <w:color w:val="auto"/>
          <w:sz w:val="21"/>
          <w:szCs w:val="21"/>
          <w:u w:val="none"/>
        </w:rPr>
        <w:t>Assosiasaun Chega Ba Ita</w:t>
      </w:r>
      <w:r w:rsidRPr="00165EDF">
        <w:rPr>
          <w:rFonts w:asciiTheme="minorHAnsi" w:hAnsiTheme="minorHAnsi" w:cstheme="minorHAnsi"/>
          <w:b w:val="0"/>
          <w:color w:val="auto"/>
          <w:sz w:val="21"/>
          <w:szCs w:val="21"/>
          <w:u w:val="none"/>
        </w:rPr>
        <w:t xml:space="preserve"> (ACBIT)/</w:t>
      </w:r>
      <w:r w:rsidRPr="00165EDF">
        <w:rPr>
          <w:rFonts w:asciiTheme="minorHAnsi" w:hAnsiTheme="minorHAnsi" w:cstheme="minorHAnsi"/>
          <w:b w:val="0"/>
          <w:i/>
          <w:color w:val="auto"/>
          <w:sz w:val="21"/>
          <w:szCs w:val="21"/>
          <w:u w:val="none"/>
        </w:rPr>
        <w:t>Asia Justice and Rights’</w:t>
      </w:r>
      <w:r w:rsidRPr="00165EDF">
        <w:rPr>
          <w:rFonts w:asciiTheme="minorHAnsi" w:hAnsiTheme="minorHAnsi" w:cstheme="minorHAnsi"/>
          <w:b w:val="0"/>
          <w:color w:val="auto"/>
          <w:sz w:val="21"/>
          <w:szCs w:val="21"/>
          <w:u w:val="none"/>
        </w:rPr>
        <w:t xml:space="preserve"> (AJAR) work with women survivors, UN Women’s training package being developed for the Civil Service Commission, and C</w:t>
      </w:r>
      <w:r w:rsidR="008064D4" w:rsidRPr="00165EDF">
        <w:rPr>
          <w:rFonts w:asciiTheme="minorHAnsi" w:hAnsiTheme="minorHAnsi" w:cstheme="minorHAnsi"/>
          <w:b w:val="0"/>
          <w:color w:val="auto"/>
          <w:sz w:val="21"/>
          <w:szCs w:val="21"/>
          <w:u w:val="none"/>
        </w:rPr>
        <w:t>ommunity Based Rehabilitation Network Timor-Leste (CB</w:t>
      </w:r>
      <w:r w:rsidRPr="00165EDF">
        <w:rPr>
          <w:rFonts w:asciiTheme="minorHAnsi" w:hAnsiTheme="minorHAnsi" w:cstheme="minorHAnsi"/>
          <w:b w:val="0"/>
          <w:color w:val="auto"/>
          <w:sz w:val="21"/>
          <w:szCs w:val="21"/>
          <w:u w:val="none"/>
        </w:rPr>
        <w:t>RNTL</w:t>
      </w:r>
      <w:r w:rsidR="008064D4" w:rsidRPr="00165EDF">
        <w:rPr>
          <w:rFonts w:asciiTheme="minorHAnsi" w:hAnsiTheme="minorHAnsi" w:cstheme="minorHAnsi"/>
          <w:b w:val="0"/>
          <w:color w:val="auto"/>
          <w:sz w:val="21"/>
          <w:szCs w:val="21"/>
          <w:u w:val="none"/>
        </w:rPr>
        <w:t>)</w:t>
      </w:r>
      <w:r w:rsidRPr="00165EDF">
        <w:rPr>
          <w:rFonts w:asciiTheme="minorHAnsi" w:hAnsiTheme="minorHAnsi" w:cstheme="minorHAnsi"/>
          <w:b w:val="0"/>
          <w:color w:val="auto"/>
          <w:sz w:val="21"/>
          <w:szCs w:val="21"/>
          <w:u w:val="none"/>
        </w:rPr>
        <w:t xml:space="preserve"> to adapt specifically for preventing violence against women with disabilities.</w:t>
      </w:r>
    </w:p>
    <w:p w14:paraId="230B2E33" w14:textId="77777777" w:rsidR="001B7D11" w:rsidRPr="009D68AA" w:rsidRDefault="001B7D11" w:rsidP="00C50F0F">
      <w:pPr>
        <w:pStyle w:val="Heading3"/>
        <w:keepNext/>
        <w:spacing w:before="240"/>
        <w:rPr>
          <w:rFonts w:asciiTheme="minorHAnsi" w:hAnsiTheme="minorHAnsi" w:cstheme="minorHAnsi"/>
          <w:b w:val="0"/>
          <w:i/>
          <w:color w:val="822B6A"/>
        </w:rPr>
      </w:pPr>
      <w:bookmarkStart w:id="165" w:name="_Toc2019673"/>
      <w:r w:rsidRPr="009D68AA">
        <w:rPr>
          <w:rFonts w:asciiTheme="minorHAnsi" w:hAnsiTheme="minorHAnsi" w:cstheme="minorHAnsi"/>
          <w:b w:val="0"/>
          <w:i/>
          <w:color w:val="822B6A"/>
        </w:rPr>
        <w:t>Change Ambassador’s Network</w:t>
      </w:r>
      <w:bookmarkEnd w:id="165"/>
    </w:p>
    <w:p w14:paraId="7BA9C1DD" w14:textId="43DF20C7" w:rsidR="00452D9D" w:rsidRPr="00165EDF" w:rsidRDefault="00452D9D" w:rsidP="00165EDF">
      <w:pPr>
        <w:spacing w:line="22" w:lineRule="atLeast"/>
        <w:jc w:val="both"/>
        <w:rPr>
          <w:rFonts w:asciiTheme="minorHAnsi" w:hAnsiTheme="minorHAnsi" w:cstheme="minorHAnsi"/>
          <w:b w:val="0"/>
          <w:color w:val="auto"/>
          <w:sz w:val="21"/>
          <w:szCs w:val="21"/>
          <w:u w:val="none"/>
        </w:rPr>
      </w:pPr>
      <w:r w:rsidRPr="00165EDF">
        <w:rPr>
          <w:rFonts w:asciiTheme="minorHAnsi" w:hAnsiTheme="minorHAnsi" w:cstheme="minorHAnsi"/>
          <w:b w:val="0"/>
          <w:color w:val="auto"/>
          <w:sz w:val="21"/>
          <w:szCs w:val="21"/>
          <w:u w:val="none"/>
        </w:rPr>
        <w:t xml:space="preserve">Nabilan continues to </w:t>
      </w:r>
      <w:r w:rsidR="001B7D11" w:rsidRPr="00165EDF">
        <w:rPr>
          <w:rFonts w:asciiTheme="minorHAnsi" w:hAnsiTheme="minorHAnsi" w:cstheme="minorHAnsi"/>
          <w:b w:val="0"/>
          <w:color w:val="auto"/>
          <w:sz w:val="21"/>
          <w:szCs w:val="21"/>
          <w:u w:val="none"/>
        </w:rPr>
        <w:t xml:space="preserve">effectively </w:t>
      </w:r>
      <w:r w:rsidRPr="00165EDF">
        <w:rPr>
          <w:rFonts w:asciiTheme="minorHAnsi" w:hAnsiTheme="minorHAnsi" w:cstheme="minorHAnsi"/>
          <w:b w:val="0"/>
          <w:color w:val="auto"/>
          <w:sz w:val="21"/>
          <w:szCs w:val="21"/>
          <w:u w:val="none"/>
        </w:rPr>
        <w:t>support Change Ambassadors to influence their programs on quality prevention approaches. Members of the CAN were actively engaged throughout 2018 and continued to increase their skills and knowledge. Between 13</w:t>
      </w:r>
      <w:r w:rsidR="00BC1D81" w:rsidRPr="00165EDF">
        <w:rPr>
          <w:rFonts w:asciiTheme="minorHAnsi" w:hAnsiTheme="minorHAnsi" w:cstheme="minorHAnsi"/>
          <w:b w:val="0"/>
          <w:color w:val="auto"/>
          <w:sz w:val="21"/>
          <w:szCs w:val="21"/>
          <w:u w:val="none"/>
        </w:rPr>
        <w:t xml:space="preserve"> and </w:t>
      </w:r>
      <w:r w:rsidRPr="00165EDF">
        <w:rPr>
          <w:rFonts w:asciiTheme="minorHAnsi" w:hAnsiTheme="minorHAnsi" w:cstheme="minorHAnsi"/>
          <w:b w:val="0"/>
          <w:color w:val="auto"/>
          <w:sz w:val="21"/>
          <w:szCs w:val="21"/>
          <w:u w:val="none"/>
        </w:rPr>
        <w:t xml:space="preserve">36 members participated in each of the five one-day workshops, two make-up sessions and two meetings held in 2018. Attendance fluctuated throughout 2018, due to </w:t>
      </w:r>
      <w:r w:rsidR="009D68AA" w:rsidRPr="00165EDF">
        <w:rPr>
          <w:rFonts w:asciiTheme="minorHAnsi" w:hAnsiTheme="minorHAnsi" w:cstheme="minorHAnsi"/>
          <w:b w:val="0"/>
          <w:color w:val="auto"/>
          <w:sz w:val="21"/>
          <w:szCs w:val="21"/>
          <w:u w:val="none"/>
        </w:rPr>
        <w:t xml:space="preserve">competing </w:t>
      </w:r>
      <w:r w:rsidRPr="00165EDF">
        <w:rPr>
          <w:rFonts w:asciiTheme="minorHAnsi" w:hAnsiTheme="minorHAnsi" w:cstheme="minorHAnsi"/>
          <w:b w:val="0"/>
          <w:color w:val="auto"/>
          <w:sz w:val="21"/>
          <w:szCs w:val="21"/>
          <w:u w:val="none"/>
        </w:rPr>
        <w:t xml:space="preserve">work commitments. Nabilan held two make-up sessions to ensure everyone benefitted from all the sessions held to date. Nabilan conducted a baseline survey with the members to assess their level of understanding and training needs. Of the 19 respondents of the self-assessed questionnaire, around half of all members said that they either had some or good understanding of each of the topics. However, very few thought they knew the topics well enough to teach others. Nabilan will work with the members to improve their understanding and confidence, so that they can integrate their learnings into their programs. </w:t>
      </w:r>
    </w:p>
    <w:p w14:paraId="312DDC75" w14:textId="40F6006C" w:rsidR="00236662" w:rsidRPr="00165EDF" w:rsidRDefault="00452D9D" w:rsidP="00165EDF">
      <w:pPr>
        <w:spacing w:line="22" w:lineRule="atLeast"/>
        <w:jc w:val="both"/>
        <w:rPr>
          <w:rFonts w:asciiTheme="minorHAnsi" w:hAnsiTheme="minorHAnsi" w:cstheme="minorHAnsi"/>
          <w:b w:val="0"/>
          <w:color w:val="auto"/>
          <w:sz w:val="21"/>
          <w:szCs w:val="21"/>
          <w:u w:val="none"/>
        </w:rPr>
      </w:pPr>
      <w:r w:rsidRPr="00165EDF">
        <w:rPr>
          <w:rFonts w:asciiTheme="minorHAnsi" w:hAnsiTheme="minorHAnsi" w:cstheme="minorHAnsi"/>
          <w:b w:val="0"/>
          <w:color w:val="auto"/>
          <w:sz w:val="21"/>
          <w:szCs w:val="21"/>
          <w:u w:val="none"/>
        </w:rPr>
        <w:t xml:space="preserve">Already, we are receiving positive feedback </w:t>
      </w:r>
      <w:r w:rsidR="00E977FA" w:rsidRPr="00165EDF">
        <w:rPr>
          <w:rFonts w:asciiTheme="minorHAnsi" w:hAnsiTheme="minorHAnsi" w:cstheme="minorHAnsi"/>
          <w:b w:val="0"/>
          <w:color w:val="auto"/>
          <w:sz w:val="21"/>
          <w:szCs w:val="21"/>
          <w:u w:val="none"/>
        </w:rPr>
        <w:t xml:space="preserve">from </w:t>
      </w:r>
      <w:r w:rsidRPr="00165EDF">
        <w:rPr>
          <w:rFonts w:asciiTheme="minorHAnsi" w:hAnsiTheme="minorHAnsi" w:cstheme="minorHAnsi"/>
          <w:b w:val="0"/>
          <w:color w:val="auto"/>
          <w:sz w:val="21"/>
          <w:szCs w:val="21"/>
          <w:u w:val="none"/>
        </w:rPr>
        <w:t xml:space="preserve">some participating organisations. </w:t>
      </w:r>
      <w:r w:rsidR="00E977FA" w:rsidRPr="00165EDF">
        <w:rPr>
          <w:rFonts w:asciiTheme="minorHAnsi" w:hAnsiTheme="minorHAnsi" w:cstheme="minorHAnsi"/>
          <w:b w:val="0"/>
          <w:color w:val="auto"/>
          <w:sz w:val="21"/>
          <w:szCs w:val="21"/>
          <w:u w:val="none"/>
        </w:rPr>
        <w:t xml:space="preserve">Nabilan </w:t>
      </w:r>
      <w:r w:rsidR="008569C2" w:rsidRPr="00165EDF">
        <w:rPr>
          <w:rFonts w:asciiTheme="minorHAnsi" w:hAnsiTheme="minorHAnsi" w:cstheme="minorHAnsi"/>
          <w:b w:val="0"/>
          <w:color w:val="auto"/>
          <w:sz w:val="21"/>
          <w:szCs w:val="21"/>
          <w:u w:val="none"/>
        </w:rPr>
        <w:t xml:space="preserve">received positive feedback from </w:t>
      </w:r>
      <w:r w:rsidR="00C54E9D">
        <w:rPr>
          <w:rFonts w:asciiTheme="minorHAnsi" w:hAnsiTheme="minorHAnsi" w:cstheme="minorHAnsi"/>
          <w:b w:val="0"/>
          <w:color w:val="auto"/>
          <w:sz w:val="21"/>
          <w:szCs w:val="21"/>
          <w:u w:val="none"/>
        </w:rPr>
        <w:t>Australia’s Support Program to the</w:t>
      </w:r>
      <w:r w:rsidR="005D6B5E" w:rsidRPr="00165EDF">
        <w:rPr>
          <w:rFonts w:asciiTheme="minorHAnsi" w:hAnsiTheme="minorHAnsi" w:cstheme="minorHAnsi"/>
          <w:b w:val="0"/>
          <w:color w:val="auto"/>
          <w:sz w:val="21"/>
          <w:szCs w:val="21"/>
          <w:u w:val="none"/>
        </w:rPr>
        <w:t>National Suku Development Program (</w:t>
      </w:r>
      <w:r w:rsidR="008569C2" w:rsidRPr="00165EDF">
        <w:rPr>
          <w:rFonts w:asciiTheme="minorHAnsi" w:hAnsiTheme="minorHAnsi" w:cstheme="minorHAnsi"/>
          <w:b w:val="0"/>
          <w:color w:val="auto"/>
          <w:sz w:val="21"/>
          <w:szCs w:val="21"/>
          <w:u w:val="none"/>
        </w:rPr>
        <w:t>PNDS</w:t>
      </w:r>
      <w:r w:rsidR="005D6B5E" w:rsidRPr="00165EDF">
        <w:rPr>
          <w:rFonts w:asciiTheme="minorHAnsi" w:hAnsiTheme="minorHAnsi" w:cstheme="minorHAnsi"/>
          <w:b w:val="0"/>
          <w:color w:val="auto"/>
          <w:sz w:val="21"/>
          <w:szCs w:val="21"/>
          <w:u w:val="none"/>
        </w:rPr>
        <w:t>)</w:t>
      </w:r>
      <w:r w:rsidR="008569C2" w:rsidRPr="00165EDF">
        <w:rPr>
          <w:rFonts w:asciiTheme="minorHAnsi" w:hAnsiTheme="minorHAnsi" w:cstheme="minorHAnsi"/>
          <w:b w:val="0"/>
          <w:color w:val="auto"/>
          <w:sz w:val="21"/>
          <w:szCs w:val="21"/>
          <w:u w:val="none"/>
        </w:rPr>
        <w:t xml:space="preserve"> on the impact of the CAN training on their ambassadors, and examples of how the ambassadors have integrated their learnings in their work: </w:t>
      </w:r>
      <w:r w:rsidR="008569C2" w:rsidRPr="00165EDF">
        <w:rPr>
          <w:rFonts w:asciiTheme="minorHAnsi" w:hAnsiTheme="minorHAnsi" w:cstheme="minorHAnsi"/>
          <w:b w:val="0"/>
          <w:i/>
          <w:color w:val="auto"/>
          <w:sz w:val="21"/>
          <w:szCs w:val="21"/>
          <w:u w:val="none"/>
        </w:rPr>
        <w:t>“I am impressed with what [our change ambassadors] are learning through the network and how it is motivating them to lead change and dialogue with their peers”</w:t>
      </w:r>
      <w:r w:rsidR="008569C2" w:rsidRPr="00165EDF">
        <w:rPr>
          <w:rFonts w:asciiTheme="minorHAnsi" w:hAnsiTheme="minorHAnsi" w:cstheme="minorHAnsi"/>
          <w:b w:val="0"/>
          <w:color w:val="auto"/>
          <w:sz w:val="21"/>
          <w:szCs w:val="21"/>
          <w:u w:val="none"/>
        </w:rPr>
        <w:t xml:space="preserve"> –Team Leader of PNDS</w:t>
      </w:r>
      <w:r w:rsidR="00C54E9D">
        <w:rPr>
          <w:rFonts w:asciiTheme="minorHAnsi" w:hAnsiTheme="minorHAnsi" w:cstheme="minorHAnsi"/>
          <w:b w:val="0"/>
          <w:color w:val="auto"/>
          <w:sz w:val="21"/>
          <w:szCs w:val="21"/>
          <w:u w:val="none"/>
        </w:rPr>
        <w:t>-SP</w:t>
      </w:r>
      <w:r w:rsidR="008569C2" w:rsidRPr="00165EDF">
        <w:rPr>
          <w:rFonts w:asciiTheme="minorHAnsi" w:hAnsiTheme="minorHAnsi" w:cstheme="minorHAnsi"/>
          <w:b w:val="0"/>
          <w:color w:val="auto"/>
          <w:sz w:val="21"/>
          <w:szCs w:val="21"/>
          <w:u w:val="none"/>
        </w:rPr>
        <w:t>. CAN members from PNDS</w:t>
      </w:r>
      <w:r w:rsidR="00C54E9D">
        <w:rPr>
          <w:rFonts w:asciiTheme="minorHAnsi" w:hAnsiTheme="minorHAnsi" w:cstheme="minorHAnsi"/>
          <w:b w:val="0"/>
          <w:color w:val="auto"/>
          <w:sz w:val="21"/>
          <w:szCs w:val="21"/>
          <w:u w:val="none"/>
        </w:rPr>
        <w:t xml:space="preserve">-SP </w:t>
      </w:r>
      <w:r w:rsidR="008569C2" w:rsidRPr="00165EDF">
        <w:rPr>
          <w:rFonts w:asciiTheme="minorHAnsi" w:hAnsiTheme="minorHAnsi" w:cstheme="minorHAnsi"/>
          <w:b w:val="0"/>
          <w:color w:val="auto"/>
          <w:sz w:val="21"/>
          <w:szCs w:val="21"/>
          <w:u w:val="none"/>
        </w:rPr>
        <w:t xml:space="preserve">have already developed an anti-domestic violence policy for their team and conducted sexual harassment training. </w:t>
      </w:r>
      <w:r w:rsidRPr="00165EDF">
        <w:rPr>
          <w:rFonts w:asciiTheme="minorHAnsi" w:hAnsiTheme="minorHAnsi" w:cstheme="minorHAnsi"/>
          <w:b w:val="0"/>
          <w:color w:val="auto"/>
          <w:sz w:val="21"/>
          <w:szCs w:val="21"/>
          <w:u w:val="none"/>
        </w:rPr>
        <w:t xml:space="preserve">Nabilan has developed a draft training package with 1, 2 and 3-day options, which will be adapted by the members in 2019. Sections of the package have already been used by CARE International. </w:t>
      </w:r>
    </w:p>
    <w:p w14:paraId="668B16B4" w14:textId="6F02CFDD" w:rsidR="00FC0330" w:rsidRPr="00165EDF" w:rsidRDefault="00FC0330" w:rsidP="00A8116D">
      <w:pPr>
        <w:pStyle w:val="Heading3"/>
        <w:rPr>
          <w:rFonts w:asciiTheme="minorHAnsi" w:hAnsiTheme="minorHAnsi" w:cstheme="minorHAnsi"/>
          <w:b w:val="0"/>
          <w:i/>
          <w:color w:val="822B6A"/>
        </w:rPr>
      </w:pPr>
      <w:bookmarkStart w:id="166" w:name="_Toc2019674"/>
      <w:r w:rsidRPr="00BF4F0F">
        <w:rPr>
          <w:rFonts w:asciiTheme="minorHAnsi" w:hAnsiTheme="minorHAnsi" w:cstheme="minorHAnsi"/>
          <w:b w:val="0"/>
          <w:i/>
          <w:color w:val="822B6A"/>
        </w:rPr>
        <w:t>Independent w</w:t>
      </w:r>
      <w:r w:rsidRPr="00E977FA">
        <w:rPr>
          <w:rFonts w:asciiTheme="minorHAnsi" w:hAnsiTheme="minorHAnsi" w:cstheme="minorHAnsi"/>
          <w:b w:val="0"/>
          <w:i/>
          <w:color w:val="822B6A"/>
        </w:rPr>
        <w:t>omen’s movement</w:t>
      </w:r>
      <w:bookmarkEnd w:id="166"/>
    </w:p>
    <w:p w14:paraId="2CD21704" w14:textId="1E25777B" w:rsidR="001672F2" w:rsidRDefault="00FC0330" w:rsidP="00C966B2">
      <w:pPr>
        <w:spacing w:line="22" w:lineRule="atLeast"/>
        <w:jc w:val="both"/>
        <w:rPr>
          <w:rFonts w:asciiTheme="minorHAnsi" w:hAnsiTheme="minorHAnsi" w:cstheme="minorHAnsi"/>
          <w:b w:val="0"/>
          <w:color w:val="auto"/>
          <w:sz w:val="21"/>
          <w:szCs w:val="21"/>
          <w:u w:val="none"/>
        </w:rPr>
      </w:pPr>
      <w:r w:rsidRPr="00C966B2">
        <w:rPr>
          <w:rFonts w:asciiTheme="minorHAnsi" w:hAnsiTheme="minorHAnsi" w:cstheme="minorHAnsi"/>
          <w:b w:val="0"/>
          <w:color w:val="auto"/>
          <w:sz w:val="21"/>
          <w:szCs w:val="21"/>
          <w:u w:val="none"/>
        </w:rPr>
        <w:t xml:space="preserve">Nabilan continues to support </w:t>
      </w:r>
      <w:r w:rsidR="00C966B2" w:rsidRPr="00C966B2">
        <w:rPr>
          <w:rFonts w:asciiTheme="minorHAnsi" w:hAnsiTheme="minorHAnsi" w:cstheme="minorHAnsi"/>
          <w:b w:val="0"/>
          <w:i/>
          <w:color w:val="auto"/>
          <w:sz w:val="21"/>
          <w:szCs w:val="21"/>
          <w:u w:val="none"/>
        </w:rPr>
        <w:t>Grupu Feminista</w:t>
      </w:r>
      <w:r w:rsidRPr="00C966B2">
        <w:rPr>
          <w:rFonts w:asciiTheme="minorHAnsi" w:hAnsiTheme="minorHAnsi" w:cstheme="minorHAnsi"/>
          <w:b w:val="0"/>
          <w:color w:val="auto"/>
          <w:sz w:val="21"/>
          <w:szCs w:val="21"/>
          <w:u w:val="none"/>
        </w:rPr>
        <w:t xml:space="preserve"> and alumni from the Certificate III in Social Services course, who have intensified their activism both online and in public. </w:t>
      </w:r>
      <w:r w:rsidR="00C966B2" w:rsidRPr="00C966B2">
        <w:rPr>
          <w:rFonts w:asciiTheme="minorHAnsi" w:hAnsiTheme="minorHAnsi" w:cstheme="minorHAnsi"/>
          <w:b w:val="0"/>
          <w:i/>
          <w:color w:val="auto"/>
          <w:sz w:val="21"/>
          <w:szCs w:val="21"/>
          <w:u w:val="none"/>
        </w:rPr>
        <w:t>Grupu Feminista</w:t>
      </w:r>
      <w:r w:rsidRPr="00C966B2">
        <w:rPr>
          <w:rFonts w:asciiTheme="minorHAnsi" w:hAnsiTheme="minorHAnsi" w:cstheme="minorHAnsi"/>
          <w:b w:val="0"/>
          <w:color w:val="auto"/>
          <w:sz w:val="21"/>
          <w:szCs w:val="21"/>
          <w:u w:val="none"/>
        </w:rPr>
        <w:t xml:space="preserve">’s “male allies for gender equity” social media campaign for National Women’s Day reached 119,769 users and had 18,098 engagements (likes, shared, comments). Nabilan’s Social Norms Change Adviser was added as an administrator to the </w:t>
      </w:r>
      <w:r w:rsidR="00C966B2" w:rsidRPr="00C966B2">
        <w:rPr>
          <w:rFonts w:asciiTheme="minorHAnsi" w:hAnsiTheme="minorHAnsi" w:cstheme="minorHAnsi"/>
          <w:b w:val="0"/>
          <w:i/>
          <w:color w:val="auto"/>
          <w:sz w:val="21"/>
          <w:szCs w:val="21"/>
          <w:u w:val="none"/>
        </w:rPr>
        <w:t>Grupu Feminista</w:t>
      </w:r>
      <w:r w:rsidRPr="00C966B2">
        <w:rPr>
          <w:rFonts w:asciiTheme="minorHAnsi" w:hAnsiTheme="minorHAnsi" w:cstheme="minorHAnsi"/>
          <w:b w:val="0"/>
          <w:color w:val="auto"/>
          <w:sz w:val="21"/>
          <w:szCs w:val="21"/>
          <w:u w:val="none"/>
        </w:rPr>
        <w:t xml:space="preserve"> Facebook page (Feminismu Iha Timor Leste) and supported core members to develop effective advocacy strategies and use positive messaging. </w:t>
      </w:r>
    </w:p>
    <w:p w14:paraId="00F2DC9F" w14:textId="727D3E13" w:rsidR="00FC0330" w:rsidRPr="00C966B2" w:rsidRDefault="00FC0330" w:rsidP="00C966B2">
      <w:pPr>
        <w:spacing w:line="22" w:lineRule="atLeast"/>
        <w:jc w:val="both"/>
        <w:rPr>
          <w:rFonts w:asciiTheme="minorHAnsi" w:hAnsiTheme="minorHAnsi" w:cstheme="minorHAnsi"/>
          <w:b w:val="0"/>
          <w:color w:val="auto"/>
          <w:sz w:val="21"/>
          <w:szCs w:val="21"/>
          <w:u w:val="none"/>
        </w:rPr>
      </w:pPr>
      <w:r w:rsidRPr="00C966B2">
        <w:rPr>
          <w:rFonts w:asciiTheme="minorHAnsi" w:hAnsiTheme="minorHAnsi" w:cstheme="minorHAnsi"/>
          <w:b w:val="0"/>
          <w:color w:val="auto"/>
          <w:sz w:val="21"/>
          <w:szCs w:val="21"/>
          <w:u w:val="none"/>
        </w:rPr>
        <w:t>During October–December 2018, their Facebook page saw an 116% increase in followers. The page now has 6,959 followers (as of 5/02/2019), of which 6,108 are from Timor-Leste (88%). A Nabilan-boosted post from November 2018 on HIV prevention &amp; condom use reached 50.9K users and got 2.1K clicks and 4.4K</w:t>
      </w:r>
      <w:r w:rsidR="001672F2">
        <w:rPr>
          <w:rFonts w:asciiTheme="minorHAnsi" w:hAnsiTheme="minorHAnsi" w:cstheme="minorHAnsi"/>
          <w:b w:val="0"/>
          <w:color w:val="auto"/>
          <w:sz w:val="21"/>
          <w:szCs w:val="21"/>
          <w:u w:val="none"/>
        </w:rPr>
        <w:t xml:space="preserve"> </w:t>
      </w:r>
      <w:r w:rsidRPr="00C966B2">
        <w:rPr>
          <w:rFonts w:asciiTheme="minorHAnsi" w:hAnsiTheme="minorHAnsi" w:cstheme="minorHAnsi"/>
          <w:b w:val="0"/>
          <w:color w:val="auto"/>
          <w:sz w:val="21"/>
          <w:szCs w:val="21"/>
          <w:u w:val="none"/>
        </w:rPr>
        <w:t xml:space="preserve">likes/comments/shares. In comparison, a non-boosted post from September 2018 on the cause of rape reached 6.4K users and got 726 clicks and 440 likes/comments/shares. Boosting has led to an almost 8-fold increase in the users reached, and 10-fold increase in positive engagement with the posts. At the same time, Nabilan supported </w:t>
      </w:r>
      <w:r w:rsidR="00C966B2" w:rsidRPr="00C966B2">
        <w:rPr>
          <w:rFonts w:asciiTheme="minorHAnsi" w:hAnsiTheme="minorHAnsi" w:cstheme="minorHAnsi"/>
          <w:b w:val="0"/>
          <w:i/>
          <w:color w:val="auto"/>
          <w:sz w:val="21"/>
          <w:szCs w:val="21"/>
          <w:u w:val="none"/>
        </w:rPr>
        <w:t>Grupu Feminista</w:t>
      </w:r>
      <w:r w:rsidRPr="00C966B2">
        <w:rPr>
          <w:rFonts w:asciiTheme="minorHAnsi" w:hAnsiTheme="minorHAnsi" w:cstheme="minorHAnsi"/>
          <w:b w:val="0"/>
          <w:color w:val="auto"/>
          <w:sz w:val="21"/>
          <w:szCs w:val="21"/>
          <w:u w:val="none"/>
        </w:rPr>
        <w:t xml:space="preserve"> to develop community guidelines for the Facebook page, including how to engage in heathy discussions and dealing with online abuse.</w:t>
      </w:r>
    </w:p>
    <w:p w14:paraId="22BFC3F1" w14:textId="49C360D4" w:rsidR="00C966B2" w:rsidRPr="001672F2" w:rsidRDefault="009930F4" w:rsidP="001672F2">
      <w:pPr>
        <w:spacing w:line="22" w:lineRule="atLeast"/>
        <w:jc w:val="both"/>
        <w:rPr>
          <w:rFonts w:asciiTheme="minorHAnsi" w:hAnsiTheme="minorHAnsi" w:cstheme="minorHAnsi"/>
          <w:b w:val="0"/>
          <w:color w:val="auto"/>
          <w:sz w:val="21"/>
          <w:szCs w:val="21"/>
          <w:u w:val="none"/>
        </w:rPr>
      </w:pPr>
      <w:r w:rsidRPr="00165EDF">
        <w:rPr>
          <w:rFonts w:asciiTheme="minorHAnsi" w:hAnsiTheme="minorHAnsi" w:cstheme="minorHAnsi"/>
          <w:b w:val="0"/>
          <w:noProof/>
          <w:color w:val="auto"/>
          <w:sz w:val="21"/>
          <w:szCs w:val="21"/>
          <w:u w:val="none"/>
        </w:rPr>
        <w:drawing>
          <wp:anchor distT="0" distB="0" distL="114300" distR="114300" simplePos="0" relativeHeight="251781120" behindDoc="0" locked="0" layoutInCell="1" allowOverlap="1" wp14:anchorId="3E5A6CD5" wp14:editId="22DC2653">
            <wp:simplePos x="0" y="0"/>
            <wp:positionH relativeFrom="column">
              <wp:posOffset>-1148715</wp:posOffset>
            </wp:positionH>
            <wp:positionV relativeFrom="page">
              <wp:posOffset>7175500</wp:posOffset>
            </wp:positionV>
            <wp:extent cx="7849870" cy="3743325"/>
            <wp:effectExtent l="0" t="0" r="0" b="9525"/>
            <wp:wrapTopAndBottom/>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1">
                      <a:extLst>
                        <a:ext uri="{28A0092B-C50C-407E-A947-70E740481C1C}">
                          <a14:useLocalDpi xmlns:a14="http://schemas.microsoft.com/office/drawing/2010/main" val="0"/>
                        </a:ext>
                      </a:extLst>
                    </a:blip>
                    <a:srcRect l="-2054"/>
                    <a:stretch/>
                  </pic:blipFill>
                  <pic:spPr bwMode="auto">
                    <a:xfrm>
                      <a:off x="0" y="0"/>
                      <a:ext cx="7849870" cy="3743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672F2">
        <w:rPr>
          <w:rFonts w:asciiTheme="minorHAnsi" w:hAnsiTheme="minorHAnsi" w:cstheme="minorHAnsi"/>
          <w:b w:val="0"/>
          <w:noProof/>
          <w:color w:val="auto"/>
          <w:u w:val="none"/>
        </w:rPr>
        <mc:AlternateContent>
          <mc:Choice Requires="wps">
            <w:drawing>
              <wp:anchor distT="0" distB="0" distL="114300" distR="114300" simplePos="0" relativeHeight="251783168" behindDoc="0" locked="0" layoutInCell="1" allowOverlap="1" wp14:anchorId="145851B6" wp14:editId="256574DF">
                <wp:simplePos x="0" y="0"/>
                <wp:positionH relativeFrom="column">
                  <wp:posOffset>-469109</wp:posOffset>
                </wp:positionH>
                <wp:positionV relativeFrom="paragraph">
                  <wp:posOffset>821175</wp:posOffset>
                </wp:positionV>
                <wp:extent cx="3157268" cy="885825"/>
                <wp:effectExtent l="0" t="0" r="0" b="0"/>
                <wp:wrapNone/>
                <wp:docPr id="49" name="Text Box 49"/>
                <wp:cNvGraphicFramePr/>
                <a:graphic xmlns:a="http://schemas.openxmlformats.org/drawingml/2006/main">
                  <a:graphicData uri="http://schemas.microsoft.com/office/word/2010/wordprocessingShape">
                    <wps:wsp>
                      <wps:cNvSpPr txBox="1"/>
                      <wps:spPr>
                        <a:xfrm>
                          <a:off x="0" y="0"/>
                          <a:ext cx="3157268" cy="885825"/>
                        </a:xfrm>
                        <a:prstGeom prst="rect">
                          <a:avLst/>
                        </a:prstGeom>
                        <a:noFill/>
                        <a:ln w="6350">
                          <a:noFill/>
                        </a:ln>
                      </wps:spPr>
                      <wps:txbx>
                        <w:txbxContent>
                          <w:p w14:paraId="7F9D7173" w14:textId="65BAD95C" w:rsidR="00ED4461" w:rsidRPr="00705BD3" w:rsidRDefault="00ED4461" w:rsidP="001672F2">
                            <w:pPr>
                              <w:rPr>
                                <w:rFonts w:asciiTheme="minorHAnsi" w:hAnsiTheme="minorHAnsi" w:cstheme="minorHAnsi"/>
                                <w:b w:val="0"/>
                                <w:color w:val="FFFFFF" w:themeColor="background1"/>
                                <w:sz w:val="18"/>
                                <w:szCs w:val="18"/>
                                <w:u w:val="none"/>
                                <w:lang w:val="en-US"/>
                              </w:rPr>
                            </w:pPr>
                            <w:r w:rsidRPr="005E4703">
                              <w:rPr>
                                <w:rFonts w:asciiTheme="minorHAnsi" w:hAnsiTheme="minorHAnsi" w:cstheme="minorHAnsi"/>
                                <w:b w:val="0"/>
                                <w:i/>
                                <w:color w:val="FFFFFF" w:themeColor="background1"/>
                                <w:sz w:val="18"/>
                                <w:szCs w:val="18"/>
                                <w:u w:val="none"/>
                                <w:lang w:val="en-US"/>
                              </w:rPr>
                              <w:t xml:space="preserve">Grupu Feminista </w:t>
                            </w:r>
                            <w:r>
                              <w:rPr>
                                <w:rFonts w:asciiTheme="minorHAnsi" w:hAnsiTheme="minorHAnsi" w:cstheme="minorHAnsi"/>
                                <w:b w:val="0"/>
                                <w:color w:val="FFFFFF" w:themeColor="background1"/>
                                <w:sz w:val="18"/>
                                <w:szCs w:val="18"/>
                                <w:u w:val="none"/>
                                <w:lang w:val="en-US"/>
                              </w:rPr>
                              <w:t>Fun Run on IWD 2018, 8 March 2018</w:t>
                            </w:r>
                          </w:p>
                          <w:p w14:paraId="56163EDD" w14:textId="77777777" w:rsidR="00ED4461" w:rsidRPr="00D27A4C" w:rsidRDefault="00ED4461" w:rsidP="001672F2">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45851B6" id="Text Box 49" o:spid="_x0000_s1033" type="#_x0000_t202" style="position:absolute;left:0;text-align:left;margin-left:-36.95pt;margin-top:64.65pt;width:248.6pt;height:69.7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" filled="f" stroked="f" strokeweight=".5pt">
                <v:textbox>
                  <w:txbxContent>
                    <w:p w14:paraId="7F9D7173" w14:textId="65BAD95C" w:rsidR="00ED4461" w:rsidRPr="00705BD3" w:rsidRDefault="00ED4461" w:rsidP="001672F2">
                      <w:pPr>
                        <w:rPr>
                          <w:rFonts w:asciiTheme="minorHAnsi" w:hAnsiTheme="minorHAnsi" w:cstheme="minorHAnsi"/>
                          <w:b w:val="0"/>
                          <w:color w:val="FFFFFF" w:themeColor="background1"/>
                          <w:sz w:val="18"/>
                          <w:szCs w:val="18"/>
                          <w:u w:val="none"/>
                          <w:lang w:val="en-US"/>
                        </w:rPr>
                      </w:pPr>
                      <w:r w:rsidRPr="005E4703">
                        <w:rPr>
                          <w:rFonts w:asciiTheme="minorHAnsi" w:hAnsiTheme="minorHAnsi" w:cstheme="minorHAnsi"/>
                          <w:b w:val="0"/>
                          <w:i/>
                          <w:color w:val="FFFFFF" w:themeColor="background1"/>
                          <w:sz w:val="18"/>
                          <w:szCs w:val="18"/>
                          <w:u w:val="none"/>
                          <w:lang w:val="en-US"/>
                        </w:rPr>
                        <w:t xml:space="preserve">Grupu Feminista </w:t>
                      </w:r>
                      <w:r>
                        <w:rPr>
                          <w:rFonts w:asciiTheme="minorHAnsi" w:hAnsiTheme="minorHAnsi" w:cstheme="minorHAnsi"/>
                          <w:b w:val="0"/>
                          <w:color w:val="FFFFFF" w:themeColor="background1"/>
                          <w:sz w:val="18"/>
                          <w:szCs w:val="18"/>
                          <w:u w:val="none"/>
                          <w:lang w:val="en-US"/>
                        </w:rPr>
                        <w:t>Fun Run on IWD 2018, 8 March 2018</w:t>
                      </w:r>
                    </w:p>
                    <w:p w14:paraId="56163EDD" w14:textId="77777777" w:rsidR="00ED4461" w:rsidRPr="00D27A4C" w:rsidRDefault="00ED4461" w:rsidP="001672F2">
                      <w:pPr>
                        <w:rPr>
                          <w:color w:val="FFFFFF" w:themeColor="background1"/>
                        </w:rPr>
                      </w:pPr>
                    </w:p>
                  </w:txbxContent>
                </v:textbox>
              </v:shape>
            </w:pict>
          </mc:Fallback>
        </mc:AlternateContent>
      </w:r>
      <w:r w:rsidR="00C966B2" w:rsidRPr="00C966B2">
        <w:rPr>
          <w:rFonts w:asciiTheme="minorHAnsi" w:hAnsiTheme="minorHAnsi" w:cstheme="minorHAnsi"/>
          <w:b w:val="0"/>
          <w:i/>
          <w:color w:val="auto"/>
          <w:sz w:val="21"/>
          <w:szCs w:val="21"/>
          <w:u w:val="none"/>
        </w:rPr>
        <w:t>Grupu Feminista</w:t>
      </w:r>
      <w:r w:rsidR="00FC0330" w:rsidRPr="00C966B2">
        <w:rPr>
          <w:rFonts w:asciiTheme="minorHAnsi" w:hAnsiTheme="minorHAnsi" w:cstheme="minorHAnsi"/>
          <w:b w:val="0"/>
          <w:color w:val="auto"/>
          <w:sz w:val="21"/>
          <w:szCs w:val="21"/>
          <w:u w:val="none"/>
        </w:rPr>
        <w:t xml:space="preserve"> also organised numerous other well-attended advocacy events, including a fun run for International Women’s Day 2018, a public event against sexual harassment, a youth debate on child abandonment and victim-blaming (</w:t>
      </w:r>
      <w:r w:rsidR="005735FA">
        <w:rPr>
          <w:rFonts w:asciiTheme="minorHAnsi" w:hAnsiTheme="minorHAnsi" w:cstheme="minorHAnsi"/>
          <w:b w:val="0"/>
          <w:color w:val="auto"/>
          <w:sz w:val="21"/>
          <w:szCs w:val="21"/>
          <w:u w:val="none"/>
        </w:rPr>
        <w:t xml:space="preserve">attended by </w:t>
      </w:r>
      <w:r w:rsidR="00FC0330" w:rsidRPr="00C966B2">
        <w:rPr>
          <w:rFonts w:asciiTheme="minorHAnsi" w:hAnsiTheme="minorHAnsi" w:cstheme="minorHAnsi"/>
          <w:b w:val="0"/>
          <w:color w:val="auto"/>
          <w:sz w:val="21"/>
          <w:szCs w:val="21"/>
          <w:u w:val="none"/>
        </w:rPr>
        <w:t xml:space="preserve">approximately 700 people), and a silent march over 16 days (more than 400 people). </w:t>
      </w:r>
    </w:p>
    <w:p w14:paraId="064C8E0B" w14:textId="1196E845" w:rsidR="00FC0330" w:rsidRPr="00E977FA" w:rsidRDefault="005D6B5E" w:rsidP="00A8116D">
      <w:pPr>
        <w:pStyle w:val="Heading3"/>
        <w:keepNext/>
        <w:rPr>
          <w:rFonts w:asciiTheme="minorHAnsi" w:hAnsiTheme="minorHAnsi" w:cstheme="minorHAnsi"/>
          <w:b w:val="0"/>
          <w:i/>
          <w:color w:val="822B6A"/>
        </w:rPr>
      </w:pPr>
      <w:bookmarkStart w:id="167" w:name="_Toc2019675"/>
      <w:r>
        <w:rPr>
          <w:rFonts w:asciiTheme="minorHAnsi" w:hAnsiTheme="minorHAnsi" w:cstheme="minorHAnsi"/>
          <w:b w:val="0"/>
          <w:i/>
          <w:color w:val="822B6A"/>
        </w:rPr>
        <w:t>Government of Timor-Leste (</w:t>
      </w:r>
      <w:r w:rsidR="00FC0330" w:rsidRPr="00E977FA">
        <w:rPr>
          <w:rFonts w:asciiTheme="minorHAnsi" w:hAnsiTheme="minorHAnsi" w:cstheme="minorHAnsi"/>
          <w:b w:val="0"/>
          <w:i/>
          <w:color w:val="822B6A"/>
        </w:rPr>
        <w:t>GoTL</w:t>
      </w:r>
      <w:r>
        <w:rPr>
          <w:rFonts w:asciiTheme="minorHAnsi" w:hAnsiTheme="minorHAnsi" w:cstheme="minorHAnsi"/>
          <w:b w:val="0"/>
          <w:i/>
          <w:color w:val="822B6A"/>
        </w:rPr>
        <w:t>)</w:t>
      </w:r>
      <w:r w:rsidR="00FC0330" w:rsidRPr="00E977FA">
        <w:rPr>
          <w:rFonts w:asciiTheme="minorHAnsi" w:hAnsiTheme="minorHAnsi" w:cstheme="minorHAnsi"/>
          <w:b w:val="0"/>
          <w:i/>
          <w:color w:val="822B6A"/>
        </w:rPr>
        <w:t xml:space="preserve"> dialogue and action on VAWC</w:t>
      </w:r>
      <w:bookmarkEnd w:id="167"/>
    </w:p>
    <w:p w14:paraId="02C085B2" w14:textId="6D42CF86" w:rsidR="00790073" w:rsidRPr="001672F2" w:rsidRDefault="00E977FA" w:rsidP="001672F2">
      <w:pPr>
        <w:spacing w:line="22" w:lineRule="atLeast"/>
        <w:jc w:val="both"/>
        <w:rPr>
          <w:rFonts w:asciiTheme="minorHAnsi" w:hAnsiTheme="minorHAnsi" w:cstheme="minorHAnsi"/>
          <w:b w:val="0"/>
          <w:color w:val="auto"/>
          <w:sz w:val="21"/>
          <w:szCs w:val="21"/>
          <w:u w:val="none"/>
        </w:rPr>
      </w:pPr>
      <w:r w:rsidRPr="001672F2">
        <w:rPr>
          <w:rFonts w:asciiTheme="minorHAnsi" w:hAnsiTheme="minorHAnsi" w:cstheme="minorHAnsi"/>
          <w:b w:val="0"/>
          <w:noProof/>
          <w:color w:val="auto"/>
          <w:sz w:val="21"/>
          <w:szCs w:val="21"/>
          <w:u w:val="none"/>
        </w:rPr>
        <w:drawing>
          <wp:anchor distT="0" distB="0" distL="114300" distR="114300" simplePos="0" relativeHeight="251712512" behindDoc="0" locked="0" layoutInCell="1" allowOverlap="1" wp14:anchorId="5811C26F" wp14:editId="4262DEED">
            <wp:simplePos x="0" y="0"/>
            <wp:positionH relativeFrom="column">
              <wp:posOffset>2873711</wp:posOffset>
            </wp:positionH>
            <wp:positionV relativeFrom="paragraph">
              <wp:posOffset>25400</wp:posOffset>
            </wp:positionV>
            <wp:extent cx="3244215" cy="2200275"/>
            <wp:effectExtent l="0" t="0" r="0" b="952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2">
                      <a:extLst>
                        <a:ext uri="{28A0092B-C50C-407E-A947-70E740481C1C}">
                          <a14:useLocalDpi xmlns:a14="http://schemas.microsoft.com/office/drawing/2010/main" val="0"/>
                        </a:ext>
                      </a:extLst>
                    </a:blip>
                    <a:srcRect l="4902" t="5280" r="-4902" b="18482"/>
                    <a:stretch/>
                  </pic:blipFill>
                  <pic:spPr bwMode="auto">
                    <a:xfrm>
                      <a:off x="0" y="0"/>
                      <a:ext cx="3244215" cy="2200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C0330" w:rsidRPr="001672F2">
        <w:rPr>
          <w:rFonts w:asciiTheme="minorHAnsi" w:hAnsiTheme="minorHAnsi" w:cstheme="minorHAnsi"/>
          <w:b w:val="0"/>
          <w:color w:val="auto"/>
          <w:sz w:val="21"/>
          <w:szCs w:val="21"/>
          <w:u w:val="none"/>
        </w:rPr>
        <w:t xml:space="preserve">Nabilan has made progress on influencing increased GoTL dialogue and action on preventing VAWC. This has occurred through a strengthened relationship with SEII, and joint activities at both national and Manufahi level. </w:t>
      </w:r>
    </w:p>
    <w:p w14:paraId="1FE7D00D" w14:textId="06DA77AB" w:rsidR="00236662" w:rsidRPr="001672F2" w:rsidRDefault="00790073" w:rsidP="001672F2">
      <w:pPr>
        <w:spacing w:line="22" w:lineRule="atLeast"/>
        <w:jc w:val="both"/>
        <w:rPr>
          <w:rFonts w:asciiTheme="minorHAnsi" w:hAnsiTheme="minorHAnsi" w:cstheme="minorHAnsi"/>
          <w:b w:val="0"/>
          <w:color w:val="auto"/>
          <w:sz w:val="21"/>
          <w:szCs w:val="21"/>
          <w:u w:val="none"/>
        </w:rPr>
      </w:pPr>
      <w:r w:rsidRPr="001672F2">
        <w:rPr>
          <w:noProof/>
          <w:sz w:val="21"/>
          <w:szCs w:val="21"/>
        </w:rPr>
        <mc:AlternateContent>
          <mc:Choice Requires="wps">
            <w:drawing>
              <wp:anchor distT="45720" distB="45720" distL="114300" distR="114300" simplePos="0" relativeHeight="251713536" behindDoc="1" locked="0" layoutInCell="1" allowOverlap="1" wp14:anchorId="3DA8416A" wp14:editId="660EF553">
                <wp:simplePos x="0" y="0"/>
                <wp:positionH relativeFrom="column">
                  <wp:posOffset>2804699</wp:posOffset>
                </wp:positionH>
                <wp:positionV relativeFrom="paragraph">
                  <wp:posOffset>1364280</wp:posOffset>
                </wp:positionV>
                <wp:extent cx="3244215" cy="463550"/>
                <wp:effectExtent l="0" t="0" r="0" b="0"/>
                <wp:wrapTight wrapText="bothSides">
                  <wp:wrapPolygon edited="0">
                    <wp:start x="381" y="0"/>
                    <wp:lineTo x="381" y="20416"/>
                    <wp:lineTo x="21181" y="20416"/>
                    <wp:lineTo x="21181" y="0"/>
                    <wp:lineTo x="381" y="0"/>
                  </wp:wrapPolygon>
                </wp:wrapTight>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4215" cy="463550"/>
                        </a:xfrm>
                        <a:prstGeom prst="rect">
                          <a:avLst/>
                        </a:prstGeom>
                        <a:noFill/>
                        <a:ln w="9525">
                          <a:noFill/>
                          <a:miter lim="800000"/>
                          <a:headEnd/>
                          <a:tailEnd/>
                        </a:ln>
                      </wps:spPr>
                      <wps:txbx>
                        <w:txbxContent>
                          <w:p w14:paraId="18D60CD2" w14:textId="77777777" w:rsidR="00ED4461" w:rsidRPr="004141CE" w:rsidRDefault="00ED4461" w:rsidP="00236662">
                            <w:pPr>
                              <w:rPr>
                                <w:rFonts w:asciiTheme="minorHAnsi" w:hAnsiTheme="minorHAnsi" w:cstheme="minorHAnsi"/>
                                <w:b w:val="0"/>
                                <w:color w:val="595959" w:themeColor="text1" w:themeTint="A6"/>
                                <w:sz w:val="18"/>
                                <w:u w:val="none"/>
                                <w:lang w:val="en-US"/>
                              </w:rPr>
                            </w:pPr>
                            <w:r w:rsidRPr="004141CE">
                              <w:rPr>
                                <w:rFonts w:asciiTheme="minorHAnsi" w:hAnsiTheme="minorHAnsi" w:cstheme="minorHAnsi"/>
                                <w:b w:val="0"/>
                                <w:color w:val="595959" w:themeColor="text1" w:themeTint="A6"/>
                                <w:sz w:val="18"/>
                                <w:u w:val="none"/>
                                <w:lang w:val="en-US"/>
                              </w:rPr>
                              <w:t>Secretary of State for Social Communication at the launch of the positive media kit, 6 December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DA8416A" id="_x0000_s1034" type="#_x0000_t202" style="position:absolute;left:0;text-align:left;margin-left:220.85pt;margin-top:107.4pt;width:255.45pt;height:36.5pt;z-index:-251602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" filled="f" stroked="f">
                <v:textbox>
                  <w:txbxContent>
                    <w:p w14:paraId="18D60CD2" w14:textId="77777777" w:rsidR="00ED4461" w:rsidRPr="004141CE" w:rsidRDefault="00ED4461" w:rsidP="00236662">
                      <w:pPr>
                        <w:rPr>
                          <w:rFonts w:asciiTheme="minorHAnsi" w:hAnsiTheme="minorHAnsi" w:cstheme="minorHAnsi"/>
                          <w:b w:val="0"/>
                          <w:color w:val="595959" w:themeColor="text1" w:themeTint="A6"/>
                          <w:sz w:val="18"/>
                          <w:u w:val="none"/>
                          <w:lang w:val="en-US"/>
                        </w:rPr>
                      </w:pPr>
                      <w:r w:rsidRPr="004141CE">
                        <w:rPr>
                          <w:rFonts w:asciiTheme="minorHAnsi" w:hAnsiTheme="minorHAnsi" w:cstheme="minorHAnsi"/>
                          <w:b w:val="0"/>
                          <w:color w:val="595959" w:themeColor="text1" w:themeTint="A6"/>
                          <w:sz w:val="18"/>
                          <w:u w:val="none"/>
                          <w:lang w:val="en-US"/>
                        </w:rPr>
                        <w:t>Secretary of State for Social Communication at the launch of the positive media kit, 6 December 2018.</w:t>
                      </w:r>
                    </w:p>
                  </w:txbxContent>
                </v:textbox>
                <w10:wrap type="tight"/>
              </v:shape>
            </w:pict>
          </mc:Fallback>
        </mc:AlternateContent>
      </w:r>
      <w:r w:rsidR="00236662" w:rsidRPr="001672F2">
        <w:rPr>
          <w:rFonts w:asciiTheme="minorHAnsi" w:hAnsiTheme="minorHAnsi" w:cstheme="minorHAnsi"/>
          <w:b w:val="0"/>
          <w:color w:val="auto"/>
          <w:sz w:val="21"/>
          <w:szCs w:val="21"/>
          <w:u w:val="none"/>
        </w:rPr>
        <w:t xml:space="preserve">In October 2018, Nabilan conducted a joint media training workshop with SEII, JSMP, </w:t>
      </w:r>
      <w:r w:rsidR="005D6B5E" w:rsidRPr="001672F2">
        <w:rPr>
          <w:rFonts w:asciiTheme="minorHAnsi" w:hAnsiTheme="minorHAnsi" w:cstheme="minorHAnsi"/>
          <w:b w:val="0"/>
          <w:color w:val="auto"/>
          <w:sz w:val="21"/>
          <w:szCs w:val="21"/>
          <w:u w:val="none"/>
        </w:rPr>
        <w:t>SECOM</w:t>
      </w:r>
      <w:r w:rsidR="00236662" w:rsidRPr="001672F2">
        <w:rPr>
          <w:rFonts w:asciiTheme="minorHAnsi" w:hAnsiTheme="minorHAnsi" w:cstheme="minorHAnsi"/>
          <w:b w:val="0"/>
          <w:color w:val="auto"/>
          <w:sz w:val="21"/>
          <w:szCs w:val="21"/>
          <w:u w:val="none"/>
        </w:rPr>
        <w:t xml:space="preserve"> and the Press Council. This was the first joint prevention activity with SEII. Nabilan was able to observe SEII’s training and share our approach with the training directorate of SEII. At least 33 members of the media attended the training. Nabilan received positive feedback from SEII and the media, providing an entry point for future work with SEII. Based on the findings from the training, Nabilan developed a “positive media kit” to improve standards of reporting.</w:t>
      </w:r>
      <w:r w:rsidRPr="001672F2">
        <w:rPr>
          <w:rFonts w:asciiTheme="minorHAnsi" w:hAnsiTheme="minorHAnsi" w:cstheme="minorHAnsi"/>
          <w:b w:val="0"/>
          <w:color w:val="auto"/>
          <w:sz w:val="21"/>
          <w:szCs w:val="21"/>
          <w:u w:val="none"/>
        </w:rPr>
        <w:t xml:space="preserve"> </w:t>
      </w:r>
      <w:r w:rsidR="00236662" w:rsidRPr="001672F2">
        <w:rPr>
          <w:rFonts w:asciiTheme="minorHAnsi" w:hAnsiTheme="minorHAnsi" w:cstheme="minorHAnsi"/>
          <w:b w:val="0"/>
          <w:color w:val="auto"/>
          <w:sz w:val="21"/>
          <w:szCs w:val="21"/>
          <w:u w:val="none"/>
        </w:rPr>
        <w:t xml:space="preserve">The </w:t>
      </w:r>
      <w:r w:rsidR="005D6B5E" w:rsidRPr="001672F2">
        <w:rPr>
          <w:rFonts w:asciiTheme="minorHAnsi" w:hAnsiTheme="minorHAnsi" w:cstheme="minorHAnsi"/>
          <w:b w:val="0"/>
          <w:color w:val="auto"/>
          <w:sz w:val="21"/>
          <w:szCs w:val="21"/>
          <w:u w:val="none"/>
        </w:rPr>
        <w:t>SECOM</w:t>
      </w:r>
      <w:r w:rsidR="00236662" w:rsidRPr="001672F2">
        <w:rPr>
          <w:rFonts w:asciiTheme="minorHAnsi" w:hAnsiTheme="minorHAnsi" w:cstheme="minorHAnsi"/>
          <w:b w:val="0"/>
          <w:color w:val="auto"/>
          <w:sz w:val="21"/>
          <w:szCs w:val="21"/>
          <w:u w:val="none"/>
        </w:rPr>
        <w:t xml:space="preserve"> launched the package on 6 December 2018. Nabilan continues to conduct media monitoring to assess impact from the training and positive media kit. </w:t>
      </w:r>
    </w:p>
    <w:p w14:paraId="1B2538F9" w14:textId="08071A28" w:rsidR="00236662" w:rsidRPr="001672F2" w:rsidRDefault="00236662" w:rsidP="001672F2">
      <w:pPr>
        <w:spacing w:line="22" w:lineRule="atLeast"/>
        <w:jc w:val="both"/>
        <w:rPr>
          <w:rFonts w:asciiTheme="minorHAnsi" w:hAnsiTheme="minorHAnsi" w:cstheme="minorHAnsi"/>
          <w:b w:val="0"/>
          <w:color w:val="auto"/>
          <w:sz w:val="21"/>
          <w:szCs w:val="21"/>
          <w:u w:val="none"/>
        </w:rPr>
      </w:pPr>
      <w:r w:rsidRPr="001672F2">
        <w:rPr>
          <w:rFonts w:asciiTheme="minorHAnsi" w:hAnsiTheme="minorHAnsi" w:cstheme="minorHAnsi"/>
          <w:b w:val="0"/>
          <w:color w:val="auto"/>
          <w:sz w:val="21"/>
          <w:szCs w:val="21"/>
          <w:u w:val="none"/>
        </w:rPr>
        <w:t>In Manufahi, Nabilan has developed a much closer relationship with the municipal administration through the KOKOSA! work. SEII was an equal partner in the organisation and implementation of all 16 days activities in Suku Letefoho, and the municipal hospital administration has supported KOKOSA! training for healthcare workers and the press conference on the links between HIV/AIDS and VAW.</w:t>
      </w:r>
    </w:p>
    <w:p w14:paraId="4B88D038" w14:textId="5E118786" w:rsidR="00FB2298" w:rsidRPr="00BF4F0F" w:rsidRDefault="001672F2" w:rsidP="00447313">
      <w:pPr>
        <w:autoSpaceDE/>
        <w:autoSpaceDN/>
        <w:adjustRightInd/>
        <w:spacing w:before="60" w:after="60" w:line="288" w:lineRule="auto"/>
        <w:ind w:left="3686" w:hanging="851"/>
        <w:jc w:val="both"/>
        <w:textAlignment w:val="auto"/>
        <w:rPr>
          <w:rFonts w:asciiTheme="minorHAnsi" w:hAnsiTheme="minorHAnsi" w:cstheme="minorHAnsi"/>
          <w:b w:val="0"/>
          <w:bCs/>
          <w:color w:val="822B6A"/>
          <w:kern w:val="32"/>
          <w:sz w:val="32"/>
          <w:szCs w:val="32"/>
        </w:rPr>
      </w:pPr>
      <w:r w:rsidRPr="00BF4F0F">
        <w:rPr>
          <w:rStyle w:val="Style1Char"/>
          <w:rFonts w:asciiTheme="minorHAnsi" w:hAnsiTheme="minorHAnsi" w:cstheme="minorHAnsi"/>
          <w:bCs w:val="0"/>
          <w:noProof/>
          <w:color w:val="auto"/>
          <w:kern w:val="0"/>
          <w:sz w:val="22"/>
          <w:szCs w:val="22"/>
          <w:u w:val="none"/>
        </w:rPr>
        <mc:AlternateContent>
          <mc:Choice Requires="wps">
            <w:drawing>
              <wp:anchor distT="45720" distB="45720" distL="114300" distR="114300" simplePos="0" relativeHeight="251742208" behindDoc="1" locked="0" layoutInCell="1" allowOverlap="1" wp14:anchorId="16E04D68" wp14:editId="077C17C6">
                <wp:simplePos x="0" y="0"/>
                <wp:positionH relativeFrom="column">
                  <wp:posOffset>-89547</wp:posOffset>
                </wp:positionH>
                <wp:positionV relativeFrom="page">
                  <wp:posOffset>10247906</wp:posOffset>
                </wp:positionV>
                <wp:extent cx="3389630" cy="396875"/>
                <wp:effectExtent l="0" t="0" r="0" b="3175"/>
                <wp:wrapTopAndBottom/>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9630" cy="396875"/>
                        </a:xfrm>
                        <a:prstGeom prst="rect">
                          <a:avLst/>
                        </a:prstGeom>
                        <a:noFill/>
                        <a:ln w="9525">
                          <a:noFill/>
                          <a:miter lim="800000"/>
                          <a:headEnd/>
                          <a:tailEnd/>
                        </a:ln>
                      </wps:spPr>
                      <wps:txbx>
                        <w:txbxContent>
                          <w:p w14:paraId="36F1E679" w14:textId="3C12BB30" w:rsidR="00ED4461" w:rsidRPr="001672F2" w:rsidRDefault="00ED4461" w:rsidP="004F40D8">
                            <w:pPr>
                              <w:rPr>
                                <w:rFonts w:asciiTheme="minorHAnsi" w:hAnsiTheme="minorHAnsi" w:cstheme="minorHAnsi"/>
                                <w:b w:val="0"/>
                                <w:color w:val="FFFFFF" w:themeColor="background1"/>
                                <w:sz w:val="18"/>
                                <w:u w:val="none"/>
                                <w:lang w:val="en-US"/>
                              </w:rPr>
                            </w:pPr>
                            <w:r w:rsidRPr="001672F2">
                              <w:rPr>
                                <w:rFonts w:asciiTheme="minorHAnsi" w:hAnsiTheme="minorHAnsi" w:cstheme="minorHAnsi"/>
                                <w:b w:val="0"/>
                                <w:color w:val="FFFFFF" w:themeColor="background1"/>
                                <w:sz w:val="18"/>
                                <w:u w:val="none"/>
                                <w:lang w:val="en-US"/>
                              </w:rPr>
                              <w:t>Secretary of State for Equality and Inclusion at the Hamahon launch, 6 December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6E04D68" id="_x0000_s1035" type="#_x0000_t202" style="position:absolute;left:0;text-align:left;margin-left:-7.05pt;margin-top:806.9pt;width:266.9pt;height:31.25pt;z-index:-25157427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" filled="f" stroked="f">
                <v:textbox>
                  <w:txbxContent>
                    <w:p w14:paraId="36F1E679" w14:textId="3C12BB30" w:rsidR="00ED4461" w:rsidRPr="001672F2" w:rsidRDefault="00ED4461" w:rsidP="004F40D8">
                      <w:pPr>
                        <w:rPr>
                          <w:rFonts w:asciiTheme="minorHAnsi" w:hAnsiTheme="minorHAnsi" w:cstheme="minorHAnsi"/>
                          <w:b w:val="0"/>
                          <w:color w:val="FFFFFF" w:themeColor="background1"/>
                          <w:sz w:val="18"/>
                          <w:u w:val="none"/>
                          <w:lang w:val="en-US"/>
                        </w:rPr>
                      </w:pPr>
                      <w:r w:rsidRPr="001672F2">
                        <w:rPr>
                          <w:rFonts w:asciiTheme="minorHAnsi" w:hAnsiTheme="minorHAnsi" w:cstheme="minorHAnsi"/>
                          <w:b w:val="0"/>
                          <w:color w:val="FFFFFF" w:themeColor="background1"/>
                          <w:sz w:val="18"/>
                          <w:u w:val="none"/>
                          <w:lang w:val="en-US"/>
                        </w:rPr>
                        <w:t>Secretary of State for Equality and Inclusion at the Hamahon launch, 6 December 2018.</w:t>
                      </w:r>
                    </w:p>
                  </w:txbxContent>
                </v:textbox>
                <w10:wrap type="topAndBottom" anchory="page"/>
              </v:shape>
            </w:pict>
          </mc:Fallback>
        </mc:AlternateContent>
      </w:r>
      <w:r>
        <w:rPr>
          <w:rFonts w:asciiTheme="minorHAnsi" w:hAnsiTheme="minorHAnsi" w:cstheme="minorHAnsi"/>
          <w:noProof/>
        </w:rPr>
        <w:drawing>
          <wp:anchor distT="0" distB="0" distL="114300" distR="114300" simplePos="0" relativeHeight="251740160" behindDoc="0" locked="0" layoutInCell="1" allowOverlap="1" wp14:anchorId="59F6972A" wp14:editId="2401AFD1">
            <wp:simplePos x="0" y="0"/>
            <wp:positionH relativeFrom="column">
              <wp:posOffset>-891719</wp:posOffset>
            </wp:positionH>
            <wp:positionV relativeFrom="paragraph">
              <wp:posOffset>1411185</wp:posOffset>
            </wp:positionV>
            <wp:extent cx="7591425" cy="4380865"/>
            <wp:effectExtent l="0" t="0" r="9525" b="635"/>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3">
                      <a:extLst>
                        <a:ext uri="{28A0092B-C50C-407E-A947-70E740481C1C}">
                          <a14:useLocalDpi xmlns:a14="http://schemas.microsoft.com/office/drawing/2010/main" val="0"/>
                        </a:ext>
                      </a:extLst>
                    </a:blip>
                    <a:srcRect r="5293"/>
                    <a:stretch/>
                  </pic:blipFill>
                  <pic:spPr bwMode="auto">
                    <a:xfrm>
                      <a:off x="0" y="0"/>
                      <a:ext cx="7591425" cy="43808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136"/>
      <w:r w:rsidR="00FB2298" w:rsidRPr="00BF4F0F">
        <w:rPr>
          <w:rFonts w:asciiTheme="minorHAnsi" w:hAnsiTheme="minorHAnsi" w:cstheme="minorHAnsi"/>
        </w:rPr>
        <w:br w:type="page"/>
      </w:r>
    </w:p>
    <w:p w14:paraId="3A6640FA" w14:textId="135AFBBE" w:rsidR="003F3141" w:rsidRPr="00BF4F0F" w:rsidRDefault="003F3141" w:rsidP="00447313">
      <w:pPr>
        <w:pStyle w:val="NoHeading1"/>
      </w:pPr>
      <w:bookmarkStart w:id="168" w:name="_Toc1902723"/>
      <w:bookmarkStart w:id="169" w:name="_Toc1994637"/>
      <w:bookmarkStart w:id="170" w:name="_Toc1999858"/>
      <w:bookmarkStart w:id="171" w:name="_Toc2019676"/>
      <w:bookmarkStart w:id="172" w:name="_Toc425354"/>
      <w:bookmarkStart w:id="173" w:name="_Toc437979"/>
      <w:r w:rsidRPr="00BF4F0F">
        <w:t>4</w:t>
      </w:r>
      <w:r w:rsidR="00D0536E">
        <w:t>.</w:t>
      </w:r>
      <w:r w:rsidRPr="00BF4F0F">
        <w:t xml:space="preserve"> Sustainability and appropriateness across the program</w:t>
      </w:r>
      <w:bookmarkEnd w:id="168"/>
      <w:bookmarkEnd w:id="169"/>
      <w:bookmarkEnd w:id="170"/>
      <w:bookmarkEnd w:id="171"/>
    </w:p>
    <w:p w14:paraId="7FD79527" w14:textId="64A7230F" w:rsidR="003F3141" w:rsidRPr="00CE4A51" w:rsidRDefault="003F3141" w:rsidP="00CE4A51">
      <w:pPr>
        <w:spacing w:line="22" w:lineRule="atLeast"/>
        <w:jc w:val="both"/>
        <w:rPr>
          <w:rFonts w:asciiTheme="minorHAnsi" w:hAnsiTheme="minorHAnsi" w:cstheme="minorHAnsi"/>
          <w:b w:val="0"/>
          <w:color w:val="auto"/>
          <w:sz w:val="21"/>
          <w:szCs w:val="21"/>
          <w:u w:val="none"/>
        </w:rPr>
      </w:pPr>
      <w:r w:rsidRPr="00CE4A51">
        <w:rPr>
          <w:rFonts w:asciiTheme="minorHAnsi" w:hAnsiTheme="minorHAnsi" w:cstheme="minorHAnsi"/>
          <w:b w:val="0"/>
          <w:color w:val="auto"/>
          <w:sz w:val="21"/>
          <w:szCs w:val="21"/>
          <w:u w:val="none"/>
        </w:rPr>
        <w:t xml:space="preserve">KEQ 3 and 4 on sustainability and appropriateness will be the focus of the mid-term review of Nabilan. Progress has been made already in sustainability of Nabilan program outcomes, as summarised below. Further work is required with the </w:t>
      </w:r>
      <w:r w:rsidR="00BC1D81" w:rsidRPr="00CE4A51">
        <w:rPr>
          <w:rFonts w:asciiTheme="minorHAnsi" w:hAnsiTheme="minorHAnsi" w:cstheme="minorHAnsi"/>
          <w:b w:val="0"/>
          <w:color w:val="auto"/>
          <w:sz w:val="21"/>
          <w:szCs w:val="21"/>
          <w:u w:val="none"/>
        </w:rPr>
        <w:t>GoTL</w:t>
      </w:r>
      <w:r w:rsidRPr="00CE4A51">
        <w:rPr>
          <w:rFonts w:asciiTheme="minorHAnsi" w:hAnsiTheme="minorHAnsi" w:cstheme="minorHAnsi"/>
          <w:b w:val="0"/>
          <w:color w:val="auto"/>
          <w:sz w:val="21"/>
          <w:szCs w:val="21"/>
          <w:u w:val="none"/>
        </w:rPr>
        <w:t xml:space="preserve">, in particular MSSI, and service providers to address the issue of sustainable funding for essential VAWC services. The delays in passing the State Budgets in 2017 and 2018 meant that no progress was possible in terms of advocating for increased percentage of government funding for these services. </w:t>
      </w:r>
    </w:p>
    <w:p w14:paraId="0C81ED4F" w14:textId="77777777" w:rsidR="003F3141" w:rsidRPr="00ED4E65" w:rsidRDefault="003F3141" w:rsidP="00705BD3">
      <w:pPr>
        <w:pStyle w:val="Heading2"/>
      </w:pPr>
      <w:bookmarkStart w:id="174" w:name="_Toc1902724"/>
      <w:bookmarkStart w:id="175" w:name="_Toc1994638"/>
      <w:bookmarkStart w:id="176" w:name="_Toc1999859"/>
      <w:bookmarkStart w:id="177" w:name="_Toc2019677"/>
      <w:r w:rsidRPr="00ED4E65">
        <w:t>Key achievements</w:t>
      </w:r>
      <w:bookmarkEnd w:id="174"/>
      <w:bookmarkEnd w:id="175"/>
      <w:bookmarkEnd w:id="176"/>
      <w:bookmarkEnd w:id="177"/>
    </w:p>
    <w:p w14:paraId="6F79B827" w14:textId="77777777" w:rsidR="003F3141" w:rsidRPr="00CE4A51" w:rsidRDefault="003F3141" w:rsidP="00CE4A51">
      <w:pPr>
        <w:pStyle w:val="ListParagraph"/>
        <w:numPr>
          <w:ilvl w:val="0"/>
          <w:numId w:val="32"/>
        </w:numPr>
        <w:jc w:val="both"/>
        <w:rPr>
          <w:rFonts w:asciiTheme="minorHAnsi" w:hAnsiTheme="minorHAnsi" w:cstheme="minorHAnsi"/>
          <w:b w:val="0"/>
          <w:color w:val="auto"/>
          <w:sz w:val="21"/>
          <w:szCs w:val="21"/>
          <w:u w:val="none"/>
        </w:rPr>
      </w:pPr>
      <w:r w:rsidRPr="00CE4A51">
        <w:rPr>
          <w:rFonts w:asciiTheme="minorHAnsi" w:hAnsiTheme="minorHAnsi" w:cstheme="minorHAnsi"/>
          <w:b w:val="0"/>
          <w:color w:val="auto"/>
          <w:sz w:val="21"/>
          <w:szCs w:val="21"/>
          <w:u w:val="none"/>
        </w:rPr>
        <w:t xml:space="preserve">Nabilan continued to support partners through organisational and institutional strengthening (OIS). All long-standing Nabilan partners continues to show improvement in their OIS assessments. </w:t>
      </w:r>
    </w:p>
    <w:p w14:paraId="2B9AA2CF" w14:textId="6B6A09A3" w:rsidR="003F3141" w:rsidRPr="00CE4A51" w:rsidRDefault="003F3141" w:rsidP="00CE4A51">
      <w:pPr>
        <w:pStyle w:val="ListParagraph"/>
        <w:numPr>
          <w:ilvl w:val="0"/>
          <w:numId w:val="32"/>
        </w:numPr>
        <w:jc w:val="both"/>
        <w:rPr>
          <w:rFonts w:asciiTheme="minorHAnsi" w:hAnsiTheme="minorHAnsi" w:cstheme="minorHAnsi"/>
          <w:b w:val="0"/>
          <w:color w:val="auto"/>
          <w:sz w:val="21"/>
          <w:szCs w:val="21"/>
          <w:u w:val="none"/>
        </w:rPr>
      </w:pPr>
      <w:r w:rsidRPr="00CE4A51">
        <w:rPr>
          <w:rFonts w:asciiTheme="minorHAnsi" w:hAnsiTheme="minorHAnsi" w:cstheme="minorHAnsi"/>
          <w:b w:val="0"/>
          <w:color w:val="auto"/>
          <w:sz w:val="21"/>
          <w:szCs w:val="21"/>
          <w:u w:val="none"/>
        </w:rPr>
        <w:t>Nabilan supported PRADET with advocacy on allocation of government land for Fatin Hakmatek Dili services. As a result, advocacy was taken up on behalf of PRADET by SEII, members of parliament, and the umbrella civil society organisation FONGTIL. The Prime Minister’s Office intervened with the Ministry of Health and there are positive signs that PRADET will be given a long-term government lease on appropriate land to relocate Fatin Hakmatek Dili.</w:t>
      </w:r>
    </w:p>
    <w:p w14:paraId="6664B5BD" w14:textId="77777777" w:rsidR="003F3141" w:rsidRPr="00CE4A51" w:rsidRDefault="003F3141" w:rsidP="00CE4A51">
      <w:pPr>
        <w:pStyle w:val="ListParagraph"/>
        <w:numPr>
          <w:ilvl w:val="0"/>
          <w:numId w:val="32"/>
        </w:numPr>
        <w:jc w:val="both"/>
        <w:rPr>
          <w:rFonts w:asciiTheme="minorHAnsi" w:hAnsiTheme="minorHAnsi" w:cstheme="minorHAnsi"/>
          <w:b w:val="0"/>
          <w:color w:val="auto"/>
          <w:sz w:val="21"/>
          <w:szCs w:val="21"/>
          <w:u w:val="none"/>
        </w:rPr>
      </w:pPr>
      <w:r w:rsidRPr="00CE4A51">
        <w:rPr>
          <w:rFonts w:asciiTheme="minorHAnsi" w:hAnsiTheme="minorHAnsi" w:cstheme="minorHAnsi"/>
          <w:b w:val="0"/>
          <w:color w:val="auto"/>
          <w:sz w:val="21"/>
          <w:szCs w:val="21"/>
          <w:u w:val="none"/>
        </w:rPr>
        <w:t xml:space="preserve">As addressed under KEQ1, Nabilan’s Certificate III in Social Services has created a new social worker profession in Timor and will have lasting impact on service quality. </w:t>
      </w:r>
    </w:p>
    <w:p w14:paraId="409D0BFF" w14:textId="77777777" w:rsidR="003F3141" w:rsidRPr="00CE4A51" w:rsidRDefault="003F3141" w:rsidP="00CE4A51">
      <w:pPr>
        <w:pStyle w:val="ListParagraph"/>
        <w:numPr>
          <w:ilvl w:val="0"/>
          <w:numId w:val="32"/>
        </w:numPr>
        <w:jc w:val="both"/>
        <w:rPr>
          <w:rFonts w:asciiTheme="minorHAnsi" w:hAnsiTheme="minorHAnsi" w:cstheme="minorHAnsi"/>
          <w:b w:val="0"/>
          <w:color w:val="auto"/>
          <w:sz w:val="21"/>
          <w:szCs w:val="21"/>
          <w:u w:val="none"/>
        </w:rPr>
      </w:pPr>
      <w:r w:rsidRPr="00CE4A51">
        <w:rPr>
          <w:rFonts w:asciiTheme="minorHAnsi" w:hAnsiTheme="minorHAnsi" w:cstheme="minorHAnsi"/>
          <w:b w:val="0"/>
          <w:color w:val="auto"/>
          <w:sz w:val="21"/>
          <w:szCs w:val="21"/>
          <w:u w:val="none"/>
        </w:rPr>
        <w:t xml:space="preserve">As addressed under KEQ 2, Nabilan’s work to support a broader social norms change is starting to have impact with leaders, institutions and communities. The alumni from Nabilan’s Certificate III in Social Services course are emerging as strong leaders in the feminist movement. </w:t>
      </w:r>
    </w:p>
    <w:p w14:paraId="63E20489" w14:textId="77777777" w:rsidR="003F3141" w:rsidRPr="00CE4A51" w:rsidRDefault="003F3141" w:rsidP="00CE4A51">
      <w:pPr>
        <w:pStyle w:val="ListParagraph"/>
        <w:numPr>
          <w:ilvl w:val="0"/>
          <w:numId w:val="32"/>
        </w:numPr>
        <w:jc w:val="both"/>
        <w:rPr>
          <w:rFonts w:asciiTheme="minorHAnsi" w:hAnsiTheme="minorHAnsi" w:cstheme="minorHAnsi"/>
          <w:b w:val="0"/>
          <w:color w:val="auto"/>
          <w:sz w:val="21"/>
          <w:szCs w:val="21"/>
          <w:u w:val="none"/>
        </w:rPr>
      </w:pPr>
      <w:r w:rsidRPr="00CE4A51">
        <w:rPr>
          <w:rFonts w:asciiTheme="minorHAnsi" w:hAnsiTheme="minorHAnsi" w:cstheme="minorHAnsi"/>
          <w:b w:val="0"/>
          <w:color w:val="auto"/>
          <w:sz w:val="21"/>
          <w:szCs w:val="21"/>
          <w:u w:val="none"/>
        </w:rPr>
        <w:t xml:space="preserve">Nabilan’s baseline methodology is being used by Plan for their Reference Baseline Study of the Say No to Gender Based Violence in Timor-Leste Project, Year 2018 to 2020 (in Aileu). </w:t>
      </w:r>
    </w:p>
    <w:p w14:paraId="70D4DFDF" w14:textId="77777777" w:rsidR="003F3141" w:rsidRPr="00CE4A51" w:rsidRDefault="003F3141" w:rsidP="00CE4A51">
      <w:pPr>
        <w:pStyle w:val="ListParagraph"/>
        <w:numPr>
          <w:ilvl w:val="0"/>
          <w:numId w:val="32"/>
        </w:numPr>
        <w:jc w:val="both"/>
        <w:rPr>
          <w:rFonts w:asciiTheme="minorHAnsi" w:hAnsiTheme="minorHAnsi" w:cstheme="minorHAnsi"/>
          <w:b w:val="0"/>
          <w:color w:val="auto"/>
          <w:sz w:val="21"/>
          <w:szCs w:val="21"/>
          <w:u w:val="none"/>
        </w:rPr>
      </w:pPr>
      <w:r w:rsidRPr="00CE4A51">
        <w:rPr>
          <w:rFonts w:asciiTheme="minorHAnsi" w:hAnsiTheme="minorHAnsi" w:cstheme="minorHAnsi"/>
          <w:b w:val="0"/>
          <w:color w:val="auto"/>
          <w:sz w:val="21"/>
          <w:szCs w:val="21"/>
          <w:u w:val="none"/>
        </w:rPr>
        <w:t xml:space="preserve">Nabilan and the Australian Embassy held a workshop on a government engagement strategy for Phase II. The strategy will be submitted in 2019. </w:t>
      </w:r>
    </w:p>
    <w:p w14:paraId="50E0E85E" w14:textId="7BCDB47F" w:rsidR="008033FE" w:rsidRDefault="006211B6" w:rsidP="00447313">
      <w:pPr>
        <w:spacing w:line="288" w:lineRule="auto"/>
        <w:jc w:val="both"/>
        <w:rPr>
          <w:rFonts w:asciiTheme="minorHAnsi" w:hAnsiTheme="minorHAnsi" w:cstheme="minorHAnsi"/>
        </w:rPr>
      </w:pPr>
      <w:bookmarkStart w:id="178" w:name="_Toc365456384"/>
      <w:bookmarkStart w:id="179" w:name="_Toc365640177"/>
      <w:bookmarkStart w:id="180" w:name="_Toc365884715"/>
      <w:bookmarkStart w:id="181" w:name="_Toc365884883"/>
      <w:bookmarkStart w:id="182" w:name="_Toc365885099"/>
      <w:bookmarkStart w:id="183" w:name="_Toc365884728"/>
      <w:bookmarkStart w:id="184" w:name="_Toc365884901"/>
      <w:bookmarkEnd w:id="172"/>
      <w:bookmarkEnd w:id="173"/>
      <w:r w:rsidRPr="006211B6">
        <w:rPr>
          <w:rFonts w:asciiTheme="minorHAnsi" w:hAnsiTheme="minorHAnsi" w:cstheme="minorHAnsi"/>
          <w:color w:val="822B6A"/>
          <w:sz w:val="21"/>
          <w:szCs w:val="21"/>
          <w:u w:val="none"/>
        </w:rPr>
        <w:t>Recommendation:</w:t>
      </w:r>
      <w:r>
        <w:rPr>
          <w:rFonts w:asciiTheme="minorHAnsi" w:hAnsiTheme="minorHAnsi" w:cstheme="minorHAnsi"/>
          <w:b w:val="0"/>
          <w:color w:val="822B6A"/>
          <w:sz w:val="21"/>
          <w:szCs w:val="21"/>
          <w:u w:val="none"/>
        </w:rPr>
        <w:t xml:space="preserve"> Develop a government engagement strategy.</w:t>
      </w:r>
    </w:p>
    <w:p w14:paraId="174DF6D8" w14:textId="77777777" w:rsidR="008033FE" w:rsidRDefault="008033FE" w:rsidP="00447313">
      <w:pPr>
        <w:spacing w:line="288" w:lineRule="auto"/>
        <w:jc w:val="both"/>
        <w:rPr>
          <w:rFonts w:asciiTheme="minorHAnsi" w:hAnsiTheme="minorHAnsi" w:cstheme="minorHAnsi"/>
        </w:rPr>
      </w:pPr>
    </w:p>
    <w:p w14:paraId="11155B24" w14:textId="28BBF2A4" w:rsidR="008033FE" w:rsidRDefault="008033FE" w:rsidP="00447313">
      <w:pPr>
        <w:spacing w:line="288" w:lineRule="auto"/>
        <w:jc w:val="both"/>
        <w:rPr>
          <w:rFonts w:asciiTheme="minorHAnsi" w:hAnsiTheme="minorHAnsi" w:cstheme="minorHAnsi"/>
        </w:rPr>
      </w:pPr>
    </w:p>
    <w:p w14:paraId="4D5843A3" w14:textId="77777777" w:rsidR="004F40D8" w:rsidRDefault="004F40D8" w:rsidP="00447313">
      <w:pPr>
        <w:spacing w:line="288" w:lineRule="auto"/>
        <w:jc w:val="both"/>
        <w:rPr>
          <w:rFonts w:asciiTheme="minorHAnsi" w:hAnsiTheme="minorHAnsi" w:cstheme="minorHAnsi"/>
        </w:rPr>
      </w:pPr>
    </w:p>
    <w:p w14:paraId="322A106A" w14:textId="77777777" w:rsidR="008033FE" w:rsidRDefault="008033FE" w:rsidP="00447313">
      <w:pPr>
        <w:spacing w:line="288" w:lineRule="auto"/>
        <w:jc w:val="both"/>
        <w:rPr>
          <w:rFonts w:asciiTheme="minorHAnsi" w:hAnsiTheme="minorHAnsi" w:cstheme="minorHAnsi"/>
        </w:rPr>
      </w:pPr>
    </w:p>
    <w:p w14:paraId="76AB2F4C" w14:textId="2D75C189" w:rsidR="00691795" w:rsidRDefault="00691795" w:rsidP="00447313">
      <w:pPr>
        <w:pStyle w:val="Heading1"/>
      </w:pPr>
      <w:r>
        <w:br w:type="page"/>
      </w:r>
    </w:p>
    <w:p w14:paraId="47112705" w14:textId="7C2C3007" w:rsidR="00691795" w:rsidRPr="00BF4F0F" w:rsidRDefault="00691795" w:rsidP="00691795">
      <w:pPr>
        <w:pStyle w:val="NoHeading1"/>
      </w:pPr>
      <w:bookmarkStart w:id="185" w:name="_Toc1999860"/>
      <w:bookmarkStart w:id="186" w:name="_Toc2019678"/>
      <w:r>
        <w:t>5.</w:t>
      </w:r>
      <w:r w:rsidRPr="00BF4F0F">
        <w:t xml:space="preserve"> </w:t>
      </w:r>
      <w:r>
        <w:t>Learning &amp; Management Responses</w:t>
      </w:r>
      <w:bookmarkEnd w:id="185"/>
      <w:bookmarkEnd w:id="186"/>
    </w:p>
    <w:p w14:paraId="542043B0" w14:textId="5C5B96C9" w:rsidR="007C2D67" w:rsidRDefault="00691795" w:rsidP="00691795">
      <w:pPr>
        <w:spacing w:line="22" w:lineRule="atLeast"/>
        <w:jc w:val="both"/>
        <w:rPr>
          <w:rFonts w:asciiTheme="minorHAnsi" w:hAnsiTheme="minorHAnsi" w:cstheme="minorHAnsi"/>
          <w:b w:val="0"/>
          <w:color w:val="auto"/>
          <w:sz w:val="21"/>
          <w:szCs w:val="21"/>
          <w:u w:val="none"/>
        </w:rPr>
      </w:pPr>
      <w:r>
        <w:rPr>
          <w:rFonts w:asciiTheme="minorHAnsi" w:hAnsiTheme="minorHAnsi" w:cstheme="minorHAnsi"/>
          <w:b w:val="0"/>
          <w:color w:val="auto"/>
          <w:sz w:val="21"/>
          <w:szCs w:val="21"/>
          <w:u w:val="none"/>
        </w:rPr>
        <w:t>We iden</w:t>
      </w:r>
      <w:r w:rsidR="007C2D67">
        <w:rPr>
          <w:rFonts w:asciiTheme="minorHAnsi" w:hAnsiTheme="minorHAnsi" w:cstheme="minorHAnsi"/>
          <w:b w:val="0"/>
          <w:color w:val="auto"/>
          <w:sz w:val="21"/>
          <w:szCs w:val="21"/>
          <w:u w:val="none"/>
        </w:rPr>
        <w:t xml:space="preserve">tified </w:t>
      </w:r>
      <w:r>
        <w:rPr>
          <w:rFonts w:asciiTheme="minorHAnsi" w:hAnsiTheme="minorHAnsi" w:cstheme="minorHAnsi"/>
          <w:b w:val="0"/>
          <w:color w:val="auto"/>
          <w:sz w:val="21"/>
          <w:szCs w:val="21"/>
          <w:u w:val="none"/>
        </w:rPr>
        <w:t xml:space="preserve">the following key </w:t>
      </w:r>
      <w:r w:rsidRPr="00D65FCB">
        <w:rPr>
          <w:rFonts w:asciiTheme="minorHAnsi" w:hAnsiTheme="minorHAnsi" w:cstheme="minorHAnsi"/>
          <w:color w:val="822B6A"/>
          <w:sz w:val="21"/>
          <w:szCs w:val="21"/>
          <w:u w:val="none"/>
        </w:rPr>
        <w:t>learnings</w:t>
      </w:r>
      <w:r>
        <w:rPr>
          <w:rFonts w:asciiTheme="minorHAnsi" w:hAnsiTheme="minorHAnsi" w:cstheme="minorHAnsi"/>
          <w:b w:val="0"/>
          <w:color w:val="auto"/>
          <w:sz w:val="21"/>
          <w:szCs w:val="21"/>
          <w:u w:val="none"/>
        </w:rPr>
        <w:t xml:space="preserve"> from 2018</w:t>
      </w:r>
      <w:r w:rsidR="007C2D67">
        <w:rPr>
          <w:rFonts w:asciiTheme="minorHAnsi" w:hAnsiTheme="minorHAnsi" w:cstheme="minorHAnsi"/>
          <w:b w:val="0"/>
          <w:color w:val="auto"/>
          <w:sz w:val="21"/>
          <w:szCs w:val="21"/>
          <w:u w:val="none"/>
        </w:rPr>
        <w:t>.</w:t>
      </w:r>
    </w:p>
    <w:p w14:paraId="6275E8C3" w14:textId="1BC27989" w:rsidR="007C2D67" w:rsidRPr="009C0914" w:rsidRDefault="007C2D67" w:rsidP="007C2D67">
      <w:pPr>
        <w:pStyle w:val="ListParagraph"/>
        <w:numPr>
          <w:ilvl w:val="0"/>
          <w:numId w:val="32"/>
        </w:numPr>
        <w:jc w:val="both"/>
        <w:rPr>
          <w:rFonts w:asciiTheme="minorHAnsi" w:hAnsiTheme="minorHAnsi" w:cstheme="minorHAnsi"/>
          <w:b w:val="0"/>
          <w:color w:val="auto"/>
          <w:sz w:val="21"/>
          <w:szCs w:val="21"/>
          <w:u w:val="none"/>
        </w:rPr>
      </w:pPr>
      <w:r w:rsidRPr="009C0914">
        <w:rPr>
          <w:rFonts w:asciiTheme="minorHAnsi" w:hAnsiTheme="minorHAnsi" w:cstheme="minorHAnsi"/>
          <w:b w:val="0"/>
          <w:color w:val="auto"/>
          <w:sz w:val="21"/>
          <w:szCs w:val="21"/>
          <w:u w:val="none"/>
        </w:rPr>
        <w:t xml:space="preserve">While client and services numbers were expected to hold steady compared with 2017, there was continuing increase in both numbers. Services partners are operating at beyond maximum capacity. </w:t>
      </w:r>
      <w:r w:rsidR="00C50F0F" w:rsidRPr="009C0914">
        <w:rPr>
          <w:rFonts w:asciiTheme="minorHAnsi" w:hAnsiTheme="minorHAnsi" w:cstheme="minorHAnsi"/>
          <w:b w:val="0"/>
          <w:color w:val="auto"/>
          <w:sz w:val="21"/>
          <w:szCs w:val="21"/>
          <w:u w:val="none"/>
        </w:rPr>
        <w:t>Stress on service providers will be monitored going forward.</w:t>
      </w:r>
    </w:p>
    <w:p w14:paraId="632AD418" w14:textId="54930B47" w:rsidR="007C2D67" w:rsidRPr="009C0914" w:rsidRDefault="007C2D67" w:rsidP="007C2D67">
      <w:pPr>
        <w:pStyle w:val="ListParagraph"/>
        <w:numPr>
          <w:ilvl w:val="0"/>
          <w:numId w:val="32"/>
        </w:numPr>
        <w:jc w:val="both"/>
        <w:rPr>
          <w:rFonts w:asciiTheme="minorHAnsi" w:hAnsiTheme="minorHAnsi" w:cstheme="minorHAnsi"/>
          <w:b w:val="0"/>
          <w:color w:val="auto"/>
          <w:sz w:val="21"/>
          <w:szCs w:val="21"/>
          <w:u w:val="none"/>
        </w:rPr>
      </w:pPr>
      <w:r w:rsidRPr="009C0914">
        <w:rPr>
          <w:rFonts w:asciiTheme="minorHAnsi" w:hAnsiTheme="minorHAnsi" w:cstheme="minorHAnsi"/>
          <w:b w:val="0"/>
          <w:color w:val="auto"/>
          <w:sz w:val="21"/>
          <w:szCs w:val="21"/>
          <w:u w:val="none"/>
        </w:rPr>
        <w:t>Nabilan continues to contribute to quality training. Demand for Nabilan-supported training, particularly the Certificate III in Social Services training, remains high.</w:t>
      </w:r>
      <w:r w:rsidR="00C50F0F" w:rsidRPr="009C0914">
        <w:rPr>
          <w:rFonts w:asciiTheme="minorHAnsi" w:hAnsiTheme="minorHAnsi" w:cstheme="minorHAnsi"/>
          <w:b w:val="0"/>
          <w:color w:val="auto"/>
          <w:sz w:val="21"/>
          <w:szCs w:val="21"/>
          <w:u w:val="none"/>
        </w:rPr>
        <w:t xml:space="preserve"> Nabilan will </w:t>
      </w:r>
      <w:r w:rsidR="001F2178" w:rsidRPr="009C0914">
        <w:rPr>
          <w:rFonts w:asciiTheme="minorHAnsi" w:hAnsiTheme="minorHAnsi" w:cstheme="minorHAnsi"/>
          <w:b w:val="0"/>
          <w:color w:val="auto"/>
          <w:sz w:val="21"/>
          <w:szCs w:val="21"/>
          <w:u w:val="none"/>
        </w:rPr>
        <w:t xml:space="preserve">remain </w:t>
      </w:r>
      <w:r w:rsidR="00C50F0F" w:rsidRPr="009C0914">
        <w:rPr>
          <w:rFonts w:asciiTheme="minorHAnsi" w:hAnsiTheme="minorHAnsi" w:cstheme="minorHAnsi"/>
          <w:b w:val="0"/>
          <w:color w:val="auto"/>
          <w:sz w:val="21"/>
          <w:szCs w:val="21"/>
          <w:u w:val="none"/>
        </w:rPr>
        <w:t>responsive to demand.</w:t>
      </w:r>
    </w:p>
    <w:p w14:paraId="78FD535F" w14:textId="5F9DC1D2" w:rsidR="007C2D67" w:rsidRPr="009C0914" w:rsidRDefault="007C2D67" w:rsidP="007C2D67">
      <w:pPr>
        <w:pStyle w:val="ListParagraph"/>
        <w:numPr>
          <w:ilvl w:val="0"/>
          <w:numId w:val="32"/>
        </w:numPr>
        <w:jc w:val="both"/>
        <w:rPr>
          <w:rFonts w:asciiTheme="minorHAnsi" w:hAnsiTheme="minorHAnsi" w:cstheme="minorHAnsi"/>
          <w:b w:val="0"/>
          <w:color w:val="auto"/>
          <w:sz w:val="21"/>
          <w:szCs w:val="21"/>
          <w:u w:val="none"/>
        </w:rPr>
      </w:pPr>
      <w:r w:rsidRPr="009C0914">
        <w:rPr>
          <w:rFonts w:asciiTheme="minorHAnsi" w:hAnsiTheme="minorHAnsi" w:cstheme="minorHAnsi"/>
          <w:b w:val="0"/>
          <w:color w:val="auto"/>
          <w:sz w:val="21"/>
          <w:szCs w:val="21"/>
          <w:u w:val="none"/>
        </w:rPr>
        <w:t>Nabilan’s investment in the Certificate III in Social Services course had</w:t>
      </w:r>
      <w:r w:rsidR="00D65FCB" w:rsidRPr="009C0914">
        <w:rPr>
          <w:rFonts w:asciiTheme="minorHAnsi" w:hAnsiTheme="minorHAnsi" w:cstheme="minorHAnsi"/>
          <w:b w:val="0"/>
          <w:color w:val="auto"/>
          <w:sz w:val="21"/>
          <w:szCs w:val="21"/>
          <w:u w:val="none"/>
        </w:rPr>
        <w:t xml:space="preserve"> an</w:t>
      </w:r>
      <w:r w:rsidRPr="009C0914">
        <w:rPr>
          <w:rFonts w:asciiTheme="minorHAnsi" w:hAnsiTheme="minorHAnsi" w:cstheme="minorHAnsi"/>
          <w:b w:val="0"/>
          <w:color w:val="auto"/>
          <w:sz w:val="21"/>
          <w:szCs w:val="21"/>
          <w:u w:val="none"/>
        </w:rPr>
        <w:t xml:space="preserve"> unexpected positive impact on the growing feminist movement in Timor-Leste. Alumni of the course are the most active leaders in this movement, strengthened by the knowledge and networks formed during the course. </w:t>
      </w:r>
    </w:p>
    <w:p w14:paraId="0F584620" w14:textId="6EB20A62" w:rsidR="007C2D67" w:rsidRPr="009C0914" w:rsidRDefault="007C2D67" w:rsidP="007C2D67">
      <w:pPr>
        <w:pStyle w:val="ListParagraph"/>
        <w:numPr>
          <w:ilvl w:val="0"/>
          <w:numId w:val="32"/>
        </w:numPr>
        <w:jc w:val="both"/>
        <w:rPr>
          <w:rFonts w:asciiTheme="minorHAnsi" w:hAnsiTheme="minorHAnsi" w:cstheme="minorHAnsi"/>
          <w:b w:val="0"/>
          <w:color w:val="auto"/>
          <w:sz w:val="21"/>
          <w:szCs w:val="21"/>
          <w:u w:val="none"/>
        </w:rPr>
      </w:pPr>
      <w:r w:rsidRPr="009C0914">
        <w:rPr>
          <w:rFonts w:asciiTheme="minorHAnsi" w:hAnsiTheme="minorHAnsi" w:cstheme="minorHAnsi"/>
          <w:b w:val="0"/>
          <w:color w:val="auto"/>
          <w:sz w:val="21"/>
          <w:szCs w:val="21"/>
          <w:u w:val="none"/>
        </w:rPr>
        <w:t xml:space="preserve">Nabilan’s support for </w:t>
      </w:r>
      <w:r w:rsidRPr="009C0914">
        <w:rPr>
          <w:rFonts w:asciiTheme="minorHAnsi" w:hAnsiTheme="minorHAnsi" w:cstheme="minorHAnsi"/>
          <w:b w:val="0"/>
          <w:i/>
          <w:color w:val="auto"/>
          <w:sz w:val="21"/>
          <w:szCs w:val="21"/>
          <w:u w:val="none"/>
        </w:rPr>
        <w:t>Grupu Feminista</w:t>
      </w:r>
      <w:r w:rsidRPr="009C0914">
        <w:rPr>
          <w:rFonts w:asciiTheme="minorHAnsi" w:hAnsiTheme="minorHAnsi" w:cstheme="minorHAnsi"/>
          <w:b w:val="0"/>
          <w:color w:val="auto"/>
          <w:sz w:val="21"/>
          <w:szCs w:val="21"/>
          <w:u w:val="none"/>
        </w:rPr>
        <w:t xml:space="preserve"> and other leaders is having </w:t>
      </w:r>
      <w:r w:rsidR="00D65FCB" w:rsidRPr="009C0914">
        <w:rPr>
          <w:rFonts w:asciiTheme="minorHAnsi" w:hAnsiTheme="minorHAnsi" w:cstheme="minorHAnsi"/>
          <w:b w:val="0"/>
          <w:color w:val="auto"/>
          <w:sz w:val="21"/>
          <w:szCs w:val="21"/>
          <w:u w:val="none"/>
        </w:rPr>
        <w:t xml:space="preserve">a </w:t>
      </w:r>
      <w:r w:rsidR="00C50F0F" w:rsidRPr="009C0914">
        <w:rPr>
          <w:rFonts w:asciiTheme="minorHAnsi" w:hAnsiTheme="minorHAnsi" w:cstheme="minorHAnsi"/>
          <w:b w:val="0"/>
          <w:color w:val="auto"/>
          <w:sz w:val="21"/>
          <w:szCs w:val="21"/>
          <w:u w:val="none"/>
        </w:rPr>
        <w:t xml:space="preserve">noticeable </w:t>
      </w:r>
      <w:r w:rsidRPr="009C0914">
        <w:rPr>
          <w:rFonts w:asciiTheme="minorHAnsi" w:hAnsiTheme="minorHAnsi" w:cstheme="minorHAnsi"/>
          <w:b w:val="0"/>
          <w:color w:val="auto"/>
          <w:sz w:val="21"/>
          <w:szCs w:val="21"/>
          <w:u w:val="none"/>
        </w:rPr>
        <w:t xml:space="preserve">impact, with minimal direct resourcing. </w:t>
      </w:r>
    </w:p>
    <w:p w14:paraId="2E9E46F7" w14:textId="2CC2E93A" w:rsidR="006211B6" w:rsidRPr="009C0914" w:rsidRDefault="006211B6" w:rsidP="006211B6">
      <w:pPr>
        <w:jc w:val="both"/>
        <w:rPr>
          <w:rFonts w:asciiTheme="minorHAnsi" w:hAnsiTheme="minorHAnsi" w:cstheme="minorHAnsi"/>
          <w:b w:val="0"/>
          <w:color w:val="auto"/>
          <w:sz w:val="21"/>
          <w:szCs w:val="21"/>
          <w:u w:val="none"/>
        </w:rPr>
      </w:pPr>
      <w:r w:rsidRPr="009C0914">
        <w:rPr>
          <w:rFonts w:asciiTheme="minorHAnsi" w:hAnsiTheme="minorHAnsi" w:cstheme="minorHAnsi"/>
          <w:b w:val="0"/>
          <w:color w:val="auto"/>
          <w:sz w:val="21"/>
          <w:szCs w:val="21"/>
          <w:u w:val="none"/>
        </w:rPr>
        <w:t xml:space="preserve">The </w:t>
      </w:r>
      <w:r w:rsidRPr="009C0914">
        <w:rPr>
          <w:rFonts w:asciiTheme="minorHAnsi" w:hAnsiTheme="minorHAnsi" w:cstheme="minorHAnsi"/>
          <w:color w:val="822B6A"/>
          <w:sz w:val="21"/>
          <w:szCs w:val="21"/>
          <w:u w:val="none"/>
        </w:rPr>
        <w:t>recommendations</w:t>
      </w:r>
      <w:r w:rsidRPr="009C0914">
        <w:rPr>
          <w:rFonts w:asciiTheme="minorHAnsi" w:hAnsiTheme="minorHAnsi" w:cstheme="minorHAnsi"/>
          <w:b w:val="0"/>
          <w:color w:val="auto"/>
          <w:sz w:val="21"/>
          <w:szCs w:val="21"/>
          <w:u w:val="none"/>
        </w:rPr>
        <w:t xml:space="preserve"> </w:t>
      </w:r>
      <w:r w:rsidR="00D65FCB" w:rsidRPr="009C0914">
        <w:rPr>
          <w:rFonts w:asciiTheme="minorHAnsi" w:hAnsiTheme="minorHAnsi" w:cstheme="minorHAnsi"/>
          <w:b w:val="0"/>
          <w:color w:val="auto"/>
          <w:sz w:val="21"/>
          <w:szCs w:val="21"/>
          <w:u w:val="none"/>
        </w:rPr>
        <w:t xml:space="preserve">from this report </w:t>
      </w:r>
      <w:r w:rsidRPr="009C0914">
        <w:rPr>
          <w:rFonts w:asciiTheme="minorHAnsi" w:hAnsiTheme="minorHAnsi" w:cstheme="minorHAnsi"/>
          <w:b w:val="0"/>
          <w:color w:val="auto"/>
          <w:sz w:val="21"/>
          <w:szCs w:val="21"/>
          <w:u w:val="none"/>
        </w:rPr>
        <w:t>are as follows:</w:t>
      </w:r>
    </w:p>
    <w:p w14:paraId="55B14533" w14:textId="3BFD52E4" w:rsidR="00D65FCB" w:rsidRPr="009C0914" w:rsidRDefault="00D65FCB" w:rsidP="00D65FCB">
      <w:pPr>
        <w:pStyle w:val="ListParagraph"/>
        <w:numPr>
          <w:ilvl w:val="0"/>
          <w:numId w:val="32"/>
        </w:numPr>
        <w:jc w:val="both"/>
        <w:rPr>
          <w:rFonts w:asciiTheme="minorHAnsi" w:hAnsiTheme="minorHAnsi" w:cstheme="minorHAnsi"/>
          <w:b w:val="0"/>
          <w:color w:val="auto"/>
          <w:sz w:val="21"/>
          <w:szCs w:val="21"/>
          <w:u w:val="none"/>
        </w:rPr>
      </w:pPr>
      <w:r w:rsidRPr="009C0914">
        <w:rPr>
          <w:rFonts w:asciiTheme="minorHAnsi" w:hAnsiTheme="minorHAnsi" w:cstheme="minorHAnsi"/>
          <w:b w:val="0"/>
          <w:color w:val="auto"/>
          <w:sz w:val="21"/>
          <w:szCs w:val="21"/>
          <w:u w:val="none"/>
        </w:rPr>
        <w:t>Develop monitoring tools</w:t>
      </w:r>
      <w:r w:rsidR="00C50F0F" w:rsidRPr="009C0914">
        <w:rPr>
          <w:rFonts w:asciiTheme="minorHAnsi" w:hAnsiTheme="minorHAnsi" w:cstheme="minorHAnsi"/>
          <w:b w:val="0"/>
          <w:color w:val="auto"/>
          <w:sz w:val="21"/>
          <w:szCs w:val="21"/>
          <w:u w:val="none"/>
        </w:rPr>
        <w:t xml:space="preserve"> within the first six months</w:t>
      </w:r>
      <w:r w:rsidRPr="009C0914">
        <w:rPr>
          <w:rFonts w:asciiTheme="minorHAnsi" w:hAnsiTheme="minorHAnsi" w:cstheme="minorHAnsi"/>
          <w:b w:val="0"/>
          <w:color w:val="auto"/>
          <w:sz w:val="21"/>
          <w:szCs w:val="21"/>
          <w:u w:val="none"/>
        </w:rPr>
        <w:t xml:space="preserve"> </w:t>
      </w:r>
      <w:r w:rsidR="00C50F0F" w:rsidRPr="009C0914">
        <w:rPr>
          <w:rFonts w:asciiTheme="minorHAnsi" w:hAnsiTheme="minorHAnsi" w:cstheme="minorHAnsi"/>
          <w:b w:val="0"/>
          <w:color w:val="auto"/>
          <w:sz w:val="21"/>
          <w:szCs w:val="21"/>
          <w:u w:val="none"/>
        </w:rPr>
        <w:t xml:space="preserve">of 2019 </w:t>
      </w:r>
      <w:r w:rsidRPr="009C0914">
        <w:rPr>
          <w:rFonts w:asciiTheme="minorHAnsi" w:hAnsiTheme="minorHAnsi" w:cstheme="minorHAnsi"/>
          <w:b w:val="0"/>
          <w:color w:val="auto"/>
          <w:sz w:val="21"/>
          <w:szCs w:val="21"/>
          <w:u w:val="none"/>
        </w:rPr>
        <w:t>to better assess impact of Nabilan supported training and 4R training, including post-training survey tool, and routine pre- and post-training assessments. Update the medical forensic protocol and continue supporting refresher training for examiners.</w:t>
      </w:r>
      <w:r w:rsidR="00C50F0F" w:rsidRPr="009C0914">
        <w:rPr>
          <w:rFonts w:asciiTheme="minorHAnsi" w:hAnsiTheme="minorHAnsi" w:cstheme="minorHAnsi"/>
          <w:b w:val="0"/>
          <w:color w:val="auto"/>
          <w:sz w:val="21"/>
          <w:szCs w:val="21"/>
          <w:u w:val="none"/>
        </w:rPr>
        <w:t xml:space="preserve"> Nabilan will work with the M&amp;E Adviser and M&amp;E House as required. </w:t>
      </w:r>
    </w:p>
    <w:p w14:paraId="0CB88DF2" w14:textId="47B84CEF" w:rsidR="00D65FCB" w:rsidRPr="009C0914" w:rsidRDefault="00D65FCB" w:rsidP="00D65FCB">
      <w:pPr>
        <w:pStyle w:val="ListParagraph"/>
        <w:numPr>
          <w:ilvl w:val="0"/>
          <w:numId w:val="32"/>
        </w:numPr>
        <w:jc w:val="both"/>
        <w:rPr>
          <w:rFonts w:asciiTheme="minorHAnsi" w:hAnsiTheme="minorHAnsi" w:cstheme="minorHAnsi"/>
          <w:b w:val="0"/>
          <w:color w:val="auto"/>
          <w:sz w:val="21"/>
          <w:szCs w:val="21"/>
          <w:u w:val="none"/>
        </w:rPr>
      </w:pPr>
      <w:r w:rsidRPr="009C0914">
        <w:rPr>
          <w:rFonts w:asciiTheme="minorHAnsi" w:hAnsiTheme="minorHAnsi" w:cstheme="minorHAnsi"/>
          <w:b w:val="0"/>
          <w:color w:val="auto"/>
          <w:sz w:val="21"/>
          <w:szCs w:val="21"/>
          <w:u w:val="none"/>
        </w:rPr>
        <w:t>Continue to support service providers to improve their case management, with a particular emphasis on FOKUPERS</w:t>
      </w:r>
      <w:r w:rsidR="001F2178" w:rsidRPr="009C0914">
        <w:rPr>
          <w:rFonts w:asciiTheme="minorHAnsi" w:hAnsiTheme="minorHAnsi" w:cstheme="minorHAnsi"/>
          <w:b w:val="0"/>
          <w:color w:val="auto"/>
          <w:sz w:val="21"/>
          <w:szCs w:val="21"/>
          <w:u w:val="none"/>
        </w:rPr>
        <w:t xml:space="preserve"> in 2019</w:t>
      </w:r>
      <w:r w:rsidRPr="009C0914">
        <w:rPr>
          <w:rFonts w:asciiTheme="minorHAnsi" w:hAnsiTheme="minorHAnsi" w:cstheme="minorHAnsi"/>
          <w:b w:val="0"/>
          <w:color w:val="auto"/>
          <w:sz w:val="21"/>
          <w:szCs w:val="21"/>
          <w:u w:val="none"/>
        </w:rPr>
        <w:t>.</w:t>
      </w:r>
      <w:r w:rsidR="00234014" w:rsidRPr="009C0914">
        <w:rPr>
          <w:rFonts w:asciiTheme="minorHAnsi" w:hAnsiTheme="minorHAnsi" w:cstheme="minorHAnsi"/>
          <w:b w:val="0"/>
          <w:color w:val="auto"/>
          <w:sz w:val="21"/>
          <w:szCs w:val="21"/>
          <w:u w:val="none"/>
        </w:rPr>
        <w:t xml:space="preserve"> Nabilan’s Services Manager will lead this work.</w:t>
      </w:r>
    </w:p>
    <w:p w14:paraId="1F2A3D48" w14:textId="596F6D86" w:rsidR="00D65FCB" w:rsidRPr="009C0914" w:rsidRDefault="00D65FCB" w:rsidP="00D65FCB">
      <w:pPr>
        <w:pStyle w:val="ListParagraph"/>
        <w:numPr>
          <w:ilvl w:val="0"/>
          <w:numId w:val="32"/>
        </w:numPr>
        <w:jc w:val="both"/>
        <w:rPr>
          <w:rFonts w:asciiTheme="minorHAnsi" w:hAnsiTheme="minorHAnsi" w:cstheme="minorHAnsi"/>
          <w:b w:val="0"/>
          <w:color w:val="auto"/>
          <w:sz w:val="21"/>
          <w:szCs w:val="21"/>
          <w:u w:val="none"/>
        </w:rPr>
      </w:pPr>
      <w:r w:rsidRPr="009C0914">
        <w:rPr>
          <w:rFonts w:asciiTheme="minorHAnsi" w:hAnsiTheme="minorHAnsi" w:cstheme="minorHAnsi"/>
          <w:b w:val="0"/>
          <w:color w:val="auto"/>
          <w:sz w:val="21"/>
          <w:szCs w:val="21"/>
          <w:u w:val="none"/>
        </w:rPr>
        <w:t>Support partners to use WGQ during client intake - this will take training and support, and should be delivered in coordination with DPOs.</w:t>
      </w:r>
      <w:r w:rsidR="00234014" w:rsidRPr="009C0914">
        <w:rPr>
          <w:rFonts w:asciiTheme="minorHAnsi" w:hAnsiTheme="minorHAnsi" w:cstheme="minorHAnsi"/>
          <w:b w:val="0"/>
          <w:color w:val="auto"/>
          <w:sz w:val="21"/>
          <w:szCs w:val="21"/>
          <w:u w:val="none"/>
        </w:rPr>
        <w:t xml:space="preserve"> Nabilan’s Partnerships Manager will work with partners and ADTL to implement this recommendation throughout 2019.</w:t>
      </w:r>
    </w:p>
    <w:p w14:paraId="327DA7C2" w14:textId="58BD809F" w:rsidR="00D65FCB" w:rsidRPr="009C0914" w:rsidRDefault="00D65FCB" w:rsidP="00D65FCB">
      <w:pPr>
        <w:pStyle w:val="ListParagraph"/>
        <w:numPr>
          <w:ilvl w:val="0"/>
          <w:numId w:val="32"/>
        </w:numPr>
        <w:jc w:val="both"/>
        <w:rPr>
          <w:rFonts w:asciiTheme="minorHAnsi" w:hAnsiTheme="minorHAnsi" w:cstheme="minorHAnsi"/>
          <w:b w:val="0"/>
          <w:color w:val="auto"/>
          <w:sz w:val="21"/>
          <w:szCs w:val="21"/>
          <w:u w:val="none"/>
        </w:rPr>
      </w:pPr>
      <w:r w:rsidRPr="009C0914">
        <w:rPr>
          <w:rFonts w:asciiTheme="minorHAnsi" w:hAnsiTheme="minorHAnsi" w:cstheme="minorHAnsi"/>
          <w:b w:val="0"/>
          <w:color w:val="auto"/>
          <w:sz w:val="21"/>
          <w:szCs w:val="21"/>
          <w:u w:val="none"/>
        </w:rPr>
        <w:t>Work with ALFeLa and FOKUPERS to improve referral data, including possible update to ALFeLa’s case management database</w:t>
      </w:r>
      <w:r w:rsidR="00234014" w:rsidRPr="009C0914">
        <w:rPr>
          <w:rFonts w:asciiTheme="minorHAnsi" w:hAnsiTheme="minorHAnsi" w:cstheme="minorHAnsi"/>
          <w:b w:val="0"/>
          <w:color w:val="auto"/>
          <w:sz w:val="21"/>
          <w:szCs w:val="21"/>
          <w:u w:val="none"/>
        </w:rPr>
        <w:t xml:space="preserve"> in the second half of 2019</w:t>
      </w:r>
      <w:r w:rsidRPr="009C0914">
        <w:rPr>
          <w:rFonts w:asciiTheme="minorHAnsi" w:hAnsiTheme="minorHAnsi" w:cstheme="minorHAnsi"/>
          <w:b w:val="0"/>
          <w:color w:val="auto"/>
          <w:sz w:val="21"/>
          <w:szCs w:val="21"/>
          <w:u w:val="none"/>
        </w:rPr>
        <w:t>.</w:t>
      </w:r>
      <w:r w:rsidR="00234014" w:rsidRPr="009C0914">
        <w:rPr>
          <w:rFonts w:asciiTheme="minorHAnsi" w:hAnsiTheme="minorHAnsi" w:cstheme="minorHAnsi"/>
          <w:b w:val="0"/>
          <w:color w:val="auto"/>
          <w:sz w:val="21"/>
          <w:szCs w:val="21"/>
          <w:u w:val="none"/>
        </w:rPr>
        <w:t xml:space="preserve"> Nabilan’s Services Manager will lead this work.</w:t>
      </w:r>
    </w:p>
    <w:p w14:paraId="19998496" w14:textId="4731D7AA" w:rsidR="00D65FCB" w:rsidRPr="009C0914" w:rsidRDefault="00D65FCB" w:rsidP="00D65FCB">
      <w:pPr>
        <w:pStyle w:val="ListParagraph"/>
        <w:numPr>
          <w:ilvl w:val="0"/>
          <w:numId w:val="32"/>
        </w:numPr>
        <w:jc w:val="both"/>
        <w:rPr>
          <w:rFonts w:asciiTheme="minorHAnsi" w:hAnsiTheme="minorHAnsi" w:cstheme="minorHAnsi"/>
          <w:b w:val="0"/>
          <w:color w:val="auto"/>
          <w:sz w:val="21"/>
          <w:szCs w:val="21"/>
          <w:u w:val="none"/>
        </w:rPr>
      </w:pPr>
      <w:r w:rsidRPr="009C0914">
        <w:rPr>
          <w:rFonts w:asciiTheme="minorHAnsi" w:hAnsiTheme="minorHAnsi" w:cstheme="minorHAnsi"/>
          <w:b w:val="0"/>
          <w:color w:val="auto"/>
          <w:sz w:val="21"/>
          <w:szCs w:val="21"/>
          <w:u w:val="none"/>
        </w:rPr>
        <w:t>Review Nabilan’s programming in the justice sector, particularly the balance between JSMP’s court monitoring work versus its advocacy work. A change in advocacy goals should be considered, for example moving away from the focus on charging and sentencing, and more on practical monitoring mechanisms for those on suspended sentences.</w:t>
      </w:r>
      <w:r w:rsidR="00234014" w:rsidRPr="009C0914">
        <w:rPr>
          <w:rFonts w:asciiTheme="minorHAnsi" w:hAnsiTheme="minorHAnsi" w:cstheme="minorHAnsi"/>
          <w:b w:val="0"/>
          <w:color w:val="auto"/>
          <w:sz w:val="21"/>
          <w:szCs w:val="21"/>
          <w:u w:val="none"/>
        </w:rPr>
        <w:t xml:space="preserve"> The Nabilan Team Leader will undertake this review with JSMP and other partners in the first six months of 2019.</w:t>
      </w:r>
    </w:p>
    <w:p w14:paraId="55879100" w14:textId="72990B39" w:rsidR="00C54E9D" w:rsidRPr="009C0914" w:rsidRDefault="00D65FCB" w:rsidP="00C54E9D">
      <w:pPr>
        <w:pStyle w:val="ListParagraph"/>
        <w:numPr>
          <w:ilvl w:val="0"/>
          <w:numId w:val="32"/>
        </w:numPr>
        <w:jc w:val="both"/>
        <w:rPr>
          <w:rFonts w:asciiTheme="minorHAnsi" w:hAnsiTheme="minorHAnsi" w:cstheme="minorHAnsi"/>
          <w:b w:val="0"/>
          <w:color w:val="auto"/>
          <w:sz w:val="21"/>
          <w:szCs w:val="21"/>
          <w:u w:val="none"/>
        </w:rPr>
      </w:pPr>
      <w:r w:rsidRPr="009C0914">
        <w:rPr>
          <w:rFonts w:asciiTheme="minorHAnsi" w:hAnsiTheme="minorHAnsi" w:cstheme="minorHAnsi"/>
          <w:b w:val="0"/>
          <w:color w:val="auto"/>
          <w:sz w:val="21"/>
          <w:szCs w:val="21"/>
          <w:u w:val="none"/>
        </w:rPr>
        <w:t xml:space="preserve">Finish adaptation/translation of </w:t>
      </w:r>
      <w:r w:rsidR="001F2178" w:rsidRPr="009C0914">
        <w:rPr>
          <w:rFonts w:asciiTheme="minorHAnsi" w:hAnsiTheme="minorHAnsi" w:cstheme="minorHAnsi"/>
          <w:b w:val="0"/>
          <w:color w:val="auto"/>
          <w:sz w:val="21"/>
          <w:szCs w:val="21"/>
          <w:u w:val="none"/>
        </w:rPr>
        <w:t xml:space="preserve">the </w:t>
      </w:r>
      <w:r w:rsidRPr="009C0914">
        <w:rPr>
          <w:rFonts w:asciiTheme="minorHAnsi" w:hAnsiTheme="minorHAnsi" w:cstheme="minorHAnsi"/>
          <w:b w:val="0"/>
          <w:color w:val="auto"/>
          <w:sz w:val="21"/>
          <w:szCs w:val="21"/>
          <w:u w:val="none"/>
        </w:rPr>
        <w:t>SASA! toolkit</w:t>
      </w:r>
      <w:r w:rsidR="00C54E9D" w:rsidRPr="009C0914">
        <w:rPr>
          <w:rFonts w:asciiTheme="minorHAnsi" w:hAnsiTheme="minorHAnsi" w:cstheme="minorHAnsi"/>
          <w:b w:val="0"/>
          <w:color w:val="auto"/>
          <w:sz w:val="21"/>
          <w:szCs w:val="21"/>
          <w:u w:val="none"/>
        </w:rPr>
        <w:t xml:space="preserve"> and clearly define the knowledge to policy strategy for KOKSA!. </w:t>
      </w:r>
      <w:r w:rsidR="00234014" w:rsidRPr="009C0914">
        <w:rPr>
          <w:rFonts w:asciiTheme="minorHAnsi" w:hAnsiTheme="minorHAnsi" w:cstheme="minorHAnsi"/>
          <w:b w:val="0"/>
          <w:color w:val="auto"/>
          <w:sz w:val="21"/>
          <w:szCs w:val="21"/>
          <w:u w:val="none"/>
        </w:rPr>
        <w:t xml:space="preserve">Nabilan’s Social Norms Change Adviser will work with external experts </w:t>
      </w:r>
      <w:r w:rsidR="001F2178" w:rsidRPr="009C0914">
        <w:rPr>
          <w:rFonts w:asciiTheme="minorHAnsi" w:hAnsiTheme="minorHAnsi" w:cstheme="minorHAnsi"/>
          <w:b w:val="0"/>
          <w:color w:val="auto"/>
          <w:sz w:val="21"/>
          <w:szCs w:val="21"/>
          <w:u w:val="none"/>
        </w:rPr>
        <w:t xml:space="preserve">in the second half of </w:t>
      </w:r>
      <w:r w:rsidR="00234014" w:rsidRPr="009C0914">
        <w:rPr>
          <w:rFonts w:asciiTheme="minorHAnsi" w:hAnsiTheme="minorHAnsi" w:cstheme="minorHAnsi"/>
          <w:b w:val="0"/>
          <w:color w:val="auto"/>
          <w:sz w:val="21"/>
          <w:szCs w:val="21"/>
          <w:u w:val="none"/>
        </w:rPr>
        <w:t>2019</w:t>
      </w:r>
      <w:r w:rsidR="001F2178" w:rsidRPr="009C0914">
        <w:rPr>
          <w:rFonts w:asciiTheme="minorHAnsi" w:hAnsiTheme="minorHAnsi" w:cstheme="minorHAnsi"/>
          <w:b w:val="0"/>
          <w:color w:val="auto"/>
          <w:sz w:val="21"/>
          <w:szCs w:val="21"/>
          <w:u w:val="none"/>
        </w:rPr>
        <w:t xml:space="preserve"> to finalise this strategy</w:t>
      </w:r>
      <w:r w:rsidR="00234014" w:rsidRPr="009C0914">
        <w:rPr>
          <w:rFonts w:asciiTheme="minorHAnsi" w:hAnsiTheme="minorHAnsi" w:cstheme="minorHAnsi"/>
          <w:b w:val="0"/>
          <w:color w:val="auto"/>
          <w:sz w:val="21"/>
          <w:szCs w:val="21"/>
          <w:u w:val="none"/>
        </w:rPr>
        <w:t>.</w:t>
      </w:r>
    </w:p>
    <w:p w14:paraId="1DCEBFCF" w14:textId="77777777" w:rsidR="00D65FCB" w:rsidRPr="009C0914" w:rsidRDefault="00D65FCB" w:rsidP="00D65FCB">
      <w:pPr>
        <w:pStyle w:val="ListParagraph"/>
        <w:numPr>
          <w:ilvl w:val="0"/>
          <w:numId w:val="32"/>
        </w:numPr>
        <w:jc w:val="both"/>
        <w:rPr>
          <w:rFonts w:asciiTheme="minorHAnsi" w:hAnsiTheme="minorHAnsi" w:cstheme="minorHAnsi"/>
          <w:b w:val="0"/>
          <w:color w:val="auto"/>
          <w:sz w:val="21"/>
          <w:szCs w:val="21"/>
          <w:u w:val="none"/>
        </w:rPr>
      </w:pPr>
      <w:r w:rsidRPr="009C0914">
        <w:rPr>
          <w:rFonts w:asciiTheme="minorHAnsi" w:hAnsiTheme="minorHAnsi" w:cstheme="minorHAnsi"/>
          <w:b w:val="0"/>
          <w:color w:val="auto"/>
          <w:sz w:val="21"/>
          <w:szCs w:val="21"/>
          <w:u w:val="none"/>
        </w:rPr>
        <w:t>Develop a government engagement strategy.</w:t>
      </w:r>
    </w:p>
    <w:p w14:paraId="1FA1257E" w14:textId="7907F4C9" w:rsidR="00D65FCB" w:rsidRDefault="00D65FCB" w:rsidP="00D65FCB">
      <w:pPr>
        <w:spacing w:line="22" w:lineRule="atLeast"/>
        <w:jc w:val="both"/>
        <w:rPr>
          <w:rFonts w:asciiTheme="minorHAnsi" w:hAnsiTheme="minorHAnsi" w:cstheme="minorHAnsi"/>
          <w:b w:val="0"/>
          <w:color w:val="auto"/>
          <w:sz w:val="21"/>
          <w:szCs w:val="21"/>
          <w:u w:val="none"/>
        </w:rPr>
      </w:pPr>
      <w:r>
        <w:rPr>
          <w:rFonts w:asciiTheme="minorHAnsi" w:hAnsiTheme="minorHAnsi" w:cstheme="minorHAnsi"/>
          <w:b w:val="0"/>
          <w:color w:val="auto"/>
          <w:sz w:val="21"/>
          <w:szCs w:val="21"/>
          <w:u w:val="none"/>
        </w:rPr>
        <w:t xml:space="preserve">The </w:t>
      </w:r>
      <w:r w:rsidR="00AE0917">
        <w:rPr>
          <w:rFonts w:asciiTheme="minorHAnsi" w:hAnsiTheme="minorHAnsi" w:cstheme="minorHAnsi"/>
          <w:b w:val="0"/>
          <w:color w:val="auto"/>
          <w:sz w:val="21"/>
          <w:szCs w:val="21"/>
          <w:u w:val="none"/>
        </w:rPr>
        <w:t xml:space="preserve">key </w:t>
      </w:r>
      <w:r w:rsidRPr="00D65FCB">
        <w:rPr>
          <w:rFonts w:asciiTheme="minorHAnsi" w:hAnsiTheme="minorHAnsi" w:cstheme="minorHAnsi"/>
          <w:color w:val="822B6A"/>
          <w:sz w:val="21"/>
          <w:szCs w:val="21"/>
          <w:u w:val="none"/>
        </w:rPr>
        <w:t>management response</w:t>
      </w:r>
      <w:r>
        <w:rPr>
          <w:rFonts w:asciiTheme="minorHAnsi" w:hAnsiTheme="minorHAnsi" w:cstheme="minorHAnsi"/>
          <w:b w:val="0"/>
          <w:color w:val="auto"/>
          <w:sz w:val="21"/>
          <w:szCs w:val="21"/>
          <w:u w:val="none"/>
        </w:rPr>
        <w:t xml:space="preserve"> to these learnings and recommendations will be:</w:t>
      </w:r>
    </w:p>
    <w:p w14:paraId="4D32F6B9" w14:textId="07B49A87" w:rsidR="00D65FCB" w:rsidRDefault="00D65FCB" w:rsidP="00D65FCB">
      <w:pPr>
        <w:pStyle w:val="ListParagraph"/>
        <w:numPr>
          <w:ilvl w:val="0"/>
          <w:numId w:val="32"/>
        </w:numPr>
        <w:jc w:val="both"/>
        <w:rPr>
          <w:rFonts w:asciiTheme="minorHAnsi" w:hAnsiTheme="minorHAnsi" w:cstheme="minorHAnsi"/>
          <w:b w:val="0"/>
          <w:color w:val="auto"/>
          <w:sz w:val="21"/>
          <w:szCs w:val="21"/>
          <w:u w:val="none"/>
        </w:rPr>
      </w:pPr>
      <w:r>
        <w:rPr>
          <w:rFonts w:asciiTheme="minorHAnsi" w:hAnsiTheme="minorHAnsi" w:cstheme="minorHAnsi"/>
          <w:b w:val="0"/>
          <w:color w:val="auto"/>
          <w:sz w:val="21"/>
          <w:szCs w:val="21"/>
          <w:u w:val="none"/>
        </w:rPr>
        <w:t xml:space="preserve">Improve monitoring of training impact for Certificate III in Social Services Course, 4R training, and other Nabilan supported training (child protection, legal frameworks, gender). </w:t>
      </w:r>
    </w:p>
    <w:p w14:paraId="3698DB59" w14:textId="0003BB75" w:rsidR="00D65FCB" w:rsidRDefault="00D65FCB" w:rsidP="00D65FCB">
      <w:pPr>
        <w:pStyle w:val="ListParagraph"/>
        <w:numPr>
          <w:ilvl w:val="0"/>
          <w:numId w:val="32"/>
        </w:numPr>
        <w:jc w:val="both"/>
        <w:rPr>
          <w:rFonts w:asciiTheme="minorHAnsi" w:hAnsiTheme="minorHAnsi" w:cstheme="minorHAnsi"/>
          <w:b w:val="0"/>
          <w:color w:val="auto"/>
          <w:sz w:val="21"/>
          <w:szCs w:val="21"/>
          <w:u w:val="none"/>
        </w:rPr>
      </w:pPr>
      <w:r>
        <w:rPr>
          <w:rFonts w:asciiTheme="minorHAnsi" w:hAnsiTheme="minorHAnsi" w:cstheme="minorHAnsi"/>
          <w:b w:val="0"/>
          <w:color w:val="auto"/>
          <w:sz w:val="21"/>
          <w:szCs w:val="21"/>
          <w:u w:val="none"/>
        </w:rPr>
        <w:t>Identify specific plan to improve case management and OIS with FOKUPERS.</w:t>
      </w:r>
    </w:p>
    <w:p w14:paraId="2A3B2D3B" w14:textId="46C56187" w:rsidR="00D65FCB" w:rsidRDefault="00AE0917" w:rsidP="00D65FCB">
      <w:pPr>
        <w:pStyle w:val="ListParagraph"/>
        <w:numPr>
          <w:ilvl w:val="0"/>
          <w:numId w:val="32"/>
        </w:numPr>
        <w:jc w:val="both"/>
        <w:rPr>
          <w:rFonts w:asciiTheme="minorHAnsi" w:hAnsiTheme="minorHAnsi" w:cstheme="minorHAnsi"/>
          <w:b w:val="0"/>
          <w:color w:val="auto"/>
          <w:sz w:val="21"/>
          <w:szCs w:val="21"/>
          <w:u w:val="none"/>
        </w:rPr>
      </w:pPr>
      <w:r>
        <w:rPr>
          <w:rFonts w:asciiTheme="minorHAnsi" w:hAnsiTheme="minorHAnsi" w:cstheme="minorHAnsi"/>
          <w:b w:val="0"/>
          <w:color w:val="auto"/>
          <w:sz w:val="21"/>
          <w:szCs w:val="21"/>
          <w:u w:val="none"/>
        </w:rPr>
        <w:t>Potentially p</w:t>
      </w:r>
      <w:r w:rsidR="00D65FCB">
        <w:rPr>
          <w:rFonts w:asciiTheme="minorHAnsi" w:hAnsiTheme="minorHAnsi" w:cstheme="minorHAnsi"/>
          <w:b w:val="0"/>
          <w:color w:val="auto"/>
          <w:sz w:val="21"/>
          <w:szCs w:val="21"/>
          <w:u w:val="none"/>
        </w:rPr>
        <w:t>ilot use of WGQ during client intake</w:t>
      </w:r>
      <w:r>
        <w:rPr>
          <w:rFonts w:asciiTheme="minorHAnsi" w:hAnsiTheme="minorHAnsi" w:cstheme="minorHAnsi"/>
          <w:b w:val="0"/>
          <w:color w:val="auto"/>
          <w:sz w:val="21"/>
          <w:szCs w:val="21"/>
          <w:u w:val="none"/>
        </w:rPr>
        <w:t xml:space="preserve"> for PRADET, with support from ADTL and CBM</w:t>
      </w:r>
      <w:r w:rsidR="00D65FCB">
        <w:rPr>
          <w:rFonts w:asciiTheme="minorHAnsi" w:hAnsiTheme="minorHAnsi" w:cstheme="minorHAnsi"/>
          <w:b w:val="0"/>
          <w:color w:val="auto"/>
          <w:sz w:val="21"/>
          <w:szCs w:val="21"/>
          <w:u w:val="none"/>
        </w:rPr>
        <w:t>.</w:t>
      </w:r>
    </w:p>
    <w:p w14:paraId="542429C8" w14:textId="7B91E345" w:rsidR="00D65FCB" w:rsidRDefault="00AE0917" w:rsidP="00D65FCB">
      <w:pPr>
        <w:pStyle w:val="ListParagraph"/>
        <w:numPr>
          <w:ilvl w:val="0"/>
          <w:numId w:val="32"/>
        </w:numPr>
        <w:jc w:val="both"/>
        <w:rPr>
          <w:rFonts w:asciiTheme="minorHAnsi" w:hAnsiTheme="minorHAnsi" w:cstheme="minorHAnsi"/>
          <w:b w:val="0"/>
          <w:color w:val="auto"/>
          <w:sz w:val="21"/>
          <w:szCs w:val="21"/>
          <w:u w:val="none"/>
        </w:rPr>
      </w:pPr>
      <w:r>
        <w:rPr>
          <w:rFonts w:asciiTheme="minorHAnsi" w:hAnsiTheme="minorHAnsi" w:cstheme="minorHAnsi"/>
          <w:b w:val="0"/>
          <w:color w:val="auto"/>
          <w:sz w:val="21"/>
          <w:szCs w:val="21"/>
          <w:u w:val="none"/>
        </w:rPr>
        <w:t>Cost requested updates to ALFeLa’s client management database.</w:t>
      </w:r>
    </w:p>
    <w:p w14:paraId="26C8CF2B" w14:textId="263CFDF8" w:rsidR="00AE0917" w:rsidRDefault="00AE0917" w:rsidP="00D65FCB">
      <w:pPr>
        <w:pStyle w:val="ListParagraph"/>
        <w:numPr>
          <w:ilvl w:val="0"/>
          <w:numId w:val="32"/>
        </w:numPr>
        <w:jc w:val="both"/>
        <w:rPr>
          <w:rFonts w:asciiTheme="minorHAnsi" w:hAnsiTheme="minorHAnsi" w:cstheme="minorHAnsi"/>
          <w:b w:val="0"/>
          <w:color w:val="auto"/>
          <w:sz w:val="21"/>
          <w:szCs w:val="21"/>
          <w:u w:val="none"/>
        </w:rPr>
      </w:pPr>
      <w:r>
        <w:rPr>
          <w:rFonts w:asciiTheme="minorHAnsi" w:hAnsiTheme="minorHAnsi" w:cstheme="minorHAnsi"/>
          <w:b w:val="0"/>
          <w:color w:val="auto"/>
          <w:sz w:val="21"/>
          <w:szCs w:val="21"/>
          <w:u w:val="none"/>
        </w:rPr>
        <w:t>Conduct an independent review of JSMP’s VAWC work (update to 2015 audit) and ALFeLa case file audit (conducted 2015 and 2017).</w:t>
      </w:r>
    </w:p>
    <w:p w14:paraId="62F48B15" w14:textId="210A34A9" w:rsidR="00AE0917" w:rsidRPr="009C0914" w:rsidRDefault="00AE0917" w:rsidP="00D65FCB">
      <w:pPr>
        <w:pStyle w:val="ListParagraph"/>
        <w:numPr>
          <w:ilvl w:val="0"/>
          <w:numId w:val="32"/>
        </w:numPr>
        <w:jc w:val="both"/>
        <w:rPr>
          <w:rFonts w:asciiTheme="minorHAnsi" w:hAnsiTheme="minorHAnsi" w:cstheme="minorHAnsi"/>
          <w:b w:val="0"/>
          <w:color w:val="auto"/>
          <w:sz w:val="21"/>
          <w:szCs w:val="21"/>
          <w:u w:val="none"/>
        </w:rPr>
      </w:pPr>
      <w:r>
        <w:rPr>
          <w:rFonts w:asciiTheme="minorHAnsi" w:hAnsiTheme="minorHAnsi" w:cstheme="minorHAnsi"/>
          <w:b w:val="0"/>
          <w:color w:val="auto"/>
          <w:sz w:val="21"/>
          <w:szCs w:val="21"/>
          <w:u w:val="none"/>
        </w:rPr>
        <w:t xml:space="preserve">Continue </w:t>
      </w:r>
      <w:r w:rsidRPr="009C0914">
        <w:rPr>
          <w:rFonts w:asciiTheme="minorHAnsi" w:hAnsiTheme="minorHAnsi" w:cstheme="minorHAnsi"/>
          <w:b w:val="0"/>
          <w:color w:val="auto"/>
          <w:sz w:val="21"/>
          <w:szCs w:val="21"/>
          <w:u w:val="none"/>
        </w:rPr>
        <w:t xml:space="preserve">adapting and sharing the SASA!/KOKOSA! materials. </w:t>
      </w:r>
    </w:p>
    <w:p w14:paraId="1F92EF4B" w14:textId="07ED85EC" w:rsidR="001F2178" w:rsidRPr="009C0914" w:rsidRDefault="001F2178" w:rsidP="00D65FCB">
      <w:pPr>
        <w:pStyle w:val="ListParagraph"/>
        <w:numPr>
          <w:ilvl w:val="0"/>
          <w:numId w:val="32"/>
        </w:numPr>
        <w:jc w:val="both"/>
        <w:rPr>
          <w:rFonts w:asciiTheme="minorHAnsi" w:hAnsiTheme="minorHAnsi" w:cstheme="minorHAnsi"/>
          <w:b w:val="0"/>
          <w:color w:val="auto"/>
          <w:sz w:val="21"/>
          <w:szCs w:val="21"/>
          <w:u w:val="none"/>
        </w:rPr>
      </w:pPr>
      <w:r w:rsidRPr="009C0914">
        <w:rPr>
          <w:rFonts w:asciiTheme="minorHAnsi" w:hAnsiTheme="minorHAnsi" w:cstheme="minorHAnsi"/>
          <w:b w:val="0"/>
          <w:color w:val="auto"/>
          <w:sz w:val="21"/>
          <w:szCs w:val="21"/>
          <w:u w:val="none"/>
        </w:rPr>
        <w:t>Clearly define the knowledge to policy strategy for KOKSA!</w:t>
      </w:r>
    </w:p>
    <w:p w14:paraId="4A9BB5F0" w14:textId="5275E1A8" w:rsidR="00AE0917" w:rsidRPr="009C0914" w:rsidRDefault="00AE0917" w:rsidP="00D65FCB">
      <w:pPr>
        <w:pStyle w:val="ListParagraph"/>
        <w:numPr>
          <w:ilvl w:val="0"/>
          <w:numId w:val="32"/>
        </w:numPr>
        <w:jc w:val="both"/>
        <w:rPr>
          <w:rFonts w:asciiTheme="minorHAnsi" w:hAnsiTheme="minorHAnsi" w:cstheme="minorHAnsi"/>
          <w:b w:val="0"/>
          <w:color w:val="auto"/>
          <w:sz w:val="21"/>
          <w:szCs w:val="21"/>
          <w:u w:val="none"/>
        </w:rPr>
      </w:pPr>
      <w:r w:rsidRPr="009C0914">
        <w:rPr>
          <w:rFonts w:asciiTheme="minorHAnsi" w:hAnsiTheme="minorHAnsi" w:cstheme="minorHAnsi"/>
          <w:b w:val="0"/>
          <w:color w:val="auto"/>
          <w:sz w:val="21"/>
          <w:szCs w:val="21"/>
          <w:u w:val="none"/>
        </w:rPr>
        <w:t xml:space="preserve">Finalise </w:t>
      </w:r>
      <w:r w:rsidR="008A7C84" w:rsidRPr="009C0914">
        <w:rPr>
          <w:rFonts w:asciiTheme="minorHAnsi" w:hAnsiTheme="minorHAnsi" w:cstheme="minorHAnsi"/>
          <w:b w:val="0"/>
          <w:color w:val="auto"/>
          <w:sz w:val="21"/>
          <w:szCs w:val="21"/>
          <w:u w:val="none"/>
        </w:rPr>
        <w:t xml:space="preserve">the </w:t>
      </w:r>
      <w:r w:rsidRPr="009C0914">
        <w:rPr>
          <w:rFonts w:asciiTheme="minorHAnsi" w:hAnsiTheme="minorHAnsi" w:cstheme="minorHAnsi"/>
          <w:b w:val="0"/>
          <w:color w:val="auto"/>
          <w:sz w:val="21"/>
          <w:szCs w:val="21"/>
          <w:u w:val="none"/>
        </w:rPr>
        <w:t>government engagement strategy.</w:t>
      </w:r>
    </w:p>
    <w:p w14:paraId="04281C95" w14:textId="77777777" w:rsidR="00D65FCB" w:rsidRDefault="00D65FCB" w:rsidP="00D65FCB"/>
    <w:p w14:paraId="3F52FCAF" w14:textId="77777777" w:rsidR="006211B6" w:rsidRDefault="006211B6" w:rsidP="006211B6">
      <w:pPr>
        <w:jc w:val="both"/>
        <w:rPr>
          <w:rFonts w:asciiTheme="minorHAnsi" w:hAnsiTheme="minorHAnsi" w:cstheme="minorHAnsi"/>
          <w:b w:val="0"/>
          <w:color w:val="auto"/>
          <w:sz w:val="21"/>
          <w:szCs w:val="21"/>
          <w:u w:val="none"/>
        </w:rPr>
      </w:pPr>
    </w:p>
    <w:p w14:paraId="198E80A2" w14:textId="0D2DBBD6" w:rsidR="007C2D67" w:rsidRPr="008A7C84" w:rsidRDefault="007C2D67" w:rsidP="008A7C84">
      <w:pPr>
        <w:jc w:val="both"/>
        <w:rPr>
          <w:rFonts w:asciiTheme="minorHAnsi" w:hAnsiTheme="minorHAnsi" w:cstheme="minorHAnsi"/>
          <w:b w:val="0"/>
          <w:color w:val="auto"/>
          <w:sz w:val="21"/>
          <w:szCs w:val="21"/>
          <w:u w:val="none"/>
        </w:rPr>
        <w:sectPr w:rsidR="007C2D67" w:rsidRPr="008A7C84" w:rsidSect="00E1032F">
          <w:endnotePr>
            <w:numFmt w:val="decimal"/>
          </w:endnotePr>
          <w:pgSz w:w="11906" w:h="16838" w:code="9"/>
          <w:pgMar w:top="1418" w:right="1133" w:bottom="1135" w:left="1418" w:header="709" w:footer="624" w:gutter="0"/>
          <w:cols w:space="567"/>
          <w:docGrid w:linePitch="360"/>
        </w:sectPr>
      </w:pPr>
    </w:p>
    <w:p w14:paraId="3FC8D7F7" w14:textId="7F9E6038" w:rsidR="007A723D" w:rsidRPr="00BF4F0F" w:rsidRDefault="0062551F" w:rsidP="00705BD3">
      <w:pPr>
        <w:pStyle w:val="Heading1"/>
        <w:ind w:left="0"/>
      </w:pPr>
      <w:bookmarkStart w:id="187" w:name="_Toc531966556"/>
      <w:bookmarkStart w:id="188" w:name="_Toc425358"/>
      <w:bookmarkStart w:id="189" w:name="_Toc437990"/>
      <w:bookmarkStart w:id="190" w:name="_Toc1902725"/>
      <w:bookmarkStart w:id="191" w:name="_Toc1994639"/>
      <w:bookmarkStart w:id="192" w:name="_Toc1999861"/>
      <w:bookmarkStart w:id="193" w:name="_Toc2019679"/>
      <w:bookmarkEnd w:id="178"/>
      <w:bookmarkEnd w:id="179"/>
      <w:bookmarkEnd w:id="180"/>
      <w:bookmarkEnd w:id="181"/>
      <w:bookmarkEnd w:id="182"/>
      <w:bookmarkEnd w:id="183"/>
      <w:bookmarkEnd w:id="184"/>
      <w:r w:rsidRPr="00BF4F0F">
        <w:t>Annexes</w:t>
      </w:r>
      <w:bookmarkEnd w:id="187"/>
      <w:bookmarkEnd w:id="188"/>
      <w:bookmarkEnd w:id="189"/>
      <w:bookmarkEnd w:id="190"/>
      <w:bookmarkEnd w:id="191"/>
      <w:bookmarkEnd w:id="192"/>
      <w:bookmarkEnd w:id="193"/>
      <w:r w:rsidR="0021017B">
        <w:tab/>
      </w:r>
    </w:p>
    <w:p w14:paraId="09BFCC40" w14:textId="7D83BE9B" w:rsidR="003F3141" w:rsidRPr="00CE4A51" w:rsidRDefault="003F3141" w:rsidP="00447313">
      <w:pPr>
        <w:autoSpaceDE/>
        <w:autoSpaceDN/>
        <w:adjustRightInd/>
        <w:spacing w:before="60" w:after="60" w:line="288" w:lineRule="auto"/>
        <w:jc w:val="both"/>
        <w:textAlignment w:val="auto"/>
        <w:rPr>
          <w:rFonts w:asciiTheme="minorHAnsi" w:hAnsiTheme="minorHAnsi" w:cstheme="minorHAnsi"/>
          <w:b w:val="0"/>
          <w:color w:val="auto"/>
          <w:sz w:val="21"/>
          <w:szCs w:val="21"/>
          <w:u w:val="none"/>
        </w:rPr>
      </w:pPr>
      <w:r w:rsidRPr="00CE4A51">
        <w:rPr>
          <w:rFonts w:asciiTheme="minorHAnsi" w:hAnsiTheme="minorHAnsi" w:cstheme="minorHAnsi"/>
          <w:b w:val="0"/>
          <w:color w:val="auto"/>
          <w:sz w:val="21"/>
          <w:szCs w:val="21"/>
          <w:u w:val="none"/>
        </w:rPr>
        <w:t xml:space="preserve">Annex </w:t>
      </w:r>
      <w:r w:rsidR="001332CD" w:rsidRPr="00CE4A51">
        <w:rPr>
          <w:rFonts w:asciiTheme="minorHAnsi" w:hAnsiTheme="minorHAnsi" w:cstheme="minorHAnsi"/>
          <w:b w:val="0"/>
          <w:color w:val="auto"/>
          <w:sz w:val="21"/>
          <w:szCs w:val="21"/>
          <w:u w:val="none"/>
        </w:rPr>
        <w:t>1</w:t>
      </w:r>
      <w:r w:rsidRPr="00CE4A51">
        <w:rPr>
          <w:rFonts w:asciiTheme="minorHAnsi" w:hAnsiTheme="minorHAnsi" w:cstheme="minorHAnsi"/>
          <w:b w:val="0"/>
          <w:color w:val="auto"/>
          <w:sz w:val="21"/>
          <w:szCs w:val="21"/>
          <w:u w:val="none"/>
        </w:rPr>
        <w:t xml:space="preserve"> Key Evaluation Questions and sub-questions</w:t>
      </w:r>
    </w:p>
    <w:p w14:paraId="3600A449" w14:textId="696DB567" w:rsidR="003F3141" w:rsidRPr="00CE4A51" w:rsidRDefault="003F3141" w:rsidP="00447313">
      <w:pPr>
        <w:autoSpaceDE/>
        <w:autoSpaceDN/>
        <w:adjustRightInd/>
        <w:spacing w:before="60" w:after="60" w:line="288" w:lineRule="auto"/>
        <w:jc w:val="both"/>
        <w:textAlignment w:val="auto"/>
        <w:rPr>
          <w:rFonts w:asciiTheme="minorHAnsi" w:hAnsiTheme="minorHAnsi" w:cstheme="minorHAnsi"/>
          <w:b w:val="0"/>
          <w:color w:val="auto"/>
          <w:sz w:val="21"/>
          <w:szCs w:val="21"/>
          <w:u w:val="none"/>
        </w:rPr>
      </w:pPr>
      <w:r w:rsidRPr="00CE4A51">
        <w:rPr>
          <w:rFonts w:asciiTheme="minorHAnsi" w:hAnsiTheme="minorHAnsi" w:cstheme="minorHAnsi"/>
          <w:b w:val="0"/>
          <w:color w:val="auto"/>
          <w:sz w:val="21"/>
          <w:szCs w:val="21"/>
          <w:u w:val="none"/>
        </w:rPr>
        <w:t xml:space="preserve">Annex </w:t>
      </w:r>
      <w:r w:rsidR="001332CD" w:rsidRPr="00CE4A51">
        <w:rPr>
          <w:rFonts w:asciiTheme="minorHAnsi" w:hAnsiTheme="minorHAnsi" w:cstheme="minorHAnsi"/>
          <w:b w:val="0"/>
          <w:color w:val="auto"/>
          <w:sz w:val="21"/>
          <w:szCs w:val="21"/>
          <w:u w:val="none"/>
        </w:rPr>
        <w:t>2</w:t>
      </w:r>
      <w:r w:rsidRPr="00CE4A51">
        <w:rPr>
          <w:rFonts w:asciiTheme="minorHAnsi" w:hAnsiTheme="minorHAnsi" w:cstheme="minorHAnsi"/>
          <w:b w:val="0"/>
          <w:color w:val="auto"/>
          <w:sz w:val="21"/>
          <w:szCs w:val="21"/>
          <w:u w:val="none"/>
        </w:rPr>
        <w:t xml:space="preserve"> Progress Against Indicators</w:t>
      </w:r>
    </w:p>
    <w:p w14:paraId="51AB652D" w14:textId="7D133CCD" w:rsidR="003F3141" w:rsidRPr="00CE4A51" w:rsidRDefault="003F3141" w:rsidP="00447313">
      <w:pPr>
        <w:autoSpaceDE/>
        <w:autoSpaceDN/>
        <w:adjustRightInd/>
        <w:spacing w:before="60" w:after="60" w:line="288" w:lineRule="auto"/>
        <w:jc w:val="both"/>
        <w:textAlignment w:val="auto"/>
        <w:rPr>
          <w:rFonts w:asciiTheme="minorHAnsi" w:hAnsiTheme="minorHAnsi" w:cstheme="minorHAnsi"/>
          <w:b w:val="0"/>
          <w:color w:val="auto"/>
          <w:sz w:val="21"/>
          <w:szCs w:val="21"/>
          <w:u w:val="none"/>
        </w:rPr>
      </w:pPr>
      <w:r w:rsidRPr="00CE4A51">
        <w:rPr>
          <w:rFonts w:asciiTheme="minorHAnsi" w:hAnsiTheme="minorHAnsi" w:cstheme="minorHAnsi"/>
          <w:b w:val="0"/>
          <w:color w:val="auto"/>
          <w:sz w:val="21"/>
          <w:szCs w:val="21"/>
          <w:u w:val="none"/>
        </w:rPr>
        <w:t xml:space="preserve">Annex </w:t>
      </w:r>
      <w:r w:rsidR="001332CD" w:rsidRPr="00CE4A51">
        <w:rPr>
          <w:rFonts w:asciiTheme="minorHAnsi" w:hAnsiTheme="minorHAnsi" w:cstheme="minorHAnsi"/>
          <w:b w:val="0"/>
          <w:color w:val="auto"/>
          <w:sz w:val="21"/>
          <w:szCs w:val="21"/>
          <w:u w:val="none"/>
        </w:rPr>
        <w:t>3</w:t>
      </w:r>
      <w:r w:rsidRPr="00CE4A51">
        <w:rPr>
          <w:rFonts w:asciiTheme="minorHAnsi" w:hAnsiTheme="minorHAnsi" w:cstheme="minorHAnsi"/>
          <w:b w:val="0"/>
          <w:color w:val="auto"/>
          <w:sz w:val="21"/>
          <w:szCs w:val="21"/>
          <w:u w:val="none"/>
        </w:rPr>
        <w:t xml:space="preserve"> Grant Summary Table</w:t>
      </w:r>
    </w:p>
    <w:p w14:paraId="37555553" w14:textId="4DF0E4F7" w:rsidR="003F3141" w:rsidRPr="00CE4A51" w:rsidRDefault="003F3141" w:rsidP="00447313">
      <w:pPr>
        <w:autoSpaceDE/>
        <w:autoSpaceDN/>
        <w:adjustRightInd/>
        <w:spacing w:before="60" w:after="60" w:line="288" w:lineRule="auto"/>
        <w:jc w:val="both"/>
        <w:textAlignment w:val="auto"/>
        <w:rPr>
          <w:rFonts w:asciiTheme="minorHAnsi" w:hAnsiTheme="minorHAnsi" w:cstheme="minorHAnsi"/>
          <w:b w:val="0"/>
          <w:color w:val="auto"/>
          <w:sz w:val="21"/>
          <w:szCs w:val="21"/>
          <w:u w:val="none"/>
        </w:rPr>
      </w:pPr>
      <w:bookmarkStart w:id="194" w:name="_Hlk1573167"/>
      <w:r w:rsidRPr="00CE4A51">
        <w:rPr>
          <w:rFonts w:asciiTheme="minorHAnsi" w:hAnsiTheme="minorHAnsi" w:cstheme="minorHAnsi"/>
          <w:b w:val="0"/>
          <w:color w:val="auto"/>
          <w:sz w:val="21"/>
          <w:szCs w:val="21"/>
          <w:u w:val="none"/>
        </w:rPr>
        <w:t xml:space="preserve">Annex </w:t>
      </w:r>
      <w:r w:rsidR="00E1032F" w:rsidRPr="00CE4A51">
        <w:rPr>
          <w:rFonts w:asciiTheme="minorHAnsi" w:hAnsiTheme="minorHAnsi" w:cstheme="minorHAnsi"/>
          <w:b w:val="0"/>
          <w:color w:val="auto"/>
          <w:sz w:val="21"/>
          <w:szCs w:val="21"/>
          <w:u w:val="none"/>
        </w:rPr>
        <w:t>4</w:t>
      </w:r>
      <w:r w:rsidRPr="00CE4A51">
        <w:rPr>
          <w:rFonts w:asciiTheme="minorHAnsi" w:hAnsiTheme="minorHAnsi" w:cstheme="minorHAnsi"/>
          <w:b w:val="0"/>
          <w:color w:val="auto"/>
          <w:sz w:val="21"/>
          <w:szCs w:val="21"/>
          <w:u w:val="none"/>
        </w:rPr>
        <w:t xml:space="preserve"> Management Responses</w:t>
      </w:r>
    </w:p>
    <w:bookmarkEnd w:id="194"/>
    <w:p w14:paraId="6DF75302" w14:textId="17374E5B" w:rsidR="0062551F" w:rsidRDefault="0062551F" w:rsidP="00447313">
      <w:pPr>
        <w:spacing w:line="288" w:lineRule="auto"/>
        <w:jc w:val="both"/>
        <w:rPr>
          <w:rFonts w:asciiTheme="minorHAnsi" w:hAnsiTheme="minorHAnsi" w:cstheme="minorHAnsi"/>
          <w:lang w:eastAsia="en-US"/>
        </w:rPr>
      </w:pPr>
    </w:p>
    <w:p w14:paraId="795B73A5" w14:textId="77777777" w:rsidR="00F614FD" w:rsidRDefault="00F614FD" w:rsidP="00447313">
      <w:pPr>
        <w:spacing w:line="288" w:lineRule="auto"/>
        <w:jc w:val="both"/>
        <w:rPr>
          <w:rFonts w:asciiTheme="minorHAnsi" w:hAnsiTheme="minorHAnsi" w:cstheme="minorHAnsi"/>
          <w:lang w:eastAsia="en-US"/>
        </w:rPr>
        <w:sectPr w:rsidR="00F614FD" w:rsidSect="00E1032F">
          <w:headerReference w:type="default" r:id="rId44"/>
          <w:footerReference w:type="default" r:id="rId45"/>
          <w:endnotePr>
            <w:numFmt w:val="decimal"/>
          </w:endnotePr>
          <w:pgSz w:w="11906" w:h="16838" w:code="9"/>
          <w:pgMar w:top="1418" w:right="1133" w:bottom="1135" w:left="1418" w:header="709" w:footer="624" w:gutter="0"/>
          <w:cols w:space="567"/>
          <w:docGrid w:linePitch="360"/>
        </w:sectPr>
      </w:pPr>
    </w:p>
    <w:p w14:paraId="1D709A55" w14:textId="77777777" w:rsidR="00F614FD" w:rsidRPr="00705BD3" w:rsidRDefault="00F614FD" w:rsidP="00705BD3">
      <w:pPr>
        <w:spacing w:line="288" w:lineRule="auto"/>
        <w:jc w:val="both"/>
        <w:rPr>
          <w:rFonts w:ascii="Calibri" w:hAnsi="Calibri" w:cs="Calibri"/>
          <w:bCs/>
          <w:color w:val="822B6A"/>
          <w:kern w:val="32"/>
          <w:sz w:val="28"/>
          <w:szCs w:val="28"/>
          <w:u w:val="none"/>
        </w:rPr>
      </w:pPr>
      <w:r w:rsidRPr="00705BD3">
        <w:rPr>
          <w:rFonts w:ascii="Calibri" w:hAnsi="Calibri" w:cs="Calibri"/>
          <w:bCs/>
          <w:color w:val="822B6A"/>
          <w:kern w:val="32"/>
          <w:sz w:val="28"/>
          <w:szCs w:val="28"/>
          <w:u w:val="none"/>
        </w:rPr>
        <w:t>Annex 1 Key Evaluation Questions and sub-questions</w:t>
      </w:r>
    </w:p>
    <w:tbl>
      <w:tblPr>
        <w:tblStyle w:val="GRMTable1"/>
        <w:tblW w:w="5000" w:type="pct"/>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bottom w:w="57" w:type="dxa"/>
        </w:tblCellMar>
        <w:tblLook w:val="04A0" w:firstRow="1" w:lastRow="0" w:firstColumn="1" w:lastColumn="0" w:noHBand="0" w:noVBand="1"/>
      </w:tblPr>
      <w:tblGrid>
        <w:gridCol w:w="9355"/>
      </w:tblGrid>
      <w:tr w:rsidR="00F614FD" w:rsidRPr="003B1DE6" w14:paraId="62C1E44F" w14:textId="77777777" w:rsidTr="001C22F5">
        <w:trPr>
          <w:trHeight w:val="20"/>
        </w:trPr>
        <w:tc>
          <w:tcPr>
            <w:tcW w:w="5000" w:type="pct"/>
            <w:shd w:val="clear" w:color="auto" w:fill="auto"/>
          </w:tcPr>
          <w:p w14:paraId="03DD7AEF" w14:textId="77777777" w:rsidR="00F614FD" w:rsidRPr="003B1DE6" w:rsidRDefault="00F614FD" w:rsidP="00447313">
            <w:pPr>
              <w:autoSpaceDE/>
              <w:autoSpaceDN/>
              <w:adjustRightInd/>
              <w:textAlignment w:val="auto"/>
              <w:rPr>
                <w:rFonts w:ascii="Arial" w:hAnsi="Arial" w:cs="Arial"/>
                <w:color w:val="822B6A"/>
                <w:sz w:val="21"/>
                <w:szCs w:val="21"/>
              </w:rPr>
            </w:pPr>
            <w:r w:rsidRPr="003B1DE6">
              <w:rPr>
                <w:rFonts w:ascii="Arial" w:hAnsi="Arial" w:cs="Arial"/>
                <w:color w:val="822B6A"/>
                <w:sz w:val="21"/>
                <w:szCs w:val="21"/>
              </w:rPr>
              <w:t>KEQ1 How effective was the Nabilan program in guaranteeing women and children victims access to adequate and responsive services?</w:t>
            </w:r>
          </w:p>
        </w:tc>
      </w:tr>
      <w:tr w:rsidR="00F614FD" w:rsidRPr="003B1DE6" w14:paraId="6D1F01E2" w14:textId="77777777" w:rsidTr="001C22F5">
        <w:trPr>
          <w:trHeight w:val="252"/>
        </w:trPr>
        <w:tc>
          <w:tcPr>
            <w:tcW w:w="5000" w:type="pct"/>
            <w:shd w:val="clear" w:color="auto" w:fill="auto"/>
          </w:tcPr>
          <w:p w14:paraId="4360A176" w14:textId="77777777" w:rsidR="00F614FD" w:rsidRPr="003B1DE6" w:rsidRDefault="00F614FD" w:rsidP="00447313">
            <w:pPr>
              <w:numPr>
                <w:ilvl w:val="1"/>
                <w:numId w:val="34"/>
              </w:numPr>
              <w:autoSpaceDE/>
              <w:autoSpaceDN/>
              <w:adjustRightInd/>
              <w:spacing w:after="0"/>
              <w:ind w:left="526" w:hanging="526"/>
              <w:contextualSpacing/>
              <w:textAlignment w:val="auto"/>
              <w:rPr>
                <w:rFonts w:ascii="Arial" w:hAnsi="Arial" w:cs="Arial"/>
                <w:color w:val="000000"/>
                <w:sz w:val="21"/>
                <w:szCs w:val="21"/>
                <w:lang w:eastAsia="ja-JP"/>
              </w:rPr>
            </w:pPr>
            <w:r w:rsidRPr="003B1DE6">
              <w:rPr>
                <w:rFonts w:ascii="Arial" w:hAnsi="Arial" w:cs="Arial"/>
                <w:sz w:val="21"/>
                <w:szCs w:val="21"/>
                <w:lang w:eastAsia="ja-JP"/>
              </w:rPr>
              <w:t>To what extent are service provider staff using their knowledge and skills for improved service delivery?</w:t>
            </w:r>
            <w:r w:rsidRPr="003B1DE6">
              <w:rPr>
                <w:rFonts w:ascii="Arial" w:hAnsi="Arial" w:cs="Arial"/>
                <w:color w:val="000000"/>
                <w:sz w:val="21"/>
                <w:szCs w:val="21"/>
                <w:lang w:eastAsia="ja-JP"/>
              </w:rPr>
              <w:t xml:space="preserve"> </w:t>
            </w:r>
          </w:p>
        </w:tc>
      </w:tr>
      <w:tr w:rsidR="00F614FD" w:rsidRPr="003B1DE6" w14:paraId="3D6A90A4" w14:textId="77777777" w:rsidTr="001C22F5">
        <w:trPr>
          <w:trHeight w:val="252"/>
        </w:trPr>
        <w:tc>
          <w:tcPr>
            <w:tcW w:w="5000" w:type="pct"/>
            <w:shd w:val="clear" w:color="auto" w:fill="auto"/>
          </w:tcPr>
          <w:p w14:paraId="59982905" w14:textId="77777777" w:rsidR="00F614FD" w:rsidRPr="003B1DE6" w:rsidRDefault="00F614FD" w:rsidP="00447313">
            <w:pPr>
              <w:numPr>
                <w:ilvl w:val="1"/>
                <w:numId w:val="34"/>
              </w:numPr>
              <w:autoSpaceDE/>
              <w:autoSpaceDN/>
              <w:adjustRightInd/>
              <w:spacing w:after="0"/>
              <w:ind w:left="526" w:hanging="526"/>
              <w:contextualSpacing/>
              <w:textAlignment w:val="auto"/>
              <w:rPr>
                <w:rFonts w:ascii="Arial" w:hAnsi="Arial" w:cs="Arial"/>
                <w:sz w:val="21"/>
                <w:szCs w:val="21"/>
                <w:lang w:eastAsia="ja-JP"/>
              </w:rPr>
            </w:pPr>
            <w:r w:rsidRPr="003B1DE6">
              <w:rPr>
                <w:rFonts w:ascii="Arial" w:hAnsi="Arial" w:cs="Arial"/>
                <w:sz w:val="21"/>
                <w:szCs w:val="21"/>
                <w:lang w:eastAsia="ja-JP"/>
              </w:rPr>
              <w:t>To what extent did Nabilan contribute to high quality service delivery?</w:t>
            </w:r>
          </w:p>
        </w:tc>
      </w:tr>
      <w:tr w:rsidR="00F614FD" w:rsidRPr="003B1DE6" w14:paraId="574F4C8A" w14:textId="77777777" w:rsidTr="001C22F5">
        <w:trPr>
          <w:trHeight w:val="252"/>
        </w:trPr>
        <w:tc>
          <w:tcPr>
            <w:tcW w:w="5000" w:type="pct"/>
            <w:shd w:val="clear" w:color="auto" w:fill="auto"/>
          </w:tcPr>
          <w:p w14:paraId="3C3BA5AA" w14:textId="77777777" w:rsidR="00F614FD" w:rsidRPr="003B1DE6" w:rsidRDefault="00F614FD" w:rsidP="00447313">
            <w:pPr>
              <w:numPr>
                <w:ilvl w:val="1"/>
                <w:numId w:val="34"/>
              </w:numPr>
              <w:autoSpaceDE/>
              <w:autoSpaceDN/>
              <w:adjustRightInd/>
              <w:spacing w:after="0"/>
              <w:ind w:left="526" w:hanging="526"/>
              <w:contextualSpacing/>
              <w:textAlignment w:val="auto"/>
              <w:rPr>
                <w:rFonts w:ascii="Arial" w:hAnsi="Arial" w:cs="Arial"/>
                <w:sz w:val="21"/>
                <w:szCs w:val="21"/>
                <w:lang w:eastAsia="ja-JP"/>
              </w:rPr>
            </w:pPr>
            <w:r w:rsidRPr="003B1DE6">
              <w:rPr>
                <w:rFonts w:ascii="Arial" w:hAnsi="Arial" w:cs="Arial"/>
                <w:sz w:val="21"/>
                <w:szCs w:val="21"/>
                <w:lang w:eastAsia="ja-JP"/>
              </w:rPr>
              <w:t>To what extent did Nabilan contribute to inclusive service delivery?</w:t>
            </w:r>
          </w:p>
        </w:tc>
      </w:tr>
      <w:tr w:rsidR="00F614FD" w:rsidRPr="003B1DE6" w14:paraId="3D05366A" w14:textId="77777777" w:rsidTr="001C22F5">
        <w:trPr>
          <w:trHeight w:val="252"/>
        </w:trPr>
        <w:tc>
          <w:tcPr>
            <w:tcW w:w="5000" w:type="pct"/>
            <w:shd w:val="clear" w:color="auto" w:fill="auto"/>
          </w:tcPr>
          <w:p w14:paraId="1838258C" w14:textId="77777777" w:rsidR="00F614FD" w:rsidRPr="003B1DE6" w:rsidRDefault="00F614FD" w:rsidP="00447313">
            <w:pPr>
              <w:numPr>
                <w:ilvl w:val="1"/>
                <w:numId w:val="34"/>
              </w:numPr>
              <w:autoSpaceDE/>
              <w:autoSpaceDN/>
              <w:adjustRightInd/>
              <w:spacing w:after="0"/>
              <w:ind w:left="526" w:hanging="526"/>
              <w:contextualSpacing/>
              <w:textAlignment w:val="auto"/>
              <w:rPr>
                <w:rFonts w:ascii="Arial" w:hAnsi="Arial" w:cs="Arial"/>
                <w:sz w:val="21"/>
                <w:szCs w:val="21"/>
                <w:lang w:eastAsia="ja-JP"/>
              </w:rPr>
            </w:pPr>
            <w:r w:rsidRPr="003B1DE6">
              <w:rPr>
                <w:rFonts w:ascii="Arial" w:hAnsi="Arial" w:cs="Arial"/>
                <w:sz w:val="21"/>
                <w:szCs w:val="21"/>
                <w:lang w:eastAsia="ja-JP"/>
              </w:rPr>
              <w:t>How has Nabilan strengthened referral pathways?</w:t>
            </w:r>
          </w:p>
        </w:tc>
      </w:tr>
      <w:tr w:rsidR="00F614FD" w:rsidRPr="003B1DE6" w14:paraId="42DE0BB9" w14:textId="77777777" w:rsidTr="001C22F5">
        <w:trPr>
          <w:trHeight w:val="252"/>
        </w:trPr>
        <w:tc>
          <w:tcPr>
            <w:tcW w:w="5000" w:type="pct"/>
            <w:shd w:val="clear" w:color="auto" w:fill="auto"/>
          </w:tcPr>
          <w:p w14:paraId="0C055016" w14:textId="77777777" w:rsidR="00F614FD" w:rsidRPr="003B1DE6" w:rsidRDefault="00F614FD" w:rsidP="00447313">
            <w:pPr>
              <w:numPr>
                <w:ilvl w:val="1"/>
                <w:numId w:val="34"/>
              </w:numPr>
              <w:autoSpaceDE/>
              <w:autoSpaceDN/>
              <w:adjustRightInd/>
              <w:spacing w:after="0"/>
              <w:ind w:left="526" w:hanging="526"/>
              <w:contextualSpacing/>
              <w:textAlignment w:val="auto"/>
              <w:rPr>
                <w:rFonts w:ascii="Arial" w:hAnsi="Arial" w:cs="Arial"/>
                <w:sz w:val="21"/>
                <w:szCs w:val="21"/>
                <w:lang w:eastAsia="ja-JP"/>
              </w:rPr>
            </w:pPr>
            <w:r w:rsidRPr="003B1DE6">
              <w:rPr>
                <w:rFonts w:ascii="Arial" w:hAnsi="Arial" w:cs="Arial"/>
                <w:sz w:val="21"/>
                <w:szCs w:val="21"/>
                <w:lang w:eastAsia="ja-JP"/>
              </w:rPr>
              <w:t>How has Nabilan contributed to improving the justice sector response to VAWC?</w:t>
            </w:r>
          </w:p>
        </w:tc>
      </w:tr>
      <w:tr w:rsidR="00F614FD" w:rsidRPr="003B1DE6" w14:paraId="20619B90" w14:textId="77777777" w:rsidTr="001C22F5">
        <w:trPr>
          <w:trHeight w:val="57"/>
        </w:trPr>
        <w:tc>
          <w:tcPr>
            <w:tcW w:w="5000" w:type="pct"/>
            <w:shd w:val="clear" w:color="auto" w:fill="auto"/>
            <w:vAlign w:val="center"/>
          </w:tcPr>
          <w:p w14:paraId="5B7486BB" w14:textId="77777777" w:rsidR="00F614FD" w:rsidRPr="003B1DE6" w:rsidRDefault="00F614FD" w:rsidP="00447313">
            <w:pPr>
              <w:autoSpaceDE/>
              <w:autoSpaceDN/>
              <w:adjustRightInd/>
              <w:spacing w:after="0"/>
              <w:textAlignment w:val="auto"/>
              <w:rPr>
                <w:rFonts w:ascii="Arial" w:hAnsi="Arial" w:cs="Arial"/>
                <w:color w:val="822B6A"/>
                <w:sz w:val="21"/>
                <w:szCs w:val="21"/>
              </w:rPr>
            </w:pPr>
            <w:r w:rsidRPr="003B1DE6">
              <w:rPr>
                <w:rFonts w:ascii="Arial" w:hAnsi="Arial" w:cs="Arial"/>
                <w:color w:val="822B6A"/>
                <w:sz w:val="21"/>
                <w:szCs w:val="21"/>
              </w:rPr>
              <w:t>KEQ 2 To what extent are individuals, communities and institutions taking action to reduce violence against women?</w:t>
            </w:r>
          </w:p>
        </w:tc>
      </w:tr>
      <w:tr w:rsidR="00F614FD" w:rsidRPr="003B1DE6" w14:paraId="2F6E2738" w14:textId="77777777" w:rsidTr="001C22F5">
        <w:trPr>
          <w:trHeight w:val="252"/>
        </w:trPr>
        <w:tc>
          <w:tcPr>
            <w:tcW w:w="5000" w:type="pct"/>
            <w:shd w:val="clear" w:color="auto" w:fill="auto"/>
          </w:tcPr>
          <w:p w14:paraId="5B999ECE" w14:textId="77777777" w:rsidR="00F614FD" w:rsidRPr="003B1DE6" w:rsidRDefault="00F614FD" w:rsidP="00447313">
            <w:pPr>
              <w:numPr>
                <w:ilvl w:val="1"/>
                <w:numId w:val="35"/>
              </w:numPr>
              <w:autoSpaceDE/>
              <w:autoSpaceDN/>
              <w:adjustRightInd/>
              <w:spacing w:after="0"/>
              <w:ind w:left="526" w:hanging="526"/>
              <w:contextualSpacing/>
              <w:textAlignment w:val="auto"/>
              <w:rPr>
                <w:rFonts w:ascii="Arial" w:hAnsi="Arial" w:cs="Arial"/>
                <w:sz w:val="21"/>
                <w:szCs w:val="21"/>
                <w:lang w:eastAsia="ja-JP"/>
              </w:rPr>
            </w:pPr>
            <w:r w:rsidRPr="003B1DE6">
              <w:rPr>
                <w:rFonts w:ascii="Arial" w:hAnsi="Arial" w:cs="Arial"/>
                <w:sz w:val="21"/>
                <w:szCs w:val="21"/>
                <w:lang w:eastAsia="ja-JP"/>
              </w:rPr>
              <w:t xml:space="preserve">Is Nabilan effectively supporting partner agencies to undertake quality prevention programming? </w:t>
            </w:r>
          </w:p>
        </w:tc>
      </w:tr>
      <w:tr w:rsidR="00F614FD" w:rsidRPr="003B1DE6" w14:paraId="3F5E833E" w14:textId="77777777" w:rsidTr="001C22F5">
        <w:trPr>
          <w:trHeight w:val="252"/>
        </w:trPr>
        <w:tc>
          <w:tcPr>
            <w:tcW w:w="5000" w:type="pct"/>
            <w:shd w:val="clear" w:color="auto" w:fill="auto"/>
          </w:tcPr>
          <w:p w14:paraId="2FE355C7" w14:textId="77777777" w:rsidR="00F614FD" w:rsidRPr="003B1DE6" w:rsidRDefault="00F614FD" w:rsidP="00447313">
            <w:pPr>
              <w:numPr>
                <w:ilvl w:val="1"/>
                <w:numId w:val="35"/>
              </w:numPr>
              <w:autoSpaceDE/>
              <w:autoSpaceDN/>
              <w:adjustRightInd/>
              <w:spacing w:after="0"/>
              <w:ind w:left="533" w:hanging="533"/>
              <w:contextualSpacing/>
              <w:textAlignment w:val="auto"/>
              <w:rPr>
                <w:rFonts w:ascii="Arial" w:hAnsi="Arial" w:cs="Arial"/>
                <w:sz w:val="21"/>
                <w:szCs w:val="21"/>
                <w:lang w:eastAsia="ja-JP"/>
              </w:rPr>
            </w:pPr>
            <w:r w:rsidRPr="003B1DE6">
              <w:rPr>
                <w:rFonts w:ascii="Arial" w:hAnsi="Arial" w:cs="Arial"/>
                <w:sz w:val="21"/>
                <w:szCs w:val="21"/>
                <w:lang w:eastAsia="ja-JP"/>
              </w:rPr>
              <w:t>How has Nabilan contributed to the independent women's movement’s advocacy on gender equity and ending VAWC?</w:t>
            </w:r>
          </w:p>
        </w:tc>
      </w:tr>
      <w:tr w:rsidR="00F614FD" w:rsidRPr="003B1DE6" w14:paraId="7F52DD00" w14:textId="77777777" w:rsidTr="001C22F5">
        <w:trPr>
          <w:trHeight w:val="252"/>
        </w:trPr>
        <w:tc>
          <w:tcPr>
            <w:tcW w:w="5000" w:type="pct"/>
            <w:shd w:val="clear" w:color="auto" w:fill="auto"/>
          </w:tcPr>
          <w:p w14:paraId="27DDB419" w14:textId="77777777" w:rsidR="00F614FD" w:rsidRPr="003B1DE6" w:rsidRDefault="00F614FD" w:rsidP="00447313">
            <w:pPr>
              <w:numPr>
                <w:ilvl w:val="1"/>
                <w:numId w:val="35"/>
              </w:numPr>
              <w:autoSpaceDE/>
              <w:autoSpaceDN/>
              <w:adjustRightInd/>
              <w:spacing w:after="0"/>
              <w:ind w:left="526" w:hanging="526"/>
              <w:contextualSpacing/>
              <w:textAlignment w:val="auto"/>
              <w:rPr>
                <w:rFonts w:ascii="Arial" w:hAnsi="Arial" w:cs="Arial"/>
                <w:sz w:val="21"/>
                <w:szCs w:val="21"/>
                <w:lang w:eastAsia="ja-JP"/>
              </w:rPr>
            </w:pPr>
            <w:r w:rsidRPr="003B1DE6">
              <w:rPr>
                <w:rFonts w:ascii="Arial" w:hAnsi="Arial" w:cs="Arial"/>
                <w:sz w:val="21"/>
                <w:szCs w:val="21"/>
                <w:lang w:eastAsia="ja-JP"/>
              </w:rPr>
              <w:t>To what extent has Nabilan influenced increased GOTL dialogue and action on preventing VAWC?</w:t>
            </w:r>
          </w:p>
        </w:tc>
      </w:tr>
      <w:tr w:rsidR="00F614FD" w:rsidRPr="003B1DE6" w14:paraId="619F28BF" w14:textId="77777777" w:rsidTr="001C22F5">
        <w:trPr>
          <w:trHeight w:val="252"/>
        </w:trPr>
        <w:tc>
          <w:tcPr>
            <w:tcW w:w="5000" w:type="pct"/>
            <w:shd w:val="clear" w:color="auto" w:fill="auto"/>
          </w:tcPr>
          <w:p w14:paraId="28F53280" w14:textId="77777777" w:rsidR="00F614FD" w:rsidRPr="003B1DE6" w:rsidRDefault="00F614FD" w:rsidP="00447313">
            <w:pPr>
              <w:numPr>
                <w:ilvl w:val="1"/>
                <w:numId w:val="35"/>
              </w:numPr>
              <w:autoSpaceDE/>
              <w:autoSpaceDN/>
              <w:adjustRightInd/>
              <w:spacing w:after="0"/>
              <w:ind w:left="526" w:hanging="526"/>
              <w:contextualSpacing/>
              <w:textAlignment w:val="auto"/>
              <w:rPr>
                <w:rFonts w:ascii="Arial" w:hAnsi="Arial" w:cs="Arial"/>
                <w:sz w:val="21"/>
                <w:szCs w:val="21"/>
                <w:lang w:eastAsia="ja-JP"/>
              </w:rPr>
            </w:pPr>
            <w:r w:rsidRPr="003B1DE6">
              <w:rPr>
                <w:rFonts w:ascii="Arial" w:hAnsi="Arial" w:cs="Arial"/>
                <w:sz w:val="21"/>
                <w:szCs w:val="21"/>
                <w:lang w:eastAsia="ja-JP"/>
              </w:rPr>
              <w:t>Is Nabilan effectively supporting Change Ambassadors to influence their programs on quality prevention approaches?</w:t>
            </w:r>
          </w:p>
        </w:tc>
      </w:tr>
      <w:tr w:rsidR="00F614FD" w:rsidRPr="003B1DE6" w14:paraId="22B15C2E" w14:textId="77777777" w:rsidTr="001C22F5">
        <w:trPr>
          <w:trHeight w:val="252"/>
        </w:trPr>
        <w:tc>
          <w:tcPr>
            <w:tcW w:w="5000" w:type="pct"/>
            <w:shd w:val="clear" w:color="auto" w:fill="auto"/>
          </w:tcPr>
          <w:p w14:paraId="31EB15D5" w14:textId="77777777" w:rsidR="00F614FD" w:rsidRPr="003B1DE6" w:rsidRDefault="00F614FD" w:rsidP="00447313">
            <w:pPr>
              <w:numPr>
                <w:ilvl w:val="1"/>
                <w:numId w:val="35"/>
              </w:numPr>
              <w:autoSpaceDE/>
              <w:autoSpaceDN/>
              <w:adjustRightInd/>
              <w:spacing w:after="0"/>
              <w:ind w:left="526" w:hanging="526"/>
              <w:contextualSpacing/>
              <w:textAlignment w:val="auto"/>
              <w:rPr>
                <w:rFonts w:ascii="Arial" w:hAnsi="Arial" w:cs="Arial"/>
                <w:sz w:val="21"/>
                <w:szCs w:val="21"/>
                <w:lang w:eastAsia="ja-JP"/>
              </w:rPr>
            </w:pPr>
            <w:r w:rsidRPr="003B1DE6">
              <w:rPr>
                <w:rFonts w:ascii="Arial" w:hAnsi="Arial" w:cs="Arial"/>
                <w:sz w:val="21"/>
                <w:szCs w:val="21"/>
                <w:lang w:eastAsia="ja-JP"/>
              </w:rPr>
              <w:t>To what extent has Nabilan supported individuals, communities and institutions to recognise VAWC as a problem?</w:t>
            </w:r>
          </w:p>
        </w:tc>
      </w:tr>
      <w:tr w:rsidR="00F614FD" w:rsidRPr="003B1DE6" w14:paraId="2E81B97F" w14:textId="77777777" w:rsidTr="001C22F5">
        <w:trPr>
          <w:trHeight w:val="252"/>
        </w:trPr>
        <w:tc>
          <w:tcPr>
            <w:tcW w:w="5000" w:type="pct"/>
            <w:shd w:val="clear" w:color="auto" w:fill="auto"/>
          </w:tcPr>
          <w:p w14:paraId="092A1559" w14:textId="77777777" w:rsidR="00F614FD" w:rsidRPr="003B1DE6" w:rsidRDefault="00F614FD" w:rsidP="00447313">
            <w:pPr>
              <w:numPr>
                <w:ilvl w:val="1"/>
                <w:numId w:val="35"/>
              </w:numPr>
              <w:autoSpaceDE/>
              <w:autoSpaceDN/>
              <w:adjustRightInd/>
              <w:spacing w:after="0"/>
              <w:ind w:left="526" w:hanging="526"/>
              <w:contextualSpacing/>
              <w:textAlignment w:val="auto"/>
              <w:rPr>
                <w:rFonts w:ascii="Arial" w:hAnsi="Arial" w:cs="Arial"/>
                <w:sz w:val="21"/>
                <w:szCs w:val="21"/>
                <w:lang w:eastAsia="ja-JP"/>
              </w:rPr>
            </w:pPr>
            <w:r w:rsidRPr="003B1DE6">
              <w:rPr>
                <w:rFonts w:ascii="Arial" w:hAnsi="Arial" w:cs="Arial"/>
                <w:sz w:val="21"/>
                <w:szCs w:val="21"/>
                <w:lang w:eastAsia="ja-JP"/>
              </w:rPr>
              <w:t>To what extent has Nabilan supported communities to take independent action to prevent VAWC?</w:t>
            </w:r>
          </w:p>
        </w:tc>
      </w:tr>
      <w:tr w:rsidR="00F614FD" w:rsidRPr="003B1DE6" w14:paraId="7E188EF8" w14:textId="77777777" w:rsidTr="001C22F5">
        <w:trPr>
          <w:trHeight w:val="252"/>
        </w:trPr>
        <w:tc>
          <w:tcPr>
            <w:tcW w:w="5000" w:type="pct"/>
            <w:shd w:val="clear" w:color="auto" w:fill="auto"/>
          </w:tcPr>
          <w:p w14:paraId="41B5FF86" w14:textId="77777777" w:rsidR="00F614FD" w:rsidRPr="003B1DE6" w:rsidRDefault="00F614FD" w:rsidP="00447313">
            <w:pPr>
              <w:numPr>
                <w:ilvl w:val="1"/>
                <w:numId w:val="35"/>
              </w:numPr>
              <w:autoSpaceDE/>
              <w:autoSpaceDN/>
              <w:adjustRightInd/>
              <w:spacing w:after="0"/>
              <w:ind w:left="526" w:hanging="526"/>
              <w:contextualSpacing/>
              <w:textAlignment w:val="auto"/>
              <w:rPr>
                <w:rFonts w:ascii="Arial" w:hAnsi="Arial" w:cs="Arial"/>
                <w:sz w:val="21"/>
                <w:szCs w:val="21"/>
                <w:lang w:eastAsia="ja-JP"/>
              </w:rPr>
            </w:pPr>
            <w:r w:rsidRPr="003B1DE6">
              <w:rPr>
                <w:rFonts w:ascii="Arial" w:hAnsi="Arial" w:cs="Arial"/>
                <w:sz w:val="21"/>
                <w:szCs w:val="21"/>
                <w:lang w:eastAsia="ja-JP"/>
              </w:rPr>
              <w:t>To what extent has the evidence from the CBA pilot influenced prevention programming by other agencies?</w:t>
            </w:r>
          </w:p>
        </w:tc>
      </w:tr>
      <w:tr w:rsidR="00F614FD" w:rsidRPr="003B1DE6" w14:paraId="006EEF05" w14:textId="77777777" w:rsidTr="001C22F5">
        <w:trPr>
          <w:trHeight w:val="20"/>
        </w:trPr>
        <w:tc>
          <w:tcPr>
            <w:tcW w:w="5000" w:type="pct"/>
            <w:shd w:val="clear" w:color="auto" w:fill="auto"/>
          </w:tcPr>
          <w:p w14:paraId="0F31B163" w14:textId="77777777" w:rsidR="00F614FD" w:rsidRPr="003B1DE6" w:rsidRDefault="00F614FD" w:rsidP="00447313">
            <w:pPr>
              <w:autoSpaceDE/>
              <w:autoSpaceDN/>
              <w:adjustRightInd/>
              <w:spacing w:after="0"/>
              <w:textAlignment w:val="auto"/>
              <w:rPr>
                <w:rFonts w:ascii="Arial" w:hAnsi="Arial" w:cs="Arial"/>
                <w:color w:val="822B6A"/>
                <w:sz w:val="21"/>
                <w:szCs w:val="21"/>
              </w:rPr>
            </w:pPr>
            <w:r w:rsidRPr="003B1DE6">
              <w:rPr>
                <w:rFonts w:ascii="Arial" w:hAnsi="Arial" w:cs="Arial"/>
                <w:color w:val="822B6A"/>
                <w:sz w:val="21"/>
                <w:szCs w:val="21"/>
              </w:rPr>
              <w:t>KEQ 3 What key factors will contribute to the sustainability of the Nabilan program outcomes beyond the end of the program?</w:t>
            </w:r>
          </w:p>
        </w:tc>
      </w:tr>
      <w:tr w:rsidR="00F614FD" w:rsidRPr="003B1DE6" w14:paraId="7EB304BB" w14:textId="77777777" w:rsidTr="001C22F5">
        <w:trPr>
          <w:trHeight w:val="203"/>
        </w:trPr>
        <w:tc>
          <w:tcPr>
            <w:tcW w:w="5000" w:type="pct"/>
            <w:shd w:val="clear" w:color="auto" w:fill="auto"/>
          </w:tcPr>
          <w:p w14:paraId="3AD4544E" w14:textId="77777777" w:rsidR="00F614FD" w:rsidRPr="003B1DE6" w:rsidRDefault="00F614FD" w:rsidP="00447313">
            <w:pPr>
              <w:numPr>
                <w:ilvl w:val="0"/>
                <w:numId w:val="36"/>
              </w:numPr>
              <w:autoSpaceDE/>
              <w:autoSpaceDN/>
              <w:adjustRightInd/>
              <w:spacing w:after="0"/>
              <w:ind w:left="533" w:hanging="533"/>
              <w:textAlignment w:val="auto"/>
              <w:rPr>
                <w:rFonts w:ascii="Arial" w:hAnsi="Arial" w:cs="Arial"/>
                <w:sz w:val="21"/>
                <w:szCs w:val="21"/>
              </w:rPr>
            </w:pPr>
            <w:r w:rsidRPr="003B1DE6">
              <w:rPr>
                <w:rFonts w:ascii="Arial" w:hAnsi="Arial" w:cs="Arial"/>
                <w:sz w:val="21"/>
                <w:szCs w:val="21"/>
              </w:rPr>
              <w:t>To what extent is GOTL resourcing prevention activities and essential services for women and children impacted by violence? How did Nabilan contribute to this?</w:t>
            </w:r>
          </w:p>
        </w:tc>
      </w:tr>
      <w:tr w:rsidR="00F614FD" w:rsidRPr="003B1DE6" w14:paraId="31849546" w14:textId="77777777" w:rsidTr="001C22F5">
        <w:trPr>
          <w:trHeight w:val="252"/>
        </w:trPr>
        <w:tc>
          <w:tcPr>
            <w:tcW w:w="5000" w:type="pct"/>
            <w:shd w:val="clear" w:color="auto" w:fill="auto"/>
          </w:tcPr>
          <w:p w14:paraId="34C981C8" w14:textId="77777777" w:rsidR="00F614FD" w:rsidRPr="003B1DE6" w:rsidRDefault="00F614FD" w:rsidP="00447313">
            <w:pPr>
              <w:numPr>
                <w:ilvl w:val="0"/>
                <w:numId w:val="36"/>
              </w:numPr>
              <w:autoSpaceDE/>
              <w:autoSpaceDN/>
              <w:adjustRightInd/>
              <w:spacing w:after="0"/>
              <w:ind w:left="533" w:hanging="533"/>
              <w:textAlignment w:val="auto"/>
              <w:rPr>
                <w:rFonts w:ascii="Arial" w:hAnsi="Arial" w:cs="Arial"/>
                <w:sz w:val="21"/>
                <w:szCs w:val="21"/>
              </w:rPr>
            </w:pPr>
            <w:r w:rsidRPr="003B1DE6">
              <w:rPr>
                <w:rFonts w:ascii="Arial" w:hAnsi="Arial" w:cs="Arial"/>
                <w:sz w:val="21"/>
                <w:szCs w:val="21"/>
              </w:rPr>
              <w:t>Is there evidence of change of community attitudes and practices relating to VAWC?   </w:t>
            </w:r>
          </w:p>
        </w:tc>
      </w:tr>
      <w:tr w:rsidR="00F614FD" w:rsidRPr="003B1DE6" w14:paraId="530F54DB" w14:textId="77777777" w:rsidTr="001C22F5">
        <w:trPr>
          <w:trHeight w:val="252"/>
        </w:trPr>
        <w:tc>
          <w:tcPr>
            <w:tcW w:w="5000" w:type="pct"/>
            <w:shd w:val="clear" w:color="auto" w:fill="auto"/>
          </w:tcPr>
          <w:p w14:paraId="465F5A13" w14:textId="77777777" w:rsidR="00F614FD" w:rsidRPr="003B1DE6" w:rsidRDefault="00F614FD" w:rsidP="00447313">
            <w:pPr>
              <w:numPr>
                <w:ilvl w:val="0"/>
                <w:numId w:val="36"/>
              </w:numPr>
              <w:autoSpaceDE/>
              <w:autoSpaceDN/>
              <w:adjustRightInd/>
              <w:spacing w:after="0"/>
              <w:ind w:left="533" w:hanging="533"/>
              <w:textAlignment w:val="auto"/>
              <w:rPr>
                <w:rFonts w:ascii="Arial" w:hAnsi="Arial" w:cs="Arial"/>
                <w:sz w:val="21"/>
                <w:szCs w:val="21"/>
              </w:rPr>
            </w:pPr>
            <w:r w:rsidRPr="003B1DE6">
              <w:rPr>
                <w:rFonts w:ascii="Arial" w:hAnsi="Arial" w:cs="Arial"/>
                <w:sz w:val="21"/>
                <w:szCs w:val="21"/>
              </w:rPr>
              <w:t>Is there evidence of strengthened local capacity and systems to continue implementation of quality services and prevention approaches? </w:t>
            </w:r>
          </w:p>
        </w:tc>
      </w:tr>
      <w:tr w:rsidR="00F614FD" w:rsidRPr="003B1DE6" w14:paraId="77BD3B3B" w14:textId="77777777" w:rsidTr="001C22F5">
        <w:trPr>
          <w:trHeight w:val="252"/>
        </w:trPr>
        <w:tc>
          <w:tcPr>
            <w:tcW w:w="5000" w:type="pct"/>
            <w:shd w:val="clear" w:color="auto" w:fill="auto"/>
          </w:tcPr>
          <w:p w14:paraId="0E373A1E" w14:textId="77777777" w:rsidR="00F614FD" w:rsidRPr="003B1DE6" w:rsidRDefault="00F614FD" w:rsidP="00447313">
            <w:pPr>
              <w:numPr>
                <w:ilvl w:val="0"/>
                <w:numId w:val="36"/>
              </w:numPr>
              <w:autoSpaceDE/>
              <w:autoSpaceDN/>
              <w:adjustRightInd/>
              <w:spacing w:after="0"/>
              <w:ind w:left="533" w:hanging="533"/>
              <w:textAlignment w:val="auto"/>
              <w:rPr>
                <w:rFonts w:ascii="Arial" w:hAnsi="Arial" w:cs="Arial"/>
                <w:sz w:val="21"/>
                <w:szCs w:val="21"/>
              </w:rPr>
            </w:pPr>
            <w:r w:rsidRPr="003B1DE6">
              <w:rPr>
                <w:rFonts w:ascii="Arial" w:hAnsi="Arial" w:cs="Arial"/>
                <w:sz w:val="21"/>
                <w:szCs w:val="21"/>
              </w:rPr>
              <w:t>To what extent is the CBA approach likely to be replicable in the context of Timor-Leste?</w:t>
            </w:r>
          </w:p>
        </w:tc>
      </w:tr>
      <w:tr w:rsidR="00F614FD" w:rsidRPr="003B1DE6" w14:paraId="6AFBA596" w14:textId="77777777" w:rsidTr="001C22F5">
        <w:trPr>
          <w:trHeight w:val="20"/>
        </w:trPr>
        <w:tc>
          <w:tcPr>
            <w:tcW w:w="5000" w:type="pct"/>
            <w:shd w:val="clear" w:color="auto" w:fill="auto"/>
          </w:tcPr>
          <w:p w14:paraId="31963853" w14:textId="77777777" w:rsidR="00F614FD" w:rsidRPr="003B1DE6" w:rsidRDefault="00F614FD" w:rsidP="00447313">
            <w:pPr>
              <w:autoSpaceDE/>
              <w:autoSpaceDN/>
              <w:adjustRightInd/>
              <w:spacing w:after="0"/>
              <w:textAlignment w:val="auto"/>
              <w:rPr>
                <w:rFonts w:ascii="Arial" w:hAnsi="Arial" w:cs="Arial"/>
                <w:color w:val="822B6A"/>
                <w:sz w:val="21"/>
                <w:szCs w:val="21"/>
              </w:rPr>
            </w:pPr>
            <w:r w:rsidRPr="003B1DE6">
              <w:rPr>
                <w:rFonts w:ascii="Arial" w:hAnsi="Arial" w:cs="Arial"/>
                <w:color w:val="822B6A"/>
                <w:sz w:val="21"/>
                <w:szCs w:val="21"/>
              </w:rPr>
              <w:t>KEQ 4 Are there indications that the Nabilan programming model has contributed, or could contribute, to changing social norms relating to GBV in Timor-Leste?</w:t>
            </w:r>
          </w:p>
        </w:tc>
      </w:tr>
      <w:tr w:rsidR="00F614FD" w:rsidRPr="003B1DE6" w14:paraId="1BB51E35" w14:textId="77777777" w:rsidTr="001C22F5">
        <w:trPr>
          <w:trHeight w:val="252"/>
        </w:trPr>
        <w:tc>
          <w:tcPr>
            <w:tcW w:w="5000" w:type="pct"/>
            <w:shd w:val="clear" w:color="auto" w:fill="auto"/>
          </w:tcPr>
          <w:p w14:paraId="530C58BD" w14:textId="77777777" w:rsidR="00F614FD" w:rsidRPr="003B1DE6" w:rsidRDefault="00F614FD" w:rsidP="00447313">
            <w:pPr>
              <w:numPr>
                <w:ilvl w:val="1"/>
                <w:numId w:val="37"/>
              </w:numPr>
              <w:autoSpaceDE/>
              <w:autoSpaceDN/>
              <w:adjustRightInd/>
              <w:spacing w:after="0"/>
              <w:ind w:left="513" w:hanging="513"/>
              <w:textAlignment w:val="auto"/>
              <w:rPr>
                <w:rFonts w:ascii="Arial" w:hAnsi="Arial" w:cs="Arial"/>
                <w:color w:val="000000"/>
                <w:sz w:val="21"/>
                <w:szCs w:val="21"/>
              </w:rPr>
            </w:pPr>
            <w:r w:rsidRPr="003B1DE6">
              <w:rPr>
                <w:rFonts w:ascii="Arial" w:hAnsi="Arial" w:cs="Arial"/>
                <w:sz w:val="21"/>
                <w:szCs w:val="21"/>
              </w:rPr>
              <w:t>In Nabilan and partners supported focal areas, what evidence is there of change in community members’ and leaders’ attitudes to VAWC??</w:t>
            </w:r>
          </w:p>
        </w:tc>
      </w:tr>
      <w:tr w:rsidR="00F614FD" w:rsidRPr="003B1DE6" w14:paraId="5F65F68E" w14:textId="77777777" w:rsidTr="001C22F5">
        <w:trPr>
          <w:trHeight w:val="252"/>
        </w:trPr>
        <w:tc>
          <w:tcPr>
            <w:tcW w:w="5000" w:type="pct"/>
            <w:shd w:val="clear" w:color="auto" w:fill="auto"/>
          </w:tcPr>
          <w:p w14:paraId="0E549F0A" w14:textId="77777777" w:rsidR="00F614FD" w:rsidRPr="003B1DE6" w:rsidRDefault="00F614FD" w:rsidP="00447313">
            <w:pPr>
              <w:numPr>
                <w:ilvl w:val="1"/>
                <w:numId w:val="37"/>
              </w:numPr>
              <w:autoSpaceDE/>
              <w:autoSpaceDN/>
              <w:adjustRightInd/>
              <w:spacing w:after="0"/>
              <w:ind w:left="513" w:hanging="513"/>
              <w:textAlignment w:val="auto"/>
              <w:rPr>
                <w:rFonts w:ascii="Arial" w:hAnsi="Arial" w:cs="Arial"/>
                <w:color w:val="000000"/>
                <w:sz w:val="21"/>
                <w:szCs w:val="21"/>
              </w:rPr>
            </w:pPr>
            <w:r w:rsidRPr="003B1DE6">
              <w:rPr>
                <w:rFonts w:ascii="Arial" w:hAnsi="Arial" w:cs="Arial"/>
                <w:sz w:val="21"/>
                <w:szCs w:val="21"/>
              </w:rPr>
              <w:t>Was the approach taken appropriate to contribute to changes in social norms?</w:t>
            </w:r>
          </w:p>
        </w:tc>
      </w:tr>
    </w:tbl>
    <w:p w14:paraId="65B0A111" w14:textId="77777777" w:rsidR="00F614FD" w:rsidRPr="00F614FD" w:rsidRDefault="00F614FD" w:rsidP="00447313">
      <w:pPr>
        <w:autoSpaceDE/>
        <w:autoSpaceDN/>
        <w:adjustRightInd/>
        <w:spacing w:after="160" w:line="259" w:lineRule="auto"/>
        <w:jc w:val="both"/>
        <w:textAlignment w:val="auto"/>
        <w:rPr>
          <w:rFonts w:ascii="Calibri" w:eastAsia="Calibri" w:hAnsi="Calibri"/>
          <w:b w:val="0"/>
          <w:color w:val="auto"/>
          <w:u w:val="none"/>
          <w:lang w:val="en-US" w:eastAsia="en-US"/>
        </w:rPr>
      </w:pPr>
    </w:p>
    <w:p w14:paraId="3FC5B06E" w14:textId="33DE7C83" w:rsidR="00E1032F" w:rsidRDefault="00E1032F" w:rsidP="00447313">
      <w:pPr>
        <w:spacing w:line="288" w:lineRule="auto"/>
        <w:jc w:val="both"/>
        <w:rPr>
          <w:rFonts w:asciiTheme="minorHAnsi" w:hAnsiTheme="minorHAnsi" w:cstheme="minorHAnsi"/>
          <w:lang w:eastAsia="en-US"/>
        </w:rPr>
      </w:pPr>
    </w:p>
    <w:p w14:paraId="30B81FFD" w14:textId="77777777" w:rsidR="0058631F" w:rsidRDefault="0058631F" w:rsidP="00447313">
      <w:pPr>
        <w:spacing w:line="288" w:lineRule="auto"/>
        <w:jc w:val="both"/>
        <w:rPr>
          <w:rFonts w:asciiTheme="minorHAnsi" w:hAnsiTheme="minorHAnsi" w:cstheme="minorHAnsi"/>
          <w:lang w:eastAsia="en-US"/>
        </w:rPr>
        <w:sectPr w:rsidR="0058631F" w:rsidSect="00E1032F">
          <w:headerReference w:type="default" r:id="rId46"/>
          <w:endnotePr>
            <w:numFmt w:val="decimal"/>
          </w:endnotePr>
          <w:pgSz w:w="11906" w:h="16838" w:code="9"/>
          <w:pgMar w:top="1418" w:right="1133" w:bottom="1135" w:left="1418" w:header="709" w:footer="624" w:gutter="0"/>
          <w:cols w:space="567"/>
          <w:docGrid w:linePitch="360"/>
        </w:sectPr>
      </w:pPr>
    </w:p>
    <w:p w14:paraId="6F050313" w14:textId="32F01589" w:rsidR="007421F9" w:rsidRPr="007421F9" w:rsidRDefault="0058631F" w:rsidP="007421F9">
      <w:pPr>
        <w:spacing w:line="288" w:lineRule="auto"/>
        <w:jc w:val="both"/>
        <w:rPr>
          <w:rFonts w:ascii="Calibri" w:hAnsi="Calibri" w:cs="Calibri"/>
          <w:bCs/>
          <w:color w:val="822B6A"/>
          <w:kern w:val="32"/>
          <w:sz w:val="28"/>
          <w:szCs w:val="28"/>
          <w:u w:val="none"/>
        </w:rPr>
      </w:pPr>
      <w:r w:rsidRPr="00705BD3">
        <w:rPr>
          <w:rFonts w:ascii="Calibri" w:hAnsi="Calibri" w:cs="Calibri"/>
          <w:bCs/>
          <w:color w:val="822B6A"/>
          <w:kern w:val="32"/>
          <w:sz w:val="28"/>
          <w:szCs w:val="28"/>
          <w:u w:val="none"/>
        </w:rPr>
        <w:t>Annex 2 Progress Against Indicators</w:t>
      </w:r>
    </w:p>
    <w:tbl>
      <w:tblPr>
        <w:tblW w:w="14665" w:type="dxa"/>
        <w:tblBorders>
          <w:top w:val="single" w:sz="4" w:space="0" w:color="69A2B0"/>
          <w:left w:val="single" w:sz="4" w:space="0" w:color="69A2B0"/>
          <w:bottom w:val="single" w:sz="4" w:space="0" w:color="69A2B0"/>
          <w:right w:val="single" w:sz="4" w:space="0" w:color="69A2B0"/>
          <w:insideH w:val="single" w:sz="4" w:space="0" w:color="69A2B0"/>
          <w:insideV w:val="single" w:sz="4" w:space="0" w:color="69A2B0"/>
        </w:tblBorders>
        <w:tblLook w:val="04A0" w:firstRow="1" w:lastRow="0" w:firstColumn="1" w:lastColumn="0" w:noHBand="0" w:noVBand="1"/>
      </w:tblPr>
      <w:tblGrid>
        <w:gridCol w:w="2487"/>
        <w:gridCol w:w="12178"/>
      </w:tblGrid>
      <w:tr w:rsidR="007421F9" w:rsidRPr="007421F9" w14:paraId="0348A237" w14:textId="77777777" w:rsidTr="007C2D67">
        <w:trPr>
          <w:trHeight w:val="491"/>
        </w:trPr>
        <w:tc>
          <w:tcPr>
            <w:tcW w:w="2487" w:type="dxa"/>
            <w:shd w:val="clear" w:color="auto" w:fill="69A2B0"/>
            <w:noWrap/>
            <w:vAlign w:val="center"/>
          </w:tcPr>
          <w:p w14:paraId="2E53D116" w14:textId="77777777" w:rsidR="007421F9" w:rsidRPr="007421F9" w:rsidRDefault="007421F9" w:rsidP="007421F9">
            <w:pPr>
              <w:autoSpaceDE/>
              <w:autoSpaceDN/>
              <w:adjustRightInd/>
              <w:spacing w:after="0"/>
              <w:jc w:val="both"/>
              <w:textAlignment w:val="auto"/>
              <w:rPr>
                <w:rFonts w:ascii="Arial" w:eastAsia="Calibri" w:hAnsi="Arial" w:cs="Arial"/>
                <w:color w:val="FFFFFF"/>
                <w:sz w:val="20"/>
                <w:szCs w:val="20"/>
                <w:u w:val="none"/>
                <w:lang w:val="en-US" w:eastAsia="en-US"/>
              </w:rPr>
            </w:pPr>
            <w:r w:rsidRPr="007421F9">
              <w:rPr>
                <w:rFonts w:ascii="Arial" w:eastAsia="Calibri" w:hAnsi="Arial" w:cs="Arial"/>
                <w:color w:val="FFFFFF"/>
                <w:sz w:val="20"/>
                <w:szCs w:val="20"/>
                <w:u w:val="none"/>
                <w:lang w:val="en-US" w:eastAsia="en-US"/>
              </w:rPr>
              <w:t>Rating</w:t>
            </w:r>
          </w:p>
        </w:tc>
        <w:tc>
          <w:tcPr>
            <w:tcW w:w="12178" w:type="dxa"/>
            <w:shd w:val="clear" w:color="auto" w:fill="69A2B0"/>
            <w:noWrap/>
            <w:vAlign w:val="center"/>
          </w:tcPr>
          <w:p w14:paraId="60890318" w14:textId="77777777" w:rsidR="007421F9" w:rsidRPr="007421F9" w:rsidRDefault="007421F9" w:rsidP="007421F9">
            <w:pPr>
              <w:autoSpaceDE/>
              <w:autoSpaceDN/>
              <w:adjustRightInd/>
              <w:spacing w:after="0"/>
              <w:jc w:val="both"/>
              <w:textAlignment w:val="auto"/>
              <w:rPr>
                <w:rFonts w:ascii="Arial" w:eastAsia="Calibri" w:hAnsi="Arial" w:cs="Arial"/>
                <w:color w:val="FFFFFF"/>
                <w:sz w:val="20"/>
                <w:szCs w:val="20"/>
                <w:u w:val="none"/>
                <w:lang w:val="en-US" w:eastAsia="en-US"/>
              </w:rPr>
            </w:pPr>
            <w:r w:rsidRPr="007421F9">
              <w:rPr>
                <w:rFonts w:ascii="Arial" w:eastAsia="Calibri" w:hAnsi="Arial" w:cs="Arial"/>
                <w:color w:val="FFFFFF"/>
                <w:sz w:val="20"/>
                <w:szCs w:val="20"/>
                <w:u w:val="none"/>
                <w:lang w:val="en-US" w:eastAsia="en-US"/>
              </w:rPr>
              <w:t>Description</w:t>
            </w:r>
          </w:p>
        </w:tc>
      </w:tr>
      <w:tr w:rsidR="007421F9" w:rsidRPr="007421F9" w14:paraId="63FFCD1B" w14:textId="77777777" w:rsidTr="007C2D67">
        <w:trPr>
          <w:trHeight w:val="491"/>
        </w:trPr>
        <w:tc>
          <w:tcPr>
            <w:tcW w:w="2487" w:type="dxa"/>
            <w:shd w:val="clear" w:color="auto" w:fill="auto"/>
            <w:noWrap/>
            <w:vAlign w:val="center"/>
            <w:hideMark/>
          </w:tcPr>
          <w:p w14:paraId="1483BA13" w14:textId="77777777" w:rsidR="007421F9" w:rsidRPr="007421F9" w:rsidRDefault="007421F9" w:rsidP="007421F9">
            <w:pPr>
              <w:autoSpaceDE/>
              <w:autoSpaceDN/>
              <w:adjustRightInd/>
              <w:spacing w:after="0"/>
              <w:jc w:val="both"/>
              <w:textAlignment w:val="auto"/>
              <w:rPr>
                <w:rFonts w:ascii="Arial" w:eastAsia="Calibri" w:hAnsi="Arial" w:cs="Arial"/>
                <w:color w:val="000000"/>
                <w:sz w:val="20"/>
                <w:szCs w:val="20"/>
                <w:u w:val="none"/>
                <w:lang w:val="en-US" w:eastAsia="en-US"/>
              </w:rPr>
            </w:pPr>
            <w:r w:rsidRPr="007421F9">
              <w:rPr>
                <w:rFonts w:ascii="Arial" w:eastAsia="Calibri" w:hAnsi="Arial" w:cs="Arial"/>
                <w:color w:val="000000"/>
                <w:sz w:val="20"/>
                <w:szCs w:val="20"/>
                <w:u w:val="none"/>
                <w:lang w:val="en-US" w:eastAsia="en-US"/>
              </w:rPr>
              <w:t>On track</w:t>
            </w:r>
          </w:p>
        </w:tc>
        <w:tc>
          <w:tcPr>
            <w:tcW w:w="12178" w:type="dxa"/>
            <w:shd w:val="clear" w:color="auto" w:fill="auto"/>
            <w:noWrap/>
            <w:vAlign w:val="center"/>
            <w:hideMark/>
          </w:tcPr>
          <w:p w14:paraId="1C86372F" w14:textId="77777777" w:rsidR="007421F9" w:rsidRPr="007421F9" w:rsidRDefault="007421F9" w:rsidP="007421F9">
            <w:pPr>
              <w:autoSpaceDE/>
              <w:autoSpaceDN/>
              <w:adjustRightInd/>
              <w:spacing w:after="0"/>
              <w:jc w:val="both"/>
              <w:textAlignment w:val="auto"/>
              <w:rPr>
                <w:rFonts w:ascii="Arial" w:eastAsia="Calibri" w:hAnsi="Arial" w:cs="Arial"/>
                <w:b w:val="0"/>
                <w:color w:val="000000"/>
                <w:sz w:val="20"/>
                <w:szCs w:val="20"/>
                <w:u w:val="none"/>
                <w:lang w:val="en-US" w:eastAsia="en-US"/>
              </w:rPr>
            </w:pPr>
            <w:r w:rsidRPr="007421F9">
              <w:rPr>
                <w:rFonts w:ascii="Arial" w:eastAsia="Calibri" w:hAnsi="Arial" w:cs="Arial"/>
                <w:b w:val="0"/>
                <w:color w:val="000000"/>
                <w:sz w:val="20"/>
                <w:szCs w:val="20"/>
                <w:u w:val="none"/>
                <w:lang w:val="en-US" w:eastAsia="en-US"/>
              </w:rPr>
              <w:t>Our progress towards achieving this EOPO/KEQ is on track, at this stage of the program.</w:t>
            </w:r>
          </w:p>
        </w:tc>
      </w:tr>
      <w:tr w:rsidR="007421F9" w:rsidRPr="007421F9" w14:paraId="7B26C846" w14:textId="77777777" w:rsidTr="007C2D67">
        <w:trPr>
          <w:trHeight w:val="491"/>
        </w:trPr>
        <w:tc>
          <w:tcPr>
            <w:tcW w:w="2487" w:type="dxa"/>
            <w:shd w:val="clear" w:color="auto" w:fill="auto"/>
            <w:noWrap/>
            <w:vAlign w:val="center"/>
            <w:hideMark/>
          </w:tcPr>
          <w:p w14:paraId="676C6623" w14:textId="77777777" w:rsidR="007421F9" w:rsidRPr="007421F9" w:rsidRDefault="007421F9" w:rsidP="007421F9">
            <w:pPr>
              <w:autoSpaceDE/>
              <w:autoSpaceDN/>
              <w:adjustRightInd/>
              <w:spacing w:after="0"/>
              <w:jc w:val="both"/>
              <w:textAlignment w:val="auto"/>
              <w:rPr>
                <w:rFonts w:ascii="Arial" w:eastAsia="Calibri" w:hAnsi="Arial" w:cs="Arial"/>
                <w:color w:val="000000"/>
                <w:sz w:val="20"/>
                <w:szCs w:val="20"/>
                <w:u w:val="none"/>
                <w:lang w:val="en-US" w:eastAsia="en-US"/>
              </w:rPr>
            </w:pPr>
            <w:r w:rsidRPr="007421F9">
              <w:rPr>
                <w:rFonts w:ascii="Arial" w:eastAsia="Calibri" w:hAnsi="Arial" w:cs="Arial"/>
                <w:color w:val="000000"/>
                <w:sz w:val="20"/>
                <w:szCs w:val="20"/>
                <w:u w:val="none"/>
                <w:lang w:val="en-US" w:eastAsia="en-US"/>
              </w:rPr>
              <w:t>Some delay</w:t>
            </w:r>
          </w:p>
        </w:tc>
        <w:tc>
          <w:tcPr>
            <w:tcW w:w="12178" w:type="dxa"/>
            <w:shd w:val="clear" w:color="auto" w:fill="auto"/>
            <w:noWrap/>
            <w:vAlign w:val="center"/>
            <w:hideMark/>
          </w:tcPr>
          <w:p w14:paraId="44974B0B" w14:textId="77777777" w:rsidR="007421F9" w:rsidRPr="007421F9" w:rsidRDefault="007421F9" w:rsidP="007421F9">
            <w:pPr>
              <w:autoSpaceDE/>
              <w:autoSpaceDN/>
              <w:adjustRightInd/>
              <w:spacing w:after="0"/>
              <w:jc w:val="both"/>
              <w:textAlignment w:val="auto"/>
              <w:rPr>
                <w:rFonts w:ascii="Arial" w:eastAsia="Calibri" w:hAnsi="Arial" w:cs="Arial"/>
                <w:b w:val="0"/>
                <w:color w:val="000000"/>
                <w:sz w:val="20"/>
                <w:szCs w:val="20"/>
                <w:u w:val="none"/>
                <w:lang w:val="en-US" w:eastAsia="en-US"/>
              </w:rPr>
            </w:pPr>
            <w:r w:rsidRPr="007421F9">
              <w:rPr>
                <w:rFonts w:ascii="Arial" w:eastAsia="Calibri" w:hAnsi="Arial" w:cs="Arial"/>
                <w:b w:val="0"/>
                <w:color w:val="000000"/>
                <w:sz w:val="20"/>
                <w:szCs w:val="20"/>
                <w:u w:val="none"/>
                <w:lang w:val="en-US" w:eastAsia="en-US"/>
              </w:rPr>
              <w:t>There are some delays and challenges, but we expect to be back on track in the next reporting period.</w:t>
            </w:r>
          </w:p>
        </w:tc>
      </w:tr>
      <w:tr w:rsidR="007421F9" w:rsidRPr="007421F9" w14:paraId="74F79F53" w14:textId="77777777" w:rsidTr="007C2D67">
        <w:trPr>
          <w:trHeight w:val="491"/>
        </w:trPr>
        <w:tc>
          <w:tcPr>
            <w:tcW w:w="2487" w:type="dxa"/>
            <w:shd w:val="clear" w:color="auto" w:fill="auto"/>
            <w:noWrap/>
            <w:vAlign w:val="center"/>
          </w:tcPr>
          <w:p w14:paraId="19DE191F" w14:textId="77777777" w:rsidR="007421F9" w:rsidRPr="007421F9" w:rsidRDefault="007421F9" w:rsidP="007421F9">
            <w:pPr>
              <w:autoSpaceDE/>
              <w:autoSpaceDN/>
              <w:adjustRightInd/>
              <w:spacing w:after="0"/>
              <w:jc w:val="both"/>
              <w:textAlignment w:val="auto"/>
              <w:rPr>
                <w:rFonts w:ascii="Arial" w:eastAsia="Calibri" w:hAnsi="Arial" w:cs="Arial"/>
                <w:color w:val="000000"/>
                <w:sz w:val="20"/>
                <w:szCs w:val="20"/>
                <w:u w:val="none"/>
                <w:lang w:val="en-US" w:eastAsia="en-US"/>
              </w:rPr>
            </w:pPr>
            <w:r w:rsidRPr="007421F9">
              <w:rPr>
                <w:rFonts w:ascii="Arial" w:eastAsia="Calibri" w:hAnsi="Arial" w:cs="Arial"/>
                <w:color w:val="000000"/>
                <w:sz w:val="20"/>
                <w:szCs w:val="20"/>
                <w:u w:val="none"/>
                <w:lang w:val="en-US" w:eastAsia="en-US"/>
              </w:rPr>
              <w:t>Major delay</w:t>
            </w:r>
          </w:p>
        </w:tc>
        <w:tc>
          <w:tcPr>
            <w:tcW w:w="12178" w:type="dxa"/>
            <w:shd w:val="clear" w:color="auto" w:fill="auto"/>
            <w:noWrap/>
            <w:vAlign w:val="center"/>
          </w:tcPr>
          <w:p w14:paraId="78767F1E" w14:textId="77777777" w:rsidR="007421F9" w:rsidRPr="007421F9" w:rsidRDefault="007421F9" w:rsidP="007421F9">
            <w:pPr>
              <w:autoSpaceDE/>
              <w:autoSpaceDN/>
              <w:adjustRightInd/>
              <w:spacing w:after="0"/>
              <w:jc w:val="both"/>
              <w:textAlignment w:val="auto"/>
              <w:rPr>
                <w:rFonts w:ascii="Arial" w:eastAsia="Calibri" w:hAnsi="Arial" w:cs="Arial"/>
                <w:b w:val="0"/>
                <w:color w:val="000000"/>
                <w:sz w:val="20"/>
                <w:szCs w:val="20"/>
                <w:u w:val="none"/>
                <w:lang w:val="en-US" w:eastAsia="en-US"/>
              </w:rPr>
            </w:pPr>
            <w:r w:rsidRPr="007421F9">
              <w:rPr>
                <w:rFonts w:ascii="Arial" w:eastAsia="Calibri" w:hAnsi="Arial" w:cs="Arial"/>
                <w:b w:val="0"/>
                <w:color w:val="000000"/>
                <w:sz w:val="20"/>
                <w:szCs w:val="20"/>
                <w:u w:val="none"/>
                <w:lang w:val="en-US" w:eastAsia="en-US"/>
              </w:rPr>
              <w:t>There have been significant delays and/or barrier to progress in this EOPO/KEQ. Management actions are proposed or being taken to address the delays/barriers.</w:t>
            </w:r>
          </w:p>
        </w:tc>
      </w:tr>
      <w:tr w:rsidR="007421F9" w:rsidRPr="007421F9" w14:paraId="4B9DD242" w14:textId="77777777" w:rsidTr="007C2D67">
        <w:trPr>
          <w:trHeight w:val="491"/>
        </w:trPr>
        <w:tc>
          <w:tcPr>
            <w:tcW w:w="2487" w:type="dxa"/>
            <w:shd w:val="clear" w:color="auto" w:fill="auto"/>
            <w:noWrap/>
            <w:vAlign w:val="center"/>
          </w:tcPr>
          <w:p w14:paraId="5AA8360D" w14:textId="77777777" w:rsidR="007421F9" w:rsidRPr="007421F9" w:rsidRDefault="007421F9" w:rsidP="007421F9">
            <w:pPr>
              <w:autoSpaceDE/>
              <w:autoSpaceDN/>
              <w:adjustRightInd/>
              <w:spacing w:after="0"/>
              <w:jc w:val="both"/>
              <w:textAlignment w:val="auto"/>
              <w:rPr>
                <w:rFonts w:ascii="Arial" w:eastAsia="Calibri" w:hAnsi="Arial" w:cs="Arial"/>
                <w:color w:val="000000"/>
                <w:sz w:val="20"/>
                <w:szCs w:val="20"/>
                <w:u w:val="none"/>
                <w:lang w:val="en-US" w:eastAsia="en-US"/>
              </w:rPr>
            </w:pPr>
            <w:r w:rsidRPr="007421F9">
              <w:rPr>
                <w:rFonts w:ascii="Arial" w:eastAsia="Calibri" w:hAnsi="Arial" w:cs="Arial"/>
                <w:color w:val="000000"/>
                <w:sz w:val="20"/>
                <w:szCs w:val="20"/>
                <w:u w:val="none"/>
                <w:lang w:val="en-US" w:eastAsia="en-US"/>
              </w:rPr>
              <w:t>Too early to tell</w:t>
            </w:r>
          </w:p>
        </w:tc>
        <w:tc>
          <w:tcPr>
            <w:tcW w:w="12178" w:type="dxa"/>
            <w:shd w:val="clear" w:color="auto" w:fill="auto"/>
            <w:noWrap/>
            <w:vAlign w:val="center"/>
          </w:tcPr>
          <w:p w14:paraId="022E7727" w14:textId="77777777" w:rsidR="007421F9" w:rsidRPr="007421F9" w:rsidRDefault="007421F9" w:rsidP="007421F9">
            <w:pPr>
              <w:autoSpaceDE/>
              <w:autoSpaceDN/>
              <w:adjustRightInd/>
              <w:spacing w:after="0"/>
              <w:jc w:val="both"/>
              <w:textAlignment w:val="auto"/>
              <w:rPr>
                <w:rFonts w:ascii="Arial" w:eastAsia="Calibri" w:hAnsi="Arial" w:cs="Arial"/>
                <w:b w:val="0"/>
                <w:color w:val="000000"/>
                <w:sz w:val="20"/>
                <w:szCs w:val="20"/>
                <w:u w:val="none"/>
                <w:lang w:val="en-US" w:eastAsia="en-US"/>
              </w:rPr>
            </w:pPr>
            <w:r w:rsidRPr="007421F9">
              <w:rPr>
                <w:rFonts w:ascii="Arial" w:eastAsia="Calibri" w:hAnsi="Arial" w:cs="Arial"/>
                <w:b w:val="0"/>
                <w:color w:val="000000"/>
                <w:sz w:val="20"/>
                <w:szCs w:val="20"/>
                <w:u w:val="none"/>
                <w:lang w:val="en-US" w:eastAsia="en-US"/>
              </w:rPr>
              <w:t xml:space="preserve">It is too early to tell if we are on track or not. Possibly the activities have not yet commenced, or only just commenced. </w:t>
            </w:r>
          </w:p>
        </w:tc>
      </w:tr>
    </w:tbl>
    <w:p w14:paraId="00980593" w14:textId="77777777" w:rsidR="007421F9" w:rsidRPr="007421F9" w:rsidRDefault="007421F9" w:rsidP="007421F9">
      <w:pPr>
        <w:autoSpaceDE/>
        <w:autoSpaceDN/>
        <w:adjustRightInd/>
        <w:spacing w:after="0"/>
        <w:textAlignment w:val="auto"/>
        <w:rPr>
          <w:rFonts w:ascii="Arial" w:eastAsia="Calibri" w:hAnsi="Arial" w:cs="Arial"/>
          <w:b w:val="0"/>
          <w:color w:val="822B6A"/>
          <w:sz w:val="24"/>
          <w:szCs w:val="24"/>
          <w:u w:val="none"/>
          <w:lang w:eastAsia="en-US"/>
        </w:rPr>
      </w:pPr>
    </w:p>
    <w:p w14:paraId="631A897B" w14:textId="77777777" w:rsidR="007421F9" w:rsidRPr="007421F9" w:rsidRDefault="007421F9" w:rsidP="007421F9">
      <w:pPr>
        <w:autoSpaceDE/>
        <w:autoSpaceDN/>
        <w:adjustRightInd/>
        <w:spacing w:after="0"/>
        <w:textAlignment w:val="auto"/>
        <w:rPr>
          <w:rFonts w:ascii="Arial" w:eastAsia="Calibri" w:hAnsi="Arial" w:cs="Arial"/>
          <w:b w:val="0"/>
          <w:color w:val="auto"/>
          <w:sz w:val="24"/>
          <w:szCs w:val="24"/>
          <w:u w:val="none"/>
          <w:lang w:eastAsia="en-US"/>
        </w:rPr>
      </w:pPr>
    </w:p>
    <w:tbl>
      <w:tblPr>
        <w:tblW w:w="14665" w:type="dxa"/>
        <w:tblBorders>
          <w:top w:val="single" w:sz="4" w:space="0" w:color="69A2B0"/>
          <w:left w:val="single" w:sz="4" w:space="0" w:color="69A2B0"/>
          <w:bottom w:val="single" w:sz="4" w:space="0" w:color="69A2B0"/>
          <w:right w:val="single" w:sz="4" w:space="0" w:color="69A2B0"/>
          <w:insideH w:val="single" w:sz="4" w:space="0" w:color="69A2B0"/>
          <w:insideV w:val="single" w:sz="4" w:space="0" w:color="69A2B0"/>
        </w:tblBorders>
        <w:tblLook w:val="04A0" w:firstRow="1" w:lastRow="0" w:firstColumn="1" w:lastColumn="0" w:noHBand="0" w:noVBand="1"/>
      </w:tblPr>
      <w:tblGrid>
        <w:gridCol w:w="1787"/>
        <w:gridCol w:w="1776"/>
        <w:gridCol w:w="2927"/>
        <w:gridCol w:w="1497"/>
        <w:gridCol w:w="2184"/>
        <w:gridCol w:w="1228"/>
        <w:gridCol w:w="1852"/>
        <w:gridCol w:w="1414"/>
      </w:tblGrid>
      <w:tr w:rsidR="007421F9" w:rsidRPr="007421F9" w14:paraId="3A74E36F" w14:textId="77777777" w:rsidTr="007C2D67">
        <w:trPr>
          <w:trHeight w:val="20"/>
          <w:tblHeader/>
        </w:trPr>
        <w:tc>
          <w:tcPr>
            <w:tcW w:w="1787" w:type="dxa"/>
            <w:shd w:val="clear" w:color="auto" w:fill="69A2B0"/>
            <w:hideMark/>
          </w:tcPr>
          <w:p w14:paraId="0C190C8E" w14:textId="77777777" w:rsidR="007421F9" w:rsidRPr="007421F9" w:rsidRDefault="007421F9" w:rsidP="007421F9">
            <w:pPr>
              <w:autoSpaceDE/>
              <w:autoSpaceDN/>
              <w:adjustRightInd/>
              <w:spacing w:after="0"/>
              <w:textAlignment w:val="auto"/>
              <w:rPr>
                <w:rFonts w:ascii="Arial" w:hAnsi="Arial" w:cs="Arial"/>
                <w:bCs/>
                <w:color w:val="FFFFFF"/>
                <w:sz w:val="16"/>
                <w:szCs w:val="16"/>
                <w:u w:val="none"/>
                <w:lang w:val="en-US" w:eastAsia="en-US"/>
              </w:rPr>
            </w:pPr>
            <w:r w:rsidRPr="007421F9">
              <w:rPr>
                <w:rFonts w:ascii="Arial" w:hAnsi="Arial" w:cs="Arial"/>
                <w:bCs/>
                <w:color w:val="FFFFFF"/>
                <w:sz w:val="16"/>
                <w:szCs w:val="16"/>
                <w:u w:val="none"/>
                <w:lang w:val="en-US" w:eastAsia="en-US"/>
              </w:rPr>
              <w:t>KEQ and Sub-Questions</w:t>
            </w:r>
          </w:p>
        </w:tc>
        <w:tc>
          <w:tcPr>
            <w:tcW w:w="1776" w:type="dxa"/>
            <w:shd w:val="clear" w:color="auto" w:fill="69A2B0"/>
          </w:tcPr>
          <w:p w14:paraId="38034C7F" w14:textId="77777777" w:rsidR="007421F9" w:rsidRPr="007421F9" w:rsidRDefault="007421F9" w:rsidP="007421F9">
            <w:pPr>
              <w:autoSpaceDE/>
              <w:autoSpaceDN/>
              <w:adjustRightInd/>
              <w:spacing w:after="0"/>
              <w:textAlignment w:val="auto"/>
              <w:rPr>
                <w:rFonts w:ascii="Arial" w:hAnsi="Arial" w:cs="Arial"/>
                <w:bCs/>
                <w:color w:val="FFFFFF"/>
                <w:sz w:val="16"/>
                <w:szCs w:val="16"/>
                <w:u w:val="none"/>
                <w:lang w:val="en-US" w:eastAsia="en-US"/>
              </w:rPr>
            </w:pPr>
            <w:r w:rsidRPr="007421F9">
              <w:rPr>
                <w:rFonts w:ascii="Arial" w:hAnsi="Arial" w:cs="Arial"/>
                <w:bCs/>
                <w:color w:val="FFFFFF"/>
                <w:sz w:val="16"/>
                <w:szCs w:val="16"/>
                <w:u w:val="none"/>
                <w:lang w:val="en-US" w:eastAsia="en-US"/>
              </w:rPr>
              <w:t>Relevant outcome</w:t>
            </w:r>
          </w:p>
        </w:tc>
        <w:tc>
          <w:tcPr>
            <w:tcW w:w="2927" w:type="dxa"/>
            <w:shd w:val="clear" w:color="auto" w:fill="69A2B0"/>
            <w:hideMark/>
          </w:tcPr>
          <w:p w14:paraId="719A84B7" w14:textId="77777777" w:rsidR="007421F9" w:rsidRPr="007421F9" w:rsidRDefault="007421F9" w:rsidP="007421F9">
            <w:pPr>
              <w:autoSpaceDE/>
              <w:autoSpaceDN/>
              <w:adjustRightInd/>
              <w:spacing w:after="0"/>
              <w:textAlignment w:val="auto"/>
              <w:rPr>
                <w:rFonts w:ascii="Arial" w:hAnsi="Arial" w:cs="Arial"/>
                <w:bCs/>
                <w:color w:val="FFFFFF"/>
                <w:sz w:val="16"/>
                <w:szCs w:val="16"/>
                <w:u w:val="none"/>
                <w:lang w:val="en-US" w:eastAsia="en-US"/>
              </w:rPr>
            </w:pPr>
            <w:r w:rsidRPr="007421F9">
              <w:rPr>
                <w:rFonts w:ascii="Arial" w:hAnsi="Arial" w:cs="Arial"/>
                <w:bCs/>
                <w:color w:val="FFFFFF"/>
                <w:sz w:val="16"/>
                <w:szCs w:val="16"/>
                <w:u w:val="none"/>
                <w:lang w:val="en-US" w:eastAsia="en-US"/>
              </w:rPr>
              <w:t>Indicators</w:t>
            </w:r>
          </w:p>
        </w:tc>
        <w:tc>
          <w:tcPr>
            <w:tcW w:w="1497" w:type="dxa"/>
            <w:shd w:val="clear" w:color="auto" w:fill="69A2B0"/>
          </w:tcPr>
          <w:p w14:paraId="4FE265DA" w14:textId="77777777" w:rsidR="007421F9" w:rsidRPr="007421F9" w:rsidRDefault="007421F9" w:rsidP="007421F9">
            <w:pPr>
              <w:autoSpaceDE/>
              <w:autoSpaceDN/>
              <w:adjustRightInd/>
              <w:spacing w:after="0"/>
              <w:textAlignment w:val="auto"/>
              <w:rPr>
                <w:rFonts w:ascii="Arial" w:hAnsi="Arial" w:cs="Arial"/>
                <w:bCs/>
                <w:color w:val="FFFFFF"/>
                <w:sz w:val="16"/>
                <w:szCs w:val="16"/>
                <w:u w:val="none"/>
                <w:lang w:val="en-US" w:eastAsia="en-US"/>
              </w:rPr>
            </w:pPr>
            <w:r w:rsidRPr="007421F9">
              <w:rPr>
                <w:rFonts w:ascii="Arial" w:hAnsi="Arial" w:cs="Arial"/>
                <w:bCs/>
                <w:color w:val="FFFFFF"/>
                <w:sz w:val="16"/>
                <w:szCs w:val="16"/>
                <w:u w:val="none"/>
                <w:lang w:val="en-US" w:eastAsia="en-US"/>
              </w:rPr>
              <w:t>#</w:t>
            </w:r>
          </w:p>
        </w:tc>
        <w:tc>
          <w:tcPr>
            <w:tcW w:w="2184" w:type="dxa"/>
            <w:shd w:val="clear" w:color="auto" w:fill="69A2B0"/>
            <w:hideMark/>
          </w:tcPr>
          <w:p w14:paraId="3B6A4253" w14:textId="23872138" w:rsidR="007421F9" w:rsidRPr="007421F9" w:rsidRDefault="007421F9" w:rsidP="007421F9">
            <w:pPr>
              <w:autoSpaceDE/>
              <w:autoSpaceDN/>
              <w:adjustRightInd/>
              <w:spacing w:after="0"/>
              <w:textAlignment w:val="auto"/>
              <w:rPr>
                <w:rFonts w:ascii="Arial" w:hAnsi="Arial" w:cs="Arial"/>
                <w:bCs/>
                <w:color w:val="FFFFFF"/>
                <w:sz w:val="16"/>
                <w:szCs w:val="16"/>
                <w:u w:val="none"/>
                <w:lang w:val="en-US" w:eastAsia="en-US"/>
              </w:rPr>
            </w:pPr>
            <w:r w:rsidRPr="007421F9">
              <w:rPr>
                <w:rFonts w:ascii="Arial" w:hAnsi="Arial" w:cs="Arial"/>
                <w:bCs/>
                <w:color w:val="FFFFFF"/>
                <w:sz w:val="16"/>
                <w:szCs w:val="16"/>
                <w:u w:val="none"/>
                <w:lang w:val="en-US" w:eastAsia="en-US"/>
              </w:rPr>
              <w:t>Corresponding PAF Indicator</w:t>
            </w:r>
            <w:r w:rsidR="00160A2F">
              <w:rPr>
                <w:rFonts w:ascii="Arial" w:hAnsi="Arial" w:cs="Arial"/>
                <w:bCs/>
                <w:color w:val="FFFFFF"/>
                <w:sz w:val="16"/>
                <w:szCs w:val="16"/>
                <w:u w:val="none"/>
                <w:lang w:val="en-US" w:eastAsia="en-US"/>
              </w:rPr>
              <w:t xml:space="preserve"> </w:t>
            </w:r>
            <w:r w:rsidR="005C41ED" w:rsidRPr="005E4703">
              <w:rPr>
                <w:rFonts w:ascii="Arial" w:hAnsi="Arial" w:cs="Arial"/>
                <w:bCs/>
                <w:color w:val="FFFFFF" w:themeColor="background1"/>
                <w:sz w:val="16"/>
                <w:szCs w:val="16"/>
                <w:u w:val="none"/>
                <w:lang w:val="en-US" w:eastAsia="en-US"/>
              </w:rPr>
              <w:t>(Aug 2018)</w:t>
            </w:r>
          </w:p>
        </w:tc>
        <w:tc>
          <w:tcPr>
            <w:tcW w:w="1228" w:type="dxa"/>
            <w:shd w:val="clear" w:color="auto" w:fill="69A2B0"/>
          </w:tcPr>
          <w:p w14:paraId="767F33BB" w14:textId="77777777" w:rsidR="007421F9" w:rsidRPr="007421F9" w:rsidRDefault="007421F9" w:rsidP="007421F9">
            <w:pPr>
              <w:autoSpaceDE/>
              <w:autoSpaceDN/>
              <w:adjustRightInd/>
              <w:spacing w:after="0"/>
              <w:textAlignment w:val="auto"/>
              <w:rPr>
                <w:rFonts w:ascii="Arial" w:hAnsi="Arial" w:cs="Arial"/>
                <w:bCs/>
                <w:color w:val="FFFFFF"/>
                <w:sz w:val="16"/>
                <w:szCs w:val="16"/>
                <w:u w:val="none"/>
                <w:lang w:val="en-US" w:eastAsia="en-US"/>
              </w:rPr>
            </w:pPr>
            <w:r w:rsidRPr="007421F9">
              <w:rPr>
                <w:rFonts w:ascii="Arial" w:hAnsi="Arial" w:cs="Arial"/>
                <w:bCs/>
                <w:color w:val="FFFFFF"/>
                <w:sz w:val="16"/>
                <w:szCs w:val="16"/>
                <w:u w:val="none"/>
                <w:lang w:val="en-US" w:eastAsia="en-US"/>
              </w:rPr>
              <w:t>#</w:t>
            </w:r>
          </w:p>
        </w:tc>
        <w:tc>
          <w:tcPr>
            <w:tcW w:w="1852" w:type="dxa"/>
            <w:shd w:val="clear" w:color="auto" w:fill="69A2B0"/>
            <w:hideMark/>
          </w:tcPr>
          <w:p w14:paraId="08F07503" w14:textId="77777777" w:rsidR="007421F9" w:rsidRPr="007421F9" w:rsidRDefault="007421F9" w:rsidP="007421F9">
            <w:pPr>
              <w:autoSpaceDE/>
              <w:autoSpaceDN/>
              <w:adjustRightInd/>
              <w:spacing w:after="0"/>
              <w:textAlignment w:val="auto"/>
              <w:rPr>
                <w:rFonts w:ascii="Arial" w:hAnsi="Arial" w:cs="Arial"/>
                <w:bCs/>
                <w:color w:val="FFFFFF"/>
                <w:sz w:val="16"/>
                <w:szCs w:val="16"/>
                <w:u w:val="none"/>
                <w:lang w:val="en-US" w:eastAsia="en-US"/>
              </w:rPr>
            </w:pPr>
            <w:r w:rsidRPr="007421F9">
              <w:rPr>
                <w:rFonts w:ascii="Arial" w:hAnsi="Arial" w:cs="Arial"/>
                <w:bCs/>
                <w:color w:val="FFFFFF"/>
                <w:sz w:val="16"/>
                <w:szCs w:val="16"/>
                <w:u w:val="none"/>
                <w:lang w:val="en-US" w:eastAsia="en-US"/>
              </w:rPr>
              <w:t>Target</w:t>
            </w:r>
          </w:p>
        </w:tc>
        <w:tc>
          <w:tcPr>
            <w:tcW w:w="1414" w:type="dxa"/>
            <w:shd w:val="clear" w:color="auto" w:fill="69A2B0"/>
          </w:tcPr>
          <w:p w14:paraId="0BC5B31C" w14:textId="77777777" w:rsidR="007421F9" w:rsidRPr="007421F9" w:rsidRDefault="007421F9" w:rsidP="007421F9">
            <w:pPr>
              <w:autoSpaceDE/>
              <w:autoSpaceDN/>
              <w:adjustRightInd/>
              <w:spacing w:after="0"/>
              <w:textAlignment w:val="auto"/>
              <w:rPr>
                <w:rFonts w:ascii="Arial" w:hAnsi="Arial" w:cs="Arial"/>
                <w:bCs/>
                <w:color w:val="FFFFFF"/>
                <w:sz w:val="16"/>
                <w:szCs w:val="16"/>
                <w:u w:val="none"/>
                <w:lang w:val="en-US" w:eastAsia="en-US"/>
              </w:rPr>
            </w:pPr>
            <w:r w:rsidRPr="007421F9">
              <w:rPr>
                <w:rFonts w:ascii="Arial" w:hAnsi="Arial" w:cs="Arial"/>
                <w:bCs/>
                <w:color w:val="FFFFFF"/>
                <w:sz w:val="16"/>
                <w:szCs w:val="16"/>
                <w:u w:val="none"/>
                <w:lang w:val="en-US" w:eastAsia="en-US"/>
              </w:rPr>
              <w:t>Status</w:t>
            </w:r>
          </w:p>
        </w:tc>
      </w:tr>
      <w:tr w:rsidR="007421F9" w:rsidRPr="007421F9" w14:paraId="1864930F" w14:textId="77777777" w:rsidTr="007C2D67">
        <w:trPr>
          <w:trHeight w:val="20"/>
        </w:trPr>
        <w:tc>
          <w:tcPr>
            <w:tcW w:w="1787" w:type="dxa"/>
            <w:vMerge w:val="restart"/>
            <w:shd w:val="clear" w:color="auto" w:fill="auto"/>
            <w:hideMark/>
          </w:tcPr>
          <w:p w14:paraId="3145DDE3" w14:textId="77777777" w:rsidR="007421F9" w:rsidRPr="007421F9" w:rsidRDefault="007421F9" w:rsidP="007421F9">
            <w:pPr>
              <w:autoSpaceDE/>
              <w:autoSpaceDN/>
              <w:adjustRightInd/>
              <w:spacing w:after="0"/>
              <w:textAlignment w:val="auto"/>
              <w:rPr>
                <w:rFonts w:ascii="Arial" w:hAnsi="Arial" w:cs="Arial"/>
                <w:color w:val="000000"/>
                <w:sz w:val="16"/>
                <w:szCs w:val="16"/>
                <w:u w:val="none"/>
                <w:lang w:val="en-US" w:eastAsia="en-US"/>
              </w:rPr>
            </w:pPr>
            <w:r w:rsidRPr="007421F9">
              <w:rPr>
                <w:rFonts w:ascii="Arial" w:hAnsi="Arial" w:cs="Arial"/>
                <w:color w:val="000000"/>
                <w:sz w:val="16"/>
                <w:szCs w:val="16"/>
                <w:u w:val="none"/>
                <w:lang w:val="en-US" w:eastAsia="en-US"/>
              </w:rPr>
              <w:t xml:space="preserve">KEQ1 How effective was the Nabilan program in guaranteeing women and children who experience violence have access to adequate and responsive services? </w:t>
            </w:r>
          </w:p>
          <w:p w14:paraId="605E08A8" w14:textId="77777777" w:rsidR="007421F9" w:rsidRPr="007421F9" w:rsidRDefault="007421F9" w:rsidP="007421F9">
            <w:pPr>
              <w:autoSpaceDE/>
              <w:autoSpaceDN/>
              <w:adjustRightInd/>
              <w:spacing w:after="0"/>
              <w:textAlignment w:val="auto"/>
              <w:rPr>
                <w:rFonts w:ascii="Arial" w:hAnsi="Arial" w:cs="Arial"/>
                <w:color w:val="000000"/>
                <w:sz w:val="16"/>
                <w:szCs w:val="16"/>
                <w:u w:val="none"/>
                <w:lang w:val="en-US" w:eastAsia="en-US"/>
              </w:rPr>
            </w:pPr>
            <w:r w:rsidRPr="007421F9">
              <w:rPr>
                <w:rFonts w:ascii="Arial" w:hAnsi="Arial" w:cs="Arial"/>
                <w:b w:val="0"/>
                <w:color w:val="000000"/>
                <w:sz w:val="16"/>
                <w:szCs w:val="16"/>
                <w:u w:val="none"/>
                <w:lang w:val="en-US" w:eastAsia="en-US"/>
              </w:rPr>
              <w:t> </w:t>
            </w:r>
          </w:p>
        </w:tc>
        <w:tc>
          <w:tcPr>
            <w:tcW w:w="1776" w:type="dxa"/>
            <w:shd w:val="clear" w:color="auto" w:fill="auto"/>
          </w:tcPr>
          <w:p w14:paraId="127F01E8"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EOPO1:  Women and children who experience violence have access to quality and inclusive services</w:t>
            </w:r>
          </w:p>
        </w:tc>
        <w:tc>
          <w:tcPr>
            <w:tcW w:w="2927" w:type="dxa"/>
            <w:shd w:val="clear" w:color="auto" w:fill="auto"/>
            <w:hideMark/>
          </w:tcPr>
          <w:p w14:paraId="2D78D1D6" w14:textId="77777777" w:rsidR="007421F9" w:rsidRPr="007421F9" w:rsidRDefault="007421F9" w:rsidP="007421F9">
            <w:pPr>
              <w:numPr>
                <w:ilvl w:val="0"/>
                <w:numId w:val="42"/>
              </w:numPr>
              <w:autoSpaceDE/>
              <w:autoSpaceDN/>
              <w:adjustRightInd/>
              <w:spacing w:after="0"/>
              <w:contextualSpacing/>
              <w:textAlignment w:val="auto"/>
              <w:rPr>
                <w:rFonts w:ascii="Arial" w:hAnsi="Arial" w:cs="Arial"/>
                <w:b w:val="0"/>
                <w:color w:val="000000"/>
                <w:sz w:val="16"/>
                <w:szCs w:val="16"/>
                <w:u w:val="none"/>
                <w:lang w:val="en-US" w:eastAsia="ja-JP"/>
              </w:rPr>
            </w:pPr>
            <w:r w:rsidRPr="007421F9">
              <w:rPr>
                <w:rFonts w:ascii="Arial" w:hAnsi="Arial" w:cs="Arial"/>
                <w:b w:val="0"/>
                <w:color w:val="000000"/>
                <w:sz w:val="16"/>
                <w:szCs w:val="16"/>
                <w:u w:val="none"/>
                <w:lang w:val="en-US" w:eastAsia="ja-JP"/>
              </w:rPr>
              <w:t xml:space="preserve">Number of new clients supported by Nabilan partners. </w:t>
            </w:r>
            <w:r w:rsidRPr="007421F9">
              <w:rPr>
                <w:rFonts w:ascii="Arial" w:hAnsi="Arial" w:cs="Arial"/>
                <w:color w:val="000000"/>
                <w:sz w:val="16"/>
                <w:szCs w:val="16"/>
                <w:u w:val="none"/>
                <w:lang w:val="en-US" w:eastAsia="ja-JP"/>
              </w:rPr>
              <w:t>Disaggregation:</w:t>
            </w:r>
            <w:r w:rsidRPr="007421F9">
              <w:rPr>
                <w:rFonts w:ascii="Arial" w:hAnsi="Arial" w:cs="Arial"/>
                <w:b w:val="0"/>
                <w:color w:val="000000"/>
                <w:sz w:val="16"/>
                <w:szCs w:val="16"/>
                <w:u w:val="none"/>
                <w:lang w:val="en-US" w:eastAsia="ja-JP"/>
              </w:rPr>
              <w:t xml:space="preserve"> gender, age, municipality, disability, type of case</w:t>
            </w:r>
          </w:p>
        </w:tc>
        <w:tc>
          <w:tcPr>
            <w:tcW w:w="1497" w:type="dxa"/>
          </w:tcPr>
          <w:p w14:paraId="0F16CD32"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eastAsia="Calibri" w:hAnsi="Arial" w:cs="Arial"/>
                <w:b w:val="0"/>
                <w:color w:val="auto"/>
                <w:sz w:val="16"/>
                <w:szCs w:val="16"/>
                <w:u w:val="none"/>
                <w:lang w:eastAsia="en-US"/>
              </w:rPr>
              <w:t>1,343</w:t>
            </w:r>
          </w:p>
        </w:tc>
        <w:tc>
          <w:tcPr>
            <w:tcW w:w="2184" w:type="dxa"/>
            <w:shd w:val="clear" w:color="auto" w:fill="auto"/>
            <w:hideMark/>
          </w:tcPr>
          <w:p w14:paraId="78CAB175"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PAF Indicator 15: Number of women and girls who experience violence accessing essential services</w:t>
            </w:r>
          </w:p>
        </w:tc>
        <w:tc>
          <w:tcPr>
            <w:tcW w:w="1228" w:type="dxa"/>
          </w:tcPr>
          <w:p w14:paraId="1306BB7C"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1,092</w:t>
            </w:r>
          </w:p>
        </w:tc>
        <w:tc>
          <w:tcPr>
            <w:tcW w:w="1852" w:type="dxa"/>
            <w:shd w:val="clear" w:color="auto" w:fill="auto"/>
            <w:hideMark/>
          </w:tcPr>
          <w:p w14:paraId="04533FC5"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eastAsia="en-US"/>
              </w:rPr>
            </w:pPr>
            <w:r w:rsidRPr="007421F9">
              <w:rPr>
                <w:rFonts w:ascii="Arial" w:hAnsi="Arial" w:cs="Arial"/>
                <w:b w:val="0"/>
                <w:color w:val="000000"/>
                <w:sz w:val="16"/>
                <w:szCs w:val="16"/>
                <w:u w:val="none"/>
                <w:lang w:eastAsia="en-US"/>
              </w:rPr>
              <w:t>Number of new clients steady compared with 2017 levels</w:t>
            </w:r>
          </w:p>
        </w:tc>
        <w:tc>
          <w:tcPr>
            <w:tcW w:w="1414" w:type="dxa"/>
            <w:shd w:val="clear" w:color="auto" w:fill="auto"/>
          </w:tcPr>
          <w:p w14:paraId="08C21321"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eastAsia="en-US"/>
              </w:rPr>
            </w:pPr>
            <w:r w:rsidRPr="007421F9">
              <w:rPr>
                <w:rFonts w:ascii="Arial" w:eastAsia="Calibri" w:hAnsi="Arial" w:cs="Arial"/>
                <w:b w:val="0"/>
                <w:color w:val="000000"/>
                <w:sz w:val="16"/>
                <w:szCs w:val="20"/>
                <w:u w:val="none"/>
                <w:lang w:val="en-US" w:eastAsia="en-US"/>
              </w:rPr>
              <w:t>On track</w:t>
            </w:r>
          </w:p>
        </w:tc>
      </w:tr>
      <w:tr w:rsidR="007421F9" w:rsidRPr="007421F9" w14:paraId="4087550E" w14:textId="77777777" w:rsidTr="007C2D67">
        <w:trPr>
          <w:trHeight w:val="20"/>
        </w:trPr>
        <w:tc>
          <w:tcPr>
            <w:tcW w:w="1787" w:type="dxa"/>
            <w:vMerge/>
            <w:shd w:val="clear" w:color="auto" w:fill="auto"/>
            <w:hideMark/>
          </w:tcPr>
          <w:p w14:paraId="656A7785"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p>
        </w:tc>
        <w:tc>
          <w:tcPr>
            <w:tcW w:w="1776" w:type="dxa"/>
            <w:shd w:val="clear" w:color="auto" w:fill="auto"/>
          </w:tcPr>
          <w:p w14:paraId="407817B0"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p>
        </w:tc>
        <w:tc>
          <w:tcPr>
            <w:tcW w:w="2927" w:type="dxa"/>
            <w:shd w:val="clear" w:color="auto" w:fill="auto"/>
            <w:hideMark/>
          </w:tcPr>
          <w:p w14:paraId="5A3183C4" w14:textId="77777777" w:rsidR="007421F9" w:rsidRPr="007421F9" w:rsidRDefault="007421F9" w:rsidP="007421F9">
            <w:pPr>
              <w:numPr>
                <w:ilvl w:val="0"/>
                <w:numId w:val="42"/>
              </w:numPr>
              <w:autoSpaceDE/>
              <w:autoSpaceDN/>
              <w:adjustRightInd/>
              <w:spacing w:after="0"/>
              <w:contextualSpacing/>
              <w:textAlignment w:val="auto"/>
              <w:rPr>
                <w:rFonts w:ascii="Arial" w:hAnsi="Arial" w:cs="Arial"/>
                <w:b w:val="0"/>
                <w:color w:val="000000"/>
                <w:sz w:val="16"/>
                <w:szCs w:val="16"/>
                <w:u w:val="none"/>
                <w:lang w:val="en-US" w:eastAsia="ja-JP"/>
              </w:rPr>
            </w:pPr>
            <w:r w:rsidRPr="007421F9">
              <w:rPr>
                <w:rFonts w:ascii="Arial" w:hAnsi="Arial" w:cs="Arial"/>
                <w:b w:val="0"/>
                <w:color w:val="000000"/>
                <w:sz w:val="16"/>
                <w:szCs w:val="16"/>
                <w:u w:val="none"/>
                <w:lang w:val="en-US" w:eastAsia="ja-JP"/>
              </w:rPr>
              <w:t>Number of services provided by Nabilan p</w:t>
            </w:r>
            <w:r w:rsidRPr="007421F9">
              <w:rPr>
                <w:rFonts w:ascii="Arial" w:hAnsi="Arial" w:cs="Arial"/>
                <w:b w:val="0"/>
                <w:color w:val="auto"/>
                <w:sz w:val="16"/>
                <w:szCs w:val="16"/>
                <w:u w:val="none"/>
                <w:lang w:val="en-US" w:eastAsia="ja-JP"/>
              </w:rPr>
              <w:t>artners</w:t>
            </w:r>
          </w:p>
          <w:p w14:paraId="3898E553" w14:textId="77777777" w:rsidR="007421F9" w:rsidRPr="007421F9" w:rsidRDefault="007421F9" w:rsidP="007421F9">
            <w:pPr>
              <w:autoSpaceDE/>
              <w:autoSpaceDN/>
              <w:adjustRightInd/>
              <w:spacing w:after="0"/>
              <w:ind w:left="360"/>
              <w:contextualSpacing/>
              <w:textAlignment w:val="auto"/>
              <w:rPr>
                <w:rFonts w:ascii="Arial" w:hAnsi="Arial" w:cs="Arial"/>
                <w:b w:val="0"/>
                <w:color w:val="000000"/>
                <w:sz w:val="16"/>
                <w:szCs w:val="16"/>
                <w:u w:val="none"/>
                <w:lang w:val="en-US" w:eastAsia="ja-JP"/>
              </w:rPr>
            </w:pPr>
            <w:r w:rsidRPr="007421F9">
              <w:rPr>
                <w:rFonts w:ascii="Arial" w:hAnsi="Arial" w:cs="Arial"/>
                <w:color w:val="auto"/>
                <w:sz w:val="16"/>
                <w:szCs w:val="16"/>
                <w:u w:val="none"/>
                <w:lang w:val="en-US" w:eastAsia="ja-JP"/>
              </w:rPr>
              <w:t>Disaggregation:</w:t>
            </w:r>
            <w:r w:rsidRPr="007421F9">
              <w:rPr>
                <w:rFonts w:ascii="Arial" w:hAnsi="Arial" w:cs="Arial"/>
                <w:b w:val="0"/>
                <w:color w:val="auto"/>
                <w:sz w:val="16"/>
                <w:szCs w:val="16"/>
                <w:u w:val="none"/>
                <w:lang w:val="en-US" w:eastAsia="ja-JP"/>
              </w:rPr>
              <w:t xml:space="preserve"> type of service</w:t>
            </w:r>
          </w:p>
        </w:tc>
        <w:tc>
          <w:tcPr>
            <w:tcW w:w="1497" w:type="dxa"/>
          </w:tcPr>
          <w:p w14:paraId="5CA262F0"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10,038</w:t>
            </w:r>
          </w:p>
        </w:tc>
        <w:tc>
          <w:tcPr>
            <w:tcW w:w="2184" w:type="dxa"/>
            <w:shd w:val="clear" w:color="auto" w:fill="auto"/>
            <w:hideMark/>
          </w:tcPr>
          <w:p w14:paraId="5CBA7D75"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PAF Indicator 12: Number of services provided</w:t>
            </w:r>
          </w:p>
        </w:tc>
        <w:tc>
          <w:tcPr>
            <w:tcW w:w="1228" w:type="dxa"/>
          </w:tcPr>
          <w:p w14:paraId="796BDD66"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7,599</w:t>
            </w:r>
          </w:p>
        </w:tc>
        <w:tc>
          <w:tcPr>
            <w:tcW w:w="1852" w:type="dxa"/>
            <w:shd w:val="clear" w:color="auto" w:fill="auto"/>
            <w:hideMark/>
          </w:tcPr>
          <w:p w14:paraId="3A198179"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Number of services provided steady compared with 2017 levels</w:t>
            </w:r>
          </w:p>
        </w:tc>
        <w:tc>
          <w:tcPr>
            <w:tcW w:w="1414" w:type="dxa"/>
            <w:shd w:val="clear" w:color="auto" w:fill="auto"/>
          </w:tcPr>
          <w:p w14:paraId="7F88DCB0"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eastAsia="Calibri" w:hAnsi="Arial" w:cs="Arial"/>
                <w:b w:val="0"/>
                <w:color w:val="000000"/>
                <w:sz w:val="16"/>
                <w:szCs w:val="20"/>
                <w:u w:val="none"/>
                <w:lang w:val="en-US" w:eastAsia="en-US"/>
              </w:rPr>
              <w:t>On track</w:t>
            </w:r>
          </w:p>
        </w:tc>
      </w:tr>
      <w:tr w:rsidR="007421F9" w:rsidRPr="007421F9" w14:paraId="78F2572A" w14:textId="77777777" w:rsidTr="007C2D67">
        <w:trPr>
          <w:trHeight w:val="20"/>
        </w:trPr>
        <w:tc>
          <w:tcPr>
            <w:tcW w:w="1787" w:type="dxa"/>
            <w:vMerge w:val="restart"/>
            <w:shd w:val="clear" w:color="auto" w:fill="auto"/>
            <w:hideMark/>
          </w:tcPr>
          <w:p w14:paraId="22D6E383"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1.1 To what extent are service provider staff using their knowledge and skills for improved service delivery?</w:t>
            </w:r>
          </w:p>
          <w:p w14:paraId="28E2E1DF"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 </w:t>
            </w:r>
          </w:p>
        </w:tc>
        <w:tc>
          <w:tcPr>
            <w:tcW w:w="1776" w:type="dxa"/>
            <w:vMerge w:val="restart"/>
            <w:shd w:val="clear" w:color="auto" w:fill="auto"/>
          </w:tcPr>
          <w:p w14:paraId="22FFF437"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eastAsia="en-US"/>
              </w:rPr>
            </w:pPr>
            <w:r w:rsidRPr="007421F9">
              <w:rPr>
                <w:rFonts w:ascii="Arial" w:hAnsi="Arial" w:cs="Arial"/>
                <w:b w:val="0"/>
                <w:color w:val="000000"/>
                <w:sz w:val="16"/>
                <w:szCs w:val="16"/>
                <w:u w:val="none"/>
                <w:lang w:eastAsia="en-US"/>
              </w:rPr>
              <w:t>IO1.1: Service providers use increased skills, knowledge and sensitivity to deliver services</w:t>
            </w:r>
          </w:p>
          <w:p w14:paraId="5048B167"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eastAsia="en-US"/>
              </w:rPr>
            </w:pPr>
            <w:r w:rsidRPr="007421F9">
              <w:rPr>
                <w:rFonts w:ascii="Arial" w:hAnsi="Arial" w:cs="Arial"/>
                <w:b w:val="0"/>
                <w:color w:val="000000"/>
                <w:sz w:val="16"/>
                <w:szCs w:val="16"/>
                <w:u w:val="none"/>
                <w:lang w:eastAsia="en-US"/>
              </w:rPr>
              <w:t>ImO1.1 Key service provider staff have improved knowledge and skills</w:t>
            </w:r>
          </w:p>
        </w:tc>
        <w:tc>
          <w:tcPr>
            <w:tcW w:w="2927" w:type="dxa"/>
            <w:shd w:val="clear" w:color="auto" w:fill="auto"/>
            <w:hideMark/>
          </w:tcPr>
          <w:p w14:paraId="0FCAAAF1" w14:textId="77777777" w:rsidR="007421F9" w:rsidRPr="007421F9" w:rsidRDefault="007421F9" w:rsidP="007421F9">
            <w:pPr>
              <w:numPr>
                <w:ilvl w:val="0"/>
                <w:numId w:val="39"/>
              </w:numPr>
              <w:autoSpaceDE/>
              <w:autoSpaceDN/>
              <w:adjustRightInd/>
              <w:spacing w:after="0"/>
              <w:contextualSpacing/>
              <w:textAlignment w:val="auto"/>
              <w:rPr>
                <w:rFonts w:ascii="Arial" w:hAnsi="Arial" w:cs="Arial"/>
                <w:b w:val="0"/>
                <w:color w:val="000000"/>
                <w:sz w:val="16"/>
                <w:szCs w:val="16"/>
                <w:u w:val="none"/>
                <w:lang w:val="en-US" w:eastAsia="ja-JP"/>
              </w:rPr>
            </w:pPr>
            <w:r w:rsidRPr="007421F9">
              <w:rPr>
                <w:rFonts w:ascii="Arial" w:hAnsi="Arial" w:cs="Arial"/>
                <w:b w:val="0"/>
                <w:color w:val="000000"/>
                <w:sz w:val="16"/>
                <w:szCs w:val="16"/>
                <w:u w:val="none"/>
                <w:lang w:val="en-US" w:eastAsia="ja-JP"/>
              </w:rPr>
              <w:t xml:space="preserve">Number of Nabilan partner and non-partner staff completing training (Certificate III in Social Services, Medical Forensic Examiner Training, 4R). </w:t>
            </w:r>
            <w:r w:rsidRPr="007421F9">
              <w:rPr>
                <w:rFonts w:ascii="Arial" w:hAnsi="Arial" w:cs="Arial"/>
                <w:color w:val="000000"/>
                <w:sz w:val="16"/>
                <w:szCs w:val="16"/>
                <w:u w:val="none"/>
                <w:lang w:val="en-US" w:eastAsia="ja-JP"/>
              </w:rPr>
              <w:t>Disaggregation:</w:t>
            </w:r>
            <w:r w:rsidRPr="007421F9">
              <w:rPr>
                <w:rFonts w:ascii="Arial" w:hAnsi="Arial" w:cs="Arial"/>
                <w:b w:val="0"/>
                <w:color w:val="000000"/>
                <w:sz w:val="16"/>
                <w:szCs w:val="16"/>
                <w:u w:val="none"/>
                <w:lang w:val="en-US" w:eastAsia="ja-JP"/>
              </w:rPr>
              <w:t xml:space="preserve"> gender, disability, service.</w:t>
            </w:r>
          </w:p>
        </w:tc>
        <w:tc>
          <w:tcPr>
            <w:tcW w:w="1497" w:type="dxa"/>
          </w:tcPr>
          <w:p w14:paraId="6D0C8FF4"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Cert III: 21</w:t>
            </w:r>
          </w:p>
          <w:p w14:paraId="15FB6A85"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MFE: 12</w:t>
            </w:r>
          </w:p>
          <w:p w14:paraId="693232ED"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4R:98</w:t>
            </w:r>
          </w:p>
          <w:p w14:paraId="45D89A4B"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p>
          <w:p w14:paraId="21A4142D"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 xml:space="preserve">Other training - </w:t>
            </w:r>
          </w:p>
          <w:p w14:paraId="2EA6CF86"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WGQ: 21</w:t>
            </w:r>
          </w:p>
          <w:p w14:paraId="507424F7"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SOGIESC: 9</w:t>
            </w:r>
          </w:p>
          <w:p w14:paraId="12BAF70B"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PNTL: 25</w:t>
            </w:r>
          </w:p>
          <w:p w14:paraId="29A41646"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HAI: 17</w:t>
            </w:r>
          </w:p>
          <w:p w14:paraId="16F73487"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CV: 56</w:t>
            </w:r>
          </w:p>
          <w:p w14:paraId="24A6E241"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 xml:space="preserve">FOKUPERS: 32 </w:t>
            </w:r>
          </w:p>
        </w:tc>
        <w:tc>
          <w:tcPr>
            <w:tcW w:w="2184" w:type="dxa"/>
            <w:shd w:val="clear" w:color="auto" w:fill="auto"/>
            <w:hideMark/>
          </w:tcPr>
          <w:p w14:paraId="3142AED5"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 </w:t>
            </w:r>
          </w:p>
        </w:tc>
        <w:tc>
          <w:tcPr>
            <w:tcW w:w="1228" w:type="dxa"/>
          </w:tcPr>
          <w:p w14:paraId="6639E556"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eastAsia="en-US"/>
              </w:rPr>
            </w:pPr>
          </w:p>
        </w:tc>
        <w:tc>
          <w:tcPr>
            <w:tcW w:w="1852" w:type="dxa"/>
            <w:shd w:val="clear" w:color="auto" w:fill="auto"/>
            <w:hideMark/>
          </w:tcPr>
          <w:p w14:paraId="56200AC7" w14:textId="77777777" w:rsidR="007421F9" w:rsidRPr="007421F9" w:rsidRDefault="007421F9" w:rsidP="007421F9">
            <w:pPr>
              <w:numPr>
                <w:ilvl w:val="0"/>
                <w:numId w:val="41"/>
              </w:numPr>
              <w:autoSpaceDE/>
              <w:autoSpaceDN/>
              <w:adjustRightInd/>
              <w:spacing w:after="0"/>
              <w:ind w:left="149" w:hanging="149"/>
              <w:contextualSpacing/>
              <w:textAlignment w:val="auto"/>
              <w:rPr>
                <w:rFonts w:ascii="Arial" w:hAnsi="Arial" w:cs="Arial"/>
                <w:b w:val="0"/>
                <w:color w:val="000000"/>
                <w:sz w:val="16"/>
                <w:szCs w:val="16"/>
                <w:u w:val="none"/>
                <w:lang w:val="en-US" w:eastAsia="ja-JP"/>
              </w:rPr>
            </w:pPr>
            <w:r w:rsidRPr="007421F9">
              <w:rPr>
                <w:rFonts w:ascii="Arial" w:hAnsi="Arial" w:cs="Arial"/>
                <w:color w:val="000000"/>
                <w:sz w:val="16"/>
                <w:szCs w:val="16"/>
                <w:u w:val="none"/>
                <w:lang w:val="en-US" w:eastAsia="ja-JP"/>
              </w:rPr>
              <w:t>Certificate III:</w:t>
            </w:r>
            <w:r w:rsidRPr="007421F9">
              <w:rPr>
                <w:rFonts w:ascii="Arial" w:hAnsi="Arial" w:cs="Arial"/>
                <w:b w:val="0"/>
                <w:color w:val="000000"/>
                <w:sz w:val="16"/>
                <w:szCs w:val="16"/>
                <w:u w:val="none"/>
                <w:lang w:val="en-US" w:eastAsia="ja-JP"/>
              </w:rPr>
              <w:t xml:space="preserve"> 20 in 2018; 20 in 2019; 20 in 2020; 20 in 2021</w:t>
            </w:r>
          </w:p>
          <w:p w14:paraId="264A5BC5" w14:textId="77777777" w:rsidR="007421F9" w:rsidRPr="007421F9" w:rsidRDefault="007421F9" w:rsidP="007421F9">
            <w:pPr>
              <w:numPr>
                <w:ilvl w:val="0"/>
                <w:numId w:val="41"/>
              </w:numPr>
              <w:autoSpaceDE/>
              <w:autoSpaceDN/>
              <w:adjustRightInd/>
              <w:spacing w:after="0"/>
              <w:ind w:left="149" w:hanging="149"/>
              <w:contextualSpacing/>
              <w:textAlignment w:val="auto"/>
              <w:rPr>
                <w:rFonts w:ascii="Arial" w:hAnsi="Arial" w:cs="Arial"/>
                <w:b w:val="0"/>
                <w:color w:val="000000"/>
                <w:sz w:val="16"/>
                <w:szCs w:val="16"/>
                <w:u w:val="none"/>
                <w:lang w:val="en-US" w:eastAsia="ja-JP"/>
              </w:rPr>
            </w:pPr>
            <w:r w:rsidRPr="007421F9">
              <w:rPr>
                <w:rFonts w:ascii="Arial" w:hAnsi="Arial" w:cs="Arial"/>
                <w:color w:val="000000"/>
                <w:sz w:val="16"/>
                <w:szCs w:val="16"/>
                <w:u w:val="none"/>
                <w:lang w:val="en-US" w:eastAsia="ja-JP"/>
              </w:rPr>
              <w:t>4R:</w:t>
            </w:r>
            <w:r w:rsidRPr="007421F9">
              <w:rPr>
                <w:rFonts w:ascii="Arial" w:hAnsi="Arial" w:cs="Arial"/>
                <w:b w:val="0"/>
                <w:color w:val="000000"/>
                <w:sz w:val="16"/>
                <w:szCs w:val="16"/>
                <w:u w:val="none"/>
                <w:lang w:val="en-US" w:eastAsia="ja-JP"/>
              </w:rPr>
              <w:t xml:space="preserve"> 30 in 2018; 45 in 2019; 45 in 2020; 45 in 2021</w:t>
            </w:r>
          </w:p>
          <w:p w14:paraId="0DAF687D" w14:textId="77777777" w:rsidR="007421F9" w:rsidRPr="007421F9" w:rsidRDefault="007421F9" w:rsidP="007421F9">
            <w:pPr>
              <w:numPr>
                <w:ilvl w:val="0"/>
                <w:numId w:val="41"/>
              </w:numPr>
              <w:autoSpaceDE/>
              <w:autoSpaceDN/>
              <w:adjustRightInd/>
              <w:spacing w:after="0"/>
              <w:ind w:left="149" w:hanging="149"/>
              <w:contextualSpacing/>
              <w:textAlignment w:val="auto"/>
              <w:rPr>
                <w:rFonts w:ascii="Arial" w:hAnsi="Arial" w:cs="Arial"/>
                <w:b w:val="0"/>
                <w:color w:val="000000"/>
                <w:sz w:val="16"/>
                <w:szCs w:val="16"/>
                <w:u w:val="none"/>
                <w:lang w:val="en-US" w:eastAsia="ja-JP"/>
              </w:rPr>
            </w:pPr>
            <w:r w:rsidRPr="007421F9">
              <w:rPr>
                <w:rFonts w:ascii="Arial" w:hAnsi="Arial" w:cs="Arial"/>
                <w:color w:val="000000"/>
                <w:sz w:val="16"/>
                <w:szCs w:val="16"/>
                <w:u w:val="none"/>
                <w:lang w:val="en-US" w:eastAsia="ja-JP"/>
              </w:rPr>
              <w:t>Medical forensic examiner training:</w:t>
            </w:r>
            <w:r w:rsidRPr="007421F9">
              <w:rPr>
                <w:rFonts w:ascii="Arial" w:hAnsi="Arial" w:cs="Arial"/>
                <w:b w:val="0"/>
                <w:color w:val="000000"/>
                <w:sz w:val="16"/>
                <w:szCs w:val="16"/>
                <w:u w:val="none"/>
                <w:lang w:val="en-US" w:eastAsia="ja-JP"/>
              </w:rPr>
              <w:t xml:space="preserve"> 15 new examiners by end of 2019</w:t>
            </w:r>
          </w:p>
        </w:tc>
        <w:tc>
          <w:tcPr>
            <w:tcW w:w="1414" w:type="dxa"/>
            <w:shd w:val="clear" w:color="auto" w:fill="auto"/>
          </w:tcPr>
          <w:p w14:paraId="1D4847AC"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eastAsia="en-US"/>
              </w:rPr>
            </w:pPr>
            <w:r w:rsidRPr="007421F9">
              <w:rPr>
                <w:rFonts w:ascii="Arial" w:hAnsi="Arial" w:cs="Arial"/>
                <w:b w:val="0"/>
                <w:color w:val="000000"/>
                <w:sz w:val="16"/>
                <w:szCs w:val="16"/>
                <w:u w:val="none"/>
                <w:lang w:eastAsia="en-US"/>
              </w:rPr>
              <w:t>On track.</w:t>
            </w:r>
          </w:p>
        </w:tc>
      </w:tr>
      <w:tr w:rsidR="007421F9" w:rsidRPr="007421F9" w14:paraId="78238BC2" w14:textId="77777777" w:rsidTr="007C2D67">
        <w:trPr>
          <w:trHeight w:val="20"/>
        </w:trPr>
        <w:tc>
          <w:tcPr>
            <w:tcW w:w="1787" w:type="dxa"/>
            <w:vMerge/>
            <w:shd w:val="clear" w:color="auto" w:fill="auto"/>
            <w:hideMark/>
          </w:tcPr>
          <w:p w14:paraId="0406E39E"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p>
        </w:tc>
        <w:tc>
          <w:tcPr>
            <w:tcW w:w="1776" w:type="dxa"/>
            <w:vMerge/>
            <w:shd w:val="clear" w:color="auto" w:fill="auto"/>
          </w:tcPr>
          <w:p w14:paraId="1756D388"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p>
        </w:tc>
        <w:tc>
          <w:tcPr>
            <w:tcW w:w="2927" w:type="dxa"/>
            <w:shd w:val="clear" w:color="auto" w:fill="auto"/>
            <w:hideMark/>
          </w:tcPr>
          <w:p w14:paraId="78FDC58B" w14:textId="77777777" w:rsidR="007421F9" w:rsidRPr="007421F9" w:rsidRDefault="007421F9" w:rsidP="007421F9">
            <w:pPr>
              <w:numPr>
                <w:ilvl w:val="0"/>
                <w:numId w:val="39"/>
              </w:numPr>
              <w:autoSpaceDE/>
              <w:autoSpaceDN/>
              <w:adjustRightInd/>
              <w:spacing w:after="0"/>
              <w:contextualSpacing/>
              <w:textAlignment w:val="auto"/>
              <w:rPr>
                <w:rFonts w:ascii="Arial" w:hAnsi="Arial" w:cs="Arial"/>
                <w:b w:val="0"/>
                <w:color w:val="000000"/>
                <w:sz w:val="16"/>
                <w:szCs w:val="16"/>
                <w:u w:val="none"/>
                <w:lang w:val="en-US" w:eastAsia="ja-JP"/>
              </w:rPr>
            </w:pPr>
            <w:r w:rsidRPr="007421F9">
              <w:rPr>
                <w:rFonts w:ascii="Arial" w:hAnsi="Arial" w:cs="Arial"/>
                <w:b w:val="0"/>
                <w:color w:val="000000"/>
                <w:sz w:val="16"/>
                <w:szCs w:val="16"/>
                <w:u w:val="none"/>
                <w:lang w:val="en-US" w:eastAsia="ja-JP"/>
              </w:rPr>
              <w:t xml:space="preserve">Proportion of Nabilan-trained participants who demonstrate improved knowledge/skills. </w:t>
            </w:r>
          </w:p>
          <w:p w14:paraId="3A906E17" w14:textId="77777777" w:rsidR="007421F9" w:rsidRPr="007421F9" w:rsidRDefault="007421F9" w:rsidP="007421F9">
            <w:pPr>
              <w:autoSpaceDE/>
              <w:autoSpaceDN/>
              <w:adjustRightInd/>
              <w:spacing w:after="0"/>
              <w:ind w:left="360"/>
              <w:contextualSpacing/>
              <w:textAlignment w:val="auto"/>
              <w:rPr>
                <w:rFonts w:ascii="Arial" w:hAnsi="Arial" w:cs="Arial"/>
                <w:b w:val="0"/>
                <w:color w:val="auto"/>
                <w:sz w:val="16"/>
                <w:szCs w:val="16"/>
                <w:u w:val="none"/>
                <w:lang w:val="en-US" w:eastAsia="ja-JP"/>
              </w:rPr>
            </w:pPr>
            <w:r w:rsidRPr="007421F9">
              <w:rPr>
                <w:rFonts w:ascii="Arial" w:hAnsi="Arial" w:cs="Arial"/>
                <w:color w:val="000000"/>
                <w:sz w:val="16"/>
                <w:szCs w:val="16"/>
                <w:u w:val="none"/>
                <w:lang w:val="en-US" w:eastAsia="ja-JP"/>
              </w:rPr>
              <w:t>Disaggregation:</w:t>
            </w:r>
            <w:r w:rsidRPr="007421F9">
              <w:rPr>
                <w:rFonts w:ascii="Arial" w:hAnsi="Arial" w:cs="Arial"/>
                <w:b w:val="0"/>
                <w:color w:val="000000"/>
                <w:sz w:val="16"/>
                <w:szCs w:val="16"/>
                <w:u w:val="none"/>
                <w:lang w:val="en-US" w:eastAsia="ja-JP"/>
              </w:rPr>
              <w:t xml:space="preserve"> gender, disability, service</w:t>
            </w:r>
          </w:p>
        </w:tc>
        <w:tc>
          <w:tcPr>
            <w:tcW w:w="1497" w:type="dxa"/>
          </w:tcPr>
          <w:p w14:paraId="51DC474A"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Cert III: 80% passed (21 out of 26)</w:t>
            </w:r>
          </w:p>
          <w:p w14:paraId="0AA7C10C"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MFE: 100% passed (12 out of 12)</w:t>
            </w:r>
          </w:p>
          <w:p w14:paraId="60A590B2"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p>
        </w:tc>
        <w:tc>
          <w:tcPr>
            <w:tcW w:w="2184" w:type="dxa"/>
            <w:shd w:val="clear" w:color="auto" w:fill="auto"/>
            <w:hideMark/>
          </w:tcPr>
          <w:p w14:paraId="4AACE45D" w14:textId="531F3F54" w:rsidR="007421F9" w:rsidRPr="007421F9" w:rsidRDefault="005C41ED" w:rsidP="007421F9">
            <w:pPr>
              <w:autoSpaceDE/>
              <w:autoSpaceDN/>
              <w:adjustRightInd/>
              <w:spacing w:after="0"/>
              <w:textAlignment w:val="auto"/>
              <w:rPr>
                <w:rFonts w:ascii="Arial" w:hAnsi="Arial" w:cs="Arial"/>
                <w:b w:val="0"/>
                <w:color w:val="000000"/>
                <w:sz w:val="16"/>
                <w:szCs w:val="16"/>
                <w:u w:val="none"/>
                <w:lang w:val="en-US" w:eastAsia="en-US"/>
              </w:rPr>
            </w:pPr>
            <w:r>
              <w:rPr>
                <w:rFonts w:ascii="Arial" w:hAnsi="Arial" w:cs="Arial"/>
                <w:b w:val="0"/>
                <w:color w:val="000000"/>
                <w:sz w:val="16"/>
                <w:szCs w:val="16"/>
                <w:u w:val="none"/>
                <w:lang w:val="en-US" w:eastAsia="en-US"/>
              </w:rPr>
              <w:t xml:space="preserve">PAF </w:t>
            </w:r>
            <w:r w:rsidR="007421F9" w:rsidRPr="007421F9">
              <w:rPr>
                <w:rFonts w:ascii="Arial" w:hAnsi="Arial" w:cs="Arial"/>
                <w:b w:val="0"/>
                <w:color w:val="000000"/>
                <w:sz w:val="16"/>
                <w:szCs w:val="16"/>
                <w:u w:val="none"/>
                <w:lang w:val="en-US" w:eastAsia="en-US"/>
              </w:rPr>
              <w:t xml:space="preserve">Indicator </w:t>
            </w:r>
            <w:r>
              <w:rPr>
                <w:rFonts w:ascii="Arial" w:hAnsi="Arial" w:cs="Arial"/>
                <w:b w:val="0"/>
                <w:color w:val="000000"/>
                <w:sz w:val="16"/>
                <w:szCs w:val="16"/>
                <w:u w:val="none"/>
                <w:lang w:val="en-US" w:eastAsia="en-US"/>
              </w:rPr>
              <w:t>9</w:t>
            </w:r>
            <w:r w:rsidR="007421F9" w:rsidRPr="007421F9">
              <w:rPr>
                <w:rFonts w:ascii="Arial" w:hAnsi="Arial" w:cs="Arial"/>
                <w:b w:val="0"/>
                <w:color w:val="000000"/>
                <w:sz w:val="16"/>
                <w:szCs w:val="16"/>
                <w:u w:val="none"/>
                <w:lang w:val="en-US" w:eastAsia="en-US"/>
              </w:rPr>
              <w:t xml:space="preserve">: Number of people who </w:t>
            </w:r>
            <w:r w:rsidR="00160A2F" w:rsidRPr="007421F9">
              <w:rPr>
                <w:rFonts w:ascii="Arial" w:hAnsi="Arial" w:cs="Arial"/>
                <w:b w:val="0"/>
                <w:color w:val="000000"/>
                <w:sz w:val="16"/>
                <w:szCs w:val="16"/>
                <w:u w:val="none"/>
                <w:lang w:val="en-US" w:eastAsia="en-US"/>
              </w:rPr>
              <w:t>appl</w:t>
            </w:r>
            <w:r w:rsidR="00160A2F">
              <w:rPr>
                <w:rFonts w:ascii="Arial" w:hAnsi="Arial" w:cs="Arial"/>
                <w:b w:val="0"/>
                <w:color w:val="000000"/>
                <w:sz w:val="16"/>
                <w:szCs w:val="16"/>
                <w:u w:val="none"/>
                <w:lang w:val="en-US" w:eastAsia="en-US"/>
              </w:rPr>
              <w:t xml:space="preserve">ied </w:t>
            </w:r>
            <w:r w:rsidR="007421F9" w:rsidRPr="007421F9">
              <w:rPr>
                <w:rFonts w:ascii="Arial" w:hAnsi="Arial" w:cs="Arial"/>
                <w:b w:val="0"/>
                <w:color w:val="000000"/>
                <w:sz w:val="16"/>
                <w:szCs w:val="16"/>
                <w:u w:val="none"/>
                <w:lang w:val="en-US" w:eastAsia="en-US"/>
              </w:rPr>
              <w:t>improved skills to deliver better quality services</w:t>
            </w:r>
          </w:p>
        </w:tc>
        <w:tc>
          <w:tcPr>
            <w:tcW w:w="1228" w:type="dxa"/>
          </w:tcPr>
          <w:p w14:paraId="65C1AC9C"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eastAsia="en-US"/>
              </w:rPr>
            </w:pPr>
          </w:p>
        </w:tc>
        <w:tc>
          <w:tcPr>
            <w:tcW w:w="1852" w:type="dxa"/>
            <w:shd w:val="clear" w:color="auto" w:fill="auto"/>
            <w:hideMark/>
          </w:tcPr>
          <w:p w14:paraId="5207BAEE"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eastAsia="en-US"/>
              </w:rPr>
            </w:pPr>
            <w:r w:rsidRPr="007421F9">
              <w:rPr>
                <w:rFonts w:ascii="Arial" w:hAnsi="Arial" w:cs="Arial"/>
                <w:b w:val="0"/>
                <w:color w:val="000000"/>
                <w:sz w:val="16"/>
                <w:szCs w:val="16"/>
                <w:u w:val="none"/>
                <w:lang w:eastAsia="en-US"/>
              </w:rPr>
              <w:t>At least 50% of participants in each training demonstrate improved knowledge/skills at end of training</w:t>
            </w:r>
          </w:p>
          <w:p w14:paraId="0D9B29A3" w14:textId="77777777" w:rsidR="007421F9" w:rsidRPr="007421F9" w:rsidRDefault="007421F9" w:rsidP="007421F9">
            <w:pPr>
              <w:autoSpaceDE/>
              <w:autoSpaceDN/>
              <w:adjustRightInd/>
              <w:spacing w:after="0"/>
              <w:ind w:left="360"/>
              <w:contextualSpacing/>
              <w:textAlignment w:val="auto"/>
              <w:rPr>
                <w:rFonts w:ascii="Arial" w:hAnsi="Arial" w:cs="Arial"/>
                <w:b w:val="0"/>
                <w:color w:val="000000"/>
                <w:sz w:val="16"/>
                <w:szCs w:val="16"/>
                <w:u w:val="none"/>
                <w:lang w:val="en-US" w:eastAsia="ja-JP"/>
              </w:rPr>
            </w:pPr>
          </w:p>
        </w:tc>
        <w:tc>
          <w:tcPr>
            <w:tcW w:w="1414" w:type="dxa"/>
            <w:shd w:val="clear" w:color="auto" w:fill="auto"/>
          </w:tcPr>
          <w:p w14:paraId="1498F848"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eastAsia="en-US"/>
              </w:rPr>
            </w:pPr>
            <w:r w:rsidRPr="007421F9">
              <w:rPr>
                <w:rFonts w:ascii="Arial" w:hAnsi="Arial" w:cs="Arial"/>
                <w:b w:val="0"/>
                <w:color w:val="000000"/>
                <w:sz w:val="16"/>
                <w:szCs w:val="16"/>
                <w:u w:val="none"/>
                <w:lang w:eastAsia="en-US"/>
              </w:rPr>
              <w:t xml:space="preserve">On track against Cert III and MEF. </w:t>
            </w:r>
          </w:p>
          <w:p w14:paraId="4B79A01F"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eastAsia="en-US"/>
              </w:rPr>
            </w:pPr>
          </w:p>
          <w:p w14:paraId="1400A76C"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eastAsia="en-US"/>
              </w:rPr>
            </w:pPr>
            <w:r w:rsidRPr="007421F9">
              <w:rPr>
                <w:rFonts w:ascii="Arial" w:hAnsi="Arial" w:cs="Arial"/>
                <w:b w:val="0"/>
                <w:color w:val="000000"/>
                <w:sz w:val="16"/>
                <w:szCs w:val="16"/>
                <w:u w:val="none"/>
                <w:lang w:eastAsia="en-US"/>
              </w:rPr>
              <w:t xml:space="preserve">Insufficient data available for 4R and other Nabilan training. </w:t>
            </w:r>
          </w:p>
        </w:tc>
      </w:tr>
      <w:tr w:rsidR="007421F9" w:rsidRPr="007421F9" w14:paraId="42B13F85" w14:textId="77777777" w:rsidTr="007C2D67">
        <w:trPr>
          <w:trHeight w:val="422"/>
        </w:trPr>
        <w:tc>
          <w:tcPr>
            <w:tcW w:w="1787" w:type="dxa"/>
            <w:vMerge w:val="restart"/>
            <w:shd w:val="clear" w:color="auto" w:fill="auto"/>
            <w:hideMark/>
          </w:tcPr>
          <w:p w14:paraId="06B59428"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1.2 To what extent did Nabilan contribute to high quality service delivery?</w:t>
            </w:r>
          </w:p>
        </w:tc>
        <w:tc>
          <w:tcPr>
            <w:tcW w:w="1776" w:type="dxa"/>
            <w:vMerge w:val="restart"/>
            <w:shd w:val="clear" w:color="auto" w:fill="auto"/>
          </w:tcPr>
          <w:p w14:paraId="7F016D9D"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eastAsia="en-US"/>
              </w:rPr>
            </w:pPr>
            <w:r w:rsidRPr="007421F9">
              <w:rPr>
                <w:rFonts w:ascii="Arial" w:hAnsi="Arial" w:cs="Arial"/>
                <w:b w:val="0"/>
                <w:color w:val="000000"/>
                <w:sz w:val="16"/>
                <w:szCs w:val="16"/>
                <w:u w:val="none"/>
                <w:lang w:val="en-US" w:eastAsia="en-US"/>
              </w:rPr>
              <w:t> </w:t>
            </w:r>
            <w:r w:rsidRPr="007421F9">
              <w:rPr>
                <w:rFonts w:ascii="Arial" w:hAnsi="Arial" w:cs="Arial"/>
                <w:b w:val="0"/>
                <w:color w:val="000000"/>
                <w:sz w:val="16"/>
                <w:szCs w:val="16"/>
                <w:u w:val="none"/>
                <w:lang w:eastAsia="en-US"/>
              </w:rPr>
              <w:t>IO1.1: Service providers use increased skills, knowledge and sensitivity to deliver services</w:t>
            </w:r>
          </w:p>
          <w:p w14:paraId="74D70AE1"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eastAsia="en-US"/>
              </w:rPr>
              <w:t>ImO1.1 Key service provider staff have improved knowledge and skills</w:t>
            </w:r>
          </w:p>
        </w:tc>
        <w:tc>
          <w:tcPr>
            <w:tcW w:w="2927" w:type="dxa"/>
            <w:shd w:val="clear" w:color="auto" w:fill="auto"/>
            <w:hideMark/>
          </w:tcPr>
          <w:p w14:paraId="78C95AD6" w14:textId="77777777" w:rsidR="007421F9" w:rsidRPr="007421F9" w:rsidRDefault="007421F9" w:rsidP="007421F9">
            <w:pPr>
              <w:numPr>
                <w:ilvl w:val="0"/>
                <w:numId w:val="39"/>
              </w:numPr>
              <w:autoSpaceDE/>
              <w:autoSpaceDN/>
              <w:adjustRightInd/>
              <w:spacing w:after="0"/>
              <w:contextualSpacing/>
              <w:textAlignment w:val="auto"/>
              <w:rPr>
                <w:rFonts w:ascii="Arial" w:hAnsi="Arial" w:cs="Arial"/>
                <w:b w:val="0"/>
                <w:color w:val="000000"/>
                <w:sz w:val="16"/>
                <w:szCs w:val="16"/>
                <w:u w:val="none"/>
                <w:lang w:val="en-US" w:eastAsia="ja-JP"/>
              </w:rPr>
            </w:pPr>
            <w:r w:rsidRPr="007421F9">
              <w:rPr>
                <w:rFonts w:ascii="Arial" w:hAnsi="Arial" w:cs="Arial"/>
                <w:b w:val="0"/>
                <w:color w:val="000000"/>
                <w:sz w:val="16"/>
                <w:szCs w:val="16"/>
                <w:u w:val="none"/>
                <w:lang w:val="en-US" w:eastAsia="ja-JP"/>
              </w:rPr>
              <w:t xml:space="preserve">Case reviews showing increase in quality at service provider-level </w:t>
            </w:r>
          </w:p>
        </w:tc>
        <w:tc>
          <w:tcPr>
            <w:tcW w:w="1497" w:type="dxa"/>
          </w:tcPr>
          <w:p w14:paraId="5FAEC2BE"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46% did not meet minimum standards</w:t>
            </w:r>
          </w:p>
          <w:p w14:paraId="4E71EEBB"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32% met minimum standards</w:t>
            </w:r>
          </w:p>
          <w:p w14:paraId="03E05181"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21% high quality</w:t>
            </w:r>
          </w:p>
        </w:tc>
        <w:tc>
          <w:tcPr>
            <w:tcW w:w="2184" w:type="dxa"/>
            <w:shd w:val="clear" w:color="auto" w:fill="auto"/>
            <w:hideMark/>
          </w:tcPr>
          <w:p w14:paraId="4FA385F9" w14:textId="2164D163" w:rsidR="007421F9" w:rsidRPr="007421F9" w:rsidRDefault="005C41ED" w:rsidP="007421F9">
            <w:pPr>
              <w:autoSpaceDE/>
              <w:autoSpaceDN/>
              <w:adjustRightInd/>
              <w:spacing w:after="0"/>
              <w:textAlignment w:val="auto"/>
              <w:rPr>
                <w:rFonts w:ascii="Arial" w:hAnsi="Arial" w:cs="Arial"/>
                <w:b w:val="0"/>
                <w:color w:val="000000"/>
                <w:sz w:val="16"/>
                <w:szCs w:val="16"/>
                <w:u w:val="none"/>
                <w:lang w:val="en-US" w:eastAsia="en-US"/>
              </w:rPr>
            </w:pPr>
            <w:r>
              <w:rPr>
                <w:rFonts w:ascii="Arial" w:hAnsi="Arial" w:cs="Arial"/>
                <w:b w:val="0"/>
                <w:color w:val="000000"/>
                <w:sz w:val="16"/>
                <w:szCs w:val="16"/>
                <w:u w:val="none"/>
                <w:lang w:val="en-US" w:eastAsia="en-US"/>
              </w:rPr>
              <w:t xml:space="preserve">PAF </w:t>
            </w:r>
            <w:r w:rsidR="007421F9" w:rsidRPr="007421F9">
              <w:rPr>
                <w:rFonts w:ascii="Arial" w:hAnsi="Arial" w:cs="Arial"/>
                <w:b w:val="0"/>
                <w:color w:val="000000"/>
                <w:sz w:val="16"/>
                <w:szCs w:val="16"/>
                <w:u w:val="none"/>
                <w:lang w:val="en-US" w:eastAsia="en-US"/>
              </w:rPr>
              <w:t>Indicator 10: Number of service delivery improvements</w:t>
            </w:r>
          </w:p>
        </w:tc>
        <w:tc>
          <w:tcPr>
            <w:tcW w:w="1228" w:type="dxa"/>
          </w:tcPr>
          <w:p w14:paraId="4F577F91"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eastAsia="en-US"/>
              </w:rPr>
            </w:pPr>
          </w:p>
        </w:tc>
        <w:tc>
          <w:tcPr>
            <w:tcW w:w="1852" w:type="dxa"/>
            <w:shd w:val="clear" w:color="auto" w:fill="auto"/>
            <w:hideMark/>
          </w:tcPr>
          <w:p w14:paraId="6AC5BCE8" w14:textId="77777777" w:rsidR="007421F9" w:rsidRPr="007421F9" w:rsidRDefault="007421F9" w:rsidP="007421F9">
            <w:pPr>
              <w:numPr>
                <w:ilvl w:val="0"/>
                <w:numId w:val="41"/>
              </w:numPr>
              <w:autoSpaceDE/>
              <w:autoSpaceDN/>
              <w:adjustRightInd/>
              <w:spacing w:after="0"/>
              <w:ind w:left="149" w:hanging="149"/>
              <w:contextualSpacing/>
              <w:textAlignment w:val="auto"/>
              <w:rPr>
                <w:rFonts w:ascii="Arial" w:hAnsi="Arial" w:cs="Arial"/>
                <w:b w:val="0"/>
                <w:color w:val="000000"/>
                <w:sz w:val="16"/>
                <w:szCs w:val="16"/>
                <w:u w:val="none"/>
                <w:lang w:val="en-US" w:eastAsia="ja-JP"/>
              </w:rPr>
            </w:pPr>
            <w:r w:rsidRPr="007421F9">
              <w:rPr>
                <w:rFonts w:ascii="Arial" w:hAnsi="Arial" w:cs="Arial"/>
                <w:b w:val="0"/>
                <w:color w:val="000000"/>
                <w:sz w:val="16"/>
                <w:szCs w:val="16"/>
                <w:u w:val="none"/>
                <w:lang w:val="en-US" w:eastAsia="ja-JP"/>
              </w:rPr>
              <w:t>By June 2019, at least 70% of cases meet minimum standards.</w:t>
            </w:r>
          </w:p>
          <w:p w14:paraId="3EED0B50" w14:textId="77777777" w:rsidR="007421F9" w:rsidRPr="007421F9" w:rsidRDefault="007421F9" w:rsidP="007421F9">
            <w:pPr>
              <w:numPr>
                <w:ilvl w:val="0"/>
                <w:numId w:val="41"/>
              </w:numPr>
              <w:autoSpaceDE/>
              <w:autoSpaceDN/>
              <w:adjustRightInd/>
              <w:spacing w:after="0"/>
              <w:ind w:left="149" w:hanging="149"/>
              <w:contextualSpacing/>
              <w:textAlignment w:val="auto"/>
              <w:rPr>
                <w:rFonts w:ascii="Arial" w:hAnsi="Arial" w:cs="Arial"/>
                <w:b w:val="0"/>
                <w:color w:val="000000"/>
                <w:sz w:val="16"/>
                <w:szCs w:val="16"/>
                <w:u w:val="none"/>
                <w:lang w:val="en-US" w:eastAsia="ja-JP"/>
              </w:rPr>
            </w:pPr>
            <w:r w:rsidRPr="007421F9">
              <w:rPr>
                <w:rFonts w:ascii="Arial" w:hAnsi="Arial" w:cs="Arial"/>
                <w:b w:val="0"/>
                <w:color w:val="000000"/>
                <w:sz w:val="16"/>
                <w:szCs w:val="16"/>
                <w:u w:val="none"/>
                <w:lang w:val="en-US" w:eastAsia="ja-JP"/>
              </w:rPr>
              <w:t>By June 2021, at least 70% cases demonstrate high quality.</w:t>
            </w:r>
          </w:p>
        </w:tc>
        <w:tc>
          <w:tcPr>
            <w:tcW w:w="1414" w:type="dxa"/>
            <w:shd w:val="clear" w:color="auto" w:fill="auto"/>
          </w:tcPr>
          <w:p w14:paraId="26D7DFCB"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eastAsia="en-US"/>
              </w:rPr>
            </w:pPr>
            <w:r w:rsidRPr="007421F9">
              <w:rPr>
                <w:rFonts w:ascii="Arial" w:hAnsi="Arial" w:cs="Arial"/>
                <w:b w:val="0"/>
                <w:color w:val="000000"/>
                <w:sz w:val="16"/>
                <w:szCs w:val="16"/>
                <w:u w:val="none"/>
                <w:lang w:eastAsia="en-US"/>
              </w:rPr>
              <w:t>Major delay.</w:t>
            </w:r>
          </w:p>
        </w:tc>
      </w:tr>
      <w:tr w:rsidR="007421F9" w:rsidRPr="007421F9" w14:paraId="133FC64E" w14:textId="77777777" w:rsidTr="007C2D67">
        <w:trPr>
          <w:trHeight w:val="422"/>
        </w:trPr>
        <w:tc>
          <w:tcPr>
            <w:tcW w:w="1787" w:type="dxa"/>
            <w:vMerge/>
            <w:shd w:val="clear" w:color="auto" w:fill="auto"/>
            <w:hideMark/>
          </w:tcPr>
          <w:p w14:paraId="24DEA3D0"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p>
        </w:tc>
        <w:tc>
          <w:tcPr>
            <w:tcW w:w="1776" w:type="dxa"/>
            <w:vMerge/>
            <w:shd w:val="clear" w:color="auto" w:fill="auto"/>
          </w:tcPr>
          <w:p w14:paraId="0C3F3BE1"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p>
        </w:tc>
        <w:tc>
          <w:tcPr>
            <w:tcW w:w="2927" w:type="dxa"/>
            <w:shd w:val="clear" w:color="auto" w:fill="auto"/>
            <w:hideMark/>
          </w:tcPr>
          <w:p w14:paraId="70E8EDFE" w14:textId="77777777" w:rsidR="007421F9" w:rsidRPr="007421F9" w:rsidRDefault="007421F9" w:rsidP="007421F9">
            <w:pPr>
              <w:numPr>
                <w:ilvl w:val="0"/>
                <w:numId w:val="39"/>
              </w:numPr>
              <w:autoSpaceDE/>
              <w:autoSpaceDN/>
              <w:adjustRightInd/>
              <w:spacing w:after="0"/>
              <w:contextualSpacing/>
              <w:textAlignment w:val="auto"/>
              <w:rPr>
                <w:rFonts w:ascii="Arial" w:hAnsi="Arial" w:cs="Arial"/>
                <w:b w:val="0"/>
                <w:color w:val="000000"/>
                <w:sz w:val="16"/>
                <w:szCs w:val="16"/>
                <w:u w:val="none"/>
                <w:lang w:val="en-US" w:eastAsia="ja-JP"/>
              </w:rPr>
            </w:pPr>
            <w:r w:rsidRPr="007421F9">
              <w:rPr>
                <w:rFonts w:ascii="Arial" w:hAnsi="Arial" w:cs="Arial"/>
                <w:b w:val="0"/>
                <w:color w:val="000000"/>
                <w:sz w:val="16"/>
                <w:szCs w:val="16"/>
                <w:u w:val="none"/>
                <w:lang w:val="en-US" w:eastAsia="ja-JP"/>
              </w:rPr>
              <w:t xml:space="preserve">Instances of Nabilan contributing to improved quality of support and legal services </w:t>
            </w:r>
          </w:p>
        </w:tc>
        <w:tc>
          <w:tcPr>
            <w:tcW w:w="1497" w:type="dxa"/>
          </w:tcPr>
          <w:p w14:paraId="32FF1F83" w14:textId="77777777" w:rsidR="007421F9" w:rsidRPr="007421F9" w:rsidRDefault="007421F9" w:rsidP="007421F9">
            <w:pPr>
              <w:autoSpaceDE/>
              <w:autoSpaceDN/>
              <w:adjustRightInd/>
              <w:spacing w:after="0"/>
              <w:textAlignment w:val="auto"/>
              <w:rPr>
                <w:rFonts w:ascii="Arial" w:hAnsi="Arial" w:cs="Arial"/>
                <w:b w:val="0"/>
                <w:color w:val="000000"/>
                <w:sz w:val="32"/>
                <w:szCs w:val="32"/>
                <w:u w:val="none"/>
                <w:lang w:val="en-US" w:eastAsia="en-US"/>
              </w:rPr>
            </w:pPr>
            <w:r w:rsidRPr="007421F9">
              <w:rPr>
                <w:rFonts w:ascii="Arial" w:hAnsi="Arial" w:cs="Arial"/>
                <w:b w:val="0"/>
                <w:color w:val="000000"/>
                <w:sz w:val="16"/>
                <w:szCs w:val="16"/>
                <w:u w:val="none"/>
                <w:lang w:val="en-US" w:eastAsia="en-US"/>
              </w:rPr>
              <w:t>See narrative report.</w:t>
            </w:r>
          </w:p>
        </w:tc>
        <w:tc>
          <w:tcPr>
            <w:tcW w:w="2184" w:type="dxa"/>
            <w:shd w:val="clear" w:color="auto" w:fill="auto"/>
            <w:hideMark/>
          </w:tcPr>
          <w:p w14:paraId="0068B059" w14:textId="2FC30FCA" w:rsidR="007421F9" w:rsidRPr="007421F9" w:rsidRDefault="005C41ED" w:rsidP="007421F9">
            <w:pPr>
              <w:autoSpaceDE/>
              <w:autoSpaceDN/>
              <w:adjustRightInd/>
              <w:spacing w:after="0"/>
              <w:textAlignment w:val="auto"/>
              <w:rPr>
                <w:rFonts w:ascii="Arial" w:hAnsi="Arial" w:cs="Arial"/>
                <w:b w:val="0"/>
                <w:color w:val="000000"/>
                <w:sz w:val="16"/>
                <w:szCs w:val="16"/>
                <w:u w:val="none"/>
                <w:lang w:val="en-US" w:eastAsia="en-US"/>
              </w:rPr>
            </w:pPr>
            <w:r>
              <w:rPr>
                <w:rFonts w:ascii="Arial" w:hAnsi="Arial" w:cs="Arial"/>
                <w:b w:val="0"/>
                <w:color w:val="000000"/>
                <w:sz w:val="16"/>
                <w:szCs w:val="16"/>
                <w:u w:val="none"/>
                <w:lang w:val="en-US" w:eastAsia="en-US"/>
              </w:rPr>
              <w:t xml:space="preserve">PAF </w:t>
            </w:r>
            <w:r w:rsidR="007421F9" w:rsidRPr="007421F9">
              <w:rPr>
                <w:rFonts w:ascii="Arial" w:hAnsi="Arial" w:cs="Arial"/>
                <w:b w:val="0"/>
                <w:color w:val="000000"/>
                <w:sz w:val="16"/>
                <w:szCs w:val="16"/>
                <w:u w:val="none"/>
                <w:lang w:val="en-US" w:eastAsia="en-US"/>
              </w:rPr>
              <w:t>Indicator 8: Instances of improved systems for service delivery</w:t>
            </w:r>
          </w:p>
        </w:tc>
        <w:tc>
          <w:tcPr>
            <w:tcW w:w="1228" w:type="dxa"/>
          </w:tcPr>
          <w:p w14:paraId="4B41EBF2"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p>
        </w:tc>
        <w:tc>
          <w:tcPr>
            <w:tcW w:w="1852" w:type="dxa"/>
            <w:shd w:val="clear" w:color="auto" w:fill="auto"/>
            <w:hideMark/>
          </w:tcPr>
          <w:p w14:paraId="3B0583CC"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N/A</w:t>
            </w:r>
          </w:p>
        </w:tc>
        <w:tc>
          <w:tcPr>
            <w:tcW w:w="1414" w:type="dxa"/>
            <w:shd w:val="clear" w:color="auto" w:fill="auto"/>
          </w:tcPr>
          <w:p w14:paraId="5D9E0C03"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eastAsia="en-US"/>
              </w:rPr>
              <w:t>Some delay.</w:t>
            </w:r>
          </w:p>
        </w:tc>
      </w:tr>
      <w:tr w:rsidR="007421F9" w:rsidRPr="007421F9" w14:paraId="4264DBA7" w14:textId="77777777" w:rsidTr="007C2D67">
        <w:trPr>
          <w:trHeight w:val="20"/>
        </w:trPr>
        <w:tc>
          <w:tcPr>
            <w:tcW w:w="1787" w:type="dxa"/>
            <w:vMerge w:val="restart"/>
            <w:shd w:val="clear" w:color="auto" w:fill="auto"/>
            <w:hideMark/>
          </w:tcPr>
          <w:p w14:paraId="10A75171"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1.3 To what extent did Nabilan contribute to inclusive service delivery?</w:t>
            </w:r>
          </w:p>
        </w:tc>
        <w:tc>
          <w:tcPr>
            <w:tcW w:w="1776" w:type="dxa"/>
            <w:vMerge w:val="restart"/>
            <w:shd w:val="clear" w:color="auto" w:fill="auto"/>
          </w:tcPr>
          <w:p w14:paraId="7DEC0AE1"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eastAsia="en-US"/>
              </w:rPr>
            </w:pPr>
            <w:r w:rsidRPr="007421F9">
              <w:rPr>
                <w:rFonts w:ascii="Arial" w:hAnsi="Arial" w:cs="Arial"/>
                <w:b w:val="0"/>
                <w:color w:val="000000"/>
                <w:sz w:val="16"/>
                <w:szCs w:val="16"/>
                <w:u w:val="none"/>
                <w:lang w:eastAsia="en-US"/>
              </w:rPr>
              <w:t>IO1.1: Service providers use increased skills, knowledge and sensitivity to deliver services</w:t>
            </w:r>
          </w:p>
        </w:tc>
        <w:tc>
          <w:tcPr>
            <w:tcW w:w="2927" w:type="dxa"/>
            <w:shd w:val="clear" w:color="auto" w:fill="auto"/>
            <w:hideMark/>
          </w:tcPr>
          <w:p w14:paraId="636A47BB" w14:textId="77777777" w:rsidR="007421F9" w:rsidRPr="007421F9" w:rsidRDefault="007421F9" w:rsidP="007421F9">
            <w:pPr>
              <w:numPr>
                <w:ilvl w:val="0"/>
                <w:numId w:val="39"/>
              </w:numPr>
              <w:autoSpaceDE/>
              <w:autoSpaceDN/>
              <w:adjustRightInd/>
              <w:spacing w:after="0"/>
              <w:contextualSpacing/>
              <w:textAlignment w:val="auto"/>
              <w:rPr>
                <w:rFonts w:ascii="Arial" w:hAnsi="Arial" w:cs="Arial"/>
                <w:b w:val="0"/>
                <w:color w:val="000000"/>
                <w:sz w:val="16"/>
                <w:szCs w:val="16"/>
                <w:u w:val="none"/>
                <w:lang w:val="en-US" w:eastAsia="ja-JP"/>
              </w:rPr>
            </w:pPr>
            <w:r w:rsidRPr="007421F9">
              <w:rPr>
                <w:rFonts w:ascii="Arial" w:hAnsi="Arial" w:cs="Arial"/>
                <w:b w:val="0"/>
                <w:color w:val="000000"/>
                <w:sz w:val="16"/>
                <w:szCs w:val="16"/>
                <w:u w:val="none"/>
                <w:lang w:val="en-US" w:eastAsia="ja-JP"/>
              </w:rPr>
              <w:t>Instances of Nabilan contributing to partners delivering inclusive services for marginalized clients</w:t>
            </w:r>
          </w:p>
        </w:tc>
        <w:tc>
          <w:tcPr>
            <w:tcW w:w="1497" w:type="dxa"/>
          </w:tcPr>
          <w:p w14:paraId="7F4EC3A5"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See narrative report.</w:t>
            </w:r>
          </w:p>
        </w:tc>
        <w:tc>
          <w:tcPr>
            <w:tcW w:w="2184" w:type="dxa"/>
            <w:shd w:val="clear" w:color="auto" w:fill="auto"/>
            <w:hideMark/>
          </w:tcPr>
          <w:p w14:paraId="0BB494AB" w14:textId="3AFF7B75" w:rsidR="007421F9" w:rsidRPr="007421F9" w:rsidRDefault="005C41ED" w:rsidP="007421F9">
            <w:pPr>
              <w:autoSpaceDE/>
              <w:autoSpaceDN/>
              <w:adjustRightInd/>
              <w:spacing w:after="0"/>
              <w:textAlignment w:val="auto"/>
              <w:rPr>
                <w:rFonts w:ascii="Arial" w:hAnsi="Arial" w:cs="Arial"/>
                <w:b w:val="0"/>
                <w:color w:val="000000"/>
                <w:sz w:val="16"/>
                <w:szCs w:val="16"/>
                <w:u w:val="none"/>
                <w:lang w:val="en-US" w:eastAsia="en-US"/>
              </w:rPr>
            </w:pPr>
            <w:r>
              <w:rPr>
                <w:rFonts w:ascii="Arial" w:hAnsi="Arial" w:cs="Arial"/>
                <w:b w:val="0"/>
                <w:color w:val="000000"/>
                <w:sz w:val="16"/>
                <w:szCs w:val="16"/>
                <w:u w:val="none"/>
                <w:lang w:val="en-US" w:eastAsia="en-US"/>
              </w:rPr>
              <w:t xml:space="preserve">PAF </w:t>
            </w:r>
            <w:r w:rsidR="007421F9" w:rsidRPr="007421F9">
              <w:rPr>
                <w:rFonts w:ascii="Arial" w:hAnsi="Arial" w:cs="Arial"/>
                <w:b w:val="0"/>
                <w:color w:val="000000"/>
                <w:sz w:val="16"/>
                <w:szCs w:val="16"/>
                <w:u w:val="none"/>
                <w:lang w:val="en-US" w:eastAsia="en-US"/>
              </w:rPr>
              <w:t>Indicator 8: Instances of improved systems for service delivery</w:t>
            </w:r>
          </w:p>
        </w:tc>
        <w:tc>
          <w:tcPr>
            <w:tcW w:w="1228" w:type="dxa"/>
          </w:tcPr>
          <w:p w14:paraId="29B82430" w14:textId="77777777" w:rsidR="007421F9" w:rsidRPr="007421F9" w:rsidRDefault="007421F9" w:rsidP="007421F9">
            <w:pPr>
              <w:autoSpaceDE/>
              <w:autoSpaceDN/>
              <w:adjustRightInd/>
              <w:spacing w:after="240"/>
              <w:textAlignment w:val="auto"/>
              <w:rPr>
                <w:rFonts w:ascii="Arial" w:hAnsi="Arial" w:cs="Arial"/>
                <w:b w:val="0"/>
                <w:color w:val="000000"/>
                <w:sz w:val="16"/>
                <w:szCs w:val="16"/>
                <w:u w:val="none"/>
                <w:lang w:val="en-US" w:eastAsia="en-US"/>
              </w:rPr>
            </w:pPr>
          </w:p>
        </w:tc>
        <w:tc>
          <w:tcPr>
            <w:tcW w:w="1852" w:type="dxa"/>
            <w:shd w:val="clear" w:color="auto" w:fill="auto"/>
            <w:hideMark/>
          </w:tcPr>
          <w:p w14:paraId="18510488"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N/A</w:t>
            </w:r>
            <w:r w:rsidRPr="007421F9">
              <w:rPr>
                <w:rFonts w:ascii="Arial" w:hAnsi="Arial" w:cs="Arial"/>
                <w:b w:val="0"/>
                <w:color w:val="000000"/>
                <w:sz w:val="16"/>
                <w:szCs w:val="16"/>
                <w:u w:val="none"/>
                <w:lang w:val="en-US" w:eastAsia="en-US"/>
              </w:rPr>
              <w:br/>
            </w:r>
            <w:r w:rsidRPr="007421F9">
              <w:rPr>
                <w:rFonts w:ascii="Arial" w:hAnsi="Arial" w:cs="Arial"/>
                <w:b w:val="0"/>
                <w:color w:val="000000"/>
                <w:sz w:val="16"/>
                <w:szCs w:val="16"/>
                <w:u w:val="none"/>
                <w:lang w:val="en-US" w:eastAsia="en-US"/>
              </w:rPr>
              <w:br/>
            </w:r>
            <w:r w:rsidRPr="007421F9">
              <w:rPr>
                <w:rFonts w:ascii="Arial" w:hAnsi="Arial" w:cs="Arial"/>
                <w:b w:val="0"/>
                <w:color w:val="000000"/>
                <w:sz w:val="16"/>
                <w:szCs w:val="16"/>
                <w:u w:val="none"/>
                <w:lang w:val="en-US" w:eastAsia="en-US"/>
              </w:rPr>
              <w:br/>
            </w:r>
          </w:p>
        </w:tc>
        <w:tc>
          <w:tcPr>
            <w:tcW w:w="1414" w:type="dxa"/>
            <w:shd w:val="clear" w:color="auto" w:fill="auto"/>
          </w:tcPr>
          <w:p w14:paraId="772786A2"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On track.</w:t>
            </w:r>
          </w:p>
        </w:tc>
      </w:tr>
      <w:tr w:rsidR="007421F9" w:rsidRPr="007421F9" w14:paraId="3161E6DF" w14:textId="77777777" w:rsidTr="007C2D67">
        <w:trPr>
          <w:trHeight w:val="20"/>
        </w:trPr>
        <w:tc>
          <w:tcPr>
            <w:tcW w:w="1787" w:type="dxa"/>
            <w:vMerge/>
            <w:shd w:val="clear" w:color="auto" w:fill="auto"/>
          </w:tcPr>
          <w:p w14:paraId="324B779A"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p>
        </w:tc>
        <w:tc>
          <w:tcPr>
            <w:tcW w:w="1776" w:type="dxa"/>
            <w:vMerge/>
            <w:shd w:val="clear" w:color="auto" w:fill="auto"/>
          </w:tcPr>
          <w:p w14:paraId="143811EF"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p>
        </w:tc>
        <w:tc>
          <w:tcPr>
            <w:tcW w:w="2927" w:type="dxa"/>
            <w:shd w:val="clear" w:color="auto" w:fill="auto"/>
          </w:tcPr>
          <w:p w14:paraId="4614C023" w14:textId="77777777" w:rsidR="007421F9" w:rsidRPr="007421F9" w:rsidRDefault="007421F9" w:rsidP="007421F9">
            <w:pPr>
              <w:numPr>
                <w:ilvl w:val="0"/>
                <w:numId w:val="39"/>
              </w:numPr>
              <w:autoSpaceDE/>
              <w:autoSpaceDN/>
              <w:adjustRightInd/>
              <w:spacing w:after="0"/>
              <w:contextualSpacing/>
              <w:textAlignment w:val="auto"/>
              <w:rPr>
                <w:rFonts w:ascii="Arial" w:hAnsi="Arial" w:cs="Arial"/>
                <w:b w:val="0"/>
                <w:color w:val="000000"/>
                <w:sz w:val="16"/>
                <w:szCs w:val="16"/>
                <w:u w:val="none"/>
                <w:lang w:val="en-US" w:eastAsia="ja-JP"/>
              </w:rPr>
            </w:pPr>
            <w:r w:rsidRPr="007421F9">
              <w:rPr>
                <w:rFonts w:ascii="Arial" w:hAnsi="Arial" w:cs="Arial"/>
                <w:b w:val="0"/>
                <w:color w:val="000000"/>
                <w:sz w:val="16"/>
                <w:szCs w:val="16"/>
                <w:u w:val="none"/>
                <w:lang w:val="en-US" w:eastAsia="ja-JP"/>
              </w:rPr>
              <w:t>Proportion of clients supported by Nabilan partners that are vulnerable</w:t>
            </w:r>
          </w:p>
        </w:tc>
        <w:tc>
          <w:tcPr>
            <w:tcW w:w="1497" w:type="dxa"/>
          </w:tcPr>
          <w:p w14:paraId="251BCF0A"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36 (2.6%) clients with disability</w:t>
            </w:r>
          </w:p>
          <w:p w14:paraId="36E281AF"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p>
          <w:p w14:paraId="2A95E241"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14% FFH</w:t>
            </w:r>
          </w:p>
          <w:p w14:paraId="53159C9F"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18% no schooling</w:t>
            </w:r>
          </w:p>
          <w:p w14:paraId="7F2664C3"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11% does not speak Tetum</w:t>
            </w:r>
          </w:p>
        </w:tc>
        <w:tc>
          <w:tcPr>
            <w:tcW w:w="2184" w:type="dxa"/>
            <w:shd w:val="clear" w:color="auto" w:fill="auto"/>
          </w:tcPr>
          <w:p w14:paraId="7EF48758"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p>
        </w:tc>
        <w:tc>
          <w:tcPr>
            <w:tcW w:w="1228" w:type="dxa"/>
          </w:tcPr>
          <w:p w14:paraId="05F93A93" w14:textId="77777777" w:rsidR="007421F9" w:rsidRPr="007421F9" w:rsidRDefault="007421F9" w:rsidP="007421F9">
            <w:pPr>
              <w:autoSpaceDE/>
              <w:autoSpaceDN/>
              <w:adjustRightInd/>
              <w:spacing w:after="24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5 (1.6%) clients with disability</w:t>
            </w:r>
          </w:p>
          <w:p w14:paraId="4548D9C4" w14:textId="77777777" w:rsidR="007421F9" w:rsidRPr="007421F9" w:rsidRDefault="007421F9" w:rsidP="007421F9">
            <w:pPr>
              <w:autoSpaceDE/>
              <w:autoSpaceDN/>
              <w:adjustRightInd/>
              <w:spacing w:after="240"/>
              <w:textAlignment w:val="auto"/>
              <w:rPr>
                <w:rFonts w:ascii="Arial" w:hAnsi="Arial" w:cs="Arial"/>
                <w:b w:val="0"/>
                <w:color w:val="000000"/>
                <w:sz w:val="16"/>
                <w:szCs w:val="16"/>
                <w:u w:val="none"/>
                <w:lang w:val="en-US" w:eastAsia="en-US"/>
              </w:rPr>
            </w:pPr>
          </w:p>
        </w:tc>
        <w:tc>
          <w:tcPr>
            <w:tcW w:w="1852" w:type="dxa"/>
            <w:shd w:val="clear" w:color="auto" w:fill="auto"/>
          </w:tcPr>
          <w:p w14:paraId="16D70F2B"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eastAsia="en-US"/>
              </w:rPr>
              <w:t>M</w:t>
            </w:r>
            <w:r w:rsidRPr="007421F9">
              <w:rPr>
                <w:rFonts w:ascii="Arial" w:hAnsi="Arial" w:cs="Arial"/>
                <w:b w:val="0"/>
                <w:color w:val="000000"/>
                <w:sz w:val="16"/>
                <w:szCs w:val="16"/>
                <w:u w:val="none"/>
                <w:lang w:val="en-US" w:eastAsia="en-US"/>
              </w:rPr>
              <w:t>aintain or increase in proportion of clients with disabilities (and other vulnerable clients) compared with 2014 baseline </w:t>
            </w:r>
          </w:p>
        </w:tc>
        <w:tc>
          <w:tcPr>
            <w:tcW w:w="1414" w:type="dxa"/>
            <w:shd w:val="clear" w:color="auto" w:fill="auto"/>
          </w:tcPr>
          <w:p w14:paraId="536DABBA"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eastAsia="en-US"/>
              </w:rPr>
            </w:pPr>
            <w:r w:rsidRPr="007421F9">
              <w:rPr>
                <w:rFonts w:ascii="Arial" w:hAnsi="Arial" w:cs="Arial"/>
                <w:b w:val="0"/>
                <w:color w:val="000000"/>
                <w:sz w:val="16"/>
                <w:szCs w:val="16"/>
                <w:u w:val="none"/>
                <w:lang w:eastAsia="en-US"/>
              </w:rPr>
              <w:t>On track.</w:t>
            </w:r>
          </w:p>
        </w:tc>
      </w:tr>
      <w:tr w:rsidR="007421F9" w:rsidRPr="007421F9" w14:paraId="37FA9EEB" w14:textId="77777777" w:rsidTr="007C2D67">
        <w:trPr>
          <w:trHeight w:val="20"/>
        </w:trPr>
        <w:tc>
          <w:tcPr>
            <w:tcW w:w="1787" w:type="dxa"/>
            <w:shd w:val="clear" w:color="auto" w:fill="auto"/>
            <w:hideMark/>
          </w:tcPr>
          <w:p w14:paraId="13E2CCDC"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1.4 How has Nabilan strengthened referral pathways?</w:t>
            </w:r>
          </w:p>
        </w:tc>
        <w:tc>
          <w:tcPr>
            <w:tcW w:w="1776" w:type="dxa"/>
            <w:shd w:val="clear" w:color="auto" w:fill="auto"/>
          </w:tcPr>
          <w:p w14:paraId="7ED9D136"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IO1.2: Women and children experiencing violence are referred to appropriate services</w:t>
            </w:r>
          </w:p>
          <w:p w14:paraId="053BF4CA"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p>
          <w:p w14:paraId="682A99B6"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ImO1.2 Non-referral network service providers have knowledge and skills to respond appropriately to women and children who experience violence</w:t>
            </w:r>
          </w:p>
        </w:tc>
        <w:tc>
          <w:tcPr>
            <w:tcW w:w="2927" w:type="dxa"/>
            <w:shd w:val="clear" w:color="auto" w:fill="auto"/>
            <w:hideMark/>
          </w:tcPr>
          <w:p w14:paraId="4557BB07" w14:textId="77777777" w:rsidR="007421F9" w:rsidRPr="007421F9" w:rsidRDefault="007421F9" w:rsidP="007421F9">
            <w:pPr>
              <w:numPr>
                <w:ilvl w:val="0"/>
                <w:numId w:val="39"/>
              </w:numPr>
              <w:autoSpaceDE/>
              <w:autoSpaceDN/>
              <w:adjustRightInd/>
              <w:spacing w:after="0"/>
              <w:contextualSpacing/>
              <w:textAlignment w:val="auto"/>
              <w:rPr>
                <w:rFonts w:ascii="Arial" w:hAnsi="Arial" w:cs="Arial"/>
                <w:b w:val="0"/>
                <w:color w:val="000000"/>
                <w:sz w:val="16"/>
                <w:szCs w:val="16"/>
                <w:u w:val="none"/>
                <w:lang w:val="en-US" w:eastAsia="ja-JP"/>
              </w:rPr>
            </w:pPr>
            <w:r w:rsidRPr="007421F9">
              <w:rPr>
                <w:rFonts w:ascii="Arial" w:hAnsi="Arial" w:cs="Arial"/>
                <w:b w:val="0"/>
                <w:color w:val="000000"/>
                <w:sz w:val="16"/>
                <w:szCs w:val="16"/>
                <w:u w:val="none"/>
                <w:lang w:val="en-US" w:eastAsia="ja-JP"/>
              </w:rPr>
              <w:t xml:space="preserve">Number of women and children being referred to partner services. </w:t>
            </w:r>
            <w:r w:rsidRPr="007421F9">
              <w:rPr>
                <w:rFonts w:ascii="Arial" w:hAnsi="Arial" w:cs="Arial"/>
                <w:color w:val="000000"/>
                <w:sz w:val="16"/>
                <w:szCs w:val="16"/>
                <w:u w:val="none"/>
                <w:lang w:val="en-US" w:eastAsia="ja-JP"/>
              </w:rPr>
              <w:t>Disaggregation:</w:t>
            </w:r>
            <w:r w:rsidRPr="007421F9">
              <w:rPr>
                <w:rFonts w:ascii="Arial" w:hAnsi="Arial" w:cs="Arial"/>
                <w:b w:val="0"/>
                <w:color w:val="000000"/>
                <w:sz w:val="16"/>
                <w:szCs w:val="16"/>
                <w:u w:val="none"/>
                <w:lang w:val="en-US" w:eastAsia="ja-JP"/>
              </w:rPr>
              <w:t xml:space="preserve"> referral source (from referral-network partners or outside the referral network (DPOs; health workers; community leaders; self-referred))</w:t>
            </w:r>
          </w:p>
        </w:tc>
        <w:tc>
          <w:tcPr>
            <w:tcW w:w="1497" w:type="dxa"/>
          </w:tcPr>
          <w:p w14:paraId="51AEC233"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Total 1,343 referred:</w:t>
            </w:r>
          </w:p>
          <w:p w14:paraId="385D0362"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1,111 (83%) from within referral network;</w:t>
            </w:r>
          </w:p>
          <w:p w14:paraId="63578CCF"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232 (17%) from outside.</w:t>
            </w:r>
          </w:p>
          <w:p w14:paraId="30C1C29B"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p>
          <w:p w14:paraId="1453933F"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Total 1,266 referrals made:</w:t>
            </w:r>
          </w:p>
          <w:p w14:paraId="654490AE"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937 (74%) within referral network;</w:t>
            </w:r>
          </w:p>
          <w:p w14:paraId="126F5747"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329 (26%) to outside.</w:t>
            </w:r>
          </w:p>
        </w:tc>
        <w:tc>
          <w:tcPr>
            <w:tcW w:w="2184" w:type="dxa"/>
            <w:shd w:val="clear" w:color="auto" w:fill="auto"/>
            <w:hideMark/>
          </w:tcPr>
          <w:p w14:paraId="54740021"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 </w:t>
            </w:r>
          </w:p>
        </w:tc>
        <w:tc>
          <w:tcPr>
            <w:tcW w:w="1228" w:type="dxa"/>
          </w:tcPr>
          <w:p w14:paraId="0135DAD1"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2017:</w:t>
            </w:r>
          </w:p>
          <w:p w14:paraId="0A183BD3"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Total 1,090 referrals received</w:t>
            </w:r>
          </w:p>
          <w:p w14:paraId="5EBBD476"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p>
          <w:p w14:paraId="66D28ACB"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Total 820 referrals made.</w:t>
            </w:r>
          </w:p>
          <w:p w14:paraId="362380B0"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p>
          <w:p w14:paraId="0B0CABD8"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Did not disaggregate by within/ outside referral network.</w:t>
            </w:r>
          </w:p>
        </w:tc>
        <w:tc>
          <w:tcPr>
            <w:tcW w:w="1852" w:type="dxa"/>
            <w:shd w:val="clear" w:color="auto" w:fill="auto"/>
            <w:hideMark/>
          </w:tcPr>
          <w:p w14:paraId="00293106" w14:textId="77777777" w:rsidR="007421F9" w:rsidRPr="007421F9" w:rsidRDefault="007421F9" w:rsidP="007421F9">
            <w:pPr>
              <w:numPr>
                <w:ilvl w:val="0"/>
                <w:numId w:val="41"/>
              </w:numPr>
              <w:autoSpaceDE/>
              <w:autoSpaceDN/>
              <w:adjustRightInd/>
              <w:spacing w:after="0"/>
              <w:ind w:left="149" w:hanging="149"/>
              <w:contextualSpacing/>
              <w:textAlignment w:val="auto"/>
              <w:rPr>
                <w:rFonts w:ascii="Arial" w:hAnsi="Arial" w:cs="Arial"/>
                <w:b w:val="0"/>
                <w:color w:val="000000"/>
                <w:sz w:val="16"/>
                <w:szCs w:val="16"/>
                <w:u w:val="none"/>
                <w:lang w:val="en-US" w:eastAsia="ja-JP"/>
              </w:rPr>
            </w:pPr>
            <w:r w:rsidRPr="007421F9">
              <w:rPr>
                <w:rFonts w:ascii="Arial" w:hAnsi="Arial" w:cs="Arial"/>
                <w:b w:val="0"/>
                <w:color w:val="000000"/>
                <w:sz w:val="16"/>
                <w:szCs w:val="16"/>
                <w:u w:val="none"/>
                <w:lang w:val="en-US" w:eastAsia="ja-JP"/>
              </w:rPr>
              <w:t>5% increase in referrals from outside the referral network by 2020</w:t>
            </w:r>
          </w:p>
          <w:p w14:paraId="474A6575" w14:textId="77777777" w:rsidR="007421F9" w:rsidRPr="007421F9" w:rsidRDefault="007421F9" w:rsidP="007421F9">
            <w:pPr>
              <w:numPr>
                <w:ilvl w:val="0"/>
                <w:numId w:val="41"/>
              </w:numPr>
              <w:autoSpaceDE/>
              <w:autoSpaceDN/>
              <w:adjustRightInd/>
              <w:spacing w:after="0"/>
              <w:ind w:left="149" w:hanging="149"/>
              <w:contextualSpacing/>
              <w:textAlignment w:val="auto"/>
              <w:rPr>
                <w:rFonts w:ascii="Arial" w:hAnsi="Arial" w:cs="Arial"/>
                <w:b w:val="0"/>
                <w:color w:val="000000"/>
                <w:sz w:val="16"/>
                <w:szCs w:val="16"/>
                <w:u w:val="none"/>
                <w:lang w:val="en-US" w:eastAsia="ja-JP"/>
              </w:rPr>
            </w:pPr>
            <w:r w:rsidRPr="007421F9">
              <w:rPr>
                <w:rFonts w:ascii="Arial" w:hAnsi="Arial" w:cs="Arial"/>
                <w:b w:val="0"/>
                <w:color w:val="000000"/>
                <w:sz w:val="16"/>
                <w:szCs w:val="16"/>
                <w:u w:val="none"/>
                <w:lang w:val="en-US" w:eastAsia="ja-JP"/>
              </w:rPr>
              <w:t>10% increase in number of referrals made between service providers</w:t>
            </w:r>
          </w:p>
        </w:tc>
        <w:tc>
          <w:tcPr>
            <w:tcW w:w="1414" w:type="dxa"/>
            <w:shd w:val="clear" w:color="auto" w:fill="auto"/>
          </w:tcPr>
          <w:p w14:paraId="0C230EC7"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eastAsia="en-US"/>
              </w:rPr>
            </w:pPr>
            <w:r w:rsidRPr="007421F9">
              <w:rPr>
                <w:rFonts w:ascii="Arial" w:hAnsi="Arial" w:cs="Arial"/>
                <w:b w:val="0"/>
                <w:color w:val="000000"/>
                <w:sz w:val="16"/>
                <w:szCs w:val="16"/>
                <w:u w:val="none"/>
                <w:lang w:eastAsia="en-US"/>
              </w:rPr>
              <w:t>On track.</w:t>
            </w:r>
          </w:p>
        </w:tc>
      </w:tr>
      <w:tr w:rsidR="007421F9" w:rsidRPr="007421F9" w14:paraId="613C466D" w14:textId="77777777" w:rsidTr="007C2D67">
        <w:trPr>
          <w:trHeight w:val="20"/>
        </w:trPr>
        <w:tc>
          <w:tcPr>
            <w:tcW w:w="1787" w:type="dxa"/>
            <w:vMerge w:val="restart"/>
            <w:shd w:val="clear" w:color="auto" w:fill="auto"/>
            <w:hideMark/>
          </w:tcPr>
          <w:p w14:paraId="24AF60CF"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1.5 How has Nabilan contributed to improving the justice sector response to VAWC?</w:t>
            </w:r>
          </w:p>
          <w:p w14:paraId="7721AAF4"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 </w:t>
            </w:r>
          </w:p>
        </w:tc>
        <w:tc>
          <w:tcPr>
            <w:tcW w:w="1776" w:type="dxa"/>
            <w:vMerge w:val="restart"/>
            <w:shd w:val="clear" w:color="auto" w:fill="auto"/>
          </w:tcPr>
          <w:p w14:paraId="61A856F6"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 xml:space="preserve">IO1.4: The justice sector improves its response to VAWC </w:t>
            </w:r>
          </w:p>
          <w:p w14:paraId="121D132E"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p>
          <w:p w14:paraId="00759033"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ImO1.4 Partners and service providers advocate for improved justice sector response to VAWC</w:t>
            </w:r>
          </w:p>
        </w:tc>
        <w:tc>
          <w:tcPr>
            <w:tcW w:w="2927" w:type="dxa"/>
            <w:shd w:val="clear" w:color="auto" w:fill="auto"/>
            <w:hideMark/>
          </w:tcPr>
          <w:p w14:paraId="3929A8C1" w14:textId="77777777" w:rsidR="007421F9" w:rsidRPr="007421F9" w:rsidRDefault="007421F9" w:rsidP="007421F9">
            <w:pPr>
              <w:numPr>
                <w:ilvl w:val="0"/>
                <w:numId w:val="39"/>
              </w:numPr>
              <w:autoSpaceDE/>
              <w:autoSpaceDN/>
              <w:adjustRightInd/>
              <w:spacing w:after="0"/>
              <w:contextualSpacing/>
              <w:textAlignment w:val="auto"/>
              <w:rPr>
                <w:rFonts w:ascii="Arial" w:hAnsi="Arial" w:cs="Arial"/>
                <w:b w:val="0"/>
                <w:color w:val="000000"/>
                <w:sz w:val="16"/>
                <w:szCs w:val="16"/>
                <w:u w:val="none"/>
                <w:lang w:val="en-US" w:eastAsia="ja-JP"/>
              </w:rPr>
            </w:pPr>
            <w:r w:rsidRPr="007421F9">
              <w:rPr>
                <w:rFonts w:ascii="Arial" w:hAnsi="Arial" w:cs="Arial"/>
                <w:b w:val="0"/>
                <w:color w:val="000000"/>
                <w:sz w:val="16"/>
                <w:szCs w:val="16"/>
                <w:u w:val="none"/>
                <w:lang w:val="en-US" w:eastAsia="ja-JP"/>
              </w:rPr>
              <w:t xml:space="preserve">Evidence of appropriate charging and sentencing in the formal justice system: </w:t>
            </w:r>
          </w:p>
          <w:p w14:paraId="0E3BBEBF" w14:textId="77777777" w:rsidR="007421F9" w:rsidRPr="007421F9" w:rsidRDefault="007421F9" w:rsidP="007421F9">
            <w:pPr>
              <w:numPr>
                <w:ilvl w:val="0"/>
                <w:numId w:val="40"/>
              </w:numPr>
              <w:autoSpaceDE/>
              <w:autoSpaceDN/>
              <w:adjustRightInd/>
              <w:spacing w:after="0"/>
              <w:contextualSpacing/>
              <w:textAlignment w:val="auto"/>
              <w:rPr>
                <w:rFonts w:ascii="Arial" w:hAnsi="Arial" w:cs="Arial"/>
                <w:b w:val="0"/>
                <w:color w:val="000000"/>
                <w:sz w:val="16"/>
                <w:szCs w:val="16"/>
                <w:u w:val="none"/>
                <w:lang w:val="en-US" w:eastAsia="ja-JP"/>
              </w:rPr>
            </w:pPr>
            <w:r w:rsidRPr="007421F9">
              <w:rPr>
                <w:rFonts w:ascii="Arial" w:hAnsi="Arial" w:cs="Arial"/>
                <w:b w:val="0"/>
                <w:color w:val="000000"/>
                <w:sz w:val="16"/>
                <w:szCs w:val="16"/>
                <w:u w:val="none"/>
                <w:lang w:val="en-US" w:eastAsia="ja-JP"/>
              </w:rPr>
              <w:t xml:space="preserve">number of DV cases resulting in suspended sentence with monitoring obligation; </w:t>
            </w:r>
          </w:p>
          <w:p w14:paraId="25116108" w14:textId="77777777" w:rsidR="007421F9" w:rsidRPr="007421F9" w:rsidRDefault="007421F9" w:rsidP="007421F9">
            <w:pPr>
              <w:numPr>
                <w:ilvl w:val="0"/>
                <w:numId w:val="40"/>
              </w:numPr>
              <w:autoSpaceDE/>
              <w:autoSpaceDN/>
              <w:adjustRightInd/>
              <w:spacing w:after="0"/>
              <w:contextualSpacing/>
              <w:textAlignment w:val="auto"/>
              <w:rPr>
                <w:rFonts w:ascii="Arial" w:hAnsi="Arial" w:cs="Arial"/>
                <w:b w:val="0"/>
                <w:color w:val="000000"/>
                <w:sz w:val="16"/>
                <w:szCs w:val="16"/>
                <w:u w:val="none"/>
                <w:lang w:val="en-US" w:eastAsia="ja-JP"/>
              </w:rPr>
            </w:pPr>
            <w:r w:rsidRPr="007421F9">
              <w:rPr>
                <w:rFonts w:ascii="Arial" w:hAnsi="Arial" w:cs="Arial"/>
                <w:b w:val="0"/>
                <w:color w:val="000000"/>
                <w:sz w:val="16"/>
                <w:szCs w:val="16"/>
                <w:u w:val="none"/>
                <w:lang w:val="en-US" w:eastAsia="ja-JP"/>
              </w:rPr>
              <w:t xml:space="preserve">number of DV cases being charged as serious assault or mistreatment of a spouse; </w:t>
            </w:r>
          </w:p>
          <w:p w14:paraId="26C439DD" w14:textId="77777777" w:rsidR="007421F9" w:rsidRPr="007421F9" w:rsidRDefault="007421F9" w:rsidP="007421F9">
            <w:pPr>
              <w:numPr>
                <w:ilvl w:val="0"/>
                <w:numId w:val="40"/>
              </w:numPr>
              <w:autoSpaceDE/>
              <w:autoSpaceDN/>
              <w:adjustRightInd/>
              <w:spacing w:after="0"/>
              <w:contextualSpacing/>
              <w:textAlignment w:val="auto"/>
              <w:rPr>
                <w:rFonts w:ascii="Arial" w:hAnsi="Arial" w:cs="Arial"/>
                <w:b w:val="0"/>
                <w:color w:val="000000"/>
                <w:sz w:val="16"/>
                <w:szCs w:val="16"/>
                <w:u w:val="none"/>
                <w:lang w:val="en-US" w:eastAsia="ja-JP"/>
              </w:rPr>
            </w:pPr>
            <w:r w:rsidRPr="007421F9">
              <w:rPr>
                <w:rFonts w:ascii="Arial" w:hAnsi="Arial" w:cs="Arial"/>
                <w:b w:val="0"/>
                <w:color w:val="000000"/>
                <w:sz w:val="16"/>
                <w:szCs w:val="16"/>
                <w:u w:val="none"/>
                <w:lang w:val="en-US" w:eastAsia="ja-JP"/>
              </w:rPr>
              <w:t xml:space="preserve">number of DV cases resulting in fine </w:t>
            </w:r>
          </w:p>
        </w:tc>
        <w:tc>
          <w:tcPr>
            <w:tcW w:w="1497" w:type="dxa"/>
          </w:tcPr>
          <w:p w14:paraId="50EC917A"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eastAsia="en-US"/>
              </w:rPr>
            </w:pPr>
            <w:r w:rsidRPr="007421F9">
              <w:rPr>
                <w:rFonts w:ascii="Arial" w:hAnsi="Arial" w:cs="Arial"/>
                <w:b w:val="0"/>
                <w:color w:val="000000"/>
                <w:sz w:val="16"/>
                <w:szCs w:val="16"/>
                <w:u w:val="none"/>
                <w:lang w:eastAsia="en-US"/>
              </w:rPr>
              <w:t>Suspended sentence with monitoring obligation: 26 (5%)</w:t>
            </w:r>
          </w:p>
          <w:p w14:paraId="1E95C605"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p>
          <w:p w14:paraId="72DA7957"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eastAsia="en-US"/>
              </w:rPr>
            </w:pPr>
            <w:r w:rsidRPr="007421F9">
              <w:rPr>
                <w:rFonts w:ascii="Arial" w:hAnsi="Arial" w:cs="Arial"/>
                <w:b w:val="0"/>
                <w:color w:val="000000"/>
                <w:sz w:val="16"/>
                <w:szCs w:val="16"/>
                <w:u w:val="none"/>
                <w:lang w:eastAsia="en-US"/>
              </w:rPr>
              <w:t>Charged as serious assault or mistreatment of a spouse: 48 (9%)</w:t>
            </w:r>
          </w:p>
          <w:p w14:paraId="426E0268"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p>
          <w:p w14:paraId="115F16BE"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Fine: 74 (14%)</w:t>
            </w:r>
          </w:p>
        </w:tc>
        <w:tc>
          <w:tcPr>
            <w:tcW w:w="2184" w:type="dxa"/>
            <w:shd w:val="clear" w:color="auto" w:fill="auto"/>
            <w:hideMark/>
          </w:tcPr>
          <w:p w14:paraId="07F82B07"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 </w:t>
            </w:r>
          </w:p>
        </w:tc>
        <w:tc>
          <w:tcPr>
            <w:tcW w:w="1228" w:type="dxa"/>
          </w:tcPr>
          <w:p w14:paraId="56976144"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2017:</w:t>
            </w:r>
          </w:p>
          <w:p w14:paraId="087B509D"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p>
          <w:p w14:paraId="7DD04184"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eastAsia="en-US"/>
              </w:rPr>
            </w:pPr>
            <w:r w:rsidRPr="007421F9">
              <w:rPr>
                <w:rFonts w:ascii="Arial" w:hAnsi="Arial" w:cs="Arial"/>
                <w:b w:val="0"/>
                <w:color w:val="000000"/>
                <w:sz w:val="16"/>
                <w:szCs w:val="16"/>
                <w:u w:val="none"/>
                <w:lang w:eastAsia="en-US"/>
              </w:rPr>
              <w:t>Suspended sentence with monitoring obligation: 20 (5%)</w:t>
            </w:r>
          </w:p>
          <w:p w14:paraId="396E64C8"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p>
          <w:p w14:paraId="5B1D2200"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eastAsia="en-US"/>
              </w:rPr>
            </w:pPr>
            <w:r w:rsidRPr="007421F9">
              <w:rPr>
                <w:rFonts w:ascii="Arial" w:hAnsi="Arial" w:cs="Arial"/>
                <w:b w:val="0"/>
                <w:color w:val="000000"/>
                <w:sz w:val="16"/>
                <w:szCs w:val="16"/>
                <w:u w:val="none"/>
                <w:lang w:eastAsia="en-US"/>
              </w:rPr>
              <w:t>Charged as serious assault or mistreatment of a spouse: 39 (10%)</w:t>
            </w:r>
          </w:p>
          <w:p w14:paraId="07AE2F92"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p>
          <w:p w14:paraId="4063B826"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Fine: 37 (11%)</w:t>
            </w:r>
          </w:p>
        </w:tc>
        <w:tc>
          <w:tcPr>
            <w:tcW w:w="1852" w:type="dxa"/>
            <w:shd w:val="clear" w:color="auto" w:fill="auto"/>
            <w:hideMark/>
          </w:tcPr>
          <w:p w14:paraId="4C9C67EA"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Compared against 2017 baseline:</w:t>
            </w:r>
          </w:p>
          <w:p w14:paraId="274B5B3E" w14:textId="77777777" w:rsidR="007421F9" w:rsidRPr="007421F9" w:rsidRDefault="007421F9" w:rsidP="007421F9">
            <w:pPr>
              <w:numPr>
                <w:ilvl w:val="0"/>
                <w:numId w:val="41"/>
              </w:numPr>
              <w:autoSpaceDE/>
              <w:autoSpaceDN/>
              <w:adjustRightInd/>
              <w:spacing w:after="0"/>
              <w:ind w:left="149" w:hanging="149"/>
              <w:contextualSpacing/>
              <w:textAlignment w:val="auto"/>
              <w:rPr>
                <w:rFonts w:ascii="Arial" w:hAnsi="Arial" w:cs="Arial"/>
                <w:b w:val="0"/>
                <w:color w:val="000000"/>
                <w:sz w:val="16"/>
                <w:szCs w:val="16"/>
                <w:u w:val="none"/>
                <w:lang w:val="en-US" w:eastAsia="ja-JP"/>
              </w:rPr>
            </w:pPr>
            <w:r w:rsidRPr="007421F9">
              <w:rPr>
                <w:rFonts w:ascii="Arial" w:hAnsi="Arial" w:cs="Arial"/>
                <w:b w:val="0"/>
                <w:color w:val="000000"/>
                <w:sz w:val="16"/>
                <w:szCs w:val="16"/>
                <w:u w:val="none"/>
                <w:lang w:val="en-US" w:eastAsia="ja-JP"/>
              </w:rPr>
              <w:t xml:space="preserve">increase in number of DV cases resulting in suspended sentence with monitoring obligation; </w:t>
            </w:r>
          </w:p>
          <w:p w14:paraId="10F82E32" w14:textId="77777777" w:rsidR="007421F9" w:rsidRPr="007421F9" w:rsidRDefault="007421F9" w:rsidP="007421F9">
            <w:pPr>
              <w:numPr>
                <w:ilvl w:val="0"/>
                <w:numId w:val="41"/>
              </w:numPr>
              <w:autoSpaceDE/>
              <w:autoSpaceDN/>
              <w:adjustRightInd/>
              <w:spacing w:after="0"/>
              <w:ind w:left="149" w:hanging="149"/>
              <w:contextualSpacing/>
              <w:textAlignment w:val="auto"/>
              <w:rPr>
                <w:rFonts w:ascii="Arial" w:hAnsi="Arial" w:cs="Arial"/>
                <w:b w:val="0"/>
                <w:color w:val="000000"/>
                <w:sz w:val="16"/>
                <w:szCs w:val="16"/>
                <w:u w:val="none"/>
                <w:lang w:val="en-US" w:eastAsia="ja-JP"/>
              </w:rPr>
            </w:pPr>
            <w:r w:rsidRPr="007421F9">
              <w:rPr>
                <w:rFonts w:ascii="Arial" w:hAnsi="Arial" w:cs="Arial"/>
                <w:b w:val="0"/>
                <w:color w:val="000000"/>
                <w:sz w:val="16"/>
                <w:szCs w:val="16"/>
                <w:u w:val="none"/>
                <w:lang w:val="en-US" w:eastAsia="ja-JP"/>
              </w:rPr>
              <w:t xml:space="preserve">increase in number of DV cases being charged as serious assault or mistreatment of a spouse; </w:t>
            </w:r>
          </w:p>
          <w:p w14:paraId="1C10F162" w14:textId="77777777" w:rsidR="007421F9" w:rsidRPr="007421F9" w:rsidRDefault="007421F9" w:rsidP="007421F9">
            <w:pPr>
              <w:numPr>
                <w:ilvl w:val="0"/>
                <w:numId w:val="41"/>
              </w:numPr>
              <w:autoSpaceDE/>
              <w:autoSpaceDN/>
              <w:adjustRightInd/>
              <w:spacing w:after="0"/>
              <w:ind w:left="149" w:hanging="149"/>
              <w:contextualSpacing/>
              <w:textAlignment w:val="auto"/>
              <w:rPr>
                <w:rFonts w:ascii="Arial" w:hAnsi="Arial" w:cs="Arial"/>
                <w:b w:val="0"/>
                <w:color w:val="000000"/>
                <w:sz w:val="16"/>
                <w:szCs w:val="16"/>
                <w:u w:val="none"/>
                <w:lang w:val="en-US" w:eastAsia="ja-JP"/>
              </w:rPr>
            </w:pPr>
            <w:r w:rsidRPr="007421F9">
              <w:rPr>
                <w:rFonts w:ascii="Arial" w:hAnsi="Arial" w:cs="Arial"/>
                <w:b w:val="0"/>
                <w:color w:val="000000"/>
                <w:sz w:val="16"/>
                <w:szCs w:val="16"/>
                <w:u w:val="none"/>
                <w:lang w:val="en-US" w:eastAsia="ja-JP"/>
              </w:rPr>
              <w:t>decrease in number of DV cases resulting in fine</w:t>
            </w:r>
          </w:p>
        </w:tc>
        <w:tc>
          <w:tcPr>
            <w:tcW w:w="1414" w:type="dxa"/>
            <w:shd w:val="clear" w:color="auto" w:fill="auto"/>
          </w:tcPr>
          <w:p w14:paraId="5108FF70"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eastAsia="en-US"/>
              </w:rPr>
              <w:t>Major delay.</w:t>
            </w:r>
          </w:p>
        </w:tc>
      </w:tr>
      <w:tr w:rsidR="007421F9" w:rsidRPr="007421F9" w14:paraId="72C09D89" w14:textId="77777777" w:rsidTr="007C2D67">
        <w:trPr>
          <w:trHeight w:val="20"/>
        </w:trPr>
        <w:tc>
          <w:tcPr>
            <w:tcW w:w="1787" w:type="dxa"/>
            <w:vMerge/>
            <w:shd w:val="clear" w:color="auto" w:fill="auto"/>
            <w:hideMark/>
          </w:tcPr>
          <w:p w14:paraId="60669C29"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p>
        </w:tc>
        <w:tc>
          <w:tcPr>
            <w:tcW w:w="1776" w:type="dxa"/>
            <w:vMerge/>
            <w:shd w:val="clear" w:color="auto" w:fill="auto"/>
          </w:tcPr>
          <w:p w14:paraId="5B81C58E"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p>
        </w:tc>
        <w:tc>
          <w:tcPr>
            <w:tcW w:w="2927" w:type="dxa"/>
            <w:shd w:val="clear" w:color="auto" w:fill="auto"/>
            <w:hideMark/>
          </w:tcPr>
          <w:p w14:paraId="1C84D1AC" w14:textId="77777777" w:rsidR="007421F9" w:rsidRPr="007421F9" w:rsidRDefault="007421F9" w:rsidP="007421F9">
            <w:pPr>
              <w:numPr>
                <w:ilvl w:val="0"/>
                <w:numId w:val="39"/>
              </w:numPr>
              <w:autoSpaceDE/>
              <w:autoSpaceDN/>
              <w:adjustRightInd/>
              <w:spacing w:after="0"/>
              <w:contextualSpacing/>
              <w:textAlignment w:val="auto"/>
              <w:rPr>
                <w:rFonts w:ascii="Arial" w:hAnsi="Arial" w:cs="Arial"/>
                <w:b w:val="0"/>
                <w:color w:val="000000"/>
                <w:sz w:val="16"/>
                <w:szCs w:val="16"/>
                <w:u w:val="none"/>
                <w:lang w:val="en-US" w:eastAsia="ja-JP"/>
              </w:rPr>
            </w:pPr>
            <w:r w:rsidRPr="007421F9">
              <w:rPr>
                <w:rFonts w:ascii="Arial" w:hAnsi="Arial" w:cs="Arial"/>
                <w:b w:val="0"/>
                <w:color w:val="000000"/>
                <w:sz w:val="16"/>
                <w:szCs w:val="16"/>
                <w:u w:val="none"/>
                <w:lang w:val="en-US" w:eastAsia="ja-JP"/>
              </w:rPr>
              <w:t xml:space="preserve">Number of cases of VAWC reaching the courts monitored by JSMP </w:t>
            </w:r>
          </w:p>
          <w:p w14:paraId="2E6C7B58" w14:textId="77777777" w:rsidR="007421F9" w:rsidRPr="007421F9" w:rsidRDefault="007421F9" w:rsidP="007421F9">
            <w:pPr>
              <w:autoSpaceDE/>
              <w:autoSpaceDN/>
              <w:adjustRightInd/>
              <w:spacing w:after="0"/>
              <w:ind w:left="360"/>
              <w:contextualSpacing/>
              <w:textAlignment w:val="auto"/>
              <w:rPr>
                <w:rFonts w:ascii="Arial" w:hAnsi="Arial" w:cs="Arial"/>
                <w:b w:val="0"/>
                <w:color w:val="000000"/>
                <w:sz w:val="16"/>
                <w:szCs w:val="16"/>
                <w:u w:val="none"/>
                <w:lang w:val="en-US" w:eastAsia="ja-JP"/>
              </w:rPr>
            </w:pPr>
            <w:r w:rsidRPr="007421F9">
              <w:rPr>
                <w:rFonts w:ascii="Arial" w:hAnsi="Arial" w:cs="Arial"/>
                <w:color w:val="000000"/>
                <w:sz w:val="16"/>
                <w:szCs w:val="16"/>
                <w:u w:val="none"/>
                <w:lang w:val="en-US" w:eastAsia="ja-JP"/>
              </w:rPr>
              <w:t>Disaggregation:</w:t>
            </w:r>
            <w:r w:rsidRPr="007421F9">
              <w:rPr>
                <w:rFonts w:ascii="Arial" w:hAnsi="Arial" w:cs="Arial"/>
                <w:b w:val="0"/>
                <w:color w:val="000000"/>
                <w:sz w:val="16"/>
                <w:szCs w:val="16"/>
                <w:u w:val="none"/>
                <w:lang w:val="en-US" w:eastAsia="ja-JP"/>
              </w:rPr>
              <w:t xml:space="preserve"> case type; special features such as defendant has disability, use of medical evidence; represented by ALFeLa</w:t>
            </w:r>
          </w:p>
        </w:tc>
        <w:tc>
          <w:tcPr>
            <w:tcW w:w="1497" w:type="dxa"/>
          </w:tcPr>
          <w:p w14:paraId="12C499DE"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1,008 total cases:</w:t>
            </w:r>
          </w:p>
          <w:p w14:paraId="1B4F8449"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644 DV cases</w:t>
            </w:r>
          </w:p>
          <w:p w14:paraId="5492A58E"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55 sexual violence cases</w:t>
            </w:r>
          </w:p>
          <w:p w14:paraId="18E62BE7"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409 other cases</w:t>
            </w:r>
          </w:p>
        </w:tc>
        <w:tc>
          <w:tcPr>
            <w:tcW w:w="2184" w:type="dxa"/>
            <w:shd w:val="clear" w:color="auto" w:fill="auto"/>
            <w:hideMark/>
          </w:tcPr>
          <w:p w14:paraId="512F054C"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 </w:t>
            </w:r>
          </w:p>
        </w:tc>
        <w:tc>
          <w:tcPr>
            <w:tcW w:w="1228" w:type="dxa"/>
          </w:tcPr>
          <w:p w14:paraId="13EB2049"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836 total cases:</w:t>
            </w:r>
          </w:p>
          <w:p w14:paraId="3E4244AC"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403 DV cases</w:t>
            </w:r>
          </w:p>
          <w:p w14:paraId="0F513E26"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29 sexual violence cases</w:t>
            </w:r>
          </w:p>
          <w:p w14:paraId="3AC9EC1B"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404 other cases</w:t>
            </w:r>
          </w:p>
          <w:p w14:paraId="6F739967"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p>
        </w:tc>
        <w:tc>
          <w:tcPr>
            <w:tcW w:w="1852" w:type="dxa"/>
            <w:shd w:val="clear" w:color="auto" w:fill="auto"/>
            <w:hideMark/>
          </w:tcPr>
          <w:p w14:paraId="40D0FD34"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Number of cases holding steady against 2017</w:t>
            </w:r>
          </w:p>
        </w:tc>
        <w:tc>
          <w:tcPr>
            <w:tcW w:w="1414" w:type="dxa"/>
            <w:shd w:val="clear" w:color="auto" w:fill="auto"/>
          </w:tcPr>
          <w:p w14:paraId="2C8E863D"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 xml:space="preserve">On </w:t>
            </w:r>
            <w:r w:rsidRPr="007421F9">
              <w:rPr>
                <w:rFonts w:ascii="Arial" w:hAnsi="Arial" w:cs="Arial"/>
                <w:b w:val="0"/>
                <w:color w:val="000000"/>
                <w:sz w:val="16"/>
                <w:szCs w:val="16"/>
                <w:u w:val="none"/>
                <w:lang w:eastAsia="en-US"/>
              </w:rPr>
              <w:t>track</w:t>
            </w:r>
            <w:r w:rsidRPr="007421F9">
              <w:rPr>
                <w:rFonts w:ascii="Arial" w:hAnsi="Arial" w:cs="Arial"/>
                <w:b w:val="0"/>
                <w:color w:val="000000"/>
                <w:sz w:val="16"/>
                <w:szCs w:val="16"/>
                <w:u w:val="none"/>
                <w:lang w:val="en-US" w:eastAsia="en-US"/>
              </w:rPr>
              <w:t>.</w:t>
            </w:r>
          </w:p>
        </w:tc>
      </w:tr>
      <w:tr w:rsidR="007421F9" w:rsidRPr="007421F9" w14:paraId="30F33FBD" w14:textId="77777777" w:rsidTr="007C2D67">
        <w:trPr>
          <w:trHeight w:val="20"/>
        </w:trPr>
        <w:tc>
          <w:tcPr>
            <w:tcW w:w="1787" w:type="dxa"/>
            <w:vMerge/>
            <w:shd w:val="clear" w:color="auto" w:fill="auto"/>
          </w:tcPr>
          <w:p w14:paraId="626886A1"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p>
        </w:tc>
        <w:tc>
          <w:tcPr>
            <w:tcW w:w="1776" w:type="dxa"/>
            <w:vMerge/>
            <w:shd w:val="clear" w:color="auto" w:fill="auto"/>
          </w:tcPr>
          <w:p w14:paraId="5F01C40D"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p>
        </w:tc>
        <w:tc>
          <w:tcPr>
            <w:tcW w:w="2927" w:type="dxa"/>
            <w:shd w:val="clear" w:color="auto" w:fill="auto"/>
          </w:tcPr>
          <w:p w14:paraId="61CB0056" w14:textId="77777777" w:rsidR="007421F9" w:rsidRPr="007421F9" w:rsidRDefault="007421F9" w:rsidP="007421F9">
            <w:pPr>
              <w:numPr>
                <w:ilvl w:val="0"/>
                <w:numId w:val="39"/>
              </w:numPr>
              <w:autoSpaceDE/>
              <w:autoSpaceDN/>
              <w:adjustRightInd/>
              <w:spacing w:after="0"/>
              <w:contextualSpacing/>
              <w:textAlignment w:val="auto"/>
              <w:rPr>
                <w:rFonts w:ascii="Arial" w:hAnsi="Arial" w:cs="Arial"/>
                <w:b w:val="0"/>
                <w:color w:val="000000"/>
                <w:sz w:val="16"/>
                <w:szCs w:val="16"/>
                <w:u w:val="none"/>
                <w:lang w:val="en-US" w:eastAsia="ja-JP"/>
              </w:rPr>
            </w:pPr>
            <w:r w:rsidRPr="007421F9">
              <w:rPr>
                <w:rFonts w:ascii="Arial" w:hAnsi="Arial" w:cs="Arial"/>
                <w:b w:val="0"/>
                <w:color w:val="000000"/>
                <w:sz w:val="16"/>
                <w:szCs w:val="16"/>
                <w:u w:val="none"/>
                <w:lang w:val="en-US" w:eastAsia="ja-JP"/>
              </w:rPr>
              <w:t>Evidence of Nabilan partners and service providers advocating for improved justice sector response to VAWC</w:t>
            </w:r>
          </w:p>
        </w:tc>
        <w:tc>
          <w:tcPr>
            <w:tcW w:w="1497" w:type="dxa"/>
          </w:tcPr>
          <w:p w14:paraId="43D8C65F"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See narrative report.</w:t>
            </w:r>
          </w:p>
        </w:tc>
        <w:tc>
          <w:tcPr>
            <w:tcW w:w="2184" w:type="dxa"/>
            <w:shd w:val="clear" w:color="auto" w:fill="auto"/>
          </w:tcPr>
          <w:p w14:paraId="6E3F1043"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p>
        </w:tc>
        <w:tc>
          <w:tcPr>
            <w:tcW w:w="1228" w:type="dxa"/>
          </w:tcPr>
          <w:p w14:paraId="045FCDCF"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eastAsia="en-US"/>
              </w:rPr>
            </w:pPr>
          </w:p>
        </w:tc>
        <w:tc>
          <w:tcPr>
            <w:tcW w:w="1852" w:type="dxa"/>
            <w:shd w:val="clear" w:color="auto" w:fill="auto"/>
          </w:tcPr>
          <w:p w14:paraId="6A672E3A"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N/A</w:t>
            </w:r>
          </w:p>
        </w:tc>
        <w:tc>
          <w:tcPr>
            <w:tcW w:w="1414" w:type="dxa"/>
            <w:shd w:val="clear" w:color="auto" w:fill="auto"/>
          </w:tcPr>
          <w:p w14:paraId="13655179"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On track</w:t>
            </w:r>
          </w:p>
        </w:tc>
      </w:tr>
      <w:tr w:rsidR="007421F9" w:rsidRPr="007421F9" w14:paraId="5CD4FC1E" w14:textId="77777777" w:rsidTr="007C2D67">
        <w:trPr>
          <w:trHeight w:val="20"/>
        </w:trPr>
        <w:tc>
          <w:tcPr>
            <w:tcW w:w="1787" w:type="dxa"/>
            <w:shd w:val="clear" w:color="auto" w:fill="auto"/>
            <w:hideMark/>
          </w:tcPr>
          <w:p w14:paraId="7EE0F2A6" w14:textId="77777777" w:rsidR="007421F9" w:rsidRPr="007421F9" w:rsidRDefault="007421F9" w:rsidP="007421F9">
            <w:pPr>
              <w:autoSpaceDE/>
              <w:autoSpaceDN/>
              <w:adjustRightInd/>
              <w:spacing w:after="0"/>
              <w:textAlignment w:val="auto"/>
              <w:rPr>
                <w:rFonts w:ascii="Arial" w:hAnsi="Arial" w:cs="Arial"/>
                <w:color w:val="000000"/>
                <w:sz w:val="16"/>
                <w:szCs w:val="16"/>
                <w:u w:val="none"/>
                <w:lang w:val="en-US" w:eastAsia="en-US"/>
              </w:rPr>
            </w:pPr>
            <w:r w:rsidRPr="007421F9">
              <w:rPr>
                <w:rFonts w:ascii="Arial" w:hAnsi="Arial" w:cs="Arial"/>
                <w:color w:val="000000"/>
                <w:sz w:val="16"/>
                <w:szCs w:val="16"/>
                <w:u w:val="none"/>
                <w:lang w:val="en-US" w:eastAsia="en-US"/>
              </w:rPr>
              <w:t>KEQ 2 To what extent are individuals, communities and institutions taking action to reduce violence against women?</w:t>
            </w:r>
          </w:p>
        </w:tc>
        <w:tc>
          <w:tcPr>
            <w:tcW w:w="1776" w:type="dxa"/>
            <w:shd w:val="clear" w:color="auto" w:fill="auto"/>
          </w:tcPr>
          <w:p w14:paraId="16C9C4F7"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 xml:space="preserve">EOPO2: Individuals, communities and institutions take action to reduce violence against women and children </w:t>
            </w:r>
          </w:p>
        </w:tc>
        <w:tc>
          <w:tcPr>
            <w:tcW w:w="2927" w:type="dxa"/>
            <w:shd w:val="clear" w:color="auto" w:fill="auto"/>
            <w:hideMark/>
          </w:tcPr>
          <w:p w14:paraId="5595F88B" w14:textId="77777777" w:rsidR="007421F9" w:rsidRPr="007421F9" w:rsidRDefault="007421F9" w:rsidP="007421F9">
            <w:pPr>
              <w:numPr>
                <w:ilvl w:val="0"/>
                <w:numId w:val="39"/>
              </w:numPr>
              <w:autoSpaceDE/>
              <w:autoSpaceDN/>
              <w:adjustRightInd/>
              <w:spacing w:after="0"/>
              <w:contextualSpacing/>
              <w:textAlignment w:val="auto"/>
              <w:rPr>
                <w:rFonts w:ascii="Arial" w:hAnsi="Arial" w:cs="Arial"/>
                <w:b w:val="0"/>
                <w:color w:val="000000"/>
                <w:sz w:val="16"/>
                <w:szCs w:val="16"/>
                <w:u w:val="none"/>
                <w:lang w:val="en-US" w:eastAsia="ja-JP"/>
              </w:rPr>
            </w:pPr>
            <w:r w:rsidRPr="007421F9">
              <w:rPr>
                <w:rFonts w:ascii="Arial" w:hAnsi="Arial" w:cs="Arial"/>
                <w:b w:val="0"/>
                <w:color w:val="000000"/>
                <w:sz w:val="16"/>
                <w:szCs w:val="16"/>
                <w:u w:val="none"/>
                <w:lang w:val="en-US" w:eastAsia="ja-JP"/>
              </w:rPr>
              <w:t xml:space="preserve">Selected members at each level of the ecological model (individuals, communities, institutions) can demonstrate examples of action taken to reduce violence </w:t>
            </w:r>
          </w:p>
        </w:tc>
        <w:tc>
          <w:tcPr>
            <w:tcW w:w="1497" w:type="dxa"/>
          </w:tcPr>
          <w:p w14:paraId="756CCAE7"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p>
        </w:tc>
        <w:tc>
          <w:tcPr>
            <w:tcW w:w="2184" w:type="dxa"/>
            <w:shd w:val="clear" w:color="auto" w:fill="auto"/>
            <w:hideMark/>
          </w:tcPr>
          <w:p w14:paraId="69B0FB06" w14:textId="20B8F1B2" w:rsidR="007421F9" w:rsidRPr="007421F9" w:rsidRDefault="005C41ED" w:rsidP="007421F9">
            <w:pPr>
              <w:autoSpaceDE/>
              <w:autoSpaceDN/>
              <w:adjustRightInd/>
              <w:spacing w:after="0"/>
              <w:textAlignment w:val="auto"/>
              <w:rPr>
                <w:rFonts w:ascii="Arial" w:hAnsi="Arial" w:cs="Arial"/>
                <w:b w:val="0"/>
                <w:color w:val="000000"/>
                <w:sz w:val="16"/>
                <w:szCs w:val="16"/>
                <w:u w:val="none"/>
                <w:lang w:val="en-US" w:eastAsia="en-US"/>
              </w:rPr>
            </w:pPr>
            <w:r>
              <w:rPr>
                <w:rFonts w:ascii="Arial" w:hAnsi="Arial" w:cs="Arial"/>
                <w:b w:val="0"/>
                <w:color w:val="000000"/>
                <w:sz w:val="16"/>
                <w:szCs w:val="16"/>
                <w:u w:val="none"/>
                <w:lang w:val="en-US" w:eastAsia="en-US"/>
              </w:rPr>
              <w:t xml:space="preserve">PAF </w:t>
            </w:r>
            <w:r w:rsidR="007421F9" w:rsidRPr="007421F9">
              <w:rPr>
                <w:rFonts w:ascii="Arial" w:hAnsi="Arial" w:cs="Arial"/>
                <w:b w:val="0"/>
                <w:color w:val="000000"/>
                <w:sz w:val="16"/>
                <w:szCs w:val="16"/>
                <w:u w:val="none"/>
                <w:lang w:val="en-US" w:eastAsia="en-US"/>
              </w:rPr>
              <w:t>Indicator 13: Number of people that demonstrate improved attitudes to women and girls</w:t>
            </w:r>
          </w:p>
        </w:tc>
        <w:tc>
          <w:tcPr>
            <w:tcW w:w="1228" w:type="dxa"/>
          </w:tcPr>
          <w:p w14:paraId="459AFFCD"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eastAsia="en-US"/>
              </w:rPr>
            </w:pPr>
          </w:p>
        </w:tc>
        <w:tc>
          <w:tcPr>
            <w:tcW w:w="1852" w:type="dxa"/>
            <w:shd w:val="clear" w:color="auto" w:fill="auto"/>
            <w:hideMark/>
          </w:tcPr>
          <w:p w14:paraId="66544784"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20% of respondents to Change Ambassador Survey and CBA monitoring survey can demonstrate appropriate examples of action taken to reduce violence </w:t>
            </w:r>
          </w:p>
        </w:tc>
        <w:tc>
          <w:tcPr>
            <w:tcW w:w="1414" w:type="dxa"/>
            <w:shd w:val="clear" w:color="auto" w:fill="auto"/>
          </w:tcPr>
          <w:p w14:paraId="4A48904F"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 xml:space="preserve">On </w:t>
            </w:r>
            <w:r w:rsidRPr="007421F9">
              <w:rPr>
                <w:rFonts w:ascii="Arial" w:hAnsi="Arial" w:cs="Arial"/>
                <w:b w:val="0"/>
                <w:color w:val="000000"/>
                <w:sz w:val="16"/>
                <w:szCs w:val="16"/>
                <w:u w:val="none"/>
                <w:lang w:eastAsia="en-US"/>
              </w:rPr>
              <w:t>track.</w:t>
            </w:r>
          </w:p>
        </w:tc>
      </w:tr>
      <w:tr w:rsidR="007421F9" w:rsidRPr="007421F9" w14:paraId="71624920" w14:textId="77777777" w:rsidTr="007C2D67">
        <w:trPr>
          <w:trHeight w:val="20"/>
        </w:trPr>
        <w:tc>
          <w:tcPr>
            <w:tcW w:w="1787" w:type="dxa"/>
            <w:vMerge w:val="restart"/>
            <w:shd w:val="clear" w:color="auto" w:fill="auto"/>
            <w:hideMark/>
          </w:tcPr>
          <w:p w14:paraId="71D8E76F"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 xml:space="preserve"> 2.1 Is Nabilan effectively supporting partner agencies to undertake quality prevention programming?</w:t>
            </w:r>
          </w:p>
        </w:tc>
        <w:tc>
          <w:tcPr>
            <w:tcW w:w="1776" w:type="dxa"/>
            <w:vMerge w:val="restart"/>
            <w:shd w:val="clear" w:color="auto" w:fill="auto"/>
          </w:tcPr>
          <w:p w14:paraId="293373AE" w14:textId="70CD6C87" w:rsidR="007421F9" w:rsidRPr="007421F9" w:rsidRDefault="007421F9" w:rsidP="007421F9">
            <w:pPr>
              <w:autoSpaceDE/>
              <w:autoSpaceDN/>
              <w:adjustRightInd/>
              <w:spacing w:after="24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 xml:space="preserve">IO2.1 Quality </w:t>
            </w:r>
            <w:r w:rsidR="00160A2F" w:rsidRPr="007421F9">
              <w:rPr>
                <w:rFonts w:ascii="Arial" w:hAnsi="Arial" w:cs="Arial"/>
                <w:b w:val="0"/>
                <w:color w:val="000000"/>
                <w:sz w:val="16"/>
                <w:szCs w:val="16"/>
                <w:u w:val="none"/>
                <w:lang w:val="en-US" w:eastAsia="en-US"/>
              </w:rPr>
              <w:t>VAWC prevention</w:t>
            </w:r>
            <w:r w:rsidRPr="007421F9">
              <w:rPr>
                <w:rFonts w:ascii="Arial" w:hAnsi="Arial" w:cs="Arial"/>
                <w:b w:val="0"/>
                <w:color w:val="000000"/>
                <w:sz w:val="16"/>
                <w:szCs w:val="16"/>
                <w:u w:val="none"/>
                <w:lang w:val="en-US" w:eastAsia="en-US"/>
              </w:rPr>
              <w:t xml:space="preserve"> initiatives which target individuals, communities and institutions are implemented</w:t>
            </w:r>
          </w:p>
          <w:p w14:paraId="35E9927C" w14:textId="77777777" w:rsidR="007421F9" w:rsidRPr="007421F9" w:rsidRDefault="007421F9" w:rsidP="007421F9">
            <w:pPr>
              <w:autoSpaceDE/>
              <w:autoSpaceDN/>
              <w:adjustRightInd/>
              <w:spacing w:after="24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ImO2.2 Partner staff have knowledge &amp; skills to implement effective prevention approaches</w:t>
            </w:r>
          </w:p>
        </w:tc>
        <w:tc>
          <w:tcPr>
            <w:tcW w:w="2927" w:type="dxa"/>
            <w:shd w:val="clear" w:color="auto" w:fill="auto"/>
            <w:hideMark/>
          </w:tcPr>
          <w:p w14:paraId="5CA56255" w14:textId="77777777" w:rsidR="007421F9" w:rsidRPr="007421F9" w:rsidRDefault="007421F9" w:rsidP="007421F9">
            <w:pPr>
              <w:numPr>
                <w:ilvl w:val="0"/>
                <w:numId w:val="39"/>
              </w:numPr>
              <w:autoSpaceDE/>
              <w:autoSpaceDN/>
              <w:adjustRightInd/>
              <w:spacing w:after="240"/>
              <w:contextualSpacing/>
              <w:textAlignment w:val="auto"/>
              <w:rPr>
                <w:rFonts w:ascii="Arial" w:hAnsi="Arial" w:cs="Arial"/>
                <w:b w:val="0"/>
                <w:color w:val="000000"/>
                <w:sz w:val="16"/>
                <w:szCs w:val="16"/>
                <w:u w:val="none"/>
                <w:lang w:val="en-US" w:eastAsia="ja-JP"/>
              </w:rPr>
            </w:pPr>
            <w:r w:rsidRPr="007421F9">
              <w:rPr>
                <w:rFonts w:ascii="Arial" w:hAnsi="Arial" w:cs="Arial"/>
                <w:b w:val="0"/>
                <w:color w:val="000000"/>
                <w:sz w:val="16"/>
                <w:szCs w:val="16"/>
                <w:u w:val="none"/>
                <w:lang w:val="en-US" w:eastAsia="ja-JP"/>
              </w:rPr>
              <w:t>Number of Nabilan-supported prevention activities reaching: individuals, families/relationship level, communities, institutions, society</w:t>
            </w:r>
          </w:p>
          <w:p w14:paraId="4FBA3510" w14:textId="77777777" w:rsidR="007421F9" w:rsidRPr="007421F9" w:rsidRDefault="007421F9" w:rsidP="007421F9">
            <w:pPr>
              <w:numPr>
                <w:ilvl w:val="0"/>
                <w:numId w:val="39"/>
              </w:numPr>
              <w:autoSpaceDE/>
              <w:autoSpaceDN/>
              <w:adjustRightInd/>
              <w:spacing w:after="240"/>
              <w:contextualSpacing/>
              <w:textAlignment w:val="auto"/>
              <w:rPr>
                <w:rFonts w:ascii="Arial" w:hAnsi="Arial" w:cs="Arial"/>
                <w:b w:val="0"/>
                <w:color w:val="000000"/>
                <w:sz w:val="16"/>
                <w:szCs w:val="16"/>
                <w:u w:val="none"/>
                <w:lang w:val="en-US" w:eastAsia="ja-JP"/>
              </w:rPr>
            </w:pPr>
            <w:r w:rsidRPr="007421F9">
              <w:rPr>
                <w:rFonts w:ascii="Arial" w:hAnsi="Arial" w:cs="Arial"/>
                <w:b w:val="0"/>
                <w:color w:val="000000"/>
                <w:sz w:val="16"/>
                <w:szCs w:val="16"/>
                <w:u w:val="none"/>
                <w:lang w:val="en-US" w:eastAsia="ja-JP"/>
              </w:rPr>
              <w:t xml:space="preserve">Number of people reached by each prevention activity. </w:t>
            </w:r>
            <w:r w:rsidRPr="007421F9">
              <w:rPr>
                <w:rFonts w:ascii="Arial" w:hAnsi="Arial" w:cs="Arial"/>
                <w:color w:val="000000"/>
                <w:sz w:val="16"/>
                <w:szCs w:val="16"/>
                <w:u w:val="none"/>
                <w:lang w:val="en-US" w:eastAsia="ja-JP"/>
              </w:rPr>
              <w:t>Disaggregation:</w:t>
            </w:r>
            <w:r w:rsidRPr="007421F9">
              <w:rPr>
                <w:rFonts w:ascii="Arial" w:hAnsi="Arial" w:cs="Arial"/>
                <w:b w:val="0"/>
                <w:color w:val="000000"/>
                <w:sz w:val="16"/>
                <w:szCs w:val="16"/>
                <w:u w:val="none"/>
                <w:lang w:val="en-US" w:eastAsia="ja-JP"/>
              </w:rPr>
              <w:t xml:space="preserve"> gender, disability, location (when available)</w:t>
            </w:r>
          </w:p>
        </w:tc>
        <w:tc>
          <w:tcPr>
            <w:tcW w:w="1497" w:type="dxa"/>
          </w:tcPr>
          <w:p w14:paraId="35928D04"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1 x community intervention (CBA/KOKOSA!)</w:t>
            </w:r>
          </w:p>
          <w:p w14:paraId="5238A300"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p>
          <w:p w14:paraId="61D21AF4"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1 x media training (society/media level)</w:t>
            </w:r>
          </w:p>
          <w:p w14:paraId="5460E851"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p>
          <w:p w14:paraId="24BD57ED"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Newspaper advertorials – continuing (society level)</w:t>
            </w:r>
          </w:p>
          <w:p w14:paraId="0EE2D32D" w14:textId="77777777" w:rsidR="007421F9" w:rsidRPr="007421F9" w:rsidRDefault="007421F9" w:rsidP="007421F9">
            <w:pPr>
              <w:autoSpaceDE/>
              <w:autoSpaceDN/>
              <w:adjustRightInd/>
              <w:spacing w:after="0"/>
              <w:textAlignment w:val="auto"/>
              <w:rPr>
                <w:rFonts w:ascii="Arial" w:hAnsi="Arial" w:cs="Arial"/>
                <w:b w:val="0"/>
                <w:i/>
                <w:color w:val="000000"/>
                <w:sz w:val="16"/>
                <w:szCs w:val="16"/>
                <w:u w:val="none"/>
                <w:lang w:val="en-US" w:eastAsia="en-US"/>
              </w:rPr>
            </w:pPr>
          </w:p>
          <w:p w14:paraId="2ECC220A" w14:textId="13C97048"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i/>
                <w:color w:val="000000"/>
                <w:sz w:val="16"/>
                <w:szCs w:val="16"/>
                <w:u w:val="none"/>
                <w:lang w:val="en-US" w:eastAsia="en-US"/>
              </w:rPr>
              <w:t>Grupu Feminista</w:t>
            </w:r>
            <w:r w:rsidRPr="007421F9">
              <w:rPr>
                <w:rFonts w:ascii="Arial" w:hAnsi="Arial" w:cs="Arial"/>
                <w:b w:val="0"/>
                <w:color w:val="000000"/>
                <w:sz w:val="16"/>
                <w:szCs w:val="16"/>
                <w:u w:val="none"/>
                <w:lang w:val="en-US" w:eastAsia="en-US"/>
              </w:rPr>
              <w:t xml:space="preserve"> social media </w:t>
            </w:r>
            <w:r w:rsidR="00160A2F" w:rsidRPr="007421F9">
              <w:rPr>
                <w:rFonts w:ascii="Arial" w:hAnsi="Arial" w:cs="Arial"/>
                <w:b w:val="0"/>
                <w:color w:val="000000"/>
                <w:sz w:val="16"/>
                <w:szCs w:val="16"/>
                <w:u w:val="none"/>
                <w:lang w:val="en-US" w:eastAsia="en-US"/>
              </w:rPr>
              <w:t>campaigns</w:t>
            </w:r>
            <w:r w:rsidRPr="007421F9">
              <w:rPr>
                <w:rFonts w:ascii="Arial" w:hAnsi="Arial" w:cs="Arial"/>
                <w:b w:val="0"/>
                <w:color w:val="000000"/>
                <w:sz w:val="16"/>
                <w:szCs w:val="16"/>
                <w:u w:val="none"/>
                <w:lang w:val="en-US" w:eastAsia="en-US"/>
              </w:rPr>
              <w:t xml:space="preserve"> – continuing (society level)</w:t>
            </w:r>
          </w:p>
          <w:p w14:paraId="6842B86A"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p>
          <w:p w14:paraId="62A9B217"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Prevention grants delayed to 2019.</w:t>
            </w:r>
          </w:p>
        </w:tc>
        <w:tc>
          <w:tcPr>
            <w:tcW w:w="2184" w:type="dxa"/>
            <w:shd w:val="clear" w:color="auto" w:fill="auto"/>
            <w:hideMark/>
          </w:tcPr>
          <w:p w14:paraId="232218AA"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 </w:t>
            </w:r>
          </w:p>
        </w:tc>
        <w:tc>
          <w:tcPr>
            <w:tcW w:w="1228" w:type="dxa"/>
          </w:tcPr>
          <w:p w14:paraId="6E18F258" w14:textId="77777777" w:rsidR="007421F9" w:rsidRPr="007421F9" w:rsidRDefault="007421F9" w:rsidP="007421F9">
            <w:pPr>
              <w:autoSpaceDE/>
              <w:autoSpaceDN/>
              <w:adjustRightInd/>
              <w:spacing w:after="240"/>
              <w:textAlignment w:val="auto"/>
              <w:rPr>
                <w:rFonts w:ascii="Arial" w:hAnsi="Arial" w:cs="Arial"/>
                <w:b w:val="0"/>
                <w:color w:val="000000"/>
                <w:sz w:val="16"/>
                <w:szCs w:val="16"/>
                <w:u w:val="none"/>
                <w:lang w:val="en-US" w:eastAsia="en-US"/>
              </w:rPr>
            </w:pPr>
          </w:p>
        </w:tc>
        <w:tc>
          <w:tcPr>
            <w:tcW w:w="1852" w:type="dxa"/>
            <w:shd w:val="clear" w:color="auto" w:fill="auto"/>
            <w:hideMark/>
          </w:tcPr>
          <w:p w14:paraId="4E1609D6"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At least one activity at each level.</w:t>
            </w:r>
          </w:p>
        </w:tc>
        <w:tc>
          <w:tcPr>
            <w:tcW w:w="1414" w:type="dxa"/>
            <w:shd w:val="clear" w:color="auto" w:fill="auto"/>
          </w:tcPr>
          <w:p w14:paraId="3E8437ED"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eastAsia="en-US"/>
              </w:rPr>
              <w:t>Some delay.</w:t>
            </w:r>
          </w:p>
        </w:tc>
      </w:tr>
      <w:tr w:rsidR="007421F9" w:rsidRPr="007421F9" w14:paraId="2328667A" w14:textId="77777777" w:rsidTr="007C2D67">
        <w:trPr>
          <w:trHeight w:val="20"/>
        </w:trPr>
        <w:tc>
          <w:tcPr>
            <w:tcW w:w="1787" w:type="dxa"/>
            <w:vMerge/>
            <w:shd w:val="clear" w:color="auto" w:fill="auto"/>
            <w:hideMark/>
          </w:tcPr>
          <w:p w14:paraId="629C3C25"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p>
        </w:tc>
        <w:tc>
          <w:tcPr>
            <w:tcW w:w="1776" w:type="dxa"/>
            <w:vMerge/>
            <w:shd w:val="clear" w:color="auto" w:fill="auto"/>
          </w:tcPr>
          <w:p w14:paraId="1EBC4A75"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p>
        </w:tc>
        <w:tc>
          <w:tcPr>
            <w:tcW w:w="2927" w:type="dxa"/>
            <w:shd w:val="clear" w:color="auto" w:fill="auto"/>
            <w:hideMark/>
          </w:tcPr>
          <w:p w14:paraId="38813D60" w14:textId="77777777" w:rsidR="007421F9" w:rsidRPr="007421F9" w:rsidRDefault="007421F9" w:rsidP="007421F9">
            <w:pPr>
              <w:numPr>
                <w:ilvl w:val="0"/>
                <w:numId w:val="39"/>
              </w:numPr>
              <w:autoSpaceDE/>
              <w:autoSpaceDN/>
              <w:adjustRightInd/>
              <w:spacing w:after="0"/>
              <w:contextualSpacing/>
              <w:textAlignment w:val="auto"/>
              <w:rPr>
                <w:rFonts w:ascii="Arial" w:hAnsi="Arial" w:cs="Arial"/>
                <w:b w:val="0"/>
                <w:color w:val="000000"/>
                <w:sz w:val="16"/>
                <w:szCs w:val="16"/>
                <w:u w:val="none"/>
                <w:lang w:val="en-US" w:eastAsia="ja-JP"/>
              </w:rPr>
            </w:pPr>
            <w:r w:rsidRPr="007421F9">
              <w:rPr>
                <w:rFonts w:ascii="Arial" w:hAnsi="Arial" w:cs="Arial"/>
                <w:b w:val="0"/>
                <w:color w:val="000000"/>
                <w:sz w:val="16"/>
                <w:szCs w:val="16"/>
                <w:u w:val="none"/>
                <w:lang w:val="en-US" w:eastAsia="ja-JP"/>
              </w:rPr>
              <w:t>Effectiveness score for partner prevention programming</w:t>
            </w:r>
          </w:p>
        </w:tc>
        <w:tc>
          <w:tcPr>
            <w:tcW w:w="1497" w:type="dxa"/>
          </w:tcPr>
          <w:p w14:paraId="511C61AB"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p>
        </w:tc>
        <w:tc>
          <w:tcPr>
            <w:tcW w:w="2184" w:type="dxa"/>
            <w:shd w:val="clear" w:color="auto" w:fill="auto"/>
            <w:hideMark/>
          </w:tcPr>
          <w:p w14:paraId="48DBB623"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p>
        </w:tc>
        <w:tc>
          <w:tcPr>
            <w:tcW w:w="1228" w:type="dxa"/>
          </w:tcPr>
          <w:p w14:paraId="2FE72E77"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p>
        </w:tc>
        <w:tc>
          <w:tcPr>
            <w:tcW w:w="1852" w:type="dxa"/>
            <w:shd w:val="clear" w:color="auto" w:fill="auto"/>
            <w:hideMark/>
          </w:tcPr>
          <w:p w14:paraId="52EE4539"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Each partner has an annual score increase of at least 5%, or reaches score of 28 by 2022.</w:t>
            </w:r>
          </w:p>
        </w:tc>
        <w:tc>
          <w:tcPr>
            <w:tcW w:w="1414" w:type="dxa"/>
            <w:shd w:val="clear" w:color="auto" w:fill="auto"/>
          </w:tcPr>
          <w:p w14:paraId="19E28C2D"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eastAsia="en-US"/>
              </w:rPr>
              <w:t>Some delay.</w:t>
            </w:r>
          </w:p>
        </w:tc>
      </w:tr>
      <w:tr w:rsidR="007421F9" w:rsidRPr="007421F9" w14:paraId="1118B552" w14:textId="77777777" w:rsidTr="007C2D67">
        <w:trPr>
          <w:trHeight w:val="20"/>
        </w:trPr>
        <w:tc>
          <w:tcPr>
            <w:tcW w:w="1787" w:type="dxa"/>
            <w:shd w:val="clear" w:color="auto" w:fill="auto"/>
            <w:hideMark/>
          </w:tcPr>
          <w:p w14:paraId="5FF01EC6"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2.2 How has Nabilan contributed to independent women's movement's advocacy on gender equity and ending VAWC?</w:t>
            </w:r>
          </w:p>
        </w:tc>
        <w:tc>
          <w:tcPr>
            <w:tcW w:w="1776" w:type="dxa"/>
            <w:shd w:val="clear" w:color="auto" w:fill="auto"/>
          </w:tcPr>
          <w:p w14:paraId="19D98493"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 xml:space="preserve">ImO2.1 The Independent women’s movement is supported to promote gender equity and is empowered to advocate for social change  </w:t>
            </w:r>
          </w:p>
        </w:tc>
        <w:tc>
          <w:tcPr>
            <w:tcW w:w="2927" w:type="dxa"/>
            <w:shd w:val="clear" w:color="auto" w:fill="auto"/>
            <w:hideMark/>
          </w:tcPr>
          <w:p w14:paraId="48BFAB6E" w14:textId="77777777" w:rsidR="007421F9" w:rsidRPr="007421F9" w:rsidRDefault="007421F9" w:rsidP="007421F9">
            <w:pPr>
              <w:numPr>
                <w:ilvl w:val="0"/>
                <w:numId w:val="39"/>
              </w:numPr>
              <w:autoSpaceDE/>
              <w:autoSpaceDN/>
              <w:adjustRightInd/>
              <w:spacing w:after="0"/>
              <w:contextualSpacing/>
              <w:textAlignment w:val="auto"/>
              <w:rPr>
                <w:rFonts w:ascii="Arial" w:hAnsi="Arial" w:cs="Arial"/>
                <w:b w:val="0"/>
                <w:color w:val="000000"/>
                <w:sz w:val="16"/>
                <w:szCs w:val="16"/>
                <w:u w:val="none"/>
                <w:lang w:val="en-US" w:eastAsia="ja-JP"/>
              </w:rPr>
            </w:pPr>
            <w:r w:rsidRPr="007421F9">
              <w:rPr>
                <w:rFonts w:ascii="Arial" w:hAnsi="Arial" w:cs="Arial"/>
                <w:b w:val="0"/>
                <w:color w:val="000000"/>
                <w:sz w:val="16"/>
                <w:szCs w:val="16"/>
                <w:u w:val="none"/>
                <w:lang w:val="en-US" w:eastAsia="ja-JP"/>
              </w:rPr>
              <w:t>Instances of Nabilan support to the independent women's movement to advocate on preventing VAWC</w:t>
            </w:r>
          </w:p>
        </w:tc>
        <w:tc>
          <w:tcPr>
            <w:tcW w:w="1497" w:type="dxa"/>
          </w:tcPr>
          <w:p w14:paraId="7C20855B"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See narrative report.</w:t>
            </w:r>
          </w:p>
        </w:tc>
        <w:tc>
          <w:tcPr>
            <w:tcW w:w="2184" w:type="dxa"/>
            <w:shd w:val="clear" w:color="auto" w:fill="auto"/>
            <w:hideMark/>
          </w:tcPr>
          <w:p w14:paraId="06A8F191" w14:textId="7A340796" w:rsidR="007421F9" w:rsidRPr="007421F9" w:rsidRDefault="005C41ED" w:rsidP="007421F9">
            <w:pPr>
              <w:autoSpaceDE/>
              <w:autoSpaceDN/>
              <w:adjustRightInd/>
              <w:spacing w:after="0"/>
              <w:textAlignment w:val="auto"/>
              <w:rPr>
                <w:rFonts w:ascii="Arial" w:hAnsi="Arial" w:cs="Arial"/>
                <w:b w:val="0"/>
                <w:color w:val="000000"/>
                <w:sz w:val="16"/>
                <w:szCs w:val="16"/>
                <w:u w:val="none"/>
                <w:lang w:val="en-US" w:eastAsia="en-US"/>
              </w:rPr>
            </w:pPr>
            <w:r>
              <w:rPr>
                <w:rFonts w:ascii="Arial" w:hAnsi="Arial" w:cs="Arial"/>
                <w:b w:val="0"/>
                <w:color w:val="000000"/>
                <w:sz w:val="16"/>
                <w:szCs w:val="16"/>
                <w:u w:val="none"/>
                <w:lang w:val="en-US" w:eastAsia="en-US"/>
              </w:rPr>
              <w:t xml:space="preserve">PAF </w:t>
            </w:r>
            <w:r w:rsidR="007421F9" w:rsidRPr="007421F9">
              <w:rPr>
                <w:rFonts w:ascii="Arial" w:hAnsi="Arial" w:cs="Arial"/>
                <w:b w:val="0"/>
                <w:color w:val="000000"/>
                <w:sz w:val="16"/>
                <w:szCs w:val="16"/>
                <w:u w:val="none"/>
                <w:lang w:val="en-US" w:eastAsia="en-US"/>
              </w:rPr>
              <w:t>Indicator 14: Instances of women’s leadership opportunities and empowerment</w:t>
            </w:r>
          </w:p>
        </w:tc>
        <w:tc>
          <w:tcPr>
            <w:tcW w:w="1228" w:type="dxa"/>
          </w:tcPr>
          <w:p w14:paraId="1A4804BF"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eastAsia="en-US"/>
              </w:rPr>
            </w:pPr>
          </w:p>
        </w:tc>
        <w:tc>
          <w:tcPr>
            <w:tcW w:w="1852" w:type="dxa"/>
            <w:shd w:val="clear" w:color="auto" w:fill="auto"/>
            <w:hideMark/>
          </w:tcPr>
          <w:p w14:paraId="57EAC849"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N/A</w:t>
            </w:r>
          </w:p>
        </w:tc>
        <w:tc>
          <w:tcPr>
            <w:tcW w:w="1414" w:type="dxa"/>
            <w:shd w:val="clear" w:color="auto" w:fill="auto"/>
          </w:tcPr>
          <w:p w14:paraId="65127B7F"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On track.</w:t>
            </w:r>
          </w:p>
        </w:tc>
      </w:tr>
      <w:tr w:rsidR="007421F9" w:rsidRPr="007421F9" w14:paraId="230371A2" w14:textId="77777777" w:rsidTr="007C2D67">
        <w:trPr>
          <w:trHeight w:val="20"/>
        </w:trPr>
        <w:tc>
          <w:tcPr>
            <w:tcW w:w="1787" w:type="dxa"/>
            <w:shd w:val="clear" w:color="auto" w:fill="auto"/>
            <w:hideMark/>
          </w:tcPr>
          <w:p w14:paraId="7BF0B9C4"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2.3 To what extent has Nabilan influenced increased GOTL dialogue and action on preventing VAWC?</w:t>
            </w:r>
          </w:p>
        </w:tc>
        <w:tc>
          <w:tcPr>
            <w:tcW w:w="1776" w:type="dxa"/>
            <w:shd w:val="clear" w:color="auto" w:fill="auto"/>
          </w:tcPr>
          <w:p w14:paraId="5D139022"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 xml:space="preserve">ImO2.3 Selected GoTL agencies have improved knowledge to implement effective prevention approaches </w:t>
            </w:r>
          </w:p>
        </w:tc>
        <w:tc>
          <w:tcPr>
            <w:tcW w:w="2927" w:type="dxa"/>
            <w:shd w:val="clear" w:color="auto" w:fill="auto"/>
            <w:hideMark/>
          </w:tcPr>
          <w:p w14:paraId="528D52F9" w14:textId="77777777" w:rsidR="007421F9" w:rsidRPr="007421F9" w:rsidRDefault="007421F9" w:rsidP="007421F9">
            <w:pPr>
              <w:numPr>
                <w:ilvl w:val="0"/>
                <w:numId w:val="39"/>
              </w:numPr>
              <w:autoSpaceDE/>
              <w:autoSpaceDN/>
              <w:adjustRightInd/>
              <w:spacing w:after="0"/>
              <w:contextualSpacing/>
              <w:textAlignment w:val="auto"/>
              <w:rPr>
                <w:rFonts w:ascii="Arial" w:hAnsi="Arial" w:cs="Arial"/>
                <w:b w:val="0"/>
                <w:color w:val="000000"/>
                <w:sz w:val="16"/>
                <w:szCs w:val="16"/>
                <w:u w:val="none"/>
                <w:lang w:val="en-US" w:eastAsia="ja-JP"/>
              </w:rPr>
            </w:pPr>
            <w:r w:rsidRPr="007421F9">
              <w:rPr>
                <w:rFonts w:ascii="Arial" w:hAnsi="Arial" w:cs="Arial"/>
                <w:b w:val="0"/>
                <w:color w:val="000000"/>
                <w:sz w:val="16"/>
                <w:szCs w:val="16"/>
                <w:u w:val="none"/>
                <w:lang w:val="en-US" w:eastAsia="ja-JP"/>
              </w:rPr>
              <w:t>Instances of Nabilan supporting Government agencies to integrate effective prevention messaging in their own programs</w:t>
            </w:r>
          </w:p>
        </w:tc>
        <w:tc>
          <w:tcPr>
            <w:tcW w:w="1497" w:type="dxa"/>
          </w:tcPr>
          <w:p w14:paraId="12B50682"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See narrative report.</w:t>
            </w:r>
          </w:p>
        </w:tc>
        <w:tc>
          <w:tcPr>
            <w:tcW w:w="2184" w:type="dxa"/>
            <w:shd w:val="clear" w:color="auto" w:fill="auto"/>
            <w:hideMark/>
          </w:tcPr>
          <w:p w14:paraId="45C759DB" w14:textId="2F466329" w:rsidR="007421F9" w:rsidRPr="007421F9" w:rsidRDefault="005C41ED" w:rsidP="007421F9">
            <w:pPr>
              <w:autoSpaceDE/>
              <w:autoSpaceDN/>
              <w:adjustRightInd/>
              <w:spacing w:after="0"/>
              <w:textAlignment w:val="auto"/>
              <w:rPr>
                <w:rFonts w:ascii="Arial" w:hAnsi="Arial" w:cs="Arial"/>
                <w:b w:val="0"/>
                <w:color w:val="000000"/>
                <w:sz w:val="16"/>
                <w:szCs w:val="16"/>
                <w:u w:val="none"/>
                <w:lang w:val="en-US" w:eastAsia="en-US"/>
              </w:rPr>
            </w:pPr>
            <w:r>
              <w:rPr>
                <w:rFonts w:ascii="Arial" w:hAnsi="Arial" w:cs="Arial"/>
                <w:b w:val="0"/>
                <w:color w:val="000000"/>
                <w:sz w:val="16"/>
                <w:szCs w:val="16"/>
                <w:u w:val="none"/>
                <w:lang w:val="en-US" w:eastAsia="en-US"/>
              </w:rPr>
              <w:t xml:space="preserve">PAF </w:t>
            </w:r>
            <w:r w:rsidR="007421F9" w:rsidRPr="007421F9">
              <w:rPr>
                <w:rFonts w:ascii="Arial" w:hAnsi="Arial" w:cs="Arial"/>
                <w:b w:val="0"/>
                <w:color w:val="000000"/>
                <w:sz w:val="16"/>
                <w:szCs w:val="16"/>
                <w:u w:val="none"/>
                <w:lang w:val="en-US" w:eastAsia="en-US"/>
              </w:rPr>
              <w:t xml:space="preserve">Indicator 20: Instances of improved policy and implementation; </w:t>
            </w:r>
            <w:r>
              <w:rPr>
                <w:rFonts w:ascii="Arial" w:hAnsi="Arial" w:cs="Arial"/>
                <w:b w:val="0"/>
                <w:color w:val="000000"/>
                <w:sz w:val="16"/>
                <w:szCs w:val="16"/>
                <w:u w:val="none"/>
                <w:lang w:val="en-US" w:eastAsia="en-US"/>
              </w:rPr>
              <w:t xml:space="preserve">PAF </w:t>
            </w:r>
            <w:r w:rsidR="007421F9" w:rsidRPr="007421F9">
              <w:rPr>
                <w:rFonts w:ascii="Arial" w:hAnsi="Arial" w:cs="Arial"/>
                <w:b w:val="0"/>
                <w:color w:val="000000"/>
                <w:sz w:val="16"/>
                <w:szCs w:val="16"/>
                <w:u w:val="none"/>
                <w:lang w:val="en-US" w:eastAsia="en-US"/>
              </w:rPr>
              <w:t>Indicator 21: Instances of evidence available for decision-making</w:t>
            </w:r>
          </w:p>
        </w:tc>
        <w:tc>
          <w:tcPr>
            <w:tcW w:w="1228" w:type="dxa"/>
          </w:tcPr>
          <w:p w14:paraId="0BCEFBFB"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p>
        </w:tc>
        <w:tc>
          <w:tcPr>
            <w:tcW w:w="1852" w:type="dxa"/>
            <w:shd w:val="clear" w:color="auto" w:fill="auto"/>
            <w:hideMark/>
          </w:tcPr>
          <w:p w14:paraId="1EA5825C"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N/A</w:t>
            </w:r>
          </w:p>
        </w:tc>
        <w:tc>
          <w:tcPr>
            <w:tcW w:w="1414" w:type="dxa"/>
            <w:shd w:val="clear" w:color="auto" w:fill="auto"/>
          </w:tcPr>
          <w:p w14:paraId="4E86C369"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On track.</w:t>
            </w:r>
          </w:p>
        </w:tc>
      </w:tr>
      <w:tr w:rsidR="007421F9" w:rsidRPr="007421F9" w14:paraId="16D40F6D" w14:textId="77777777" w:rsidTr="007C2D67">
        <w:trPr>
          <w:trHeight w:val="1573"/>
        </w:trPr>
        <w:tc>
          <w:tcPr>
            <w:tcW w:w="1787" w:type="dxa"/>
            <w:vMerge w:val="restart"/>
            <w:shd w:val="clear" w:color="auto" w:fill="auto"/>
            <w:hideMark/>
          </w:tcPr>
          <w:p w14:paraId="562B0933"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 xml:space="preserve">2.4 Is Nabilan effectively supporting Change Ambassadors to influence their programs to integrate quality prevention approaches? </w:t>
            </w:r>
          </w:p>
          <w:p w14:paraId="4C0CCFF4"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 </w:t>
            </w:r>
          </w:p>
          <w:p w14:paraId="2292A918"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 </w:t>
            </w:r>
          </w:p>
        </w:tc>
        <w:tc>
          <w:tcPr>
            <w:tcW w:w="1776" w:type="dxa"/>
            <w:vMerge w:val="restart"/>
            <w:shd w:val="clear" w:color="auto" w:fill="auto"/>
          </w:tcPr>
          <w:p w14:paraId="6F6DD54F"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 xml:space="preserve">ImO2.4 Change Ambassadors have the knowledge and are supported to influence the integration of quality prevention approaches </w:t>
            </w:r>
          </w:p>
          <w:p w14:paraId="639D1E80"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 </w:t>
            </w:r>
          </w:p>
        </w:tc>
        <w:tc>
          <w:tcPr>
            <w:tcW w:w="2927" w:type="dxa"/>
            <w:shd w:val="clear" w:color="auto" w:fill="auto"/>
            <w:hideMark/>
          </w:tcPr>
          <w:p w14:paraId="1DA7F66F" w14:textId="77777777" w:rsidR="007421F9" w:rsidRPr="007421F9" w:rsidRDefault="007421F9" w:rsidP="007421F9">
            <w:pPr>
              <w:numPr>
                <w:ilvl w:val="0"/>
                <w:numId w:val="39"/>
              </w:numPr>
              <w:autoSpaceDE/>
              <w:autoSpaceDN/>
              <w:adjustRightInd/>
              <w:spacing w:after="0"/>
              <w:contextualSpacing/>
              <w:textAlignment w:val="auto"/>
              <w:rPr>
                <w:rFonts w:ascii="Arial" w:hAnsi="Arial" w:cs="Arial"/>
                <w:b w:val="0"/>
                <w:color w:val="000000"/>
                <w:sz w:val="16"/>
                <w:szCs w:val="16"/>
                <w:u w:val="none"/>
                <w:lang w:val="en-US" w:eastAsia="ja-JP"/>
              </w:rPr>
            </w:pPr>
            <w:r w:rsidRPr="007421F9">
              <w:rPr>
                <w:rFonts w:ascii="Arial" w:hAnsi="Arial" w:cs="Arial"/>
                <w:b w:val="0"/>
                <w:color w:val="000000"/>
                <w:sz w:val="16"/>
                <w:szCs w:val="16"/>
                <w:u w:val="none"/>
                <w:lang w:val="en-US" w:eastAsia="ja-JP"/>
              </w:rPr>
              <w:t>Examples of Change Ambassadors integrating quality prevention approaches into their own programs</w:t>
            </w:r>
          </w:p>
        </w:tc>
        <w:tc>
          <w:tcPr>
            <w:tcW w:w="1497" w:type="dxa"/>
          </w:tcPr>
          <w:p w14:paraId="4FA5C34F"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See narrative report.</w:t>
            </w:r>
          </w:p>
        </w:tc>
        <w:tc>
          <w:tcPr>
            <w:tcW w:w="2184" w:type="dxa"/>
            <w:shd w:val="clear" w:color="auto" w:fill="auto"/>
            <w:hideMark/>
          </w:tcPr>
          <w:p w14:paraId="25429660"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 </w:t>
            </w:r>
          </w:p>
        </w:tc>
        <w:tc>
          <w:tcPr>
            <w:tcW w:w="1228" w:type="dxa"/>
          </w:tcPr>
          <w:p w14:paraId="068FB134"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p>
        </w:tc>
        <w:tc>
          <w:tcPr>
            <w:tcW w:w="1852" w:type="dxa"/>
            <w:shd w:val="clear" w:color="auto" w:fill="auto"/>
            <w:hideMark/>
          </w:tcPr>
          <w:p w14:paraId="518DC093"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N/A</w:t>
            </w:r>
          </w:p>
        </w:tc>
        <w:tc>
          <w:tcPr>
            <w:tcW w:w="1414" w:type="dxa"/>
            <w:shd w:val="clear" w:color="auto" w:fill="auto"/>
          </w:tcPr>
          <w:p w14:paraId="4621B971"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On track.</w:t>
            </w:r>
          </w:p>
        </w:tc>
      </w:tr>
      <w:tr w:rsidR="007421F9" w:rsidRPr="007421F9" w14:paraId="21E21A11" w14:textId="77777777" w:rsidTr="007C2D67">
        <w:trPr>
          <w:trHeight w:val="20"/>
        </w:trPr>
        <w:tc>
          <w:tcPr>
            <w:tcW w:w="1787" w:type="dxa"/>
            <w:vMerge/>
            <w:shd w:val="clear" w:color="auto" w:fill="auto"/>
            <w:hideMark/>
          </w:tcPr>
          <w:p w14:paraId="6060873C"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p>
        </w:tc>
        <w:tc>
          <w:tcPr>
            <w:tcW w:w="1776" w:type="dxa"/>
            <w:vMerge/>
            <w:shd w:val="clear" w:color="auto" w:fill="auto"/>
          </w:tcPr>
          <w:p w14:paraId="7231034D"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p>
        </w:tc>
        <w:tc>
          <w:tcPr>
            <w:tcW w:w="2927" w:type="dxa"/>
            <w:shd w:val="clear" w:color="auto" w:fill="auto"/>
            <w:hideMark/>
          </w:tcPr>
          <w:p w14:paraId="5D58A080" w14:textId="77777777" w:rsidR="007421F9" w:rsidRPr="007421F9" w:rsidRDefault="007421F9" w:rsidP="007421F9">
            <w:pPr>
              <w:numPr>
                <w:ilvl w:val="0"/>
                <w:numId w:val="39"/>
              </w:numPr>
              <w:autoSpaceDE/>
              <w:autoSpaceDN/>
              <w:adjustRightInd/>
              <w:spacing w:after="0"/>
              <w:contextualSpacing/>
              <w:textAlignment w:val="auto"/>
              <w:rPr>
                <w:rFonts w:ascii="Arial" w:hAnsi="Arial" w:cs="Arial"/>
                <w:b w:val="0"/>
                <w:color w:val="000000"/>
                <w:sz w:val="16"/>
                <w:szCs w:val="16"/>
                <w:u w:val="none"/>
                <w:lang w:val="en-US" w:eastAsia="ja-JP"/>
              </w:rPr>
            </w:pPr>
            <w:r w:rsidRPr="007421F9">
              <w:rPr>
                <w:rFonts w:ascii="Arial" w:hAnsi="Arial" w:cs="Arial"/>
                <w:b w:val="0"/>
                <w:color w:val="000000"/>
                <w:sz w:val="16"/>
                <w:szCs w:val="16"/>
                <w:u w:val="none"/>
                <w:lang w:val="en-US" w:eastAsia="ja-JP"/>
              </w:rPr>
              <w:t>Number of Change Ambassadors who continue to participate in the network</w:t>
            </w:r>
          </w:p>
        </w:tc>
        <w:tc>
          <w:tcPr>
            <w:tcW w:w="1497" w:type="dxa"/>
          </w:tcPr>
          <w:p w14:paraId="2C122E56"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13 – 26 for each session</w:t>
            </w:r>
          </w:p>
        </w:tc>
        <w:tc>
          <w:tcPr>
            <w:tcW w:w="2184" w:type="dxa"/>
            <w:shd w:val="clear" w:color="auto" w:fill="auto"/>
            <w:hideMark/>
          </w:tcPr>
          <w:p w14:paraId="508858EE"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 </w:t>
            </w:r>
          </w:p>
        </w:tc>
        <w:tc>
          <w:tcPr>
            <w:tcW w:w="1228" w:type="dxa"/>
          </w:tcPr>
          <w:p w14:paraId="19C88B70"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p>
        </w:tc>
        <w:tc>
          <w:tcPr>
            <w:tcW w:w="1852" w:type="dxa"/>
            <w:shd w:val="clear" w:color="auto" w:fill="auto"/>
            <w:hideMark/>
          </w:tcPr>
          <w:p w14:paraId="3D9A0D85"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20 by end 2019 have continued to participate in the network.</w:t>
            </w:r>
          </w:p>
        </w:tc>
        <w:tc>
          <w:tcPr>
            <w:tcW w:w="1414" w:type="dxa"/>
            <w:shd w:val="clear" w:color="auto" w:fill="auto"/>
          </w:tcPr>
          <w:p w14:paraId="5A058C3E"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 xml:space="preserve">On </w:t>
            </w:r>
            <w:r w:rsidRPr="007421F9">
              <w:rPr>
                <w:rFonts w:ascii="Arial" w:hAnsi="Arial" w:cs="Arial"/>
                <w:b w:val="0"/>
                <w:color w:val="000000"/>
                <w:sz w:val="16"/>
                <w:szCs w:val="16"/>
                <w:u w:val="none"/>
                <w:lang w:eastAsia="en-US"/>
              </w:rPr>
              <w:t>track</w:t>
            </w:r>
            <w:r w:rsidRPr="007421F9">
              <w:rPr>
                <w:rFonts w:ascii="Arial" w:hAnsi="Arial" w:cs="Arial"/>
                <w:b w:val="0"/>
                <w:color w:val="000000"/>
                <w:sz w:val="16"/>
                <w:szCs w:val="16"/>
                <w:u w:val="none"/>
                <w:lang w:val="en-US" w:eastAsia="en-US"/>
              </w:rPr>
              <w:t>.</w:t>
            </w:r>
          </w:p>
        </w:tc>
      </w:tr>
      <w:tr w:rsidR="007421F9" w:rsidRPr="007421F9" w14:paraId="73EDB126" w14:textId="77777777" w:rsidTr="007C2D67">
        <w:trPr>
          <w:trHeight w:val="20"/>
        </w:trPr>
        <w:tc>
          <w:tcPr>
            <w:tcW w:w="1787" w:type="dxa"/>
            <w:vMerge/>
            <w:shd w:val="clear" w:color="auto" w:fill="auto"/>
            <w:hideMark/>
          </w:tcPr>
          <w:p w14:paraId="7A0EB518"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p>
        </w:tc>
        <w:tc>
          <w:tcPr>
            <w:tcW w:w="1776" w:type="dxa"/>
            <w:vMerge/>
            <w:shd w:val="clear" w:color="auto" w:fill="auto"/>
          </w:tcPr>
          <w:p w14:paraId="21465F65"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p>
        </w:tc>
        <w:tc>
          <w:tcPr>
            <w:tcW w:w="2927" w:type="dxa"/>
            <w:shd w:val="clear" w:color="auto" w:fill="auto"/>
            <w:hideMark/>
          </w:tcPr>
          <w:p w14:paraId="23C65AF8" w14:textId="77777777" w:rsidR="007421F9" w:rsidRPr="007421F9" w:rsidRDefault="007421F9" w:rsidP="007421F9">
            <w:pPr>
              <w:numPr>
                <w:ilvl w:val="0"/>
                <w:numId w:val="39"/>
              </w:numPr>
              <w:autoSpaceDE/>
              <w:autoSpaceDN/>
              <w:adjustRightInd/>
              <w:spacing w:after="0"/>
              <w:contextualSpacing/>
              <w:textAlignment w:val="auto"/>
              <w:rPr>
                <w:rFonts w:ascii="Arial" w:hAnsi="Arial" w:cs="Arial"/>
                <w:b w:val="0"/>
                <w:color w:val="000000"/>
                <w:sz w:val="16"/>
                <w:szCs w:val="16"/>
                <w:u w:val="none"/>
                <w:lang w:val="en-US" w:eastAsia="ja-JP"/>
              </w:rPr>
            </w:pPr>
            <w:r w:rsidRPr="007421F9">
              <w:rPr>
                <w:rFonts w:ascii="Arial" w:hAnsi="Arial" w:cs="Arial"/>
                <w:b w:val="0"/>
                <w:color w:val="000000"/>
                <w:sz w:val="16"/>
                <w:szCs w:val="16"/>
                <w:u w:val="none"/>
                <w:lang w:val="en-US" w:eastAsia="ja-JP"/>
              </w:rPr>
              <w:t>Proportion of Change Ambassadors with improved knowledge and confidence to advocate for the integration of effective prevention messaging into their own programs</w:t>
            </w:r>
          </w:p>
        </w:tc>
        <w:tc>
          <w:tcPr>
            <w:tcW w:w="1497" w:type="dxa"/>
          </w:tcPr>
          <w:p w14:paraId="0B9C9531"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p>
        </w:tc>
        <w:tc>
          <w:tcPr>
            <w:tcW w:w="2184" w:type="dxa"/>
            <w:shd w:val="clear" w:color="auto" w:fill="auto"/>
            <w:hideMark/>
          </w:tcPr>
          <w:p w14:paraId="11143C04"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 </w:t>
            </w:r>
          </w:p>
        </w:tc>
        <w:tc>
          <w:tcPr>
            <w:tcW w:w="1228" w:type="dxa"/>
          </w:tcPr>
          <w:p w14:paraId="504F164E"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p>
        </w:tc>
        <w:tc>
          <w:tcPr>
            <w:tcW w:w="1852" w:type="dxa"/>
            <w:shd w:val="clear" w:color="auto" w:fill="auto"/>
            <w:hideMark/>
          </w:tcPr>
          <w:p w14:paraId="051798AA"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 xml:space="preserve">At least 70% of Change Ambassadors have improved knowledge and feel confident about integrating effective prevention messaging into their programs. </w:t>
            </w:r>
          </w:p>
        </w:tc>
        <w:tc>
          <w:tcPr>
            <w:tcW w:w="1414" w:type="dxa"/>
            <w:shd w:val="clear" w:color="auto" w:fill="auto"/>
          </w:tcPr>
          <w:p w14:paraId="75485B91"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r w:rsidRPr="007421F9">
              <w:rPr>
                <w:rFonts w:ascii="Arial" w:hAnsi="Arial" w:cs="Arial"/>
                <w:b w:val="0"/>
                <w:color w:val="000000"/>
                <w:sz w:val="16"/>
                <w:szCs w:val="16"/>
                <w:u w:val="none"/>
                <w:lang w:val="en-US" w:eastAsia="en-US"/>
              </w:rPr>
              <w:t xml:space="preserve">On </w:t>
            </w:r>
            <w:r w:rsidRPr="007421F9">
              <w:rPr>
                <w:rFonts w:ascii="Arial" w:hAnsi="Arial" w:cs="Arial"/>
                <w:b w:val="0"/>
                <w:color w:val="000000"/>
                <w:sz w:val="16"/>
                <w:szCs w:val="16"/>
                <w:u w:val="none"/>
                <w:lang w:eastAsia="en-US"/>
              </w:rPr>
              <w:t>track</w:t>
            </w:r>
            <w:r w:rsidRPr="007421F9">
              <w:rPr>
                <w:rFonts w:ascii="Arial" w:hAnsi="Arial" w:cs="Arial"/>
                <w:b w:val="0"/>
                <w:color w:val="000000"/>
                <w:sz w:val="16"/>
                <w:szCs w:val="16"/>
                <w:u w:val="none"/>
                <w:lang w:val="en-US" w:eastAsia="en-US"/>
              </w:rPr>
              <w:t>.</w:t>
            </w:r>
          </w:p>
        </w:tc>
      </w:tr>
      <w:tr w:rsidR="007421F9" w:rsidRPr="007421F9" w14:paraId="03C52018" w14:textId="77777777" w:rsidTr="007C2D67">
        <w:trPr>
          <w:trHeight w:val="20"/>
        </w:trPr>
        <w:tc>
          <w:tcPr>
            <w:tcW w:w="1787" w:type="dxa"/>
            <w:shd w:val="clear" w:color="auto" w:fill="auto"/>
            <w:hideMark/>
          </w:tcPr>
          <w:p w14:paraId="00B1F92B"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auto"/>
                <w:sz w:val="16"/>
                <w:szCs w:val="16"/>
                <w:u w:val="none"/>
                <w:lang w:val="en-US" w:eastAsia="en-US"/>
              </w:rPr>
              <w:t xml:space="preserve">2.5 To what extent has Nabilan supported individuals, communities and institutions to recognise VAWC as a problem? </w:t>
            </w:r>
          </w:p>
        </w:tc>
        <w:tc>
          <w:tcPr>
            <w:tcW w:w="1776" w:type="dxa"/>
            <w:shd w:val="clear" w:color="auto" w:fill="auto"/>
          </w:tcPr>
          <w:p w14:paraId="46B08B90"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auto"/>
                <w:sz w:val="16"/>
                <w:szCs w:val="16"/>
                <w:u w:val="none"/>
                <w:lang w:val="en-US" w:eastAsia="en-US"/>
              </w:rPr>
              <w:t xml:space="preserve">IO2.2 Individuals, communities and institutions recognise VAWC as a problem </w:t>
            </w:r>
          </w:p>
        </w:tc>
        <w:tc>
          <w:tcPr>
            <w:tcW w:w="2927" w:type="dxa"/>
            <w:shd w:val="clear" w:color="auto" w:fill="auto"/>
            <w:hideMark/>
          </w:tcPr>
          <w:p w14:paraId="7DE6DBD7" w14:textId="77777777" w:rsidR="007421F9" w:rsidRPr="007421F9" w:rsidRDefault="007421F9" w:rsidP="007421F9">
            <w:pPr>
              <w:numPr>
                <w:ilvl w:val="0"/>
                <w:numId w:val="39"/>
              </w:numPr>
              <w:autoSpaceDE/>
              <w:autoSpaceDN/>
              <w:adjustRightInd/>
              <w:spacing w:after="0"/>
              <w:contextualSpacing/>
              <w:textAlignment w:val="auto"/>
              <w:rPr>
                <w:rFonts w:ascii="Arial" w:hAnsi="Arial" w:cs="Arial"/>
                <w:b w:val="0"/>
                <w:color w:val="auto"/>
                <w:sz w:val="16"/>
                <w:szCs w:val="16"/>
                <w:u w:val="none"/>
                <w:lang w:val="en-US" w:eastAsia="ja-JP"/>
              </w:rPr>
            </w:pPr>
            <w:r w:rsidRPr="007421F9">
              <w:rPr>
                <w:rFonts w:ascii="Arial" w:hAnsi="Arial" w:cs="Arial"/>
                <w:b w:val="0"/>
                <w:color w:val="auto"/>
                <w:sz w:val="16"/>
                <w:szCs w:val="16"/>
                <w:u w:val="none"/>
                <w:lang w:val="en-US" w:eastAsia="ja-JP"/>
              </w:rPr>
              <w:t xml:space="preserve">Proportion of participants displaying improved knowledge and attitudes related about VAWC </w:t>
            </w:r>
            <w:r w:rsidRPr="007421F9">
              <w:rPr>
                <w:rFonts w:ascii="Arial" w:hAnsi="Arial" w:cs="Arial"/>
                <w:color w:val="auto"/>
                <w:sz w:val="16"/>
                <w:szCs w:val="16"/>
                <w:u w:val="none"/>
                <w:lang w:val="en-US" w:eastAsia="ja-JP"/>
              </w:rPr>
              <w:t>Disaggregation:</w:t>
            </w:r>
            <w:r w:rsidRPr="007421F9">
              <w:rPr>
                <w:rFonts w:ascii="Arial" w:hAnsi="Arial" w:cs="Arial"/>
                <w:b w:val="0"/>
                <w:color w:val="auto"/>
                <w:sz w:val="16"/>
                <w:szCs w:val="16"/>
                <w:u w:val="none"/>
                <w:lang w:val="en-US" w:eastAsia="ja-JP"/>
              </w:rPr>
              <w:t xml:space="preserve"> gender </w:t>
            </w:r>
          </w:p>
          <w:p w14:paraId="1C8CCC2E"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p>
          <w:p w14:paraId="6081CAF7"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auto"/>
                <w:sz w:val="16"/>
                <w:szCs w:val="16"/>
                <w:u w:val="none"/>
                <w:lang w:val="en-US" w:eastAsia="en-US"/>
              </w:rPr>
              <w:t>Reported separately for:</w:t>
            </w:r>
            <w:r w:rsidRPr="007421F9">
              <w:rPr>
                <w:rFonts w:ascii="Arial" w:hAnsi="Arial" w:cs="Arial"/>
                <w:b w:val="0"/>
                <w:color w:val="auto"/>
                <w:sz w:val="16"/>
                <w:szCs w:val="16"/>
                <w:u w:val="none"/>
                <w:lang w:val="en-US" w:eastAsia="en-US"/>
              </w:rPr>
              <w:br/>
              <w:t>* Participants in primary prevention initiatives</w:t>
            </w:r>
            <w:r w:rsidRPr="007421F9">
              <w:rPr>
                <w:rFonts w:ascii="Arial" w:hAnsi="Arial" w:cs="Arial"/>
                <w:b w:val="0"/>
                <w:color w:val="auto"/>
                <w:sz w:val="16"/>
                <w:szCs w:val="16"/>
                <w:u w:val="none"/>
                <w:lang w:val="en-US" w:eastAsia="en-US"/>
              </w:rPr>
              <w:br/>
              <w:t>* Target groups of other Nabilan-supported prevention activities</w:t>
            </w:r>
          </w:p>
        </w:tc>
        <w:tc>
          <w:tcPr>
            <w:tcW w:w="1497" w:type="dxa"/>
          </w:tcPr>
          <w:p w14:paraId="6E543FCB"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p>
        </w:tc>
        <w:tc>
          <w:tcPr>
            <w:tcW w:w="2184" w:type="dxa"/>
            <w:shd w:val="clear" w:color="auto" w:fill="auto"/>
            <w:hideMark/>
          </w:tcPr>
          <w:p w14:paraId="31203553" w14:textId="7EE2C556" w:rsidR="007421F9" w:rsidRPr="007421F9" w:rsidRDefault="005C41ED" w:rsidP="007421F9">
            <w:pPr>
              <w:autoSpaceDE/>
              <w:autoSpaceDN/>
              <w:adjustRightInd/>
              <w:spacing w:after="0"/>
              <w:textAlignment w:val="auto"/>
              <w:rPr>
                <w:rFonts w:ascii="Arial" w:hAnsi="Arial" w:cs="Arial"/>
                <w:b w:val="0"/>
                <w:color w:val="auto"/>
                <w:sz w:val="16"/>
                <w:szCs w:val="16"/>
                <w:u w:val="none"/>
                <w:lang w:val="en-US" w:eastAsia="en-US"/>
              </w:rPr>
            </w:pPr>
            <w:r>
              <w:rPr>
                <w:rFonts w:ascii="Arial" w:hAnsi="Arial" w:cs="Arial"/>
                <w:b w:val="0"/>
                <w:color w:val="000000"/>
                <w:sz w:val="16"/>
                <w:szCs w:val="16"/>
                <w:u w:val="none"/>
                <w:lang w:val="en-US" w:eastAsia="en-US"/>
              </w:rPr>
              <w:t xml:space="preserve">PAF </w:t>
            </w:r>
            <w:r w:rsidR="007421F9" w:rsidRPr="007421F9">
              <w:rPr>
                <w:rFonts w:ascii="Arial" w:hAnsi="Arial" w:cs="Arial"/>
                <w:b w:val="0"/>
                <w:color w:val="000000"/>
                <w:sz w:val="16"/>
                <w:szCs w:val="16"/>
                <w:u w:val="none"/>
                <w:lang w:val="en-US" w:eastAsia="en-US"/>
              </w:rPr>
              <w:t>Indicator 13: Number of people that demonstrate improved attitudes to women and girls</w:t>
            </w:r>
          </w:p>
        </w:tc>
        <w:tc>
          <w:tcPr>
            <w:tcW w:w="1228" w:type="dxa"/>
          </w:tcPr>
          <w:p w14:paraId="3BAA7E41"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eastAsia="en-US"/>
              </w:rPr>
            </w:pPr>
          </w:p>
        </w:tc>
        <w:tc>
          <w:tcPr>
            <w:tcW w:w="1852" w:type="dxa"/>
            <w:shd w:val="clear" w:color="auto" w:fill="auto"/>
            <w:hideMark/>
          </w:tcPr>
          <w:p w14:paraId="16BA59EF"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auto"/>
                <w:sz w:val="16"/>
                <w:szCs w:val="16"/>
                <w:u w:val="none"/>
                <w:lang w:val="en-US" w:eastAsia="en-US"/>
              </w:rPr>
              <w:t xml:space="preserve">TBC </w:t>
            </w:r>
          </w:p>
        </w:tc>
        <w:tc>
          <w:tcPr>
            <w:tcW w:w="1414" w:type="dxa"/>
            <w:shd w:val="clear" w:color="auto" w:fill="auto"/>
          </w:tcPr>
          <w:p w14:paraId="0618E2E5"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000000"/>
                <w:sz w:val="16"/>
                <w:szCs w:val="16"/>
                <w:u w:val="none"/>
                <w:lang w:eastAsia="en-US"/>
              </w:rPr>
              <w:t>Some delay.</w:t>
            </w:r>
          </w:p>
        </w:tc>
      </w:tr>
      <w:tr w:rsidR="007421F9" w:rsidRPr="007421F9" w14:paraId="166A34EE" w14:textId="77777777" w:rsidTr="007C2D67">
        <w:trPr>
          <w:trHeight w:val="20"/>
        </w:trPr>
        <w:tc>
          <w:tcPr>
            <w:tcW w:w="1787" w:type="dxa"/>
            <w:vMerge w:val="restart"/>
            <w:shd w:val="clear" w:color="auto" w:fill="auto"/>
          </w:tcPr>
          <w:p w14:paraId="3C6CF556"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auto"/>
                <w:sz w:val="16"/>
                <w:szCs w:val="16"/>
                <w:u w:val="none"/>
                <w:lang w:val="en-US" w:eastAsia="en-US"/>
              </w:rPr>
              <w:t>2.6 To what extent has Nabilan supported communities to take independent action to prevent VAWC?</w:t>
            </w:r>
          </w:p>
        </w:tc>
        <w:tc>
          <w:tcPr>
            <w:tcW w:w="1776" w:type="dxa"/>
            <w:vMerge w:val="restart"/>
            <w:shd w:val="clear" w:color="auto" w:fill="auto"/>
          </w:tcPr>
          <w:p w14:paraId="3B0CBC0F"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auto"/>
                <w:sz w:val="16"/>
                <w:szCs w:val="16"/>
                <w:u w:val="none"/>
                <w:lang w:val="en-US" w:eastAsia="en-US"/>
              </w:rPr>
              <w:t>IO2.3 Communities in Suku Letefoho and other focus areas are taking independent action to prevent VAWC</w:t>
            </w:r>
          </w:p>
        </w:tc>
        <w:tc>
          <w:tcPr>
            <w:tcW w:w="2927" w:type="dxa"/>
            <w:shd w:val="clear" w:color="auto" w:fill="auto"/>
          </w:tcPr>
          <w:p w14:paraId="729760CA" w14:textId="77777777" w:rsidR="007421F9" w:rsidRPr="007421F9" w:rsidRDefault="007421F9" w:rsidP="007421F9">
            <w:pPr>
              <w:numPr>
                <w:ilvl w:val="0"/>
                <w:numId w:val="39"/>
              </w:numPr>
              <w:autoSpaceDE/>
              <w:autoSpaceDN/>
              <w:adjustRightInd/>
              <w:spacing w:after="0"/>
              <w:contextualSpacing/>
              <w:textAlignment w:val="auto"/>
              <w:rPr>
                <w:rFonts w:ascii="Arial" w:hAnsi="Arial" w:cs="Arial"/>
                <w:b w:val="0"/>
                <w:color w:val="auto"/>
                <w:sz w:val="16"/>
                <w:szCs w:val="16"/>
                <w:u w:val="none"/>
                <w:lang w:val="en-US" w:eastAsia="ja-JP"/>
              </w:rPr>
            </w:pPr>
            <w:r w:rsidRPr="007421F9">
              <w:rPr>
                <w:rFonts w:ascii="Arial" w:hAnsi="Arial" w:cs="Arial"/>
                <w:b w:val="0"/>
                <w:color w:val="auto"/>
                <w:sz w:val="16"/>
                <w:szCs w:val="16"/>
                <w:u w:val="none"/>
                <w:lang w:val="en-US" w:eastAsia="ja-JP"/>
              </w:rPr>
              <w:t>Completion of all four phases of SASA! in Suku Letefoho by July 2020.</w:t>
            </w:r>
          </w:p>
          <w:p w14:paraId="34692151"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p>
          <w:p w14:paraId="402FE4B0"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eastAsia="en-US"/>
              </w:rPr>
            </w:pPr>
            <w:r w:rsidRPr="007421F9">
              <w:rPr>
                <w:rFonts w:ascii="Arial" w:hAnsi="Arial" w:cs="Arial"/>
                <w:b w:val="0"/>
                <w:color w:val="auto"/>
                <w:sz w:val="16"/>
                <w:szCs w:val="16"/>
                <w:u w:val="none"/>
                <w:lang w:eastAsia="en-US"/>
              </w:rPr>
              <w:t>Note: SASA! methodology requires community members to reach a threshold of knowledge, attitudes, skills, and behaviour before moving onto each phase. This will be assessed through qualitative and quantitative CBA monitoring tools, FGDs and Rapid Assessment Surveys (RAS), deployed at the beginning and end of each of the four phases of the CBA work in Manufahi.</w:t>
            </w:r>
          </w:p>
        </w:tc>
        <w:tc>
          <w:tcPr>
            <w:tcW w:w="1497" w:type="dxa"/>
          </w:tcPr>
          <w:p w14:paraId="0864F9A0"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auto"/>
                <w:sz w:val="16"/>
                <w:szCs w:val="16"/>
                <w:u w:val="none"/>
                <w:lang w:val="en-US" w:eastAsia="en-US"/>
              </w:rPr>
              <w:t>See narrative report.</w:t>
            </w:r>
          </w:p>
          <w:p w14:paraId="24C91FC1"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p>
          <w:p w14:paraId="52D40488"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auto"/>
                <w:sz w:val="16"/>
                <w:szCs w:val="16"/>
                <w:u w:val="none"/>
                <w:lang w:val="en-US" w:eastAsia="en-US"/>
              </w:rPr>
              <w:t>Moved into Phase II in July 2018; Phase II to be completed by end June 2019.</w:t>
            </w:r>
          </w:p>
        </w:tc>
        <w:tc>
          <w:tcPr>
            <w:tcW w:w="2184" w:type="dxa"/>
            <w:shd w:val="clear" w:color="auto" w:fill="auto"/>
          </w:tcPr>
          <w:p w14:paraId="2ABEB1F2"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p>
        </w:tc>
        <w:tc>
          <w:tcPr>
            <w:tcW w:w="1228" w:type="dxa"/>
          </w:tcPr>
          <w:p w14:paraId="70BD50E6"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eastAsia="en-US"/>
              </w:rPr>
            </w:pPr>
          </w:p>
        </w:tc>
        <w:tc>
          <w:tcPr>
            <w:tcW w:w="1852" w:type="dxa"/>
            <w:shd w:val="clear" w:color="auto" w:fill="auto"/>
          </w:tcPr>
          <w:p w14:paraId="29D58C67"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auto"/>
                <w:sz w:val="16"/>
                <w:szCs w:val="16"/>
                <w:u w:val="none"/>
                <w:lang w:val="en-US" w:eastAsia="en-US"/>
              </w:rPr>
              <w:t>Completion of Phase II (Awareness) between July 2018 – June 2019;</w:t>
            </w:r>
          </w:p>
          <w:p w14:paraId="00782736"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auto"/>
                <w:sz w:val="16"/>
                <w:szCs w:val="16"/>
                <w:u w:val="none"/>
                <w:lang w:val="en-US" w:eastAsia="en-US"/>
              </w:rPr>
              <w:t>Completion of Phase III (Support) between July – December 2019;</w:t>
            </w:r>
          </w:p>
          <w:p w14:paraId="1C84E34A"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auto"/>
                <w:sz w:val="16"/>
                <w:szCs w:val="16"/>
                <w:u w:val="none"/>
                <w:lang w:val="en-US" w:eastAsia="en-US"/>
              </w:rPr>
              <w:t>Completion of Phase III (Action) between Jan – July 2020.</w:t>
            </w:r>
          </w:p>
          <w:p w14:paraId="311048DB"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p>
          <w:p w14:paraId="58C7B6A9"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auto"/>
                <w:sz w:val="16"/>
                <w:szCs w:val="16"/>
                <w:u w:val="none"/>
                <w:lang w:val="en-US" w:eastAsia="en-US"/>
              </w:rPr>
              <w:t xml:space="preserve">Target will combine analysis of both quantitative and qualitative data and decision made by Nabilan team on if there is sufficient change in the community to progress to the next phase of SASA!. </w:t>
            </w:r>
          </w:p>
        </w:tc>
        <w:tc>
          <w:tcPr>
            <w:tcW w:w="1414" w:type="dxa"/>
            <w:shd w:val="clear" w:color="auto" w:fill="auto"/>
          </w:tcPr>
          <w:p w14:paraId="00B76354"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auto"/>
                <w:sz w:val="16"/>
                <w:szCs w:val="16"/>
                <w:u w:val="none"/>
                <w:lang w:val="en-US" w:eastAsia="en-US"/>
              </w:rPr>
              <w:t xml:space="preserve">On track. </w:t>
            </w:r>
          </w:p>
        </w:tc>
      </w:tr>
      <w:tr w:rsidR="007421F9" w:rsidRPr="007421F9" w14:paraId="6AFABCC9" w14:textId="77777777" w:rsidTr="007C2D67">
        <w:trPr>
          <w:trHeight w:val="20"/>
        </w:trPr>
        <w:tc>
          <w:tcPr>
            <w:tcW w:w="1787" w:type="dxa"/>
            <w:vMerge/>
            <w:shd w:val="clear" w:color="auto" w:fill="auto"/>
          </w:tcPr>
          <w:p w14:paraId="037D56C6"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p>
        </w:tc>
        <w:tc>
          <w:tcPr>
            <w:tcW w:w="1776" w:type="dxa"/>
            <w:vMerge/>
            <w:shd w:val="clear" w:color="auto" w:fill="auto"/>
          </w:tcPr>
          <w:p w14:paraId="7A768D68"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p>
        </w:tc>
        <w:tc>
          <w:tcPr>
            <w:tcW w:w="2927" w:type="dxa"/>
            <w:shd w:val="clear" w:color="auto" w:fill="auto"/>
          </w:tcPr>
          <w:p w14:paraId="311BBC11" w14:textId="77777777" w:rsidR="007421F9" w:rsidRPr="007421F9" w:rsidRDefault="007421F9" w:rsidP="007421F9">
            <w:pPr>
              <w:numPr>
                <w:ilvl w:val="0"/>
                <w:numId w:val="39"/>
              </w:numPr>
              <w:autoSpaceDE/>
              <w:autoSpaceDN/>
              <w:adjustRightInd/>
              <w:spacing w:after="0"/>
              <w:contextualSpacing/>
              <w:textAlignment w:val="auto"/>
              <w:rPr>
                <w:rFonts w:ascii="Arial" w:hAnsi="Arial" w:cs="Arial"/>
                <w:b w:val="0"/>
                <w:color w:val="auto"/>
                <w:sz w:val="16"/>
                <w:szCs w:val="16"/>
                <w:u w:val="none"/>
                <w:lang w:val="en-US" w:eastAsia="ja-JP"/>
              </w:rPr>
            </w:pPr>
            <w:r w:rsidRPr="007421F9">
              <w:rPr>
                <w:rFonts w:ascii="Arial" w:hAnsi="Arial" w:cs="Arial"/>
                <w:b w:val="0"/>
                <w:color w:val="auto"/>
                <w:sz w:val="16"/>
                <w:szCs w:val="16"/>
                <w:u w:val="none"/>
                <w:lang w:val="en-US" w:eastAsia="ja-JP"/>
              </w:rPr>
              <w:t>Number of activities conducted by community mobilisers to prevent VAWC in suku Letefoho.</w:t>
            </w:r>
          </w:p>
        </w:tc>
        <w:tc>
          <w:tcPr>
            <w:tcW w:w="1497" w:type="dxa"/>
          </w:tcPr>
          <w:p w14:paraId="100A9BFD"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auto"/>
                <w:sz w:val="16"/>
                <w:szCs w:val="16"/>
                <w:u w:val="none"/>
                <w:lang w:val="en-US" w:eastAsia="en-US"/>
              </w:rPr>
              <w:t>126 activities completed by mobilisers:</w:t>
            </w:r>
          </w:p>
          <w:p w14:paraId="020EFB27"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auto"/>
                <w:sz w:val="16"/>
                <w:szCs w:val="16"/>
                <w:u w:val="none"/>
                <w:lang w:val="en-US" w:eastAsia="en-US"/>
              </w:rPr>
              <w:t>41 in Phase I</w:t>
            </w:r>
          </w:p>
          <w:p w14:paraId="13C5AA2A"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auto"/>
                <w:sz w:val="16"/>
                <w:szCs w:val="16"/>
                <w:u w:val="none"/>
                <w:lang w:val="en-US" w:eastAsia="en-US"/>
              </w:rPr>
              <w:t>85 activities in Phase II</w:t>
            </w:r>
          </w:p>
        </w:tc>
        <w:tc>
          <w:tcPr>
            <w:tcW w:w="2184" w:type="dxa"/>
            <w:shd w:val="clear" w:color="auto" w:fill="auto"/>
          </w:tcPr>
          <w:p w14:paraId="211DBA12"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p>
        </w:tc>
        <w:tc>
          <w:tcPr>
            <w:tcW w:w="1228" w:type="dxa"/>
          </w:tcPr>
          <w:p w14:paraId="0C78007C"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eastAsia="en-US"/>
              </w:rPr>
            </w:pPr>
          </w:p>
        </w:tc>
        <w:tc>
          <w:tcPr>
            <w:tcW w:w="1852" w:type="dxa"/>
            <w:shd w:val="clear" w:color="auto" w:fill="auto"/>
          </w:tcPr>
          <w:p w14:paraId="72B75482"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auto"/>
                <w:sz w:val="16"/>
                <w:szCs w:val="16"/>
                <w:u w:val="none"/>
                <w:lang w:val="en-US" w:eastAsia="en-US"/>
              </w:rPr>
              <w:t>Phase 1: minimum 2 activities per CM per month</w:t>
            </w:r>
          </w:p>
          <w:p w14:paraId="7E31F9A8"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auto"/>
                <w:sz w:val="16"/>
                <w:szCs w:val="16"/>
                <w:u w:val="none"/>
                <w:lang w:val="en-US" w:eastAsia="en-US"/>
              </w:rPr>
              <w:t>Phase 2: minimum 4 activities per CM per month;</w:t>
            </w:r>
          </w:p>
          <w:p w14:paraId="5E439ABD"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auto"/>
                <w:sz w:val="16"/>
                <w:szCs w:val="16"/>
                <w:u w:val="none"/>
                <w:lang w:val="en-US" w:eastAsia="en-US"/>
              </w:rPr>
              <w:t>Phase 3 &amp; 4: TBC</w:t>
            </w:r>
          </w:p>
        </w:tc>
        <w:tc>
          <w:tcPr>
            <w:tcW w:w="1414" w:type="dxa"/>
            <w:shd w:val="clear" w:color="auto" w:fill="auto"/>
          </w:tcPr>
          <w:p w14:paraId="62943679"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000000"/>
                <w:sz w:val="16"/>
                <w:szCs w:val="16"/>
                <w:u w:val="none"/>
                <w:lang w:eastAsia="en-US"/>
              </w:rPr>
              <w:t>Some delay.</w:t>
            </w:r>
          </w:p>
        </w:tc>
      </w:tr>
      <w:tr w:rsidR="007421F9" w:rsidRPr="007421F9" w14:paraId="4B963C39" w14:textId="77777777" w:rsidTr="007C2D67">
        <w:trPr>
          <w:trHeight w:val="1172"/>
        </w:trPr>
        <w:tc>
          <w:tcPr>
            <w:tcW w:w="1787" w:type="dxa"/>
            <w:vMerge/>
            <w:shd w:val="clear" w:color="auto" w:fill="auto"/>
          </w:tcPr>
          <w:p w14:paraId="30295C63"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p>
        </w:tc>
        <w:tc>
          <w:tcPr>
            <w:tcW w:w="1776" w:type="dxa"/>
            <w:vMerge/>
            <w:shd w:val="clear" w:color="auto" w:fill="auto"/>
          </w:tcPr>
          <w:p w14:paraId="3DCA1510"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p>
        </w:tc>
        <w:tc>
          <w:tcPr>
            <w:tcW w:w="2927" w:type="dxa"/>
            <w:shd w:val="clear" w:color="auto" w:fill="auto"/>
          </w:tcPr>
          <w:p w14:paraId="0C96CB27" w14:textId="31E529BD" w:rsidR="007421F9" w:rsidRPr="007421F9" w:rsidRDefault="007421F9" w:rsidP="007421F9">
            <w:pPr>
              <w:numPr>
                <w:ilvl w:val="0"/>
                <w:numId w:val="39"/>
              </w:numPr>
              <w:autoSpaceDE/>
              <w:autoSpaceDN/>
              <w:adjustRightInd/>
              <w:spacing w:after="0"/>
              <w:contextualSpacing/>
              <w:textAlignment w:val="auto"/>
              <w:rPr>
                <w:rFonts w:ascii="Arial" w:hAnsi="Arial" w:cs="Arial"/>
                <w:b w:val="0"/>
                <w:color w:val="auto"/>
                <w:sz w:val="16"/>
                <w:szCs w:val="16"/>
                <w:u w:val="none"/>
                <w:lang w:val="en-US" w:eastAsia="ja-JP"/>
              </w:rPr>
            </w:pPr>
            <w:r w:rsidRPr="007421F9">
              <w:rPr>
                <w:rFonts w:ascii="Arial" w:hAnsi="Arial" w:cs="Arial"/>
                <w:b w:val="0"/>
                <w:color w:val="auto"/>
                <w:sz w:val="16"/>
                <w:szCs w:val="16"/>
                <w:u w:val="none"/>
                <w:lang w:val="en-US" w:eastAsia="ja-JP"/>
              </w:rPr>
              <w:t xml:space="preserve">Number of collective </w:t>
            </w:r>
            <w:r w:rsidR="00160A2F" w:rsidRPr="007421F9">
              <w:rPr>
                <w:rFonts w:ascii="Arial" w:hAnsi="Arial" w:cs="Arial"/>
                <w:b w:val="0"/>
                <w:color w:val="auto"/>
                <w:sz w:val="16"/>
                <w:szCs w:val="16"/>
                <w:u w:val="none"/>
                <w:lang w:val="en-US" w:eastAsia="ja-JP"/>
              </w:rPr>
              <w:t>actions</w:t>
            </w:r>
            <w:r w:rsidRPr="007421F9">
              <w:rPr>
                <w:rFonts w:ascii="Arial" w:hAnsi="Arial" w:cs="Arial"/>
                <w:b w:val="0"/>
                <w:color w:val="auto"/>
                <w:sz w:val="16"/>
                <w:szCs w:val="16"/>
                <w:u w:val="none"/>
                <w:lang w:val="en-US" w:eastAsia="ja-JP"/>
              </w:rPr>
              <w:t xml:space="preserve"> taken by community members in Suku Letefoho to prevent VAWC. </w:t>
            </w:r>
          </w:p>
        </w:tc>
        <w:tc>
          <w:tcPr>
            <w:tcW w:w="1497" w:type="dxa"/>
          </w:tcPr>
          <w:p w14:paraId="0FFC3D76"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auto"/>
                <w:sz w:val="16"/>
                <w:szCs w:val="16"/>
                <w:u w:val="none"/>
                <w:lang w:val="en-US" w:eastAsia="en-US"/>
              </w:rPr>
              <w:t>4 (2 drama performances; 1 press conference; 1 community march)</w:t>
            </w:r>
          </w:p>
        </w:tc>
        <w:tc>
          <w:tcPr>
            <w:tcW w:w="2184" w:type="dxa"/>
            <w:shd w:val="clear" w:color="auto" w:fill="auto"/>
          </w:tcPr>
          <w:p w14:paraId="5ACE8460" w14:textId="6368E80F" w:rsidR="007421F9" w:rsidRPr="007421F9" w:rsidRDefault="005C41ED" w:rsidP="007421F9">
            <w:pPr>
              <w:autoSpaceDE/>
              <w:autoSpaceDN/>
              <w:adjustRightInd/>
              <w:spacing w:after="0"/>
              <w:textAlignment w:val="auto"/>
              <w:rPr>
                <w:rFonts w:ascii="Arial" w:hAnsi="Arial" w:cs="Arial"/>
                <w:b w:val="0"/>
                <w:color w:val="auto"/>
                <w:sz w:val="16"/>
                <w:szCs w:val="16"/>
                <w:u w:val="none"/>
                <w:lang w:val="en-US" w:eastAsia="en-US"/>
              </w:rPr>
            </w:pPr>
            <w:r>
              <w:rPr>
                <w:rFonts w:ascii="Arial" w:hAnsi="Arial" w:cs="Arial"/>
                <w:b w:val="0"/>
                <w:color w:val="auto"/>
                <w:sz w:val="16"/>
                <w:szCs w:val="16"/>
                <w:u w:val="none"/>
                <w:lang w:val="en-US" w:eastAsia="en-US"/>
              </w:rPr>
              <w:t xml:space="preserve">PAF </w:t>
            </w:r>
            <w:r w:rsidR="007421F9" w:rsidRPr="007421F9">
              <w:rPr>
                <w:rFonts w:ascii="Arial" w:hAnsi="Arial" w:cs="Arial"/>
                <w:b w:val="0"/>
                <w:color w:val="auto"/>
                <w:sz w:val="16"/>
                <w:szCs w:val="16"/>
                <w:u w:val="none"/>
                <w:lang w:val="en-US" w:eastAsia="en-US"/>
              </w:rPr>
              <w:t>Indicator 13: Number of people that demonstrate improved attitudes to women and girls</w:t>
            </w:r>
          </w:p>
        </w:tc>
        <w:tc>
          <w:tcPr>
            <w:tcW w:w="1228" w:type="dxa"/>
          </w:tcPr>
          <w:p w14:paraId="3FB92CAB"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eastAsia="en-US"/>
              </w:rPr>
            </w:pPr>
          </w:p>
        </w:tc>
        <w:tc>
          <w:tcPr>
            <w:tcW w:w="1852" w:type="dxa"/>
            <w:shd w:val="clear" w:color="auto" w:fill="auto"/>
          </w:tcPr>
          <w:p w14:paraId="3DF37523"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auto"/>
                <w:sz w:val="16"/>
                <w:szCs w:val="16"/>
                <w:u w:val="none"/>
                <w:lang w:val="en-US" w:eastAsia="en-US"/>
              </w:rPr>
              <w:t>At least 3 instances of collective action taken by 2020</w:t>
            </w:r>
          </w:p>
        </w:tc>
        <w:tc>
          <w:tcPr>
            <w:tcW w:w="1414" w:type="dxa"/>
            <w:shd w:val="clear" w:color="auto" w:fill="auto"/>
          </w:tcPr>
          <w:p w14:paraId="3FE19176"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auto"/>
                <w:sz w:val="16"/>
                <w:szCs w:val="16"/>
                <w:u w:val="none"/>
                <w:lang w:val="en-US" w:eastAsia="en-US"/>
              </w:rPr>
              <w:t>On track.</w:t>
            </w:r>
          </w:p>
        </w:tc>
      </w:tr>
      <w:tr w:rsidR="007421F9" w:rsidRPr="007421F9" w14:paraId="0B25609D" w14:textId="77777777" w:rsidTr="007C2D67">
        <w:trPr>
          <w:trHeight w:val="20"/>
        </w:trPr>
        <w:tc>
          <w:tcPr>
            <w:tcW w:w="1787" w:type="dxa"/>
            <w:shd w:val="clear" w:color="auto" w:fill="auto"/>
          </w:tcPr>
          <w:p w14:paraId="5D91472C"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000000"/>
                <w:sz w:val="16"/>
                <w:szCs w:val="16"/>
                <w:u w:val="none"/>
                <w:lang w:val="en-US" w:eastAsia="en-US"/>
              </w:rPr>
              <w:t xml:space="preserve">2.7 To what extent has the evidence from the CBA pilot influenced prevention programming by other agencies? </w:t>
            </w:r>
          </w:p>
        </w:tc>
        <w:tc>
          <w:tcPr>
            <w:tcW w:w="1776" w:type="dxa"/>
            <w:shd w:val="clear" w:color="auto" w:fill="auto"/>
          </w:tcPr>
          <w:p w14:paraId="2964557A"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000000"/>
                <w:sz w:val="16"/>
                <w:szCs w:val="16"/>
                <w:u w:val="none"/>
                <w:lang w:val="en-US" w:eastAsia="en-US"/>
              </w:rPr>
              <w:t xml:space="preserve">ImO2.5 Learning from the Community Based Approach in Suku Letefoho is documented analysed and used by Nabilan and other organisations. </w:t>
            </w:r>
          </w:p>
        </w:tc>
        <w:tc>
          <w:tcPr>
            <w:tcW w:w="2927" w:type="dxa"/>
            <w:shd w:val="clear" w:color="auto" w:fill="auto"/>
          </w:tcPr>
          <w:p w14:paraId="092FF1C8" w14:textId="77777777" w:rsidR="007421F9" w:rsidRPr="007421F9" w:rsidRDefault="007421F9" w:rsidP="007421F9">
            <w:pPr>
              <w:numPr>
                <w:ilvl w:val="0"/>
                <w:numId w:val="39"/>
              </w:numPr>
              <w:autoSpaceDE/>
              <w:autoSpaceDN/>
              <w:adjustRightInd/>
              <w:spacing w:after="0"/>
              <w:contextualSpacing/>
              <w:textAlignment w:val="auto"/>
              <w:rPr>
                <w:rFonts w:ascii="Arial" w:hAnsi="Arial" w:cs="Arial"/>
                <w:b w:val="0"/>
                <w:color w:val="auto"/>
                <w:sz w:val="16"/>
                <w:szCs w:val="16"/>
                <w:u w:val="none"/>
                <w:lang w:val="en-US" w:eastAsia="ja-JP"/>
              </w:rPr>
            </w:pPr>
            <w:r w:rsidRPr="007421F9">
              <w:rPr>
                <w:rFonts w:ascii="Arial" w:hAnsi="Arial" w:cs="Arial"/>
                <w:b w:val="0"/>
                <w:color w:val="000000"/>
                <w:sz w:val="16"/>
                <w:szCs w:val="16"/>
                <w:u w:val="none"/>
                <w:lang w:val="en-US" w:eastAsia="ja-JP"/>
              </w:rPr>
              <w:t>Instances where other agencies have adopted the key approaches and learning from the CBA pilot.</w:t>
            </w:r>
          </w:p>
        </w:tc>
        <w:tc>
          <w:tcPr>
            <w:tcW w:w="1497" w:type="dxa"/>
          </w:tcPr>
          <w:p w14:paraId="0F5B2B93"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auto"/>
                <w:sz w:val="16"/>
                <w:szCs w:val="16"/>
                <w:u w:val="none"/>
                <w:lang w:val="en-US" w:eastAsia="en-US"/>
              </w:rPr>
              <w:t>See narrative report.</w:t>
            </w:r>
          </w:p>
          <w:p w14:paraId="37A3566F"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val="en-US" w:eastAsia="en-US"/>
              </w:rPr>
            </w:pPr>
          </w:p>
        </w:tc>
        <w:tc>
          <w:tcPr>
            <w:tcW w:w="2184" w:type="dxa"/>
            <w:shd w:val="clear" w:color="auto" w:fill="auto"/>
          </w:tcPr>
          <w:p w14:paraId="1037A45D"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000000"/>
                <w:sz w:val="16"/>
                <w:szCs w:val="16"/>
                <w:u w:val="none"/>
                <w:lang w:val="en-US" w:eastAsia="en-US"/>
              </w:rPr>
              <w:t> </w:t>
            </w:r>
          </w:p>
        </w:tc>
        <w:tc>
          <w:tcPr>
            <w:tcW w:w="1228" w:type="dxa"/>
          </w:tcPr>
          <w:p w14:paraId="41A93490" w14:textId="77777777" w:rsidR="007421F9" w:rsidRPr="007421F9" w:rsidRDefault="007421F9" w:rsidP="007421F9">
            <w:pPr>
              <w:autoSpaceDE/>
              <w:autoSpaceDN/>
              <w:adjustRightInd/>
              <w:spacing w:after="0"/>
              <w:textAlignment w:val="auto"/>
              <w:rPr>
                <w:rFonts w:ascii="Arial" w:hAnsi="Arial" w:cs="Arial"/>
                <w:b w:val="0"/>
                <w:color w:val="000000"/>
                <w:sz w:val="16"/>
                <w:szCs w:val="16"/>
                <w:u w:val="none"/>
                <w:lang w:eastAsia="en-US"/>
              </w:rPr>
            </w:pPr>
          </w:p>
        </w:tc>
        <w:tc>
          <w:tcPr>
            <w:tcW w:w="1852" w:type="dxa"/>
            <w:shd w:val="clear" w:color="auto" w:fill="auto"/>
          </w:tcPr>
          <w:p w14:paraId="13525BAC"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auto"/>
                <w:sz w:val="16"/>
                <w:szCs w:val="16"/>
                <w:u w:val="none"/>
                <w:lang w:val="en-US" w:eastAsia="en-US"/>
              </w:rPr>
              <w:t>N/A</w:t>
            </w:r>
          </w:p>
        </w:tc>
        <w:tc>
          <w:tcPr>
            <w:tcW w:w="1414" w:type="dxa"/>
            <w:shd w:val="clear" w:color="auto" w:fill="auto"/>
          </w:tcPr>
          <w:p w14:paraId="5993836A"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auto"/>
                <w:sz w:val="16"/>
                <w:szCs w:val="16"/>
                <w:u w:val="none"/>
                <w:lang w:val="en-US" w:eastAsia="en-US"/>
              </w:rPr>
              <w:t>On track.</w:t>
            </w:r>
          </w:p>
        </w:tc>
      </w:tr>
      <w:tr w:rsidR="007421F9" w:rsidRPr="007421F9" w14:paraId="7C603F47" w14:textId="77777777" w:rsidTr="007C2D67">
        <w:trPr>
          <w:trHeight w:val="20"/>
        </w:trPr>
        <w:tc>
          <w:tcPr>
            <w:tcW w:w="1787" w:type="dxa"/>
            <w:shd w:val="clear" w:color="auto" w:fill="auto"/>
            <w:hideMark/>
          </w:tcPr>
          <w:p w14:paraId="33F8181D" w14:textId="77777777" w:rsidR="007421F9" w:rsidRPr="007421F9" w:rsidRDefault="007421F9" w:rsidP="007421F9">
            <w:pPr>
              <w:autoSpaceDE/>
              <w:autoSpaceDN/>
              <w:adjustRightInd/>
              <w:spacing w:after="0"/>
              <w:textAlignment w:val="auto"/>
              <w:rPr>
                <w:rFonts w:ascii="Arial" w:hAnsi="Arial" w:cs="Arial"/>
                <w:color w:val="auto"/>
                <w:sz w:val="16"/>
                <w:szCs w:val="16"/>
                <w:u w:val="none"/>
                <w:lang w:val="en-US" w:eastAsia="en-US"/>
              </w:rPr>
            </w:pPr>
            <w:r w:rsidRPr="007421F9">
              <w:rPr>
                <w:rFonts w:ascii="Arial" w:hAnsi="Arial" w:cs="Arial"/>
                <w:color w:val="auto"/>
                <w:sz w:val="16"/>
                <w:szCs w:val="16"/>
                <w:u w:val="none"/>
                <w:lang w:val="en-US" w:eastAsia="en-US"/>
              </w:rPr>
              <w:t>KEQ 3 What key factors will contribute to the sustainability of the Nabilan program outcomes beyond the end of the program?</w:t>
            </w:r>
          </w:p>
        </w:tc>
        <w:tc>
          <w:tcPr>
            <w:tcW w:w="1776" w:type="dxa"/>
            <w:shd w:val="clear" w:color="auto" w:fill="auto"/>
          </w:tcPr>
          <w:p w14:paraId="4FC1E966"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auto"/>
                <w:sz w:val="16"/>
                <w:szCs w:val="16"/>
                <w:u w:val="none"/>
                <w:lang w:val="en-US" w:eastAsia="en-US"/>
              </w:rPr>
              <w:t>Principle: Sustainability</w:t>
            </w:r>
          </w:p>
        </w:tc>
        <w:tc>
          <w:tcPr>
            <w:tcW w:w="2927" w:type="dxa"/>
            <w:shd w:val="clear" w:color="auto" w:fill="auto"/>
          </w:tcPr>
          <w:p w14:paraId="5D23D83A" w14:textId="1C29FD82" w:rsidR="007421F9" w:rsidRPr="007421F9" w:rsidRDefault="007421F9" w:rsidP="007421F9">
            <w:pPr>
              <w:autoSpaceDE/>
              <w:autoSpaceDN/>
              <w:adjustRightInd/>
              <w:spacing w:after="0"/>
              <w:textAlignment w:val="auto"/>
              <w:rPr>
                <w:rFonts w:ascii="Arial" w:hAnsi="Arial" w:cs="Arial"/>
                <w:b w:val="0"/>
                <w:i/>
                <w:color w:val="auto"/>
                <w:sz w:val="16"/>
                <w:szCs w:val="16"/>
                <w:u w:val="none"/>
                <w:lang w:val="en-US" w:eastAsia="en-US"/>
              </w:rPr>
            </w:pPr>
            <w:r w:rsidRPr="007421F9">
              <w:rPr>
                <w:rFonts w:ascii="Arial" w:hAnsi="Arial" w:cs="Arial"/>
                <w:b w:val="0"/>
                <w:i/>
                <w:color w:val="auto"/>
                <w:sz w:val="16"/>
                <w:szCs w:val="16"/>
                <w:u w:val="none"/>
                <w:lang w:val="en-US" w:eastAsia="en-US"/>
              </w:rPr>
              <w:t xml:space="preserve">Addressing KEQ3 and its sub-questions will be a key focus of the mid-term review. To answer these questions, </w:t>
            </w:r>
            <w:r w:rsidR="00160A2F" w:rsidRPr="007421F9">
              <w:rPr>
                <w:rFonts w:ascii="Arial" w:hAnsi="Arial" w:cs="Arial"/>
                <w:b w:val="0"/>
                <w:i/>
                <w:color w:val="auto"/>
                <w:sz w:val="16"/>
                <w:szCs w:val="16"/>
                <w:u w:val="none"/>
                <w:lang w:val="en-US" w:eastAsia="en-US"/>
              </w:rPr>
              <w:t>the mid</w:t>
            </w:r>
            <w:r w:rsidRPr="007421F9">
              <w:rPr>
                <w:rFonts w:ascii="Arial" w:hAnsi="Arial" w:cs="Arial"/>
                <w:b w:val="0"/>
                <w:i/>
                <w:color w:val="auto"/>
                <w:sz w:val="16"/>
                <w:szCs w:val="16"/>
                <w:u w:val="none"/>
                <w:lang w:val="en-US" w:eastAsia="en-US"/>
              </w:rPr>
              <w:t>-term review will synthesise data from a range of sources, including key informant interviews, reviews of existing documents and literature, existing data collected to answer KEQs 1 and 2</w:t>
            </w:r>
            <w:r w:rsidR="005E4703">
              <w:rPr>
                <w:rFonts w:ascii="Arial" w:hAnsi="Arial" w:cs="Arial"/>
                <w:b w:val="0"/>
                <w:i/>
                <w:color w:val="auto"/>
                <w:sz w:val="16"/>
                <w:szCs w:val="16"/>
                <w:u w:val="none"/>
                <w:lang w:val="en-US" w:eastAsia="en-US"/>
              </w:rPr>
              <w:t>.</w:t>
            </w:r>
          </w:p>
        </w:tc>
        <w:tc>
          <w:tcPr>
            <w:tcW w:w="1497" w:type="dxa"/>
          </w:tcPr>
          <w:p w14:paraId="432B11AC"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p>
        </w:tc>
        <w:tc>
          <w:tcPr>
            <w:tcW w:w="2184" w:type="dxa"/>
            <w:shd w:val="clear" w:color="auto" w:fill="auto"/>
          </w:tcPr>
          <w:p w14:paraId="6651BCD6"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p>
        </w:tc>
        <w:tc>
          <w:tcPr>
            <w:tcW w:w="1228" w:type="dxa"/>
          </w:tcPr>
          <w:p w14:paraId="68C65746"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p>
        </w:tc>
        <w:tc>
          <w:tcPr>
            <w:tcW w:w="1852" w:type="dxa"/>
            <w:shd w:val="clear" w:color="auto" w:fill="auto"/>
          </w:tcPr>
          <w:p w14:paraId="1C0F0A19"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auto"/>
                <w:sz w:val="16"/>
                <w:szCs w:val="16"/>
                <w:u w:val="none"/>
                <w:lang w:val="en-US" w:eastAsia="en-US"/>
              </w:rPr>
              <w:t>N/A</w:t>
            </w:r>
          </w:p>
        </w:tc>
        <w:tc>
          <w:tcPr>
            <w:tcW w:w="1414" w:type="dxa"/>
            <w:shd w:val="clear" w:color="auto" w:fill="auto"/>
          </w:tcPr>
          <w:p w14:paraId="0803299E"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p>
        </w:tc>
      </w:tr>
      <w:tr w:rsidR="007421F9" w:rsidRPr="007421F9" w14:paraId="3B515FAC" w14:textId="77777777" w:rsidTr="007C2D67">
        <w:trPr>
          <w:trHeight w:val="20"/>
        </w:trPr>
        <w:tc>
          <w:tcPr>
            <w:tcW w:w="1787" w:type="dxa"/>
            <w:vMerge w:val="restart"/>
            <w:shd w:val="clear" w:color="auto" w:fill="auto"/>
            <w:hideMark/>
          </w:tcPr>
          <w:p w14:paraId="13687F6E"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auto"/>
                <w:sz w:val="16"/>
                <w:szCs w:val="16"/>
                <w:u w:val="none"/>
                <w:lang w:val="en-US" w:eastAsia="en-US"/>
              </w:rPr>
              <w:t>3.1 To what extent is GOTL resourcing prevention activities and essential services for women and children impacted by violence? How has Nabilan influenced this?</w:t>
            </w:r>
          </w:p>
        </w:tc>
        <w:tc>
          <w:tcPr>
            <w:tcW w:w="1776" w:type="dxa"/>
            <w:vMerge w:val="restart"/>
            <w:shd w:val="clear" w:color="auto" w:fill="auto"/>
          </w:tcPr>
          <w:p w14:paraId="2AED6386"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auto"/>
                <w:sz w:val="16"/>
                <w:szCs w:val="16"/>
                <w:u w:val="none"/>
                <w:lang w:val="en-US" w:eastAsia="en-US"/>
              </w:rPr>
              <w:t>IO1.3: Relevant Ministries use evidence to allocate funding of essential services</w:t>
            </w:r>
          </w:p>
          <w:p w14:paraId="700FC6DF"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p>
          <w:p w14:paraId="284D45E2"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auto"/>
                <w:sz w:val="16"/>
                <w:szCs w:val="16"/>
                <w:u w:val="none"/>
                <w:lang w:val="en-US" w:eastAsia="en-US"/>
              </w:rPr>
              <w:t>ImO1.3 Partners advocate for increased GoTL funding of essential VAWC services</w:t>
            </w:r>
          </w:p>
        </w:tc>
        <w:tc>
          <w:tcPr>
            <w:tcW w:w="2927" w:type="dxa"/>
            <w:shd w:val="clear" w:color="auto" w:fill="auto"/>
            <w:hideMark/>
          </w:tcPr>
          <w:p w14:paraId="377EC618" w14:textId="77777777" w:rsidR="007421F9" w:rsidRPr="007421F9" w:rsidRDefault="007421F9" w:rsidP="007421F9">
            <w:pPr>
              <w:numPr>
                <w:ilvl w:val="0"/>
                <w:numId w:val="39"/>
              </w:numPr>
              <w:autoSpaceDE/>
              <w:autoSpaceDN/>
              <w:adjustRightInd/>
              <w:spacing w:after="0"/>
              <w:contextualSpacing/>
              <w:textAlignment w:val="auto"/>
              <w:rPr>
                <w:rFonts w:ascii="Arial" w:hAnsi="Arial" w:cs="Arial"/>
                <w:b w:val="0"/>
                <w:color w:val="auto"/>
                <w:sz w:val="16"/>
                <w:szCs w:val="16"/>
                <w:u w:val="none"/>
                <w:lang w:val="en-US" w:eastAsia="ja-JP"/>
              </w:rPr>
            </w:pPr>
            <w:r w:rsidRPr="007421F9">
              <w:rPr>
                <w:rFonts w:ascii="Arial" w:hAnsi="Arial" w:cs="Arial"/>
                <w:b w:val="0"/>
                <w:color w:val="auto"/>
                <w:sz w:val="16"/>
                <w:szCs w:val="16"/>
                <w:u w:val="none"/>
                <w:lang w:val="en-US" w:eastAsia="ja-JP"/>
              </w:rPr>
              <w:t>Instances that reflect GoTL recognition of the need for sustainable funding for services</w:t>
            </w:r>
          </w:p>
          <w:p w14:paraId="15825C24"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p>
          <w:p w14:paraId="45158740"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p>
        </w:tc>
        <w:tc>
          <w:tcPr>
            <w:tcW w:w="1497" w:type="dxa"/>
          </w:tcPr>
          <w:p w14:paraId="65F2889A"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p>
        </w:tc>
        <w:tc>
          <w:tcPr>
            <w:tcW w:w="2184" w:type="dxa"/>
            <w:shd w:val="clear" w:color="auto" w:fill="auto"/>
            <w:hideMark/>
          </w:tcPr>
          <w:p w14:paraId="246F5A6F"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auto"/>
                <w:sz w:val="16"/>
                <w:szCs w:val="16"/>
                <w:u w:val="none"/>
                <w:lang w:val="en-US" w:eastAsia="en-US"/>
              </w:rPr>
              <w:t> </w:t>
            </w:r>
          </w:p>
        </w:tc>
        <w:tc>
          <w:tcPr>
            <w:tcW w:w="1228" w:type="dxa"/>
          </w:tcPr>
          <w:p w14:paraId="5EED09AC"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eastAsia="en-US"/>
              </w:rPr>
            </w:pPr>
          </w:p>
        </w:tc>
        <w:tc>
          <w:tcPr>
            <w:tcW w:w="1852" w:type="dxa"/>
            <w:shd w:val="clear" w:color="auto" w:fill="auto"/>
            <w:hideMark/>
          </w:tcPr>
          <w:p w14:paraId="4698F1E9"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auto"/>
                <w:sz w:val="16"/>
                <w:szCs w:val="16"/>
                <w:u w:val="none"/>
                <w:lang w:val="en-US" w:eastAsia="en-US"/>
              </w:rPr>
              <w:t>1 MoU with MoH signed; 1 PRPF held each year; funding discussed at coordination meetings with UN agencies, government and other donors</w:t>
            </w:r>
          </w:p>
        </w:tc>
        <w:tc>
          <w:tcPr>
            <w:tcW w:w="1414" w:type="dxa"/>
            <w:shd w:val="clear" w:color="auto" w:fill="auto"/>
          </w:tcPr>
          <w:p w14:paraId="74855D18"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000000"/>
                <w:sz w:val="16"/>
                <w:szCs w:val="16"/>
                <w:u w:val="none"/>
                <w:lang w:eastAsia="en-US"/>
              </w:rPr>
              <w:t>Some delay.</w:t>
            </w:r>
          </w:p>
        </w:tc>
      </w:tr>
      <w:tr w:rsidR="007421F9" w:rsidRPr="007421F9" w14:paraId="0DBE3473" w14:textId="77777777" w:rsidTr="007C2D67">
        <w:trPr>
          <w:trHeight w:val="20"/>
        </w:trPr>
        <w:tc>
          <w:tcPr>
            <w:tcW w:w="1787" w:type="dxa"/>
            <w:vMerge/>
            <w:shd w:val="clear" w:color="auto" w:fill="auto"/>
          </w:tcPr>
          <w:p w14:paraId="3BD0305D"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p>
        </w:tc>
        <w:tc>
          <w:tcPr>
            <w:tcW w:w="1776" w:type="dxa"/>
            <w:vMerge/>
            <w:shd w:val="clear" w:color="auto" w:fill="auto"/>
          </w:tcPr>
          <w:p w14:paraId="3CDC2252"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p>
        </w:tc>
        <w:tc>
          <w:tcPr>
            <w:tcW w:w="2927" w:type="dxa"/>
            <w:shd w:val="clear" w:color="auto" w:fill="auto"/>
          </w:tcPr>
          <w:p w14:paraId="641D8904" w14:textId="77777777" w:rsidR="007421F9" w:rsidRPr="007421F9" w:rsidRDefault="007421F9" w:rsidP="007421F9">
            <w:pPr>
              <w:numPr>
                <w:ilvl w:val="0"/>
                <w:numId w:val="39"/>
              </w:numPr>
              <w:autoSpaceDE/>
              <w:autoSpaceDN/>
              <w:adjustRightInd/>
              <w:spacing w:after="0"/>
              <w:contextualSpacing/>
              <w:textAlignment w:val="auto"/>
              <w:rPr>
                <w:rFonts w:ascii="Arial" w:hAnsi="Arial" w:cs="Arial"/>
                <w:b w:val="0"/>
                <w:color w:val="auto"/>
                <w:sz w:val="16"/>
                <w:szCs w:val="16"/>
                <w:u w:val="none"/>
                <w:lang w:val="en-US" w:eastAsia="ja-JP"/>
              </w:rPr>
            </w:pPr>
            <w:r w:rsidRPr="007421F9">
              <w:rPr>
                <w:rFonts w:ascii="Arial" w:hAnsi="Arial" w:cs="Arial"/>
                <w:b w:val="0"/>
                <w:color w:val="auto"/>
                <w:sz w:val="16"/>
                <w:szCs w:val="16"/>
                <w:u w:val="none"/>
                <w:lang w:val="en-US" w:eastAsia="ja-JP"/>
              </w:rPr>
              <w:t>Evidence of changed funding portfolio (%) provided by Nabilan/other donors/government to for Nabilan partners</w:t>
            </w:r>
          </w:p>
        </w:tc>
        <w:tc>
          <w:tcPr>
            <w:tcW w:w="1497" w:type="dxa"/>
          </w:tcPr>
          <w:p w14:paraId="5C1E4780"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p>
        </w:tc>
        <w:tc>
          <w:tcPr>
            <w:tcW w:w="2184" w:type="dxa"/>
            <w:shd w:val="clear" w:color="auto" w:fill="auto"/>
          </w:tcPr>
          <w:p w14:paraId="10A9ECAB"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p>
        </w:tc>
        <w:tc>
          <w:tcPr>
            <w:tcW w:w="1228" w:type="dxa"/>
          </w:tcPr>
          <w:p w14:paraId="61E91690"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eastAsia="en-US"/>
              </w:rPr>
            </w:pPr>
          </w:p>
        </w:tc>
        <w:tc>
          <w:tcPr>
            <w:tcW w:w="1852" w:type="dxa"/>
            <w:shd w:val="clear" w:color="auto" w:fill="auto"/>
          </w:tcPr>
          <w:p w14:paraId="4613863A"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auto"/>
                <w:sz w:val="16"/>
                <w:szCs w:val="16"/>
                <w:u w:val="none"/>
                <w:lang w:val="en-US" w:eastAsia="en-US"/>
              </w:rPr>
              <w:t>N/A</w:t>
            </w:r>
          </w:p>
        </w:tc>
        <w:tc>
          <w:tcPr>
            <w:tcW w:w="1414" w:type="dxa"/>
            <w:shd w:val="clear" w:color="auto" w:fill="auto"/>
          </w:tcPr>
          <w:p w14:paraId="761138D5"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000000"/>
                <w:sz w:val="16"/>
                <w:szCs w:val="16"/>
                <w:u w:val="none"/>
                <w:lang w:eastAsia="en-US"/>
              </w:rPr>
              <w:t>Some delay.</w:t>
            </w:r>
          </w:p>
        </w:tc>
      </w:tr>
      <w:tr w:rsidR="007421F9" w:rsidRPr="007421F9" w14:paraId="6D3A5A31" w14:textId="77777777" w:rsidTr="007C2D67">
        <w:trPr>
          <w:trHeight w:val="20"/>
        </w:trPr>
        <w:tc>
          <w:tcPr>
            <w:tcW w:w="1787" w:type="dxa"/>
            <w:vMerge/>
            <w:shd w:val="clear" w:color="auto" w:fill="auto"/>
          </w:tcPr>
          <w:p w14:paraId="54EED700"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p>
        </w:tc>
        <w:tc>
          <w:tcPr>
            <w:tcW w:w="1776" w:type="dxa"/>
            <w:vMerge/>
            <w:shd w:val="clear" w:color="auto" w:fill="auto"/>
          </w:tcPr>
          <w:p w14:paraId="69BAEFD1"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p>
        </w:tc>
        <w:tc>
          <w:tcPr>
            <w:tcW w:w="2927" w:type="dxa"/>
            <w:shd w:val="clear" w:color="auto" w:fill="auto"/>
          </w:tcPr>
          <w:p w14:paraId="438F1671" w14:textId="77777777" w:rsidR="007421F9" w:rsidRPr="007421F9" w:rsidRDefault="007421F9" w:rsidP="007421F9">
            <w:pPr>
              <w:numPr>
                <w:ilvl w:val="0"/>
                <w:numId w:val="39"/>
              </w:numPr>
              <w:autoSpaceDE/>
              <w:autoSpaceDN/>
              <w:adjustRightInd/>
              <w:spacing w:after="0"/>
              <w:contextualSpacing/>
              <w:textAlignment w:val="auto"/>
              <w:rPr>
                <w:rFonts w:ascii="Arial" w:hAnsi="Arial" w:cs="Arial"/>
                <w:b w:val="0"/>
                <w:color w:val="auto"/>
                <w:sz w:val="16"/>
                <w:szCs w:val="16"/>
                <w:u w:val="none"/>
                <w:lang w:val="en-US" w:eastAsia="ja-JP"/>
              </w:rPr>
            </w:pPr>
            <w:r w:rsidRPr="007421F9">
              <w:rPr>
                <w:rFonts w:ascii="Arial" w:hAnsi="Arial" w:cs="Arial"/>
                <w:b w:val="0"/>
                <w:color w:val="auto"/>
                <w:sz w:val="16"/>
                <w:szCs w:val="16"/>
                <w:u w:val="none"/>
                <w:lang w:val="en-US" w:eastAsia="ja-JP"/>
              </w:rPr>
              <w:t>Evidence of Nabilan partners advocating to GoTL for increased funding</w:t>
            </w:r>
          </w:p>
        </w:tc>
        <w:tc>
          <w:tcPr>
            <w:tcW w:w="1497" w:type="dxa"/>
          </w:tcPr>
          <w:p w14:paraId="635CCE02"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p>
        </w:tc>
        <w:tc>
          <w:tcPr>
            <w:tcW w:w="2184" w:type="dxa"/>
            <w:shd w:val="clear" w:color="auto" w:fill="auto"/>
          </w:tcPr>
          <w:p w14:paraId="7A57FE36"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p>
        </w:tc>
        <w:tc>
          <w:tcPr>
            <w:tcW w:w="1228" w:type="dxa"/>
          </w:tcPr>
          <w:p w14:paraId="1CC05581"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eastAsia="en-US"/>
              </w:rPr>
            </w:pPr>
          </w:p>
        </w:tc>
        <w:tc>
          <w:tcPr>
            <w:tcW w:w="1852" w:type="dxa"/>
            <w:shd w:val="clear" w:color="auto" w:fill="auto"/>
          </w:tcPr>
          <w:p w14:paraId="199D0152"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auto"/>
                <w:sz w:val="16"/>
                <w:szCs w:val="16"/>
                <w:u w:val="none"/>
                <w:lang w:val="en-US" w:eastAsia="en-US"/>
              </w:rPr>
              <w:t>N/A</w:t>
            </w:r>
          </w:p>
        </w:tc>
        <w:tc>
          <w:tcPr>
            <w:tcW w:w="1414" w:type="dxa"/>
            <w:shd w:val="clear" w:color="auto" w:fill="auto"/>
          </w:tcPr>
          <w:p w14:paraId="374856E5"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000000"/>
                <w:sz w:val="16"/>
                <w:szCs w:val="16"/>
                <w:u w:val="none"/>
                <w:lang w:eastAsia="en-US"/>
              </w:rPr>
              <w:t>Some delay.</w:t>
            </w:r>
          </w:p>
        </w:tc>
      </w:tr>
      <w:tr w:rsidR="007421F9" w:rsidRPr="007421F9" w14:paraId="5176F1C0" w14:textId="77777777" w:rsidTr="007C2D67">
        <w:trPr>
          <w:trHeight w:val="20"/>
        </w:trPr>
        <w:tc>
          <w:tcPr>
            <w:tcW w:w="1787" w:type="dxa"/>
            <w:shd w:val="clear" w:color="auto" w:fill="auto"/>
            <w:hideMark/>
          </w:tcPr>
          <w:p w14:paraId="72A3032F"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auto"/>
                <w:sz w:val="16"/>
                <w:szCs w:val="16"/>
                <w:u w:val="none"/>
                <w:lang w:val="en-US" w:eastAsia="en-US"/>
              </w:rPr>
              <w:t xml:space="preserve">3.2 Is there evidence of changes in community attitudes and practices relating to VAWC?   </w:t>
            </w:r>
          </w:p>
        </w:tc>
        <w:tc>
          <w:tcPr>
            <w:tcW w:w="1776" w:type="dxa"/>
            <w:shd w:val="clear" w:color="auto" w:fill="auto"/>
          </w:tcPr>
          <w:p w14:paraId="72BE05CD"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p>
        </w:tc>
        <w:tc>
          <w:tcPr>
            <w:tcW w:w="2927" w:type="dxa"/>
            <w:shd w:val="clear" w:color="auto" w:fill="auto"/>
            <w:hideMark/>
          </w:tcPr>
          <w:p w14:paraId="7EF180AE" w14:textId="77777777" w:rsidR="007421F9" w:rsidRPr="007421F9" w:rsidRDefault="007421F9" w:rsidP="007421F9">
            <w:pPr>
              <w:autoSpaceDE/>
              <w:autoSpaceDN/>
              <w:adjustRightInd/>
              <w:spacing w:after="0"/>
              <w:textAlignment w:val="auto"/>
              <w:rPr>
                <w:rFonts w:ascii="Arial" w:hAnsi="Arial" w:cs="Arial"/>
                <w:b w:val="0"/>
                <w:i/>
                <w:color w:val="auto"/>
                <w:sz w:val="16"/>
                <w:szCs w:val="16"/>
                <w:u w:val="none"/>
                <w:lang w:val="en-US" w:eastAsia="en-US"/>
              </w:rPr>
            </w:pPr>
            <w:r w:rsidRPr="007421F9">
              <w:rPr>
                <w:rFonts w:ascii="Arial" w:hAnsi="Arial" w:cs="Arial"/>
                <w:b w:val="0"/>
                <w:i/>
                <w:color w:val="auto"/>
                <w:sz w:val="16"/>
                <w:szCs w:val="16"/>
                <w:u w:val="none"/>
                <w:lang w:val="en-US" w:eastAsia="en-US"/>
              </w:rPr>
              <w:t xml:space="preserve"> Refer to Indicators 13 and 23 above </w:t>
            </w:r>
          </w:p>
        </w:tc>
        <w:tc>
          <w:tcPr>
            <w:tcW w:w="1497" w:type="dxa"/>
          </w:tcPr>
          <w:p w14:paraId="11E2931E"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p>
        </w:tc>
        <w:tc>
          <w:tcPr>
            <w:tcW w:w="2184" w:type="dxa"/>
            <w:shd w:val="clear" w:color="auto" w:fill="auto"/>
            <w:hideMark/>
          </w:tcPr>
          <w:p w14:paraId="3C329BC6"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auto"/>
                <w:sz w:val="16"/>
                <w:szCs w:val="16"/>
                <w:u w:val="none"/>
                <w:lang w:val="en-US" w:eastAsia="en-US"/>
              </w:rPr>
              <w:t> </w:t>
            </w:r>
          </w:p>
        </w:tc>
        <w:tc>
          <w:tcPr>
            <w:tcW w:w="1228" w:type="dxa"/>
          </w:tcPr>
          <w:p w14:paraId="7C8EC568"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eastAsia="en-US"/>
              </w:rPr>
            </w:pPr>
          </w:p>
        </w:tc>
        <w:tc>
          <w:tcPr>
            <w:tcW w:w="1852" w:type="dxa"/>
            <w:shd w:val="clear" w:color="auto" w:fill="auto"/>
            <w:hideMark/>
          </w:tcPr>
          <w:p w14:paraId="0C3815C1"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i/>
                <w:color w:val="auto"/>
                <w:sz w:val="16"/>
                <w:szCs w:val="16"/>
                <w:u w:val="none"/>
                <w:lang w:val="en-US" w:eastAsia="en-US"/>
              </w:rPr>
              <w:t>Refer to Indicators 13 and 23 above</w:t>
            </w:r>
          </w:p>
        </w:tc>
        <w:tc>
          <w:tcPr>
            <w:tcW w:w="1414" w:type="dxa"/>
            <w:shd w:val="clear" w:color="auto" w:fill="auto"/>
          </w:tcPr>
          <w:p w14:paraId="5EA74109"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auto"/>
                <w:sz w:val="16"/>
                <w:szCs w:val="16"/>
                <w:u w:val="none"/>
                <w:lang w:val="en-US" w:eastAsia="en-US"/>
              </w:rPr>
              <w:t>Too early to tell.</w:t>
            </w:r>
          </w:p>
        </w:tc>
      </w:tr>
      <w:tr w:rsidR="007421F9" w:rsidRPr="007421F9" w14:paraId="69776B0D" w14:textId="77777777" w:rsidTr="007C2D67">
        <w:trPr>
          <w:trHeight w:val="20"/>
        </w:trPr>
        <w:tc>
          <w:tcPr>
            <w:tcW w:w="1787" w:type="dxa"/>
            <w:vMerge w:val="restart"/>
            <w:shd w:val="clear" w:color="auto" w:fill="auto"/>
            <w:hideMark/>
          </w:tcPr>
          <w:p w14:paraId="5B2539C6"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auto"/>
                <w:sz w:val="16"/>
                <w:szCs w:val="16"/>
                <w:u w:val="none"/>
                <w:lang w:val="en-US" w:eastAsia="en-US"/>
              </w:rPr>
              <w:t xml:space="preserve">3.3 Is there evidence of strengthened local capacity and systems to continue implementation of quality services and prevention approaches? </w:t>
            </w:r>
          </w:p>
        </w:tc>
        <w:tc>
          <w:tcPr>
            <w:tcW w:w="1776" w:type="dxa"/>
            <w:vMerge w:val="restart"/>
            <w:shd w:val="clear" w:color="auto" w:fill="auto"/>
          </w:tcPr>
          <w:p w14:paraId="3E2657C4"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p>
        </w:tc>
        <w:tc>
          <w:tcPr>
            <w:tcW w:w="2927" w:type="dxa"/>
            <w:shd w:val="clear" w:color="auto" w:fill="auto"/>
            <w:hideMark/>
          </w:tcPr>
          <w:p w14:paraId="6001D730" w14:textId="77777777" w:rsidR="007421F9" w:rsidRPr="007421F9" w:rsidRDefault="007421F9" w:rsidP="007421F9">
            <w:pPr>
              <w:numPr>
                <w:ilvl w:val="0"/>
                <w:numId w:val="39"/>
              </w:numPr>
              <w:autoSpaceDE/>
              <w:autoSpaceDN/>
              <w:adjustRightInd/>
              <w:spacing w:after="0"/>
              <w:contextualSpacing/>
              <w:textAlignment w:val="auto"/>
              <w:rPr>
                <w:rFonts w:ascii="Arial" w:hAnsi="Arial" w:cs="Arial"/>
                <w:b w:val="0"/>
                <w:color w:val="auto"/>
                <w:sz w:val="16"/>
                <w:szCs w:val="16"/>
                <w:u w:val="none"/>
                <w:lang w:val="en-US" w:eastAsia="ja-JP"/>
              </w:rPr>
            </w:pPr>
            <w:r w:rsidRPr="007421F9">
              <w:rPr>
                <w:rFonts w:ascii="Arial" w:hAnsi="Arial" w:cs="Arial"/>
                <w:b w:val="0"/>
                <w:color w:val="auto"/>
                <w:sz w:val="16"/>
                <w:szCs w:val="16"/>
                <w:u w:val="none"/>
                <w:lang w:val="en-US" w:eastAsia="ja-JP"/>
              </w:rPr>
              <w:t>Organisational Institutional Strengthening assessment ratings</w:t>
            </w:r>
          </w:p>
          <w:p w14:paraId="41A9363D" w14:textId="77777777" w:rsidR="007421F9" w:rsidRPr="007421F9" w:rsidRDefault="007421F9" w:rsidP="007421F9">
            <w:pPr>
              <w:autoSpaceDE/>
              <w:autoSpaceDN/>
              <w:adjustRightInd/>
              <w:spacing w:after="0"/>
              <w:textAlignment w:val="auto"/>
              <w:rPr>
                <w:rFonts w:ascii="Arial" w:hAnsi="Arial" w:cs="Arial"/>
                <w:b w:val="0"/>
                <w:i/>
                <w:color w:val="auto"/>
                <w:sz w:val="16"/>
                <w:szCs w:val="16"/>
                <w:u w:val="none"/>
                <w:lang w:val="en-US" w:eastAsia="en-US"/>
              </w:rPr>
            </w:pPr>
          </w:p>
          <w:p w14:paraId="139287EC" w14:textId="77777777" w:rsidR="007421F9" w:rsidRPr="007421F9" w:rsidRDefault="007421F9" w:rsidP="007421F9">
            <w:pPr>
              <w:autoSpaceDE/>
              <w:autoSpaceDN/>
              <w:adjustRightInd/>
              <w:spacing w:after="0"/>
              <w:textAlignment w:val="auto"/>
              <w:rPr>
                <w:rFonts w:ascii="Arial" w:hAnsi="Arial" w:cs="Arial"/>
                <w:b w:val="0"/>
                <w:i/>
                <w:color w:val="auto"/>
                <w:sz w:val="16"/>
                <w:szCs w:val="16"/>
                <w:u w:val="none"/>
                <w:lang w:val="en-US" w:eastAsia="en-US"/>
              </w:rPr>
            </w:pPr>
          </w:p>
        </w:tc>
        <w:tc>
          <w:tcPr>
            <w:tcW w:w="1497" w:type="dxa"/>
          </w:tcPr>
          <w:p w14:paraId="77752054"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p>
        </w:tc>
        <w:tc>
          <w:tcPr>
            <w:tcW w:w="2184" w:type="dxa"/>
            <w:shd w:val="clear" w:color="auto" w:fill="auto"/>
            <w:hideMark/>
          </w:tcPr>
          <w:p w14:paraId="63662E2D"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auto"/>
                <w:sz w:val="16"/>
                <w:szCs w:val="16"/>
                <w:u w:val="none"/>
                <w:lang w:val="en-US" w:eastAsia="en-US"/>
              </w:rPr>
              <w:t> </w:t>
            </w:r>
          </w:p>
        </w:tc>
        <w:tc>
          <w:tcPr>
            <w:tcW w:w="1228" w:type="dxa"/>
          </w:tcPr>
          <w:p w14:paraId="62065155" w14:textId="77777777" w:rsidR="007421F9" w:rsidRPr="007421F9" w:rsidRDefault="007421F9" w:rsidP="007421F9">
            <w:pPr>
              <w:autoSpaceDE/>
              <w:autoSpaceDN/>
              <w:adjustRightInd/>
              <w:spacing w:after="0"/>
              <w:textAlignment w:val="auto"/>
              <w:rPr>
                <w:rFonts w:ascii="Arial" w:eastAsia="Calibri" w:hAnsi="Arial" w:cs="Arial"/>
                <w:b w:val="0"/>
                <w:color w:val="auto"/>
                <w:sz w:val="16"/>
                <w:szCs w:val="16"/>
                <w:u w:val="none"/>
                <w:lang w:eastAsia="en-US"/>
              </w:rPr>
            </w:pPr>
          </w:p>
        </w:tc>
        <w:tc>
          <w:tcPr>
            <w:tcW w:w="1852" w:type="dxa"/>
            <w:shd w:val="clear" w:color="auto" w:fill="auto"/>
            <w:hideMark/>
          </w:tcPr>
          <w:p w14:paraId="276B13AE"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auto"/>
                <w:sz w:val="16"/>
                <w:szCs w:val="16"/>
                <w:u w:val="none"/>
                <w:lang w:val="en-US" w:eastAsia="en-US"/>
              </w:rPr>
              <w:t xml:space="preserve">By 2022 each organisation is meeting at least 80% of all OIS milestones across all nine categories </w:t>
            </w:r>
          </w:p>
        </w:tc>
        <w:tc>
          <w:tcPr>
            <w:tcW w:w="1414" w:type="dxa"/>
            <w:shd w:val="clear" w:color="auto" w:fill="auto"/>
          </w:tcPr>
          <w:p w14:paraId="51DEBFF8"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auto"/>
                <w:sz w:val="16"/>
                <w:szCs w:val="16"/>
                <w:u w:val="none"/>
                <w:lang w:val="en-US" w:eastAsia="en-US"/>
              </w:rPr>
              <w:t>Too early to tell.</w:t>
            </w:r>
          </w:p>
        </w:tc>
      </w:tr>
      <w:tr w:rsidR="007421F9" w:rsidRPr="007421F9" w14:paraId="6F9AD800" w14:textId="77777777" w:rsidTr="007C2D67">
        <w:trPr>
          <w:trHeight w:val="20"/>
        </w:trPr>
        <w:tc>
          <w:tcPr>
            <w:tcW w:w="1787" w:type="dxa"/>
            <w:vMerge/>
            <w:shd w:val="clear" w:color="auto" w:fill="auto"/>
          </w:tcPr>
          <w:p w14:paraId="2552C963"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p>
        </w:tc>
        <w:tc>
          <w:tcPr>
            <w:tcW w:w="1776" w:type="dxa"/>
            <w:vMerge/>
            <w:shd w:val="clear" w:color="auto" w:fill="auto"/>
          </w:tcPr>
          <w:p w14:paraId="74049183"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p>
        </w:tc>
        <w:tc>
          <w:tcPr>
            <w:tcW w:w="2927" w:type="dxa"/>
            <w:shd w:val="clear" w:color="auto" w:fill="auto"/>
          </w:tcPr>
          <w:p w14:paraId="6E4F316B" w14:textId="77777777" w:rsidR="007421F9" w:rsidRPr="007421F9" w:rsidRDefault="007421F9" w:rsidP="007421F9">
            <w:pPr>
              <w:autoSpaceDE/>
              <w:autoSpaceDN/>
              <w:adjustRightInd/>
              <w:spacing w:after="0"/>
              <w:textAlignment w:val="auto"/>
              <w:rPr>
                <w:rFonts w:ascii="Arial" w:hAnsi="Arial" w:cs="Arial"/>
                <w:b w:val="0"/>
                <w:i/>
                <w:color w:val="auto"/>
                <w:sz w:val="16"/>
                <w:szCs w:val="16"/>
                <w:u w:val="none"/>
                <w:lang w:eastAsia="en-US"/>
              </w:rPr>
            </w:pPr>
            <w:r w:rsidRPr="007421F9">
              <w:rPr>
                <w:rFonts w:ascii="Arial" w:hAnsi="Arial" w:cs="Arial"/>
                <w:b w:val="0"/>
                <w:i/>
                <w:color w:val="auto"/>
                <w:sz w:val="16"/>
                <w:szCs w:val="16"/>
                <w:u w:val="none"/>
                <w:lang w:val="en-US" w:eastAsia="en-US"/>
              </w:rPr>
              <w:t>Refer to Indicators 5-8 above</w:t>
            </w:r>
          </w:p>
        </w:tc>
        <w:tc>
          <w:tcPr>
            <w:tcW w:w="1497" w:type="dxa"/>
          </w:tcPr>
          <w:p w14:paraId="6F27C630"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p>
        </w:tc>
        <w:tc>
          <w:tcPr>
            <w:tcW w:w="2184" w:type="dxa"/>
            <w:shd w:val="clear" w:color="auto" w:fill="auto"/>
          </w:tcPr>
          <w:p w14:paraId="63EB0410"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p>
        </w:tc>
        <w:tc>
          <w:tcPr>
            <w:tcW w:w="1228" w:type="dxa"/>
          </w:tcPr>
          <w:p w14:paraId="4A07D7EB"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eastAsia="en-US"/>
              </w:rPr>
            </w:pPr>
          </w:p>
        </w:tc>
        <w:tc>
          <w:tcPr>
            <w:tcW w:w="1852" w:type="dxa"/>
            <w:shd w:val="clear" w:color="auto" w:fill="auto"/>
          </w:tcPr>
          <w:p w14:paraId="29F320BF"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i/>
                <w:color w:val="auto"/>
                <w:sz w:val="16"/>
                <w:szCs w:val="16"/>
                <w:u w:val="none"/>
                <w:lang w:val="en-US" w:eastAsia="en-US"/>
              </w:rPr>
              <w:t>Refer to Indicators 5-8 above</w:t>
            </w:r>
          </w:p>
        </w:tc>
        <w:tc>
          <w:tcPr>
            <w:tcW w:w="1414" w:type="dxa"/>
            <w:shd w:val="clear" w:color="auto" w:fill="auto"/>
          </w:tcPr>
          <w:p w14:paraId="6F3C1913" w14:textId="77777777" w:rsidR="007421F9" w:rsidRPr="007421F9" w:rsidRDefault="007421F9" w:rsidP="007421F9">
            <w:pPr>
              <w:autoSpaceDE/>
              <w:autoSpaceDN/>
              <w:adjustRightInd/>
              <w:spacing w:after="0"/>
              <w:textAlignment w:val="auto"/>
              <w:rPr>
                <w:rFonts w:ascii="Arial" w:hAnsi="Arial" w:cs="Arial"/>
                <w:b w:val="0"/>
                <w:i/>
                <w:color w:val="auto"/>
                <w:sz w:val="16"/>
                <w:szCs w:val="16"/>
                <w:u w:val="none"/>
                <w:lang w:val="en-US" w:eastAsia="en-US"/>
              </w:rPr>
            </w:pPr>
          </w:p>
        </w:tc>
      </w:tr>
      <w:tr w:rsidR="007421F9" w:rsidRPr="007421F9" w14:paraId="0621325B" w14:textId="77777777" w:rsidTr="007C2D67">
        <w:trPr>
          <w:trHeight w:val="20"/>
        </w:trPr>
        <w:tc>
          <w:tcPr>
            <w:tcW w:w="1787" w:type="dxa"/>
            <w:shd w:val="clear" w:color="auto" w:fill="auto"/>
          </w:tcPr>
          <w:p w14:paraId="225D59A2"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eastAsia="en-US"/>
              </w:rPr>
            </w:pPr>
            <w:r w:rsidRPr="007421F9">
              <w:rPr>
                <w:rFonts w:ascii="Arial" w:hAnsi="Arial" w:cs="Arial"/>
                <w:b w:val="0"/>
                <w:color w:val="auto"/>
                <w:sz w:val="16"/>
                <w:szCs w:val="16"/>
                <w:u w:val="none"/>
                <w:lang w:eastAsia="en-US"/>
              </w:rPr>
              <w:t>3.4 To what extent is the CBA approach likely to be replicable in the context of Timor-Leste?</w:t>
            </w:r>
          </w:p>
        </w:tc>
        <w:tc>
          <w:tcPr>
            <w:tcW w:w="1776" w:type="dxa"/>
            <w:shd w:val="clear" w:color="auto" w:fill="auto"/>
          </w:tcPr>
          <w:p w14:paraId="72446966"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p>
        </w:tc>
        <w:tc>
          <w:tcPr>
            <w:tcW w:w="2927" w:type="dxa"/>
            <w:shd w:val="clear" w:color="auto" w:fill="auto"/>
          </w:tcPr>
          <w:p w14:paraId="458C6E2F" w14:textId="77777777" w:rsidR="007421F9" w:rsidRPr="007421F9" w:rsidDel="00627E75" w:rsidRDefault="007421F9" w:rsidP="007421F9">
            <w:pPr>
              <w:numPr>
                <w:ilvl w:val="0"/>
                <w:numId w:val="39"/>
              </w:numPr>
              <w:autoSpaceDE/>
              <w:autoSpaceDN/>
              <w:adjustRightInd/>
              <w:spacing w:after="0"/>
              <w:contextualSpacing/>
              <w:textAlignment w:val="auto"/>
              <w:rPr>
                <w:rFonts w:ascii="Arial" w:hAnsi="Arial" w:cs="Arial"/>
                <w:b w:val="0"/>
                <w:i/>
                <w:color w:val="auto"/>
                <w:sz w:val="16"/>
                <w:szCs w:val="16"/>
                <w:u w:val="none"/>
                <w:lang w:val="en-US" w:eastAsia="ja-JP"/>
              </w:rPr>
            </w:pPr>
            <w:r w:rsidRPr="007421F9">
              <w:rPr>
                <w:rFonts w:ascii="Arial" w:hAnsi="Arial" w:cs="Arial"/>
                <w:b w:val="0"/>
                <w:color w:val="auto"/>
                <w:sz w:val="16"/>
                <w:szCs w:val="16"/>
                <w:u w:val="none"/>
                <w:lang w:val="en-US" w:eastAsia="ja-JP"/>
              </w:rPr>
              <w:t>Stakeholder perceptions of appropriateness of the CBA approach in the context of Timor-Leste</w:t>
            </w:r>
          </w:p>
        </w:tc>
        <w:tc>
          <w:tcPr>
            <w:tcW w:w="1497" w:type="dxa"/>
          </w:tcPr>
          <w:p w14:paraId="376BCBEE"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p>
        </w:tc>
        <w:tc>
          <w:tcPr>
            <w:tcW w:w="2184" w:type="dxa"/>
            <w:shd w:val="clear" w:color="auto" w:fill="auto"/>
          </w:tcPr>
          <w:p w14:paraId="3D7B2E8C"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auto"/>
                <w:sz w:val="16"/>
                <w:szCs w:val="16"/>
                <w:u w:val="none"/>
                <w:lang w:val="en-US" w:eastAsia="en-US"/>
              </w:rPr>
              <w:t> </w:t>
            </w:r>
          </w:p>
        </w:tc>
        <w:tc>
          <w:tcPr>
            <w:tcW w:w="1228" w:type="dxa"/>
          </w:tcPr>
          <w:p w14:paraId="39B57678"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eastAsia="en-US"/>
              </w:rPr>
            </w:pPr>
          </w:p>
        </w:tc>
        <w:tc>
          <w:tcPr>
            <w:tcW w:w="1852" w:type="dxa"/>
            <w:shd w:val="clear" w:color="auto" w:fill="auto"/>
          </w:tcPr>
          <w:p w14:paraId="018EA99F"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auto"/>
                <w:sz w:val="16"/>
                <w:szCs w:val="16"/>
                <w:u w:val="none"/>
                <w:lang w:val="en-US" w:eastAsia="en-US"/>
              </w:rPr>
              <w:t>N/A</w:t>
            </w:r>
          </w:p>
        </w:tc>
        <w:tc>
          <w:tcPr>
            <w:tcW w:w="1414" w:type="dxa"/>
            <w:shd w:val="clear" w:color="auto" w:fill="auto"/>
          </w:tcPr>
          <w:p w14:paraId="590DEBF0"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auto"/>
                <w:sz w:val="16"/>
                <w:szCs w:val="16"/>
                <w:u w:val="none"/>
                <w:lang w:val="en-US" w:eastAsia="en-US"/>
              </w:rPr>
              <w:t>Too early to tell.</w:t>
            </w:r>
          </w:p>
        </w:tc>
      </w:tr>
      <w:tr w:rsidR="007421F9" w:rsidRPr="007421F9" w14:paraId="701A52AA" w14:textId="77777777" w:rsidTr="007C2D67">
        <w:trPr>
          <w:trHeight w:val="20"/>
        </w:trPr>
        <w:tc>
          <w:tcPr>
            <w:tcW w:w="1787" w:type="dxa"/>
            <w:shd w:val="clear" w:color="auto" w:fill="auto"/>
            <w:hideMark/>
          </w:tcPr>
          <w:p w14:paraId="429575AB" w14:textId="77777777" w:rsidR="007421F9" w:rsidRPr="007421F9" w:rsidRDefault="007421F9" w:rsidP="007421F9">
            <w:pPr>
              <w:autoSpaceDE/>
              <w:autoSpaceDN/>
              <w:adjustRightInd/>
              <w:spacing w:after="0"/>
              <w:textAlignment w:val="auto"/>
              <w:rPr>
                <w:rFonts w:ascii="Arial" w:hAnsi="Arial" w:cs="Arial"/>
                <w:color w:val="auto"/>
                <w:sz w:val="16"/>
                <w:szCs w:val="16"/>
                <w:u w:val="none"/>
                <w:lang w:val="en-US" w:eastAsia="en-US"/>
              </w:rPr>
            </w:pPr>
            <w:r w:rsidRPr="007421F9">
              <w:rPr>
                <w:rFonts w:ascii="Arial" w:hAnsi="Arial" w:cs="Arial"/>
                <w:color w:val="auto"/>
                <w:sz w:val="16"/>
                <w:szCs w:val="16"/>
                <w:u w:val="none"/>
                <w:lang w:val="en-US" w:eastAsia="en-US"/>
              </w:rPr>
              <w:t>KEQ 4 Are there indications that the Nabilan programming model has contributed, or could contribute, to changing social norms relating to VAWC in Timor-Leste?</w:t>
            </w:r>
          </w:p>
        </w:tc>
        <w:tc>
          <w:tcPr>
            <w:tcW w:w="1776" w:type="dxa"/>
            <w:shd w:val="clear" w:color="auto" w:fill="auto"/>
          </w:tcPr>
          <w:p w14:paraId="7AD00C31"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auto"/>
                <w:sz w:val="16"/>
                <w:szCs w:val="16"/>
                <w:u w:val="none"/>
                <w:lang w:val="en-US" w:eastAsia="en-US"/>
              </w:rPr>
              <w:t>Principle: Appropriateness</w:t>
            </w:r>
          </w:p>
          <w:p w14:paraId="1A70A34C"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p>
          <w:p w14:paraId="6E3558DF"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p>
        </w:tc>
        <w:tc>
          <w:tcPr>
            <w:tcW w:w="2927" w:type="dxa"/>
            <w:shd w:val="clear" w:color="auto" w:fill="auto"/>
            <w:hideMark/>
          </w:tcPr>
          <w:p w14:paraId="0F9F610B"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i/>
                <w:color w:val="auto"/>
                <w:sz w:val="16"/>
                <w:szCs w:val="16"/>
                <w:u w:val="none"/>
                <w:lang w:val="en-US" w:eastAsia="en-US"/>
              </w:rPr>
              <w:t>Addressing KEQ4 and its sub-questions will be a key focus of the mid-term review. To answer these questions, the mid-term review will synthesise data from a range of sources, including key informant interviews, reviews of existing documents and literature, existing data collected to answer KEQs 1 and 2. The Nabilan Endline survey will provide additional data against this KEQ.</w:t>
            </w:r>
          </w:p>
          <w:p w14:paraId="705AAA8D"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p>
          <w:p w14:paraId="614DCEF8"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p>
        </w:tc>
        <w:tc>
          <w:tcPr>
            <w:tcW w:w="1497" w:type="dxa"/>
          </w:tcPr>
          <w:p w14:paraId="0109E1BB"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p>
        </w:tc>
        <w:tc>
          <w:tcPr>
            <w:tcW w:w="2184" w:type="dxa"/>
            <w:shd w:val="clear" w:color="auto" w:fill="auto"/>
            <w:hideMark/>
          </w:tcPr>
          <w:p w14:paraId="73256A0B"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auto"/>
                <w:sz w:val="16"/>
                <w:szCs w:val="16"/>
                <w:u w:val="none"/>
                <w:lang w:val="en-US" w:eastAsia="en-US"/>
              </w:rPr>
              <w:t> </w:t>
            </w:r>
          </w:p>
          <w:p w14:paraId="7D622127"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auto"/>
                <w:sz w:val="16"/>
                <w:szCs w:val="16"/>
                <w:u w:val="none"/>
                <w:lang w:val="en-US" w:eastAsia="en-US"/>
              </w:rPr>
              <w:t> </w:t>
            </w:r>
          </w:p>
          <w:p w14:paraId="389ED5F8"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auto"/>
                <w:sz w:val="16"/>
                <w:szCs w:val="16"/>
                <w:u w:val="none"/>
                <w:lang w:val="en-US" w:eastAsia="en-US"/>
              </w:rPr>
              <w:t> </w:t>
            </w:r>
          </w:p>
        </w:tc>
        <w:tc>
          <w:tcPr>
            <w:tcW w:w="1228" w:type="dxa"/>
          </w:tcPr>
          <w:p w14:paraId="40836E39"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eastAsia="en-US"/>
              </w:rPr>
            </w:pPr>
          </w:p>
        </w:tc>
        <w:tc>
          <w:tcPr>
            <w:tcW w:w="1852" w:type="dxa"/>
            <w:shd w:val="clear" w:color="auto" w:fill="auto"/>
            <w:hideMark/>
          </w:tcPr>
          <w:p w14:paraId="0D286677"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auto"/>
                <w:sz w:val="16"/>
                <w:szCs w:val="16"/>
                <w:u w:val="none"/>
                <w:lang w:val="en-US" w:eastAsia="en-US"/>
              </w:rPr>
              <w:t> N/A</w:t>
            </w:r>
          </w:p>
          <w:p w14:paraId="61EF89F7"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auto"/>
                <w:sz w:val="16"/>
                <w:szCs w:val="16"/>
                <w:u w:val="none"/>
                <w:lang w:val="en-US" w:eastAsia="en-US"/>
              </w:rPr>
              <w:t> </w:t>
            </w:r>
          </w:p>
          <w:p w14:paraId="3D8CC569"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auto"/>
                <w:sz w:val="16"/>
                <w:szCs w:val="16"/>
                <w:u w:val="none"/>
                <w:lang w:val="en-US" w:eastAsia="en-US"/>
              </w:rPr>
              <w:t> </w:t>
            </w:r>
          </w:p>
        </w:tc>
        <w:tc>
          <w:tcPr>
            <w:tcW w:w="1414" w:type="dxa"/>
            <w:shd w:val="clear" w:color="auto" w:fill="auto"/>
          </w:tcPr>
          <w:p w14:paraId="5C7E3093" w14:textId="77777777" w:rsidR="007421F9" w:rsidRPr="007421F9" w:rsidRDefault="007421F9" w:rsidP="007421F9">
            <w:pPr>
              <w:autoSpaceDE/>
              <w:autoSpaceDN/>
              <w:adjustRightInd/>
              <w:spacing w:after="0"/>
              <w:textAlignment w:val="auto"/>
              <w:rPr>
                <w:rFonts w:ascii="Arial" w:hAnsi="Arial" w:cs="Arial"/>
                <w:b w:val="0"/>
                <w:color w:val="auto"/>
                <w:sz w:val="16"/>
                <w:szCs w:val="16"/>
                <w:u w:val="none"/>
                <w:lang w:val="en-US" w:eastAsia="en-US"/>
              </w:rPr>
            </w:pPr>
            <w:r w:rsidRPr="007421F9">
              <w:rPr>
                <w:rFonts w:ascii="Arial" w:hAnsi="Arial" w:cs="Arial"/>
                <w:b w:val="0"/>
                <w:color w:val="auto"/>
                <w:sz w:val="16"/>
                <w:szCs w:val="16"/>
                <w:u w:val="none"/>
                <w:lang w:val="en-US" w:eastAsia="en-US"/>
              </w:rPr>
              <w:t>Too early to tell.</w:t>
            </w:r>
          </w:p>
        </w:tc>
      </w:tr>
    </w:tbl>
    <w:p w14:paraId="3CE226BD" w14:textId="77777777" w:rsidR="007421F9" w:rsidRPr="007421F9" w:rsidRDefault="007421F9" w:rsidP="007421F9">
      <w:pPr>
        <w:autoSpaceDE/>
        <w:autoSpaceDN/>
        <w:adjustRightInd/>
        <w:spacing w:after="0"/>
        <w:textAlignment w:val="auto"/>
        <w:rPr>
          <w:rFonts w:ascii="Arial" w:eastAsia="Calibri" w:hAnsi="Arial" w:cs="Arial"/>
          <w:b w:val="0"/>
          <w:color w:val="auto"/>
          <w:sz w:val="24"/>
          <w:szCs w:val="24"/>
          <w:u w:val="none"/>
          <w:lang w:eastAsia="en-US"/>
        </w:rPr>
      </w:pPr>
    </w:p>
    <w:p w14:paraId="4AF4F88D" w14:textId="77777777" w:rsidR="007421F9" w:rsidRPr="007421F9" w:rsidRDefault="007421F9" w:rsidP="007421F9">
      <w:pPr>
        <w:autoSpaceDE/>
        <w:autoSpaceDN/>
        <w:adjustRightInd/>
        <w:spacing w:after="0"/>
        <w:textAlignment w:val="auto"/>
        <w:rPr>
          <w:rFonts w:ascii="Arial" w:eastAsia="Calibri" w:hAnsi="Arial" w:cs="Arial"/>
          <w:b w:val="0"/>
          <w:color w:val="auto"/>
          <w:sz w:val="24"/>
          <w:szCs w:val="24"/>
          <w:u w:val="none"/>
          <w:lang w:eastAsia="en-US"/>
        </w:rPr>
      </w:pPr>
    </w:p>
    <w:p w14:paraId="6A26FAFC" w14:textId="77777777" w:rsidR="00333F4A" w:rsidRDefault="00333F4A" w:rsidP="00447313">
      <w:pPr>
        <w:spacing w:line="288" w:lineRule="auto"/>
        <w:jc w:val="both"/>
        <w:rPr>
          <w:rFonts w:ascii="Calibri" w:hAnsi="Calibri" w:cs="Calibri"/>
          <w:bCs/>
          <w:color w:val="822B6A"/>
          <w:kern w:val="32"/>
          <w:sz w:val="28"/>
          <w:szCs w:val="28"/>
          <w:u w:val="none"/>
        </w:rPr>
      </w:pPr>
    </w:p>
    <w:p w14:paraId="4300CF46" w14:textId="77777777" w:rsidR="00333F4A" w:rsidRDefault="00333F4A" w:rsidP="00447313">
      <w:pPr>
        <w:spacing w:line="288" w:lineRule="auto"/>
        <w:jc w:val="both"/>
        <w:rPr>
          <w:rFonts w:ascii="Calibri" w:hAnsi="Calibri" w:cs="Calibri"/>
          <w:bCs/>
          <w:color w:val="822B6A"/>
          <w:kern w:val="32"/>
          <w:sz w:val="28"/>
          <w:szCs w:val="28"/>
          <w:u w:val="none"/>
        </w:rPr>
      </w:pPr>
    </w:p>
    <w:p w14:paraId="708D6808" w14:textId="77777777" w:rsidR="00333F4A" w:rsidRPr="00705BD3" w:rsidRDefault="00333F4A" w:rsidP="00447313">
      <w:pPr>
        <w:spacing w:line="288" w:lineRule="auto"/>
        <w:jc w:val="both"/>
        <w:rPr>
          <w:rFonts w:ascii="Calibri" w:hAnsi="Calibri" w:cs="Calibri"/>
          <w:bCs/>
          <w:color w:val="822B6A"/>
          <w:kern w:val="32"/>
          <w:sz w:val="28"/>
          <w:szCs w:val="28"/>
          <w:u w:val="none"/>
        </w:rPr>
      </w:pPr>
    </w:p>
    <w:p w14:paraId="3F6D08BC" w14:textId="54F4E2F8" w:rsidR="00E1032F" w:rsidRDefault="00E1032F" w:rsidP="00447313">
      <w:pPr>
        <w:spacing w:line="288" w:lineRule="auto"/>
        <w:jc w:val="both"/>
        <w:rPr>
          <w:rFonts w:asciiTheme="minorHAnsi" w:hAnsiTheme="minorHAnsi" w:cstheme="minorHAnsi"/>
          <w:lang w:eastAsia="en-US"/>
        </w:rPr>
      </w:pPr>
    </w:p>
    <w:p w14:paraId="51B439A8" w14:textId="0A14BBA6" w:rsidR="00E1032F" w:rsidRDefault="00E1032F" w:rsidP="00447313">
      <w:pPr>
        <w:spacing w:line="288" w:lineRule="auto"/>
        <w:jc w:val="both"/>
        <w:rPr>
          <w:rFonts w:asciiTheme="minorHAnsi" w:hAnsiTheme="minorHAnsi" w:cstheme="minorHAnsi"/>
          <w:lang w:eastAsia="en-US"/>
        </w:rPr>
      </w:pPr>
    </w:p>
    <w:p w14:paraId="586F8C12" w14:textId="4A5D744B" w:rsidR="00E1032F" w:rsidRDefault="00E1032F" w:rsidP="00447313">
      <w:pPr>
        <w:spacing w:line="288" w:lineRule="auto"/>
        <w:jc w:val="both"/>
        <w:rPr>
          <w:rFonts w:asciiTheme="minorHAnsi" w:hAnsiTheme="minorHAnsi" w:cstheme="minorHAnsi"/>
          <w:lang w:eastAsia="en-US"/>
        </w:rPr>
      </w:pPr>
    </w:p>
    <w:p w14:paraId="75C69671" w14:textId="77777777" w:rsidR="00EE709B" w:rsidRDefault="00EE709B" w:rsidP="00447313">
      <w:pPr>
        <w:spacing w:line="288" w:lineRule="auto"/>
        <w:jc w:val="both"/>
        <w:rPr>
          <w:rFonts w:asciiTheme="minorHAnsi" w:hAnsiTheme="minorHAnsi" w:cstheme="minorHAnsi"/>
          <w:lang w:eastAsia="en-US"/>
        </w:rPr>
        <w:sectPr w:rsidR="00EE709B" w:rsidSect="0058631F">
          <w:endnotePr>
            <w:numFmt w:val="decimal"/>
          </w:endnotePr>
          <w:pgSz w:w="16838" w:h="11906" w:orient="landscape" w:code="9"/>
          <w:pgMar w:top="1418" w:right="1418" w:bottom="1133" w:left="1135" w:header="709" w:footer="624" w:gutter="0"/>
          <w:cols w:space="567"/>
          <w:docGrid w:linePitch="360"/>
        </w:sectPr>
      </w:pPr>
    </w:p>
    <w:p w14:paraId="6411DFD7" w14:textId="77777777" w:rsidR="00EE709B" w:rsidRPr="00EE709B" w:rsidRDefault="00EE709B" w:rsidP="00447313">
      <w:pPr>
        <w:spacing w:line="288" w:lineRule="auto"/>
        <w:jc w:val="both"/>
        <w:rPr>
          <w:rFonts w:ascii="Calibri" w:hAnsi="Calibri" w:cs="Calibri"/>
          <w:bCs/>
          <w:color w:val="822B6A"/>
          <w:kern w:val="32"/>
          <w:sz w:val="28"/>
          <w:szCs w:val="28"/>
          <w:u w:val="none"/>
        </w:rPr>
      </w:pPr>
      <w:r w:rsidRPr="00EE709B">
        <w:rPr>
          <w:rFonts w:ascii="Calibri" w:hAnsi="Calibri" w:cs="Calibri"/>
          <w:bCs/>
          <w:color w:val="822B6A"/>
          <w:kern w:val="32"/>
          <w:sz w:val="28"/>
          <w:szCs w:val="28"/>
          <w:u w:val="none"/>
        </w:rPr>
        <w:t>Annex 3 Grant Summary Table</w:t>
      </w:r>
    </w:p>
    <w:tbl>
      <w:tblPr>
        <w:tblW w:w="9953" w:type="dxa"/>
        <w:tblBorders>
          <w:top w:val="single" w:sz="4" w:space="0" w:color="69A2B0"/>
          <w:left w:val="single" w:sz="4" w:space="0" w:color="69A2B0"/>
          <w:bottom w:val="single" w:sz="4" w:space="0" w:color="69A2B0"/>
          <w:right w:val="single" w:sz="4" w:space="0" w:color="69A2B0"/>
          <w:insideH w:val="single" w:sz="4" w:space="0" w:color="69A2B0"/>
          <w:insideV w:val="single" w:sz="4" w:space="0" w:color="69A2B0"/>
        </w:tblBorders>
        <w:tblLook w:val="04A0" w:firstRow="1" w:lastRow="0" w:firstColumn="1" w:lastColumn="0" w:noHBand="0" w:noVBand="1"/>
      </w:tblPr>
      <w:tblGrid>
        <w:gridCol w:w="2487"/>
        <w:gridCol w:w="752"/>
        <w:gridCol w:w="1736"/>
        <w:gridCol w:w="2488"/>
        <w:gridCol w:w="2490"/>
      </w:tblGrid>
      <w:tr w:rsidR="00E04A94" w:rsidRPr="003B1DE6" w14:paraId="509D9082" w14:textId="77777777" w:rsidTr="0021017B">
        <w:trPr>
          <w:trHeight w:val="491"/>
        </w:trPr>
        <w:tc>
          <w:tcPr>
            <w:tcW w:w="3239" w:type="dxa"/>
            <w:gridSpan w:val="2"/>
            <w:shd w:val="clear" w:color="auto" w:fill="69A2B0"/>
            <w:noWrap/>
            <w:vAlign w:val="center"/>
            <w:hideMark/>
          </w:tcPr>
          <w:p w14:paraId="2C5DBC8E" w14:textId="77777777" w:rsidR="00E04A94" w:rsidRPr="003B1DE6" w:rsidRDefault="00E04A94" w:rsidP="00447313">
            <w:pPr>
              <w:autoSpaceDE/>
              <w:autoSpaceDN/>
              <w:adjustRightInd/>
              <w:spacing w:after="0"/>
              <w:jc w:val="both"/>
              <w:textAlignment w:val="auto"/>
              <w:rPr>
                <w:rFonts w:asciiTheme="minorHAnsi" w:hAnsiTheme="minorHAnsi" w:cstheme="minorHAnsi"/>
                <w:color w:val="FFFFFF" w:themeColor="background1"/>
                <w:sz w:val="20"/>
                <w:szCs w:val="20"/>
                <w:u w:val="none"/>
                <w:lang w:val="en-US" w:eastAsia="en-US"/>
              </w:rPr>
            </w:pPr>
            <w:r w:rsidRPr="003B1DE6">
              <w:rPr>
                <w:rFonts w:asciiTheme="minorHAnsi" w:hAnsiTheme="minorHAnsi" w:cstheme="minorHAnsi"/>
                <w:color w:val="FFFFFF" w:themeColor="background1"/>
                <w:sz w:val="20"/>
                <w:szCs w:val="20"/>
                <w:u w:val="none"/>
                <w:lang w:val="en-US" w:eastAsia="en-US"/>
              </w:rPr>
              <w:t>Partner</w:t>
            </w:r>
          </w:p>
        </w:tc>
        <w:tc>
          <w:tcPr>
            <w:tcW w:w="6714" w:type="dxa"/>
            <w:gridSpan w:val="3"/>
            <w:shd w:val="clear" w:color="auto" w:fill="69A2B0"/>
            <w:noWrap/>
            <w:vAlign w:val="center"/>
            <w:hideMark/>
          </w:tcPr>
          <w:p w14:paraId="2317517B" w14:textId="2D3A8AD6" w:rsidR="00E04A94" w:rsidRPr="003B1DE6" w:rsidRDefault="00E04A94" w:rsidP="00447313">
            <w:pPr>
              <w:autoSpaceDE/>
              <w:autoSpaceDN/>
              <w:adjustRightInd/>
              <w:spacing w:after="0"/>
              <w:jc w:val="both"/>
              <w:textAlignment w:val="auto"/>
              <w:rPr>
                <w:rFonts w:asciiTheme="minorHAnsi" w:hAnsiTheme="minorHAnsi" w:cstheme="minorHAnsi"/>
                <w:color w:val="FFFFFF" w:themeColor="background1"/>
                <w:sz w:val="20"/>
                <w:szCs w:val="20"/>
                <w:u w:val="none"/>
                <w:lang w:val="en-US" w:eastAsia="en-US"/>
              </w:rPr>
            </w:pPr>
            <w:r w:rsidRPr="003B1DE6">
              <w:rPr>
                <w:rFonts w:asciiTheme="minorHAnsi" w:hAnsiTheme="minorHAnsi" w:cstheme="minorHAnsi"/>
                <w:color w:val="FFFFFF" w:themeColor="background1"/>
                <w:sz w:val="20"/>
                <w:szCs w:val="20"/>
                <w:u w:val="none"/>
                <w:lang w:val="en-US" w:eastAsia="en-US"/>
              </w:rPr>
              <w:t>Actual Grant Disbursed</w:t>
            </w:r>
            <w:r w:rsidR="005A63F2" w:rsidRPr="003B1DE6">
              <w:rPr>
                <w:rFonts w:asciiTheme="minorHAnsi" w:hAnsiTheme="minorHAnsi" w:cstheme="minorHAnsi"/>
                <w:color w:val="FFFFFF" w:themeColor="background1"/>
                <w:sz w:val="20"/>
                <w:szCs w:val="20"/>
                <w:u w:val="none"/>
                <w:lang w:val="en-US" w:eastAsia="en-US"/>
              </w:rPr>
              <w:t xml:space="preserve"> in </w:t>
            </w:r>
            <w:r w:rsidR="00060116" w:rsidRPr="003B1DE6">
              <w:rPr>
                <w:rFonts w:asciiTheme="minorHAnsi" w:hAnsiTheme="minorHAnsi" w:cstheme="minorHAnsi"/>
                <w:color w:val="FFFFFF" w:themeColor="background1"/>
                <w:sz w:val="20"/>
                <w:szCs w:val="20"/>
                <w:u w:val="none"/>
                <w:lang w:val="en-US" w:eastAsia="en-US"/>
              </w:rPr>
              <w:t>$</w:t>
            </w:r>
            <w:r w:rsidR="005A63F2" w:rsidRPr="003B1DE6">
              <w:rPr>
                <w:rFonts w:asciiTheme="minorHAnsi" w:hAnsiTheme="minorHAnsi" w:cstheme="minorHAnsi"/>
                <w:color w:val="FFFFFF" w:themeColor="background1"/>
                <w:sz w:val="20"/>
                <w:szCs w:val="20"/>
                <w:u w:val="none"/>
                <w:lang w:val="en-US" w:eastAsia="en-US"/>
              </w:rPr>
              <w:t>US</w:t>
            </w:r>
          </w:p>
        </w:tc>
      </w:tr>
      <w:tr w:rsidR="00337FD9" w:rsidRPr="003B1DE6" w14:paraId="14A1E19B" w14:textId="77777777" w:rsidTr="0021017B">
        <w:trPr>
          <w:trHeight w:val="491"/>
        </w:trPr>
        <w:tc>
          <w:tcPr>
            <w:tcW w:w="2487" w:type="dxa"/>
            <w:shd w:val="clear" w:color="auto" w:fill="69A2B0"/>
            <w:noWrap/>
            <w:vAlign w:val="center"/>
          </w:tcPr>
          <w:p w14:paraId="768C8298" w14:textId="77777777" w:rsidR="00337FD9" w:rsidRPr="003B1DE6" w:rsidRDefault="00337FD9" w:rsidP="00447313">
            <w:pPr>
              <w:spacing w:after="0"/>
              <w:jc w:val="both"/>
              <w:rPr>
                <w:rFonts w:asciiTheme="minorHAnsi" w:hAnsiTheme="minorHAnsi" w:cstheme="minorHAnsi"/>
                <w:b w:val="0"/>
                <w:color w:val="FFFFFF" w:themeColor="background1"/>
                <w:sz w:val="20"/>
                <w:szCs w:val="20"/>
                <w:u w:val="none"/>
                <w:lang w:val="en-US" w:eastAsia="en-US"/>
              </w:rPr>
            </w:pPr>
          </w:p>
        </w:tc>
        <w:tc>
          <w:tcPr>
            <w:tcW w:w="2488" w:type="dxa"/>
            <w:gridSpan w:val="2"/>
            <w:shd w:val="clear" w:color="auto" w:fill="69A2B0"/>
            <w:noWrap/>
            <w:vAlign w:val="center"/>
          </w:tcPr>
          <w:p w14:paraId="406B1523" w14:textId="53899180" w:rsidR="00337FD9" w:rsidRPr="003B1DE6" w:rsidRDefault="00337FD9" w:rsidP="00447313">
            <w:pPr>
              <w:spacing w:after="0"/>
              <w:jc w:val="both"/>
              <w:rPr>
                <w:rFonts w:asciiTheme="minorHAnsi" w:hAnsiTheme="minorHAnsi" w:cstheme="minorHAnsi"/>
                <w:b w:val="0"/>
                <w:color w:val="FFFFFF" w:themeColor="background1"/>
                <w:sz w:val="20"/>
                <w:szCs w:val="20"/>
                <w:u w:val="none"/>
                <w:lang w:val="en-US" w:eastAsia="en-US"/>
              </w:rPr>
            </w:pPr>
            <w:r w:rsidRPr="003B1DE6">
              <w:rPr>
                <w:rFonts w:asciiTheme="minorHAnsi" w:hAnsiTheme="minorHAnsi" w:cstheme="minorHAnsi"/>
                <w:b w:val="0"/>
                <w:color w:val="FFFFFF" w:themeColor="background1"/>
                <w:sz w:val="20"/>
                <w:szCs w:val="20"/>
                <w:u w:val="none"/>
                <w:lang w:val="en-US" w:eastAsia="en-US"/>
              </w:rPr>
              <w:t>Jan - June 2018</w:t>
            </w:r>
          </w:p>
        </w:tc>
        <w:tc>
          <w:tcPr>
            <w:tcW w:w="2488" w:type="dxa"/>
            <w:shd w:val="clear" w:color="auto" w:fill="69A2B0"/>
            <w:vAlign w:val="center"/>
          </w:tcPr>
          <w:p w14:paraId="5E1149D7" w14:textId="4F3FDDBC" w:rsidR="00337FD9" w:rsidRPr="003B1DE6" w:rsidRDefault="00337FD9" w:rsidP="00447313">
            <w:pPr>
              <w:spacing w:after="0"/>
              <w:jc w:val="both"/>
              <w:rPr>
                <w:rFonts w:asciiTheme="minorHAnsi" w:hAnsiTheme="minorHAnsi" w:cstheme="minorHAnsi"/>
                <w:b w:val="0"/>
                <w:color w:val="FFFFFF" w:themeColor="background1"/>
                <w:sz w:val="20"/>
                <w:szCs w:val="20"/>
                <w:u w:val="none"/>
                <w:lang w:val="en-US" w:eastAsia="en-US"/>
              </w:rPr>
            </w:pPr>
            <w:r w:rsidRPr="003B1DE6">
              <w:rPr>
                <w:rFonts w:asciiTheme="minorHAnsi" w:hAnsiTheme="minorHAnsi" w:cstheme="minorHAnsi"/>
                <w:b w:val="0"/>
                <w:color w:val="FFFFFF" w:themeColor="background1"/>
                <w:sz w:val="20"/>
                <w:szCs w:val="20"/>
                <w:u w:val="none"/>
                <w:lang w:val="en-US" w:eastAsia="en-US"/>
              </w:rPr>
              <w:t>July - Dec 2018</w:t>
            </w:r>
          </w:p>
        </w:tc>
        <w:tc>
          <w:tcPr>
            <w:tcW w:w="2488" w:type="dxa"/>
            <w:shd w:val="clear" w:color="auto" w:fill="69A2B0"/>
            <w:vAlign w:val="center"/>
          </w:tcPr>
          <w:p w14:paraId="077AFF54" w14:textId="51C5AB19" w:rsidR="00337FD9" w:rsidRPr="003B1DE6" w:rsidRDefault="00337FD9" w:rsidP="00447313">
            <w:pPr>
              <w:spacing w:after="0"/>
              <w:jc w:val="both"/>
              <w:rPr>
                <w:rFonts w:asciiTheme="minorHAnsi" w:hAnsiTheme="minorHAnsi" w:cstheme="minorHAnsi"/>
                <w:b w:val="0"/>
                <w:color w:val="FFFFFF" w:themeColor="background1"/>
                <w:sz w:val="20"/>
                <w:szCs w:val="20"/>
                <w:u w:val="none"/>
                <w:lang w:val="en-US" w:eastAsia="en-US"/>
              </w:rPr>
            </w:pPr>
            <w:r w:rsidRPr="003B1DE6">
              <w:rPr>
                <w:rFonts w:asciiTheme="minorHAnsi" w:hAnsiTheme="minorHAnsi" w:cstheme="minorHAnsi"/>
                <w:b w:val="0"/>
                <w:color w:val="FFFFFF" w:themeColor="background1"/>
                <w:sz w:val="20"/>
                <w:szCs w:val="20"/>
                <w:u w:val="none"/>
                <w:lang w:val="en-US" w:eastAsia="en-US"/>
              </w:rPr>
              <w:t>Total</w:t>
            </w:r>
            <w:r w:rsidR="00E04A94" w:rsidRPr="003B1DE6">
              <w:rPr>
                <w:rFonts w:asciiTheme="minorHAnsi" w:hAnsiTheme="minorHAnsi" w:cstheme="minorHAnsi"/>
                <w:b w:val="0"/>
                <w:color w:val="FFFFFF" w:themeColor="background1"/>
                <w:sz w:val="20"/>
                <w:szCs w:val="20"/>
                <w:u w:val="none"/>
                <w:lang w:val="en-US" w:eastAsia="en-US"/>
              </w:rPr>
              <w:t>:</w:t>
            </w:r>
            <w:r w:rsidRPr="003B1DE6">
              <w:rPr>
                <w:rFonts w:asciiTheme="minorHAnsi" w:hAnsiTheme="minorHAnsi" w:cstheme="minorHAnsi"/>
                <w:b w:val="0"/>
                <w:color w:val="FFFFFF" w:themeColor="background1"/>
                <w:sz w:val="20"/>
                <w:szCs w:val="20"/>
                <w:u w:val="none"/>
                <w:lang w:val="en-US" w:eastAsia="en-US"/>
              </w:rPr>
              <w:t xml:space="preserve"> Jan </w:t>
            </w:r>
            <w:r w:rsidR="00E04A94" w:rsidRPr="003B1DE6">
              <w:rPr>
                <w:rFonts w:asciiTheme="minorHAnsi" w:hAnsiTheme="minorHAnsi" w:cstheme="minorHAnsi"/>
                <w:b w:val="0"/>
                <w:color w:val="FFFFFF" w:themeColor="background1"/>
                <w:sz w:val="20"/>
                <w:szCs w:val="20"/>
                <w:u w:val="none"/>
                <w:lang w:val="en-US" w:eastAsia="en-US"/>
              </w:rPr>
              <w:t>–</w:t>
            </w:r>
            <w:r w:rsidRPr="003B1DE6">
              <w:rPr>
                <w:rFonts w:asciiTheme="minorHAnsi" w:hAnsiTheme="minorHAnsi" w:cstheme="minorHAnsi"/>
                <w:b w:val="0"/>
                <w:color w:val="FFFFFF" w:themeColor="background1"/>
                <w:sz w:val="20"/>
                <w:szCs w:val="20"/>
                <w:u w:val="none"/>
                <w:lang w:val="en-US" w:eastAsia="en-US"/>
              </w:rPr>
              <w:t xml:space="preserve"> De</w:t>
            </w:r>
            <w:r w:rsidR="00E04A94" w:rsidRPr="003B1DE6">
              <w:rPr>
                <w:rFonts w:asciiTheme="minorHAnsi" w:hAnsiTheme="minorHAnsi" w:cstheme="minorHAnsi"/>
                <w:b w:val="0"/>
                <w:color w:val="FFFFFF" w:themeColor="background1"/>
                <w:sz w:val="20"/>
                <w:szCs w:val="20"/>
                <w:u w:val="none"/>
                <w:lang w:val="en-US" w:eastAsia="en-US"/>
              </w:rPr>
              <w:t xml:space="preserve">c </w:t>
            </w:r>
            <w:r w:rsidRPr="003B1DE6">
              <w:rPr>
                <w:rFonts w:asciiTheme="minorHAnsi" w:hAnsiTheme="minorHAnsi" w:cstheme="minorHAnsi"/>
                <w:b w:val="0"/>
                <w:color w:val="FFFFFF" w:themeColor="background1"/>
                <w:sz w:val="20"/>
                <w:szCs w:val="20"/>
                <w:u w:val="none"/>
                <w:lang w:val="en-US" w:eastAsia="en-US"/>
              </w:rPr>
              <w:t>2018</w:t>
            </w:r>
          </w:p>
        </w:tc>
      </w:tr>
      <w:tr w:rsidR="00337FD9" w:rsidRPr="003B1DE6" w14:paraId="7186B7D0" w14:textId="77777777" w:rsidTr="0021017B">
        <w:trPr>
          <w:trHeight w:val="491"/>
        </w:trPr>
        <w:tc>
          <w:tcPr>
            <w:tcW w:w="2487" w:type="dxa"/>
            <w:shd w:val="clear" w:color="auto" w:fill="auto"/>
            <w:noWrap/>
            <w:vAlign w:val="center"/>
            <w:hideMark/>
          </w:tcPr>
          <w:p w14:paraId="5E0E2962" w14:textId="6B63AD94" w:rsidR="00337FD9" w:rsidRPr="003B1DE6" w:rsidRDefault="00337FD9" w:rsidP="00447313">
            <w:pPr>
              <w:autoSpaceDE/>
              <w:autoSpaceDN/>
              <w:adjustRightInd/>
              <w:spacing w:after="0"/>
              <w:jc w:val="both"/>
              <w:textAlignment w:val="auto"/>
              <w:rPr>
                <w:rFonts w:asciiTheme="minorHAnsi" w:hAnsiTheme="minorHAnsi" w:cstheme="minorHAnsi"/>
                <w:b w:val="0"/>
                <w:color w:val="000000"/>
                <w:sz w:val="20"/>
                <w:szCs w:val="20"/>
                <w:u w:val="none"/>
                <w:lang w:val="en-US" w:eastAsia="en-US"/>
              </w:rPr>
            </w:pPr>
            <w:r w:rsidRPr="003B1DE6">
              <w:rPr>
                <w:rFonts w:asciiTheme="minorHAnsi" w:hAnsiTheme="minorHAnsi" w:cstheme="minorHAnsi"/>
                <w:b w:val="0"/>
                <w:color w:val="000000"/>
                <w:sz w:val="20"/>
                <w:szCs w:val="20"/>
                <w:u w:val="none"/>
                <w:lang w:val="en-US" w:eastAsia="en-US"/>
              </w:rPr>
              <w:t>ALFeLa</w:t>
            </w:r>
          </w:p>
        </w:tc>
        <w:tc>
          <w:tcPr>
            <w:tcW w:w="2488" w:type="dxa"/>
            <w:gridSpan w:val="2"/>
            <w:shd w:val="clear" w:color="auto" w:fill="auto"/>
            <w:noWrap/>
            <w:vAlign w:val="center"/>
            <w:hideMark/>
          </w:tcPr>
          <w:p w14:paraId="09B9B680" w14:textId="3AD7BB6B" w:rsidR="00337FD9" w:rsidRPr="003B1DE6" w:rsidRDefault="00337FD9" w:rsidP="00447313">
            <w:pPr>
              <w:spacing w:after="0"/>
              <w:jc w:val="both"/>
              <w:rPr>
                <w:rFonts w:asciiTheme="minorHAnsi" w:hAnsiTheme="minorHAnsi" w:cstheme="minorHAnsi"/>
                <w:b w:val="0"/>
                <w:color w:val="000000"/>
                <w:sz w:val="20"/>
                <w:szCs w:val="20"/>
                <w:u w:val="none"/>
                <w:lang w:val="en-US" w:eastAsia="en-US"/>
              </w:rPr>
            </w:pPr>
            <w:r w:rsidRPr="003B1DE6">
              <w:rPr>
                <w:rFonts w:asciiTheme="minorHAnsi" w:hAnsiTheme="minorHAnsi" w:cstheme="minorHAnsi"/>
                <w:b w:val="0"/>
                <w:color w:val="000000"/>
                <w:sz w:val="20"/>
                <w:szCs w:val="20"/>
                <w:u w:val="none"/>
                <w:lang w:val="en-US" w:eastAsia="en-US"/>
              </w:rPr>
              <w:t>$78,777.17</w:t>
            </w:r>
          </w:p>
        </w:tc>
        <w:tc>
          <w:tcPr>
            <w:tcW w:w="2488" w:type="dxa"/>
            <w:shd w:val="clear" w:color="auto" w:fill="auto"/>
            <w:vAlign w:val="center"/>
          </w:tcPr>
          <w:p w14:paraId="349B09CB" w14:textId="7AAAB5E6" w:rsidR="00337FD9" w:rsidRPr="003B1DE6" w:rsidRDefault="00337FD9" w:rsidP="00447313">
            <w:pPr>
              <w:spacing w:after="0"/>
              <w:jc w:val="both"/>
              <w:rPr>
                <w:rFonts w:asciiTheme="minorHAnsi" w:hAnsiTheme="minorHAnsi" w:cstheme="minorHAnsi"/>
                <w:b w:val="0"/>
                <w:color w:val="000000"/>
                <w:sz w:val="20"/>
                <w:szCs w:val="20"/>
                <w:u w:val="none"/>
                <w:lang w:val="en-US" w:eastAsia="en-US"/>
              </w:rPr>
            </w:pPr>
            <w:r w:rsidRPr="003B1DE6">
              <w:rPr>
                <w:rFonts w:asciiTheme="minorHAnsi" w:hAnsiTheme="minorHAnsi" w:cstheme="minorHAnsi"/>
                <w:b w:val="0"/>
                <w:color w:val="000000"/>
                <w:sz w:val="20"/>
                <w:szCs w:val="20"/>
                <w:u w:val="none"/>
                <w:lang w:val="en-US" w:eastAsia="en-US"/>
              </w:rPr>
              <w:t>$110,468.02</w:t>
            </w:r>
          </w:p>
        </w:tc>
        <w:tc>
          <w:tcPr>
            <w:tcW w:w="2488" w:type="dxa"/>
            <w:shd w:val="clear" w:color="auto" w:fill="auto"/>
            <w:vAlign w:val="center"/>
          </w:tcPr>
          <w:p w14:paraId="60568059" w14:textId="051F1B9E" w:rsidR="00337FD9" w:rsidRPr="003B1DE6" w:rsidRDefault="00337FD9" w:rsidP="00447313">
            <w:pPr>
              <w:spacing w:after="0"/>
              <w:jc w:val="both"/>
              <w:rPr>
                <w:rFonts w:asciiTheme="minorHAnsi" w:hAnsiTheme="minorHAnsi" w:cstheme="minorHAnsi"/>
                <w:b w:val="0"/>
                <w:color w:val="000000"/>
                <w:sz w:val="20"/>
                <w:szCs w:val="20"/>
                <w:u w:val="none"/>
                <w:lang w:val="en-US" w:eastAsia="en-US"/>
              </w:rPr>
            </w:pPr>
            <w:r w:rsidRPr="003B1DE6">
              <w:rPr>
                <w:rFonts w:asciiTheme="minorHAnsi" w:hAnsiTheme="minorHAnsi" w:cstheme="minorHAnsi"/>
                <w:b w:val="0"/>
                <w:color w:val="000000"/>
                <w:sz w:val="20"/>
                <w:szCs w:val="20"/>
                <w:u w:val="none"/>
                <w:lang w:val="en-US" w:eastAsia="en-US"/>
              </w:rPr>
              <w:t>$189,245.19</w:t>
            </w:r>
          </w:p>
        </w:tc>
      </w:tr>
      <w:tr w:rsidR="00337FD9" w:rsidRPr="003B1DE6" w14:paraId="5C1D0124" w14:textId="77777777" w:rsidTr="0021017B">
        <w:trPr>
          <w:trHeight w:val="491"/>
        </w:trPr>
        <w:tc>
          <w:tcPr>
            <w:tcW w:w="2487" w:type="dxa"/>
            <w:shd w:val="clear" w:color="auto" w:fill="auto"/>
            <w:noWrap/>
            <w:vAlign w:val="center"/>
            <w:hideMark/>
          </w:tcPr>
          <w:p w14:paraId="58468C77" w14:textId="12647BA5" w:rsidR="00337FD9" w:rsidRPr="003B1DE6" w:rsidRDefault="00337FD9" w:rsidP="00447313">
            <w:pPr>
              <w:autoSpaceDE/>
              <w:autoSpaceDN/>
              <w:adjustRightInd/>
              <w:spacing w:after="0"/>
              <w:jc w:val="both"/>
              <w:textAlignment w:val="auto"/>
              <w:rPr>
                <w:rFonts w:asciiTheme="minorHAnsi" w:hAnsiTheme="minorHAnsi" w:cstheme="minorHAnsi"/>
                <w:b w:val="0"/>
                <w:color w:val="000000"/>
                <w:sz w:val="20"/>
                <w:szCs w:val="20"/>
                <w:u w:val="none"/>
                <w:lang w:val="en-US" w:eastAsia="en-US"/>
              </w:rPr>
            </w:pPr>
            <w:r w:rsidRPr="003B1DE6">
              <w:rPr>
                <w:rFonts w:asciiTheme="minorHAnsi" w:hAnsiTheme="minorHAnsi" w:cstheme="minorHAnsi"/>
                <w:b w:val="0"/>
                <w:color w:val="000000"/>
                <w:sz w:val="20"/>
                <w:szCs w:val="20"/>
                <w:u w:val="none"/>
                <w:lang w:val="en-US" w:eastAsia="en-US"/>
              </w:rPr>
              <w:t>Casa Vida</w:t>
            </w:r>
          </w:p>
        </w:tc>
        <w:tc>
          <w:tcPr>
            <w:tcW w:w="2488" w:type="dxa"/>
            <w:gridSpan w:val="2"/>
            <w:shd w:val="clear" w:color="auto" w:fill="auto"/>
            <w:noWrap/>
            <w:vAlign w:val="center"/>
            <w:hideMark/>
          </w:tcPr>
          <w:p w14:paraId="021312B5" w14:textId="1C683105" w:rsidR="00337FD9" w:rsidRPr="003B1DE6" w:rsidRDefault="0021017B" w:rsidP="00447313">
            <w:pPr>
              <w:spacing w:after="0"/>
              <w:jc w:val="both"/>
              <w:rPr>
                <w:rFonts w:asciiTheme="minorHAnsi" w:hAnsiTheme="minorHAnsi" w:cstheme="minorHAnsi"/>
                <w:b w:val="0"/>
                <w:color w:val="000000"/>
                <w:sz w:val="20"/>
                <w:szCs w:val="20"/>
                <w:u w:val="none"/>
                <w:lang w:val="en-US" w:eastAsia="en-US"/>
              </w:rPr>
            </w:pPr>
            <w:r w:rsidRPr="003B1DE6">
              <w:rPr>
                <w:rFonts w:asciiTheme="minorHAnsi" w:hAnsiTheme="minorHAnsi" w:cstheme="minorHAnsi"/>
                <w:b w:val="0"/>
                <w:color w:val="000000"/>
                <w:sz w:val="20"/>
                <w:szCs w:val="20"/>
                <w:u w:val="none"/>
                <w:lang w:val="en-US" w:eastAsia="en-US"/>
              </w:rPr>
              <w:t>$77,058.48</w:t>
            </w:r>
          </w:p>
        </w:tc>
        <w:tc>
          <w:tcPr>
            <w:tcW w:w="2488" w:type="dxa"/>
            <w:shd w:val="clear" w:color="auto" w:fill="auto"/>
            <w:vAlign w:val="center"/>
          </w:tcPr>
          <w:p w14:paraId="30C15BA8" w14:textId="4107753F" w:rsidR="00337FD9" w:rsidRPr="003B1DE6" w:rsidRDefault="0021017B" w:rsidP="00447313">
            <w:pPr>
              <w:spacing w:after="0"/>
              <w:jc w:val="both"/>
              <w:rPr>
                <w:rFonts w:asciiTheme="minorHAnsi" w:hAnsiTheme="minorHAnsi" w:cstheme="minorHAnsi"/>
                <w:b w:val="0"/>
                <w:color w:val="000000"/>
                <w:sz w:val="20"/>
                <w:szCs w:val="20"/>
                <w:u w:val="none"/>
                <w:lang w:val="en-US" w:eastAsia="en-US"/>
              </w:rPr>
            </w:pPr>
            <w:r w:rsidRPr="003B1DE6">
              <w:rPr>
                <w:rFonts w:asciiTheme="minorHAnsi" w:hAnsiTheme="minorHAnsi" w:cstheme="minorHAnsi"/>
                <w:b w:val="0"/>
                <w:color w:val="000000"/>
                <w:sz w:val="20"/>
                <w:szCs w:val="20"/>
                <w:u w:val="none"/>
                <w:lang w:val="en-US" w:eastAsia="en-US"/>
              </w:rPr>
              <w:t xml:space="preserve">$91,259.98 </w:t>
            </w:r>
          </w:p>
        </w:tc>
        <w:tc>
          <w:tcPr>
            <w:tcW w:w="2488" w:type="dxa"/>
            <w:shd w:val="clear" w:color="auto" w:fill="auto"/>
            <w:vAlign w:val="center"/>
          </w:tcPr>
          <w:p w14:paraId="25878C45" w14:textId="3DDEBEB8" w:rsidR="00337FD9" w:rsidRPr="003B1DE6" w:rsidRDefault="0021017B" w:rsidP="00447313">
            <w:pPr>
              <w:spacing w:after="0"/>
              <w:jc w:val="both"/>
              <w:rPr>
                <w:rFonts w:asciiTheme="minorHAnsi" w:hAnsiTheme="minorHAnsi" w:cstheme="minorHAnsi"/>
                <w:b w:val="0"/>
                <w:color w:val="000000"/>
                <w:sz w:val="20"/>
                <w:szCs w:val="20"/>
                <w:u w:val="none"/>
                <w:lang w:val="en-US" w:eastAsia="en-US"/>
              </w:rPr>
            </w:pPr>
            <w:r w:rsidRPr="003B1DE6">
              <w:rPr>
                <w:rFonts w:asciiTheme="minorHAnsi" w:hAnsiTheme="minorHAnsi" w:cstheme="minorHAnsi"/>
                <w:b w:val="0"/>
                <w:color w:val="000000"/>
                <w:sz w:val="20"/>
                <w:szCs w:val="20"/>
                <w:u w:val="none"/>
                <w:lang w:val="en-US" w:eastAsia="en-US"/>
              </w:rPr>
              <w:t>$168,318.46</w:t>
            </w:r>
          </w:p>
        </w:tc>
      </w:tr>
      <w:tr w:rsidR="0021017B" w:rsidRPr="003B1DE6" w14:paraId="2F81C130" w14:textId="77777777" w:rsidTr="0021017B">
        <w:trPr>
          <w:trHeight w:val="491"/>
        </w:trPr>
        <w:tc>
          <w:tcPr>
            <w:tcW w:w="2487" w:type="dxa"/>
            <w:shd w:val="clear" w:color="auto" w:fill="auto"/>
            <w:noWrap/>
            <w:vAlign w:val="center"/>
          </w:tcPr>
          <w:p w14:paraId="24758F04" w14:textId="59A110CF" w:rsidR="0021017B" w:rsidRPr="003B1DE6" w:rsidRDefault="0021017B" w:rsidP="00447313">
            <w:pPr>
              <w:autoSpaceDE/>
              <w:autoSpaceDN/>
              <w:adjustRightInd/>
              <w:spacing w:after="0"/>
              <w:jc w:val="both"/>
              <w:textAlignment w:val="auto"/>
              <w:rPr>
                <w:rFonts w:asciiTheme="minorHAnsi" w:hAnsiTheme="minorHAnsi" w:cstheme="minorHAnsi"/>
                <w:b w:val="0"/>
                <w:color w:val="000000"/>
                <w:sz w:val="20"/>
                <w:szCs w:val="20"/>
                <w:u w:val="none"/>
                <w:lang w:val="en-US" w:eastAsia="en-US"/>
              </w:rPr>
            </w:pPr>
            <w:r w:rsidRPr="003B1DE6">
              <w:rPr>
                <w:rFonts w:asciiTheme="minorHAnsi" w:hAnsiTheme="minorHAnsi" w:cstheme="minorHAnsi"/>
                <w:b w:val="0"/>
                <w:color w:val="000000"/>
                <w:sz w:val="20"/>
                <w:szCs w:val="20"/>
                <w:u w:val="none"/>
                <w:lang w:val="en-US" w:eastAsia="en-US"/>
              </w:rPr>
              <w:t>FOKUPERS</w:t>
            </w:r>
          </w:p>
        </w:tc>
        <w:tc>
          <w:tcPr>
            <w:tcW w:w="2488" w:type="dxa"/>
            <w:gridSpan w:val="2"/>
            <w:shd w:val="clear" w:color="auto" w:fill="auto"/>
            <w:noWrap/>
            <w:vAlign w:val="center"/>
          </w:tcPr>
          <w:p w14:paraId="4CFC53DC" w14:textId="7B28495B" w:rsidR="0021017B" w:rsidRPr="003B1DE6" w:rsidRDefault="0021017B" w:rsidP="00447313">
            <w:pPr>
              <w:spacing w:after="0"/>
              <w:jc w:val="both"/>
              <w:rPr>
                <w:rFonts w:asciiTheme="minorHAnsi" w:hAnsiTheme="minorHAnsi" w:cstheme="minorHAnsi"/>
                <w:b w:val="0"/>
                <w:color w:val="000000"/>
                <w:sz w:val="20"/>
                <w:szCs w:val="20"/>
                <w:u w:val="none"/>
                <w:lang w:val="en-US" w:eastAsia="en-US"/>
              </w:rPr>
            </w:pPr>
          </w:p>
        </w:tc>
        <w:tc>
          <w:tcPr>
            <w:tcW w:w="2488" w:type="dxa"/>
            <w:shd w:val="clear" w:color="auto" w:fill="auto"/>
            <w:vAlign w:val="center"/>
          </w:tcPr>
          <w:p w14:paraId="0729FCBC" w14:textId="20571130" w:rsidR="0021017B" w:rsidRPr="003B1DE6" w:rsidRDefault="0021017B" w:rsidP="00447313">
            <w:pPr>
              <w:spacing w:after="0"/>
              <w:jc w:val="both"/>
              <w:rPr>
                <w:rFonts w:asciiTheme="minorHAnsi" w:hAnsiTheme="minorHAnsi" w:cstheme="minorHAnsi"/>
                <w:b w:val="0"/>
                <w:color w:val="000000"/>
                <w:sz w:val="20"/>
                <w:szCs w:val="20"/>
                <w:u w:val="none"/>
                <w:lang w:val="en-US" w:eastAsia="en-US"/>
              </w:rPr>
            </w:pPr>
            <w:r w:rsidRPr="003B1DE6">
              <w:rPr>
                <w:rFonts w:asciiTheme="minorHAnsi" w:hAnsiTheme="minorHAnsi" w:cstheme="minorHAnsi"/>
                <w:b w:val="0"/>
                <w:color w:val="000000"/>
                <w:sz w:val="20"/>
                <w:szCs w:val="20"/>
                <w:u w:val="none"/>
                <w:lang w:val="en-US" w:eastAsia="en-US"/>
              </w:rPr>
              <w:t>$33,600.00</w:t>
            </w:r>
          </w:p>
        </w:tc>
        <w:tc>
          <w:tcPr>
            <w:tcW w:w="2488" w:type="dxa"/>
            <w:shd w:val="clear" w:color="auto" w:fill="auto"/>
            <w:vAlign w:val="center"/>
          </w:tcPr>
          <w:p w14:paraId="70D17BA8" w14:textId="410585DA" w:rsidR="0021017B" w:rsidRPr="003B1DE6" w:rsidRDefault="0021017B" w:rsidP="00447313">
            <w:pPr>
              <w:spacing w:after="0"/>
              <w:jc w:val="both"/>
              <w:rPr>
                <w:rFonts w:asciiTheme="minorHAnsi" w:hAnsiTheme="minorHAnsi" w:cstheme="minorHAnsi"/>
                <w:b w:val="0"/>
                <w:color w:val="000000"/>
                <w:sz w:val="20"/>
                <w:szCs w:val="20"/>
                <w:u w:val="none"/>
                <w:lang w:val="en-US" w:eastAsia="en-US"/>
              </w:rPr>
            </w:pPr>
            <w:r w:rsidRPr="003B1DE6">
              <w:rPr>
                <w:rFonts w:asciiTheme="minorHAnsi" w:hAnsiTheme="minorHAnsi" w:cstheme="minorHAnsi"/>
                <w:b w:val="0"/>
                <w:color w:val="000000"/>
                <w:sz w:val="20"/>
                <w:szCs w:val="20"/>
                <w:u w:val="none"/>
                <w:lang w:val="en-US" w:eastAsia="en-US"/>
              </w:rPr>
              <w:t>$33,600.00</w:t>
            </w:r>
          </w:p>
        </w:tc>
      </w:tr>
      <w:tr w:rsidR="0021017B" w:rsidRPr="003B1DE6" w14:paraId="6310F497" w14:textId="77777777" w:rsidTr="0021017B">
        <w:trPr>
          <w:trHeight w:val="491"/>
        </w:trPr>
        <w:tc>
          <w:tcPr>
            <w:tcW w:w="2487" w:type="dxa"/>
            <w:shd w:val="clear" w:color="auto" w:fill="auto"/>
            <w:noWrap/>
            <w:vAlign w:val="center"/>
          </w:tcPr>
          <w:p w14:paraId="18291DF0" w14:textId="651761AF" w:rsidR="0021017B" w:rsidRPr="003B1DE6" w:rsidRDefault="0021017B" w:rsidP="00447313">
            <w:pPr>
              <w:autoSpaceDE/>
              <w:autoSpaceDN/>
              <w:adjustRightInd/>
              <w:spacing w:after="0"/>
              <w:jc w:val="both"/>
              <w:textAlignment w:val="auto"/>
              <w:rPr>
                <w:rFonts w:asciiTheme="minorHAnsi" w:hAnsiTheme="minorHAnsi" w:cstheme="minorHAnsi"/>
                <w:b w:val="0"/>
                <w:color w:val="000000"/>
                <w:sz w:val="20"/>
                <w:szCs w:val="20"/>
                <w:u w:val="none"/>
                <w:lang w:val="en-US" w:eastAsia="en-US"/>
              </w:rPr>
            </w:pPr>
            <w:r w:rsidRPr="003B1DE6">
              <w:rPr>
                <w:rFonts w:asciiTheme="minorHAnsi" w:hAnsiTheme="minorHAnsi" w:cstheme="minorHAnsi"/>
                <w:b w:val="0"/>
                <w:color w:val="000000"/>
                <w:sz w:val="20"/>
                <w:szCs w:val="20"/>
                <w:u w:val="none"/>
                <w:lang w:val="en-US" w:eastAsia="en-US"/>
              </w:rPr>
              <w:t>PRADET – Fatin Hakmatek</w:t>
            </w:r>
          </w:p>
        </w:tc>
        <w:tc>
          <w:tcPr>
            <w:tcW w:w="2488" w:type="dxa"/>
            <w:gridSpan w:val="2"/>
            <w:shd w:val="clear" w:color="auto" w:fill="auto"/>
            <w:noWrap/>
            <w:vAlign w:val="center"/>
          </w:tcPr>
          <w:p w14:paraId="7C6E420C" w14:textId="4A0BEB55" w:rsidR="0021017B" w:rsidRPr="003B1DE6" w:rsidRDefault="0021017B" w:rsidP="00447313">
            <w:pPr>
              <w:spacing w:after="0"/>
              <w:jc w:val="both"/>
              <w:rPr>
                <w:rFonts w:asciiTheme="minorHAnsi" w:hAnsiTheme="minorHAnsi" w:cstheme="minorHAnsi"/>
                <w:b w:val="0"/>
                <w:color w:val="000000"/>
                <w:sz w:val="20"/>
                <w:szCs w:val="20"/>
                <w:u w:val="none"/>
                <w:lang w:val="en-US" w:eastAsia="en-US"/>
              </w:rPr>
            </w:pPr>
            <w:r w:rsidRPr="003B1DE6">
              <w:rPr>
                <w:rFonts w:asciiTheme="minorHAnsi" w:hAnsiTheme="minorHAnsi" w:cstheme="minorHAnsi"/>
                <w:b w:val="0"/>
                <w:color w:val="000000"/>
                <w:sz w:val="20"/>
                <w:szCs w:val="20"/>
                <w:u w:val="none"/>
                <w:lang w:val="en-US" w:eastAsia="en-US"/>
              </w:rPr>
              <w:t xml:space="preserve">$181,405.04 </w:t>
            </w:r>
          </w:p>
        </w:tc>
        <w:tc>
          <w:tcPr>
            <w:tcW w:w="2488" w:type="dxa"/>
            <w:shd w:val="clear" w:color="auto" w:fill="auto"/>
            <w:vAlign w:val="center"/>
          </w:tcPr>
          <w:p w14:paraId="2CE8B99A" w14:textId="76A0F71E" w:rsidR="0021017B" w:rsidRPr="003B1DE6" w:rsidRDefault="0021017B" w:rsidP="00447313">
            <w:pPr>
              <w:spacing w:after="0"/>
              <w:jc w:val="both"/>
              <w:rPr>
                <w:rFonts w:asciiTheme="minorHAnsi" w:hAnsiTheme="minorHAnsi" w:cstheme="minorHAnsi"/>
                <w:b w:val="0"/>
                <w:color w:val="000000"/>
                <w:sz w:val="20"/>
                <w:szCs w:val="20"/>
                <w:u w:val="none"/>
                <w:lang w:val="en-US" w:eastAsia="en-US"/>
              </w:rPr>
            </w:pPr>
            <w:r w:rsidRPr="003B1DE6">
              <w:rPr>
                <w:rFonts w:asciiTheme="minorHAnsi" w:hAnsiTheme="minorHAnsi" w:cstheme="minorHAnsi"/>
                <w:b w:val="0"/>
                <w:color w:val="000000"/>
                <w:sz w:val="20"/>
                <w:szCs w:val="20"/>
                <w:u w:val="none"/>
                <w:lang w:val="en-US" w:eastAsia="en-US"/>
              </w:rPr>
              <w:t>$234,626.66</w:t>
            </w:r>
          </w:p>
        </w:tc>
        <w:tc>
          <w:tcPr>
            <w:tcW w:w="2488" w:type="dxa"/>
            <w:shd w:val="clear" w:color="auto" w:fill="auto"/>
            <w:vAlign w:val="center"/>
          </w:tcPr>
          <w:p w14:paraId="77250A81" w14:textId="69E6A5F5" w:rsidR="0021017B" w:rsidRPr="003B1DE6" w:rsidRDefault="0021017B" w:rsidP="00447313">
            <w:pPr>
              <w:spacing w:after="0"/>
              <w:jc w:val="both"/>
              <w:rPr>
                <w:rFonts w:asciiTheme="minorHAnsi" w:hAnsiTheme="minorHAnsi" w:cstheme="minorHAnsi"/>
                <w:b w:val="0"/>
                <w:color w:val="000000"/>
                <w:sz w:val="20"/>
                <w:szCs w:val="20"/>
                <w:u w:val="none"/>
                <w:lang w:val="en-US" w:eastAsia="en-US"/>
              </w:rPr>
            </w:pPr>
            <w:r w:rsidRPr="003B1DE6">
              <w:rPr>
                <w:rFonts w:asciiTheme="minorHAnsi" w:hAnsiTheme="minorHAnsi" w:cstheme="minorHAnsi"/>
                <w:b w:val="0"/>
                <w:color w:val="000000"/>
                <w:sz w:val="20"/>
                <w:szCs w:val="20"/>
                <w:u w:val="none"/>
                <w:lang w:val="en-US" w:eastAsia="en-US"/>
              </w:rPr>
              <w:t>$416,031.70</w:t>
            </w:r>
          </w:p>
        </w:tc>
      </w:tr>
      <w:tr w:rsidR="0021017B" w:rsidRPr="003B1DE6" w14:paraId="5A87C533" w14:textId="77777777" w:rsidTr="0021017B">
        <w:trPr>
          <w:trHeight w:val="491"/>
        </w:trPr>
        <w:tc>
          <w:tcPr>
            <w:tcW w:w="2487" w:type="dxa"/>
            <w:shd w:val="clear" w:color="auto" w:fill="auto"/>
            <w:noWrap/>
            <w:vAlign w:val="center"/>
          </w:tcPr>
          <w:p w14:paraId="3E4FC01F" w14:textId="537A0E23" w:rsidR="0021017B" w:rsidRPr="003B1DE6" w:rsidRDefault="0021017B" w:rsidP="00447313">
            <w:pPr>
              <w:autoSpaceDE/>
              <w:autoSpaceDN/>
              <w:adjustRightInd/>
              <w:spacing w:after="0"/>
              <w:jc w:val="both"/>
              <w:textAlignment w:val="auto"/>
              <w:rPr>
                <w:rFonts w:asciiTheme="minorHAnsi" w:hAnsiTheme="minorHAnsi" w:cstheme="minorHAnsi"/>
                <w:b w:val="0"/>
                <w:color w:val="000000"/>
                <w:sz w:val="20"/>
                <w:szCs w:val="20"/>
                <w:u w:val="none"/>
                <w:lang w:val="en-US" w:eastAsia="en-US"/>
              </w:rPr>
            </w:pPr>
            <w:r w:rsidRPr="003B1DE6">
              <w:rPr>
                <w:rFonts w:asciiTheme="minorHAnsi" w:hAnsiTheme="minorHAnsi" w:cstheme="minorHAnsi"/>
                <w:b w:val="0"/>
                <w:color w:val="000000"/>
                <w:sz w:val="20"/>
                <w:szCs w:val="20"/>
                <w:u w:val="none"/>
                <w:lang w:val="en-US" w:eastAsia="en-US"/>
              </w:rPr>
              <w:t>PRADET – Medical forensic training</w:t>
            </w:r>
          </w:p>
        </w:tc>
        <w:tc>
          <w:tcPr>
            <w:tcW w:w="2488" w:type="dxa"/>
            <w:gridSpan w:val="2"/>
            <w:shd w:val="clear" w:color="auto" w:fill="auto"/>
            <w:noWrap/>
            <w:vAlign w:val="center"/>
          </w:tcPr>
          <w:p w14:paraId="148A4B8B" w14:textId="77777777" w:rsidR="0021017B" w:rsidRPr="003B1DE6" w:rsidRDefault="0021017B" w:rsidP="00447313">
            <w:pPr>
              <w:spacing w:after="0"/>
              <w:jc w:val="both"/>
              <w:rPr>
                <w:rFonts w:asciiTheme="minorHAnsi" w:hAnsiTheme="minorHAnsi" w:cstheme="minorHAnsi"/>
                <w:b w:val="0"/>
                <w:color w:val="000000"/>
                <w:sz w:val="20"/>
                <w:szCs w:val="20"/>
                <w:u w:val="none"/>
                <w:lang w:val="en-US" w:eastAsia="en-US"/>
              </w:rPr>
            </w:pPr>
          </w:p>
        </w:tc>
        <w:tc>
          <w:tcPr>
            <w:tcW w:w="2488" w:type="dxa"/>
            <w:shd w:val="clear" w:color="auto" w:fill="auto"/>
            <w:vAlign w:val="center"/>
          </w:tcPr>
          <w:p w14:paraId="1880DBA8" w14:textId="1A125AA0" w:rsidR="0021017B" w:rsidRPr="003B1DE6" w:rsidRDefault="0021017B" w:rsidP="00447313">
            <w:pPr>
              <w:spacing w:after="0"/>
              <w:jc w:val="both"/>
              <w:rPr>
                <w:rFonts w:asciiTheme="minorHAnsi" w:hAnsiTheme="minorHAnsi" w:cstheme="minorHAnsi"/>
                <w:b w:val="0"/>
                <w:color w:val="000000"/>
                <w:sz w:val="20"/>
                <w:szCs w:val="20"/>
                <w:u w:val="none"/>
                <w:lang w:val="en-US" w:eastAsia="en-US"/>
              </w:rPr>
            </w:pPr>
            <w:r w:rsidRPr="003B1DE6">
              <w:rPr>
                <w:rFonts w:asciiTheme="minorHAnsi" w:hAnsiTheme="minorHAnsi" w:cstheme="minorHAnsi"/>
                <w:b w:val="0"/>
                <w:color w:val="000000"/>
                <w:sz w:val="20"/>
                <w:szCs w:val="20"/>
                <w:u w:val="none"/>
                <w:lang w:val="en-US" w:eastAsia="en-US"/>
              </w:rPr>
              <w:t>$27,568.05</w:t>
            </w:r>
          </w:p>
        </w:tc>
        <w:tc>
          <w:tcPr>
            <w:tcW w:w="2488" w:type="dxa"/>
            <w:shd w:val="clear" w:color="auto" w:fill="auto"/>
            <w:vAlign w:val="center"/>
          </w:tcPr>
          <w:p w14:paraId="22776C70" w14:textId="185216D4" w:rsidR="0021017B" w:rsidRPr="003B1DE6" w:rsidRDefault="0021017B" w:rsidP="00447313">
            <w:pPr>
              <w:spacing w:after="0"/>
              <w:jc w:val="both"/>
              <w:rPr>
                <w:rFonts w:asciiTheme="minorHAnsi" w:hAnsiTheme="minorHAnsi" w:cstheme="minorHAnsi"/>
                <w:b w:val="0"/>
                <w:color w:val="000000"/>
                <w:sz w:val="20"/>
                <w:szCs w:val="20"/>
                <w:u w:val="none"/>
                <w:lang w:val="en-US" w:eastAsia="en-US"/>
              </w:rPr>
            </w:pPr>
            <w:r w:rsidRPr="003B1DE6">
              <w:rPr>
                <w:rFonts w:asciiTheme="minorHAnsi" w:hAnsiTheme="minorHAnsi" w:cstheme="minorHAnsi"/>
                <w:b w:val="0"/>
                <w:color w:val="000000"/>
                <w:sz w:val="20"/>
                <w:szCs w:val="20"/>
                <w:u w:val="none"/>
                <w:lang w:val="en-US" w:eastAsia="en-US"/>
              </w:rPr>
              <w:t>$27,568.05</w:t>
            </w:r>
          </w:p>
        </w:tc>
      </w:tr>
      <w:tr w:rsidR="0021017B" w:rsidRPr="003B1DE6" w14:paraId="6392E79E" w14:textId="77777777" w:rsidTr="0021017B">
        <w:trPr>
          <w:trHeight w:val="491"/>
        </w:trPr>
        <w:tc>
          <w:tcPr>
            <w:tcW w:w="2487" w:type="dxa"/>
            <w:shd w:val="clear" w:color="auto" w:fill="auto"/>
            <w:noWrap/>
            <w:vAlign w:val="center"/>
          </w:tcPr>
          <w:p w14:paraId="4A37DD8E" w14:textId="77777777" w:rsidR="0021017B" w:rsidRPr="003B1DE6" w:rsidRDefault="0021017B" w:rsidP="00447313">
            <w:pPr>
              <w:autoSpaceDE/>
              <w:autoSpaceDN/>
              <w:adjustRightInd/>
              <w:spacing w:after="0"/>
              <w:jc w:val="both"/>
              <w:textAlignment w:val="auto"/>
              <w:rPr>
                <w:rFonts w:asciiTheme="minorHAnsi" w:hAnsiTheme="minorHAnsi" w:cstheme="minorHAnsi"/>
                <w:b w:val="0"/>
                <w:color w:val="000000"/>
                <w:sz w:val="20"/>
                <w:szCs w:val="20"/>
                <w:u w:val="none"/>
                <w:lang w:val="en-US" w:eastAsia="en-US"/>
              </w:rPr>
            </w:pPr>
            <w:r w:rsidRPr="003B1DE6">
              <w:rPr>
                <w:rFonts w:asciiTheme="minorHAnsi" w:hAnsiTheme="minorHAnsi" w:cstheme="minorHAnsi"/>
                <w:b w:val="0"/>
                <w:color w:val="000000"/>
                <w:sz w:val="20"/>
                <w:szCs w:val="20"/>
                <w:u w:val="none"/>
                <w:lang w:val="en-US" w:eastAsia="en-US"/>
              </w:rPr>
              <w:t>Uma Mahon Salele</w:t>
            </w:r>
          </w:p>
        </w:tc>
        <w:tc>
          <w:tcPr>
            <w:tcW w:w="2488" w:type="dxa"/>
            <w:gridSpan w:val="2"/>
            <w:shd w:val="clear" w:color="auto" w:fill="auto"/>
            <w:noWrap/>
            <w:vAlign w:val="center"/>
          </w:tcPr>
          <w:p w14:paraId="5C3B7045" w14:textId="77777777" w:rsidR="0021017B" w:rsidRPr="003B1DE6" w:rsidRDefault="0021017B" w:rsidP="00447313">
            <w:pPr>
              <w:spacing w:after="0"/>
              <w:jc w:val="both"/>
              <w:rPr>
                <w:rFonts w:asciiTheme="minorHAnsi" w:hAnsiTheme="minorHAnsi" w:cstheme="minorHAnsi"/>
                <w:b w:val="0"/>
                <w:color w:val="000000"/>
                <w:sz w:val="20"/>
                <w:szCs w:val="20"/>
                <w:u w:val="none"/>
                <w:lang w:val="en-US" w:eastAsia="en-US"/>
              </w:rPr>
            </w:pPr>
            <w:r w:rsidRPr="003B1DE6">
              <w:rPr>
                <w:rFonts w:asciiTheme="minorHAnsi" w:hAnsiTheme="minorHAnsi" w:cstheme="minorHAnsi"/>
                <w:b w:val="0"/>
                <w:color w:val="000000"/>
                <w:sz w:val="20"/>
                <w:szCs w:val="20"/>
                <w:u w:val="none"/>
                <w:lang w:val="en-US" w:eastAsia="en-US"/>
              </w:rPr>
              <w:t xml:space="preserve">$47,935.79 </w:t>
            </w:r>
          </w:p>
        </w:tc>
        <w:tc>
          <w:tcPr>
            <w:tcW w:w="2488" w:type="dxa"/>
            <w:shd w:val="clear" w:color="auto" w:fill="auto"/>
            <w:vAlign w:val="center"/>
          </w:tcPr>
          <w:p w14:paraId="6F4EDF2E" w14:textId="77777777" w:rsidR="0021017B" w:rsidRPr="003B1DE6" w:rsidRDefault="0021017B" w:rsidP="00447313">
            <w:pPr>
              <w:spacing w:after="0"/>
              <w:jc w:val="both"/>
              <w:rPr>
                <w:rFonts w:asciiTheme="minorHAnsi" w:hAnsiTheme="minorHAnsi" w:cstheme="minorHAnsi"/>
                <w:b w:val="0"/>
                <w:color w:val="000000"/>
                <w:sz w:val="20"/>
                <w:szCs w:val="20"/>
                <w:u w:val="none"/>
                <w:lang w:val="en-US" w:eastAsia="en-US"/>
              </w:rPr>
            </w:pPr>
            <w:r w:rsidRPr="003B1DE6">
              <w:rPr>
                <w:rFonts w:asciiTheme="minorHAnsi" w:hAnsiTheme="minorHAnsi" w:cstheme="minorHAnsi"/>
                <w:b w:val="0"/>
                <w:color w:val="000000"/>
                <w:sz w:val="20"/>
                <w:szCs w:val="20"/>
                <w:u w:val="none"/>
                <w:lang w:val="en-US" w:eastAsia="en-US"/>
              </w:rPr>
              <w:t>$46,550.00</w:t>
            </w:r>
          </w:p>
        </w:tc>
        <w:tc>
          <w:tcPr>
            <w:tcW w:w="2488" w:type="dxa"/>
            <w:shd w:val="clear" w:color="auto" w:fill="auto"/>
            <w:vAlign w:val="center"/>
          </w:tcPr>
          <w:p w14:paraId="3FD4D8EE" w14:textId="77777777" w:rsidR="0021017B" w:rsidRPr="003B1DE6" w:rsidRDefault="0021017B" w:rsidP="00447313">
            <w:pPr>
              <w:spacing w:after="0"/>
              <w:jc w:val="both"/>
              <w:rPr>
                <w:rFonts w:asciiTheme="minorHAnsi" w:hAnsiTheme="minorHAnsi" w:cstheme="minorHAnsi"/>
                <w:b w:val="0"/>
                <w:color w:val="000000"/>
                <w:sz w:val="20"/>
                <w:szCs w:val="20"/>
                <w:u w:val="none"/>
                <w:lang w:val="en-US" w:eastAsia="en-US"/>
              </w:rPr>
            </w:pPr>
            <w:r w:rsidRPr="003B1DE6">
              <w:rPr>
                <w:rFonts w:asciiTheme="minorHAnsi" w:hAnsiTheme="minorHAnsi" w:cstheme="minorHAnsi"/>
                <w:b w:val="0"/>
                <w:color w:val="000000"/>
                <w:sz w:val="20"/>
                <w:szCs w:val="20"/>
                <w:u w:val="none"/>
                <w:lang w:val="en-US" w:eastAsia="en-US"/>
              </w:rPr>
              <w:t>$94,485.79</w:t>
            </w:r>
          </w:p>
        </w:tc>
      </w:tr>
      <w:tr w:rsidR="0021017B" w:rsidRPr="003B1DE6" w14:paraId="3A6F2BFB" w14:textId="77777777" w:rsidTr="0021017B">
        <w:trPr>
          <w:trHeight w:val="491"/>
        </w:trPr>
        <w:tc>
          <w:tcPr>
            <w:tcW w:w="2487" w:type="dxa"/>
            <w:shd w:val="clear" w:color="auto" w:fill="auto"/>
            <w:noWrap/>
            <w:vAlign w:val="center"/>
          </w:tcPr>
          <w:p w14:paraId="644DC59B" w14:textId="1F2F2D8F" w:rsidR="0021017B" w:rsidRPr="003B1DE6" w:rsidRDefault="0021017B" w:rsidP="00447313">
            <w:pPr>
              <w:autoSpaceDE/>
              <w:autoSpaceDN/>
              <w:adjustRightInd/>
              <w:spacing w:after="0"/>
              <w:jc w:val="both"/>
              <w:textAlignment w:val="auto"/>
              <w:rPr>
                <w:rFonts w:asciiTheme="minorHAnsi" w:hAnsiTheme="minorHAnsi" w:cstheme="minorHAnsi"/>
                <w:b w:val="0"/>
                <w:color w:val="000000"/>
                <w:sz w:val="20"/>
                <w:szCs w:val="20"/>
                <w:u w:val="none"/>
                <w:lang w:val="en-US" w:eastAsia="en-US"/>
              </w:rPr>
            </w:pPr>
            <w:r w:rsidRPr="003B1DE6">
              <w:rPr>
                <w:rFonts w:asciiTheme="minorHAnsi" w:hAnsiTheme="minorHAnsi" w:cstheme="minorHAnsi"/>
                <w:b w:val="0"/>
                <w:color w:val="000000"/>
                <w:sz w:val="20"/>
                <w:szCs w:val="20"/>
                <w:u w:val="none"/>
                <w:lang w:val="en-US" w:eastAsia="en-US"/>
              </w:rPr>
              <w:t>JSMP</w:t>
            </w:r>
          </w:p>
        </w:tc>
        <w:tc>
          <w:tcPr>
            <w:tcW w:w="2488" w:type="dxa"/>
            <w:gridSpan w:val="2"/>
            <w:shd w:val="clear" w:color="auto" w:fill="auto"/>
            <w:noWrap/>
            <w:vAlign w:val="center"/>
          </w:tcPr>
          <w:p w14:paraId="16A2BF3A" w14:textId="5569A57E" w:rsidR="0021017B" w:rsidRPr="003B1DE6" w:rsidRDefault="0021017B" w:rsidP="00447313">
            <w:pPr>
              <w:spacing w:after="0"/>
              <w:jc w:val="both"/>
              <w:rPr>
                <w:rFonts w:asciiTheme="minorHAnsi" w:hAnsiTheme="minorHAnsi" w:cstheme="minorHAnsi"/>
                <w:b w:val="0"/>
                <w:color w:val="000000"/>
                <w:sz w:val="20"/>
                <w:szCs w:val="20"/>
                <w:u w:val="none"/>
                <w:lang w:val="en-US" w:eastAsia="en-US"/>
              </w:rPr>
            </w:pPr>
            <w:r w:rsidRPr="003B1DE6">
              <w:rPr>
                <w:rFonts w:asciiTheme="minorHAnsi" w:hAnsiTheme="minorHAnsi" w:cstheme="minorHAnsi"/>
                <w:b w:val="0"/>
                <w:color w:val="000000"/>
                <w:sz w:val="20"/>
                <w:szCs w:val="20"/>
                <w:u w:val="none"/>
                <w:lang w:val="en-US" w:eastAsia="en-US"/>
              </w:rPr>
              <w:t>$69,136.05</w:t>
            </w:r>
          </w:p>
        </w:tc>
        <w:tc>
          <w:tcPr>
            <w:tcW w:w="2488" w:type="dxa"/>
            <w:shd w:val="clear" w:color="auto" w:fill="auto"/>
            <w:vAlign w:val="center"/>
          </w:tcPr>
          <w:p w14:paraId="7C8EC778" w14:textId="50FEBBF9" w:rsidR="0021017B" w:rsidRPr="003B1DE6" w:rsidRDefault="0021017B" w:rsidP="00447313">
            <w:pPr>
              <w:spacing w:after="0"/>
              <w:jc w:val="both"/>
              <w:rPr>
                <w:rFonts w:asciiTheme="minorHAnsi" w:hAnsiTheme="minorHAnsi" w:cstheme="minorHAnsi"/>
                <w:b w:val="0"/>
                <w:color w:val="000000"/>
                <w:sz w:val="20"/>
                <w:szCs w:val="20"/>
                <w:u w:val="none"/>
                <w:lang w:val="en-US" w:eastAsia="en-US"/>
              </w:rPr>
            </w:pPr>
            <w:r w:rsidRPr="003B1DE6">
              <w:rPr>
                <w:rFonts w:asciiTheme="minorHAnsi" w:hAnsiTheme="minorHAnsi" w:cstheme="minorHAnsi"/>
                <w:b w:val="0"/>
                <w:color w:val="000000"/>
                <w:sz w:val="20"/>
                <w:szCs w:val="20"/>
                <w:u w:val="none"/>
                <w:lang w:val="en-US" w:eastAsia="en-US"/>
              </w:rPr>
              <w:t>$84,239.28</w:t>
            </w:r>
          </w:p>
        </w:tc>
        <w:tc>
          <w:tcPr>
            <w:tcW w:w="2488" w:type="dxa"/>
            <w:shd w:val="clear" w:color="auto" w:fill="auto"/>
            <w:vAlign w:val="center"/>
          </w:tcPr>
          <w:p w14:paraId="0C8737AA" w14:textId="16B7AA4D" w:rsidR="0021017B" w:rsidRPr="003B1DE6" w:rsidRDefault="0021017B" w:rsidP="00447313">
            <w:pPr>
              <w:spacing w:after="0"/>
              <w:jc w:val="both"/>
              <w:rPr>
                <w:rFonts w:asciiTheme="minorHAnsi" w:hAnsiTheme="minorHAnsi" w:cstheme="minorHAnsi"/>
                <w:b w:val="0"/>
                <w:color w:val="000000"/>
                <w:sz w:val="20"/>
                <w:szCs w:val="20"/>
                <w:u w:val="none"/>
                <w:lang w:val="en-US" w:eastAsia="en-US"/>
              </w:rPr>
            </w:pPr>
            <w:r w:rsidRPr="003B1DE6">
              <w:rPr>
                <w:rFonts w:asciiTheme="minorHAnsi" w:hAnsiTheme="minorHAnsi" w:cstheme="minorHAnsi"/>
                <w:b w:val="0"/>
                <w:color w:val="000000"/>
                <w:sz w:val="20"/>
                <w:szCs w:val="20"/>
                <w:u w:val="none"/>
                <w:lang w:val="en-US" w:eastAsia="en-US"/>
              </w:rPr>
              <w:t>$153,375.33</w:t>
            </w:r>
          </w:p>
        </w:tc>
      </w:tr>
      <w:tr w:rsidR="0021017B" w:rsidRPr="003B1DE6" w14:paraId="510EF106" w14:textId="77777777" w:rsidTr="0021017B">
        <w:trPr>
          <w:trHeight w:val="491"/>
        </w:trPr>
        <w:tc>
          <w:tcPr>
            <w:tcW w:w="2487" w:type="dxa"/>
            <w:shd w:val="clear" w:color="auto" w:fill="auto"/>
            <w:noWrap/>
            <w:vAlign w:val="center"/>
          </w:tcPr>
          <w:p w14:paraId="2A764DF6" w14:textId="0D0153F9" w:rsidR="0021017B" w:rsidRPr="003B1DE6" w:rsidRDefault="0021017B" w:rsidP="00447313">
            <w:pPr>
              <w:autoSpaceDE/>
              <w:autoSpaceDN/>
              <w:adjustRightInd/>
              <w:spacing w:after="0"/>
              <w:jc w:val="both"/>
              <w:textAlignment w:val="auto"/>
              <w:rPr>
                <w:rFonts w:asciiTheme="minorHAnsi" w:hAnsiTheme="minorHAnsi" w:cstheme="minorHAnsi"/>
                <w:b w:val="0"/>
                <w:color w:val="000000"/>
                <w:sz w:val="20"/>
                <w:szCs w:val="20"/>
                <w:u w:val="none"/>
                <w:lang w:val="en-US" w:eastAsia="en-US"/>
              </w:rPr>
            </w:pPr>
            <w:r w:rsidRPr="003B1DE6">
              <w:rPr>
                <w:rFonts w:asciiTheme="minorHAnsi" w:hAnsiTheme="minorHAnsi" w:cstheme="minorHAnsi"/>
                <w:b w:val="0"/>
                <w:color w:val="000000"/>
                <w:sz w:val="20"/>
                <w:szCs w:val="20"/>
                <w:u w:val="none"/>
                <w:lang w:val="en-US" w:eastAsia="en-US"/>
              </w:rPr>
              <w:t>JSMP – Penal Code Guide</w:t>
            </w:r>
          </w:p>
        </w:tc>
        <w:tc>
          <w:tcPr>
            <w:tcW w:w="2488" w:type="dxa"/>
            <w:gridSpan w:val="2"/>
            <w:shd w:val="clear" w:color="auto" w:fill="auto"/>
            <w:noWrap/>
            <w:vAlign w:val="center"/>
          </w:tcPr>
          <w:p w14:paraId="1799A306" w14:textId="77777777" w:rsidR="0021017B" w:rsidRPr="003B1DE6" w:rsidRDefault="0021017B" w:rsidP="00447313">
            <w:pPr>
              <w:spacing w:after="0"/>
              <w:jc w:val="both"/>
              <w:rPr>
                <w:rFonts w:asciiTheme="minorHAnsi" w:hAnsiTheme="minorHAnsi" w:cstheme="minorHAnsi"/>
                <w:b w:val="0"/>
                <w:color w:val="000000"/>
                <w:sz w:val="20"/>
                <w:szCs w:val="20"/>
                <w:u w:val="none"/>
                <w:lang w:val="en-US" w:eastAsia="en-US"/>
              </w:rPr>
            </w:pPr>
          </w:p>
        </w:tc>
        <w:tc>
          <w:tcPr>
            <w:tcW w:w="2488" w:type="dxa"/>
            <w:shd w:val="clear" w:color="auto" w:fill="auto"/>
            <w:vAlign w:val="center"/>
          </w:tcPr>
          <w:p w14:paraId="7C0FC9AF" w14:textId="3BF634A2" w:rsidR="0021017B" w:rsidRPr="003B1DE6" w:rsidRDefault="0021017B" w:rsidP="00447313">
            <w:pPr>
              <w:spacing w:after="0"/>
              <w:jc w:val="both"/>
              <w:rPr>
                <w:rFonts w:asciiTheme="minorHAnsi" w:hAnsiTheme="minorHAnsi" w:cstheme="minorHAnsi"/>
                <w:b w:val="0"/>
                <w:color w:val="000000"/>
                <w:sz w:val="20"/>
                <w:szCs w:val="20"/>
                <w:u w:val="none"/>
                <w:lang w:val="en-US" w:eastAsia="en-US"/>
              </w:rPr>
            </w:pPr>
            <w:r w:rsidRPr="003B1DE6">
              <w:rPr>
                <w:rFonts w:asciiTheme="minorHAnsi" w:hAnsiTheme="minorHAnsi" w:cstheme="minorHAnsi"/>
                <w:b w:val="0"/>
                <w:color w:val="000000"/>
                <w:sz w:val="20"/>
                <w:szCs w:val="20"/>
                <w:u w:val="none"/>
                <w:lang w:val="en-US" w:eastAsia="en-US"/>
              </w:rPr>
              <w:t>$26,136.00</w:t>
            </w:r>
          </w:p>
        </w:tc>
        <w:tc>
          <w:tcPr>
            <w:tcW w:w="2488" w:type="dxa"/>
            <w:shd w:val="clear" w:color="auto" w:fill="auto"/>
            <w:vAlign w:val="center"/>
          </w:tcPr>
          <w:p w14:paraId="04B93ABC" w14:textId="1E2276F8" w:rsidR="0021017B" w:rsidRPr="003B1DE6" w:rsidRDefault="0021017B" w:rsidP="00447313">
            <w:pPr>
              <w:spacing w:after="0"/>
              <w:jc w:val="both"/>
              <w:rPr>
                <w:rFonts w:asciiTheme="minorHAnsi" w:hAnsiTheme="minorHAnsi" w:cstheme="minorHAnsi"/>
                <w:b w:val="0"/>
                <w:color w:val="000000"/>
                <w:sz w:val="20"/>
                <w:szCs w:val="20"/>
                <w:u w:val="none"/>
                <w:lang w:val="en-US" w:eastAsia="en-US"/>
              </w:rPr>
            </w:pPr>
            <w:r w:rsidRPr="003B1DE6">
              <w:rPr>
                <w:rFonts w:asciiTheme="minorHAnsi" w:hAnsiTheme="minorHAnsi" w:cstheme="minorHAnsi"/>
                <w:b w:val="0"/>
                <w:color w:val="000000"/>
                <w:sz w:val="20"/>
                <w:szCs w:val="20"/>
                <w:u w:val="none"/>
                <w:lang w:val="en-US" w:eastAsia="en-US"/>
              </w:rPr>
              <w:t>$26,136.00</w:t>
            </w:r>
          </w:p>
        </w:tc>
      </w:tr>
      <w:tr w:rsidR="00337FD9" w:rsidRPr="003B1DE6" w14:paraId="31F0141F" w14:textId="77777777" w:rsidTr="0021017B">
        <w:trPr>
          <w:trHeight w:val="491"/>
        </w:trPr>
        <w:tc>
          <w:tcPr>
            <w:tcW w:w="2487" w:type="dxa"/>
            <w:shd w:val="clear" w:color="auto" w:fill="69A2B0"/>
            <w:noWrap/>
            <w:vAlign w:val="center"/>
            <w:hideMark/>
          </w:tcPr>
          <w:p w14:paraId="0B17A505" w14:textId="77777777" w:rsidR="00337FD9" w:rsidRPr="003B1DE6" w:rsidRDefault="00337FD9" w:rsidP="00447313">
            <w:pPr>
              <w:autoSpaceDE/>
              <w:autoSpaceDN/>
              <w:adjustRightInd/>
              <w:spacing w:after="0"/>
              <w:jc w:val="both"/>
              <w:textAlignment w:val="auto"/>
              <w:rPr>
                <w:rFonts w:asciiTheme="minorHAnsi" w:hAnsiTheme="minorHAnsi" w:cstheme="minorHAnsi"/>
                <w:color w:val="FFFFFF" w:themeColor="background1"/>
                <w:sz w:val="20"/>
                <w:szCs w:val="20"/>
                <w:u w:val="none"/>
                <w:lang w:val="en-US" w:eastAsia="en-US"/>
              </w:rPr>
            </w:pPr>
            <w:r w:rsidRPr="003B1DE6">
              <w:rPr>
                <w:rFonts w:asciiTheme="minorHAnsi" w:hAnsiTheme="minorHAnsi" w:cstheme="minorHAnsi"/>
                <w:color w:val="FFFFFF" w:themeColor="background1"/>
                <w:sz w:val="20"/>
                <w:szCs w:val="20"/>
                <w:u w:val="none"/>
                <w:lang w:val="en-US" w:eastAsia="en-US"/>
              </w:rPr>
              <w:t>Total</w:t>
            </w:r>
          </w:p>
        </w:tc>
        <w:tc>
          <w:tcPr>
            <w:tcW w:w="2488" w:type="dxa"/>
            <w:gridSpan w:val="2"/>
            <w:shd w:val="clear" w:color="auto" w:fill="69A2B0"/>
            <w:noWrap/>
            <w:vAlign w:val="center"/>
            <w:hideMark/>
          </w:tcPr>
          <w:p w14:paraId="723E3DE8" w14:textId="234A6EB5" w:rsidR="00337FD9" w:rsidRPr="003B1DE6" w:rsidRDefault="0021017B" w:rsidP="00447313">
            <w:pPr>
              <w:autoSpaceDE/>
              <w:autoSpaceDN/>
              <w:adjustRightInd/>
              <w:spacing w:after="0"/>
              <w:jc w:val="both"/>
              <w:textAlignment w:val="auto"/>
              <w:rPr>
                <w:rFonts w:asciiTheme="minorHAnsi" w:hAnsiTheme="minorHAnsi" w:cstheme="minorHAnsi"/>
                <w:color w:val="FFFFFF" w:themeColor="background1"/>
                <w:sz w:val="20"/>
                <w:szCs w:val="20"/>
                <w:u w:val="none"/>
                <w:lang w:val="en-US" w:eastAsia="en-US"/>
              </w:rPr>
            </w:pPr>
            <w:r w:rsidRPr="003B1DE6">
              <w:rPr>
                <w:rFonts w:asciiTheme="minorHAnsi" w:hAnsiTheme="minorHAnsi" w:cstheme="minorHAnsi"/>
                <w:color w:val="FFFFFF" w:themeColor="background1"/>
                <w:sz w:val="20"/>
                <w:szCs w:val="20"/>
                <w:u w:val="none"/>
                <w:lang w:val="en-US" w:eastAsia="en-US"/>
              </w:rPr>
              <w:t>$454,312.53</w:t>
            </w:r>
          </w:p>
        </w:tc>
        <w:tc>
          <w:tcPr>
            <w:tcW w:w="2488" w:type="dxa"/>
            <w:shd w:val="clear" w:color="auto" w:fill="69A2B0"/>
            <w:vAlign w:val="center"/>
          </w:tcPr>
          <w:p w14:paraId="58D9E4A4" w14:textId="7C88B5F8" w:rsidR="00337FD9" w:rsidRPr="003B1DE6" w:rsidRDefault="0021017B" w:rsidP="00447313">
            <w:pPr>
              <w:autoSpaceDE/>
              <w:autoSpaceDN/>
              <w:adjustRightInd/>
              <w:spacing w:after="0"/>
              <w:jc w:val="both"/>
              <w:textAlignment w:val="auto"/>
              <w:rPr>
                <w:rFonts w:asciiTheme="minorHAnsi" w:hAnsiTheme="minorHAnsi" w:cstheme="minorHAnsi"/>
                <w:color w:val="FFFFFF" w:themeColor="background1"/>
                <w:sz w:val="20"/>
                <w:szCs w:val="20"/>
                <w:u w:val="none"/>
                <w:lang w:val="en-US" w:eastAsia="en-US"/>
              </w:rPr>
            </w:pPr>
            <w:r w:rsidRPr="003B1DE6">
              <w:rPr>
                <w:rFonts w:asciiTheme="minorHAnsi" w:hAnsiTheme="minorHAnsi" w:cstheme="minorHAnsi"/>
                <w:color w:val="FFFFFF" w:themeColor="background1"/>
                <w:sz w:val="20"/>
                <w:szCs w:val="20"/>
                <w:u w:val="none"/>
                <w:lang w:val="en-US" w:eastAsia="en-US"/>
              </w:rPr>
              <w:t>$654,447.99</w:t>
            </w:r>
          </w:p>
        </w:tc>
        <w:tc>
          <w:tcPr>
            <w:tcW w:w="2488" w:type="dxa"/>
            <w:shd w:val="clear" w:color="auto" w:fill="69A2B0"/>
            <w:vAlign w:val="center"/>
          </w:tcPr>
          <w:p w14:paraId="25225A54" w14:textId="5198F836" w:rsidR="00337FD9" w:rsidRPr="003B1DE6" w:rsidRDefault="0021017B" w:rsidP="00447313">
            <w:pPr>
              <w:autoSpaceDE/>
              <w:autoSpaceDN/>
              <w:adjustRightInd/>
              <w:spacing w:after="0"/>
              <w:jc w:val="both"/>
              <w:textAlignment w:val="auto"/>
              <w:rPr>
                <w:rFonts w:asciiTheme="minorHAnsi" w:hAnsiTheme="minorHAnsi" w:cstheme="minorHAnsi"/>
                <w:color w:val="FFFFFF" w:themeColor="background1"/>
                <w:sz w:val="20"/>
                <w:szCs w:val="20"/>
                <w:u w:val="none"/>
                <w:lang w:val="en-US" w:eastAsia="en-US"/>
              </w:rPr>
            </w:pPr>
            <w:r w:rsidRPr="003B1DE6">
              <w:rPr>
                <w:rFonts w:asciiTheme="minorHAnsi" w:hAnsiTheme="minorHAnsi" w:cstheme="minorHAnsi"/>
                <w:color w:val="FFFFFF" w:themeColor="background1"/>
                <w:sz w:val="20"/>
                <w:szCs w:val="20"/>
                <w:u w:val="none"/>
                <w:lang w:val="en-US" w:eastAsia="en-US"/>
              </w:rPr>
              <w:t>$1,108,760.52</w:t>
            </w:r>
          </w:p>
        </w:tc>
      </w:tr>
    </w:tbl>
    <w:p w14:paraId="7E432E58" w14:textId="4D028C20" w:rsidR="00E1032F" w:rsidRDefault="00E1032F" w:rsidP="00447313">
      <w:pPr>
        <w:spacing w:line="288" w:lineRule="auto"/>
        <w:jc w:val="both"/>
        <w:rPr>
          <w:rFonts w:asciiTheme="minorHAnsi" w:hAnsiTheme="minorHAnsi" w:cstheme="minorHAnsi"/>
          <w:lang w:eastAsia="en-US"/>
        </w:rPr>
      </w:pPr>
    </w:p>
    <w:p w14:paraId="63E4DDBC" w14:textId="5E1B50A2" w:rsidR="00E1032F" w:rsidRDefault="00E1032F" w:rsidP="00447313">
      <w:pPr>
        <w:spacing w:line="288" w:lineRule="auto"/>
        <w:jc w:val="both"/>
        <w:rPr>
          <w:rFonts w:asciiTheme="minorHAnsi" w:hAnsiTheme="minorHAnsi" w:cstheme="minorHAnsi"/>
          <w:lang w:eastAsia="en-US"/>
        </w:rPr>
      </w:pPr>
    </w:p>
    <w:p w14:paraId="58F140CD" w14:textId="3A4FCC2B" w:rsidR="00E1032F" w:rsidRDefault="00E1032F" w:rsidP="00447313">
      <w:pPr>
        <w:spacing w:line="288" w:lineRule="auto"/>
        <w:jc w:val="both"/>
        <w:rPr>
          <w:rFonts w:asciiTheme="minorHAnsi" w:hAnsiTheme="minorHAnsi" w:cstheme="minorHAnsi"/>
          <w:lang w:eastAsia="en-US"/>
        </w:rPr>
      </w:pPr>
    </w:p>
    <w:p w14:paraId="22586357" w14:textId="33E7D2A7" w:rsidR="00E1032F" w:rsidRDefault="00E1032F" w:rsidP="00447313">
      <w:pPr>
        <w:spacing w:line="288" w:lineRule="auto"/>
        <w:jc w:val="both"/>
        <w:rPr>
          <w:rFonts w:asciiTheme="minorHAnsi" w:hAnsiTheme="minorHAnsi" w:cstheme="minorHAnsi"/>
          <w:lang w:eastAsia="en-US"/>
        </w:rPr>
      </w:pPr>
    </w:p>
    <w:p w14:paraId="184FD1FD" w14:textId="77777777" w:rsidR="0075505D" w:rsidRDefault="0075505D" w:rsidP="00447313">
      <w:pPr>
        <w:spacing w:line="288" w:lineRule="auto"/>
        <w:jc w:val="both"/>
        <w:rPr>
          <w:rFonts w:asciiTheme="minorHAnsi" w:hAnsiTheme="minorHAnsi" w:cstheme="minorHAnsi"/>
          <w:lang w:eastAsia="en-US"/>
        </w:rPr>
        <w:sectPr w:rsidR="0075505D" w:rsidSect="00EE709B">
          <w:endnotePr>
            <w:numFmt w:val="decimal"/>
          </w:endnotePr>
          <w:pgSz w:w="11906" w:h="16838" w:code="9"/>
          <w:pgMar w:top="1418" w:right="1133" w:bottom="1135" w:left="1418" w:header="709" w:footer="624" w:gutter="0"/>
          <w:cols w:space="567"/>
          <w:docGrid w:linePitch="360"/>
        </w:sectPr>
      </w:pPr>
    </w:p>
    <w:p w14:paraId="1FF6881B" w14:textId="77777777" w:rsidR="00166D44" w:rsidRPr="00166D44" w:rsidRDefault="00166D44" w:rsidP="00447313">
      <w:pPr>
        <w:autoSpaceDE/>
        <w:autoSpaceDN/>
        <w:adjustRightInd/>
        <w:spacing w:after="160" w:line="259" w:lineRule="auto"/>
        <w:jc w:val="both"/>
        <w:textAlignment w:val="auto"/>
        <w:rPr>
          <w:rFonts w:ascii="Arial" w:hAnsi="Arial" w:cs="Arial"/>
          <w:bCs/>
          <w:color w:val="822B6A"/>
          <w:kern w:val="32"/>
          <w:sz w:val="28"/>
          <w:szCs w:val="28"/>
          <w:u w:val="none"/>
        </w:rPr>
      </w:pPr>
      <w:r w:rsidRPr="00166D44">
        <w:rPr>
          <w:rFonts w:ascii="Arial" w:hAnsi="Arial" w:cs="Arial"/>
          <w:bCs/>
          <w:color w:val="822B6A"/>
          <w:kern w:val="32"/>
          <w:sz w:val="28"/>
          <w:szCs w:val="28"/>
          <w:u w:val="none"/>
        </w:rPr>
        <w:t>Annex 4 Management responses</w:t>
      </w:r>
    </w:p>
    <w:p w14:paraId="4FD03811" w14:textId="77777777" w:rsidR="00166D44" w:rsidRPr="002913D3" w:rsidRDefault="00166D44" w:rsidP="00447313">
      <w:pPr>
        <w:autoSpaceDE/>
        <w:autoSpaceDN/>
        <w:adjustRightInd/>
        <w:spacing w:after="160" w:line="259" w:lineRule="auto"/>
        <w:jc w:val="both"/>
        <w:textAlignment w:val="auto"/>
        <w:rPr>
          <w:rFonts w:ascii="Arial" w:hAnsi="Arial" w:cs="Arial"/>
          <w:b w:val="0"/>
          <w:bCs/>
          <w:color w:val="000000"/>
          <w:kern w:val="32"/>
          <w:sz w:val="21"/>
          <w:szCs w:val="21"/>
          <w:u w:val="none"/>
        </w:rPr>
      </w:pPr>
      <w:r w:rsidRPr="002913D3">
        <w:rPr>
          <w:rFonts w:ascii="Arial" w:hAnsi="Arial" w:cs="Arial"/>
          <w:b w:val="0"/>
          <w:bCs/>
          <w:color w:val="000000"/>
          <w:kern w:val="32"/>
          <w:sz w:val="21"/>
          <w:szCs w:val="21"/>
          <w:u w:val="none"/>
        </w:rPr>
        <w:t>Previous report recommendations and management response – action and progress (from August 2018)</w:t>
      </w:r>
    </w:p>
    <w:tbl>
      <w:tblPr>
        <w:tblW w:w="5356" w:type="pct"/>
        <w:tblInd w:w="-545" w:type="dxa"/>
        <w:tblBorders>
          <w:top w:val="single" w:sz="4" w:space="0" w:color="69A2B0"/>
          <w:left w:val="single" w:sz="4" w:space="0" w:color="69A2B0"/>
          <w:bottom w:val="single" w:sz="4" w:space="0" w:color="69A2B0"/>
          <w:right w:val="single" w:sz="4" w:space="0" w:color="69A2B0"/>
          <w:insideH w:val="single" w:sz="4" w:space="0" w:color="69A2B0"/>
          <w:insideV w:val="single" w:sz="4" w:space="0" w:color="69A2B0"/>
        </w:tblBorders>
        <w:tblLook w:val="0000" w:firstRow="0" w:lastRow="0" w:firstColumn="0" w:lastColumn="0" w:noHBand="0" w:noVBand="0"/>
      </w:tblPr>
      <w:tblGrid>
        <w:gridCol w:w="1896"/>
        <w:gridCol w:w="3538"/>
        <w:gridCol w:w="3777"/>
        <w:gridCol w:w="2395"/>
        <w:gridCol w:w="3685"/>
      </w:tblGrid>
      <w:tr w:rsidR="00166D44" w:rsidRPr="00166D44" w14:paraId="1C984D69" w14:textId="77777777" w:rsidTr="00D0536E">
        <w:trPr>
          <w:cantSplit/>
          <w:trHeight w:val="485"/>
          <w:tblHeader/>
        </w:trPr>
        <w:tc>
          <w:tcPr>
            <w:tcW w:w="620" w:type="pct"/>
            <w:shd w:val="clear" w:color="auto" w:fill="69A2B0"/>
            <w:vAlign w:val="center"/>
          </w:tcPr>
          <w:p w14:paraId="0203D03A" w14:textId="77777777" w:rsidR="00166D44" w:rsidRPr="00166D44" w:rsidRDefault="00166D44" w:rsidP="00447313">
            <w:pPr>
              <w:autoSpaceDE/>
              <w:autoSpaceDN/>
              <w:adjustRightInd/>
              <w:spacing w:after="160" w:line="259" w:lineRule="auto"/>
              <w:jc w:val="both"/>
              <w:textAlignment w:val="auto"/>
              <w:rPr>
                <w:rFonts w:ascii="Arial" w:eastAsia="Calibri" w:hAnsi="Arial" w:cs="Arial"/>
                <w:b w:val="0"/>
                <w:color w:val="FFFFFF"/>
                <w:sz w:val="20"/>
                <w:szCs w:val="20"/>
                <w:u w:val="none"/>
                <w:lang w:val="en-US" w:eastAsia="en-US"/>
              </w:rPr>
            </w:pPr>
            <w:r w:rsidRPr="00166D44">
              <w:rPr>
                <w:rFonts w:ascii="Arial" w:eastAsia="Calibri" w:hAnsi="Arial" w:cs="Arial"/>
                <w:b w:val="0"/>
                <w:color w:val="FFFFFF"/>
                <w:sz w:val="20"/>
                <w:szCs w:val="20"/>
                <w:u w:val="none"/>
                <w:lang w:val="en-US" w:eastAsia="en-US"/>
              </w:rPr>
              <w:t>Key Area</w:t>
            </w:r>
          </w:p>
        </w:tc>
        <w:tc>
          <w:tcPr>
            <w:tcW w:w="1157" w:type="pct"/>
            <w:shd w:val="clear" w:color="auto" w:fill="69A2B0"/>
            <w:vAlign w:val="center"/>
          </w:tcPr>
          <w:p w14:paraId="6757F1B2" w14:textId="77777777" w:rsidR="00166D44" w:rsidRPr="00166D44" w:rsidRDefault="00166D44" w:rsidP="00447313">
            <w:pPr>
              <w:autoSpaceDE/>
              <w:autoSpaceDN/>
              <w:adjustRightInd/>
              <w:spacing w:after="160" w:line="259" w:lineRule="auto"/>
              <w:jc w:val="both"/>
              <w:textAlignment w:val="auto"/>
              <w:rPr>
                <w:rFonts w:ascii="Arial" w:eastAsia="Calibri" w:hAnsi="Arial" w:cs="Arial"/>
                <w:b w:val="0"/>
                <w:color w:val="FFFFFF"/>
                <w:sz w:val="20"/>
                <w:szCs w:val="20"/>
                <w:u w:val="none"/>
                <w:lang w:val="en-US" w:eastAsia="en-US"/>
              </w:rPr>
            </w:pPr>
            <w:r w:rsidRPr="00166D44">
              <w:rPr>
                <w:rFonts w:ascii="Arial" w:eastAsia="Calibri" w:hAnsi="Arial" w:cs="Arial"/>
                <w:b w:val="0"/>
                <w:color w:val="FFFFFF"/>
                <w:sz w:val="20"/>
                <w:szCs w:val="20"/>
                <w:u w:val="none"/>
                <w:lang w:val="en-US" w:eastAsia="en-US"/>
              </w:rPr>
              <w:t>Recommendations</w:t>
            </w:r>
          </w:p>
        </w:tc>
        <w:tc>
          <w:tcPr>
            <w:tcW w:w="1235" w:type="pct"/>
            <w:shd w:val="clear" w:color="auto" w:fill="69A2B0"/>
            <w:vAlign w:val="center"/>
          </w:tcPr>
          <w:p w14:paraId="33E03573" w14:textId="77777777" w:rsidR="00166D44" w:rsidRPr="00166D44" w:rsidRDefault="00166D44" w:rsidP="00447313">
            <w:pPr>
              <w:autoSpaceDE/>
              <w:autoSpaceDN/>
              <w:adjustRightInd/>
              <w:spacing w:after="160" w:line="259" w:lineRule="auto"/>
              <w:jc w:val="both"/>
              <w:textAlignment w:val="auto"/>
              <w:rPr>
                <w:rFonts w:ascii="Arial" w:eastAsia="Calibri" w:hAnsi="Arial" w:cs="Arial"/>
                <w:b w:val="0"/>
                <w:color w:val="FFFFFF"/>
                <w:sz w:val="20"/>
                <w:szCs w:val="20"/>
                <w:u w:val="none"/>
                <w:lang w:val="en-US" w:eastAsia="en-US"/>
              </w:rPr>
            </w:pPr>
            <w:r w:rsidRPr="00166D44">
              <w:rPr>
                <w:rFonts w:ascii="Arial" w:eastAsia="Calibri" w:hAnsi="Arial" w:cs="Arial"/>
                <w:b w:val="0"/>
                <w:color w:val="FFFFFF"/>
                <w:sz w:val="20"/>
                <w:szCs w:val="20"/>
                <w:u w:val="none"/>
                <w:lang w:val="en-US" w:eastAsia="en-US"/>
              </w:rPr>
              <w:t>Management response</w:t>
            </w:r>
          </w:p>
        </w:tc>
        <w:tc>
          <w:tcPr>
            <w:tcW w:w="783" w:type="pct"/>
            <w:shd w:val="clear" w:color="auto" w:fill="69A2B0"/>
            <w:vAlign w:val="center"/>
          </w:tcPr>
          <w:p w14:paraId="3B6F49F4" w14:textId="77777777" w:rsidR="00166D44" w:rsidRPr="00166D44" w:rsidRDefault="00166D44" w:rsidP="00447313">
            <w:pPr>
              <w:autoSpaceDE/>
              <w:autoSpaceDN/>
              <w:adjustRightInd/>
              <w:spacing w:after="160" w:line="259" w:lineRule="auto"/>
              <w:jc w:val="both"/>
              <w:textAlignment w:val="auto"/>
              <w:rPr>
                <w:rFonts w:ascii="Arial" w:eastAsia="Calibri" w:hAnsi="Arial" w:cs="Arial"/>
                <w:b w:val="0"/>
                <w:color w:val="FFFFFF"/>
                <w:sz w:val="20"/>
                <w:szCs w:val="20"/>
                <w:u w:val="none"/>
                <w:lang w:val="en-US" w:eastAsia="en-US"/>
              </w:rPr>
            </w:pPr>
            <w:r w:rsidRPr="00166D44">
              <w:rPr>
                <w:rFonts w:ascii="Arial" w:eastAsia="Calibri" w:hAnsi="Arial" w:cs="Arial"/>
                <w:b w:val="0"/>
                <w:color w:val="FFFFFF"/>
                <w:sz w:val="20"/>
                <w:szCs w:val="20"/>
                <w:u w:val="none"/>
                <w:lang w:val="en-US" w:eastAsia="en-US"/>
              </w:rPr>
              <w:t>Responsibility</w:t>
            </w:r>
          </w:p>
        </w:tc>
        <w:tc>
          <w:tcPr>
            <w:tcW w:w="1205" w:type="pct"/>
            <w:shd w:val="clear" w:color="auto" w:fill="69A2B0"/>
            <w:vAlign w:val="center"/>
          </w:tcPr>
          <w:p w14:paraId="3774F2ED" w14:textId="77777777" w:rsidR="00166D44" w:rsidRPr="00166D44" w:rsidRDefault="00166D44" w:rsidP="00447313">
            <w:pPr>
              <w:autoSpaceDE/>
              <w:autoSpaceDN/>
              <w:adjustRightInd/>
              <w:spacing w:after="160" w:line="259" w:lineRule="auto"/>
              <w:jc w:val="both"/>
              <w:textAlignment w:val="auto"/>
              <w:rPr>
                <w:rFonts w:ascii="Arial" w:eastAsia="Calibri" w:hAnsi="Arial" w:cs="Arial"/>
                <w:b w:val="0"/>
                <w:color w:val="FFFFFF"/>
                <w:sz w:val="20"/>
                <w:szCs w:val="20"/>
                <w:u w:val="none"/>
                <w:lang w:val="en-US" w:eastAsia="en-US"/>
              </w:rPr>
            </w:pPr>
            <w:r w:rsidRPr="00166D44">
              <w:rPr>
                <w:rFonts w:ascii="Arial" w:eastAsia="Calibri" w:hAnsi="Arial" w:cs="Arial"/>
                <w:b w:val="0"/>
                <w:color w:val="FFFFFF"/>
                <w:sz w:val="20"/>
                <w:szCs w:val="20"/>
                <w:u w:val="none"/>
                <w:lang w:val="en-US" w:eastAsia="en-US"/>
              </w:rPr>
              <w:t>Progress</w:t>
            </w:r>
          </w:p>
        </w:tc>
      </w:tr>
      <w:tr w:rsidR="00166D44" w:rsidRPr="00166D44" w14:paraId="0019737C" w14:textId="77777777" w:rsidTr="00166D44">
        <w:trPr>
          <w:trHeight w:val="800"/>
        </w:trPr>
        <w:tc>
          <w:tcPr>
            <w:tcW w:w="620" w:type="pct"/>
            <w:vMerge w:val="restart"/>
            <w:shd w:val="clear" w:color="auto" w:fill="D5DCE4"/>
          </w:tcPr>
          <w:p w14:paraId="19DE6A6C"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Services</w:t>
            </w:r>
          </w:p>
        </w:tc>
        <w:tc>
          <w:tcPr>
            <w:tcW w:w="1157" w:type="pct"/>
          </w:tcPr>
          <w:p w14:paraId="04A56A55" w14:textId="77777777"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r w:rsidRPr="00166D44">
              <w:rPr>
                <w:rFonts w:ascii="Arial" w:eastAsia="Calibri" w:hAnsi="Arial" w:cs="Arial"/>
                <w:b w:val="0"/>
                <w:color w:val="auto"/>
                <w:sz w:val="20"/>
                <w:szCs w:val="20"/>
                <w:u w:val="none"/>
                <w:lang w:val="en-US" w:eastAsia="en-US"/>
              </w:rPr>
              <w:t>Client data to be disaggregated by LGBTI/ other vulnerable groups.</w:t>
            </w:r>
          </w:p>
        </w:tc>
        <w:tc>
          <w:tcPr>
            <w:tcW w:w="1235" w:type="pct"/>
          </w:tcPr>
          <w:p w14:paraId="58ED0217"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Update partner narrative reporting template.</w:t>
            </w:r>
          </w:p>
        </w:tc>
        <w:tc>
          <w:tcPr>
            <w:tcW w:w="783" w:type="pct"/>
          </w:tcPr>
          <w:p w14:paraId="17760393"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Team Leader</w:t>
            </w:r>
          </w:p>
          <w:p w14:paraId="2573E25D"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Partnerships Manager</w:t>
            </w:r>
          </w:p>
        </w:tc>
        <w:tc>
          <w:tcPr>
            <w:tcW w:w="1205" w:type="pct"/>
          </w:tcPr>
          <w:p w14:paraId="69BFD9F5"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Completed.</w:t>
            </w:r>
          </w:p>
        </w:tc>
      </w:tr>
      <w:tr w:rsidR="00166D44" w:rsidRPr="00166D44" w14:paraId="509214CE" w14:textId="77777777" w:rsidTr="00166D44">
        <w:trPr>
          <w:trHeight w:val="800"/>
        </w:trPr>
        <w:tc>
          <w:tcPr>
            <w:tcW w:w="620" w:type="pct"/>
            <w:vMerge/>
            <w:shd w:val="clear" w:color="auto" w:fill="D5DCE4"/>
          </w:tcPr>
          <w:p w14:paraId="6B70099A"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p>
        </w:tc>
        <w:tc>
          <w:tcPr>
            <w:tcW w:w="1157" w:type="pct"/>
          </w:tcPr>
          <w:p w14:paraId="442D4392" w14:textId="77777777"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r w:rsidRPr="00166D44">
              <w:rPr>
                <w:rFonts w:ascii="Arial" w:eastAsia="Calibri" w:hAnsi="Arial" w:cs="Arial"/>
                <w:b w:val="0"/>
                <w:color w:val="auto"/>
                <w:sz w:val="20"/>
                <w:szCs w:val="20"/>
                <w:u w:val="none"/>
                <w:lang w:val="en-US" w:eastAsia="en-US"/>
              </w:rPr>
              <w:t>For referrals in Manufahi, develop mechanism to track whether they are related to CBA work.</w:t>
            </w:r>
          </w:p>
        </w:tc>
        <w:tc>
          <w:tcPr>
            <w:tcW w:w="1235" w:type="pct"/>
          </w:tcPr>
          <w:p w14:paraId="17860B70"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Trace referrals from Manufahi, where possible, including referrals from CMs and new Uma Mahon.</w:t>
            </w:r>
          </w:p>
        </w:tc>
        <w:tc>
          <w:tcPr>
            <w:tcW w:w="783" w:type="pct"/>
          </w:tcPr>
          <w:p w14:paraId="0C718189"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Services Manager</w:t>
            </w:r>
          </w:p>
          <w:p w14:paraId="798320EF"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Municipal Officer</w:t>
            </w:r>
          </w:p>
        </w:tc>
        <w:tc>
          <w:tcPr>
            <w:tcW w:w="1205" w:type="pct"/>
          </w:tcPr>
          <w:p w14:paraId="36936B8F"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No progress. Issues with client confidentiality. 4 referrals were made by CMs (based on CBA monitoring).</w:t>
            </w:r>
          </w:p>
        </w:tc>
      </w:tr>
      <w:tr w:rsidR="00166D44" w:rsidRPr="00166D44" w14:paraId="5E79FE52" w14:textId="77777777" w:rsidTr="00166D44">
        <w:trPr>
          <w:trHeight w:val="800"/>
        </w:trPr>
        <w:tc>
          <w:tcPr>
            <w:tcW w:w="620" w:type="pct"/>
            <w:vMerge/>
            <w:shd w:val="clear" w:color="auto" w:fill="D5DCE4"/>
          </w:tcPr>
          <w:p w14:paraId="0F350419"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p>
        </w:tc>
        <w:tc>
          <w:tcPr>
            <w:tcW w:w="1157" w:type="pct"/>
          </w:tcPr>
          <w:p w14:paraId="7FEADDB6" w14:textId="77777777"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r w:rsidRPr="00166D44">
              <w:rPr>
                <w:rFonts w:ascii="Arial" w:eastAsia="Calibri" w:hAnsi="Arial" w:cs="Arial"/>
                <w:b w:val="0"/>
                <w:color w:val="auto"/>
                <w:sz w:val="20"/>
                <w:szCs w:val="20"/>
                <w:u w:val="none"/>
                <w:lang w:val="en-US" w:eastAsia="en-US"/>
              </w:rPr>
              <w:t>The referrals sources need to be further clarified e.g. define who are ‘community leaders’, be more specific in list of ‘other NGOs’.</w:t>
            </w:r>
          </w:p>
        </w:tc>
        <w:tc>
          <w:tcPr>
            <w:tcW w:w="1235" w:type="pct"/>
          </w:tcPr>
          <w:p w14:paraId="70489CE1"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Update partner narrative reporting template.</w:t>
            </w:r>
          </w:p>
        </w:tc>
        <w:tc>
          <w:tcPr>
            <w:tcW w:w="783" w:type="pct"/>
          </w:tcPr>
          <w:p w14:paraId="2CB7570E"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Team Leader</w:t>
            </w:r>
          </w:p>
          <w:p w14:paraId="10937C8B"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Partnerships Manager</w:t>
            </w:r>
          </w:p>
        </w:tc>
        <w:tc>
          <w:tcPr>
            <w:tcW w:w="1205" w:type="pct"/>
          </w:tcPr>
          <w:p w14:paraId="051DACC7"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Completed.</w:t>
            </w:r>
          </w:p>
        </w:tc>
      </w:tr>
      <w:tr w:rsidR="00166D44" w:rsidRPr="00166D44" w14:paraId="39C5AB82" w14:textId="77777777" w:rsidTr="00166D44">
        <w:trPr>
          <w:trHeight w:val="800"/>
        </w:trPr>
        <w:tc>
          <w:tcPr>
            <w:tcW w:w="620" w:type="pct"/>
            <w:vMerge/>
            <w:shd w:val="clear" w:color="auto" w:fill="D5DCE4"/>
          </w:tcPr>
          <w:p w14:paraId="091E7A31"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p>
        </w:tc>
        <w:tc>
          <w:tcPr>
            <w:tcW w:w="1157" w:type="pct"/>
          </w:tcPr>
          <w:p w14:paraId="71425A94" w14:textId="77777777"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r w:rsidRPr="00166D44">
              <w:rPr>
                <w:rFonts w:ascii="Arial" w:eastAsia="Calibri" w:hAnsi="Arial" w:cs="Arial"/>
                <w:b w:val="0"/>
                <w:color w:val="auto"/>
                <w:sz w:val="20"/>
                <w:szCs w:val="20"/>
                <w:u w:val="none"/>
                <w:lang w:val="en-US" w:eastAsia="en-US"/>
              </w:rPr>
              <w:t>Monitor what is happening with the new Uma Mahon in Letefoho, and if required provide TA through services team &amp; Cert III.</w:t>
            </w:r>
          </w:p>
        </w:tc>
        <w:tc>
          <w:tcPr>
            <w:tcW w:w="1235" w:type="pct"/>
          </w:tcPr>
          <w:p w14:paraId="1999C320"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Municipal Officer and Services Manager to visit Uma Mahon and assess capacity and needs.</w:t>
            </w:r>
          </w:p>
        </w:tc>
        <w:tc>
          <w:tcPr>
            <w:tcW w:w="783" w:type="pct"/>
          </w:tcPr>
          <w:p w14:paraId="3ADF50B5"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Services Manager</w:t>
            </w:r>
          </w:p>
          <w:p w14:paraId="2427FE6E"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Municipal Officer</w:t>
            </w:r>
          </w:p>
        </w:tc>
        <w:tc>
          <w:tcPr>
            <w:tcW w:w="1205" w:type="pct"/>
          </w:tcPr>
          <w:p w14:paraId="2D589129"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Completed. Visit undertaken, and two staff enrolled in the Certificate III course starting January 2019.</w:t>
            </w:r>
          </w:p>
        </w:tc>
      </w:tr>
      <w:tr w:rsidR="00166D44" w:rsidRPr="00166D44" w14:paraId="3D38EFCC" w14:textId="77777777" w:rsidTr="00166D44">
        <w:trPr>
          <w:trHeight w:val="800"/>
        </w:trPr>
        <w:tc>
          <w:tcPr>
            <w:tcW w:w="620" w:type="pct"/>
            <w:vMerge/>
            <w:shd w:val="clear" w:color="auto" w:fill="D5DCE4"/>
          </w:tcPr>
          <w:p w14:paraId="6F517D5B"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p>
        </w:tc>
        <w:tc>
          <w:tcPr>
            <w:tcW w:w="1157" w:type="pct"/>
          </w:tcPr>
          <w:p w14:paraId="2442F1D0" w14:textId="77777777"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r w:rsidRPr="00166D44">
              <w:rPr>
                <w:rFonts w:ascii="Arial" w:eastAsia="Calibri" w:hAnsi="Arial" w:cs="Arial"/>
                <w:b w:val="0"/>
                <w:color w:val="auto"/>
                <w:sz w:val="20"/>
                <w:szCs w:val="20"/>
                <w:u w:val="none"/>
                <w:lang w:val="en-US" w:eastAsia="en-US"/>
              </w:rPr>
              <w:t>There are currently no tools assessing women’s suicide risk, and limited support pathways for women at risk of suicide. We need to explore this further.</w:t>
            </w:r>
          </w:p>
        </w:tc>
        <w:tc>
          <w:tcPr>
            <w:tcW w:w="1235" w:type="pct"/>
          </w:tcPr>
          <w:p w14:paraId="374385D0"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Engage consultant to develop these tools.</w:t>
            </w:r>
          </w:p>
        </w:tc>
        <w:tc>
          <w:tcPr>
            <w:tcW w:w="783" w:type="pct"/>
          </w:tcPr>
          <w:p w14:paraId="347160D1"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Team Leader</w:t>
            </w:r>
          </w:p>
          <w:p w14:paraId="7C9C0D1C"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Services Manager</w:t>
            </w:r>
          </w:p>
        </w:tc>
        <w:tc>
          <w:tcPr>
            <w:tcW w:w="1205" w:type="pct"/>
          </w:tcPr>
          <w:p w14:paraId="09AFED8D" w14:textId="39ECEBDD"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 xml:space="preserve">On hold. Existing tools could be adapted. </w:t>
            </w:r>
            <w:r w:rsidR="00B17EEB" w:rsidRPr="00166D44">
              <w:rPr>
                <w:rFonts w:ascii="Arial" w:hAnsi="Arial" w:cs="Arial"/>
                <w:b w:val="0"/>
                <w:color w:val="auto"/>
                <w:sz w:val="20"/>
                <w:szCs w:val="20"/>
                <w:u w:val="none"/>
                <w:lang w:val="en-US" w:eastAsia="en-US"/>
              </w:rPr>
              <w:t>Dr.</w:t>
            </w:r>
            <w:r w:rsidRPr="00166D44">
              <w:rPr>
                <w:rFonts w:ascii="Arial" w:hAnsi="Arial" w:cs="Arial"/>
                <w:b w:val="0"/>
                <w:color w:val="auto"/>
                <w:sz w:val="20"/>
                <w:szCs w:val="20"/>
                <w:u w:val="none"/>
                <w:lang w:val="en-US" w:eastAsia="en-US"/>
              </w:rPr>
              <w:t xml:space="preserve"> Margaret Gibbons will share the tool being introduced to PRADET.</w:t>
            </w:r>
          </w:p>
        </w:tc>
      </w:tr>
      <w:tr w:rsidR="00166D44" w:rsidRPr="00166D44" w14:paraId="24080A64" w14:textId="77777777" w:rsidTr="00166D44">
        <w:trPr>
          <w:trHeight w:val="800"/>
        </w:trPr>
        <w:tc>
          <w:tcPr>
            <w:tcW w:w="620" w:type="pct"/>
            <w:vMerge/>
            <w:shd w:val="clear" w:color="auto" w:fill="D5DCE4"/>
          </w:tcPr>
          <w:p w14:paraId="4C543A14"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p>
        </w:tc>
        <w:tc>
          <w:tcPr>
            <w:tcW w:w="1157" w:type="pct"/>
          </w:tcPr>
          <w:p w14:paraId="5644EA5B" w14:textId="77777777"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r w:rsidRPr="00166D44">
              <w:rPr>
                <w:rFonts w:ascii="Arial" w:eastAsia="Calibri" w:hAnsi="Arial" w:cs="Arial"/>
                <w:b w:val="0"/>
                <w:color w:val="auto"/>
                <w:sz w:val="20"/>
                <w:szCs w:val="20"/>
                <w:u w:val="none"/>
                <w:lang w:val="en-US" w:eastAsia="en-US"/>
              </w:rPr>
              <w:t>Need to consider how to deliver counselling training to people in municipalities.</w:t>
            </w:r>
          </w:p>
        </w:tc>
        <w:tc>
          <w:tcPr>
            <w:tcW w:w="1235" w:type="pct"/>
          </w:tcPr>
          <w:p w14:paraId="2CDF7DC6"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Engage consultant to develop counselling course which could be delivered by national staff.</w:t>
            </w:r>
          </w:p>
          <w:p w14:paraId="14E8F12B"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Change structure of Certificate III course to allow greater participation from staff in the municipalities.</w:t>
            </w:r>
          </w:p>
        </w:tc>
        <w:tc>
          <w:tcPr>
            <w:tcW w:w="783" w:type="pct"/>
          </w:tcPr>
          <w:p w14:paraId="4778C91A"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Team Leader</w:t>
            </w:r>
          </w:p>
          <w:p w14:paraId="7FC7B30C"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Services Manager</w:t>
            </w:r>
          </w:p>
        </w:tc>
        <w:tc>
          <w:tcPr>
            <w:tcW w:w="1205" w:type="pct"/>
          </w:tcPr>
          <w:p w14:paraId="2B2CD3F0"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 xml:space="preserve">In progress. Five-day counselling training course being developed. </w:t>
            </w:r>
          </w:p>
          <w:p w14:paraId="71CB6C56"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Fourteen out of 25 students in the 3</w:t>
            </w:r>
            <w:r w:rsidRPr="00166D44">
              <w:rPr>
                <w:rFonts w:ascii="Arial" w:hAnsi="Arial" w:cs="Arial"/>
                <w:b w:val="0"/>
                <w:color w:val="auto"/>
                <w:sz w:val="20"/>
                <w:szCs w:val="20"/>
                <w:u w:val="none"/>
                <w:vertAlign w:val="superscript"/>
                <w:lang w:val="en-US" w:eastAsia="en-US"/>
              </w:rPr>
              <w:t>rd</w:t>
            </w:r>
            <w:r w:rsidRPr="00166D44">
              <w:rPr>
                <w:rFonts w:ascii="Arial" w:hAnsi="Arial" w:cs="Arial"/>
                <w:b w:val="0"/>
                <w:color w:val="auto"/>
                <w:sz w:val="20"/>
                <w:szCs w:val="20"/>
                <w:u w:val="none"/>
                <w:lang w:val="en-US" w:eastAsia="en-US"/>
              </w:rPr>
              <w:t xml:space="preserve"> round of the Certificate III course are from the municipalities.</w:t>
            </w:r>
          </w:p>
        </w:tc>
      </w:tr>
      <w:tr w:rsidR="00166D44" w:rsidRPr="00166D44" w14:paraId="6F6A54C9" w14:textId="77777777" w:rsidTr="00166D44">
        <w:trPr>
          <w:trHeight w:val="800"/>
        </w:trPr>
        <w:tc>
          <w:tcPr>
            <w:tcW w:w="620" w:type="pct"/>
            <w:vMerge/>
            <w:shd w:val="clear" w:color="auto" w:fill="D5DCE4"/>
          </w:tcPr>
          <w:p w14:paraId="63836E93"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p>
        </w:tc>
        <w:tc>
          <w:tcPr>
            <w:tcW w:w="1157" w:type="pct"/>
          </w:tcPr>
          <w:p w14:paraId="4435EBD9" w14:textId="77777777"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bookmarkStart w:id="195" w:name="_Hlk1999204"/>
            <w:r w:rsidRPr="00166D44">
              <w:rPr>
                <w:rFonts w:ascii="Arial" w:eastAsia="Calibri" w:hAnsi="Arial" w:cs="Arial"/>
                <w:b w:val="0"/>
                <w:color w:val="auto"/>
                <w:sz w:val="20"/>
                <w:szCs w:val="20"/>
                <w:u w:val="none"/>
                <w:lang w:val="en-US" w:eastAsia="en-US"/>
              </w:rPr>
              <w:t>Need to develop tools to track how Certificate III graduates apply their skills to improve service delivery.</w:t>
            </w:r>
            <w:bookmarkEnd w:id="195"/>
          </w:p>
        </w:tc>
        <w:tc>
          <w:tcPr>
            <w:tcW w:w="1235" w:type="pct"/>
          </w:tcPr>
          <w:p w14:paraId="63A5B3A1"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M&amp;E Adviser to develop appropriate tool. Seek support from M&amp;E House.</w:t>
            </w:r>
          </w:p>
        </w:tc>
        <w:tc>
          <w:tcPr>
            <w:tcW w:w="783" w:type="pct"/>
          </w:tcPr>
          <w:p w14:paraId="66E9127C"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Team Leader</w:t>
            </w:r>
          </w:p>
        </w:tc>
        <w:tc>
          <w:tcPr>
            <w:tcW w:w="1205" w:type="pct"/>
          </w:tcPr>
          <w:p w14:paraId="16770793"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In progress. M&amp;E Adviser developed post-training survey tool (February 2019). M&amp;E House will support with other tools.</w:t>
            </w:r>
          </w:p>
        </w:tc>
      </w:tr>
      <w:tr w:rsidR="00166D44" w:rsidRPr="00166D44" w14:paraId="644E068A" w14:textId="77777777" w:rsidTr="00166D44">
        <w:trPr>
          <w:trHeight w:val="800"/>
        </w:trPr>
        <w:tc>
          <w:tcPr>
            <w:tcW w:w="620" w:type="pct"/>
            <w:vMerge/>
            <w:shd w:val="clear" w:color="auto" w:fill="D5DCE4"/>
          </w:tcPr>
          <w:p w14:paraId="5D43A0AC"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p>
        </w:tc>
        <w:tc>
          <w:tcPr>
            <w:tcW w:w="1157" w:type="pct"/>
          </w:tcPr>
          <w:p w14:paraId="0677D7DB" w14:textId="77777777"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r w:rsidRPr="00166D44">
              <w:rPr>
                <w:rFonts w:ascii="Arial" w:eastAsia="Calibri" w:hAnsi="Arial" w:cs="Arial"/>
                <w:b w:val="0"/>
                <w:color w:val="auto"/>
                <w:sz w:val="20"/>
                <w:szCs w:val="20"/>
                <w:u w:val="none"/>
                <w:lang w:val="en-US" w:eastAsia="en-US"/>
              </w:rPr>
              <w:t xml:space="preserve">Need to </w:t>
            </w:r>
            <w:bookmarkStart w:id="196" w:name="_Hlk1999248"/>
            <w:r w:rsidRPr="00166D44">
              <w:rPr>
                <w:rFonts w:ascii="Arial" w:eastAsia="Calibri" w:hAnsi="Arial" w:cs="Arial"/>
                <w:b w:val="0"/>
                <w:color w:val="auto"/>
                <w:sz w:val="20"/>
                <w:szCs w:val="20"/>
                <w:u w:val="none"/>
                <w:lang w:val="en-US" w:eastAsia="en-US"/>
              </w:rPr>
              <w:t>strengthen pre-post assessment of PRADET 4R training participants</w:t>
            </w:r>
            <w:bookmarkEnd w:id="196"/>
            <w:r w:rsidRPr="00166D44">
              <w:rPr>
                <w:rFonts w:ascii="Arial" w:eastAsia="Calibri" w:hAnsi="Arial" w:cs="Arial"/>
                <w:b w:val="0"/>
                <w:color w:val="auto"/>
                <w:sz w:val="20"/>
                <w:szCs w:val="20"/>
                <w:u w:val="none"/>
                <w:lang w:val="en-US" w:eastAsia="en-US"/>
              </w:rPr>
              <w:t>.</w:t>
            </w:r>
          </w:p>
        </w:tc>
        <w:tc>
          <w:tcPr>
            <w:tcW w:w="1235" w:type="pct"/>
          </w:tcPr>
          <w:p w14:paraId="3EA09937"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Seek support from M&amp;E House.</w:t>
            </w:r>
          </w:p>
        </w:tc>
        <w:tc>
          <w:tcPr>
            <w:tcW w:w="783" w:type="pct"/>
          </w:tcPr>
          <w:p w14:paraId="3222B6B6"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Team Leader</w:t>
            </w:r>
          </w:p>
          <w:p w14:paraId="78C834E3"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p>
        </w:tc>
        <w:tc>
          <w:tcPr>
            <w:tcW w:w="1205" w:type="pct"/>
          </w:tcPr>
          <w:p w14:paraId="33A1E153"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In progress. M&amp;E House will provide support in 2019.</w:t>
            </w:r>
          </w:p>
        </w:tc>
      </w:tr>
      <w:tr w:rsidR="00166D44" w:rsidRPr="00166D44" w14:paraId="04999621" w14:textId="77777777" w:rsidTr="00166D44">
        <w:trPr>
          <w:trHeight w:val="800"/>
        </w:trPr>
        <w:tc>
          <w:tcPr>
            <w:tcW w:w="620" w:type="pct"/>
            <w:vMerge/>
            <w:shd w:val="clear" w:color="auto" w:fill="D5DCE4"/>
          </w:tcPr>
          <w:p w14:paraId="205DD0B9"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p>
        </w:tc>
        <w:tc>
          <w:tcPr>
            <w:tcW w:w="1157" w:type="pct"/>
          </w:tcPr>
          <w:p w14:paraId="4A1D14F6" w14:textId="77777777"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r w:rsidRPr="00166D44">
              <w:rPr>
                <w:rFonts w:ascii="Arial" w:eastAsia="Calibri" w:hAnsi="Arial" w:cs="Arial"/>
                <w:b w:val="0"/>
                <w:color w:val="auto"/>
                <w:sz w:val="20"/>
                <w:szCs w:val="20"/>
                <w:u w:val="none"/>
                <w:lang w:val="en-US" w:eastAsia="en-US"/>
              </w:rPr>
              <w:t>Be clear on attribution vs contribution of Nabilan.</w:t>
            </w:r>
          </w:p>
        </w:tc>
        <w:tc>
          <w:tcPr>
            <w:tcW w:w="1235" w:type="pct"/>
          </w:tcPr>
          <w:p w14:paraId="58B9ED58"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Improve in evidence matrix.</w:t>
            </w:r>
          </w:p>
        </w:tc>
        <w:tc>
          <w:tcPr>
            <w:tcW w:w="783" w:type="pct"/>
          </w:tcPr>
          <w:p w14:paraId="6FD329D9"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Team Leader</w:t>
            </w:r>
          </w:p>
        </w:tc>
        <w:tc>
          <w:tcPr>
            <w:tcW w:w="1205" w:type="pct"/>
          </w:tcPr>
          <w:p w14:paraId="12F964B8"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In progress.</w:t>
            </w:r>
          </w:p>
        </w:tc>
      </w:tr>
      <w:tr w:rsidR="00166D44" w:rsidRPr="00166D44" w14:paraId="00BB5071" w14:textId="77777777" w:rsidTr="00166D44">
        <w:trPr>
          <w:trHeight w:val="800"/>
        </w:trPr>
        <w:tc>
          <w:tcPr>
            <w:tcW w:w="620" w:type="pct"/>
            <w:vMerge/>
            <w:shd w:val="clear" w:color="auto" w:fill="D5DCE4"/>
          </w:tcPr>
          <w:p w14:paraId="132114B5"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p>
        </w:tc>
        <w:tc>
          <w:tcPr>
            <w:tcW w:w="1157" w:type="pct"/>
          </w:tcPr>
          <w:p w14:paraId="77241760" w14:textId="77777777"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r w:rsidRPr="00166D44">
              <w:rPr>
                <w:rFonts w:ascii="Arial" w:eastAsia="Calibri" w:hAnsi="Arial" w:cs="Arial"/>
                <w:b w:val="0"/>
                <w:color w:val="auto"/>
                <w:sz w:val="20"/>
                <w:szCs w:val="20"/>
                <w:u w:val="none"/>
                <w:lang w:val="en-US" w:eastAsia="en-US"/>
              </w:rPr>
              <w:t>Need to revise case management tools &amp; review process in light of the evaluation findings.</w:t>
            </w:r>
          </w:p>
        </w:tc>
        <w:tc>
          <w:tcPr>
            <w:tcW w:w="1235" w:type="pct"/>
          </w:tcPr>
          <w:p w14:paraId="3EA1C3D9"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Update case management audit tools.</w:t>
            </w:r>
          </w:p>
        </w:tc>
        <w:tc>
          <w:tcPr>
            <w:tcW w:w="783" w:type="pct"/>
          </w:tcPr>
          <w:p w14:paraId="5EE32CFA"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Team Leader</w:t>
            </w:r>
          </w:p>
          <w:p w14:paraId="4C416828"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Services Manager</w:t>
            </w:r>
          </w:p>
        </w:tc>
        <w:tc>
          <w:tcPr>
            <w:tcW w:w="1205" w:type="pct"/>
          </w:tcPr>
          <w:p w14:paraId="0445B19C" w14:textId="64536538"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Completed. New audit criteria developed in September–October 2018. Audit completed for 207 sample cases.</w:t>
            </w:r>
          </w:p>
        </w:tc>
      </w:tr>
      <w:tr w:rsidR="00166D44" w:rsidRPr="00166D44" w14:paraId="11C64A4F" w14:textId="77777777" w:rsidTr="00166D44">
        <w:trPr>
          <w:trHeight w:val="800"/>
        </w:trPr>
        <w:tc>
          <w:tcPr>
            <w:tcW w:w="620" w:type="pct"/>
            <w:vMerge/>
            <w:shd w:val="clear" w:color="auto" w:fill="D5DCE4"/>
          </w:tcPr>
          <w:p w14:paraId="2D09BD51"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p>
        </w:tc>
        <w:tc>
          <w:tcPr>
            <w:tcW w:w="1157" w:type="pct"/>
          </w:tcPr>
          <w:p w14:paraId="69B0A417" w14:textId="77777777"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r w:rsidRPr="00166D44">
              <w:rPr>
                <w:rFonts w:ascii="Arial" w:eastAsia="Calibri" w:hAnsi="Arial" w:cs="Arial"/>
                <w:b w:val="0"/>
                <w:color w:val="auto"/>
                <w:sz w:val="20"/>
                <w:szCs w:val="20"/>
                <w:u w:val="none"/>
                <w:lang w:val="en-US" w:eastAsia="en-US"/>
              </w:rPr>
              <w:t>Strengthen referral pathways to partners from DPOs, LGBTI community and Estrela.</w:t>
            </w:r>
          </w:p>
        </w:tc>
        <w:tc>
          <w:tcPr>
            <w:tcW w:w="1235" w:type="pct"/>
          </w:tcPr>
          <w:p w14:paraId="3893FFA1"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Invite DPOs and other groups to Nabilan bi-monthly partner meetings. Continue gender, disability &amp; SOGIESC training for partners. Strengthen Certificate III course content on vulnerable groups.</w:t>
            </w:r>
          </w:p>
        </w:tc>
        <w:tc>
          <w:tcPr>
            <w:tcW w:w="783" w:type="pct"/>
          </w:tcPr>
          <w:p w14:paraId="20C289A0"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Services Manager</w:t>
            </w:r>
          </w:p>
          <w:p w14:paraId="62267333"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Partnerships Manager</w:t>
            </w:r>
          </w:p>
          <w:p w14:paraId="781E4E94"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Training &amp; TA Manager</w:t>
            </w:r>
          </w:p>
        </w:tc>
        <w:tc>
          <w:tcPr>
            <w:tcW w:w="1205" w:type="pct"/>
          </w:tcPr>
          <w:p w14:paraId="3DB988EA"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In progress. ADTL and RHTO invited to bi-monthly partner meetings. SOGIESC training delivered once in 2018 and once in 2019. Certificate III course materials are being updated to focus more on marginalised groups, including inviting guest facilitators.</w:t>
            </w:r>
          </w:p>
        </w:tc>
      </w:tr>
      <w:tr w:rsidR="00166D44" w:rsidRPr="00166D44" w14:paraId="7524E4D9" w14:textId="77777777" w:rsidTr="00166D44">
        <w:trPr>
          <w:trHeight w:val="800"/>
        </w:trPr>
        <w:tc>
          <w:tcPr>
            <w:tcW w:w="620" w:type="pct"/>
            <w:vMerge/>
            <w:shd w:val="clear" w:color="auto" w:fill="D5DCE4"/>
          </w:tcPr>
          <w:p w14:paraId="7F1D6F3E"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p>
        </w:tc>
        <w:tc>
          <w:tcPr>
            <w:tcW w:w="1157" w:type="pct"/>
          </w:tcPr>
          <w:p w14:paraId="2741A6B8" w14:textId="77777777"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r w:rsidRPr="00166D44">
              <w:rPr>
                <w:rFonts w:ascii="Arial" w:eastAsia="Calibri" w:hAnsi="Arial" w:cs="Arial"/>
                <w:b w:val="0"/>
                <w:color w:val="auto"/>
                <w:sz w:val="20"/>
                <w:szCs w:val="20"/>
                <w:u w:val="none"/>
                <w:lang w:val="en-US" w:eastAsia="en-US"/>
              </w:rPr>
              <w:t>Need to do more to increase referrals from outside the referral network – e.g. working with church, DPOs.</w:t>
            </w:r>
          </w:p>
        </w:tc>
        <w:tc>
          <w:tcPr>
            <w:tcW w:w="1235" w:type="pct"/>
          </w:tcPr>
          <w:p w14:paraId="1CA5AACD"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Training for DPOs on referral network. Work with church groups in Manufahi.</w:t>
            </w:r>
          </w:p>
        </w:tc>
        <w:tc>
          <w:tcPr>
            <w:tcW w:w="783" w:type="pct"/>
          </w:tcPr>
          <w:p w14:paraId="1A9638AA"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Training &amp; TA Manager</w:t>
            </w:r>
          </w:p>
          <w:p w14:paraId="1008A275"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Municipal Officer</w:t>
            </w:r>
          </w:p>
        </w:tc>
        <w:tc>
          <w:tcPr>
            <w:tcW w:w="1205" w:type="pct"/>
          </w:tcPr>
          <w:p w14:paraId="364D2E08"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In progress. Nabilan began working with church groups in Manufahi as part of KOKOSA!.</w:t>
            </w:r>
          </w:p>
          <w:p w14:paraId="49EBC657"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 xml:space="preserve">Will look for opportunities to provide training for DPOs, possibly through a services partner. </w:t>
            </w:r>
          </w:p>
        </w:tc>
      </w:tr>
      <w:tr w:rsidR="00166D44" w:rsidRPr="00166D44" w14:paraId="768C5AFB" w14:textId="77777777" w:rsidTr="00166D44">
        <w:trPr>
          <w:trHeight w:val="800"/>
        </w:trPr>
        <w:tc>
          <w:tcPr>
            <w:tcW w:w="620" w:type="pct"/>
            <w:vMerge/>
            <w:shd w:val="clear" w:color="auto" w:fill="D5DCE4"/>
          </w:tcPr>
          <w:p w14:paraId="236C5298"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p>
        </w:tc>
        <w:tc>
          <w:tcPr>
            <w:tcW w:w="1157" w:type="pct"/>
          </w:tcPr>
          <w:p w14:paraId="0DA94B24" w14:textId="77777777"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r w:rsidRPr="00166D44">
              <w:rPr>
                <w:rFonts w:ascii="Arial" w:eastAsia="Calibri" w:hAnsi="Arial" w:cs="Arial"/>
                <w:b w:val="0"/>
                <w:color w:val="auto"/>
                <w:sz w:val="20"/>
                <w:szCs w:val="20"/>
                <w:u w:val="none"/>
                <w:lang w:val="en-US" w:eastAsia="en-US"/>
              </w:rPr>
              <w:t>Increase awareness of referral network by engaging with healthcare workers, INS and DPOs</w:t>
            </w:r>
          </w:p>
        </w:tc>
        <w:tc>
          <w:tcPr>
            <w:tcW w:w="1235" w:type="pct"/>
          </w:tcPr>
          <w:p w14:paraId="32B46737"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Training for DPOs on referral network.</w:t>
            </w:r>
          </w:p>
          <w:p w14:paraId="4DE8793A"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 xml:space="preserve">Training for healthcare workers. </w:t>
            </w:r>
          </w:p>
          <w:p w14:paraId="6A7F9483"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Continue 4R training.</w:t>
            </w:r>
          </w:p>
        </w:tc>
        <w:tc>
          <w:tcPr>
            <w:tcW w:w="783" w:type="pct"/>
          </w:tcPr>
          <w:p w14:paraId="3B715BC1"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Training &amp; TA Manager</w:t>
            </w:r>
          </w:p>
          <w:p w14:paraId="06D9BFC0"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p>
        </w:tc>
        <w:tc>
          <w:tcPr>
            <w:tcW w:w="1205" w:type="pct"/>
          </w:tcPr>
          <w:p w14:paraId="6A9DEAE9"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In progress. Conducted training for HAI. Marie Stopes has 3 students in the 3</w:t>
            </w:r>
            <w:r w:rsidRPr="00166D44">
              <w:rPr>
                <w:rFonts w:ascii="Arial" w:hAnsi="Arial" w:cs="Arial"/>
                <w:b w:val="0"/>
                <w:color w:val="auto"/>
                <w:sz w:val="20"/>
                <w:szCs w:val="20"/>
                <w:u w:val="none"/>
                <w:vertAlign w:val="superscript"/>
                <w:lang w:val="en-US" w:eastAsia="en-US"/>
              </w:rPr>
              <w:t>rd</w:t>
            </w:r>
            <w:r w:rsidRPr="00166D44">
              <w:rPr>
                <w:rFonts w:ascii="Arial" w:hAnsi="Arial" w:cs="Arial"/>
                <w:b w:val="0"/>
                <w:color w:val="auto"/>
                <w:sz w:val="20"/>
                <w:szCs w:val="20"/>
                <w:u w:val="none"/>
                <w:lang w:val="en-US" w:eastAsia="en-US"/>
              </w:rPr>
              <w:t xml:space="preserve"> round of the Certificate III course. PRADET continued 4R training. </w:t>
            </w:r>
          </w:p>
          <w:p w14:paraId="4749D565"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Will look for opportunities to provide training for DPOs, possibly through a services partner.</w:t>
            </w:r>
          </w:p>
        </w:tc>
      </w:tr>
      <w:tr w:rsidR="00166D44" w:rsidRPr="00166D44" w14:paraId="214E894A" w14:textId="77777777" w:rsidTr="00166D44">
        <w:trPr>
          <w:trHeight w:val="800"/>
        </w:trPr>
        <w:tc>
          <w:tcPr>
            <w:tcW w:w="620" w:type="pct"/>
            <w:vMerge/>
            <w:shd w:val="clear" w:color="auto" w:fill="D5DCE4"/>
          </w:tcPr>
          <w:p w14:paraId="018B407B"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p>
        </w:tc>
        <w:tc>
          <w:tcPr>
            <w:tcW w:w="1157" w:type="pct"/>
          </w:tcPr>
          <w:p w14:paraId="5635545F" w14:textId="77777777"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r w:rsidRPr="00166D44">
              <w:rPr>
                <w:rFonts w:ascii="Arial" w:eastAsia="Calibri" w:hAnsi="Arial" w:cs="Arial"/>
                <w:b w:val="0"/>
                <w:color w:val="auto"/>
                <w:sz w:val="20"/>
                <w:szCs w:val="20"/>
                <w:u w:val="none"/>
                <w:lang w:val="en-US" w:eastAsia="en-US"/>
              </w:rPr>
              <w:t>Need to understand how clients are being referred by collecting more specific information on referral sources.</w:t>
            </w:r>
          </w:p>
          <w:p w14:paraId="56F2A85D" w14:textId="77777777"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r w:rsidRPr="00166D44">
              <w:rPr>
                <w:rFonts w:ascii="Arial" w:eastAsia="Calibri" w:hAnsi="Arial" w:cs="Arial"/>
                <w:b w:val="0"/>
                <w:color w:val="auto"/>
                <w:sz w:val="20"/>
                <w:szCs w:val="20"/>
                <w:u w:val="none"/>
                <w:lang w:val="en-US" w:eastAsia="en-US"/>
              </w:rPr>
              <w:t>Need to clarify how referrals by family are captured in the data.</w:t>
            </w:r>
          </w:p>
        </w:tc>
        <w:tc>
          <w:tcPr>
            <w:tcW w:w="1235" w:type="pct"/>
          </w:tcPr>
          <w:p w14:paraId="3631D3A6"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Update partner narrative reporting template.</w:t>
            </w:r>
          </w:p>
        </w:tc>
        <w:tc>
          <w:tcPr>
            <w:tcW w:w="783" w:type="pct"/>
          </w:tcPr>
          <w:p w14:paraId="3091554E"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Team Leader</w:t>
            </w:r>
          </w:p>
          <w:p w14:paraId="52826E8C"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Partnerships Manager</w:t>
            </w:r>
          </w:p>
        </w:tc>
        <w:tc>
          <w:tcPr>
            <w:tcW w:w="1205" w:type="pct"/>
          </w:tcPr>
          <w:p w14:paraId="70D7C932"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Completed.</w:t>
            </w:r>
          </w:p>
        </w:tc>
      </w:tr>
      <w:tr w:rsidR="00166D44" w:rsidRPr="00166D44" w14:paraId="6B440E70" w14:textId="77777777" w:rsidTr="00166D44">
        <w:trPr>
          <w:trHeight w:val="800"/>
        </w:trPr>
        <w:tc>
          <w:tcPr>
            <w:tcW w:w="620" w:type="pct"/>
            <w:vMerge/>
            <w:shd w:val="clear" w:color="auto" w:fill="D5DCE4"/>
          </w:tcPr>
          <w:p w14:paraId="5CF594C0"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p>
        </w:tc>
        <w:tc>
          <w:tcPr>
            <w:tcW w:w="1157" w:type="pct"/>
          </w:tcPr>
          <w:p w14:paraId="545884C8" w14:textId="77777777"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r w:rsidRPr="00166D44">
              <w:rPr>
                <w:rFonts w:ascii="Arial" w:eastAsia="Calibri" w:hAnsi="Arial" w:cs="Arial"/>
                <w:b w:val="0"/>
                <w:color w:val="auto"/>
                <w:sz w:val="20"/>
                <w:szCs w:val="20"/>
                <w:u w:val="none"/>
                <w:lang w:val="en-US" w:eastAsia="en-US"/>
              </w:rPr>
              <w:t>Need to engage with PHD on their teenage pregnancy work (manual and church engagement).</w:t>
            </w:r>
          </w:p>
        </w:tc>
        <w:tc>
          <w:tcPr>
            <w:tcW w:w="1235" w:type="pct"/>
          </w:tcPr>
          <w:p w14:paraId="62EAD03C"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Meet with PHD to discuss their strategy.</w:t>
            </w:r>
          </w:p>
        </w:tc>
        <w:tc>
          <w:tcPr>
            <w:tcW w:w="783" w:type="pct"/>
          </w:tcPr>
          <w:p w14:paraId="654376FF"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Team Leader</w:t>
            </w:r>
          </w:p>
        </w:tc>
        <w:tc>
          <w:tcPr>
            <w:tcW w:w="1205" w:type="pct"/>
          </w:tcPr>
          <w:p w14:paraId="6838EF5F"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No progress. Unclear if PHD is continuing this work.</w:t>
            </w:r>
          </w:p>
        </w:tc>
      </w:tr>
      <w:tr w:rsidR="00166D44" w:rsidRPr="00166D44" w14:paraId="1E3AB7A3" w14:textId="77777777" w:rsidTr="00166D44">
        <w:trPr>
          <w:trHeight w:val="800"/>
        </w:trPr>
        <w:tc>
          <w:tcPr>
            <w:tcW w:w="620" w:type="pct"/>
            <w:vMerge/>
            <w:shd w:val="clear" w:color="auto" w:fill="D5DCE4"/>
          </w:tcPr>
          <w:p w14:paraId="2CEAD35A"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p>
        </w:tc>
        <w:tc>
          <w:tcPr>
            <w:tcW w:w="1157" w:type="pct"/>
          </w:tcPr>
          <w:p w14:paraId="47BAF67E" w14:textId="77777777"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r w:rsidRPr="00166D44">
              <w:rPr>
                <w:rFonts w:ascii="Arial" w:eastAsia="Calibri" w:hAnsi="Arial" w:cs="Arial"/>
                <w:b w:val="0"/>
                <w:color w:val="auto"/>
                <w:sz w:val="20"/>
                <w:szCs w:val="20"/>
                <w:u w:val="none"/>
                <w:lang w:val="en-US" w:eastAsia="en-US"/>
              </w:rPr>
              <w:t>Need to strategically engage with church leaders.</w:t>
            </w:r>
          </w:p>
          <w:p w14:paraId="6A8F0E99" w14:textId="77777777"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r w:rsidRPr="00166D44">
              <w:rPr>
                <w:rFonts w:ascii="Arial" w:eastAsia="Calibri" w:hAnsi="Arial" w:cs="Arial"/>
                <w:b w:val="0"/>
                <w:color w:val="auto"/>
                <w:sz w:val="20"/>
                <w:szCs w:val="20"/>
                <w:u w:val="none"/>
                <w:lang w:val="en-US" w:eastAsia="en-US"/>
              </w:rPr>
              <w:t>Identify entry points and linkages with other programs working with the church.</w:t>
            </w:r>
          </w:p>
        </w:tc>
        <w:tc>
          <w:tcPr>
            <w:tcW w:w="1235" w:type="pct"/>
          </w:tcPr>
          <w:p w14:paraId="0D2FE0B9"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Look for opportunities in Manufahi through CBA work.</w:t>
            </w:r>
          </w:p>
        </w:tc>
        <w:tc>
          <w:tcPr>
            <w:tcW w:w="783" w:type="pct"/>
          </w:tcPr>
          <w:p w14:paraId="00CCC438"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Municipal Officer</w:t>
            </w:r>
          </w:p>
        </w:tc>
        <w:tc>
          <w:tcPr>
            <w:tcW w:w="1205" w:type="pct"/>
          </w:tcPr>
          <w:p w14:paraId="4A9055DC"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In progress. Nabilan began working with church groups in Manufahi as part of KOKOSA!.</w:t>
            </w:r>
          </w:p>
        </w:tc>
      </w:tr>
      <w:tr w:rsidR="00166D44" w:rsidRPr="00166D44" w14:paraId="303F3C55" w14:textId="77777777" w:rsidTr="00166D44">
        <w:trPr>
          <w:trHeight w:val="800"/>
        </w:trPr>
        <w:tc>
          <w:tcPr>
            <w:tcW w:w="620" w:type="pct"/>
            <w:vMerge w:val="restart"/>
            <w:shd w:val="clear" w:color="auto" w:fill="D5DCE4"/>
          </w:tcPr>
          <w:p w14:paraId="4DA39792"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Justice</w:t>
            </w:r>
          </w:p>
        </w:tc>
        <w:tc>
          <w:tcPr>
            <w:tcW w:w="1157" w:type="pct"/>
          </w:tcPr>
          <w:p w14:paraId="17FA8E17" w14:textId="512158FF"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r w:rsidRPr="00166D44">
              <w:rPr>
                <w:rFonts w:ascii="Arial" w:eastAsia="Calibri" w:hAnsi="Arial" w:cs="Arial"/>
                <w:b w:val="0"/>
                <w:color w:val="auto"/>
                <w:sz w:val="20"/>
                <w:szCs w:val="20"/>
                <w:u w:val="none"/>
                <w:lang w:val="en-US" w:eastAsia="en-US"/>
              </w:rPr>
              <w:t xml:space="preserve">Need to identify strategies to reduce the use of fines (thorough advocacy, resources &amp; training to judges, </w:t>
            </w:r>
            <w:r w:rsidR="00B17EEB" w:rsidRPr="00166D44">
              <w:rPr>
                <w:rFonts w:ascii="Arial" w:eastAsia="Calibri" w:hAnsi="Arial" w:cs="Arial"/>
                <w:b w:val="0"/>
                <w:color w:val="auto"/>
                <w:sz w:val="20"/>
                <w:szCs w:val="20"/>
                <w:u w:val="none"/>
                <w:lang w:val="en-US" w:eastAsia="en-US"/>
              </w:rPr>
              <w:t>etc.</w:t>
            </w:r>
            <w:r w:rsidRPr="00166D44">
              <w:rPr>
                <w:rFonts w:ascii="Arial" w:eastAsia="Calibri" w:hAnsi="Arial" w:cs="Arial"/>
                <w:b w:val="0"/>
                <w:color w:val="auto"/>
                <w:sz w:val="20"/>
                <w:szCs w:val="20"/>
                <w:u w:val="none"/>
                <w:lang w:val="en-US" w:eastAsia="en-US"/>
              </w:rPr>
              <w:t>).</w:t>
            </w:r>
          </w:p>
        </w:tc>
        <w:tc>
          <w:tcPr>
            <w:tcW w:w="1235" w:type="pct"/>
          </w:tcPr>
          <w:p w14:paraId="0229B7DD"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Review Nabilan’s programming in justice sector.</w:t>
            </w:r>
          </w:p>
        </w:tc>
        <w:tc>
          <w:tcPr>
            <w:tcW w:w="783" w:type="pct"/>
          </w:tcPr>
          <w:p w14:paraId="157F52E8"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Team Leader</w:t>
            </w:r>
          </w:p>
          <w:p w14:paraId="509C5BE9"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p>
        </w:tc>
        <w:tc>
          <w:tcPr>
            <w:tcW w:w="1205" w:type="pct"/>
          </w:tcPr>
          <w:p w14:paraId="197ECB05"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In progress. Limited funding means direct training for judges is not possible. The guide to the Penal Code will provide better explanation of the relevant provisions.</w:t>
            </w:r>
          </w:p>
        </w:tc>
      </w:tr>
      <w:tr w:rsidR="00166D44" w:rsidRPr="00166D44" w14:paraId="0CAF7645" w14:textId="77777777" w:rsidTr="00166D44">
        <w:trPr>
          <w:trHeight w:val="800"/>
        </w:trPr>
        <w:tc>
          <w:tcPr>
            <w:tcW w:w="620" w:type="pct"/>
            <w:vMerge/>
            <w:shd w:val="clear" w:color="auto" w:fill="D5DCE4"/>
          </w:tcPr>
          <w:p w14:paraId="04FA6798"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p>
        </w:tc>
        <w:tc>
          <w:tcPr>
            <w:tcW w:w="1157" w:type="pct"/>
          </w:tcPr>
          <w:p w14:paraId="1564D61D" w14:textId="77777777"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r w:rsidRPr="00166D44">
              <w:rPr>
                <w:rFonts w:ascii="Arial" w:eastAsia="Calibri" w:hAnsi="Arial" w:cs="Arial"/>
                <w:b w:val="0"/>
                <w:color w:val="auto"/>
                <w:sz w:val="20"/>
                <w:szCs w:val="20"/>
                <w:u w:val="none"/>
                <w:lang w:val="en-US" w:eastAsia="en-US"/>
              </w:rPr>
              <w:t>Need to look at how JSMP media releases link to Nabilan priorities and how these releases are taken up/used by other agencies.</w:t>
            </w:r>
          </w:p>
        </w:tc>
        <w:tc>
          <w:tcPr>
            <w:tcW w:w="1235" w:type="pct"/>
          </w:tcPr>
          <w:p w14:paraId="5876CA3C"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Monitor JSMP media release and conduct media monitoring.</w:t>
            </w:r>
          </w:p>
        </w:tc>
        <w:tc>
          <w:tcPr>
            <w:tcW w:w="783" w:type="pct"/>
          </w:tcPr>
          <w:p w14:paraId="6039465F"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Social Norms Change Program Officer</w:t>
            </w:r>
          </w:p>
        </w:tc>
        <w:tc>
          <w:tcPr>
            <w:tcW w:w="1205" w:type="pct"/>
          </w:tcPr>
          <w:p w14:paraId="104D9DE8"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 xml:space="preserve">In progress. Media monitoring is being conducted and JSMP press releases are checked regularly. </w:t>
            </w:r>
          </w:p>
        </w:tc>
      </w:tr>
      <w:tr w:rsidR="00166D44" w:rsidRPr="00166D44" w14:paraId="737F0A15" w14:textId="77777777" w:rsidTr="00166D44">
        <w:trPr>
          <w:trHeight w:val="800"/>
        </w:trPr>
        <w:tc>
          <w:tcPr>
            <w:tcW w:w="620" w:type="pct"/>
            <w:vMerge w:val="restart"/>
            <w:shd w:val="clear" w:color="auto" w:fill="D5DCE4"/>
          </w:tcPr>
          <w:p w14:paraId="4258F641"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Social Norms Change</w:t>
            </w:r>
          </w:p>
        </w:tc>
        <w:tc>
          <w:tcPr>
            <w:tcW w:w="1157" w:type="pct"/>
          </w:tcPr>
          <w:p w14:paraId="69EBF680" w14:textId="77777777"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r w:rsidRPr="00166D44">
              <w:rPr>
                <w:rFonts w:ascii="Arial" w:eastAsia="Calibri" w:hAnsi="Arial" w:cs="Arial"/>
                <w:b w:val="0"/>
                <w:color w:val="auto"/>
                <w:sz w:val="20"/>
                <w:szCs w:val="20"/>
                <w:u w:val="none"/>
                <w:lang w:val="en-US" w:eastAsia="en-US"/>
              </w:rPr>
              <w:t>Work with JSMP, SEII and FMDC to develop media training based on Nabilan media monitoring findings.</w:t>
            </w:r>
          </w:p>
        </w:tc>
        <w:tc>
          <w:tcPr>
            <w:tcW w:w="1235" w:type="pct"/>
          </w:tcPr>
          <w:p w14:paraId="1C5C7301"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Conduct joint training for media to improve gender sensitive reporting.</w:t>
            </w:r>
          </w:p>
        </w:tc>
        <w:tc>
          <w:tcPr>
            <w:tcW w:w="783" w:type="pct"/>
          </w:tcPr>
          <w:p w14:paraId="21B4B36C"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Training &amp; TA Manager</w:t>
            </w:r>
          </w:p>
          <w:p w14:paraId="2C5409B5"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Municipal Officer</w:t>
            </w:r>
          </w:p>
        </w:tc>
        <w:tc>
          <w:tcPr>
            <w:tcW w:w="1205" w:type="pct"/>
          </w:tcPr>
          <w:p w14:paraId="2F052591"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Completed in October – joint training for media with SEII, SECOM, JSMP and Press Council.</w:t>
            </w:r>
          </w:p>
        </w:tc>
      </w:tr>
      <w:tr w:rsidR="00166D44" w:rsidRPr="00166D44" w14:paraId="1328C322" w14:textId="77777777" w:rsidTr="00166D44">
        <w:trPr>
          <w:trHeight w:val="800"/>
        </w:trPr>
        <w:tc>
          <w:tcPr>
            <w:tcW w:w="620" w:type="pct"/>
            <w:vMerge/>
            <w:shd w:val="clear" w:color="auto" w:fill="D5DCE4"/>
          </w:tcPr>
          <w:p w14:paraId="6BB2C2BC"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p>
        </w:tc>
        <w:tc>
          <w:tcPr>
            <w:tcW w:w="1157" w:type="pct"/>
          </w:tcPr>
          <w:p w14:paraId="43E590EC" w14:textId="77777777"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r w:rsidRPr="00166D44">
              <w:rPr>
                <w:rFonts w:ascii="Arial" w:eastAsia="Calibri" w:hAnsi="Arial" w:cs="Arial"/>
                <w:b w:val="0"/>
                <w:color w:val="auto"/>
                <w:sz w:val="20"/>
                <w:szCs w:val="20"/>
                <w:u w:val="none"/>
                <w:lang w:val="en-US" w:eastAsia="en-US"/>
              </w:rPr>
              <w:t>Declining participation in CAN: Work with Embassy on invitations, set-up Facebook group, and set meeting schedule.</w:t>
            </w:r>
          </w:p>
        </w:tc>
        <w:tc>
          <w:tcPr>
            <w:tcW w:w="1235" w:type="pct"/>
          </w:tcPr>
          <w:p w14:paraId="58F5737E"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eastAsia="Calibri" w:hAnsi="Arial" w:cs="Arial"/>
                <w:b w:val="0"/>
                <w:color w:val="auto"/>
                <w:sz w:val="20"/>
                <w:szCs w:val="20"/>
                <w:u w:val="none"/>
                <w:lang w:val="en-US" w:eastAsia="en-US"/>
              </w:rPr>
              <w:t>Work with Embassy on invitations, set-up Facebook group, and set meeting schedule.</w:t>
            </w:r>
          </w:p>
        </w:tc>
        <w:tc>
          <w:tcPr>
            <w:tcW w:w="783" w:type="pct"/>
          </w:tcPr>
          <w:p w14:paraId="5B5C86BB"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Social Norms Change Program Officer</w:t>
            </w:r>
          </w:p>
        </w:tc>
        <w:tc>
          <w:tcPr>
            <w:tcW w:w="1205" w:type="pct"/>
          </w:tcPr>
          <w:p w14:paraId="07A9AB99"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Completed. All invitations now sent from Embassy; have meeting schedule for 2019; held two make-up sessions.</w:t>
            </w:r>
          </w:p>
        </w:tc>
      </w:tr>
      <w:tr w:rsidR="00166D44" w:rsidRPr="00166D44" w14:paraId="18F7C00C" w14:textId="77777777" w:rsidTr="00166D44">
        <w:trPr>
          <w:trHeight w:val="800"/>
        </w:trPr>
        <w:tc>
          <w:tcPr>
            <w:tcW w:w="620" w:type="pct"/>
            <w:vMerge/>
            <w:shd w:val="clear" w:color="auto" w:fill="D5DCE4"/>
          </w:tcPr>
          <w:p w14:paraId="1DD2ABD2"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p>
        </w:tc>
        <w:tc>
          <w:tcPr>
            <w:tcW w:w="1157" w:type="pct"/>
          </w:tcPr>
          <w:p w14:paraId="3616612B" w14:textId="77777777"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r w:rsidRPr="00166D44">
              <w:rPr>
                <w:rFonts w:ascii="Arial" w:eastAsia="Calibri" w:hAnsi="Arial" w:cs="Arial"/>
                <w:b w:val="0"/>
                <w:color w:val="auto"/>
                <w:sz w:val="20"/>
                <w:szCs w:val="20"/>
                <w:u w:val="none"/>
                <w:lang w:val="en-US" w:eastAsia="en-US"/>
              </w:rPr>
              <w:t>MELP – review indicator 13.</w:t>
            </w:r>
          </w:p>
        </w:tc>
        <w:tc>
          <w:tcPr>
            <w:tcW w:w="1235" w:type="pct"/>
          </w:tcPr>
          <w:p w14:paraId="139A8C36" w14:textId="77777777"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r w:rsidRPr="00166D44">
              <w:rPr>
                <w:rFonts w:ascii="Arial" w:eastAsia="Calibri" w:hAnsi="Arial" w:cs="Arial"/>
                <w:b w:val="0"/>
                <w:color w:val="auto"/>
                <w:sz w:val="20"/>
                <w:szCs w:val="20"/>
                <w:u w:val="none"/>
                <w:lang w:val="en-US" w:eastAsia="en-US"/>
              </w:rPr>
              <w:t>Update MELP.</w:t>
            </w:r>
          </w:p>
        </w:tc>
        <w:tc>
          <w:tcPr>
            <w:tcW w:w="783" w:type="pct"/>
          </w:tcPr>
          <w:p w14:paraId="2B01A213"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Team Leader</w:t>
            </w:r>
          </w:p>
        </w:tc>
        <w:tc>
          <w:tcPr>
            <w:tcW w:w="1205" w:type="pct"/>
          </w:tcPr>
          <w:p w14:paraId="78B37E0D"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 xml:space="preserve"> Completed.</w:t>
            </w:r>
          </w:p>
        </w:tc>
      </w:tr>
      <w:tr w:rsidR="00166D44" w:rsidRPr="00166D44" w14:paraId="7E9F8A3D" w14:textId="77777777" w:rsidTr="00166D44">
        <w:trPr>
          <w:trHeight w:val="800"/>
        </w:trPr>
        <w:tc>
          <w:tcPr>
            <w:tcW w:w="620" w:type="pct"/>
            <w:vMerge/>
            <w:shd w:val="clear" w:color="auto" w:fill="D5DCE4"/>
          </w:tcPr>
          <w:p w14:paraId="738F41A1"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p>
        </w:tc>
        <w:tc>
          <w:tcPr>
            <w:tcW w:w="1157" w:type="pct"/>
          </w:tcPr>
          <w:p w14:paraId="59D5C34F" w14:textId="77777777"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r w:rsidRPr="00166D44">
              <w:rPr>
                <w:rFonts w:ascii="Arial" w:eastAsia="Calibri" w:hAnsi="Arial" w:cs="Arial"/>
                <w:b w:val="0"/>
                <w:color w:val="auto"/>
                <w:sz w:val="20"/>
                <w:szCs w:val="20"/>
                <w:u w:val="none"/>
                <w:lang w:val="en-US" w:eastAsia="en-US"/>
              </w:rPr>
              <w:t>Identify ways to work more with SEII in 2019. Involve embassy in the discussion.</w:t>
            </w:r>
          </w:p>
        </w:tc>
        <w:tc>
          <w:tcPr>
            <w:tcW w:w="1235" w:type="pct"/>
          </w:tcPr>
          <w:p w14:paraId="78B2976B" w14:textId="77777777"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r w:rsidRPr="00166D44">
              <w:rPr>
                <w:rFonts w:ascii="Arial" w:eastAsia="Calibri" w:hAnsi="Arial" w:cs="Arial"/>
                <w:b w:val="0"/>
                <w:color w:val="auto"/>
                <w:sz w:val="20"/>
                <w:szCs w:val="20"/>
                <w:u w:val="none"/>
                <w:lang w:val="en-US" w:eastAsia="en-US"/>
              </w:rPr>
              <w:t>Hold meeting with SEII to identify joint-activities and workplan. Invite embassy to all meetings at DG level or higher.</w:t>
            </w:r>
          </w:p>
        </w:tc>
        <w:tc>
          <w:tcPr>
            <w:tcW w:w="783" w:type="pct"/>
          </w:tcPr>
          <w:p w14:paraId="7667EF62"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Team Leader</w:t>
            </w:r>
          </w:p>
          <w:p w14:paraId="0C578B33"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Social Norms Change Adviser</w:t>
            </w:r>
          </w:p>
        </w:tc>
        <w:tc>
          <w:tcPr>
            <w:tcW w:w="1205" w:type="pct"/>
          </w:tcPr>
          <w:p w14:paraId="1583DC1A"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In progress. Several meetings with SEII held in 2018 and draft workplan submitted. Meeting held in January 2019 to identify joint activities for Phase II.</w:t>
            </w:r>
          </w:p>
        </w:tc>
      </w:tr>
      <w:tr w:rsidR="00166D44" w:rsidRPr="00166D44" w14:paraId="41108B1A" w14:textId="77777777" w:rsidTr="00166D44">
        <w:trPr>
          <w:trHeight w:val="800"/>
        </w:trPr>
        <w:tc>
          <w:tcPr>
            <w:tcW w:w="620" w:type="pct"/>
            <w:vMerge/>
            <w:shd w:val="clear" w:color="auto" w:fill="D5DCE4"/>
          </w:tcPr>
          <w:p w14:paraId="49873A39"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p>
        </w:tc>
        <w:tc>
          <w:tcPr>
            <w:tcW w:w="1157" w:type="pct"/>
          </w:tcPr>
          <w:p w14:paraId="63D1847B" w14:textId="77777777"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r w:rsidRPr="00166D44">
              <w:rPr>
                <w:rFonts w:ascii="Arial" w:eastAsia="Calibri" w:hAnsi="Arial" w:cs="Arial"/>
                <w:b w:val="0"/>
                <w:color w:val="auto"/>
                <w:sz w:val="20"/>
                <w:szCs w:val="20"/>
                <w:u w:val="none"/>
                <w:lang w:val="en-US" w:eastAsia="en-US"/>
              </w:rPr>
              <w:t>MELP - merge indicators 19 and 20 and make it into a narrative indicator or SSC.</w:t>
            </w:r>
          </w:p>
        </w:tc>
        <w:tc>
          <w:tcPr>
            <w:tcW w:w="1235" w:type="pct"/>
          </w:tcPr>
          <w:p w14:paraId="77D45279" w14:textId="77777777"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r w:rsidRPr="00166D44">
              <w:rPr>
                <w:rFonts w:ascii="Arial" w:eastAsia="Calibri" w:hAnsi="Arial" w:cs="Arial"/>
                <w:b w:val="0"/>
                <w:color w:val="auto"/>
                <w:sz w:val="20"/>
                <w:szCs w:val="20"/>
                <w:u w:val="none"/>
                <w:lang w:val="en-US" w:eastAsia="en-US"/>
              </w:rPr>
              <w:t>Update MELP.</w:t>
            </w:r>
          </w:p>
        </w:tc>
        <w:tc>
          <w:tcPr>
            <w:tcW w:w="783" w:type="pct"/>
          </w:tcPr>
          <w:p w14:paraId="276CEC76"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Team Leader</w:t>
            </w:r>
          </w:p>
          <w:p w14:paraId="18B83220"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M&amp;E House</w:t>
            </w:r>
          </w:p>
        </w:tc>
        <w:tc>
          <w:tcPr>
            <w:tcW w:w="1205" w:type="pct"/>
          </w:tcPr>
          <w:p w14:paraId="6D67C57F"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Completed.</w:t>
            </w:r>
          </w:p>
        </w:tc>
      </w:tr>
      <w:tr w:rsidR="00166D44" w:rsidRPr="00166D44" w14:paraId="5E81C131" w14:textId="77777777" w:rsidTr="00166D44">
        <w:trPr>
          <w:trHeight w:val="800"/>
        </w:trPr>
        <w:tc>
          <w:tcPr>
            <w:tcW w:w="620" w:type="pct"/>
            <w:vMerge/>
            <w:shd w:val="clear" w:color="auto" w:fill="D5DCE4"/>
          </w:tcPr>
          <w:p w14:paraId="32B548ED"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p>
        </w:tc>
        <w:tc>
          <w:tcPr>
            <w:tcW w:w="1157" w:type="pct"/>
          </w:tcPr>
          <w:p w14:paraId="6FBB75D3" w14:textId="77777777"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r w:rsidRPr="00166D44">
              <w:rPr>
                <w:rFonts w:ascii="Arial" w:eastAsia="Calibri" w:hAnsi="Arial" w:cs="Arial"/>
                <w:b w:val="0"/>
                <w:color w:val="auto"/>
                <w:sz w:val="20"/>
                <w:szCs w:val="20"/>
                <w:u w:val="none"/>
                <w:lang w:val="en-US" w:eastAsia="en-US"/>
              </w:rPr>
              <w:t>Write up results of CAN baseline (consultations &amp; survey).</w:t>
            </w:r>
          </w:p>
        </w:tc>
        <w:tc>
          <w:tcPr>
            <w:tcW w:w="1235" w:type="pct"/>
          </w:tcPr>
          <w:p w14:paraId="05A415AB" w14:textId="77777777"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r w:rsidRPr="00166D44">
              <w:rPr>
                <w:rFonts w:ascii="Arial" w:eastAsia="Calibri" w:hAnsi="Arial" w:cs="Arial"/>
                <w:b w:val="0"/>
                <w:color w:val="auto"/>
                <w:sz w:val="20"/>
                <w:szCs w:val="20"/>
                <w:u w:val="none"/>
                <w:lang w:val="en-US" w:eastAsia="en-US"/>
              </w:rPr>
              <w:t>Write up results of CAN baseline (consultations &amp; survey).</w:t>
            </w:r>
          </w:p>
        </w:tc>
        <w:tc>
          <w:tcPr>
            <w:tcW w:w="783" w:type="pct"/>
          </w:tcPr>
          <w:p w14:paraId="02DFF7E6"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Social Norms Change Adviser</w:t>
            </w:r>
          </w:p>
        </w:tc>
        <w:tc>
          <w:tcPr>
            <w:tcW w:w="1205" w:type="pct"/>
          </w:tcPr>
          <w:p w14:paraId="6535DD90"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Completed.</w:t>
            </w:r>
          </w:p>
        </w:tc>
      </w:tr>
      <w:tr w:rsidR="00166D44" w:rsidRPr="00166D44" w14:paraId="3455D5EC" w14:textId="77777777" w:rsidTr="00166D44">
        <w:trPr>
          <w:trHeight w:val="800"/>
        </w:trPr>
        <w:tc>
          <w:tcPr>
            <w:tcW w:w="620" w:type="pct"/>
            <w:vMerge/>
            <w:shd w:val="clear" w:color="auto" w:fill="D5DCE4"/>
          </w:tcPr>
          <w:p w14:paraId="32DD6A84"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p>
        </w:tc>
        <w:tc>
          <w:tcPr>
            <w:tcW w:w="1157" w:type="pct"/>
          </w:tcPr>
          <w:p w14:paraId="734C0B23" w14:textId="77777777"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r w:rsidRPr="00166D44">
              <w:rPr>
                <w:rFonts w:ascii="Arial" w:eastAsia="Calibri" w:hAnsi="Arial" w:cs="Arial"/>
                <w:b w:val="0"/>
                <w:color w:val="auto"/>
                <w:sz w:val="20"/>
                <w:szCs w:val="20"/>
                <w:u w:val="none"/>
                <w:lang w:val="en-US" w:eastAsia="en-US"/>
              </w:rPr>
              <w:t>Explore CAN additional funding opportunities with embassy.</w:t>
            </w:r>
          </w:p>
        </w:tc>
        <w:tc>
          <w:tcPr>
            <w:tcW w:w="1235" w:type="pct"/>
          </w:tcPr>
          <w:p w14:paraId="47543EF7" w14:textId="77777777"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r w:rsidRPr="00166D44">
              <w:rPr>
                <w:rFonts w:ascii="Arial" w:eastAsia="Calibri" w:hAnsi="Arial" w:cs="Arial"/>
                <w:b w:val="0"/>
                <w:color w:val="auto"/>
                <w:sz w:val="20"/>
                <w:szCs w:val="20"/>
                <w:u w:val="none"/>
                <w:lang w:val="en-US" w:eastAsia="en-US"/>
              </w:rPr>
              <w:t>Request additional funding for the make-up sessions.</w:t>
            </w:r>
          </w:p>
        </w:tc>
        <w:tc>
          <w:tcPr>
            <w:tcW w:w="783" w:type="pct"/>
          </w:tcPr>
          <w:p w14:paraId="06007050"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Social Norms Change Adviser</w:t>
            </w:r>
          </w:p>
        </w:tc>
        <w:tc>
          <w:tcPr>
            <w:tcW w:w="1205" w:type="pct"/>
          </w:tcPr>
          <w:p w14:paraId="59E153B9"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Completed.</w:t>
            </w:r>
          </w:p>
        </w:tc>
      </w:tr>
      <w:tr w:rsidR="00166D44" w:rsidRPr="00166D44" w14:paraId="3D607A11" w14:textId="77777777" w:rsidTr="00166D44">
        <w:trPr>
          <w:trHeight w:val="800"/>
        </w:trPr>
        <w:tc>
          <w:tcPr>
            <w:tcW w:w="620" w:type="pct"/>
            <w:vMerge/>
            <w:shd w:val="clear" w:color="auto" w:fill="D5DCE4"/>
          </w:tcPr>
          <w:p w14:paraId="5BFC7FEC"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p>
        </w:tc>
        <w:tc>
          <w:tcPr>
            <w:tcW w:w="1157" w:type="pct"/>
          </w:tcPr>
          <w:p w14:paraId="00C45BA0" w14:textId="77777777"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r w:rsidRPr="00166D44">
              <w:rPr>
                <w:rFonts w:ascii="Arial" w:eastAsia="Calibri" w:hAnsi="Arial" w:cs="Arial"/>
                <w:b w:val="0"/>
                <w:color w:val="auto"/>
                <w:sz w:val="20"/>
                <w:szCs w:val="20"/>
                <w:u w:val="none"/>
                <w:lang w:val="en-US" w:eastAsia="en-US"/>
              </w:rPr>
              <w:t>MELP - need to set specific targets for CBA work &amp; better articulate the process.</w:t>
            </w:r>
          </w:p>
        </w:tc>
        <w:tc>
          <w:tcPr>
            <w:tcW w:w="1235" w:type="pct"/>
          </w:tcPr>
          <w:p w14:paraId="07FBC944" w14:textId="77777777"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r w:rsidRPr="00166D44">
              <w:rPr>
                <w:rFonts w:ascii="Arial" w:eastAsia="Calibri" w:hAnsi="Arial" w:cs="Arial"/>
                <w:b w:val="0"/>
                <w:color w:val="auto"/>
                <w:sz w:val="20"/>
                <w:szCs w:val="20"/>
                <w:u w:val="none"/>
                <w:lang w:val="en-US" w:eastAsia="en-US"/>
              </w:rPr>
              <w:t>Update the MELP with more specific targets.</w:t>
            </w:r>
          </w:p>
        </w:tc>
        <w:tc>
          <w:tcPr>
            <w:tcW w:w="783" w:type="pct"/>
          </w:tcPr>
          <w:p w14:paraId="6164FBC3"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Team Leader</w:t>
            </w:r>
          </w:p>
          <w:p w14:paraId="7A1B46CF"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Social Norms Change Adviser</w:t>
            </w:r>
          </w:p>
        </w:tc>
        <w:tc>
          <w:tcPr>
            <w:tcW w:w="1205" w:type="pct"/>
          </w:tcPr>
          <w:p w14:paraId="037868FE"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Completed.</w:t>
            </w:r>
          </w:p>
        </w:tc>
      </w:tr>
      <w:tr w:rsidR="00166D44" w:rsidRPr="00166D44" w14:paraId="3F6B898B" w14:textId="77777777" w:rsidTr="00166D44">
        <w:trPr>
          <w:trHeight w:val="800"/>
        </w:trPr>
        <w:tc>
          <w:tcPr>
            <w:tcW w:w="620" w:type="pct"/>
            <w:vMerge/>
            <w:shd w:val="clear" w:color="auto" w:fill="D5DCE4"/>
          </w:tcPr>
          <w:p w14:paraId="3937B4F2"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p>
        </w:tc>
        <w:tc>
          <w:tcPr>
            <w:tcW w:w="1157" w:type="pct"/>
          </w:tcPr>
          <w:p w14:paraId="2925686E" w14:textId="77777777"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r w:rsidRPr="00166D44">
              <w:rPr>
                <w:rFonts w:ascii="Arial" w:eastAsia="Calibri" w:hAnsi="Arial" w:cs="Arial"/>
                <w:b w:val="0"/>
                <w:color w:val="auto"/>
                <w:sz w:val="20"/>
                <w:szCs w:val="20"/>
                <w:u w:val="none"/>
                <w:lang w:val="en-US" w:eastAsia="en-US"/>
              </w:rPr>
              <w:t>Individual mentoring of CMs.</w:t>
            </w:r>
          </w:p>
        </w:tc>
        <w:tc>
          <w:tcPr>
            <w:tcW w:w="1235" w:type="pct"/>
          </w:tcPr>
          <w:p w14:paraId="1B240680" w14:textId="77777777"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r w:rsidRPr="00166D44">
              <w:rPr>
                <w:rFonts w:ascii="Arial" w:eastAsia="Calibri" w:hAnsi="Arial" w:cs="Arial"/>
                <w:b w:val="0"/>
                <w:color w:val="auto"/>
                <w:sz w:val="20"/>
                <w:szCs w:val="20"/>
                <w:u w:val="none"/>
                <w:lang w:val="en-US" w:eastAsia="en-US"/>
              </w:rPr>
              <w:t>Municipal Officer to closely accompany and mentor CMs.</w:t>
            </w:r>
          </w:p>
        </w:tc>
        <w:tc>
          <w:tcPr>
            <w:tcW w:w="783" w:type="pct"/>
          </w:tcPr>
          <w:p w14:paraId="501A1B5D"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Municipal Officer</w:t>
            </w:r>
          </w:p>
        </w:tc>
        <w:tc>
          <w:tcPr>
            <w:tcW w:w="1205" w:type="pct"/>
          </w:tcPr>
          <w:p w14:paraId="1498A7D6"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Ongoing.</w:t>
            </w:r>
          </w:p>
        </w:tc>
      </w:tr>
      <w:tr w:rsidR="00166D44" w:rsidRPr="00166D44" w14:paraId="16FF11CB" w14:textId="77777777" w:rsidTr="00166D44">
        <w:trPr>
          <w:trHeight w:val="800"/>
        </w:trPr>
        <w:tc>
          <w:tcPr>
            <w:tcW w:w="620" w:type="pct"/>
            <w:vMerge/>
            <w:shd w:val="clear" w:color="auto" w:fill="D5DCE4"/>
          </w:tcPr>
          <w:p w14:paraId="1B887A4E"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p>
        </w:tc>
        <w:tc>
          <w:tcPr>
            <w:tcW w:w="1157" w:type="pct"/>
          </w:tcPr>
          <w:p w14:paraId="5DC8CFE3" w14:textId="77777777"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r w:rsidRPr="00166D44">
              <w:rPr>
                <w:rFonts w:ascii="Arial" w:eastAsia="Calibri" w:hAnsi="Arial" w:cs="Arial"/>
                <w:b w:val="0"/>
                <w:color w:val="auto"/>
                <w:sz w:val="20"/>
                <w:szCs w:val="20"/>
                <w:u w:val="none"/>
                <w:lang w:val="en-US" w:eastAsia="en-US"/>
              </w:rPr>
              <w:t>Finish adaptation/translation of SASA! Toolkit.</w:t>
            </w:r>
          </w:p>
        </w:tc>
        <w:tc>
          <w:tcPr>
            <w:tcW w:w="1235" w:type="pct"/>
          </w:tcPr>
          <w:p w14:paraId="7BDC113A" w14:textId="77777777"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r w:rsidRPr="00166D44">
              <w:rPr>
                <w:rFonts w:ascii="Arial" w:eastAsia="Calibri" w:hAnsi="Arial" w:cs="Arial"/>
                <w:b w:val="0"/>
                <w:color w:val="auto"/>
                <w:sz w:val="20"/>
                <w:szCs w:val="20"/>
                <w:u w:val="none"/>
                <w:lang w:val="en-US" w:eastAsia="en-US"/>
              </w:rPr>
              <w:t>Continue adaptation and translation as we progress through the 3 stages.</w:t>
            </w:r>
          </w:p>
        </w:tc>
        <w:tc>
          <w:tcPr>
            <w:tcW w:w="783" w:type="pct"/>
          </w:tcPr>
          <w:p w14:paraId="448DCF23"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Social Norms Change Adviser</w:t>
            </w:r>
          </w:p>
        </w:tc>
        <w:tc>
          <w:tcPr>
            <w:tcW w:w="1205" w:type="pct"/>
          </w:tcPr>
          <w:p w14:paraId="0F504F4E"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Continuing. Adaptations for phase 2 (Awareness) completed. Additional materials (health chats etc.) also translated.</w:t>
            </w:r>
          </w:p>
        </w:tc>
      </w:tr>
      <w:tr w:rsidR="00166D44" w:rsidRPr="00166D44" w14:paraId="7F2D6219" w14:textId="77777777" w:rsidTr="00166D44">
        <w:trPr>
          <w:trHeight w:val="800"/>
        </w:trPr>
        <w:tc>
          <w:tcPr>
            <w:tcW w:w="620" w:type="pct"/>
            <w:vMerge/>
            <w:shd w:val="clear" w:color="auto" w:fill="D5DCE4"/>
          </w:tcPr>
          <w:p w14:paraId="525A63E6"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p>
        </w:tc>
        <w:tc>
          <w:tcPr>
            <w:tcW w:w="1157" w:type="pct"/>
          </w:tcPr>
          <w:p w14:paraId="70B74F82" w14:textId="77777777"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r w:rsidRPr="00166D44">
              <w:rPr>
                <w:rFonts w:ascii="Arial" w:eastAsia="Calibri" w:hAnsi="Arial" w:cs="Arial"/>
                <w:b w:val="0"/>
                <w:color w:val="auto"/>
                <w:sz w:val="20"/>
                <w:szCs w:val="20"/>
                <w:u w:val="none"/>
                <w:lang w:val="en-US" w:eastAsia="en-US"/>
              </w:rPr>
              <w:t>Revise community mobilising tools/ activities based on baseline findings related to sexual violence.</w:t>
            </w:r>
          </w:p>
        </w:tc>
        <w:tc>
          <w:tcPr>
            <w:tcW w:w="1235" w:type="pct"/>
          </w:tcPr>
          <w:p w14:paraId="43723014" w14:textId="77777777"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r w:rsidRPr="00166D44">
              <w:rPr>
                <w:rFonts w:ascii="Arial" w:eastAsia="Calibri" w:hAnsi="Arial" w:cs="Arial"/>
                <w:b w:val="0"/>
                <w:color w:val="auto"/>
                <w:sz w:val="20"/>
                <w:szCs w:val="20"/>
                <w:u w:val="none"/>
                <w:lang w:val="en-US" w:eastAsia="en-US"/>
              </w:rPr>
              <w:t>Revise tools.</w:t>
            </w:r>
          </w:p>
        </w:tc>
        <w:tc>
          <w:tcPr>
            <w:tcW w:w="783" w:type="pct"/>
          </w:tcPr>
          <w:p w14:paraId="0EAB40DE"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Social Norms Change Adviser</w:t>
            </w:r>
          </w:p>
        </w:tc>
        <w:tc>
          <w:tcPr>
            <w:tcW w:w="1205" w:type="pct"/>
          </w:tcPr>
          <w:p w14:paraId="5AE430B4"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Continuing.</w:t>
            </w:r>
          </w:p>
        </w:tc>
      </w:tr>
      <w:tr w:rsidR="00166D44" w:rsidRPr="00166D44" w14:paraId="722C7761" w14:textId="77777777" w:rsidTr="00166D44">
        <w:trPr>
          <w:trHeight w:val="800"/>
        </w:trPr>
        <w:tc>
          <w:tcPr>
            <w:tcW w:w="620" w:type="pct"/>
            <w:vMerge/>
            <w:shd w:val="clear" w:color="auto" w:fill="D5DCE4"/>
          </w:tcPr>
          <w:p w14:paraId="0B194AD4"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p>
        </w:tc>
        <w:tc>
          <w:tcPr>
            <w:tcW w:w="1157" w:type="pct"/>
          </w:tcPr>
          <w:p w14:paraId="6458504D" w14:textId="77777777"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r w:rsidRPr="00166D44">
              <w:rPr>
                <w:rFonts w:ascii="Arial" w:eastAsia="Calibri" w:hAnsi="Arial" w:cs="Arial"/>
                <w:b w:val="0"/>
                <w:color w:val="auto"/>
                <w:sz w:val="20"/>
                <w:szCs w:val="20"/>
                <w:u w:val="none"/>
                <w:lang w:val="en-US" w:eastAsia="en-US"/>
              </w:rPr>
              <w:t>MELP – need to revise indicator 23 (remove reference to CBA) and review other CBA indicators.</w:t>
            </w:r>
          </w:p>
        </w:tc>
        <w:tc>
          <w:tcPr>
            <w:tcW w:w="1235" w:type="pct"/>
          </w:tcPr>
          <w:p w14:paraId="2B0D7709" w14:textId="77777777"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r w:rsidRPr="00166D44">
              <w:rPr>
                <w:rFonts w:ascii="Arial" w:eastAsia="Calibri" w:hAnsi="Arial" w:cs="Arial"/>
                <w:b w:val="0"/>
                <w:color w:val="auto"/>
                <w:sz w:val="20"/>
                <w:szCs w:val="20"/>
                <w:u w:val="none"/>
                <w:lang w:val="en-US" w:eastAsia="en-US"/>
              </w:rPr>
              <w:t>Update MELP.</w:t>
            </w:r>
          </w:p>
        </w:tc>
        <w:tc>
          <w:tcPr>
            <w:tcW w:w="783" w:type="pct"/>
          </w:tcPr>
          <w:p w14:paraId="3E9C5EAC"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M&amp;E House</w:t>
            </w:r>
          </w:p>
        </w:tc>
        <w:tc>
          <w:tcPr>
            <w:tcW w:w="1205" w:type="pct"/>
          </w:tcPr>
          <w:p w14:paraId="0FE8D47D"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Completed.</w:t>
            </w:r>
          </w:p>
        </w:tc>
      </w:tr>
      <w:tr w:rsidR="00166D44" w:rsidRPr="00166D44" w14:paraId="6990686B" w14:textId="77777777" w:rsidTr="00166D44">
        <w:trPr>
          <w:trHeight w:val="800"/>
        </w:trPr>
        <w:tc>
          <w:tcPr>
            <w:tcW w:w="620" w:type="pct"/>
            <w:vMerge/>
            <w:shd w:val="clear" w:color="auto" w:fill="D5DCE4"/>
          </w:tcPr>
          <w:p w14:paraId="2EECB861"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p>
        </w:tc>
        <w:tc>
          <w:tcPr>
            <w:tcW w:w="1157" w:type="pct"/>
          </w:tcPr>
          <w:p w14:paraId="4A6A29B2" w14:textId="77777777"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r w:rsidRPr="00166D44">
              <w:rPr>
                <w:rFonts w:ascii="Arial" w:eastAsia="Calibri" w:hAnsi="Arial" w:cs="Arial"/>
                <w:b w:val="0"/>
                <w:color w:val="auto"/>
                <w:sz w:val="20"/>
                <w:szCs w:val="20"/>
                <w:u w:val="none"/>
                <w:lang w:val="en-US" w:eastAsia="en-US"/>
              </w:rPr>
              <w:t>MELP – change indicator 24 to “number (or instances) of discrete community actions taken in Suku Letefoho to prevent VAWC” and set targets.</w:t>
            </w:r>
          </w:p>
        </w:tc>
        <w:tc>
          <w:tcPr>
            <w:tcW w:w="1235" w:type="pct"/>
          </w:tcPr>
          <w:p w14:paraId="65CE5DF0" w14:textId="77777777"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r w:rsidRPr="00166D44">
              <w:rPr>
                <w:rFonts w:ascii="Arial" w:eastAsia="Calibri" w:hAnsi="Arial" w:cs="Arial"/>
                <w:b w:val="0"/>
                <w:color w:val="auto"/>
                <w:sz w:val="20"/>
                <w:szCs w:val="20"/>
                <w:u w:val="none"/>
                <w:lang w:val="en-US" w:eastAsia="en-US"/>
              </w:rPr>
              <w:t>Update MELP.</w:t>
            </w:r>
          </w:p>
        </w:tc>
        <w:tc>
          <w:tcPr>
            <w:tcW w:w="783" w:type="pct"/>
          </w:tcPr>
          <w:p w14:paraId="38F6BCF2"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M&amp;E House</w:t>
            </w:r>
          </w:p>
        </w:tc>
        <w:tc>
          <w:tcPr>
            <w:tcW w:w="1205" w:type="pct"/>
          </w:tcPr>
          <w:p w14:paraId="6CBB53F2"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Completed.</w:t>
            </w:r>
          </w:p>
        </w:tc>
      </w:tr>
      <w:tr w:rsidR="00166D44" w:rsidRPr="00166D44" w14:paraId="5A071B85" w14:textId="77777777" w:rsidTr="00166D44">
        <w:trPr>
          <w:trHeight w:val="800"/>
        </w:trPr>
        <w:tc>
          <w:tcPr>
            <w:tcW w:w="620" w:type="pct"/>
            <w:vMerge/>
            <w:shd w:val="clear" w:color="auto" w:fill="D5DCE4"/>
          </w:tcPr>
          <w:p w14:paraId="6402B44D"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p>
        </w:tc>
        <w:tc>
          <w:tcPr>
            <w:tcW w:w="1157" w:type="pct"/>
          </w:tcPr>
          <w:p w14:paraId="56CBC93C" w14:textId="77777777"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r w:rsidRPr="00166D44">
              <w:rPr>
                <w:rFonts w:ascii="Arial" w:eastAsia="Calibri" w:hAnsi="Arial" w:cs="Arial"/>
                <w:b w:val="0"/>
                <w:color w:val="auto"/>
                <w:sz w:val="20"/>
                <w:szCs w:val="20"/>
                <w:u w:val="none"/>
                <w:lang w:val="en-US" w:eastAsia="en-US"/>
              </w:rPr>
              <w:t>MELP – set target dates for moving to Phase 3 and 4 of CBA program.</w:t>
            </w:r>
          </w:p>
        </w:tc>
        <w:tc>
          <w:tcPr>
            <w:tcW w:w="1235" w:type="pct"/>
          </w:tcPr>
          <w:p w14:paraId="62F3E5C6" w14:textId="77777777"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r w:rsidRPr="00166D44">
              <w:rPr>
                <w:rFonts w:ascii="Arial" w:eastAsia="Calibri" w:hAnsi="Arial" w:cs="Arial"/>
                <w:b w:val="0"/>
                <w:color w:val="auto"/>
                <w:sz w:val="20"/>
                <w:szCs w:val="20"/>
                <w:u w:val="none"/>
                <w:lang w:val="en-US" w:eastAsia="en-US"/>
              </w:rPr>
              <w:t>Update MELP.</w:t>
            </w:r>
          </w:p>
        </w:tc>
        <w:tc>
          <w:tcPr>
            <w:tcW w:w="783" w:type="pct"/>
          </w:tcPr>
          <w:p w14:paraId="41C2DB1C"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M&amp;E House</w:t>
            </w:r>
          </w:p>
        </w:tc>
        <w:tc>
          <w:tcPr>
            <w:tcW w:w="1205" w:type="pct"/>
          </w:tcPr>
          <w:p w14:paraId="6B5C9683"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Completed.</w:t>
            </w:r>
          </w:p>
        </w:tc>
      </w:tr>
      <w:tr w:rsidR="00166D44" w:rsidRPr="00166D44" w14:paraId="31FEE715" w14:textId="77777777" w:rsidTr="00166D44">
        <w:trPr>
          <w:trHeight w:val="800"/>
        </w:trPr>
        <w:tc>
          <w:tcPr>
            <w:tcW w:w="620" w:type="pct"/>
            <w:vMerge w:val="restart"/>
            <w:shd w:val="clear" w:color="auto" w:fill="D5DCE4"/>
          </w:tcPr>
          <w:p w14:paraId="5DB7A7F0"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Sustainability</w:t>
            </w:r>
          </w:p>
        </w:tc>
        <w:tc>
          <w:tcPr>
            <w:tcW w:w="1157" w:type="pct"/>
          </w:tcPr>
          <w:p w14:paraId="69B28E3B" w14:textId="77777777"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r w:rsidRPr="00166D44">
              <w:rPr>
                <w:rFonts w:ascii="Arial" w:eastAsia="Calibri" w:hAnsi="Arial" w:cs="Arial"/>
                <w:b w:val="0"/>
                <w:color w:val="auto"/>
                <w:sz w:val="20"/>
                <w:szCs w:val="20"/>
                <w:u w:val="none"/>
                <w:lang w:val="en-US" w:eastAsia="en-US"/>
              </w:rPr>
              <w:t>Revise Question 2.7 to “To what extent has evidence generated by Nabilan influenced programming by other agencies?” – to broaden the question so it’s not just about CBA evidence.</w:t>
            </w:r>
          </w:p>
        </w:tc>
        <w:tc>
          <w:tcPr>
            <w:tcW w:w="1235" w:type="pct"/>
          </w:tcPr>
          <w:p w14:paraId="02076ACB" w14:textId="77777777"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r w:rsidRPr="00166D44">
              <w:rPr>
                <w:rFonts w:ascii="Arial" w:eastAsia="Calibri" w:hAnsi="Arial" w:cs="Arial"/>
                <w:b w:val="0"/>
                <w:color w:val="auto"/>
                <w:sz w:val="20"/>
                <w:szCs w:val="20"/>
                <w:u w:val="none"/>
                <w:lang w:val="en-US" w:eastAsia="en-US"/>
              </w:rPr>
              <w:t>Update MELP.</w:t>
            </w:r>
          </w:p>
        </w:tc>
        <w:tc>
          <w:tcPr>
            <w:tcW w:w="783" w:type="pct"/>
          </w:tcPr>
          <w:p w14:paraId="71989CCC"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M&amp;E House</w:t>
            </w:r>
          </w:p>
        </w:tc>
        <w:tc>
          <w:tcPr>
            <w:tcW w:w="1205" w:type="pct"/>
          </w:tcPr>
          <w:p w14:paraId="06C44104"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Completed.</w:t>
            </w:r>
          </w:p>
        </w:tc>
      </w:tr>
      <w:tr w:rsidR="00166D44" w:rsidRPr="00166D44" w14:paraId="175D9A7E" w14:textId="77777777" w:rsidTr="00166D44">
        <w:trPr>
          <w:trHeight w:val="800"/>
        </w:trPr>
        <w:tc>
          <w:tcPr>
            <w:tcW w:w="620" w:type="pct"/>
            <w:vMerge/>
            <w:shd w:val="clear" w:color="auto" w:fill="D5DCE4"/>
          </w:tcPr>
          <w:p w14:paraId="1AF3E60D"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p>
        </w:tc>
        <w:tc>
          <w:tcPr>
            <w:tcW w:w="1157" w:type="pct"/>
          </w:tcPr>
          <w:p w14:paraId="19CD36E6" w14:textId="77777777"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r w:rsidRPr="00166D44">
              <w:rPr>
                <w:rFonts w:ascii="Arial" w:eastAsia="Calibri" w:hAnsi="Arial" w:cs="Arial"/>
                <w:b w:val="0"/>
                <w:color w:val="auto"/>
                <w:sz w:val="20"/>
                <w:szCs w:val="20"/>
                <w:u w:val="none"/>
                <w:lang w:val="en-US" w:eastAsia="en-US"/>
              </w:rPr>
              <w:t>Finalise strategy for government and community engagement.</w:t>
            </w:r>
          </w:p>
        </w:tc>
        <w:tc>
          <w:tcPr>
            <w:tcW w:w="1235" w:type="pct"/>
          </w:tcPr>
          <w:p w14:paraId="70BFD58A" w14:textId="77777777"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r w:rsidRPr="00166D44">
              <w:rPr>
                <w:rFonts w:ascii="Arial" w:eastAsia="Calibri" w:hAnsi="Arial" w:cs="Arial"/>
                <w:b w:val="0"/>
                <w:color w:val="auto"/>
                <w:sz w:val="20"/>
                <w:szCs w:val="20"/>
                <w:u w:val="none"/>
                <w:lang w:val="en-US" w:eastAsia="en-US"/>
              </w:rPr>
              <w:t xml:space="preserve">Hold workshop with Embassy, and draft strategy. </w:t>
            </w:r>
          </w:p>
        </w:tc>
        <w:tc>
          <w:tcPr>
            <w:tcW w:w="783" w:type="pct"/>
          </w:tcPr>
          <w:p w14:paraId="0A7013FC"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Team Leader</w:t>
            </w:r>
          </w:p>
        </w:tc>
        <w:tc>
          <w:tcPr>
            <w:tcW w:w="1205" w:type="pct"/>
          </w:tcPr>
          <w:p w14:paraId="08BB5FF9"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In progress. Workshops held in December 2018, strategy being drafted.</w:t>
            </w:r>
          </w:p>
        </w:tc>
      </w:tr>
      <w:tr w:rsidR="00166D44" w:rsidRPr="00166D44" w14:paraId="70C95831" w14:textId="77777777" w:rsidTr="00166D44">
        <w:trPr>
          <w:trHeight w:val="800"/>
        </w:trPr>
        <w:tc>
          <w:tcPr>
            <w:tcW w:w="620" w:type="pct"/>
            <w:vMerge/>
            <w:shd w:val="clear" w:color="auto" w:fill="D5DCE4"/>
          </w:tcPr>
          <w:p w14:paraId="7CFC8EBD"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p>
        </w:tc>
        <w:tc>
          <w:tcPr>
            <w:tcW w:w="1157" w:type="pct"/>
          </w:tcPr>
          <w:p w14:paraId="7FFCE6FC" w14:textId="77777777"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r w:rsidRPr="00166D44">
              <w:rPr>
                <w:rFonts w:ascii="Arial" w:eastAsia="Calibri" w:hAnsi="Arial" w:cs="Arial"/>
                <w:b w:val="0"/>
                <w:color w:val="auto"/>
                <w:sz w:val="20"/>
                <w:szCs w:val="20"/>
                <w:u w:val="none"/>
                <w:lang w:val="en-US" w:eastAsia="en-US"/>
              </w:rPr>
              <w:t>Seek opportunities to raise issues with GoTL through high level representation (e.g. HOM)</w:t>
            </w:r>
          </w:p>
        </w:tc>
        <w:tc>
          <w:tcPr>
            <w:tcW w:w="1235" w:type="pct"/>
          </w:tcPr>
          <w:p w14:paraId="24365B58" w14:textId="77777777"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p>
        </w:tc>
        <w:tc>
          <w:tcPr>
            <w:tcW w:w="783" w:type="pct"/>
          </w:tcPr>
          <w:p w14:paraId="545AF3F1"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Team Leader</w:t>
            </w:r>
          </w:p>
        </w:tc>
        <w:tc>
          <w:tcPr>
            <w:tcW w:w="1205" w:type="pct"/>
          </w:tcPr>
          <w:p w14:paraId="404D4E80"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Continuing. Support for PRADET was advanced through HOM.</w:t>
            </w:r>
          </w:p>
        </w:tc>
      </w:tr>
      <w:tr w:rsidR="00166D44" w:rsidRPr="00166D44" w14:paraId="39FDB248" w14:textId="77777777" w:rsidTr="00166D44">
        <w:trPr>
          <w:trHeight w:val="800"/>
        </w:trPr>
        <w:tc>
          <w:tcPr>
            <w:tcW w:w="620" w:type="pct"/>
            <w:vMerge/>
            <w:shd w:val="clear" w:color="auto" w:fill="D5DCE4"/>
          </w:tcPr>
          <w:p w14:paraId="77494BE1"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p>
        </w:tc>
        <w:tc>
          <w:tcPr>
            <w:tcW w:w="1157" w:type="pct"/>
          </w:tcPr>
          <w:p w14:paraId="51F0EF26" w14:textId="77777777"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r w:rsidRPr="00166D44">
              <w:rPr>
                <w:rFonts w:ascii="Arial" w:eastAsia="Calibri" w:hAnsi="Arial" w:cs="Arial"/>
                <w:b w:val="0"/>
                <w:color w:val="auto"/>
                <w:sz w:val="20"/>
                <w:szCs w:val="20"/>
                <w:u w:val="none"/>
                <w:lang w:val="en-US" w:eastAsia="en-US"/>
              </w:rPr>
              <w:t>Need PRPF meetings and LoG signed for higher level engagement.</w:t>
            </w:r>
          </w:p>
        </w:tc>
        <w:tc>
          <w:tcPr>
            <w:tcW w:w="1235" w:type="pct"/>
          </w:tcPr>
          <w:p w14:paraId="23135AC0" w14:textId="77777777"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p>
        </w:tc>
        <w:tc>
          <w:tcPr>
            <w:tcW w:w="783" w:type="pct"/>
          </w:tcPr>
          <w:p w14:paraId="388D3857"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Embassy</w:t>
            </w:r>
          </w:p>
        </w:tc>
        <w:tc>
          <w:tcPr>
            <w:tcW w:w="1205" w:type="pct"/>
          </w:tcPr>
          <w:p w14:paraId="1CB72B1D"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In progress. Amendments to LoG submitted to MSSI and SEII.</w:t>
            </w:r>
          </w:p>
        </w:tc>
      </w:tr>
      <w:tr w:rsidR="00166D44" w:rsidRPr="00166D44" w14:paraId="50F5A731" w14:textId="77777777" w:rsidTr="00166D44">
        <w:trPr>
          <w:trHeight w:val="800"/>
        </w:trPr>
        <w:tc>
          <w:tcPr>
            <w:tcW w:w="620" w:type="pct"/>
            <w:vMerge/>
            <w:shd w:val="clear" w:color="auto" w:fill="D5DCE4"/>
          </w:tcPr>
          <w:p w14:paraId="54AD3737"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p>
        </w:tc>
        <w:tc>
          <w:tcPr>
            <w:tcW w:w="1157" w:type="pct"/>
          </w:tcPr>
          <w:p w14:paraId="142C28A0" w14:textId="77777777"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r w:rsidRPr="00166D44">
              <w:rPr>
                <w:rFonts w:ascii="Arial" w:eastAsia="Calibri" w:hAnsi="Arial" w:cs="Arial"/>
                <w:b w:val="0"/>
                <w:color w:val="auto"/>
                <w:sz w:val="20"/>
                <w:szCs w:val="20"/>
                <w:u w:val="none"/>
                <w:lang w:val="en-US" w:eastAsia="en-US"/>
              </w:rPr>
              <w:t xml:space="preserve">Work with GfD to look at government gender expenditure data. Need to clarify what is counted as “gender expenditure” in this data.  </w:t>
            </w:r>
          </w:p>
        </w:tc>
        <w:tc>
          <w:tcPr>
            <w:tcW w:w="1235" w:type="pct"/>
          </w:tcPr>
          <w:p w14:paraId="7D1F4E53" w14:textId="77777777"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r w:rsidRPr="00166D44">
              <w:rPr>
                <w:rFonts w:ascii="Arial" w:eastAsia="Calibri" w:hAnsi="Arial" w:cs="Arial"/>
                <w:b w:val="0"/>
                <w:color w:val="auto"/>
                <w:sz w:val="20"/>
                <w:szCs w:val="20"/>
                <w:u w:val="none"/>
                <w:lang w:val="en-US" w:eastAsia="en-US"/>
              </w:rPr>
              <w:t>Analyse the gender budget statement.</w:t>
            </w:r>
          </w:p>
        </w:tc>
        <w:tc>
          <w:tcPr>
            <w:tcW w:w="783" w:type="pct"/>
          </w:tcPr>
          <w:p w14:paraId="350CBBF1"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Team Leader</w:t>
            </w:r>
          </w:p>
          <w:p w14:paraId="4492D4B5"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Director of Public Policy</w:t>
            </w:r>
          </w:p>
        </w:tc>
        <w:tc>
          <w:tcPr>
            <w:tcW w:w="1205" w:type="pct"/>
          </w:tcPr>
          <w:p w14:paraId="4FF6FA85"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 xml:space="preserve">Completed. Budget expenditure statement for 2019 showed much higher allocation (70%) towards gender equality than expected. </w:t>
            </w:r>
          </w:p>
        </w:tc>
      </w:tr>
      <w:tr w:rsidR="00166D44" w:rsidRPr="00166D44" w14:paraId="3187CAFE" w14:textId="77777777" w:rsidTr="00166D44">
        <w:trPr>
          <w:trHeight w:val="800"/>
        </w:trPr>
        <w:tc>
          <w:tcPr>
            <w:tcW w:w="620" w:type="pct"/>
            <w:vMerge/>
            <w:shd w:val="clear" w:color="auto" w:fill="D5DCE4"/>
          </w:tcPr>
          <w:p w14:paraId="7B1BEBB2"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p>
        </w:tc>
        <w:tc>
          <w:tcPr>
            <w:tcW w:w="1157" w:type="pct"/>
          </w:tcPr>
          <w:p w14:paraId="46E992AD" w14:textId="77777777" w:rsidR="001448EE"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r w:rsidRPr="00166D44">
              <w:rPr>
                <w:rFonts w:ascii="Arial" w:eastAsia="Calibri" w:hAnsi="Arial" w:cs="Arial"/>
                <w:b w:val="0"/>
                <w:color w:val="auto"/>
                <w:sz w:val="20"/>
                <w:szCs w:val="20"/>
                <w:u w:val="none"/>
                <w:lang w:val="en-US" w:eastAsia="en-US"/>
              </w:rPr>
              <w:t>DFAT to explore potential for volunteer to be placed with MS</w:t>
            </w:r>
          </w:p>
          <w:p w14:paraId="792E1741" w14:textId="13D75521"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r w:rsidRPr="00166D44">
              <w:rPr>
                <w:rFonts w:ascii="Arial" w:eastAsia="Calibri" w:hAnsi="Arial" w:cs="Arial"/>
                <w:b w:val="0"/>
                <w:color w:val="auto"/>
                <w:sz w:val="20"/>
                <w:szCs w:val="20"/>
                <w:u w:val="none"/>
                <w:lang w:val="en-US" w:eastAsia="en-US"/>
              </w:rPr>
              <w:t>SI.</w:t>
            </w:r>
          </w:p>
        </w:tc>
        <w:tc>
          <w:tcPr>
            <w:tcW w:w="1235" w:type="pct"/>
          </w:tcPr>
          <w:p w14:paraId="783F01BC" w14:textId="77777777" w:rsidR="00166D44" w:rsidRPr="00166D44" w:rsidRDefault="00166D44" w:rsidP="00447313">
            <w:pPr>
              <w:autoSpaceDE/>
              <w:autoSpaceDN/>
              <w:adjustRightInd/>
              <w:spacing w:after="80" w:line="259" w:lineRule="auto"/>
              <w:jc w:val="both"/>
              <w:textAlignment w:val="auto"/>
              <w:rPr>
                <w:rFonts w:ascii="Arial" w:eastAsia="Calibri" w:hAnsi="Arial" w:cs="Arial"/>
                <w:b w:val="0"/>
                <w:color w:val="auto"/>
                <w:sz w:val="20"/>
                <w:szCs w:val="20"/>
                <w:u w:val="none"/>
                <w:lang w:val="en-US" w:eastAsia="en-US"/>
              </w:rPr>
            </w:pPr>
          </w:p>
        </w:tc>
        <w:tc>
          <w:tcPr>
            <w:tcW w:w="783" w:type="pct"/>
          </w:tcPr>
          <w:p w14:paraId="24328382"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Embassy</w:t>
            </w:r>
          </w:p>
        </w:tc>
        <w:tc>
          <w:tcPr>
            <w:tcW w:w="1205" w:type="pct"/>
          </w:tcPr>
          <w:p w14:paraId="40EBCF98" w14:textId="77777777" w:rsidR="00166D44" w:rsidRPr="00166D44" w:rsidRDefault="00166D44" w:rsidP="00447313">
            <w:pPr>
              <w:autoSpaceDE/>
              <w:autoSpaceDN/>
              <w:adjustRightInd/>
              <w:spacing w:after="80" w:line="259" w:lineRule="auto"/>
              <w:jc w:val="both"/>
              <w:textAlignment w:val="auto"/>
              <w:rPr>
                <w:rFonts w:ascii="Arial" w:hAnsi="Arial" w:cs="Arial"/>
                <w:b w:val="0"/>
                <w:color w:val="auto"/>
                <w:sz w:val="20"/>
                <w:szCs w:val="20"/>
                <w:u w:val="none"/>
                <w:lang w:val="en-US" w:eastAsia="en-US"/>
              </w:rPr>
            </w:pPr>
            <w:r w:rsidRPr="00166D44">
              <w:rPr>
                <w:rFonts w:ascii="Arial" w:hAnsi="Arial" w:cs="Arial"/>
                <w:b w:val="0"/>
                <w:color w:val="auto"/>
                <w:sz w:val="20"/>
                <w:szCs w:val="20"/>
                <w:u w:val="none"/>
                <w:lang w:val="en-US" w:eastAsia="en-US"/>
              </w:rPr>
              <w:t>Completed.</w:t>
            </w:r>
          </w:p>
        </w:tc>
      </w:tr>
    </w:tbl>
    <w:p w14:paraId="418344C5" w14:textId="77777777" w:rsidR="00166D44" w:rsidRPr="00166D44" w:rsidRDefault="00166D44" w:rsidP="00447313">
      <w:pPr>
        <w:autoSpaceDE/>
        <w:autoSpaceDN/>
        <w:adjustRightInd/>
        <w:spacing w:after="160" w:line="259" w:lineRule="auto"/>
        <w:jc w:val="both"/>
        <w:textAlignment w:val="auto"/>
        <w:rPr>
          <w:rFonts w:ascii="Arial" w:eastAsia="Calibri" w:hAnsi="Arial" w:cs="Arial"/>
          <w:b w:val="0"/>
          <w:color w:val="auto"/>
          <w:u w:val="none"/>
          <w:lang w:eastAsia="en-US"/>
        </w:rPr>
      </w:pPr>
    </w:p>
    <w:p w14:paraId="5F892689" w14:textId="4C9F5A16" w:rsidR="00E1032F" w:rsidRDefault="00E1032F" w:rsidP="00447313">
      <w:pPr>
        <w:spacing w:line="288" w:lineRule="auto"/>
        <w:jc w:val="both"/>
        <w:rPr>
          <w:rFonts w:asciiTheme="minorHAnsi" w:hAnsiTheme="minorHAnsi" w:cstheme="minorHAnsi"/>
          <w:lang w:eastAsia="en-US"/>
        </w:rPr>
      </w:pPr>
    </w:p>
    <w:p w14:paraId="0952FABE" w14:textId="4F6A0564" w:rsidR="00E1032F" w:rsidRDefault="00E1032F" w:rsidP="00447313">
      <w:pPr>
        <w:spacing w:line="288" w:lineRule="auto"/>
        <w:jc w:val="both"/>
        <w:rPr>
          <w:rFonts w:asciiTheme="minorHAnsi" w:hAnsiTheme="minorHAnsi" w:cstheme="minorHAnsi"/>
          <w:lang w:eastAsia="en-US"/>
        </w:rPr>
      </w:pPr>
    </w:p>
    <w:p w14:paraId="315DBA46" w14:textId="73BFED50" w:rsidR="00E1032F" w:rsidRDefault="00E1032F" w:rsidP="00447313">
      <w:pPr>
        <w:spacing w:line="288" w:lineRule="auto"/>
        <w:jc w:val="both"/>
        <w:rPr>
          <w:rFonts w:asciiTheme="minorHAnsi" w:hAnsiTheme="minorHAnsi" w:cstheme="minorHAnsi"/>
          <w:lang w:eastAsia="en-US"/>
        </w:rPr>
      </w:pPr>
    </w:p>
    <w:p w14:paraId="250006C2" w14:textId="0D0FFB26" w:rsidR="00E1032F" w:rsidRDefault="00E1032F" w:rsidP="00447313">
      <w:pPr>
        <w:spacing w:line="288" w:lineRule="auto"/>
        <w:jc w:val="both"/>
        <w:rPr>
          <w:rFonts w:asciiTheme="minorHAnsi" w:hAnsiTheme="minorHAnsi" w:cstheme="minorHAnsi"/>
          <w:lang w:eastAsia="en-US"/>
        </w:rPr>
      </w:pPr>
    </w:p>
    <w:p w14:paraId="39229CE6" w14:textId="7FE9F0F4" w:rsidR="00E1032F" w:rsidRDefault="00E1032F" w:rsidP="00447313">
      <w:pPr>
        <w:spacing w:line="288" w:lineRule="auto"/>
        <w:jc w:val="both"/>
        <w:rPr>
          <w:rFonts w:asciiTheme="minorHAnsi" w:hAnsiTheme="minorHAnsi" w:cstheme="minorHAnsi"/>
          <w:lang w:eastAsia="en-US"/>
        </w:rPr>
      </w:pPr>
    </w:p>
    <w:p w14:paraId="4CCDB2D5" w14:textId="0A526854" w:rsidR="00E1032F" w:rsidRDefault="00E1032F" w:rsidP="00447313">
      <w:pPr>
        <w:spacing w:line="288" w:lineRule="auto"/>
        <w:jc w:val="both"/>
        <w:rPr>
          <w:rFonts w:asciiTheme="minorHAnsi" w:hAnsiTheme="minorHAnsi" w:cstheme="minorHAnsi"/>
          <w:lang w:eastAsia="en-US"/>
        </w:rPr>
      </w:pPr>
    </w:p>
    <w:p w14:paraId="167914EB" w14:textId="77777777" w:rsidR="00E1032F" w:rsidRPr="00BF4F0F" w:rsidRDefault="00E1032F" w:rsidP="00447313">
      <w:pPr>
        <w:spacing w:line="288" w:lineRule="auto"/>
        <w:jc w:val="both"/>
        <w:rPr>
          <w:rFonts w:asciiTheme="minorHAnsi" w:hAnsiTheme="minorHAnsi" w:cstheme="minorHAnsi"/>
          <w:lang w:eastAsia="en-US"/>
        </w:rPr>
      </w:pPr>
    </w:p>
    <w:p w14:paraId="44386312" w14:textId="77777777" w:rsidR="0062551F" w:rsidRPr="00BF4F0F" w:rsidRDefault="0062551F" w:rsidP="00447313">
      <w:pPr>
        <w:spacing w:line="288" w:lineRule="auto"/>
        <w:jc w:val="both"/>
        <w:rPr>
          <w:rFonts w:asciiTheme="minorHAnsi" w:hAnsiTheme="minorHAnsi" w:cstheme="minorHAnsi"/>
        </w:rPr>
      </w:pPr>
    </w:p>
    <w:sectPr w:rsidR="0062551F" w:rsidRPr="00BF4F0F" w:rsidSect="00166D44">
      <w:endnotePr>
        <w:numFmt w:val="decimal"/>
      </w:endnotePr>
      <w:pgSz w:w="16838" w:h="11906" w:orient="landscape" w:code="9"/>
      <w:pgMar w:top="1418" w:right="1418" w:bottom="1133" w:left="1135" w:header="709" w:footer="624" w:gutter="0"/>
      <w:cols w:space="567"/>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A3DECC5" w14:textId="77777777" w:rsidR="00F01346" w:rsidRDefault="00F01346" w:rsidP="00707F72">
      <w:r>
        <w:separator/>
      </w:r>
    </w:p>
    <w:p w14:paraId="54B11363" w14:textId="77777777" w:rsidR="00F01346" w:rsidRDefault="00F01346" w:rsidP="00707F72"/>
  </w:endnote>
  <w:endnote w:type="continuationSeparator" w:id="0">
    <w:p w14:paraId="7948973A" w14:textId="77777777" w:rsidR="00F01346" w:rsidRDefault="00F01346" w:rsidP="00707F72">
      <w:r>
        <w:continuationSeparator/>
      </w:r>
    </w:p>
    <w:p w14:paraId="70DE7EEF" w14:textId="77777777" w:rsidR="00F01346" w:rsidRDefault="00F01346" w:rsidP="00707F72"/>
  </w:endnote>
  <w:endnote w:type="continuationNotice" w:id="1">
    <w:p w14:paraId="1B679D3F" w14:textId="77777777" w:rsidR="00F01346" w:rsidRDefault="00F01346" w:rsidP="00707F72"/>
    <w:p w14:paraId="71082EA2" w14:textId="77777777" w:rsidR="00F01346" w:rsidRDefault="00F01346" w:rsidP="00707F7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AFF" w:usb1="5000785B" w:usb2="00000000" w:usb3="00000000" w:csb0="000001FF" w:csb1="00000000"/>
  </w:font>
  <w:font w:name="Calibri Light">
    <w:panose1 w:val="020F0302020204030204"/>
    <w:charset w:val="00"/>
    <w:family w:val="swiss"/>
    <w:pitch w:val="variable"/>
    <w:sig w:usb0="E0002AFF" w:usb1="C000247B" w:usb2="00000009" w:usb3="00000000" w:csb0="000001FF" w:csb1="00000000"/>
  </w:font>
  <w:font w:name="Courier">
    <w:panose1 w:val="02070409020205020404"/>
    <w:charset w:val="00"/>
    <w:family w:val="auto"/>
    <w:pitch w:val="variable"/>
    <w:sig w:usb0="00000003" w:usb1="00000000" w:usb2="00000000" w:usb3="00000000" w:csb0="00000003"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Futura LtCn BT">
    <w:altName w:val="Courier New"/>
    <w:panose1 w:val="00000000000000000000"/>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C000247B" w:usb2="00000009" w:usb3="00000000" w:csb0="000001FF" w:csb1="00000000"/>
  </w:font>
  <w:font w:name="Times Roman">
    <w:altName w:val="Times New Roman"/>
    <w:panose1 w:val="00000000000000000000"/>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ourier 10cpi">
    <w:panose1 w:val="00000000000000000000"/>
    <w:charset w:val="00"/>
    <w:family w:val="auto"/>
    <w:notTrueType/>
    <w:pitch w:val="variable"/>
    <w:sig w:usb0="00000003" w:usb1="00000000" w:usb2="00000000" w:usb3="00000000" w:csb0="00000001" w:csb1="00000000"/>
  </w:font>
  <w:font w:name="Bembo">
    <w:panose1 w:val="00000000000000000000"/>
    <w:charset w:val="00"/>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auto"/>
    <w:pitch w:val="variable"/>
    <w:sig w:usb0="E00002FF" w:usb1="5000205A" w:usb2="00000000" w:usb3="00000000" w:csb0="0000019F" w:csb1="00000000"/>
  </w:font>
  <w:font w:name="HelveticaRounded LT Std BdCn">
    <w:altName w:val="Arial"/>
    <w:charset w:val="00"/>
    <w:family w:val="swiss"/>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317036705"/>
      <w:docPartObj>
        <w:docPartGallery w:val="Page Numbers (Bottom of Page)"/>
        <w:docPartUnique/>
      </w:docPartObj>
    </w:sdtPr>
    <w:sdtEndPr>
      <w:rPr>
        <w:rStyle w:val="PageNumber"/>
      </w:rPr>
    </w:sdtEndPr>
    <w:sdtContent>
      <w:p w14:paraId="25B8641E" w14:textId="5D4EF548" w:rsidR="00ED4461" w:rsidRDefault="00ED4461" w:rsidP="00705BD3">
        <w:pPr>
          <w:pStyle w:val="Footer"/>
          <w:framePr w:wrap="none" w:vAnchor="text" w:hAnchor="margin" w:xAlign="outside" w:y="1"/>
          <w:rPr>
            <w:rStyle w:val="PageNumber"/>
            <w:color w:val="2D2D42"/>
            <w:sz w:val="22"/>
          </w:rPr>
        </w:pPr>
        <w:r>
          <w:rPr>
            <w:rStyle w:val="PageNumber"/>
          </w:rPr>
          <w:fldChar w:fldCharType="begin"/>
        </w:r>
        <w:r>
          <w:rPr>
            <w:rStyle w:val="PageNumber"/>
          </w:rPr>
          <w:instrText xml:space="preserve"> PAGE </w:instrText>
        </w:r>
        <w:r>
          <w:rPr>
            <w:rStyle w:val="PageNumber"/>
          </w:rPr>
          <w:fldChar w:fldCharType="end"/>
        </w:r>
      </w:p>
    </w:sdtContent>
  </w:sdt>
  <w:p w14:paraId="6F18CE8A" w14:textId="77777777" w:rsidR="00ED4461" w:rsidRDefault="00ED4461" w:rsidP="00705BD3">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913F0B" w14:textId="3033F72E" w:rsidR="00ED4461" w:rsidRDefault="00ED4461" w:rsidP="00705BD3">
    <w:pPr>
      <w:pStyle w:val="Footer"/>
      <w:framePr w:wrap="none" w:vAnchor="text" w:hAnchor="page" w:x="1131" w:y="1"/>
      <w:rPr>
        <w:rStyle w:val="PageNumber"/>
        <w:color w:val="2D2D42"/>
        <w:sz w:val="22"/>
      </w:rPr>
    </w:pPr>
  </w:p>
  <w:p w14:paraId="1A975523" w14:textId="77777777" w:rsidR="00ED4461" w:rsidRDefault="00ED4461" w:rsidP="00705BD3">
    <w:pPr>
      <w:pStyle w:val="Footer"/>
      <w:ind w:right="360" w:firstLine="360"/>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177965608"/>
      <w:docPartObj>
        <w:docPartGallery w:val="Page Numbers (Bottom of Page)"/>
        <w:docPartUnique/>
      </w:docPartObj>
    </w:sdtPr>
    <w:sdtEndPr>
      <w:rPr>
        <w:rStyle w:val="PageNumber"/>
      </w:rPr>
    </w:sdtEndPr>
    <w:sdtContent>
      <w:p w14:paraId="3E060854" w14:textId="31B3844C" w:rsidR="00ED4461" w:rsidRDefault="00ED4461" w:rsidP="00151A1F">
        <w:pPr>
          <w:pStyle w:val="Footer"/>
          <w:framePr w:wrap="none" w:vAnchor="text" w:hAnchor="margin" w:xAlign="outside"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ii</w:t>
        </w:r>
        <w:r>
          <w:rPr>
            <w:rStyle w:val="PageNumber"/>
          </w:rPr>
          <w:fldChar w:fldCharType="end"/>
        </w:r>
      </w:p>
    </w:sdtContent>
  </w:sdt>
  <w:p w14:paraId="6EDB1E4B" w14:textId="77777777" w:rsidR="00ED4461" w:rsidRDefault="00ED4461" w:rsidP="00705BD3">
    <w:pPr>
      <w:pStyle w:val="Footer"/>
      <w:ind w:right="360" w:firstLine="360"/>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750774014"/>
      <w:docPartObj>
        <w:docPartGallery w:val="Page Numbers (Bottom of Page)"/>
        <w:docPartUnique/>
      </w:docPartObj>
    </w:sdtPr>
    <w:sdtEndPr>
      <w:rPr>
        <w:rStyle w:val="PageNumber"/>
      </w:rPr>
    </w:sdtEndPr>
    <w:sdtContent>
      <w:p w14:paraId="25498036" w14:textId="3D35D194" w:rsidR="00ED4461" w:rsidRDefault="00ED4461" w:rsidP="00151A1F">
        <w:pPr>
          <w:pStyle w:val="Footer"/>
          <w:framePr w:wrap="none" w:vAnchor="text" w:hAnchor="margin" w:xAlign="outside" w:y="1"/>
          <w:rPr>
            <w:rStyle w:val="PageNumber"/>
          </w:rPr>
        </w:pPr>
        <w:r>
          <w:rPr>
            <w:rStyle w:val="PageNumber"/>
          </w:rPr>
          <w:fldChar w:fldCharType="begin"/>
        </w:r>
        <w:r>
          <w:rPr>
            <w:rStyle w:val="PageNumber"/>
          </w:rPr>
          <w:instrText xml:space="preserve"> PAGE </w:instrText>
        </w:r>
        <w:r>
          <w:rPr>
            <w:rStyle w:val="PageNumber"/>
          </w:rPr>
          <w:fldChar w:fldCharType="separate"/>
        </w:r>
        <w:r w:rsidR="00C6150D">
          <w:rPr>
            <w:rStyle w:val="PageNumber"/>
            <w:noProof/>
          </w:rPr>
          <w:t>i</w:t>
        </w:r>
        <w:r>
          <w:rPr>
            <w:rStyle w:val="PageNumber"/>
          </w:rPr>
          <w:fldChar w:fldCharType="end"/>
        </w:r>
      </w:p>
    </w:sdtContent>
  </w:sdt>
  <w:p w14:paraId="3A3285A5" w14:textId="77777777" w:rsidR="00ED4461" w:rsidRDefault="00ED4461" w:rsidP="00705BD3">
    <w:pPr>
      <w:pStyle w:val="Footer"/>
      <w:framePr w:wrap="none" w:vAnchor="text" w:hAnchor="page" w:x="1131" w:y="1"/>
      <w:ind w:right="360" w:firstLine="360"/>
      <w:rPr>
        <w:rStyle w:val="PageNumber"/>
      </w:rPr>
    </w:pPr>
  </w:p>
  <w:p w14:paraId="3F3DCDDA" w14:textId="77777777" w:rsidR="00ED4461" w:rsidRDefault="00ED4461" w:rsidP="00705BD3">
    <w:pPr>
      <w:pStyle w:val="Footer"/>
      <w:ind w:right="360" w:firstLine="360"/>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947158497"/>
      <w:docPartObj>
        <w:docPartGallery w:val="Page Numbers (Bottom of Page)"/>
        <w:docPartUnique/>
      </w:docPartObj>
    </w:sdtPr>
    <w:sdtEndPr>
      <w:rPr>
        <w:rStyle w:val="PageNumber"/>
      </w:rPr>
    </w:sdtEndPr>
    <w:sdtContent>
      <w:p w14:paraId="44B8E8A1" w14:textId="6136C9D8" w:rsidR="00ED4461" w:rsidRDefault="00ED4461" w:rsidP="00151A1F">
        <w:pPr>
          <w:pStyle w:val="Footer"/>
          <w:framePr w:wrap="none" w:vAnchor="text" w:hAnchor="margin" w:xAlign="outside" w:y="1"/>
          <w:rPr>
            <w:rStyle w:val="PageNumber"/>
          </w:rPr>
        </w:pPr>
        <w:r>
          <w:rPr>
            <w:rStyle w:val="PageNumber"/>
          </w:rPr>
          <w:fldChar w:fldCharType="begin"/>
        </w:r>
        <w:r>
          <w:rPr>
            <w:rStyle w:val="PageNumber"/>
          </w:rPr>
          <w:instrText xml:space="preserve"> PAGE </w:instrText>
        </w:r>
        <w:r>
          <w:rPr>
            <w:rStyle w:val="PageNumber"/>
          </w:rPr>
          <w:fldChar w:fldCharType="separate"/>
        </w:r>
        <w:r w:rsidR="00C6150D">
          <w:rPr>
            <w:rStyle w:val="PageNumber"/>
            <w:noProof/>
          </w:rPr>
          <w:t xml:space="preserve"> </w:t>
        </w:r>
        <w:r>
          <w:rPr>
            <w:rStyle w:val="PageNumber"/>
          </w:rPr>
          <w:fldChar w:fldCharType="end"/>
        </w:r>
      </w:p>
    </w:sdtContent>
  </w:sdt>
  <w:p w14:paraId="53BA7981" w14:textId="5C4F8F0A" w:rsidR="00ED4461" w:rsidRPr="00870182" w:rsidRDefault="00ED4461" w:rsidP="00705BD3">
    <w:pPr>
      <w:pStyle w:val="Footer"/>
      <w:ind w:right="360" w:firstLine="360"/>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810285851"/>
      <w:docPartObj>
        <w:docPartGallery w:val="Page Numbers (Bottom of Page)"/>
        <w:docPartUnique/>
      </w:docPartObj>
    </w:sdtPr>
    <w:sdtEndPr>
      <w:rPr>
        <w:rStyle w:val="PageNumber"/>
        <w:color w:val="822B6A"/>
      </w:rPr>
    </w:sdtEndPr>
    <w:sdtContent>
      <w:p w14:paraId="3C14A175" w14:textId="0AB35C8F" w:rsidR="00ED4461" w:rsidRPr="00705BD3" w:rsidRDefault="00ED4461" w:rsidP="00705BD3">
        <w:pPr>
          <w:pStyle w:val="Footer"/>
          <w:framePr w:wrap="none" w:vAnchor="text" w:hAnchor="margin" w:xAlign="outside" w:y="1"/>
          <w:rPr>
            <w:rStyle w:val="PageNumber"/>
            <w:color w:val="822B6A"/>
          </w:rPr>
        </w:pPr>
        <w:r w:rsidRPr="00705BD3">
          <w:rPr>
            <w:rStyle w:val="PageNumber"/>
            <w:color w:val="822B6A"/>
          </w:rPr>
          <w:t xml:space="preserve">Page </w:t>
        </w:r>
        <w:r w:rsidRPr="00705BD3">
          <w:rPr>
            <w:rStyle w:val="PageNumber"/>
            <w:color w:val="822B6A"/>
          </w:rPr>
          <w:fldChar w:fldCharType="begin"/>
        </w:r>
        <w:r w:rsidRPr="00705BD3">
          <w:rPr>
            <w:rStyle w:val="PageNumber"/>
            <w:color w:val="822B6A"/>
          </w:rPr>
          <w:instrText xml:space="preserve"> PAGE </w:instrText>
        </w:r>
        <w:r w:rsidRPr="00705BD3">
          <w:rPr>
            <w:rStyle w:val="PageNumber"/>
            <w:color w:val="822B6A"/>
          </w:rPr>
          <w:fldChar w:fldCharType="separate"/>
        </w:r>
        <w:r w:rsidR="00C6150D">
          <w:rPr>
            <w:rStyle w:val="PageNumber"/>
            <w:noProof/>
            <w:color w:val="822B6A"/>
          </w:rPr>
          <w:t>2</w:t>
        </w:r>
        <w:r w:rsidRPr="00705BD3">
          <w:rPr>
            <w:rStyle w:val="PageNumber"/>
            <w:color w:val="822B6A"/>
          </w:rPr>
          <w:fldChar w:fldCharType="end"/>
        </w:r>
      </w:p>
    </w:sdtContent>
  </w:sdt>
  <w:p w14:paraId="4E1CE30C" w14:textId="186BE142" w:rsidR="00ED4461" w:rsidRPr="00705BD3" w:rsidRDefault="00ED4461" w:rsidP="00705BD3">
    <w:pPr>
      <w:pStyle w:val="Header"/>
      <w:framePr w:wrap="none" w:vAnchor="text" w:hAnchor="margin" w:xAlign="outside" w:y="1"/>
      <w:ind w:right="360"/>
      <w:jc w:val="left"/>
      <w:rPr>
        <w:rFonts w:asciiTheme="minorHAnsi" w:hAnsiTheme="minorHAnsi" w:cstheme="minorHAnsi"/>
        <w:color w:val="822B6A"/>
        <w:u w:val="none"/>
      </w:rPr>
    </w:pPr>
  </w:p>
  <w:p w14:paraId="42AFC8FE" w14:textId="09A7AA62" w:rsidR="00ED4461" w:rsidRPr="00705BD3" w:rsidRDefault="00ED4461" w:rsidP="00705BD3">
    <w:pPr>
      <w:pStyle w:val="Header"/>
      <w:ind w:right="360" w:firstLine="360"/>
      <w:jc w:val="center"/>
      <w:rPr>
        <w:rFonts w:asciiTheme="minorHAnsi" w:hAnsiTheme="minorHAnsi" w:cstheme="minorHAnsi"/>
        <w:color w:val="822B6A"/>
        <w:u w:val="none"/>
      </w:rPr>
    </w:pPr>
    <w:r w:rsidRPr="00705BD3">
      <w:rPr>
        <w:rFonts w:asciiTheme="minorHAnsi" w:hAnsiTheme="minorHAnsi" w:cstheme="minorHAnsi"/>
        <w:color w:val="822B6A"/>
        <w:u w:val="none"/>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Fonts w:asciiTheme="minorHAnsi" w:hAnsiTheme="minorHAnsi" w:cstheme="minorHAnsi"/>
        <w:color w:val="822B6A"/>
        <w:u w:val="none"/>
      </w:rPr>
      <w:id w:val="-1847473445"/>
      <w:docPartObj>
        <w:docPartGallery w:val="Page Numbers (Bottom of Page)"/>
        <w:docPartUnique/>
      </w:docPartObj>
    </w:sdtPr>
    <w:sdtEndPr>
      <w:rPr>
        <w:rStyle w:val="PageNumber"/>
      </w:rPr>
    </w:sdtEndPr>
    <w:sdtContent>
      <w:p w14:paraId="6567C7AC" w14:textId="73833B01" w:rsidR="00ED4461" w:rsidRPr="005E4703" w:rsidRDefault="00ED4461" w:rsidP="00965F33">
        <w:pPr>
          <w:pStyle w:val="Footer"/>
          <w:framePr w:wrap="none" w:vAnchor="text" w:hAnchor="margin" w:xAlign="outside" w:y="1"/>
          <w:rPr>
            <w:rStyle w:val="PageNumber"/>
            <w:rFonts w:asciiTheme="minorHAnsi" w:hAnsiTheme="minorHAnsi" w:cstheme="minorHAnsi"/>
            <w:color w:val="822B6A"/>
            <w:u w:val="none"/>
          </w:rPr>
        </w:pPr>
        <w:r w:rsidRPr="005E4703">
          <w:rPr>
            <w:rStyle w:val="PageNumber"/>
            <w:rFonts w:asciiTheme="minorHAnsi" w:hAnsiTheme="minorHAnsi" w:cstheme="minorHAnsi"/>
            <w:color w:val="822B6A"/>
            <w:u w:val="none"/>
          </w:rPr>
          <w:t xml:space="preserve">Page </w:t>
        </w:r>
        <w:r w:rsidRPr="005E4703">
          <w:rPr>
            <w:rStyle w:val="PageNumber"/>
            <w:rFonts w:asciiTheme="minorHAnsi" w:hAnsiTheme="minorHAnsi" w:cstheme="minorHAnsi"/>
            <w:color w:val="822B6A"/>
            <w:u w:val="none"/>
          </w:rPr>
          <w:fldChar w:fldCharType="begin"/>
        </w:r>
        <w:r w:rsidRPr="005E4703">
          <w:rPr>
            <w:rStyle w:val="PageNumber"/>
            <w:rFonts w:asciiTheme="minorHAnsi" w:hAnsiTheme="minorHAnsi" w:cstheme="minorHAnsi"/>
            <w:color w:val="822B6A"/>
            <w:u w:val="none"/>
          </w:rPr>
          <w:instrText xml:space="preserve"> PAGE </w:instrText>
        </w:r>
        <w:r w:rsidRPr="005E4703">
          <w:rPr>
            <w:rStyle w:val="PageNumber"/>
            <w:rFonts w:asciiTheme="minorHAnsi" w:hAnsiTheme="minorHAnsi" w:cstheme="minorHAnsi"/>
            <w:color w:val="822B6A"/>
            <w:u w:val="none"/>
          </w:rPr>
          <w:fldChar w:fldCharType="separate"/>
        </w:r>
        <w:r w:rsidR="00C6150D">
          <w:rPr>
            <w:rStyle w:val="PageNumber"/>
            <w:rFonts w:asciiTheme="minorHAnsi" w:hAnsiTheme="minorHAnsi" w:cstheme="minorHAnsi"/>
            <w:noProof/>
            <w:color w:val="822B6A"/>
            <w:u w:val="none"/>
          </w:rPr>
          <w:t>18</w:t>
        </w:r>
        <w:r w:rsidRPr="005E4703">
          <w:rPr>
            <w:rStyle w:val="PageNumber"/>
            <w:rFonts w:asciiTheme="minorHAnsi" w:hAnsiTheme="minorHAnsi" w:cstheme="minorHAnsi"/>
            <w:color w:val="822B6A"/>
            <w:u w:val="none"/>
          </w:rPr>
          <w:fldChar w:fldCharType="end"/>
        </w:r>
      </w:p>
    </w:sdtContent>
  </w:sdt>
  <w:p w14:paraId="677F229E" w14:textId="5E7502F8" w:rsidR="00ED4461" w:rsidRPr="005E4703" w:rsidRDefault="00ED4461" w:rsidP="00705BD3">
    <w:pPr>
      <w:pStyle w:val="Footer"/>
      <w:ind w:right="360" w:firstLine="360"/>
      <w:jc w:val="right"/>
      <w:rPr>
        <w:rFonts w:asciiTheme="minorHAnsi" w:hAnsiTheme="minorHAnsi" w:cstheme="minorHAnsi"/>
        <w:color w:val="822B6A"/>
        <w:u w:val="none"/>
      </w:rPr>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498BA4" w14:textId="77777777" w:rsidR="00ED4461" w:rsidRDefault="00ED4461" w:rsidP="00707F72"/>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6EF1CA4" w14:textId="77777777" w:rsidR="00F01346" w:rsidRDefault="00F01346" w:rsidP="00707F72">
      <w:r>
        <w:separator/>
      </w:r>
    </w:p>
    <w:p w14:paraId="3E2A7DFE" w14:textId="77777777" w:rsidR="00F01346" w:rsidRDefault="00F01346" w:rsidP="00707F72"/>
  </w:footnote>
  <w:footnote w:type="continuationSeparator" w:id="0">
    <w:p w14:paraId="7DB49CE6" w14:textId="77777777" w:rsidR="00F01346" w:rsidRDefault="00F01346" w:rsidP="00707F72">
      <w:r>
        <w:continuationSeparator/>
      </w:r>
    </w:p>
    <w:p w14:paraId="14F4288E" w14:textId="77777777" w:rsidR="00F01346" w:rsidRDefault="00F01346" w:rsidP="00707F72"/>
  </w:footnote>
  <w:footnote w:type="continuationNotice" w:id="1">
    <w:p w14:paraId="11463312" w14:textId="77777777" w:rsidR="00F01346" w:rsidRDefault="00F01346" w:rsidP="00707F72"/>
    <w:p w14:paraId="4D21F568" w14:textId="77777777" w:rsidR="00F01346" w:rsidRDefault="00F01346" w:rsidP="00707F72"/>
  </w:footnote>
  <w:footnote w:id="2">
    <w:p w14:paraId="43BB760B" w14:textId="7845AFC2" w:rsidR="00ED4461" w:rsidRPr="00D22C15" w:rsidRDefault="00ED4461" w:rsidP="00D22C15">
      <w:pPr>
        <w:pStyle w:val="FootnoteText"/>
        <w:rPr>
          <w:rFonts w:asciiTheme="minorHAnsi" w:hAnsiTheme="minorHAnsi" w:cstheme="minorHAnsi"/>
          <w:color w:val="auto"/>
          <w:lang w:val="en-US"/>
        </w:rPr>
      </w:pPr>
      <w:r w:rsidRPr="00D22C15">
        <w:rPr>
          <w:rStyle w:val="FootnoteReference"/>
          <w:rFonts w:asciiTheme="minorHAnsi" w:hAnsiTheme="minorHAnsi" w:cstheme="minorHAnsi"/>
          <w:b/>
          <w:color w:val="auto"/>
          <w:sz w:val="20"/>
          <w:szCs w:val="20"/>
        </w:rPr>
        <w:footnoteRef/>
      </w:r>
      <w:r w:rsidRPr="00D22C15">
        <w:rPr>
          <w:rFonts w:asciiTheme="minorHAnsi" w:hAnsiTheme="minorHAnsi" w:cstheme="minorHAnsi"/>
          <w:color w:val="auto"/>
        </w:rPr>
        <w:t xml:space="preserve"> ‘Duodecimo’: every month public institutions can only expend 1/12</w:t>
      </w:r>
      <w:r w:rsidRPr="00D22C15">
        <w:rPr>
          <w:rFonts w:asciiTheme="minorHAnsi" w:hAnsiTheme="minorHAnsi" w:cstheme="minorHAnsi"/>
          <w:color w:val="auto"/>
          <w:vertAlign w:val="superscript"/>
        </w:rPr>
        <w:t>th</w:t>
      </w:r>
      <w:r w:rsidRPr="00D22C15">
        <w:rPr>
          <w:rFonts w:asciiTheme="minorHAnsi" w:hAnsiTheme="minorHAnsi" w:cstheme="minorHAnsi"/>
          <w:color w:val="auto"/>
        </w:rPr>
        <w:t xml:space="preserve"> of their annual budget on every budget line based on the actual expenditure of the previous year. </w:t>
      </w:r>
    </w:p>
  </w:footnote>
  <w:footnote w:id="3">
    <w:p w14:paraId="09AC5752" w14:textId="77777777" w:rsidR="00ED4461" w:rsidRPr="00D22C15" w:rsidRDefault="00ED4461" w:rsidP="00D22C15">
      <w:pPr>
        <w:pStyle w:val="FootnoteText"/>
        <w:rPr>
          <w:rFonts w:asciiTheme="minorHAnsi" w:hAnsiTheme="minorHAnsi" w:cstheme="minorHAnsi"/>
          <w:color w:val="auto"/>
          <w:lang w:val="en-US"/>
        </w:rPr>
      </w:pPr>
      <w:r w:rsidRPr="00D22C15">
        <w:rPr>
          <w:rStyle w:val="FootnoteReference"/>
          <w:rFonts w:asciiTheme="minorHAnsi" w:hAnsiTheme="minorHAnsi" w:cstheme="minorHAnsi"/>
          <w:b/>
          <w:color w:val="auto"/>
          <w:sz w:val="20"/>
          <w:szCs w:val="20"/>
        </w:rPr>
        <w:footnoteRef/>
      </w:r>
      <w:r w:rsidRPr="00D22C15">
        <w:rPr>
          <w:rFonts w:asciiTheme="minorHAnsi" w:hAnsiTheme="minorHAnsi" w:cstheme="minorHAnsi"/>
          <w:color w:val="auto"/>
        </w:rPr>
        <w:t xml:space="preserve"> </w:t>
      </w:r>
      <w:r w:rsidRPr="00D22C15">
        <w:rPr>
          <w:rFonts w:asciiTheme="minorHAnsi" w:hAnsiTheme="minorHAnsi" w:cstheme="minorHAnsi"/>
          <w:color w:val="auto"/>
          <w:lang w:val="en-US"/>
        </w:rPr>
        <w:t>As of 7 February 2019.</w:t>
      </w:r>
    </w:p>
  </w:footnote>
  <w:footnote w:id="4">
    <w:p w14:paraId="339E97AB" w14:textId="77777777" w:rsidR="00ED4461" w:rsidRPr="00D22C15" w:rsidRDefault="00ED4461" w:rsidP="00D22C15">
      <w:pPr>
        <w:pStyle w:val="FootnoteText"/>
        <w:rPr>
          <w:rFonts w:asciiTheme="minorHAnsi" w:hAnsiTheme="minorHAnsi" w:cstheme="minorHAnsi"/>
          <w:color w:val="auto"/>
          <w:lang w:val="en-US"/>
        </w:rPr>
      </w:pPr>
      <w:r w:rsidRPr="00D22C15">
        <w:rPr>
          <w:rStyle w:val="FootnoteReference"/>
          <w:rFonts w:asciiTheme="minorHAnsi" w:hAnsiTheme="minorHAnsi" w:cstheme="minorHAnsi"/>
          <w:b/>
          <w:color w:val="auto"/>
          <w:sz w:val="20"/>
          <w:szCs w:val="20"/>
        </w:rPr>
        <w:footnoteRef/>
      </w:r>
      <w:r w:rsidRPr="00D22C15">
        <w:rPr>
          <w:rFonts w:asciiTheme="minorHAnsi" w:hAnsiTheme="minorHAnsi" w:cstheme="minorHAnsi"/>
          <w:color w:val="auto"/>
        </w:rPr>
        <w:t xml:space="preserve"> </w:t>
      </w:r>
      <w:r w:rsidRPr="00D22C15">
        <w:rPr>
          <w:rFonts w:asciiTheme="minorHAnsi" w:hAnsiTheme="minorHAnsi" w:cstheme="minorHAnsi"/>
          <w:color w:val="auto"/>
          <w:lang w:val="en-US"/>
        </w:rPr>
        <w:t xml:space="preserve">Aide Memoire: Timor-Leste Country Visit, </w:t>
      </w:r>
      <w:r w:rsidRPr="00D22C15">
        <w:rPr>
          <w:rFonts w:asciiTheme="minorHAnsi" w:hAnsiTheme="minorHAnsi" w:cstheme="minorHAnsi"/>
          <w:color w:val="auto"/>
        </w:rPr>
        <w:t>to end violence against women and girls evaluation. September 2018.</w:t>
      </w:r>
    </w:p>
  </w:footnote>
  <w:footnote w:id="5">
    <w:p w14:paraId="662D3B68" w14:textId="77777777" w:rsidR="00ED4461" w:rsidRPr="00D22C15" w:rsidRDefault="00ED4461" w:rsidP="00D22C15">
      <w:pPr>
        <w:pStyle w:val="FootnoteText"/>
        <w:rPr>
          <w:rFonts w:asciiTheme="minorHAnsi" w:hAnsiTheme="minorHAnsi" w:cstheme="minorHAnsi"/>
          <w:color w:val="auto"/>
        </w:rPr>
      </w:pPr>
      <w:r w:rsidRPr="00D22C15">
        <w:rPr>
          <w:rStyle w:val="FootnoteReference"/>
          <w:rFonts w:asciiTheme="minorHAnsi" w:hAnsiTheme="minorHAnsi" w:cstheme="minorHAnsi"/>
          <w:b/>
          <w:color w:val="auto"/>
          <w:sz w:val="20"/>
          <w:szCs w:val="20"/>
        </w:rPr>
        <w:footnoteRef/>
      </w:r>
      <w:r w:rsidRPr="00D22C15">
        <w:rPr>
          <w:rFonts w:asciiTheme="minorHAnsi" w:hAnsiTheme="minorHAnsi" w:cstheme="minorHAnsi"/>
          <w:color w:val="auto"/>
        </w:rPr>
        <w:t xml:space="preserve"> The Asia Foundation. 2016. Understanding Violence against Women and Children in Timor-Leste: Findings from the Nabilan Baseline Study – Main Report. The Asia Foundation: Dili.</w:t>
      </w:r>
    </w:p>
  </w:footnote>
  <w:footnote w:id="6">
    <w:p w14:paraId="625FAE08" w14:textId="77777777" w:rsidR="00ED4461" w:rsidRPr="00D22C15" w:rsidRDefault="00ED4461" w:rsidP="00D22C15">
      <w:pPr>
        <w:pStyle w:val="FootnoteText"/>
        <w:rPr>
          <w:rFonts w:asciiTheme="minorHAnsi" w:hAnsiTheme="minorHAnsi" w:cstheme="minorHAnsi"/>
          <w:color w:val="auto"/>
        </w:rPr>
      </w:pPr>
      <w:r w:rsidRPr="00D22C15">
        <w:rPr>
          <w:rStyle w:val="FootnoteReference"/>
          <w:rFonts w:asciiTheme="minorHAnsi" w:hAnsiTheme="minorHAnsi" w:cstheme="minorHAnsi"/>
          <w:b/>
          <w:color w:val="auto"/>
          <w:sz w:val="20"/>
          <w:szCs w:val="20"/>
        </w:rPr>
        <w:footnoteRef/>
      </w:r>
      <w:r w:rsidRPr="00D22C15">
        <w:rPr>
          <w:rFonts w:asciiTheme="minorHAnsi" w:hAnsiTheme="minorHAnsi" w:cstheme="minorHAnsi"/>
          <w:color w:val="auto"/>
        </w:rPr>
        <w:t xml:space="preserve"> SASA! (Start, Awareness, Support, Action) is a model of primary prevention developed by Raising Voices Uganda. Its effectiveness in preventing intimate partner violence within programmatic timeframes has been verified by randomised control trials conducted by the Center for Domestic Violence Prevention, London School of Hygiene and Tropical Medicine and Makerere University.</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E69D6F" w14:textId="77777777" w:rsidR="00C6150D" w:rsidRDefault="00C6150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D763A5" w14:textId="77777777" w:rsidR="00C6150D" w:rsidRDefault="00C6150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4B17B9" w14:textId="77777777" w:rsidR="00C6150D" w:rsidRDefault="00C6150D">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46FDDE" w14:textId="77777777" w:rsidR="00ED4461" w:rsidRPr="0074494F" w:rsidRDefault="00ED4461" w:rsidP="00707F7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40DF95" w14:textId="3987BE0E" w:rsidR="00ED4461" w:rsidRPr="00E07B22" w:rsidRDefault="00ED4461" w:rsidP="00E07B22">
    <w:pPr>
      <w:pStyle w:val="Header"/>
      <w:rPr>
        <w:rFonts w:asciiTheme="minorHAnsi" w:hAnsiTheme="minorHAnsi" w:cstheme="minorHAnsi"/>
        <w:color w:val="822B6A"/>
        <w:u w:val="none"/>
      </w:rPr>
    </w:pPr>
    <w:r w:rsidRPr="00FB2298">
      <w:rPr>
        <w:rFonts w:asciiTheme="minorHAnsi" w:hAnsiTheme="minorHAnsi" w:cstheme="minorHAnsi"/>
        <w:color w:val="822B6A"/>
        <w:u w:val="none"/>
      </w:rPr>
      <w:t>Nabilan Annual Report 1 January-31 December 2018</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B8B189" w14:textId="20FC5D46" w:rsidR="00ED4461" w:rsidRPr="00E07B22" w:rsidRDefault="00ED4461" w:rsidP="00E07B22">
    <w:pPr>
      <w:pStyle w:val="Header"/>
      <w:rPr>
        <w:rFonts w:asciiTheme="minorHAnsi" w:hAnsiTheme="minorHAnsi" w:cstheme="minorHAnsi"/>
        <w:color w:val="822B6A"/>
        <w:u w:val="none"/>
      </w:rPr>
    </w:pPr>
    <w:r w:rsidRPr="00FB2298">
      <w:rPr>
        <w:rFonts w:asciiTheme="minorHAnsi" w:hAnsiTheme="minorHAnsi" w:cstheme="minorHAnsi"/>
        <w:color w:val="822B6A"/>
        <w:u w:val="none"/>
      </w:rPr>
      <w:t>Nabilan Annual Report 1 January-31 December 2018</w: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D6860A" w14:textId="24E0F99D" w:rsidR="00ED4461" w:rsidRPr="00E07B22" w:rsidRDefault="00ED4461" w:rsidP="00E07B22">
    <w:pPr>
      <w:pStyle w:val="Header"/>
      <w:rPr>
        <w:rFonts w:asciiTheme="minorHAnsi" w:hAnsiTheme="minorHAnsi" w:cstheme="minorHAnsi"/>
        <w:color w:val="822B6A"/>
        <w:u w:val="none"/>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18106DDA"/>
    <w:lvl w:ilvl="0">
      <w:start w:val="1"/>
      <w:numFmt w:val="bullet"/>
      <w:pStyle w:val="NoteLevel1"/>
      <w:lvlText w:val=""/>
      <w:lvlJc w:val="left"/>
      <w:pPr>
        <w:tabs>
          <w:tab w:val="num" w:pos="0"/>
        </w:tabs>
        <w:ind w:left="0" w:firstLine="0"/>
      </w:pPr>
      <w:rPr>
        <w:rFonts w:ascii="Symbol" w:hAnsi="Symbol" w:hint="default"/>
      </w:rPr>
    </w:lvl>
    <w:lvl w:ilvl="1">
      <w:start w:val="1"/>
      <w:numFmt w:val="bullet"/>
      <w:pStyle w:val="NoteLevel2"/>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80"/>
    <w:multiLevelType w:val="singleLevel"/>
    <w:tmpl w:val="A8BCC8A0"/>
    <w:lvl w:ilvl="0">
      <w:start w:val="1"/>
      <w:numFmt w:val="bullet"/>
      <w:pStyle w:val="ListBullet5"/>
      <w:lvlText w:val=""/>
      <w:lvlJc w:val="left"/>
      <w:pPr>
        <w:tabs>
          <w:tab w:val="num" w:pos="1492"/>
        </w:tabs>
        <w:ind w:left="1492" w:hanging="360"/>
      </w:pPr>
      <w:rPr>
        <w:rFonts w:ascii="Symbol" w:hAnsi="Symbol" w:hint="default"/>
      </w:rPr>
    </w:lvl>
  </w:abstractNum>
  <w:abstractNum w:abstractNumId="2" w15:restartNumberingAfterBreak="0">
    <w:nsid w:val="FFFFFF81"/>
    <w:multiLevelType w:val="singleLevel"/>
    <w:tmpl w:val="EDCAF564"/>
    <w:lvl w:ilvl="0">
      <w:start w:val="1"/>
      <w:numFmt w:val="bullet"/>
      <w:pStyle w:val="ListBullet4"/>
      <w:lvlText w:val=""/>
      <w:lvlJc w:val="left"/>
      <w:pPr>
        <w:tabs>
          <w:tab w:val="num" w:pos="1209"/>
        </w:tabs>
        <w:ind w:left="1209" w:hanging="360"/>
      </w:pPr>
      <w:rPr>
        <w:rFonts w:ascii="Symbol" w:hAnsi="Symbol" w:hint="default"/>
      </w:rPr>
    </w:lvl>
  </w:abstractNum>
  <w:abstractNum w:abstractNumId="3" w15:restartNumberingAfterBreak="0">
    <w:nsid w:val="FFFFFF82"/>
    <w:multiLevelType w:val="singleLevel"/>
    <w:tmpl w:val="463A6B26"/>
    <w:lvl w:ilvl="0">
      <w:start w:val="1"/>
      <w:numFmt w:val="bullet"/>
      <w:pStyle w:val="ListBullet3"/>
      <w:lvlText w:val=""/>
      <w:lvlJc w:val="left"/>
      <w:pPr>
        <w:tabs>
          <w:tab w:val="num" w:pos="926"/>
        </w:tabs>
        <w:ind w:left="926" w:hanging="360"/>
      </w:pPr>
      <w:rPr>
        <w:rFonts w:ascii="Symbol" w:hAnsi="Symbol" w:hint="default"/>
      </w:rPr>
    </w:lvl>
  </w:abstractNum>
  <w:abstractNum w:abstractNumId="4" w15:restartNumberingAfterBreak="0">
    <w:nsid w:val="FFFFFF83"/>
    <w:multiLevelType w:val="singleLevel"/>
    <w:tmpl w:val="23028676"/>
    <w:lvl w:ilvl="0">
      <w:start w:val="1"/>
      <w:numFmt w:val="bullet"/>
      <w:pStyle w:val="ListBullet2"/>
      <w:lvlText w:val=""/>
      <w:lvlJc w:val="left"/>
      <w:pPr>
        <w:tabs>
          <w:tab w:val="num" w:pos="643"/>
        </w:tabs>
        <w:ind w:left="643" w:hanging="360"/>
      </w:pPr>
      <w:rPr>
        <w:rFonts w:ascii="Symbol" w:hAnsi="Symbol" w:hint="default"/>
      </w:rPr>
    </w:lvl>
  </w:abstractNum>
  <w:abstractNum w:abstractNumId="5" w15:restartNumberingAfterBreak="0">
    <w:nsid w:val="00AB4157"/>
    <w:multiLevelType w:val="multilevel"/>
    <w:tmpl w:val="3B7C4CEE"/>
    <w:lvl w:ilvl="0">
      <w:start w:val="1"/>
      <w:numFmt w:val="decimal"/>
      <w:pStyle w:val="TableCaption"/>
      <w:lvlText w:val="Table %1"/>
      <w:lvlJc w:val="left"/>
      <w:pPr>
        <w:tabs>
          <w:tab w:val="num" w:pos="1985"/>
        </w:tabs>
        <w:ind w:left="1985" w:hanging="1134"/>
      </w:pPr>
      <w:rPr>
        <w:rFonts w:hint="default"/>
      </w:rPr>
    </w:lvl>
    <w:lvl w:ilvl="1">
      <w:start w:val="1"/>
      <w:numFmt w:val="decimal"/>
      <w:lvlRestart w:val="0"/>
      <w:pStyle w:val="FigureCaption"/>
      <w:lvlText w:val="Figure %2"/>
      <w:lvlJc w:val="left"/>
      <w:pPr>
        <w:tabs>
          <w:tab w:val="num" w:pos="1276"/>
        </w:tabs>
        <w:ind w:left="1276" w:hanging="1134"/>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6" w15:restartNumberingAfterBreak="0">
    <w:nsid w:val="06C73914"/>
    <w:multiLevelType w:val="multilevel"/>
    <w:tmpl w:val="E1ECB64E"/>
    <w:lvl w:ilvl="0">
      <w:start w:val="4"/>
      <w:numFmt w:val="decimal"/>
      <w:lvlText w:val="%1"/>
      <w:lvlJc w:val="left"/>
      <w:pPr>
        <w:ind w:left="360" w:hanging="360"/>
      </w:pPr>
      <w:rPr>
        <w:rFonts w:hint="default"/>
        <w:color w:val="auto"/>
      </w:rPr>
    </w:lvl>
    <w:lvl w:ilvl="1">
      <w:start w:val="1"/>
      <w:numFmt w:val="decimal"/>
      <w:lvlText w:val="%1.%2"/>
      <w:lvlJc w:val="left"/>
      <w:pPr>
        <w:ind w:left="587" w:hanging="360"/>
      </w:pPr>
      <w:rPr>
        <w:rFonts w:hint="default"/>
        <w:color w:val="auto"/>
      </w:rPr>
    </w:lvl>
    <w:lvl w:ilvl="2">
      <w:start w:val="1"/>
      <w:numFmt w:val="decimal"/>
      <w:lvlText w:val="%1.%2.%3"/>
      <w:lvlJc w:val="left"/>
      <w:pPr>
        <w:ind w:left="1174" w:hanging="720"/>
      </w:pPr>
      <w:rPr>
        <w:rFonts w:hint="default"/>
        <w:color w:val="auto"/>
      </w:rPr>
    </w:lvl>
    <w:lvl w:ilvl="3">
      <w:start w:val="1"/>
      <w:numFmt w:val="decimal"/>
      <w:lvlText w:val="%1.%2.%3.%4"/>
      <w:lvlJc w:val="left"/>
      <w:pPr>
        <w:ind w:left="1401" w:hanging="720"/>
      </w:pPr>
      <w:rPr>
        <w:rFonts w:hint="default"/>
        <w:color w:val="auto"/>
      </w:rPr>
    </w:lvl>
    <w:lvl w:ilvl="4">
      <w:start w:val="1"/>
      <w:numFmt w:val="decimal"/>
      <w:lvlText w:val="%1.%2.%3.%4.%5"/>
      <w:lvlJc w:val="left"/>
      <w:pPr>
        <w:ind w:left="1988" w:hanging="1080"/>
      </w:pPr>
      <w:rPr>
        <w:rFonts w:hint="default"/>
        <w:color w:val="auto"/>
      </w:rPr>
    </w:lvl>
    <w:lvl w:ilvl="5">
      <w:start w:val="1"/>
      <w:numFmt w:val="decimal"/>
      <w:lvlText w:val="%1.%2.%3.%4.%5.%6"/>
      <w:lvlJc w:val="left"/>
      <w:pPr>
        <w:ind w:left="2215" w:hanging="1080"/>
      </w:pPr>
      <w:rPr>
        <w:rFonts w:hint="default"/>
        <w:color w:val="auto"/>
      </w:rPr>
    </w:lvl>
    <w:lvl w:ilvl="6">
      <w:start w:val="1"/>
      <w:numFmt w:val="decimal"/>
      <w:lvlText w:val="%1.%2.%3.%4.%5.%6.%7"/>
      <w:lvlJc w:val="left"/>
      <w:pPr>
        <w:ind w:left="2802" w:hanging="1440"/>
      </w:pPr>
      <w:rPr>
        <w:rFonts w:hint="default"/>
        <w:color w:val="auto"/>
      </w:rPr>
    </w:lvl>
    <w:lvl w:ilvl="7">
      <w:start w:val="1"/>
      <w:numFmt w:val="decimal"/>
      <w:lvlText w:val="%1.%2.%3.%4.%5.%6.%7.%8"/>
      <w:lvlJc w:val="left"/>
      <w:pPr>
        <w:ind w:left="3029" w:hanging="1440"/>
      </w:pPr>
      <w:rPr>
        <w:rFonts w:hint="default"/>
        <w:color w:val="auto"/>
      </w:rPr>
    </w:lvl>
    <w:lvl w:ilvl="8">
      <w:start w:val="1"/>
      <w:numFmt w:val="decimal"/>
      <w:lvlText w:val="%1.%2.%3.%4.%5.%6.%7.%8.%9"/>
      <w:lvlJc w:val="left"/>
      <w:pPr>
        <w:ind w:left="3616" w:hanging="1800"/>
      </w:pPr>
      <w:rPr>
        <w:rFonts w:hint="default"/>
        <w:color w:val="auto"/>
      </w:rPr>
    </w:lvl>
  </w:abstractNum>
  <w:abstractNum w:abstractNumId="7" w15:restartNumberingAfterBreak="0">
    <w:nsid w:val="0DF17E09"/>
    <w:multiLevelType w:val="hybridMultilevel"/>
    <w:tmpl w:val="E41820FA"/>
    <w:lvl w:ilvl="0" w:tplc="403EEEFE">
      <w:start w:val="1"/>
      <w:numFmt w:val="bullet"/>
      <w:pStyle w:val="BULLETS"/>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3234A46"/>
    <w:multiLevelType w:val="multilevel"/>
    <w:tmpl w:val="0C090023"/>
    <w:styleLink w:val="ArticleSection"/>
    <w:lvl w:ilvl="0">
      <w:start w:val="1"/>
      <w:numFmt w:val="upperRoman"/>
      <w:lvlText w:val="Article %1."/>
      <w:lvlJc w:val="left"/>
      <w:pPr>
        <w:tabs>
          <w:tab w:val="num" w:pos="1440"/>
        </w:tabs>
      </w:pPr>
      <w:rPr>
        <w:rFonts w:cs="Times New Roman"/>
      </w:rPr>
    </w:lvl>
    <w:lvl w:ilvl="1">
      <w:start w:val="1"/>
      <w:numFmt w:val="decimalZero"/>
      <w:isLgl/>
      <w:lvlText w:val="Section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9" w15:restartNumberingAfterBreak="0">
    <w:nsid w:val="13C93026"/>
    <w:multiLevelType w:val="multilevel"/>
    <w:tmpl w:val="0C0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10" w15:restartNumberingAfterBreak="0">
    <w:nsid w:val="181E72A9"/>
    <w:multiLevelType w:val="multilevel"/>
    <w:tmpl w:val="1AA0D09A"/>
    <w:styleLink w:val="ListNoHeading"/>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none"/>
      <w:suff w:val="nothing"/>
      <w:lvlText w:val=""/>
      <w:lvlJc w:val="left"/>
      <w:pPr>
        <w:ind w:left="1080" w:hanging="108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1" w15:restartNumberingAfterBreak="0">
    <w:nsid w:val="194E0923"/>
    <w:multiLevelType w:val="hybridMultilevel"/>
    <w:tmpl w:val="5222365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1A974BFB"/>
    <w:multiLevelType w:val="hybridMultilevel"/>
    <w:tmpl w:val="645200D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203B409F"/>
    <w:multiLevelType w:val="multilevel"/>
    <w:tmpl w:val="A860F37C"/>
    <w:lvl w:ilvl="0">
      <w:start w:val="2"/>
      <w:numFmt w:val="decimal"/>
      <w:lvlText w:val="%1"/>
      <w:lvlJc w:val="left"/>
      <w:pPr>
        <w:ind w:left="360" w:hanging="360"/>
      </w:pPr>
      <w:rPr>
        <w:rFonts w:eastAsiaTheme="minorHAnsi" w:hint="default"/>
      </w:rPr>
    </w:lvl>
    <w:lvl w:ilvl="1">
      <w:start w:val="1"/>
      <w:numFmt w:val="decimal"/>
      <w:lvlText w:val="%1.%2"/>
      <w:lvlJc w:val="left"/>
      <w:pPr>
        <w:ind w:left="360" w:hanging="360"/>
      </w:pPr>
      <w:rPr>
        <w:rFonts w:eastAsiaTheme="minorHAnsi" w:hint="default"/>
      </w:rPr>
    </w:lvl>
    <w:lvl w:ilvl="2">
      <w:start w:val="1"/>
      <w:numFmt w:val="decimal"/>
      <w:lvlText w:val="%1.%2.%3"/>
      <w:lvlJc w:val="left"/>
      <w:pPr>
        <w:ind w:left="720" w:hanging="720"/>
      </w:pPr>
      <w:rPr>
        <w:rFonts w:eastAsiaTheme="minorHAnsi" w:hint="default"/>
      </w:rPr>
    </w:lvl>
    <w:lvl w:ilvl="3">
      <w:start w:val="1"/>
      <w:numFmt w:val="decimal"/>
      <w:lvlText w:val="%1.%2.%3.%4"/>
      <w:lvlJc w:val="left"/>
      <w:pPr>
        <w:ind w:left="720" w:hanging="720"/>
      </w:pPr>
      <w:rPr>
        <w:rFonts w:eastAsiaTheme="minorHAnsi" w:hint="default"/>
      </w:rPr>
    </w:lvl>
    <w:lvl w:ilvl="4">
      <w:start w:val="1"/>
      <w:numFmt w:val="decimal"/>
      <w:lvlText w:val="%1.%2.%3.%4.%5"/>
      <w:lvlJc w:val="left"/>
      <w:pPr>
        <w:ind w:left="1080" w:hanging="1080"/>
      </w:pPr>
      <w:rPr>
        <w:rFonts w:eastAsiaTheme="minorHAnsi" w:hint="default"/>
      </w:rPr>
    </w:lvl>
    <w:lvl w:ilvl="5">
      <w:start w:val="1"/>
      <w:numFmt w:val="decimal"/>
      <w:lvlText w:val="%1.%2.%3.%4.%5.%6"/>
      <w:lvlJc w:val="left"/>
      <w:pPr>
        <w:ind w:left="1080" w:hanging="1080"/>
      </w:pPr>
      <w:rPr>
        <w:rFonts w:eastAsiaTheme="minorHAnsi" w:hint="default"/>
      </w:rPr>
    </w:lvl>
    <w:lvl w:ilvl="6">
      <w:start w:val="1"/>
      <w:numFmt w:val="decimal"/>
      <w:lvlText w:val="%1.%2.%3.%4.%5.%6.%7"/>
      <w:lvlJc w:val="left"/>
      <w:pPr>
        <w:ind w:left="1440" w:hanging="1440"/>
      </w:pPr>
      <w:rPr>
        <w:rFonts w:eastAsiaTheme="minorHAnsi" w:hint="default"/>
      </w:rPr>
    </w:lvl>
    <w:lvl w:ilvl="7">
      <w:start w:val="1"/>
      <w:numFmt w:val="decimal"/>
      <w:lvlText w:val="%1.%2.%3.%4.%5.%6.%7.%8"/>
      <w:lvlJc w:val="left"/>
      <w:pPr>
        <w:ind w:left="1440" w:hanging="1440"/>
      </w:pPr>
      <w:rPr>
        <w:rFonts w:eastAsiaTheme="minorHAnsi" w:hint="default"/>
      </w:rPr>
    </w:lvl>
    <w:lvl w:ilvl="8">
      <w:start w:val="1"/>
      <w:numFmt w:val="decimal"/>
      <w:lvlText w:val="%1.%2.%3.%4.%5.%6.%7.%8.%9"/>
      <w:lvlJc w:val="left"/>
      <w:pPr>
        <w:ind w:left="1800" w:hanging="1800"/>
      </w:pPr>
      <w:rPr>
        <w:rFonts w:eastAsiaTheme="minorHAnsi" w:hint="default"/>
      </w:rPr>
    </w:lvl>
  </w:abstractNum>
  <w:abstractNum w:abstractNumId="14" w15:restartNumberingAfterBreak="0">
    <w:nsid w:val="272D14CD"/>
    <w:multiLevelType w:val="multilevel"/>
    <w:tmpl w:val="2642098C"/>
    <w:styleLink w:val="ListTableCaption"/>
    <w:lvl w:ilvl="0">
      <w:start w:val="1"/>
      <w:numFmt w:val="decimal"/>
      <w:lvlText w:val="Table %1"/>
      <w:lvlJc w:val="left"/>
      <w:pPr>
        <w:tabs>
          <w:tab w:val="num" w:pos="1134"/>
        </w:tabs>
        <w:ind w:left="1134" w:hanging="1134"/>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5" w15:restartNumberingAfterBreak="0">
    <w:nsid w:val="27CD296D"/>
    <w:multiLevelType w:val="multilevel"/>
    <w:tmpl w:val="8C1CA714"/>
    <w:lvl w:ilvl="0">
      <w:start w:val="1"/>
      <w:numFmt w:val="decimal"/>
      <w:pStyle w:val="ListNumber"/>
      <w:lvlText w:val="%1."/>
      <w:lvlJc w:val="left"/>
      <w:pPr>
        <w:tabs>
          <w:tab w:val="num" w:pos="567"/>
        </w:tabs>
        <w:ind w:left="567" w:hanging="567"/>
      </w:pPr>
      <w:rPr>
        <w:rFonts w:ascii="Helvetica" w:hAnsi="Helvetica" w:cs="Times New Roman" w:hint="default"/>
        <w:b w:val="0"/>
        <w:i w:val="0"/>
        <w:caps w:val="0"/>
        <w:strike w:val="0"/>
        <w:dstrike w:val="0"/>
        <w:vanish w:val="0"/>
        <w:color w:val="auto"/>
        <w:sz w:val="20"/>
        <w:vertAlign w:val="baseline"/>
      </w:rPr>
    </w:lvl>
    <w:lvl w:ilvl="1">
      <w:start w:val="1"/>
      <w:numFmt w:val="lowerLetter"/>
      <w:lvlText w:val="%2."/>
      <w:lvlJc w:val="left"/>
      <w:pPr>
        <w:tabs>
          <w:tab w:val="num" w:pos="1134"/>
        </w:tabs>
        <w:ind w:left="1134" w:hanging="567"/>
      </w:pPr>
      <w:rPr>
        <w:rFonts w:ascii="Arial" w:hAnsi="Arial" w:cs="Times New Roman" w:hint="default"/>
        <w:b w:val="0"/>
        <w:i w:val="0"/>
        <w:color w:val="auto"/>
        <w:sz w:val="20"/>
      </w:rPr>
    </w:lvl>
    <w:lvl w:ilvl="2">
      <w:start w:val="1"/>
      <w:numFmt w:val="lowerRoman"/>
      <w:lvlText w:val="%3."/>
      <w:lvlJc w:val="left"/>
      <w:pPr>
        <w:tabs>
          <w:tab w:val="num" w:pos="1701"/>
        </w:tabs>
        <w:ind w:left="1701" w:hanging="567"/>
      </w:pPr>
      <w:rPr>
        <w:rFonts w:ascii="Arial" w:hAnsi="Arial" w:cs="Times New Roman" w:hint="default"/>
        <w:b w:val="0"/>
        <w:i w:val="0"/>
        <w:color w:val="auto"/>
        <w:sz w:val="20"/>
      </w:rPr>
    </w:lvl>
    <w:lvl w:ilvl="3">
      <w:start w:val="1"/>
      <w:numFmt w:val="upperLetter"/>
      <w:lvlText w:val="%4."/>
      <w:lvlJc w:val="left"/>
      <w:pPr>
        <w:tabs>
          <w:tab w:val="num" w:pos="2268"/>
        </w:tabs>
        <w:ind w:left="2268" w:hanging="567"/>
      </w:pPr>
      <w:rPr>
        <w:rFonts w:ascii="Arial" w:hAnsi="Arial" w:cs="Times New Roman" w:hint="default"/>
        <w:b w:val="0"/>
        <w:i w:val="0"/>
        <w:color w:val="auto"/>
        <w:sz w:val="20"/>
      </w:rPr>
    </w:lvl>
    <w:lvl w:ilvl="4">
      <w:start w:val="1"/>
      <w:numFmt w:val="none"/>
      <w:suff w:val="nothing"/>
      <w:lvlText w:val=""/>
      <w:lvlJc w:val="left"/>
      <w:pPr>
        <w:ind w:left="0" w:firstLine="0"/>
      </w:pPr>
      <w:rPr>
        <w:rFonts w:ascii="Arial" w:hAnsi="Arial" w:cs="Times New Roman" w:hint="default"/>
        <w:b w:val="0"/>
        <w:i w:val="0"/>
        <w:color w:val="auto"/>
        <w:sz w:val="20"/>
      </w:rPr>
    </w:lvl>
    <w:lvl w:ilvl="5">
      <w:start w:val="1"/>
      <w:numFmt w:val="none"/>
      <w:suff w:val="nothing"/>
      <w:lvlText w:val=""/>
      <w:lvlJc w:val="left"/>
      <w:pPr>
        <w:ind w:left="0" w:firstLine="0"/>
      </w:pPr>
      <w:rPr>
        <w:rFonts w:ascii="Helvetica" w:hAnsi="Helvetica" w:cs="Times New Roman" w:hint="default"/>
        <w:b w:val="0"/>
        <w:i w:val="0"/>
        <w:color w:val="auto"/>
        <w:sz w:val="20"/>
      </w:rPr>
    </w:lvl>
    <w:lvl w:ilvl="6">
      <w:start w:val="1"/>
      <w:numFmt w:val="none"/>
      <w:suff w:val="nothing"/>
      <w:lvlText w:val="%7"/>
      <w:lvlJc w:val="left"/>
      <w:pPr>
        <w:ind w:left="-1417" w:firstLine="0"/>
      </w:pPr>
      <w:rPr>
        <w:rFonts w:cs="Times New Roman" w:hint="default"/>
        <w:color w:val="E1001A"/>
      </w:rPr>
    </w:lvl>
    <w:lvl w:ilvl="7">
      <w:start w:val="1"/>
      <w:numFmt w:val="none"/>
      <w:suff w:val="nothing"/>
      <w:lvlText w:val="%8"/>
      <w:lvlJc w:val="left"/>
      <w:pPr>
        <w:ind w:left="-1417" w:firstLine="0"/>
      </w:pPr>
      <w:rPr>
        <w:rFonts w:cs="Times New Roman" w:hint="default"/>
        <w:color w:val="E1001A"/>
        <w:sz w:val="20"/>
      </w:rPr>
    </w:lvl>
    <w:lvl w:ilvl="8">
      <w:start w:val="1"/>
      <w:numFmt w:val="none"/>
      <w:suff w:val="nothing"/>
      <w:lvlText w:val="%9"/>
      <w:lvlJc w:val="left"/>
      <w:pPr>
        <w:ind w:left="-1417" w:firstLine="0"/>
      </w:pPr>
      <w:rPr>
        <w:rFonts w:cs="Times New Roman" w:hint="default"/>
        <w:color w:val="E1001A"/>
      </w:rPr>
    </w:lvl>
  </w:abstractNum>
  <w:abstractNum w:abstractNumId="16" w15:restartNumberingAfterBreak="0">
    <w:nsid w:val="27FA4CD8"/>
    <w:multiLevelType w:val="multilevel"/>
    <w:tmpl w:val="C8FABDE0"/>
    <w:lvl w:ilvl="0">
      <w:start w:val="1"/>
      <w:numFmt w:val="decimal"/>
      <w:pStyle w:val="TableNumber"/>
      <w:lvlText w:val="%1."/>
      <w:lvlJc w:val="left"/>
      <w:pPr>
        <w:ind w:left="284" w:hanging="284"/>
      </w:pPr>
      <w:rPr>
        <w:rFonts w:hint="default"/>
      </w:rPr>
    </w:lvl>
    <w:lvl w:ilvl="1">
      <w:start w:val="1"/>
      <w:numFmt w:val="lowerLetter"/>
      <w:lvlText w:val="%2."/>
      <w:lvlJc w:val="left"/>
      <w:pPr>
        <w:ind w:left="567" w:hanging="283"/>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7" w15:restartNumberingAfterBreak="0">
    <w:nsid w:val="2D460C8E"/>
    <w:multiLevelType w:val="multilevel"/>
    <w:tmpl w:val="3ACC2C6E"/>
    <w:styleLink w:val="ListSection"/>
    <w:lvl w:ilvl="0">
      <w:start w:val="1"/>
      <w:numFmt w:val="decimalZero"/>
      <w:suff w:val="space"/>
      <w:lvlText w:val="%1"/>
      <w:lvlJc w:val="left"/>
      <w:rPr>
        <w:rFonts w:ascii="Arial" w:hAnsi="Arial" w:cs="Times New Roman" w:hint="default"/>
        <w:b w:val="0"/>
        <w:bCs w:val="0"/>
        <w:i w:val="0"/>
        <w:iCs w:val="0"/>
        <w:caps w:val="0"/>
        <w:smallCaps w:val="0"/>
        <w:strike w:val="0"/>
        <w:dstrike w:val="0"/>
        <w:snapToGrid w:val="0"/>
        <w:vanish w:val="0"/>
        <w:color w:val="FFFFFF"/>
        <w:spacing w:val="0"/>
        <w:w w:val="0"/>
        <w:kern w:val="0"/>
        <w:position w:val="0"/>
        <w:sz w:val="22"/>
        <w:szCs w:val="22"/>
        <w:u w:val="none"/>
        <w:vertAlign w:val="baseline"/>
      </w:rPr>
    </w:lvl>
    <w:lvl w:ilvl="1">
      <w:start w:val="1"/>
      <w:numFmt w:val="lowerLetter"/>
      <w:lvlText w:val="%2."/>
      <w:lvlJc w:val="left"/>
      <w:pPr>
        <w:ind w:left="1440" w:hanging="360"/>
      </w:pPr>
      <w:rPr>
        <w:rFonts w:cs="Times New Roman" w:hint="default"/>
      </w:rPr>
    </w:lvl>
    <w:lvl w:ilvl="2">
      <w:start w:val="1"/>
      <w:numFmt w:val="lowerRoman"/>
      <w:lvlText w:val="%3."/>
      <w:lvlJc w:val="right"/>
      <w:pPr>
        <w:ind w:left="2160" w:hanging="180"/>
      </w:pPr>
      <w:rPr>
        <w:rFonts w:cs="Times New Roman" w:hint="default"/>
      </w:rPr>
    </w:lvl>
    <w:lvl w:ilvl="3">
      <w:start w:val="1"/>
      <w:numFmt w:val="decimal"/>
      <w:lvlText w:val="%4."/>
      <w:lvlJc w:val="left"/>
      <w:pPr>
        <w:ind w:left="2880" w:hanging="360"/>
      </w:pPr>
      <w:rPr>
        <w:rFonts w:cs="Times New Roman" w:hint="default"/>
      </w:rPr>
    </w:lvl>
    <w:lvl w:ilvl="4">
      <w:start w:val="1"/>
      <w:numFmt w:val="lowerLetter"/>
      <w:lvlText w:val="%5."/>
      <w:lvlJc w:val="left"/>
      <w:pPr>
        <w:ind w:left="3600" w:hanging="360"/>
      </w:pPr>
      <w:rPr>
        <w:rFonts w:cs="Times New Roman" w:hint="default"/>
      </w:rPr>
    </w:lvl>
    <w:lvl w:ilvl="5">
      <w:start w:val="1"/>
      <w:numFmt w:val="lowerRoman"/>
      <w:lvlText w:val="%6."/>
      <w:lvlJc w:val="right"/>
      <w:pPr>
        <w:ind w:left="4320" w:hanging="180"/>
      </w:pPr>
      <w:rPr>
        <w:rFonts w:cs="Times New Roman" w:hint="default"/>
      </w:rPr>
    </w:lvl>
    <w:lvl w:ilvl="6">
      <w:start w:val="1"/>
      <w:numFmt w:val="decimal"/>
      <w:lvlText w:val="%7."/>
      <w:lvlJc w:val="left"/>
      <w:pPr>
        <w:ind w:left="5040" w:hanging="360"/>
      </w:pPr>
      <w:rPr>
        <w:rFonts w:cs="Times New Roman" w:hint="default"/>
      </w:rPr>
    </w:lvl>
    <w:lvl w:ilvl="7">
      <w:start w:val="1"/>
      <w:numFmt w:val="lowerLetter"/>
      <w:lvlText w:val="%8."/>
      <w:lvlJc w:val="left"/>
      <w:pPr>
        <w:ind w:left="5760" w:hanging="360"/>
      </w:pPr>
      <w:rPr>
        <w:rFonts w:cs="Times New Roman" w:hint="default"/>
      </w:rPr>
    </w:lvl>
    <w:lvl w:ilvl="8">
      <w:start w:val="1"/>
      <w:numFmt w:val="lowerRoman"/>
      <w:lvlText w:val="%9."/>
      <w:lvlJc w:val="right"/>
      <w:pPr>
        <w:ind w:left="6480" w:hanging="180"/>
      </w:pPr>
      <w:rPr>
        <w:rFonts w:cs="Times New Roman" w:hint="default"/>
      </w:rPr>
    </w:lvl>
  </w:abstractNum>
  <w:abstractNum w:abstractNumId="18" w15:restartNumberingAfterBreak="0">
    <w:nsid w:val="30584B64"/>
    <w:multiLevelType w:val="hybridMultilevel"/>
    <w:tmpl w:val="229E8F36"/>
    <w:lvl w:ilvl="0" w:tplc="7BD64D22">
      <w:start w:val="1"/>
      <w:numFmt w:val="decimal"/>
      <w:lvlText w:val="3.%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311B0C3A"/>
    <w:multiLevelType w:val="multilevel"/>
    <w:tmpl w:val="F5BE38CE"/>
    <w:lvl w:ilvl="0">
      <w:start w:val="1"/>
      <w:numFmt w:val="lowerLetter"/>
      <w:pStyle w:val="ListAlpha"/>
      <w:lvlText w:val="%1."/>
      <w:lvlJc w:val="left"/>
      <w:pPr>
        <w:tabs>
          <w:tab w:val="num" w:pos="567"/>
        </w:tabs>
        <w:ind w:left="567" w:hanging="567"/>
      </w:pPr>
      <w:rPr>
        <w:rFonts w:asciiTheme="minorHAnsi" w:hAnsiTheme="minorHAnsi" w:cs="Times New Roman" w:hint="default"/>
        <w:b w:val="0"/>
        <w:i w:val="0"/>
        <w:caps w:val="0"/>
        <w:strike w:val="0"/>
        <w:dstrike w:val="0"/>
        <w:vanish w:val="0"/>
        <w:color w:val="auto"/>
        <w:sz w:val="20"/>
        <w:vertAlign w:val="baseline"/>
      </w:rPr>
    </w:lvl>
    <w:lvl w:ilvl="1">
      <w:start w:val="1"/>
      <w:numFmt w:val="lowerRoman"/>
      <w:lvlText w:val="%2."/>
      <w:lvlJc w:val="left"/>
      <w:pPr>
        <w:tabs>
          <w:tab w:val="num" w:pos="1134"/>
        </w:tabs>
        <w:ind w:left="1134" w:hanging="567"/>
      </w:pPr>
      <w:rPr>
        <w:rFonts w:ascii="Arial" w:hAnsi="Arial" w:cs="Times New Roman" w:hint="default"/>
        <w:b w:val="0"/>
        <w:i w:val="0"/>
        <w:color w:val="auto"/>
        <w:sz w:val="20"/>
      </w:rPr>
    </w:lvl>
    <w:lvl w:ilvl="2">
      <w:start w:val="1"/>
      <w:numFmt w:val="decimal"/>
      <w:lvlText w:val="%3."/>
      <w:lvlJc w:val="left"/>
      <w:pPr>
        <w:tabs>
          <w:tab w:val="num" w:pos="1701"/>
        </w:tabs>
        <w:ind w:left="1701" w:hanging="567"/>
      </w:pPr>
      <w:rPr>
        <w:rFonts w:ascii="Arial" w:hAnsi="Arial" w:cs="Times New Roman" w:hint="default"/>
        <w:b w:val="0"/>
        <w:i w:val="0"/>
        <w:color w:val="auto"/>
        <w:sz w:val="20"/>
      </w:rPr>
    </w:lvl>
    <w:lvl w:ilvl="3">
      <w:start w:val="1"/>
      <w:numFmt w:val="upperLetter"/>
      <w:lvlText w:val="%4."/>
      <w:lvlJc w:val="left"/>
      <w:pPr>
        <w:tabs>
          <w:tab w:val="num" w:pos="2268"/>
        </w:tabs>
        <w:ind w:left="2268" w:hanging="567"/>
      </w:pPr>
      <w:rPr>
        <w:rFonts w:ascii="Arial" w:hAnsi="Arial" w:cs="Times New Roman" w:hint="default"/>
        <w:b w:val="0"/>
        <w:i w:val="0"/>
        <w:color w:val="auto"/>
        <w:sz w:val="20"/>
      </w:rPr>
    </w:lvl>
    <w:lvl w:ilvl="4">
      <w:start w:val="1"/>
      <w:numFmt w:val="none"/>
      <w:suff w:val="nothing"/>
      <w:lvlText w:val=""/>
      <w:lvlJc w:val="left"/>
      <w:pPr>
        <w:ind w:left="0" w:firstLine="0"/>
      </w:pPr>
      <w:rPr>
        <w:rFonts w:ascii="Arial" w:hAnsi="Arial" w:cs="Times New Roman" w:hint="default"/>
        <w:b w:val="0"/>
        <w:i w:val="0"/>
        <w:color w:val="auto"/>
        <w:sz w:val="20"/>
      </w:rPr>
    </w:lvl>
    <w:lvl w:ilvl="5">
      <w:start w:val="1"/>
      <w:numFmt w:val="none"/>
      <w:suff w:val="nothing"/>
      <w:lvlText w:val=""/>
      <w:lvlJc w:val="left"/>
      <w:pPr>
        <w:ind w:left="0" w:firstLine="0"/>
      </w:pPr>
      <w:rPr>
        <w:rFonts w:ascii="Helvetica" w:hAnsi="Helvetica" w:cs="Times New Roman" w:hint="default"/>
        <w:b w:val="0"/>
        <w:i w:val="0"/>
        <w:color w:val="auto"/>
        <w:sz w:val="20"/>
      </w:rPr>
    </w:lvl>
    <w:lvl w:ilvl="6">
      <w:start w:val="1"/>
      <w:numFmt w:val="none"/>
      <w:suff w:val="nothing"/>
      <w:lvlText w:val="%7"/>
      <w:lvlJc w:val="left"/>
      <w:pPr>
        <w:ind w:left="-1417" w:firstLine="0"/>
      </w:pPr>
      <w:rPr>
        <w:rFonts w:cs="Times New Roman" w:hint="default"/>
        <w:color w:val="E1001A"/>
      </w:rPr>
    </w:lvl>
    <w:lvl w:ilvl="7">
      <w:start w:val="1"/>
      <w:numFmt w:val="none"/>
      <w:suff w:val="nothing"/>
      <w:lvlText w:val="%8"/>
      <w:lvlJc w:val="left"/>
      <w:pPr>
        <w:ind w:left="-1417" w:firstLine="0"/>
      </w:pPr>
      <w:rPr>
        <w:rFonts w:cs="Times New Roman" w:hint="default"/>
        <w:color w:val="E1001A"/>
        <w:sz w:val="20"/>
      </w:rPr>
    </w:lvl>
    <w:lvl w:ilvl="8">
      <w:start w:val="1"/>
      <w:numFmt w:val="none"/>
      <w:suff w:val="nothing"/>
      <w:lvlText w:val="%9"/>
      <w:lvlJc w:val="left"/>
      <w:pPr>
        <w:ind w:left="-1417" w:firstLine="0"/>
      </w:pPr>
      <w:rPr>
        <w:rFonts w:cs="Times New Roman" w:hint="default"/>
        <w:color w:val="E1001A"/>
      </w:rPr>
    </w:lvl>
  </w:abstractNum>
  <w:abstractNum w:abstractNumId="20" w15:restartNumberingAfterBreak="0">
    <w:nsid w:val="368B265D"/>
    <w:multiLevelType w:val="hybridMultilevel"/>
    <w:tmpl w:val="4906FEC4"/>
    <w:lvl w:ilvl="0" w:tplc="2FE4BCD0">
      <w:start w:val="1"/>
      <w:numFmt w:val="decimal"/>
      <w:pStyle w:val="TableTitle"/>
      <w:lvlText w:val="Table %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1" w15:restartNumberingAfterBreak="0">
    <w:nsid w:val="370C006E"/>
    <w:multiLevelType w:val="hybridMultilevel"/>
    <w:tmpl w:val="818E8D0E"/>
    <w:lvl w:ilvl="0" w:tplc="F5DCADE6">
      <w:start w:val="5"/>
      <w:numFmt w:val="bullet"/>
      <w:pStyle w:val="TableBullet2"/>
      <w:lvlText w:val="-"/>
      <w:lvlJc w:val="left"/>
      <w:pPr>
        <w:ind w:left="720" w:hanging="360"/>
      </w:pPr>
      <w:rPr>
        <w:rFonts w:ascii="Calibri Light" w:eastAsiaTheme="minorHAnsi" w:hAnsi="Calibri Light" w:cs="Calibri Light"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3A6904C9"/>
    <w:multiLevelType w:val="multilevel"/>
    <w:tmpl w:val="D03417E2"/>
    <w:lvl w:ilvl="0">
      <w:start w:val="1"/>
      <w:numFmt w:val="bullet"/>
      <w:pStyle w:val="TableBullet"/>
      <w:lvlText w:val=""/>
      <w:lvlJc w:val="left"/>
      <w:pPr>
        <w:tabs>
          <w:tab w:val="num" w:pos="284"/>
        </w:tabs>
        <w:ind w:left="284" w:hanging="284"/>
      </w:pPr>
      <w:rPr>
        <w:rFonts w:ascii="Symbol" w:hAnsi="Symbol" w:hint="default"/>
        <w:color w:val="000000"/>
        <w:sz w:val="18"/>
      </w:rPr>
    </w:lvl>
    <w:lvl w:ilvl="1">
      <w:start w:val="1"/>
      <w:numFmt w:val="bullet"/>
      <w:lvlText w:val="–"/>
      <w:lvlJc w:val="left"/>
      <w:pPr>
        <w:tabs>
          <w:tab w:val="num" w:pos="567"/>
        </w:tabs>
        <w:ind w:left="567" w:hanging="283"/>
      </w:pPr>
      <w:rPr>
        <w:rFonts w:ascii="Arial" w:hAnsi="Arial" w:hint="default"/>
      </w:rPr>
    </w:lvl>
    <w:lvl w:ilvl="2">
      <w:start w:val="1"/>
      <w:numFmt w:val="bullet"/>
      <w:lvlText w:val=""/>
      <w:lvlJc w:val="left"/>
      <w:pPr>
        <w:tabs>
          <w:tab w:val="num" w:pos="851"/>
        </w:tabs>
        <w:ind w:left="851" w:hanging="284"/>
      </w:pPr>
      <w:rPr>
        <w:rFonts w:ascii="Wingdings" w:hAnsi="Wingdings" w:hint="default"/>
        <w:color w:val="000000"/>
      </w:rPr>
    </w:lvl>
    <w:lvl w:ilvl="3">
      <w:start w:val="1"/>
      <w:numFmt w:val="bullet"/>
      <w:lvlText w:val="–"/>
      <w:lvlJc w:val="left"/>
      <w:pPr>
        <w:tabs>
          <w:tab w:val="num" w:pos="1134"/>
        </w:tabs>
        <w:ind w:left="1134" w:hanging="283"/>
      </w:pPr>
      <w:rPr>
        <w:rFonts w:ascii="Arial" w:hAnsi="Arial" w:hint="default"/>
      </w:rPr>
    </w:lvl>
    <w:lvl w:ilvl="4">
      <w:start w:val="1"/>
      <w:numFmt w:val="bullet"/>
      <w:lvlText w:val=""/>
      <w:lvlJc w:val="left"/>
      <w:pPr>
        <w:tabs>
          <w:tab w:val="num" w:pos="1418"/>
        </w:tabs>
        <w:ind w:left="1418" w:hanging="284"/>
      </w:pPr>
      <w:rPr>
        <w:rFonts w:ascii="Wingdings" w:hAnsi="Wingdings" w:hint="default"/>
        <w:color w:val="000000"/>
      </w:rPr>
    </w:lvl>
    <w:lvl w:ilvl="5">
      <w:start w:val="1"/>
      <w:numFmt w:val="bullet"/>
      <w:lvlText w:val="–"/>
      <w:lvlJc w:val="left"/>
      <w:pPr>
        <w:tabs>
          <w:tab w:val="num" w:pos="1701"/>
        </w:tabs>
        <w:ind w:left="1701" w:hanging="283"/>
      </w:pPr>
      <w:rPr>
        <w:rFonts w:ascii="Arial" w:hAnsi="Arial" w:hint="default"/>
      </w:rPr>
    </w:lvl>
    <w:lvl w:ilvl="6">
      <w:start w:val="1"/>
      <w:numFmt w:val="bullet"/>
      <w:lvlText w:val=""/>
      <w:lvlJc w:val="left"/>
      <w:pPr>
        <w:tabs>
          <w:tab w:val="num" w:pos="2268"/>
        </w:tabs>
        <w:ind w:left="2268" w:hanging="283"/>
      </w:pPr>
      <w:rPr>
        <w:rFonts w:ascii="Wingdings" w:hAnsi="Wingdings" w:hint="default"/>
        <w:color w:val="000000"/>
      </w:rPr>
    </w:lvl>
    <w:lvl w:ilvl="7">
      <w:start w:val="1"/>
      <w:numFmt w:val="bullet"/>
      <w:lvlText w:val="–"/>
      <w:lvlJc w:val="left"/>
      <w:pPr>
        <w:tabs>
          <w:tab w:val="num" w:pos="2552"/>
        </w:tabs>
        <w:ind w:left="2552" w:hanging="284"/>
      </w:pPr>
      <w:rPr>
        <w:rFonts w:ascii="Arial" w:hAnsi="Arial" w:hint="default"/>
      </w:rPr>
    </w:lvl>
    <w:lvl w:ilvl="8">
      <w:start w:val="1"/>
      <w:numFmt w:val="bullet"/>
      <w:lvlText w:val=""/>
      <w:lvlJc w:val="left"/>
      <w:pPr>
        <w:tabs>
          <w:tab w:val="num" w:pos="1418"/>
        </w:tabs>
        <w:ind w:left="1418" w:hanging="284"/>
      </w:pPr>
      <w:rPr>
        <w:rFonts w:ascii="Wingdings" w:hAnsi="Wingdings" w:hint="default"/>
        <w:color w:val="000000"/>
      </w:rPr>
    </w:lvl>
  </w:abstractNum>
  <w:abstractNum w:abstractNumId="23" w15:restartNumberingAfterBreak="0">
    <w:nsid w:val="3B267224"/>
    <w:multiLevelType w:val="hybridMultilevel"/>
    <w:tmpl w:val="803846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EA806EE"/>
    <w:multiLevelType w:val="multilevel"/>
    <w:tmpl w:val="FD0A1902"/>
    <w:lvl w:ilvl="0">
      <w:start w:val="1"/>
      <w:numFmt w:val="none"/>
      <w:suff w:val="nothing"/>
      <w:lvlText w:val=""/>
      <w:lvlJc w:val="left"/>
      <w:rPr>
        <w:rFonts w:cs="Times New Roman" w:hint="default"/>
        <w:color w:val="000000"/>
      </w:rPr>
    </w:lvl>
    <w:lvl w:ilvl="1">
      <w:start w:val="1"/>
      <w:numFmt w:val="none"/>
      <w:suff w:val="nothing"/>
      <w:lvlText w:val=""/>
      <w:lvlJc w:val="left"/>
      <w:pPr>
        <w:ind w:left="283"/>
      </w:pPr>
      <w:rPr>
        <w:rFonts w:cs="Times New Roman" w:hint="default"/>
      </w:rPr>
    </w:lvl>
    <w:lvl w:ilvl="2">
      <w:start w:val="1"/>
      <w:numFmt w:val="none"/>
      <w:suff w:val="nothing"/>
      <w:lvlText w:val=""/>
      <w:lvlJc w:val="left"/>
      <w:pPr>
        <w:ind w:left="567"/>
      </w:pPr>
      <w:rPr>
        <w:rFonts w:cs="Times New Roman" w:hint="default"/>
        <w:color w:val="000000"/>
      </w:rPr>
    </w:lvl>
    <w:lvl w:ilvl="3">
      <w:start w:val="1"/>
      <w:numFmt w:val="none"/>
      <w:suff w:val="nothing"/>
      <w:lvlText w:val=""/>
      <w:lvlJc w:val="left"/>
      <w:pPr>
        <w:ind w:left="850"/>
      </w:pPr>
      <w:rPr>
        <w:rFonts w:cs="Times New Roman" w:hint="default"/>
      </w:rPr>
    </w:lvl>
    <w:lvl w:ilvl="4">
      <w:start w:val="1"/>
      <w:numFmt w:val="none"/>
      <w:suff w:val="nothing"/>
      <w:lvlText w:val=""/>
      <w:lvlJc w:val="left"/>
      <w:pPr>
        <w:ind w:left="1134"/>
      </w:pPr>
      <w:rPr>
        <w:rFonts w:cs="Times New Roman" w:hint="default"/>
        <w:color w:val="000000"/>
      </w:rPr>
    </w:lvl>
    <w:lvl w:ilvl="5">
      <w:start w:val="1"/>
      <w:numFmt w:val="none"/>
      <w:suff w:val="nothing"/>
      <w:lvlText w:val=""/>
      <w:lvlJc w:val="left"/>
      <w:pPr>
        <w:ind w:left="1417"/>
      </w:pPr>
      <w:rPr>
        <w:rFonts w:cs="Times New Roman" w:hint="default"/>
      </w:rPr>
    </w:lvl>
    <w:lvl w:ilvl="6">
      <w:start w:val="1"/>
      <w:numFmt w:val="none"/>
      <w:suff w:val="nothing"/>
      <w:lvlText w:val=""/>
      <w:lvlJc w:val="left"/>
      <w:pPr>
        <w:ind w:left="1701"/>
      </w:pPr>
      <w:rPr>
        <w:rFonts w:cs="Times New Roman" w:hint="default"/>
        <w:color w:val="000000"/>
      </w:rPr>
    </w:lvl>
    <w:lvl w:ilvl="7">
      <w:start w:val="1"/>
      <w:numFmt w:val="none"/>
      <w:suff w:val="nothing"/>
      <w:lvlText w:val=""/>
      <w:lvlJc w:val="left"/>
      <w:pPr>
        <w:ind w:left="1984"/>
      </w:pPr>
      <w:rPr>
        <w:rFonts w:cs="Times New Roman" w:hint="default"/>
      </w:rPr>
    </w:lvl>
    <w:lvl w:ilvl="8">
      <w:numFmt w:val="none"/>
      <w:lvlText w:val=""/>
      <w:lvlJc w:val="left"/>
      <w:pPr>
        <w:tabs>
          <w:tab w:val="num" w:pos="76"/>
        </w:tabs>
        <w:ind w:left="-284"/>
      </w:pPr>
      <w:rPr>
        <w:rFonts w:cs="Times New Roman" w:hint="default"/>
      </w:rPr>
    </w:lvl>
  </w:abstractNum>
  <w:abstractNum w:abstractNumId="25" w15:restartNumberingAfterBreak="0">
    <w:nsid w:val="3EB202A1"/>
    <w:multiLevelType w:val="multilevel"/>
    <w:tmpl w:val="0C6A9282"/>
    <w:lvl w:ilvl="0">
      <w:start w:val="1"/>
      <w:numFmt w:val="decimalZero"/>
      <w:pStyle w:val="SectionNumber"/>
      <w:suff w:val="nothing"/>
      <w:lvlText w:val="%1"/>
      <w:lvlJc w:val="left"/>
      <w:pPr>
        <w:ind w:left="0" w:firstLine="0"/>
      </w:pPr>
      <w:rPr>
        <w:rFonts w:cs="Times New Roman" w:hint="default"/>
      </w:rPr>
    </w:lvl>
    <w:lvl w:ilvl="1">
      <w:start w:val="1"/>
      <w:numFmt w:val="none"/>
      <w:suff w:val="nothing"/>
      <w:lvlText w:val=""/>
      <w:lvlJc w:val="left"/>
      <w:pPr>
        <w:ind w:left="0" w:firstLine="0"/>
      </w:pPr>
      <w:rPr>
        <w:rFonts w:cs="Times New Roman" w:hint="default"/>
      </w:rPr>
    </w:lvl>
    <w:lvl w:ilvl="2">
      <w:start w:val="1"/>
      <w:numFmt w:val="none"/>
      <w:suff w:val="nothing"/>
      <w:lvlText w:val=""/>
      <w:lvlJc w:val="left"/>
      <w:pPr>
        <w:ind w:left="0" w:firstLine="0"/>
      </w:pPr>
      <w:rPr>
        <w:rFonts w:cs="Times New Roman" w:hint="default"/>
      </w:rPr>
    </w:lvl>
    <w:lvl w:ilvl="3">
      <w:start w:val="1"/>
      <w:numFmt w:val="none"/>
      <w:suff w:val="nothing"/>
      <w:lvlText w:val=""/>
      <w:lvlJc w:val="left"/>
      <w:pPr>
        <w:ind w:left="0" w:firstLine="0"/>
      </w:pPr>
      <w:rPr>
        <w:rFonts w:cs="Times New Roman" w:hint="default"/>
      </w:rPr>
    </w:lvl>
    <w:lvl w:ilvl="4">
      <w:start w:val="1"/>
      <w:numFmt w:val="none"/>
      <w:suff w:val="nothing"/>
      <w:lvlText w:val=""/>
      <w:lvlJc w:val="left"/>
      <w:pPr>
        <w:ind w:left="0" w:firstLine="0"/>
      </w:pPr>
      <w:rPr>
        <w:rFonts w:cs="Times New Roman" w:hint="default"/>
      </w:rPr>
    </w:lvl>
    <w:lvl w:ilvl="5">
      <w:start w:val="1"/>
      <w:numFmt w:val="none"/>
      <w:suff w:val="nothing"/>
      <w:lvlText w:val=""/>
      <w:lvlJc w:val="left"/>
      <w:pPr>
        <w:ind w:left="0" w:firstLine="0"/>
      </w:pPr>
      <w:rPr>
        <w:rFonts w:cs="Times New Roman" w:hint="default"/>
      </w:rPr>
    </w:lvl>
    <w:lvl w:ilvl="6">
      <w:start w:val="1"/>
      <w:numFmt w:val="none"/>
      <w:suff w:val="nothing"/>
      <w:lvlText w:val=""/>
      <w:lvlJc w:val="left"/>
      <w:pPr>
        <w:ind w:left="0" w:firstLine="0"/>
      </w:pPr>
      <w:rPr>
        <w:rFonts w:cs="Times New Roman" w:hint="default"/>
      </w:rPr>
    </w:lvl>
    <w:lvl w:ilvl="7">
      <w:start w:val="1"/>
      <w:numFmt w:val="none"/>
      <w:suff w:val="nothing"/>
      <w:lvlText w:val=""/>
      <w:lvlJc w:val="left"/>
      <w:pPr>
        <w:ind w:left="0" w:firstLine="0"/>
      </w:pPr>
      <w:rPr>
        <w:rFonts w:cs="Times New Roman" w:hint="default"/>
      </w:rPr>
    </w:lvl>
    <w:lvl w:ilvl="8">
      <w:start w:val="1"/>
      <w:numFmt w:val="none"/>
      <w:suff w:val="nothing"/>
      <w:lvlText w:val=""/>
      <w:lvlJc w:val="left"/>
      <w:pPr>
        <w:ind w:left="0" w:firstLine="0"/>
      </w:pPr>
      <w:rPr>
        <w:rFonts w:cs="Times New Roman" w:hint="default"/>
      </w:rPr>
    </w:lvl>
  </w:abstractNum>
  <w:abstractNum w:abstractNumId="26" w15:restartNumberingAfterBreak="0">
    <w:nsid w:val="40374B9F"/>
    <w:multiLevelType w:val="multilevel"/>
    <w:tmpl w:val="B7942C7E"/>
    <w:styleLink w:val="AppendixTOC"/>
    <w:lvl w:ilvl="0">
      <w:start w:val="1"/>
      <w:numFmt w:val="none"/>
      <w:lvlText w:val="Appendix"/>
      <w:lvlJc w:val="left"/>
      <w:pPr>
        <w:ind w:left="0" w:firstLine="0"/>
      </w:pPr>
      <w:rPr>
        <w:rFonts w:hint="default"/>
      </w:rPr>
    </w:lvl>
    <w:lvl w:ilvl="1">
      <w:start w:val="1"/>
      <w:numFmt w:val="none"/>
      <w:lvlText w:val=""/>
      <w:lvlJc w:val="left"/>
      <w:pPr>
        <w:ind w:left="0" w:firstLine="0"/>
      </w:pPr>
      <w:rPr>
        <w:rFonts w:hint="default"/>
      </w:rPr>
    </w:lvl>
    <w:lvl w:ilvl="2">
      <w:start w:val="1"/>
      <w:numFmt w:val="none"/>
      <w:lvlText w:val=""/>
      <w:lvlJc w:val="left"/>
      <w:pPr>
        <w:ind w:left="0" w:firstLine="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7" w15:restartNumberingAfterBreak="0">
    <w:nsid w:val="49062026"/>
    <w:multiLevelType w:val="multilevel"/>
    <w:tmpl w:val="858494A4"/>
    <w:styleLink w:val="ListAppTOC"/>
    <w:lvl w:ilvl="0">
      <w:start w:val="1"/>
      <w:numFmt w:val="upperLetter"/>
      <w:lvlText w:val="Appendix %1"/>
      <w:lvlJc w:val="left"/>
      <w:pPr>
        <w:tabs>
          <w:tab w:val="num" w:pos="1134"/>
        </w:tabs>
        <w:ind w:left="1134" w:hanging="1134"/>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8" w15:restartNumberingAfterBreak="0">
    <w:nsid w:val="4C6342CC"/>
    <w:multiLevelType w:val="multilevel"/>
    <w:tmpl w:val="9CA4E6A2"/>
    <w:lvl w:ilvl="0">
      <w:start w:val="1"/>
      <w:numFmt w:val="decimal"/>
      <w:lvlText w:val="%1"/>
      <w:lvlJc w:val="left"/>
      <w:pPr>
        <w:ind w:left="370" w:hanging="370"/>
      </w:pPr>
      <w:rPr>
        <w:rFonts w:hint="default"/>
      </w:rPr>
    </w:lvl>
    <w:lvl w:ilvl="1">
      <w:start w:val="1"/>
      <w:numFmt w:val="decimal"/>
      <w:lvlText w:val="%1.%2"/>
      <w:lvlJc w:val="left"/>
      <w:pPr>
        <w:ind w:left="370" w:hanging="37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566C3826"/>
    <w:multiLevelType w:val="multilevel"/>
    <w:tmpl w:val="99F6E6AC"/>
    <w:styleLink w:val="Appendix"/>
    <w:lvl w:ilvl="0">
      <w:start w:val="1"/>
      <w:numFmt w:val="upperLetter"/>
      <w:suff w:val="nothing"/>
      <w:lvlText w:val="%1"/>
      <w:lvlJc w:val="left"/>
      <w:pPr>
        <w:ind w:left="0" w:firstLine="0"/>
      </w:pPr>
      <w:rPr>
        <w:rFonts w:hint="default"/>
      </w:rPr>
    </w:lvl>
    <w:lvl w:ilvl="1">
      <w:start w:val="1"/>
      <w:numFmt w:val="none"/>
      <w:lvlText w:val=""/>
      <w:lvlJc w:val="left"/>
      <w:pPr>
        <w:ind w:left="0" w:firstLine="0"/>
      </w:pPr>
      <w:rPr>
        <w:rFonts w:hint="default"/>
      </w:rPr>
    </w:lvl>
    <w:lvl w:ilvl="2">
      <w:start w:val="1"/>
      <w:numFmt w:val="none"/>
      <w:lvlText w:val=""/>
      <w:lvlJc w:val="left"/>
      <w:pPr>
        <w:ind w:left="0" w:firstLine="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sz w:val="144"/>
      </w:rPr>
    </w:lvl>
  </w:abstractNum>
  <w:abstractNum w:abstractNumId="30" w15:restartNumberingAfterBreak="0">
    <w:nsid w:val="5917009C"/>
    <w:multiLevelType w:val="hybridMultilevel"/>
    <w:tmpl w:val="0676301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5B0339F3"/>
    <w:multiLevelType w:val="multilevel"/>
    <w:tmpl w:val="A560CF94"/>
    <w:lvl w:ilvl="0">
      <w:start w:val="1"/>
      <w:numFmt w:val="upperLetter"/>
      <w:pStyle w:val="AppendixCoverHeading"/>
      <w:lvlText w:val="Appendix %1"/>
      <w:lvlJc w:val="left"/>
      <w:pPr>
        <w:ind w:left="0" w:firstLine="0"/>
      </w:pPr>
      <w:rPr>
        <w:rFonts w:cs="Times New Roman" w:hint="default"/>
        <w:b w:val="0"/>
        <w:bCs w:val="0"/>
        <w:i w:val="0"/>
        <w:iCs w:val="0"/>
        <w:smallCaps w:val="0"/>
        <w:strike w:val="0"/>
        <w:dstrike w:val="0"/>
        <w:noProof w:val="0"/>
        <w:vanish w:val="0"/>
        <w:color w:val="000000"/>
        <w:spacing w:val="0"/>
        <w:kern w:val="0"/>
        <w:position w:val="0"/>
        <w:sz w:val="5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none"/>
      <w:lvlText w:val=""/>
      <w:lvlJc w:val="left"/>
      <w:pPr>
        <w:ind w:left="0" w:firstLine="0"/>
      </w:pPr>
      <w:rPr>
        <w:rFonts w:hint="default"/>
      </w:rPr>
    </w:lvl>
    <w:lvl w:ilvl="2">
      <w:start w:val="1"/>
      <w:numFmt w:val="none"/>
      <w:lvlText w:val=""/>
      <w:lvlJc w:val="left"/>
      <w:pPr>
        <w:ind w:left="0" w:firstLine="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sz w:val="144"/>
      </w:rPr>
    </w:lvl>
  </w:abstractNum>
  <w:abstractNum w:abstractNumId="32" w15:restartNumberingAfterBreak="0">
    <w:nsid w:val="5D734842"/>
    <w:multiLevelType w:val="multilevel"/>
    <w:tmpl w:val="C5002544"/>
    <w:lvl w:ilvl="0">
      <w:start w:val="1"/>
      <w:numFmt w:val="decimal"/>
      <w:lvlText w:val="%1."/>
      <w:lvlJc w:val="left"/>
      <w:pPr>
        <w:ind w:left="360" w:hanging="360"/>
      </w:pPr>
      <w:rPr>
        <w:i w:val="0"/>
      </w:rPr>
    </w:lvl>
    <w:lvl w:ilvl="1">
      <w:start w:val="1"/>
      <w:numFmt w:val="decimal"/>
      <w:pStyle w:val="NabilanMELP"/>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15:restartNumberingAfterBreak="0">
    <w:nsid w:val="6016064D"/>
    <w:multiLevelType w:val="multilevel"/>
    <w:tmpl w:val="E5268C34"/>
    <w:lvl w:ilvl="0">
      <w:start w:val="1"/>
      <w:numFmt w:val="bullet"/>
      <w:pStyle w:val="ListBullet"/>
      <w:lvlText w:val="&gt;"/>
      <w:lvlJc w:val="left"/>
      <w:pPr>
        <w:tabs>
          <w:tab w:val="num" w:pos="795"/>
        </w:tabs>
        <w:ind w:left="795" w:hanging="284"/>
      </w:pPr>
      <w:rPr>
        <w:rFonts w:ascii="Helvetica" w:hAnsi="Helvetica" w:hint="default"/>
        <w:b w:val="0"/>
        <w:i w:val="0"/>
        <w:color w:val="auto"/>
        <w:sz w:val="20"/>
      </w:rPr>
    </w:lvl>
    <w:lvl w:ilvl="1">
      <w:start w:val="1"/>
      <w:numFmt w:val="bullet"/>
      <w:lvlText w:val="-"/>
      <w:lvlJc w:val="left"/>
      <w:pPr>
        <w:tabs>
          <w:tab w:val="num" w:pos="1078"/>
        </w:tabs>
        <w:ind w:left="1078" w:hanging="283"/>
      </w:pPr>
      <w:rPr>
        <w:rFonts w:ascii="Courier" w:hAnsi="Courier" w:hint="default"/>
        <w:color w:val="auto"/>
        <w:sz w:val="20"/>
      </w:rPr>
    </w:lvl>
    <w:lvl w:ilvl="2">
      <w:start w:val="1"/>
      <w:numFmt w:val="bullet"/>
      <w:lvlText w:val="&gt;"/>
      <w:lvlJc w:val="left"/>
      <w:pPr>
        <w:tabs>
          <w:tab w:val="num" w:pos="1362"/>
        </w:tabs>
        <w:ind w:left="1362" w:hanging="284"/>
      </w:pPr>
      <w:rPr>
        <w:rFonts w:ascii="Arial" w:hAnsi="Arial" w:hint="default"/>
        <w:color w:val="auto"/>
        <w:sz w:val="20"/>
      </w:rPr>
    </w:lvl>
    <w:lvl w:ilvl="3">
      <w:start w:val="1"/>
      <w:numFmt w:val="bullet"/>
      <w:lvlText w:val="-"/>
      <w:lvlJc w:val="left"/>
      <w:pPr>
        <w:tabs>
          <w:tab w:val="num" w:pos="1645"/>
        </w:tabs>
        <w:ind w:left="1645" w:hanging="283"/>
      </w:pPr>
      <w:rPr>
        <w:rFonts w:ascii="Courier" w:hAnsi="Courier" w:cs="Times New Roman" w:hint="default"/>
        <w:color w:val="auto"/>
        <w:sz w:val="20"/>
      </w:rPr>
    </w:lvl>
    <w:lvl w:ilvl="4">
      <w:start w:val="1"/>
      <w:numFmt w:val="none"/>
      <w:suff w:val="nothing"/>
      <w:lvlText w:val=""/>
      <w:lvlJc w:val="left"/>
      <w:pPr>
        <w:ind w:left="1929" w:hanging="1418"/>
      </w:pPr>
      <w:rPr>
        <w:rFonts w:cs="Times New Roman" w:hint="default"/>
        <w:color w:val="auto"/>
        <w:sz w:val="20"/>
      </w:rPr>
    </w:lvl>
    <w:lvl w:ilvl="5">
      <w:start w:val="1"/>
      <w:numFmt w:val="none"/>
      <w:suff w:val="nothing"/>
      <w:lvlText w:val=""/>
      <w:lvlJc w:val="left"/>
      <w:pPr>
        <w:ind w:left="511" w:firstLine="0"/>
      </w:pPr>
      <w:rPr>
        <w:rFonts w:cs="Times New Roman" w:hint="default"/>
        <w:color w:val="000000"/>
        <w:sz w:val="20"/>
      </w:rPr>
    </w:lvl>
    <w:lvl w:ilvl="6">
      <w:start w:val="1"/>
      <w:numFmt w:val="none"/>
      <w:suff w:val="nothing"/>
      <w:lvlText w:val=""/>
      <w:lvlJc w:val="left"/>
      <w:pPr>
        <w:ind w:left="511" w:firstLine="0"/>
      </w:pPr>
      <w:rPr>
        <w:rFonts w:cs="Times New Roman" w:hint="default"/>
        <w:color w:val="auto"/>
        <w:sz w:val="20"/>
      </w:rPr>
    </w:lvl>
    <w:lvl w:ilvl="7">
      <w:start w:val="1"/>
      <w:numFmt w:val="none"/>
      <w:suff w:val="nothing"/>
      <w:lvlText w:val=""/>
      <w:lvlJc w:val="left"/>
      <w:pPr>
        <w:ind w:left="511" w:firstLine="0"/>
      </w:pPr>
      <w:rPr>
        <w:rFonts w:cs="Times New Roman" w:hint="default"/>
        <w:color w:val="000000"/>
        <w:sz w:val="20"/>
      </w:rPr>
    </w:lvl>
    <w:lvl w:ilvl="8">
      <w:start w:val="1"/>
      <w:numFmt w:val="none"/>
      <w:suff w:val="nothing"/>
      <w:lvlText w:val="%9"/>
      <w:lvlJc w:val="left"/>
      <w:pPr>
        <w:ind w:left="511" w:firstLine="0"/>
      </w:pPr>
      <w:rPr>
        <w:rFonts w:cs="Times New Roman" w:hint="default"/>
      </w:rPr>
    </w:lvl>
  </w:abstractNum>
  <w:abstractNum w:abstractNumId="34" w15:restartNumberingAfterBreak="0">
    <w:nsid w:val="657E7204"/>
    <w:multiLevelType w:val="hybridMultilevel"/>
    <w:tmpl w:val="5E926B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9292455"/>
    <w:multiLevelType w:val="multilevel"/>
    <w:tmpl w:val="FE140A9C"/>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36" w15:restartNumberingAfterBreak="0">
    <w:nsid w:val="729A48FD"/>
    <w:multiLevelType w:val="hybridMultilevel"/>
    <w:tmpl w:val="67AE1152"/>
    <w:lvl w:ilvl="0" w:tplc="AD400280">
      <w:start w:val="1"/>
      <w:numFmt w:val="bullet"/>
      <w:lvlText w:val=""/>
      <w:lvlJc w:val="left"/>
      <w:pPr>
        <w:ind w:left="360" w:hanging="360"/>
      </w:pPr>
      <w:rPr>
        <w:rFonts w:ascii="Symbol" w:hAnsi="Symbol" w:hint="default"/>
        <w:color w:val="000000" w:themeColor="text1"/>
      </w:rPr>
    </w:lvl>
    <w:lvl w:ilvl="1" w:tplc="AE8821F8">
      <w:numFmt w:val="bullet"/>
      <w:lvlText w:val="-"/>
      <w:lvlJc w:val="left"/>
      <w:pPr>
        <w:ind w:left="1080" w:hanging="360"/>
      </w:pPr>
      <w:rPr>
        <w:rFonts w:ascii="Arial" w:eastAsiaTheme="minorHAnsi" w:hAnsi="Arial" w:cs="Aria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2E0406E"/>
    <w:multiLevelType w:val="hybridMultilevel"/>
    <w:tmpl w:val="DE7A991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15:restartNumberingAfterBreak="0">
    <w:nsid w:val="75F5193A"/>
    <w:multiLevelType w:val="hybridMultilevel"/>
    <w:tmpl w:val="D682F5BA"/>
    <w:lvl w:ilvl="0" w:tplc="A52C1DDC">
      <w:start w:val="1"/>
      <w:numFmt w:val="bullet"/>
      <w:lvlText w:val="o"/>
      <w:lvlJc w:val="left"/>
      <w:pPr>
        <w:tabs>
          <w:tab w:val="num" w:pos="720"/>
        </w:tabs>
        <w:ind w:left="720" w:hanging="360"/>
      </w:pPr>
      <w:rPr>
        <w:rFonts w:ascii="Courier New" w:hAnsi="Courier New" w:hint="default"/>
      </w:rPr>
    </w:lvl>
    <w:lvl w:ilvl="1" w:tplc="D012EBB8" w:tentative="1">
      <w:start w:val="1"/>
      <w:numFmt w:val="bullet"/>
      <w:lvlText w:val="o"/>
      <w:lvlJc w:val="left"/>
      <w:pPr>
        <w:tabs>
          <w:tab w:val="num" w:pos="1440"/>
        </w:tabs>
        <w:ind w:left="1440" w:hanging="360"/>
      </w:pPr>
      <w:rPr>
        <w:rFonts w:ascii="Courier New" w:hAnsi="Courier New" w:hint="default"/>
      </w:rPr>
    </w:lvl>
    <w:lvl w:ilvl="2" w:tplc="A34E77B6" w:tentative="1">
      <w:start w:val="1"/>
      <w:numFmt w:val="bullet"/>
      <w:lvlText w:val="o"/>
      <w:lvlJc w:val="left"/>
      <w:pPr>
        <w:tabs>
          <w:tab w:val="num" w:pos="2160"/>
        </w:tabs>
        <w:ind w:left="2160" w:hanging="360"/>
      </w:pPr>
      <w:rPr>
        <w:rFonts w:ascii="Courier New" w:hAnsi="Courier New" w:hint="default"/>
      </w:rPr>
    </w:lvl>
    <w:lvl w:ilvl="3" w:tplc="0340E662" w:tentative="1">
      <w:start w:val="1"/>
      <w:numFmt w:val="bullet"/>
      <w:lvlText w:val="o"/>
      <w:lvlJc w:val="left"/>
      <w:pPr>
        <w:tabs>
          <w:tab w:val="num" w:pos="2880"/>
        </w:tabs>
        <w:ind w:left="2880" w:hanging="360"/>
      </w:pPr>
      <w:rPr>
        <w:rFonts w:ascii="Courier New" w:hAnsi="Courier New" w:hint="default"/>
      </w:rPr>
    </w:lvl>
    <w:lvl w:ilvl="4" w:tplc="FE38529A" w:tentative="1">
      <w:start w:val="1"/>
      <w:numFmt w:val="bullet"/>
      <w:lvlText w:val="o"/>
      <w:lvlJc w:val="left"/>
      <w:pPr>
        <w:tabs>
          <w:tab w:val="num" w:pos="3600"/>
        </w:tabs>
        <w:ind w:left="3600" w:hanging="360"/>
      </w:pPr>
      <w:rPr>
        <w:rFonts w:ascii="Courier New" w:hAnsi="Courier New" w:hint="default"/>
      </w:rPr>
    </w:lvl>
    <w:lvl w:ilvl="5" w:tplc="3F9EF78C" w:tentative="1">
      <w:start w:val="1"/>
      <w:numFmt w:val="bullet"/>
      <w:lvlText w:val="o"/>
      <w:lvlJc w:val="left"/>
      <w:pPr>
        <w:tabs>
          <w:tab w:val="num" w:pos="4320"/>
        </w:tabs>
        <w:ind w:left="4320" w:hanging="360"/>
      </w:pPr>
      <w:rPr>
        <w:rFonts w:ascii="Courier New" w:hAnsi="Courier New" w:hint="default"/>
      </w:rPr>
    </w:lvl>
    <w:lvl w:ilvl="6" w:tplc="561A9708" w:tentative="1">
      <w:start w:val="1"/>
      <w:numFmt w:val="bullet"/>
      <w:lvlText w:val="o"/>
      <w:lvlJc w:val="left"/>
      <w:pPr>
        <w:tabs>
          <w:tab w:val="num" w:pos="5040"/>
        </w:tabs>
        <w:ind w:left="5040" w:hanging="360"/>
      </w:pPr>
      <w:rPr>
        <w:rFonts w:ascii="Courier New" w:hAnsi="Courier New" w:hint="default"/>
      </w:rPr>
    </w:lvl>
    <w:lvl w:ilvl="7" w:tplc="AC28E550" w:tentative="1">
      <w:start w:val="1"/>
      <w:numFmt w:val="bullet"/>
      <w:lvlText w:val="o"/>
      <w:lvlJc w:val="left"/>
      <w:pPr>
        <w:tabs>
          <w:tab w:val="num" w:pos="5760"/>
        </w:tabs>
        <w:ind w:left="5760" w:hanging="360"/>
      </w:pPr>
      <w:rPr>
        <w:rFonts w:ascii="Courier New" w:hAnsi="Courier New" w:hint="default"/>
      </w:rPr>
    </w:lvl>
    <w:lvl w:ilvl="8" w:tplc="EEF27E46" w:tentative="1">
      <w:start w:val="1"/>
      <w:numFmt w:val="bullet"/>
      <w:lvlText w:val="o"/>
      <w:lvlJc w:val="left"/>
      <w:pPr>
        <w:tabs>
          <w:tab w:val="num" w:pos="6480"/>
        </w:tabs>
        <w:ind w:left="6480" w:hanging="360"/>
      </w:pPr>
      <w:rPr>
        <w:rFonts w:ascii="Courier New" w:hAnsi="Courier New" w:hint="default"/>
      </w:rPr>
    </w:lvl>
  </w:abstractNum>
  <w:abstractNum w:abstractNumId="39" w15:restartNumberingAfterBreak="0">
    <w:nsid w:val="7A7E120F"/>
    <w:multiLevelType w:val="multilevel"/>
    <w:tmpl w:val="A3D830FC"/>
    <w:styleLink w:val="ListTOC"/>
    <w:lvl w:ilvl="0">
      <w:start w:val="1"/>
      <w:numFmt w:val="decimalZero"/>
      <w:suff w:val="nothing"/>
      <w:lvlText w:val="Section %1"/>
      <w:lvlJc w:val="left"/>
      <w:rPr>
        <w:rFonts w:cs="Times New Roman" w:hint="default"/>
      </w:rPr>
    </w:lvl>
    <w:lvl w:ilvl="1">
      <w:start w:val="1"/>
      <w:numFmt w:val="lowerLetter"/>
      <w:lvlText w:val="%2)"/>
      <w:lvlJc w:val="left"/>
      <w:pPr>
        <w:ind w:left="720" w:hanging="360"/>
      </w:pPr>
      <w:rPr>
        <w:rFonts w:cs="Times New Roman" w:hint="default"/>
      </w:rPr>
    </w:lvl>
    <w:lvl w:ilvl="2">
      <w:start w:val="1"/>
      <w:numFmt w:val="lowerRoman"/>
      <w:lvlText w:val="%3)"/>
      <w:lvlJc w:val="left"/>
      <w:pPr>
        <w:ind w:left="1080" w:hanging="360"/>
      </w:pPr>
      <w:rPr>
        <w:rFonts w:cs="Times New Roman" w:hint="default"/>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40" w15:restartNumberingAfterBreak="0">
    <w:nsid w:val="7F1B0B9B"/>
    <w:multiLevelType w:val="hybridMultilevel"/>
    <w:tmpl w:val="C23AB2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1"/>
  </w:num>
  <w:num w:numId="4">
    <w:abstractNumId w:val="9"/>
  </w:num>
  <w:num w:numId="5">
    <w:abstractNumId w:val="35"/>
  </w:num>
  <w:num w:numId="6">
    <w:abstractNumId w:val="8"/>
  </w:num>
  <w:num w:numId="7">
    <w:abstractNumId w:val="24"/>
  </w:num>
  <w:num w:numId="8">
    <w:abstractNumId w:val="33"/>
  </w:num>
  <w:num w:numId="9">
    <w:abstractNumId w:val="15"/>
  </w:num>
  <w:num w:numId="10">
    <w:abstractNumId w:val="39"/>
  </w:num>
  <w:num w:numId="11">
    <w:abstractNumId w:val="17"/>
  </w:num>
  <w:num w:numId="12">
    <w:abstractNumId w:val="25"/>
  </w:num>
  <w:num w:numId="13">
    <w:abstractNumId w:val="27"/>
  </w:num>
  <w:num w:numId="14">
    <w:abstractNumId w:val="10"/>
  </w:num>
  <w:num w:numId="15">
    <w:abstractNumId w:val="14"/>
  </w:num>
  <w:num w:numId="16">
    <w:abstractNumId w:val="5"/>
  </w:num>
  <w:num w:numId="17">
    <w:abstractNumId w:val="16"/>
  </w:num>
  <w:num w:numId="18">
    <w:abstractNumId w:val="19"/>
  </w:num>
  <w:num w:numId="19">
    <w:abstractNumId w:val="29"/>
  </w:num>
  <w:num w:numId="20">
    <w:abstractNumId w:val="26"/>
  </w:num>
  <w:num w:numId="21">
    <w:abstractNumId w:val="31"/>
  </w:num>
  <w:num w:numId="22">
    <w:abstractNumId w:val="20"/>
  </w:num>
  <w:num w:numId="23">
    <w:abstractNumId w:val="0"/>
  </w:num>
  <w:num w:numId="24">
    <w:abstractNumId w:val="4"/>
  </w:num>
  <w:num w:numId="25">
    <w:abstractNumId w:val="22"/>
  </w:num>
  <w:num w:numId="26">
    <w:abstractNumId w:val="21"/>
  </w:num>
  <w:num w:numId="27">
    <w:abstractNumId w:val="7"/>
  </w:num>
  <w:num w:numId="28">
    <w:abstractNumId w:val="40"/>
  </w:num>
  <w:num w:numId="29">
    <w:abstractNumId w:val="38"/>
  </w:num>
  <w:num w:numId="30">
    <w:abstractNumId w:val="36"/>
  </w:num>
  <w:num w:numId="31">
    <w:abstractNumId w:val="34"/>
  </w:num>
  <w:num w:numId="32">
    <w:abstractNumId w:val="23"/>
  </w:num>
  <w:num w:numId="33">
    <w:abstractNumId w:val="37"/>
  </w:num>
  <w:num w:numId="34">
    <w:abstractNumId w:val="28"/>
  </w:num>
  <w:num w:numId="35">
    <w:abstractNumId w:val="13"/>
  </w:num>
  <w:num w:numId="36">
    <w:abstractNumId w:val="18"/>
  </w:num>
  <w:num w:numId="37">
    <w:abstractNumId w:val="6"/>
  </w:num>
  <w:num w:numId="38">
    <w:abstractNumId w:val="11"/>
  </w:num>
  <w:num w:numId="39">
    <w:abstractNumId w:val="32"/>
  </w:num>
  <w:num w:numId="40">
    <w:abstractNumId w:val="12"/>
  </w:num>
  <w:num w:numId="41">
    <w:abstractNumId w:val="30"/>
  </w:num>
  <w:num w:numId="42">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activeWritingStyle w:appName="MSWord" w:lang="en-AU" w:vendorID="64" w:dllVersion="6" w:nlCheck="1" w:checkStyle="1"/>
  <w:activeWritingStyle w:appName="MSWord" w:lang="en-GB" w:vendorID="64" w:dllVersion="6" w:nlCheck="1" w:checkStyle="0"/>
  <w:activeWritingStyle w:appName="MSWord" w:lang="en-US" w:vendorID="64" w:dllVersion="6" w:nlCheck="1" w:checkStyle="0"/>
  <w:activeWritingStyle w:appName="MSWord" w:lang="en-AU" w:vendorID="64" w:dllVersion="0" w:nlCheck="1" w:checkStyle="0"/>
  <w:activeWritingStyle w:appName="MSWord" w:lang="en-GB" w:vendorID="64" w:dllVersion="0" w:nlCheck="1" w:checkStyle="0"/>
  <w:activeWritingStyle w:appName="MSWord" w:lang="en-US" w:vendorID="64" w:dllVersion="0" w:nlCheck="1" w:checkStyle="0"/>
  <w:activeWritingStyle w:appName="MSWord" w:lang="pt-PT" w:vendorID="64" w:dllVersion="0" w:nlCheck="1" w:checkStyle="0"/>
  <w:activeWritingStyle w:appName="MSWord" w:lang="en-AU" w:vendorID="64" w:dllVersion="4096" w:nlCheck="1" w:checkStyle="0"/>
  <w:activeWritingStyle w:appName="MSWord" w:lang="en-US" w:vendorID="64" w:dllVersion="4096" w:nlCheck="1" w:checkStyle="0"/>
  <w:activeWritingStyle w:appName="MSWord" w:lang="en-GB" w:vendorID="64" w:dllVersion="4096" w:nlCheck="1" w:checkStyle="0"/>
  <w:activeWritingStyle w:appName="MSWord" w:lang="pt-PT" w:vendorID="64" w:dllVersion="4096" w:nlCheck="1" w:checkStyle="0"/>
  <w:activeWritingStyle w:appName="MSWord" w:lang="en-AU" w:vendorID="64" w:dllVersion="131078" w:nlCheck="1" w:checkStyle="1"/>
  <w:activeWritingStyle w:appName="MSWord" w:lang="en-US" w:vendorID="64" w:dllVersion="131078" w:nlCheck="1" w:checkStyle="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stylePaneSortMethod w:val="0000"/>
  <w:defaultTabStop w:val="720"/>
  <w:drawingGridHorizontalSpacing w:val="187"/>
  <w:drawingGridVerticalSpacing w:val="187"/>
  <w:characterSpacingControl w:val="doNotCompress"/>
  <w:hdrShapeDefaults>
    <o:shapedefaults v:ext="edit" spidmax="8193"/>
  </w:hdrShapeDefaults>
  <w:footnotePr>
    <w:footnote w:id="-1"/>
    <w:footnote w:id="0"/>
    <w:footnote w:id="1"/>
  </w:footnotePr>
  <w:endnotePr>
    <w:pos w:val="sectEnd"/>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155F0"/>
    <w:rsid w:val="00000705"/>
    <w:rsid w:val="000007F0"/>
    <w:rsid w:val="000008B5"/>
    <w:rsid w:val="000025EB"/>
    <w:rsid w:val="0000282B"/>
    <w:rsid w:val="00002AF1"/>
    <w:rsid w:val="00003572"/>
    <w:rsid w:val="00003C25"/>
    <w:rsid w:val="0000410A"/>
    <w:rsid w:val="00004306"/>
    <w:rsid w:val="0000584A"/>
    <w:rsid w:val="00005AD7"/>
    <w:rsid w:val="00005D8B"/>
    <w:rsid w:val="0000613E"/>
    <w:rsid w:val="000063C9"/>
    <w:rsid w:val="00006CC1"/>
    <w:rsid w:val="00007B09"/>
    <w:rsid w:val="00007BAD"/>
    <w:rsid w:val="00007FAF"/>
    <w:rsid w:val="0001092B"/>
    <w:rsid w:val="00011269"/>
    <w:rsid w:val="000114A4"/>
    <w:rsid w:val="00011EEE"/>
    <w:rsid w:val="000121C4"/>
    <w:rsid w:val="00012301"/>
    <w:rsid w:val="00012337"/>
    <w:rsid w:val="000123AB"/>
    <w:rsid w:val="0001251C"/>
    <w:rsid w:val="0001254D"/>
    <w:rsid w:val="000131C7"/>
    <w:rsid w:val="000131CD"/>
    <w:rsid w:val="0001333F"/>
    <w:rsid w:val="00013483"/>
    <w:rsid w:val="000136ED"/>
    <w:rsid w:val="00013F20"/>
    <w:rsid w:val="00014341"/>
    <w:rsid w:val="00014A07"/>
    <w:rsid w:val="000155F0"/>
    <w:rsid w:val="000156CD"/>
    <w:rsid w:val="0001588D"/>
    <w:rsid w:val="00015B83"/>
    <w:rsid w:val="00015CEE"/>
    <w:rsid w:val="00015D37"/>
    <w:rsid w:val="00015FBB"/>
    <w:rsid w:val="00016340"/>
    <w:rsid w:val="000163AB"/>
    <w:rsid w:val="000163EA"/>
    <w:rsid w:val="00016A21"/>
    <w:rsid w:val="00016B2C"/>
    <w:rsid w:val="000172D2"/>
    <w:rsid w:val="00017D19"/>
    <w:rsid w:val="00017F31"/>
    <w:rsid w:val="00020138"/>
    <w:rsid w:val="00020C7F"/>
    <w:rsid w:val="00021B05"/>
    <w:rsid w:val="00021B6D"/>
    <w:rsid w:val="0002269E"/>
    <w:rsid w:val="00023344"/>
    <w:rsid w:val="000239C5"/>
    <w:rsid w:val="00024DE1"/>
    <w:rsid w:val="00024F64"/>
    <w:rsid w:val="00025308"/>
    <w:rsid w:val="000256A0"/>
    <w:rsid w:val="00025BB3"/>
    <w:rsid w:val="00025EFA"/>
    <w:rsid w:val="000264CF"/>
    <w:rsid w:val="00026AD7"/>
    <w:rsid w:val="00026E77"/>
    <w:rsid w:val="00027809"/>
    <w:rsid w:val="000301EF"/>
    <w:rsid w:val="00030801"/>
    <w:rsid w:val="0003111F"/>
    <w:rsid w:val="00031148"/>
    <w:rsid w:val="00031565"/>
    <w:rsid w:val="0003158A"/>
    <w:rsid w:val="000315BF"/>
    <w:rsid w:val="00031D20"/>
    <w:rsid w:val="00032320"/>
    <w:rsid w:val="00032880"/>
    <w:rsid w:val="00032BF7"/>
    <w:rsid w:val="00032F38"/>
    <w:rsid w:val="00033121"/>
    <w:rsid w:val="00033405"/>
    <w:rsid w:val="0003347E"/>
    <w:rsid w:val="00033592"/>
    <w:rsid w:val="00033658"/>
    <w:rsid w:val="000336CC"/>
    <w:rsid w:val="00033CA0"/>
    <w:rsid w:val="00033CF0"/>
    <w:rsid w:val="00034361"/>
    <w:rsid w:val="0003462B"/>
    <w:rsid w:val="00034A7F"/>
    <w:rsid w:val="00035228"/>
    <w:rsid w:val="0003546C"/>
    <w:rsid w:val="0003546F"/>
    <w:rsid w:val="00035611"/>
    <w:rsid w:val="00035E23"/>
    <w:rsid w:val="00035F50"/>
    <w:rsid w:val="00036503"/>
    <w:rsid w:val="0003699F"/>
    <w:rsid w:val="00036C6A"/>
    <w:rsid w:val="00036EDC"/>
    <w:rsid w:val="000371D6"/>
    <w:rsid w:val="0003739E"/>
    <w:rsid w:val="00037F81"/>
    <w:rsid w:val="000403F2"/>
    <w:rsid w:val="00041422"/>
    <w:rsid w:val="0004176F"/>
    <w:rsid w:val="00041D02"/>
    <w:rsid w:val="0004210D"/>
    <w:rsid w:val="0004215E"/>
    <w:rsid w:val="0004215F"/>
    <w:rsid w:val="000422F8"/>
    <w:rsid w:val="00042FDE"/>
    <w:rsid w:val="000430D4"/>
    <w:rsid w:val="00043254"/>
    <w:rsid w:val="00043E3A"/>
    <w:rsid w:val="00044059"/>
    <w:rsid w:val="0004411A"/>
    <w:rsid w:val="00044674"/>
    <w:rsid w:val="000449DD"/>
    <w:rsid w:val="00045120"/>
    <w:rsid w:val="00045ABE"/>
    <w:rsid w:val="00045BF5"/>
    <w:rsid w:val="0004650A"/>
    <w:rsid w:val="000467B0"/>
    <w:rsid w:val="00046F7B"/>
    <w:rsid w:val="00047761"/>
    <w:rsid w:val="000477C6"/>
    <w:rsid w:val="000478F6"/>
    <w:rsid w:val="00050068"/>
    <w:rsid w:val="00050137"/>
    <w:rsid w:val="00050563"/>
    <w:rsid w:val="00050819"/>
    <w:rsid w:val="000511E2"/>
    <w:rsid w:val="00051BDD"/>
    <w:rsid w:val="00051BF6"/>
    <w:rsid w:val="00051C1D"/>
    <w:rsid w:val="00051DD9"/>
    <w:rsid w:val="000523A5"/>
    <w:rsid w:val="00052E48"/>
    <w:rsid w:val="00053313"/>
    <w:rsid w:val="00053523"/>
    <w:rsid w:val="00053BA7"/>
    <w:rsid w:val="00054F4D"/>
    <w:rsid w:val="00055930"/>
    <w:rsid w:val="00055C6C"/>
    <w:rsid w:val="00055FB7"/>
    <w:rsid w:val="00056180"/>
    <w:rsid w:val="0005668D"/>
    <w:rsid w:val="00056BA5"/>
    <w:rsid w:val="00057034"/>
    <w:rsid w:val="00057D56"/>
    <w:rsid w:val="00057DE9"/>
    <w:rsid w:val="00057F5E"/>
    <w:rsid w:val="00057F86"/>
    <w:rsid w:val="000600CF"/>
    <w:rsid w:val="00060116"/>
    <w:rsid w:val="00060246"/>
    <w:rsid w:val="000623E6"/>
    <w:rsid w:val="00062837"/>
    <w:rsid w:val="000631C6"/>
    <w:rsid w:val="0006336A"/>
    <w:rsid w:val="0006373A"/>
    <w:rsid w:val="00063A8E"/>
    <w:rsid w:val="00063B37"/>
    <w:rsid w:val="00064C0C"/>
    <w:rsid w:val="00064F4E"/>
    <w:rsid w:val="0006506F"/>
    <w:rsid w:val="000656E5"/>
    <w:rsid w:val="00065986"/>
    <w:rsid w:val="00065B71"/>
    <w:rsid w:val="00066025"/>
    <w:rsid w:val="000662D0"/>
    <w:rsid w:val="000663A7"/>
    <w:rsid w:val="000663FE"/>
    <w:rsid w:val="00066C7A"/>
    <w:rsid w:val="00066FB4"/>
    <w:rsid w:val="000677A9"/>
    <w:rsid w:val="00070BF5"/>
    <w:rsid w:val="00070D5E"/>
    <w:rsid w:val="000719CF"/>
    <w:rsid w:val="00071B47"/>
    <w:rsid w:val="00071EDB"/>
    <w:rsid w:val="000724B2"/>
    <w:rsid w:val="00072548"/>
    <w:rsid w:val="00072810"/>
    <w:rsid w:val="00072FB3"/>
    <w:rsid w:val="00073107"/>
    <w:rsid w:val="00073592"/>
    <w:rsid w:val="00073B19"/>
    <w:rsid w:val="00073D9D"/>
    <w:rsid w:val="00073FFE"/>
    <w:rsid w:val="00073FFF"/>
    <w:rsid w:val="000740D7"/>
    <w:rsid w:val="000741CD"/>
    <w:rsid w:val="000743AF"/>
    <w:rsid w:val="00074645"/>
    <w:rsid w:val="000746E0"/>
    <w:rsid w:val="000747FA"/>
    <w:rsid w:val="00074925"/>
    <w:rsid w:val="00075236"/>
    <w:rsid w:val="00075394"/>
    <w:rsid w:val="000755EF"/>
    <w:rsid w:val="00076062"/>
    <w:rsid w:val="00076C85"/>
    <w:rsid w:val="000770AC"/>
    <w:rsid w:val="00077396"/>
    <w:rsid w:val="000775D3"/>
    <w:rsid w:val="0007778E"/>
    <w:rsid w:val="00077B00"/>
    <w:rsid w:val="00077C75"/>
    <w:rsid w:val="00080316"/>
    <w:rsid w:val="00080EA9"/>
    <w:rsid w:val="000812A0"/>
    <w:rsid w:val="0008154B"/>
    <w:rsid w:val="00081909"/>
    <w:rsid w:val="00081AA0"/>
    <w:rsid w:val="0008270F"/>
    <w:rsid w:val="00082D29"/>
    <w:rsid w:val="00082D31"/>
    <w:rsid w:val="00082E6D"/>
    <w:rsid w:val="000834D9"/>
    <w:rsid w:val="00083F24"/>
    <w:rsid w:val="00084068"/>
    <w:rsid w:val="00084124"/>
    <w:rsid w:val="000843F7"/>
    <w:rsid w:val="000846ED"/>
    <w:rsid w:val="000848E9"/>
    <w:rsid w:val="00084CDE"/>
    <w:rsid w:val="00084FB1"/>
    <w:rsid w:val="00085709"/>
    <w:rsid w:val="000862BF"/>
    <w:rsid w:val="0008651D"/>
    <w:rsid w:val="00086A0F"/>
    <w:rsid w:val="00086C69"/>
    <w:rsid w:val="00087106"/>
    <w:rsid w:val="00087EAA"/>
    <w:rsid w:val="00087EFE"/>
    <w:rsid w:val="00087F05"/>
    <w:rsid w:val="000907EE"/>
    <w:rsid w:val="000909C2"/>
    <w:rsid w:val="00090F43"/>
    <w:rsid w:val="0009110C"/>
    <w:rsid w:val="0009120D"/>
    <w:rsid w:val="0009128D"/>
    <w:rsid w:val="000913D6"/>
    <w:rsid w:val="00091405"/>
    <w:rsid w:val="00091BE2"/>
    <w:rsid w:val="00091C38"/>
    <w:rsid w:val="00091CE8"/>
    <w:rsid w:val="00092468"/>
    <w:rsid w:val="000929E1"/>
    <w:rsid w:val="000929FF"/>
    <w:rsid w:val="00092A77"/>
    <w:rsid w:val="00092B40"/>
    <w:rsid w:val="00092C6A"/>
    <w:rsid w:val="00093185"/>
    <w:rsid w:val="00093636"/>
    <w:rsid w:val="000939A2"/>
    <w:rsid w:val="00093CFA"/>
    <w:rsid w:val="00094233"/>
    <w:rsid w:val="00094B49"/>
    <w:rsid w:val="00095AE4"/>
    <w:rsid w:val="0009638B"/>
    <w:rsid w:val="00096939"/>
    <w:rsid w:val="00096E79"/>
    <w:rsid w:val="0009731B"/>
    <w:rsid w:val="00097800"/>
    <w:rsid w:val="000A11A6"/>
    <w:rsid w:val="000A1550"/>
    <w:rsid w:val="000A1804"/>
    <w:rsid w:val="000A1DE2"/>
    <w:rsid w:val="000A2157"/>
    <w:rsid w:val="000A240F"/>
    <w:rsid w:val="000A2C4E"/>
    <w:rsid w:val="000A2CA4"/>
    <w:rsid w:val="000A31B8"/>
    <w:rsid w:val="000A36EF"/>
    <w:rsid w:val="000A4541"/>
    <w:rsid w:val="000A49A4"/>
    <w:rsid w:val="000A4DDA"/>
    <w:rsid w:val="000A52ED"/>
    <w:rsid w:val="000A5640"/>
    <w:rsid w:val="000A578E"/>
    <w:rsid w:val="000A599E"/>
    <w:rsid w:val="000A5FA5"/>
    <w:rsid w:val="000A6333"/>
    <w:rsid w:val="000B0D42"/>
    <w:rsid w:val="000B10F8"/>
    <w:rsid w:val="000B12F8"/>
    <w:rsid w:val="000B18A5"/>
    <w:rsid w:val="000B1AB3"/>
    <w:rsid w:val="000B1FDE"/>
    <w:rsid w:val="000B2273"/>
    <w:rsid w:val="000B27B8"/>
    <w:rsid w:val="000B2EE4"/>
    <w:rsid w:val="000B3194"/>
    <w:rsid w:val="000B3592"/>
    <w:rsid w:val="000B36B1"/>
    <w:rsid w:val="000B3730"/>
    <w:rsid w:val="000B395E"/>
    <w:rsid w:val="000B3C04"/>
    <w:rsid w:val="000B463E"/>
    <w:rsid w:val="000B469E"/>
    <w:rsid w:val="000B5080"/>
    <w:rsid w:val="000B5523"/>
    <w:rsid w:val="000B57A5"/>
    <w:rsid w:val="000B5CFF"/>
    <w:rsid w:val="000B5DA4"/>
    <w:rsid w:val="000B61B8"/>
    <w:rsid w:val="000B6801"/>
    <w:rsid w:val="000B734A"/>
    <w:rsid w:val="000B77E6"/>
    <w:rsid w:val="000B7B98"/>
    <w:rsid w:val="000B7E6C"/>
    <w:rsid w:val="000C07A9"/>
    <w:rsid w:val="000C0BF9"/>
    <w:rsid w:val="000C0C48"/>
    <w:rsid w:val="000C141A"/>
    <w:rsid w:val="000C1571"/>
    <w:rsid w:val="000C1D96"/>
    <w:rsid w:val="000C1E14"/>
    <w:rsid w:val="000C25BF"/>
    <w:rsid w:val="000C26E0"/>
    <w:rsid w:val="000C32B9"/>
    <w:rsid w:val="000C3921"/>
    <w:rsid w:val="000C3C4F"/>
    <w:rsid w:val="000C3F1F"/>
    <w:rsid w:val="000C3F2F"/>
    <w:rsid w:val="000C3FD4"/>
    <w:rsid w:val="000C47F0"/>
    <w:rsid w:val="000C4905"/>
    <w:rsid w:val="000C4929"/>
    <w:rsid w:val="000C4F5F"/>
    <w:rsid w:val="000C53A7"/>
    <w:rsid w:val="000C5985"/>
    <w:rsid w:val="000C5A7A"/>
    <w:rsid w:val="000C5B7F"/>
    <w:rsid w:val="000C5FF1"/>
    <w:rsid w:val="000C6382"/>
    <w:rsid w:val="000C6CBB"/>
    <w:rsid w:val="000C741B"/>
    <w:rsid w:val="000C74A3"/>
    <w:rsid w:val="000C7C27"/>
    <w:rsid w:val="000C7DBD"/>
    <w:rsid w:val="000D0102"/>
    <w:rsid w:val="000D085C"/>
    <w:rsid w:val="000D1B4C"/>
    <w:rsid w:val="000D1DDE"/>
    <w:rsid w:val="000D229B"/>
    <w:rsid w:val="000D258A"/>
    <w:rsid w:val="000D27DF"/>
    <w:rsid w:val="000D2B92"/>
    <w:rsid w:val="000D333A"/>
    <w:rsid w:val="000D3447"/>
    <w:rsid w:val="000D3AB0"/>
    <w:rsid w:val="000D43E1"/>
    <w:rsid w:val="000D4573"/>
    <w:rsid w:val="000D467E"/>
    <w:rsid w:val="000D4936"/>
    <w:rsid w:val="000D49C9"/>
    <w:rsid w:val="000D5107"/>
    <w:rsid w:val="000D5171"/>
    <w:rsid w:val="000D57F9"/>
    <w:rsid w:val="000D62B2"/>
    <w:rsid w:val="000D62FA"/>
    <w:rsid w:val="000D661F"/>
    <w:rsid w:val="000E075E"/>
    <w:rsid w:val="000E0915"/>
    <w:rsid w:val="000E0943"/>
    <w:rsid w:val="000E165F"/>
    <w:rsid w:val="000E1955"/>
    <w:rsid w:val="000E28F5"/>
    <w:rsid w:val="000E353C"/>
    <w:rsid w:val="000E3980"/>
    <w:rsid w:val="000E517B"/>
    <w:rsid w:val="000E5FCD"/>
    <w:rsid w:val="000E679D"/>
    <w:rsid w:val="000E699E"/>
    <w:rsid w:val="000E69EF"/>
    <w:rsid w:val="000E6A9B"/>
    <w:rsid w:val="000E7155"/>
    <w:rsid w:val="000E71F5"/>
    <w:rsid w:val="000E7712"/>
    <w:rsid w:val="000F01EB"/>
    <w:rsid w:val="000F081B"/>
    <w:rsid w:val="000F0CBF"/>
    <w:rsid w:val="000F0D46"/>
    <w:rsid w:val="000F1173"/>
    <w:rsid w:val="000F11B8"/>
    <w:rsid w:val="000F1434"/>
    <w:rsid w:val="000F14FD"/>
    <w:rsid w:val="000F1636"/>
    <w:rsid w:val="000F1732"/>
    <w:rsid w:val="000F17DA"/>
    <w:rsid w:val="000F1E15"/>
    <w:rsid w:val="000F1E1B"/>
    <w:rsid w:val="000F1EAE"/>
    <w:rsid w:val="000F2414"/>
    <w:rsid w:val="000F279B"/>
    <w:rsid w:val="000F2BB0"/>
    <w:rsid w:val="000F311E"/>
    <w:rsid w:val="000F3140"/>
    <w:rsid w:val="000F321C"/>
    <w:rsid w:val="000F3D46"/>
    <w:rsid w:val="000F3F7C"/>
    <w:rsid w:val="000F4028"/>
    <w:rsid w:val="000F41CC"/>
    <w:rsid w:val="000F4F3C"/>
    <w:rsid w:val="000F5047"/>
    <w:rsid w:val="000F700C"/>
    <w:rsid w:val="000F7A22"/>
    <w:rsid w:val="0010004A"/>
    <w:rsid w:val="00100395"/>
    <w:rsid w:val="0010096E"/>
    <w:rsid w:val="00100C52"/>
    <w:rsid w:val="00100C64"/>
    <w:rsid w:val="001011F3"/>
    <w:rsid w:val="001012AC"/>
    <w:rsid w:val="001016DE"/>
    <w:rsid w:val="00101CFE"/>
    <w:rsid w:val="001021DA"/>
    <w:rsid w:val="001024D2"/>
    <w:rsid w:val="00102CC0"/>
    <w:rsid w:val="001036D6"/>
    <w:rsid w:val="001043E5"/>
    <w:rsid w:val="001051FB"/>
    <w:rsid w:val="0010557A"/>
    <w:rsid w:val="00105C1E"/>
    <w:rsid w:val="00105D95"/>
    <w:rsid w:val="00105EAE"/>
    <w:rsid w:val="00106DCF"/>
    <w:rsid w:val="00106E06"/>
    <w:rsid w:val="00107078"/>
    <w:rsid w:val="00107C80"/>
    <w:rsid w:val="001112EC"/>
    <w:rsid w:val="0011176B"/>
    <w:rsid w:val="00111B48"/>
    <w:rsid w:val="00111F28"/>
    <w:rsid w:val="00112173"/>
    <w:rsid w:val="0011218E"/>
    <w:rsid w:val="00112E1D"/>
    <w:rsid w:val="001133D1"/>
    <w:rsid w:val="00113B97"/>
    <w:rsid w:val="00113C03"/>
    <w:rsid w:val="001145F5"/>
    <w:rsid w:val="00115418"/>
    <w:rsid w:val="00116440"/>
    <w:rsid w:val="00116631"/>
    <w:rsid w:val="00117B3B"/>
    <w:rsid w:val="00117E4A"/>
    <w:rsid w:val="001201BE"/>
    <w:rsid w:val="00120549"/>
    <w:rsid w:val="001205ED"/>
    <w:rsid w:val="00120B3D"/>
    <w:rsid w:val="00121387"/>
    <w:rsid w:val="001225DB"/>
    <w:rsid w:val="0012299D"/>
    <w:rsid w:val="001232B0"/>
    <w:rsid w:val="00123711"/>
    <w:rsid w:val="00123D5B"/>
    <w:rsid w:val="00123FD6"/>
    <w:rsid w:val="001241A7"/>
    <w:rsid w:val="0012455C"/>
    <w:rsid w:val="001246F8"/>
    <w:rsid w:val="001249A0"/>
    <w:rsid w:val="00124A7E"/>
    <w:rsid w:val="00124B28"/>
    <w:rsid w:val="001252F6"/>
    <w:rsid w:val="0012532F"/>
    <w:rsid w:val="001257EB"/>
    <w:rsid w:val="0012597F"/>
    <w:rsid w:val="00125A07"/>
    <w:rsid w:val="00125E52"/>
    <w:rsid w:val="0012623A"/>
    <w:rsid w:val="00126774"/>
    <w:rsid w:val="00126969"/>
    <w:rsid w:val="00126B3E"/>
    <w:rsid w:val="00127130"/>
    <w:rsid w:val="001271E0"/>
    <w:rsid w:val="00127768"/>
    <w:rsid w:val="00130111"/>
    <w:rsid w:val="00130563"/>
    <w:rsid w:val="00130BC8"/>
    <w:rsid w:val="00130DA0"/>
    <w:rsid w:val="001314A0"/>
    <w:rsid w:val="001317A0"/>
    <w:rsid w:val="00132D14"/>
    <w:rsid w:val="00133070"/>
    <w:rsid w:val="001332CD"/>
    <w:rsid w:val="0013337E"/>
    <w:rsid w:val="001333E9"/>
    <w:rsid w:val="00134D04"/>
    <w:rsid w:val="001355FC"/>
    <w:rsid w:val="0013588D"/>
    <w:rsid w:val="00136263"/>
    <w:rsid w:val="001365F3"/>
    <w:rsid w:val="00136959"/>
    <w:rsid w:val="001378F8"/>
    <w:rsid w:val="00137DAD"/>
    <w:rsid w:val="00141174"/>
    <w:rsid w:val="00141ADB"/>
    <w:rsid w:val="00141DB3"/>
    <w:rsid w:val="00141F57"/>
    <w:rsid w:val="00142193"/>
    <w:rsid w:val="001426E2"/>
    <w:rsid w:val="0014298F"/>
    <w:rsid w:val="00142B41"/>
    <w:rsid w:val="00142BF6"/>
    <w:rsid w:val="00142E9D"/>
    <w:rsid w:val="00142FCB"/>
    <w:rsid w:val="0014345B"/>
    <w:rsid w:val="00143AC6"/>
    <w:rsid w:val="001448EE"/>
    <w:rsid w:val="00144C31"/>
    <w:rsid w:val="00145216"/>
    <w:rsid w:val="00146063"/>
    <w:rsid w:val="00146B26"/>
    <w:rsid w:val="00146DA1"/>
    <w:rsid w:val="00146F94"/>
    <w:rsid w:val="0015068E"/>
    <w:rsid w:val="00150FFE"/>
    <w:rsid w:val="0015107D"/>
    <w:rsid w:val="00151119"/>
    <w:rsid w:val="00151900"/>
    <w:rsid w:val="00151A1F"/>
    <w:rsid w:val="00151FA2"/>
    <w:rsid w:val="00152DB0"/>
    <w:rsid w:val="00152F3A"/>
    <w:rsid w:val="0015430A"/>
    <w:rsid w:val="00154975"/>
    <w:rsid w:val="00155B40"/>
    <w:rsid w:val="001566C7"/>
    <w:rsid w:val="00156978"/>
    <w:rsid w:val="00156C57"/>
    <w:rsid w:val="00157635"/>
    <w:rsid w:val="00160889"/>
    <w:rsid w:val="00160A2F"/>
    <w:rsid w:val="00160AF9"/>
    <w:rsid w:val="00160D21"/>
    <w:rsid w:val="001611F3"/>
    <w:rsid w:val="001616F4"/>
    <w:rsid w:val="00161CB4"/>
    <w:rsid w:val="00161CD5"/>
    <w:rsid w:val="00161F04"/>
    <w:rsid w:val="001620BC"/>
    <w:rsid w:val="00162D6D"/>
    <w:rsid w:val="00163075"/>
    <w:rsid w:val="001630FD"/>
    <w:rsid w:val="001632DF"/>
    <w:rsid w:val="0016355C"/>
    <w:rsid w:val="00163866"/>
    <w:rsid w:val="00163916"/>
    <w:rsid w:val="00163A7E"/>
    <w:rsid w:val="00163DEB"/>
    <w:rsid w:val="00164349"/>
    <w:rsid w:val="00164653"/>
    <w:rsid w:val="001650A6"/>
    <w:rsid w:val="00165452"/>
    <w:rsid w:val="00165C9C"/>
    <w:rsid w:val="00165EDF"/>
    <w:rsid w:val="00166139"/>
    <w:rsid w:val="00166178"/>
    <w:rsid w:val="0016661F"/>
    <w:rsid w:val="00166664"/>
    <w:rsid w:val="00166D44"/>
    <w:rsid w:val="001672F2"/>
    <w:rsid w:val="00170041"/>
    <w:rsid w:val="0017005D"/>
    <w:rsid w:val="001703C1"/>
    <w:rsid w:val="0017131C"/>
    <w:rsid w:val="0017154C"/>
    <w:rsid w:val="001716F0"/>
    <w:rsid w:val="00171BB8"/>
    <w:rsid w:val="001730E7"/>
    <w:rsid w:val="001733AD"/>
    <w:rsid w:val="00173548"/>
    <w:rsid w:val="0017358C"/>
    <w:rsid w:val="00174047"/>
    <w:rsid w:val="0017404A"/>
    <w:rsid w:val="001749B3"/>
    <w:rsid w:val="0017507A"/>
    <w:rsid w:val="001755B7"/>
    <w:rsid w:val="00176112"/>
    <w:rsid w:val="00176FD0"/>
    <w:rsid w:val="00177366"/>
    <w:rsid w:val="00177F0B"/>
    <w:rsid w:val="00180065"/>
    <w:rsid w:val="00181384"/>
    <w:rsid w:val="001817E0"/>
    <w:rsid w:val="00181A31"/>
    <w:rsid w:val="00181F23"/>
    <w:rsid w:val="00182BC7"/>
    <w:rsid w:val="00182CD6"/>
    <w:rsid w:val="00184695"/>
    <w:rsid w:val="0018621A"/>
    <w:rsid w:val="00186902"/>
    <w:rsid w:val="00186951"/>
    <w:rsid w:val="00187919"/>
    <w:rsid w:val="0018797F"/>
    <w:rsid w:val="00190099"/>
    <w:rsid w:val="00190BE5"/>
    <w:rsid w:val="001910CD"/>
    <w:rsid w:val="001915CB"/>
    <w:rsid w:val="00191963"/>
    <w:rsid w:val="001919A7"/>
    <w:rsid w:val="001931B1"/>
    <w:rsid w:val="001937CD"/>
    <w:rsid w:val="00193820"/>
    <w:rsid w:val="00193AEE"/>
    <w:rsid w:val="00193B0F"/>
    <w:rsid w:val="00194A99"/>
    <w:rsid w:val="00194F8B"/>
    <w:rsid w:val="00195482"/>
    <w:rsid w:val="00195525"/>
    <w:rsid w:val="0019581C"/>
    <w:rsid w:val="00195F02"/>
    <w:rsid w:val="00196483"/>
    <w:rsid w:val="0019696C"/>
    <w:rsid w:val="00196FB3"/>
    <w:rsid w:val="001971DA"/>
    <w:rsid w:val="0019751F"/>
    <w:rsid w:val="00197521"/>
    <w:rsid w:val="00197A0F"/>
    <w:rsid w:val="001A01B1"/>
    <w:rsid w:val="001A041E"/>
    <w:rsid w:val="001A0B13"/>
    <w:rsid w:val="001A0B63"/>
    <w:rsid w:val="001A0CEB"/>
    <w:rsid w:val="001A0F7C"/>
    <w:rsid w:val="001A1BB6"/>
    <w:rsid w:val="001A205F"/>
    <w:rsid w:val="001A2A13"/>
    <w:rsid w:val="001A3115"/>
    <w:rsid w:val="001A3200"/>
    <w:rsid w:val="001A3528"/>
    <w:rsid w:val="001A3FB7"/>
    <w:rsid w:val="001A3FC0"/>
    <w:rsid w:val="001A4C93"/>
    <w:rsid w:val="001A509A"/>
    <w:rsid w:val="001A5D6B"/>
    <w:rsid w:val="001A6B30"/>
    <w:rsid w:val="001A764F"/>
    <w:rsid w:val="001A78FE"/>
    <w:rsid w:val="001A7F7D"/>
    <w:rsid w:val="001B0241"/>
    <w:rsid w:val="001B051E"/>
    <w:rsid w:val="001B057A"/>
    <w:rsid w:val="001B0586"/>
    <w:rsid w:val="001B0D18"/>
    <w:rsid w:val="001B0F89"/>
    <w:rsid w:val="001B1628"/>
    <w:rsid w:val="001B1775"/>
    <w:rsid w:val="001B1AC6"/>
    <w:rsid w:val="001B1B21"/>
    <w:rsid w:val="001B1B6B"/>
    <w:rsid w:val="001B1ECB"/>
    <w:rsid w:val="001B1F76"/>
    <w:rsid w:val="001B21DD"/>
    <w:rsid w:val="001B2273"/>
    <w:rsid w:val="001B2289"/>
    <w:rsid w:val="001B29B4"/>
    <w:rsid w:val="001B29FE"/>
    <w:rsid w:val="001B2D7E"/>
    <w:rsid w:val="001B2FCC"/>
    <w:rsid w:val="001B36C8"/>
    <w:rsid w:val="001B3CDD"/>
    <w:rsid w:val="001B3F13"/>
    <w:rsid w:val="001B3FEC"/>
    <w:rsid w:val="001B408C"/>
    <w:rsid w:val="001B43AA"/>
    <w:rsid w:val="001B4F16"/>
    <w:rsid w:val="001B50C6"/>
    <w:rsid w:val="001B518C"/>
    <w:rsid w:val="001B5659"/>
    <w:rsid w:val="001B5CE3"/>
    <w:rsid w:val="001B5DFC"/>
    <w:rsid w:val="001B5F80"/>
    <w:rsid w:val="001B62ED"/>
    <w:rsid w:val="001B6747"/>
    <w:rsid w:val="001B6956"/>
    <w:rsid w:val="001B6C85"/>
    <w:rsid w:val="001B6F6D"/>
    <w:rsid w:val="001B7933"/>
    <w:rsid w:val="001B7C40"/>
    <w:rsid w:val="001B7D11"/>
    <w:rsid w:val="001C015D"/>
    <w:rsid w:val="001C02D7"/>
    <w:rsid w:val="001C0365"/>
    <w:rsid w:val="001C0A9B"/>
    <w:rsid w:val="001C0BDC"/>
    <w:rsid w:val="001C18EF"/>
    <w:rsid w:val="001C19D9"/>
    <w:rsid w:val="001C1A53"/>
    <w:rsid w:val="001C1E27"/>
    <w:rsid w:val="001C22F5"/>
    <w:rsid w:val="001C2D0D"/>
    <w:rsid w:val="001C2DFA"/>
    <w:rsid w:val="001C326C"/>
    <w:rsid w:val="001C3428"/>
    <w:rsid w:val="001C3695"/>
    <w:rsid w:val="001C4746"/>
    <w:rsid w:val="001C4940"/>
    <w:rsid w:val="001C505F"/>
    <w:rsid w:val="001C5099"/>
    <w:rsid w:val="001C5CE9"/>
    <w:rsid w:val="001C6769"/>
    <w:rsid w:val="001C6A31"/>
    <w:rsid w:val="001C6A8F"/>
    <w:rsid w:val="001C6D14"/>
    <w:rsid w:val="001C7857"/>
    <w:rsid w:val="001D000A"/>
    <w:rsid w:val="001D0A1F"/>
    <w:rsid w:val="001D0E60"/>
    <w:rsid w:val="001D0EAC"/>
    <w:rsid w:val="001D0F61"/>
    <w:rsid w:val="001D11B0"/>
    <w:rsid w:val="001D1683"/>
    <w:rsid w:val="001D22B2"/>
    <w:rsid w:val="001D3075"/>
    <w:rsid w:val="001D341E"/>
    <w:rsid w:val="001D3DEE"/>
    <w:rsid w:val="001D4332"/>
    <w:rsid w:val="001D49E7"/>
    <w:rsid w:val="001D4AAF"/>
    <w:rsid w:val="001D4C20"/>
    <w:rsid w:val="001D50EE"/>
    <w:rsid w:val="001D535A"/>
    <w:rsid w:val="001D55E5"/>
    <w:rsid w:val="001D5772"/>
    <w:rsid w:val="001D5857"/>
    <w:rsid w:val="001D70B5"/>
    <w:rsid w:val="001D74A7"/>
    <w:rsid w:val="001D753A"/>
    <w:rsid w:val="001D763C"/>
    <w:rsid w:val="001D7C4C"/>
    <w:rsid w:val="001E00D4"/>
    <w:rsid w:val="001E018F"/>
    <w:rsid w:val="001E0DEF"/>
    <w:rsid w:val="001E0FD6"/>
    <w:rsid w:val="001E1409"/>
    <w:rsid w:val="001E1C7B"/>
    <w:rsid w:val="001E1D28"/>
    <w:rsid w:val="001E1E72"/>
    <w:rsid w:val="001E3DD0"/>
    <w:rsid w:val="001E3DED"/>
    <w:rsid w:val="001E4EED"/>
    <w:rsid w:val="001E4F12"/>
    <w:rsid w:val="001E59D1"/>
    <w:rsid w:val="001E5BAF"/>
    <w:rsid w:val="001E5F0F"/>
    <w:rsid w:val="001E638C"/>
    <w:rsid w:val="001E662A"/>
    <w:rsid w:val="001E7AEA"/>
    <w:rsid w:val="001E7B3B"/>
    <w:rsid w:val="001F0220"/>
    <w:rsid w:val="001F0E2A"/>
    <w:rsid w:val="001F0E5F"/>
    <w:rsid w:val="001F15A3"/>
    <w:rsid w:val="001F1E7B"/>
    <w:rsid w:val="001F2163"/>
    <w:rsid w:val="001F2178"/>
    <w:rsid w:val="001F2E1C"/>
    <w:rsid w:val="001F2E25"/>
    <w:rsid w:val="001F3035"/>
    <w:rsid w:val="001F368A"/>
    <w:rsid w:val="001F3C5D"/>
    <w:rsid w:val="001F4045"/>
    <w:rsid w:val="001F4320"/>
    <w:rsid w:val="001F484F"/>
    <w:rsid w:val="001F4D28"/>
    <w:rsid w:val="001F4D91"/>
    <w:rsid w:val="001F4FEE"/>
    <w:rsid w:val="001F545C"/>
    <w:rsid w:val="001F54C8"/>
    <w:rsid w:val="001F5D5F"/>
    <w:rsid w:val="001F6D57"/>
    <w:rsid w:val="001F762E"/>
    <w:rsid w:val="001F7FC3"/>
    <w:rsid w:val="0020002C"/>
    <w:rsid w:val="002000A1"/>
    <w:rsid w:val="002009D0"/>
    <w:rsid w:val="00200DAB"/>
    <w:rsid w:val="00201FE9"/>
    <w:rsid w:val="0020245F"/>
    <w:rsid w:val="00202B9A"/>
    <w:rsid w:val="0020315B"/>
    <w:rsid w:val="002038C2"/>
    <w:rsid w:val="0020394D"/>
    <w:rsid w:val="00203D40"/>
    <w:rsid w:val="00204897"/>
    <w:rsid w:val="00205E5E"/>
    <w:rsid w:val="00206C19"/>
    <w:rsid w:val="00206DAC"/>
    <w:rsid w:val="00207237"/>
    <w:rsid w:val="002076DE"/>
    <w:rsid w:val="0021017B"/>
    <w:rsid w:val="0021028C"/>
    <w:rsid w:val="0021091A"/>
    <w:rsid w:val="002111F9"/>
    <w:rsid w:val="0021134C"/>
    <w:rsid w:val="002121B4"/>
    <w:rsid w:val="00212876"/>
    <w:rsid w:val="00212AD6"/>
    <w:rsid w:val="00212B51"/>
    <w:rsid w:val="00213714"/>
    <w:rsid w:val="00213AB2"/>
    <w:rsid w:val="00213F29"/>
    <w:rsid w:val="0021418B"/>
    <w:rsid w:val="00214929"/>
    <w:rsid w:val="00215040"/>
    <w:rsid w:val="0021553F"/>
    <w:rsid w:val="00215BA5"/>
    <w:rsid w:val="00216112"/>
    <w:rsid w:val="0021639C"/>
    <w:rsid w:val="002165F7"/>
    <w:rsid w:val="00216A8D"/>
    <w:rsid w:val="00216BCB"/>
    <w:rsid w:val="00217B85"/>
    <w:rsid w:val="00220595"/>
    <w:rsid w:val="00221A6E"/>
    <w:rsid w:val="00221BFC"/>
    <w:rsid w:val="00221D57"/>
    <w:rsid w:val="00221E00"/>
    <w:rsid w:val="002221AB"/>
    <w:rsid w:val="00222603"/>
    <w:rsid w:val="002232DB"/>
    <w:rsid w:val="0022338E"/>
    <w:rsid w:val="00223E3A"/>
    <w:rsid w:val="0022459E"/>
    <w:rsid w:val="00225249"/>
    <w:rsid w:val="002252B3"/>
    <w:rsid w:val="002254D4"/>
    <w:rsid w:val="002255FF"/>
    <w:rsid w:val="00225854"/>
    <w:rsid w:val="00225B01"/>
    <w:rsid w:val="00225B63"/>
    <w:rsid w:val="00227141"/>
    <w:rsid w:val="0023000B"/>
    <w:rsid w:val="00230786"/>
    <w:rsid w:val="002309C7"/>
    <w:rsid w:val="00230AC1"/>
    <w:rsid w:val="00230AEF"/>
    <w:rsid w:val="00230DC4"/>
    <w:rsid w:val="00230E24"/>
    <w:rsid w:val="00232157"/>
    <w:rsid w:val="0023277D"/>
    <w:rsid w:val="002327B3"/>
    <w:rsid w:val="00232D99"/>
    <w:rsid w:val="0023365F"/>
    <w:rsid w:val="00234014"/>
    <w:rsid w:val="00234039"/>
    <w:rsid w:val="002343E5"/>
    <w:rsid w:val="00234432"/>
    <w:rsid w:val="002348B0"/>
    <w:rsid w:val="00234C8E"/>
    <w:rsid w:val="00234CC5"/>
    <w:rsid w:val="00234D79"/>
    <w:rsid w:val="00235A11"/>
    <w:rsid w:val="0023665A"/>
    <w:rsid w:val="00236662"/>
    <w:rsid w:val="00236C02"/>
    <w:rsid w:val="002412BF"/>
    <w:rsid w:val="002414A4"/>
    <w:rsid w:val="002424F4"/>
    <w:rsid w:val="00242D2E"/>
    <w:rsid w:val="00242D86"/>
    <w:rsid w:val="00242E52"/>
    <w:rsid w:val="00242F6C"/>
    <w:rsid w:val="00243C1C"/>
    <w:rsid w:val="00244592"/>
    <w:rsid w:val="00244EBE"/>
    <w:rsid w:val="002453A2"/>
    <w:rsid w:val="002455E9"/>
    <w:rsid w:val="002457D0"/>
    <w:rsid w:val="00246264"/>
    <w:rsid w:val="00246618"/>
    <w:rsid w:val="002477FB"/>
    <w:rsid w:val="00247E24"/>
    <w:rsid w:val="002505F7"/>
    <w:rsid w:val="00251127"/>
    <w:rsid w:val="002516A3"/>
    <w:rsid w:val="00252936"/>
    <w:rsid w:val="00252A15"/>
    <w:rsid w:val="00252CAC"/>
    <w:rsid w:val="00253138"/>
    <w:rsid w:val="002538F1"/>
    <w:rsid w:val="00254447"/>
    <w:rsid w:val="002544C4"/>
    <w:rsid w:val="00255246"/>
    <w:rsid w:val="00255424"/>
    <w:rsid w:val="0025552F"/>
    <w:rsid w:val="002557E3"/>
    <w:rsid w:val="00255F4F"/>
    <w:rsid w:val="00256414"/>
    <w:rsid w:val="0025667F"/>
    <w:rsid w:val="0025680F"/>
    <w:rsid w:val="00256DBB"/>
    <w:rsid w:val="00256DBE"/>
    <w:rsid w:val="00256E6E"/>
    <w:rsid w:val="0025743A"/>
    <w:rsid w:val="0025797B"/>
    <w:rsid w:val="00257997"/>
    <w:rsid w:val="00257A93"/>
    <w:rsid w:val="002600D3"/>
    <w:rsid w:val="0026033E"/>
    <w:rsid w:val="002604A2"/>
    <w:rsid w:val="0026061C"/>
    <w:rsid w:val="00261689"/>
    <w:rsid w:val="00261979"/>
    <w:rsid w:val="00261A1A"/>
    <w:rsid w:val="0026221F"/>
    <w:rsid w:val="00262A19"/>
    <w:rsid w:val="00263469"/>
    <w:rsid w:val="002637F8"/>
    <w:rsid w:val="002639F8"/>
    <w:rsid w:val="002644E3"/>
    <w:rsid w:val="00264E0A"/>
    <w:rsid w:val="00265366"/>
    <w:rsid w:val="002654AD"/>
    <w:rsid w:val="002656D4"/>
    <w:rsid w:val="0026602E"/>
    <w:rsid w:val="00266196"/>
    <w:rsid w:val="00266E9F"/>
    <w:rsid w:val="00267732"/>
    <w:rsid w:val="00270326"/>
    <w:rsid w:val="00270C6A"/>
    <w:rsid w:val="00270EF1"/>
    <w:rsid w:val="002711E1"/>
    <w:rsid w:val="00271564"/>
    <w:rsid w:val="002718CF"/>
    <w:rsid w:val="0027195B"/>
    <w:rsid w:val="002719F1"/>
    <w:rsid w:val="00271B80"/>
    <w:rsid w:val="00271E25"/>
    <w:rsid w:val="00271FC5"/>
    <w:rsid w:val="0027229B"/>
    <w:rsid w:val="002725FF"/>
    <w:rsid w:val="0027304D"/>
    <w:rsid w:val="00273392"/>
    <w:rsid w:val="002737C6"/>
    <w:rsid w:val="0027388E"/>
    <w:rsid w:val="002739D4"/>
    <w:rsid w:val="00273B19"/>
    <w:rsid w:val="00273C99"/>
    <w:rsid w:val="00273CD9"/>
    <w:rsid w:val="002740B7"/>
    <w:rsid w:val="00274494"/>
    <w:rsid w:val="0027485A"/>
    <w:rsid w:val="00274DF5"/>
    <w:rsid w:val="00275D63"/>
    <w:rsid w:val="00275DD4"/>
    <w:rsid w:val="00275F32"/>
    <w:rsid w:val="00275F47"/>
    <w:rsid w:val="002770B3"/>
    <w:rsid w:val="00277462"/>
    <w:rsid w:val="002775F1"/>
    <w:rsid w:val="00277B51"/>
    <w:rsid w:val="00277E4D"/>
    <w:rsid w:val="00280092"/>
    <w:rsid w:val="00280D70"/>
    <w:rsid w:val="00280EA0"/>
    <w:rsid w:val="002810F8"/>
    <w:rsid w:val="00281581"/>
    <w:rsid w:val="002830D4"/>
    <w:rsid w:val="0028345D"/>
    <w:rsid w:val="00283ED1"/>
    <w:rsid w:val="00283F87"/>
    <w:rsid w:val="00283F8D"/>
    <w:rsid w:val="00284091"/>
    <w:rsid w:val="00284DBB"/>
    <w:rsid w:val="0028524D"/>
    <w:rsid w:val="00285B80"/>
    <w:rsid w:val="00285DB5"/>
    <w:rsid w:val="002862BB"/>
    <w:rsid w:val="0028712A"/>
    <w:rsid w:val="00287460"/>
    <w:rsid w:val="002876A8"/>
    <w:rsid w:val="00287BE6"/>
    <w:rsid w:val="00290125"/>
    <w:rsid w:val="0029076A"/>
    <w:rsid w:val="00290DF9"/>
    <w:rsid w:val="002913B1"/>
    <w:rsid w:val="002913D3"/>
    <w:rsid w:val="0029184B"/>
    <w:rsid w:val="00291B0C"/>
    <w:rsid w:val="002920F8"/>
    <w:rsid w:val="002920FD"/>
    <w:rsid w:val="002925CA"/>
    <w:rsid w:val="002928D2"/>
    <w:rsid w:val="0029315C"/>
    <w:rsid w:val="002940F2"/>
    <w:rsid w:val="00294D84"/>
    <w:rsid w:val="002952D2"/>
    <w:rsid w:val="00295D61"/>
    <w:rsid w:val="00295E7C"/>
    <w:rsid w:val="00296DD6"/>
    <w:rsid w:val="00296F1D"/>
    <w:rsid w:val="00297A03"/>
    <w:rsid w:val="00297B0A"/>
    <w:rsid w:val="00297CED"/>
    <w:rsid w:val="002A0A28"/>
    <w:rsid w:val="002A23B2"/>
    <w:rsid w:val="002A2BA9"/>
    <w:rsid w:val="002A2BBB"/>
    <w:rsid w:val="002A3021"/>
    <w:rsid w:val="002A3A93"/>
    <w:rsid w:val="002A3ABA"/>
    <w:rsid w:val="002A487B"/>
    <w:rsid w:val="002A4889"/>
    <w:rsid w:val="002A4912"/>
    <w:rsid w:val="002A51F8"/>
    <w:rsid w:val="002A5245"/>
    <w:rsid w:val="002A536F"/>
    <w:rsid w:val="002A60FD"/>
    <w:rsid w:val="002A616A"/>
    <w:rsid w:val="002A6357"/>
    <w:rsid w:val="002A6424"/>
    <w:rsid w:val="002A6E90"/>
    <w:rsid w:val="002A7907"/>
    <w:rsid w:val="002B0DEE"/>
    <w:rsid w:val="002B0EF6"/>
    <w:rsid w:val="002B19F5"/>
    <w:rsid w:val="002B2D67"/>
    <w:rsid w:val="002B2D75"/>
    <w:rsid w:val="002B2F45"/>
    <w:rsid w:val="002B387B"/>
    <w:rsid w:val="002B3F98"/>
    <w:rsid w:val="002B42CA"/>
    <w:rsid w:val="002B5057"/>
    <w:rsid w:val="002B616D"/>
    <w:rsid w:val="002B6A55"/>
    <w:rsid w:val="002B6C0C"/>
    <w:rsid w:val="002B6C4C"/>
    <w:rsid w:val="002B6C74"/>
    <w:rsid w:val="002B7057"/>
    <w:rsid w:val="002B7214"/>
    <w:rsid w:val="002C0688"/>
    <w:rsid w:val="002C0B39"/>
    <w:rsid w:val="002C0F03"/>
    <w:rsid w:val="002C2D5B"/>
    <w:rsid w:val="002C2DE0"/>
    <w:rsid w:val="002C383D"/>
    <w:rsid w:val="002C390E"/>
    <w:rsid w:val="002C3988"/>
    <w:rsid w:val="002C39B2"/>
    <w:rsid w:val="002C46B0"/>
    <w:rsid w:val="002C4AFC"/>
    <w:rsid w:val="002C4BCB"/>
    <w:rsid w:val="002C4EA5"/>
    <w:rsid w:val="002C4EBE"/>
    <w:rsid w:val="002C5DF5"/>
    <w:rsid w:val="002C6A1D"/>
    <w:rsid w:val="002D031F"/>
    <w:rsid w:val="002D07BF"/>
    <w:rsid w:val="002D0801"/>
    <w:rsid w:val="002D08D1"/>
    <w:rsid w:val="002D0BBA"/>
    <w:rsid w:val="002D0BFB"/>
    <w:rsid w:val="002D13F1"/>
    <w:rsid w:val="002D1699"/>
    <w:rsid w:val="002D1767"/>
    <w:rsid w:val="002D18A4"/>
    <w:rsid w:val="002D206F"/>
    <w:rsid w:val="002D22A7"/>
    <w:rsid w:val="002D2385"/>
    <w:rsid w:val="002D3791"/>
    <w:rsid w:val="002D398B"/>
    <w:rsid w:val="002D3DE9"/>
    <w:rsid w:val="002D4349"/>
    <w:rsid w:val="002D4A38"/>
    <w:rsid w:val="002D5CC3"/>
    <w:rsid w:val="002D65E8"/>
    <w:rsid w:val="002D696B"/>
    <w:rsid w:val="002D7491"/>
    <w:rsid w:val="002D7A47"/>
    <w:rsid w:val="002E130B"/>
    <w:rsid w:val="002E153C"/>
    <w:rsid w:val="002E156E"/>
    <w:rsid w:val="002E17FE"/>
    <w:rsid w:val="002E19EC"/>
    <w:rsid w:val="002E1A22"/>
    <w:rsid w:val="002E1F90"/>
    <w:rsid w:val="002E204A"/>
    <w:rsid w:val="002E2B23"/>
    <w:rsid w:val="002E4664"/>
    <w:rsid w:val="002E46A1"/>
    <w:rsid w:val="002E4934"/>
    <w:rsid w:val="002E4CBB"/>
    <w:rsid w:val="002E4F4D"/>
    <w:rsid w:val="002E50DA"/>
    <w:rsid w:val="002E5717"/>
    <w:rsid w:val="002E5AB0"/>
    <w:rsid w:val="002E7D3C"/>
    <w:rsid w:val="002E7DC3"/>
    <w:rsid w:val="002F0B21"/>
    <w:rsid w:val="002F174B"/>
    <w:rsid w:val="002F17F1"/>
    <w:rsid w:val="002F1BDF"/>
    <w:rsid w:val="002F1BED"/>
    <w:rsid w:val="002F2153"/>
    <w:rsid w:val="002F292E"/>
    <w:rsid w:val="002F2EF0"/>
    <w:rsid w:val="002F2F62"/>
    <w:rsid w:val="002F34DE"/>
    <w:rsid w:val="002F3957"/>
    <w:rsid w:val="002F3CB0"/>
    <w:rsid w:val="002F4C2F"/>
    <w:rsid w:val="002F4F3B"/>
    <w:rsid w:val="002F5ACF"/>
    <w:rsid w:val="002F5B33"/>
    <w:rsid w:val="002F67C7"/>
    <w:rsid w:val="002F79A5"/>
    <w:rsid w:val="002F79F2"/>
    <w:rsid w:val="003016AD"/>
    <w:rsid w:val="00301780"/>
    <w:rsid w:val="003019E9"/>
    <w:rsid w:val="00301DF0"/>
    <w:rsid w:val="00301E4D"/>
    <w:rsid w:val="00301F5C"/>
    <w:rsid w:val="003023E7"/>
    <w:rsid w:val="00302492"/>
    <w:rsid w:val="00302688"/>
    <w:rsid w:val="0030298A"/>
    <w:rsid w:val="00303596"/>
    <w:rsid w:val="00303923"/>
    <w:rsid w:val="00303B4D"/>
    <w:rsid w:val="00303B70"/>
    <w:rsid w:val="00303FFD"/>
    <w:rsid w:val="00304400"/>
    <w:rsid w:val="003044EC"/>
    <w:rsid w:val="00304BFC"/>
    <w:rsid w:val="00304CC3"/>
    <w:rsid w:val="00304CD1"/>
    <w:rsid w:val="00304E52"/>
    <w:rsid w:val="0030530E"/>
    <w:rsid w:val="00305504"/>
    <w:rsid w:val="003062E1"/>
    <w:rsid w:val="00306337"/>
    <w:rsid w:val="00306515"/>
    <w:rsid w:val="00306EF5"/>
    <w:rsid w:val="00306F5E"/>
    <w:rsid w:val="00307116"/>
    <w:rsid w:val="00307DD6"/>
    <w:rsid w:val="003105C7"/>
    <w:rsid w:val="00310650"/>
    <w:rsid w:val="00310A08"/>
    <w:rsid w:val="003112FD"/>
    <w:rsid w:val="003118F0"/>
    <w:rsid w:val="0031196E"/>
    <w:rsid w:val="00311CAE"/>
    <w:rsid w:val="003122E6"/>
    <w:rsid w:val="003129BF"/>
    <w:rsid w:val="00312B28"/>
    <w:rsid w:val="00313547"/>
    <w:rsid w:val="003135A8"/>
    <w:rsid w:val="003135E1"/>
    <w:rsid w:val="00314069"/>
    <w:rsid w:val="003142C6"/>
    <w:rsid w:val="00314EF3"/>
    <w:rsid w:val="00315388"/>
    <w:rsid w:val="00315AD8"/>
    <w:rsid w:val="00315C1B"/>
    <w:rsid w:val="003163B7"/>
    <w:rsid w:val="00316B47"/>
    <w:rsid w:val="00317C1F"/>
    <w:rsid w:val="00317D45"/>
    <w:rsid w:val="00320043"/>
    <w:rsid w:val="0032081D"/>
    <w:rsid w:val="003215D6"/>
    <w:rsid w:val="0032250F"/>
    <w:rsid w:val="00322E58"/>
    <w:rsid w:val="0032306D"/>
    <w:rsid w:val="00323421"/>
    <w:rsid w:val="003235C3"/>
    <w:rsid w:val="003236F8"/>
    <w:rsid w:val="00323A27"/>
    <w:rsid w:val="00323D9E"/>
    <w:rsid w:val="00324A1C"/>
    <w:rsid w:val="00324C47"/>
    <w:rsid w:val="00326BDE"/>
    <w:rsid w:val="00326CB3"/>
    <w:rsid w:val="003275D6"/>
    <w:rsid w:val="00327757"/>
    <w:rsid w:val="00327AA2"/>
    <w:rsid w:val="003300CA"/>
    <w:rsid w:val="00330449"/>
    <w:rsid w:val="0033055E"/>
    <w:rsid w:val="003309BB"/>
    <w:rsid w:val="00330A17"/>
    <w:rsid w:val="00330C44"/>
    <w:rsid w:val="00330E73"/>
    <w:rsid w:val="003317BE"/>
    <w:rsid w:val="00331823"/>
    <w:rsid w:val="00332704"/>
    <w:rsid w:val="00332ECC"/>
    <w:rsid w:val="003331D2"/>
    <w:rsid w:val="00333456"/>
    <w:rsid w:val="00333490"/>
    <w:rsid w:val="00333E12"/>
    <w:rsid w:val="00333F4A"/>
    <w:rsid w:val="003343CF"/>
    <w:rsid w:val="00334B74"/>
    <w:rsid w:val="00334EFA"/>
    <w:rsid w:val="00335ADD"/>
    <w:rsid w:val="00335B9D"/>
    <w:rsid w:val="00335F83"/>
    <w:rsid w:val="0033639F"/>
    <w:rsid w:val="00336C4E"/>
    <w:rsid w:val="00336E1A"/>
    <w:rsid w:val="003376A5"/>
    <w:rsid w:val="00337D53"/>
    <w:rsid w:val="00337FD9"/>
    <w:rsid w:val="00340617"/>
    <w:rsid w:val="00340E80"/>
    <w:rsid w:val="00341BE6"/>
    <w:rsid w:val="003422E5"/>
    <w:rsid w:val="00342AAA"/>
    <w:rsid w:val="00342BE3"/>
    <w:rsid w:val="00343CA6"/>
    <w:rsid w:val="00344286"/>
    <w:rsid w:val="00344552"/>
    <w:rsid w:val="0034548F"/>
    <w:rsid w:val="003454EC"/>
    <w:rsid w:val="00346C2F"/>
    <w:rsid w:val="00346CD3"/>
    <w:rsid w:val="00346E0E"/>
    <w:rsid w:val="00347846"/>
    <w:rsid w:val="00347CDE"/>
    <w:rsid w:val="003503C4"/>
    <w:rsid w:val="00350407"/>
    <w:rsid w:val="00350E9F"/>
    <w:rsid w:val="00351230"/>
    <w:rsid w:val="00351323"/>
    <w:rsid w:val="003518DC"/>
    <w:rsid w:val="00351B0C"/>
    <w:rsid w:val="00352E85"/>
    <w:rsid w:val="003531EC"/>
    <w:rsid w:val="003534F6"/>
    <w:rsid w:val="00354079"/>
    <w:rsid w:val="0035469D"/>
    <w:rsid w:val="003548EB"/>
    <w:rsid w:val="00354D18"/>
    <w:rsid w:val="003553E8"/>
    <w:rsid w:val="003558F4"/>
    <w:rsid w:val="00355E0E"/>
    <w:rsid w:val="003560B1"/>
    <w:rsid w:val="00356328"/>
    <w:rsid w:val="003565B3"/>
    <w:rsid w:val="00357059"/>
    <w:rsid w:val="003577CD"/>
    <w:rsid w:val="00357E12"/>
    <w:rsid w:val="00360198"/>
    <w:rsid w:val="003606B6"/>
    <w:rsid w:val="003608F8"/>
    <w:rsid w:val="00360CAC"/>
    <w:rsid w:val="0036113E"/>
    <w:rsid w:val="003619BB"/>
    <w:rsid w:val="00362058"/>
    <w:rsid w:val="003620A3"/>
    <w:rsid w:val="0036252D"/>
    <w:rsid w:val="00362A66"/>
    <w:rsid w:val="00362A9F"/>
    <w:rsid w:val="00362ABF"/>
    <w:rsid w:val="00362D6E"/>
    <w:rsid w:val="00362EDB"/>
    <w:rsid w:val="00363570"/>
    <w:rsid w:val="00363957"/>
    <w:rsid w:val="00363A91"/>
    <w:rsid w:val="00363BE7"/>
    <w:rsid w:val="00364211"/>
    <w:rsid w:val="003644EE"/>
    <w:rsid w:val="00364C29"/>
    <w:rsid w:val="0036561A"/>
    <w:rsid w:val="0036578A"/>
    <w:rsid w:val="00365CCC"/>
    <w:rsid w:val="0036620E"/>
    <w:rsid w:val="00366B96"/>
    <w:rsid w:val="00366BA1"/>
    <w:rsid w:val="00366CFC"/>
    <w:rsid w:val="00366E29"/>
    <w:rsid w:val="00366F20"/>
    <w:rsid w:val="00367805"/>
    <w:rsid w:val="00367964"/>
    <w:rsid w:val="00367BB5"/>
    <w:rsid w:val="003704D9"/>
    <w:rsid w:val="0037059D"/>
    <w:rsid w:val="00371AA5"/>
    <w:rsid w:val="00371C35"/>
    <w:rsid w:val="0037207E"/>
    <w:rsid w:val="003720CA"/>
    <w:rsid w:val="0037455B"/>
    <w:rsid w:val="00374711"/>
    <w:rsid w:val="00374EAE"/>
    <w:rsid w:val="003754D1"/>
    <w:rsid w:val="003754E1"/>
    <w:rsid w:val="00375913"/>
    <w:rsid w:val="003759A3"/>
    <w:rsid w:val="00376453"/>
    <w:rsid w:val="0037676D"/>
    <w:rsid w:val="00376F47"/>
    <w:rsid w:val="00377F78"/>
    <w:rsid w:val="003803B2"/>
    <w:rsid w:val="003803F0"/>
    <w:rsid w:val="00380DA1"/>
    <w:rsid w:val="003815BE"/>
    <w:rsid w:val="00381FB7"/>
    <w:rsid w:val="00382430"/>
    <w:rsid w:val="0038261C"/>
    <w:rsid w:val="00382761"/>
    <w:rsid w:val="003833CE"/>
    <w:rsid w:val="00383BFF"/>
    <w:rsid w:val="00383C18"/>
    <w:rsid w:val="00383E9C"/>
    <w:rsid w:val="003842CA"/>
    <w:rsid w:val="0038440B"/>
    <w:rsid w:val="00384D18"/>
    <w:rsid w:val="0038507A"/>
    <w:rsid w:val="003851B1"/>
    <w:rsid w:val="003855F2"/>
    <w:rsid w:val="00385684"/>
    <w:rsid w:val="00385727"/>
    <w:rsid w:val="00385740"/>
    <w:rsid w:val="00385A5F"/>
    <w:rsid w:val="00385DAB"/>
    <w:rsid w:val="003862A2"/>
    <w:rsid w:val="00386743"/>
    <w:rsid w:val="00386A91"/>
    <w:rsid w:val="00386D5E"/>
    <w:rsid w:val="003873F9"/>
    <w:rsid w:val="00387491"/>
    <w:rsid w:val="003900B1"/>
    <w:rsid w:val="0039010A"/>
    <w:rsid w:val="00390F2D"/>
    <w:rsid w:val="00391130"/>
    <w:rsid w:val="00391A83"/>
    <w:rsid w:val="00391A8A"/>
    <w:rsid w:val="00391C48"/>
    <w:rsid w:val="00392572"/>
    <w:rsid w:val="00393012"/>
    <w:rsid w:val="00393C52"/>
    <w:rsid w:val="003941FF"/>
    <w:rsid w:val="00394D7C"/>
    <w:rsid w:val="0039542B"/>
    <w:rsid w:val="003959C4"/>
    <w:rsid w:val="00395C62"/>
    <w:rsid w:val="00395CFA"/>
    <w:rsid w:val="00396362"/>
    <w:rsid w:val="00396505"/>
    <w:rsid w:val="003965C2"/>
    <w:rsid w:val="003969F9"/>
    <w:rsid w:val="00396D67"/>
    <w:rsid w:val="00397289"/>
    <w:rsid w:val="00397962"/>
    <w:rsid w:val="00397CC8"/>
    <w:rsid w:val="00397F20"/>
    <w:rsid w:val="00397FC1"/>
    <w:rsid w:val="003A0227"/>
    <w:rsid w:val="003A0923"/>
    <w:rsid w:val="003A0B87"/>
    <w:rsid w:val="003A12DA"/>
    <w:rsid w:val="003A1746"/>
    <w:rsid w:val="003A2067"/>
    <w:rsid w:val="003A262E"/>
    <w:rsid w:val="003A2C53"/>
    <w:rsid w:val="003A31D7"/>
    <w:rsid w:val="003A3284"/>
    <w:rsid w:val="003A3E44"/>
    <w:rsid w:val="003A3E65"/>
    <w:rsid w:val="003A401A"/>
    <w:rsid w:val="003A50AD"/>
    <w:rsid w:val="003A53B6"/>
    <w:rsid w:val="003A604F"/>
    <w:rsid w:val="003A6693"/>
    <w:rsid w:val="003A6F11"/>
    <w:rsid w:val="003A6F7A"/>
    <w:rsid w:val="003A6F90"/>
    <w:rsid w:val="003A74E3"/>
    <w:rsid w:val="003B0768"/>
    <w:rsid w:val="003B0BB9"/>
    <w:rsid w:val="003B13E6"/>
    <w:rsid w:val="003B14C1"/>
    <w:rsid w:val="003B154C"/>
    <w:rsid w:val="003B1DE6"/>
    <w:rsid w:val="003B1E05"/>
    <w:rsid w:val="003B1FE1"/>
    <w:rsid w:val="003B24C1"/>
    <w:rsid w:val="003B2AAB"/>
    <w:rsid w:val="003B2DF7"/>
    <w:rsid w:val="003B2E61"/>
    <w:rsid w:val="003B3DD3"/>
    <w:rsid w:val="003B4075"/>
    <w:rsid w:val="003B417F"/>
    <w:rsid w:val="003B4A34"/>
    <w:rsid w:val="003B5C36"/>
    <w:rsid w:val="003B5E29"/>
    <w:rsid w:val="003B64B6"/>
    <w:rsid w:val="003B65C5"/>
    <w:rsid w:val="003B670A"/>
    <w:rsid w:val="003B6B53"/>
    <w:rsid w:val="003B6C9B"/>
    <w:rsid w:val="003B74D1"/>
    <w:rsid w:val="003B7943"/>
    <w:rsid w:val="003C0134"/>
    <w:rsid w:val="003C013F"/>
    <w:rsid w:val="003C092F"/>
    <w:rsid w:val="003C0A5D"/>
    <w:rsid w:val="003C0AE6"/>
    <w:rsid w:val="003C0EAD"/>
    <w:rsid w:val="003C149D"/>
    <w:rsid w:val="003C157D"/>
    <w:rsid w:val="003C20E1"/>
    <w:rsid w:val="003C21E2"/>
    <w:rsid w:val="003C23A2"/>
    <w:rsid w:val="003C24A0"/>
    <w:rsid w:val="003C2581"/>
    <w:rsid w:val="003C3476"/>
    <w:rsid w:val="003C34C1"/>
    <w:rsid w:val="003C38F3"/>
    <w:rsid w:val="003C4CC3"/>
    <w:rsid w:val="003C4E37"/>
    <w:rsid w:val="003C5F9A"/>
    <w:rsid w:val="003C61C8"/>
    <w:rsid w:val="003C6522"/>
    <w:rsid w:val="003C6614"/>
    <w:rsid w:val="003C6DA9"/>
    <w:rsid w:val="003C7971"/>
    <w:rsid w:val="003C7B96"/>
    <w:rsid w:val="003C7D98"/>
    <w:rsid w:val="003C7FB9"/>
    <w:rsid w:val="003C7FDC"/>
    <w:rsid w:val="003D04F8"/>
    <w:rsid w:val="003D0674"/>
    <w:rsid w:val="003D0AE1"/>
    <w:rsid w:val="003D0EE4"/>
    <w:rsid w:val="003D143C"/>
    <w:rsid w:val="003D2D18"/>
    <w:rsid w:val="003D31E3"/>
    <w:rsid w:val="003D3435"/>
    <w:rsid w:val="003D3636"/>
    <w:rsid w:val="003D395B"/>
    <w:rsid w:val="003D44D2"/>
    <w:rsid w:val="003D4955"/>
    <w:rsid w:val="003D51E9"/>
    <w:rsid w:val="003D5412"/>
    <w:rsid w:val="003D5CF6"/>
    <w:rsid w:val="003D631A"/>
    <w:rsid w:val="003D696D"/>
    <w:rsid w:val="003E1562"/>
    <w:rsid w:val="003E1C3C"/>
    <w:rsid w:val="003E1FF0"/>
    <w:rsid w:val="003E377F"/>
    <w:rsid w:val="003E39D6"/>
    <w:rsid w:val="003E3ACF"/>
    <w:rsid w:val="003E3B8A"/>
    <w:rsid w:val="003E3D32"/>
    <w:rsid w:val="003E3FBF"/>
    <w:rsid w:val="003E4334"/>
    <w:rsid w:val="003E43BB"/>
    <w:rsid w:val="003E4BA6"/>
    <w:rsid w:val="003E546F"/>
    <w:rsid w:val="003E58B5"/>
    <w:rsid w:val="003E6721"/>
    <w:rsid w:val="003E6C69"/>
    <w:rsid w:val="003E7263"/>
    <w:rsid w:val="003E7822"/>
    <w:rsid w:val="003E7E69"/>
    <w:rsid w:val="003E7FB3"/>
    <w:rsid w:val="003F0440"/>
    <w:rsid w:val="003F0479"/>
    <w:rsid w:val="003F05E0"/>
    <w:rsid w:val="003F0822"/>
    <w:rsid w:val="003F0958"/>
    <w:rsid w:val="003F0D2F"/>
    <w:rsid w:val="003F1129"/>
    <w:rsid w:val="003F1480"/>
    <w:rsid w:val="003F18DF"/>
    <w:rsid w:val="003F1DCB"/>
    <w:rsid w:val="003F22D9"/>
    <w:rsid w:val="003F262C"/>
    <w:rsid w:val="003F3141"/>
    <w:rsid w:val="003F3507"/>
    <w:rsid w:val="003F375F"/>
    <w:rsid w:val="003F411D"/>
    <w:rsid w:val="003F4F4A"/>
    <w:rsid w:val="003F5666"/>
    <w:rsid w:val="003F57F5"/>
    <w:rsid w:val="003F5B08"/>
    <w:rsid w:val="003F5D9E"/>
    <w:rsid w:val="003F761B"/>
    <w:rsid w:val="003F7707"/>
    <w:rsid w:val="003F7F13"/>
    <w:rsid w:val="004004A7"/>
    <w:rsid w:val="00400FE0"/>
    <w:rsid w:val="004015BE"/>
    <w:rsid w:val="004019C8"/>
    <w:rsid w:val="00401FAA"/>
    <w:rsid w:val="0040211C"/>
    <w:rsid w:val="004023A7"/>
    <w:rsid w:val="0040266B"/>
    <w:rsid w:val="00402D72"/>
    <w:rsid w:val="00402DEF"/>
    <w:rsid w:val="00402E2E"/>
    <w:rsid w:val="0040304A"/>
    <w:rsid w:val="004034C5"/>
    <w:rsid w:val="004039B0"/>
    <w:rsid w:val="00403D60"/>
    <w:rsid w:val="00404094"/>
    <w:rsid w:val="00404184"/>
    <w:rsid w:val="0040443D"/>
    <w:rsid w:val="00404A87"/>
    <w:rsid w:val="00404B91"/>
    <w:rsid w:val="00405065"/>
    <w:rsid w:val="004053DF"/>
    <w:rsid w:val="0040558C"/>
    <w:rsid w:val="00405D90"/>
    <w:rsid w:val="00405DC8"/>
    <w:rsid w:val="00405F82"/>
    <w:rsid w:val="00406837"/>
    <w:rsid w:val="00406B83"/>
    <w:rsid w:val="00406EC3"/>
    <w:rsid w:val="0040772C"/>
    <w:rsid w:val="00407770"/>
    <w:rsid w:val="004078EC"/>
    <w:rsid w:val="00407C3B"/>
    <w:rsid w:val="00410091"/>
    <w:rsid w:val="00410141"/>
    <w:rsid w:val="00411A8B"/>
    <w:rsid w:val="00412149"/>
    <w:rsid w:val="0041217C"/>
    <w:rsid w:val="00412524"/>
    <w:rsid w:val="0041287D"/>
    <w:rsid w:val="00413A8B"/>
    <w:rsid w:val="00414811"/>
    <w:rsid w:val="0041495E"/>
    <w:rsid w:val="00414B86"/>
    <w:rsid w:val="0041509A"/>
    <w:rsid w:val="00415145"/>
    <w:rsid w:val="0041525A"/>
    <w:rsid w:val="00415697"/>
    <w:rsid w:val="00415727"/>
    <w:rsid w:val="00415DEE"/>
    <w:rsid w:val="0041602C"/>
    <w:rsid w:val="004163EC"/>
    <w:rsid w:val="00416F5A"/>
    <w:rsid w:val="00416F6B"/>
    <w:rsid w:val="004170C8"/>
    <w:rsid w:val="00417376"/>
    <w:rsid w:val="00417DC3"/>
    <w:rsid w:val="00420181"/>
    <w:rsid w:val="00420464"/>
    <w:rsid w:val="00420982"/>
    <w:rsid w:val="00420DFE"/>
    <w:rsid w:val="00422496"/>
    <w:rsid w:val="00422953"/>
    <w:rsid w:val="00423236"/>
    <w:rsid w:val="00424379"/>
    <w:rsid w:val="004244B1"/>
    <w:rsid w:val="00424D8F"/>
    <w:rsid w:val="004252C3"/>
    <w:rsid w:val="004253D2"/>
    <w:rsid w:val="004260D7"/>
    <w:rsid w:val="004263C0"/>
    <w:rsid w:val="00426F4A"/>
    <w:rsid w:val="004272AC"/>
    <w:rsid w:val="004273E9"/>
    <w:rsid w:val="00427E92"/>
    <w:rsid w:val="00430029"/>
    <w:rsid w:val="00430595"/>
    <w:rsid w:val="00431288"/>
    <w:rsid w:val="00431355"/>
    <w:rsid w:val="004318CD"/>
    <w:rsid w:val="00431DC2"/>
    <w:rsid w:val="00432106"/>
    <w:rsid w:val="00432151"/>
    <w:rsid w:val="004328E1"/>
    <w:rsid w:val="00432A6B"/>
    <w:rsid w:val="00432DCE"/>
    <w:rsid w:val="00435110"/>
    <w:rsid w:val="0043589B"/>
    <w:rsid w:val="00436465"/>
    <w:rsid w:val="004379F9"/>
    <w:rsid w:val="00440228"/>
    <w:rsid w:val="00440462"/>
    <w:rsid w:val="00440848"/>
    <w:rsid w:val="00440C4A"/>
    <w:rsid w:val="00441C81"/>
    <w:rsid w:val="00441D24"/>
    <w:rsid w:val="00442463"/>
    <w:rsid w:val="0044341C"/>
    <w:rsid w:val="004437E1"/>
    <w:rsid w:val="00443E00"/>
    <w:rsid w:val="004447C8"/>
    <w:rsid w:val="00444890"/>
    <w:rsid w:val="00444F27"/>
    <w:rsid w:val="00444F38"/>
    <w:rsid w:val="00445051"/>
    <w:rsid w:val="00446032"/>
    <w:rsid w:val="004464B2"/>
    <w:rsid w:val="004471DF"/>
    <w:rsid w:val="00447313"/>
    <w:rsid w:val="0044761A"/>
    <w:rsid w:val="00447774"/>
    <w:rsid w:val="00450434"/>
    <w:rsid w:val="0045046D"/>
    <w:rsid w:val="004509E1"/>
    <w:rsid w:val="00450B23"/>
    <w:rsid w:val="00450F26"/>
    <w:rsid w:val="0045172A"/>
    <w:rsid w:val="00452314"/>
    <w:rsid w:val="00452D9D"/>
    <w:rsid w:val="00453092"/>
    <w:rsid w:val="00453703"/>
    <w:rsid w:val="00453A8F"/>
    <w:rsid w:val="00453CBD"/>
    <w:rsid w:val="00453F49"/>
    <w:rsid w:val="00453FE7"/>
    <w:rsid w:val="0045513D"/>
    <w:rsid w:val="00455EAC"/>
    <w:rsid w:val="00456101"/>
    <w:rsid w:val="0045628B"/>
    <w:rsid w:val="00456737"/>
    <w:rsid w:val="0045723D"/>
    <w:rsid w:val="00457621"/>
    <w:rsid w:val="00457721"/>
    <w:rsid w:val="00457D7F"/>
    <w:rsid w:val="004604AB"/>
    <w:rsid w:val="00460DF5"/>
    <w:rsid w:val="00461D89"/>
    <w:rsid w:val="00461DB3"/>
    <w:rsid w:val="00461FF7"/>
    <w:rsid w:val="0046228C"/>
    <w:rsid w:val="00462A57"/>
    <w:rsid w:val="00463461"/>
    <w:rsid w:val="00463BE1"/>
    <w:rsid w:val="00463C94"/>
    <w:rsid w:val="00463E81"/>
    <w:rsid w:val="004640AD"/>
    <w:rsid w:val="004640BB"/>
    <w:rsid w:val="0046459C"/>
    <w:rsid w:val="004655EA"/>
    <w:rsid w:val="004658C4"/>
    <w:rsid w:val="00466570"/>
    <w:rsid w:val="00466ADF"/>
    <w:rsid w:val="00466FE1"/>
    <w:rsid w:val="0046721A"/>
    <w:rsid w:val="00467804"/>
    <w:rsid w:val="00467B7F"/>
    <w:rsid w:val="00470475"/>
    <w:rsid w:val="00470B57"/>
    <w:rsid w:val="00470B65"/>
    <w:rsid w:val="00470CA2"/>
    <w:rsid w:val="00471479"/>
    <w:rsid w:val="00471F9E"/>
    <w:rsid w:val="00472125"/>
    <w:rsid w:val="004728A5"/>
    <w:rsid w:val="00472B29"/>
    <w:rsid w:val="00472C91"/>
    <w:rsid w:val="00474367"/>
    <w:rsid w:val="00474558"/>
    <w:rsid w:val="00474761"/>
    <w:rsid w:val="0047527C"/>
    <w:rsid w:val="0047658C"/>
    <w:rsid w:val="00476711"/>
    <w:rsid w:val="0047674D"/>
    <w:rsid w:val="00477A18"/>
    <w:rsid w:val="00477B56"/>
    <w:rsid w:val="00477C1E"/>
    <w:rsid w:val="00477C81"/>
    <w:rsid w:val="00477F60"/>
    <w:rsid w:val="00480B79"/>
    <w:rsid w:val="0048188F"/>
    <w:rsid w:val="00481B89"/>
    <w:rsid w:val="00482C7C"/>
    <w:rsid w:val="00482D8E"/>
    <w:rsid w:val="00482F76"/>
    <w:rsid w:val="004836CA"/>
    <w:rsid w:val="0048376F"/>
    <w:rsid w:val="004837EE"/>
    <w:rsid w:val="004838B7"/>
    <w:rsid w:val="00483A54"/>
    <w:rsid w:val="00483E2F"/>
    <w:rsid w:val="00484473"/>
    <w:rsid w:val="00484F1F"/>
    <w:rsid w:val="00485837"/>
    <w:rsid w:val="00485851"/>
    <w:rsid w:val="00485AEA"/>
    <w:rsid w:val="00485F5E"/>
    <w:rsid w:val="004865A6"/>
    <w:rsid w:val="004869FC"/>
    <w:rsid w:val="00486A75"/>
    <w:rsid w:val="00486E5F"/>
    <w:rsid w:val="00486F43"/>
    <w:rsid w:val="00487B10"/>
    <w:rsid w:val="00487CE9"/>
    <w:rsid w:val="004903F3"/>
    <w:rsid w:val="00490E89"/>
    <w:rsid w:val="00490F89"/>
    <w:rsid w:val="00491208"/>
    <w:rsid w:val="0049126A"/>
    <w:rsid w:val="00491618"/>
    <w:rsid w:val="004918A3"/>
    <w:rsid w:val="004919BA"/>
    <w:rsid w:val="00491C4E"/>
    <w:rsid w:val="00491D47"/>
    <w:rsid w:val="004927C9"/>
    <w:rsid w:val="00492D34"/>
    <w:rsid w:val="00493377"/>
    <w:rsid w:val="00493ECC"/>
    <w:rsid w:val="00494796"/>
    <w:rsid w:val="00494D96"/>
    <w:rsid w:val="00494F01"/>
    <w:rsid w:val="0049540C"/>
    <w:rsid w:val="00495B7E"/>
    <w:rsid w:val="00495CD0"/>
    <w:rsid w:val="00495CE5"/>
    <w:rsid w:val="004966F7"/>
    <w:rsid w:val="004968B5"/>
    <w:rsid w:val="004968D9"/>
    <w:rsid w:val="00496ECB"/>
    <w:rsid w:val="00497017"/>
    <w:rsid w:val="00497064"/>
    <w:rsid w:val="004973DC"/>
    <w:rsid w:val="00497BA1"/>
    <w:rsid w:val="004A05A5"/>
    <w:rsid w:val="004A0A00"/>
    <w:rsid w:val="004A21A6"/>
    <w:rsid w:val="004A22BE"/>
    <w:rsid w:val="004A2B8B"/>
    <w:rsid w:val="004A2CCC"/>
    <w:rsid w:val="004A2D47"/>
    <w:rsid w:val="004A3E31"/>
    <w:rsid w:val="004A511B"/>
    <w:rsid w:val="004A51A9"/>
    <w:rsid w:val="004A5CCD"/>
    <w:rsid w:val="004A5DA4"/>
    <w:rsid w:val="004A6251"/>
    <w:rsid w:val="004A64CB"/>
    <w:rsid w:val="004A713E"/>
    <w:rsid w:val="004A7517"/>
    <w:rsid w:val="004A78D4"/>
    <w:rsid w:val="004A7D2F"/>
    <w:rsid w:val="004B0206"/>
    <w:rsid w:val="004B0655"/>
    <w:rsid w:val="004B11FD"/>
    <w:rsid w:val="004B1293"/>
    <w:rsid w:val="004B1371"/>
    <w:rsid w:val="004B1911"/>
    <w:rsid w:val="004B319E"/>
    <w:rsid w:val="004B53D7"/>
    <w:rsid w:val="004B554A"/>
    <w:rsid w:val="004B5669"/>
    <w:rsid w:val="004B6943"/>
    <w:rsid w:val="004B6A16"/>
    <w:rsid w:val="004B6BAC"/>
    <w:rsid w:val="004B6D4A"/>
    <w:rsid w:val="004B7008"/>
    <w:rsid w:val="004B739D"/>
    <w:rsid w:val="004B74B9"/>
    <w:rsid w:val="004B755A"/>
    <w:rsid w:val="004B7A03"/>
    <w:rsid w:val="004B7F6C"/>
    <w:rsid w:val="004B7FB5"/>
    <w:rsid w:val="004C03A3"/>
    <w:rsid w:val="004C0E5D"/>
    <w:rsid w:val="004C11E5"/>
    <w:rsid w:val="004C133D"/>
    <w:rsid w:val="004C1958"/>
    <w:rsid w:val="004C19D0"/>
    <w:rsid w:val="004C19F9"/>
    <w:rsid w:val="004C2241"/>
    <w:rsid w:val="004C2275"/>
    <w:rsid w:val="004C23AB"/>
    <w:rsid w:val="004C2708"/>
    <w:rsid w:val="004C27A3"/>
    <w:rsid w:val="004C2B9C"/>
    <w:rsid w:val="004C2FBD"/>
    <w:rsid w:val="004C393D"/>
    <w:rsid w:val="004C3BFC"/>
    <w:rsid w:val="004C3C3D"/>
    <w:rsid w:val="004C4594"/>
    <w:rsid w:val="004C45DD"/>
    <w:rsid w:val="004C4654"/>
    <w:rsid w:val="004C46A4"/>
    <w:rsid w:val="004C52F1"/>
    <w:rsid w:val="004C5DC4"/>
    <w:rsid w:val="004C6DF4"/>
    <w:rsid w:val="004C7267"/>
    <w:rsid w:val="004D02EE"/>
    <w:rsid w:val="004D0558"/>
    <w:rsid w:val="004D1ABC"/>
    <w:rsid w:val="004D3272"/>
    <w:rsid w:val="004D3429"/>
    <w:rsid w:val="004D350C"/>
    <w:rsid w:val="004D3C0B"/>
    <w:rsid w:val="004D3CE6"/>
    <w:rsid w:val="004D42F6"/>
    <w:rsid w:val="004D4804"/>
    <w:rsid w:val="004D5065"/>
    <w:rsid w:val="004D5141"/>
    <w:rsid w:val="004D58B7"/>
    <w:rsid w:val="004D5925"/>
    <w:rsid w:val="004D5A7E"/>
    <w:rsid w:val="004D5ACC"/>
    <w:rsid w:val="004D5DD3"/>
    <w:rsid w:val="004D5E16"/>
    <w:rsid w:val="004D5F8E"/>
    <w:rsid w:val="004D608D"/>
    <w:rsid w:val="004D6456"/>
    <w:rsid w:val="004D6CAB"/>
    <w:rsid w:val="004D701B"/>
    <w:rsid w:val="004D751F"/>
    <w:rsid w:val="004D76A0"/>
    <w:rsid w:val="004D7CC5"/>
    <w:rsid w:val="004E0275"/>
    <w:rsid w:val="004E0351"/>
    <w:rsid w:val="004E0C69"/>
    <w:rsid w:val="004E1057"/>
    <w:rsid w:val="004E1A15"/>
    <w:rsid w:val="004E24BD"/>
    <w:rsid w:val="004E2547"/>
    <w:rsid w:val="004E325A"/>
    <w:rsid w:val="004E3552"/>
    <w:rsid w:val="004E356E"/>
    <w:rsid w:val="004E3B98"/>
    <w:rsid w:val="004E46AD"/>
    <w:rsid w:val="004E48A5"/>
    <w:rsid w:val="004E5143"/>
    <w:rsid w:val="004E5599"/>
    <w:rsid w:val="004E58B1"/>
    <w:rsid w:val="004E5F7C"/>
    <w:rsid w:val="004E63FE"/>
    <w:rsid w:val="004E6929"/>
    <w:rsid w:val="004E6987"/>
    <w:rsid w:val="004E7093"/>
    <w:rsid w:val="004E7123"/>
    <w:rsid w:val="004E71EE"/>
    <w:rsid w:val="004E76C0"/>
    <w:rsid w:val="004E7757"/>
    <w:rsid w:val="004E7766"/>
    <w:rsid w:val="004F06ED"/>
    <w:rsid w:val="004F0C0D"/>
    <w:rsid w:val="004F0C82"/>
    <w:rsid w:val="004F0F0C"/>
    <w:rsid w:val="004F0F19"/>
    <w:rsid w:val="004F0F3D"/>
    <w:rsid w:val="004F13A3"/>
    <w:rsid w:val="004F13CE"/>
    <w:rsid w:val="004F1576"/>
    <w:rsid w:val="004F236C"/>
    <w:rsid w:val="004F2448"/>
    <w:rsid w:val="004F26F1"/>
    <w:rsid w:val="004F2AFE"/>
    <w:rsid w:val="004F2BCD"/>
    <w:rsid w:val="004F30F7"/>
    <w:rsid w:val="004F3CA6"/>
    <w:rsid w:val="004F40D8"/>
    <w:rsid w:val="004F4723"/>
    <w:rsid w:val="004F473D"/>
    <w:rsid w:val="004F4897"/>
    <w:rsid w:val="004F4C86"/>
    <w:rsid w:val="004F4DBF"/>
    <w:rsid w:val="004F5A95"/>
    <w:rsid w:val="004F6419"/>
    <w:rsid w:val="004F6B88"/>
    <w:rsid w:val="0050039B"/>
    <w:rsid w:val="005006DD"/>
    <w:rsid w:val="005009E8"/>
    <w:rsid w:val="00500ABD"/>
    <w:rsid w:val="00500C7B"/>
    <w:rsid w:val="005010F6"/>
    <w:rsid w:val="00501F2B"/>
    <w:rsid w:val="005022C1"/>
    <w:rsid w:val="005026F9"/>
    <w:rsid w:val="00502E7B"/>
    <w:rsid w:val="00502EF5"/>
    <w:rsid w:val="005030DD"/>
    <w:rsid w:val="0050393D"/>
    <w:rsid w:val="00503ADB"/>
    <w:rsid w:val="00503B9D"/>
    <w:rsid w:val="00503F93"/>
    <w:rsid w:val="00504845"/>
    <w:rsid w:val="0050535E"/>
    <w:rsid w:val="0050571E"/>
    <w:rsid w:val="00505828"/>
    <w:rsid w:val="00505A6E"/>
    <w:rsid w:val="00505B67"/>
    <w:rsid w:val="00505D47"/>
    <w:rsid w:val="0050614C"/>
    <w:rsid w:val="0050649B"/>
    <w:rsid w:val="005065DD"/>
    <w:rsid w:val="00507812"/>
    <w:rsid w:val="0050798F"/>
    <w:rsid w:val="00507B4F"/>
    <w:rsid w:val="00507D77"/>
    <w:rsid w:val="00510269"/>
    <w:rsid w:val="00510C73"/>
    <w:rsid w:val="00510E4E"/>
    <w:rsid w:val="005110F7"/>
    <w:rsid w:val="005114E0"/>
    <w:rsid w:val="00511824"/>
    <w:rsid w:val="00512C44"/>
    <w:rsid w:val="00513182"/>
    <w:rsid w:val="0051323D"/>
    <w:rsid w:val="0051361B"/>
    <w:rsid w:val="0051467D"/>
    <w:rsid w:val="00514AA4"/>
    <w:rsid w:val="00515875"/>
    <w:rsid w:val="00516A16"/>
    <w:rsid w:val="00516FA9"/>
    <w:rsid w:val="00516FC0"/>
    <w:rsid w:val="005171FE"/>
    <w:rsid w:val="005175A4"/>
    <w:rsid w:val="0052002A"/>
    <w:rsid w:val="0052146A"/>
    <w:rsid w:val="00521E37"/>
    <w:rsid w:val="00521F17"/>
    <w:rsid w:val="00522830"/>
    <w:rsid w:val="00522924"/>
    <w:rsid w:val="0052340F"/>
    <w:rsid w:val="005235C4"/>
    <w:rsid w:val="00523EF6"/>
    <w:rsid w:val="00523EFF"/>
    <w:rsid w:val="00524190"/>
    <w:rsid w:val="00524254"/>
    <w:rsid w:val="0052454A"/>
    <w:rsid w:val="00524842"/>
    <w:rsid w:val="00524E02"/>
    <w:rsid w:val="0052505B"/>
    <w:rsid w:val="00525DA0"/>
    <w:rsid w:val="00526C77"/>
    <w:rsid w:val="00526E37"/>
    <w:rsid w:val="00526EE1"/>
    <w:rsid w:val="005275BF"/>
    <w:rsid w:val="00527921"/>
    <w:rsid w:val="00527CA1"/>
    <w:rsid w:val="0053053A"/>
    <w:rsid w:val="00530914"/>
    <w:rsid w:val="00531EE6"/>
    <w:rsid w:val="005331EA"/>
    <w:rsid w:val="00533387"/>
    <w:rsid w:val="00533CCB"/>
    <w:rsid w:val="00533E21"/>
    <w:rsid w:val="00534C86"/>
    <w:rsid w:val="00534E27"/>
    <w:rsid w:val="00534EBA"/>
    <w:rsid w:val="00534ED6"/>
    <w:rsid w:val="00535123"/>
    <w:rsid w:val="00535569"/>
    <w:rsid w:val="00535771"/>
    <w:rsid w:val="00535947"/>
    <w:rsid w:val="00536176"/>
    <w:rsid w:val="00536549"/>
    <w:rsid w:val="00536A7F"/>
    <w:rsid w:val="00536C56"/>
    <w:rsid w:val="00536DC7"/>
    <w:rsid w:val="00536E2D"/>
    <w:rsid w:val="00537083"/>
    <w:rsid w:val="00537BB3"/>
    <w:rsid w:val="0054029F"/>
    <w:rsid w:val="005407EF"/>
    <w:rsid w:val="00540B61"/>
    <w:rsid w:val="00540ED2"/>
    <w:rsid w:val="00540EE0"/>
    <w:rsid w:val="0054108D"/>
    <w:rsid w:val="00541304"/>
    <w:rsid w:val="00541744"/>
    <w:rsid w:val="0054218B"/>
    <w:rsid w:val="005423CC"/>
    <w:rsid w:val="00542A48"/>
    <w:rsid w:val="00542E60"/>
    <w:rsid w:val="00542EA4"/>
    <w:rsid w:val="00543E6C"/>
    <w:rsid w:val="00544266"/>
    <w:rsid w:val="005442EA"/>
    <w:rsid w:val="0054451C"/>
    <w:rsid w:val="00544722"/>
    <w:rsid w:val="005448BF"/>
    <w:rsid w:val="00545AEE"/>
    <w:rsid w:val="00545C11"/>
    <w:rsid w:val="00546336"/>
    <w:rsid w:val="00546EB9"/>
    <w:rsid w:val="00546EF8"/>
    <w:rsid w:val="00547261"/>
    <w:rsid w:val="00547792"/>
    <w:rsid w:val="00547AB3"/>
    <w:rsid w:val="00550337"/>
    <w:rsid w:val="00550735"/>
    <w:rsid w:val="00550925"/>
    <w:rsid w:val="005510B4"/>
    <w:rsid w:val="00551BBF"/>
    <w:rsid w:val="0055233F"/>
    <w:rsid w:val="0055266E"/>
    <w:rsid w:val="0055273C"/>
    <w:rsid w:val="00553496"/>
    <w:rsid w:val="00553570"/>
    <w:rsid w:val="0055377E"/>
    <w:rsid w:val="00553A1F"/>
    <w:rsid w:val="00554183"/>
    <w:rsid w:val="005541FD"/>
    <w:rsid w:val="0055491A"/>
    <w:rsid w:val="00554BB1"/>
    <w:rsid w:val="00554EC1"/>
    <w:rsid w:val="00555BCC"/>
    <w:rsid w:val="0055695C"/>
    <w:rsid w:val="00557336"/>
    <w:rsid w:val="00557B13"/>
    <w:rsid w:val="00557E20"/>
    <w:rsid w:val="00561430"/>
    <w:rsid w:val="0056182F"/>
    <w:rsid w:val="0056192E"/>
    <w:rsid w:val="00561DD1"/>
    <w:rsid w:val="005620A0"/>
    <w:rsid w:val="00563123"/>
    <w:rsid w:val="005633CA"/>
    <w:rsid w:val="00563E43"/>
    <w:rsid w:val="00564620"/>
    <w:rsid w:val="005647E6"/>
    <w:rsid w:val="0056485D"/>
    <w:rsid w:val="00564ABC"/>
    <w:rsid w:val="00565CEE"/>
    <w:rsid w:val="00566284"/>
    <w:rsid w:val="0056669A"/>
    <w:rsid w:val="0056693D"/>
    <w:rsid w:val="00567A7A"/>
    <w:rsid w:val="00571835"/>
    <w:rsid w:val="005719F6"/>
    <w:rsid w:val="00571FCE"/>
    <w:rsid w:val="00572866"/>
    <w:rsid w:val="00572AA4"/>
    <w:rsid w:val="005733E1"/>
    <w:rsid w:val="005735D7"/>
    <w:rsid w:val="005735FA"/>
    <w:rsid w:val="005736C4"/>
    <w:rsid w:val="005738FB"/>
    <w:rsid w:val="00573C46"/>
    <w:rsid w:val="00574D1E"/>
    <w:rsid w:val="00575061"/>
    <w:rsid w:val="00575177"/>
    <w:rsid w:val="00575657"/>
    <w:rsid w:val="00575883"/>
    <w:rsid w:val="0057760D"/>
    <w:rsid w:val="005777E6"/>
    <w:rsid w:val="00577874"/>
    <w:rsid w:val="00577AB5"/>
    <w:rsid w:val="00577BB4"/>
    <w:rsid w:val="0058073A"/>
    <w:rsid w:val="00580956"/>
    <w:rsid w:val="00580DC1"/>
    <w:rsid w:val="005814C6"/>
    <w:rsid w:val="00582713"/>
    <w:rsid w:val="005836D1"/>
    <w:rsid w:val="0058372C"/>
    <w:rsid w:val="00583778"/>
    <w:rsid w:val="005838CE"/>
    <w:rsid w:val="00583D0A"/>
    <w:rsid w:val="00583D29"/>
    <w:rsid w:val="00583E36"/>
    <w:rsid w:val="005850AB"/>
    <w:rsid w:val="005856C8"/>
    <w:rsid w:val="005858AD"/>
    <w:rsid w:val="00585A30"/>
    <w:rsid w:val="00585C28"/>
    <w:rsid w:val="00586152"/>
    <w:rsid w:val="0058631F"/>
    <w:rsid w:val="005867DC"/>
    <w:rsid w:val="00587B34"/>
    <w:rsid w:val="00587BF9"/>
    <w:rsid w:val="00587DF7"/>
    <w:rsid w:val="005900FA"/>
    <w:rsid w:val="005902BB"/>
    <w:rsid w:val="00590444"/>
    <w:rsid w:val="005909C5"/>
    <w:rsid w:val="00591509"/>
    <w:rsid w:val="00591816"/>
    <w:rsid w:val="00591B3E"/>
    <w:rsid w:val="00591C34"/>
    <w:rsid w:val="00591EC4"/>
    <w:rsid w:val="0059248C"/>
    <w:rsid w:val="00592704"/>
    <w:rsid w:val="00592746"/>
    <w:rsid w:val="00592F15"/>
    <w:rsid w:val="005933B8"/>
    <w:rsid w:val="005938A0"/>
    <w:rsid w:val="00593935"/>
    <w:rsid w:val="005939CF"/>
    <w:rsid w:val="00593BB0"/>
    <w:rsid w:val="005945CE"/>
    <w:rsid w:val="0059463A"/>
    <w:rsid w:val="005954B1"/>
    <w:rsid w:val="0059631C"/>
    <w:rsid w:val="00596A32"/>
    <w:rsid w:val="00596B59"/>
    <w:rsid w:val="00597611"/>
    <w:rsid w:val="00597845"/>
    <w:rsid w:val="00597C7A"/>
    <w:rsid w:val="005A096E"/>
    <w:rsid w:val="005A0AF3"/>
    <w:rsid w:val="005A0F8A"/>
    <w:rsid w:val="005A1337"/>
    <w:rsid w:val="005A19A7"/>
    <w:rsid w:val="005A1E72"/>
    <w:rsid w:val="005A1F4D"/>
    <w:rsid w:val="005A1FA1"/>
    <w:rsid w:val="005A210E"/>
    <w:rsid w:val="005A214A"/>
    <w:rsid w:val="005A249F"/>
    <w:rsid w:val="005A25F4"/>
    <w:rsid w:val="005A29CC"/>
    <w:rsid w:val="005A2CB6"/>
    <w:rsid w:val="005A3986"/>
    <w:rsid w:val="005A3FF7"/>
    <w:rsid w:val="005A429A"/>
    <w:rsid w:val="005A4514"/>
    <w:rsid w:val="005A476C"/>
    <w:rsid w:val="005A4791"/>
    <w:rsid w:val="005A4943"/>
    <w:rsid w:val="005A4B76"/>
    <w:rsid w:val="005A4D85"/>
    <w:rsid w:val="005A4E7C"/>
    <w:rsid w:val="005A57F4"/>
    <w:rsid w:val="005A5A81"/>
    <w:rsid w:val="005A5EF6"/>
    <w:rsid w:val="005A5F1F"/>
    <w:rsid w:val="005A62C7"/>
    <w:rsid w:val="005A63F2"/>
    <w:rsid w:val="005A6985"/>
    <w:rsid w:val="005A6AF8"/>
    <w:rsid w:val="005A7469"/>
    <w:rsid w:val="005B01BA"/>
    <w:rsid w:val="005B113A"/>
    <w:rsid w:val="005B1B17"/>
    <w:rsid w:val="005B25D1"/>
    <w:rsid w:val="005B2B09"/>
    <w:rsid w:val="005B3F70"/>
    <w:rsid w:val="005B4003"/>
    <w:rsid w:val="005B4458"/>
    <w:rsid w:val="005B4BAD"/>
    <w:rsid w:val="005B508D"/>
    <w:rsid w:val="005B529E"/>
    <w:rsid w:val="005B5583"/>
    <w:rsid w:val="005B57FE"/>
    <w:rsid w:val="005B5B8F"/>
    <w:rsid w:val="005B7A6B"/>
    <w:rsid w:val="005B7C4D"/>
    <w:rsid w:val="005B7E6B"/>
    <w:rsid w:val="005B7FF3"/>
    <w:rsid w:val="005C01C5"/>
    <w:rsid w:val="005C096D"/>
    <w:rsid w:val="005C0D62"/>
    <w:rsid w:val="005C0EA1"/>
    <w:rsid w:val="005C1053"/>
    <w:rsid w:val="005C1895"/>
    <w:rsid w:val="005C2267"/>
    <w:rsid w:val="005C2C83"/>
    <w:rsid w:val="005C31CA"/>
    <w:rsid w:val="005C38C1"/>
    <w:rsid w:val="005C3A60"/>
    <w:rsid w:val="005C41ED"/>
    <w:rsid w:val="005C45EE"/>
    <w:rsid w:val="005C45FC"/>
    <w:rsid w:val="005C46D8"/>
    <w:rsid w:val="005C47E3"/>
    <w:rsid w:val="005C480F"/>
    <w:rsid w:val="005C4ADB"/>
    <w:rsid w:val="005C4F56"/>
    <w:rsid w:val="005C511B"/>
    <w:rsid w:val="005C5873"/>
    <w:rsid w:val="005C5B8D"/>
    <w:rsid w:val="005C5BDC"/>
    <w:rsid w:val="005C5CB6"/>
    <w:rsid w:val="005C5FCD"/>
    <w:rsid w:val="005C6488"/>
    <w:rsid w:val="005C6B10"/>
    <w:rsid w:val="005C78EC"/>
    <w:rsid w:val="005C7F0B"/>
    <w:rsid w:val="005D00FB"/>
    <w:rsid w:val="005D07D1"/>
    <w:rsid w:val="005D0D3B"/>
    <w:rsid w:val="005D27E3"/>
    <w:rsid w:val="005D2F9E"/>
    <w:rsid w:val="005D301B"/>
    <w:rsid w:val="005D32A4"/>
    <w:rsid w:val="005D33BE"/>
    <w:rsid w:val="005D3ECD"/>
    <w:rsid w:val="005D4487"/>
    <w:rsid w:val="005D44B8"/>
    <w:rsid w:val="005D615A"/>
    <w:rsid w:val="005D6513"/>
    <w:rsid w:val="005D6A6E"/>
    <w:rsid w:val="005D6B5E"/>
    <w:rsid w:val="005D6DC2"/>
    <w:rsid w:val="005D6F6A"/>
    <w:rsid w:val="005D700F"/>
    <w:rsid w:val="005D733F"/>
    <w:rsid w:val="005D734E"/>
    <w:rsid w:val="005E0BFE"/>
    <w:rsid w:val="005E0DEA"/>
    <w:rsid w:val="005E119A"/>
    <w:rsid w:val="005E1488"/>
    <w:rsid w:val="005E2DD9"/>
    <w:rsid w:val="005E4254"/>
    <w:rsid w:val="005E4314"/>
    <w:rsid w:val="005E4703"/>
    <w:rsid w:val="005E4C14"/>
    <w:rsid w:val="005E4E3C"/>
    <w:rsid w:val="005E553E"/>
    <w:rsid w:val="005E5B5E"/>
    <w:rsid w:val="005E5D69"/>
    <w:rsid w:val="005E6500"/>
    <w:rsid w:val="005E7015"/>
    <w:rsid w:val="005F00FF"/>
    <w:rsid w:val="005F01A5"/>
    <w:rsid w:val="005F02EA"/>
    <w:rsid w:val="005F06DF"/>
    <w:rsid w:val="005F108E"/>
    <w:rsid w:val="005F1594"/>
    <w:rsid w:val="005F1D47"/>
    <w:rsid w:val="005F1F7C"/>
    <w:rsid w:val="005F210D"/>
    <w:rsid w:val="005F2A68"/>
    <w:rsid w:val="005F2DF7"/>
    <w:rsid w:val="005F3506"/>
    <w:rsid w:val="005F4007"/>
    <w:rsid w:val="005F4D82"/>
    <w:rsid w:val="005F5005"/>
    <w:rsid w:val="005F5745"/>
    <w:rsid w:val="005F5934"/>
    <w:rsid w:val="005F65B1"/>
    <w:rsid w:val="005F6749"/>
    <w:rsid w:val="005F6A55"/>
    <w:rsid w:val="005F6C51"/>
    <w:rsid w:val="005F7057"/>
    <w:rsid w:val="005F70A3"/>
    <w:rsid w:val="005F73C2"/>
    <w:rsid w:val="005F780F"/>
    <w:rsid w:val="005F7ED0"/>
    <w:rsid w:val="00600013"/>
    <w:rsid w:val="00600053"/>
    <w:rsid w:val="00600548"/>
    <w:rsid w:val="00601827"/>
    <w:rsid w:val="00601B47"/>
    <w:rsid w:val="00601B70"/>
    <w:rsid w:val="00601D1B"/>
    <w:rsid w:val="00602454"/>
    <w:rsid w:val="0060258E"/>
    <w:rsid w:val="0060263B"/>
    <w:rsid w:val="00603692"/>
    <w:rsid w:val="00604030"/>
    <w:rsid w:val="00605FFD"/>
    <w:rsid w:val="0060617A"/>
    <w:rsid w:val="006067DC"/>
    <w:rsid w:val="00606AE7"/>
    <w:rsid w:val="00606DDD"/>
    <w:rsid w:val="006077F3"/>
    <w:rsid w:val="006079B0"/>
    <w:rsid w:val="00607AE7"/>
    <w:rsid w:val="006102B7"/>
    <w:rsid w:val="00610918"/>
    <w:rsid w:val="00610D22"/>
    <w:rsid w:val="00610D90"/>
    <w:rsid w:val="00611225"/>
    <w:rsid w:val="00611B41"/>
    <w:rsid w:val="00611D38"/>
    <w:rsid w:val="006120F2"/>
    <w:rsid w:val="00612DB3"/>
    <w:rsid w:val="00612F8D"/>
    <w:rsid w:val="00613330"/>
    <w:rsid w:val="00614152"/>
    <w:rsid w:val="0061435D"/>
    <w:rsid w:val="006150FB"/>
    <w:rsid w:val="00615EAC"/>
    <w:rsid w:val="00616E5B"/>
    <w:rsid w:val="00617964"/>
    <w:rsid w:val="00617FA1"/>
    <w:rsid w:val="00620171"/>
    <w:rsid w:val="00620AAB"/>
    <w:rsid w:val="00620E14"/>
    <w:rsid w:val="006211B6"/>
    <w:rsid w:val="0062129C"/>
    <w:rsid w:val="00621D20"/>
    <w:rsid w:val="00621F27"/>
    <w:rsid w:val="006227FD"/>
    <w:rsid w:val="00622AC3"/>
    <w:rsid w:val="00622C31"/>
    <w:rsid w:val="00623EBB"/>
    <w:rsid w:val="00623ED7"/>
    <w:rsid w:val="0062401C"/>
    <w:rsid w:val="00624082"/>
    <w:rsid w:val="006240CA"/>
    <w:rsid w:val="00624520"/>
    <w:rsid w:val="00624BD6"/>
    <w:rsid w:val="0062551F"/>
    <w:rsid w:val="00625580"/>
    <w:rsid w:val="00625BAD"/>
    <w:rsid w:val="00625D55"/>
    <w:rsid w:val="0062634F"/>
    <w:rsid w:val="0062635D"/>
    <w:rsid w:val="006263C2"/>
    <w:rsid w:val="00626ACA"/>
    <w:rsid w:val="00626D5F"/>
    <w:rsid w:val="00626FCA"/>
    <w:rsid w:val="00626FCD"/>
    <w:rsid w:val="006276DB"/>
    <w:rsid w:val="006277EC"/>
    <w:rsid w:val="00627DD0"/>
    <w:rsid w:val="0063053C"/>
    <w:rsid w:val="00630CA8"/>
    <w:rsid w:val="00631065"/>
    <w:rsid w:val="00631AB8"/>
    <w:rsid w:val="006327A9"/>
    <w:rsid w:val="00633CAD"/>
    <w:rsid w:val="00633EFC"/>
    <w:rsid w:val="00634AD6"/>
    <w:rsid w:val="00634C96"/>
    <w:rsid w:val="00634CC2"/>
    <w:rsid w:val="00634E9A"/>
    <w:rsid w:val="006359D8"/>
    <w:rsid w:val="00637220"/>
    <w:rsid w:val="006379EF"/>
    <w:rsid w:val="00640E86"/>
    <w:rsid w:val="00641517"/>
    <w:rsid w:val="0064161B"/>
    <w:rsid w:val="00641A66"/>
    <w:rsid w:val="00641CF4"/>
    <w:rsid w:val="0064271C"/>
    <w:rsid w:val="00642A00"/>
    <w:rsid w:val="00642B2E"/>
    <w:rsid w:val="00643109"/>
    <w:rsid w:val="0064364D"/>
    <w:rsid w:val="00643E2D"/>
    <w:rsid w:val="00643EC5"/>
    <w:rsid w:val="00644274"/>
    <w:rsid w:val="00644DEB"/>
    <w:rsid w:val="00644F99"/>
    <w:rsid w:val="00645AA2"/>
    <w:rsid w:val="00645D36"/>
    <w:rsid w:val="00645DA2"/>
    <w:rsid w:val="00646E81"/>
    <w:rsid w:val="006474C7"/>
    <w:rsid w:val="0064795B"/>
    <w:rsid w:val="00650265"/>
    <w:rsid w:val="0065035D"/>
    <w:rsid w:val="00650394"/>
    <w:rsid w:val="00650732"/>
    <w:rsid w:val="0065119A"/>
    <w:rsid w:val="0065133E"/>
    <w:rsid w:val="0065153C"/>
    <w:rsid w:val="0065194F"/>
    <w:rsid w:val="00651E08"/>
    <w:rsid w:val="00652484"/>
    <w:rsid w:val="006524D0"/>
    <w:rsid w:val="0065282F"/>
    <w:rsid w:val="00652BE2"/>
    <w:rsid w:val="00652E69"/>
    <w:rsid w:val="00652EFD"/>
    <w:rsid w:val="006536FE"/>
    <w:rsid w:val="0065371F"/>
    <w:rsid w:val="00653D28"/>
    <w:rsid w:val="006540D9"/>
    <w:rsid w:val="006541B0"/>
    <w:rsid w:val="006555CD"/>
    <w:rsid w:val="00655925"/>
    <w:rsid w:val="00655F7F"/>
    <w:rsid w:val="00656D8A"/>
    <w:rsid w:val="00657450"/>
    <w:rsid w:val="0065769B"/>
    <w:rsid w:val="006577B2"/>
    <w:rsid w:val="00657C6A"/>
    <w:rsid w:val="006601E2"/>
    <w:rsid w:val="006607CE"/>
    <w:rsid w:val="00660876"/>
    <w:rsid w:val="00660C14"/>
    <w:rsid w:val="00661342"/>
    <w:rsid w:val="0066162C"/>
    <w:rsid w:val="00661F42"/>
    <w:rsid w:val="00662815"/>
    <w:rsid w:val="00662B5B"/>
    <w:rsid w:val="00662DB6"/>
    <w:rsid w:val="00664560"/>
    <w:rsid w:val="00664645"/>
    <w:rsid w:val="006647F1"/>
    <w:rsid w:val="006648BD"/>
    <w:rsid w:val="00664AB2"/>
    <w:rsid w:val="00665872"/>
    <w:rsid w:val="006658F1"/>
    <w:rsid w:val="00665949"/>
    <w:rsid w:val="00665A54"/>
    <w:rsid w:val="00666178"/>
    <w:rsid w:val="006663F2"/>
    <w:rsid w:val="00666412"/>
    <w:rsid w:val="00666BF3"/>
    <w:rsid w:val="00666F59"/>
    <w:rsid w:val="006678EF"/>
    <w:rsid w:val="00667971"/>
    <w:rsid w:val="00670287"/>
    <w:rsid w:val="00670AA6"/>
    <w:rsid w:val="00671282"/>
    <w:rsid w:val="00671528"/>
    <w:rsid w:val="006715CD"/>
    <w:rsid w:val="00671F27"/>
    <w:rsid w:val="006723A8"/>
    <w:rsid w:val="006727A0"/>
    <w:rsid w:val="00672B4C"/>
    <w:rsid w:val="00672D2F"/>
    <w:rsid w:val="00672FF9"/>
    <w:rsid w:val="0067354E"/>
    <w:rsid w:val="00673946"/>
    <w:rsid w:val="006748B5"/>
    <w:rsid w:val="00674910"/>
    <w:rsid w:val="006756EB"/>
    <w:rsid w:val="00675AD9"/>
    <w:rsid w:val="00675D57"/>
    <w:rsid w:val="00675EF7"/>
    <w:rsid w:val="00675F38"/>
    <w:rsid w:val="0067642A"/>
    <w:rsid w:val="00677353"/>
    <w:rsid w:val="006773DF"/>
    <w:rsid w:val="00677612"/>
    <w:rsid w:val="0067778B"/>
    <w:rsid w:val="00677975"/>
    <w:rsid w:val="00677ABA"/>
    <w:rsid w:val="006801F4"/>
    <w:rsid w:val="006802C9"/>
    <w:rsid w:val="00680796"/>
    <w:rsid w:val="00680F02"/>
    <w:rsid w:val="006810FC"/>
    <w:rsid w:val="00681766"/>
    <w:rsid w:val="0068294E"/>
    <w:rsid w:val="00683B5D"/>
    <w:rsid w:val="00683F76"/>
    <w:rsid w:val="006840EF"/>
    <w:rsid w:val="0068431C"/>
    <w:rsid w:val="006845AE"/>
    <w:rsid w:val="00684A81"/>
    <w:rsid w:val="00684DC9"/>
    <w:rsid w:val="006876A4"/>
    <w:rsid w:val="00687ADE"/>
    <w:rsid w:val="00687E12"/>
    <w:rsid w:val="006900A0"/>
    <w:rsid w:val="00690232"/>
    <w:rsid w:val="006904E5"/>
    <w:rsid w:val="00690939"/>
    <w:rsid w:val="00690E1D"/>
    <w:rsid w:val="0069101F"/>
    <w:rsid w:val="006916F0"/>
    <w:rsid w:val="00691795"/>
    <w:rsid w:val="00691EB5"/>
    <w:rsid w:val="006923BF"/>
    <w:rsid w:val="006923E1"/>
    <w:rsid w:val="00692ADC"/>
    <w:rsid w:val="00692F45"/>
    <w:rsid w:val="00693052"/>
    <w:rsid w:val="00693105"/>
    <w:rsid w:val="006938E0"/>
    <w:rsid w:val="00693D2B"/>
    <w:rsid w:val="00694036"/>
    <w:rsid w:val="006945B4"/>
    <w:rsid w:val="006948E7"/>
    <w:rsid w:val="006948FE"/>
    <w:rsid w:val="00694F54"/>
    <w:rsid w:val="00695314"/>
    <w:rsid w:val="00695A03"/>
    <w:rsid w:val="00695D95"/>
    <w:rsid w:val="00696800"/>
    <w:rsid w:val="00696DDC"/>
    <w:rsid w:val="00696FA0"/>
    <w:rsid w:val="0069742D"/>
    <w:rsid w:val="00697860"/>
    <w:rsid w:val="00697F9C"/>
    <w:rsid w:val="006A0FD1"/>
    <w:rsid w:val="006A1D36"/>
    <w:rsid w:val="006A1E3B"/>
    <w:rsid w:val="006A2EA0"/>
    <w:rsid w:val="006A36C4"/>
    <w:rsid w:val="006A3999"/>
    <w:rsid w:val="006A39CE"/>
    <w:rsid w:val="006A3C3E"/>
    <w:rsid w:val="006A3CBD"/>
    <w:rsid w:val="006A3CC8"/>
    <w:rsid w:val="006A3E6E"/>
    <w:rsid w:val="006A4381"/>
    <w:rsid w:val="006A4F12"/>
    <w:rsid w:val="006A560F"/>
    <w:rsid w:val="006A5CC4"/>
    <w:rsid w:val="006A60EF"/>
    <w:rsid w:val="006A7603"/>
    <w:rsid w:val="006B02AF"/>
    <w:rsid w:val="006B0350"/>
    <w:rsid w:val="006B0C84"/>
    <w:rsid w:val="006B0ED8"/>
    <w:rsid w:val="006B1162"/>
    <w:rsid w:val="006B15ED"/>
    <w:rsid w:val="006B199A"/>
    <w:rsid w:val="006B1EAF"/>
    <w:rsid w:val="006B2423"/>
    <w:rsid w:val="006B29AE"/>
    <w:rsid w:val="006B365A"/>
    <w:rsid w:val="006B39E8"/>
    <w:rsid w:val="006B3BEA"/>
    <w:rsid w:val="006B47C9"/>
    <w:rsid w:val="006B4ED9"/>
    <w:rsid w:val="006B5041"/>
    <w:rsid w:val="006B58C5"/>
    <w:rsid w:val="006B68E2"/>
    <w:rsid w:val="006B6F9A"/>
    <w:rsid w:val="006B70C9"/>
    <w:rsid w:val="006B72F6"/>
    <w:rsid w:val="006B7305"/>
    <w:rsid w:val="006B73C8"/>
    <w:rsid w:val="006B7418"/>
    <w:rsid w:val="006B7A2E"/>
    <w:rsid w:val="006B7C5D"/>
    <w:rsid w:val="006B7C79"/>
    <w:rsid w:val="006C0583"/>
    <w:rsid w:val="006C0720"/>
    <w:rsid w:val="006C07E4"/>
    <w:rsid w:val="006C10AE"/>
    <w:rsid w:val="006C1556"/>
    <w:rsid w:val="006C208B"/>
    <w:rsid w:val="006C22CE"/>
    <w:rsid w:val="006C2400"/>
    <w:rsid w:val="006C2679"/>
    <w:rsid w:val="006C2850"/>
    <w:rsid w:val="006C2AEA"/>
    <w:rsid w:val="006C2B3A"/>
    <w:rsid w:val="006C2DBE"/>
    <w:rsid w:val="006C2FDE"/>
    <w:rsid w:val="006C3578"/>
    <w:rsid w:val="006C41FA"/>
    <w:rsid w:val="006C4306"/>
    <w:rsid w:val="006C4760"/>
    <w:rsid w:val="006C48CB"/>
    <w:rsid w:val="006C4D25"/>
    <w:rsid w:val="006C5231"/>
    <w:rsid w:val="006C55E3"/>
    <w:rsid w:val="006C5C97"/>
    <w:rsid w:val="006C5D54"/>
    <w:rsid w:val="006C6D33"/>
    <w:rsid w:val="006C6D61"/>
    <w:rsid w:val="006C6FA3"/>
    <w:rsid w:val="006C7331"/>
    <w:rsid w:val="006C78DC"/>
    <w:rsid w:val="006C7DED"/>
    <w:rsid w:val="006D00B7"/>
    <w:rsid w:val="006D12A6"/>
    <w:rsid w:val="006D16A4"/>
    <w:rsid w:val="006D18B3"/>
    <w:rsid w:val="006D20EB"/>
    <w:rsid w:val="006D2288"/>
    <w:rsid w:val="006D2496"/>
    <w:rsid w:val="006D283F"/>
    <w:rsid w:val="006D29A3"/>
    <w:rsid w:val="006D29C5"/>
    <w:rsid w:val="006D2F7A"/>
    <w:rsid w:val="006D311A"/>
    <w:rsid w:val="006D344E"/>
    <w:rsid w:val="006D35CB"/>
    <w:rsid w:val="006D385A"/>
    <w:rsid w:val="006D3B9C"/>
    <w:rsid w:val="006D3FE8"/>
    <w:rsid w:val="006D42B7"/>
    <w:rsid w:val="006D4F17"/>
    <w:rsid w:val="006D4FBA"/>
    <w:rsid w:val="006D64C0"/>
    <w:rsid w:val="006D64FD"/>
    <w:rsid w:val="006D6817"/>
    <w:rsid w:val="006D6B49"/>
    <w:rsid w:val="006D6C06"/>
    <w:rsid w:val="006D6F0A"/>
    <w:rsid w:val="006D71DA"/>
    <w:rsid w:val="006D76EA"/>
    <w:rsid w:val="006D76EC"/>
    <w:rsid w:val="006D7AA0"/>
    <w:rsid w:val="006D7ED1"/>
    <w:rsid w:val="006E14F2"/>
    <w:rsid w:val="006E17FC"/>
    <w:rsid w:val="006E1E5C"/>
    <w:rsid w:val="006E228C"/>
    <w:rsid w:val="006E247F"/>
    <w:rsid w:val="006E2BAC"/>
    <w:rsid w:val="006E2C22"/>
    <w:rsid w:val="006E2CA0"/>
    <w:rsid w:val="006E307F"/>
    <w:rsid w:val="006E3271"/>
    <w:rsid w:val="006E364F"/>
    <w:rsid w:val="006E38D2"/>
    <w:rsid w:val="006E3AA1"/>
    <w:rsid w:val="006E495F"/>
    <w:rsid w:val="006E4DD1"/>
    <w:rsid w:val="006E4DEB"/>
    <w:rsid w:val="006E56AB"/>
    <w:rsid w:val="006E5A12"/>
    <w:rsid w:val="006E5E40"/>
    <w:rsid w:val="006E67C6"/>
    <w:rsid w:val="006E70C5"/>
    <w:rsid w:val="006E7273"/>
    <w:rsid w:val="006E754E"/>
    <w:rsid w:val="006E7A68"/>
    <w:rsid w:val="006E7CEA"/>
    <w:rsid w:val="006F0194"/>
    <w:rsid w:val="006F0469"/>
    <w:rsid w:val="006F0BFE"/>
    <w:rsid w:val="006F13A8"/>
    <w:rsid w:val="006F242D"/>
    <w:rsid w:val="006F26EF"/>
    <w:rsid w:val="006F2A03"/>
    <w:rsid w:val="006F2F53"/>
    <w:rsid w:val="006F359A"/>
    <w:rsid w:val="006F3675"/>
    <w:rsid w:val="006F3828"/>
    <w:rsid w:val="006F38D3"/>
    <w:rsid w:val="006F3DF1"/>
    <w:rsid w:val="006F3F5D"/>
    <w:rsid w:val="006F417C"/>
    <w:rsid w:val="006F4845"/>
    <w:rsid w:val="006F4C19"/>
    <w:rsid w:val="006F5A43"/>
    <w:rsid w:val="006F651B"/>
    <w:rsid w:val="006F65EB"/>
    <w:rsid w:val="006F6EFF"/>
    <w:rsid w:val="006F760E"/>
    <w:rsid w:val="006F779A"/>
    <w:rsid w:val="006F7EEC"/>
    <w:rsid w:val="00700622"/>
    <w:rsid w:val="00700BA1"/>
    <w:rsid w:val="00700CAD"/>
    <w:rsid w:val="00702316"/>
    <w:rsid w:val="0070238C"/>
    <w:rsid w:val="007023FD"/>
    <w:rsid w:val="007024E3"/>
    <w:rsid w:val="007024F4"/>
    <w:rsid w:val="00702683"/>
    <w:rsid w:val="007026A5"/>
    <w:rsid w:val="00702A5F"/>
    <w:rsid w:val="00702C58"/>
    <w:rsid w:val="00702D2B"/>
    <w:rsid w:val="007031BD"/>
    <w:rsid w:val="00704565"/>
    <w:rsid w:val="007045E7"/>
    <w:rsid w:val="00704990"/>
    <w:rsid w:val="0070585F"/>
    <w:rsid w:val="00705BD3"/>
    <w:rsid w:val="007064CF"/>
    <w:rsid w:val="007068D0"/>
    <w:rsid w:val="007073BC"/>
    <w:rsid w:val="00707DBD"/>
    <w:rsid w:val="00707F72"/>
    <w:rsid w:val="007102B7"/>
    <w:rsid w:val="007106EA"/>
    <w:rsid w:val="00710749"/>
    <w:rsid w:val="00711909"/>
    <w:rsid w:val="00711EE9"/>
    <w:rsid w:val="007120A7"/>
    <w:rsid w:val="0071284A"/>
    <w:rsid w:val="00712F93"/>
    <w:rsid w:val="0071303E"/>
    <w:rsid w:val="007132B3"/>
    <w:rsid w:val="00713A0C"/>
    <w:rsid w:val="00713EFB"/>
    <w:rsid w:val="0071529D"/>
    <w:rsid w:val="007160B6"/>
    <w:rsid w:val="00716279"/>
    <w:rsid w:val="0071676F"/>
    <w:rsid w:val="007173B0"/>
    <w:rsid w:val="00717681"/>
    <w:rsid w:val="007178E7"/>
    <w:rsid w:val="0072114F"/>
    <w:rsid w:val="0072156C"/>
    <w:rsid w:val="00721980"/>
    <w:rsid w:val="00721AA9"/>
    <w:rsid w:val="00722ABB"/>
    <w:rsid w:val="00722C95"/>
    <w:rsid w:val="00722D5A"/>
    <w:rsid w:val="00722DEB"/>
    <w:rsid w:val="0072302E"/>
    <w:rsid w:val="007235C7"/>
    <w:rsid w:val="007236E9"/>
    <w:rsid w:val="00723E22"/>
    <w:rsid w:val="00724089"/>
    <w:rsid w:val="007245ED"/>
    <w:rsid w:val="00724BD6"/>
    <w:rsid w:val="00725C0C"/>
    <w:rsid w:val="00725F0E"/>
    <w:rsid w:val="0072619D"/>
    <w:rsid w:val="007261B0"/>
    <w:rsid w:val="00730383"/>
    <w:rsid w:val="0073041C"/>
    <w:rsid w:val="007307E4"/>
    <w:rsid w:val="00731874"/>
    <w:rsid w:val="00732CAC"/>
    <w:rsid w:val="00732EB6"/>
    <w:rsid w:val="007333AA"/>
    <w:rsid w:val="007333F9"/>
    <w:rsid w:val="007346D6"/>
    <w:rsid w:val="00734886"/>
    <w:rsid w:val="00734FA0"/>
    <w:rsid w:val="007353D4"/>
    <w:rsid w:val="0073560E"/>
    <w:rsid w:val="00735A3E"/>
    <w:rsid w:val="00735B51"/>
    <w:rsid w:val="00735FC0"/>
    <w:rsid w:val="0073637E"/>
    <w:rsid w:val="00736E32"/>
    <w:rsid w:val="00737E06"/>
    <w:rsid w:val="00740528"/>
    <w:rsid w:val="00741A51"/>
    <w:rsid w:val="00741C0F"/>
    <w:rsid w:val="007421F9"/>
    <w:rsid w:val="00743374"/>
    <w:rsid w:val="00743AA8"/>
    <w:rsid w:val="00743C6C"/>
    <w:rsid w:val="00743DFB"/>
    <w:rsid w:val="0074448F"/>
    <w:rsid w:val="0074494F"/>
    <w:rsid w:val="00745531"/>
    <w:rsid w:val="00745F4E"/>
    <w:rsid w:val="007464DE"/>
    <w:rsid w:val="0074678C"/>
    <w:rsid w:val="00746982"/>
    <w:rsid w:val="007469AE"/>
    <w:rsid w:val="00747028"/>
    <w:rsid w:val="00747CC9"/>
    <w:rsid w:val="0075000F"/>
    <w:rsid w:val="00750287"/>
    <w:rsid w:val="0075031F"/>
    <w:rsid w:val="0075087A"/>
    <w:rsid w:val="0075089F"/>
    <w:rsid w:val="007516A0"/>
    <w:rsid w:val="00751C9E"/>
    <w:rsid w:val="00751D26"/>
    <w:rsid w:val="00751DF9"/>
    <w:rsid w:val="00752403"/>
    <w:rsid w:val="00752725"/>
    <w:rsid w:val="00752A23"/>
    <w:rsid w:val="00752FBC"/>
    <w:rsid w:val="007533B8"/>
    <w:rsid w:val="0075369E"/>
    <w:rsid w:val="00753A91"/>
    <w:rsid w:val="00754654"/>
    <w:rsid w:val="00754DBC"/>
    <w:rsid w:val="0075505D"/>
    <w:rsid w:val="00755249"/>
    <w:rsid w:val="007553A3"/>
    <w:rsid w:val="007554E9"/>
    <w:rsid w:val="007555EA"/>
    <w:rsid w:val="00755883"/>
    <w:rsid w:val="00755E7A"/>
    <w:rsid w:val="0075624B"/>
    <w:rsid w:val="00756B9F"/>
    <w:rsid w:val="007606E2"/>
    <w:rsid w:val="00761172"/>
    <w:rsid w:val="007613C7"/>
    <w:rsid w:val="0076178A"/>
    <w:rsid w:val="007619A0"/>
    <w:rsid w:val="00762407"/>
    <w:rsid w:val="0076357E"/>
    <w:rsid w:val="00763F54"/>
    <w:rsid w:val="00763FC5"/>
    <w:rsid w:val="007646B5"/>
    <w:rsid w:val="00764A75"/>
    <w:rsid w:val="00764E3B"/>
    <w:rsid w:val="0076500F"/>
    <w:rsid w:val="007651B4"/>
    <w:rsid w:val="00765BE8"/>
    <w:rsid w:val="00766408"/>
    <w:rsid w:val="00766C21"/>
    <w:rsid w:val="0076731C"/>
    <w:rsid w:val="007712B4"/>
    <w:rsid w:val="00771933"/>
    <w:rsid w:val="00771EC5"/>
    <w:rsid w:val="00772460"/>
    <w:rsid w:val="00772C1A"/>
    <w:rsid w:val="00772C40"/>
    <w:rsid w:val="00773E1C"/>
    <w:rsid w:val="00773F93"/>
    <w:rsid w:val="00773FF4"/>
    <w:rsid w:val="007740B5"/>
    <w:rsid w:val="007741DA"/>
    <w:rsid w:val="0077486C"/>
    <w:rsid w:val="007748DF"/>
    <w:rsid w:val="00774EF1"/>
    <w:rsid w:val="00774FB9"/>
    <w:rsid w:val="0077573E"/>
    <w:rsid w:val="00775FE3"/>
    <w:rsid w:val="00776157"/>
    <w:rsid w:val="0077675C"/>
    <w:rsid w:val="00777F2B"/>
    <w:rsid w:val="00777FEB"/>
    <w:rsid w:val="007800C8"/>
    <w:rsid w:val="007800D6"/>
    <w:rsid w:val="00780433"/>
    <w:rsid w:val="00780808"/>
    <w:rsid w:val="00780C95"/>
    <w:rsid w:val="00781196"/>
    <w:rsid w:val="007813B2"/>
    <w:rsid w:val="007813C0"/>
    <w:rsid w:val="00781443"/>
    <w:rsid w:val="00781583"/>
    <w:rsid w:val="0078164A"/>
    <w:rsid w:val="007819DF"/>
    <w:rsid w:val="00782013"/>
    <w:rsid w:val="007827D7"/>
    <w:rsid w:val="0078281F"/>
    <w:rsid w:val="00782879"/>
    <w:rsid w:val="00782AEA"/>
    <w:rsid w:val="00782FDB"/>
    <w:rsid w:val="0078306C"/>
    <w:rsid w:val="0078316D"/>
    <w:rsid w:val="00783243"/>
    <w:rsid w:val="007836E8"/>
    <w:rsid w:val="00783823"/>
    <w:rsid w:val="0078399B"/>
    <w:rsid w:val="00784162"/>
    <w:rsid w:val="00784254"/>
    <w:rsid w:val="0078480C"/>
    <w:rsid w:val="00784AEF"/>
    <w:rsid w:val="00784C19"/>
    <w:rsid w:val="00784E58"/>
    <w:rsid w:val="007850AD"/>
    <w:rsid w:val="007850B3"/>
    <w:rsid w:val="007850EB"/>
    <w:rsid w:val="00785136"/>
    <w:rsid w:val="007869F8"/>
    <w:rsid w:val="00787103"/>
    <w:rsid w:val="007871F2"/>
    <w:rsid w:val="00787354"/>
    <w:rsid w:val="0078738A"/>
    <w:rsid w:val="00787627"/>
    <w:rsid w:val="00790073"/>
    <w:rsid w:val="007900DB"/>
    <w:rsid w:val="0079019E"/>
    <w:rsid w:val="007901D7"/>
    <w:rsid w:val="00790941"/>
    <w:rsid w:val="00790FD0"/>
    <w:rsid w:val="00791EC8"/>
    <w:rsid w:val="007927B1"/>
    <w:rsid w:val="00792DD6"/>
    <w:rsid w:val="0079329B"/>
    <w:rsid w:val="007935D1"/>
    <w:rsid w:val="00793A46"/>
    <w:rsid w:val="00793E2A"/>
    <w:rsid w:val="00794153"/>
    <w:rsid w:val="00794306"/>
    <w:rsid w:val="00794682"/>
    <w:rsid w:val="0079475E"/>
    <w:rsid w:val="00795842"/>
    <w:rsid w:val="00795DEB"/>
    <w:rsid w:val="0079626E"/>
    <w:rsid w:val="00796588"/>
    <w:rsid w:val="0079667A"/>
    <w:rsid w:val="007978D3"/>
    <w:rsid w:val="007A010E"/>
    <w:rsid w:val="007A08FE"/>
    <w:rsid w:val="007A0B99"/>
    <w:rsid w:val="007A0DA0"/>
    <w:rsid w:val="007A13E1"/>
    <w:rsid w:val="007A2AA8"/>
    <w:rsid w:val="007A2CE8"/>
    <w:rsid w:val="007A40C6"/>
    <w:rsid w:val="007A431A"/>
    <w:rsid w:val="007A4D9D"/>
    <w:rsid w:val="007A4E4E"/>
    <w:rsid w:val="007A5021"/>
    <w:rsid w:val="007A5407"/>
    <w:rsid w:val="007A59AC"/>
    <w:rsid w:val="007A5D14"/>
    <w:rsid w:val="007A5FD3"/>
    <w:rsid w:val="007A6627"/>
    <w:rsid w:val="007A6773"/>
    <w:rsid w:val="007A707A"/>
    <w:rsid w:val="007A7198"/>
    <w:rsid w:val="007A723D"/>
    <w:rsid w:val="007A752A"/>
    <w:rsid w:val="007A79E9"/>
    <w:rsid w:val="007B0988"/>
    <w:rsid w:val="007B09FF"/>
    <w:rsid w:val="007B0E36"/>
    <w:rsid w:val="007B12EB"/>
    <w:rsid w:val="007B1F23"/>
    <w:rsid w:val="007B3939"/>
    <w:rsid w:val="007B398F"/>
    <w:rsid w:val="007B3D8B"/>
    <w:rsid w:val="007B4770"/>
    <w:rsid w:val="007B5225"/>
    <w:rsid w:val="007B5357"/>
    <w:rsid w:val="007B552E"/>
    <w:rsid w:val="007B5E54"/>
    <w:rsid w:val="007B60B8"/>
    <w:rsid w:val="007B6296"/>
    <w:rsid w:val="007B64BC"/>
    <w:rsid w:val="007B700C"/>
    <w:rsid w:val="007B7B57"/>
    <w:rsid w:val="007C077F"/>
    <w:rsid w:val="007C0D4E"/>
    <w:rsid w:val="007C14F3"/>
    <w:rsid w:val="007C173E"/>
    <w:rsid w:val="007C1F67"/>
    <w:rsid w:val="007C23DD"/>
    <w:rsid w:val="007C29A9"/>
    <w:rsid w:val="007C2D67"/>
    <w:rsid w:val="007C2F44"/>
    <w:rsid w:val="007C3634"/>
    <w:rsid w:val="007C3B7F"/>
    <w:rsid w:val="007C3C96"/>
    <w:rsid w:val="007C4103"/>
    <w:rsid w:val="007C4495"/>
    <w:rsid w:val="007C4BDE"/>
    <w:rsid w:val="007C4E4B"/>
    <w:rsid w:val="007C519C"/>
    <w:rsid w:val="007C5883"/>
    <w:rsid w:val="007C5B17"/>
    <w:rsid w:val="007C6210"/>
    <w:rsid w:val="007C6403"/>
    <w:rsid w:val="007C645A"/>
    <w:rsid w:val="007C6699"/>
    <w:rsid w:val="007C6979"/>
    <w:rsid w:val="007C6A70"/>
    <w:rsid w:val="007C6CCB"/>
    <w:rsid w:val="007C6D5B"/>
    <w:rsid w:val="007C6E61"/>
    <w:rsid w:val="007C739D"/>
    <w:rsid w:val="007D0181"/>
    <w:rsid w:val="007D05DA"/>
    <w:rsid w:val="007D09FD"/>
    <w:rsid w:val="007D0A4F"/>
    <w:rsid w:val="007D10FE"/>
    <w:rsid w:val="007D113E"/>
    <w:rsid w:val="007D22A8"/>
    <w:rsid w:val="007D3529"/>
    <w:rsid w:val="007D36A5"/>
    <w:rsid w:val="007D44A3"/>
    <w:rsid w:val="007D4974"/>
    <w:rsid w:val="007D55C9"/>
    <w:rsid w:val="007D5B89"/>
    <w:rsid w:val="007D608C"/>
    <w:rsid w:val="007D6290"/>
    <w:rsid w:val="007D64FF"/>
    <w:rsid w:val="007D69CA"/>
    <w:rsid w:val="007D6D68"/>
    <w:rsid w:val="007D7001"/>
    <w:rsid w:val="007D71B9"/>
    <w:rsid w:val="007D7432"/>
    <w:rsid w:val="007D75A5"/>
    <w:rsid w:val="007E0E9E"/>
    <w:rsid w:val="007E0EFC"/>
    <w:rsid w:val="007E0FB4"/>
    <w:rsid w:val="007E170E"/>
    <w:rsid w:val="007E2403"/>
    <w:rsid w:val="007E275A"/>
    <w:rsid w:val="007E2847"/>
    <w:rsid w:val="007E29E6"/>
    <w:rsid w:val="007E31F4"/>
    <w:rsid w:val="007E37E0"/>
    <w:rsid w:val="007E38EB"/>
    <w:rsid w:val="007E399A"/>
    <w:rsid w:val="007E409A"/>
    <w:rsid w:val="007E40E3"/>
    <w:rsid w:val="007E4247"/>
    <w:rsid w:val="007E4547"/>
    <w:rsid w:val="007E5511"/>
    <w:rsid w:val="007E5879"/>
    <w:rsid w:val="007E590D"/>
    <w:rsid w:val="007E60BA"/>
    <w:rsid w:val="007E6670"/>
    <w:rsid w:val="007E6E04"/>
    <w:rsid w:val="007E7367"/>
    <w:rsid w:val="007E78A5"/>
    <w:rsid w:val="007E7B59"/>
    <w:rsid w:val="007E7DC6"/>
    <w:rsid w:val="007E7F6C"/>
    <w:rsid w:val="007E7FF6"/>
    <w:rsid w:val="007F0387"/>
    <w:rsid w:val="007F041A"/>
    <w:rsid w:val="007F09AA"/>
    <w:rsid w:val="007F0B7F"/>
    <w:rsid w:val="007F0C92"/>
    <w:rsid w:val="007F1081"/>
    <w:rsid w:val="007F1116"/>
    <w:rsid w:val="007F1178"/>
    <w:rsid w:val="007F21DB"/>
    <w:rsid w:val="007F2511"/>
    <w:rsid w:val="007F2905"/>
    <w:rsid w:val="007F2957"/>
    <w:rsid w:val="007F2FCE"/>
    <w:rsid w:val="007F313D"/>
    <w:rsid w:val="007F3161"/>
    <w:rsid w:val="007F3A6C"/>
    <w:rsid w:val="007F3DB3"/>
    <w:rsid w:val="007F4482"/>
    <w:rsid w:val="007F4A7F"/>
    <w:rsid w:val="007F4A8B"/>
    <w:rsid w:val="007F4D37"/>
    <w:rsid w:val="007F5D86"/>
    <w:rsid w:val="007F63BB"/>
    <w:rsid w:val="007F6865"/>
    <w:rsid w:val="007F6956"/>
    <w:rsid w:val="007F6EAE"/>
    <w:rsid w:val="007F77F3"/>
    <w:rsid w:val="007F780D"/>
    <w:rsid w:val="007F795D"/>
    <w:rsid w:val="00800190"/>
    <w:rsid w:val="008001D8"/>
    <w:rsid w:val="00800828"/>
    <w:rsid w:val="008009BF"/>
    <w:rsid w:val="00800CB1"/>
    <w:rsid w:val="00801990"/>
    <w:rsid w:val="00801BEE"/>
    <w:rsid w:val="0080238A"/>
    <w:rsid w:val="008023CD"/>
    <w:rsid w:val="0080250B"/>
    <w:rsid w:val="00802D48"/>
    <w:rsid w:val="00803384"/>
    <w:rsid w:val="008033FE"/>
    <w:rsid w:val="0080350F"/>
    <w:rsid w:val="008036CE"/>
    <w:rsid w:val="008037E4"/>
    <w:rsid w:val="00803E9B"/>
    <w:rsid w:val="00804628"/>
    <w:rsid w:val="008064D4"/>
    <w:rsid w:val="008069F4"/>
    <w:rsid w:val="00806DFB"/>
    <w:rsid w:val="00807483"/>
    <w:rsid w:val="00807A48"/>
    <w:rsid w:val="00807D0A"/>
    <w:rsid w:val="00807D70"/>
    <w:rsid w:val="0081019D"/>
    <w:rsid w:val="008101F4"/>
    <w:rsid w:val="00810750"/>
    <w:rsid w:val="00812651"/>
    <w:rsid w:val="00812691"/>
    <w:rsid w:val="00812864"/>
    <w:rsid w:val="008129A5"/>
    <w:rsid w:val="008134D4"/>
    <w:rsid w:val="00813FD8"/>
    <w:rsid w:val="008143A6"/>
    <w:rsid w:val="0081440D"/>
    <w:rsid w:val="0081474C"/>
    <w:rsid w:val="00814767"/>
    <w:rsid w:val="00814899"/>
    <w:rsid w:val="00815366"/>
    <w:rsid w:val="0081538E"/>
    <w:rsid w:val="008153AC"/>
    <w:rsid w:val="00815609"/>
    <w:rsid w:val="0081607D"/>
    <w:rsid w:val="00816116"/>
    <w:rsid w:val="0081656E"/>
    <w:rsid w:val="008169BC"/>
    <w:rsid w:val="00816BC8"/>
    <w:rsid w:val="008175C6"/>
    <w:rsid w:val="00817837"/>
    <w:rsid w:val="00817B93"/>
    <w:rsid w:val="00817C85"/>
    <w:rsid w:val="00817CD6"/>
    <w:rsid w:val="008205BC"/>
    <w:rsid w:val="008206C6"/>
    <w:rsid w:val="00820C7F"/>
    <w:rsid w:val="0082104C"/>
    <w:rsid w:val="00821722"/>
    <w:rsid w:val="008223BF"/>
    <w:rsid w:val="008226AF"/>
    <w:rsid w:val="00823CB0"/>
    <w:rsid w:val="00823ED5"/>
    <w:rsid w:val="0082410E"/>
    <w:rsid w:val="0082494C"/>
    <w:rsid w:val="00825659"/>
    <w:rsid w:val="0082589E"/>
    <w:rsid w:val="00825A5A"/>
    <w:rsid w:val="0082688D"/>
    <w:rsid w:val="00826E29"/>
    <w:rsid w:val="00830361"/>
    <w:rsid w:val="00830550"/>
    <w:rsid w:val="00830661"/>
    <w:rsid w:val="008308F3"/>
    <w:rsid w:val="00830995"/>
    <w:rsid w:val="00830A9D"/>
    <w:rsid w:val="00830D43"/>
    <w:rsid w:val="00830F95"/>
    <w:rsid w:val="00831996"/>
    <w:rsid w:val="00831ED9"/>
    <w:rsid w:val="0083227B"/>
    <w:rsid w:val="00832CDC"/>
    <w:rsid w:val="008336A3"/>
    <w:rsid w:val="00833B5B"/>
    <w:rsid w:val="008340A1"/>
    <w:rsid w:val="00834128"/>
    <w:rsid w:val="008342F3"/>
    <w:rsid w:val="0083468D"/>
    <w:rsid w:val="00834AFB"/>
    <w:rsid w:val="008351EA"/>
    <w:rsid w:val="00836C78"/>
    <w:rsid w:val="00836EEA"/>
    <w:rsid w:val="00837A42"/>
    <w:rsid w:val="00837B58"/>
    <w:rsid w:val="00837BB6"/>
    <w:rsid w:val="00837D6B"/>
    <w:rsid w:val="00837FC9"/>
    <w:rsid w:val="0084014E"/>
    <w:rsid w:val="008410B1"/>
    <w:rsid w:val="00841340"/>
    <w:rsid w:val="00841456"/>
    <w:rsid w:val="0084162C"/>
    <w:rsid w:val="00841CBF"/>
    <w:rsid w:val="00842548"/>
    <w:rsid w:val="008429ED"/>
    <w:rsid w:val="00842EFC"/>
    <w:rsid w:val="00842F05"/>
    <w:rsid w:val="00842F0B"/>
    <w:rsid w:val="00842F78"/>
    <w:rsid w:val="00843432"/>
    <w:rsid w:val="0084399A"/>
    <w:rsid w:val="00843F70"/>
    <w:rsid w:val="00843FF5"/>
    <w:rsid w:val="008440CD"/>
    <w:rsid w:val="0084471A"/>
    <w:rsid w:val="00844744"/>
    <w:rsid w:val="00844D51"/>
    <w:rsid w:val="00844E1D"/>
    <w:rsid w:val="008455F9"/>
    <w:rsid w:val="00845E21"/>
    <w:rsid w:val="0084635B"/>
    <w:rsid w:val="0084682C"/>
    <w:rsid w:val="0084686F"/>
    <w:rsid w:val="00846A2E"/>
    <w:rsid w:val="00846FB7"/>
    <w:rsid w:val="008477BE"/>
    <w:rsid w:val="00847F90"/>
    <w:rsid w:val="00847F99"/>
    <w:rsid w:val="008503B4"/>
    <w:rsid w:val="008504A4"/>
    <w:rsid w:val="008506D8"/>
    <w:rsid w:val="00850730"/>
    <w:rsid w:val="00850F29"/>
    <w:rsid w:val="00850FE0"/>
    <w:rsid w:val="0085165A"/>
    <w:rsid w:val="00851A63"/>
    <w:rsid w:val="00851F7D"/>
    <w:rsid w:val="00853B96"/>
    <w:rsid w:val="00854418"/>
    <w:rsid w:val="008544C6"/>
    <w:rsid w:val="008545ED"/>
    <w:rsid w:val="008549DF"/>
    <w:rsid w:val="00855024"/>
    <w:rsid w:val="008560D1"/>
    <w:rsid w:val="008569A6"/>
    <w:rsid w:val="008569C2"/>
    <w:rsid w:val="00856ACC"/>
    <w:rsid w:val="00856E45"/>
    <w:rsid w:val="00856E93"/>
    <w:rsid w:val="0085723C"/>
    <w:rsid w:val="00857752"/>
    <w:rsid w:val="00857870"/>
    <w:rsid w:val="00857FBA"/>
    <w:rsid w:val="00857FD9"/>
    <w:rsid w:val="008603E0"/>
    <w:rsid w:val="0086092A"/>
    <w:rsid w:val="00860D7D"/>
    <w:rsid w:val="00860D8D"/>
    <w:rsid w:val="00862371"/>
    <w:rsid w:val="008628DE"/>
    <w:rsid w:val="0086356E"/>
    <w:rsid w:val="0086384C"/>
    <w:rsid w:val="0086400A"/>
    <w:rsid w:val="0086421C"/>
    <w:rsid w:val="00864EFD"/>
    <w:rsid w:val="00865246"/>
    <w:rsid w:val="00865535"/>
    <w:rsid w:val="008659F6"/>
    <w:rsid w:val="00865C5D"/>
    <w:rsid w:val="00866823"/>
    <w:rsid w:val="00866D2D"/>
    <w:rsid w:val="008671B8"/>
    <w:rsid w:val="008677C2"/>
    <w:rsid w:val="00867B65"/>
    <w:rsid w:val="00867FD9"/>
    <w:rsid w:val="00870182"/>
    <w:rsid w:val="008701D8"/>
    <w:rsid w:val="008702E2"/>
    <w:rsid w:val="008706CF"/>
    <w:rsid w:val="008709BF"/>
    <w:rsid w:val="00871BF6"/>
    <w:rsid w:val="00871C4F"/>
    <w:rsid w:val="00872F4D"/>
    <w:rsid w:val="00873656"/>
    <w:rsid w:val="00873F4B"/>
    <w:rsid w:val="00874091"/>
    <w:rsid w:val="00874CA9"/>
    <w:rsid w:val="00875832"/>
    <w:rsid w:val="008759F1"/>
    <w:rsid w:val="00875EE7"/>
    <w:rsid w:val="00875F75"/>
    <w:rsid w:val="00876201"/>
    <w:rsid w:val="00876EC6"/>
    <w:rsid w:val="0087728D"/>
    <w:rsid w:val="00877E9A"/>
    <w:rsid w:val="0088020C"/>
    <w:rsid w:val="008803F1"/>
    <w:rsid w:val="00880C79"/>
    <w:rsid w:val="008814D0"/>
    <w:rsid w:val="00882226"/>
    <w:rsid w:val="00882DE5"/>
    <w:rsid w:val="008838B7"/>
    <w:rsid w:val="00883AAB"/>
    <w:rsid w:val="00883F55"/>
    <w:rsid w:val="008847EB"/>
    <w:rsid w:val="008849C7"/>
    <w:rsid w:val="00884B35"/>
    <w:rsid w:val="00884EDF"/>
    <w:rsid w:val="008854B5"/>
    <w:rsid w:val="00885F08"/>
    <w:rsid w:val="00886246"/>
    <w:rsid w:val="0088633E"/>
    <w:rsid w:val="00886BAF"/>
    <w:rsid w:val="00887226"/>
    <w:rsid w:val="0088766E"/>
    <w:rsid w:val="00887AC8"/>
    <w:rsid w:val="00887FFB"/>
    <w:rsid w:val="00890239"/>
    <w:rsid w:val="008907F9"/>
    <w:rsid w:val="00890AC0"/>
    <w:rsid w:val="008910C6"/>
    <w:rsid w:val="00891160"/>
    <w:rsid w:val="00892597"/>
    <w:rsid w:val="00892673"/>
    <w:rsid w:val="008926EB"/>
    <w:rsid w:val="00892796"/>
    <w:rsid w:val="00892CE1"/>
    <w:rsid w:val="00893089"/>
    <w:rsid w:val="0089370F"/>
    <w:rsid w:val="00893C1E"/>
    <w:rsid w:val="00893CA5"/>
    <w:rsid w:val="00893DE5"/>
    <w:rsid w:val="00894181"/>
    <w:rsid w:val="00894E6F"/>
    <w:rsid w:val="0089522F"/>
    <w:rsid w:val="00895EB2"/>
    <w:rsid w:val="0089609D"/>
    <w:rsid w:val="00896A85"/>
    <w:rsid w:val="00896F89"/>
    <w:rsid w:val="008976D4"/>
    <w:rsid w:val="00897721"/>
    <w:rsid w:val="00897E96"/>
    <w:rsid w:val="00897E9E"/>
    <w:rsid w:val="008A0A36"/>
    <w:rsid w:val="008A0F30"/>
    <w:rsid w:val="008A1100"/>
    <w:rsid w:val="008A15CF"/>
    <w:rsid w:val="008A1C18"/>
    <w:rsid w:val="008A1D95"/>
    <w:rsid w:val="008A1E79"/>
    <w:rsid w:val="008A1F97"/>
    <w:rsid w:val="008A2CCC"/>
    <w:rsid w:val="008A2E29"/>
    <w:rsid w:val="008A3108"/>
    <w:rsid w:val="008A353A"/>
    <w:rsid w:val="008A39D7"/>
    <w:rsid w:val="008A41C2"/>
    <w:rsid w:val="008A4E08"/>
    <w:rsid w:val="008A5392"/>
    <w:rsid w:val="008A5CC8"/>
    <w:rsid w:val="008A618A"/>
    <w:rsid w:val="008A625C"/>
    <w:rsid w:val="008A62C9"/>
    <w:rsid w:val="008A636B"/>
    <w:rsid w:val="008A7005"/>
    <w:rsid w:val="008A7025"/>
    <w:rsid w:val="008A79E7"/>
    <w:rsid w:val="008A7C84"/>
    <w:rsid w:val="008B03C3"/>
    <w:rsid w:val="008B1203"/>
    <w:rsid w:val="008B1DA7"/>
    <w:rsid w:val="008B1E1F"/>
    <w:rsid w:val="008B2B08"/>
    <w:rsid w:val="008B2C6C"/>
    <w:rsid w:val="008B2CD0"/>
    <w:rsid w:val="008B2F31"/>
    <w:rsid w:val="008B39EF"/>
    <w:rsid w:val="008B4B99"/>
    <w:rsid w:val="008B4D3A"/>
    <w:rsid w:val="008B512D"/>
    <w:rsid w:val="008B5C05"/>
    <w:rsid w:val="008B5DD8"/>
    <w:rsid w:val="008B60EB"/>
    <w:rsid w:val="008B6FD0"/>
    <w:rsid w:val="008B7065"/>
    <w:rsid w:val="008B7565"/>
    <w:rsid w:val="008B75D3"/>
    <w:rsid w:val="008B7997"/>
    <w:rsid w:val="008B7A10"/>
    <w:rsid w:val="008C0365"/>
    <w:rsid w:val="008C13C0"/>
    <w:rsid w:val="008C1E57"/>
    <w:rsid w:val="008C1ED7"/>
    <w:rsid w:val="008C2EAF"/>
    <w:rsid w:val="008C2F3F"/>
    <w:rsid w:val="008C3005"/>
    <w:rsid w:val="008C30B4"/>
    <w:rsid w:val="008C38B0"/>
    <w:rsid w:val="008C45FE"/>
    <w:rsid w:val="008C46BF"/>
    <w:rsid w:val="008C49A5"/>
    <w:rsid w:val="008C4F44"/>
    <w:rsid w:val="008C5096"/>
    <w:rsid w:val="008C5AFB"/>
    <w:rsid w:val="008C628B"/>
    <w:rsid w:val="008C6E50"/>
    <w:rsid w:val="008C6E91"/>
    <w:rsid w:val="008C6EFC"/>
    <w:rsid w:val="008C79AF"/>
    <w:rsid w:val="008C79D4"/>
    <w:rsid w:val="008D023B"/>
    <w:rsid w:val="008D0D24"/>
    <w:rsid w:val="008D12F0"/>
    <w:rsid w:val="008D1764"/>
    <w:rsid w:val="008D1937"/>
    <w:rsid w:val="008D1ABD"/>
    <w:rsid w:val="008D20DD"/>
    <w:rsid w:val="008D2863"/>
    <w:rsid w:val="008D28A7"/>
    <w:rsid w:val="008D3223"/>
    <w:rsid w:val="008D3362"/>
    <w:rsid w:val="008D3A45"/>
    <w:rsid w:val="008D3D16"/>
    <w:rsid w:val="008D4086"/>
    <w:rsid w:val="008D4487"/>
    <w:rsid w:val="008D4F75"/>
    <w:rsid w:val="008D5483"/>
    <w:rsid w:val="008D59AC"/>
    <w:rsid w:val="008D5E8B"/>
    <w:rsid w:val="008D6060"/>
    <w:rsid w:val="008D6090"/>
    <w:rsid w:val="008D609F"/>
    <w:rsid w:val="008D6124"/>
    <w:rsid w:val="008D6243"/>
    <w:rsid w:val="008D683C"/>
    <w:rsid w:val="008D696D"/>
    <w:rsid w:val="008D6CDF"/>
    <w:rsid w:val="008D6CEC"/>
    <w:rsid w:val="008D743C"/>
    <w:rsid w:val="008D7902"/>
    <w:rsid w:val="008D7CB3"/>
    <w:rsid w:val="008E0172"/>
    <w:rsid w:val="008E06D2"/>
    <w:rsid w:val="008E09FB"/>
    <w:rsid w:val="008E1257"/>
    <w:rsid w:val="008E15CB"/>
    <w:rsid w:val="008E26FA"/>
    <w:rsid w:val="008E2AB3"/>
    <w:rsid w:val="008E3B2E"/>
    <w:rsid w:val="008E4314"/>
    <w:rsid w:val="008E4713"/>
    <w:rsid w:val="008E4B90"/>
    <w:rsid w:val="008E5B37"/>
    <w:rsid w:val="008E5C34"/>
    <w:rsid w:val="008E6507"/>
    <w:rsid w:val="008E650C"/>
    <w:rsid w:val="008E6DBB"/>
    <w:rsid w:val="008E7D7A"/>
    <w:rsid w:val="008F0516"/>
    <w:rsid w:val="008F0FF1"/>
    <w:rsid w:val="008F30EB"/>
    <w:rsid w:val="008F3346"/>
    <w:rsid w:val="008F3355"/>
    <w:rsid w:val="008F45E2"/>
    <w:rsid w:val="008F46E9"/>
    <w:rsid w:val="008F5316"/>
    <w:rsid w:val="008F53A3"/>
    <w:rsid w:val="008F58D6"/>
    <w:rsid w:val="008F5A7B"/>
    <w:rsid w:val="008F5E21"/>
    <w:rsid w:val="008F604D"/>
    <w:rsid w:val="008F60A5"/>
    <w:rsid w:val="008F64F6"/>
    <w:rsid w:val="008F6AF0"/>
    <w:rsid w:val="008F7488"/>
    <w:rsid w:val="008F7759"/>
    <w:rsid w:val="0090022E"/>
    <w:rsid w:val="009004FB"/>
    <w:rsid w:val="00900C20"/>
    <w:rsid w:val="00900C68"/>
    <w:rsid w:val="00901608"/>
    <w:rsid w:val="00901649"/>
    <w:rsid w:val="00901D15"/>
    <w:rsid w:val="00902519"/>
    <w:rsid w:val="0090253F"/>
    <w:rsid w:val="009025BE"/>
    <w:rsid w:val="009026A2"/>
    <w:rsid w:val="00902B79"/>
    <w:rsid w:val="00902C45"/>
    <w:rsid w:val="00902D61"/>
    <w:rsid w:val="00903BAE"/>
    <w:rsid w:val="00904149"/>
    <w:rsid w:val="009043A8"/>
    <w:rsid w:val="00904761"/>
    <w:rsid w:val="00904EB9"/>
    <w:rsid w:val="00905E11"/>
    <w:rsid w:val="00905F4B"/>
    <w:rsid w:val="00906166"/>
    <w:rsid w:val="00906A93"/>
    <w:rsid w:val="00907FA7"/>
    <w:rsid w:val="009106A7"/>
    <w:rsid w:val="00910AF4"/>
    <w:rsid w:val="00911CE5"/>
    <w:rsid w:val="0091207C"/>
    <w:rsid w:val="00912336"/>
    <w:rsid w:val="009126A7"/>
    <w:rsid w:val="00912D8B"/>
    <w:rsid w:val="009135D7"/>
    <w:rsid w:val="0091382B"/>
    <w:rsid w:val="00913C14"/>
    <w:rsid w:val="00913CFA"/>
    <w:rsid w:val="009140CB"/>
    <w:rsid w:val="0091447C"/>
    <w:rsid w:val="00914972"/>
    <w:rsid w:val="00914E69"/>
    <w:rsid w:val="00915862"/>
    <w:rsid w:val="00915A14"/>
    <w:rsid w:val="00915AC0"/>
    <w:rsid w:val="00917441"/>
    <w:rsid w:val="00917BD1"/>
    <w:rsid w:val="00917D67"/>
    <w:rsid w:val="009202ED"/>
    <w:rsid w:val="00920378"/>
    <w:rsid w:val="00920E4B"/>
    <w:rsid w:val="00921381"/>
    <w:rsid w:val="0092174C"/>
    <w:rsid w:val="00921C38"/>
    <w:rsid w:val="00921C92"/>
    <w:rsid w:val="00921CFE"/>
    <w:rsid w:val="00921D8F"/>
    <w:rsid w:val="00921ED8"/>
    <w:rsid w:val="0092230F"/>
    <w:rsid w:val="00922515"/>
    <w:rsid w:val="00922A44"/>
    <w:rsid w:val="00922DAB"/>
    <w:rsid w:val="00923BD9"/>
    <w:rsid w:val="00923CA2"/>
    <w:rsid w:val="00923DF6"/>
    <w:rsid w:val="00923F39"/>
    <w:rsid w:val="009242CA"/>
    <w:rsid w:val="0092455D"/>
    <w:rsid w:val="00924BC9"/>
    <w:rsid w:val="00924FF2"/>
    <w:rsid w:val="00925893"/>
    <w:rsid w:val="00925E51"/>
    <w:rsid w:val="009264B0"/>
    <w:rsid w:val="00927165"/>
    <w:rsid w:val="00927296"/>
    <w:rsid w:val="0092765C"/>
    <w:rsid w:val="00927F76"/>
    <w:rsid w:val="00930155"/>
    <w:rsid w:val="00930B27"/>
    <w:rsid w:val="00931012"/>
    <w:rsid w:val="0093139A"/>
    <w:rsid w:val="00931A4B"/>
    <w:rsid w:val="009327C2"/>
    <w:rsid w:val="009327E3"/>
    <w:rsid w:val="00932896"/>
    <w:rsid w:val="009329D8"/>
    <w:rsid w:val="00932A60"/>
    <w:rsid w:val="00932B59"/>
    <w:rsid w:val="00933529"/>
    <w:rsid w:val="00933652"/>
    <w:rsid w:val="0093380E"/>
    <w:rsid w:val="00933BCE"/>
    <w:rsid w:val="00933C1F"/>
    <w:rsid w:val="00933EBE"/>
    <w:rsid w:val="009344C2"/>
    <w:rsid w:val="00934E87"/>
    <w:rsid w:val="009351A6"/>
    <w:rsid w:val="00935696"/>
    <w:rsid w:val="009356EC"/>
    <w:rsid w:val="00936311"/>
    <w:rsid w:val="00936AC8"/>
    <w:rsid w:val="00937016"/>
    <w:rsid w:val="00937516"/>
    <w:rsid w:val="00937892"/>
    <w:rsid w:val="009401C2"/>
    <w:rsid w:val="009404E5"/>
    <w:rsid w:val="0094072C"/>
    <w:rsid w:val="00941110"/>
    <w:rsid w:val="00941157"/>
    <w:rsid w:val="0094143E"/>
    <w:rsid w:val="009418DD"/>
    <w:rsid w:val="0094190A"/>
    <w:rsid w:val="00941925"/>
    <w:rsid w:val="00941D38"/>
    <w:rsid w:val="00941EF8"/>
    <w:rsid w:val="0094274E"/>
    <w:rsid w:val="0094292E"/>
    <w:rsid w:val="009435A0"/>
    <w:rsid w:val="00943609"/>
    <w:rsid w:val="00943DD3"/>
    <w:rsid w:val="0094484D"/>
    <w:rsid w:val="00944C36"/>
    <w:rsid w:val="00945230"/>
    <w:rsid w:val="00945827"/>
    <w:rsid w:val="00946640"/>
    <w:rsid w:val="0094670A"/>
    <w:rsid w:val="0094689D"/>
    <w:rsid w:val="009468BA"/>
    <w:rsid w:val="00946E10"/>
    <w:rsid w:val="0095048A"/>
    <w:rsid w:val="0095079E"/>
    <w:rsid w:val="009507BC"/>
    <w:rsid w:val="009512F2"/>
    <w:rsid w:val="009517CF"/>
    <w:rsid w:val="00951988"/>
    <w:rsid w:val="00952052"/>
    <w:rsid w:val="009523A0"/>
    <w:rsid w:val="009527C0"/>
    <w:rsid w:val="00952947"/>
    <w:rsid w:val="00952C40"/>
    <w:rsid w:val="009534FB"/>
    <w:rsid w:val="0095381D"/>
    <w:rsid w:val="00954331"/>
    <w:rsid w:val="00954477"/>
    <w:rsid w:val="00954724"/>
    <w:rsid w:val="00954C63"/>
    <w:rsid w:val="00955110"/>
    <w:rsid w:val="009574DC"/>
    <w:rsid w:val="00957EB6"/>
    <w:rsid w:val="0096100F"/>
    <w:rsid w:val="00961AAD"/>
    <w:rsid w:val="00961B23"/>
    <w:rsid w:val="00961B50"/>
    <w:rsid w:val="00961C21"/>
    <w:rsid w:val="00962422"/>
    <w:rsid w:val="0096266E"/>
    <w:rsid w:val="00963221"/>
    <w:rsid w:val="0096339C"/>
    <w:rsid w:val="009638FD"/>
    <w:rsid w:val="00963A4C"/>
    <w:rsid w:val="00964426"/>
    <w:rsid w:val="00964EE8"/>
    <w:rsid w:val="00965F33"/>
    <w:rsid w:val="00965F89"/>
    <w:rsid w:val="00966538"/>
    <w:rsid w:val="0096654B"/>
    <w:rsid w:val="00966696"/>
    <w:rsid w:val="009666C5"/>
    <w:rsid w:val="00966845"/>
    <w:rsid w:val="00966B55"/>
    <w:rsid w:val="00966DA9"/>
    <w:rsid w:val="00966DF1"/>
    <w:rsid w:val="00967CED"/>
    <w:rsid w:val="00967FF9"/>
    <w:rsid w:val="009700EF"/>
    <w:rsid w:val="00970133"/>
    <w:rsid w:val="00970DD3"/>
    <w:rsid w:val="00970E3F"/>
    <w:rsid w:val="00971B5A"/>
    <w:rsid w:val="00971E99"/>
    <w:rsid w:val="0097229B"/>
    <w:rsid w:val="00972773"/>
    <w:rsid w:val="00972AFB"/>
    <w:rsid w:val="00972C19"/>
    <w:rsid w:val="00972DB4"/>
    <w:rsid w:val="00974041"/>
    <w:rsid w:val="009745B6"/>
    <w:rsid w:val="009750CE"/>
    <w:rsid w:val="00975204"/>
    <w:rsid w:val="00975267"/>
    <w:rsid w:val="00975B34"/>
    <w:rsid w:val="00976180"/>
    <w:rsid w:val="00976410"/>
    <w:rsid w:val="0097647C"/>
    <w:rsid w:val="00976698"/>
    <w:rsid w:val="00976A0C"/>
    <w:rsid w:val="00976FF7"/>
    <w:rsid w:val="009774C2"/>
    <w:rsid w:val="0097759B"/>
    <w:rsid w:val="0097784C"/>
    <w:rsid w:val="00977B60"/>
    <w:rsid w:val="00977D6F"/>
    <w:rsid w:val="00977E79"/>
    <w:rsid w:val="009808DC"/>
    <w:rsid w:val="009811FA"/>
    <w:rsid w:val="00981B7B"/>
    <w:rsid w:val="00981D07"/>
    <w:rsid w:val="009820C3"/>
    <w:rsid w:val="0098240F"/>
    <w:rsid w:val="00982557"/>
    <w:rsid w:val="00982570"/>
    <w:rsid w:val="009833EC"/>
    <w:rsid w:val="009839E5"/>
    <w:rsid w:val="00983E0A"/>
    <w:rsid w:val="00983F7B"/>
    <w:rsid w:val="00983FC8"/>
    <w:rsid w:val="0098449C"/>
    <w:rsid w:val="00984B67"/>
    <w:rsid w:val="0098503C"/>
    <w:rsid w:val="009857DF"/>
    <w:rsid w:val="0098638A"/>
    <w:rsid w:val="0098669B"/>
    <w:rsid w:val="00986973"/>
    <w:rsid w:val="00987040"/>
    <w:rsid w:val="00987417"/>
    <w:rsid w:val="00987716"/>
    <w:rsid w:val="0098786A"/>
    <w:rsid w:val="009900EE"/>
    <w:rsid w:val="009908FB"/>
    <w:rsid w:val="00990B18"/>
    <w:rsid w:val="00990CBB"/>
    <w:rsid w:val="00991273"/>
    <w:rsid w:val="00991E6A"/>
    <w:rsid w:val="00992F8E"/>
    <w:rsid w:val="00992FBA"/>
    <w:rsid w:val="009930F4"/>
    <w:rsid w:val="00993A88"/>
    <w:rsid w:val="009941DC"/>
    <w:rsid w:val="00995903"/>
    <w:rsid w:val="00996027"/>
    <w:rsid w:val="0099691A"/>
    <w:rsid w:val="00996D3A"/>
    <w:rsid w:val="00996EA8"/>
    <w:rsid w:val="009974CB"/>
    <w:rsid w:val="00997836"/>
    <w:rsid w:val="00997C3E"/>
    <w:rsid w:val="009A05D2"/>
    <w:rsid w:val="009A0CFC"/>
    <w:rsid w:val="009A1410"/>
    <w:rsid w:val="009A1DA5"/>
    <w:rsid w:val="009A23C4"/>
    <w:rsid w:val="009A2AE5"/>
    <w:rsid w:val="009A381D"/>
    <w:rsid w:val="009A4845"/>
    <w:rsid w:val="009A5245"/>
    <w:rsid w:val="009A526E"/>
    <w:rsid w:val="009A57E6"/>
    <w:rsid w:val="009A6604"/>
    <w:rsid w:val="009A666F"/>
    <w:rsid w:val="009A7A63"/>
    <w:rsid w:val="009B0232"/>
    <w:rsid w:val="009B0A8B"/>
    <w:rsid w:val="009B0B9F"/>
    <w:rsid w:val="009B0D3A"/>
    <w:rsid w:val="009B1128"/>
    <w:rsid w:val="009B1CCB"/>
    <w:rsid w:val="009B228F"/>
    <w:rsid w:val="009B2454"/>
    <w:rsid w:val="009B2916"/>
    <w:rsid w:val="009B316C"/>
    <w:rsid w:val="009B34A5"/>
    <w:rsid w:val="009B396F"/>
    <w:rsid w:val="009B4828"/>
    <w:rsid w:val="009B52DA"/>
    <w:rsid w:val="009B6C82"/>
    <w:rsid w:val="009B6D57"/>
    <w:rsid w:val="009B7745"/>
    <w:rsid w:val="009B7BAE"/>
    <w:rsid w:val="009C0082"/>
    <w:rsid w:val="009C01A6"/>
    <w:rsid w:val="009C0228"/>
    <w:rsid w:val="009C0303"/>
    <w:rsid w:val="009C0914"/>
    <w:rsid w:val="009C1109"/>
    <w:rsid w:val="009C1476"/>
    <w:rsid w:val="009C1DB8"/>
    <w:rsid w:val="009C1EF8"/>
    <w:rsid w:val="009C1FC2"/>
    <w:rsid w:val="009C235C"/>
    <w:rsid w:val="009C25E4"/>
    <w:rsid w:val="009C29CA"/>
    <w:rsid w:val="009C317A"/>
    <w:rsid w:val="009C3481"/>
    <w:rsid w:val="009C43F0"/>
    <w:rsid w:val="009C525A"/>
    <w:rsid w:val="009C551D"/>
    <w:rsid w:val="009C57F9"/>
    <w:rsid w:val="009C5B0F"/>
    <w:rsid w:val="009C67BB"/>
    <w:rsid w:val="009C6958"/>
    <w:rsid w:val="009C70B9"/>
    <w:rsid w:val="009C72F5"/>
    <w:rsid w:val="009C73D6"/>
    <w:rsid w:val="009C747F"/>
    <w:rsid w:val="009C771E"/>
    <w:rsid w:val="009C7AC4"/>
    <w:rsid w:val="009D0204"/>
    <w:rsid w:val="009D0389"/>
    <w:rsid w:val="009D0C80"/>
    <w:rsid w:val="009D0EBF"/>
    <w:rsid w:val="009D1905"/>
    <w:rsid w:val="009D1E40"/>
    <w:rsid w:val="009D230D"/>
    <w:rsid w:val="009D23DE"/>
    <w:rsid w:val="009D2939"/>
    <w:rsid w:val="009D2C20"/>
    <w:rsid w:val="009D318B"/>
    <w:rsid w:val="009D3940"/>
    <w:rsid w:val="009D3DAB"/>
    <w:rsid w:val="009D4226"/>
    <w:rsid w:val="009D4CCB"/>
    <w:rsid w:val="009D4D3B"/>
    <w:rsid w:val="009D4F87"/>
    <w:rsid w:val="009D50B9"/>
    <w:rsid w:val="009D5A0F"/>
    <w:rsid w:val="009D5B32"/>
    <w:rsid w:val="009D5CFC"/>
    <w:rsid w:val="009D6276"/>
    <w:rsid w:val="009D62E2"/>
    <w:rsid w:val="009D65AD"/>
    <w:rsid w:val="009D68AA"/>
    <w:rsid w:val="009D6AB8"/>
    <w:rsid w:val="009D6B9E"/>
    <w:rsid w:val="009D7534"/>
    <w:rsid w:val="009D7FC6"/>
    <w:rsid w:val="009E00F3"/>
    <w:rsid w:val="009E0880"/>
    <w:rsid w:val="009E098C"/>
    <w:rsid w:val="009E0A6F"/>
    <w:rsid w:val="009E1D5D"/>
    <w:rsid w:val="009E1F46"/>
    <w:rsid w:val="009E2AD8"/>
    <w:rsid w:val="009E33E0"/>
    <w:rsid w:val="009E34EE"/>
    <w:rsid w:val="009E45A7"/>
    <w:rsid w:val="009E4B81"/>
    <w:rsid w:val="009E5364"/>
    <w:rsid w:val="009E5684"/>
    <w:rsid w:val="009E5EBC"/>
    <w:rsid w:val="009E74A4"/>
    <w:rsid w:val="009F0EB6"/>
    <w:rsid w:val="009F13C1"/>
    <w:rsid w:val="009F179B"/>
    <w:rsid w:val="009F255C"/>
    <w:rsid w:val="009F27AF"/>
    <w:rsid w:val="009F2D7E"/>
    <w:rsid w:val="009F2E35"/>
    <w:rsid w:val="009F2EC0"/>
    <w:rsid w:val="009F3A10"/>
    <w:rsid w:val="009F3E9B"/>
    <w:rsid w:val="009F4227"/>
    <w:rsid w:val="009F4809"/>
    <w:rsid w:val="009F4CD5"/>
    <w:rsid w:val="009F5E6B"/>
    <w:rsid w:val="009F60D8"/>
    <w:rsid w:val="009F62E5"/>
    <w:rsid w:val="009F6577"/>
    <w:rsid w:val="009F69CB"/>
    <w:rsid w:val="009F6E03"/>
    <w:rsid w:val="00A000FF"/>
    <w:rsid w:val="00A0021F"/>
    <w:rsid w:val="00A00CF2"/>
    <w:rsid w:val="00A0116F"/>
    <w:rsid w:val="00A01796"/>
    <w:rsid w:val="00A01BED"/>
    <w:rsid w:val="00A01F9E"/>
    <w:rsid w:val="00A030C5"/>
    <w:rsid w:val="00A03614"/>
    <w:rsid w:val="00A03BD2"/>
    <w:rsid w:val="00A04350"/>
    <w:rsid w:val="00A04376"/>
    <w:rsid w:val="00A04749"/>
    <w:rsid w:val="00A04A47"/>
    <w:rsid w:val="00A0522C"/>
    <w:rsid w:val="00A05271"/>
    <w:rsid w:val="00A052D9"/>
    <w:rsid w:val="00A05442"/>
    <w:rsid w:val="00A05896"/>
    <w:rsid w:val="00A05ACC"/>
    <w:rsid w:val="00A06049"/>
    <w:rsid w:val="00A060D5"/>
    <w:rsid w:val="00A06232"/>
    <w:rsid w:val="00A0645B"/>
    <w:rsid w:val="00A06470"/>
    <w:rsid w:val="00A065AD"/>
    <w:rsid w:val="00A0663E"/>
    <w:rsid w:val="00A06B42"/>
    <w:rsid w:val="00A0704F"/>
    <w:rsid w:val="00A07683"/>
    <w:rsid w:val="00A0782F"/>
    <w:rsid w:val="00A07E53"/>
    <w:rsid w:val="00A07E85"/>
    <w:rsid w:val="00A102EF"/>
    <w:rsid w:val="00A108F5"/>
    <w:rsid w:val="00A10BF1"/>
    <w:rsid w:val="00A1150B"/>
    <w:rsid w:val="00A11C73"/>
    <w:rsid w:val="00A11CBB"/>
    <w:rsid w:val="00A11E90"/>
    <w:rsid w:val="00A127B4"/>
    <w:rsid w:val="00A12BA8"/>
    <w:rsid w:val="00A12BFE"/>
    <w:rsid w:val="00A134F3"/>
    <w:rsid w:val="00A13A86"/>
    <w:rsid w:val="00A13F57"/>
    <w:rsid w:val="00A149FB"/>
    <w:rsid w:val="00A14C9B"/>
    <w:rsid w:val="00A14F86"/>
    <w:rsid w:val="00A15F77"/>
    <w:rsid w:val="00A162F5"/>
    <w:rsid w:val="00A162FE"/>
    <w:rsid w:val="00A1647E"/>
    <w:rsid w:val="00A16827"/>
    <w:rsid w:val="00A16E5B"/>
    <w:rsid w:val="00A20141"/>
    <w:rsid w:val="00A204B5"/>
    <w:rsid w:val="00A21078"/>
    <w:rsid w:val="00A210D0"/>
    <w:rsid w:val="00A210D7"/>
    <w:rsid w:val="00A215BD"/>
    <w:rsid w:val="00A21AC8"/>
    <w:rsid w:val="00A21B98"/>
    <w:rsid w:val="00A21BF2"/>
    <w:rsid w:val="00A2213B"/>
    <w:rsid w:val="00A22382"/>
    <w:rsid w:val="00A23939"/>
    <w:rsid w:val="00A23C47"/>
    <w:rsid w:val="00A24489"/>
    <w:rsid w:val="00A24658"/>
    <w:rsid w:val="00A24EBC"/>
    <w:rsid w:val="00A2527F"/>
    <w:rsid w:val="00A25548"/>
    <w:rsid w:val="00A259C4"/>
    <w:rsid w:val="00A2618B"/>
    <w:rsid w:val="00A265B8"/>
    <w:rsid w:val="00A266E1"/>
    <w:rsid w:val="00A2699A"/>
    <w:rsid w:val="00A26B8D"/>
    <w:rsid w:val="00A274C0"/>
    <w:rsid w:val="00A27AE5"/>
    <w:rsid w:val="00A30F92"/>
    <w:rsid w:val="00A31625"/>
    <w:rsid w:val="00A325BE"/>
    <w:rsid w:val="00A329A1"/>
    <w:rsid w:val="00A329B2"/>
    <w:rsid w:val="00A32E76"/>
    <w:rsid w:val="00A339F3"/>
    <w:rsid w:val="00A33F0F"/>
    <w:rsid w:val="00A33F6C"/>
    <w:rsid w:val="00A34B98"/>
    <w:rsid w:val="00A35120"/>
    <w:rsid w:val="00A35A17"/>
    <w:rsid w:val="00A3625E"/>
    <w:rsid w:val="00A3658E"/>
    <w:rsid w:val="00A36750"/>
    <w:rsid w:val="00A36915"/>
    <w:rsid w:val="00A36B09"/>
    <w:rsid w:val="00A37846"/>
    <w:rsid w:val="00A402D7"/>
    <w:rsid w:val="00A4141E"/>
    <w:rsid w:val="00A42033"/>
    <w:rsid w:val="00A423D3"/>
    <w:rsid w:val="00A42F81"/>
    <w:rsid w:val="00A43079"/>
    <w:rsid w:val="00A4386F"/>
    <w:rsid w:val="00A438C5"/>
    <w:rsid w:val="00A43924"/>
    <w:rsid w:val="00A43935"/>
    <w:rsid w:val="00A43EDD"/>
    <w:rsid w:val="00A443A6"/>
    <w:rsid w:val="00A44C9E"/>
    <w:rsid w:val="00A45822"/>
    <w:rsid w:val="00A46247"/>
    <w:rsid w:val="00A469E4"/>
    <w:rsid w:val="00A46BA3"/>
    <w:rsid w:val="00A46BC0"/>
    <w:rsid w:val="00A47132"/>
    <w:rsid w:val="00A47A9B"/>
    <w:rsid w:val="00A509E6"/>
    <w:rsid w:val="00A5118D"/>
    <w:rsid w:val="00A51B17"/>
    <w:rsid w:val="00A5216F"/>
    <w:rsid w:val="00A52929"/>
    <w:rsid w:val="00A536A6"/>
    <w:rsid w:val="00A53800"/>
    <w:rsid w:val="00A539B2"/>
    <w:rsid w:val="00A53EF4"/>
    <w:rsid w:val="00A54951"/>
    <w:rsid w:val="00A54ABB"/>
    <w:rsid w:val="00A54C27"/>
    <w:rsid w:val="00A55445"/>
    <w:rsid w:val="00A5547A"/>
    <w:rsid w:val="00A554DB"/>
    <w:rsid w:val="00A554FF"/>
    <w:rsid w:val="00A5552E"/>
    <w:rsid w:val="00A56021"/>
    <w:rsid w:val="00A56409"/>
    <w:rsid w:val="00A56E2A"/>
    <w:rsid w:val="00A572BA"/>
    <w:rsid w:val="00A57912"/>
    <w:rsid w:val="00A602C2"/>
    <w:rsid w:val="00A60D7C"/>
    <w:rsid w:val="00A6155E"/>
    <w:rsid w:val="00A628A5"/>
    <w:rsid w:val="00A62F6F"/>
    <w:rsid w:val="00A63633"/>
    <w:rsid w:val="00A6434D"/>
    <w:rsid w:val="00A648F9"/>
    <w:rsid w:val="00A6495B"/>
    <w:rsid w:val="00A649C6"/>
    <w:rsid w:val="00A64E36"/>
    <w:rsid w:val="00A65017"/>
    <w:rsid w:val="00A65C8E"/>
    <w:rsid w:val="00A65E3E"/>
    <w:rsid w:val="00A65F8D"/>
    <w:rsid w:val="00A663E0"/>
    <w:rsid w:val="00A66759"/>
    <w:rsid w:val="00A66E9C"/>
    <w:rsid w:val="00A67153"/>
    <w:rsid w:val="00A6778F"/>
    <w:rsid w:val="00A701A8"/>
    <w:rsid w:val="00A71238"/>
    <w:rsid w:val="00A716C3"/>
    <w:rsid w:val="00A72354"/>
    <w:rsid w:val="00A723F1"/>
    <w:rsid w:val="00A729C5"/>
    <w:rsid w:val="00A72AA2"/>
    <w:rsid w:val="00A72D43"/>
    <w:rsid w:val="00A739C7"/>
    <w:rsid w:val="00A7407B"/>
    <w:rsid w:val="00A742D3"/>
    <w:rsid w:val="00A743FF"/>
    <w:rsid w:val="00A744A8"/>
    <w:rsid w:val="00A7481C"/>
    <w:rsid w:val="00A74873"/>
    <w:rsid w:val="00A74F16"/>
    <w:rsid w:val="00A75E94"/>
    <w:rsid w:val="00A75FDC"/>
    <w:rsid w:val="00A76311"/>
    <w:rsid w:val="00A767AA"/>
    <w:rsid w:val="00A76BE8"/>
    <w:rsid w:val="00A76E5F"/>
    <w:rsid w:val="00A76F1B"/>
    <w:rsid w:val="00A772D4"/>
    <w:rsid w:val="00A77D6F"/>
    <w:rsid w:val="00A803FF"/>
    <w:rsid w:val="00A80615"/>
    <w:rsid w:val="00A80B6E"/>
    <w:rsid w:val="00A8116D"/>
    <w:rsid w:val="00A811D2"/>
    <w:rsid w:val="00A823B6"/>
    <w:rsid w:val="00A82462"/>
    <w:rsid w:val="00A82BC5"/>
    <w:rsid w:val="00A83997"/>
    <w:rsid w:val="00A84CA8"/>
    <w:rsid w:val="00A84E45"/>
    <w:rsid w:val="00A851D6"/>
    <w:rsid w:val="00A85650"/>
    <w:rsid w:val="00A858D1"/>
    <w:rsid w:val="00A85E3D"/>
    <w:rsid w:val="00A85EBF"/>
    <w:rsid w:val="00A86234"/>
    <w:rsid w:val="00A86C44"/>
    <w:rsid w:val="00A86C8B"/>
    <w:rsid w:val="00A86ECA"/>
    <w:rsid w:val="00A871F6"/>
    <w:rsid w:val="00A8777F"/>
    <w:rsid w:val="00A87964"/>
    <w:rsid w:val="00A87E9B"/>
    <w:rsid w:val="00A87FCF"/>
    <w:rsid w:val="00A908DD"/>
    <w:rsid w:val="00A90975"/>
    <w:rsid w:val="00A9156C"/>
    <w:rsid w:val="00A91BA7"/>
    <w:rsid w:val="00A91BFB"/>
    <w:rsid w:val="00A91C26"/>
    <w:rsid w:val="00A92053"/>
    <w:rsid w:val="00A92185"/>
    <w:rsid w:val="00A92250"/>
    <w:rsid w:val="00A92A81"/>
    <w:rsid w:val="00A92D31"/>
    <w:rsid w:val="00A93608"/>
    <w:rsid w:val="00A936CD"/>
    <w:rsid w:val="00A93E30"/>
    <w:rsid w:val="00A94095"/>
    <w:rsid w:val="00A94718"/>
    <w:rsid w:val="00A947ED"/>
    <w:rsid w:val="00A94C28"/>
    <w:rsid w:val="00A95EB1"/>
    <w:rsid w:val="00A96758"/>
    <w:rsid w:val="00A96837"/>
    <w:rsid w:val="00A96BA5"/>
    <w:rsid w:val="00A96D02"/>
    <w:rsid w:val="00A96D8E"/>
    <w:rsid w:val="00A97437"/>
    <w:rsid w:val="00A97941"/>
    <w:rsid w:val="00AA0113"/>
    <w:rsid w:val="00AA0299"/>
    <w:rsid w:val="00AA0410"/>
    <w:rsid w:val="00AA0842"/>
    <w:rsid w:val="00AA093C"/>
    <w:rsid w:val="00AA0A9C"/>
    <w:rsid w:val="00AA0D59"/>
    <w:rsid w:val="00AA1089"/>
    <w:rsid w:val="00AA1D09"/>
    <w:rsid w:val="00AA1D5D"/>
    <w:rsid w:val="00AA205C"/>
    <w:rsid w:val="00AA2F95"/>
    <w:rsid w:val="00AA32BC"/>
    <w:rsid w:val="00AA34AD"/>
    <w:rsid w:val="00AA364A"/>
    <w:rsid w:val="00AA36C0"/>
    <w:rsid w:val="00AA3E16"/>
    <w:rsid w:val="00AA4D05"/>
    <w:rsid w:val="00AA52A3"/>
    <w:rsid w:val="00AA5506"/>
    <w:rsid w:val="00AA681F"/>
    <w:rsid w:val="00AA70B0"/>
    <w:rsid w:val="00AA79D9"/>
    <w:rsid w:val="00AA7D8D"/>
    <w:rsid w:val="00AB197A"/>
    <w:rsid w:val="00AB21B6"/>
    <w:rsid w:val="00AB2555"/>
    <w:rsid w:val="00AB2A41"/>
    <w:rsid w:val="00AB2C5F"/>
    <w:rsid w:val="00AB2E9B"/>
    <w:rsid w:val="00AB375C"/>
    <w:rsid w:val="00AB37FE"/>
    <w:rsid w:val="00AB3831"/>
    <w:rsid w:val="00AB4023"/>
    <w:rsid w:val="00AB4252"/>
    <w:rsid w:val="00AB5079"/>
    <w:rsid w:val="00AB5223"/>
    <w:rsid w:val="00AB5370"/>
    <w:rsid w:val="00AB5AC5"/>
    <w:rsid w:val="00AB5FCF"/>
    <w:rsid w:val="00AB62C9"/>
    <w:rsid w:val="00AB672B"/>
    <w:rsid w:val="00AB7F44"/>
    <w:rsid w:val="00AC0554"/>
    <w:rsid w:val="00AC05AC"/>
    <w:rsid w:val="00AC0A40"/>
    <w:rsid w:val="00AC14BC"/>
    <w:rsid w:val="00AC15B7"/>
    <w:rsid w:val="00AC1FF7"/>
    <w:rsid w:val="00AC20D9"/>
    <w:rsid w:val="00AC25C6"/>
    <w:rsid w:val="00AC28B1"/>
    <w:rsid w:val="00AC2D71"/>
    <w:rsid w:val="00AC3C4F"/>
    <w:rsid w:val="00AC436D"/>
    <w:rsid w:val="00AC46AD"/>
    <w:rsid w:val="00AC4CAC"/>
    <w:rsid w:val="00AC53E0"/>
    <w:rsid w:val="00AC562A"/>
    <w:rsid w:val="00AC5809"/>
    <w:rsid w:val="00AC59F1"/>
    <w:rsid w:val="00AC5A0C"/>
    <w:rsid w:val="00AC665F"/>
    <w:rsid w:val="00AC708C"/>
    <w:rsid w:val="00AC7121"/>
    <w:rsid w:val="00AC7A77"/>
    <w:rsid w:val="00AD0992"/>
    <w:rsid w:val="00AD15B9"/>
    <w:rsid w:val="00AD16A2"/>
    <w:rsid w:val="00AD19A4"/>
    <w:rsid w:val="00AD1CE0"/>
    <w:rsid w:val="00AD1FCF"/>
    <w:rsid w:val="00AD224B"/>
    <w:rsid w:val="00AD26F0"/>
    <w:rsid w:val="00AD2E7E"/>
    <w:rsid w:val="00AD3008"/>
    <w:rsid w:val="00AD3431"/>
    <w:rsid w:val="00AD3CE4"/>
    <w:rsid w:val="00AD3E46"/>
    <w:rsid w:val="00AD435F"/>
    <w:rsid w:val="00AD44A3"/>
    <w:rsid w:val="00AD4D6C"/>
    <w:rsid w:val="00AD5BC1"/>
    <w:rsid w:val="00AD7356"/>
    <w:rsid w:val="00AE06D7"/>
    <w:rsid w:val="00AE0917"/>
    <w:rsid w:val="00AE1AC0"/>
    <w:rsid w:val="00AE2024"/>
    <w:rsid w:val="00AE25FA"/>
    <w:rsid w:val="00AE2AD8"/>
    <w:rsid w:val="00AE2E73"/>
    <w:rsid w:val="00AE30AA"/>
    <w:rsid w:val="00AE4582"/>
    <w:rsid w:val="00AE4A6B"/>
    <w:rsid w:val="00AE4AA9"/>
    <w:rsid w:val="00AE4DFE"/>
    <w:rsid w:val="00AE5901"/>
    <w:rsid w:val="00AE5982"/>
    <w:rsid w:val="00AE5B72"/>
    <w:rsid w:val="00AE673F"/>
    <w:rsid w:val="00AE7569"/>
    <w:rsid w:val="00AE7743"/>
    <w:rsid w:val="00AE78EB"/>
    <w:rsid w:val="00AE7AD3"/>
    <w:rsid w:val="00AE7E80"/>
    <w:rsid w:val="00AE7EFB"/>
    <w:rsid w:val="00AF0206"/>
    <w:rsid w:val="00AF080D"/>
    <w:rsid w:val="00AF0A13"/>
    <w:rsid w:val="00AF0CF3"/>
    <w:rsid w:val="00AF0DF0"/>
    <w:rsid w:val="00AF1CEA"/>
    <w:rsid w:val="00AF1D6F"/>
    <w:rsid w:val="00AF2269"/>
    <w:rsid w:val="00AF29C7"/>
    <w:rsid w:val="00AF2E64"/>
    <w:rsid w:val="00AF2FC9"/>
    <w:rsid w:val="00AF3402"/>
    <w:rsid w:val="00AF3625"/>
    <w:rsid w:val="00AF3A56"/>
    <w:rsid w:val="00AF433E"/>
    <w:rsid w:val="00AF4932"/>
    <w:rsid w:val="00AF49E5"/>
    <w:rsid w:val="00AF5083"/>
    <w:rsid w:val="00AF56B7"/>
    <w:rsid w:val="00AF5C4C"/>
    <w:rsid w:val="00AF5F94"/>
    <w:rsid w:val="00AF607F"/>
    <w:rsid w:val="00AF6122"/>
    <w:rsid w:val="00AF674F"/>
    <w:rsid w:val="00AF6AD3"/>
    <w:rsid w:val="00AF6D9A"/>
    <w:rsid w:val="00AF711E"/>
    <w:rsid w:val="00AF726F"/>
    <w:rsid w:val="00AF772F"/>
    <w:rsid w:val="00AF7D6F"/>
    <w:rsid w:val="00AF7FD0"/>
    <w:rsid w:val="00B00376"/>
    <w:rsid w:val="00B01422"/>
    <w:rsid w:val="00B017DF"/>
    <w:rsid w:val="00B01BFC"/>
    <w:rsid w:val="00B024AB"/>
    <w:rsid w:val="00B02F10"/>
    <w:rsid w:val="00B03429"/>
    <w:rsid w:val="00B04DF4"/>
    <w:rsid w:val="00B05547"/>
    <w:rsid w:val="00B0558E"/>
    <w:rsid w:val="00B057A7"/>
    <w:rsid w:val="00B05912"/>
    <w:rsid w:val="00B05978"/>
    <w:rsid w:val="00B05A8A"/>
    <w:rsid w:val="00B05BF3"/>
    <w:rsid w:val="00B05CCF"/>
    <w:rsid w:val="00B06498"/>
    <w:rsid w:val="00B065D2"/>
    <w:rsid w:val="00B06E2E"/>
    <w:rsid w:val="00B0724F"/>
    <w:rsid w:val="00B073FF"/>
    <w:rsid w:val="00B10340"/>
    <w:rsid w:val="00B103C7"/>
    <w:rsid w:val="00B10825"/>
    <w:rsid w:val="00B1085F"/>
    <w:rsid w:val="00B1095E"/>
    <w:rsid w:val="00B10C1A"/>
    <w:rsid w:val="00B10F5B"/>
    <w:rsid w:val="00B11744"/>
    <w:rsid w:val="00B11FBC"/>
    <w:rsid w:val="00B122FE"/>
    <w:rsid w:val="00B12943"/>
    <w:rsid w:val="00B13E99"/>
    <w:rsid w:val="00B1417B"/>
    <w:rsid w:val="00B141FF"/>
    <w:rsid w:val="00B14D48"/>
    <w:rsid w:val="00B14FD3"/>
    <w:rsid w:val="00B15572"/>
    <w:rsid w:val="00B15AD2"/>
    <w:rsid w:val="00B16B54"/>
    <w:rsid w:val="00B16B90"/>
    <w:rsid w:val="00B17524"/>
    <w:rsid w:val="00B17665"/>
    <w:rsid w:val="00B17819"/>
    <w:rsid w:val="00B17912"/>
    <w:rsid w:val="00B17BC0"/>
    <w:rsid w:val="00B17C4A"/>
    <w:rsid w:val="00B17CE1"/>
    <w:rsid w:val="00B17EEB"/>
    <w:rsid w:val="00B17FC8"/>
    <w:rsid w:val="00B2030C"/>
    <w:rsid w:val="00B20F83"/>
    <w:rsid w:val="00B21199"/>
    <w:rsid w:val="00B216C0"/>
    <w:rsid w:val="00B218FE"/>
    <w:rsid w:val="00B22131"/>
    <w:rsid w:val="00B22140"/>
    <w:rsid w:val="00B221C8"/>
    <w:rsid w:val="00B2258C"/>
    <w:rsid w:val="00B22BF8"/>
    <w:rsid w:val="00B22D28"/>
    <w:rsid w:val="00B244F8"/>
    <w:rsid w:val="00B24682"/>
    <w:rsid w:val="00B24747"/>
    <w:rsid w:val="00B24998"/>
    <w:rsid w:val="00B249D6"/>
    <w:rsid w:val="00B24B66"/>
    <w:rsid w:val="00B24C1B"/>
    <w:rsid w:val="00B255DF"/>
    <w:rsid w:val="00B261A1"/>
    <w:rsid w:val="00B26AB0"/>
    <w:rsid w:val="00B26B6E"/>
    <w:rsid w:val="00B2720F"/>
    <w:rsid w:val="00B27559"/>
    <w:rsid w:val="00B279D7"/>
    <w:rsid w:val="00B306D9"/>
    <w:rsid w:val="00B308C4"/>
    <w:rsid w:val="00B315AD"/>
    <w:rsid w:val="00B31722"/>
    <w:rsid w:val="00B31FB8"/>
    <w:rsid w:val="00B3204E"/>
    <w:rsid w:val="00B321AE"/>
    <w:rsid w:val="00B3267B"/>
    <w:rsid w:val="00B33366"/>
    <w:rsid w:val="00B333DF"/>
    <w:rsid w:val="00B33D15"/>
    <w:rsid w:val="00B34526"/>
    <w:rsid w:val="00B3479C"/>
    <w:rsid w:val="00B348D2"/>
    <w:rsid w:val="00B35237"/>
    <w:rsid w:val="00B355B9"/>
    <w:rsid w:val="00B35C4B"/>
    <w:rsid w:val="00B360A8"/>
    <w:rsid w:val="00B36350"/>
    <w:rsid w:val="00B36555"/>
    <w:rsid w:val="00B36AEC"/>
    <w:rsid w:val="00B36D44"/>
    <w:rsid w:val="00B36E6C"/>
    <w:rsid w:val="00B372C9"/>
    <w:rsid w:val="00B37381"/>
    <w:rsid w:val="00B37850"/>
    <w:rsid w:val="00B37854"/>
    <w:rsid w:val="00B37C80"/>
    <w:rsid w:val="00B37D5B"/>
    <w:rsid w:val="00B37D64"/>
    <w:rsid w:val="00B37F7F"/>
    <w:rsid w:val="00B410E0"/>
    <w:rsid w:val="00B4133A"/>
    <w:rsid w:val="00B414A1"/>
    <w:rsid w:val="00B418D3"/>
    <w:rsid w:val="00B419A3"/>
    <w:rsid w:val="00B420B0"/>
    <w:rsid w:val="00B4218E"/>
    <w:rsid w:val="00B4222E"/>
    <w:rsid w:val="00B42364"/>
    <w:rsid w:val="00B42701"/>
    <w:rsid w:val="00B42723"/>
    <w:rsid w:val="00B42793"/>
    <w:rsid w:val="00B430B0"/>
    <w:rsid w:val="00B43DEA"/>
    <w:rsid w:val="00B43FA1"/>
    <w:rsid w:val="00B44079"/>
    <w:rsid w:val="00B44199"/>
    <w:rsid w:val="00B44C19"/>
    <w:rsid w:val="00B44E79"/>
    <w:rsid w:val="00B45427"/>
    <w:rsid w:val="00B4606E"/>
    <w:rsid w:val="00B47470"/>
    <w:rsid w:val="00B474E4"/>
    <w:rsid w:val="00B477D1"/>
    <w:rsid w:val="00B47F62"/>
    <w:rsid w:val="00B50B60"/>
    <w:rsid w:val="00B50C29"/>
    <w:rsid w:val="00B5348D"/>
    <w:rsid w:val="00B53A4B"/>
    <w:rsid w:val="00B5437F"/>
    <w:rsid w:val="00B54CA7"/>
    <w:rsid w:val="00B55490"/>
    <w:rsid w:val="00B55816"/>
    <w:rsid w:val="00B55F37"/>
    <w:rsid w:val="00B56683"/>
    <w:rsid w:val="00B60CDD"/>
    <w:rsid w:val="00B60FB3"/>
    <w:rsid w:val="00B61334"/>
    <w:rsid w:val="00B61D25"/>
    <w:rsid w:val="00B630CB"/>
    <w:rsid w:val="00B640D9"/>
    <w:rsid w:val="00B64C8E"/>
    <w:rsid w:val="00B6543E"/>
    <w:rsid w:val="00B65804"/>
    <w:rsid w:val="00B65CC3"/>
    <w:rsid w:val="00B65F9A"/>
    <w:rsid w:val="00B661D1"/>
    <w:rsid w:val="00B661E9"/>
    <w:rsid w:val="00B66398"/>
    <w:rsid w:val="00B66497"/>
    <w:rsid w:val="00B66571"/>
    <w:rsid w:val="00B66813"/>
    <w:rsid w:val="00B669EC"/>
    <w:rsid w:val="00B66CFB"/>
    <w:rsid w:val="00B67257"/>
    <w:rsid w:val="00B67665"/>
    <w:rsid w:val="00B676E9"/>
    <w:rsid w:val="00B677E1"/>
    <w:rsid w:val="00B6786A"/>
    <w:rsid w:val="00B67AA0"/>
    <w:rsid w:val="00B67EBF"/>
    <w:rsid w:val="00B703D1"/>
    <w:rsid w:val="00B70AFD"/>
    <w:rsid w:val="00B718BC"/>
    <w:rsid w:val="00B721A2"/>
    <w:rsid w:val="00B724F6"/>
    <w:rsid w:val="00B72922"/>
    <w:rsid w:val="00B72FBC"/>
    <w:rsid w:val="00B73074"/>
    <w:rsid w:val="00B73319"/>
    <w:rsid w:val="00B7346F"/>
    <w:rsid w:val="00B73C5A"/>
    <w:rsid w:val="00B73D48"/>
    <w:rsid w:val="00B73DCB"/>
    <w:rsid w:val="00B7469B"/>
    <w:rsid w:val="00B7497E"/>
    <w:rsid w:val="00B7526D"/>
    <w:rsid w:val="00B753B2"/>
    <w:rsid w:val="00B759A4"/>
    <w:rsid w:val="00B75CB9"/>
    <w:rsid w:val="00B763EB"/>
    <w:rsid w:val="00B764D2"/>
    <w:rsid w:val="00B76637"/>
    <w:rsid w:val="00B768A7"/>
    <w:rsid w:val="00B769C9"/>
    <w:rsid w:val="00B76B7D"/>
    <w:rsid w:val="00B76CDE"/>
    <w:rsid w:val="00B77095"/>
    <w:rsid w:val="00B770E4"/>
    <w:rsid w:val="00B80A08"/>
    <w:rsid w:val="00B81DEA"/>
    <w:rsid w:val="00B82321"/>
    <w:rsid w:val="00B82716"/>
    <w:rsid w:val="00B82964"/>
    <w:rsid w:val="00B82BE8"/>
    <w:rsid w:val="00B83021"/>
    <w:rsid w:val="00B83ACC"/>
    <w:rsid w:val="00B83F84"/>
    <w:rsid w:val="00B83FAE"/>
    <w:rsid w:val="00B84434"/>
    <w:rsid w:val="00B859A3"/>
    <w:rsid w:val="00B85C19"/>
    <w:rsid w:val="00B86A88"/>
    <w:rsid w:val="00B86D2D"/>
    <w:rsid w:val="00B86FFC"/>
    <w:rsid w:val="00B8702F"/>
    <w:rsid w:val="00B909E5"/>
    <w:rsid w:val="00B90DA3"/>
    <w:rsid w:val="00B913DF"/>
    <w:rsid w:val="00B91666"/>
    <w:rsid w:val="00B9171C"/>
    <w:rsid w:val="00B91795"/>
    <w:rsid w:val="00B91877"/>
    <w:rsid w:val="00B91A79"/>
    <w:rsid w:val="00B91C80"/>
    <w:rsid w:val="00B91DA0"/>
    <w:rsid w:val="00B91F34"/>
    <w:rsid w:val="00B92734"/>
    <w:rsid w:val="00B9389D"/>
    <w:rsid w:val="00B938FC"/>
    <w:rsid w:val="00B93BDE"/>
    <w:rsid w:val="00B94863"/>
    <w:rsid w:val="00B94D8A"/>
    <w:rsid w:val="00B95305"/>
    <w:rsid w:val="00B956B5"/>
    <w:rsid w:val="00B957DF"/>
    <w:rsid w:val="00B97445"/>
    <w:rsid w:val="00B97E5C"/>
    <w:rsid w:val="00B97ED7"/>
    <w:rsid w:val="00BA030F"/>
    <w:rsid w:val="00BA0FF5"/>
    <w:rsid w:val="00BA16C3"/>
    <w:rsid w:val="00BA21E4"/>
    <w:rsid w:val="00BA25C0"/>
    <w:rsid w:val="00BA26D0"/>
    <w:rsid w:val="00BA2EA0"/>
    <w:rsid w:val="00BA2EEB"/>
    <w:rsid w:val="00BA3257"/>
    <w:rsid w:val="00BA336C"/>
    <w:rsid w:val="00BA3463"/>
    <w:rsid w:val="00BA49CA"/>
    <w:rsid w:val="00BA50AF"/>
    <w:rsid w:val="00BA5247"/>
    <w:rsid w:val="00BA5AD0"/>
    <w:rsid w:val="00BA5C64"/>
    <w:rsid w:val="00BA618E"/>
    <w:rsid w:val="00BA654E"/>
    <w:rsid w:val="00BA6802"/>
    <w:rsid w:val="00BA6E66"/>
    <w:rsid w:val="00BA6F76"/>
    <w:rsid w:val="00BA7217"/>
    <w:rsid w:val="00BA751D"/>
    <w:rsid w:val="00BA7DF6"/>
    <w:rsid w:val="00BB0541"/>
    <w:rsid w:val="00BB0ACD"/>
    <w:rsid w:val="00BB1319"/>
    <w:rsid w:val="00BB1363"/>
    <w:rsid w:val="00BB1616"/>
    <w:rsid w:val="00BB1C87"/>
    <w:rsid w:val="00BB1E3B"/>
    <w:rsid w:val="00BB1E7C"/>
    <w:rsid w:val="00BB1F5D"/>
    <w:rsid w:val="00BB231B"/>
    <w:rsid w:val="00BB2BD7"/>
    <w:rsid w:val="00BB305F"/>
    <w:rsid w:val="00BB3E01"/>
    <w:rsid w:val="00BB3F14"/>
    <w:rsid w:val="00BB435F"/>
    <w:rsid w:val="00BB4519"/>
    <w:rsid w:val="00BB6324"/>
    <w:rsid w:val="00BB63C7"/>
    <w:rsid w:val="00BB68EB"/>
    <w:rsid w:val="00BB6916"/>
    <w:rsid w:val="00BB6B34"/>
    <w:rsid w:val="00BB7080"/>
    <w:rsid w:val="00BB70F4"/>
    <w:rsid w:val="00BB7517"/>
    <w:rsid w:val="00BB7783"/>
    <w:rsid w:val="00BB77A6"/>
    <w:rsid w:val="00BB7B2E"/>
    <w:rsid w:val="00BB7CDD"/>
    <w:rsid w:val="00BC00E0"/>
    <w:rsid w:val="00BC0AE3"/>
    <w:rsid w:val="00BC1D51"/>
    <w:rsid w:val="00BC1D81"/>
    <w:rsid w:val="00BC1E20"/>
    <w:rsid w:val="00BC2FA9"/>
    <w:rsid w:val="00BC31F9"/>
    <w:rsid w:val="00BC3542"/>
    <w:rsid w:val="00BC36AA"/>
    <w:rsid w:val="00BC3A18"/>
    <w:rsid w:val="00BC3D52"/>
    <w:rsid w:val="00BC3E63"/>
    <w:rsid w:val="00BC43C4"/>
    <w:rsid w:val="00BC4A0F"/>
    <w:rsid w:val="00BC4A5F"/>
    <w:rsid w:val="00BC4AC1"/>
    <w:rsid w:val="00BC4BC2"/>
    <w:rsid w:val="00BC526A"/>
    <w:rsid w:val="00BC538B"/>
    <w:rsid w:val="00BC61BD"/>
    <w:rsid w:val="00BC624E"/>
    <w:rsid w:val="00BC64DD"/>
    <w:rsid w:val="00BC67A0"/>
    <w:rsid w:val="00BC6B90"/>
    <w:rsid w:val="00BC6CB2"/>
    <w:rsid w:val="00BC70F2"/>
    <w:rsid w:val="00BC722B"/>
    <w:rsid w:val="00BC73B4"/>
    <w:rsid w:val="00BC7843"/>
    <w:rsid w:val="00BC7D80"/>
    <w:rsid w:val="00BD0266"/>
    <w:rsid w:val="00BD12C2"/>
    <w:rsid w:val="00BD1577"/>
    <w:rsid w:val="00BD18F0"/>
    <w:rsid w:val="00BD1F81"/>
    <w:rsid w:val="00BD23CE"/>
    <w:rsid w:val="00BD262E"/>
    <w:rsid w:val="00BD2836"/>
    <w:rsid w:val="00BD2BA5"/>
    <w:rsid w:val="00BD3B30"/>
    <w:rsid w:val="00BD3F20"/>
    <w:rsid w:val="00BD4D14"/>
    <w:rsid w:val="00BD5268"/>
    <w:rsid w:val="00BD53DD"/>
    <w:rsid w:val="00BD5517"/>
    <w:rsid w:val="00BD565E"/>
    <w:rsid w:val="00BD6AED"/>
    <w:rsid w:val="00BD6BBA"/>
    <w:rsid w:val="00BD709E"/>
    <w:rsid w:val="00BD7341"/>
    <w:rsid w:val="00BD74A5"/>
    <w:rsid w:val="00BD7764"/>
    <w:rsid w:val="00BD79C2"/>
    <w:rsid w:val="00BD7CEA"/>
    <w:rsid w:val="00BD7FF7"/>
    <w:rsid w:val="00BE0383"/>
    <w:rsid w:val="00BE08F8"/>
    <w:rsid w:val="00BE109F"/>
    <w:rsid w:val="00BE1A4C"/>
    <w:rsid w:val="00BE1BCC"/>
    <w:rsid w:val="00BE1ECB"/>
    <w:rsid w:val="00BE20CC"/>
    <w:rsid w:val="00BE2B4F"/>
    <w:rsid w:val="00BE2D07"/>
    <w:rsid w:val="00BE38B9"/>
    <w:rsid w:val="00BE4A54"/>
    <w:rsid w:val="00BE544D"/>
    <w:rsid w:val="00BE5C6C"/>
    <w:rsid w:val="00BE5CB4"/>
    <w:rsid w:val="00BE5E32"/>
    <w:rsid w:val="00BE5E66"/>
    <w:rsid w:val="00BE5E8D"/>
    <w:rsid w:val="00BE623F"/>
    <w:rsid w:val="00BE6966"/>
    <w:rsid w:val="00BE6C2D"/>
    <w:rsid w:val="00BE6F4E"/>
    <w:rsid w:val="00BE6FF8"/>
    <w:rsid w:val="00BE739D"/>
    <w:rsid w:val="00BE79DF"/>
    <w:rsid w:val="00BF08F0"/>
    <w:rsid w:val="00BF10AA"/>
    <w:rsid w:val="00BF14D7"/>
    <w:rsid w:val="00BF15BB"/>
    <w:rsid w:val="00BF1A1E"/>
    <w:rsid w:val="00BF1C8B"/>
    <w:rsid w:val="00BF20F4"/>
    <w:rsid w:val="00BF2504"/>
    <w:rsid w:val="00BF38D7"/>
    <w:rsid w:val="00BF3AF3"/>
    <w:rsid w:val="00BF3B0F"/>
    <w:rsid w:val="00BF3D1F"/>
    <w:rsid w:val="00BF4E59"/>
    <w:rsid w:val="00BF4F0F"/>
    <w:rsid w:val="00BF53E3"/>
    <w:rsid w:val="00BF5DFD"/>
    <w:rsid w:val="00BF5E25"/>
    <w:rsid w:val="00BF68E5"/>
    <w:rsid w:val="00BF7140"/>
    <w:rsid w:val="00BF71C5"/>
    <w:rsid w:val="00BF76D8"/>
    <w:rsid w:val="00BF779B"/>
    <w:rsid w:val="00BF7E41"/>
    <w:rsid w:val="00BF7FA7"/>
    <w:rsid w:val="00BF7FEC"/>
    <w:rsid w:val="00C001B2"/>
    <w:rsid w:val="00C00298"/>
    <w:rsid w:val="00C004A2"/>
    <w:rsid w:val="00C00678"/>
    <w:rsid w:val="00C006C6"/>
    <w:rsid w:val="00C00CC1"/>
    <w:rsid w:val="00C00F03"/>
    <w:rsid w:val="00C011F5"/>
    <w:rsid w:val="00C015D3"/>
    <w:rsid w:val="00C01D4E"/>
    <w:rsid w:val="00C02008"/>
    <w:rsid w:val="00C0201F"/>
    <w:rsid w:val="00C022CC"/>
    <w:rsid w:val="00C02429"/>
    <w:rsid w:val="00C02CCD"/>
    <w:rsid w:val="00C02F75"/>
    <w:rsid w:val="00C031DE"/>
    <w:rsid w:val="00C03DA3"/>
    <w:rsid w:val="00C03DA4"/>
    <w:rsid w:val="00C04544"/>
    <w:rsid w:val="00C04602"/>
    <w:rsid w:val="00C048A8"/>
    <w:rsid w:val="00C04987"/>
    <w:rsid w:val="00C04ACD"/>
    <w:rsid w:val="00C0535C"/>
    <w:rsid w:val="00C05393"/>
    <w:rsid w:val="00C056FC"/>
    <w:rsid w:val="00C05BA3"/>
    <w:rsid w:val="00C0675C"/>
    <w:rsid w:val="00C06789"/>
    <w:rsid w:val="00C06DE7"/>
    <w:rsid w:val="00C07675"/>
    <w:rsid w:val="00C079D0"/>
    <w:rsid w:val="00C07A6C"/>
    <w:rsid w:val="00C07B57"/>
    <w:rsid w:val="00C10289"/>
    <w:rsid w:val="00C1061C"/>
    <w:rsid w:val="00C10905"/>
    <w:rsid w:val="00C10B14"/>
    <w:rsid w:val="00C11107"/>
    <w:rsid w:val="00C11B0D"/>
    <w:rsid w:val="00C120AD"/>
    <w:rsid w:val="00C1210C"/>
    <w:rsid w:val="00C1218F"/>
    <w:rsid w:val="00C1229E"/>
    <w:rsid w:val="00C122B7"/>
    <w:rsid w:val="00C1252F"/>
    <w:rsid w:val="00C12A11"/>
    <w:rsid w:val="00C13A1D"/>
    <w:rsid w:val="00C14170"/>
    <w:rsid w:val="00C14E7A"/>
    <w:rsid w:val="00C14F4F"/>
    <w:rsid w:val="00C14FD6"/>
    <w:rsid w:val="00C1519C"/>
    <w:rsid w:val="00C15966"/>
    <w:rsid w:val="00C159A1"/>
    <w:rsid w:val="00C15D01"/>
    <w:rsid w:val="00C15EA3"/>
    <w:rsid w:val="00C16775"/>
    <w:rsid w:val="00C16B97"/>
    <w:rsid w:val="00C16DEA"/>
    <w:rsid w:val="00C176AA"/>
    <w:rsid w:val="00C205AF"/>
    <w:rsid w:val="00C20F19"/>
    <w:rsid w:val="00C213AE"/>
    <w:rsid w:val="00C21CD5"/>
    <w:rsid w:val="00C21F66"/>
    <w:rsid w:val="00C225ED"/>
    <w:rsid w:val="00C22628"/>
    <w:rsid w:val="00C227B5"/>
    <w:rsid w:val="00C2292F"/>
    <w:rsid w:val="00C22D20"/>
    <w:rsid w:val="00C230E9"/>
    <w:rsid w:val="00C235AE"/>
    <w:rsid w:val="00C235FA"/>
    <w:rsid w:val="00C23C97"/>
    <w:rsid w:val="00C23DFC"/>
    <w:rsid w:val="00C23E3B"/>
    <w:rsid w:val="00C24662"/>
    <w:rsid w:val="00C24BC6"/>
    <w:rsid w:val="00C25907"/>
    <w:rsid w:val="00C2601A"/>
    <w:rsid w:val="00C26265"/>
    <w:rsid w:val="00C26939"/>
    <w:rsid w:val="00C27A49"/>
    <w:rsid w:val="00C27B95"/>
    <w:rsid w:val="00C27E7D"/>
    <w:rsid w:val="00C300E5"/>
    <w:rsid w:val="00C300F8"/>
    <w:rsid w:val="00C30E9E"/>
    <w:rsid w:val="00C3116D"/>
    <w:rsid w:val="00C311CC"/>
    <w:rsid w:val="00C32035"/>
    <w:rsid w:val="00C320E0"/>
    <w:rsid w:val="00C3221F"/>
    <w:rsid w:val="00C32CDC"/>
    <w:rsid w:val="00C336B6"/>
    <w:rsid w:val="00C338CC"/>
    <w:rsid w:val="00C33B3C"/>
    <w:rsid w:val="00C33D30"/>
    <w:rsid w:val="00C33FDD"/>
    <w:rsid w:val="00C342BC"/>
    <w:rsid w:val="00C34750"/>
    <w:rsid w:val="00C36299"/>
    <w:rsid w:val="00C364C6"/>
    <w:rsid w:val="00C36ABA"/>
    <w:rsid w:val="00C36E5F"/>
    <w:rsid w:val="00C370B1"/>
    <w:rsid w:val="00C370CC"/>
    <w:rsid w:val="00C377DF"/>
    <w:rsid w:val="00C37EC4"/>
    <w:rsid w:val="00C40597"/>
    <w:rsid w:val="00C40A75"/>
    <w:rsid w:val="00C40E89"/>
    <w:rsid w:val="00C40F97"/>
    <w:rsid w:val="00C411A3"/>
    <w:rsid w:val="00C41E74"/>
    <w:rsid w:val="00C41F99"/>
    <w:rsid w:val="00C420CD"/>
    <w:rsid w:val="00C423C9"/>
    <w:rsid w:val="00C429F4"/>
    <w:rsid w:val="00C42BC4"/>
    <w:rsid w:val="00C42DC6"/>
    <w:rsid w:val="00C42E15"/>
    <w:rsid w:val="00C43049"/>
    <w:rsid w:val="00C43637"/>
    <w:rsid w:val="00C436AF"/>
    <w:rsid w:val="00C43DEB"/>
    <w:rsid w:val="00C44C86"/>
    <w:rsid w:val="00C452D1"/>
    <w:rsid w:val="00C4531D"/>
    <w:rsid w:val="00C45488"/>
    <w:rsid w:val="00C45794"/>
    <w:rsid w:val="00C46C3E"/>
    <w:rsid w:val="00C46ED6"/>
    <w:rsid w:val="00C47BE0"/>
    <w:rsid w:val="00C505DA"/>
    <w:rsid w:val="00C50620"/>
    <w:rsid w:val="00C50F04"/>
    <w:rsid w:val="00C50F0F"/>
    <w:rsid w:val="00C51139"/>
    <w:rsid w:val="00C51811"/>
    <w:rsid w:val="00C51839"/>
    <w:rsid w:val="00C521C2"/>
    <w:rsid w:val="00C52345"/>
    <w:rsid w:val="00C52A23"/>
    <w:rsid w:val="00C531D7"/>
    <w:rsid w:val="00C53262"/>
    <w:rsid w:val="00C53588"/>
    <w:rsid w:val="00C53626"/>
    <w:rsid w:val="00C53BAC"/>
    <w:rsid w:val="00C541F0"/>
    <w:rsid w:val="00C5439F"/>
    <w:rsid w:val="00C54838"/>
    <w:rsid w:val="00C54E9D"/>
    <w:rsid w:val="00C54EDA"/>
    <w:rsid w:val="00C550F9"/>
    <w:rsid w:val="00C55694"/>
    <w:rsid w:val="00C563EE"/>
    <w:rsid w:val="00C565B0"/>
    <w:rsid w:val="00C56D13"/>
    <w:rsid w:val="00C570BE"/>
    <w:rsid w:val="00C57634"/>
    <w:rsid w:val="00C6000C"/>
    <w:rsid w:val="00C60314"/>
    <w:rsid w:val="00C60487"/>
    <w:rsid w:val="00C607A0"/>
    <w:rsid w:val="00C607CF"/>
    <w:rsid w:val="00C6141E"/>
    <w:rsid w:val="00C6150D"/>
    <w:rsid w:val="00C615B4"/>
    <w:rsid w:val="00C633D9"/>
    <w:rsid w:val="00C6340C"/>
    <w:rsid w:val="00C63501"/>
    <w:rsid w:val="00C636E4"/>
    <w:rsid w:val="00C63A33"/>
    <w:rsid w:val="00C64D29"/>
    <w:rsid w:val="00C6513E"/>
    <w:rsid w:val="00C651F8"/>
    <w:rsid w:val="00C65384"/>
    <w:rsid w:val="00C65438"/>
    <w:rsid w:val="00C65D95"/>
    <w:rsid w:val="00C66087"/>
    <w:rsid w:val="00C6626C"/>
    <w:rsid w:val="00C663A6"/>
    <w:rsid w:val="00C6659D"/>
    <w:rsid w:val="00C666A5"/>
    <w:rsid w:val="00C667C5"/>
    <w:rsid w:val="00C66916"/>
    <w:rsid w:val="00C66C0A"/>
    <w:rsid w:val="00C66DDA"/>
    <w:rsid w:val="00C66DE5"/>
    <w:rsid w:val="00C6700B"/>
    <w:rsid w:val="00C67338"/>
    <w:rsid w:val="00C67399"/>
    <w:rsid w:val="00C6785F"/>
    <w:rsid w:val="00C67F90"/>
    <w:rsid w:val="00C70179"/>
    <w:rsid w:val="00C701FB"/>
    <w:rsid w:val="00C7071E"/>
    <w:rsid w:val="00C708C2"/>
    <w:rsid w:val="00C70E92"/>
    <w:rsid w:val="00C71463"/>
    <w:rsid w:val="00C71FD4"/>
    <w:rsid w:val="00C7206D"/>
    <w:rsid w:val="00C72F1E"/>
    <w:rsid w:val="00C73050"/>
    <w:rsid w:val="00C733A0"/>
    <w:rsid w:val="00C742C2"/>
    <w:rsid w:val="00C75057"/>
    <w:rsid w:val="00C75694"/>
    <w:rsid w:val="00C761A6"/>
    <w:rsid w:val="00C77DF7"/>
    <w:rsid w:val="00C77E1C"/>
    <w:rsid w:val="00C80D85"/>
    <w:rsid w:val="00C810FC"/>
    <w:rsid w:val="00C8127C"/>
    <w:rsid w:val="00C81342"/>
    <w:rsid w:val="00C815F5"/>
    <w:rsid w:val="00C81C79"/>
    <w:rsid w:val="00C82366"/>
    <w:rsid w:val="00C827FC"/>
    <w:rsid w:val="00C828C7"/>
    <w:rsid w:val="00C82E90"/>
    <w:rsid w:val="00C82F09"/>
    <w:rsid w:val="00C8360F"/>
    <w:rsid w:val="00C8365F"/>
    <w:rsid w:val="00C8369D"/>
    <w:rsid w:val="00C8378F"/>
    <w:rsid w:val="00C83D4D"/>
    <w:rsid w:val="00C8454B"/>
    <w:rsid w:val="00C84E52"/>
    <w:rsid w:val="00C85318"/>
    <w:rsid w:val="00C8534B"/>
    <w:rsid w:val="00C855A9"/>
    <w:rsid w:val="00C85A23"/>
    <w:rsid w:val="00C863FD"/>
    <w:rsid w:val="00C86650"/>
    <w:rsid w:val="00C868EF"/>
    <w:rsid w:val="00C86A2E"/>
    <w:rsid w:val="00C87447"/>
    <w:rsid w:val="00C875BB"/>
    <w:rsid w:val="00C87654"/>
    <w:rsid w:val="00C87D39"/>
    <w:rsid w:val="00C87E88"/>
    <w:rsid w:val="00C87F73"/>
    <w:rsid w:val="00C90484"/>
    <w:rsid w:val="00C90E8D"/>
    <w:rsid w:val="00C91F78"/>
    <w:rsid w:val="00C92645"/>
    <w:rsid w:val="00C92AA6"/>
    <w:rsid w:val="00C93D36"/>
    <w:rsid w:val="00C943B3"/>
    <w:rsid w:val="00C9480C"/>
    <w:rsid w:val="00C9481C"/>
    <w:rsid w:val="00C956AF"/>
    <w:rsid w:val="00C95BB3"/>
    <w:rsid w:val="00C95C55"/>
    <w:rsid w:val="00C96448"/>
    <w:rsid w:val="00C966B2"/>
    <w:rsid w:val="00C96F50"/>
    <w:rsid w:val="00C97769"/>
    <w:rsid w:val="00C979C9"/>
    <w:rsid w:val="00CA090E"/>
    <w:rsid w:val="00CA09DE"/>
    <w:rsid w:val="00CA0FA8"/>
    <w:rsid w:val="00CA1AD4"/>
    <w:rsid w:val="00CA1BA8"/>
    <w:rsid w:val="00CA1BD3"/>
    <w:rsid w:val="00CA20E1"/>
    <w:rsid w:val="00CA3522"/>
    <w:rsid w:val="00CA38A8"/>
    <w:rsid w:val="00CA3CF8"/>
    <w:rsid w:val="00CA41CD"/>
    <w:rsid w:val="00CA4A96"/>
    <w:rsid w:val="00CA5037"/>
    <w:rsid w:val="00CA511B"/>
    <w:rsid w:val="00CA5513"/>
    <w:rsid w:val="00CA5852"/>
    <w:rsid w:val="00CA5BBD"/>
    <w:rsid w:val="00CA62FD"/>
    <w:rsid w:val="00CA6B9A"/>
    <w:rsid w:val="00CA705F"/>
    <w:rsid w:val="00CA7550"/>
    <w:rsid w:val="00CA7A6B"/>
    <w:rsid w:val="00CA7F78"/>
    <w:rsid w:val="00CB0197"/>
    <w:rsid w:val="00CB0389"/>
    <w:rsid w:val="00CB0401"/>
    <w:rsid w:val="00CB150D"/>
    <w:rsid w:val="00CB17EB"/>
    <w:rsid w:val="00CB27E9"/>
    <w:rsid w:val="00CB2849"/>
    <w:rsid w:val="00CB2B34"/>
    <w:rsid w:val="00CB3122"/>
    <w:rsid w:val="00CB3686"/>
    <w:rsid w:val="00CB36FE"/>
    <w:rsid w:val="00CB37F9"/>
    <w:rsid w:val="00CB4074"/>
    <w:rsid w:val="00CB456A"/>
    <w:rsid w:val="00CB4640"/>
    <w:rsid w:val="00CB4735"/>
    <w:rsid w:val="00CB4A5B"/>
    <w:rsid w:val="00CB55AB"/>
    <w:rsid w:val="00CB599A"/>
    <w:rsid w:val="00CB5ABB"/>
    <w:rsid w:val="00CB5E03"/>
    <w:rsid w:val="00CB6647"/>
    <w:rsid w:val="00CB6682"/>
    <w:rsid w:val="00CB6A11"/>
    <w:rsid w:val="00CB7043"/>
    <w:rsid w:val="00CB71F2"/>
    <w:rsid w:val="00CB74FA"/>
    <w:rsid w:val="00CB7505"/>
    <w:rsid w:val="00CB756B"/>
    <w:rsid w:val="00CB7983"/>
    <w:rsid w:val="00CB7D6D"/>
    <w:rsid w:val="00CC01AC"/>
    <w:rsid w:val="00CC0850"/>
    <w:rsid w:val="00CC0872"/>
    <w:rsid w:val="00CC09EB"/>
    <w:rsid w:val="00CC0D2F"/>
    <w:rsid w:val="00CC12CE"/>
    <w:rsid w:val="00CC1686"/>
    <w:rsid w:val="00CC1E40"/>
    <w:rsid w:val="00CC1E87"/>
    <w:rsid w:val="00CC2095"/>
    <w:rsid w:val="00CC255C"/>
    <w:rsid w:val="00CC2CD5"/>
    <w:rsid w:val="00CC2F96"/>
    <w:rsid w:val="00CC3466"/>
    <w:rsid w:val="00CC34BF"/>
    <w:rsid w:val="00CC3D36"/>
    <w:rsid w:val="00CC4030"/>
    <w:rsid w:val="00CC441A"/>
    <w:rsid w:val="00CC5052"/>
    <w:rsid w:val="00CC5443"/>
    <w:rsid w:val="00CC578C"/>
    <w:rsid w:val="00CC57D0"/>
    <w:rsid w:val="00CC58A2"/>
    <w:rsid w:val="00CC65B9"/>
    <w:rsid w:val="00CC6F54"/>
    <w:rsid w:val="00CC79C0"/>
    <w:rsid w:val="00CD0236"/>
    <w:rsid w:val="00CD0AEF"/>
    <w:rsid w:val="00CD0FA2"/>
    <w:rsid w:val="00CD1147"/>
    <w:rsid w:val="00CD1A20"/>
    <w:rsid w:val="00CD20D8"/>
    <w:rsid w:val="00CD2881"/>
    <w:rsid w:val="00CD312B"/>
    <w:rsid w:val="00CD333D"/>
    <w:rsid w:val="00CD33C5"/>
    <w:rsid w:val="00CD347F"/>
    <w:rsid w:val="00CD3872"/>
    <w:rsid w:val="00CD3A01"/>
    <w:rsid w:val="00CD3B3D"/>
    <w:rsid w:val="00CD3D6A"/>
    <w:rsid w:val="00CD448C"/>
    <w:rsid w:val="00CD4846"/>
    <w:rsid w:val="00CD4B99"/>
    <w:rsid w:val="00CD4F24"/>
    <w:rsid w:val="00CD54EE"/>
    <w:rsid w:val="00CD58CD"/>
    <w:rsid w:val="00CD5A44"/>
    <w:rsid w:val="00CD5BAA"/>
    <w:rsid w:val="00CD63FD"/>
    <w:rsid w:val="00CD65B1"/>
    <w:rsid w:val="00CD67A0"/>
    <w:rsid w:val="00CD728B"/>
    <w:rsid w:val="00CD7371"/>
    <w:rsid w:val="00CD7787"/>
    <w:rsid w:val="00CD79FF"/>
    <w:rsid w:val="00CD7BA1"/>
    <w:rsid w:val="00CE0B6E"/>
    <w:rsid w:val="00CE1D36"/>
    <w:rsid w:val="00CE2565"/>
    <w:rsid w:val="00CE2A83"/>
    <w:rsid w:val="00CE33CE"/>
    <w:rsid w:val="00CE369A"/>
    <w:rsid w:val="00CE43AA"/>
    <w:rsid w:val="00CE4A4F"/>
    <w:rsid w:val="00CE4A51"/>
    <w:rsid w:val="00CE4F27"/>
    <w:rsid w:val="00CE551F"/>
    <w:rsid w:val="00CE5563"/>
    <w:rsid w:val="00CE5D17"/>
    <w:rsid w:val="00CE6486"/>
    <w:rsid w:val="00CE64AB"/>
    <w:rsid w:val="00CE6AAD"/>
    <w:rsid w:val="00CE6D5B"/>
    <w:rsid w:val="00CE720A"/>
    <w:rsid w:val="00CE7269"/>
    <w:rsid w:val="00CE7E6C"/>
    <w:rsid w:val="00CF03B2"/>
    <w:rsid w:val="00CF059D"/>
    <w:rsid w:val="00CF1212"/>
    <w:rsid w:val="00CF1663"/>
    <w:rsid w:val="00CF1C5C"/>
    <w:rsid w:val="00CF21FD"/>
    <w:rsid w:val="00CF2D81"/>
    <w:rsid w:val="00CF33CA"/>
    <w:rsid w:val="00CF3775"/>
    <w:rsid w:val="00CF3C77"/>
    <w:rsid w:val="00CF4750"/>
    <w:rsid w:val="00CF49AB"/>
    <w:rsid w:val="00CF4ABC"/>
    <w:rsid w:val="00CF4E22"/>
    <w:rsid w:val="00CF523B"/>
    <w:rsid w:val="00CF5731"/>
    <w:rsid w:val="00CF6928"/>
    <w:rsid w:val="00CF6AE5"/>
    <w:rsid w:val="00CF6C66"/>
    <w:rsid w:val="00CF7A2C"/>
    <w:rsid w:val="00CF7A8A"/>
    <w:rsid w:val="00CF7B6C"/>
    <w:rsid w:val="00CF7F9A"/>
    <w:rsid w:val="00D00B50"/>
    <w:rsid w:val="00D010E3"/>
    <w:rsid w:val="00D01123"/>
    <w:rsid w:val="00D014B2"/>
    <w:rsid w:val="00D018B3"/>
    <w:rsid w:val="00D02BA8"/>
    <w:rsid w:val="00D03756"/>
    <w:rsid w:val="00D039AA"/>
    <w:rsid w:val="00D04094"/>
    <w:rsid w:val="00D047A0"/>
    <w:rsid w:val="00D049E3"/>
    <w:rsid w:val="00D051FF"/>
    <w:rsid w:val="00D0536E"/>
    <w:rsid w:val="00D06985"/>
    <w:rsid w:val="00D0707E"/>
    <w:rsid w:val="00D07281"/>
    <w:rsid w:val="00D07600"/>
    <w:rsid w:val="00D07CF4"/>
    <w:rsid w:val="00D07FB3"/>
    <w:rsid w:val="00D1026F"/>
    <w:rsid w:val="00D1055D"/>
    <w:rsid w:val="00D108BB"/>
    <w:rsid w:val="00D10985"/>
    <w:rsid w:val="00D10AD0"/>
    <w:rsid w:val="00D11101"/>
    <w:rsid w:val="00D11165"/>
    <w:rsid w:val="00D11462"/>
    <w:rsid w:val="00D11D01"/>
    <w:rsid w:val="00D12004"/>
    <w:rsid w:val="00D120A8"/>
    <w:rsid w:val="00D12584"/>
    <w:rsid w:val="00D13429"/>
    <w:rsid w:val="00D136FD"/>
    <w:rsid w:val="00D13AAC"/>
    <w:rsid w:val="00D13BB4"/>
    <w:rsid w:val="00D141BE"/>
    <w:rsid w:val="00D14AA9"/>
    <w:rsid w:val="00D153C4"/>
    <w:rsid w:val="00D1571E"/>
    <w:rsid w:val="00D15EFA"/>
    <w:rsid w:val="00D17219"/>
    <w:rsid w:val="00D17331"/>
    <w:rsid w:val="00D173EA"/>
    <w:rsid w:val="00D17705"/>
    <w:rsid w:val="00D17747"/>
    <w:rsid w:val="00D17FC3"/>
    <w:rsid w:val="00D20B36"/>
    <w:rsid w:val="00D20C54"/>
    <w:rsid w:val="00D211B7"/>
    <w:rsid w:val="00D21212"/>
    <w:rsid w:val="00D2145A"/>
    <w:rsid w:val="00D214A2"/>
    <w:rsid w:val="00D21A15"/>
    <w:rsid w:val="00D22301"/>
    <w:rsid w:val="00D22526"/>
    <w:rsid w:val="00D22C15"/>
    <w:rsid w:val="00D23CC8"/>
    <w:rsid w:val="00D23E9E"/>
    <w:rsid w:val="00D244A2"/>
    <w:rsid w:val="00D25D39"/>
    <w:rsid w:val="00D26085"/>
    <w:rsid w:val="00D2651C"/>
    <w:rsid w:val="00D26544"/>
    <w:rsid w:val="00D2659B"/>
    <w:rsid w:val="00D27A4C"/>
    <w:rsid w:val="00D27EDA"/>
    <w:rsid w:val="00D27F8F"/>
    <w:rsid w:val="00D30340"/>
    <w:rsid w:val="00D30373"/>
    <w:rsid w:val="00D3043F"/>
    <w:rsid w:val="00D305A9"/>
    <w:rsid w:val="00D30820"/>
    <w:rsid w:val="00D30A11"/>
    <w:rsid w:val="00D30FE0"/>
    <w:rsid w:val="00D31309"/>
    <w:rsid w:val="00D313E8"/>
    <w:rsid w:val="00D31883"/>
    <w:rsid w:val="00D3232C"/>
    <w:rsid w:val="00D3241B"/>
    <w:rsid w:val="00D3271F"/>
    <w:rsid w:val="00D32A19"/>
    <w:rsid w:val="00D32A38"/>
    <w:rsid w:val="00D32B2E"/>
    <w:rsid w:val="00D33755"/>
    <w:rsid w:val="00D33AA2"/>
    <w:rsid w:val="00D33ADF"/>
    <w:rsid w:val="00D33D6A"/>
    <w:rsid w:val="00D34307"/>
    <w:rsid w:val="00D34C30"/>
    <w:rsid w:val="00D34C79"/>
    <w:rsid w:val="00D34E58"/>
    <w:rsid w:val="00D351C5"/>
    <w:rsid w:val="00D352E0"/>
    <w:rsid w:val="00D352E6"/>
    <w:rsid w:val="00D354F7"/>
    <w:rsid w:val="00D36159"/>
    <w:rsid w:val="00D3707F"/>
    <w:rsid w:val="00D377CD"/>
    <w:rsid w:val="00D37933"/>
    <w:rsid w:val="00D37C1F"/>
    <w:rsid w:val="00D37DCF"/>
    <w:rsid w:val="00D40F7A"/>
    <w:rsid w:val="00D41908"/>
    <w:rsid w:val="00D42004"/>
    <w:rsid w:val="00D42400"/>
    <w:rsid w:val="00D42684"/>
    <w:rsid w:val="00D42952"/>
    <w:rsid w:val="00D429CF"/>
    <w:rsid w:val="00D4349B"/>
    <w:rsid w:val="00D4354A"/>
    <w:rsid w:val="00D4417E"/>
    <w:rsid w:val="00D444BB"/>
    <w:rsid w:val="00D44DA7"/>
    <w:rsid w:val="00D45747"/>
    <w:rsid w:val="00D469C1"/>
    <w:rsid w:val="00D47AF5"/>
    <w:rsid w:val="00D47C4A"/>
    <w:rsid w:val="00D50865"/>
    <w:rsid w:val="00D51036"/>
    <w:rsid w:val="00D515A8"/>
    <w:rsid w:val="00D51967"/>
    <w:rsid w:val="00D51FC4"/>
    <w:rsid w:val="00D524DC"/>
    <w:rsid w:val="00D526B0"/>
    <w:rsid w:val="00D52DF6"/>
    <w:rsid w:val="00D538C2"/>
    <w:rsid w:val="00D53A8F"/>
    <w:rsid w:val="00D54E87"/>
    <w:rsid w:val="00D551A2"/>
    <w:rsid w:val="00D5653B"/>
    <w:rsid w:val="00D570AA"/>
    <w:rsid w:val="00D57C44"/>
    <w:rsid w:val="00D57EBA"/>
    <w:rsid w:val="00D57FC2"/>
    <w:rsid w:val="00D57FD7"/>
    <w:rsid w:val="00D602E0"/>
    <w:rsid w:val="00D60BDE"/>
    <w:rsid w:val="00D6123E"/>
    <w:rsid w:val="00D61EAC"/>
    <w:rsid w:val="00D622CC"/>
    <w:rsid w:val="00D6269D"/>
    <w:rsid w:val="00D62894"/>
    <w:rsid w:val="00D63716"/>
    <w:rsid w:val="00D63CC1"/>
    <w:rsid w:val="00D64267"/>
    <w:rsid w:val="00D643F6"/>
    <w:rsid w:val="00D64632"/>
    <w:rsid w:val="00D65579"/>
    <w:rsid w:val="00D65FCB"/>
    <w:rsid w:val="00D66080"/>
    <w:rsid w:val="00D66B49"/>
    <w:rsid w:val="00D66D52"/>
    <w:rsid w:val="00D67441"/>
    <w:rsid w:val="00D67921"/>
    <w:rsid w:val="00D67FB1"/>
    <w:rsid w:val="00D707AE"/>
    <w:rsid w:val="00D71545"/>
    <w:rsid w:val="00D7191E"/>
    <w:rsid w:val="00D721D4"/>
    <w:rsid w:val="00D72672"/>
    <w:rsid w:val="00D728C3"/>
    <w:rsid w:val="00D729CC"/>
    <w:rsid w:val="00D7325D"/>
    <w:rsid w:val="00D73494"/>
    <w:rsid w:val="00D736A7"/>
    <w:rsid w:val="00D74330"/>
    <w:rsid w:val="00D74AEB"/>
    <w:rsid w:val="00D757FE"/>
    <w:rsid w:val="00D76A5B"/>
    <w:rsid w:val="00D76CB1"/>
    <w:rsid w:val="00D76FBA"/>
    <w:rsid w:val="00D76FEA"/>
    <w:rsid w:val="00D773AF"/>
    <w:rsid w:val="00D77946"/>
    <w:rsid w:val="00D803FD"/>
    <w:rsid w:val="00D8058C"/>
    <w:rsid w:val="00D80ACE"/>
    <w:rsid w:val="00D8193B"/>
    <w:rsid w:val="00D81F8E"/>
    <w:rsid w:val="00D82190"/>
    <w:rsid w:val="00D8275D"/>
    <w:rsid w:val="00D82D54"/>
    <w:rsid w:val="00D8366D"/>
    <w:rsid w:val="00D841CE"/>
    <w:rsid w:val="00D84229"/>
    <w:rsid w:val="00D84300"/>
    <w:rsid w:val="00D849D4"/>
    <w:rsid w:val="00D85549"/>
    <w:rsid w:val="00D85818"/>
    <w:rsid w:val="00D85DF0"/>
    <w:rsid w:val="00D862D5"/>
    <w:rsid w:val="00D865E8"/>
    <w:rsid w:val="00D86C8F"/>
    <w:rsid w:val="00D8708F"/>
    <w:rsid w:val="00D871A2"/>
    <w:rsid w:val="00D8725C"/>
    <w:rsid w:val="00D87338"/>
    <w:rsid w:val="00D87709"/>
    <w:rsid w:val="00D90365"/>
    <w:rsid w:val="00D908AC"/>
    <w:rsid w:val="00D90965"/>
    <w:rsid w:val="00D90AD4"/>
    <w:rsid w:val="00D915E9"/>
    <w:rsid w:val="00D91F67"/>
    <w:rsid w:val="00D92081"/>
    <w:rsid w:val="00D92761"/>
    <w:rsid w:val="00D92D51"/>
    <w:rsid w:val="00D93278"/>
    <w:rsid w:val="00D93C3C"/>
    <w:rsid w:val="00D93DD9"/>
    <w:rsid w:val="00D93E4E"/>
    <w:rsid w:val="00D94509"/>
    <w:rsid w:val="00D9477B"/>
    <w:rsid w:val="00D94C30"/>
    <w:rsid w:val="00D9537B"/>
    <w:rsid w:val="00D9577C"/>
    <w:rsid w:val="00D9597D"/>
    <w:rsid w:val="00D9604B"/>
    <w:rsid w:val="00D96DDB"/>
    <w:rsid w:val="00D9782E"/>
    <w:rsid w:val="00D97D91"/>
    <w:rsid w:val="00DA0432"/>
    <w:rsid w:val="00DA065D"/>
    <w:rsid w:val="00DA15CE"/>
    <w:rsid w:val="00DA18CD"/>
    <w:rsid w:val="00DA1B6D"/>
    <w:rsid w:val="00DA254B"/>
    <w:rsid w:val="00DA25C4"/>
    <w:rsid w:val="00DA2968"/>
    <w:rsid w:val="00DA37E0"/>
    <w:rsid w:val="00DA3F28"/>
    <w:rsid w:val="00DA41A7"/>
    <w:rsid w:val="00DA44DA"/>
    <w:rsid w:val="00DA52FC"/>
    <w:rsid w:val="00DA5B78"/>
    <w:rsid w:val="00DA5BE6"/>
    <w:rsid w:val="00DA6027"/>
    <w:rsid w:val="00DA606E"/>
    <w:rsid w:val="00DA64E4"/>
    <w:rsid w:val="00DA6FD1"/>
    <w:rsid w:val="00DA70C3"/>
    <w:rsid w:val="00DA7B47"/>
    <w:rsid w:val="00DB012D"/>
    <w:rsid w:val="00DB0135"/>
    <w:rsid w:val="00DB03C7"/>
    <w:rsid w:val="00DB0A65"/>
    <w:rsid w:val="00DB1419"/>
    <w:rsid w:val="00DB1E4F"/>
    <w:rsid w:val="00DB3031"/>
    <w:rsid w:val="00DB3056"/>
    <w:rsid w:val="00DB3A9C"/>
    <w:rsid w:val="00DB4149"/>
    <w:rsid w:val="00DB42CD"/>
    <w:rsid w:val="00DB4D67"/>
    <w:rsid w:val="00DB51B9"/>
    <w:rsid w:val="00DB5397"/>
    <w:rsid w:val="00DB5434"/>
    <w:rsid w:val="00DB5502"/>
    <w:rsid w:val="00DB557E"/>
    <w:rsid w:val="00DB55A0"/>
    <w:rsid w:val="00DB55D1"/>
    <w:rsid w:val="00DB6B7E"/>
    <w:rsid w:val="00DB730A"/>
    <w:rsid w:val="00DB7338"/>
    <w:rsid w:val="00DB7490"/>
    <w:rsid w:val="00DC008D"/>
    <w:rsid w:val="00DC014D"/>
    <w:rsid w:val="00DC05E5"/>
    <w:rsid w:val="00DC09D1"/>
    <w:rsid w:val="00DC0D0E"/>
    <w:rsid w:val="00DC1ACB"/>
    <w:rsid w:val="00DC1D05"/>
    <w:rsid w:val="00DC2093"/>
    <w:rsid w:val="00DC2680"/>
    <w:rsid w:val="00DC27CD"/>
    <w:rsid w:val="00DC2994"/>
    <w:rsid w:val="00DC2B8E"/>
    <w:rsid w:val="00DC3755"/>
    <w:rsid w:val="00DC4564"/>
    <w:rsid w:val="00DC4858"/>
    <w:rsid w:val="00DC542C"/>
    <w:rsid w:val="00DC5FE8"/>
    <w:rsid w:val="00DC7C98"/>
    <w:rsid w:val="00DD00BA"/>
    <w:rsid w:val="00DD02A4"/>
    <w:rsid w:val="00DD0762"/>
    <w:rsid w:val="00DD07D9"/>
    <w:rsid w:val="00DD08C7"/>
    <w:rsid w:val="00DD0A67"/>
    <w:rsid w:val="00DD1295"/>
    <w:rsid w:val="00DD12A8"/>
    <w:rsid w:val="00DD1327"/>
    <w:rsid w:val="00DD21A6"/>
    <w:rsid w:val="00DD22A7"/>
    <w:rsid w:val="00DD3D75"/>
    <w:rsid w:val="00DD40A6"/>
    <w:rsid w:val="00DD4AE4"/>
    <w:rsid w:val="00DD4E5B"/>
    <w:rsid w:val="00DD4FB5"/>
    <w:rsid w:val="00DD5027"/>
    <w:rsid w:val="00DD5173"/>
    <w:rsid w:val="00DD5182"/>
    <w:rsid w:val="00DD54CB"/>
    <w:rsid w:val="00DD5753"/>
    <w:rsid w:val="00DD59F7"/>
    <w:rsid w:val="00DD5D6B"/>
    <w:rsid w:val="00DD7313"/>
    <w:rsid w:val="00DD76CB"/>
    <w:rsid w:val="00DD7C3E"/>
    <w:rsid w:val="00DE011D"/>
    <w:rsid w:val="00DE0260"/>
    <w:rsid w:val="00DE050F"/>
    <w:rsid w:val="00DE0C48"/>
    <w:rsid w:val="00DE151B"/>
    <w:rsid w:val="00DE1A15"/>
    <w:rsid w:val="00DE1D4F"/>
    <w:rsid w:val="00DE218E"/>
    <w:rsid w:val="00DE2751"/>
    <w:rsid w:val="00DE2B52"/>
    <w:rsid w:val="00DE3417"/>
    <w:rsid w:val="00DE4695"/>
    <w:rsid w:val="00DE4A46"/>
    <w:rsid w:val="00DE4BD1"/>
    <w:rsid w:val="00DE4F24"/>
    <w:rsid w:val="00DE5095"/>
    <w:rsid w:val="00DE5B0E"/>
    <w:rsid w:val="00DE6247"/>
    <w:rsid w:val="00DE6312"/>
    <w:rsid w:val="00DE69A1"/>
    <w:rsid w:val="00DE7815"/>
    <w:rsid w:val="00DF0249"/>
    <w:rsid w:val="00DF0E30"/>
    <w:rsid w:val="00DF1488"/>
    <w:rsid w:val="00DF1805"/>
    <w:rsid w:val="00DF1E94"/>
    <w:rsid w:val="00DF2503"/>
    <w:rsid w:val="00DF261B"/>
    <w:rsid w:val="00DF26B9"/>
    <w:rsid w:val="00DF2850"/>
    <w:rsid w:val="00DF2957"/>
    <w:rsid w:val="00DF2E44"/>
    <w:rsid w:val="00DF30E0"/>
    <w:rsid w:val="00DF3849"/>
    <w:rsid w:val="00DF3BD5"/>
    <w:rsid w:val="00DF3D2E"/>
    <w:rsid w:val="00DF4A39"/>
    <w:rsid w:val="00DF4C6D"/>
    <w:rsid w:val="00DF4F9A"/>
    <w:rsid w:val="00DF503D"/>
    <w:rsid w:val="00DF50B4"/>
    <w:rsid w:val="00DF559F"/>
    <w:rsid w:val="00DF5A38"/>
    <w:rsid w:val="00DF6455"/>
    <w:rsid w:val="00DF6924"/>
    <w:rsid w:val="00DF69FD"/>
    <w:rsid w:val="00DF6A66"/>
    <w:rsid w:val="00DF712B"/>
    <w:rsid w:val="00DF75E2"/>
    <w:rsid w:val="00DF7A5A"/>
    <w:rsid w:val="00E0024C"/>
    <w:rsid w:val="00E0036A"/>
    <w:rsid w:val="00E004A9"/>
    <w:rsid w:val="00E00D46"/>
    <w:rsid w:val="00E00FB6"/>
    <w:rsid w:val="00E012B8"/>
    <w:rsid w:val="00E01701"/>
    <w:rsid w:val="00E02F02"/>
    <w:rsid w:val="00E03484"/>
    <w:rsid w:val="00E035D4"/>
    <w:rsid w:val="00E038F0"/>
    <w:rsid w:val="00E0392C"/>
    <w:rsid w:val="00E03B6D"/>
    <w:rsid w:val="00E03D89"/>
    <w:rsid w:val="00E03E9C"/>
    <w:rsid w:val="00E04225"/>
    <w:rsid w:val="00E04A94"/>
    <w:rsid w:val="00E04D73"/>
    <w:rsid w:val="00E04E1D"/>
    <w:rsid w:val="00E05591"/>
    <w:rsid w:val="00E0573C"/>
    <w:rsid w:val="00E05DB8"/>
    <w:rsid w:val="00E05F76"/>
    <w:rsid w:val="00E0627D"/>
    <w:rsid w:val="00E064FA"/>
    <w:rsid w:val="00E065D3"/>
    <w:rsid w:val="00E06C3C"/>
    <w:rsid w:val="00E07137"/>
    <w:rsid w:val="00E074D3"/>
    <w:rsid w:val="00E0795B"/>
    <w:rsid w:val="00E07B22"/>
    <w:rsid w:val="00E07B2E"/>
    <w:rsid w:val="00E1032F"/>
    <w:rsid w:val="00E108AD"/>
    <w:rsid w:val="00E10B90"/>
    <w:rsid w:val="00E10EAF"/>
    <w:rsid w:val="00E111C4"/>
    <w:rsid w:val="00E118EF"/>
    <w:rsid w:val="00E11995"/>
    <w:rsid w:val="00E121F3"/>
    <w:rsid w:val="00E1222F"/>
    <w:rsid w:val="00E123CE"/>
    <w:rsid w:val="00E126DB"/>
    <w:rsid w:val="00E12DDE"/>
    <w:rsid w:val="00E137FC"/>
    <w:rsid w:val="00E141A2"/>
    <w:rsid w:val="00E14621"/>
    <w:rsid w:val="00E146BA"/>
    <w:rsid w:val="00E152AE"/>
    <w:rsid w:val="00E15381"/>
    <w:rsid w:val="00E154BD"/>
    <w:rsid w:val="00E157FF"/>
    <w:rsid w:val="00E15AAD"/>
    <w:rsid w:val="00E16C7F"/>
    <w:rsid w:val="00E17207"/>
    <w:rsid w:val="00E17CF1"/>
    <w:rsid w:val="00E2015B"/>
    <w:rsid w:val="00E20309"/>
    <w:rsid w:val="00E20A98"/>
    <w:rsid w:val="00E20F00"/>
    <w:rsid w:val="00E21553"/>
    <w:rsid w:val="00E2175F"/>
    <w:rsid w:val="00E21941"/>
    <w:rsid w:val="00E21D0C"/>
    <w:rsid w:val="00E2296C"/>
    <w:rsid w:val="00E22A8E"/>
    <w:rsid w:val="00E22B83"/>
    <w:rsid w:val="00E22BE4"/>
    <w:rsid w:val="00E23438"/>
    <w:rsid w:val="00E238B4"/>
    <w:rsid w:val="00E23D2C"/>
    <w:rsid w:val="00E23F3D"/>
    <w:rsid w:val="00E25225"/>
    <w:rsid w:val="00E255A3"/>
    <w:rsid w:val="00E25621"/>
    <w:rsid w:val="00E2565A"/>
    <w:rsid w:val="00E25A10"/>
    <w:rsid w:val="00E25D90"/>
    <w:rsid w:val="00E2636E"/>
    <w:rsid w:val="00E2697F"/>
    <w:rsid w:val="00E26EC6"/>
    <w:rsid w:val="00E2711B"/>
    <w:rsid w:val="00E27CB5"/>
    <w:rsid w:val="00E27F7C"/>
    <w:rsid w:val="00E3055B"/>
    <w:rsid w:val="00E307AC"/>
    <w:rsid w:val="00E312A0"/>
    <w:rsid w:val="00E3185C"/>
    <w:rsid w:val="00E31A59"/>
    <w:rsid w:val="00E31B5B"/>
    <w:rsid w:val="00E32096"/>
    <w:rsid w:val="00E320A6"/>
    <w:rsid w:val="00E32157"/>
    <w:rsid w:val="00E32785"/>
    <w:rsid w:val="00E32EAD"/>
    <w:rsid w:val="00E335BC"/>
    <w:rsid w:val="00E3438D"/>
    <w:rsid w:val="00E34D68"/>
    <w:rsid w:val="00E352F1"/>
    <w:rsid w:val="00E35765"/>
    <w:rsid w:val="00E35DFE"/>
    <w:rsid w:val="00E35FEA"/>
    <w:rsid w:val="00E3607E"/>
    <w:rsid w:val="00E360A1"/>
    <w:rsid w:val="00E360F7"/>
    <w:rsid w:val="00E3646E"/>
    <w:rsid w:val="00E36A1F"/>
    <w:rsid w:val="00E36F9F"/>
    <w:rsid w:val="00E40445"/>
    <w:rsid w:val="00E405C9"/>
    <w:rsid w:val="00E40CC9"/>
    <w:rsid w:val="00E40E40"/>
    <w:rsid w:val="00E417EC"/>
    <w:rsid w:val="00E419A4"/>
    <w:rsid w:val="00E42C7A"/>
    <w:rsid w:val="00E42CBB"/>
    <w:rsid w:val="00E43105"/>
    <w:rsid w:val="00E43384"/>
    <w:rsid w:val="00E433F1"/>
    <w:rsid w:val="00E4382F"/>
    <w:rsid w:val="00E43D2C"/>
    <w:rsid w:val="00E441D4"/>
    <w:rsid w:val="00E4439E"/>
    <w:rsid w:val="00E44652"/>
    <w:rsid w:val="00E454A8"/>
    <w:rsid w:val="00E45BFD"/>
    <w:rsid w:val="00E46CFD"/>
    <w:rsid w:val="00E4732C"/>
    <w:rsid w:val="00E47BC5"/>
    <w:rsid w:val="00E47F73"/>
    <w:rsid w:val="00E5061E"/>
    <w:rsid w:val="00E50D8D"/>
    <w:rsid w:val="00E5124E"/>
    <w:rsid w:val="00E513E0"/>
    <w:rsid w:val="00E51470"/>
    <w:rsid w:val="00E51533"/>
    <w:rsid w:val="00E5163D"/>
    <w:rsid w:val="00E51655"/>
    <w:rsid w:val="00E5182A"/>
    <w:rsid w:val="00E518FD"/>
    <w:rsid w:val="00E521D5"/>
    <w:rsid w:val="00E524D8"/>
    <w:rsid w:val="00E5266A"/>
    <w:rsid w:val="00E529C3"/>
    <w:rsid w:val="00E52A16"/>
    <w:rsid w:val="00E538A1"/>
    <w:rsid w:val="00E53C36"/>
    <w:rsid w:val="00E53E32"/>
    <w:rsid w:val="00E540AE"/>
    <w:rsid w:val="00E544CD"/>
    <w:rsid w:val="00E547C8"/>
    <w:rsid w:val="00E54B5A"/>
    <w:rsid w:val="00E551BA"/>
    <w:rsid w:val="00E55EFC"/>
    <w:rsid w:val="00E572F1"/>
    <w:rsid w:val="00E5746E"/>
    <w:rsid w:val="00E577D2"/>
    <w:rsid w:val="00E57EBE"/>
    <w:rsid w:val="00E60628"/>
    <w:rsid w:val="00E61101"/>
    <w:rsid w:val="00E61283"/>
    <w:rsid w:val="00E618A5"/>
    <w:rsid w:val="00E62082"/>
    <w:rsid w:val="00E62C06"/>
    <w:rsid w:val="00E62DB1"/>
    <w:rsid w:val="00E62E64"/>
    <w:rsid w:val="00E630E6"/>
    <w:rsid w:val="00E63489"/>
    <w:rsid w:val="00E63618"/>
    <w:rsid w:val="00E644DB"/>
    <w:rsid w:val="00E648C9"/>
    <w:rsid w:val="00E651C5"/>
    <w:rsid w:val="00E651ED"/>
    <w:rsid w:val="00E65842"/>
    <w:rsid w:val="00E65DBA"/>
    <w:rsid w:val="00E65F42"/>
    <w:rsid w:val="00E668AB"/>
    <w:rsid w:val="00E67153"/>
    <w:rsid w:val="00E67AF2"/>
    <w:rsid w:val="00E67B0A"/>
    <w:rsid w:val="00E67F67"/>
    <w:rsid w:val="00E70086"/>
    <w:rsid w:val="00E70E48"/>
    <w:rsid w:val="00E721CC"/>
    <w:rsid w:val="00E7247E"/>
    <w:rsid w:val="00E72F65"/>
    <w:rsid w:val="00E73037"/>
    <w:rsid w:val="00E73380"/>
    <w:rsid w:val="00E733C8"/>
    <w:rsid w:val="00E7343D"/>
    <w:rsid w:val="00E73582"/>
    <w:rsid w:val="00E7403A"/>
    <w:rsid w:val="00E744EE"/>
    <w:rsid w:val="00E751AB"/>
    <w:rsid w:val="00E76306"/>
    <w:rsid w:val="00E76D2D"/>
    <w:rsid w:val="00E77221"/>
    <w:rsid w:val="00E772D9"/>
    <w:rsid w:val="00E7757A"/>
    <w:rsid w:val="00E776C2"/>
    <w:rsid w:val="00E77D19"/>
    <w:rsid w:val="00E801C3"/>
    <w:rsid w:val="00E80B8A"/>
    <w:rsid w:val="00E81154"/>
    <w:rsid w:val="00E81201"/>
    <w:rsid w:val="00E81C6B"/>
    <w:rsid w:val="00E81D1A"/>
    <w:rsid w:val="00E81EB8"/>
    <w:rsid w:val="00E828CB"/>
    <w:rsid w:val="00E8307D"/>
    <w:rsid w:val="00E834AE"/>
    <w:rsid w:val="00E835BA"/>
    <w:rsid w:val="00E83811"/>
    <w:rsid w:val="00E8382E"/>
    <w:rsid w:val="00E84295"/>
    <w:rsid w:val="00E845F2"/>
    <w:rsid w:val="00E84765"/>
    <w:rsid w:val="00E84869"/>
    <w:rsid w:val="00E84D25"/>
    <w:rsid w:val="00E8517E"/>
    <w:rsid w:val="00E85B9B"/>
    <w:rsid w:val="00E8667C"/>
    <w:rsid w:val="00E867C6"/>
    <w:rsid w:val="00E867FA"/>
    <w:rsid w:val="00E86EB2"/>
    <w:rsid w:val="00E8704B"/>
    <w:rsid w:val="00E871D9"/>
    <w:rsid w:val="00E87560"/>
    <w:rsid w:val="00E87920"/>
    <w:rsid w:val="00E87CAC"/>
    <w:rsid w:val="00E87E0B"/>
    <w:rsid w:val="00E90E6C"/>
    <w:rsid w:val="00E90FB9"/>
    <w:rsid w:val="00E9116A"/>
    <w:rsid w:val="00E913A4"/>
    <w:rsid w:val="00E91A8E"/>
    <w:rsid w:val="00E91D86"/>
    <w:rsid w:val="00E91FCF"/>
    <w:rsid w:val="00E92362"/>
    <w:rsid w:val="00E923C8"/>
    <w:rsid w:val="00E93914"/>
    <w:rsid w:val="00E9393E"/>
    <w:rsid w:val="00E93C48"/>
    <w:rsid w:val="00E9443F"/>
    <w:rsid w:val="00E94450"/>
    <w:rsid w:val="00E945E3"/>
    <w:rsid w:val="00E94961"/>
    <w:rsid w:val="00E9514A"/>
    <w:rsid w:val="00E95211"/>
    <w:rsid w:val="00E95713"/>
    <w:rsid w:val="00E960E3"/>
    <w:rsid w:val="00E960E8"/>
    <w:rsid w:val="00E96EC5"/>
    <w:rsid w:val="00E977FA"/>
    <w:rsid w:val="00E97E10"/>
    <w:rsid w:val="00EA053B"/>
    <w:rsid w:val="00EA103C"/>
    <w:rsid w:val="00EA1644"/>
    <w:rsid w:val="00EA164E"/>
    <w:rsid w:val="00EA17BE"/>
    <w:rsid w:val="00EA19AC"/>
    <w:rsid w:val="00EA21EF"/>
    <w:rsid w:val="00EA28A0"/>
    <w:rsid w:val="00EA2B7A"/>
    <w:rsid w:val="00EA3667"/>
    <w:rsid w:val="00EA3F44"/>
    <w:rsid w:val="00EA4025"/>
    <w:rsid w:val="00EA4454"/>
    <w:rsid w:val="00EA605F"/>
    <w:rsid w:val="00EA67E3"/>
    <w:rsid w:val="00EA736F"/>
    <w:rsid w:val="00EA7606"/>
    <w:rsid w:val="00EA7EC5"/>
    <w:rsid w:val="00EB004C"/>
    <w:rsid w:val="00EB03B3"/>
    <w:rsid w:val="00EB05DE"/>
    <w:rsid w:val="00EB0AFA"/>
    <w:rsid w:val="00EB13A3"/>
    <w:rsid w:val="00EB1616"/>
    <w:rsid w:val="00EB1A9A"/>
    <w:rsid w:val="00EB1C66"/>
    <w:rsid w:val="00EB2231"/>
    <w:rsid w:val="00EB236A"/>
    <w:rsid w:val="00EB2A6D"/>
    <w:rsid w:val="00EB2CCE"/>
    <w:rsid w:val="00EB2EB0"/>
    <w:rsid w:val="00EB3CD6"/>
    <w:rsid w:val="00EB4DE5"/>
    <w:rsid w:val="00EB5273"/>
    <w:rsid w:val="00EB5AC4"/>
    <w:rsid w:val="00EB601F"/>
    <w:rsid w:val="00EB697B"/>
    <w:rsid w:val="00EB707D"/>
    <w:rsid w:val="00EB768C"/>
    <w:rsid w:val="00EB7CD4"/>
    <w:rsid w:val="00EB7D9B"/>
    <w:rsid w:val="00EC0048"/>
    <w:rsid w:val="00EC0126"/>
    <w:rsid w:val="00EC01AA"/>
    <w:rsid w:val="00EC0489"/>
    <w:rsid w:val="00EC08FE"/>
    <w:rsid w:val="00EC114F"/>
    <w:rsid w:val="00EC131B"/>
    <w:rsid w:val="00EC14E1"/>
    <w:rsid w:val="00EC1DCA"/>
    <w:rsid w:val="00EC1FC2"/>
    <w:rsid w:val="00EC254C"/>
    <w:rsid w:val="00EC2BD9"/>
    <w:rsid w:val="00EC357F"/>
    <w:rsid w:val="00EC3632"/>
    <w:rsid w:val="00EC37E9"/>
    <w:rsid w:val="00EC3DE5"/>
    <w:rsid w:val="00EC43EE"/>
    <w:rsid w:val="00EC44DF"/>
    <w:rsid w:val="00EC4A90"/>
    <w:rsid w:val="00EC4D8E"/>
    <w:rsid w:val="00EC532E"/>
    <w:rsid w:val="00EC54A7"/>
    <w:rsid w:val="00EC5F22"/>
    <w:rsid w:val="00EC6944"/>
    <w:rsid w:val="00EC74D6"/>
    <w:rsid w:val="00EC7D39"/>
    <w:rsid w:val="00EC7DAF"/>
    <w:rsid w:val="00EC7FD3"/>
    <w:rsid w:val="00ED01E7"/>
    <w:rsid w:val="00ED1BCE"/>
    <w:rsid w:val="00ED1EDA"/>
    <w:rsid w:val="00ED1F8D"/>
    <w:rsid w:val="00ED1FE5"/>
    <w:rsid w:val="00ED2EB8"/>
    <w:rsid w:val="00ED2EFF"/>
    <w:rsid w:val="00ED3288"/>
    <w:rsid w:val="00ED3ECE"/>
    <w:rsid w:val="00ED4461"/>
    <w:rsid w:val="00ED462F"/>
    <w:rsid w:val="00ED4E65"/>
    <w:rsid w:val="00ED52DF"/>
    <w:rsid w:val="00ED60CF"/>
    <w:rsid w:val="00ED6508"/>
    <w:rsid w:val="00ED65FA"/>
    <w:rsid w:val="00EE0FC2"/>
    <w:rsid w:val="00EE18B6"/>
    <w:rsid w:val="00EE1D89"/>
    <w:rsid w:val="00EE1EE8"/>
    <w:rsid w:val="00EE1FCE"/>
    <w:rsid w:val="00EE26A0"/>
    <w:rsid w:val="00EE2ED3"/>
    <w:rsid w:val="00EE301D"/>
    <w:rsid w:val="00EE3157"/>
    <w:rsid w:val="00EE31BD"/>
    <w:rsid w:val="00EE36F5"/>
    <w:rsid w:val="00EE37FF"/>
    <w:rsid w:val="00EE3A73"/>
    <w:rsid w:val="00EE3DE3"/>
    <w:rsid w:val="00EE4627"/>
    <w:rsid w:val="00EE47AE"/>
    <w:rsid w:val="00EE4F37"/>
    <w:rsid w:val="00EE50DF"/>
    <w:rsid w:val="00EE5773"/>
    <w:rsid w:val="00EE5CFB"/>
    <w:rsid w:val="00EE5F23"/>
    <w:rsid w:val="00EE616E"/>
    <w:rsid w:val="00EE6A71"/>
    <w:rsid w:val="00EE709B"/>
    <w:rsid w:val="00EE7BCB"/>
    <w:rsid w:val="00EF000C"/>
    <w:rsid w:val="00EF0877"/>
    <w:rsid w:val="00EF3092"/>
    <w:rsid w:val="00EF355F"/>
    <w:rsid w:val="00EF3656"/>
    <w:rsid w:val="00EF3B64"/>
    <w:rsid w:val="00EF3DDC"/>
    <w:rsid w:val="00EF3E08"/>
    <w:rsid w:val="00EF3F23"/>
    <w:rsid w:val="00EF41FB"/>
    <w:rsid w:val="00EF4970"/>
    <w:rsid w:val="00EF4C7B"/>
    <w:rsid w:val="00EF586F"/>
    <w:rsid w:val="00EF5CAC"/>
    <w:rsid w:val="00EF61C6"/>
    <w:rsid w:val="00EF62D2"/>
    <w:rsid w:val="00EF658E"/>
    <w:rsid w:val="00EF6703"/>
    <w:rsid w:val="00EF686C"/>
    <w:rsid w:val="00EF689D"/>
    <w:rsid w:val="00EF71EA"/>
    <w:rsid w:val="00EF7A2F"/>
    <w:rsid w:val="00EF7A62"/>
    <w:rsid w:val="00EF7D84"/>
    <w:rsid w:val="00F00479"/>
    <w:rsid w:val="00F0069A"/>
    <w:rsid w:val="00F00A29"/>
    <w:rsid w:val="00F01346"/>
    <w:rsid w:val="00F01504"/>
    <w:rsid w:val="00F0177C"/>
    <w:rsid w:val="00F026B1"/>
    <w:rsid w:val="00F02BC9"/>
    <w:rsid w:val="00F03067"/>
    <w:rsid w:val="00F03079"/>
    <w:rsid w:val="00F03D78"/>
    <w:rsid w:val="00F04698"/>
    <w:rsid w:val="00F04A44"/>
    <w:rsid w:val="00F0511D"/>
    <w:rsid w:val="00F052AD"/>
    <w:rsid w:val="00F06219"/>
    <w:rsid w:val="00F06800"/>
    <w:rsid w:val="00F0686B"/>
    <w:rsid w:val="00F078DC"/>
    <w:rsid w:val="00F07C3A"/>
    <w:rsid w:val="00F10535"/>
    <w:rsid w:val="00F10BC2"/>
    <w:rsid w:val="00F11C3C"/>
    <w:rsid w:val="00F11E41"/>
    <w:rsid w:val="00F11FF0"/>
    <w:rsid w:val="00F12D3E"/>
    <w:rsid w:val="00F133B7"/>
    <w:rsid w:val="00F13575"/>
    <w:rsid w:val="00F13A73"/>
    <w:rsid w:val="00F13E02"/>
    <w:rsid w:val="00F1438F"/>
    <w:rsid w:val="00F14BB7"/>
    <w:rsid w:val="00F16CCF"/>
    <w:rsid w:val="00F17309"/>
    <w:rsid w:val="00F17E72"/>
    <w:rsid w:val="00F17F7C"/>
    <w:rsid w:val="00F20727"/>
    <w:rsid w:val="00F20877"/>
    <w:rsid w:val="00F21861"/>
    <w:rsid w:val="00F21A38"/>
    <w:rsid w:val="00F21D58"/>
    <w:rsid w:val="00F22811"/>
    <w:rsid w:val="00F22C8B"/>
    <w:rsid w:val="00F22CC6"/>
    <w:rsid w:val="00F22CD4"/>
    <w:rsid w:val="00F232A5"/>
    <w:rsid w:val="00F23418"/>
    <w:rsid w:val="00F2392D"/>
    <w:rsid w:val="00F25B48"/>
    <w:rsid w:val="00F25C81"/>
    <w:rsid w:val="00F25E67"/>
    <w:rsid w:val="00F25EE5"/>
    <w:rsid w:val="00F26451"/>
    <w:rsid w:val="00F26489"/>
    <w:rsid w:val="00F26A8A"/>
    <w:rsid w:val="00F27548"/>
    <w:rsid w:val="00F275CE"/>
    <w:rsid w:val="00F2778E"/>
    <w:rsid w:val="00F27897"/>
    <w:rsid w:val="00F27908"/>
    <w:rsid w:val="00F301C0"/>
    <w:rsid w:val="00F3061D"/>
    <w:rsid w:val="00F30A55"/>
    <w:rsid w:val="00F30B3E"/>
    <w:rsid w:val="00F30B89"/>
    <w:rsid w:val="00F30EA9"/>
    <w:rsid w:val="00F30F26"/>
    <w:rsid w:val="00F31127"/>
    <w:rsid w:val="00F3145A"/>
    <w:rsid w:val="00F31DCD"/>
    <w:rsid w:val="00F325A8"/>
    <w:rsid w:val="00F327FA"/>
    <w:rsid w:val="00F32BC3"/>
    <w:rsid w:val="00F336DE"/>
    <w:rsid w:val="00F3403F"/>
    <w:rsid w:val="00F34A8B"/>
    <w:rsid w:val="00F34DBF"/>
    <w:rsid w:val="00F35156"/>
    <w:rsid w:val="00F35319"/>
    <w:rsid w:val="00F354E2"/>
    <w:rsid w:val="00F35DA4"/>
    <w:rsid w:val="00F35E0A"/>
    <w:rsid w:val="00F35E66"/>
    <w:rsid w:val="00F3669B"/>
    <w:rsid w:val="00F36885"/>
    <w:rsid w:val="00F36C88"/>
    <w:rsid w:val="00F36EB7"/>
    <w:rsid w:val="00F3749A"/>
    <w:rsid w:val="00F377EB"/>
    <w:rsid w:val="00F37A15"/>
    <w:rsid w:val="00F40196"/>
    <w:rsid w:val="00F4068A"/>
    <w:rsid w:val="00F40A7C"/>
    <w:rsid w:val="00F40DCF"/>
    <w:rsid w:val="00F415CA"/>
    <w:rsid w:val="00F41CFC"/>
    <w:rsid w:val="00F41F1B"/>
    <w:rsid w:val="00F4277A"/>
    <w:rsid w:val="00F42F04"/>
    <w:rsid w:val="00F43356"/>
    <w:rsid w:val="00F43828"/>
    <w:rsid w:val="00F4392A"/>
    <w:rsid w:val="00F444DF"/>
    <w:rsid w:val="00F448C8"/>
    <w:rsid w:val="00F45260"/>
    <w:rsid w:val="00F454AA"/>
    <w:rsid w:val="00F45780"/>
    <w:rsid w:val="00F458A1"/>
    <w:rsid w:val="00F460B4"/>
    <w:rsid w:val="00F462D8"/>
    <w:rsid w:val="00F46B31"/>
    <w:rsid w:val="00F47F36"/>
    <w:rsid w:val="00F50106"/>
    <w:rsid w:val="00F502AD"/>
    <w:rsid w:val="00F503EE"/>
    <w:rsid w:val="00F50CC2"/>
    <w:rsid w:val="00F50D2F"/>
    <w:rsid w:val="00F50E1B"/>
    <w:rsid w:val="00F51189"/>
    <w:rsid w:val="00F51344"/>
    <w:rsid w:val="00F51AE6"/>
    <w:rsid w:val="00F51B1A"/>
    <w:rsid w:val="00F51EFA"/>
    <w:rsid w:val="00F5216F"/>
    <w:rsid w:val="00F52434"/>
    <w:rsid w:val="00F5248E"/>
    <w:rsid w:val="00F52CC2"/>
    <w:rsid w:val="00F530BC"/>
    <w:rsid w:val="00F5315D"/>
    <w:rsid w:val="00F5316B"/>
    <w:rsid w:val="00F5387E"/>
    <w:rsid w:val="00F54D73"/>
    <w:rsid w:val="00F54EB4"/>
    <w:rsid w:val="00F54EB6"/>
    <w:rsid w:val="00F562C0"/>
    <w:rsid w:val="00F56651"/>
    <w:rsid w:val="00F5680D"/>
    <w:rsid w:val="00F5690F"/>
    <w:rsid w:val="00F56DEF"/>
    <w:rsid w:val="00F56DF2"/>
    <w:rsid w:val="00F56EDF"/>
    <w:rsid w:val="00F57372"/>
    <w:rsid w:val="00F573D5"/>
    <w:rsid w:val="00F57C4C"/>
    <w:rsid w:val="00F60031"/>
    <w:rsid w:val="00F6046A"/>
    <w:rsid w:val="00F60C86"/>
    <w:rsid w:val="00F61071"/>
    <w:rsid w:val="00F6144E"/>
    <w:rsid w:val="00F614FD"/>
    <w:rsid w:val="00F62118"/>
    <w:rsid w:val="00F62241"/>
    <w:rsid w:val="00F62427"/>
    <w:rsid w:val="00F6247C"/>
    <w:rsid w:val="00F6254C"/>
    <w:rsid w:val="00F625E7"/>
    <w:rsid w:val="00F62D3D"/>
    <w:rsid w:val="00F62E63"/>
    <w:rsid w:val="00F62F81"/>
    <w:rsid w:val="00F63922"/>
    <w:rsid w:val="00F63DE8"/>
    <w:rsid w:val="00F645B4"/>
    <w:rsid w:val="00F64F11"/>
    <w:rsid w:val="00F6517B"/>
    <w:rsid w:val="00F65A75"/>
    <w:rsid w:val="00F65AF2"/>
    <w:rsid w:val="00F667BC"/>
    <w:rsid w:val="00F671A4"/>
    <w:rsid w:val="00F672D8"/>
    <w:rsid w:val="00F67FAE"/>
    <w:rsid w:val="00F7014B"/>
    <w:rsid w:val="00F70265"/>
    <w:rsid w:val="00F70390"/>
    <w:rsid w:val="00F708AE"/>
    <w:rsid w:val="00F70EE8"/>
    <w:rsid w:val="00F726C6"/>
    <w:rsid w:val="00F72F9B"/>
    <w:rsid w:val="00F73701"/>
    <w:rsid w:val="00F73831"/>
    <w:rsid w:val="00F74362"/>
    <w:rsid w:val="00F7546B"/>
    <w:rsid w:val="00F75708"/>
    <w:rsid w:val="00F758A4"/>
    <w:rsid w:val="00F75F10"/>
    <w:rsid w:val="00F75FEB"/>
    <w:rsid w:val="00F7606F"/>
    <w:rsid w:val="00F76419"/>
    <w:rsid w:val="00F776A2"/>
    <w:rsid w:val="00F77AEF"/>
    <w:rsid w:val="00F80888"/>
    <w:rsid w:val="00F80905"/>
    <w:rsid w:val="00F80F9F"/>
    <w:rsid w:val="00F81143"/>
    <w:rsid w:val="00F8242F"/>
    <w:rsid w:val="00F82808"/>
    <w:rsid w:val="00F82F21"/>
    <w:rsid w:val="00F8300B"/>
    <w:rsid w:val="00F83255"/>
    <w:rsid w:val="00F83EA5"/>
    <w:rsid w:val="00F844CA"/>
    <w:rsid w:val="00F844D1"/>
    <w:rsid w:val="00F8484F"/>
    <w:rsid w:val="00F84990"/>
    <w:rsid w:val="00F84A01"/>
    <w:rsid w:val="00F84D87"/>
    <w:rsid w:val="00F84E6E"/>
    <w:rsid w:val="00F85571"/>
    <w:rsid w:val="00F85699"/>
    <w:rsid w:val="00F858D6"/>
    <w:rsid w:val="00F85903"/>
    <w:rsid w:val="00F85C73"/>
    <w:rsid w:val="00F85FE3"/>
    <w:rsid w:val="00F8676A"/>
    <w:rsid w:val="00F876B4"/>
    <w:rsid w:val="00F90630"/>
    <w:rsid w:val="00F90B5F"/>
    <w:rsid w:val="00F912FB"/>
    <w:rsid w:val="00F9172A"/>
    <w:rsid w:val="00F919A7"/>
    <w:rsid w:val="00F91DAB"/>
    <w:rsid w:val="00F9207F"/>
    <w:rsid w:val="00F921D5"/>
    <w:rsid w:val="00F922FB"/>
    <w:rsid w:val="00F92859"/>
    <w:rsid w:val="00F93169"/>
    <w:rsid w:val="00F932A5"/>
    <w:rsid w:val="00F933F5"/>
    <w:rsid w:val="00F93633"/>
    <w:rsid w:val="00F93ABE"/>
    <w:rsid w:val="00F94C4B"/>
    <w:rsid w:val="00F95382"/>
    <w:rsid w:val="00F9554B"/>
    <w:rsid w:val="00F95FCC"/>
    <w:rsid w:val="00F96232"/>
    <w:rsid w:val="00F96BE8"/>
    <w:rsid w:val="00F96E3A"/>
    <w:rsid w:val="00F96E66"/>
    <w:rsid w:val="00F970BB"/>
    <w:rsid w:val="00F97451"/>
    <w:rsid w:val="00F97769"/>
    <w:rsid w:val="00F97C66"/>
    <w:rsid w:val="00F97D9F"/>
    <w:rsid w:val="00F97E10"/>
    <w:rsid w:val="00FA0A8E"/>
    <w:rsid w:val="00FA0C26"/>
    <w:rsid w:val="00FA119E"/>
    <w:rsid w:val="00FA15F1"/>
    <w:rsid w:val="00FA1E31"/>
    <w:rsid w:val="00FA1F35"/>
    <w:rsid w:val="00FA26C7"/>
    <w:rsid w:val="00FA2783"/>
    <w:rsid w:val="00FA2913"/>
    <w:rsid w:val="00FA2954"/>
    <w:rsid w:val="00FA2F96"/>
    <w:rsid w:val="00FA363D"/>
    <w:rsid w:val="00FA4251"/>
    <w:rsid w:val="00FA546D"/>
    <w:rsid w:val="00FA5BC0"/>
    <w:rsid w:val="00FA5DD3"/>
    <w:rsid w:val="00FA63F5"/>
    <w:rsid w:val="00FA6764"/>
    <w:rsid w:val="00FA68A6"/>
    <w:rsid w:val="00FA70F7"/>
    <w:rsid w:val="00FA7738"/>
    <w:rsid w:val="00FB0009"/>
    <w:rsid w:val="00FB0523"/>
    <w:rsid w:val="00FB090F"/>
    <w:rsid w:val="00FB1802"/>
    <w:rsid w:val="00FB1C68"/>
    <w:rsid w:val="00FB1E37"/>
    <w:rsid w:val="00FB1E5A"/>
    <w:rsid w:val="00FB1FE5"/>
    <w:rsid w:val="00FB2298"/>
    <w:rsid w:val="00FB2422"/>
    <w:rsid w:val="00FB2840"/>
    <w:rsid w:val="00FB28AA"/>
    <w:rsid w:val="00FB3240"/>
    <w:rsid w:val="00FB3569"/>
    <w:rsid w:val="00FB385A"/>
    <w:rsid w:val="00FB3A5C"/>
    <w:rsid w:val="00FB3AD5"/>
    <w:rsid w:val="00FB3E5B"/>
    <w:rsid w:val="00FB4909"/>
    <w:rsid w:val="00FB490E"/>
    <w:rsid w:val="00FB4B59"/>
    <w:rsid w:val="00FB6302"/>
    <w:rsid w:val="00FB6FA6"/>
    <w:rsid w:val="00FB7275"/>
    <w:rsid w:val="00FB7443"/>
    <w:rsid w:val="00FB7513"/>
    <w:rsid w:val="00FB779E"/>
    <w:rsid w:val="00FB7F3C"/>
    <w:rsid w:val="00FC0330"/>
    <w:rsid w:val="00FC0526"/>
    <w:rsid w:val="00FC0B2C"/>
    <w:rsid w:val="00FC1E26"/>
    <w:rsid w:val="00FC2334"/>
    <w:rsid w:val="00FC278E"/>
    <w:rsid w:val="00FC27D9"/>
    <w:rsid w:val="00FC2BC6"/>
    <w:rsid w:val="00FC2E5F"/>
    <w:rsid w:val="00FC3260"/>
    <w:rsid w:val="00FC39BC"/>
    <w:rsid w:val="00FC3BE4"/>
    <w:rsid w:val="00FC3D91"/>
    <w:rsid w:val="00FC407E"/>
    <w:rsid w:val="00FC423C"/>
    <w:rsid w:val="00FC4A85"/>
    <w:rsid w:val="00FC4D4C"/>
    <w:rsid w:val="00FC5A2A"/>
    <w:rsid w:val="00FC67B8"/>
    <w:rsid w:val="00FC6E47"/>
    <w:rsid w:val="00FC7591"/>
    <w:rsid w:val="00FC79A3"/>
    <w:rsid w:val="00FD058B"/>
    <w:rsid w:val="00FD0BAC"/>
    <w:rsid w:val="00FD1419"/>
    <w:rsid w:val="00FD149B"/>
    <w:rsid w:val="00FD1D61"/>
    <w:rsid w:val="00FD1E34"/>
    <w:rsid w:val="00FD1EFB"/>
    <w:rsid w:val="00FD20C5"/>
    <w:rsid w:val="00FD22CB"/>
    <w:rsid w:val="00FD2368"/>
    <w:rsid w:val="00FD23FD"/>
    <w:rsid w:val="00FD295A"/>
    <w:rsid w:val="00FD37A9"/>
    <w:rsid w:val="00FD3A90"/>
    <w:rsid w:val="00FD41D0"/>
    <w:rsid w:val="00FD4CD7"/>
    <w:rsid w:val="00FD51F3"/>
    <w:rsid w:val="00FD51F4"/>
    <w:rsid w:val="00FD5A6A"/>
    <w:rsid w:val="00FD5F8E"/>
    <w:rsid w:val="00FD6106"/>
    <w:rsid w:val="00FD63F4"/>
    <w:rsid w:val="00FD6BAC"/>
    <w:rsid w:val="00FD7DA4"/>
    <w:rsid w:val="00FD7E01"/>
    <w:rsid w:val="00FD7E79"/>
    <w:rsid w:val="00FE0096"/>
    <w:rsid w:val="00FE07DE"/>
    <w:rsid w:val="00FE087A"/>
    <w:rsid w:val="00FE0981"/>
    <w:rsid w:val="00FE182F"/>
    <w:rsid w:val="00FE18A4"/>
    <w:rsid w:val="00FE2D1C"/>
    <w:rsid w:val="00FE3E00"/>
    <w:rsid w:val="00FE473D"/>
    <w:rsid w:val="00FE4A60"/>
    <w:rsid w:val="00FE4D93"/>
    <w:rsid w:val="00FE4EFB"/>
    <w:rsid w:val="00FE52CA"/>
    <w:rsid w:val="00FE5586"/>
    <w:rsid w:val="00FE59B3"/>
    <w:rsid w:val="00FE5A01"/>
    <w:rsid w:val="00FE650A"/>
    <w:rsid w:val="00FE6C93"/>
    <w:rsid w:val="00FE7082"/>
    <w:rsid w:val="00FE7149"/>
    <w:rsid w:val="00FE76FA"/>
    <w:rsid w:val="00FE7E47"/>
    <w:rsid w:val="00FE7ED1"/>
    <w:rsid w:val="00FF09DC"/>
    <w:rsid w:val="00FF1246"/>
    <w:rsid w:val="00FF1604"/>
    <w:rsid w:val="00FF19EF"/>
    <w:rsid w:val="00FF1A91"/>
    <w:rsid w:val="00FF1E3F"/>
    <w:rsid w:val="00FF22C5"/>
    <w:rsid w:val="00FF23EF"/>
    <w:rsid w:val="00FF25D0"/>
    <w:rsid w:val="00FF26ED"/>
    <w:rsid w:val="00FF2AA1"/>
    <w:rsid w:val="00FF3B57"/>
    <w:rsid w:val="00FF3CE7"/>
    <w:rsid w:val="00FF3E13"/>
    <w:rsid w:val="00FF4530"/>
    <w:rsid w:val="00FF5495"/>
    <w:rsid w:val="00FF5AD8"/>
    <w:rsid w:val="00FF6267"/>
    <w:rsid w:val="00FF6759"/>
    <w:rsid w:val="00FF6763"/>
    <w:rsid w:val="00FF6A5E"/>
    <w:rsid w:val="00FF6C39"/>
    <w:rsid w:val="00FF7652"/>
  </w:rsids>
  <m:mathPr>
    <m:mathFont m:val="Cambria Math"/>
    <m:brkBin m:val="before"/>
    <m:brkBinSub m:val="--"/>
    <m:smallFrac/>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193"/>
    <o:shapelayout v:ext="edit">
      <o:idmap v:ext="edit" data="1"/>
    </o:shapelayout>
  </w:shapeDefaults>
  <w:decimalSymbol w:val="."/>
  <w:listSeparator w:val=","/>
  <w14:docId w14:val="1D59CC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ahoma" w:eastAsia="Times New Roman" w:hAnsi="Tahoma" w:cs="Times New Roman"/>
        <w:b/>
        <w:color w:val="2D2D42"/>
        <w:sz w:val="22"/>
        <w:szCs w:val="22"/>
        <w:u w:val="single"/>
        <w:lang w:val="en-AU" w:eastAsia="en-AU" w:bidi="ar-SA"/>
      </w:rPr>
    </w:rPrDefault>
    <w:pPrDefault>
      <w:pPr>
        <w:spacing w:before="60" w:after="60"/>
        <w:ind w:left="3686" w:hanging="851"/>
      </w:pPr>
    </w:pPrDefault>
  </w:docDefaults>
  <w:latentStyles w:defLockedState="0" w:defUIPriority="99" w:defSemiHidden="0" w:defUnhideWhenUsed="0" w:defQFormat="0" w:count="371">
    <w:lsdException w:name="Normal" w:locked="1" w:uiPriority="12" w:qFormat="1"/>
    <w:lsdException w:name="heading 1" w:locked="1" w:uiPriority="9" w:qFormat="1"/>
    <w:lsdException w:name="heading 2" w:locked="1" w:uiPriority="9" w:qFormat="1"/>
    <w:lsdException w:name="heading 3" w:locked="1" w:uiPriority="9" w:qFormat="1"/>
    <w:lsdException w:name="heading 4" w:locked="1" w:uiPriority="9" w:qFormat="1"/>
    <w:lsdException w:name="heading 5" w:locked="1" w:uiPriority="9" w:qFormat="1"/>
    <w:lsdException w:name="heading 6" w:locked="1" w:uiPriority="9" w:qFormat="1"/>
    <w:lsdException w:name="heading 7" w:locked="1" w:uiPriority="9" w:unhideWhenUsed="1" w:qFormat="1"/>
    <w:lsdException w:name="heading 8" w:locked="1" w:uiPriority="9" w:unhideWhenUsed="1" w:qFormat="1"/>
    <w:lsdException w:name="heading 9" w:locked="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unhideWhenUsed="1"/>
    <w:lsdException w:name="toc 2" w:locked="1" w:uiPriority="39" w:unhideWhenUsed="1"/>
    <w:lsdException w:name="toc 3" w:locked="1" w:uiPriority="39" w:unhideWhenUsed="1"/>
    <w:lsdException w:name="toc 4" w:locked="1" w:uiPriority="39" w:unhideWhenUsed="1"/>
    <w:lsdException w:name="toc 5" w:locked="1" w:uiPriority="39" w:unhideWhenUsed="1"/>
    <w:lsdException w:name="toc 6" w:locked="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locked="1" w:uiPriority="4" w:unhideWhenUsed="1" w:qFormat="1"/>
    <w:lsdException w:name="List Number" w:locked="1" w:uiPriority="4"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10" w:qFormat="1"/>
    <w:lsdException w:name="Closing" w:semiHidden="1" w:unhideWhenUsed="1"/>
    <w:lsdException w:name="Signature" w:semiHidden="1" w:unhideWhenUsed="1"/>
    <w:lsdException w:name="Default Paragraph Font" w:locked="1" w:uiPriority="1" w:unhideWhenUsed="1"/>
    <w:lsdException w:name="Body Text" w:locked="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2"/>
    <w:qFormat/>
    <w:rsid w:val="00F354E2"/>
    <w:pPr>
      <w:autoSpaceDE w:val="0"/>
      <w:autoSpaceDN w:val="0"/>
      <w:adjustRightInd w:val="0"/>
      <w:spacing w:before="0" w:after="120"/>
      <w:ind w:left="0" w:firstLine="0"/>
      <w:textAlignment w:val="center"/>
    </w:pPr>
  </w:style>
  <w:style w:type="paragraph" w:styleId="Heading1">
    <w:name w:val="heading 1"/>
    <w:basedOn w:val="Style1"/>
    <w:next w:val="BodyText"/>
    <w:link w:val="Heading1Char"/>
    <w:uiPriority w:val="9"/>
    <w:qFormat/>
    <w:rsid w:val="00D0536E"/>
    <w:pPr>
      <w:spacing w:line="288" w:lineRule="auto"/>
      <w:ind w:left="360" w:firstLine="0"/>
      <w:jc w:val="both"/>
    </w:pPr>
    <w:rPr>
      <w:rFonts w:asciiTheme="minorHAnsi" w:hAnsiTheme="minorHAnsi" w:cstheme="minorHAnsi"/>
      <w:b/>
      <w:color w:val="822B6A"/>
      <w:u w:val="none"/>
    </w:rPr>
  </w:style>
  <w:style w:type="paragraph" w:styleId="Heading2">
    <w:name w:val="heading 2"/>
    <w:basedOn w:val="Normal"/>
    <w:next w:val="BodyText"/>
    <w:link w:val="Heading2Char"/>
    <w:uiPriority w:val="9"/>
    <w:qFormat/>
    <w:rsid w:val="00F51AE6"/>
    <w:pPr>
      <w:keepNext/>
      <w:spacing w:before="240" w:line="288" w:lineRule="auto"/>
      <w:jc w:val="both"/>
      <w:outlineLvl w:val="1"/>
    </w:pPr>
    <w:rPr>
      <w:rFonts w:asciiTheme="minorHAnsi" w:hAnsiTheme="minorHAnsi" w:cstheme="minorHAnsi"/>
      <w:color w:val="822B6A"/>
      <w:u w:val="none"/>
      <w14:textFill>
        <w14:solidFill>
          <w14:srgbClr w14:val="822B6A">
            <w14:alpha w14:val="4000"/>
          </w14:srgbClr>
        </w14:solidFill>
      </w14:textFill>
    </w:rPr>
  </w:style>
  <w:style w:type="paragraph" w:styleId="Heading3">
    <w:name w:val="heading 3"/>
    <w:basedOn w:val="Heading5"/>
    <w:next w:val="BodyText"/>
    <w:link w:val="Heading3Char"/>
    <w:uiPriority w:val="9"/>
    <w:qFormat/>
    <w:rsid w:val="00BE5E8D"/>
    <w:pPr>
      <w:outlineLvl w:val="2"/>
    </w:pPr>
    <w:rPr>
      <w:color w:val="2D2D42"/>
    </w:rPr>
  </w:style>
  <w:style w:type="paragraph" w:styleId="Heading4">
    <w:name w:val="heading 4"/>
    <w:basedOn w:val="Normal"/>
    <w:next w:val="BodyText"/>
    <w:link w:val="Heading4Char"/>
    <w:uiPriority w:val="9"/>
    <w:qFormat/>
    <w:rsid w:val="00E65DBA"/>
    <w:pPr>
      <w:outlineLvl w:val="3"/>
    </w:pPr>
    <w:rPr>
      <w:b w:val="0"/>
      <w:color w:val="822B6A"/>
      <w:u w:val="none"/>
    </w:rPr>
  </w:style>
  <w:style w:type="paragraph" w:styleId="Heading5">
    <w:name w:val="heading 5"/>
    <w:basedOn w:val="Heading4"/>
    <w:next w:val="BodyText"/>
    <w:link w:val="Heading5Char"/>
    <w:uiPriority w:val="9"/>
    <w:qFormat/>
    <w:rsid w:val="00142193"/>
    <w:pPr>
      <w:outlineLvl w:val="4"/>
    </w:pPr>
    <w:rPr>
      <w:b/>
    </w:rPr>
  </w:style>
  <w:style w:type="paragraph" w:styleId="Heading6">
    <w:name w:val="heading 6"/>
    <w:basedOn w:val="Normal"/>
    <w:next w:val="Normal"/>
    <w:link w:val="Heading6Char"/>
    <w:uiPriority w:val="9"/>
    <w:semiHidden/>
    <w:qFormat/>
    <w:rsid w:val="000C741B"/>
    <w:pPr>
      <w:spacing w:before="240"/>
      <w:outlineLvl w:val="5"/>
    </w:pPr>
    <w:rPr>
      <w:rFonts w:ascii="Times New Roman" w:hAnsi="Times New Roman"/>
      <w:b w:val="0"/>
      <w:bCs/>
    </w:rPr>
  </w:style>
  <w:style w:type="paragraph" w:styleId="Heading7">
    <w:name w:val="heading 7"/>
    <w:basedOn w:val="Normal"/>
    <w:next w:val="Normal"/>
    <w:link w:val="Heading7Char"/>
    <w:uiPriority w:val="9"/>
    <w:semiHidden/>
    <w:qFormat/>
    <w:rsid w:val="000C741B"/>
    <w:pPr>
      <w:spacing w:before="240"/>
      <w:outlineLvl w:val="6"/>
    </w:pPr>
    <w:rPr>
      <w:rFonts w:ascii="Times New Roman" w:hAnsi="Times New Roman"/>
      <w:sz w:val="24"/>
    </w:rPr>
  </w:style>
  <w:style w:type="paragraph" w:styleId="Heading8">
    <w:name w:val="heading 8"/>
    <w:basedOn w:val="Normal"/>
    <w:next w:val="Normal"/>
    <w:link w:val="Heading8Char"/>
    <w:uiPriority w:val="9"/>
    <w:semiHidden/>
    <w:qFormat/>
    <w:rsid w:val="000C741B"/>
    <w:pPr>
      <w:spacing w:before="240"/>
      <w:outlineLvl w:val="7"/>
    </w:pPr>
    <w:rPr>
      <w:rFonts w:ascii="Times New Roman" w:hAnsi="Times New Roman"/>
      <w:i/>
      <w:iCs/>
      <w:sz w:val="24"/>
    </w:rPr>
  </w:style>
  <w:style w:type="paragraph" w:styleId="Heading9">
    <w:name w:val="heading 9"/>
    <w:basedOn w:val="Normal"/>
    <w:next w:val="Normal"/>
    <w:link w:val="Heading9Char"/>
    <w:uiPriority w:val="9"/>
    <w:semiHidden/>
    <w:qFormat/>
    <w:rsid w:val="000C741B"/>
    <w:pPr>
      <w:spacing w:before="240"/>
      <w:outlineLvl w:val="8"/>
    </w:pPr>
    <w:rPr>
      <w:rFonts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D0536E"/>
    <w:rPr>
      <w:rFonts w:asciiTheme="minorHAnsi" w:hAnsiTheme="minorHAnsi" w:cstheme="minorHAnsi"/>
      <w:bCs/>
      <w:color w:val="822B6A"/>
      <w:kern w:val="32"/>
      <w:sz w:val="32"/>
      <w:szCs w:val="32"/>
      <w:u w:val="none"/>
    </w:rPr>
  </w:style>
  <w:style w:type="character" w:customStyle="1" w:styleId="Heading2Char">
    <w:name w:val="Heading 2 Char"/>
    <w:basedOn w:val="DefaultParagraphFont"/>
    <w:link w:val="Heading2"/>
    <w:uiPriority w:val="9"/>
    <w:locked/>
    <w:rsid w:val="00F51AE6"/>
    <w:rPr>
      <w:rFonts w:asciiTheme="minorHAnsi" w:hAnsiTheme="minorHAnsi" w:cstheme="minorHAnsi"/>
      <w:color w:val="822B6A"/>
      <w:u w:val="none"/>
      <w14:textFill>
        <w14:solidFill>
          <w14:srgbClr w14:val="822B6A">
            <w14:alpha w14:val="4000"/>
          </w14:srgbClr>
        </w14:solidFill>
      </w14:textFill>
    </w:rPr>
  </w:style>
  <w:style w:type="character" w:customStyle="1" w:styleId="Heading3Char">
    <w:name w:val="Heading 3 Char"/>
    <w:basedOn w:val="DefaultParagraphFont"/>
    <w:link w:val="Heading3"/>
    <w:uiPriority w:val="9"/>
    <w:locked/>
    <w:rsid w:val="00BE5E8D"/>
    <w:rPr>
      <w:u w:val="none"/>
    </w:rPr>
  </w:style>
  <w:style w:type="character" w:customStyle="1" w:styleId="Heading4Char">
    <w:name w:val="Heading 4 Char"/>
    <w:basedOn w:val="DefaultParagraphFont"/>
    <w:link w:val="Heading4"/>
    <w:uiPriority w:val="9"/>
    <w:locked/>
    <w:rsid w:val="00E65DBA"/>
    <w:rPr>
      <w:b w:val="0"/>
      <w:color w:val="822B6A"/>
      <w:u w:val="none"/>
    </w:rPr>
  </w:style>
  <w:style w:type="character" w:customStyle="1" w:styleId="Heading5Char">
    <w:name w:val="Heading 5 Char"/>
    <w:basedOn w:val="DefaultParagraphFont"/>
    <w:link w:val="Heading5"/>
    <w:uiPriority w:val="9"/>
    <w:locked/>
    <w:rsid w:val="00142193"/>
    <w:rPr>
      <w:b w:val="0"/>
      <w:color w:val="822B6A"/>
      <w:u w:val="none"/>
    </w:rPr>
  </w:style>
  <w:style w:type="character" w:customStyle="1" w:styleId="Heading6Char">
    <w:name w:val="Heading 6 Char"/>
    <w:basedOn w:val="DefaultParagraphFont"/>
    <w:link w:val="Heading6"/>
    <w:uiPriority w:val="9"/>
    <w:semiHidden/>
    <w:locked/>
    <w:rsid w:val="00304CC3"/>
    <w:rPr>
      <w:rFonts w:ascii="Times New Roman" w:hAnsi="Times New Roman"/>
      <w:b w:val="0"/>
      <w:bCs/>
      <w:sz w:val="20"/>
    </w:rPr>
  </w:style>
  <w:style w:type="character" w:customStyle="1" w:styleId="Heading7Char">
    <w:name w:val="Heading 7 Char"/>
    <w:basedOn w:val="DefaultParagraphFont"/>
    <w:link w:val="Heading7"/>
    <w:uiPriority w:val="9"/>
    <w:semiHidden/>
    <w:locked/>
    <w:rsid w:val="00304CC3"/>
    <w:rPr>
      <w:rFonts w:ascii="Times New Roman" w:hAnsi="Times New Roman"/>
      <w:sz w:val="24"/>
    </w:rPr>
  </w:style>
  <w:style w:type="character" w:customStyle="1" w:styleId="Heading8Char">
    <w:name w:val="Heading 8 Char"/>
    <w:basedOn w:val="DefaultParagraphFont"/>
    <w:link w:val="Heading8"/>
    <w:uiPriority w:val="9"/>
    <w:semiHidden/>
    <w:locked/>
    <w:rsid w:val="00304CC3"/>
    <w:rPr>
      <w:rFonts w:ascii="Times New Roman" w:hAnsi="Times New Roman"/>
      <w:i/>
      <w:iCs/>
      <w:sz w:val="24"/>
    </w:rPr>
  </w:style>
  <w:style w:type="character" w:customStyle="1" w:styleId="Heading9Char">
    <w:name w:val="Heading 9 Char"/>
    <w:basedOn w:val="DefaultParagraphFont"/>
    <w:link w:val="Heading9"/>
    <w:uiPriority w:val="9"/>
    <w:semiHidden/>
    <w:locked/>
    <w:rsid w:val="00304CC3"/>
    <w:rPr>
      <w:rFonts w:ascii="Arial" w:hAnsi="Arial" w:cs="Arial"/>
      <w:sz w:val="20"/>
    </w:rPr>
  </w:style>
  <w:style w:type="paragraph" w:styleId="BlockText">
    <w:name w:val="Block Text"/>
    <w:basedOn w:val="Normal"/>
    <w:uiPriority w:val="99"/>
    <w:rsid w:val="000C741B"/>
    <w:pPr>
      <w:ind w:left="1440" w:right="1440"/>
    </w:pPr>
  </w:style>
  <w:style w:type="paragraph" w:styleId="BodyText3">
    <w:name w:val="Body Text 3"/>
    <w:basedOn w:val="Normal"/>
    <w:link w:val="BodyText3Char"/>
    <w:uiPriority w:val="99"/>
    <w:semiHidden/>
    <w:rsid w:val="000C741B"/>
    <w:rPr>
      <w:sz w:val="16"/>
      <w:szCs w:val="16"/>
    </w:rPr>
  </w:style>
  <w:style w:type="character" w:customStyle="1" w:styleId="BodyText3Char">
    <w:name w:val="Body Text 3 Char"/>
    <w:basedOn w:val="DefaultParagraphFont"/>
    <w:link w:val="BodyText3"/>
    <w:uiPriority w:val="99"/>
    <w:semiHidden/>
    <w:locked/>
    <w:rsid w:val="00B218FE"/>
    <w:rPr>
      <w:rFonts w:ascii="Arial" w:hAnsi="Arial" w:cs="Times New Roman"/>
      <w:sz w:val="16"/>
      <w:szCs w:val="16"/>
    </w:rPr>
  </w:style>
  <w:style w:type="paragraph" w:styleId="BodyText">
    <w:name w:val="Body Text"/>
    <w:basedOn w:val="Normal"/>
    <w:link w:val="BodyTextChar"/>
    <w:qFormat/>
    <w:rsid w:val="00966DA9"/>
    <w:pPr>
      <w:spacing w:line="300" w:lineRule="atLeast"/>
    </w:pPr>
  </w:style>
  <w:style w:type="character" w:customStyle="1" w:styleId="BodyTextChar">
    <w:name w:val="Body Text Char"/>
    <w:basedOn w:val="DefaultParagraphFont"/>
    <w:link w:val="BodyText"/>
    <w:locked/>
    <w:rsid w:val="00966DA9"/>
    <w:rPr>
      <w:rFonts w:ascii="Arial" w:hAnsi="Arial"/>
      <w:sz w:val="20"/>
    </w:rPr>
  </w:style>
  <w:style w:type="paragraph" w:styleId="BodyTextFirstIndent">
    <w:name w:val="Body Text First Indent"/>
    <w:basedOn w:val="BodyText"/>
    <w:link w:val="BodyTextFirstIndentChar"/>
    <w:uiPriority w:val="99"/>
    <w:semiHidden/>
    <w:rsid w:val="000C741B"/>
    <w:pPr>
      <w:ind w:firstLine="210"/>
    </w:pPr>
  </w:style>
  <w:style w:type="character" w:customStyle="1" w:styleId="BodyTextFirstIndentChar">
    <w:name w:val="Body Text First Indent Char"/>
    <w:basedOn w:val="BodyTextChar"/>
    <w:link w:val="BodyTextFirstIndent"/>
    <w:uiPriority w:val="99"/>
    <w:semiHidden/>
    <w:locked/>
    <w:rsid w:val="00B218FE"/>
    <w:rPr>
      <w:rFonts w:ascii="Arial" w:hAnsi="Arial" w:cs="Times New Roman"/>
      <w:sz w:val="24"/>
      <w:szCs w:val="24"/>
      <w:lang w:val="en-AU" w:eastAsia="en-AU" w:bidi="ar-SA"/>
    </w:rPr>
  </w:style>
  <w:style w:type="paragraph" w:styleId="BodyTextIndent">
    <w:name w:val="Body Text Indent"/>
    <w:basedOn w:val="Normal"/>
    <w:link w:val="BodyTextIndentChar"/>
    <w:uiPriority w:val="99"/>
    <w:rsid w:val="000C741B"/>
    <w:pPr>
      <w:ind w:left="283"/>
    </w:pPr>
  </w:style>
  <w:style w:type="character" w:customStyle="1" w:styleId="BodyTextIndentChar">
    <w:name w:val="Body Text Indent Char"/>
    <w:basedOn w:val="DefaultParagraphFont"/>
    <w:link w:val="BodyTextIndent"/>
    <w:uiPriority w:val="99"/>
    <w:locked/>
    <w:rsid w:val="00B218FE"/>
    <w:rPr>
      <w:rFonts w:ascii="Arial" w:hAnsi="Arial" w:cs="Times New Roman"/>
      <w:sz w:val="24"/>
      <w:szCs w:val="24"/>
    </w:rPr>
  </w:style>
  <w:style w:type="paragraph" w:styleId="BodyTextFirstIndent2">
    <w:name w:val="Body Text First Indent 2"/>
    <w:basedOn w:val="BodyTextIndent"/>
    <w:link w:val="BodyTextFirstIndent2Char"/>
    <w:uiPriority w:val="99"/>
    <w:semiHidden/>
    <w:rsid w:val="000C741B"/>
    <w:pPr>
      <w:ind w:firstLine="210"/>
    </w:pPr>
  </w:style>
  <w:style w:type="character" w:customStyle="1" w:styleId="BodyTextFirstIndent2Char">
    <w:name w:val="Body Text First Indent 2 Char"/>
    <w:basedOn w:val="BodyTextIndentChar"/>
    <w:link w:val="BodyTextFirstIndent2"/>
    <w:uiPriority w:val="99"/>
    <w:semiHidden/>
    <w:locked/>
    <w:rsid w:val="00B218FE"/>
    <w:rPr>
      <w:rFonts w:ascii="Arial" w:hAnsi="Arial" w:cs="Times New Roman"/>
      <w:sz w:val="24"/>
      <w:szCs w:val="24"/>
    </w:rPr>
  </w:style>
  <w:style w:type="paragraph" w:styleId="BodyTextIndent2">
    <w:name w:val="Body Text Indent 2"/>
    <w:basedOn w:val="Normal"/>
    <w:link w:val="BodyTextIndent2Char"/>
    <w:uiPriority w:val="99"/>
    <w:semiHidden/>
    <w:rsid w:val="000C741B"/>
    <w:pPr>
      <w:spacing w:line="480" w:lineRule="auto"/>
      <w:ind w:left="283"/>
    </w:pPr>
  </w:style>
  <w:style w:type="character" w:customStyle="1" w:styleId="BodyTextIndent2Char">
    <w:name w:val="Body Text Indent 2 Char"/>
    <w:basedOn w:val="DefaultParagraphFont"/>
    <w:link w:val="BodyTextIndent2"/>
    <w:uiPriority w:val="99"/>
    <w:semiHidden/>
    <w:locked/>
    <w:rsid w:val="00B218FE"/>
    <w:rPr>
      <w:rFonts w:ascii="Arial" w:hAnsi="Arial" w:cs="Times New Roman"/>
      <w:sz w:val="24"/>
      <w:szCs w:val="24"/>
    </w:rPr>
  </w:style>
  <w:style w:type="paragraph" w:styleId="BodyTextIndent3">
    <w:name w:val="Body Text Indent 3"/>
    <w:basedOn w:val="Normal"/>
    <w:link w:val="BodyTextIndent3Char"/>
    <w:uiPriority w:val="99"/>
    <w:semiHidden/>
    <w:rsid w:val="000C741B"/>
    <w:pPr>
      <w:ind w:left="283"/>
    </w:pPr>
    <w:rPr>
      <w:sz w:val="16"/>
      <w:szCs w:val="16"/>
    </w:rPr>
  </w:style>
  <w:style w:type="character" w:customStyle="1" w:styleId="BodyTextIndent3Char">
    <w:name w:val="Body Text Indent 3 Char"/>
    <w:basedOn w:val="DefaultParagraphFont"/>
    <w:link w:val="BodyTextIndent3"/>
    <w:uiPriority w:val="99"/>
    <w:semiHidden/>
    <w:locked/>
    <w:rsid w:val="00B218FE"/>
    <w:rPr>
      <w:rFonts w:ascii="Arial" w:hAnsi="Arial" w:cs="Times New Roman"/>
      <w:sz w:val="16"/>
      <w:szCs w:val="16"/>
    </w:rPr>
  </w:style>
  <w:style w:type="paragraph" w:styleId="Caption">
    <w:name w:val="caption"/>
    <w:basedOn w:val="Normal"/>
    <w:next w:val="Normal"/>
    <w:uiPriority w:val="35"/>
    <w:semiHidden/>
    <w:qFormat/>
    <w:rsid w:val="000C741B"/>
    <w:rPr>
      <w:b w:val="0"/>
      <w:bCs/>
    </w:rPr>
  </w:style>
  <w:style w:type="paragraph" w:styleId="Closing">
    <w:name w:val="Closing"/>
    <w:basedOn w:val="Normal"/>
    <w:link w:val="ClosingChar"/>
    <w:uiPriority w:val="99"/>
    <w:semiHidden/>
    <w:rsid w:val="000C741B"/>
    <w:pPr>
      <w:ind w:left="4252"/>
    </w:pPr>
  </w:style>
  <w:style w:type="character" w:customStyle="1" w:styleId="ClosingChar">
    <w:name w:val="Closing Char"/>
    <w:basedOn w:val="DefaultParagraphFont"/>
    <w:link w:val="Closing"/>
    <w:uiPriority w:val="99"/>
    <w:semiHidden/>
    <w:locked/>
    <w:rsid w:val="00B218FE"/>
    <w:rPr>
      <w:rFonts w:ascii="Arial" w:hAnsi="Arial" w:cs="Times New Roman"/>
      <w:sz w:val="24"/>
      <w:szCs w:val="24"/>
    </w:rPr>
  </w:style>
  <w:style w:type="paragraph" w:styleId="Date">
    <w:name w:val="Date"/>
    <w:basedOn w:val="Normal"/>
    <w:next w:val="Normal"/>
    <w:link w:val="DateChar"/>
    <w:uiPriority w:val="99"/>
    <w:semiHidden/>
    <w:rsid w:val="000C741B"/>
  </w:style>
  <w:style w:type="character" w:customStyle="1" w:styleId="DateChar">
    <w:name w:val="Date Char"/>
    <w:basedOn w:val="DefaultParagraphFont"/>
    <w:link w:val="Date"/>
    <w:uiPriority w:val="99"/>
    <w:semiHidden/>
    <w:locked/>
    <w:rsid w:val="00B218FE"/>
    <w:rPr>
      <w:rFonts w:ascii="Arial" w:hAnsi="Arial" w:cs="Times New Roman"/>
      <w:sz w:val="24"/>
      <w:szCs w:val="24"/>
    </w:rPr>
  </w:style>
  <w:style w:type="paragraph" w:styleId="E-mailSignature">
    <w:name w:val="E-mail Signature"/>
    <w:basedOn w:val="Normal"/>
    <w:link w:val="E-mailSignatureChar"/>
    <w:uiPriority w:val="99"/>
    <w:semiHidden/>
    <w:rsid w:val="000C741B"/>
  </w:style>
  <w:style w:type="character" w:customStyle="1" w:styleId="E-mailSignatureChar">
    <w:name w:val="E-mail Signature Char"/>
    <w:basedOn w:val="DefaultParagraphFont"/>
    <w:link w:val="E-mailSignature"/>
    <w:uiPriority w:val="99"/>
    <w:semiHidden/>
    <w:locked/>
    <w:rsid w:val="00B218FE"/>
    <w:rPr>
      <w:rFonts w:ascii="Arial" w:hAnsi="Arial" w:cs="Times New Roman"/>
      <w:sz w:val="24"/>
      <w:szCs w:val="24"/>
    </w:rPr>
  </w:style>
  <w:style w:type="character" w:styleId="Emphasis">
    <w:name w:val="Emphasis"/>
    <w:basedOn w:val="DefaultParagraphFont"/>
    <w:uiPriority w:val="20"/>
    <w:qFormat/>
    <w:rsid w:val="000C741B"/>
    <w:rPr>
      <w:rFonts w:cs="Times New Roman"/>
      <w:i/>
      <w:iCs/>
    </w:rPr>
  </w:style>
  <w:style w:type="paragraph" w:styleId="EnvelopeAddress">
    <w:name w:val="envelope address"/>
    <w:basedOn w:val="Normal"/>
    <w:uiPriority w:val="99"/>
    <w:semiHidden/>
    <w:rsid w:val="000C741B"/>
    <w:pPr>
      <w:framePr w:w="7920" w:h="1980" w:hRule="exact" w:hSpace="180" w:wrap="auto" w:hAnchor="page" w:xAlign="center" w:yAlign="bottom"/>
      <w:ind w:left="2880"/>
    </w:pPr>
    <w:rPr>
      <w:rFonts w:cs="Arial"/>
      <w:sz w:val="24"/>
    </w:rPr>
  </w:style>
  <w:style w:type="paragraph" w:styleId="EnvelopeReturn">
    <w:name w:val="envelope return"/>
    <w:basedOn w:val="Normal"/>
    <w:uiPriority w:val="99"/>
    <w:semiHidden/>
    <w:rsid w:val="000C741B"/>
    <w:rPr>
      <w:rFonts w:cs="Arial"/>
    </w:rPr>
  </w:style>
  <w:style w:type="character" w:styleId="FollowedHyperlink">
    <w:name w:val="FollowedHyperlink"/>
    <w:basedOn w:val="DefaultParagraphFont"/>
    <w:uiPriority w:val="99"/>
    <w:semiHidden/>
    <w:rsid w:val="000C741B"/>
    <w:rPr>
      <w:rFonts w:cs="Times New Roman"/>
      <w:color w:val="800080"/>
      <w:u w:val="single"/>
    </w:rPr>
  </w:style>
  <w:style w:type="character" w:styleId="HTMLAcronym">
    <w:name w:val="HTML Acronym"/>
    <w:basedOn w:val="DefaultParagraphFont"/>
    <w:uiPriority w:val="99"/>
    <w:semiHidden/>
    <w:rsid w:val="000C741B"/>
    <w:rPr>
      <w:rFonts w:cs="Times New Roman"/>
    </w:rPr>
  </w:style>
  <w:style w:type="paragraph" w:styleId="HTMLAddress">
    <w:name w:val="HTML Address"/>
    <w:basedOn w:val="Normal"/>
    <w:link w:val="HTMLAddressChar"/>
    <w:uiPriority w:val="99"/>
    <w:semiHidden/>
    <w:rsid w:val="000C741B"/>
    <w:rPr>
      <w:i/>
      <w:iCs/>
    </w:rPr>
  </w:style>
  <w:style w:type="character" w:customStyle="1" w:styleId="HTMLAddressChar">
    <w:name w:val="HTML Address Char"/>
    <w:basedOn w:val="DefaultParagraphFont"/>
    <w:link w:val="HTMLAddress"/>
    <w:uiPriority w:val="99"/>
    <w:semiHidden/>
    <w:locked/>
    <w:rsid w:val="00B218FE"/>
    <w:rPr>
      <w:rFonts w:ascii="Arial" w:hAnsi="Arial" w:cs="Times New Roman"/>
      <w:i/>
      <w:iCs/>
      <w:sz w:val="24"/>
      <w:szCs w:val="24"/>
    </w:rPr>
  </w:style>
  <w:style w:type="character" w:styleId="HTMLCite">
    <w:name w:val="HTML Cite"/>
    <w:basedOn w:val="DefaultParagraphFont"/>
    <w:uiPriority w:val="99"/>
    <w:semiHidden/>
    <w:rsid w:val="000C741B"/>
    <w:rPr>
      <w:rFonts w:cs="Times New Roman"/>
      <w:i/>
      <w:iCs/>
    </w:rPr>
  </w:style>
  <w:style w:type="character" w:styleId="HTMLCode">
    <w:name w:val="HTML Code"/>
    <w:basedOn w:val="DefaultParagraphFont"/>
    <w:uiPriority w:val="99"/>
    <w:semiHidden/>
    <w:rsid w:val="000C741B"/>
    <w:rPr>
      <w:rFonts w:ascii="Courier New" w:hAnsi="Courier New" w:cs="Courier New"/>
      <w:sz w:val="20"/>
      <w:szCs w:val="20"/>
    </w:rPr>
  </w:style>
  <w:style w:type="character" w:styleId="HTMLDefinition">
    <w:name w:val="HTML Definition"/>
    <w:basedOn w:val="DefaultParagraphFont"/>
    <w:uiPriority w:val="99"/>
    <w:semiHidden/>
    <w:rsid w:val="000C741B"/>
    <w:rPr>
      <w:rFonts w:cs="Times New Roman"/>
      <w:i/>
      <w:iCs/>
    </w:rPr>
  </w:style>
  <w:style w:type="character" w:styleId="HTMLKeyboard">
    <w:name w:val="HTML Keyboard"/>
    <w:basedOn w:val="DefaultParagraphFont"/>
    <w:uiPriority w:val="99"/>
    <w:semiHidden/>
    <w:rsid w:val="000C741B"/>
    <w:rPr>
      <w:rFonts w:ascii="Courier New" w:hAnsi="Courier New" w:cs="Courier New"/>
      <w:sz w:val="20"/>
      <w:szCs w:val="20"/>
    </w:rPr>
  </w:style>
  <w:style w:type="paragraph" w:styleId="HTMLPreformatted">
    <w:name w:val="HTML Preformatted"/>
    <w:basedOn w:val="Normal"/>
    <w:link w:val="HTMLPreformattedChar"/>
    <w:uiPriority w:val="99"/>
    <w:semiHidden/>
    <w:rsid w:val="000C741B"/>
    <w:rPr>
      <w:rFonts w:ascii="Courier New" w:hAnsi="Courier New" w:cs="Courier New"/>
    </w:rPr>
  </w:style>
  <w:style w:type="character" w:customStyle="1" w:styleId="HTMLPreformattedChar">
    <w:name w:val="HTML Preformatted Char"/>
    <w:basedOn w:val="DefaultParagraphFont"/>
    <w:link w:val="HTMLPreformatted"/>
    <w:uiPriority w:val="99"/>
    <w:semiHidden/>
    <w:locked/>
    <w:rsid w:val="00B218FE"/>
    <w:rPr>
      <w:rFonts w:ascii="Courier New" w:hAnsi="Courier New" w:cs="Courier New"/>
      <w:sz w:val="20"/>
      <w:szCs w:val="20"/>
    </w:rPr>
  </w:style>
  <w:style w:type="character" w:styleId="HTMLSample">
    <w:name w:val="HTML Sample"/>
    <w:basedOn w:val="DefaultParagraphFont"/>
    <w:uiPriority w:val="99"/>
    <w:semiHidden/>
    <w:rsid w:val="000C741B"/>
    <w:rPr>
      <w:rFonts w:ascii="Courier New" w:hAnsi="Courier New" w:cs="Courier New"/>
    </w:rPr>
  </w:style>
  <w:style w:type="character" w:styleId="HTMLTypewriter">
    <w:name w:val="HTML Typewriter"/>
    <w:basedOn w:val="DefaultParagraphFont"/>
    <w:uiPriority w:val="99"/>
    <w:semiHidden/>
    <w:rsid w:val="000C741B"/>
    <w:rPr>
      <w:rFonts w:ascii="Courier New" w:hAnsi="Courier New" w:cs="Courier New"/>
      <w:sz w:val="20"/>
      <w:szCs w:val="20"/>
    </w:rPr>
  </w:style>
  <w:style w:type="character" w:styleId="HTMLVariable">
    <w:name w:val="HTML Variable"/>
    <w:basedOn w:val="DefaultParagraphFont"/>
    <w:uiPriority w:val="99"/>
    <w:semiHidden/>
    <w:rsid w:val="000C741B"/>
    <w:rPr>
      <w:rFonts w:cs="Times New Roman"/>
      <w:i/>
      <w:iCs/>
    </w:rPr>
  </w:style>
  <w:style w:type="character" w:styleId="LineNumber">
    <w:name w:val="line number"/>
    <w:basedOn w:val="DefaultParagraphFont"/>
    <w:uiPriority w:val="99"/>
    <w:semiHidden/>
    <w:rsid w:val="000C741B"/>
    <w:rPr>
      <w:rFonts w:cs="Times New Roman"/>
    </w:rPr>
  </w:style>
  <w:style w:type="paragraph" w:styleId="List2">
    <w:name w:val="List 2"/>
    <w:basedOn w:val="Normal"/>
    <w:uiPriority w:val="99"/>
    <w:semiHidden/>
    <w:rsid w:val="000C741B"/>
    <w:pPr>
      <w:ind w:left="566" w:hanging="283"/>
    </w:pPr>
  </w:style>
  <w:style w:type="paragraph" w:styleId="List3">
    <w:name w:val="List 3"/>
    <w:basedOn w:val="Normal"/>
    <w:uiPriority w:val="99"/>
    <w:semiHidden/>
    <w:rsid w:val="000C741B"/>
    <w:pPr>
      <w:ind w:left="849" w:hanging="283"/>
    </w:pPr>
  </w:style>
  <w:style w:type="paragraph" w:styleId="List4">
    <w:name w:val="List 4"/>
    <w:basedOn w:val="Normal"/>
    <w:uiPriority w:val="99"/>
    <w:semiHidden/>
    <w:rsid w:val="000C741B"/>
    <w:pPr>
      <w:ind w:left="1132" w:hanging="283"/>
    </w:pPr>
  </w:style>
  <w:style w:type="paragraph" w:styleId="List5">
    <w:name w:val="List 5"/>
    <w:basedOn w:val="Normal"/>
    <w:uiPriority w:val="99"/>
    <w:semiHidden/>
    <w:rsid w:val="000C741B"/>
    <w:pPr>
      <w:ind w:left="1415" w:hanging="283"/>
    </w:pPr>
  </w:style>
  <w:style w:type="paragraph" w:styleId="Header">
    <w:name w:val="header"/>
    <w:basedOn w:val="Normal"/>
    <w:link w:val="HeaderChar"/>
    <w:uiPriority w:val="99"/>
    <w:rsid w:val="00870182"/>
    <w:pPr>
      <w:jc w:val="right"/>
    </w:pPr>
    <w:rPr>
      <w:color w:val="988F86"/>
      <w:sz w:val="16"/>
    </w:rPr>
  </w:style>
  <w:style w:type="character" w:customStyle="1" w:styleId="HeaderChar">
    <w:name w:val="Header Char"/>
    <w:basedOn w:val="DefaultParagraphFont"/>
    <w:link w:val="Header"/>
    <w:uiPriority w:val="99"/>
    <w:locked/>
    <w:rsid w:val="002C3988"/>
    <w:rPr>
      <w:rFonts w:ascii="Arial" w:hAnsi="Arial"/>
      <w:color w:val="988F86"/>
      <w:sz w:val="16"/>
    </w:rPr>
  </w:style>
  <w:style w:type="paragraph" w:styleId="ListBullet3">
    <w:name w:val="List Bullet 3"/>
    <w:basedOn w:val="Normal"/>
    <w:uiPriority w:val="99"/>
    <w:semiHidden/>
    <w:rsid w:val="000C741B"/>
    <w:pPr>
      <w:numPr>
        <w:numId w:val="1"/>
      </w:numPr>
    </w:pPr>
  </w:style>
  <w:style w:type="paragraph" w:styleId="ListBullet4">
    <w:name w:val="List Bullet 4"/>
    <w:basedOn w:val="Normal"/>
    <w:uiPriority w:val="99"/>
    <w:semiHidden/>
    <w:rsid w:val="000C741B"/>
    <w:pPr>
      <w:numPr>
        <w:numId w:val="2"/>
      </w:numPr>
    </w:pPr>
  </w:style>
  <w:style w:type="paragraph" w:styleId="ListBullet5">
    <w:name w:val="List Bullet 5"/>
    <w:basedOn w:val="Normal"/>
    <w:uiPriority w:val="99"/>
    <w:semiHidden/>
    <w:rsid w:val="000C741B"/>
    <w:pPr>
      <w:numPr>
        <w:numId w:val="3"/>
      </w:numPr>
    </w:pPr>
  </w:style>
  <w:style w:type="paragraph" w:styleId="ListContinue">
    <w:name w:val="List Continue"/>
    <w:basedOn w:val="Normal"/>
    <w:uiPriority w:val="99"/>
    <w:semiHidden/>
    <w:rsid w:val="000C741B"/>
    <w:pPr>
      <w:ind w:left="283"/>
    </w:pPr>
  </w:style>
  <w:style w:type="paragraph" w:styleId="ListContinue2">
    <w:name w:val="List Continue 2"/>
    <w:basedOn w:val="Normal"/>
    <w:uiPriority w:val="99"/>
    <w:semiHidden/>
    <w:rsid w:val="000C741B"/>
    <w:pPr>
      <w:ind w:left="566"/>
    </w:pPr>
  </w:style>
  <w:style w:type="paragraph" w:styleId="ListContinue3">
    <w:name w:val="List Continue 3"/>
    <w:basedOn w:val="Normal"/>
    <w:uiPriority w:val="99"/>
    <w:semiHidden/>
    <w:rsid w:val="000C741B"/>
    <w:pPr>
      <w:ind w:left="849"/>
    </w:pPr>
  </w:style>
  <w:style w:type="paragraph" w:styleId="ListContinue4">
    <w:name w:val="List Continue 4"/>
    <w:basedOn w:val="Normal"/>
    <w:uiPriority w:val="99"/>
    <w:semiHidden/>
    <w:rsid w:val="000C741B"/>
    <w:pPr>
      <w:ind w:left="1132"/>
    </w:pPr>
  </w:style>
  <w:style w:type="paragraph" w:styleId="ListContinue5">
    <w:name w:val="List Continue 5"/>
    <w:basedOn w:val="Normal"/>
    <w:uiPriority w:val="99"/>
    <w:semiHidden/>
    <w:rsid w:val="000C741B"/>
    <w:pPr>
      <w:ind w:left="1415"/>
    </w:pPr>
  </w:style>
  <w:style w:type="paragraph" w:styleId="ListNumber2">
    <w:name w:val="List Number 2"/>
    <w:basedOn w:val="Normal"/>
    <w:uiPriority w:val="99"/>
    <w:semiHidden/>
    <w:rsid w:val="000C741B"/>
    <w:pPr>
      <w:tabs>
        <w:tab w:val="num" w:pos="643"/>
      </w:tabs>
      <w:ind w:left="643" w:hanging="360"/>
    </w:pPr>
  </w:style>
  <w:style w:type="paragraph" w:styleId="ListNumber3">
    <w:name w:val="List Number 3"/>
    <w:basedOn w:val="Normal"/>
    <w:uiPriority w:val="99"/>
    <w:semiHidden/>
    <w:rsid w:val="000C741B"/>
    <w:pPr>
      <w:tabs>
        <w:tab w:val="num" w:pos="926"/>
      </w:tabs>
      <w:ind w:left="926" w:hanging="360"/>
    </w:pPr>
  </w:style>
  <w:style w:type="paragraph" w:styleId="ListNumber4">
    <w:name w:val="List Number 4"/>
    <w:basedOn w:val="Normal"/>
    <w:uiPriority w:val="99"/>
    <w:semiHidden/>
    <w:rsid w:val="000C741B"/>
    <w:pPr>
      <w:tabs>
        <w:tab w:val="num" w:pos="1209"/>
      </w:tabs>
      <w:ind w:left="1209" w:hanging="360"/>
    </w:pPr>
  </w:style>
  <w:style w:type="paragraph" w:styleId="ListNumber5">
    <w:name w:val="List Number 5"/>
    <w:basedOn w:val="Normal"/>
    <w:uiPriority w:val="99"/>
    <w:semiHidden/>
    <w:rsid w:val="000C741B"/>
    <w:pPr>
      <w:tabs>
        <w:tab w:val="num" w:pos="1492"/>
      </w:tabs>
      <w:ind w:left="1492" w:hanging="360"/>
    </w:pPr>
  </w:style>
  <w:style w:type="paragraph" w:styleId="MessageHeader">
    <w:name w:val="Message Header"/>
    <w:basedOn w:val="Normal"/>
    <w:link w:val="MessageHeaderChar"/>
    <w:uiPriority w:val="99"/>
    <w:semiHidden/>
    <w:rsid w:val="000C741B"/>
    <w:pPr>
      <w:pBdr>
        <w:top w:val="single" w:sz="6" w:space="1" w:color="auto"/>
        <w:left w:val="single" w:sz="6" w:space="1" w:color="auto"/>
        <w:bottom w:val="single" w:sz="6" w:space="1" w:color="auto"/>
        <w:right w:val="single" w:sz="6" w:space="1" w:color="auto"/>
      </w:pBdr>
      <w:shd w:val="pct20" w:color="auto" w:fill="auto"/>
      <w:ind w:left="1134" w:hanging="1134"/>
    </w:pPr>
    <w:rPr>
      <w:rFonts w:cs="Arial"/>
      <w:sz w:val="24"/>
    </w:rPr>
  </w:style>
  <w:style w:type="character" w:customStyle="1" w:styleId="MessageHeaderChar">
    <w:name w:val="Message Header Char"/>
    <w:basedOn w:val="DefaultParagraphFont"/>
    <w:link w:val="MessageHeader"/>
    <w:uiPriority w:val="99"/>
    <w:semiHidden/>
    <w:locked/>
    <w:rsid w:val="00B218FE"/>
    <w:rPr>
      <w:rFonts w:ascii="Arial" w:hAnsi="Arial" w:cs="Times New Roman"/>
      <w:sz w:val="24"/>
      <w:szCs w:val="24"/>
      <w:shd w:val="pct20" w:color="auto" w:fill="auto"/>
    </w:rPr>
  </w:style>
  <w:style w:type="paragraph" w:styleId="NormalWeb">
    <w:name w:val="Normal (Web)"/>
    <w:basedOn w:val="Normal"/>
    <w:uiPriority w:val="99"/>
    <w:rsid w:val="000C741B"/>
    <w:rPr>
      <w:rFonts w:ascii="Times New Roman" w:hAnsi="Times New Roman"/>
      <w:sz w:val="24"/>
    </w:rPr>
  </w:style>
  <w:style w:type="paragraph" w:styleId="NormalIndent">
    <w:name w:val="Normal Indent"/>
    <w:basedOn w:val="Normal"/>
    <w:uiPriority w:val="99"/>
    <w:semiHidden/>
    <w:rsid w:val="000C741B"/>
    <w:pPr>
      <w:ind w:left="720"/>
    </w:pPr>
  </w:style>
  <w:style w:type="paragraph" w:styleId="NoteHeading">
    <w:name w:val="Note Heading"/>
    <w:basedOn w:val="Normal"/>
    <w:next w:val="Normal"/>
    <w:link w:val="NoteHeadingChar"/>
    <w:uiPriority w:val="99"/>
    <w:semiHidden/>
    <w:rsid w:val="000C741B"/>
  </w:style>
  <w:style w:type="character" w:customStyle="1" w:styleId="NoteHeadingChar">
    <w:name w:val="Note Heading Char"/>
    <w:basedOn w:val="DefaultParagraphFont"/>
    <w:link w:val="NoteHeading"/>
    <w:uiPriority w:val="99"/>
    <w:semiHidden/>
    <w:locked/>
    <w:rsid w:val="00B218FE"/>
    <w:rPr>
      <w:rFonts w:ascii="Arial" w:hAnsi="Arial" w:cs="Times New Roman"/>
      <w:sz w:val="24"/>
      <w:szCs w:val="24"/>
    </w:rPr>
  </w:style>
  <w:style w:type="character" w:styleId="PageNumber">
    <w:name w:val="page number"/>
    <w:basedOn w:val="DefaultParagraphFont"/>
    <w:uiPriority w:val="99"/>
    <w:rsid w:val="000C741B"/>
    <w:rPr>
      <w:rFonts w:cs="Times New Roman"/>
    </w:rPr>
  </w:style>
  <w:style w:type="paragraph" w:styleId="PlainText">
    <w:name w:val="Plain Text"/>
    <w:basedOn w:val="Normal"/>
    <w:link w:val="PlainTextChar"/>
    <w:uiPriority w:val="99"/>
    <w:semiHidden/>
    <w:rsid w:val="000C741B"/>
    <w:rPr>
      <w:rFonts w:ascii="Courier New" w:hAnsi="Courier New" w:cs="Courier New"/>
    </w:rPr>
  </w:style>
  <w:style w:type="character" w:customStyle="1" w:styleId="PlainTextChar">
    <w:name w:val="Plain Text Char"/>
    <w:basedOn w:val="DefaultParagraphFont"/>
    <w:link w:val="PlainText"/>
    <w:uiPriority w:val="99"/>
    <w:semiHidden/>
    <w:locked/>
    <w:rsid w:val="00B218FE"/>
    <w:rPr>
      <w:rFonts w:ascii="Courier New" w:hAnsi="Courier New" w:cs="Courier New"/>
      <w:sz w:val="20"/>
      <w:szCs w:val="20"/>
    </w:rPr>
  </w:style>
  <w:style w:type="paragraph" w:styleId="Salutation">
    <w:name w:val="Salutation"/>
    <w:basedOn w:val="Normal"/>
    <w:next w:val="Normal"/>
    <w:link w:val="SalutationChar"/>
    <w:uiPriority w:val="99"/>
    <w:semiHidden/>
    <w:rsid w:val="000C741B"/>
  </w:style>
  <w:style w:type="character" w:customStyle="1" w:styleId="SalutationChar">
    <w:name w:val="Salutation Char"/>
    <w:basedOn w:val="DefaultParagraphFont"/>
    <w:link w:val="Salutation"/>
    <w:uiPriority w:val="99"/>
    <w:semiHidden/>
    <w:locked/>
    <w:rsid w:val="00B218FE"/>
    <w:rPr>
      <w:rFonts w:ascii="Arial" w:hAnsi="Arial" w:cs="Times New Roman"/>
      <w:sz w:val="24"/>
      <w:szCs w:val="24"/>
    </w:rPr>
  </w:style>
  <w:style w:type="paragraph" w:styleId="Signature">
    <w:name w:val="Signature"/>
    <w:basedOn w:val="Normal"/>
    <w:link w:val="SignatureChar"/>
    <w:uiPriority w:val="99"/>
    <w:semiHidden/>
    <w:rsid w:val="000C741B"/>
    <w:pPr>
      <w:ind w:left="4252"/>
    </w:pPr>
  </w:style>
  <w:style w:type="character" w:customStyle="1" w:styleId="SignatureChar">
    <w:name w:val="Signature Char"/>
    <w:basedOn w:val="DefaultParagraphFont"/>
    <w:link w:val="Signature"/>
    <w:uiPriority w:val="99"/>
    <w:semiHidden/>
    <w:locked/>
    <w:rsid w:val="00B218FE"/>
    <w:rPr>
      <w:rFonts w:ascii="Arial" w:hAnsi="Arial" w:cs="Times New Roman"/>
      <w:sz w:val="24"/>
      <w:szCs w:val="24"/>
    </w:rPr>
  </w:style>
  <w:style w:type="character" w:styleId="Strong">
    <w:name w:val="Strong"/>
    <w:basedOn w:val="DefaultParagraphFont"/>
    <w:uiPriority w:val="22"/>
    <w:qFormat/>
    <w:rsid w:val="000C741B"/>
    <w:rPr>
      <w:rFonts w:cs="Times New Roman"/>
      <w:b w:val="0"/>
      <w:bCs/>
    </w:rPr>
  </w:style>
  <w:style w:type="paragraph" w:styleId="Subtitle">
    <w:name w:val="Subtitle"/>
    <w:basedOn w:val="Normal"/>
    <w:link w:val="SubtitleChar"/>
    <w:uiPriority w:val="11"/>
    <w:qFormat/>
    <w:rsid w:val="00860D7D"/>
    <w:pPr>
      <w:spacing w:before="240"/>
      <w:ind w:right="851"/>
      <w:outlineLvl w:val="1"/>
    </w:pPr>
    <w:rPr>
      <w:rFonts w:cs="Arial"/>
      <w:color w:val="988F86"/>
      <w:sz w:val="30"/>
    </w:rPr>
  </w:style>
  <w:style w:type="character" w:customStyle="1" w:styleId="SubtitleChar">
    <w:name w:val="Subtitle Char"/>
    <w:basedOn w:val="DefaultParagraphFont"/>
    <w:link w:val="Subtitle"/>
    <w:uiPriority w:val="11"/>
    <w:locked/>
    <w:rsid w:val="00304CC3"/>
    <w:rPr>
      <w:rFonts w:ascii="Arial" w:hAnsi="Arial" w:cs="Arial"/>
      <w:color w:val="988F86"/>
      <w:sz w:val="30"/>
    </w:rPr>
  </w:style>
  <w:style w:type="table" w:styleId="Table3Deffects1">
    <w:name w:val="Table 3D effects 1"/>
    <w:basedOn w:val="TableNormal"/>
    <w:uiPriority w:val="99"/>
    <w:semiHidden/>
    <w:rsid w:val="000C741B"/>
    <w:rPr>
      <w:sz w:val="20"/>
      <w:szCs w:val="20"/>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rsid w:val="000C741B"/>
    <w:rPr>
      <w:sz w:val="20"/>
      <w:szCs w:val="20"/>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rsid w:val="000C741B"/>
    <w:rPr>
      <w:sz w:val="20"/>
      <w:szCs w:val="20"/>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1">
    <w:name w:val="Table Classic 1"/>
    <w:basedOn w:val="TableNormal"/>
    <w:uiPriority w:val="99"/>
    <w:semiHidden/>
    <w:rsid w:val="000C741B"/>
    <w:rPr>
      <w:sz w:val="20"/>
      <w:szCs w:val="20"/>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2">
    <w:name w:val="Table Classic 2"/>
    <w:basedOn w:val="TableNormal"/>
    <w:uiPriority w:val="99"/>
    <w:semiHidden/>
    <w:rsid w:val="000C741B"/>
    <w:rPr>
      <w:sz w:val="20"/>
      <w:szCs w:val="20"/>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rsid w:val="000C741B"/>
    <w:rPr>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rsid w:val="000C741B"/>
    <w:rPr>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rsid w:val="000C741B"/>
    <w:rPr>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rsid w:val="000C741B"/>
    <w:rPr>
      <w:sz w:val="20"/>
      <w:szCs w:val="20"/>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rsid w:val="000C741B"/>
    <w:rPr>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rsid w:val="000C741B"/>
    <w:rPr>
      <w:b w:val="0"/>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2">
    <w:name w:val="Table Columns 2"/>
    <w:basedOn w:val="TableNormal"/>
    <w:uiPriority w:val="99"/>
    <w:semiHidden/>
    <w:rsid w:val="000C741B"/>
    <w:rPr>
      <w:b w:val="0"/>
      <w:bCs/>
      <w:sz w:val="20"/>
      <w:szCs w:val="20"/>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3">
    <w:name w:val="Table Columns 3"/>
    <w:basedOn w:val="TableNormal"/>
    <w:uiPriority w:val="99"/>
    <w:semiHidden/>
    <w:rsid w:val="000C741B"/>
    <w:rPr>
      <w:b w:val="0"/>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TableColumns4">
    <w:name w:val="Table Columns 4"/>
    <w:basedOn w:val="TableNormal"/>
    <w:uiPriority w:val="99"/>
    <w:semiHidden/>
    <w:rsid w:val="000C741B"/>
    <w:rPr>
      <w:sz w:val="20"/>
      <w:szCs w:val="20"/>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TableColumns5">
    <w:name w:val="Table Columns 5"/>
    <w:basedOn w:val="TableNormal"/>
    <w:uiPriority w:val="99"/>
    <w:semiHidden/>
    <w:rsid w:val="000C741B"/>
    <w:rPr>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TableContemporary">
    <w:name w:val="Table Contemporary"/>
    <w:basedOn w:val="TableNormal"/>
    <w:uiPriority w:val="99"/>
    <w:semiHidden/>
    <w:rsid w:val="000C741B"/>
    <w:rPr>
      <w:sz w:val="20"/>
      <w:szCs w:val="20"/>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rsid w:val="000C741B"/>
    <w:rPr>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TableGrid">
    <w:name w:val="Table Grid"/>
    <w:aliases w:val="Plain Table"/>
    <w:basedOn w:val="TableNormal"/>
    <w:uiPriority w:val="59"/>
    <w:rsid w:val="000C741B"/>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uiPriority w:val="99"/>
    <w:semiHidden/>
    <w:rsid w:val="000C741B"/>
    <w:rPr>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TableGrid2">
    <w:name w:val="Table Grid 2"/>
    <w:basedOn w:val="TableNormal"/>
    <w:uiPriority w:val="99"/>
    <w:semiHidden/>
    <w:rsid w:val="000C741B"/>
    <w:rPr>
      <w:sz w:val="20"/>
      <w:szCs w:val="20"/>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3">
    <w:name w:val="Table Grid 3"/>
    <w:basedOn w:val="TableNormal"/>
    <w:uiPriority w:val="99"/>
    <w:semiHidden/>
    <w:rsid w:val="000C741B"/>
    <w:rPr>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4">
    <w:name w:val="Table Grid 4"/>
    <w:basedOn w:val="TableNormal"/>
    <w:uiPriority w:val="99"/>
    <w:semiHidden/>
    <w:rsid w:val="000C741B"/>
    <w:rPr>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rsid w:val="000C741B"/>
    <w:rPr>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semiHidden/>
    <w:rsid w:val="000C741B"/>
    <w:rPr>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semiHidden/>
    <w:rsid w:val="000C741B"/>
    <w:rPr>
      <w:b w:val="0"/>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semiHidden/>
    <w:rsid w:val="000C741B"/>
    <w:rPr>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paragraph" w:styleId="BalloonText">
    <w:name w:val="Balloon Text"/>
    <w:basedOn w:val="Normal"/>
    <w:link w:val="BalloonTextChar"/>
    <w:uiPriority w:val="99"/>
    <w:semiHidden/>
    <w:rsid w:val="00DF5A38"/>
    <w:rPr>
      <w:sz w:val="16"/>
      <w:szCs w:val="16"/>
    </w:rPr>
  </w:style>
  <w:style w:type="character" w:customStyle="1" w:styleId="BalloonTextChar">
    <w:name w:val="Balloon Text Char"/>
    <w:basedOn w:val="DefaultParagraphFont"/>
    <w:link w:val="BalloonText"/>
    <w:uiPriority w:val="99"/>
    <w:semiHidden/>
    <w:locked/>
    <w:rsid w:val="00304CC3"/>
    <w:rPr>
      <w:rFonts w:ascii="Tahoma" w:hAnsi="Tahoma" w:cs="Tahoma"/>
      <w:sz w:val="16"/>
      <w:szCs w:val="16"/>
    </w:rPr>
  </w:style>
  <w:style w:type="table" w:styleId="TableList2">
    <w:name w:val="Table List 2"/>
    <w:basedOn w:val="TableNormal"/>
    <w:uiPriority w:val="99"/>
    <w:semiHidden/>
    <w:rsid w:val="000C741B"/>
    <w:rPr>
      <w:sz w:val="20"/>
      <w:szCs w:val="20"/>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3">
    <w:name w:val="Table List 3"/>
    <w:basedOn w:val="TableNormal"/>
    <w:uiPriority w:val="99"/>
    <w:semiHidden/>
    <w:rsid w:val="000C741B"/>
    <w:rPr>
      <w:sz w:val="20"/>
      <w:szCs w:val="20"/>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rsid w:val="000C741B"/>
    <w:rPr>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rsid w:val="000C741B"/>
    <w:rPr>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TableList6">
    <w:name w:val="Table List 6"/>
    <w:basedOn w:val="TableNormal"/>
    <w:uiPriority w:val="99"/>
    <w:semiHidden/>
    <w:rsid w:val="000C741B"/>
    <w:rPr>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rsid w:val="000C741B"/>
    <w:rPr>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rsid w:val="000C741B"/>
    <w:rPr>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rsid w:val="000C741B"/>
    <w:rPr>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rsid w:val="000C741B"/>
    <w:rPr>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rsid w:val="000C741B"/>
    <w:rPr>
      <w:sz w:val="20"/>
      <w:szCs w:val="20"/>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rsid w:val="000C741B"/>
    <w:rPr>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rsid w:val="000C741B"/>
    <w:rPr>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Subtle2">
    <w:name w:val="Table Subtle 2"/>
    <w:basedOn w:val="TableNormal"/>
    <w:uiPriority w:val="99"/>
    <w:semiHidden/>
    <w:rsid w:val="000C741B"/>
    <w:rPr>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Theme">
    <w:name w:val="Table Theme"/>
    <w:basedOn w:val="TableNormal"/>
    <w:uiPriority w:val="99"/>
    <w:semiHidden/>
    <w:rsid w:val="000C741B"/>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rsid w:val="000C741B"/>
    <w:rPr>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2">
    <w:name w:val="Table Web 2"/>
    <w:basedOn w:val="TableNormal"/>
    <w:uiPriority w:val="99"/>
    <w:semiHidden/>
    <w:rsid w:val="000C741B"/>
    <w:rPr>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3">
    <w:name w:val="Table Web 3"/>
    <w:basedOn w:val="TableNormal"/>
    <w:uiPriority w:val="99"/>
    <w:semiHidden/>
    <w:rsid w:val="000C741B"/>
    <w:rPr>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character" w:styleId="PlaceholderText">
    <w:name w:val="Placeholder Text"/>
    <w:basedOn w:val="DefaultParagraphFont"/>
    <w:uiPriority w:val="99"/>
    <w:semiHidden/>
    <w:rsid w:val="00C53588"/>
    <w:rPr>
      <w:rFonts w:cs="Times New Roman"/>
      <w:color w:val="808080"/>
    </w:rPr>
  </w:style>
  <w:style w:type="paragraph" w:customStyle="1" w:styleId="TableHeading">
    <w:name w:val="Table Heading"/>
    <w:basedOn w:val="Normal"/>
    <w:uiPriority w:val="99"/>
    <w:qFormat/>
    <w:rsid w:val="00A71238"/>
    <w:pPr>
      <w:spacing w:line="300" w:lineRule="atLeast"/>
    </w:pPr>
    <w:rPr>
      <w:b w:val="0"/>
      <w:sz w:val="16"/>
    </w:rPr>
  </w:style>
  <w:style w:type="paragraph" w:styleId="Title">
    <w:name w:val="Title"/>
    <w:basedOn w:val="Normal"/>
    <w:link w:val="TitleChar"/>
    <w:uiPriority w:val="10"/>
    <w:qFormat/>
    <w:rsid w:val="00860D7D"/>
    <w:rPr>
      <w:rFonts w:cs="Arial"/>
      <w:color w:val="FFFFFF"/>
      <w:spacing w:val="-20"/>
      <w:sz w:val="48"/>
      <w:szCs w:val="72"/>
    </w:rPr>
  </w:style>
  <w:style w:type="character" w:customStyle="1" w:styleId="TitleChar">
    <w:name w:val="Title Char"/>
    <w:basedOn w:val="DefaultParagraphFont"/>
    <w:link w:val="Title"/>
    <w:uiPriority w:val="10"/>
    <w:locked/>
    <w:rsid w:val="00304CC3"/>
    <w:rPr>
      <w:rFonts w:ascii="Arial" w:hAnsi="Arial" w:cs="Arial"/>
      <w:color w:val="FFFFFF"/>
      <w:spacing w:val="-20"/>
      <w:sz w:val="48"/>
      <w:szCs w:val="72"/>
    </w:rPr>
  </w:style>
  <w:style w:type="paragraph" w:styleId="ListBullet">
    <w:name w:val="List Bullet"/>
    <w:basedOn w:val="Normal"/>
    <w:uiPriority w:val="4"/>
    <w:qFormat/>
    <w:rsid w:val="00F133B7"/>
    <w:pPr>
      <w:numPr>
        <w:numId w:val="8"/>
      </w:numPr>
      <w:spacing w:line="264" w:lineRule="auto"/>
    </w:pPr>
  </w:style>
  <w:style w:type="paragraph" w:styleId="ListParagraph">
    <w:name w:val="List Paragraph"/>
    <w:aliases w:val="Recommendation,List Paragraph1,List Paragraph11,L,CV text,COOP,Primary Bullet List,Paragraph,P3Numbered List,CRP Numbered List,List Paragraph (numbered (a)),F5 List Paragraph,Dot pt,List Paragraph111,DWA List 1"/>
    <w:basedOn w:val="ListBullet"/>
    <w:link w:val="ListParagraphChar"/>
    <w:uiPriority w:val="34"/>
    <w:qFormat/>
    <w:rsid w:val="00FF4530"/>
    <w:pPr>
      <w:numPr>
        <w:numId w:val="0"/>
      </w:numPr>
    </w:pPr>
  </w:style>
  <w:style w:type="character" w:styleId="Hyperlink">
    <w:name w:val="Hyperlink"/>
    <w:basedOn w:val="DefaultParagraphFont"/>
    <w:uiPriority w:val="99"/>
    <w:rsid w:val="00FF4530"/>
    <w:rPr>
      <w:rFonts w:ascii="Arial" w:hAnsi="Arial" w:cs="Times New Roman"/>
      <w:color w:val="0000FF"/>
      <w:sz w:val="20"/>
      <w:u w:val="single"/>
    </w:rPr>
  </w:style>
  <w:style w:type="paragraph" w:styleId="ListNumber">
    <w:name w:val="List Number"/>
    <w:basedOn w:val="Normal"/>
    <w:uiPriority w:val="4"/>
    <w:qFormat/>
    <w:rsid w:val="00351323"/>
    <w:pPr>
      <w:numPr>
        <w:numId w:val="9"/>
      </w:numPr>
      <w:spacing w:line="264" w:lineRule="auto"/>
    </w:pPr>
  </w:style>
  <w:style w:type="paragraph" w:styleId="Quote">
    <w:name w:val="Quote"/>
    <w:basedOn w:val="BodyText"/>
    <w:link w:val="QuoteChar"/>
    <w:uiPriority w:val="29"/>
    <w:qFormat/>
    <w:rsid w:val="00FF4530"/>
    <w:rPr>
      <w:i/>
    </w:rPr>
  </w:style>
  <w:style w:type="character" w:customStyle="1" w:styleId="QuoteChar">
    <w:name w:val="Quote Char"/>
    <w:basedOn w:val="DefaultParagraphFont"/>
    <w:link w:val="Quote"/>
    <w:uiPriority w:val="29"/>
    <w:locked/>
    <w:rsid w:val="00DD08C7"/>
    <w:rPr>
      <w:rFonts w:ascii="Arial" w:hAnsi="Arial"/>
      <w:i/>
      <w:sz w:val="20"/>
    </w:rPr>
  </w:style>
  <w:style w:type="paragraph" w:styleId="TableofFigures">
    <w:name w:val="table of figures"/>
    <w:basedOn w:val="Normal"/>
    <w:next w:val="Normal"/>
    <w:uiPriority w:val="99"/>
    <w:unhideWhenUsed/>
    <w:rsid w:val="00DF50B4"/>
    <w:pPr>
      <w:spacing w:after="0"/>
      <w:ind w:left="400" w:hanging="400"/>
    </w:pPr>
    <w:rPr>
      <w:rFonts w:asciiTheme="minorHAnsi" w:hAnsiTheme="minorHAnsi" w:cstheme="minorHAnsi"/>
      <w:b w:val="0"/>
      <w:bCs/>
    </w:rPr>
  </w:style>
  <w:style w:type="paragraph" w:customStyle="1" w:styleId="TableBullet">
    <w:name w:val="Table Bullet"/>
    <w:basedOn w:val="Normal"/>
    <w:uiPriority w:val="9"/>
    <w:qFormat/>
    <w:rsid w:val="009E0880"/>
    <w:pPr>
      <w:numPr>
        <w:numId w:val="25"/>
      </w:numPr>
      <w:tabs>
        <w:tab w:val="clear" w:pos="284"/>
      </w:tabs>
      <w:spacing w:after="40"/>
      <w:ind w:left="175" w:hanging="175"/>
    </w:pPr>
    <w:rPr>
      <w:rFonts w:eastAsia="Cambria"/>
      <w:sz w:val="16"/>
    </w:rPr>
  </w:style>
  <w:style w:type="paragraph" w:customStyle="1" w:styleId="TableNumber">
    <w:name w:val="Table Number"/>
    <w:basedOn w:val="ListNumber"/>
    <w:uiPriority w:val="9"/>
    <w:qFormat/>
    <w:rsid w:val="009820C3"/>
    <w:pPr>
      <w:numPr>
        <w:numId w:val="17"/>
      </w:numPr>
      <w:spacing w:after="60" w:line="240" w:lineRule="auto"/>
    </w:pPr>
    <w:rPr>
      <w:sz w:val="18"/>
    </w:rPr>
  </w:style>
  <w:style w:type="paragraph" w:customStyle="1" w:styleId="Heading">
    <w:name w:val="Heading"/>
    <w:basedOn w:val="Heading1"/>
    <w:uiPriority w:val="15"/>
    <w:semiHidden/>
    <w:rsid w:val="002A6357"/>
    <w:pPr>
      <w:spacing w:before="480"/>
    </w:pPr>
  </w:style>
  <w:style w:type="paragraph" w:styleId="Footer">
    <w:name w:val="footer"/>
    <w:basedOn w:val="Normal"/>
    <w:link w:val="FooterChar"/>
    <w:uiPriority w:val="99"/>
    <w:rsid w:val="00E419A4"/>
    <w:pPr>
      <w:tabs>
        <w:tab w:val="right" w:pos="9639"/>
      </w:tabs>
    </w:pPr>
    <w:rPr>
      <w:color w:val="988F86"/>
      <w:sz w:val="16"/>
    </w:rPr>
  </w:style>
  <w:style w:type="character" w:customStyle="1" w:styleId="FooterChar">
    <w:name w:val="Footer Char"/>
    <w:basedOn w:val="DefaultParagraphFont"/>
    <w:link w:val="Footer"/>
    <w:uiPriority w:val="99"/>
    <w:locked/>
    <w:rsid w:val="002C3988"/>
    <w:rPr>
      <w:rFonts w:ascii="Arial" w:hAnsi="Arial"/>
      <w:color w:val="988F86"/>
      <w:sz w:val="16"/>
    </w:rPr>
  </w:style>
  <w:style w:type="paragraph" w:customStyle="1" w:styleId="TableCaption">
    <w:name w:val="Table Caption"/>
    <w:basedOn w:val="Imagecaption"/>
    <w:next w:val="BodyText"/>
    <w:link w:val="TableCaptionChar"/>
    <w:uiPriority w:val="7"/>
    <w:qFormat/>
    <w:rsid w:val="003D0EE4"/>
    <w:pPr>
      <w:numPr>
        <w:numId w:val="16"/>
      </w:numPr>
      <w:spacing w:before="360"/>
    </w:pPr>
    <w:rPr>
      <w:b w:val="0"/>
    </w:rPr>
  </w:style>
  <w:style w:type="paragraph" w:customStyle="1" w:styleId="BackCoverHeading">
    <w:name w:val="Back Cover Heading"/>
    <w:basedOn w:val="Normal"/>
    <w:uiPriority w:val="99"/>
    <w:rsid w:val="0021639C"/>
    <w:rPr>
      <w:color w:val="565A5C"/>
      <w:sz w:val="28"/>
    </w:rPr>
  </w:style>
  <w:style w:type="paragraph" w:customStyle="1" w:styleId="BodyTextWhite">
    <w:name w:val="Body Text White"/>
    <w:basedOn w:val="BodyText"/>
    <w:uiPriority w:val="99"/>
    <w:qFormat/>
    <w:rsid w:val="00C1519C"/>
    <w:rPr>
      <w:color w:val="FFFFFF"/>
      <w:sz w:val="24"/>
    </w:rPr>
  </w:style>
  <w:style w:type="paragraph" w:styleId="TOC2">
    <w:name w:val="toc 2"/>
    <w:next w:val="Normal"/>
    <w:uiPriority w:val="39"/>
    <w:rsid w:val="0095079E"/>
    <w:pPr>
      <w:autoSpaceDE w:val="0"/>
      <w:autoSpaceDN w:val="0"/>
      <w:adjustRightInd w:val="0"/>
      <w:spacing w:before="0" w:after="0"/>
      <w:ind w:left="0" w:firstLine="0"/>
      <w:textAlignment w:val="center"/>
    </w:pPr>
    <w:rPr>
      <w:rFonts w:asciiTheme="minorHAnsi" w:hAnsiTheme="minorHAnsi" w:cstheme="minorHAnsi"/>
      <w:bCs/>
      <w:smallCaps/>
      <w:u w:val="none"/>
    </w:rPr>
  </w:style>
  <w:style w:type="paragraph" w:customStyle="1" w:styleId="Imagecaption">
    <w:name w:val="Image caption"/>
    <w:basedOn w:val="Normal"/>
    <w:link w:val="ImagecaptionChar"/>
    <w:uiPriority w:val="14"/>
    <w:qFormat/>
    <w:rsid w:val="00F91DAB"/>
    <w:rPr>
      <w:color w:val="808080"/>
      <w:sz w:val="16"/>
    </w:rPr>
  </w:style>
  <w:style w:type="paragraph" w:customStyle="1" w:styleId="Preparedfor">
    <w:name w:val="Prepared for"/>
    <w:basedOn w:val="Normal"/>
    <w:semiHidden/>
    <w:rsid w:val="00B9389D"/>
    <w:rPr>
      <w:color w:val="988F86"/>
      <w:sz w:val="24"/>
    </w:rPr>
  </w:style>
  <w:style w:type="character" w:customStyle="1" w:styleId="ClientName">
    <w:name w:val="Client Name"/>
    <w:basedOn w:val="DefaultParagraphFont"/>
    <w:uiPriority w:val="1"/>
    <w:semiHidden/>
    <w:rsid w:val="00B9389D"/>
    <w:rPr>
      <w:rFonts w:cs="Times New Roman"/>
      <w:color w:val="565A5C"/>
    </w:rPr>
  </w:style>
  <w:style w:type="paragraph" w:customStyle="1" w:styleId="DocumentInformation">
    <w:name w:val="Document Information"/>
    <w:basedOn w:val="Normal"/>
    <w:semiHidden/>
    <w:rsid w:val="00773E1C"/>
    <w:pPr>
      <w:tabs>
        <w:tab w:val="left" w:pos="2268"/>
      </w:tabs>
      <w:spacing w:line="264" w:lineRule="auto"/>
      <w:ind w:left="2268" w:hanging="2268"/>
    </w:pPr>
  </w:style>
  <w:style w:type="paragraph" w:customStyle="1" w:styleId="Copyright">
    <w:name w:val="Copyright"/>
    <w:basedOn w:val="Normal"/>
    <w:semiHidden/>
    <w:rsid w:val="00411A8B"/>
    <w:rPr>
      <w:color w:val="565A5C"/>
      <w:sz w:val="16"/>
    </w:rPr>
  </w:style>
  <w:style w:type="paragraph" w:styleId="TOCHeading">
    <w:name w:val="TOC Heading"/>
    <w:basedOn w:val="Normal"/>
    <w:next w:val="Normal"/>
    <w:uiPriority w:val="39"/>
    <w:qFormat/>
    <w:rsid w:val="00C336B6"/>
    <w:pPr>
      <w:keepLines/>
      <w:spacing w:before="480" w:after="240"/>
      <w:ind w:left="2835"/>
    </w:pPr>
    <w:rPr>
      <w:color w:val="FFFFFF"/>
      <w:spacing w:val="-20"/>
      <w:sz w:val="36"/>
      <w:szCs w:val="28"/>
    </w:rPr>
  </w:style>
  <w:style w:type="paragraph" w:customStyle="1" w:styleId="ProjectName">
    <w:name w:val="Project Name"/>
    <w:basedOn w:val="Normal"/>
    <w:uiPriority w:val="99"/>
    <w:qFormat/>
    <w:rsid w:val="00D63716"/>
    <w:pPr>
      <w:ind w:left="-425" w:right="6521"/>
    </w:pPr>
    <w:rPr>
      <w:noProof/>
      <w:color w:val="565A5C"/>
      <w:sz w:val="32"/>
    </w:rPr>
  </w:style>
  <w:style w:type="paragraph" w:customStyle="1" w:styleId="SectionNumber">
    <w:name w:val="Section Number"/>
    <w:basedOn w:val="Normal"/>
    <w:uiPriority w:val="99"/>
    <w:qFormat/>
    <w:rsid w:val="006D12A6"/>
    <w:pPr>
      <w:numPr>
        <w:numId w:val="12"/>
      </w:numPr>
    </w:pPr>
    <w:rPr>
      <w:color w:val="FFFFFF"/>
      <w:sz w:val="200"/>
    </w:rPr>
  </w:style>
  <w:style w:type="paragraph" w:customStyle="1" w:styleId="SectionIntro">
    <w:name w:val="Section Intro"/>
    <w:basedOn w:val="BodyText"/>
    <w:uiPriority w:val="99"/>
    <w:qFormat/>
    <w:rsid w:val="00C733A0"/>
    <w:pPr>
      <w:spacing w:after="240"/>
    </w:pPr>
    <w:rPr>
      <w:color w:val="FFFFFF"/>
      <w:sz w:val="28"/>
    </w:rPr>
  </w:style>
  <w:style w:type="paragraph" w:customStyle="1" w:styleId="AppendixCoverHeading">
    <w:name w:val="Appendix Cover Heading"/>
    <w:basedOn w:val="SectionNumber"/>
    <w:next w:val="BodyText"/>
    <w:uiPriority w:val="99"/>
    <w:semiHidden/>
    <w:qFormat/>
    <w:rsid w:val="007A0B99"/>
    <w:pPr>
      <w:numPr>
        <w:numId w:val="21"/>
      </w:numPr>
      <w:spacing w:after="0"/>
    </w:pPr>
    <w:rPr>
      <w:caps/>
      <w:sz w:val="32"/>
    </w:rPr>
  </w:style>
  <w:style w:type="paragraph" w:customStyle="1" w:styleId="SectionBodyText">
    <w:name w:val="Section Body Text"/>
    <w:basedOn w:val="BodyText"/>
    <w:uiPriority w:val="99"/>
    <w:qFormat/>
    <w:rsid w:val="00C733A0"/>
    <w:rPr>
      <w:color w:val="FFFFFF"/>
    </w:rPr>
  </w:style>
  <w:style w:type="paragraph" w:customStyle="1" w:styleId="Featuretexttaupe">
    <w:name w:val="Feature text taupe"/>
    <w:basedOn w:val="Normal"/>
    <w:next w:val="BodyText"/>
    <w:uiPriority w:val="99"/>
    <w:qFormat/>
    <w:rsid w:val="003F0D2F"/>
    <w:pPr>
      <w:spacing w:before="120"/>
    </w:pPr>
    <w:rPr>
      <w:color w:val="988F86"/>
      <w:sz w:val="40"/>
    </w:rPr>
  </w:style>
  <w:style w:type="paragraph" w:styleId="TOC1">
    <w:name w:val="toc 1"/>
    <w:aliases w:val="TOC 18"/>
    <w:next w:val="Normal"/>
    <w:uiPriority w:val="39"/>
    <w:rsid w:val="0095079E"/>
    <w:pPr>
      <w:autoSpaceDE w:val="0"/>
      <w:autoSpaceDN w:val="0"/>
      <w:adjustRightInd w:val="0"/>
      <w:spacing w:before="360" w:after="360"/>
      <w:ind w:left="0" w:firstLine="0"/>
      <w:textAlignment w:val="center"/>
    </w:pPr>
    <w:rPr>
      <w:rFonts w:asciiTheme="minorHAnsi" w:hAnsiTheme="minorHAnsi" w:cstheme="minorHAnsi"/>
      <w:bCs/>
      <w:caps/>
    </w:rPr>
  </w:style>
  <w:style w:type="paragraph" w:styleId="TOC3">
    <w:name w:val="toc 3"/>
    <w:basedOn w:val="TOC2"/>
    <w:next w:val="Normal"/>
    <w:uiPriority w:val="39"/>
    <w:rsid w:val="00F5680D"/>
    <w:rPr>
      <w:b w:val="0"/>
      <w:bCs w:val="0"/>
    </w:rPr>
  </w:style>
  <w:style w:type="paragraph" w:customStyle="1" w:styleId="FooterLandscape">
    <w:name w:val="Footer Landscape"/>
    <w:basedOn w:val="Footer"/>
    <w:uiPriority w:val="99"/>
    <w:semiHidden/>
    <w:rsid w:val="00BF7E41"/>
    <w:pPr>
      <w:tabs>
        <w:tab w:val="clear" w:pos="9639"/>
        <w:tab w:val="right" w:pos="14572"/>
      </w:tabs>
    </w:pPr>
  </w:style>
  <w:style w:type="character" w:customStyle="1" w:styleId="Charcoaltext">
    <w:name w:val="Charcoal text"/>
    <w:basedOn w:val="FooterChar"/>
    <w:uiPriority w:val="1"/>
    <w:semiHidden/>
    <w:qFormat/>
    <w:rsid w:val="00BF7E41"/>
    <w:rPr>
      <w:rFonts w:ascii="Arial" w:hAnsi="Arial" w:cs="Times New Roman"/>
      <w:color w:val="565A5C"/>
      <w:sz w:val="16"/>
    </w:rPr>
  </w:style>
  <w:style w:type="numbering" w:styleId="ArticleSection">
    <w:name w:val="Outline List 3"/>
    <w:basedOn w:val="NoList"/>
    <w:uiPriority w:val="99"/>
    <w:semiHidden/>
    <w:unhideWhenUsed/>
    <w:rsid w:val="00EB4DB7"/>
    <w:pPr>
      <w:numPr>
        <w:numId w:val="6"/>
      </w:numPr>
    </w:pPr>
  </w:style>
  <w:style w:type="numbering" w:styleId="111111">
    <w:name w:val="Outline List 2"/>
    <w:basedOn w:val="NoList"/>
    <w:uiPriority w:val="99"/>
    <w:semiHidden/>
    <w:unhideWhenUsed/>
    <w:rsid w:val="00EB4DB7"/>
    <w:pPr>
      <w:numPr>
        <w:numId w:val="4"/>
      </w:numPr>
    </w:pPr>
  </w:style>
  <w:style w:type="numbering" w:customStyle="1" w:styleId="ListSection">
    <w:name w:val="ListSection"/>
    <w:uiPriority w:val="99"/>
    <w:rsid w:val="00EB4DB7"/>
    <w:pPr>
      <w:numPr>
        <w:numId w:val="11"/>
      </w:numPr>
    </w:pPr>
  </w:style>
  <w:style w:type="numbering" w:styleId="1ai">
    <w:name w:val="Outline List 1"/>
    <w:basedOn w:val="NoList"/>
    <w:uiPriority w:val="99"/>
    <w:semiHidden/>
    <w:unhideWhenUsed/>
    <w:rsid w:val="00EB4DB7"/>
    <w:pPr>
      <w:numPr>
        <w:numId w:val="5"/>
      </w:numPr>
    </w:pPr>
  </w:style>
  <w:style w:type="numbering" w:customStyle="1" w:styleId="ListTOC">
    <w:name w:val="ListTOC"/>
    <w:rsid w:val="00EB4DB7"/>
    <w:pPr>
      <w:numPr>
        <w:numId w:val="10"/>
      </w:numPr>
    </w:pPr>
  </w:style>
  <w:style w:type="character" w:styleId="CommentReference">
    <w:name w:val="annotation reference"/>
    <w:uiPriority w:val="99"/>
    <w:semiHidden/>
    <w:unhideWhenUsed/>
    <w:rsid w:val="00E70086"/>
    <w:rPr>
      <w:sz w:val="16"/>
      <w:szCs w:val="16"/>
    </w:rPr>
  </w:style>
  <w:style w:type="paragraph" w:styleId="CommentText">
    <w:name w:val="annotation text"/>
    <w:basedOn w:val="Normal"/>
    <w:link w:val="CommentTextChar"/>
    <w:uiPriority w:val="99"/>
    <w:unhideWhenUsed/>
    <w:rsid w:val="00E70086"/>
  </w:style>
  <w:style w:type="character" w:customStyle="1" w:styleId="CommentTextChar">
    <w:name w:val="Comment Text Char"/>
    <w:basedOn w:val="DefaultParagraphFont"/>
    <w:link w:val="CommentText"/>
    <w:uiPriority w:val="99"/>
    <w:rsid w:val="00E70086"/>
    <w:rPr>
      <w:rFonts w:ascii="Arial" w:hAnsi="Arial"/>
      <w:sz w:val="20"/>
      <w:szCs w:val="20"/>
    </w:rPr>
  </w:style>
  <w:style w:type="paragraph" w:customStyle="1" w:styleId="SectionCoverHeading">
    <w:name w:val="Section Cover Heading"/>
    <w:basedOn w:val="AppendixCoverHeading"/>
    <w:next w:val="BodyText"/>
    <w:uiPriority w:val="99"/>
    <w:rsid w:val="00362058"/>
    <w:pPr>
      <w:framePr w:hSpace="181" w:wrap="around" w:vAnchor="page" w:hAnchor="text" w:x="-459" w:y="4254"/>
      <w:numPr>
        <w:numId w:val="0"/>
      </w:numPr>
      <w:suppressOverlap/>
    </w:pPr>
  </w:style>
  <w:style w:type="paragraph" w:styleId="TOC4">
    <w:name w:val="toc 4"/>
    <w:basedOn w:val="TOC3"/>
    <w:next w:val="Normal"/>
    <w:uiPriority w:val="39"/>
    <w:locked/>
    <w:rsid w:val="00F5680D"/>
    <w:rPr>
      <w:smallCaps w:val="0"/>
    </w:rPr>
  </w:style>
  <w:style w:type="numbering" w:customStyle="1" w:styleId="ListAppTOC">
    <w:name w:val="ListAppTOC"/>
    <w:basedOn w:val="NoList"/>
    <w:uiPriority w:val="99"/>
    <w:rsid w:val="005B57FE"/>
    <w:pPr>
      <w:numPr>
        <w:numId w:val="13"/>
      </w:numPr>
    </w:pPr>
  </w:style>
  <w:style w:type="paragraph" w:customStyle="1" w:styleId="NoHeading1">
    <w:name w:val="No. Heading 1"/>
    <w:basedOn w:val="Normal"/>
    <w:next w:val="BodyText"/>
    <w:qFormat/>
    <w:rsid w:val="00D0536E"/>
    <w:pPr>
      <w:keepNext/>
      <w:spacing w:before="120" w:line="288" w:lineRule="auto"/>
      <w:jc w:val="both"/>
      <w:outlineLvl w:val="0"/>
    </w:pPr>
    <w:rPr>
      <w:rFonts w:asciiTheme="minorHAnsi" w:hAnsiTheme="minorHAnsi" w:cstheme="minorHAnsi"/>
      <w:bCs/>
      <w:color w:val="822B6A"/>
      <w:kern w:val="32"/>
      <w:sz w:val="28"/>
      <w:szCs w:val="28"/>
      <w:u w:val="none"/>
    </w:rPr>
  </w:style>
  <w:style w:type="paragraph" w:customStyle="1" w:styleId="NoHeading2">
    <w:name w:val="No. Heading 2"/>
    <w:basedOn w:val="Heading2"/>
    <w:next w:val="BodyText"/>
    <w:autoRedefine/>
    <w:qFormat/>
    <w:rsid w:val="003C6614"/>
  </w:style>
  <w:style w:type="numbering" w:customStyle="1" w:styleId="ListNoHeading">
    <w:name w:val="ListNoHeading"/>
    <w:uiPriority w:val="99"/>
    <w:rsid w:val="009D4226"/>
    <w:pPr>
      <w:numPr>
        <w:numId w:val="14"/>
      </w:numPr>
    </w:pPr>
  </w:style>
  <w:style w:type="numbering" w:customStyle="1" w:styleId="ListTableCaption">
    <w:name w:val="ListTableCaption"/>
    <w:uiPriority w:val="99"/>
    <w:rsid w:val="00493ECC"/>
    <w:pPr>
      <w:numPr>
        <w:numId w:val="15"/>
      </w:numPr>
    </w:pPr>
  </w:style>
  <w:style w:type="paragraph" w:customStyle="1" w:styleId="FigureCaption">
    <w:name w:val="Figure Caption"/>
    <w:basedOn w:val="TableCaption"/>
    <w:next w:val="BodyText"/>
    <w:link w:val="FigureCaptionChar"/>
    <w:uiPriority w:val="7"/>
    <w:qFormat/>
    <w:rsid w:val="00CA5852"/>
    <w:pPr>
      <w:numPr>
        <w:ilvl w:val="1"/>
      </w:numPr>
      <w:spacing w:before="60" w:after="200"/>
    </w:pPr>
  </w:style>
  <w:style w:type="paragraph" w:customStyle="1" w:styleId="Reference">
    <w:name w:val="Reference"/>
    <w:basedOn w:val="Normal"/>
    <w:uiPriority w:val="14"/>
    <w:qFormat/>
    <w:rsid w:val="00C3116D"/>
    <w:pPr>
      <w:spacing w:after="200"/>
    </w:pPr>
    <w:rPr>
      <w:i/>
      <w:sz w:val="16"/>
    </w:rPr>
  </w:style>
  <w:style w:type="character" w:customStyle="1" w:styleId="ImagecaptionChar">
    <w:name w:val="Image caption Char"/>
    <w:basedOn w:val="DefaultParagraphFont"/>
    <w:link w:val="Imagecaption"/>
    <w:uiPriority w:val="14"/>
    <w:rsid w:val="00304CC3"/>
    <w:rPr>
      <w:rFonts w:ascii="Arial" w:hAnsi="Arial"/>
      <w:color w:val="808080"/>
      <w:sz w:val="16"/>
    </w:rPr>
  </w:style>
  <w:style w:type="character" w:customStyle="1" w:styleId="TableCaptionChar">
    <w:name w:val="Table Caption Char"/>
    <w:basedOn w:val="ImagecaptionChar"/>
    <w:link w:val="TableCaption"/>
    <w:uiPriority w:val="7"/>
    <w:rsid w:val="003D0EE4"/>
    <w:rPr>
      <w:rFonts w:ascii="Arial" w:hAnsi="Arial"/>
      <w:b w:val="0"/>
      <w:color w:val="808080"/>
      <w:sz w:val="16"/>
    </w:rPr>
  </w:style>
  <w:style w:type="character" w:customStyle="1" w:styleId="FigureCaptionChar">
    <w:name w:val="Figure Caption Char"/>
    <w:basedOn w:val="TableCaptionChar"/>
    <w:link w:val="FigureCaption"/>
    <w:uiPriority w:val="7"/>
    <w:rsid w:val="00304CC3"/>
    <w:rPr>
      <w:rFonts w:ascii="Arial" w:hAnsi="Arial"/>
      <w:b w:val="0"/>
      <w:color w:val="808080"/>
      <w:sz w:val="16"/>
    </w:rPr>
  </w:style>
  <w:style w:type="paragraph" w:customStyle="1" w:styleId="ContactInformation">
    <w:name w:val="Contact Information"/>
    <w:basedOn w:val="DocumentInformation"/>
    <w:uiPriority w:val="13"/>
    <w:semiHidden/>
    <w:rsid w:val="00773E1C"/>
    <w:pPr>
      <w:ind w:left="0" w:firstLine="0"/>
      <w:contextualSpacing/>
    </w:pPr>
  </w:style>
  <w:style w:type="paragraph" w:customStyle="1" w:styleId="ExecutiveSummary">
    <w:name w:val="Executive Summary"/>
    <w:basedOn w:val="Heading"/>
    <w:uiPriority w:val="99"/>
    <w:semiHidden/>
    <w:rsid w:val="00130111"/>
  </w:style>
  <w:style w:type="paragraph" w:customStyle="1" w:styleId="NoHeading3">
    <w:name w:val="No. Heading 3"/>
    <w:basedOn w:val="Heading3"/>
    <w:next w:val="BodyText"/>
    <w:qFormat/>
    <w:rsid w:val="00D538C2"/>
    <w:pPr>
      <w:spacing w:before="240"/>
    </w:pPr>
  </w:style>
  <w:style w:type="paragraph" w:customStyle="1" w:styleId="NoHeading4">
    <w:name w:val="No. Heading 4"/>
    <w:basedOn w:val="Heading4"/>
    <w:next w:val="BodyText"/>
    <w:qFormat/>
    <w:rsid w:val="00304CC3"/>
  </w:style>
  <w:style w:type="paragraph" w:customStyle="1" w:styleId="ListAlpha">
    <w:name w:val="List Alpha"/>
    <w:basedOn w:val="ListNumber"/>
    <w:qFormat/>
    <w:rsid w:val="009820C3"/>
    <w:pPr>
      <w:numPr>
        <w:numId w:val="18"/>
      </w:numPr>
    </w:pPr>
  </w:style>
  <w:style w:type="paragraph" w:styleId="TOC5">
    <w:name w:val="toc 5"/>
    <w:basedOn w:val="TOC1"/>
    <w:next w:val="Normal"/>
    <w:uiPriority w:val="39"/>
    <w:locked/>
    <w:rsid w:val="00F5680D"/>
    <w:pPr>
      <w:spacing w:before="0" w:after="0"/>
    </w:pPr>
    <w:rPr>
      <w:b w:val="0"/>
      <w:bCs w:val="0"/>
      <w:caps w:val="0"/>
      <w:u w:val="none"/>
    </w:rPr>
  </w:style>
  <w:style w:type="paragraph" w:styleId="TOC9">
    <w:name w:val="toc 9"/>
    <w:basedOn w:val="TOC5"/>
    <w:next w:val="Normal"/>
    <w:uiPriority w:val="39"/>
    <w:locked/>
    <w:rsid w:val="007A0B99"/>
  </w:style>
  <w:style w:type="numbering" w:customStyle="1" w:styleId="Appendix">
    <w:name w:val="Appendix"/>
    <w:uiPriority w:val="99"/>
    <w:rsid w:val="003B4075"/>
    <w:pPr>
      <w:numPr>
        <w:numId w:val="19"/>
      </w:numPr>
    </w:pPr>
  </w:style>
  <w:style w:type="numbering" w:customStyle="1" w:styleId="AppendixTOC">
    <w:name w:val="AppendixTOC"/>
    <w:uiPriority w:val="99"/>
    <w:rsid w:val="003B4075"/>
    <w:pPr>
      <w:numPr>
        <w:numId w:val="20"/>
      </w:numPr>
    </w:pPr>
  </w:style>
  <w:style w:type="table" w:styleId="LightShading">
    <w:name w:val="Light Shading"/>
    <w:basedOn w:val="TableNormal"/>
    <w:uiPriority w:val="60"/>
    <w:rsid w:val="002E5717"/>
    <w:pPr>
      <w:spacing w:before="0" w:after="0"/>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TOC6">
    <w:name w:val="toc 6"/>
    <w:basedOn w:val="TOC2"/>
    <w:next w:val="Normal"/>
    <w:uiPriority w:val="39"/>
    <w:locked/>
    <w:rsid w:val="00F5680D"/>
    <w:rPr>
      <w:b w:val="0"/>
      <w:bCs w:val="0"/>
      <w:smallCaps w:val="0"/>
    </w:rPr>
  </w:style>
  <w:style w:type="paragraph" w:styleId="TOC8">
    <w:name w:val="toc 8"/>
    <w:basedOn w:val="TOC6"/>
    <w:next w:val="Normal"/>
    <w:uiPriority w:val="39"/>
    <w:locked/>
    <w:rsid w:val="002A3ABA"/>
  </w:style>
  <w:style w:type="table" w:customStyle="1" w:styleId="TaupeTable">
    <w:name w:val="Taupe Table"/>
    <w:uiPriority w:val="99"/>
    <w:rsid w:val="002E5717"/>
    <w:pPr>
      <w:spacing w:before="0" w:after="0"/>
      <w:ind w:left="0" w:firstLine="0"/>
    </w:pPr>
    <w:rPr>
      <w:rFonts w:asciiTheme="minorHAnsi" w:hAnsiTheme="minorHAnsi"/>
      <w:b w:val="0"/>
      <w:color w:val="auto"/>
      <w:sz w:val="20"/>
      <w:szCs w:val="20"/>
      <w:u w:val="none"/>
      <w:lang w:val="en-SG" w:eastAsia="en-SG"/>
    </w:rPr>
    <w:tblPr>
      <w:tblStyleRowBandSize w:val="1"/>
      <w:tblStyleColBandSize w:val="1"/>
      <w:tblInd w:w="0" w:type="dxa"/>
      <w:tblBorders>
        <w:bottom w:val="single" w:sz="4" w:space="0" w:color="988F86"/>
        <w:insideH w:val="single" w:sz="4" w:space="0" w:color="988F86"/>
      </w:tblBorders>
      <w:tblCellMar>
        <w:top w:w="0" w:type="dxa"/>
        <w:left w:w="108" w:type="dxa"/>
        <w:bottom w:w="0" w:type="dxa"/>
        <w:right w:w="108" w:type="dxa"/>
      </w:tblCellMar>
    </w:tblPr>
    <w:tcPr>
      <w:shd w:val="clear" w:color="auto" w:fill="auto"/>
    </w:tcPr>
    <w:tblStylePr w:type="firstRow">
      <w:rPr>
        <w:b w:val="0"/>
        <w:color w:val="FFFFFF" w:themeColor="background1"/>
      </w:rPr>
      <w:tblPr/>
      <w:tcPr>
        <w:shd w:val="clear" w:color="auto" w:fill="988F86" w:themeFill="accent3"/>
      </w:tcPr>
    </w:tblStylePr>
    <w:tblStylePr w:type="lastRow">
      <w:rPr>
        <w:rFonts w:asciiTheme="minorHAnsi" w:hAnsiTheme="minorHAnsi"/>
        <w:b/>
      </w:rPr>
      <w:tblPr/>
      <w:tcPr>
        <w:shd w:val="clear" w:color="auto" w:fill="C1BBB6" w:themeFill="accent3" w:themeFillTint="99"/>
      </w:tcPr>
    </w:tblStylePr>
    <w:tblStylePr w:type="firstCol">
      <w:tblPr/>
      <w:tcPr>
        <w:shd w:val="clear" w:color="auto" w:fill="D5D2CE" w:themeFill="accent3" w:themeFillTint="66"/>
      </w:tcPr>
    </w:tblStylePr>
    <w:tblStylePr w:type="lastCol">
      <w:tblPr/>
      <w:tcPr>
        <w:shd w:val="clear" w:color="auto" w:fill="C1BBB6" w:themeFill="accent3" w:themeFillTint="99"/>
      </w:tcPr>
    </w:tblStylePr>
    <w:tblStylePr w:type="band2Vert">
      <w:rPr>
        <w:rFonts w:asciiTheme="minorHAnsi" w:hAnsiTheme="minorHAnsi"/>
      </w:rPr>
      <w:tblPr/>
      <w:tcPr>
        <w:shd w:val="clear" w:color="auto" w:fill="EAE8E6" w:themeFill="accent3" w:themeFillTint="33"/>
      </w:tcPr>
    </w:tblStylePr>
    <w:tblStylePr w:type="band2Horz">
      <w:rPr>
        <w:rFonts w:asciiTheme="minorHAnsi" w:hAnsiTheme="minorHAnsi"/>
      </w:rPr>
      <w:tblPr/>
      <w:tcPr>
        <w:shd w:val="clear" w:color="auto" w:fill="EAE8E6" w:themeFill="accent3" w:themeFillTint="33"/>
      </w:tcPr>
    </w:tblStylePr>
  </w:style>
  <w:style w:type="table" w:customStyle="1" w:styleId="AquaTable">
    <w:name w:val="Aqua Table"/>
    <w:basedOn w:val="TaupeTable"/>
    <w:uiPriority w:val="99"/>
    <w:qFormat/>
    <w:rsid w:val="002E5717"/>
    <w:tblPr>
      <w:tblBorders>
        <w:bottom w:val="single" w:sz="4" w:space="0" w:color="477F80" w:themeColor="accent6"/>
        <w:insideH w:val="single" w:sz="4" w:space="0" w:color="477F80" w:themeColor="accent6"/>
      </w:tblBorders>
    </w:tblPr>
    <w:tcPr>
      <w:shd w:val="clear" w:color="auto" w:fill="auto"/>
    </w:tcPr>
    <w:tblStylePr w:type="firstRow">
      <w:rPr>
        <w:b w:val="0"/>
        <w:color w:val="FFFFFF" w:themeColor="background1"/>
      </w:rPr>
      <w:tblPr/>
      <w:tcPr>
        <w:shd w:val="clear" w:color="auto" w:fill="477F80" w:themeFill="accent6"/>
      </w:tcPr>
    </w:tblStylePr>
    <w:tblStylePr w:type="lastRow">
      <w:rPr>
        <w:rFonts w:asciiTheme="minorHAnsi" w:hAnsiTheme="minorHAnsi"/>
        <w:b/>
      </w:rPr>
      <w:tblPr/>
      <w:tcPr>
        <w:shd w:val="clear" w:color="auto" w:fill="86BBBC" w:themeFill="accent6" w:themeFillTint="99"/>
      </w:tcPr>
    </w:tblStylePr>
    <w:tblStylePr w:type="firstCol">
      <w:tblPr/>
      <w:tcPr>
        <w:shd w:val="clear" w:color="auto" w:fill="AED1D2" w:themeFill="accent6" w:themeFillTint="66"/>
      </w:tcPr>
    </w:tblStylePr>
    <w:tblStylePr w:type="lastCol">
      <w:tblPr/>
      <w:tcPr>
        <w:shd w:val="clear" w:color="auto" w:fill="86BBBC" w:themeFill="accent6" w:themeFillTint="99"/>
      </w:tcPr>
    </w:tblStylePr>
    <w:tblStylePr w:type="band2Vert">
      <w:rPr>
        <w:rFonts w:asciiTheme="minorHAnsi" w:hAnsiTheme="minorHAnsi"/>
      </w:rPr>
      <w:tblPr/>
      <w:tcPr>
        <w:shd w:val="clear" w:color="auto" w:fill="D6E8E8" w:themeFill="accent6" w:themeFillTint="33"/>
      </w:tcPr>
    </w:tblStylePr>
    <w:tblStylePr w:type="band2Horz">
      <w:rPr>
        <w:rFonts w:asciiTheme="minorHAnsi" w:hAnsiTheme="minorHAnsi"/>
      </w:rPr>
      <w:tblPr/>
      <w:tcPr>
        <w:shd w:val="clear" w:color="auto" w:fill="D6E8E8" w:themeFill="accent6" w:themeFillTint="33"/>
      </w:tcPr>
    </w:tblStylePr>
  </w:style>
  <w:style w:type="table" w:customStyle="1" w:styleId="AquaTableBorders">
    <w:name w:val="Aqua Table Borders"/>
    <w:basedOn w:val="AquaTable"/>
    <w:uiPriority w:val="99"/>
    <w:qFormat/>
    <w:rsid w:val="002E5717"/>
    <w:tblPr>
      <w:tblBorders>
        <w:top w:val="single" w:sz="4" w:space="0" w:color="477F80" w:themeColor="accent6"/>
        <w:left w:val="single" w:sz="4" w:space="0" w:color="477F80" w:themeColor="accent6"/>
        <w:bottom w:val="none" w:sz="0" w:space="0" w:color="auto"/>
        <w:right w:val="single" w:sz="4" w:space="0" w:color="477F80" w:themeColor="accent6"/>
        <w:insideH w:val="none" w:sz="0" w:space="0" w:color="auto"/>
        <w:insideV w:val="single" w:sz="4" w:space="0" w:color="477F80" w:themeColor="accent6"/>
      </w:tblBorders>
    </w:tblPr>
    <w:tcPr>
      <w:shd w:val="clear" w:color="auto" w:fill="auto"/>
    </w:tcPr>
    <w:tblStylePr w:type="firstRow">
      <w:rPr>
        <w:b w:val="0"/>
        <w:color w:val="FFFFFF" w:themeColor="background1"/>
      </w:rPr>
      <w:tblPr/>
      <w:tcPr>
        <w:shd w:val="clear" w:color="auto" w:fill="477F80" w:themeFill="accent6"/>
      </w:tcPr>
    </w:tblStylePr>
    <w:tblStylePr w:type="lastRow">
      <w:rPr>
        <w:rFonts w:asciiTheme="minorHAnsi" w:hAnsiTheme="minorHAnsi"/>
        <w:b/>
      </w:rPr>
      <w:tblPr/>
      <w:tcPr>
        <w:shd w:val="clear" w:color="auto" w:fill="86BBBC" w:themeFill="accent6" w:themeFillTint="99"/>
      </w:tcPr>
    </w:tblStylePr>
    <w:tblStylePr w:type="firstCol">
      <w:tblPr/>
      <w:tcPr>
        <w:shd w:val="clear" w:color="auto" w:fill="AED1D2" w:themeFill="accent6" w:themeFillTint="66"/>
      </w:tcPr>
    </w:tblStylePr>
    <w:tblStylePr w:type="lastCol">
      <w:tblPr/>
      <w:tcPr>
        <w:shd w:val="clear" w:color="auto" w:fill="86BBBC" w:themeFill="accent6" w:themeFillTint="99"/>
      </w:tcPr>
    </w:tblStylePr>
    <w:tblStylePr w:type="band2Vert">
      <w:rPr>
        <w:rFonts w:asciiTheme="minorHAnsi" w:hAnsiTheme="minorHAnsi"/>
      </w:rPr>
      <w:tblPr/>
      <w:tcPr>
        <w:shd w:val="clear" w:color="auto" w:fill="D6E8E8" w:themeFill="accent6" w:themeFillTint="33"/>
      </w:tcPr>
    </w:tblStylePr>
    <w:tblStylePr w:type="band2Horz">
      <w:rPr>
        <w:rFonts w:asciiTheme="minorHAnsi" w:hAnsiTheme="minorHAnsi"/>
      </w:rPr>
      <w:tblPr/>
      <w:tcPr>
        <w:shd w:val="clear" w:color="auto" w:fill="D6E8E8" w:themeFill="accent6" w:themeFillTint="33"/>
      </w:tcPr>
    </w:tblStylePr>
  </w:style>
  <w:style w:type="table" w:customStyle="1" w:styleId="BlueTable">
    <w:name w:val="Blue Table"/>
    <w:basedOn w:val="TaupeTable"/>
    <w:uiPriority w:val="99"/>
    <w:qFormat/>
    <w:rsid w:val="002E5717"/>
    <w:tblPr>
      <w:tblBorders>
        <w:bottom w:val="single" w:sz="4" w:space="0" w:color="7090B7" w:themeColor="accent5"/>
        <w:insideH w:val="single" w:sz="4" w:space="0" w:color="7090B7" w:themeColor="accent5"/>
      </w:tblBorders>
    </w:tblPr>
    <w:tcPr>
      <w:shd w:val="clear" w:color="auto" w:fill="auto"/>
    </w:tcPr>
    <w:tblStylePr w:type="firstRow">
      <w:rPr>
        <w:b w:val="0"/>
        <w:color w:val="FFFFFF" w:themeColor="background1"/>
      </w:rPr>
      <w:tblPr/>
      <w:tcPr>
        <w:shd w:val="clear" w:color="auto" w:fill="7090B7" w:themeFill="accent5"/>
      </w:tcPr>
    </w:tblStylePr>
    <w:tblStylePr w:type="lastRow">
      <w:rPr>
        <w:rFonts w:asciiTheme="minorHAnsi" w:hAnsiTheme="minorHAnsi"/>
        <w:b/>
      </w:rPr>
      <w:tblPr/>
      <w:tcPr>
        <w:shd w:val="clear" w:color="auto" w:fill="A9BCD3" w:themeFill="accent5" w:themeFillTint="99"/>
      </w:tcPr>
    </w:tblStylePr>
    <w:tblStylePr w:type="firstCol">
      <w:tblPr/>
      <w:tcPr>
        <w:shd w:val="clear" w:color="auto" w:fill="C5D2E2" w:themeFill="accent5" w:themeFillTint="66"/>
      </w:tcPr>
    </w:tblStylePr>
    <w:tblStylePr w:type="lastCol">
      <w:tblPr/>
      <w:tcPr>
        <w:shd w:val="clear" w:color="auto" w:fill="A9BCD3" w:themeFill="accent5" w:themeFillTint="99"/>
      </w:tcPr>
    </w:tblStylePr>
    <w:tblStylePr w:type="band2Vert">
      <w:rPr>
        <w:rFonts w:asciiTheme="minorHAnsi" w:hAnsiTheme="minorHAnsi"/>
      </w:rPr>
      <w:tblPr/>
      <w:tcPr>
        <w:shd w:val="clear" w:color="auto" w:fill="E2E8F0" w:themeFill="accent5" w:themeFillTint="33"/>
      </w:tcPr>
    </w:tblStylePr>
    <w:tblStylePr w:type="band2Horz">
      <w:rPr>
        <w:rFonts w:asciiTheme="minorHAnsi" w:hAnsiTheme="minorHAnsi"/>
      </w:rPr>
      <w:tblPr/>
      <w:tcPr>
        <w:shd w:val="clear" w:color="auto" w:fill="E2E8F0" w:themeFill="accent5" w:themeFillTint="33"/>
      </w:tcPr>
    </w:tblStylePr>
  </w:style>
  <w:style w:type="table" w:customStyle="1" w:styleId="BlueTableBorders">
    <w:name w:val="Blue Table Borders"/>
    <w:basedOn w:val="BlueTable"/>
    <w:uiPriority w:val="99"/>
    <w:qFormat/>
    <w:rsid w:val="002E5717"/>
    <w:tblPr>
      <w:tblBorders>
        <w:top w:val="single" w:sz="4" w:space="0" w:color="7090B7" w:themeColor="accent5"/>
        <w:left w:val="single" w:sz="4" w:space="0" w:color="7090B7" w:themeColor="accent5"/>
        <w:bottom w:val="none" w:sz="0" w:space="0" w:color="auto"/>
        <w:right w:val="single" w:sz="4" w:space="0" w:color="7090B7" w:themeColor="accent5"/>
        <w:insideH w:val="none" w:sz="0" w:space="0" w:color="auto"/>
        <w:insideV w:val="single" w:sz="4" w:space="0" w:color="7090B7" w:themeColor="accent5"/>
      </w:tblBorders>
    </w:tblPr>
    <w:tcPr>
      <w:shd w:val="clear" w:color="auto" w:fill="auto"/>
    </w:tcPr>
    <w:tblStylePr w:type="firstRow">
      <w:rPr>
        <w:b w:val="0"/>
        <w:color w:val="FFFFFF" w:themeColor="background1"/>
      </w:rPr>
      <w:tblPr/>
      <w:tcPr>
        <w:shd w:val="clear" w:color="auto" w:fill="7090B7" w:themeFill="accent5"/>
      </w:tcPr>
    </w:tblStylePr>
    <w:tblStylePr w:type="lastRow">
      <w:rPr>
        <w:rFonts w:asciiTheme="minorHAnsi" w:hAnsiTheme="minorHAnsi"/>
        <w:b/>
      </w:rPr>
      <w:tblPr/>
      <w:tcPr>
        <w:shd w:val="clear" w:color="auto" w:fill="A9BCD3" w:themeFill="accent5" w:themeFillTint="99"/>
      </w:tcPr>
    </w:tblStylePr>
    <w:tblStylePr w:type="firstCol">
      <w:tblPr/>
      <w:tcPr>
        <w:shd w:val="clear" w:color="auto" w:fill="C5D2E2" w:themeFill="accent5" w:themeFillTint="66"/>
      </w:tcPr>
    </w:tblStylePr>
    <w:tblStylePr w:type="lastCol">
      <w:tblPr/>
      <w:tcPr>
        <w:shd w:val="clear" w:color="auto" w:fill="A9BCD3" w:themeFill="accent5" w:themeFillTint="99"/>
      </w:tcPr>
    </w:tblStylePr>
    <w:tblStylePr w:type="band2Vert">
      <w:rPr>
        <w:rFonts w:asciiTheme="minorHAnsi" w:hAnsiTheme="minorHAnsi"/>
      </w:rPr>
      <w:tblPr/>
      <w:tcPr>
        <w:shd w:val="clear" w:color="auto" w:fill="E2E8F0" w:themeFill="accent5" w:themeFillTint="33"/>
      </w:tcPr>
    </w:tblStylePr>
    <w:tblStylePr w:type="band2Horz">
      <w:rPr>
        <w:rFonts w:asciiTheme="minorHAnsi" w:hAnsiTheme="minorHAnsi"/>
      </w:rPr>
      <w:tblPr/>
      <w:tcPr>
        <w:shd w:val="clear" w:color="auto" w:fill="E2E8F0" w:themeFill="accent5" w:themeFillTint="33"/>
      </w:tcPr>
    </w:tblStylePr>
  </w:style>
  <w:style w:type="table" w:customStyle="1" w:styleId="NavyTable">
    <w:name w:val="Navy Table"/>
    <w:basedOn w:val="TaupeTable"/>
    <w:uiPriority w:val="99"/>
    <w:qFormat/>
    <w:rsid w:val="002E5717"/>
    <w:tblPr>
      <w:tblBorders>
        <w:bottom w:val="single" w:sz="4" w:space="0" w:color="003359" w:themeColor="accent1"/>
        <w:insideH w:val="single" w:sz="4" w:space="0" w:color="003359" w:themeColor="accent1"/>
      </w:tblBorders>
    </w:tblPr>
    <w:tcPr>
      <w:shd w:val="clear" w:color="auto" w:fill="auto"/>
    </w:tcPr>
    <w:tblStylePr w:type="firstRow">
      <w:rPr>
        <w:b w:val="0"/>
        <w:color w:val="FFFFFF" w:themeColor="background1"/>
      </w:rPr>
      <w:tblPr/>
      <w:tcPr>
        <w:shd w:val="clear" w:color="auto" w:fill="003359" w:themeFill="accent1"/>
      </w:tcPr>
    </w:tblStylePr>
    <w:tblStylePr w:type="lastRow">
      <w:rPr>
        <w:rFonts w:asciiTheme="minorHAnsi" w:hAnsiTheme="minorHAnsi"/>
        <w:b/>
      </w:rPr>
      <w:tblPr/>
      <w:tcPr>
        <w:shd w:val="clear" w:color="auto" w:fill="95D1FF" w:themeFill="accent1" w:themeFillTint="40"/>
      </w:tcPr>
    </w:tblStylePr>
    <w:tblStylePr w:type="firstCol">
      <w:tblPr/>
      <w:tcPr>
        <w:shd w:val="clear" w:color="auto" w:fill="D4ECFF" w:themeFill="accent1" w:themeFillTint="1A"/>
      </w:tcPr>
    </w:tblStylePr>
    <w:tblStylePr w:type="lastCol">
      <w:tblPr/>
      <w:tcPr>
        <w:shd w:val="clear" w:color="auto" w:fill="95D1FF" w:themeFill="accent1" w:themeFillTint="40"/>
      </w:tcPr>
    </w:tblStylePr>
    <w:tblStylePr w:type="band2Vert">
      <w:rPr>
        <w:rFonts w:asciiTheme="minorHAnsi" w:hAnsiTheme="minorHAnsi"/>
      </w:rPr>
      <w:tblPr/>
      <w:tcPr>
        <w:shd w:val="clear" w:color="auto" w:fill="EBF6FF"/>
      </w:tcPr>
    </w:tblStylePr>
    <w:tblStylePr w:type="band2Horz">
      <w:rPr>
        <w:rFonts w:asciiTheme="minorHAnsi" w:hAnsiTheme="minorHAnsi"/>
      </w:rPr>
      <w:tblPr/>
      <w:tcPr>
        <w:shd w:val="clear" w:color="auto" w:fill="EBF6FF"/>
      </w:tcPr>
    </w:tblStylePr>
  </w:style>
  <w:style w:type="table" w:customStyle="1" w:styleId="NavyTableBorders">
    <w:name w:val="Navy Table Borders"/>
    <w:basedOn w:val="NavyTable"/>
    <w:uiPriority w:val="99"/>
    <w:qFormat/>
    <w:rsid w:val="002E5717"/>
    <w:tblPr>
      <w:tblBorders>
        <w:top w:val="single" w:sz="4" w:space="0" w:color="003359" w:themeColor="accent1"/>
        <w:left w:val="single" w:sz="4" w:space="0" w:color="003359" w:themeColor="accent1"/>
        <w:bottom w:val="none" w:sz="0" w:space="0" w:color="auto"/>
        <w:right w:val="single" w:sz="4" w:space="0" w:color="003359" w:themeColor="accent1"/>
        <w:insideH w:val="none" w:sz="0" w:space="0" w:color="auto"/>
        <w:insideV w:val="single" w:sz="4" w:space="0" w:color="003359" w:themeColor="accent1"/>
      </w:tblBorders>
    </w:tblPr>
    <w:tcPr>
      <w:shd w:val="clear" w:color="auto" w:fill="auto"/>
    </w:tcPr>
    <w:tblStylePr w:type="firstRow">
      <w:rPr>
        <w:b w:val="0"/>
        <w:color w:val="FFFFFF" w:themeColor="background1"/>
      </w:rPr>
      <w:tblPr/>
      <w:tcPr>
        <w:shd w:val="clear" w:color="auto" w:fill="003359" w:themeFill="accent1"/>
      </w:tcPr>
    </w:tblStylePr>
    <w:tblStylePr w:type="lastRow">
      <w:rPr>
        <w:rFonts w:asciiTheme="minorHAnsi" w:hAnsiTheme="minorHAnsi"/>
        <w:b/>
      </w:rPr>
      <w:tblPr/>
      <w:tcPr>
        <w:shd w:val="clear" w:color="auto" w:fill="95D1FF" w:themeFill="accent1" w:themeFillTint="40"/>
      </w:tcPr>
    </w:tblStylePr>
    <w:tblStylePr w:type="firstCol">
      <w:tblPr/>
      <w:tcPr>
        <w:shd w:val="clear" w:color="auto" w:fill="D4ECFF" w:themeFill="accent1" w:themeFillTint="1A"/>
      </w:tcPr>
    </w:tblStylePr>
    <w:tblStylePr w:type="lastCol">
      <w:tblPr/>
      <w:tcPr>
        <w:shd w:val="clear" w:color="auto" w:fill="95D1FF" w:themeFill="accent1" w:themeFillTint="40"/>
      </w:tcPr>
    </w:tblStylePr>
    <w:tblStylePr w:type="band2Vert">
      <w:rPr>
        <w:rFonts w:asciiTheme="minorHAnsi" w:hAnsiTheme="minorHAnsi"/>
      </w:rPr>
      <w:tblPr/>
      <w:tcPr>
        <w:shd w:val="clear" w:color="auto" w:fill="EBF6FF"/>
      </w:tcPr>
    </w:tblStylePr>
    <w:tblStylePr w:type="band2Horz">
      <w:rPr>
        <w:rFonts w:asciiTheme="minorHAnsi" w:hAnsiTheme="minorHAnsi"/>
      </w:rPr>
      <w:tblPr/>
      <w:tcPr>
        <w:shd w:val="clear" w:color="auto" w:fill="EBF6FF"/>
      </w:tcPr>
    </w:tblStylePr>
  </w:style>
  <w:style w:type="table" w:customStyle="1" w:styleId="OliveTable">
    <w:name w:val="Olive Table"/>
    <w:basedOn w:val="TaupeTable"/>
    <w:uiPriority w:val="99"/>
    <w:qFormat/>
    <w:rsid w:val="002E5717"/>
    <w:tblPr>
      <w:tblBorders>
        <w:bottom w:val="single" w:sz="4" w:space="0" w:color="878800" w:themeColor="accent4"/>
        <w:insideH w:val="single" w:sz="4" w:space="0" w:color="878800" w:themeColor="accent4"/>
      </w:tblBorders>
    </w:tblPr>
    <w:tcPr>
      <w:shd w:val="clear" w:color="auto" w:fill="auto"/>
    </w:tcPr>
    <w:tblStylePr w:type="firstRow">
      <w:rPr>
        <w:b w:val="0"/>
        <w:color w:val="FFFFFF" w:themeColor="background1"/>
      </w:rPr>
      <w:tblPr/>
      <w:tcPr>
        <w:shd w:val="clear" w:color="auto" w:fill="878800" w:themeFill="accent4"/>
      </w:tcPr>
    </w:tblStylePr>
    <w:tblStylePr w:type="lastRow">
      <w:rPr>
        <w:rFonts w:asciiTheme="minorHAnsi" w:hAnsiTheme="minorHAnsi"/>
        <w:b/>
      </w:rPr>
      <w:tblPr/>
      <w:tcPr>
        <w:shd w:val="clear" w:color="auto" w:fill="C9C6A3"/>
      </w:tcPr>
    </w:tblStylePr>
    <w:tblStylePr w:type="firstCol">
      <w:tblPr/>
      <w:tcPr>
        <w:shd w:val="clear" w:color="auto" w:fill="DBD9C3"/>
      </w:tcPr>
    </w:tblStylePr>
    <w:tblStylePr w:type="lastCol">
      <w:tblPr/>
      <w:tcPr>
        <w:shd w:val="clear" w:color="auto" w:fill="C9C6A3"/>
      </w:tcPr>
    </w:tblStylePr>
    <w:tblStylePr w:type="band2Vert">
      <w:rPr>
        <w:rFonts w:asciiTheme="minorHAnsi" w:hAnsiTheme="minorHAnsi"/>
      </w:rPr>
      <w:tblPr/>
      <w:tcPr>
        <w:shd w:val="clear" w:color="auto" w:fill="EEEDE2"/>
      </w:tcPr>
    </w:tblStylePr>
    <w:tblStylePr w:type="band2Horz">
      <w:rPr>
        <w:rFonts w:asciiTheme="minorHAnsi" w:hAnsiTheme="minorHAnsi"/>
      </w:rPr>
      <w:tblPr/>
      <w:tcPr>
        <w:shd w:val="clear" w:color="auto" w:fill="EEEDE2"/>
      </w:tcPr>
    </w:tblStylePr>
  </w:style>
  <w:style w:type="table" w:customStyle="1" w:styleId="OliveTableBorders">
    <w:name w:val="Olive Table Borders"/>
    <w:basedOn w:val="OliveTable"/>
    <w:uiPriority w:val="99"/>
    <w:qFormat/>
    <w:rsid w:val="002E5717"/>
    <w:tblPr>
      <w:tblBorders>
        <w:top w:val="single" w:sz="4" w:space="0" w:color="878800" w:themeColor="accent4"/>
        <w:left w:val="single" w:sz="4" w:space="0" w:color="878800" w:themeColor="accent4"/>
        <w:bottom w:val="none" w:sz="0" w:space="0" w:color="auto"/>
        <w:right w:val="single" w:sz="4" w:space="0" w:color="878800" w:themeColor="accent4"/>
        <w:insideH w:val="none" w:sz="0" w:space="0" w:color="auto"/>
        <w:insideV w:val="single" w:sz="4" w:space="0" w:color="878800" w:themeColor="accent4"/>
      </w:tblBorders>
    </w:tblPr>
    <w:tcPr>
      <w:shd w:val="clear" w:color="auto" w:fill="auto"/>
    </w:tcPr>
    <w:tblStylePr w:type="firstRow">
      <w:rPr>
        <w:b w:val="0"/>
        <w:color w:val="FFFFFF" w:themeColor="background1"/>
      </w:rPr>
      <w:tblPr/>
      <w:tcPr>
        <w:shd w:val="clear" w:color="auto" w:fill="878800" w:themeFill="accent4"/>
      </w:tcPr>
    </w:tblStylePr>
    <w:tblStylePr w:type="lastRow">
      <w:rPr>
        <w:rFonts w:asciiTheme="minorHAnsi" w:hAnsiTheme="minorHAnsi"/>
        <w:b/>
      </w:rPr>
      <w:tblPr/>
      <w:tcPr>
        <w:shd w:val="clear" w:color="auto" w:fill="C9C6A3"/>
      </w:tcPr>
    </w:tblStylePr>
    <w:tblStylePr w:type="firstCol">
      <w:tblPr/>
      <w:tcPr>
        <w:shd w:val="clear" w:color="auto" w:fill="DBD9C3"/>
      </w:tcPr>
    </w:tblStylePr>
    <w:tblStylePr w:type="lastCol">
      <w:tblPr/>
      <w:tcPr>
        <w:shd w:val="clear" w:color="auto" w:fill="C9C6A3"/>
      </w:tcPr>
    </w:tblStylePr>
    <w:tblStylePr w:type="band2Vert">
      <w:rPr>
        <w:rFonts w:asciiTheme="minorHAnsi" w:hAnsiTheme="minorHAnsi"/>
      </w:rPr>
      <w:tblPr/>
      <w:tcPr>
        <w:shd w:val="clear" w:color="auto" w:fill="EEEDE2"/>
      </w:tcPr>
    </w:tblStylePr>
    <w:tblStylePr w:type="band2Horz">
      <w:rPr>
        <w:rFonts w:asciiTheme="minorHAnsi" w:hAnsiTheme="minorHAnsi"/>
      </w:rPr>
      <w:tblPr/>
      <w:tcPr>
        <w:shd w:val="clear" w:color="auto" w:fill="EEEDE2"/>
      </w:tcPr>
    </w:tblStylePr>
  </w:style>
  <w:style w:type="table" w:customStyle="1" w:styleId="OrangeTable">
    <w:name w:val="Orange Table"/>
    <w:basedOn w:val="TaupeTable"/>
    <w:uiPriority w:val="99"/>
    <w:qFormat/>
    <w:rsid w:val="002E5717"/>
    <w:tblPr>
      <w:tblBorders>
        <w:bottom w:val="single" w:sz="4" w:space="0" w:color="D95E00" w:themeColor="accent2"/>
        <w:insideH w:val="single" w:sz="4" w:space="0" w:color="D95E00" w:themeColor="accent2"/>
      </w:tblBorders>
    </w:tblPr>
    <w:tcPr>
      <w:shd w:val="clear" w:color="auto" w:fill="auto"/>
    </w:tcPr>
    <w:tblStylePr w:type="firstRow">
      <w:rPr>
        <w:b w:val="0"/>
        <w:color w:val="FFFFFF" w:themeColor="background1"/>
      </w:rPr>
      <w:tblPr/>
      <w:tcPr>
        <w:shd w:val="clear" w:color="auto" w:fill="D95E00" w:themeFill="accent2"/>
      </w:tcPr>
    </w:tblStylePr>
    <w:tblStylePr w:type="lastRow">
      <w:rPr>
        <w:rFonts w:asciiTheme="minorHAnsi" w:hAnsiTheme="minorHAnsi"/>
        <w:b/>
      </w:rPr>
      <w:tblPr/>
      <w:tcPr>
        <w:shd w:val="clear" w:color="auto" w:fill="DEB892"/>
      </w:tcPr>
    </w:tblStylePr>
    <w:tblStylePr w:type="firstCol">
      <w:tblPr/>
      <w:tcPr>
        <w:shd w:val="clear" w:color="auto" w:fill="E8CDB2"/>
      </w:tcPr>
    </w:tblStylePr>
    <w:tblStylePr w:type="lastCol">
      <w:tblPr/>
      <w:tcPr>
        <w:shd w:val="clear" w:color="auto" w:fill="DEB892"/>
      </w:tcPr>
    </w:tblStylePr>
    <w:tblStylePr w:type="band2Vert">
      <w:rPr>
        <w:rFonts w:asciiTheme="minorHAnsi" w:hAnsiTheme="minorHAnsi"/>
      </w:rPr>
      <w:tblPr/>
      <w:tcPr>
        <w:shd w:val="clear" w:color="auto" w:fill="F3E4D5"/>
      </w:tcPr>
    </w:tblStylePr>
    <w:tblStylePr w:type="band2Horz">
      <w:rPr>
        <w:rFonts w:asciiTheme="minorHAnsi" w:hAnsiTheme="minorHAnsi"/>
      </w:rPr>
      <w:tblPr/>
      <w:tcPr>
        <w:shd w:val="clear" w:color="auto" w:fill="F3E4D5"/>
      </w:tcPr>
    </w:tblStylePr>
  </w:style>
  <w:style w:type="table" w:customStyle="1" w:styleId="OrangeTableBorders">
    <w:name w:val="Orange Table Borders"/>
    <w:basedOn w:val="OrangeTable"/>
    <w:uiPriority w:val="99"/>
    <w:qFormat/>
    <w:rsid w:val="002E5717"/>
    <w:tblPr>
      <w:tblBorders>
        <w:top w:val="single" w:sz="4" w:space="0" w:color="D95E00" w:themeColor="accent2"/>
        <w:left w:val="single" w:sz="4" w:space="0" w:color="D95E00" w:themeColor="accent2"/>
        <w:bottom w:val="none" w:sz="0" w:space="0" w:color="auto"/>
        <w:right w:val="single" w:sz="4" w:space="0" w:color="D95E00" w:themeColor="accent2"/>
        <w:insideH w:val="none" w:sz="0" w:space="0" w:color="auto"/>
        <w:insideV w:val="single" w:sz="4" w:space="0" w:color="D95E00" w:themeColor="accent2"/>
      </w:tblBorders>
    </w:tblPr>
    <w:tcPr>
      <w:shd w:val="clear" w:color="auto" w:fill="auto"/>
    </w:tcPr>
    <w:tblStylePr w:type="firstRow">
      <w:rPr>
        <w:b w:val="0"/>
        <w:color w:val="FFFFFF" w:themeColor="background1"/>
      </w:rPr>
      <w:tblPr/>
      <w:tcPr>
        <w:shd w:val="clear" w:color="auto" w:fill="D95E00" w:themeFill="accent2"/>
      </w:tcPr>
    </w:tblStylePr>
    <w:tblStylePr w:type="lastRow">
      <w:rPr>
        <w:rFonts w:asciiTheme="minorHAnsi" w:hAnsiTheme="minorHAnsi"/>
        <w:b/>
      </w:rPr>
      <w:tblPr/>
      <w:tcPr>
        <w:shd w:val="clear" w:color="auto" w:fill="DEB892"/>
      </w:tcPr>
    </w:tblStylePr>
    <w:tblStylePr w:type="firstCol">
      <w:tblPr/>
      <w:tcPr>
        <w:shd w:val="clear" w:color="auto" w:fill="E8CDB2"/>
      </w:tcPr>
    </w:tblStylePr>
    <w:tblStylePr w:type="lastCol">
      <w:tblPr/>
      <w:tcPr>
        <w:shd w:val="clear" w:color="auto" w:fill="DEB892"/>
      </w:tcPr>
    </w:tblStylePr>
    <w:tblStylePr w:type="band2Vert">
      <w:rPr>
        <w:rFonts w:asciiTheme="minorHAnsi" w:hAnsiTheme="minorHAnsi"/>
      </w:rPr>
      <w:tblPr/>
      <w:tcPr>
        <w:shd w:val="clear" w:color="auto" w:fill="F3E4D5"/>
      </w:tcPr>
    </w:tblStylePr>
    <w:tblStylePr w:type="band2Horz">
      <w:rPr>
        <w:rFonts w:asciiTheme="minorHAnsi" w:hAnsiTheme="minorHAnsi"/>
      </w:rPr>
      <w:tblPr/>
      <w:tcPr>
        <w:shd w:val="clear" w:color="auto" w:fill="F3E4D5"/>
      </w:tcPr>
    </w:tblStylePr>
  </w:style>
  <w:style w:type="table" w:customStyle="1" w:styleId="TaupeTableBorders">
    <w:name w:val="Taupe Table Borders"/>
    <w:basedOn w:val="TaupeTable"/>
    <w:uiPriority w:val="99"/>
    <w:qFormat/>
    <w:rsid w:val="002E5717"/>
    <w:tblPr>
      <w:tblBorders>
        <w:top w:val="single" w:sz="4" w:space="0" w:color="988F86" w:themeColor="accent3"/>
        <w:left w:val="single" w:sz="4" w:space="0" w:color="988F86" w:themeColor="accent3"/>
        <w:bottom w:val="single" w:sz="4" w:space="0" w:color="988F86" w:themeColor="accent3"/>
        <w:right w:val="single" w:sz="4" w:space="0" w:color="988F86" w:themeColor="accent3"/>
        <w:insideH w:val="single" w:sz="4" w:space="0" w:color="988F86" w:themeColor="accent3"/>
        <w:insideV w:val="single" w:sz="4" w:space="0" w:color="988F86" w:themeColor="accent3"/>
      </w:tblBorders>
    </w:tblPr>
    <w:tcPr>
      <w:shd w:val="clear" w:color="auto" w:fill="auto"/>
    </w:tcPr>
    <w:tblStylePr w:type="firstRow">
      <w:rPr>
        <w:b w:val="0"/>
        <w:color w:val="FFFFFF" w:themeColor="background1"/>
      </w:rPr>
      <w:tblPr/>
      <w:tcPr>
        <w:shd w:val="clear" w:color="auto" w:fill="988F86" w:themeFill="accent3"/>
      </w:tcPr>
    </w:tblStylePr>
    <w:tblStylePr w:type="lastRow">
      <w:rPr>
        <w:rFonts w:asciiTheme="minorHAnsi" w:hAnsiTheme="minorHAnsi"/>
        <w:b/>
      </w:rPr>
      <w:tblPr/>
      <w:tcPr>
        <w:shd w:val="clear" w:color="auto" w:fill="C1BBB6" w:themeFill="accent3" w:themeFillTint="99"/>
      </w:tcPr>
    </w:tblStylePr>
    <w:tblStylePr w:type="firstCol">
      <w:tblPr/>
      <w:tcPr>
        <w:shd w:val="clear" w:color="auto" w:fill="D5D2CE" w:themeFill="accent3" w:themeFillTint="66"/>
      </w:tcPr>
    </w:tblStylePr>
    <w:tblStylePr w:type="lastCol">
      <w:tblPr/>
      <w:tcPr>
        <w:shd w:val="clear" w:color="auto" w:fill="C1BBB6" w:themeFill="accent3" w:themeFillTint="99"/>
      </w:tcPr>
    </w:tblStylePr>
    <w:tblStylePr w:type="band2Vert">
      <w:rPr>
        <w:rFonts w:asciiTheme="minorHAnsi" w:hAnsiTheme="minorHAnsi"/>
      </w:rPr>
      <w:tblPr/>
      <w:tcPr>
        <w:shd w:val="clear" w:color="auto" w:fill="EAE8E6" w:themeFill="accent3" w:themeFillTint="33"/>
      </w:tcPr>
    </w:tblStylePr>
    <w:tblStylePr w:type="band2Horz">
      <w:rPr>
        <w:rFonts w:asciiTheme="minorHAnsi" w:hAnsiTheme="minorHAnsi"/>
      </w:rPr>
      <w:tblPr/>
      <w:tcPr>
        <w:shd w:val="clear" w:color="auto" w:fill="EAE8E6" w:themeFill="accent3" w:themeFillTint="33"/>
      </w:tcPr>
    </w:tblStylePr>
  </w:style>
  <w:style w:type="paragraph" w:customStyle="1" w:styleId="BULLETS">
    <w:name w:val="BULLETS"/>
    <w:basedOn w:val="ListParagraph"/>
    <w:link w:val="BULLETSChar"/>
    <w:qFormat/>
    <w:rsid w:val="00C015D3"/>
    <w:pPr>
      <w:numPr>
        <w:numId w:val="27"/>
      </w:numPr>
      <w:spacing w:after="40" w:line="240" w:lineRule="auto"/>
    </w:pPr>
  </w:style>
  <w:style w:type="character" w:customStyle="1" w:styleId="BULLETSChar">
    <w:name w:val="BULLETS Char"/>
    <w:basedOn w:val="BodyTextChar"/>
    <w:link w:val="BULLETS"/>
    <w:rsid w:val="00C015D3"/>
    <w:rPr>
      <w:rFonts w:ascii="Arial" w:hAnsi="Arial"/>
      <w:sz w:val="20"/>
    </w:rPr>
  </w:style>
  <w:style w:type="character" w:customStyle="1" w:styleId="BULLETSCharChar">
    <w:name w:val="BULLETS Char Char"/>
    <w:basedOn w:val="BodyTextChar"/>
    <w:rsid w:val="00DE4F24"/>
    <w:rPr>
      <w:rFonts w:ascii="Arial Narrow" w:hAnsi="Arial Narrow" w:cs="Futura LtCn BT"/>
      <w:sz w:val="24"/>
      <w:szCs w:val="24"/>
      <w:shd w:val="clear" w:color="800000" w:fill="auto"/>
      <w:lang w:eastAsia="en-US"/>
    </w:rPr>
  </w:style>
  <w:style w:type="paragraph" w:styleId="CommentSubject">
    <w:name w:val="annotation subject"/>
    <w:basedOn w:val="CommentText"/>
    <w:next w:val="CommentText"/>
    <w:link w:val="CommentSubjectChar"/>
    <w:uiPriority w:val="99"/>
    <w:semiHidden/>
    <w:unhideWhenUsed/>
    <w:rsid w:val="00857FD9"/>
    <w:rPr>
      <w:b w:val="0"/>
      <w:bCs/>
    </w:rPr>
  </w:style>
  <w:style w:type="character" w:customStyle="1" w:styleId="CommentSubjectChar">
    <w:name w:val="Comment Subject Char"/>
    <w:basedOn w:val="CommentTextChar"/>
    <w:link w:val="CommentSubject"/>
    <w:uiPriority w:val="99"/>
    <w:semiHidden/>
    <w:rsid w:val="00857FD9"/>
    <w:rPr>
      <w:rFonts w:ascii="Arial" w:hAnsi="Arial"/>
      <w:b w:val="0"/>
      <w:bCs/>
      <w:sz w:val="20"/>
      <w:szCs w:val="20"/>
    </w:rPr>
  </w:style>
  <w:style w:type="table" w:customStyle="1" w:styleId="CardnoTableTaupe">
    <w:name w:val="Cardno Table Taupe"/>
    <w:uiPriority w:val="99"/>
    <w:rsid w:val="00B35237"/>
    <w:rPr>
      <w:rFonts w:asciiTheme="minorHAnsi" w:hAnsiTheme="minorHAnsi"/>
      <w:b w:val="0"/>
      <w:color w:val="auto"/>
      <w:sz w:val="20"/>
      <w:szCs w:val="20"/>
      <w:u w:val="none"/>
      <w:lang w:val="en-US" w:eastAsia="en-US"/>
    </w:rPr>
    <w:tblPr>
      <w:tblInd w:w="0" w:type="dxa"/>
      <w:tblBorders>
        <w:bottom w:val="single" w:sz="4" w:space="0" w:color="988F86"/>
        <w:insideH w:val="single" w:sz="4" w:space="0" w:color="988F86"/>
      </w:tblBorders>
      <w:tblCellMar>
        <w:top w:w="0" w:type="dxa"/>
        <w:left w:w="108" w:type="dxa"/>
        <w:bottom w:w="0" w:type="dxa"/>
        <w:right w:w="108" w:type="dxa"/>
      </w:tblCellMar>
    </w:tblPr>
    <w:tblStylePr w:type="firstRow">
      <w:rPr>
        <w:color w:val="FFFFFF" w:themeColor="background1"/>
      </w:rPr>
      <w:tblPr/>
      <w:trPr>
        <w:tblHeader/>
      </w:trPr>
      <w:tcPr>
        <w:shd w:val="clear" w:color="auto" w:fill="988F86" w:themeFill="accent3"/>
      </w:tcPr>
    </w:tblStylePr>
  </w:style>
  <w:style w:type="table" w:customStyle="1" w:styleId="CardnoTableAqua">
    <w:name w:val="Cardno Table Aqua"/>
    <w:basedOn w:val="CardnoTableTaupe"/>
    <w:uiPriority w:val="99"/>
    <w:qFormat/>
    <w:rsid w:val="00B35237"/>
    <w:pPr>
      <w:spacing w:before="0" w:after="0"/>
      <w:ind w:left="0" w:firstLine="0"/>
    </w:pPr>
    <w:tblPr>
      <w:tblBorders>
        <w:bottom w:val="single" w:sz="4" w:space="0" w:color="477F80" w:themeColor="accent6"/>
        <w:insideH w:val="single" w:sz="4" w:space="0" w:color="477F80" w:themeColor="accent6"/>
      </w:tblBorders>
    </w:tblPr>
    <w:tblStylePr w:type="firstRow">
      <w:rPr>
        <w:color w:val="FFFFFF" w:themeColor="background2"/>
      </w:rPr>
      <w:tblPr/>
      <w:trPr>
        <w:tblHeader/>
      </w:trPr>
      <w:tcPr>
        <w:shd w:val="clear" w:color="auto" w:fill="477F80" w:themeFill="accent6"/>
      </w:tcPr>
    </w:tblStylePr>
  </w:style>
  <w:style w:type="table" w:customStyle="1" w:styleId="CardnoTableBlue">
    <w:name w:val="Cardno Table Blue"/>
    <w:basedOn w:val="CardnoTableTaupe"/>
    <w:uiPriority w:val="99"/>
    <w:qFormat/>
    <w:rsid w:val="00B35237"/>
    <w:pPr>
      <w:spacing w:before="0" w:after="0"/>
      <w:ind w:left="0" w:firstLine="0"/>
    </w:pPr>
    <w:tblPr>
      <w:tblBorders>
        <w:bottom w:val="single" w:sz="4" w:space="0" w:color="7090B7" w:themeColor="accent5"/>
        <w:insideH w:val="single" w:sz="4" w:space="0" w:color="7090B7" w:themeColor="accent5"/>
      </w:tblBorders>
    </w:tblPr>
    <w:tblStylePr w:type="firstRow">
      <w:rPr>
        <w:b w:val="0"/>
        <w:bCs/>
        <w:color w:val="FFFFFF" w:themeColor="background1"/>
      </w:rPr>
      <w:tblPr/>
      <w:trPr>
        <w:tblHeader/>
      </w:trPr>
      <w:tcPr>
        <w:shd w:val="clear" w:color="auto" w:fill="7090B7" w:themeFill="accent5"/>
      </w:tcPr>
    </w:tblStylePr>
    <w:tblStylePr w:type="lastRow">
      <w:rPr>
        <w:b/>
        <w:bCs/>
      </w:rPr>
    </w:tblStylePr>
    <w:tblStylePr w:type="firstCol">
      <w:rPr>
        <w:b/>
        <w:bCs/>
      </w:rPr>
    </w:tblStylePr>
    <w:tblStylePr w:type="lastCol">
      <w:rPr>
        <w:b/>
        <w:bCs/>
      </w:rPr>
    </w:tblStylePr>
  </w:style>
  <w:style w:type="table" w:customStyle="1" w:styleId="CardnoTableNavy">
    <w:name w:val="Cardno Table Navy"/>
    <w:basedOn w:val="CardnoTableTaupe"/>
    <w:uiPriority w:val="99"/>
    <w:qFormat/>
    <w:rsid w:val="00B35237"/>
    <w:pPr>
      <w:spacing w:before="0" w:after="0"/>
      <w:ind w:left="0" w:firstLine="0"/>
    </w:pPr>
    <w:tblPr>
      <w:tblBorders>
        <w:bottom w:val="single" w:sz="4" w:space="0" w:color="003359" w:themeColor="accent1"/>
        <w:insideH w:val="single" w:sz="4" w:space="0" w:color="003359" w:themeColor="accent1"/>
      </w:tblBorders>
    </w:tblPr>
    <w:tblStylePr w:type="firstRow">
      <w:rPr>
        <w:color w:val="FFFFFF" w:themeColor="background1"/>
      </w:rPr>
      <w:tblPr/>
      <w:trPr>
        <w:tblHeader/>
      </w:trPr>
      <w:tcPr>
        <w:shd w:val="clear" w:color="auto" w:fill="003359" w:themeFill="accent1"/>
      </w:tcPr>
    </w:tblStylePr>
  </w:style>
  <w:style w:type="table" w:customStyle="1" w:styleId="CardnoTableOlive">
    <w:name w:val="Cardno Table Olive"/>
    <w:basedOn w:val="CardnoTableTaupe"/>
    <w:uiPriority w:val="99"/>
    <w:qFormat/>
    <w:rsid w:val="00B35237"/>
    <w:pPr>
      <w:spacing w:before="0" w:after="0"/>
      <w:ind w:left="0" w:firstLine="0"/>
    </w:pPr>
    <w:tblPr>
      <w:tblBorders>
        <w:bottom w:val="single" w:sz="4" w:space="0" w:color="878800" w:themeColor="accent4"/>
        <w:insideH w:val="single" w:sz="4" w:space="0" w:color="878800" w:themeColor="accent4"/>
      </w:tblBorders>
    </w:tblPr>
    <w:tblStylePr w:type="firstRow">
      <w:rPr>
        <w:color w:val="FFFFFF" w:themeColor="background1"/>
      </w:rPr>
      <w:tblPr/>
      <w:trPr>
        <w:tblHeader/>
      </w:trPr>
      <w:tcPr>
        <w:shd w:val="clear" w:color="auto" w:fill="878800" w:themeFill="accent4"/>
      </w:tcPr>
    </w:tblStylePr>
  </w:style>
  <w:style w:type="table" w:customStyle="1" w:styleId="CardnoTableOrange">
    <w:name w:val="Cardno Table Orange"/>
    <w:basedOn w:val="CardnoTableTaupe"/>
    <w:uiPriority w:val="99"/>
    <w:qFormat/>
    <w:rsid w:val="00B35237"/>
    <w:pPr>
      <w:spacing w:before="0" w:after="0"/>
      <w:ind w:left="0" w:firstLine="0"/>
    </w:pPr>
    <w:tblPr>
      <w:tblBorders>
        <w:bottom w:val="single" w:sz="4" w:space="0" w:color="D95E00" w:themeColor="accent2"/>
        <w:insideH w:val="single" w:sz="4" w:space="0" w:color="D95E00" w:themeColor="accent2"/>
      </w:tblBorders>
    </w:tblPr>
    <w:tblStylePr w:type="firstRow">
      <w:rPr>
        <w:color w:val="FFFFFF" w:themeColor="background1"/>
      </w:rPr>
      <w:tblPr/>
      <w:trPr>
        <w:tblHeader/>
      </w:trPr>
      <w:tcPr>
        <w:shd w:val="clear" w:color="auto" w:fill="D95E00" w:themeFill="accent2"/>
      </w:tcPr>
    </w:tblStylePr>
  </w:style>
  <w:style w:type="character" w:customStyle="1" w:styleId="longtext">
    <w:name w:val="long_text"/>
    <w:basedOn w:val="DefaultParagraphFont"/>
    <w:rsid w:val="00B35237"/>
  </w:style>
  <w:style w:type="character" w:customStyle="1" w:styleId="hps">
    <w:name w:val="hps"/>
    <w:basedOn w:val="DefaultParagraphFont"/>
    <w:rsid w:val="00B35237"/>
  </w:style>
  <w:style w:type="paragraph" w:customStyle="1" w:styleId="Default">
    <w:name w:val="Default"/>
    <w:link w:val="DefaultChar"/>
    <w:rsid w:val="00B35237"/>
    <w:pPr>
      <w:autoSpaceDE w:val="0"/>
      <w:autoSpaceDN w:val="0"/>
      <w:adjustRightInd w:val="0"/>
      <w:spacing w:before="0" w:after="0"/>
      <w:ind w:left="0" w:firstLine="0"/>
    </w:pPr>
    <w:rPr>
      <w:rFonts w:eastAsia="SimSun" w:cs="Tahoma"/>
      <w:color w:val="000000"/>
      <w:sz w:val="24"/>
      <w:szCs w:val="24"/>
    </w:rPr>
  </w:style>
  <w:style w:type="paragraph" w:customStyle="1" w:styleId="ColorfulList-Accent11">
    <w:name w:val="Colorful List - Accent 11"/>
    <w:basedOn w:val="Normal"/>
    <w:qFormat/>
    <w:rsid w:val="00B35237"/>
    <w:pPr>
      <w:spacing w:after="200" w:line="276" w:lineRule="auto"/>
      <w:ind w:left="720"/>
      <w:contextualSpacing/>
    </w:pPr>
    <w:rPr>
      <w:rFonts w:ascii="Calibri" w:hAnsi="Calibri"/>
      <w:lang w:eastAsia="en-US"/>
    </w:rPr>
  </w:style>
  <w:style w:type="paragraph" w:customStyle="1" w:styleId="Crossheading">
    <w:name w:val="Crossheading"/>
    <w:basedOn w:val="Featuretexttaupe"/>
    <w:next w:val="BodyText"/>
    <w:uiPriority w:val="12"/>
    <w:qFormat/>
    <w:rsid w:val="00B35237"/>
    <w:pPr>
      <w:keepNext/>
      <w:spacing w:before="360"/>
    </w:pPr>
    <w:rPr>
      <w:color w:val="003359" w:themeColor="text2"/>
      <w:sz w:val="22"/>
    </w:rPr>
  </w:style>
  <w:style w:type="character" w:styleId="SubtleEmphasis">
    <w:name w:val="Subtle Emphasis"/>
    <w:basedOn w:val="DefaultParagraphFont"/>
    <w:uiPriority w:val="19"/>
    <w:qFormat/>
    <w:rsid w:val="00B35237"/>
    <w:rPr>
      <w:i/>
      <w:iCs/>
      <w:color w:val="404040" w:themeColor="text1" w:themeTint="BF"/>
    </w:rPr>
  </w:style>
  <w:style w:type="character" w:styleId="IntenseEmphasis">
    <w:name w:val="Intense Emphasis"/>
    <w:basedOn w:val="DefaultParagraphFont"/>
    <w:uiPriority w:val="21"/>
    <w:qFormat/>
    <w:rsid w:val="00B35237"/>
    <w:rPr>
      <w:b w:val="0"/>
      <w:bCs/>
      <w:i/>
      <w:iCs/>
      <w:caps/>
    </w:rPr>
  </w:style>
  <w:style w:type="paragraph" w:styleId="IntenseQuote">
    <w:name w:val="Intense Quote"/>
    <w:basedOn w:val="Normal"/>
    <w:next w:val="Normal"/>
    <w:link w:val="IntenseQuoteChar"/>
    <w:uiPriority w:val="30"/>
    <w:qFormat/>
    <w:rsid w:val="00B35237"/>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after="240" w:line="259" w:lineRule="auto"/>
      <w:ind w:left="936" w:right="936"/>
      <w:jc w:val="center"/>
    </w:pPr>
    <w:rPr>
      <w:rFonts w:asciiTheme="minorHAnsi" w:eastAsiaTheme="minorEastAsia" w:hAnsiTheme="minorHAnsi" w:cstheme="minorBidi"/>
      <w:color w:val="000000" w:themeColor="text1"/>
      <w:lang w:eastAsia="ja-JP"/>
    </w:rPr>
  </w:style>
  <w:style w:type="character" w:customStyle="1" w:styleId="IntenseQuoteChar">
    <w:name w:val="Intense Quote Char"/>
    <w:basedOn w:val="DefaultParagraphFont"/>
    <w:link w:val="IntenseQuote"/>
    <w:uiPriority w:val="30"/>
    <w:rsid w:val="00B35237"/>
    <w:rPr>
      <w:rFonts w:asciiTheme="minorHAnsi" w:eastAsiaTheme="minorEastAsia" w:hAnsiTheme="minorHAnsi" w:cstheme="minorBidi"/>
      <w:color w:val="000000" w:themeColor="text1"/>
      <w:shd w:val="clear" w:color="auto" w:fill="F2F2F2" w:themeFill="background1" w:themeFillShade="F2"/>
      <w:lang w:val="en-US" w:eastAsia="ja-JP"/>
    </w:rPr>
  </w:style>
  <w:style w:type="character" w:styleId="SubtleReference">
    <w:name w:val="Subtle Reference"/>
    <w:basedOn w:val="DefaultParagraphFont"/>
    <w:uiPriority w:val="31"/>
    <w:qFormat/>
    <w:rsid w:val="00B35237"/>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B35237"/>
    <w:rPr>
      <w:b w:val="0"/>
      <w:bCs/>
      <w:smallCaps/>
      <w:u w:val="single"/>
    </w:rPr>
  </w:style>
  <w:style w:type="character" w:styleId="BookTitle">
    <w:name w:val="Book Title"/>
    <w:basedOn w:val="DefaultParagraphFont"/>
    <w:uiPriority w:val="33"/>
    <w:qFormat/>
    <w:rsid w:val="00B35237"/>
    <w:rPr>
      <w:b/>
      <w:bCs w:val="0"/>
      <w:smallCaps/>
      <w:spacing w:val="5"/>
    </w:rPr>
  </w:style>
  <w:style w:type="paragraph" w:styleId="NoSpacing">
    <w:name w:val="No Spacing"/>
    <w:uiPriority w:val="1"/>
    <w:qFormat/>
    <w:rsid w:val="00B35237"/>
    <w:pPr>
      <w:spacing w:before="0" w:after="0"/>
      <w:ind w:left="0" w:firstLine="0"/>
    </w:pPr>
    <w:rPr>
      <w:rFonts w:asciiTheme="minorHAnsi" w:eastAsiaTheme="minorEastAsia" w:hAnsiTheme="minorHAnsi" w:cstheme="minorBidi"/>
      <w:lang w:val="en-US" w:eastAsia="ja-JP"/>
    </w:rPr>
  </w:style>
  <w:style w:type="paragraph" w:styleId="Revision">
    <w:name w:val="Revision"/>
    <w:hidden/>
    <w:uiPriority w:val="99"/>
    <w:semiHidden/>
    <w:rsid w:val="00B35237"/>
    <w:pPr>
      <w:spacing w:before="0" w:after="0"/>
      <w:ind w:left="0" w:firstLine="0"/>
    </w:pPr>
    <w:rPr>
      <w:rFonts w:asciiTheme="minorHAnsi" w:eastAsiaTheme="minorEastAsia" w:hAnsiTheme="minorHAnsi" w:cstheme="minorBidi"/>
      <w:lang w:val="en-US" w:eastAsia="ja-JP"/>
    </w:rPr>
  </w:style>
  <w:style w:type="paragraph" w:styleId="EndnoteText">
    <w:name w:val="endnote text"/>
    <w:basedOn w:val="Normal"/>
    <w:link w:val="EndnoteTextChar"/>
    <w:uiPriority w:val="99"/>
    <w:semiHidden/>
    <w:unhideWhenUsed/>
    <w:rsid w:val="00B35237"/>
    <w:pPr>
      <w:spacing w:after="0"/>
    </w:pPr>
    <w:rPr>
      <w:rFonts w:ascii="Calibri" w:hAnsi="Calibri" w:cs="Calibri"/>
      <w:lang w:eastAsia="en-US"/>
    </w:rPr>
  </w:style>
  <w:style w:type="character" w:customStyle="1" w:styleId="EndnoteTextChar">
    <w:name w:val="Endnote Text Char"/>
    <w:basedOn w:val="DefaultParagraphFont"/>
    <w:link w:val="EndnoteText"/>
    <w:uiPriority w:val="99"/>
    <w:semiHidden/>
    <w:rsid w:val="00B35237"/>
    <w:rPr>
      <w:rFonts w:ascii="Calibri" w:eastAsia="Calibri" w:hAnsi="Calibri" w:cs="Calibri"/>
      <w:sz w:val="20"/>
      <w:szCs w:val="20"/>
      <w:lang w:eastAsia="en-US"/>
    </w:rPr>
  </w:style>
  <w:style w:type="character" w:customStyle="1" w:styleId="shorttext">
    <w:name w:val="short_text"/>
    <w:basedOn w:val="DefaultParagraphFont"/>
    <w:rsid w:val="00B35237"/>
  </w:style>
  <w:style w:type="table" w:customStyle="1" w:styleId="TableGrid10">
    <w:name w:val="Table Grid1"/>
    <w:basedOn w:val="TableNormal"/>
    <w:next w:val="TableGrid"/>
    <w:uiPriority w:val="39"/>
    <w:rsid w:val="00B35237"/>
    <w:pPr>
      <w:spacing w:before="0" w:after="0"/>
      <w:ind w:left="0" w:firstLine="0"/>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
    <w:basedOn w:val="TableNormal"/>
    <w:next w:val="TableGrid"/>
    <w:uiPriority w:val="39"/>
    <w:rsid w:val="00B35237"/>
    <w:pPr>
      <w:spacing w:before="0" w:after="0"/>
      <w:ind w:left="0" w:firstLine="0"/>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
    <w:basedOn w:val="TableNormal"/>
    <w:next w:val="TableGrid"/>
    <w:uiPriority w:val="39"/>
    <w:rsid w:val="00B35237"/>
    <w:pPr>
      <w:spacing w:before="0" w:after="0"/>
      <w:ind w:left="0" w:firstLine="0"/>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7">
    <w:name w:val="toc 7"/>
    <w:basedOn w:val="Normal"/>
    <w:next w:val="Normal"/>
    <w:autoRedefine/>
    <w:uiPriority w:val="39"/>
    <w:unhideWhenUsed/>
    <w:locked/>
    <w:rsid w:val="00B35237"/>
    <w:pPr>
      <w:spacing w:after="0"/>
    </w:pPr>
    <w:rPr>
      <w:rFonts w:asciiTheme="minorHAnsi" w:hAnsiTheme="minorHAnsi" w:cstheme="minorHAnsi"/>
      <w:b w:val="0"/>
      <w:u w:val="none"/>
    </w:rPr>
  </w:style>
  <w:style w:type="paragraph" w:styleId="FootnoteText">
    <w:name w:val="footnote text"/>
    <w:aliases w:val="poznppMV,Testo nota a pi_ di pagina Carattere Carattere Carattere Carattere,Texto nota pie Car,FOOTNOTES,fn,single space,ALTS FOOTNOTE,footnote text,Footnote Text Char2 Char,Footnote Text Char1 Char Char,Footnote Text Char2 Char Char Char"/>
    <w:basedOn w:val="Normal"/>
    <w:link w:val="FootnoteTextChar"/>
    <w:autoRedefine/>
    <w:unhideWhenUsed/>
    <w:qFormat/>
    <w:rsid w:val="008A4E08"/>
    <w:pPr>
      <w:spacing w:before="40" w:after="40"/>
      <w:jc w:val="both"/>
    </w:pPr>
    <w:rPr>
      <w:rFonts w:eastAsiaTheme="minorHAnsi"/>
      <w:b w:val="0"/>
      <w:sz w:val="18"/>
      <w:szCs w:val="18"/>
      <w:u w:val="none"/>
      <w:lang w:eastAsia="en-US"/>
    </w:rPr>
  </w:style>
  <w:style w:type="character" w:customStyle="1" w:styleId="FootnoteTextChar">
    <w:name w:val="Footnote Text Char"/>
    <w:aliases w:val="poznppMV Char,Testo nota a pi_ di pagina Carattere Carattere Carattere Carattere Char,Texto nota pie Car Char,FOOTNOTES Char,fn Char,single space Char,ALTS FOOTNOTE Char,footnote text Char,Footnote Text Char2 Char Char"/>
    <w:basedOn w:val="DefaultParagraphFont"/>
    <w:link w:val="FootnoteText"/>
    <w:rsid w:val="008A4E08"/>
    <w:rPr>
      <w:rFonts w:eastAsiaTheme="minorHAnsi"/>
      <w:b w:val="0"/>
      <w:sz w:val="18"/>
      <w:szCs w:val="18"/>
      <w:u w:val="none"/>
      <w:lang w:eastAsia="en-US"/>
    </w:rPr>
  </w:style>
  <w:style w:type="character" w:styleId="FootnoteReference">
    <w:name w:val="footnote reference"/>
    <w:aliases w:val="16 Point,Superscript 6 Point,Ref,de nota al pie,ftref, Car Car Char Car Char Car Car Char Car Char Char, Car Car Car Car Car Car Car Car Char Car Car Char Car Car Car Char Car Char Char Char,SUPERS,Footnote Reference Number, BVI fnr"/>
    <w:basedOn w:val="DefaultParagraphFont"/>
    <w:link w:val="referencianotaalpieChar"/>
    <w:uiPriority w:val="99"/>
    <w:unhideWhenUsed/>
    <w:qFormat/>
    <w:rsid w:val="00B35237"/>
    <w:rPr>
      <w:vertAlign w:val="superscript"/>
    </w:rPr>
  </w:style>
  <w:style w:type="paragraph" w:customStyle="1" w:styleId="Tabletext">
    <w:name w:val="Table text"/>
    <w:rsid w:val="00B35237"/>
    <w:pPr>
      <w:spacing w:before="0" w:after="0"/>
      <w:ind w:left="0" w:firstLine="0"/>
    </w:pPr>
    <w:rPr>
      <w:rFonts w:ascii="Arial" w:hAnsi="Arial"/>
      <w:sz w:val="16"/>
      <w:szCs w:val="20"/>
      <w:lang w:val="en-GB" w:eastAsia="en-US"/>
    </w:rPr>
  </w:style>
  <w:style w:type="character" w:styleId="EndnoteReference">
    <w:name w:val="endnote reference"/>
    <w:basedOn w:val="DefaultParagraphFont"/>
    <w:uiPriority w:val="99"/>
    <w:rsid w:val="00B35237"/>
    <w:rPr>
      <w:vertAlign w:val="superscript"/>
    </w:rPr>
  </w:style>
  <w:style w:type="paragraph" w:customStyle="1" w:styleId="quotes-gfd">
    <w:name w:val="quotes-gfd"/>
    <w:basedOn w:val="Normal"/>
    <w:link w:val="quotes-gfdChar"/>
    <w:qFormat/>
    <w:rsid w:val="00B35237"/>
    <w:pPr>
      <w:spacing w:after="160" w:line="259" w:lineRule="auto"/>
      <w:ind w:left="720" w:right="1229"/>
      <w:jc w:val="both"/>
    </w:pPr>
    <w:rPr>
      <w:rFonts w:asciiTheme="minorHAnsi" w:eastAsiaTheme="minorHAnsi" w:hAnsiTheme="minorHAnsi" w:cstheme="minorBidi"/>
      <w:i/>
      <w:lang w:eastAsia="en-US"/>
    </w:rPr>
  </w:style>
  <w:style w:type="character" w:customStyle="1" w:styleId="quotes-gfdChar">
    <w:name w:val="quotes-gfd Char"/>
    <w:basedOn w:val="DefaultParagraphFont"/>
    <w:link w:val="quotes-gfd"/>
    <w:rsid w:val="00B35237"/>
    <w:rPr>
      <w:rFonts w:asciiTheme="minorHAnsi" w:eastAsiaTheme="minorHAnsi" w:hAnsiTheme="minorHAnsi" w:cstheme="minorBidi"/>
      <w:i/>
      <w:sz w:val="20"/>
      <w:szCs w:val="20"/>
      <w:lang w:eastAsia="en-US"/>
    </w:rPr>
  </w:style>
  <w:style w:type="paragraph" w:customStyle="1" w:styleId="Style1">
    <w:name w:val="Style1"/>
    <w:basedOn w:val="Normal"/>
    <w:link w:val="Style1Char"/>
    <w:autoRedefine/>
    <w:qFormat/>
    <w:rsid w:val="00EA7606"/>
    <w:pPr>
      <w:keepNext/>
      <w:spacing w:before="360" w:after="180"/>
      <w:ind w:left="1701" w:hanging="1701"/>
      <w:outlineLvl w:val="0"/>
    </w:pPr>
    <w:rPr>
      <w:b w:val="0"/>
      <w:bCs/>
      <w:kern w:val="32"/>
      <w:sz w:val="32"/>
      <w:szCs w:val="32"/>
    </w:rPr>
  </w:style>
  <w:style w:type="character" w:customStyle="1" w:styleId="Style1Char">
    <w:name w:val="Style1 Char"/>
    <w:link w:val="Style1"/>
    <w:rsid w:val="00EA7606"/>
    <w:rPr>
      <w:rFonts w:ascii="Tahoma" w:hAnsi="Tahoma" w:cs="Tahoma"/>
      <w:b w:val="0"/>
      <w:bCs/>
      <w:color w:val="2D2D42"/>
      <w:kern w:val="32"/>
      <w:sz w:val="32"/>
      <w:szCs w:val="32"/>
    </w:rPr>
  </w:style>
  <w:style w:type="paragraph" w:customStyle="1" w:styleId="TableTitle">
    <w:name w:val="TableTitle"/>
    <w:basedOn w:val="BodyText"/>
    <w:next w:val="BodyText"/>
    <w:autoRedefine/>
    <w:qFormat/>
    <w:rsid w:val="00B35237"/>
    <w:pPr>
      <w:numPr>
        <w:numId w:val="22"/>
      </w:numPr>
      <w:spacing w:after="0" w:line="240" w:lineRule="auto"/>
      <w:ind w:left="851" w:hanging="851"/>
    </w:pPr>
    <w:rPr>
      <w:rFonts w:ascii="Calibri" w:hAnsi="Calibri" w:cs="Calibri"/>
      <w:b w:val="0"/>
      <w:spacing w:val="-2"/>
      <w:sz w:val="24"/>
      <w:szCs w:val="24"/>
      <w:lang w:eastAsia="en-US"/>
    </w:rPr>
  </w:style>
  <w:style w:type="paragraph" w:customStyle="1" w:styleId="font5">
    <w:name w:val="font5"/>
    <w:basedOn w:val="Normal"/>
    <w:rsid w:val="00B35237"/>
    <w:pPr>
      <w:spacing w:before="100" w:beforeAutospacing="1" w:after="100" w:afterAutospacing="1"/>
    </w:pPr>
    <w:rPr>
      <w:sz w:val="16"/>
      <w:szCs w:val="16"/>
    </w:rPr>
  </w:style>
  <w:style w:type="paragraph" w:customStyle="1" w:styleId="font6">
    <w:name w:val="font6"/>
    <w:basedOn w:val="Normal"/>
    <w:rsid w:val="00B35237"/>
    <w:pPr>
      <w:spacing w:before="100" w:beforeAutospacing="1" w:after="100" w:afterAutospacing="1"/>
    </w:pPr>
    <w:rPr>
      <w:b w:val="0"/>
      <w:bCs/>
      <w:sz w:val="16"/>
      <w:szCs w:val="16"/>
    </w:rPr>
  </w:style>
  <w:style w:type="paragraph" w:customStyle="1" w:styleId="xl67">
    <w:name w:val="xl67"/>
    <w:basedOn w:val="Normal"/>
    <w:locked/>
    <w:rsid w:val="00B35237"/>
    <w:pPr>
      <w:spacing w:before="100" w:beforeAutospacing="1" w:after="100" w:afterAutospacing="1"/>
    </w:pPr>
    <w:rPr>
      <w:rFonts w:ascii="Times New Roman" w:hAnsi="Times New Roman"/>
      <w:sz w:val="24"/>
      <w:szCs w:val="24"/>
    </w:rPr>
  </w:style>
  <w:style w:type="paragraph" w:customStyle="1" w:styleId="xl68">
    <w:name w:val="xl68"/>
    <w:basedOn w:val="Normal"/>
    <w:locked/>
    <w:rsid w:val="00B35237"/>
    <w:pPr>
      <w:spacing w:before="100" w:beforeAutospacing="1" w:after="100" w:afterAutospacing="1"/>
    </w:pPr>
    <w:rPr>
      <w:rFonts w:ascii="Times New Roman" w:hAnsi="Times New Roman"/>
      <w:sz w:val="24"/>
      <w:szCs w:val="24"/>
    </w:rPr>
  </w:style>
  <w:style w:type="paragraph" w:customStyle="1" w:styleId="xl69">
    <w:name w:val="xl69"/>
    <w:basedOn w:val="Normal"/>
    <w:locked/>
    <w:rsid w:val="00B35237"/>
    <w:pPr>
      <w:spacing w:before="100" w:beforeAutospacing="1" w:after="100" w:afterAutospacing="1"/>
      <w:jc w:val="center"/>
    </w:pPr>
    <w:rPr>
      <w:rFonts w:ascii="Times New Roman" w:hAnsi="Times New Roman"/>
      <w:sz w:val="24"/>
      <w:szCs w:val="24"/>
    </w:rPr>
  </w:style>
  <w:style w:type="paragraph" w:customStyle="1" w:styleId="xl70">
    <w:name w:val="xl70"/>
    <w:basedOn w:val="Normal"/>
    <w:locked/>
    <w:rsid w:val="00B35237"/>
    <w:pPr>
      <w:spacing w:before="100" w:beforeAutospacing="1" w:after="100" w:afterAutospacing="1"/>
    </w:pPr>
    <w:rPr>
      <w:rFonts w:ascii="Times New Roman" w:hAnsi="Times New Roman"/>
      <w:b w:val="0"/>
      <w:bCs/>
      <w:sz w:val="24"/>
      <w:szCs w:val="24"/>
    </w:rPr>
  </w:style>
  <w:style w:type="paragraph" w:customStyle="1" w:styleId="xl71">
    <w:name w:val="xl71"/>
    <w:basedOn w:val="Normal"/>
    <w:locked/>
    <w:rsid w:val="00B35237"/>
    <w:pPr>
      <w:spacing w:before="100" w:beforeAutospacing="1" w:after="100" w:afterAutospacing="1"/>
    </w:pPr>
    <w:rPr>
      <w:rFonts w:ascii="Times New Roman" w:hAnsi="Times New Roman"/>
      <w:b w:val="0"/>
      <w:bCs/>
      <w:sz w:val="24"/>
      <w:szCs w:val="24"/>
    </w:rPr>
  </w:style>
  <w:style w:type="paragraph" w:customStyle="1" w:styleId="xl72">
    <w:name w:val="xl72"/>
    <w:basedOn w:val="Normal"/>
    <w:locked/>
    <w:rsid w:val="00B35237"/>
    <w:pPr>
      <w:spacing w:before="100" w:beforeAutospacing="1" w:after="100" w:afterAutospacing="1"/>
      <w:jc w:val="center"/>
    </w:pPr>
    <w:rPr>
      <w:rFonts w:ascii="Times New Roman" w:hAnsi="Times New Roman"/>
      <w:sz w:val="24"/>
      <w:szCs w:val="24"/>
    </w:rPr>
  </w:style>
  <w:style w:type="paragraph" w:customStyle="1" w:styleId="xl73">
    <w:name w:val="xl73"/>
    <w:basedOn w:val="Normal"/>
    <w:locked/>
    <w:rsid w:val="00B35237"/>
    <w:pPr>
      <w:spacing w:before="100" w:beforeAutospacing="1" w:after="100" w:afterAutospacing="1"/>
    </w:pPr>
    <w:rPr>
      <w:rFonts w:ascii="Times New Roman" w:hAnsi="Times New Roman"/>
      <w:b w:val="0"/>
      <w:bCs/>
      <w:color w:val="00B0F0"/>
      <w:sz w:val="24"/>
      <w:szCs w:val="24"/>
    </w:rPr>
  </w:style>
  <w:style w:type="paragraph" w:customStyle="1" w:styleId="xl74">
    <w:name w:val="xl74"/>
    <w:basedOn w:val="Normal"/>
    <w:locked/>
    <w:rsid w:val="00B35237"/>
    <w:pPr>
      <w:spacing w:before="100" w:beforeAutospacing="1" w:after="100" w:afterAutospacing="1"/>
    </w:pPr>
    <w:rPr>
      <w:rFonts w:ascii="Times New Roman" w:hAnsi="Times New Roman"/>
      <w:color w:val="FF0000"/>
      <w:sz w:val="24"/>
      <w:szCs w:val="24"/>
    </w:rPr>
  </w:style>
  <w:style w:type="paragraph" w:customStyle="1" w:styleId="xl75">
    <w:name w:val="xl75"/>
    <w:basedOn w:val="Normal"/>
    <w:locked/>
    <w:rsid w:val="00B35237"/>
    <w:pPr>
      <w:spacing w:before="100" w:beforeAutospacing="1" w:after="100" w:afterAutospacing="1"/>
    </w:pPr>
    <w:rPr>
      <w:rFonts w:ascii="Times New Roman" w:hAnsi="Times New Roman"/>
      <w:sz w:val="24"/>
      <w:szCs w:val="24"/>
    </w:rPr>
  </w:style>
  <w:style w:type="paragraph" w:customStyle="1" w:styleId="xl76">
    <w:name w:val="xl76"/>
    <w:basedOn w:val="Normal"/>
    <w:locked/>
    <w:rsid w:val="00B35237"/>
    <w:pPr>
      <w:spacing w:before="100" w:beforeAutospacing="1" w:after="100" w:afterAutospacing="1"/>
    </w:pPr>
    <w:rPr>
      <w:rFonts w:ascii="Times New Roman" w:hAnsi="Times New Roman"/>
      <w:sz w:val="24"/>
      <w:szCs w:val="24"/>
    </w:rPr>
  </w:style>
  <w:style w:type="paragraph" w:customStyle="1" w:styleId="xl77">
    <w:name w:val="xl77"/>
    <w:basedOn w:val="Normal"/>
    <w:locked/>
    <w:rsid w:val="00B35237"/>
    <w:pPr>
      <w:spacing w:before="100" w:beforeAutospacing="1" w:after="100" w:afterAutospacing="1"/>
      <w:jc w:val="center"/>
    </w:pPr>
    <w:rPr>
      <w:rFonts w:ascii="Times New Roman" w:hAnsi="Times New Roman"/>
      <w:sz w:val="24"/>
      <w:szCs w:val="24"/>
    </w:rPr>
  </w:style>
  <w:style w:type="paragraph" w:customStyle="1" w:styleId="xl78">
    <w:name w:val="xl78"/>
    <w:basedOn w:val="Normal"/>
    <w:locked/>
    <w:rsid w:val="00B35237"/>
    <w:pPr>
      <w:spacing w:before="100" w:beforeAutospacing="1" w:after="100" w:afterAutospacing="1"/>
      <w:jc w:val="center"/>
    </w:pPr>
    <w:rPr>
      <w:rFonts w:ascii="Times New Roman" w:hAnsi="Times New Roman"/>
      <w:sz w:val="24"/>
      <w:szCs w:val="24"/>
    </w:rPr>
  </w:style>
  <w:style w:type="paragraph" w:customStyle="1" w:styleId="xl79">
    <w:name w:val="xl79"/>
    <w:basedOn w:val="Normal"/>
    <w:locked/>
    <w:rsid w:val="00B35237"/>
    <w:pPr>
      <w:spacing w:before="100" w:beforeAutospacing="1" w:after="100" w:afterAutospacing="1"/>
    </w:pPr>
    <w:rPr>
      <w:rFonts w:ascii="Times New Roman" w:hAnsi="Times New Roman"/>
      <w:sz w:val="24"/>
      <w:szCs w:val="24"/>
    </w:rPr>
  </w:style>
  <w:style w:type="paragraph" w:customStyle="1" w:styleId="xl80">
    <w:name w:val="xl80"/>
    <w:basedOn w:val="Normal"/>
    <w:locked/>
    <w:rsid w:val="00B35237"/>
    <w:pPr>
      <w:spacing w:before="100" w:beforeAutospacing="1" w:after="100" w:afterAutospacing="1"/>
    </w:pPr>
    <w:rPr>
      <w:rFonts w:ascii="Times New Roman" w:hAnsi="Times New Roman"/>
      <w:color w:val="FF0000"/>
      <w:sz w:val="24"/>
      <w:szCs w:val="24"/>
    </w:rPr>
  </w:style>
  <w:style w:type="paragraph" w:customStyle="1" w:styleId="xl81">
    <w:name w:val="xl81"/>
    <w:basedOn w:val="Normal"/>
    <w:locked/>
    <w:rsid w:val="00B35237"/>
    <w:pPr>
      <w:spacing w:before="100" w:beforeAutospacing="1" w:after="100" w:afterAutospacing="1"/>
    </w:pPr>
    <w:rPr>
      <w:rFonts w:ascii="Times New Roman" w:hAnsi="Times New Roman"/>
      <w:sz w:val="24"/>
      <w:szCs w:val="24"/>
    </w:rPr>
  </w:style>
  <w:style w:type="paragraph" w:customStyle="1" w:styleId="xl82">
    <w:name w:val="xl82"/>
    <w:basedOn w:val="Normal"/>
    <w:locked/>
    <w:rsid w:val="00B35237"/>
    <w:pPr>
      <w:spacing w:before="100" w:beforeAutospacing="1" w:after="100" w:afterAutospacing="1"/>
    </w:pPr>
    <w:rPr>
      <w:rFonts w:ascii="Times New Roman" w:hAnsi="Times New Roman"/>
      <w:sz w:val="24"/>
      <w:szCs w:val="24"/>
    </w:rPr>
  </w:style>
  <w:style w:type="paragraph" w:customStyle="1" w:styleId="xl83">
    <w:name w:val="xl83"/>
    <w:basedOn w:val="Normal"/>
    <w:locked/>
    <w:rsid w:val="00B35237"/>
    <w:pPr>
      <w:spacing w:before="100" w:beforeAutospacing="1" w:after="100" w:afterAutospacing="1"/>
    </w:pPr>
    <w:rPr>
      <w:rFonts w:ascii="Times New Roman" w:hAnsi="Times New Roman"/>
      <w:sz w:val="24"/>
      <w:szCs w:val="24"/>
    </w:rPr>
  </w:style>
  <w:style w:type="paragraph" w:customStyle="1" w:styleId="xl84">
    <w:name w:val="xl84"/>
    <w:basedOn w:val="Normal"/>
    <w:locked/>
    <w:rsid w:val="00B35237"/>
    <w:pPr>
      <w:spacing w:before="100" w:beforeAutospacing="1" w:after="100" w:afterAutospacing="1"/>
    </w:pPr>
    <w:rPr>
      <w:rFonts w:ascii="Times New Roman" w:hAnsi="Times New Roman"/>
      <w:color w:val="00B050"/>
      <w:sz w:val="24"/>
      <w:szCs w:val="24"/>
    </w:rPr>
  </w:style>
  <w:style w:type="paragraph" w:customStyle="1" w:styleId="xl85">
    <w:name w:val="xl85"/>
    <w:basedOn w:val="Normal"/>
    <w:locked/>
    <w:rsid w:val="00B35237"/>
    <w:pPr>
      <w:spacing w:before="100" w:beforeAutospacing="1" w:after="100" w:afterAutospacing="1"/>
    </w:pPr>
    <w:rPr>
      <w:rFonts w:ascii="Times New Roman" w:hAnsi="Times New Roman"/>
      <w:color w:val="7030A0"/>
      <w:sz w:val="24"/>
      <w:szCs w:val="24"/>
    </w:rPr>
  </w:style>
  <w:style w:type="paragraph" w:customStyle="1" w:styleId="xl86">
    <w:name w:val="xl86"/>
    <w:basedOn w:val="Normal"/>
    <w:locked/>
    <w:rsid w:val="00B35237"/>
    <w:pPr>
      <w:spacing w:before="100" w:beforeAutospacing="1" w:after="100" w:afterAutospacing="1"/>
    </w:pPr>
    <w:rPr>
      <w:rFonts w:ascii="Times New Roman" w:hAnsi="Times New Roman"/>
      <w:color w:val="00B0F0"/>
      <w:sz w:val="24"/>
      <w:szCs w:val="24"/>
    </w:rPr>
  </w:style>
  <w:style w:type="paragraph" w:customStyle="1" w:styleId="xl87">
    <w:name w:val="xl87"/>
    <w:basedOn w:val="Normal"/>
    <w:locked/>
    <w:rsid w:val="00B35237"/>
    <w:pPr>
      <w:spacing w:before="100" w:beforeAutospacing="1" w:after="100" w:afterAutospacing="1"/>
    </w:pPr>
    <w:rPr>
      <w:rFonts w:ascii="Times New Roman" w:hAnsi="Times New Roman"/>
      <w:color w:val="FF0000"/>
      <w:sz w:val="24"/>
      <w:szCs w:val="24"/>
    </w:rPr>
  </w:style>
  <w:style w:type="paragraph" w:customStyle="1" w:styleId="xl88">
    <w:name w:val="xl88"/>
    <w:basedOn w:val="Normal"/>
    <w:locked/>
    <w:rsid w:val="00B35237"/>
    <w:pPr>
      <w:spacing w:before="100" w:beforeAutospacing="1" w:after="100" w:afterAutospacing="1"/>
      <w:jc w:val="center"/>
    </w:pPr>
    <w:rPr>
      <w:rFonts w:ascii="Times New Roman" w:hAnsi="Times New Roman"/>
      <w:color w:val="FF0000"/>
      <w:sz w:val="24"/>
      <w:szCs w:val="24"/>
    </w:rPr>
  </w:style>
  <w:style w:type="paragraph" w:customStyle="1" w:styleId="xl89">
    <w:name w:val="xl89"/>
    <w:basedOn w:val="Normal"/>
    <w:locked/>
    <w:rsid w:val="00B35237"/>
    <w:pPr>
      <w:spacing w:before="100" w:beforeAutospacing="1" w:after="100" w:afterAutospacing="1"/>
      <w:jc w:val="center"/>
    </w:pPr>
    <w:rPr>
      <w:rFonts w:ascii="Times New Roman" w:hAnsi="Times New Roman"/>
      <w:color w:val="FF0000"/>
      <w:sz w:val="24"/>
      <w:szCs w:val="24"/>
    </w:rPr>
  </w:style>
  <w:style w:type="paragraph" w:customStyle="1" w:styleId="xl90">
    <w:name w:val="xl90"/>
    <w:basedOn w:val="Normal"/>
    <w:locked/>
    <w:rsid w:val="00B35237"/>
    <w:pPr>
      <w:spacing w:before="100" w:beforeAutospacing="1" w:after="100" w:afterAutospacing="1"/>
    </w:pPr>
    <w:rPr>
      <w:rFonts w:ascii="Times New Roman" w:hAnsi="Times New Roman"/>
      <w:color w:val="FFC000"/>
      <w:sz w:val="24"/>
      <w:szCs w:val="24"/>
    </w:rPr>
  </w:style>
  <w:style w:type="paragraph" w:customStyle="1" w:styleId="xl91">
    <w:name w:val="xl91"/>
    <w:basedOn w:val="Normal"/>
    <w:locked/>
    <w:rsid w:val="00B35237"/>
    <w:pPr>
      <w:spacing w:before="100" w:beforeAutospacing="1" w:after="100" w:afterAutospacing="1"/>
    </w:pPr>
    <w:rPr>
      <w:rFonts w:ascii="Times New Roman" w:hAnsi="Times New Roman"/>
      <w:sz w:val="24"/>
      <w:szCs w:val="24"/>
    </w:rPr>
  </w:style>
  <w:style w:type="paragraph" w:customStyle="1" w:styleId="xl92">
    <w:name w:val="xl92"/>
    <w:basedOn w:val="Normal"/>
    <w:locked/>
    <w:rsid w:val="00B35237"/>
    <w:pPr>
      <w:spacing w:before="100" w:beforeAutospacing="1" w:after="100" w:afterAutospacing="1"/>
    </w:pPr>
    <w:rPr>
      <w:rFonts w:ascii="Times New Roman" w:hAnsi="Times New Roman"/>
      <w:b w:val="0"/>
      <w:bCs/>
      <w:sz w:val="32"/>
      <w:szCs w:val="32"/>
    </w:rPr>
  </w:style>
  <w:style w:type="paragraph" w:customStyle="1" w:styleId="xl93">
    <w:name w:val="xl93"/>
    <w:basedOn w:val="Normal"/>
    <w:locked/>
    <w:rsid w:val="00B35237"/>
    <w:pPr>
      <w:spacing w:before="100" w:beforeAutospacing="1" w:after="100" w:afterAutospacing="1"/>
    </w:pPr>
    <w:rPr>
      <w:rFonts w:ascii="Times New Roman" w:hAnsi="Times New Roman"/>
      <w:sz w:val="32"/>
      <w:szCs w:val="32"/>
    </w:rPr>
  </w:style>
  <w:style w:type="paragraph" w:customStyle="1" w:styleId="xl94">
    <w:name w:val="xl94"/>
    <w:basedOn w:val="Normal"/>
    <w:locked/>
    <w:rsid w:val="00B35237"/>
    <w:pPr>
      <w:spacing w:before="100" w:beforeAutospacing="1" w:after="100" w:afterAutospacing="1"/>
      <w:jc w:val="center"/>
    </w:pPr>
    <w:rPr>
      <w:rFonts w:ascii="Times New Roman" w:hAnsi="Times New Roman"/>
      <w:b w:val="0"/>
      <w:bCs/>
      <w:sz w:val="32"/>
      <w:szCs w:val="32"/>
    </w:rPr>
  </w:style>
  <w:style w:type="paragraph" w:customStyle="1" w:styleId="xl95">
    <w:name w:val="xl95"/>
    <w:basedOn w:val="Normal"/>
    <w:locked/>
    <w:rsid w:val="00B35237"/>
    <w:pPr>
      <w:spacing w:before="100" w:beforeAutospacing="1" w:after="100" w:afterAutospacing="1"/>
      <w:jc w:val="center"/>
    </w:pPr>
    <w:rPr>
      <w:rFonts w:ascii="Times New Roman" w:hAnsi="Times New Roman"/>
      <w:sz w:val="32"/>
      <w:szCs w:val="32"/>
    </w:rPr>
  </w:style>
  <w:style w:type="paragraph" w:customStyle="1" w:styleId="xl96">
    <w:name w:val="xl96"/>
    <w:basedOn w:val="Normal"/>
    <w:locked/>
    <w:rsid w:val="00B35237"/>
    <w:pPr>
      <w:spacing w:before="100" w:beforeAutospacing="1" w:after="100" w:afterAutospacing="1"/>
    </w:pPr>
    <w:rPr>
      <w:rFonts w:ascii="Times New Roman" w:hAnsi="Times New Roman"/>
      <w:sz w:val="32"/>
      <w:szCs w:val="32"/>
    </w:rPr>
  </w:style>
  <w:style w:type="paragraph" w:customStyle="1" w:styleId="xl97">
    <w:name w:val="xl97"/>
    <w:basedOn w:val="Normal"/>
    <w:locked/>
    <w:rsid w:val="00B35237"/>
    <w:pPr>
      <w:spacing w:before="100" w:beforeAutospacing="1" w:after="100" w:afterAutospacing="1"/>
    </w:pPr>
    <w:rPr>
      <w:rFonts w:ascii="Times New Roman" w:hAnsi="Times New Roman"/>
      <w:sz w:val="24"/>
      <w:szCs w:val="24"/>
    </w:rPr>
  </w:style>
  <w:style w:type="paragraph" w:customStyle="1" w:styleId="xl98">
    <w:name w:val="xl98"/>
    <w:basedOn w:val="Normal"/>
    <w:locked/>
    <w:rsid w:val="00B35237"/>
    <w:pPr>
      <w:spacing w:before="100" w:beforeAutospacing="1" w:after="100" w:afterAutospacing="1"/>
      <w:jc w:val="center"/>
    </w:pPr>
    <w:rPr>
      <w:rFonts w:ascii="Times New Roman" w:hAnsi="Times New Roman"/>
      <w:sz w:val="24"/>
      <w:szCs w:val="24"/>
    </w:rPr>
  </w:style>
  <w:style w:type="paragraph" w:customStyle="1" w:styleId="xl99">
    <w:name w:val="xl99"/>
    <w:basedOn w:val="Normal"/>
    <w:locked/>
    <w:rsid w:val="00B35237"/>
    <w:pPr>
      <w:spacing w:before="100" w:beforeAutospacing="1" w:after="100" w:afterAutospacing="1"/>
      <w:jc w:val="center"/>
    </w:pPr>
    <w:rPr>
      <w:rFonts w:ascii="Times New Roman" w:hAnsi="Times New Roman"/>
      <w:sz w:val="24"/>
      <w:szCs w:val="24"/>
    </w:rPr>
  </w:style>
  <w:style w:type="paragraph" w:customStyle="1" w:styleId="xl100">
    <w:name w:val="xl100"/>
    <w:basedOn w:val="Normal"/>
    <w:locked/>
    <w:rsid w:val="00B35237"/>
    <w:pPr>
      <w:spacing w:before="100" w:beforeAutospacing="1" w:after="100" w:afterAutospacing="1"/>
    </w:pPr>
    <w:rPr>
      <w:rFonts w:ascii="Times New Roman" w:hAnsi="Times New Roman"/>
      <w:b w:val="0"/>
      <w:bCs/>
      <w:sz w:val="24"/>
      <w:szCs w:val="24"/>
    </w:rPr>
  </w:style>
  <w:style w:type="paragraph" w:customStyle="1" w:styleId="HEADING0">
    <w:name w:val="HEADING"/>
    <w:basedOn w:val="Normal"/>
    <w:rsid w:val="00927F76"/>
    <w:pPr>
      <w:keepNext/>
      <w:spacing w:before="120"/>
    </w:pPr>
    <w:rPr>
      <w:rFonts w:ascii="Arial Narrow" w:eastAsiaTheme="minorHAnsi" w:hAnsi="Arial Narrow"/>
      <w:b w:val="0"/>
      <w:bCs/>
      <w:color w:val="003359"/>
    </w:rPr>
  </w:style>
  <w:style w:type="paragraph" w:customStyle="1" w:styleId="xl105">
    <w:name w:val="xl105"/>
    <w:basedOn w:val="Normal"/>
    <w:locked/>
    <w:rsid w:val="00B35237"/>
    <w:pPr>
      <w:spacing w:before="100" w:beforeAutospacing="1" w:after="100" w:afterAutospacing="1"/>
      <w:jc w:val="right"/>
    </w:pPr>
    <w:rPr>
      <w:rFonts w:ascii="Times New Roman" w:hAnsi="Times New Roman"/>
      <w:color w:val="FF0000"/>
      <w:sz w:val="24"/>
      <w:szCs w:val="24"/>
    </w:rPr>
  </w:style>
  <w:style w:type="paragraph" w:customStyle="1" w:styleId="xl106">
    <w:name w:val="xl106"/>
    <w:basedOn w:val="Normal"/>
    <w:locked/>
    <w:rsid w:val="00B35237"/>
    <w:pPr>
      <w:spacing w:before="100" w:beforeAutospacing="1" w:after="100" w:afterAutospacing="1"/>
    </w:pPr>
    <w:rPr>
      <w:rFonts w:ascii="Times New Roman" w:hAnsi="Times New Roman"/>
      <w:sz w:val="32"/>
      <w:szCs w:val="32"/>
    </w:rPr>
  </w:style>
  <w:style w:type="paragraph" w:customStyle="1" w:styleId="xl107">
    <w:name w:val="xl107"/>
    <w:basedOn w:val="Normal"/>
    <w:locked/>
    <w:rsid w:val="00B35237"/>
    <w:pPr>
      <w:spacing w:before="100" w:beforeAutospacing="1" w:after="100" w:afterAutospacing="1"/>
    </w:pPr>
    <w:rPr>
      <w:rFonts w:ascii="Times New Roman" w:hAnsi="Times New Roman"/>
      <w:color w:val="00B0F0"/>
      <w:sz w:val="24"/>
      <w:szCs w:val="24"/>
    </w:rPr>
  </w:style>
  <w:style w:type="paragraph" w:customStyle="1" w:styleId="xl108">
    <w:name w:val="xl108"/>
    <w:basedOn w:val="Normal"/>
    <w:locked/>
    <w:rsid w:val="00B35237"/>
    <w:pPr>
      <w:spacing w:before="100" w:beforeAutospacing="1" w:after="100" w:afterAutospacing="1"/>
    </w:pPr>
    <w:rPr>
      <w:rFonts w:ascii="Times New Roman" w:hAnsi="Times New Roman"/>
      <w:b w:val="0"/>
      <w:bCs/>
      <w:color w:val="00B0F0"/>
      <w:sz w:val="24"/>
      <w:szCs w:val="24"/>
    </w:rPr>
  </w:style>
  <w:style w:type="paragraph" w:customStyle="1" w:styleId="xl109">
    <w:name w:val="xl109"/>
    <w:basedOn w:val="Normal"/>
    <w:locked/>
    <w:rsid w:val="00B35237"/>
    <w:pPr>
      <w:spacing w:before="100" w:beforeAutospacing="1" w:after="100" w:afterAutospacing="1"/>
    </w:pPr>
    <w:rPr>
      <w:rFonts w:ascii="Times New Roman" w:hAnsi="Times New Roman"/>
      <w:sz w:val="24"/>
      <w:szCs w:val="24"/>
    </w:rPr>
  </w:style>
  <w:style w:type="paragraph" w:customStyle="1" w:styleId="xl110">
    <w:name w:val="xl110"/>
    <w:basedOn w:val="Normal"/>
    <w:locked/>
    <w:rsid w:val="00B35237"/>
    <w:pPr>
      <w:spacing w:before="100" w:beforeAutospacing="1" w:after="100" w:afterAutospacing="1"/>
    </w:pPr>
    <w:rPr>
      <w:rFonts w:ascii="Times New Roman" w:hAnsi="Times New Roman"/>
      <w:color w:val="FF0000"/>
      <w:sz w:val="24"/>
      <w:szCs w:val="24"/>
    </w:rPr>
  </w:style>
  <w:style w:type="paragraph" w:customStyle="1" w:styleId="xl111">
    <w:name w:val="xl111"/>
    <w:basedOn w:val="Normal"/>
    <w:locked/>
    <w:rsid w:val="00B35237"/>
    <w:pPr>
      <w:spacing w:before="100" w:beforeAutospacing="1" w:after="100" w:afterAutospacing="1"/>
    </w:pPr>
    <w:rPr>
      <w:rFonts w:ascii="Times New Roman" w:hAnsi="Times New Roman"/>
      <w:sz w:val="24"/>
      <w:szCs w:val="24"/>
    </w:rPr>
  </w:style>
  <w:style w:type="paragraph" w:customStyle="1" w:styleId="xl112">
    <w:name w:val="xl112"/>
    <w:basedOn w:val="Normal"/>
    <w:locked/>
    <w:rsid w:val="00B35237"/>
    <w:pPr>
      <w:shd w:val="clear" w:color="000000" w:fill="FFFF00"/>
      <w:spacing w:before="100" w:beforeAutospacing="1" w:after="100" w:afterAutospacing="1"/>
    </w:pPr>
    <w:rPr>
      <w:rFonts w:ascii="Times New Roman" w:hAnsi="Times New Roman"/>
      <w:b w:val="0"/>
      <w:bCs/>
      <w:sz w:val="32"/>
      <w:szCs w:val="32"/>
    </w:rPr>
  </w:style>
  <w:style w:type="paragraph" w:customStyle="1" w:styleId="xl113">
    <w:name w:val="xl113"/>
    <w:basedOn w:val="Normal"/>
    <w:locked/>
    <w:rsid w:val="00B35237"/>
    <w:pPr>
      <w:shd w:val="clear" w:color="000000" w:fill="FFFF00"/>
      <w:spacing w:before="100" w:beforeAutospacing="1" w:after="100" w:afterAutospacing="1"/>
    </w:pPr>
    <w:rPr>
      <w:rFonts w:ascii="Times New Roman" w:hAnsi="Times New Roman"/>
      <w:sz w:val="24"/>
      <w:szCs w:val="24"/>
    </w:rPr>
  </w:style>
  <w:style w:type="paragraph" w:customStyle="1" w:styleId="xl114">
    <w:name w:val="xl114"/>
    <w:basedOn w:val="Normal"/>
    <w:locked/>
    <w:rsid w:val="00B35237"/>
    <w:pPr>
      <w:shd w:val="clear" w:color="000000" w:fill="FFFF00"/>
      <w:spacing w:before="100" w:beforeAutospacing="1" w:after="100" w:afterAutospacing="1"/>
    </w:pPr>
    <w:rPr>
      <w:rFonts w:ascii="Times New Roman" w:hAnsi="Times New Roman"/>
      <w:b w:val="0"/>
      <w:bCs/>
      <w:sz w:val="24"/>
      <w:szCs w:val="24"/>
    </w:rPr>
  </w:style>
  <w:style w:type="paragraph" w:customStyle="1" w:styleId="xl116">
    <w:name w:val="xl116"/>
    <w:basedOn w:val="Normal"/>
    <w:locked/>
    <w:rsid w:val="00B35237"/>
    <w:pPr>
      <w:shd w:val="clear" w:color="000000" w:fill="FFFF00"/>
      <w:spacing w:before="100" w:beforeAutospacing="1" w:after="100" w:afterAutospacing="1"/>
    </w:pPr>
    <w:rPr>
      <w:rFonts w:ascii="Times New Roman" w:hAnsi="Times New Roman"/>
      <w:sz w:val="24"/>
      <w:szCs w:val="24"/>
    </w:rPr>
  </w:style>
  <w:style w:type="paragraph" w:customStyle="1" w:styleId="xl117">
    <w:name w:val="xl117"/>
    <w:basedOn w:val="Normal"/>
    <w:locked/>
    <w:rsid w:val="00B35237"/>
    <w:pPr>
      <w:spacing w:before="100" w:beforeAutospacing="1" w:after="100" w:afterAutospacing="1"/>
      <w:jc w:val="center"/>
    </w:pPr>
    <w:rPr>
      <w:rFonts w:ascii="Times New Roman" w:hAnsi="Times New Roman"/>
      <w:sz w:val="32"/>
      <w:szCs w:val="32"/>
    </w:rPr>
  </w:style>
  <w:style w:type="paragraph" w:customStyle="1" w:styleId="xl118">
    <w:name w:val="xl118"/>
    <w:basedOn w:val="Normal"/>
    <w:locked/>
    <w:rsid w:val="00B35237"/>
    <w:pPr>
      <w:spacing w:before="100" w:beforeAutospacing="1" w:after="100" w:afterAutospacing="1"/>
      <w:jc w:val="center"/>
    </w:pPr>
    <w:rPr>
      <w:rFonts w:ascii="Times New Roman" w:hAnsi="Times New Roman"/>
      <w:sz w:val="24"/>
      <w:szCs w:val="24"/>
    </w:rPr>
  </w:style>
  <w:style w:type="paragraph" w:customStyle="1" w:styleId="xl119">
    <w:name w:val="xl119"/>
    <w:basedOn w:val="Normal"/>
    <w:locked/>
    <w:rsid w:val="00B35237"/>
    <w:pPr>
      <w:spacing w:before="100" w:beforeAutospacing="1" w:after="100" w:afterAutospacing="1"/>
      <w:jc w:val="center"/>
    </w:pPr>
    <w:rPr>
      <w:rFonts w:ascii="Times New Roman" w:hAnsi="Times New Roman"/>
      <w:sz w:val="24"/>
      <w:szCs w:val="24"/>
    </w:rPr>
  </w:style>
  <w:style w:type="paragraph" w:customStyle="1" w:styleId="xl120">
    <w:name w:val="xl120"/>
    <w:basedOn w:val="Normal"/>
    <w:locked/>
    <w:rsid w:val="00B35237"/>
    <w:pPr>
      <w:spacing w:before="100" w:beforeAutospacing="1" w:after="100" w:afterAutospacing="1"/>
      <w:jc w:val="center"/>
    </w:pPr>
    <w:rPr>
      <w:rFonts w:ascii="Times New Roman" w:hAnsi="Times New Roman"/>
      <w:color w:val="FF0000"/>
      <w:sz w:val="24"/>
      <w:szCs w:val="24"/>
    </w:rPr>
  </w:style>
  <w:style w:type="paragraph" w:customStyle="1" w:styleId="xl124">
    <w:name w:val="xl124"/>
    <w:basedOn w:val="Normal"/>
    <w:locked/>
    <w:rsid w:val="00B35237"/>
    <w:pPr>
      <w:spacing w:before="100" w:beforeAutospacing="1" w:after="100" w:afterAutospacing="1"/>
      <w:jc w:val="center"/>
    </w:pPr>
    <w:rPr>
      <w:rFonts w:ascii="Times New Roman" w:hAnsi="Times New Roman"/>
      <w:sz w:val="32"/>
      <w:szCs w:val="32"/>
    </w:rPr>
  </w:style>
  <w:style w:type="paragraph" w:customStyle="1" w:styleId="xl125">
    <w:name w:val="xl125"/>
    <w:basedOn w:val="Normal"/>
    <w:locked/>
    <w:rsid w:val="00B35237"/>
    <w:pPr>
      <w:spacing w:before="100" w:beforeAutospacing="1" w:after="100" w:afterAutospacing="1"/>
      <w:jc w:val="center"/>
    </w:pPr>
    <w:rPr>
      <w:rFonts w:ascii="Times New Roman" w:hAnsi="Times New Roman"/>
      <w:sz w:val="24"/>
      <w:szCs w:val="24"/>
    </w:rPr>
  </w:style>
  <w:style w:type="paragraph" w:customStyle="1" w:styleId="xl126">
    <w:name w:val="xl126"/>
    <w:basedOn w:val="Normal"/>
    <w:locked/>
    <w:rsid w:val="00B35237"/>
    <w:pPr>
      <w:spacing w:before="100" w:beforeAutospacing="1" w:after="100" w:afterAutospacing="1"/>
      <w:jc w:val="center"/>
    </w:pPr>
    <w:rPr>
      <w:rFonts w:ascii="Times New Roman" w:hAnsi="Times New Roman"/>
      <w:sz w:val="24"/>
      <w:szCs w:val="24"/>
    </w:rPr>
  </w:style>
  <w:style w:type="paragraph" w:customStyle="1" w:styleId="xl127">
    <w:name w:val="xl127"/>
    <w:basedOn w:val="Normal"/>
    <w:locked/>
    <w:rsid w:val="00B35237"/>
    <w:pPr>
      <w:spacing w:before="100" w:beforeAutospacing="1" w:after="100" w:afterAutospacing="1"/>
      <w:jc w:val="center"/>
    </w:pPr>
    <w:rPr>
      <w:rFonts w:ascii="Times New Roman" w:hAnsi="Times New Roman"/>
      <w:color w:val="FF0000"/>
      <w:sz w:val="24"/>
      <w:szCs w:val="24"/>
    </w:rPr>
  </w:style>
  <w:style w:type="paragraph" w:customStyle="1" w:styleId="xl128">
    <w:name w:val="xl128"/>
    <w:basedOn w:val="Normal"/>
    <w:locked/>
    <w:rsid w:val="00B35237"/>
    <w:pPr>
      <w:spacing w:before="100" w:beforeAutospacing="1" w:after="100" w:afterAutospacing="1"/>
      <w:jc w:val="center"/>
    </w:pPr>
    <w:rPr>
      <w:rFonts w:ascii="Times New Roman" w:hAnsi="Times New Roman"/>
      <w:sz w:val="24"/>
      <w:szCs w:val="24"/>
    </w:rPr>
  </w:style>
  <w:style w:type="paragraph" w:customStyle="1" w:styleId="xl129">
    <w:name w:val="xl129"/>
    <w:basedOn w:val="Normal"/>
    <w:locked/>
    <w:rsid w:val="00B35237"/>
    <w:pPr>
      <w:shd w:val="clear" w:color="000000" w:fill="EBF1DE"/>
      <w:spacing w:before="100" w:beforeAutospacing="1" w:after="100" w:afterAutospacing="1"/>
      <w:jc w:val="center"/>
      <w:textAlignment w:val="top"/>
    </w:pPr>
    <w:rPr>
      <w:rFonts w:ascii="Times New Roman" w:hAnsi="Times New Roman"/>
      <w:b w:val="0"/>
      <w:bCs/>
      <w:sz w:val="32"/>
      <w:szCs w:val="32"/>
    </w:rPr>
  </w:style>
  <w:style w:type="paragraph" w:customStyle="1" w:styleId="xl130">
    <w:name w:val="xl130"/>
    <w:basedOn w:val="Normal"/>
    <w:locked/>
    <w:rsid w:val="00B35237"/>
    <w:pPr>
      <w:shd w:val="clear" w:color="000000" w:fill="EBF1DE"/>
      <w:spacing w:before="100" w:beforeAutospacing="1" w:after="100" w:afterAutospacing="1"/>
      <w:jc w:val="center"/>
      <w:textAlignment w:val="top"/>
    </w:pPr>
    <w:rPr>
      <w:rFonts w:ascii="Times New Roman" w:hAnsi="Times New Roman"/>
      <w:b w:val="0"/>
      <w:bCs/>
      <w:sz w:val="32"/>
      <w:szCs w:val="32"/>
    </w:rPr>
  </w:style>
  <w:style w:type="paragraph" w:customStyle="1" w:styleId="xl131">
    <w:name w:val="xl131"/>
    <w:basedOn w:val="Normal"/>
    <w:locked/>
    <w:rsid w:val="00B35237"/>
    <w:pPr>
      <w:shd w:val="clear" w:color="000000" w:fill="EBF1DE"/>
      <w:spacing w:before="100" w:beforeAutospacing="1" w:after="100" w:afterAutospacing="1"/>
      <w:jc w:val="center"/>
      <w:textAlignment w:val="top"/>
    </w:pPr>
    <w:rPr>
      <w:rFonts w:ascii="Times New Roman" w:hAnsi="Times New Roman"/>
      <w:b w:val="0"/>
      <w:bCs/>
      <w:sz w:val="32"/>
      <w:szCs w:val="32"/>
    </w:rPr>
  </w:style>
  <w:style w:type="paragraph" w:customStyle="1" w:styleId="xl132">
    <w:name w:val="xl132"/>
    <w:basedOn w:val="Normal"/>
    <w:locked/>
    <w:rsid w:val="00B35237"/>
    <w:pPr>
      <w:shd w:val="clear" w:color="000000" w:fill="EBF1DE"/>
      <w:spacing w:before="100" w:beforeAutospacing="1" w:after="100" w:afterAutospacing="1"/>
      <w:jc w:val="center"/>
      <w:textAlignment w:val="top"/>
    </w:pPr>
    <w:rPr>
      <w:rFonts w:ascii="Times New Roman" w:hAnsi="Times New Roman"/>
      <w:b w:val="0"/>
      <w:bCs/>
      <w:sz w:val="32"/>
      <w:szCs w:val="32"/>
    </w:rPr>
  </w:style>
  <w:style w:type="paragraph" w:customStyle="1" w:styleId="xl133">
    <w:name w:val="xl133"/>
    <w:basedOn w:val="Normal"/>
    <w:locked/>
    <w:rsid w:val="00B35237"/>
    <w:pPr>
      <w:shd w:val="clear" w:color="000000" w:fill="EBF1DE"/>
      <w:spacing w:before="100" w:beforeAutospacing="1" w:after="100" w:afterAutospacing="1"/>
      <w:jc w:val="center"/>
      <w:textAlignment w:val="top"/>
    </w:pPr>
    <w:rPr>
      <w:rFonts w:ascii="Times New Roman" w:hAnsi="Times New Roman"/>
      <w:b w:val="0"/>
      <w:bCs/>
      <w:sz w:val="32"/>
      <w:szCs w:val="32"/>
    </w:rPr>
  </w:style>
  <w:style w:type="paragraph" w:customStyle="1" w:styleId="xl134">
    <w:name w:val="xl134"/>
    <w:basedOn w:val="Normal"/>
    <w:locked/>
    <w:rsid w:val="00B35237"/>
    <w:pPr>
      <w:shd w:val="clear" w:color="000000" w:fill="EBF1DE"/>
      <w:spacing w:before="100" w:beforeAutospacing="1" w:after="100" w:afterAutospacing="1"/>
      <w:jc w:val="center"/>
      <w:textAlignment w:val="top"/>
    </w:pPr>
    <w:rPr>
      <w:rFonts w:ascii="Times New Roman" w:hAnsi="Times New Roman"/>
      <w:b w:val="0"/>
      <w:bCs/>
      <w:sz w:val="32"/>
      <w:szCs w:val="32"/>
    </w:rPr>
  </w:style>
  <w:style w:type="paragraph" w:customStyle="1" w:styleId="xl135">
    <w:name w:val="xl135"/>
    <w:basedOn w:val="Normal"/>
    <w:locked/>
    <w:rsid w:val="00B35237"/>
    <w:pPr>
      <w:shd w:val="clear" w:color="000000" w:fill="FFFF00"/>
      <w:spacing w:before="100" w:beforeAutospacing="1" w:after="100" w:afterAutospacing="1"/>
      <w:jc w:val="center"/>
      <w:textAlignment w:val="top"/>
    </w:pPr>
    <w:rPr>
      <w:rFonts w:ascii="Times New Roman" w:hAnsi="Times New Roman"/>
      <w:b w:val="0"/>
      <w:bCs/>
      <w:sz w:val="32"/>
      <w:szCs w:val="32"/>
    </w:rPr>
  </w:style>
  <w:style w:type="paragraph" w:customStyle="1" w:styleId="xl136">
    <w:name w:val="xl136"/>
    <w:basedOn w:val="Normal"/>
    <w:locked/>
    <w:rsid w:val="00B35237"/>
    <w:pPr>
      <w:shd w:val="clear" w:color="000000" w:fill="EBF1DE"/>
      <w:spacing w:before="100" w:beforeAutospacing="1" w:after="100" w:afterAutospacing="1"/>
      <w:jc w:val="center"/>
      <w:textAlignment w:val="top"/>
    </w:pPr>
    <w:rPr>
      <w:rFonts w:ascii="Times New Roman" w:hAnsi="Times New Roman"/>
      <w:sz w:val="32"/>
      <w:szCs w:val="32"/>
    </w:rPr>
  </w:style>
  <w:style w:type="paragraph" w:customStyle="1" w:styleId="xl137">
    <w:name w:val="xl137"/>
    <w:basedOn w:val="Normal"/>
    <w:locked/>
    <w:rsid w:val="00B35237"/>
    <w:pPr>
      <w:spacing w:before="100" w:beforeAutospacing="1" w:after="100" w:afterAutospacing="1"/>
    </w:pPr>
    <w:rPr>
      <w:rFonts w:ascii="Times New Roman" w:hAnsi="Times New Roman"/>
      <w:sz w:val="24"/>
      <w:szCs w:val="24"/>
    </w:rPr>
  </w:style>
  <w:style w:type="paragraph" w:customStyle="1" w:styleId="xl138">
    <w:name w:val="xl138"/>
    <w:basedOn w:val="Normal"/>
    <w:locked/>
    <w:rsid w:val="00B35237"/>
    <w:pPr>
      <w:spacing w:before="100" w:beforeAutospacing="1" w:after="100" w:afterAutospacing="1"/>
      <w:jc w:val="center"/>
    </w:pPr>
    <w:rPr>
      <w:rFonts w:ascii="Times New Roman" w:hAnsi="Times New Roman"/>
      <w:sz w:val="24"/>
      <w:szCs w:val="24"/>
    </w:rPr>
  </w:style>
  <w:style w:type="paragraph" w:customStyle="1" w:styleId="xl140">
    <w:name w:val="xl140"/>
    <w:basedOn w:val="Normal"/>
    <w:locked/>
    <w:rsid w:val="00B35237"/>
    <w:pPr>
      <w:spacing w:before="100" w:beforeAutospacing="1" w:after="100" w:afterAutospacing="1"/>
    </w:pPr>
    <w:rPr>
      <w:rFonts w:ascii="Times New Roman" w:hAnsi="Times New Roman"/>
      <w:sz w:val="24"/>
      <w:szCs w:val="24"/>
    </w:rPr>
  </w:style>
  <w:style w:type="paragraph" w:customStyle="1" w:styleId="xl141">
    <w:name w:val="xl141"/>
    <w:basedOn w:val="Normal"/>
    <w:locked/>
    <w:rsid w:val="00B35237"/>
    <w:pPr>
      <w:shd w:val="clear" w:color="000000" w:fill="FFFF00"/>
      <w:spacing w:before="100" w:beforeAutospacing="1" w:after="100" w:afterAutospacing="1"/>
    </w:pPr>
    <w:rPr>
      <w:rFonts w:ascii="Times New Roman" w:hAnsi="Times New Roman"/>
      <w:sz w:val="24"/>
      <w:szCs w:val="24"/>
    </w:rPr>
  </w:style>
  <w:style w:type="paragraph" w:customStyle="1" w:styleId="xl142">
    <w:name w:val="xl142"/>
    <w:basedOn w:val="Normal"/>
    <w:locked/>
    <w:rsid w:val="00B35237"/>
    <w:pPr>
      <w:spacing w:before="100" w:beforeAutospacing="1" w:after="100" w:afterAutospacing="1"/>
    </w:pPr>
    <w:rPr>
      <w:rFonts w:ascii="Times New Roman" w:hAnsi="Times New Roman"/>
      <w:sz w:val="24"/>
      <w:szCs w:val="24"/>
    </w:rPr>
  </w:style>
  <w:style w:type="paragraph" w:customStyle="1" w:styleId="xl143">
    <w:name w:val="xl143"/>
    <w:basedOn w:val="Normal"/>
    <w:locked/>
    <w:rsid w:val="00B35237"/>
    <w:pPr>
      <w:spacing w:before="100" w:beforeAutospacing="1" w:after="100" w:afterAutospacing="1"/>
    </w:pPr>
    <w:rPr>
      <w:rFonts w:ascii="Times New Roman" w:hAnsi="Times New Roman"/>
      <w:color w:val="00B0F0"/>
      <w:sz w:val="24"/>
      <w:szCs w:val="24"/>
    </w:rPr>
  </w:style>
  <w:style w:type="paragraph" w:customStyle="1" w:styleId="xl144">
    <w:name w:val="xl144"/>
    <w:basedOn w:val="Normal"/>
    <w:locked/>
    <w:rsid w:val="00B35237"/>
    <w:pPr>
      <w:spacing w:before="100" w:beforeAutospacing="1" w:after="100" w:afterAutospacing="1"/>
    </w:pPr>
    <w:rPr>
      <w:rFonts w:ascii="Times New Roman" w:hAnsi="Times New Roman"/>
      <w:color w:val="00B0F0"/>
      <w:sz w:val="24"/>
      <w:szCs w:val="24"/>
    </w:rPr>
  </w:style>
  <w:style w:type="paragraph" w:customStyle="1" w:styleId="xl145">
    <w:name w:val="xl145"/>
    <w:basedOn w:val="Normal"/>
    <w:locked/>
    <w:rsid w:val="00B35237"/>
    <w:pPr>
      <w:spacing w:before="100" w:beforeAutospacing="1" w:after="100" w:afterAutospacing="1"/>
    </w:pPr>
    <w:rPr>
      <w:rFonts w:ascii="Times New Roman" w:hAnsi="Times New Roman"/>
      <w:color w:val="00B0F0"/>
      <w:sz w:val="24"/>
      <w:szCs w:val="24"/>
    </w:rPr>
  </w:style>
  <w:style w:type="paragraph" w:customStyle="1" w:styleId="xl146">
    <w:name w:val="xl146"/>
    <w:basedOn w:val="Normal"/>
    <w:locked/>
    <w:rsid w:val="00B35237"/>
    <w:pPr>
      <w:spacing w:before="100" w:beforeAutospacing="1" w:after="100" w:afterAutospacing="1"/>
      <w:jc w:val="center"/>
    </w:pPr>
    <w:rPr>
      <w:rFonts w:ascii="Times New Roman" w:hAnsi="Times New Roman"/>
      <w:color w:val="00B0F0"/>
      <w:sz w:val="24"/>
      <w:szCs w:val="24"/>
    </w:rPr>
  </w:style>
  <w:style w:type="paragraph" w:customStyle="1" w:styleId="xl147">
    <w:name w:val="xl147"/>
    <w:basedOn w:val="Normal"/>
    <w:locked/>
    <w:rsid w:val="00B35237"/>
    <w:pPr>
      <w:spacing w:before="100" w:beforeAutospacing="1" w:after="100" w:afterAutospacing="1"/>
    </w:pPr>
    <w:rPr>
      <w:rFonts w:ascii="Times New Roman" w:hAnsi="Times New Roman"/>
      <w:color w:val="00B0F0"/>
      <w:sz w:val="24"/>
      <w:szCs w:val="24"/>
    </w:rPr>
  </w:style>
  <w:style w:type="paragraph" w:customStyle="1" w:styleId="xl148">
    <w:name w:val="xl148"/>
    <w:basedOn w:val="Normal"/>
    <w:locked/>
    <w:rsid w:val="00B35237"/>
    <w:pPr>
      <w:spacing w:before="100" w:beforeAutospacing="1" w:after="100" w:afterAutospacing="1"/>
      <w:jc w:val="center"/>
    </w:pPr>
    <w:rPr>
      <w:rFonts w:ascii="Times New Roman" w:hAnsi="Times New Roman"/>
      <w:color w:val="00B0F0"/>
      <w:sz w:val="24"/>
      <w:szCs w:val="24"/>
    </w:rPr>
  </w:style>
  <w:style w:type="paragraph" w:customStyle="1" w:styleId="xl149">
    <w:name w:val="xl149"/>
    <w:basedOn w:val="Normal"/>
    <w:locked/>
    <w:rsid w:val="00B35237"/>
    <w:pPr>
      <w:spacing w:before="100" w:beforeAutospacing="1" w:after="100" w:afterAutospacing="1"/>
      <w:jc w:val="center"/>
    </w:pPr>
    <w:rPr>
      <w:rFonts w:ascii="Times New Roman" w:hAnsi="Times New Roman"/>
      <w:color w:val="00B0F0"/>
      <w:sz w:val="24"/>
      <w:szCs w:val="24"/>
    </w:rPr>
  </w:style>
  <w:style w:type="paragraph" w:customStyle="1" w:styleId="xl150">
    <w:name w:val="xl150"/>
    <w:basedOn w:val="Normal"/>
    <w:locked/>
    <w:rsid w:val="00B35237"/>
    <w:pPr>
      <w:spacing w:before="100" w:beforeAutospacing="1" w:after="100" w:afterAutospacing="1"/>
      <w:jc w:val="center"/>
    </w:pPr>
    <w:rPr>
      <w:rFonts w:ascii="Times New Roman" w:hAnsi="Times New Roman"/>
      <w:color w:val="00B0F0"/>
      <w:sz w:val="24"/>
      <w:szCs w:val="24"/>
    </w:rPr>
  </w:style>
  <w:style w:type="paragraph" w:customStyle="1" w:styleId="xl151">
    <w:name w:val="xl151"/>
    <w:basedOn w:val="Normal"/>
    <w:locked/>
    <w:rsid w:val="00B35237"/>
    <w:pPr>
      <w:shd w:val="clear" w:color="000000" w:fill="FFFF00"/>
      <w:spacing w:before="100" w:beforeAutospacing="1" w:after="100" w:afterAutospacing="1"/>
    </w:pPr>
    <w:rPr>
      <w:rFonts w:ascii="Times New Roman" w:hAnsi="Times New Roman"/>
      <w:color w:val="00B0F0"/>
      <w:sz w:val="24"/>
      <w:szCs w:val="24"/>
    </w:rPr>
  </w:style>
  <w:style w:type="paragraph" w:customStyle="1" w:styleId="xl152">
    <w:name w:val="xl152"/>
    <w:basedOn w:val="Normal"/>
    <w:locked/>
    <w:rsid w:val="00B35237"/>
    <w:pPr>
      <w:spacing w:before="100" w:beforeAutospacing="1" w:after="100" w:afterAutospacing="1"/>
    </w:pPr>
    <w:rPr>
      <w:rFonts w:ascii="Times New Roman" w:hAnsi="Times New Roman"/>
      <w:sz w:val="24"/>
      <w:szCs w:val="24"/>
    </w:rPr>
  </w:style>
  <w:style w:type="paragraph" w:customStyle="1" w:styleId="xl153">
    <w:name w:val="xl153"/>
    <w:basedOn w:val="Normal"/>
    <w:locked/>
    <w:rsid w:val="00B35237"/>
    <w:pPr>
      <w:spacing w:before="100" w:beforeAutospacing="1" w:after="100" w:afterAutospacing="1"/>
      <w:jc w:val="center"/>
    </w:pPr>
    <w:rPr>
      <w:rFonts w:ascii="Times New Roman" w:hAnsi="Times New Roman"/>
      <w:sz w:val="24"/>
      <w:szCs w:val="24"/>
    </w:rPr>
  </w:style>
  <w:style w:type="paragraph" w:customStyle="1" w:styleId="xl154">
    <w:name w:val="xl154"/>
    <w:basedOn w:val="Normal"/>
    <w:locked/>
    <w:rsid w:val="00B35237"/>
    <w:pPr>
      <w:spacing w:before="100" w:beforeAutospacing="1" w:after="100" w:afterAutospacing="1"/>
      <w:jc w:val="center"/>
    </w:pPr>
    <w:rPr>
      <w:rFonts w:ascii="Times New Roman" w:hAnsi="Times New Roman"/>
      <w:sz w:val="24"/>
      <w:szCs w:val="24"/>
    </w:rPr>
  </w:style>
  <w:style w:type="paragraph" w:customStyle="1" w:styleId="xl155">
    <w:name w:val="xl155"/>
    <w:basedOn w:val="Normal"/>
    <w:locked/>
    <w:rsid w:val="00B35237"/>
    <w:pPr>
      <w:shd w:val="clear" w:color="000000" w:fill="FFFF00"/>
      <w:spacing w:before="100" w:beforeAutospacing="1" w:after="100" w:afterAutospacing="1"/>
    </w:pPr>
    <w:rPr>
      <w:rFonts w:ascii="Times New Roman" w:hAnsi="Times New Roman"/>
      <w:sz w:val="24"/>
      <w:szCs w:val="24"/>
    </w:rPr>
  </w:style>
  <w:style w:type="paragraph" w:customStyle="1" w:styleId="xl156">
    <w:name w:val="xl156"/>
    <w:basedOn w:val="Normal"/>
    <w:locked/>
    <w:rsid w:val="00B35237"/>
    <w:pPr>
      <w:shd w:val="clear" w:color="000000" w:fill="FFFF00"/>
      <w:spacing w:before="100" w:beforeAutospacing="1" w:after="100" w:afterAutospacing="1"/>
    </w:pPr>
    <w:rPr>
      <w:rFonts w:ascii="Times New Roman" w:hAnsi="Times New Roman"/>
      <w:color w:val="FF0000"/>
      <w:sz w:val="24"/>
      <w:szCs w:val="24"/>
    </w:rPr>
  </w:style>
  <w:style w:type="paragraph" w:customStyle="1" w:styleId="xl157">
    <w:name w:val="xl157"/>
    <w:basedOn w:val="Normal"/>
    <w:locked/>
    <w:rsid w:val="00B35237"/>
    <w:pPr>
      <w:spacing w:before="100" w:beforeAutospacing="1" w:after="100" w:afterAutospacing="1"/>
      <w:jc w:val="center"/>
    </w:pPr>
    <w:rPr>
      <w:rFonts w:ascii="Times New Roman" w:hAnsi="Times New Roman"/>
      <w:sz w:val="24"/>
      <w:szCs w:val="24"/>
    </w:rPr>
  </w:style>
  <w:style w:type="paragraph" w:customStyle="1" w:styleId="xl158">
    <w:name w:val="xl158"/>
    <w:basedOn w:val="Normal"/>
    <w:locked/>
    <w:rsid w:val="00B35237"/>
    <w:pPr>
      <w:spacing w:before="100" w:beforeAutospacing="1" w:after="100" w:afterAutospacing="1"/>
      <w:jc w:val="center"/>
    </w:pPr>
    <w:rPr>
      <w:rFonts w:ascii="Times New Roman" w:hAnsi="Times New Roman"/>
      <w:sz w:val="24"/>
      <w:szCs w:val="24"/>
    </w:rPr>
  </w:style>
  <w:style w:type="paragraph" w:customStyle="1" w:styleId="xl159">
    <w:name w:val="xl159"/>
    <w:basedOn w:val="Normal"/>
    <w:locked/>
    <w:rsid w:val="00B35237"/>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24"/>
      <w:szCs w:val="24"/>
    </w:rPr>
  </w:style>
  <w:style w:type="paragraph" w:customStyle="1" w:styleId="xl160">
    <w:name w:val="xl160"/>
    <w:basedOn w:val="Normal"/>
    <w:locked/>
    <w:rsid w:val="00B35237"/>
    <w:pPr>
      <w:spacing w:before="100" w:beforeAutospacing="1" w:after="100" w:afterAutospacing="1"/>
      <w:jc w:val="center"/>
    </w:pPr>
    <w:rPr>
      <w:rFonts w:ascii="Times New Roman" w:hAnsi="Times New Roman"/>
      <w:sz w:val="24"/>
      <w:szCs w:val="24"/>
    </w:rPr>
  </w:style>
  <w:style w:type="paragraph" w:customStyle="1" w:styleId="xl161">
    <w:name w:val="xl161"/>
    <w:basedOn w:val="Normal"/>
    <w:locked/>
    <w:rsid w:val="00B35237"/>
    <w:pPr>
      <w:spacing w:before="100" w:beforeAutospacing="1" w:after="100" w:afterAutospacing="1"/>
    </w:pPr>
    <w:rPr>
      <w:rFonts w:ascii="Times New Roman" w:hAnsi="Times New Roman"/>
      <w:sz w:val="32"/>
      <w:szCs w:val="32"/>
    </w:rPr>
  </w:style>
  <w:style w:type="paragraph" w:customStyle="1" w:styleId="xl162">
    <w:name w:val="xl162"/>
    <w:basedOn w:val="Normal"/>
    <w:locked/>
    <w:rsid w:val="00B35237"/>
    <w:pPr>
      <w:shd w:val="clear" w:color="000000" w:fill="EBF1DE"/>
      <w:spacing w:before="100" w:beforeAutospacing="1" w:after="100" w:afterAutospacing="1"/>
      <w:textAlignment w:val="top"/>
    </w:pPr>
    <w:rPr>
      <w:rFonts w:ascii="Times New Roman" w:hAnsi="Times New Roman"/>
      <w:b w:val="0"/>
      <w:bCs/>
      <w:sz w:val="32"/>
      <w:szCs w:val="32"/>
    </w:rPr>
  </w:style>
  <w:style w:type="paragraph" w:customStyle="1" w:styleId="xl163">
    <w:name w:val="xl163"/>
    <w:basedOn w:val="Normal"/>
    <w:locked/>
    <w:rsid w:val="00B35237"/>
    <w:pPr>
      <w:spacing w:before="100" w:beforeAutospacing="1" w:after="100" w:afterAutospacing="1"/>
    </w:pPr>
    <w:rPr>
      <w:rFonts w:ascii="Times New Roman" w:hAnsi="Times New Roman"/>
      <w:sz w:val="24"/>
      <w:szCs w:val="24"/>
    </w:rPr>
  </w:style>
  <w:style w:type="paragraph" w:customStyle="1" w:styleId="xl164">
    <w:name w:val="xl164"/>
    <w:basedOn w:val="Normal"/>
    <w:locked/>
    <w:rsid w:val="00B35237"/>
    <w:pPr>
      <w:spacing w:before="100" w:beforeAutospacing="1" w:after="100" w:afterAutospacing="1"/>
      <w:jc w:val="center"/>
    </w:pPr>
    <w:rPr>
      <w:rFonts w:ascii="Times New Roman" w:hAnsi="Times New Roman"/>
      <w:b w:val="0"/>
      <w:bCs/>
      <w:sz w:val="24"/>
      <w:szCs w:val="24"/>
    </w:rPr>
  </w:style>
  <w:style w:type="paragraph" w:customStyle="1" w:styleId="xl165">
    <w:name w:val="xl165"/>
    <w:basedOn w:val="Normal"/>
    <w:locked/>
    <w:rsid w:val="00B35237"/>
    <w:pPr>
      <w:spacing w:before="100" w:beforeAutospacing="1" w:after="100" w:afterAutospacing="1"/>
    </w:pPr>
    <w:rPr>
      <w:rFonts w:ascii="Times New Roman" w:hAnsi="Times New Roman"/>
      <w:b w:val="0"/>
      <w:bCs/>
      <w:color w:val="963634"/>
      <w:sz w:val="24"/>
      <w:szCs w:val="24"/>
    </w:rPr>
  </w:style>
  <w:style w:type="paragraph" w:customStyle="1" w:styleId="xl166">
    <w:name w:val="xl166"/>
    <w:basedOn w:val="Normal"/>
    <w:locked/>
    <w:rsid w:val="00B35237"/>
    <w:pPr>
      <w:spacing w:before="100" w:beforeAutospacing="1" w:after="100" w:afterAutospacing="1"/>
    </w:pPr>
    <w:rPr>
      <w:rFonts w:ascii="Times New Roman" w:hAnsi="Times New Roman"/>
      <w:color w:val="963634"/>
      <w:sz w:val="24"/>
      <w:szCs w:val="24"/>
    </w:rPr>
  </w:style>
  <w:style w:type="paragraph" w:customStyle="1" w:styleId="xl167">
    <w:name w:val="xl167"/>
    <w:basedOn w:val="Normal"/>
    <w:locked/>
    <w:rsid w:val="00B35237"/>
    <w:pPr>
      <w:spacing w:before="100" w:beforeAutospacing="1" w:after="100" w:afterAutospacing="1"/>
    </w:pPr>
    <w:rPr>
      <w:rFonts w:ascii="Times New Roman" w:hAnsi="Times New Roman"/>
      <w:color w:val="963634"/>
      <w:sz w:val="24"/>
      <w:szCs w:val="24"/>
    </w:rPr>
  </w:style>
  <w:style w:type="paragraph" w:customStyle="1" w:styleId="xl168">
    <w:name w:val="xl168"/>
    <w:basedOn w:val="Normal"/>
    <w:locked/>
    <w:rsid w:val="00B35237"/>
    <w:pPr>
      <w:spacing w:before="100" w:beforeAutospacing="1" w:after="100" w:afterAutospacing="1"/>
      <w:jc w:val="center"/>
    </w:pPr>
    <w:rPr>
      <w:rFonts w:ascii="Times New Roman" w:hAnsi="Times New Roman"/>
      <w:color w:val="963634"/>
      <w:sz w:val="24"/>
      <w:szCs w:val="24"/>
    </w:rPr>
  </w:style>
  <w:style w:type="paragraph" w:customStyle="1" w:styleId="xl169">
    <w:name w:val="xl169"/>
    <w:basedOn w:val="Normal"/>
    <w:locked/>
    <w:rsid w:val="00B35237"/>
    <w:pPr>
      <w:spacing w:before="100" w:beforeAutospacing="1" w:after="100" w:afterAutospacing="1"/>
    </w:pPr>
    <w:rPr>
      <w:rFonts w:ascii="Times New Roman" w:hAnsi="Times New Roman"/>
      <w:color w:val="963634"/>
      <w:sz w:val="24"/>
      <w:szCs w:val="24"/>
    </w:rPr>
  </w:style>
  <w:style w:type="paragraph" w:customStyle="1" w:styleId="xl170">
    <w:name w:val="xl170"/>
    <w:basedOn w:val="Normal"/>
    <w:locked/>
    <w:rsid w:val="00B35237"/>
    <w:pPr>
      <w:spacing w:before="100" w:beforeAutospacing="1" w:after="100" w:afterAutospacing="1"/>
      <w:jc w:val="center"/>
    </w:pPr>
    <w:rPr>
      <w:rFonts w:ascii="Times New Roman" w:hAnsi="Times New Roman"/>
      <w:color w:val="963634"/>
      <w:sz w:val="24"/>
      <w:szCs w:val="24"/>
    </w:rPr>
  </w:style>
  <w:style w:type="paragraph" w:customStyle="1" w:styleId="xl171">
    <w:name w:val="xl171"/>
    <w:basedOn w:val="Normal"/>
    <w:locked/>
    <w:rsid w:val="00B35237"/>
    <w:pPr>
      <w:spacing w:before="100" w:beforeAutospacing="1" w:after="100" w:afterAutospacing="1"/>
      <w:jc w:val="center"/>
    </w:pPr>
    <w:rPr>
      <w:rFonts w:ascii="Times New Roman" w:hAnsi="Times New Roman"/>
      <w:color w:val="963634"/>
      <w:sz w:val="24"/>
      <w:szCs w:val="24"/>
    </w:rPr>
  </w:style>
  <w:style w:type="paragraph" w:customStyle="1" w:styleId="xl172">
    <w:name w:val="xl172"/>
    <w:basedOn w:val="Normal"/>
    <w:locked/>
    <w:rsid w:val="00B35237"/>
    <w:pPr>
      <w:spacing w:before="100" w:beforeAutospacing="1" w:after="100" w:afterAutospacing="1"/>
      <w:jc w:val="center"/>
    </w:pPr>
    <w:rPr>
      <w:rFonts w:ascii="Times New Roman" w:hAnsi="Times New Roman"/>
      <w:color w:val="963634"/>
      <w:sz w:val="24"/>
      <w:szCs w:val="24"/>
    </w:rPr>
  </w:style>
  <w:style w:type="paragraph" w:customStyle="1" w:styleId="xl173">
    <w:name w:val="xl173"/>
    <w:basedOn w:val="Normal"/>
    <w:locked/>
    <w:rsid w:val="00B35237"/>
    <w:pPr>
      <w:spacing w:before="100" w:beforeAutospacing="1" w:after="100" w:afterAutospacing="1"/>
      <w:jc w:val="center"/>
    </w:pPr>
    <w:rPr>
      <w:rFonts w:ascii="Times New Roman" w:hAnsi="Times New Roman"/>
      <w:color w:val="963634"/>
      <w:sz w:val="24"/>
      <w:szCs w:val="24"/>
    </w:rPr>
  </w:style>
  <w:style w:type="paragraph" w:customStyle="1" w:styleId="xl174">
    <w:name w:val="xl174"/>
    <w:basedOn w:val="Normal"/>
    <w:locked/>
    <w:rsid w:val="00B35237"/>
    <w:pPr>
      <w:spacing w:before="100" w:beforeAutospacing="1" w:after="100" w:afterAutospacing="1"/>
    </w:pPr>
    <w:rPr>
      <w:rFonts w:ascii="Times New Roman" w:hAnsi="Times New Roman"/>
      <w:color w:val="963634"/>
      <w:sz w:val="24"/>
      <w:szCs w:val="24"/>
    </w:rPr>
  </w:style>
  <w:style w:type="paragraph" w:customStyle="1" w:styleId="xl175">
    <w:name w:val="xl175"/>
    <w:basedOn w:val="Normal"/>
    <w:locked/>
    <w:rsid w:val="00B35237"/>
    <w:pPr>
      <w:shd w:val="clear" w:color="000000" w:fill="FFFF00"/>
      <w:spacing w:before="100" w:beforeAutospacing="1" w:after="100" w:afterAutospacing="1"/>
    </w:pPr>
    <w:rPr>
      <w:rFonts w:ascii="Times New Roman" w:hAnsi="Times New Roman"/>
      <w:color w:val="963634"/>
      <w:sz w:val="24"/>
      <w:szCs w:val="24"/>
    </w:rPr>
  </w:style>
  <w:style w:type="paragraph" w:customStyle="1" w:styleId="xl176">
    <w:name w:val="xl176"/>
    <w:basedOn w:val="Normal"/>
    <w:locked/>
    <w:rsid w:val="00B35237"/>
    <w:pPr>
      <w:spacing w:before="100" w:beforeAutospacing="1" w:after="100" w:afterAutospacing="1"/>
    </w:pPr>
    <w:rPr>
      <w:rFonts w:ascii="Times New Roman" w:hAnsi="Times New Roman"/>
      <w:color w:val="1F497D"/>
      <w:sz w:val="24"/>
      <w:szCs w:val="24"/>
    </w:rPr>
  </w:style>
  <w:style w:type="paragraph" w:customStyle="1" w:styleId="xl177">
    <w:name w:val="xl177"/>
    <w:basedOn w:val="Normal"/>
    <w:locked/>
    <w:rsid w:val="00B35237"/>
    <w:pPr>
      <w:spacing w:before="100" w:beforeAutospacing="1" w:after="100" w:afterAutospacing="1"/>
    </w:pPr>
    <w:rPr>
      <w:rFonts w:ascii="Times New Roman" w:hAnsi="Times New Roman"/>
      <w:sz w:val="24"/>
      <w:szCs w:val="24"/>
    </w:rPr>
  </w:style>
  <w:style w:type="paragraph" w:customStyle="1" w:styleId="xl178">
    <w:name w:val="xl178"/>
    <w:basedOn w:val="Normal"/>
    <w:locked/>
    <w:rsid w:val="00B35237"/>
    <w:pPr>
      <w:spacing w:before="100" w:beforeAutospacing="1" w:after="100" w:afterAutospacing="1"/>
    </w:pPr>
    <w:rPr>
      <w:rFonts w:ascii="Times New Roman" w:hAnsi="Times New Roman"/>
      <w:sz w:val="16"/>
      <w:szCs w:val="16"/>
    </w:rPr>
  </w:style>
  <w:style w:type="paragraph" w:customStyle="1" w:styleId="xl179">
    <w:name w:val="xl179"/>
    <w:basedOn w:val="Normal"/>
    <w:locked/>
    <w:rsid w:val="00B35237"/>
    <w:pPr>
      <w:spacing w:before="100" w:beforeAutospacing="1" w:after="100" w:afterAutospacing="1"/>
    </w:pPr>
    <w:rPr>
      <w:rFonts w:ascii="Times New Roman" w:hAnsi="Times New Roman"/>
      <w:b w:val="0"/>
      <w:bCs/>
      <w:color w:val="00B0F0"/>
      <w:sz w:val="24"/>
      <w:szCs w:val="24"/>
    </w:rPr>
  </w:style>
  <w:style w:type="paragraph" w:customStyle="1" w:styleId="xl180">
    <w:name w:val="xl180"/>
    <w:basedOn w:val="Normal"/>
    <w:locked/>
    <w:rsid w:val="00B35237"/>
    <w:pPr>
      <w:spacing w:before="100" w:beforeAutospacing="1" w:after="100" w:afterAutospacing="1"/>
    </w:pPr>
    <w:rPr>
      <w:rFonts w:ascii="Times New Roman" w:hAnsi="Times New Roman"/>
      <w:b w:val="0"/>
      <w:bCs/>
      <w:sz w:val="24"/>
      <w:szCs w:val="24"/>
    </w:rPr>
  </w:style>
  <w:style w:type="paragraph" w:customStyle="1" w:styleId="xl181">
    <w:name w:val="xl181"/>
    <w:basedOn w:val="Normal"/>
    <w:locked/>
    <w:rsid w:val="00B35237"/>
    <w:pPr>
      <w:spacing w:before="100" w:beforeAutospacing="1" w:after="100" w:afterAutospacing="1"/>
    </w:pPr>
    <w:rPr>
      <w:rFonts w:ascii="Times New Roman" w:hAnsi="Times New Roman"/>
      <w:b w:val="0"/>
      <w:bCs/>
      <w:sz w:val="24"/>
      <w:szCs w:val="24"/>
    </w:rPr>
  </w:style>
  <w:style w:type="paragraph" w:customStyle="1" w:styleId="xl182">
    <w:name w:val="xl182"/>
    <w:basedOn w:val="Normal"/>
    <w:locked/>
    <w:rsid w:val="00B35237"/>
    <w:pPr>
      <w:spacing w:before="100" w:beforeAutospacing="1" w:after="100" w:afterAutospacing="1"/>
      <w:textAlignment w:val="top"/>
    </w:pPr>
    <w:rPr>
      <w:rFonts w:ascii="Times New Roman" w:hAnsi="Times New Roman"/>
      <w:sz w:val="24"/>
      <w:szCs w:val="24"/>
    </w:rPr>
  </w:style>
  <w:style w:type="paragraph" w:customStyle="1" w:styleId="xl183">
    <w:name w:val="xl183"/>
    <w:basedOn w:val="Normal"/>
    <w:locked/>
    <w:rsid w:val="00B35237"/>
    <w:pPr>
      <w:spacing w:before="100" w:beforeAutospacing="1" w:after="100" w:afterAutospacing="1"/>
      <w:jc w:val="center"/>
    </w:pPr>
    <w:rPr>
      <w:rFonts w:ascii="Times New Roman" w:hAnsi="Times New Roman"/>
      <w:sz w:val="24"/>
      <w:szCs w:val="24"/>
    </w:rPr>
  </w:style>
  <w:style w:type="paragraph" w:customStyle="1" w:styleId="xl184">
    <w:name w:val="xl184"/>
    <w:basedOn w:val="Normal"/>
    <w:locked/>
    <w:rsid w:val="00B35237"/>
    <w:pPr>
      <w:spacing w:before="100" w:beforeAutospacing="1" w:after="100" w:afterAutospacing="1"/>
      <w:jc w:val="center"/>
    </w:pPr>
    <w:rPr>
      <w:rFonts w:ascii="Times New Roman" w:hAnsi="Times New Roman"/>
      <w:sz w:val="24"/>
      <w:szCs w:val="24"/>
    </w:rPr>
  </w:style>
  <w:style w:type="table" w:customStyle="1" w:styleId="TableGrid40">
    <w:name w:val="Table Grid4"/>
    <w:basedOn w:val="TableNormal"/>
    <w:next w:val="TableGrid"/>
    <w:uiPriority w:val="59"/>
    <w:rsid w:val="00B35237"/>
    <w:pPr>
      <w:spacing w:before="0" w:after="0"/>
      <w:ind w:left="0" w:firstLine="0"/>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
    <w:basedOn w:val="TableNormal"/>
    <w:next w:val="TableGrid"/>
    <w:uiPriority w:val="59"/>
    <w:rsid w:val="00B35237"/>
    <w:pPr>
      <w:spacing w:before="0" w:after="0"/>
      <w:ind w:left="0" w:firstLine="0"/>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
    <w:basedOn w:val="TableNormal"/>
    <w:next w:val="TableGrid"/>
    <w:uiPriority w:val="59"/>
    <w:rsid w:val="00B35237"/>
    <w:pPr>
      <w:spacing w:before="0" w:after="0"/>
      <w:ind w:left="0" w:firstLine="0"/>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
    <w:basedOn w:val="TableNormal"/>
    <w:next w:val="TableGrid"/>
    <w:uiPriority w:val="59"/>
    <w:rsid w:val="00B35237"/>
    <w:pPr>
      <w:spacing w:before="0" w:after="0"/>
      <w:ind w:left="0" w:firstLine="0"/>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
    <w:name w:val="Table Grid8"/>
    <w:basedOn w:val="TableNormal"/>
    <w:next w:val="TableGrid"/>
    <w:uiPriority w:val="59"/>
    <w:rsid w:val="00B35237"/>
    <w:pPr>
      <w:spacing w:before="0" w:after="0"/>
      <w:ind w:left="0" w:firstLine="0"/>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dentedquote">
    <w:name w:val="indented quote"/>
    <w:basedOn w:val="Normal"/>
    <w:uiPriority w:val="12"/>
    <w:qFormat/>
    <w:rsid w:val="00B35237"/>
    <w:pPr>
      <w:spacing w:after="240" w:line="276" w:lineRule="auto"/>
      <w:ind w:left="567" w:right="1134"/>
    </w:pPr>
    <w:rPr>
      <w:rFonts w:cs="Arial"/>
      <w:i/>
      <w:szCs w:val="24"/>
      <w:lang w:eastAsia="en-US"/>
    </w:rPr>
  </w:style>
  <w:style w:type="paragraph" w:customStyle="1" w:styleId="TableText0">
    <w:name w:val="Table Text"/>
    <w:basedOn w:val="Normal"/>
    <w:uiPriority w:val="9"/>
    <w:qFormat/>
    <w:rsid w:val="0089522F"/>
    <w:rPr>
      <w:sz w:val="16"/>
    </w:rPr>
  </w:style>
  <w:style w:type="paragraph" w:customStyle="1" w:styleId="QUESTION">
    <w:name w:val="QUESTION"/>
    <w:basedOn w:val="Default"/>
    <w:next w:val="Default"/>
    <w:link w:val="QUESTIONChar"/>
    <w:qFormat/>
    <w:rsid w:val="001E0DEF"/>
    <w:pPr>
      <w:keepNext/>
      <w:spacing w:before="120" w:line="276" w:lineRule="auto"/>
    </w:pPr>
    <w:rPr>
      <w:rFonts w:ascii="Arial" w:eastAsiaTheme="minorHAnsi" w:hAnsi="Arial" w:cs="Arial"/>
      <w:color w:val="002060"/>
      <w:sz w:val="20"/>
      <w:lang w:eastAsia="en-US"/>
    </w:rPr>
  </w:style>
  <w:style w:type="table" w:customStyle="1" w:styleId="TableGrid9">
    <w:name w:val="Table Grid9"/>
    <w:basedOn w:val="TableNormal"/>
    <w:next w:val="TableGrid"/>
    <w:uiPriority w:val="59"/>
    <w:rsid w:val="00BD7341"/>
    <w:pPr>
      <w:spacing w:before="0" w:after="0"/>
      <w:ind w:left="0" w:firstLine="0"/>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efaultChar">
    <w:name w:val="Default Char"/>
    <w:basedOn w:val="DefaultParagraphFont"/>
    <w:link w:val="Default"/>
    <w:rsid w:val="006B73C8"/>
    <w:rPr>
      <w:rFonts w:ascii="Tahoma" w:eastAsia="SimSun" w:hAnsi="Tahoma" w:cs="Tahoma"/>
      <w:color w:val="000000"/>
      <w:sz w:val="24"/>
      <w:szCs w:val="24"/>
    </w:rPr>
  </w:style>
  <w:style w:type="character" w:customStyle="1" w:styleId="QUESTIONChar">
    <w:name w:val="QUESTION Char"/>
    <w:basedOn w:val="DefaultChar"/>
    <w:link w:val="QUESTION"/>
    <w:rsid w:val="006B73C8"/>
    <w:rPr>
      <w:rFonts w:ascii="Arial" w:eastAsiaTheme="minorHAnsi" w:hAnsi="Arial" w:cs="Arial"/>
      <w:color w:val="002060"/>
      <w:sz w:val="20"/>
      <w:szCs w:val="24"/>
      <w:lang w:eastAsia="en-US"/>
    </w:rPr>
  </w:style>
  <w:style w:type="paragraph" w:customStyle="1" w:styleId="execsummarytext">
    <w:name w:val="exec summary text"/>
    <w:basedOn w:val="Normal"/>
    <w:link w:val="execsummarytextChar"/>
    <w:rsid w:val="00EE616E"/>
    <w:pPr>
      <w:spacing w:after="200" w:line="324" w:lineRule="atLeast"/>
      <w:jc w:val="both"/>
    </w:pPr>
    <w:rPr>
      <w:rFonts w:ascii="Times Roman" w:hAnsi="Times Roman" w:cs="Arial"/>
    </w:rPr>
  </w:style>
  <w:style w:type="character" w:customStyle="1" w:styleId="execsummarytextChar">
    <w:name w:val="exec summary text Char"/>
    <w:link w:val="execsummarytext"/>
    <w:rsid w:val="00EE616E"/>
    <w:rPr>
      <w:rFonts w:ascii="Times Roman" w:hAnsi="Times Roman" w:cs="Arial"/>
    </w:rPr>
  </w:style>
  <w:style w:type="table" w:customStyle="1" w:styleId="ListTable3-Accent51">
    <w:name w:val="List Table 3 - Accent 51"/>
    <w:basedOn w:val="TableNormal"/>
    <w:uiPriority w:val="48"/>
    <w:rsid w:val="00A0645B"/>
    <w:pPr>
      <w:spacing w:before="0" w:after="0"/>
      <w:ind w:left="0" w:firstLine="0"/>
    </w:pPr>
    <w:rPr>
      <w:rFonts w:asciiTheme="minorHAnsi" w:eastAsiaTheme="minorHAnsi" w:hAnsiTheme="minorHAnsi" w:cstheme="minorBidi"/>
      <w:lang w:eastAsia="en-US"/>
    </w:rPr>
    <w:tblPr>
      <w:tblStyleRowBandSize w:val="1"/>
      <w:tblStyleColBandSize w:val="1"/>
      <w:tblBorders>
        <w:top w:val="single" w:sz="4" w:space="0" w:color="7090B7" w:themeColor="accent5"/>
        <w:left w:val="single" w:sz="4" w:space="0" w:color="7090B7" w:themeColor="accent5"/>
        <w:bottom w:val="single" w:sz="4" w:space="0" w:color="7090B7" w:themeColor="accent5"/>
        <w:right w:val="single" w:sz="4" w:space="0" w:color="7090B7" w:themeColor="accent5"/>
      </w:tblBorders>
    </w:tblPr>
    <w:tblStylePr w:type="firstRow">
      <w:rPr>
        <w:b/>
        <w:bCs/>
        <w:color w:val="FFFFFF" w:themeColor="background1"/>
      </w:rPr>
      <w:tblPr/>
      <w:tcPr>
        <w:shd w:val="clear" w:color="auto" w:fill="7090B7" w:themeFill="accent5"/>
      </w:tcPr>
    </w:tblStylePr>
    <w:tblStylePr w:type="lastRow">
      <w:rPr>
        <w:b/>
        <w:bCs/>
      </w:rPr>
      <w:tblPr/>
      <w:tcPr>
        <w:tcBorders>
          <w:top w:val="double" w:sz="4" w:space="0" w:color="7090B7"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90B7" w:themeColor="accent5"/>
          <w:right w:val="single" w:sz="4" w:space="0" w:color="7090B7" w:themeColor="accent5"/>
        </w:tcBorders>
      </w:tcPr>
    </w:tblStylePr>
    <w:tblStylePr w:type="band1Horz">
      <w:tblPr/>
      <w:tcPr>
        <w:tcBorders>
          <w:top w:val="single" w:sz="4" w:space="0" w:color="7090B7" w:themeColor="accent5"/>
          <w:bottom w:val="single" w:sz="4" w:space="0" w:color="7090B7"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90B7" w:themeColor="accent5"/>
          <w:left w:val="nil"/>
        </w:tcBorders>
      </w:tcPr>
    </w:tblStylePr>
    <w:tblStylePr w:type="swCell">
      <w:tblPr/>
      <w:tcPr>
        <w:tcBorders>
          <w:top w:val="double" w:sz="4" w:space="0" w:color="7090B7" w:themeColor="accent5"/>
          <w:right w:val="nil"/>
        </w:tcBorders>
      </w:tcPr>
    </w:tblStylePr>
  </w:style>
  <w:style w:type="character" w:customStyle="1" w:styleId="apple-converted-space">
    <w:name w:val="apple-converted-space"/>
    <w:basedOn w:val="DefaultParagraphFont"/>
    <w:rsid w:val="00C40597"/>
  </w:style>
  <w:style w:type="paragraph" w:customStyle="1" w:styleId="NoteLevel2">
    <w:name w:val="Note Level 2"/>
    <w:basedOn w:val="Normal"/>
    <w:uiPriority w:val="99"/>
    <w:rsid w:val="00C40597"/>
    <w:pPr>
      <w:keepNext/>
      <w:numPr>
        <w:ilvl w:val="1"/>
        <w:numId w:val="23"/>
      </w:numPr>
      <w:spacing w:after="0" w:line="276" w:lineRule="auto"/>
      <w:contextualSpacing/>
      <w:outlineLvl w:val="1"/>
    </w:pPr>
    <w:rPr>
      <w:rFonts w:ascii="Verdana" w:eastAsiaTheme="minorHAnsi" w:hAnsi="Verdana" w:cstheme="minorBidi"/>
      <w:lang w:eastAsia="en-US"/>
    </w:rPr>
  </w:style>
  <w:style w:type="paragraph" w:customStyle="1" w:styleId="NoteLevel1">
    <w:name w:val="Note Level 1"/>
    <w:basedOn w:val="Normal"/>
    <w:uiPriority w:val="99"/>
    <w:rsid w:val="00C40597"/>
    <w:pPr>
      <w:keepNext/>
      <w:numPr>
        <w:numId w:val="23"/>
      </w:numPr>
      <w:spacing w:after="0" w:line="276" w:lineRule="auto"/>
      <w:contextualSpacing/>
      <w:outlineLvl w:val="0"/>
    </w:pPr>
    <w:rPr>
      <w:rFonts w:ascii="Verdana" w:eastAsiaTheme="minorHAnsi" w:hAnsi="Verdana" w:cstheme="minorBidi"/>
      <w:lang w:eastAsia="en-US"/>
    </w:rPr>
  </w:style>
  <w:style w:type="paragraph" w:customStyle="1" w:styleId="xl400">
    <w:name w:val="xl400"/>
    <w:basedOn w:val="Normal"/>
    <w:rsid w:val="00C40597"/>
    <w:pPr>
      <w:spacing w:before="100" w:beforeAutospacing="1" w:after="100" w:afterAutospacing="1"/>
    </w:pPr>
    <w:rPr>
      <w:rFonts w:ascii="Times New Roman" w:hAnsi="Times New Roman"/>
    </w:rPr>
  </w:style>
  <w:style w:type="paragraph" w:customStyle="1" w:styleId="xl401">
    <w:name w:val="xl401"/>
    <w:basedOn w:val="Normal"/>
    <w:rsid w:val="00C4059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rPr>
  </w:style>
  <w:style w:type="paragraph" w:customStyle="1" w:styleId="xl402">
    <w:name w:val="xl402"/>
    <w:basedOn w:val="Normal"/>
    <w:rsid w:val="00C4059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rPr>
  </w:style>
  <w:style w:type="paragraph" w:customStyle="1" w:styleId="xl403">
    <w:name w:val="xl403"/>
    <w:basedOn w:val="Normal"/>
    <w:rsid w:val="00C40597"/>
    <w:pPr>
      <w:spacing w:before="100" w:beforeAutospacing="1" w:after="100" w:afterAutospacing="1"/>
    </w:pPr>
    <w:rPr>
      <w:rFonts w:ascii="Times New Roman" w:hAnsi="Times New Roman"/>
    </w:rPr>
  </w:style>
  <w:style w:type="paragraph" w:customStyle="1" w:styleId="xl404">
    <w:name w:val="xl404"/>
    <w:basedOn w:val="Normal"/>
    <w:rsid w:val="00C40597"/>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jc w:val="center"/>
    </w:pPr>
    <w:rPr>
      <w:rFonts w:ascii="Times New Roman" w:hAnsi="Times New Roman"/>
      <w:b w:val="0"/>
      <w:bCs/>
      <w:sz w:val="16"/>
      <w:szCs w:val="16"/>
    </w:rPr>
  </w:style>
  <w:style w:type="paragraph" w:customStyle="1" w:styleId="xl405">
    <w:name w:val="xl405"/>
    <w:basedOn w:val="Normal"/>
    <w:rsid w:val="00C40597"/>
    <w:pPr>
      <w:spacing w:before="100" w:beforeAutospacing="1" w:after="100" w:afterAutospacing="1"/>
    </w:pPr>
    <w:rPr>
      <w:rFonts w:ascii="Times New Roman" w:hAnsi="Times New Roman"/>
      <w:sz w:val="16"/>
      <w:szCs w:val="16"/>
    </w:rPr>
  </w:style>
  <w:style w:type="paragraph" w:customStyle="1" w:styleId="xl406">
    <w:name w:val="xl406"/>
    <w:basedOn w:val="Normal"/>
    <w:rsid w:val="00C4059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rPr>
  </w:style>
  <w:style w:type="paragraph" w:customStyle="1" w:styleId="xl407">
    <w:name w:val="xl407"/>
    <w:basedOn w:val="Normal"/>
    <w:rsid w:val="00C4059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rPr>
  </w:style>
  <w:style w:type="paragraph" w:customStyle="1" w:styleId="xl408">
    <w:name w:val="xl408"/>
    <w:basedOn w:val="Normal"/>
    <w:rsid w:val="00C4059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rPr>
  </w:style>
  <w:style w:type="paragraph" w:customStyle="1" w:styleId="xl409">
    <w:name w:val="xl409"/>
    <w:basedOn w:val="Normal"/>
    <w:rsid w:val="00C40597"/>
    <w:pPr>
      <w:spacing w:before="100" w:beforeAutospacing="1" w:after="100" w:afterAutospacing="1"/>
      <w:jc w:val="center"/>
    </w:pPr>
    <w:rPr>
      <w:rFonts w:ascii="Times New Roman" w:hAnsi="Times New Roman"/>
    </w:rPr>
  </w:style>
  <w:style w:type="paragraph" w:customStyle="1" w:styleId="xl410">
    <w:name w:val="xl410"/>
    <w:basedOn w:val="Normal"/>
    <w:rsid w:val="00C40597"/>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jc w:val="center"/>
    </w:pPr>
    <w:rPr>
      <w:rFonts w:ascii="Times New Roman" w:hAnsi="Times New Roman"/>
      <w:b w:val="0"/>
      <w:bCs/>
    </w:rPr>
  </w:style>
  <w:style w:type="paragraph" w:customStyle="1" w:styleId="xl411">
    <w:name w:val="xl411"/>
    <w:basedOn w:val="Normal"/>
    <w:rsid w:val="00C40597"/>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jc w:val="center"/>
    </w:pPr>
    <w:rPr>
      <w:rFonts w:ascii="Times New Roman" w:hAnsi="Times New Roman"/>
      <w:b w:val="0"/>
      <w:bCs/>
      <w:sz w:val="16"/>
      <w:szCs w:val="16"/>
    </w:rPr>
  </w:style>
  <w:style w:type="paragraph" w:customStyle="1" w:styleId="xl412">
    <w:name w:val="xl412"/>
    <w:basedOn w:val="Normal"/>
    <w:rsid w:val="00C40597"/>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jc w:val="center"/>
    </w:pPr>
    <w:rPr>
      <w:rFonts w:ascii="Times New Roman" w:hAnsi="Times New Roman"/>
      <w:b w:val="0"/>
      <w:bCs/>
      <w:sz w:val="16"/>
      <w:szCs w:val="16"/>
    </w:rPr>
  </w:style>
  <w:style w:type="paragraph" w:customStyle="1" w:styleId="xl413">
    <w:name w:val="xl413"/>
    <w:basedOn w:val="Normal"/>
    <w:rsid w:val="00C4059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16"/>
      <w:szCs w:val="16"/>
    </w:rPr>
  </w:style>
  <w:style w:type="paragraph" w:customStyle="1" w:styleId="xl414">
    <w:name w:val="xl414"/>
    <w:basedOn w:val="Normal"/>
    <w:rsid w:val="00C4059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16"/>
      <w:szCs w:val="16"/>
    </w:rPr>
  </w:style>
  <w:style w:type="paragraph" w:customStyle="1" w:styleId="xl415">
    <w:name w:val="xl415"/>
    <w:basedOn w:val="Normal"/>
    <w:rsid w:val="00C40597"/>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jc w:val="center"/>
    </w:pPr>
    <w:rPr>
      <w:rFonts w:ascii="Times New Roman" w:hAnsi="Times New Roman"/>
      <w:sz w:val="16"/>
      <w:szCs w:val="16"/>
    </w:rPr>
  </w:style>
  <w:style w:type="paragraph" w:customStyle="1" w:styleId="xl416">
    <w:name w:val="xl416"/>
    <w:basedOn w:val="Normal"/>
    <w:rsid w:val="00C4059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16"/>
      <w:szCs w:val="16"/>
    </w:rPr>
  </w:style>
  <w:style w:type="paragraph" w:customStyle="1" w:styleId="xl417">
    <w:name w:val="xl417"/>
    <w:basedOn w:val="Normal"/>
    <w:rsid w:val="00C4059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16"/>
      <w:szCs w:val="16"/>
    </w:rPr>
  </w:style>
  <w:style w:type="paragraph" w:customStyle="1" w:styleId="xl418">
    <w:name w:val="xl418"/>
    <w:basedOn w:val="Normal"/>
    <w:rsid w:val="00C4059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16"/>
      <w:szCs w:val="16"/>
    </w:rPr>
  </w:style>
  <w:style w:type="paragraph" w:customStyle="1" w:styleId="xl419">
    <w:name w:val="xl419"/>
    <w:basedOn w:val="Normal"/>
    <w:rsid w:val="00C4059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16"/>
      <w:szCs w:val="16"/>
    </w:rPr>
  </w:style>
  <w:style w:type="paragraph" w:customStyle="1" w:styleId="xl420">
    <w:name w:val="xl420"/>
    <w:basedOn w:val="Normal"/>
    <w:rsid w:val="00C4059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16"/>
      <w:szCs w:val="16"/>
    </w:rPr>
  </w:style>
  <w:style w:type="paragraph" w:customStyle="1" w:styleId="xl421">
    <w:name w:val="xl421"/>
    <w:basedOn w:val="Normal"/>
    <w:rsid w:val="00C40597"/>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jc w:val="center"/>
    </w:pPr>
    <w:rPr>
      <w:rFonts w:ascii="Times New Roman" w:hAnsi="Times New Roman"/>
      <w:sz w:val="16"/>
      <w:szCs w:val="16"/>
    </w:rPr>
  </w:style>
  <w:style w:type="paragraph" w:customStyle="1" w:styleId="xl422">
    <w:name w:val="xl422"/>
    <w:basedOn w:val="Normal"/>
    <w:rsid w:val="00C40597"/>
    <w:pPr>
      <w:pBdr>
        <w:top w:val="single" w:sz="4" w:space="0" w:color="auto"/>
        <w:left w:val="single" w:sz="4" w:space="0" w:color="auto"/>
        <w:bottom w:val="single" w:sz="4" w:space="0" w:color="auto"/>
        <w:right w:val="single" w:sz="4" w:space="0" w:color="auto"/>
      </w:pBdr>
      <w:shd w:val="clear" w:color="000000" w:fill="F4B084"/>
      <w:spacing w:before="100" w:beforeAutospacing="1" w:after="100" w:afterAutospacing="1"/>
      <w:jc w:val="center"/>
    </w:pPr>
    <w:rPr>
      <w:rFonts w:ascii="Times New Roman" w:hAnsi="Times New Roman"/>
      <w:sz w:val="16"/>
      <w:szCs w:val="16"/>
    </w:rPr>
  </w:style>
  <w:style w:type="paragraph" w:styleId="Bibliography">
    <w:name w:val="Bibliography"/>
    <w:basedOn w:val="Normal"/>
    <w:next w:val="Normal"/>
    <w:uiPriority w:val="37"/>
    <w:semiHidden/>
    <w:unhideWhenUsed/>
    <w:rsid w:val="00084FB1"/>
  </w:style>
  <w:style w:type="paragraph" w:styleId="BodyText2">
    <w:name w:val="Body Text 2"/>
    <w:basedOn w:val="Normal"/>
    <w:link w:val="BodyText2Char"/>
    <w:uiPriority w:val="99"/>
    <w:semiHidden/>
    <w:unhideWhenUsed/>
    <w:rsid w:val="00084FB1"/>
    <w:pPr>
      <w:spacing w:line="480" w:lineRule="auto"/>
    </w:pPr>
  </w:style>
  <w:style w:type="character" w:customStyle="1" w:styleId="BodyText2Char">
    <w:name w:val="Body Text 2 Char"/>
    <w:basedOn w:val="DefaultParagraphFont"/>
    <w:link w:val="BodyText2"/>
    <w:uiPriority w:val="99"/>
    <w:semiHidden/>
    <w:rsid w:val="00084FB1"/>
    <w:rPr>
      <w:rFonts w:ascii="Arial" w:hAnsi="Arial"/>
      <w:sz w:val="20"/>
    </w:rPr>
  </w:style>
  <w:style w:type="paragraph" w:styleId="DocumentMap">
    <w:name w:val="Document Map"/>
    <w:basedOn w:val="Normal"/>
    <w:link w:val="DocumentMapChar"/>
    <w:uiPriority w:val="99"/>
    <w:semiHidden/>
    <w:unhideWhenUsed/>
    <w:rsid w:val="00084FB1"/>
    <w:pPr>
      <w:spacing w:after="0"/>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084FB1"/>
    <w:rPr>
      <w:rFonts w:ascii="Segoe UI" w:hAnsi="Segoe UI" w:cs="Segoe UI"/>
      <w:sz w:val="16"/>
      <w:szCs w:val="16"/>
    </w:rPr>
  </w:style>
  <w:style w:type="paragraph" w:styleId="Index1">
    <w:name w:val="index 1"/>
    <w:basedOn w:val="Normal"/>
    <w:next w:val="Normal"/>
    <w:autoRedefine/>
    <w:uiPriority w:val="99"/>
    <w:semiHidden/>
    <w:unhideWhenUsed/>
    <w:rsid w:val="00084FB1"/>
    <w:pPr>
      <w:spacing w:after="0"/>
      <w:ind w:left="200" w:hanging="200"/>
    </w:pPr>
  </w:style>
  <w:style w:type="paragraph" w:styleId="Index2">
    <w:name w:val="index 2"/>
    <w:basedOn w:val="Normal"/>
    <w:next w:val="Normal"/>
    <w:autoRedefine/>
    <w:uiPriority w:val="99"/>
    <w:semiHidden/>
    <w:unhideWhenUsed/>
    <w:rsid w:val="00084FB1"/>
    <w:pPr>
      <w:spacing w:after="0"/>
      <w:ind w:left="400" w:hanging="200"/>
    </w:pPr>
  </w:style>
  <w:style w:type="paragraph" w:styleId="Index3">
    <w:name w:val="index 3"/>
    <w:basedOn w:val="Normal"/>
    <w:next w:val="Normal"/>
    <w:autoRedefine/>
    <w:uiPriority w:val="99"/>
    <w:semiHidden/>
    <w:unhideWhenUsed/>
    <w:rsid w:val="00084FB1"/>
    <w:pPr>
      <w:spacing w:after="0"/>
      <w:ind w:left="600" w:hanging="200"/>
    </w:pPr>
  </w:style>
  <w:style w:type="paragraph" w:styleId="Index4">
    <w:name w:val="index 4"/>
    <w:basedOn w:val="Normal"/>
    <w:next w:val="Normal"/>
    <w:autoRedefine/>
    <w:uiPriority w:val="99"/>
    <w:semiHidden/>
    <w:unhideWhenUsed/>
    <w:rsid w:val="00084FB1"/>
    <w:pPr>
      <w:spacing w:after="0"/>
      <w:ind w:left="800" w:hanging="200"/>
    </w:pPr>
  </w:style>
  <w:style w:type="paragraph" w:styleId="Index5">
    <w:name w:val="index 5"/>
    <w:basedOn w:val="Normal"/>
    <w:next w:val="Normal"/>
    <w:autoRedefine/>
    <w:uiPriority w:val="99"/>
    <w:semiHidden/>
    <w:unhideWhenUsed/>
    <w:rsid w:val="00084FB1"/>
    <w:pPr>
      <w:spacing w:after="0"/>
      <w:ind w:left="1000" w:hanging="200"/>
    </w:pPr>
  </w:style>
  <w:style w:type="paragraph" w:styleId="Index6">
    <w:name w:val="index 6"/>
    <w:basedOn w:val="Normal"/>
    <w:next w:val="Normal"/>
    <w:autoRedefine/>
    <w:uiPriority w:val="99"/>
    <w:semiHidden/>
    <w:unhideWhenUsed/>
    <w:rsid w:val="00084FB1"/>
    <w:pPr>
      <w:spacing w:after="0"/>
      <w:ind w:left="1200" w:hanging="200"/>
    </w:pPr>
  </w:style>
  <w:style w:type="paragraph" w:styleId="Index7">
    <w:name w:val="index 7"/>
    <w:basedOn w:val="Normal"/>
    <w:next w:val="Normal"/>
    <w:autoRedefine/>
    <w:uiPriority w:val="99"/>
    <w:semiHidden/>
    <w:unhideWhenUsed/>
    <w:rsid w:val="00084FB1"/>
    <w:pPr>
      <w:spacing w:after="0"/>
      <w:ind w:left="1400" w:hanging="200"/>
    </w:pPr>
  </w:style>
  <w:style w:type="paragraph" w:styleId="Index8">
    <w:name w:val="index 8"/>
    <w:basedOn w:val="Normal"/>
    <w:next w:val="Normal"/>
    <w:autoRedefine/>
    <w:uiPriority w:val="99"/>
    <w:semiHidden/>
    <w:unhideWhenUsed/>
    <w:rsid w:val="00084FB1"/>
    <w:pPr>
      <w:spacing w:after="0"/>
      <w:ind w:left="1600" w:hanging="200"/>
    </w:pPr>
  </w:style>
  <w:style w:type="paragraph" w:styleId="Index9">
    <w:name w:val="index 9"/>
    <w:basedOn w:val="Normal"/>
    <w:next w:val="Normal"/>
    <w:autoRedefine/>
    <w:uiPriority w:val="99"/>
    <w:semiHidden/>
    <w:unhideWhenUsed/>
    <w:rsid w:val="00084FB1"/>
    <w:pPr>
      <w:spacing w:after="0"/>
      <w:ind w:left="1800" w:hanging="200"/>
    </w:pPr>
  </w:style>
  <w:style w:type="paragraph" w:styleId="IndexHeading">
    <w:name w:val="index heading"/>
    <w:basedOn w:val="Normal"/>
    <w:next w:val="Index1"/>
    <w:uiPriority w:val="99"/>
    <w:semiHidden/>
    <w:unhideWhenUsed/>
    <w:rsid w:val="00084FB1"/>
    <w:rPr>
      <w:rFonts w:asciiTheme="majorHAnsi" w:eastAsiaTheme="majorEastAsia" w:hAnsiTheme="majorHAnsi" w:cstheme="majorBidi"/>
      <w:b w:val="0"/>
      <w:bCs/>
    </w:rPr>
  </w:style>
  <w:style w:type="paragraph" w:styleId="List">
    <w:name w:val="List"/>
    <w:basedOn w:val="Normal"/>
    <w:uiPriority w:val="99"/>
    <w:semiHidden/>
    <w:unhideWhenUsed/>
    <w:rsid w:val="00084FB1"/>
    <w:pPr>
      <w:ind w:left="283" w:hanging="283"/>
      <w:contextualSpacing/>
    </w:pPr>
  </w:style>
  <w:style w:type="paragraph" w:styleId="ListBullet2">
    <w:name w:val="List Bullet 2"/>
    <w:basedOn w:val="Normal"/>
    <w:uiPriority w:val="99"/>
    <w:semiHidden/>
    <w:unhideWhenUsed/>
    <w:rsid w:val="00084FB1"/>
    <w:pPr>
      <w:numPr>
        <w:numId w:val="24"/>
      </w:numPr>
      <w:contextualSpacing/>
    </w:pPr>
  </w:style>
  <w:style w:type="paragraph" w:styleId="MacroText">
    <w:name w:val="macro"/>
    <w:link w:val="MacroTextChar"/>
    <w:uiPriority w:val="99"/>
    <w:semiHidden/>
    <w:unhideWhenUsed/>
    <w:rsid w:val="00084FB1"/>
    <w:pPr>
      <w:tabs>
        <w:tab w:val="left" w:pos="480"/>
        <w:tab w:val="left" w:pos="960"/>
        <w:tab w:val="left" w:pos="1440"/>
        <w:tab w:val="left" w:pos="1920"/>
        <w:tab w:val="left" w:pos="2400"/>
        <w:tab w:val="left" w:pos="2880"/>
        <w:tab w:val="left" w:pos="3360"/>
        <w:tab w:val="left" w:pos="3840"/>
        <w:tab w:val="left" w:pos="4320"/>
      </w:tabs>
      <w:spacing w:after="0"/>
      <w:ind w:left="0" w:firstLine="0"/>
    </w:pPr>
    <w:rPr>
      <w:rFonts w:ascii="Consolas" w:hAnsi="Consolas"/>
      <w:sz w:val="20"/>
      <w:szCs w:val="20"/>
    </w:rPr>
  </w:style>
  <w:style w:type="character" w:customStyle="1" w:styleId="MacroTextChar">
    <w:name w:val="Macro Text Char"/>
    <w:basedOn w:val="DefaultParagraphFont"/>
    <w:link w:val="MacroText"/>
    <w:uiPriority w:val="99"/>
    <w:semiHidden/>
    <w:rsid w:val="00084FB1"/>
    <w:rPr>
      <w:rFonts w:ascii="Consolas" w:hAnsi="Consolas"/>
      <w:sz w:val="20"/>
      <w:szCs w:val="20"/>
    </w:rPr>
  </w:style>
  <w:style w:type="paragraph" w:customStyle="1" w:styleId="xl101">
    <w:name w:val="xl101"/>
    <w:basedOn w:val="Normal"/>
    <w:rsid w:val="00C15D01"/>
    <w:pPr>
      <w:spacing w:before="100" w:beforeAutospacing="1" w:after="100" w:afterAutospacing="1"/>
      <w:jc w:val="center"/>
    </w:pPr>
    <w:rPr>
      <w:rFonts w:ascii="Times New Roman" w:hAnsi="Times New Roman"/>
      <w:sz w:val="24"/>
      <w:szCs w:val="24"/>
    </w:rPr>
  </w:style>
  <w:style w:type="paragraph" w:customStyle="1" w:styleId="xl102">
    <w:name w:val="xl102"/>
    <w:basedOn w:val="Normal"/>
    <w:rsid w:val="00C15D01"/>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24"/>
      <w:szCs w:val="24"/>
    </w:rPr>
  </w:style>
  <w:style w:type="paragraph" w:customStyle="1" w:styleId="xl103">
    <w:name w:val="xl103"/>
    <w:basedOn w:val="Normal"/>
    <w:rsid w:val="00C15D01"/>
    <w:pPr>
      <w:spacing w:before="100" w:beforeAutospacing="1" w:after="100" w:afterAutospacing="1"/>
    </w:pPr>
    <w:rPr>
      <w:rFonts w:ascii="Times New Roman" w:hAnsi="Times New Roman"/>
      <w:sz w:val="24"/>
      <w:szCs w:val="24"/>
    </w:rPr>
  </w:style>
  <w:style w:type="paragraph" w:customStyle="1" w:styleId="xl104">
    <w:name w:val="xl104"/>
    <w:basedOn w:val="Normal"/>
    <w:rsid w:val="00C15D01"/>
    <w:pPr>
      <w:spacing w:before="100" w:beforeAutospacing="1" w:after="100" w:afterAutospacing="1"/>
      <w:jc w:val="center"/>
    </w:pPr>
    <w:rPr>
      <w:rFonts w:ascii="Times New Roman" w:hAnsi="Times New Roman"/>
      <w:sz w:val="24"/>
      <w:szCs w:val="24"/>
    </w:rPr>
  </w:style>
  <w:style w:type="paragraph" w:customStyle="1" w:styleId="xl115">
    <w:name w:val="xl115"/>
    <w:basedOn w:val="Normal"/>
    <w:rsid w:val="00C15D01"/>
    <w:pPr>
      <w:spacing w:before="100" w:beforeAutospacing="1" w:after="100" w:afterAutospacing="1"/>
    </w:pPr>
    <w:rPr>
      <w:rFonts w:ascii="Times New Roman" w:hAnsi="Times New Roman"/>
      <w:sz w:val="24"/>
      <w:szCs w:val="24"/>
    </w:rPr>
  </w:style>
  <w:style w:type="paragraph" w:customStyle="1" w:styleId="BodyText1">
    <w:name w:val="Body Text1"/>
    <w:basedOn w:val="Normal"/>
    <w:qFormat/>
    <w:rsid w:val="00B36E6C"/>
    <w:pPr>
      <w:spacing w:before="40" w:after="40"/>
    </w:pPr>
    <w:rPr>
      <w:rFonts w:cs="Arial"/>
      <w:sz w:val="16"/>
      <w:szCs w:val="18"/>
    </w:rPr>
  </w:style>
  <w:style w:type="table" w:customStyle="1" w:styleId="CardnoTableNavy1">
    <w:name w:val="Cardno Table Navy1"/>
    <w:basedOn w:val="TableNormal"/>
    <w:uiPriority w:val="99"/>
    <w:qFormat/>
    <w:rsid w:val="008F7488"/>
    <w:pPr>
      <w:spacing w:before="0" w:after="0"/>
      <w:ind w:left="0" w:firstLine="0"/>
    </w:pPr>
    <w:rPr>
      <w:rFonts w:ascii="Calibri" w:hAnsi="Calibri"/>
      <w:sz w:val="20"/>
      <w:szCs w:val="20"/>
      <w:lang w:val="en-US" w:eastAsia="en-US"/>
    </w:rPr>
    <w:tblPr>
      <w:tblBorders>
        <w:bottom w:val="single" w:sz="4" w:space="0" w:color="5B9BD5"/>
        <w:insideH w:val="single" w:sz="4" w:space="0" w:color="5B9BD5"/>
      </w:tblBorders>
    </w:tblPr>
    <w:tblStylePr w:type="firstRow">
      <w:rPr>
        <w:color w:val="FFFFFF"/>
      </w:rPr>
      <w:tblPr/>
      <w:trPr>
        <w:tblHeader/>
      </w:trPr>
      <w:tcPr>
        <w:shd w:val="clear" w:color="auto" w:fill="5B9BD5"/>
      </w:tcPr>
    </w:tblStylePr>
  </w:style>
  <w:style w:type="table" w:customStyle="1" w:styleId="CardnoTableNavy2">
    <w:name w:val="Cardno Table Navy2"/>
    <w:basedOn w:val="CardnoTableTaupe"/>
    <w:uiPriority w:val="99"/>
    <w:qFormat/>
    <w:rsid w:val="00B82321"/>
    <w:pPr>
      <w:spacing w:before="0" w:after="0"/>
      <w:ind w:left="0" w:firstLine="0"/>
    </w:pPr>
    <w:tblPr>
      <w:tblBorders>
        <w:bottom w:val="single" w:sz="4" w:space="0" w:color="003359" w:themeColor="accent1"/>
        <w:insideH w:val="single" w:sz="4" w:space="0" w:color="003359" w:themeColor="accent1"/>
      </w:tblBorders>
    </w:tblPr>
    <w:tblStylePr w:type="firstRow">
      <w:rPr>
        <w:color w:val="FFFFFF" w:themeColor="background1"/>
      </w:rPr>
      <w:tblPr/>
      <w:trPr>
        <w:tblHeader/>
      </w:trPr>
      <w:tcPr>
        <w:shd w:val="clear" w:color="auto" w:fill="003359" w:themeFill="accent1"/>
      </w:tcPr>
    </w:tblStylePr>
  </w:style>
  <w:style w:type="table" w:customStyle="1" w:styleId="ListTable3-Accent511">
    <w:name w:val="List Table 3 - Accent 511"/>
    <w:basedOn w:val="TableNormal"/>
    <w:uiPriority w:val="48"/>
    <w:rsid w:val="003969F9"/>
    <w:pPr>
      <w:spacing w:before="0" w:after="0"/>
      <w:ind w:left="0" w:firstLine="0"/>
    </w:pPr>
    <w:rPr>
      <w:rFonts w:asciiTheme="minorHAnsi" w:eastAsiaTheme="minorHAnsi" w:hAnsiTheme="minorHAnsi" w:cstheme="minorBidi"/>
      <w:lang w:eastAsia="en-US"/>
    </w:rPr>
    <w:tblPr>
      <w:tblStyleRowBandSize w:val="1"/>
      <w:tblStyleColBandSize w:val="1"/>
      <w:tblBorders>
        <w:top w:val="single" w:sz="4" w:space="0" w:color="7090B7" w:themeColor="accent5"/>
        <w:left w:val="single" w:sz="4" w:space="0" w:color="7090B7" w:themeColor="accent5"/>
        <w:bottom w:val="single" w:sz="4" w:space="0" w:color="7090B7" w:themeColor="accent5"/>
        <w:right w:val="single" w:sz="4" w:space="0" w:color="7090B7" w:themeColor="accent5"/>
      </w:tblBorders>
    </w:tblPr>
    <w:tblStylePr w:type="firstRow">
      <w:rPr>
        <w:b/>
        <w:bCs/>
        <w:color w:val="FFFFFF" w:themeColor="background1"/>
      </w:rPr>
      <w:tblPr/>
      <w:tcPr>
        <w:shd w:val="clear" w:color="auto" w:fill="7090B7" w:themeFill="accent5"/>
      </w:tcPr>
    </w:tblStylePr>
    <w:tblStylePr w:type="lastRow">
      <w:rPr>
        <w:b/>
        <w:bCs/>
      </w:rPr>
      <w:tblPr/>
      <w:tcPr>
        <w:tcBorders>
          <w:top w:val="double" w:sz="4" w:space="0" w:color="7090B7"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90B7" w:themeColor="accent5"/>
          <w:right w:val="single" w:sz="4" w:space="0" w:color="7090B7" w:themeColor="accent5"/>
        </w:tcBorders>
      </w:tcPr>
    </w:tblStylePr>
    <w:tblStylePr w:type="band1Horz">
      <w:tblPr/>
      <w:tcPr>
        <w:tcBorders>
          <w:top w:val="single" w:sz="4" w:space="0" w:color="7090B7" w:themeColor="accent5"/>
          <w:bottom w:val="single" w:sz="4" w:space="0" w:color="7090B7"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90B7" w:themeColor="accent5"/>
          <w:left w:val="nil"/>
        </w:tcBorders>
      </w:tcPr>
    </w:tblStylePr>
    <w:tblStylePr w:type="swCell">
      <w:tblPr/>
      <w:tcPr>
        <w:tcBorders>
          <w:top w:val="double" w:sz="4" w:space="0" w:color="7090B7" w:themeColor="accent5"/>
          <w:right w:val="nil"/>
        </w:tcBorders>
      </w:tcPr>
    </w:tblStylePr>
  </w:style>
  <w:style w:type="table" w:customStyle="1" w:styleId="ListTable3-Accent512">
    <w:name w:val="List Table 3 - Accent 512"/>
    <w:basedOn w:val="TableNormal"/>
    <w:uiPriority w:val="48"/>
    <w:rsid w:val="006B365A"/>
    <w:pPr>
      <w:spacing w:before="0" w:after="0"/>
      <w:ind w:left="0" w:firstLine="0"/>
    </w:pPr>
    <w:rPr>
      <w:rFonts w:asciiTheme="minorHAnsi" w:eastAsiaTheme="minorHAnsi" w:hAnsiTheme="minorHAnsi" w:cstheme="minorBidi"/>
      <w:lang w:eastAsia="en-US"/>
    </w:rPr>
    <w:tblPr>
      <w:tblStyleRowBandSize w:val="1"/>
      <w:tblStyleColBandSize w:val="1"/>
      <w:tblBorders>
        <w:top w:val="single" w:sz="4" w:space="0" w:color="7090B7" w:themeColor="accent5"/>
        <w:left w:val="single" w:sz="4" w:space="0" w:color="7090B7" w:themeColor="accent5"/>
        <w:bottom w:val="single" w:sz="4" w:space="0" w:color="7090B7" w:themeColor="accent5"/>
        <w:right w:val="single" w:sz="4" w:space="0" w:color="7090B7" w:themeColor="accent5"/>
      </w:tblBorders>
    </w:tblPr>
    <w:tblStylePr w:type="firstRow">
      <w:rPr>
        <w:b/>
        <w:bCs/>
        <w:color w:val="FFFFFF" w:themeColor="background1"/>
      </w:rPr>
      <w:tblPr/>
      <w:tcPr>
        <w:shd w:val="clear" w:color="auto" w:fill="7090B7" w:themeFill="accent5"/>
      </w:tcPr>
    </w:tblStylePr>
    <w:tblStylePr w:type="lastRow">
      <w:rPr>
        <w:b/>
        <w:bCs/>
      </w:rPr>
      <w:tblPr/>
      <w:tcPr>
        <w:tcBorders>
          <w:top w:val="double" w:sz="4" w:space="0" w:color="7090B7"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90B7" w:themeColor="accent5"/>
          <w:right w:val="single" w:sz="4" w:space="0" w:color="7090B7" w:themeColor="accent5"/>
        </w:tcBorders>
      </w:tcPr>
    </w:tblStylePr>
    <w:tblStylePr w:type="band1Horz">
      <w:tblPr/>
      <w:tcPr>
        <w:tcBorders>
          <w:top w:val="single" w:sz="4" w:space="0" w:color="7090B7" w:themeColor="accent5"/>
          <w:bottom w:val="single" w:sz="4" w:space="0" w:color="7090B7"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90B7" w:themeColor="accent5"/>
          <w:left w:val="nil"/>
        </w:tcBorders>
      </w:tcPr>
    </w:tblStylePr>
    <w:tblStylePr w:type="swCell">
      <w:tblPr/>
      <w:tcPr>
        <w:tcBorders>
          <w:top w:val="double" w:sz="4" w:space="0" w:color="7090B7" w:themeColor="accent5"/>
          <w:right w:val="nil"/>
        </w:tcBorders>
      </w:tcPr>
    </w:tblStylePr>
  </w:style>
  <w:style w:type="table" w:customStyle="1" w:styleId="TableGrid100">
    <w:name w:val="Table Grid10"/>
    <w:basedOn w:val="TableNormal"/>
    <w:next w:val="TableGrid"/>
    <w:uiPriority w:val="59"/>
    <w:rsid w:val="0091382B"/>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5E4E3C"/>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B37D5B"/>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59"/>
    <w:rsid w:val="00CB4A5B"/>
    <w:pPr>
      <w:spacing w:before="0" w:after="0"/>
      <w:ind w:left="0" w:firstLine="0"/>
    </w:pPr>
    <w:rPr>
      <w:rFonts w:ascii="Cambria" w:eastAsia="Cambria" w:hAnsi="Cambria"/>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Recommendation Char,List Paragraph1 Char,List Paragraph11 Char,L Char,CV text Char,COOP Char,Primary Bullet List Char,Paragraph Char,P3Numbered List Char,CRP Numbered List Char,List Paragraph (numbered (a)) Char,Dot pt Char"/>
    <w:link w:val="ListParagraph"/>
    <w:uiPriority w:val="34"/>
    <w:qFormat/>
    <w:locked/>
    <w:rsid w:val="004F1576"/>
  </w:style>
  <w:style w:type="table" w:customStyle="1" w:styleId="TableGrid14">
    <w:name w:val="Table Grid14"/>
    <w:basedOn w:val="TableNormal"/>
    <w:next w:val="TableGrid"/>
    <w:uiPriority w:val="59"/>
    <w:rsid w:val="00FD23FD"/>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BA5AD0"/>
  </w:style>
  <w:style w:type="table" w:customStyle="1" w:styleId="Table3Deffects11">
    <w:name w:val="Table 3D effects 11"/>
    <w:basedOn w:val="TableNormal"/>
    <w:next w:val="Table3Deffects1"/>
    <w:uiPriority w:val="99"/>
    <w:semiHidden/>
    <w:rsid w:val="00BA5AD0"/>
    <w:rPr>
      <w:sz w:val="20"/>
      <w:szCs w:val="20"/>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
    <w:name w:val="Table 3D effects 21"/>
    <w:basedOn w:val="TableNormal"/>
    <w:next w:val="Table3Deffects2"/>
    <w:uiPriority w:val="99"/>
    <w:semiHidden/>
    <w:rsid w:val="00BA5AD0"/>
    <w:rPr>
      <w:sz w:val="20"/>
      <w:szCs w:val="20"/>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3Deffects31">
    <w:name w:val="Table 3D effects 31"/>
    <w:basedOn w:val="TableNormal"/>
    <w:next w:val="Table3Deffects3"/>
    <w:uiPriority w:val="99"/>
    <w:semiHidden/>
    <w:rsid w:val="00BA5AD0"/>
    <w:rPr>
      <w:sz w:val="20"/>
      <w:szCs w:val="20"/>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Classic11">
    <w:name w:val="Table Classic 11"/>
    <w:basedOn w:val="TableNormal"/>
    <w:next w:val="TableClassic1"/>
    <w:uiPriority w:val="99"/>
    <w:semiHidden/>
    <w:rsid w:val="00BA5AD0"/>
    <w:rPr>
      <w:sz w:val="20"/>
      <w:szCs w:val="20"/>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Classic21">
    <w:name w:val="Table Classic 21"/>
    <w:basedOn w:val="TableNormal"/>
    <w:next w:val="TableClassic2"/>
    <w:uiPriority w:val="99"/>
    <w:semiHidden/>
    <w:rsid w:val="00BA5AD0"/>
    <w:rPr>
      <w:sz w:val="20"/>
      <w:szCs w:val="20"/>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TableClassic31">
    <w:name w:val="Table Classic 31"/>
    <w:basedOn w:val="TableNormal"/>
    <w:next w:val="TableClassic3"/>
    <w:uiPriority w:val="99"/>
    <w:semiHidden/>
    <w:rsid w:val="00BA5AD0"/>
    <w:rPr>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TableClassic41">
    <w:name w:val="Table Classic 41"/>
    <w:basedOn w:val="TableNormal"/>
    <w:next w:val="TableClassic4"/>
    <w:uiPriority w:val="99"/>
    <w:semiHidden/>
    <w:rsid w:val="00BA5AD0"/>
    <w:rPr>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TableColorful11">
    <w:name w:val="Table Colorful 11"/>
    <w:basedOn w:val="TableNormal"/>
    <w:next w:val="TableColorful1"/>
    <w:uiPriority w:val="99"/>
    <w:semiHidden/>
    <w:rsid w:val="00BA5AD0"/>
    <w:rPr>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TableColorful21">
    <w:name w:val="Table Colorful 21"/>
    <w:basedOn w:val="TableNormal"/>
    <w:next w:val="TableColorful2"/>
    <w:uiPriority w:val="99"/>
    <w:semiHidden/>
    <w:rsid w:val="00BA5AD0"/>
    <w:rPr>
      <w:sz w:val="20"/>
      <w:szCs w:val="20"/>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TableColorful31">
    <w:name w:val="Table Colorful 31"/>
    <w:basedOn w:val="TableNormal"/>
    <w:next w:val="TableColorful3"/>
    <w:uiPriority w:val="99"/>
    <w:semiHidden/>
    <w:rsid w:val="00BA5AD0"/>
    <w:rPr>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TableColumns11">
    <w:name w:val="Table Columns 11"/>
    <w:basedOn w:val="TableNormal"/>
    <w:next w:val="TableColumns1"/>
    <w:uiPriority w:val="99"/>
    <w:semiHidden/>
    <w:rsid w:val="00BA5AD0"/>
    <w:rPr>
      <w:b w:val="0"/>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Columns21">
    <w:name w:val="Table Columns 21"/>
    <w:basedOn w:val="TableNormal"/>
    <w:next w:val="TableColumns2"/>
    <w:uiPriority w:val="99"/>
    <w:semiHidden/>
    <w:rsid w:val="00BA5AD0"/>
    <w:rPr>
      <w:b w:val="0"/>
      <w:bCs/>
      <w:sz w:val="20"/>
      <w:szCs w:val="20"/>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Columns31">
    <w:name w:val="Table Columns 31"/>
    <w:basedOn w:val="TableNormal"/>
    <w:next w:val="TableColumns3"/>
    <w:uiPriority w:val="99"/>
    <w:semiHidden/>
    <w:rsid w:val="00BA5AD0"/>
    <w:rPr>
      <w:b w:val="0"/>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TableColumns41">
    <w:name w:val="Table Columns 41"/>
    <w:basedOn w:val="TableNormal"/>
    <w:next w:val="TableColumns4"/>
    <w:uiPriority w:val="99"/>
    <w:semiHidden/>
    <w:rsid w:val="00BA5AD0"/>
    <w:rPr>
      <w:sz w:val="20"/>
      <w:szCs w:val="20"/>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TableColumns51">
    <w:name w:val="Table Columns 51"/>
    <w:basedOn w:val="TableNormal"/>
    <w:next w:val="TableColumns5"/>
    <w:uiPriority w:val="99"/>
    <w:semiHidden/>
    <w:rsid w:val="00BA5AD0"/>
    <w:rPr>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TableContemporary1">
    <w:name w:val="Table Contemporary1"/>
    <w:basedOn w:val="TableNormal"/>
    <w:next w:val="TableContemporary"/>
    <w:uiPriority w:val="99"/>
    <w:semiHidden/>
    <w:rsid w:val="00BA5AD0"/>
    <w:rPr>
      <w:sz w:val="20"/>
      <w:szCs w:val="20"/>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TableElegant1">
    <w:name w:val="Table Elegant1"/>
    <w:basedOn w:val="TableNormal"/>
    <w:next w:val="TableElegant"/>
    <w:uiPriority w:val="99"/>
    <w:semiHidden/>
    <w:rsid w:val="00BA5AD0"/>
    <w:rPr>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PlainTable1">
    <w:name w:val="Plain Table1"/>
    <w:basedOn w:val="TableNormal"/>
    <w:next w:val="TableGrid"/>
    <w:uiPriority w:val="39"/>
    <w:rsid w:val="00BA5AD0"/>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 11"/>
    <w:basedOn w:val="TableNormal"/>
    <w:next w:val="TableGrid1"/>
    <w:uiPriority w:val="99"/>
    <w:semiHidden/>
    <w:rsid w:val="00BA5AD0"/>
    <w:rPr>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TableGrid21">
    <w:name w:val="Table Grid 21"/>
    <w:basedOn w:val="TableNormal"/>
    <w:next w:val="TableGrid2"/>
    <w:uiPriority w:val="99"/>
    <w:semiHidden/>
    <w:rsid w:val="00BA5AD0"/>
    <w:rPr>
      <w:sz w:val="20"/>
      <w:szCs w:val="20"/>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TableGrid31">
    <w:name w:val="Table Grid 31"/>
    <w:basedOn w:val="TableNormal"/>
    <w:next w:val="TableGrid3"/>
    <w:uiPriority w:val="99"/>
    <w:semiHidden/>
    <w:rsid w:val="00BA5AD0"/>
    <w:rPr>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TableGrid41">
    <w:name w:val="Table Grid 41"/>
    <w:basedOn w:val="TableNormal"/>
    <w:next w:val="TableGrid4"/>
    <w:uiPriority w:val="99"/>
    <w:semiHidden/>
    <w:rsid w:val="00BA5AD0"/>
    <w:rPr>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TableGrid51">
    <w:name w:val="Table Grid 51"/>
    <w:basedOn w:val="TableNormal"/>
    <w:next w:val="TableGrid5"/>
    <w:uiPriority w:val="99"/>
    <w:semiHidden/>
    <w:rsid w:val="00BA5AD0"/>
    <w:rPr>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61">
    <w:name w:val="Table Grid 61"/>
    <w:basedOn w:val="TableNormal"/>
    <w:next w:val="TableGrid6"/>
    <w:uiPriority w:val="99"/>
    <w:semiHidden/>
    <w:rsid w:val="00BA5AD0"/>
    <w:rPr>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71">
    <w:name w:val="Table Grid 71"/>
    <w:basedOn w:val="TableNormal"/>
    <w:next w:val="TableGrid7"/>
    <w:uiPriority w:val="99"/>
    <w:semiHidden/>
    <w:rsid w:val="00BA5AD0"/>
    <w:rPr>
      <w:b w:val="0"/>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81">
    <w:name w:val="Table Grid 81"/>
    <w:basedOn w:val="TableNormal"/>
    <w:next w:val="TableGrid8"/>
    <w:uiPriority w:val="99"/>
    <w:semiHidden/>
    <w:rsid w:val="00BA5AD0"/>
    <w:rPr>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TableList21">
    <w:name w:val="Table List 21"/>
    <w:basedOn w:val="TableNormal"/>
    <w:next w:val="TableList2"/>
    <w:uiPriority w:val="99"/>
    <w:semiHidden/>
    <w:rsid w:val="00BA5AD0"/>
    <w:rPr>
      <w:sz w:val="20"/>
      <w:szCs w:val="20"/>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List31">
    <w:name w:val="Table List 31"/>
    <w:basedOn w:val="TableNormal"/>
    <w:next w:val="TableList3"/>
    <w:uiPriority w:val="99"/>
    <w:semiHidden/>
    <w:rsid w:val="00BA5AD0"/>
    <w:rPr>
      <w:sz w:val="20"/>
      <w:szCs w:val="20"/>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TableList41">
    <w:name w:val="Table List 41"/>
    <w:basedOn w:val="TableNormal"/>
    <w:next w:val="TableList4"/>
    <w:uiPriority w:val="99"/>
    <w:semiHidden/>
    <w:rsid w:val="00BA5AD0"/>
    <w:rPr>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
    <w:name w:val="Table List 51"/>
    <w:basedOn w:val="TableNormal"/>
    <w:next w:val="TableList5"/>
    <w:uiPriority w:val="99"/>
    <w:semiHidden/>
    <w:rsid w:val="00BA5AD0"/>
    <w:rPr>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TableList61">
    <w:name w:val="Table List 61"/>
    <w:basedOn w:val="TableNormal"/>
    <w:next w:val="TableList6"/>
    <w:uiPriority w:val="99"/>
    <w:semiHidden/>
    <w:rsid w:val="00BA5AD0"/>
    <w:rPr>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TableList71">
    <w:name w:val="Table List 71"/>
    <w:basedOn w:val="TableNormal"/>
    <w:next w:val="TableList7"/>
    <w:uiPriority w:val="99"/>
    <w:semiHidden/>
    <w:rsid w:val="00BA5AD0"/>
    <w:rPr>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TableList81">
    <w:name w:val="Table List 81"/>
    <w:basedOn w:val="TableNormal"/>
    <w:next w:val="TableList8"/>
    <w:uiPriority w:val="99"/>
    <w:semiHidden/>
    <w:rsid w:val="00BA5AD0"/>
    <w:rPr>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TableProfessional1">
    <w:name w:val="Table Professional1"/>
    <w:basedOn w:val="TableNormal"/>
    <w:next w:val="TableProfessional"/>
    <w:uiPriority w:val="99"/>
    <w:semiHidden/>
    <w:rsid w:val="00BA5AD0"/>
    <w:rPr>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TableSimple11">
    <w:name w:val="Table Simple 11"/>
    <w:basedOn w:val="TableNormal"/>
    <w:next w:val="TableSimple1"/>
    <w:uiPriority w:val="99"/>
    <w:semiHidden/>
    <w:rsid w:val="00BA5AD0"/>
    <w:rPr>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TableSimple21">
    <w:name w:val="Table Simple 21"/>
    <w:basedOn w:val="TableNormal"/>
    <w:next w:val="TableSimple2"/>
    <w:uiPriority w:val="99"/>
    <w:semiHidden/>
    <w:rsid w:val="00BA5AD0"/>
    <w:rPr>
      <w:sz w:val="20"/>
      <w:szCs w:val="20"/>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TableSimple31">
    <w:name w:val="Table Simple 31"/>
    <w:basedOn w:val="TableNormal"/>
    <w:next w:val="TableSimple3"/>
    <w:uiPriority w:val="99"/>
    <w:semiHidden/>
    <w:rsid w:val="00BA5AD0"/>
    <w:rPr>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TableSubtle11">
    <w:name w:val="Table Subtle 11"/>
    <w:basedOn w:val="TableNormal"/>
    <w:next w:val="TableSubtle1"/>
    <w:uiPriority w:val="99"/>
    <w:semiHidden/>
    <w:rsid w:val="00BA5AD0"/>
    <w:rPr>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Subtle21">
    <w:name w:val="Table Subtle 21"/>
    <w:basedOn w:val="TableNormal"/>
    <w:next w:val="TableSubtle2"/>
    <w:uiPriority w:val="99"/>
    <w:semiHidden/>
    <w:rsid w:val="00BA5AD0"/>
    <w:rPr>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Theme1">
    <w:name w:val="Table Theme1"/>
    <w:basedOn w:val="TableNormal"/>
    <w:next w:val="TableTheme"/>
    <w:uiPriority w:val="99"/>
    <w:semiHidden/>
    <w:rsid w:val="00BA5AD0"/>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11">
    <w:name w:val="Table Web 11"/>
    <w:basedOn w:val="TableNormal"/>
    <w:next w:val="TableWeb1"/>
    <w:uiPriority w:val="99"/>
    <w:semiHidden/>
    <w:rsid w:val="00BA5AD0"/>
    <w:rPr>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TableWeb21">
    <w:name w:val="Table Web 21"/>
    <w:basedOn w:val="TableNormal"/>
    <w:next w:val="TableWeb2"/>
    <w:uiPriority w:val="99"/>
    <w:semiHidden/>
    <w:rsid w:val="00BA5AD0"/>
    <w:rPr>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TableWeb31">
    <w:name w:val="Table Web 31"/>
    <w:basedOn w:val="TableNormal"/>
    <w:next w:val="TableWeb3"/>
    <w:uiPriority w:val="99"/>
    <w:semiHidden/>
    <w:rsid w:val="00BA5AD0"/>
    <w:rPr>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LightShading1">
    <w:name w:val="Light Shading1"/>
    <w:basedOn w:val="TableNormal"/>
    <w:next w:val="LightShading"/>
    <w:uiPriority w:val="60"/>
    <w:rsid w:val="00BA5AD0"/>
    <w:pPr>
      <w:spacing w:before="0" w:after="0"/>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upeTable1">
    <w:name w:val="Taupe Table1"/>
    <w:uiPriority w:val="99"/>
    <w:rsid w:val="00BA5AD0"/>
    <w:pPr>
      <w:spacing w:before="0" w:after="0"/>
      <w:ind w:left="0" w:firstLine="0"/>
    </w:pPr>
    <w:rPr>
      <w:rFonts w:asciiTheme="minorHAnsi" w:hAnsiTheme="minorHAnsi"/>
      <w:b w:val="0"/>
      <w:color w:val="auto"/>
      <w:sz w:val="20"/>
      <w:szCs w:val="20"/>
      <w:u w:val="none"/>
      <w:lang w:val="en-SG" w:eastAsia="en-SG"/>
    </w:rPr>
    <w:tblPr>
      <w:tblStyleRowBandSize w:val="1"/>
      <w:tblStyleColBandSize w:val="1"/>
      <w:tblInd w:w="0" w:type="dxa"/>
      <w:tblBorders>
        <w:bottom w:val="single" w:sz="4" w:space="0" w:color="988F86"/>
        <w:insideH w:val="single" w:sz="4" w:space="0" w:color="988F86"/>
      </w:tblBorders>
      <w:tblCellMar>
        <w:top w:w="0" w:type="dxa"/>
        <w:left w:w="108" w:type="dxa"/>
        <w:bottom w:w="0" w:type="dxa"/>
        <w:right w:w="108" w:type="dxa"/>
      </w:tblCellMar>
    </w:tblPr>
    <w:tcPr>
      <w:shd w:val="clear" w:color="auto" w:fill="auto"/>
    </w:tcPr>
    <w:tblStylePr w:type="firstRow">
      <w:rPr>
        <w:b w:val="0"/>
        <w:color w:val="FFFFFF" w:themeColor="background1"/>
      </w:rPr>
      <w:tblPr/>
      <w:tcPr>
        <w:shd w:val="clear" w:color="auto" w:fill="988F86" w:themeFill="accent3"/>
      </w:tcPr>
    </w:tblStylePr>
    <w:tblStylePr w:type="lastRow">
      <w:rPr>
        <w:rFonts w:asciiTheme="minorHAnsi" w:hAnsiTheme="minorHAnsi"/>
        <w:b/>
      </w:rPr>
      <w:tblPr/>
      <w:tcPr>
        <w:shd w:val="clear" w:color="auto" w:fill="C1BBB6" w:themeFill="accent3" w:themeFillTint="99"/>
      </w:tcPr>
    </w:tblStylePr>
    <w:tblStylePr w:type="firstCol">
      <w:tblPr/>
      <w:tcPr>
        <w:shd w:val="clear" w:color="auto" w:fill="D5D2CE" w:themeFill="accent3" w:themeFillTint="66"/>
      </w:tcPr>
    </w:tblStylePr>
    <w:tblStylePr w:type="lastCol">
      <w:tblPr/>
      <w:tcPr>
        <w:shd w:val="clear" w:color="auto" w:fill="C1BBB6" w:themeFill="accent3" w:themeFillTint="99"/>
      </w:tcPr>
    </w:tblStylePr>
    <w:tblStylePr w:type="band2Vert">
      <w:rPr>
        <w:rFonts w:asciiTheme="minorHAnsi" w:hAnsiTheme="minorHAnsi"/>
      </w:rPr>
      <w:tblPr/>
      <w:tcPr>
        <w:shd w:val="clear" w:color="auto" w:fill="EAE8E6" w:themeFill="accent3" w:themeFillTint="33"/>
      </w:tcPr>
    </w:tblStylePr>
    <w:tblStylePr w:type="band2Horz">
      <w:rPr>
        <w:rFonts w:asciiTheme="minorHAnsi" w:hAnsiTheme="minorHAnsi"/>
      </w:rPr>
      <w:tblPr/>
      <w:tcPr>
        <w:shd w:val="clear" w:color="auto" w:fill="EAE8E6" w:themeFill="accent3" w:themeFillTint="33"/>
      </w:tcPr>
    </w:tblStylePr>
  </w:style>
  <w:style w:type="table" w:customStyle="1" w:styleId="AquaTable1">
    <w:name w:val="Aqua Table1"/>
    <w:basedOn w:val="TaupeTable"/>
    <w:uiPriority w:val="99"/>
    <w:qFormat/>
    <w:rsid w:val="00BA5AD0"/>
    <w:tblPr>
      <w:tblBorders>
        <w:bottom w:val="single" w:sz="4" w:space="0" w:color="477F80" w:themeColor="accent6"/>
        <w:insideH w:val="single" w:sz="4" w:space="0" w:color="477F80" w:themeColor="accent6"/>
      </w:tblBorders>
    </w:tblPr>
    <w:tcPr>
      <w:shd w:val="clear" w:color="auto" w:fill="auto"/>
    </w:tcPr>
    <w:tblStylePr w:type="firstRow">
      <w:rPr>
        <w:b w:val="0"/>
        <w:color w:val="FFFFFF" w:themeColor="background1"/>
      </w:rPr>
      <w:tblPr/>
      <w:tcPr>
        <w:shd w:val="clear" w:color="auto" w:fill="477F80" w:themeFill="accent6"/>
      </w:tcPr>
    </w:tblStylePr>
    <w:tblStylePr w:type="lastRow">
      <w:rPr>
        <w:rFonts w:asciiTheme="minorHAnsi" w:hAnsiTheme="minorHAnsi"/>
        <w:b/>
      </w:rPr>
      <w:tblPr/>
      <w:tcPr>
        <w:shd w:val="clear" w:color="auto" w:fill="86BBBC" w:themeFill="accent6" w:themeFillTint="99"/>
      </w:tcPr>
    </w:tblStylePr>
    <w:tblStylePr w:type="firstCol">
      <w:tblPr/>
      <w:tcPr>
        <w:shd w:val="clear" w:color="auto" w:fill="AED1D2" w:themeFill="accent6" w:themeFillTint="66"/>
      </w:tcPr>
    </w:tblStylePr>
    <w:tblStylePr w:type="lastCol">
      <w:tblPr/>
      <w:tcPr>
        <w:shd w:val="clear" w:color="auto" w:fill="86BBBC" w:themeFill="accent6" w:themeFillTint="99"/>
      </w:tcPr>
    </w:tblStylePr>
    <w:tblStylePr w:type="band2Vert">
      <w:rPr>
        <w:rFonts w:asciiTheme="minorHAnsi" w:hAnsiTheme="minorHAnsi"/>
      </w:rPr>
      <w:tblPr/>
      <w:tcPr>
        <w:shd w:val="clear" w:color="auto" w:fill="D6E8E8" w:themeFill="accent6" w:themeFillTint="33"/>
      </w:tcPr>
    </w:tblStylePr>
    <w:tblStylePr w:type="band2Horz">
      <w:rPr>
        <w:rFonts w:asciiTheme="minorHAnsi" w:hAnsiTheme="minorHAnsi"/>
      </w:rPr>
      <w:tblPr/>
      <w:tcPr>
        <w:shd w:val="clear" w:color="auto" w:fill="D6E8E8" w:themeFill="accent6" w:themeFillTint="33"/>
      </w:tcPr>
    </w:tblStylePr>
  </w:style>
  <w:style w:type="table" w:customStyle="1" w:styleId="AquaTableBorders1">
    <w:name w:val="Aqua Table Borders1"/>
    <w:basedOn w:val="AquaTable"/>
    <w:uiPriority w:val="99"/>
    <w:qFormat/>
    <w:rsid w:val="00BA5AD0"/>
    <w:tblPr>
      <w:tblBorders>
        <w:top w:val="single" w:sz="4" w:space="0" w:color="477F80" w:themeColor="accent6"/>
        <w:left w:val="single" w:sz="4" w:space="0" w:color="477F80" w:themeColor="accent6"/>
        <w:bottom w:val="none" w:sz="0" w:space="0" w:color="auto"/>
        <w:right w:val="single" w:sz="4" w:space="0" w:color="477F80" w:themeColor="accent6"/>
        <w:insideH w:val="none" w:sz="0" w:space="0" w:color="auto"/>
        <w:insideV w:val="single" w:sz="4" w:space="0" w:color="477F80" w:themeColor="accent6"/>
      </w:tblBorders>
    </w:tblPr>
    <w:tcPr>
      <w:shd w:val="clear" w:color="auto" w:fill="auto"/>
    </w:tcPr>
    <w:tblStylePr w:type="firstRow">
      <w:rPr>
        <w:b w:val="0"/>
        <w:color w:val="FFFFFF" w:themeColor="background1"/>
      </w:rPr>
      <w:tblPr/>
      <w:tcPr>
        <w:shd w:val="clear" w:color="auto" w:fill="477F80" w:themeFill="accent6"/>
      </w:tcPr>
    </w:tblStylePr>
    <w:tblStylePr w:type="lastRow">
      <w:rPr>
        <w:rFonts w:asciiTheme="minorHAnsi" w:hAnsiTheme="minorHAnsi"/>
        <w:b/>
      </w:rPr>
      <w:tblPr/>
      <w:tcPr>
        <w:shd w:val="clear" w:color="auto" w:fill="86BBBC" w:themeFill="accent6" w:themeFillTint="99"/>
      </w:tcPr>
    </w:tblStylePr>
    <w:tblStylePr w:type="firstCol">
      <w:tblPr/>
      <w:tcPr>
        <w:shd w:val="clear" w:color="auto" w:fill="AED1D2" w:themeFill="accent6" w:themeFillTint="66"/>
      </w:tcPr>
    </w:tblStylePr>
    <w:tblStylePr w:type="lastCol">
      <w:tblPr/>
      <w:tcPr>
        <w:shd w:val="clear" w:color="auto" w:fill="86BBBC" w:themeFill="accent6" w:themeFillTint="99"/>
      </w:tcPr>
    </w:tblStylePr>
    <w:tblStylePr w:type="band2Vert">
      <w:rPr>
        <w:rFonts w:asciiTheme="minorHAnsi" w:hAnsiTheme="minorHAnsi"/>
      </w:rPr>
      <w:tblPr/>
      <w:tcPr>
        <w:shd w:val="clear" w:color="auto" w:fill="D6E8E8" w:themeFill="accent6" w:themeFillTint="33"/>
      </w:tcPr>
    </w:tblStylePr>
    <w:tblStylePr w:type="band2Horz">
      <w:rPr>
        <w:rFonts w:asciiTheme="minorHAnsi" w:hAnsiTheme="minorHAnsi"/>
      </w:rPr>
      <w:tblPr/>
      <w:tcPr>
        <w:shd w:val="clear" w:color="auto" w:fill="D6E8E8" w:themeFill="accent6" w:themeFillTint="33"/>
      </w:tcPr>
    </w:tblStylePr>
  </w:style>
  <w:style w:type="table" w:customStyle="1" w:styleId="BlueTable1">
    <w:name w:val="Blue Table1"/>
    <w:basedOn w:val="TaupeTable"/>
    <w:uiPriority w:val="99"/>
    <w:qFormat/>
    <w:rsid w:val="00BA5AD0"/>
    <w:tblPr>
      <w:tblBorders>
        <w:bottom w:val="single" w:sz="4" w:space="0" w:color="7090B7" w:themeColor="accent5"/>
        <w:insideH w:val="single" w:sz="4" w:space="0" w:color="7090B7" w:themeColor="accent5"/>
      </w:tblBorders>
    </w:tblPr>
    <w:tcPr>
      <w:shd w:val="clear" w:color="auto" w:fill="auto"/>
    </w:tcPr>
    <w:tblStylePr w:type="firstRow">
      <w:rPr>
        <w:b w:val="0"/>
        <w:color w:val="FFFFFF" w:themeColor="background1"/>
      </w:rPr>
      <w:tblPr/>
      <w:tcPr>
        <w:shd w:val="clear" w:color="auto" w:fill="7090B7" w:themeFill="accent5"/>
      </w:tcPr>
    </w:tblStylePr>
    <w:tblStylePr w:type="lastRow">
      <w:rPr>
        <w:rFonts w:asciiTheme="minorHAnsi" w:hAnsiTheme="minorHAnsi"/>
        <w:b/>
      </w:rPr>
      <w:tblPr/>
      <w:tcPr>
        <w:shd w:val="clear" w:color="auto" w:fill="A9BCD3" w:themeFill="accent5" w:themeFillTint="99"/>
      </w:tcPr>
    </w:tblStylePr>
    <w:tblStylePr w:type="firstCol">
      <w:tblPr/>
      <w:tcPr>
        <w:shd w:val="clear" w:color="auto" w:fill="C5D2E2" w:themeFill="accent5" w:themeFillTint="66"/>
      </w:tcPr>
    </w:tblStylePr>
    <w:tblStylePr w:type="lastCol">
      <w:tblPr/>
      <w:tcPr>
        <w:shd w:val="clear" w:color="auto" w:fill="A9BCD3" w:themeFill="accent5" w:themeFillTint="99"/>
      </w:tcPr>
    </w:tblStylePr>
    <w:tblStylePr w:type="band2Vert">
      <w:rPr>
        <w:rFonts w:asciiTheme="minorHAnsi" w:hAnsiTheme="minorHAnsi"/>
      </w:rPr>
      <w:tblPr/>
      <w:tcPr>
        <w:shd w:val="clear" w:color="auto" w:fill="E2E8F0" w:themeFill="accent5" w:themeFillTint="33"/>
      </w:tcPr>
    </w:tblStylePr>
    <w:tblStylePr w:type="band2Horz">
      <w:rPr>
        <w:rFonts w:asciiTheme="minorHAnsi" w:hAnsiTheme="minorHAnsi"/>
      </w:rPr>
      <w:tblPr/>
      <w:tcPr>
        <w:shd w:val="clear" w:color="auto" w:fill="E2E8F0" w:themeFill="accent5" w:themeFillTint="33"/>
      </w:tcPr>
    </w:tblStylePr>
  </w:style>
  <w:style w:type="table" w:customStyle="1" w:styleId="BlueTableBorders1">
    <w:name w:val="Blue Table Borders1"/>
    <w:basedOn w:val="BlueTable"/>
    <w:uiPriority w:val="99"/>
    <w:qFormat/>
    <w:rsid w:val="00BA5AD0"/>
    <w:tblPr>
      <w:tblBorders>
        <w:top w:val="single" w:sz="4" w:space="0" w:color="7090B7" w:themeColor="accent5"/>
        <w:left w:val="single" w:sz="4" w:space="0" w:color="7090B7" w:themeColor="accent5"/>
        <w:bottom w:val="none" w:sz="0" w:space="0" w:color="auto"/>
        <w:right w:val="single" w:sz="4" w:space="0" w:color="7090B7" w:themeColor="accent5"/>
        <w:insideH w:val="none" w:sz="0" w:space="0" w:color="auto"/>
        <w:insideV w:val="single" w:sz="4" w:space="0" w:color="7090B7" w:themeColor="accent5"/>
      </w:tblBorders>
    </w:tblPr>
    <w:tcPr>
      <w:shd w:val="clear" w:color="auto" w:fill="auto"/>
    </w:tcPr>
    <w:tblStylePr w:type="firstRow">
      <w:rPr>
        <w:b w:val="0"/>
        <w:color w:val="FFFFFF" w:themeColor="background1"/>
      </w:rPr>
      <w:tblPr/>
      <w:tcPr>
        <w:shd w:val="clear" w:color="auto" w:fill="7090B7" w:themeFill="accent5"/>
      </w:tcPr>
    </w:tblStylePr>
    <w:tblStylePr w:type="lastRow">
      <w:rPr>
        <w:rFonts w:asciiTheme="minorHAnsi" w:hAnsiTheme="minorHAnsi"/>
        <w:b/>
      </w:rPr>
      <w:tblPr/>
      <w:tcPr>
        <w:shd w:val="clear" w:color="auto" w:fill="A9BCD3" w:themeFill="accent5" w:themeFillTint="99"/>
      </w:tcPr>
    </w:tblStylePr>
    <w:tblStylePr w:type="firstCol">
      <w:tblPr/>
      <w:tcPr>
        <w:shd w:val="clear" w:color="auto" w:fill="C5D2E2" w:themeFill="accent5" w:themeFillTint="66"/>
      </w:tcPr>
    </w:tblStylePr>
    <w:tblStylePr w:type="lastCol">
      <w:tblPr/>
      <w:tcPr>
        <w:shd w:val="clear" w:color="auto" w:fill="A9BCD3" w:themeFill="accent5" w:themeFillTint="99"/>
      </w:tcPr>
    </w:tblStylePr>
    <w:tblStylePr w:type="band2Vert">
      <w:rPr>
        <w:rFonts w:asciiTheme="minorHAnsi" w:hAnsiTheme="minorHAnsi"/>
      </w:rPr>
      <w:tblPr/>
      <w:tcPr>
        <w:shd w:val="clear" w:color="auto" w:fill="E2E8F0" w:themeFill="accent5" w:themeFillTint="33"/>
      </w:tcPr>
    </w:tblStylePr>
    <w:tblStylePr w:type="band2Horz">
      <w:rPr>
        <w:rFonts w:asciiTheme="minorHAnsi" w:hAnsiTheme="minorHAnsi"/>
      </w:rPr>
      <w:tblPr/>
      <w:tcPr>
        <w:shd w:val="clear" w:color="auto" w:fill="E2E8F0" w:themeFill="accent5" w:themeFillTint="33"/>
      </w:tcPr>
    </w:tblStylePr>
  </w:style>
  <w:style w:type="table" w:customStyle="1" w:styleId="NavyTable1">
    <w:name w:val="Navy Table1"/>
    <w:basedOn w:val="TaupeTable"/>
    <w:uiPriority w:val="99"/>
    <w:qFormat/>
    <w:rsid w:val="00BA5AD0"/>
    <w:tblPr>
      <w:tblBorders>
        <w:bottom w:val="single" w:sz="4" w:space="0" w:color="003359" w:themeColor="accent1"/>
        <w:insideH w:val="single" w:sz="4" w:space="0" w:color="003359" w:themeColor="accent1"/>
      </w:tblBorders>
    </w:tblPr>
    <w:tcPr>
      <w:shd w:val="clear" w:color="auto" w:fill="auto"/>
    </w:tcPr>
    <w:tblStylePr w:type="firstRow">
      <w:rPr>
        <w:b w:val="0"/>
        <w:color w:val="FFFFFF" w:themeColor="background1"/>
      </w:rPr>
      <w:tblPr/>
      <w:tcPr>
        <w:shd w:val="clear" w:color="auto" w:fill="003359" w:themeFill="accent1"/>
      </w:tcPr>
    </w:tblStylePr>
    <w:tblStylePr w:type="lastRow">
      <w:rPr>
        <w:rFonts w:asciiTheme="minorHAnsi" w:hAnsiTheme="minorHAnsi"/>
        <w:b/>
      </w:rPr>
      <w:tblPr/>
      <w:tcPr>
        <w:shd w:val="clear" w:color="auto" w:fill="95D1FF" w:themeFill="accent1" w:themeFillTint="40"/>
      </w:tcPr>
    </w:tblStylePr>
    <w:tblStylePr w:type="firstCol">
      <w:tblPr/>
      <w:tcPr>
        <w:shd w:val="clear" w:color="auto" w:fill="D4ECFF" w:themeFill="accent1" w:themeFillTint="1A"/>
      </w:tcPr>
    </w:tblStylePr>
    <w:tblStylePr w:type="lastCol">
      <w:tblPr/>
      <w:tcPr>
        <w:shd w:val="clear" w:color="auto" w:fill="95D1FF" w:themeFill="accent1" w:themeFillTint="40"/>
      </w:tcPr>
    </w:tblStylePr>
    <w:tblStylePr w:type="band2Vert">
      <w:rPr>
        <w:rFonts w:asciiTheme="minorHAnsi" w:hAnsiTheme="minorHAnsi"/>
      </w:rPr>
      <w:tblPr/>
      <w:tcPr>
        <w:shd w:val="clear" w:color="auto" w:fill="EBF6FF"/>
      </w:tcPr>
    </w:tblStylePr>
    <w:tblStylePr w:type="band2Horz">
      <w:rPr>
        <w:rFonts w:asciiTheme="minorHAnsi" w:hAnsiTheme="minorHAnsi"/>
      </w:rPr>
      <w:tblPr/>
      <w:tcPr>
        <w:shd w:val="clear" w:color="auto" w:fill="EBF6FF"/>
      </w:tcPr>
    </w:tblStylePr>
  </w:style>
  <w:style w:type="table" w:customStyle="1" w:styleId="NavyTableBorders1">
    <w:name w:val="Navy Table Borders1"/>
    <w:basedOn w:val="NavyTable"/>
    <w:uiPriority w:val="99"/>
    <w:qFormat/>
    <w:rsid w:val="00BA5AD0"/>
    <w:tblPr>
      <w:tblBorders>
        <w:top w:val="single" w:sz="4" w:space="0" w:color="003359" w:themeColor="accent1"/>
        <w:left w:val="single" w:sz="4" w:space="0" w:color="003359" w:themeColor="accent1"/>
        <w:bottom w:val="none" w:sz="0" w:space="0" w:color="auto"/>
        <w:right w:val="single" w:sz="4" w:space="0" w:color="003359" w:themeColor="accent1"/>
        <w:insideH w:val="none" w:sz="0" w:space="0" w:color="auto"/>
        <w:insideV w:val="single" w:sz="4" w:space="0" w:color="003359" w:themeColor="accent1"/>
      </w:tblBorders>
    </w:tblPr>
    <w:tcPr>
      <w:shd w:val="clear" w:color="auto" w:fill="auto"/>
    </w:tcPr>
    <w:tblStylePr w:type="firstRow">
      <w:rPr>
        <w:b w:val="0"/>
        <w:color w:val="FFFFFF" w:themeColor="background1"/>
      </w:rPr>
      <w:tblPr/>
      <w:tcPr>
        <w:shd w:val="clear" w:color="auto" w:fill="003359" w:themeFill="accent1"/>
      </w:tcPr>
    </w:tblStylePr>
    <w:tblStylePr w:type="lastRow">
      <w:rPr>
        <w:rFonts w:asciiTheme="minorHAnsi" w:hAnsiTheme="minorHAnsi"/>
        <w:b/>
      </w:rPr>
      <w:tblPr/>
      <w:tcPr>
        <w:shd w:val="clear" w:color="auto" w:fill="95D1FF" w:themeFill="accent1" w:themeFillTint="40"/>
      </w:tcPr>
    </w:tblStylePr>
    <w:tblStylePr w:type="firstCol">
      <w:tblPr/>
      <w:tcPr>
        <w:shd w:val="clear" w:color="auto" w:fill="D4ECFF" w:themeFill="accent1" w:themeFillTint="1A"/>
      </w:tcPr>
    </w:tblStylePr>
    <w:tblStylePr w:type="lastCol">
      <w:tblPr/>
      <w:tcPr>
        <w:shd w:val="clear" w:color="auto" w:fill="95D1FF" w:themeFill="accent1" w:themeFillTint="40"/>
      </w:tcPr>
    </w:tblStylePr>
    <w:tblStylePr w:type="band2Vert">
      <w:rPr>
        <w:rFonts w:asciiTheme="minorHAnsi" w:hAnsiTheme="minorHAnsi"/>
      </w:rPr>
      <w:tblPr/>
      <w:tcPr>
        <w:shd w:val="clear" w:color="auto" w:fill="EBF6FF"/>
      </w:tcPr>
    </w:tblStylePr>
    <w:tblStylePr w:type="band2Horz">
      <w:rPr>
        <w:rFonts w:asciiTheme="minorHAnsi" w:hAnsiTheme="minorHAnsi"/>
      </w:rPr>
      <w:tblPr/>
      <w:tcPr>
        <w:shd w:val="clear" w:color="auto" w:fill="EBF6FF"/>
      </w:tcPr>
    </w:tblStylePr>
  </w:style>
  <w:style w:type="table" w:customStyle="1" w:styleId="OliveTable1">
    <w:name w:val="Olive Table1"/>
    <w:basedOn w:val="TaupeTable"/>
    <w:uiPriority w:val="99"/>
    <w:qFormat/>
    <w:rsid w:val="00BA5AD0"/>
    <w:tblPr>
      <w:tblBorders>
        <w:bottom w:val="single" w:sz="4" w:space="0" w:color="878800" w:themeColor="accent4"/>
        <w:insideH w:val="single" w:sz="4" w:space="0" w:color="878800" w:themeColor="accent4"/>
      </w:tblBorders>
    </w:tblPr>
    <w:tcPr>
      <w:shd w:val="clear" w:color="auto" w:fill="auto"/>
    </w:tcPr>
    <w:tblStylePr w:type="firstRow">
      <w:rPr>
        <w:b w:val="0"/>
        <w:color w:val="FFFFFF" w:themeColor="background1"/>
      </w:rPr>
      <w:tblPr/>
      <w:tcPr>
        <w:shd w:val="clear" w:color="auto" w:fill="878800" w:themeFill="accent4"/>
      </w:tcPr>
    </w:tblStylePr>
    <w:tblStylePr w:type="lastRow">
      <w:rPr>
        <w:rFonts w:asciiTheme="minorHAnsi" w:hAnsiTheme="minorHAnsi"/>
        <w:b/>
      </w:rPr>
      <w:tblPr/>
      <w:tcPr>
        <w:shd w:val="clear" w:color="auto" w:fill="C9C6A3"/>
      </w:tcPr>
    </w:tblStylePr>
    <w:tblStylePr w:type="firstCol">
      <w:tblPr/>
      <w:tcPr>
        <w:shd w:val="clear" w:color="auto" w:fill="DBD9C3"/>
      </w:tcPr>
    </w:tblStylePr>
    <w:tblStylePr w:type="lastCol">
      <w:tblPr/>
      <w:tcPr>
        <w:shd w:val="clear" w:color="auto" w:fill="C9C6A3"/>
      </w:tcPr>
    </w:tblStylePr>
    <w:tblStylePr w:type="band2Vert">
      <w:rPr>
        <w:rFonts w:asciiTheme="minorHAnsi" w:hAnsiTheme="minorHAnsi"/>
      </w:rPr>
      <w:tblPr/>
      <w:tcPr>
        <w:shd w:val="clear" w:color="auto" w:fill="EEEDE2"/>
      </w:tcPr>
    </w:tblStylePr>
    <w:tblStylePr w:type="band2Horz">
      <w:rPr>
        <w:rFonts w:asciiTheme="minorHAnsi" w:hAnsiTheme="minorHAnsi"/>
      </w:rPr>
      <w:tblPr/>
      <w:tcPr>
        <w:shd w:val="clear" w:color="auto" w:fill="EEEDE2"/>
      </w:tcPr>
    </w:tblStylePr>
  </w:style>
  <w:style w:type="table" w:customStyle="1" w:styleId="OliveTableBorders1">
    <w:name w:val="Olive Table Borders1"/>
    <w:basedOn w:val="OliveTable"/>
    <w:uiPriority w:val="99"/>
    <w:qFormat/>
    <w:rsid w:val="00BA5AD0"/>
    <w:tblPr>
      <w:tblBorders>
        <w:top w:val="single" w:sz="4" w:space="0" w:color="878800" w:themeColor="accent4"/>
        <w:left w:val="single" w:sz="4" w:space="0" w:color="878800" w:themeColor="accent4"/>
        <w:bottom w:val="none" w:sz="0" w:space="0" w:color="auto"/>
        <w:right w:val="single" w:sz="4" w:space="0" w:color="878800" w:themeColor="accent4"/>
        <w:insideH w:val="none" w:sz="0" w:space="0" w:color="auto"/>
        <w:insideV w:val="single" w:sz="4" w:space="0" w:color="878800" w:themeColor="accent4"/>
      </w:tblBorders>
    </w:tblPr>
    <w:tcPr>
      <w:shd w:val="clear" w:color="auto" w:fill="auto"/>
    </w:tcPr>
    <w:tblStylePr w:type="firstRow">
      <w:rPr>
        <w:b w:val="0"/>
        <w:color w:val="FFFFFF" w:themeColor="background1"/>
      </w:rPr>
      <w:tblPr/>
      <w:tcPr>
        <w:shd w:val="clear" w:color="auto" w:fill="878800" w:themeFill="accent4"/>
      </w:tcPr>
    </w:tblStylePr>
    <w:tblStylePr w:type="lastRow">
      <w:rPr>
        <w:rFonts w:asciiTheme="minorHAnsi" w:hAnsiTheme="minorHAnsi"/>
        <w:b/>
      </w:rPr>
      <w:tblPr/>
      <w:tcPr>
        <w:shd w:val="clear" w:color="auto" w:fill="C9C6A3"/>
      </w:tcPr>
    </w:tblStylePr>
    <w:tblStylePr w:type="firstCol">
      <w:tblPr/>
      <w:tcPr>
        <w:shd w:val="clear" w:color="auto" w:fill="DBD9C3"/>
      </w:tcPr>
    </w:tblStylePr>
    <w:tblStylePr w:type="lastCol">
      <w:tblPr/>
      <w:tcPr>
        <w:shd w:val="clear" w:color="auto" w:fill="C9C6A3"/>
      </w:tcPr>
    </w:tblStylePr>
    <w:tblStylePr w:type="band2Vert">
      <w:rPr>
        <w:rFonts w:asciiTheme="minorHAnsi" w:hAnsiTheme="minorHAnsi"/>
      </w:rPr>
      <w:tblPr/>
      <w:tcPr>
        <w:shd w:val="clear" w:color="auto" w:fill="EEEDE2"/>
      </w:tcPr>
    </w:tblStylePr>
    <w:tblStylePr w:type="band2Horz">
      <w:rPr>
        <w:rFonts w:asciiTheme="minorHAnsi" w:hAnsiTheme="minorHAnsi"/>
      </w:rPr>
      <w:tblPr/>
      <w:tcPr>
        <w:shd w:val="clear" w:color="auto" w:fill="EEEDE2"/>
      </w:tcPr>
    </w:tblStylePr>
  </w:style>
  <w:style w:type="table" w:customStyle="1" w:styleId="OrangeTable1">
    <w:name w:val="Orange Table1"/>
    <w:basedOn w:val="TaupeTable"/>
    <w:uiPriority w:val="99"/>
    <w:qFormat/>
    <w:rsid w:val="00BA5AD0"/>
    <w:tblPr>
      <w:tblBorders>
        <w:bottom w:val="single" w:sz="4" w:space="0" w:color="D95E00" w:themeColor="accent2"/>
        <w:insideH w:val="single" w:sz="4" w:space="0" w:color="D95E00" w:themeColor="accent2"/>
      </w:tblBorders>
    </w:tblPr>
    <w:tcPr>
      <w:shd w:val="clear" w:color="auto" w:fill="auto"/>
    </w:tcPr>
    <w:tblStylePr w:type="firstRow">
      <w:rPr>
        <w:b w:val="0"/>
        <w:color w:val="FFFFFF" w:themeColor="background1"/>
      </w:rPr>
      <w:tblPr/>
      <w:tcPr>
        <w:shd w:val="clear" w:color="auto" w:fill="D95E00" w:themeFill="accent2"/>
      </w:tcPr>
    </w:tblStylePr>
    <w:tblStylePr w:type="lastRow">
      <w:rPr>
        <w:rFonts w:asciiTheme="minorHAnsi" w:hAnsiTheme="minorHAnsi"/>
        <w:b/>
      </w:rPr>
      <w:tblPr/>
      <w:tcPr>
        <w:shd w:val="clear" w:color="auto" w:fill="DEB892"/>
      </w:tcPr>
    </w:tblStylePr>
    <w:tblStylePr w:type="firstCol">
      <w:tblPr/>
      <w:tcPr>
        <w:shd w:val="clear" w:color="auto" w:fill="E8CDB2"/>
      </w:tcPr>
    </w:tblStylePr>
    <w:tblStylePr w:type="lastCol">
      <w:tblPr/>
      <w:tcPr>
        <w:shd w:val="clear" w:color="auto" w:fill="DEB892"/>
      </w:tcPr>
    </w:tblStylePr>
    <w:tblStylePr w:type="band2Vert">
      <w:rPr>
        <w:rFonts w:asciiTheme="minorHAnsi" w:hAnsiTheme="minorHAnsi"/>
      </w:rPr>
      <w:tblPr/>
      <w:tcPr>
        <w:shd w:val="clear" w:color="auto" w:fill="F3E4D5"/>
      </w:tcPr>
    </w:tblStylePr>
    <w:tblStylePr w:type="band2Horz">
      <w:rPr>
        <w:rFonts w:asciiTheme="minorHAnsi" w:hAnsiTheme="minorHAnsi"/>
      </w:rPr>
      <w:tblPr/>
      <w:tcPr>
        <w:shd w:val="clear" w:color="auto" w:fill="F3E4D5"/>
      </w:tcPr>
    </w:tblStylePr>
  </w:style>
  <w:style w:type="table" w:customStyle="1" w:styleId="OrangeTableBorders1">
    <w:name w:val="Orange Table Borders1"/>
    <w:basedOn w:val="OrangeTable"/>
    <w:uiPriority w:val="99"/>
    <w:qFormat/>
    <w:rsid w:val="00BA5AD0"/>
    <w:tblPr>
      <w:tblBorders>
        <w:top w:val="single" w:sz="4" w:space="0" w:color="D95E00" w:themeColor="accent2"/>
        <w:left w:val="single" w:sz="4" w:space="0" w:color="D95E00" w:themeColor="accent2"/>
        <w:bottom w:val="none" w:sz="0" w:space="0" w:color="auto"/>
        <w:right w:val="single" w:sz="4" w:space="0" w:color="D95E00" w:themeColor="accent2"/>
        <w:insideH w:val="none" w:sz="0" w:space="0" w:color="auto"/>
        <w:insideV w:val="single" w:sz="4" w:space="0" w:color="D95E00" w:themeColor="accent2"/>
      </w:tblBorders>
    </w:tblPr>
    <w:tcPr>
      <w:shd w:val="clear" w:color="auto" w:fill="auto"/>
    </w:tcPr>
    <w:tblStylePr w:type="firstRow">
      <w:rPr>
        <w:b w:val="0"/>
        <w:color w:val="FFFFFF" w:themeColor="background1"/>
      </w:rPr>
      <w:tblPr/>
      <w:tcPr>
        <w:shd w:val="clear" w:color="auto" w:fill="D95E00" w:themeFill="accent2"/>
      </w:tcPr>
    </w:tblStylePr>
    <w:tblStylePr w:type="lastRow">
      <w:rPr>
        <w:rFonts w:asciiTheme="minorHAnsi" w:hAnsiTheme="minorHAnsi"/>
        <w:b/>
      </w:rPr>
      <w:tblPr/>
      <w:tcPr>
        <w:shd w:val="clear" w:color="auto" w:fill="DEB892"/>
      </w:tcPr>
    </w:tblStylePr>
    <w:tblStylePr w:type="firstCol">
      <w:tblPr/>
      <w:tcPr>
        <w:shd w:val="clear" w:color="auto" w:fill="E8CDB2"/>
      </w:tcPr>
    </w:tblStylePr>
    <w:tblStylePr w:type="lastCol">
      <w:tblPr/>
      <w:tcPr>
        <w:shd w:val="clear" w:color="auto" w:fill="DEB892"/>
      </w:tcPr>
    </w:tblStylePr>
    <w:tblStylePr w:type="band2Vert">
      <w:rPr>
        <w:rFonts w:asciiTheme="minorHAnsi" w:hAnsiTheme="minorHAnsi"/>
      </w:rPr>
      <w:tblPr/>
      <w:tcPr>
        <w:shd w:val="clear" w:color="auto" w:fill="F3E4D5"/>
      </w:tcPr>
    </w:tblStylePr>
    <w:tblStylePr w:type="band2Horz">
      <w:rPr>
        <w:rFonts w:asciiTheme="minorHAnsi" w:hAnsiTheme="minorHAnsi"/>
      </w:rPr>
      <w:tblPr/>
      <w:tcPr>
        <w:shd w:val="clear" w:color="auto" w:fill="F3E4D5"/>
      </w:tcPr>
    </w:tblStylePr>
  </w:style>
  <w:style w:type="table" w:customStyle="1" w:styleId="TaupeTableBorders1">
    <w:name w:val="Taupe Table Borders1"/>
    <w:basedOn w:val="TaupeTable"/>
    <w:uiPriority w:val="99"/>
    <w:qFormat/>
    <w:rsid w:val="00BA5AD0"/>
    <w:tblPr>
      <w:tblBorders>
        <w:top w:val="single" w:sz="4" w:space="0" w:color="988F86" w:themeColor="accent3"/>
        <w:left w:val="single" w:sz="4" w:space="0" w:color="988F86" w:themeColor="accent3"/>
        <w:bottom w:val="single" w:sz="4" w:space="0" w:color="988F86" w:themeColor="accent3"/>
        <w:right w:val="single" w:sz="4" w:space="0" w:color="988F86" w:themeColor="accent3"/>
        <w:insideH w:val="single" w:sz="4" w:space="0" w:color="988F86" w:themeColor="accent3"/>
        <w:insideV w:val="single" w:sz="4" w:space="0" w:color="988F86" w:themeColor="accent3"/>
      </w:tblBorders>
    </w:tblPr>
    <w:tcPr>
      <w:shd w:val="clear" w:color="auto" w:fill="auto"/>
    </w:tcPr>
    <w:tblStylePr w:type="firstRow">
      <w:rPr>
        <w:b w:val="0"/>
        <w:color w:val="FFFFFF" w:themeColor="background1"/>
      </w:rPr>
      <w:tblPr/>
      <w:tcPr>
        <w:shd w:val="clear" w:color="auto" w:fill="988F86" w:themeFill="accent3"/>
      </w:tcPr>
    </w:tblStylePr>
    <w:tblStylePr w:type="lastRow">
      <w:rPr>
        <w:rFonts w:asciiTheme="minorHAnsi" w:hAnsiTheme="minorHAnsi"/>
        <w:b/>
      </w:rPr>
      <w:tblPr/>
      <w:tcPr>
        <w:shd w:val="clear" w:color="auto" w:fill="C1BBB6" w:themeFill="accent3" w:themeFillTint="99"/>
      </w:tcPr>
    </w:tblStylePr>
    <w:tblStylePr w:type="firstCol">
      <w:tblPr/>
      <w:tcPr>
        <w:shd w:val="clear" w:color="auto" w:fill="D5D2CE" w:themeFill="accent3" w:themeFillTint="66"/>
      </w:tcPr>
    </w:tblStylePr>
    <w:tblStylePr w:type="lastCol">
      <w:tblPr/>
      <w:tcPr>
        <w:shd w:val="clear" w:color="auto" w:fill="C1BBB6" w:themeFill="accent3" w:themeFillTint="99"/>
      </w:tcPr>
    </w:tblStylePr>
    <w:tblStylePr w:type="band2Vert">
      <w:rPr>
        <w:rFonts w:asciiTheme="minorHAnsi" w:hAnsiTheme="minorHAnsi"/>
      </w:rPr>
      <w:tblPr/>
      <w:tcPr>
        <w:shd w:val="clear" w:color="auto" w:fill="EAE8E6" w:themeFill="accent3" w:themeFillTint="33"/>
      </w:tcPr>
    </w:tblStylePr>
    <w:tblStylePr w:type="band2Horz">
      <w:rPr>
        <w:rFonts w:asciiTheme="minorHAnsi" w:hAnsiTheme="minorHAnsi"/>
      </w:rPr>
      <w:tblPr/>
      <w:tcPr>
        <w:shd w:val="clear" w:color="auto" w:fill="EAE8E6" w:themeFill="accent3" w:themeFillTint="33"/>
      </w:tcPr>
    </w:tblStylePr>
  </w:style>
  <w:style w:type="table" w:customStyle="1" w:styleId="TableGrid15">
    <w:name w:val="Table Grid15"/>
    <w:basedOn w:val="TableNormal"/>
    <w:next w:val="TableGrid"/>
    <w:uiPriority w:val="39"/>
    <w:rsid w:val="00BA5AD0"/>
    <w:pPr>
      <w:spacing w:before="0" w:after="0"/>
      <w:ind w:left="0" w:firstLine="0"/>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
    <w:basedOn w:val="TableNormal"/>
    <w:next w:val="TableGrid"/>
    <w:uiPriority w:val="39"/>
    <w:rsid w:val="00BA5AD0"/>
    <w:pPr>
      <w:spacing w:before="0" w:after="0"/>
      <w:ind w:left="0" w:firstLine="0"/>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
    <w:basedOn w:val="TableNormal"/>
    <w:next w:val="TableGrid"/>
    <w:uiPriority w:val="39"/>
    <w:rsid w:val="00BA5AD0"/>
    <w:pPr>
      <w:spacing w:before="0" w:after="0"/>
      <w:ind w:left="0" w:firstLine="0"/>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
    <w:name w:val="Table Grid41"/>
    <w:basedOn w:val="TableNormal"/>
    <w:next w:val="TableGrid"/>
    <w:uiPriority w:val="39"/>
    <w:rsid w:val="00BA5AD0"/>
    <w:pPr>
      <w:spacing w:before="0" w:after="0"/>
      <w:ind w:left="0" w:firstLine="0"/>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Paragraph">
    <w:name w:val="1Paragraph"/>
    <w:rsid w:val="00BA5AD0"/>
    <w:pPr>
      <w:tabs>
        <w:tab w:val="left" w:pos="720"/>
      </w:tabs>
      <w:spacing w:before="0" w:after="0"/>
      <w:ind w:left="0" w:firstLine="0"/>
    </w:pPr>
    <w:rPr>
      <w:rFonts w:ascii="Courier 10cpi" w:hAnsi="Courier 10cpi"/>
      <w:snapToGrid w:val="0"/>
      <w:sz w:val="24"/>
      <w:szCs w:val="20"/>
      <w:lang w:val="en-US" w:eastAsia="en-US"/>
    </w:rPr>
  </w:style>
  <w:style w:type="paragraph" w:customStyle="1" w:styleId="1ShadedCheck">
    <w:name w:val="1Shaded Check"/>
    <w:uiPriority w:val="99"/>
    <w:rsid w:val="00BA5AD0"/>
    <w:pPr>
      <w:widowControl w:val="0"/>
      <w:tabs>
        <w:tab w:val="left" w:pos="720"/>
      </w:tabs>
      <w:autoSpaceDE w:val="0"/>
      <w:autoSpaceDN w:val="0"/>
      <w:spacing w:before="0" w:after="0"/>
      <w:ind w:left="720" w:hanging="720"/>
      <w:jc w:val="both"/>
    </w:pPr>
    <w:rPr>
      <w:rFonts w:ascii="Times New Roman" w:hAnsi="Times New Roman"/>
      <w:sz w:val="24"/>
      <w:szCs w:val="24"/>
      <w:lang w:eastAsia="en-US"/>
    </w:rPr>
  </w:style>
  <w:style w:type="table" w:customStyle="1" w:styleId="CardnoTableNavy3">
    <w:name w:val="Cardno Table Navy3"/>
    <w:basedOn w:val="TableNormal"/>
    <w:uiPriority w:val="99"/>
    <w:qFormat/>
    <w:rsid w:val="00BA5AD0"/>
    <w:pPr>
      <w:spacing w:before="0" w:after="0"/>
      <w:ind w:left="0" w:firstLine="0"/>
    </w:pPr>
    <w:rPr>
      <w:rFonts w:asciiTheme="minorHAnsi" w:hAnsiTheme="minorHAnsi"/>
      <w:sz w:val="20"/>
      <w:szCs w:val="20"/>
      <w:lang w:val="en-US" w:eastAsia="en-US"/>
    </w:rPr>
    <w:tblPr>
      <w:tblBorders>
        <w:bottom w:val="single" w:sz="4" w:space="0" w:color="C1BBB6" w:themeColor="accent3" w:themeTint="99"/>
        <w:insideH w:val="single" w:sz="4" w:space="0" w:color="C1BBB6" w:themeColor="accent3" w:themeTint="99"/>
      </w:tblBorders>
    </w:tblPr>
    <w:tcPr>
      <w:tcMar>
        <w:top w:w="57" w:type="dxa"/>
        <w:bottom w:w="57" w:type="dxa"/>
      </w:tcMar>
    </w:tcPr>
    <w:tblStylePr w:type="firstRow">
      <w:rPr>
        <w:color w:val="FFFFFF" w:themeColor="background1"/>
      </w:rPr>
      <w:tblPr/>
      <w:trPr>
        <w:tblHeader/>
      </w:trPr>
      <w:tcPr>
        <w:shd w:val="clear" w:color="auto" w:fill="003359" w:themeFill="accent1"/>
      </w:tcPr>
    </w:tblStylePr>
  </w:style>
  <w:style w:type="table" w:customStyle="1" w:styleId="CardnoTable">
    <w:name w:val="Cardno Table"/>
    <w:basedOn w:val="TableNormal"/>
    <w:uiPriority w:val="99"/>
    <w:rsid w:val="00BA5AD0"/>
    <w:pPr>
      <w:spacing w:before="0" w:after="0"/>
      <w:ind w:left="0" w:firstLine="0"/>
    </w:pPr>
    <w:rPr>
      <w:rFonts w:ascii="Arial" w:hAnsi="Arial"/>
      <w:sz w:val="16"/>
    </w:rPr>
    <w:tblPr>
      <w:tblBorders>
        <w:top w:val="single" w:sz="4" w:space="0" w:color="988F86" w:themeColor="accent3"/>
        <w:bottom w:val="single" w:sz="4" w:space="0" w:color="988F86" w:themeColor="accent3"/>
        <w:insideH w:val="single" w:sz="6" w:space="0" w:color="988F86" w:themeColor="accent3"/>
      </w:tblBorders>
    </w:tblPr>
    <w:tcPr>
      <w:tcMar>
        <w:top w:w="57" w:type="dxa"/>
        <w:bottom w:w="57" w:type="dxa"/>
      </w:tcMar>
    </w:tcPr>
    <w:tblStylePr w:type="firstRow">
      <w:pPr>
        <w:jc w:val="center"/>
      </w:pPr>
      <w:rPr>
        <w:rFonts w:ascii="Arial" w:hAnsi="Arial"/>
        <w:b/>
        <w:color w:val="FFFFFF" w:themeColor="background1"/>
        <w:sz w:val="16"/>
      </w:rPr>
      <w:tblPr/>
      <w:tcPr>
        <w:shd w:val="clear" w:color="auto" w:fill="988F86" w:themeFill="accent3"/>
        <w:vAlign w:val="center"/>
      </w:tcPr>
    </w:tblStylePr>
  </w:style>
  <w:style w:type="table" w:styleId="LightList-Accent1">
    <w:name w:val="Light List Accent 1"/>
    <w:basedOn w:val="TableNormal"/>
    <w:uiPriority w:val="61"/>
    <w:rsid w:val="00BA5AD0"/>
    <w:pPr>
      <w:spacing w:before="0" w:after="0"/>
    </w:pPr>
    <w:tblPr>
      <w:tblStyleRowBandSize w:val="1"/>
      <w:tblStyleColBandSize w:val="1"/>
      <w:tblBorders>
        <w:top w:val="single" w:sz="8" w:space="0" w:color="003359" w:themeColor="accent1"/>
        <w:left w:val="single" w:sz="8" w:space="0" w:color="003359" w:themeColor="accent1"/>
        <w:bottom w:val="single" w:sz="8" w:space="0" w:color="003359" w:themeColor="accent1"/>
        <w:right w:val="single" w:sz="8" w:space="0" w:color="003359" w:themeColor="accent1"/>
      </w:tblBorders>
    </w:tblPr>
    <w:tblStylePr w:type="firstRow">
      <w:pPr>
        <w:spacing w:before="0" w:after="0" w:line="240" w:lineRule="auto"/>
      </w:pPr>
      <w:rPr>
        <w:b/>
        <w:bCs/>
        <w:color w:val="FFFFFF" w:themeColor="background1"/>
      </w:rPr>
      <w:tblPr/>
      <w:tcPr>
        <w:shd w:val="clear" w:color="auto" w:fill="003359" w:themeFill="accent1"/>
      </w:tcPr>
    </w:tblStylePr>
    <w:tblStylePr w:type="lastRow">
      <w:pPr>
        <w:spacing w:before="0" w:after="0" w:line="240" w:lineRule="auto"/>
      </w:pPr>
      <w:rPr>
        <w:b/>
        <w:bCs/>
      </w:rPr>
      <w:tblPr/>
      <w:tcPr>
        <w:tcBorders>
          <w:top w:val="double" w:sz="6" w:space="0" w:color="003359" w:themeColor="accent1"/>
          <w:left w:val="single" w:sz="8" w:space="0" w:color="003359" w:themeColor="accent1"/>
          <w:bottom w:val="single" w:sz="8" w:space="0" w:color="003359" w:themeColor="accent1"/>
          <w:right w:val="single" w:sz="8" w:space="0" w:color="003359" w:themeColor="accent1"/>
        </w:tcBorders>
      </w:tcPr>
    </w:tblStylePr>
    <w:tblStylePr w:type="firstCol">
      <w:rPr>
        <w:b/>
        <w:bCs/>
      </w:rPr>
    </w:tblStylePr>
    <w:tblStylePr w:type="lastCol">
      <w:rPr>
        <w:b/>
        <w:bCs/>
      </w:rPr>
    </w:tblStylePr>
    <w:tblStylePr w:type="band1Vert">
      <w:tblPr/>
      <w:tcPr>
        <w:tcBorders>
          <w:top w:val="single" w:sz="8" w:space="0" w:color="003359" w:themeColor="accent1"/>
          <w:left w:val="single" w:sz="8" w:space="0" w:color="003359" w:themeColor="accent1"/>
          <w:bottom w:val="single" w:sz="8" w:space="0" w:color="003359" w:themeColor="accent1"/>
          <w:right w:val="single" w:sz="8" w:space="0" w:color="003359" w:themeColor="accent1"/>
        </w:tcBorders>
      </w:tcPr>
    </w:tblStylePr>
    <w:tblStylePr w:type="band1Horz">
      <w:tblPr/>
      <w:tcPr>
        <w:tcBorders>
          <w:top w:val="single" w:sz="8" w:space="0" w:color="003359" w:themeColor="accent1"/>
          <w:left w:val="single" w:sz="8" w:space="0" w:color="003359" w:themeColor="accent1"/>
          <w:bottom w:val="single" w:sz="8" w:space="0" w:color="003359" w:themeColor="accent1"/>
          <w:right w:val="single" w:sz="8" w:space="0" w:color="003359" w:themeColor="accent1"/>
        </w:tcBorders>
      </w:tcPr>
    </w:tblStylePr>
  </w:style>
  <w:style w:type="paragraph" w:customStyle="1" w:styleId="font7">
    <w:name w:val="font7"/>
    <w:basedOn w:val="Normal"/>
    <w:rsid w:val="00BA5AD0"/>
    <w:pPr>
      <w:spacing w:before="100" w:beforeAutospacing="1" w:after="100" w:afterAutospacing="1"/>
    </w:pPr>
    <w:rPr>
      <w:b w:val="0"/>
      <w:bCs/>
      <w:sz w:val="24"/>
      <w:szCs w:val="24"/>
    </w:rPr>
  </w:style>
  <w:style w:type="table" w:styleId="MediumShading1-Accent5">
    <w:name w:val="Medium Shading 1 Accent 5"/>
    <w:basedOn w:val="TableNormal"/>
    <w:uiPriority w:val="63"/>
    <w:rsid w:val="00BA5AD0"/>
    <w:pPr>
      <w:spacing w:before="0" w:after="0"/>
    </w:pPr>
    <w:tblPr>
      <w:tblStyleRowBandSize w:val="1"/>
      <w:tblStyleColBandSize w:val="1"/>
      <w:tblBorders>
        <w:top w:val="single" w:sz="8" w:space="0" w:color="93ABC9" w:themeColor="accent5" w:themeTint="BF"/>
        <w:left w:val="single" w:sz="8" w:space="0" w:color="93ABC9" w:themeColor="accent5" w:themeTint="BF"/>
        <w:bottom w:val="single" w:sz="8" w:space="0" w:color="93ABC9" w:themeColor="accent5" w:themeTint="BF"/>
        <w:right w:val="single" w:sz="8" w:space="0" w:color="93ABC9" w:themeColor="accent5" w:themeTint="BF"/>
        <w:insideH w:val="single" w:sz="8" w:space="0" w:color="93ABC9" w:themeColor="accent5" w:themeTint="BF"/>
      </w:tblBorders>
    </w:tblPr>
    <w:tblStylePr w:type="firstRow">
      <w:pPr>
        <w:spacing w:before="0" w:after="0" w:line="240" w:lineRule="auto"/>
      </w:pPr>
      <w:rPr>
        <w:b/>
        <w:bCs/>
        <w:color w:val="FFFFFF" w:themeColor="background1"/>
      </w:rPr>
      <w:tblPr/>
      <w:tcPr>
        <w:tcBorders>
          <w:top w:val="single" w:sz="8" w:space="0" w:color="93ABC9" w:themeColor="accent5" w:themeTint="BF"/>
          <w:left w:val="single" w:sz="8" w:space="0" w:color="93ABC9" w:themeColor="accent5" w:themeTint="BF"/>
          <w:bottom w:val="single" w:sz="8" w:space="0" w:color="93ABC9" w:themeColor="accent5" w:themeTint="BF"/>
          <w:right w:val="single" w:sz="8" w:space="0" w:color="93ABC9" w:themeColor="accent5" w:themeTint="BF"/>
          <w:insideH w:val="nil"/>
          <w:insideV w:val="nil"/>
        </w:tcBorders>
        <w:shd w:val="clear" w:color="auto" w:fill="7090B7" w:themeFill="accent5"/>
      </w:tcPr>
    </w:tblStylePr>
    <w:tblStylePr w:type="lastRow">
      <w:pPr>
        <w:spacing w:before="0" w:after="0" w:line="240" w:lineRule="auto"/>
      </w:pPr>
      <w:rPr>
        <w:b/>
        <w:bCs/>
      </w:rPr>
      <w:tblPr/>
      <w:tcPr>
        <w:tcBorders>
          <w:top w:val="double" w:sz="6" w:space="0" w:color="93ABC9" w:themeColor="accent5" w:themeTint="BF"/>
          <w:left w:val="single" w:sz="8" w:space="0" w:color="93ABC9" w:themeColor="accent5" w:themeTint="BF"/>
          <w:bottom w:val="single" w:sz="8" w:space="0" w:color="93ABC9" w:themeColor="accent5" w:themeTint="BF"/>
          <w:right w:val="single" w:sz="8" w:space="0" w:color="93ABC9" w:themeColor="accent5" w:themeTint="BF"/>
          <w:insideH w:val="nil"/>
          <w:insideV w:val="nil"/>
        </w:tcBorders>
      </w:tcPr>
    </w:tblStylePr>
    <w:tblStylePr w:type="firstCol">
      <w:rPr>
        <w:b/>
        <w:bCs/>
      </w:rPr>
    </w:tblStylePr>
    <w:tblStylePr w:type="lastCol">
      <w:rPr>
        <w:b/>
        <w:bCs/>
      </w:rPr>
    </w:tblStylePr>
    <w:tblStylePr w:type="band1Vert">
      <w:tblPr/>
      <w:tcPr>
        <w:shd w:val="clear" w:color="auto" w:fill="DBE3ED" w:themeFill="accent5" w:themeFillTint="3F"/>
      </w:tcPr>
    </w:tblStylePr>
    <w:tblStylePr w:type="band1Horz">
      <w:tblPr/>
      <w:tcPr>
        <w:tcBorders>
          <w:insideH w:val="nil"/>
          <w:insideV w:val="nil"/>
        </w:tcBorders>
        <w:shd w:val="clear" w:color="auto" w:fill="DBE3ED" w:themeFill="accent5" w:themeFillTint="3F"/>
      </w:tcPr>
    </w:tblStylePr>
    <w:tblStylePr w:type="band2Horz">
      <w:tblPr/>
      <w:tcPr>
        <w:tcBorders>
          <w:insideH w:val="nil"/>
          <w:insideV w:val="nil"/>
        </w:tcBorders>
      </w:tcPr>
    </w:tblStylePr>
  </w:style>
  <w:style w:type="table" w:customStyle="1" w:styleId="TableGrid16">
    <w:name w:val="Table Grid16"/>
    <w:basedOn w:val="TableNormal"/>
    <w:next w:val="TableGrid"/>
    <w:uiPriority w:val="59"/>
    <w:rsid w:val="00943609"/>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59"/>
    <w:rsid w:val="00943609"/>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59"/>
    <w:rsid w:val="00BC6B90"/>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59"/>
    <w:rsid w:val="008D6060"/>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0">
    <w:name w:val="Table Grid20"/>
    <w:basedOn w:val="TableNormal"/>
    <w:next w:val="TableGrid"/>
    <w:uiPriority w:val="59"/>
    <w:rsid w:val="000B10F8"/>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ED65FA"/>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59"/>
    <w:rsid w:val="000A578E"/>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51">
    <w:name w:val="Medium Shading 1 - Accent 51"/>
    <w:basedOn w:val="TableNormal"/>
    <w:next w:val="MediumShading1-Accent5"/>
    <w:uiPriority w:val="63"/>
    <w:rsid w:val="00333456"/>
    <w:pPr>
      <w:spacing w:before="0" w:after="0"/>
      <w:ind w:left="0" w:firstLine="0"/>
    </w:pPr>
    <w:rPr>
      <w:rFonts w:ascii="Calibri" w:eastAsia="Calibri" w:hAnsi="Calibri"/>
      <w:lang w:eastAsia="en-US"/>
    </w:rPr>
    <w:tblPr>
      <w:tblStyleRowBandSize w:val="1"/>
      <w:tblStyleColBandSize w:val="1"/>
      <w:tblBorders>
        <w:top w:val="single" w:sz="8" w:space="0" w:color="7295D2"/>
        <w:left w:val="single" w:sz="8" w:space="0" w:color="7295D2"/>
        <w:bottom w:val="single" w:sz="8" w:space="0" w:color="7295D2"/>
        <w:right w:val="single" w:sz="8" w:space="0" w:color="7295D2"/>
        <w:insideH w:val="single" w:sz="8" w:space="0" w:color="7295D2"/>
      </w:tblBorders>
    </w:tblPr>
    <w:tblStylePr w:type="firstRow">
      <w:pPr>
        <w:spacing w:before="0" w:after="0" w:line="240" w:lineRule="auto"/>
      </w:pPr>
      <w:rPr>
        <w:b/>
        <w:bCs/>
        <w:color w:val="FFFFFF"/>
      </w:rPr>
      <w:tblPr/>
      <w:tcPr>
        <w:tcBorders>
          <w:top w:val="single" w:sz="8" w:space="0" w:color="7295D2"/>
          <w:left w:val="single" w:sz="8" w:space="0" w:color="7295D2"/>
          <w:bottom w:val="single" w:sz="8" w:space="0" w:color="7295D2"/>
          <w:right w:val="single" w:sz="8" w:space="0" w:color="7295D2"/>
          <w:insideH w:val="nil"/>
          <w:insideV w:val="nil"/>
        </w:tcBorders>
        <w:shd w:val="clear" w:color="auto" w:fill="4472C4"/>
      </w:tcPr>
    </w:tblStylePr>
    <w:tblStylePr w:type="lastRow">
      <w:pPr>
        <w:spacing w:before="0" w:after="0" w:line="240" w:lineRule="auto"/>
      </w:pPr>
      <w:rPr>
        <w:b/>
        <w:bCs/>
      </w:rPr>
      <w:tblPr/>
      <w:tcPr>
        <w:tcBorders>
          <w:top w:val="double" w:sz="6" w:space="0" w:color="7295D2"/>
          <w:left w:val="single" w:sz="8" w:space="0" w:color="7295D2"/>
          <w:bottom w:val="single" w:sz="8" w:space="0" w:color="7295D2"/>
          <w:right w:val="single" w:sz="8" w:space="0" w:color="7295D2"/>
          <w:insideH w:val="nil"/>
          <w:insideV w:val="nil"/>
        </w:tcBorders>
      </w:tcPr>
    </w:tblStylePr>
    <w:tblStylePr w:type="firstCol">
      <w:rPr>
        <w:b/>
        <w:bCs/>
      </w:rPr>
    </w:tblStylePr>
    <w:tblStylePr w:type="lastCol">
      <w:rPr>
        <w:b/>
        <w:bCs/>
      </w:rPr>
    </w:tblStylePr>
    <w:tblStylePr w:type="band1Vert">
      <w:tblPr/>
      <w:tcPr>
        <w:shd w:val="clear" w:color="auto" w:fill="D0DBF0"/>
      </w:tcPr>
    </w:tblStylePr>
    <w:tblStylePr w:type="band1Horz">
      <w:tblPr/>
      <w:tcPr>
        <w:tcBorders>
          <w:insideH w:val="nil"/>
          <w:insideV w:val="nil"/>
        </w:tcBorders>
        <w:shd w:val="clear" w:color="auto" w:fill="D0DBF0"/>
      </w:tcPr>
    </w:tblStylePr>
    <w:tblStylePr w:type="band2Horz">
      <w:tblPr/>
      <w:tcPr>
        <w:tcBorders>
          <w:insideH w:val="nil"/>
          <w:insideV w:val="nil"/>
        </w:tcBorders>
      </w:tcPr>
    </w:tblStylePr>
  </w:style>
  <w:style w:type="numbering" w:customStyle="1" w:styleId="NoList2">
    <w:name w:val="No List2"/>
    <w:next w:val="NoList"/>
    <w:uiPriority w:val="99"/>
    <w:semiHidden/>
    <w:unhideWhenUsed/>
    <w:rsid w:val="006A4381"/>
  </w:style>
  <w:style w:type="numbering" w:customStyle="1" w:styleId="NoList3">
    <w:name w:val="No List3"/>
    <w:next w:val="NoList"/>
    <w:uiPriority w:val="99"/>
    <w:semiHidden/>
    <w:unhideWhenUsed/>
    <w:rsid w:val="00536C56"/>
  </w:style>
  <w:style w:type="numbering" w:customStyle="1" w:styleId="NoList4">
    <w:name w:val="No List4"/>
    <w:next w:val="NoList"/>
    <w:uiPriority w:val="99"/>
    <w:semiHidden/>
    <w:unhideWhenUsed/>
    <w:rsid w:val="00925893"/>
  </w:style>
  <w:style w:type="table" w:customStyle="1" w:styleId="TableGrid24">
    <w:name w:val="Table Grid24"/>
    <w:basedOn w:val="TableNormal"/>
    <w:next w:val="TableGrid"/>
    <w:uiPriority w:val="39"/>
    <w:rsid w:val="00925893"/>
    <w:pPr>
      <w:spacing w:before="0" w:after="0"/>
      <w:ind w:left="0" w:firstLine="0"/>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59"/>
    <w:rsid w:val="006F359A"/>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next w:val="TableGrid"/>
    <w:uiPriority w:val="59"/>
    <w:rsid w:val="00265366"/>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uiPriority w:val="99"/>
    <w:semiHidden/>
    <w:unhideWhenUsed/>
    <w:rsid w:val="00FC6E47"/>
  </w:style>
  <w:style w:type="table" w:customStyle="1" w:styleId="Table3Deffects12">
    <w:name w:val="Table 3D effects 12"/>
    <w:basedOn w:val="TableNormal"/>
    <w:next w:val="Table3Deffects1"/>
    <w:uiPriority w:val="99"/>
    <w:semiHidden/>
    <w:rsid w:val="00FC6E47"/>
    <w:rPr>
      <w:sz w:val="20"/>
      <w:szCs w:val="20"/>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2">
    <w:name w:val="Table 3D effects 22"/>
    <w:basedOn w:val="TableNormal"/>
    <w:next w:val="Table3Deffects2"/>
    <w:uiPriority w:val="99"/>
    <w:semiHidden/>
    <w:rsid w:val="00FC6E47"/>
    <w:rPr>
      <w:sz w:val="20"/>
      <w:szCs w:val="20"/>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3Deffects32">
    <w:name w:val="Table 3D effects 32"/>
    <w:basedOn w:val="TableNormal"/>
    <w:next w:val="Table3Deffects3"/>
    <w:uiPriority w:val="99"/>
    <w:semiHidden/>
    <w:rsid w:val="00FC6E47"/>
    <w:rPr>
      <w:sz w:val="20"/>
      <w:szCs w:val="20"/>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Classic12">
    <w:name w:val="Table Classic 12"/>
    <w:basedOn w:val="TableNormal"/>
    <w:next w:val="TableClassic1"/>
    <w:uiPriority w:val="99"/>
    <w:semiHidden/>
    <w:rsid w:val="00FC6E47"/>
    <w:rPr>
      <w:sz w:val="20"/>
      <w:szCs w:val="20"/>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Classic22">
    <w:name w:val="Table Classic 22"/>
    <w:basedOn w:val="TableNormal"/>
    <w:next w:val="TableClassic2"/>
    <w:uiPriority w:val="99"/>
    <w:semiHidden/>
    <w:rsid w:val="00FC6E47"/>
    <w:rPr>
      <w:sz w:val="20"/>
      <w:szCs w:val="20"/>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TableClassic32">
    <w:name w:val="Table Classic 32"/>
    <w:basedOn w:val="TableNormal"/>
    <w:next w:val="TableClassic3"/>
    <w:uiPriority w:val="99"/>
    <w:semiHidden/>
    <w:rsid w:val="00FC6E47"/>
    <w:rPr>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TableClassic42">
    <w:name w:val="Table Classic 42"/>
    <w:basedOn w:val="TableNormal"/>
    <w:next w:val="TableClassic4"/>
    <w:uiPriority w:val="99"/>
    <w:semiHidden/>
    <w:rsid w:val="00FC6E47"/>
    <w:rPr>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TableColorful12">
    <w:name w:val="Table Colorful 12"/>
    <w:basedOn w:val="TableNormal"/>
    <w:next w:val="TableColorful1"/>
    <w:uiPriority w:val="99"/>
    <w:semiHidden/>
    <w:rsid w:val="00FC6E47"/>
    <w:rPr>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TableColorful22">
    <w:name w:val="Table Colorful 22"/>
    <w:basedOn w:val="TableNormal"/>
    <w:next w:val="TableColorful2"/>
    <w:uiPriority w:val="99"/>
    <w:semiHidden/>
    <w:rsid w:val="00FC6E47"/>
    <w:rPr>
      <w:sz w:val="20"/>
      <w:szCs w:val="20"/>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TableColorful32">
    <w:name w:val="Table Colorful 32"/>
    <w:basedOn w:val="TableNormal"/>
    <w:next w:val="TableColorful3"/>
    <w:uiPriority w:val="99"/>
    <w:semiHidden/>
    <w:rsid w:val="00FC6E47"/>
    <w:rPr>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TableColumns12">
    <w:name w:val="Table Columns 12"/>
    <w:basedOn w:val="TableNormal"/>
    <w:next w:val="TableColumns1"/>
    <w:uiPriority w:val="99"/>
    <w:semiHidden/>
    <w:rsid w:val="00FC6E47"/>
    <w:rPr>
      <w:b w:val="0"/>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Columns22">
    <w:name w:val="Table Columns 22"/>
    <w:basedOn w:val="TableNormal"/>
    <w:next w:val="TableColumns2"/>
    <w:uiPriority w:val="99"/>
    <w:semiHidden/>
    <w:rsid w:val="00FC6E47"/>
    <w:rPr>
      <w:b w:val="0"/>
      <w:bCs/>
      <w:sz w:val="20"/>
      <w:szCs w:val="20"/>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Columns32">
    <w:name w:val="Table Columns 32"/>
    <w:basedOn w:val="TableNormal"/>
    <w:next w:val="TableColumns3"/>
    <w:uiPriority w:val="99"/>
    <w:semiHidden/>
    <w:rsid w:val="00FC6E47"/>
    <w:rPr>
      <w:b w:val="0"/>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TableColumns42">
    <w:name w:val="Table Columns 42"/>
    <w:basedOn w:val="TableNormal"/>
    <w:next w:val="TableColumns4"/>
    <w:uiPriority w:val="99"/>
    <w:semiHidden/>
    <w:rsid w:val="00FC6E47"/>
    <w:rPr>
      <w:sz w:val="20"/>
      <w:szCs w:val="20"/>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TableColumns52">
    <w:name w:val="Table Columns 52"/>
    <w:basedOn w:val="TableNormal"/>
    <w:next w:val="TableColumns5"/>
    <w:uiPriority w:val="99"/>
    <w:semiHidden/>
    <w:rsid w:val="00FC6E47"/>
    <w:rPr>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TableContemporary2">
    <w:name w:val="Table Contemporary2"/>
    <w:basedOn w:val="TableNormal"/>
    <w:next w:val="TableContemporary"/>
    <w:uiPriority w:val="99"/>
    <w:semiHidden/>
    <w:rsid w:val="00FC6E47"/>
    <w:rPr>
      <w:sz w:val="20"/>
      <w:szCs w:val="20"/>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TableElegant2">
    <w:name w:val="Table Elegant2"/>
    <w:basedOn w:val="TableNormal"/>
    <w:next w:val="TableElegant"/>
    <w:uiPriority w:val="99"/>
    <w:semiHidden/>
    <w:rsid w:val="00FC6E47"/>
    <w:rPr>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PlainTable2">
    <w:name w:val="Plain Table2"/>
    <w:basedOn w:val="TableNormal"/>
    <w:next w:val="TableGrid"/>
    <w:uiPriority w:val="39"/>
    <w:rsid w:val="00FC6E4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
    <w:name w:val="Table Grid 12"/>
    <w:basedOn w:val="TableNormal"/>
    <w:next w:val="TableGrid1"/>
    <w:uiPriority w:val="99"/>
    <w:semiHidden/>
    <w:rsid w:val="00FC6E47"/>
    <w:rPr>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TableGrid220">
    <w:name w:val="Table Grid 22"/>
    <w:basedOn w:val="TableNormal"/>
    <w:next w:val="TableGrid2"/>
    <w:uiPriority w:val="99"/>
    <w:semiHidden/>
    <w:rsid w:val="00FC6E47"/>
    <w:rPr>
      <w:sz w:val="20"/>
      <w:szCs w:val="20"/>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TableGrid32">
    <w:name w:val="Table Grid 32"/>
    <w:basedOn w:val="TableNormal"/>
    <w:next w:val="TableGrid3"/>
    <w:uiPriority w:val="99"/>
    <w:semiHidden/>
    <w:rsid w:val="00FC6E47"/>
    <w:rPr>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TableGrid42">
    <w:name w:val="Table Grid 42"/>
    <w:basedOn w:val="TableNormal"/>
    <w:next w:val="TableGrid4"/>
    <w:uiPriority w:val="99"/>
    <w:semiHidden/>
    <w:rsid w:val="00FC6E47"/>
    <w:rPr>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TableGrid52">
    <w:name w:val="Table Grid 52"/>
    <w:basedOn w:val="TableNormal"/>
    <w:next w:val="TableGrid5"/>
    <w:uiPriority w:val="99"/>
    <w:semiHidden/>
    <w:rsid w:val="00FC6E47"/>
    <w:rPr>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62">
    <w:name w:val="Table Grid 62"/>
    <w:basedOn w:val="TableNormal"/>
    <w:next w:val="TableGrid6"/>
    <w:uiPriority w:val="99"/>
    <w:semiHidden/>
    <w:rsid w:val="00FC6E47"/>
    <w:rPr>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72">
    <w:name w:val="Table Grid 72"/>
    <w:basedOn w:val="TableNormal"/>
    <w:next w:val="TableGrid7"/>
    <w:uiPriority w:val="99"/>
    <w:semiHidden/>
    <w:rsid w:val="00FC6E47"/>
    <w:rPr>
      <w:b w:val="0"/>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82">
    <w:name w:val="Table Grid 82"/>
    <w:basedOn w:val="TableNormal"/>
    <w:next w:val="TableGrid8"/>
    <w:uiPriority w:val="99"/>
    <w:semiHidden/>
    <w:rsid w:val="00FC6E47"/>
    <w:rPr>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TableList22">
    <w:name w:val="Table List 22"/>
    <w:basedOn w:val="TableNormal"/>
    <w:next w:val="TableList2"/>
    <w:uiPriority w:val="99"/>
    <w:semiHidden/>
    <w:rsid w:val="00FC6E47"/>
    <w:rPr>
      <w:sz w:val="20"/>
      <w:szCs w:val="20"/>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List32">
    <w:name w:val="Table List 32"/>
    <w:basedOn w:val="TableNormal"/>
    <w:next w:val="TableList3"/>
    <w:uiPriority w:val="99"/>
    <w:semiHidden/>
    <w:rsid w:val="00FC6E47"/>
    <w:rPr>
      <w:sz w:val="20"/>
      <w:szCs w:val="20"/>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TableList42">
    <w:name w:val="Table List 42"/>
    <w:basedOn w:val="TableNormal"/>
    <w:next w:val="TableList4"/>
    <w:uiPriority w:val="99"/>
    <w:semiHidden/>
    <w:rsid w:val="00FC6E47"/>
    <w:rPr>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2">
    <w:name w:val="Table List 52"/>
    <w:basedOn w:val="TableNormal"/>
    <w:next w:val="TableList5"/>
    <w:uiPriority w:val="99"/>
    <w:semiHidden/>
    <w:rsid w:val="00FC6E47"/>
    <w:rPr>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TableList62">
    <w:name w:val="Table List 62"/>
    <w:basedOn w:val="TableNormal"/>
    <w:next w:val="TableList6"/>
    <w:uiPriority w:val="99"/>
    <w:semiHidden/>
    <w:rsid w:val="00FC6E47"/>
    <w:rPr>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TableList72">
    <w:name w:val="Table List 72"/>
    <w:basedOn w:val="TableNormal"/>
    <w:next w:val="TableList7"/>
    <w:uiPriority w:val="99"/>
    <w:semiHidden/>
    <w:rsid w:val="00FC6E47"/>
    <w:rPr>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TableList82">
    <w:name w:val="Table List 82"/>
    <w:basedOn w:val="TableNormal"/>
    <w:next w:val="TableList8"/>
    <w:uiPriority w:val="99"/>
    <w:semiHidden/>
    <w:rsid w:val="00FC6E47"/>
    <w:rPr>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TableProfessional2">
    <w:name w:val="Table Professional2"/>
    <w:basedOn w:val="TableNormal"/>
    <w:next w:val="TableProfessional"/>
    <w:uiPriority w:val="99"/>
    <w:semiHidden/>
    <w:rsid w:val="00FC6E47"/>
    <w:rPr>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TableSimple12">
    <w:name w:val="Table Simple 12"/>
    <w:basedOn w:val="TableNormal"/>
    <w:next w:val="TableSimple1"/>
    <w:uiPriority w:val="99"/>
    <w:semiHidden/>
    <w:rsid w:val="00FC6E47"/>
    <w:rPr>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TableSimple22">
    <w:name w:val="Table Simple 22"/>
    <w:basedOn w:val="TableNormal"/>
    <w:next w:val="TableSimple2"/>
    <w:uiPriority w:val="99"/>
    <w:semiHidden/>
    <w:rsid w:val="00FC6E47"/>
    <w:rPr>
      <w:sz w:val="20"/>
      <w:szCs w:val="20"/>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TableSimple32">
    <w:name w:val="Table Simple 32"/>
    <w:basedOn w:val="TableNormal"/>
    <w:next w:val="TableSimple3"/>
    <w:uiPriority w:val="99"/>
    <w:semiHidden/>
    <w:rsid w:val="00FC6E47"/>
    <w:rPr>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TableSubtle12">
    <w:name w:val="Table Subtle 12"/>
    <w:basedOn w:val="TableNormal"/>
    <w:next w:val="TableSubtle1"/>
    <w:uiPriority w:val="99"/>
    <w:semiHidden/>
    <w:rsid w:val="00FC6E47"/>
    <w:rPr>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Subtle22">
    <w:name w:val="Table Subtle 22"/>
    <w:basedOn w:val="TableNormal"/>
    <w:next w:val="TableSubtle2"/>
    <w:uiPriority w:val="99"/>
    <w:semiHidden/>
    <w:rsid w:val="00FC6E47"/>
    <w:rPr>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Theme2">
    <w:name w:val="Table Theme2"/>
    <w:basedOn w:val="TableNormal"/>
    <w:next w:val="TableTheme"/>
    <w:uiPriority w:val="99"/>
    <w:semiHidden/>
    <w:rsid w:val="00FC6E4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12">
    <w:name w:val="Table Web 12"/>
    <w:basedOn w:val="TableNormal"/>
    <w:next w:val="TableWeb1"/>
    <w:uiPriority w:val="99"/>
    <w:semiHidden/>
    <w:rsid w:val="00FC6E47"/>
    <w:rPr>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TableWeb22">
    <w:name w:val="Table Web 22"/>
    <w:basedOn w:val="TableNormal"/>
    <w:next w:val="TableWeb2"/>
    <w:uiPriority w:val="99"/>
    <w:semiHidden/>
    <w:rsid w:val="00FC6E47"/>
    <w:rPr>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TableWeb32">
    <w:name w:val="Table Web 32"/>
    <w:basedOn w:val="TableNormal"/>
    <w:next w:val="TableWeb3"/>
    <w:uiPriority w:val="99"/>
    <w:semiHidden/>
    <w:rsid w:val="00FC6E47"/>
    <w:rPr>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LightShading2">
    <w:name w:val="Light Shading2"/>
    <w:basedOn w:val="TableNormal"/>
    <w:next w:val="LightShading"/>
    <w:uiPriority w:val="60"/>
    <w:rsid w:val="00FC6E47"/>
    <w:pPr>
      <w:spacing w:before="0" w:after="0"/>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upeTable2">
    <w:name w:val="Taupe Table2"/>
    <w:uiPriority w:val="99"/>
    <w:rsid w:val="00FC6E47"/>
    <w:pPr>
      <w:spacing w:before="0" w:after="0"/>
      <w:ind w:left="0" w:firstLine="0"/>
    </w:pPr>
    <w:rPr>
      <w:rFonts w:asciiTheme="minorHAnsi" w:hAnsiTheme="minorHAnsi"/>
      <w:b w:val="0"/>
      <w:color w:val="auto"/>
      <w:sz w:val="20"/>
      <w:szCs w:val="20"/>
      <w:u w:val="none"/>
      <w:lang w:val="en-SG" w:eastAsia="en-SG"/>
    </w:rPr>
    <w:tblPr>
      <w:tblStyleRowBandSize w:val="1"/>
      <w:tblStyleColBandSize w:val="1"/>
      <w:tblInd w:w="0" w:type="dxa"/>
      <w:tblBorders>
        <w:bottom w:val="single" w:sz="4" w:space="0" w:color="988F86"/>
        <w:insideH w:val="single" w:sz="4" w:space="0" w:color="988F86"/>
      </w:tblBorders>
      <w:tblCellMar>
        <w:top w:w="0" w:type="dxa"/>
        <w:left w:w="108" w:type="dxa"/>
        <w:bottom w:w="0" w:type="dxa"/>
        <w:right w:w="108" w:type="dxa"/>
      </w:tblCellMar>
    </w:tblPr>
    <w:tcPr>
      <w:shd w:val="clear" w:color="auto" w:fill="auto"/>
    </w:tcPr>
    <w:tblStylePr w:type="firstRow">
      <w:rPr>
        <w:b w:val="0"/>
        <w:color w:val="FFFFFF" w:themeColor="background1"/>
      </w:rPr>
      <w:tblPr/>
      <w:tcPr>
        <w:shd w:val="clear" w:color="auto" w:fill="988F86" w:themeFill="accent3"/>
      </w:tcPr>
    </w:tblStylePr>
    <w:tblStylePr w:type="lastRow">
      <w:rPr>
        <w:rFonts w:asciiTheme="minorHAnsi" w:hAnsiTheme="minorHAnsi"/>
        <w:b/>
      </w:rPr>
      <w:tblPr/>
      <w:tcPr>
        <w:shd w:val="clear" w:color="auto" w:fill="C1BBB6" w:themeFill="accent3" w:themeFillTint="99"/>
      </w:tcPr>
    </w:tblStylePr>
    <w:tblStylePr w:type="firstCol">
      <w:tblPr/>
      <w:tcPr>
        <w:shd w:val="clear" w:color="auto" w:fill="D5D2CE" w:themeFill="accent3" w:themeFillTint="66"/>
      </w:tcPr>
    </w:tblStylePr>
    <w:tblStylePr w:type="lastCol">
      <w:tblPr/>
      <w:tcPr>
        <w:shd w:val="clear" w:color="auto" w:fill="C1BBB6" w:themeFill="accent3" w:themeFillTint="99"/>
      </w:tcPr>
    </w:tblStylePr>
    <w:tblStylePr w:type="band2Vert">
      <w:rPr>
        <w:rFonts w:asciiTheme="minorHAnsi" w:hAnsiTheme="minorHAnsi"/>
      </w:rPr>
      <w:tblPr/>
      <w:tcPr>
        <w:shd w:val="clear" w:color="auto" w:fill="EAE8E6" w:themeFill="accent3" w:themeFillTint="33"/>
      </w:tcPr>
    </w:tblStylePr>
    <w:tblStylePr w:type="band2Horz">
      <w:rPr>
        <w:rFonts w:asciiTheme="minorHAnsi" w:hAnsiTheme="minorHAnsi"/>
      </w:rPr>
      <w:tblPr/>
      <w:tcPr>
        <w:shd w:val="clear" w:color="auto" w:fill="EAE8E6" w:themeFill="accent3" w:themeFillTint="33"/>
      </w:tcPr>
    </w:tblStylePr>
  </w:style>
  <w:style w:type="table" w:customStyle="1" w:styleId="AquaTable2">
    <w:name w:val="Aqua Table2"/>
    <w:basedOn w:val="TaupeTable"/>
    <w:uiPriority w:val="99"/>
    <w:qFormat/>
    <w:rsid w:val="00FC6E47"/>
    <w:tblPr>
      <w:tblBorders>
        <w:bottom w:val="single" w:sz="4" w:space="0" w:color="477F80" w:themeColor="accent6"/>
        <w:insideH w:val="single" w:sz="4" w:space="0" w:color="477F80" w:themeColor="accent6"/>
      </w:tblBorders>
    </w:tblPr>
    <w:tcPr>
      <w:shd w:val="clear" w:color="auto" w:fill="auto"/>
    </w:tcPr>
    <w:tblStylePr w:type="firstRow">
      <w:rPr>
        <w:b w:val="0"/>
        <w:color w:val="FFFFFF" w:themeColor="background1"/>
      </w:rPr>
      <w:tblPr/>
      <w:tcPr>
        <w:shd w:val="clear" w:color="auto" w:fill="477F80" w:themeFill="accent6"/>
      </w:tcPr>
    </w:tblStylePr>
    <w:tblStylePr w:type="lastRow">
      <w:rPr>
        <w:rFonts w:asciiTheme="minorHAnsi" w:hAnsiTheme="minorHAnsi"/>
        <w:b/>
      </w:rPr>
      <w:tblPr/>
      <w:tcPr>
        <w:shd w:val="clear" w:color="auto" w:fill="86BBBC" w:themeFill="accent6" w:themeFillTint="99"/>
      </w:tcPr>
    </w:tblStylePr>
    <w:tblStylePr w:type="firstCol">
      <w:tblPr/>
      <w:tcPr>
        <w:shd w:val="clear" w:color="auto" w:fill="AED1D2" w:themeFill="accent6" w:themeFillTint="66"/>
      </w:tcPr>
    </w:tblStylePr>
    <w:tblStylePr w:type="lastCol">
      <w:tblPr/>
      <w:tcPr>
        <w:shd w:val="clear" w:color="auto" w:fill="86BBBC" w:themeFill="accent6" w:themeFillTint="99"/>
      </w:tcPr>
    </w:tblStylePr>
    <w:tblStylePr w:type="band2Vert">
      <w:rPr>
        <w:rFonts w:asciiTheme="minorHAnsi" w:hAnsiTheme="minorHAnsi"/>
      </w:rPr>
      <w:tblPr/>
      <w:tcPr>
        <w:shd w:val="clear" w:color="auto" w:fill="D6E8E8" w:themeFill="accent6" w:themeFillTint="33"/>
      </w:tcPr>
    </w:tblStylePr>
    <w:tblStylePr w:type="band2Horz">
      <w:rPr>
        <w:rFonts w:asciiTheme="minorHAnsi" w:hAnsiTheme="minorHAnsi"/>
      </w:rPr>
      <w:tblPr/>
      <w:tcPr>
        <w:shd w:val="clear" w:color="auto" w:fill="D6E8E8" w:themeFill="accent6" w:themeFillTint="33"/>
      </w:tcPr>
    </w:tblStylePr>
  </w:style>
  <w:style w:type="table" w:customStyle="1" w:styleId="AquaTableBorders2">
    <w:name w:val="Aqua Table Borders2"/>
    <w:basedOn w:val="AquaTable"/>
    <w:uiPriority w:val="99"/>
    <w:qFormat/>
    <w:rsid w:val="00FC6E47"/>
    <w:tblPr>
      <w:tblBorders>
        <w:top w:val="single" w:sz="4" w:space="0" w:color="477F80" w:themeColor="accent6"/>
        <w:left w:val="single" w:sz="4" w:space="0" w:color="477F80" w:themeColor="accent6"/>
        <w:bottom w:val="none" w:sz="0" w:space="0" w:color="auto"/>
        <w:right w:val="single" w:sz="4" w:space="0" w:color="477F80" w:themeColor="accent6"/>
        <w:insideH w:val="none" w:sz="0" w:space="0" w:color="auto"/>
        <w:insideV w:val="single" w:sz="4" w:space="0" w:color="477F80" w:themeColor="accent6"/>
      </w:tblBorders>
    </w:tblPr>
    <w:tcPr>
      <w:shd w:val="clear" w:color="auto" w:fill="auto"/>
    </w:tcPr>
    <w:tblStylePr w:type="firstRow">
      <w:rPr>
        <w:b w:val="0"/>
        <w:color w:val="FFFFFF" w:themeColor="background1"/>
      </w:rPr>
      <w:tblPr/>
      <w:tcPr>
        <w:shd w:val="clear" w:color="auto" w:fill="477F80" w:themeFill="accent6"/>
      </w:tcPr>
    </w:tblStylePr>
    <w:tblStylePr w:type="lastRow">
      <w:rPr>
        <w:rFonts w:asciiTheme="minorHAnsi" w:hAnsiTheme="minorHAnsi"/>
        <w:b/>
      </w:rPr>
      <w:tblPr/>
      <w:tcPr>
        <w:shd w:val="clear" w:color="auto" w:fill="86BBBC" w:themeFill="accent6" w:themeFillTint="99"/>
      </w:tcPr>
    </w:tblStylePr>
    <w:tblStylePr w:type="firstCol">
      <w:tblPr/>
      <w:tcPr>
        <w:shd w:val="clear" w:color="auto" w:fill="AED1D2" w:themeFill="accent6" w:themeFillTint="66"/>
      </w:tcPr>
    </w:tblStylePr>
    <w:tblStylePr w:type="lastCol">
      <w:tblPr/>
      <w:tcPr>
        <w:shd w:val="clear" w:color="auto" w:fill="86BBBC" w:themeFill="accent6" w:themeFillTint="99"/>
      </w:tcPr>
    </w:tblStylePr>
    <w:tblStylePr w:type="band2Vert">
      <w:rPr>
        <w:rFonts w:asciiTheme="minorHAnsi" w:hAnsiTheme="minorHAnsi"/>
      </w:rPr>
      <w:tblPr/>
      <w:tcPr>
        <w:shd w:val="clear" w:color="auto" w:fill="D6E8E8" w:themeFill="accent6" w:themeFillTint="33"/>
      </w:tcPr>
    </w:tblStylePr>
    <w:tblStylePr w:type="band2Horz">
      <w:rPr>
        <w:rFonts w:asciiTheme="minorHAnsi" w:hAnsiTheme="minorHAnsi"/>
      </w:rPr>
      <w:tblPr/>
      <w:tcPr>
        <w:shd w:val="clear" w:color="auto" w:fill="D6E8E8" w:themeFill="accent6" w:themeFillTint="33"/>
      </w:tcPr>
    </w:tblStylePr>
  </w:style>
  <w:style w:type="table" w:customStyle="1" w:styleId="BlueTable2">
    <w:name w:val="Blue Table2"/>
    <w:basedOn w:val="TaupeTable"/>
    <w:uiPriority w:val="99"/>
    <w:qFormat/>
    <w:rsid w:val="00FC6E47"/>
    <w:tblPr>
      <w:tblBorders>
        <w:bottom w:val="single" w:sz="4" w:space="0" w:color="7090B7" w:themeColor="accent5"/>
        <w:insideH w:val="single" w:sz="4" w:space="0" w:color="7090B7" w:themeColor="accent5"/>
      </w:tblBorders>
    </w:tblPr>
    <w:tcPr>
      <w:shd w:val="clear" w:color="auto" w:fill="auto"/>
    </w:tcPr>
    <w:tblStylePr w:type="firstRow">
      <w:rPr>
        <w:b w:val="0"/>
        <w:color w:val="FFFFFF" w:themeColor="background1"/>
      </w:rPr>
      <w:tblPr/>
      <w:tcPr>
        <w:shd w:val="clear" w:color="auto" w:fill="7090B7" w:themeFill="accent5"/>
      </w:tcPr>
    </w:tblStylePr>
    <w:tblStylePr w:type="lastRow">
      <w:rPr>
        <w:rFonts w:asciiTheme="minorHAnsi" w:hAnsiTheme="minorHAnsi"/>
        <w:b/>
      </w:rPr>
      <w:tblPr/>
      <w:tcPr>
        <w:shd w:val="clear" w:color="auto" w:fill="A9BCD3" w:themeFill="accent5" w:themeFillTint="99"/>
      </w:tcPr>
    </w:tblStylePr>
    <w:tblStylePr w:type="firstCol">
      <w:tblPr/>
      <w:tcPr>
        <w:shd w:val="clear" w:color="auto" w:fill="C5D2E2" w:themeFill="accent5" w:themeFillTint="66"/>
      </w:tcPr>
    </w:tblStylePr>
    <w:tblStylePr w:type="lastCol">
      <w:tblPr/>
      <w:tcPr>
        <w:shd w:val="clear" w:color="auto" w:fill="A9BCD3" w:themeFill="accent5" w:themeFillTint="99"/>
      </w:tcPr>
    </w:tblStylePr>
    <w:tblStylePr w:type="band2Vert">
      <w:rPr>
        <w:rFonts w:asciiTheme="minorHAnsi" w:hAnsiTheme="minorHAnsi"/>
      </w:rPr>
      <w:tblPr/>
      <w:tcPr>
        <w:shd w:val="clear" w:color="auto" w:fill="E2E8F0" w:themeFill="accent5" w:themeFillTint="33"/>
      </w:tcPr>
    </w:tblStylePr>
    <w:tblStylePr w:type="band2Horz">
      <w:rPr>
        <w:rFonts w:asciiTheme="minorHAnsi" w:hAnsiTheme="minorHAnsi"/>
      </w:rPr>
      <w:tblPr/>
      <w:tcPr>
        <w:shd w:val="clear" w:color="auto" w:fill="E2E8F0" w:themeFill="accent5" w:themeFillTint="33"/>
      </w:tcPr>
    </w:tblStylePr>
  </w:style>
  <w:style w:type="table" w:customStyle="1" w:styleId="BlueTableBorders2">
    <w:name w:val="Blue Table Borders2"/>
    <w:basedOn w:val="BlueTable"/>
    <w:uiPriority w:val="99"/>
    <w:qFormat/>
    <w:rsid w:val="00FC6E47"/>
    <w:tblPr>
      <w:tblBorders>
        <w:top w:val="single" w:sz="4" w:space="0" w:color="7090B7" w:themeColor="accent5"/>
        <w:left w:val="single" w:sz="4" w:space="0" w:color="7090B7" w:themeColor="accent5"/>
        <w:bottom w:val="none" w:sz="0" w:space="0" w:color="auto"/>
        <w:right w:val="single" w:sz="4" w:space="0" w:color="7090B7" w:themeColor="accent5"/>
        <w:insideH w:val="none" w:sz="0" w:space="0" w:color="auto"/>
        <w:insideV w:val="single" w:sz="4" w:space="0" w:color="7090B7" w:themeColor="accent5"/>
      </w:tblBorders>
    </w:tblPr>
    <w:tcPr>
      <w:shd w:val="clear" w:color="auto" w:fill="auto"/>
    </w:tcPr>
    <w:tblStylePr w:type="firstRow">
      <w:rPr>
        <w:b w:val="0"/>
        <w:color w:val="FFFFFF" w:themeColor="background1"/>
      </w:rPr>
      <w:tblPr/>
      <w:tcPr>
        <w:shd w:val="clear" w:color="auto" w:fill="7090B7" w:themeFill="accent5"/>
      </w:tcPr>
    </w:tblStylePr>
    <w:tblStylePr w:type="lastRow">
      <w:rPr>
        <w:rFonts w:asciiTheme="minorHAnsi" w:hAnsiTheme="minorHAnsi"/>
        <w:b/>
      </w:rPr>
      <w:tblPr/>
      <w:tcPr>
        <w:shd w:val="clear" w:color="auto" w:fill="A9BCD3" w:themeFill="accent5" w:themeFillTint="99"/>
      </w:tcPr>
    </w:tblStylePr>
    <w:tblStylePr w:type="firstCol">
      <w:tblPr/>
      <w:tcPr>
        <w:shd w:val="clear" w:color="auto" w:fill="C5D2E2" w:themeFill="accent5" w:themeFillTint="66"/>
      </w:tcPr>
    </w:tblStylePr>
    <w:tblStylePr w:type="lastCol">
      <w:tblPr/>
      <w:tcPr>
        <w:shd w:val="clear" w:color="auto" w:fill="A9BCD3" w:themeFill="accent5" w:themeFillTint="99"/>
      </w:tcPr>
    </w:tblStylePr>
    <w:tblStylePr w:type="band2Vert">
      <w:rPr>
        <w:rFonts w:asciiTheme="minorHAnsi" w:hAnsiTheme="minorHAnsi"/>
      </w:rPr>
      <w:tblPr/>
      <w:tcPr>
        <w:shd w:val="clear" w:color="auto" w:fill="E2E8F0" w:themeFill="accent5" w:themeFillTint="33"/>
      </w:tcPr>
    </w:tblStylePr>
    <w:tblStylePr w:type="band2Horz">
      <w:rPr>
        <w:rFonts w:asciiTheme="minorHAnsi" w:hAnsiTheme="minorHAnsi"/>
      </w:rPr>
      <w:tblPr/>
      <w:tcPr>
        <w:shd w:val="clear" w:color="auto" w:fill="E2E8F0" w:themeFill="accent5" w:themeFillTint="33"/>
      </w:tcPr>
    </w:tblStylePr>
  </w:style>
  <w:style w:type="table" w:customStyle="1" w:styleId="NavyTable2">
    <w:name w:val="Navy Table2"/>
    <w:basedOn w:val="TaupeTable"/>
    <w:uiPriority w:val="99"/>
    <w:qFormat/>
    <w:rsid w:val="00FC6E47"/>
    <w:tblPr>
      <w:tblBorders>
        <w:bottom w:val="single" w:sz="4" w:space="0" w:color="003359" w:themeColor="accent1"/>
        <w:insideH w:val="single" w:sz="4" w:space="0" w:color="003359" w:themeColor="accent1"/>
      </w:tblBorders>
    </w:tblPr>
    <w:tcPr>
      <w:shd w:val="clear" w:color="auto" w:fill="auto"/>
    </w:tcPr>
    <w:tblStylePr w:type="firstRow">
      <w:rPr>
        <w:b w:val="0"/>
        <w:color w:val="FFFFFF" w:themeColor="background1"/>
      </w:rPr>
      <w:tblPr/>
      <w:tcPr>
        <w:shd w:val="clear" w:color="auto" w:fill="003359" w:themeFill="accent1"/>
      </w:tcPr>
    </w:tblStylePr>
    <w:tblStylePr w:type="lastRow">
      <w:rPr>
        <w:rFonts w:asciiTheme="minorHAnsi" w:hAnsiTheme="minorHAnsi"/>
        <w:b/>
      </w:rPr>
      <w:tblPr/>
      <w:tcPr>
        <w:shd w:val="clear" w:color="auto" w:fill="95D1FF" w:themeFill="accent1" w:themeFillTint="40"/>
      </w:tcPr>
    </w:tblStylePr>
    <w:tblStylePr w:type="firstCol">
      <w:tblPr/>
      <w:tcPr>
        <w:shd w:val="clear" w:color="auto" w:fill="D4ECFF" w:themeFill="accent1" w:themeFillTint="1A"/>
      </w:tcPr>
    </w:tblStylePr>
    <w:tblStylePr w:type="lastCol">
      <w:tblPr/>
      <w:tcPr>
        <w:shd w:val="clear" w:color="auto" w:fill="95D1FF" w:themeFill="accent1" w:themeFillTint="40"/>
      </w:tcPr>
    </w:tblStylePr>
    <w:tblStylePr w:type="band2Vert">
      <w:rPr>
        <w:rFonts w:asciiTheme="minorHAnsi" w:hAnsiTheme="minorHAnsi"/>
      </w:rPr>
      <w:tblPr/>
      <w:tcPr>
        <w:shd w:val="clear" w:color="auto" w:fill="EBF6FF"/>
      </w:tcPr>
    </w:tblStylePr>
    <w:tblStylePr w:type="band2Horz">
      <w:rPr>
        <w:rFonts w:asciiTheme="minorHAnsi" w:hAnsiTheme="minorHAnsi"/>
      </w:rPr>
      <w:tblPr/>
      <w:tcPr>
        <w:shd w:val="clear" w:color="auto" w:fill="EBF6FF"/>
      </w:tcPr>
    </w:tblStylePr>
  </w:style>
  <w:style w:type="table" w:customStyle="1" w:styleId="NavyTableBorders2">
    <w:name w:val="Navy Table Borders2"/>
    <w:basedOn w:val="NavyTable"/>
    <w:uiPriority w:val="99"/>
    <w:qFormat/>
    <w:rsid w:val="00FC6E47"/>
    <w:tblPr>
      <w:tblBorders>
        <w:top w:val="single" w:sz="4" w:space="0" w:color="003359" w:themeColor="accent1"/>
        <w:left w:val="single" w:sz="4" w:space="0" w:color="003359" w:themeColor="accent1"/>
        <w:bottom w:val="none" w:sz="0" w:space="0" w:color="auto"/>
        <w:right w:val="single" w:sz="4" w:space="0" w:color="003359" w:themeColor="accent1"/>
        <w:insideH w:val="none" w:sz="0" w:space="0" w:color="auto"/>
        <w:insideV w:val="single" w:sz="4" w:space="0" w:color="003359" w:themeColor="accent1"/>
      </w:tblBorders>
    </w:tblPr>
    <w:tcPr>
      <w:shd w:val="clear" w:color="auto" w:fill="auto"/>
    </w:tcPr>
    <w:tblStylePr w:type="firstRow">
      <w:rPr>
        <w:b w:val="0"/>
        <w:color w:val="FFFFFF" w:themeColor="background1"/>
      </w:rPr>
      <w:tblPr/>
      <w:tcPr>
        <w:shd w:val="clear" w:color="auto" w:fill="003359" w:themeFill="accent1"/>
      </w:tcPr>
    </w:tblStylePr>
    <w:tblStylePr w:type="lastRow">
      <w:rPr>
        <w:rFonts w:asciiTheme="minorHAnsi" w:hAnsiTheme="minorHAnsi"/>
        <w:b/>
      </w:rPr>
      <w:tblPr/>
      <w:tcPr>
        <w:shd w:val="clear" w:color="auto" w:fill="95D1FF" w:themeFill="accent1" w:themeFillTint="40"/>
      </w:tcPr>
    </w:tblStylePr>
    <w:tblStylePr w:type="firstCol">
      <w:tblPr/>
      <w:tcPr>
        <w:shd w:val="clear" w:color="auto" w:fill="D4ECFF" w:themeFill="accent1" w:themeFillTint="1A"/>
      </w:tcPr>
    </w:tblStylePr>
    <w:tblStylePr w:type="lastCol">
      <w:tblPr/>
      <w:tcPr>
        <w:shd w:val="clear" w:color="auto" w:fill="95D1FF" w:themeFill="accent1" w:themeFillTint="40"/>
      </w:tcPr>
    </w:tblStylePr>
    <w:tblStylePr w:type="band2Vert">
      <w:rPr>
        <w:rFonts w:asciiTheme="minorHAnsi" w:hAnsiTheme="minorHAnsi"/>
      </w:rPr>
      <w:tblPr/>
      <w:tcPr>
        <w:shd w:val="clear" w:color="auto" w:fill="EBF6FF"/>
      </w:tcPr>
    </w:tblStylePr>
    <w:tblStylePr w:type="band2Horz">
      <w:rPr>
        <w:rFonts w:asciiTheme="minorHAnsi" w:hAnsiTheme="minorHAnsi"/>
      </w:rPr>
      <w:tblPr/>
      <w:tcPr>
        <w:shd w:val="clear" w:color="auto" w:fill="EBF6FF"/>
      </w:tcPr>
    </w:tblStylePr>
  </w:style>
  <w:style w:type="table" w:customStyle="1" w:styleId="OliveTable2">
    <w:name w:val="Olive Table2"/>
    <w:basedOn w:val="TaupeTable"/>
    <w:uiPriority w:val="99"/>
    <w:qFormat/>
    <w:rsid w:val="00FC6E47"/>
    <w:tblPr>
      <w:tblBorders>
        <w:bottom w:val="single" w:sz="4" w:space="0" w:color="878800" w:themeColor="accent4"/>
        <w:insideH w:val="single" w:sz="4" w:space="0" w:color="878800" w:themeColor="accent4"/>
      </w:tblBorders>
    </w:tblPr>
    <w:tcPr>
      <w:shd w:val="clear" w:color="auto" w:fill="auto"/>
    </w:tcPr>
    <w:tblStylePr w:type="firstRow">
      <w:rPr>
        <w:b w:val="0"/>
        <w:color w:val="FFFFFF" w:themeColor="background1"/>
      </w:rPr>
      <w:tblPr/>
      <w:tcPr>
        <w:shd w:val="clear" w:color="auto" w:fill="878800" w:themeFill="accent4"/>
      </w:tcPr>
    </w:tblStylePr>
    <w:tblStylePr w:type="lastRow">
      <w:rPr>
        <w:rFonts w:asciiTheme="minorHAnsi" w:hAnsiTheme="minorHAnsi"/>
        <w:b/>
      </w:rPr>
      <w:tblPr/>
      <w:tcPr>
        <w:shd w:val="clear" w:color="auto" w:fill="C9C6A3"/>
      </w:tcPr>
    </w:tblStylePr>
    <w:tblStylePr w:type="firstCol">
      <w:tblPr/>
      <w:tcPr>
        <w:shd w:val="clear" w:color="auto" w:fill="DBD9C3"/>
      </w:tcPr>
    </w:tblStylePr>
    <w:tblStylePr w:type="lastCol">
      <w:tblPr/>
      <w:tcPr>
        <w:shd w:val="clear" w:color="auto" w:fill="C9C6A3"/>
      </w:tcPr>
    </w:tblStylePr>
    <w:tblStylePr w:type="band2Vert">
      <w:rPr>
        <w:rFonts w:asciiTheme="minorHAnsi" w:hAnsiTheme="minorHAnsi"/>
      </w:rPr>
      <w:tblPr/>
      <w:tcPr>
        <w:shd w:val="clear" w:color="auto" w:fill="EEEDE2"/>
      </w:tcPr>
    </w:tblStylePr>
    <w:tblStylePr w:type="band2Horz">
      <w:rPr>
        <w:rFonts w:asciiTheme="minorHAnsi" w:hAnsiTheme="minorHAnsi"/>
      </w:rPr>
      <w:tblPr/>
      <w:tcPr>
        <w:shd w:val="clear" w:color="auto" w:fill="EEEDE2"/>
      </w:tcPr>
    </w:tblStylePr>
  </w:style>
  <w:style w:type="table" w:customStyle="1" w:styleId="OliveTableBorders2">
    <w:name w:val="Olive Table Borders2"/>
    <w:basedOn w:val="OliveTable"/>
    <w:uiPriority w:val="99"/>
    <w:qFormat/>
    <w:rsid w:val="00FC6E47"/>
    <w:tblPr>
      <w:tblBorders>
        <w:top w:val="single" w:sz="4" w:space="0" w:color="878800" w:themeColor="accent4"/>
        <w:left w:val="single" w:sz="4" w:space="0" w:color="878800" w:themeColor="accent4"/>
        <w:bottom w:val="none" w:sz="0" w:space="0" w:color="auto"/>
        <w:right w:val="single" w:sz="4" w:space="0" w:color="878800" w:themeColor="accent4"/>
        <w:insideH w:val="none" w:sz="0" w:space="0" w:color="auto"/>
        <w:insideV w:val="single" w:sz="4" w:space="0" w:color="878800" w:themeColor="accent4"/>
      </w:tblBorders>
    </w:tblPr>
    <w:tcPr>
      <w:shd w:val="clear" w:color="auto" w:fill="auto"/>
    </w:tcPr>
    <w:tblStylePr w:type="firstRow">
      <w:rPr>
        <w:b w:val="0"/>
        <w:color w:val="FFFFFF" w:themeColor="background1"/>
      </w:rPr>
      <w:tblPr/>
      <w:tcPr>
        <w:shd w:val="clear" w:color="auto" w:fill="878800" w:themeFill="accent4"/>
      </w:tcPr>
    </w:tblStylePr>
    <w:tblStylePr w:type="lastRow">
      <w:rPr>
        <w:rFonts w:asciiTheme="minorHAnsi" w:hAnsiTheme="minorHAnsi"/>
        <w:b/>
      </w:rPr>
      <w:tblPr/>
      <w:tcPr>
        <w:shd w:val="clear" w:color="auto" w:fill="C9C6A3"/>
      </w:tcPr>
    </w:tblStylePr>
    <w:tblStylePr w:type="firstCol">
      <w:tblPr/>
      <w:tcPr>
        <w:shd w:val="clear" w:color="auto" w:fill="DBD9C3"/>
      </w:tcPr>
    </w:tblStylePr>
    <w:tblStylePr w:type="lastCol">
      <w:tblPr/>
      <w:tcPr>
        <w:shd w:val="clear" w:color="auto" w:fill="C9C6A3"/>
      </w:tcPr>
    </w:tblStylePr>
    <w:tblStylePr w:type="band2Vert">
      <w:rPr>
        <w:rFonts w:asciiTheme="minorHAnsi" w:hAnsiTheme="minorHAnsi"/>
      </w:rPr>
      <w:tblPr/>
      <w:tcPr>
        <w:shd w:val="clear" w:color="auto" w:fill="EEEDE2"/>
      </w:tcPr>
    </w:tblStylePr>
    <w:tblStylePr w:type="band2Horz">
      <w:rPr>
        <w:rFonts w:asciiTheme="minorHAnsi" w:hAnsiTheme="minorHAnsi"/>
      </w:rPr>
      <w:tblPr/>
      <w:tcPr>
        <w:shd w:val="clear" w:color="auto" w:fill="EEEDE2"/>
      </w:tcPr>
    </w:tblStylePr>
  </w:style>
  <w:style w:type="table" w:customStyle="1" w:styleId="OrangeTable2">
    <w:name w:val="Orange Table2"/>
    <w:basedOn w:val="TaupeTable"/>
    <w:uiPriority w:val="99"/>
    <w:qFormat/>
    <w:rsid w:val="00FC6E47"/>
    <w:tblPr>
      <w:tblBorders>
        <w:bottom w:val="single" w:sz="4" w:space="0" w:color="D95E00" w:themeColor="accent2"/>
        <w:insideH w:val="single" w:sz="4" w:space="0" w:color="D95E00" w:themeColor="accent2"/>
      </w:tblBorders>
    </w:tblPr>
    <w:tcPr>
      <w:shd w:val="clear" w:color="auto" w:fill="auto"/>
    </w:tcPr>
    <w:tblStylePr w:type="firstRow">
      <w:rPr>
        <w:b w:val="0"/>
        <w:color w:val="FFFFFF" w:themeColor="background1"/>
      </w:rPr>
      <w:tblPr/>
      <w:tcPr>
        <w:shd w:val="clear" w:color="auto" w:fill="D95E00" w:themeFill="accent2"/>
      </w:tcPr>
    </w:tblStylePr>
    <w:tblStylePr w:type="lastRow">
      <w:rPr>
        <w:rFonts w:asciiTheme="minorHAnsi" w:hAnsiTheme="minorHAnsi"/>
        <w:b/>
      </w:rPr>
      <w:tblPr/>
      <w:tcPr>
        <w:shd w:val="clear" w:color="auto" w:fill="DEB892"/>
      </w:tcPr>
    </w:tblStylePr>
    <w:tblStylePr w:type="firstCol">
      <w:tblPr/>
      <w:tcPr>
        <w:shd w:val="clear" w:color="auto" w:fill="E8CDB2"/>
      </w:tcPr>
    </w:tblStylePr>
    <w:tblStylePr w:type="lastCol">
      <w:tblPr/>
      <w:tcPr>
        <w:shd w:val="clear" w:color="auto" w:fill="DEB892"/>
      </w:tcPr>
    </w:tblStylePr>
    <w:tblStylePr w:type="band2Vert">
      <w:rPr>
        <w:rFonts w:asciiTheme="minorHAnsi" w:hAnsiTheme="minorHAnsi"/>
      </w:rPr>
      <w:tblPr/>
      <w:tcPr>
        <w:shd w:val="clear" w:color="auto" w:fill="F3E4D5"/>
      </w:tcPr>
    </w:tblStylePr>
    <w:tblStylePr w:type="band2Horz">
      <w:rPr>
        <w:rFonts w:asciiTheme="minorHAnsi" w:hAnsiTheme="minorHAnsi"/>
      </w:rPr>
      <w:tblPr/>
      <w:tcPr>
        <w:shd w:val="clear" w:color="auto" w:fill="F3E4D5"/>
      </w:tcPr>
    </w:tblStylePr>
  </w:style>
  <w:style w:type="table" w:customStyle="1" w:styleId="OrangeTableBorders2">
    <w:name w:val="Orange Table Borders2"/>
    <w:basedOn w:val="OrangeTable"/>
    <w:uiPriority w:val="99"/>
    <w:qFormat/>
    <w:rsid w:val="00FC6E47"/>
    <w:tblPr>
      <w:tblBorders>
        <w:top w:val="single" w:sz="4" w:space="0" w:color="D95E00" w:themeColor="accent2"/>
        <w:left w:val="single" w:sz="4" w:space="0" w:color="D95E00" w:themeColor="accent2"/>
        <w:bottom w:val="none" w:sz="0" w:space="0" w:color="auto"/>
        <w:right w:val="single" w:sz="4" w:space="0" w:color="D95E00" w:themeColor="accent2"/>
        <w:insideH w:val="none" w:sz="0" w:space="0" w:color="auto"/>
        <w:insideV w:val="single" w:sz="4" w:space="0" w:color="D95E00" w:themeColor="accent2"/>
      </w:tblBorders>
    </w:tblPr>
    <w:tcPr>
      <w:shd w:val="clear" w:color="auto" w:fill="auto"/>
    </w:tcPr>
    <w:tblStylePr w:type="firstRow">
      <w:rPr>
        <w:b w:val="0"/>
        <w:color w:val="FFFFFF" w:themeColor="background1"/>
      </w:rPr>
      <w:tblPr/>
      <w:tcPr>
        <w:shd w:val="clear" w:color="auto" w:fill="D95E00" w:themeFill="accent2"/>
      </w:tcPr>
    </w:tblStylePr>
    <w:tblStylePr w:type="lastRow">
      <w:rPr>
        <w:rFonts w:asciiTheme="minorHAnsi" w:hAnsiTheme="minorHAnsi"/>
        <w:b/>
      </w:rPr>
      <w:tblPr/>
      <w:tcPr>
        <w:shd w:val="clear" w:color="auto" w:fill="DEB892"/>
      </w:tcPr>
    </w:tblStylePr>
    <w:tblStylePr w:type="firstCol">
      <w:tblPr/>
      <w:tcPr>
        <w:shd w:val="clear" w:color="auto" w:fill="E8CDB2"/>
      </w:tcPr>
    </w:tblStylePr>
    <w:tblStylePr w:type="lastCol">
      <w:tblPr/>
      <w:tcPr>
        <w:shd w:val="clear" w:color="auto" w:fill="DEB892"/>
      </w:tcPr>
    </w:tblStylePr>
    <w:tblStylePr w:type="band2Vert">
      <w:rPr>
        <w:rFonts w:asciiTheme="minorHAnsi" w:hAnsiTheme="minorHAnsi"/>
      </w:rPr>
      <w:tblPr/>
      <w:tcPr>
        <w:shd w:val="clear" w:color="auto" w:fill="F3E4D5"/>
      </w:tcPr>
    </w:tblStylePr>
    <w:tblStylePr w:type="band2Horz">
      <w:rPr>
        <w:rFonts w:asciiTheme="minorHAnsi" w:hAnsiTheme="minorHAnsi"/>
      </w:rPr>
      <w:tblPr/>
      <w:tcPr>
        <w:shd w:val="clear" w:color="auto" w:fill="F3E4D5"/>
      </w:tcPr>
    </w:tblStylePr>
  </w:style>
  <w:style w:type="table" w:customStyle="1" w:styleId="TaupeTableBorders2">
    <w:name w:val="Taupe Table Borders2"/>
    <w:basedOn w:val="TaupeTable"/>
    <w:uiPriority w:val="99"/>
    <w:qFormat/>
    <w:rsid w:val="00FC6E47"/>
    <w:tblPr>
      <w:tblBorders>
        <w:top w:val="single" w:sz="4" w:space="0" w:color="988F86" w:themeColor="accent3"/>
        <w:left w:val="single" w:sz="4" w:space="0" w:color="988F86" w:themeColor="accent3"/>
        <w:bottom w:val="single" w:sz="4" w:space="0" w:color="988F86" w:themeColor="accent3"/>
        <w:right w:val="single" w:sz="4" w:space="0" w:color="988F86" w:themeColor="accent3"/>
        <w:insideH w:val="single" w:sz="4" w:space="0" w:color="988F86" w:themeColor="accent3"/>
        <w:insideV w:val="single" w:sz="4" w:space="0" w:color="988F86" w:themeColor="accent3"/>
      </w:tblBorders>
    </w:tblPr>
    <w:tcPr>
      <w:shd w:val="clear" w:color="auto" w:fill="auto"/>
    </w:tcPr>
    <w:tblStylePr w:type="firstRow">
      <w:rPr>
        <w:b w:val="0"/>
        <w:color w:val="FFFFFF" w:themeColor="background1"/>
      </w:rPr>
      <w:tblPr/>
      <w:tcPr>
        <w:shd w:val="clear" w:color="auto" w:fill="988F86" w:themeFill="accent3"/>
      </w:tcPr>
    </w:tblStylePr>
    <w:tblStylePr w:type="lastRow">
      <w:rPr>
        <w:rFonts w:asciiTheme="minorHAnsi" w:hAnsiTheme="minorHAnsi"/>
        <w:b/>
      </w:rPr>
      <w:tblPr/>
      <w:tcPr>
        <w:shd w:val="clear" w:color="auto" w:fill="C1BBB6" w:themeFill="accent3" w:themeFillTint="99"/>
      </w:tcPr>
    </w:tblStylePr>
    <w:tblStylePr w:type="firstCol">
      <w:tblPr/>
      <w:tcPr>
        <w:shd w:val="clear" w:color="auto" w:fill="D5D2CE" w:themeFill="accent3" w:themeFillTint="66"/>
      </w:tcPr>
    </w:tblStylePr>
    <w:tblStylePr w:type="lastCol">
      <w:tblPr/>
      <w:tcPr>
        <w:shd w:val="clear" w:color="auto" w:fill="C1BBB6" w:themeFill="accent3" w:themeFillTint="99"/>
      </w:tcPr>
    </w:tblStylePr>
    <w:tblStylePr w:type="band2Vert">
      <w:rPr>
        <w:rFonts w:asciiTheme="minorHAnsi" w:hAnsiTheme="minorHAnsi"/>
      </w:rPr>
      <w:tblPr/>
      <w:tcPr>
        <w:shd w:val="clear" w:color="auto" w:fill="EAE8E6" w:themeFill="accent3" w:themeFillTint="33"/>
      </w:tcPr>
    </w:tblStylePr>
    <w:tblStylePr w:type="band2Horz">
      <w:rPr>
        <w:rFonts w:asciiTheme="minorHAnsi" w:hAnsiTheme="minorHAnsi"/>
      </w:rPr>
      <w:tblPr/>
      <w:tcPr>
        <w:shd w:val="clear" w:color="auto" w:fill="EAE8E6" w:themeFill="accent3" w:themeFillTint="33"/>
      </w:tcPr>
    </w:tblStylePr>
  </w:style>
  <w:style w:type="table" w:customStyle="1" w:styleId="CardnoTableTaupe1">
    <w:name w:val="Cardno Table Taupe1"/>
    <w:uiPriority w:val="99"/>
    <w:rsid w:val="00FC6E47"/>
    <w:rPr>
      <w:rFonts w:asciiTheme="minorHAnsi" w:hAnsiTheme="minorHAnsi"/>
      <w:b w:val="0"/>
      <w:color w:val="auto"/>
      <w:sz w:val="20"/>
      <w:szCs w:val="20"/>
      <w:u w:val="none"/>
      <w:lang w:val="en-US" w:eastAsia="en-US"/>
    </w:rPr>
    <w:tblPr>
      <w:tblInd w:w="0" w:type="dxa"/>
      <w:tblBorders>
        <w:bottom w:val="single" w:sz="4" w:space="0" w:color="988F86"/>
        <w:insideH w:val="single" w:sz="4" w:space="0" w:color="988F86"/>
      </w:tblBorders>
      <w:tblCellMar>
        <w:top w:w="0" w:type="dxa"/>
        <w:left w:w="108" w:type="dxa"/>
        <w:bottom w:w="0" w:type="dxa"/>
        <w:right w:w="108" w:type="dxa"/>
      </w:tblCellMar>
    </w:tblPr>
    <w:tblStylePr w:type="firstRow">
      <w:rPr>
        <w:color w:val="FFFFFF" w:themeColor="background1"/>
      </w:rPr>
      <w:tblPr/>
      <w:trPr>
        <w:tblHeader/>
      </w:trPr>
      <w:tcPr>
        <w:shd w:val="clear" w:color="auto" w:fill="988F86" w:themeFill="accent3"/>
      </w:tcPr>
    </w:tblStylePr>
  </w:style>
  <w:style w:type="table" w:customStyle="1" w:styleId="CardnoTableAqua1">
    <w:name w:val="Cardno Table Aqua1"/>
    <w:basedOn w:val="CardnoTableTaupe"/>
    <w:uiPriority w:val="99"/>
    <w:qFormat/>
    <w:rsid w:val="00FC6E47"/>
    <w:pPr>
      <w:spacing w:before="0" w:after="0"/>
      <w:ind w:left="0" w:firstLine="0"/>
    </w:pPr>
    <w:tblPr>
      <w:tblBorders>
        <w:bottom w:val="single" w:sz="4" w:space="0" w:color="477F80" w:themeColor="accent6"/>
        <w:insideH w:val="single" w:sz="4" w:space="0" w:color="477F80" w:themeColor="accent6"/>
      </w:tblBorders>
    </w:tblPr>
    <w:tblStylePr w:type="firstRow">
      <w:rPr>
        <w:color w:val="FFFFFF" w:themeColor="background2"/>
      </w:rPr>
      <w:tblPr/>
      <w:trPr>
        <w:tblHeader/>
      </w:trPr>
      <w:tcPr>
        <w:shd w:val="clear" w:color="auto" w:fill="477F80" w:themeFill="accent6"/>
      </w:tcPr>
    </w:tblStylePr>
  </w:style>
  <w:style w:type="table" w:customStyle="1" w:styleId="CardnoTableBlue1">
    <w:name w:val="Cardno Table Blue1"/>
    <w:basedOn w:val="CardnoTableTaupe"/>
    <w:uiPriority w:val="99"/>
    <w:qFormat/>
    <w:rsid w:val="00FC6E47"/>
    <w:pPr>
      <w:spacing w:before="0" w:after="0"/>
      <w:ind w:left="0" w:firstLine="0"/>
    </w:pPr>
    <w:tblPr>
      <w:tblBorders>
        <w:bottom w:val="single" w:sz="4" w:space="0" w:color="7090B7" w:themeColor="accent5"/>
        <w:insideH w:val="single" w:sz="4" w:space="0" w:color="7090B7" w:themeColor="accent5"/>
      </w:tblBorders>
    </w:tblPr>
    <w:tblStylePr w:type="firstRow">
      <w:rPr>
        <w:b w:val="0"/>
        <w:bCs/>
        <w:color w:val="FFFFFF" w:themeColor="background1"/>
      </w:rPr>
      <w:tblPr/>
      <w:trPr>
        <w:tblHeader/>
      </w:trPr>
      <w:tcPr>
        <w:shd w:val="clear" w:color="auto" w:fill="7090B7" w:themeFill="accent5"/>
      </w:tcPr>
    </w:tblStylePr>
    <w:tblStylePr w:type="lastRow">
      <w:rPr>
        <w:b/>
        <w:bCs/>
      </w:rPr>
    </w:tblStylePr>
    <w:tblStylePr w:type="firstCol">
      <w:rPr>
        <w:b/>
        <w:bCs/>
      </w:rPr>
    </w:tblStylePr>
    <w:tblStylePr w:type="lastCol">
      <w:rPr>
        <w:b/>
        <w:bCs/>
      </w:rPr>
    </w:tblStylePr>
  </w:style>
  <w:style w:type="table" w:customStyle="1" w:styleId="CardnoTableNavy4">
    <w:name w:val="Cardno Table Navy4"/>
    <w:basedOn w:val="CardnoTableTaupe"/>
    <w:uiPriority w:val="99"/>
    <w:qFormat/>
    <w:rsid w:val="00FC6E47"/>
    <w:pPr>
      <w:spacing w:before="0" w:after="0"/>
      <w:ind w:left="0" w:firstLine="0"/>
    </w:pPr>
    <w:tblPr>
      <w:tblBorders>
        <w:bottom w:val="single" w:sz="4" w:space="0" w:color="003359" w:themeColor="accent1"/>
        <w:insideH w:val="single" w:sz="4" w:space="0" w:color="003359" w:themeColor="accent1"/>
      </w:tblBorders>
    </w:tblPr>
    <w:tblStylePr w:type="firstRow">
      <w:rPr>
        <w:color w:val="FFFFFF" w:themeColor="background1"/>
      </w:rPr>
      <w:tblPr/>
      <w:trPr>
        <w:tblHeader/>
      </w:trPr>
      <w:tcPr>
        <w:shd w:val="clear" w:color="auto" w:fill="003359" w:themeFill="accent1"/>
      </w:tcPr>
    </w:tblStylePr>
  </w:style>
  <w:style w:type="table" w:customStyle="1" w:styleId="CardnoTableOlive1">
    <w:name w:val="Cardno Table Olive1"/>
    <w:basedOn w:val="CardnoTableTaupe"/>
    <w:uiPriority w:val="99"/>
    <w:qFormat/>
    <w:rsid w:val="00FC6E47"/>
    <w:pPr>
      <w:spacing w:before="0" w:after="0"/>
      <w:ind w:left="0" w:firstLine="0"/>
    </w:pPr>
    <w:tblPr>
      <w:tblBorders>
        <w:bottom w:val="single" w:sz="4" w:space="0" w:color="878800" w:themeColor="accent4"/>
        <w:insideH w:val="single" w:sz="4" w:space="0" w:color="878800" w:themeColor="accent4"/>
      </w:tblBorders>
    </w:tblPr>
    <w:tblStylePr w:type="firstRow">
      <w:rPr>
        <w:color w:val="FFFFFF" w:themeColor="background1"/>
      </w:rPr>
      <w:tblPr/>
      <w:trPr>
        <w:tblHeader/>
      </w:trPr>
      <w:tcPr>
        <w:shd w:val="clear" w:color="auto" w:fill="878800" w:themeFill="accent4"/>
      </w:tcPr>
    </w:tblStylePr>
  </w:style>
  <w:style w:type="table" w:customStyle="1" w:styleId="CardnoTableOrange1">
    <w:name w:val="Cardno Table Orange1"/>
    <w:basedOn w:val="CardnoTableTaupe"/>
    <w:uiPriority w:val="99"/>
    <w:qFormat/>
    <w:rsid w:val="00FC6E47"/>
    <w:pPr>
      <w:spacing w:before="0" w:after="0"/>
      <w:ind w:left="0" w:firstLine="0"/>
    </w:pPr>
    <w:tblPr>
      <w:tblBorders>
        <w:bottom w:val="single" w:sz="4" w:space="0" w:color="D95E00" w:themeColor="accent2"/>
        <w:insideH w:val="single" w:sz="4" w:space="0" w:color="D95E00" w:themeColor="accent2"/>
      </w:tblBorders>
    </w:tblPr>
    <w:tblStylePr w:type="firstRow">
      <w:rPr>
        <w:color w:val="FFFFFF" w:themeColor="background1"/>
      </w:rPr>
      <w:tblPr/>
      <w:trPr>
        <w:tblHeader/>
      </w:trPr>
      <w:tcPr>
        <w:shd w:val="clear" w:color="auto" w:fill="D95E00" w:themeFill="accent2"/>
      </w:tcPr>
    </w:tblStylePr>
  </w:style>
  <w:style w:type="table" w:customStyle="1" w:styleId="TableGrid1100">
    <w:name w:val="Table Grid110"/>
    <w:basedOn w:val="TableNormal"/>
    <w:next w:val="TableGrid"/>
    <w:uiPriority w:val="39"/>
    <w:rsid w:val="00FC6E47"/>
    <w:pPr>
      <w:spacing w:before="0" w:after="0"/>
      <w:ind w:left="0" w:firstLine="0"/>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FC6E47"/>
    <w:pPr>
      <w:spacing w:before="0" w:after="0"/>
      <w:ind w:left="0" w:firstLine="0"/>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0">
    <w:name w:val="Table Grid32"/>
    <w:basedOn w:val="TableNormal"/>
    <w:next w:val="TableGrid"/>
    <w:uiPriority w:val="39"/>
    <w:rsid w:val="00FC6E47"/>
    <w:pPr>
      <w:spacing w:before="0" w:after="0"/>
      <w:ind w:left="0" w:firstLine="0"/>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0">
    <w:name w:val="Table Grid42"/>
    <w:basedOn w:val="TableNormal"/>
    <w:next w:val="TableGrid"/>
    <w:uiPriority w:val="59"/>
    <w:rsid w:val="00FC6E47"/>
    <w:pPr>
      <w:spacing w:before="0" w:after="0"/>
      <w:ind w:left="0" w:firstLine="0"/>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
    <w:basedOn w:val="TableNormal"/>
    <w:next w:val="TableGrid"/>
    <w:uiPriority w:val="59"/>
    <w:rsid w:val="00FC6E47"/>
    <w:pPr>
      <w:spacing w:before="0" w:after="0"/>
      <w:ind w:left="0" w:firstLine="0"/>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
    <w:basedOn w:val="TableNormal"/>
    <w:next w:val="TableGrid"/>
    <w:uiPriority w:val="59"/>
    <w:rsid w:val="00FC6E47"/>
    <w:pPr>
      <w:spacing w:before="0" w:after="0"/>
      <w:ind w:left="0" w:firstLine="0"/>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
    <w:basedOn w:val="TableNormal"/>
    <w:next w:val="TableGrid"/>
    <w:uiPriority w:val="59"/>
    <w:rsid w:val="00FC6E47"/>
    <w:pPr>
      <w:spacing w:before="0" w:after="0"/>
      <w:ind w:left="0" w:firstLine="0"/>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0">
    <w:name w:val="Table Grid81"/>
    <w:basedOn w:val="TableNormal"/>
    <w:next w:val="TableGrid"/>
    <w:uiPriority w:val="59"/>
    <w:rsid w:val="00FC6E47"/>
    <w:pPr>
      <w:spacing w:before="0" w:after="0"/>
      <w:ind w:left="0" w:firstLine="0"/>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uiPriority w:val="59"/>
    <w:rsid w:val="00FC6E47"/>
    <w:pPr>
      <w:spacing w:before="0" w:after="0"/>
      <w:ind w:left="0" w:firstLine="0"/>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3-Accent513">
    <w:name w:val="List Table 3 - Accent 513"/>
    <w:basedOn w:val="TableNormal"/>
    <w:uiPriority w:val="48"/>
    <w:rsid w:val="00FC6E47"/>
    <w:pPr>
      <w:spacing w:before="0" w:after="0"/>
      <w:ind w:left="0" w:firstLine="0"/>
    </w:pPr>
    <w:rPr>
      <w:rFonts w:asciiTheme="minorHAnsi" w:eastAsiaTheme="minorHAnsi" w:hAnsiTheme="minorHAnsi" w:cstheme="minorBidi"/>
      <w:lang w:eastAsia="en-US"/>
    </w:rPr>
    <w:tblPr>
      <w:tblStyleRowBandSize w:val="1"/>
      <w:tblStyleColBandSize w:val="1"/>
      <w:tblBorders>
        <w:top w:val="single" w:sz="4" w:space="0" w:color="7090B7" w:themeColor="accent5"/>
        <w:left w:val="single" w:sz="4" w:space="0" w:color="7090B7" w:themeColor="accent5"/>
        <w:bottom w:val="single" w:sz="4" w:space="0" w:color="7090B7" w:themeColor="accent5"/>
        <w:right w:val="single" w:sz="4" w:space="0" w:color="7090B7" w:themeColor="accent5"/>
      </w:tblBorders>
    </w:tblPr>
    <w:tblStylePr w:type="firstRow">
      <w:rPr>
        <w:b/>
        <w:bCs/>
        <w:color w:val="FFFFFF" w:themeColor="background1"/>
      </w:rPr>
      <w:tblPr/>
      <w:tcPr>
        <w:shd w:val="clear" w:color="auto" w:fill="7090B7" w:themeFill="accent5"/>
      </w:tcPr>
    </w:tblStylePr>
    <w:tblStylePr w:type="lastRow">
      <w:rPr>
        <w:b/>
        <w:bCs/>
      </w:rPr>
      <w:tblPr/>
      <w:tcPr>
        <w:tcBorders>
          <w:top w:val="double" w:sz="4" w:space="0" w:color="7090B7"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90B7" w:themeColor="accent5"/>
          <w:right w:val="single" w:sz="4" w:space="0" w:color="7090B7" w:themeColor="accent5"/>
        </w:tcBorders>
      </w:tcPr>
    </w:tblStylePr>
    <w:tblStylePr w:type="band1Horz">
      <w:tblPr/>
      <w:tcPr>
        <w:tcBorders>
          <w:top w:val="single" w:sz="4" w:space="0" w:color="7090B7" w:themeColor="accent5"/>
          <w:bottom w:val="single" w:sz="4" w:space="0" w:color="7090B7"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90B7" w:themeColor="accent5"/>
          <w:left w:val="nil"/>
        </w:tcBorders>
      </w:tcPr>
    </w:tblStylePr>
    <w:tblStylePr w:type="swCell">
      <w:tblPr/>
      <w:tcPr>
        <w:tcBorders>
          <w:top w:val="double" w:sz="4" w:space="0" w:color="7090B7" w:themeColor="accent5"/>
          <w:right w:val="nil"/>
        </w:tcBorders>
      </w:tcPr>
    </w:tblStylePr>
  </w:style>
  <w:style w:type="table" w:customStyle="1" w:styleId="CardnoTableNavy11">
    <w:name w:val="Cardno Table Navy11"/>
    <w:basedOn w:val="TableNormal"/>
    <w:uiPriority w:val="99"/>
    <w:qFormat/>
    <w:rsid w:val="00FC6E47"/>
    <w:pPr>
      <w:spacing w:before="0" w:after="0"/>
      <w:ind w:left="0" w:firstLine="0"/>
    </w:pPr>
    <w:rPr>
      <w:rFonts w:ascii="Calibri" w:hAnsi="Calibri"/>
      <w:sz w:val="20"/>
      <w:szCs w:val="20"/>
      <w:lang w:val="en-US" w:eastAsia="en-US"/>
    </w:rPr>
    <w:tblPr>
      <w:tblBorders>
        <w:bottom w:val="single" w:sz="4" w:space="0" w:color="5B9BD5"/>
        <w:insideH w:val="single" w:sz="4" w:space="0" w:color="5B9BD5"/>
      </w:tblBorders>
    </w:tblPr>
    <w:tblStylePr w:type="firstRow">
      <w:rPr>
        <w:color w:val="FFFFFF"/>
      </w:rPr>
      <w:tblPr/>
      <w:trPr>
        <w:tblHeader/>
      </w:trPr>
      <w:tcPr>
        <w:shd w:val="clear" w:color="auto" w:fill="5B9BD5"/>
      </w:tcPr>
    </w:tblStylePr>
  </w:style>
  <w:style w:type="table" w:customStyle="1" w:styleId="CardnoTableNavy21">
    <w:name w:val="Cardno Table Navy21"/>
    <w:basedOn w:val="CardnoTableTaupe"/>
    <w:uiPriority w:val="99"/>
    <w:qFormat/>
    <w:rsid w:val="00FC6E47"/>
    <w:pPr>
      <w:spacing w:before="0" w:after="0"/>
      <w:ind w:left="0" w:firstLine="0"/>
    </w:pPr>
    <w:tblPr>
      <w:tblBorders>
        <w:bottom w:val="single" w:sz="4" w:space="0" w:color="003359" w:themeColor="accent1"/>
        <w:insideH w:val="single" w:sz="4" w:space="0" w:color="003359" w:themeColor="accent1"/>
      </w:tblBorders>
    </w:tblPr>
    <w:tblStylePr w:type="firstRow">
      <w:rPr>
        <w:color w:val="FFFFFF" w:themeColor="background1"/>
      </w:rPr>
      <w:tblPr/>
      <w:trPr>
        <w:tblHeader/>
      </w:trPr>
      <w:tcPr>
        <w:shd w:val="clear" w:color="auto" w:fill="003359" w:themeFill="accent1"/>
      </w:tcPr>
    </w:tblStylePr>
  </w:style>
  <w:style w:type="table" w:customStyle="1" w:styleId="ListTable3-Accent5111">
    <w:name w:val="List Table 3 - Accent 5111"/>
    <w:basedOn w:val="TableNormal"/>
    <w:uiPriority w:val="48"/>
    <w:rsid w:val="00FC6E47"/>
    <w:pPr>
      <w:spacing w:before="0" w:after="0"/>
      <w:ind w:left="0" w:firstLine="0"/>
    </w:pPr>
    <w:rPr>
      <w:rFonts w:asciiTheme="minorHAnsi" w:eastAsiaTheme="minorHAnsi" w:hAnsiTheme="minorHAnsi" w:cstheme="minorBidi"/>
      <w:lang w:eastAsia="en-US"/>
    </w:rPr>
    <w:tblPr>
      <w:tblStyleRowBandSize w:val="1"/>
      <w:tblStyleColBandSize w:val="1"/>
      <w:tblBorders>
        <w:top w:val="single" w:sz="4" w:space="0" w:color="7090B7" w:themeColor="accent5"/>
        <w:left w:val="single" w:sz="4" w:space="0" w:color="7090B7" w:themeColor="accent5"/>
        <w:bottom w:val="single" w:sz="4" w:space="0" w:color="7090B7" w:themeColor="accent5"/>
        <w:right w:val="single" w:sz="4" w:space="0" w:color="7090B7" w:themeColor="accent5"/>
      </w:tblBorders>
    </w:tblPr>
    <w:tblStylePr w:type="firstRow">
      <w:rPr>
        <w:b/>
        <w:bCs/>
        <w:color w:val="FFFFFF" w:themeColor="background1"/>
      </w:rPr>
      <w:tblPr/>
      <w:tcPr>
        <w:shd w:val="clear" w:color="auto" w:fill="7090B7" w:themeFill="accent5"/>
      </w:tcPr>
    </w:tblStylePr>
    <w:tblStylePr w:type="lastRow">
      <w:rPr>
        <w:b/>
        <w:bCs/>
      </w:rPr>
      <w:tblPr/>
      <w:tcPr>
        <w:tcBorders>
          <w:top w:val="double" w:sz="4" w:space="0" w:color="7090B7"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90B7" w:themeColor="accent5"/>
          <w:right w:val="single" w:sz="4" w:space="0" w:color="7090B7" w:themeColor="accent5"/>
        </w:tcBorders>
      </w:tcPr>
    </w:tblStylePr>
    <w:tblStylePr w:type="band1Horz">
      <w:tblPr/>
      <w:tcPr>
        <w:tcBorders>
          <w:top w:val="single" w:sz="4" w:space="0" w:color="7090B7" w:themeColor="accent5"/>
          <w:bottom w:val="single" w:sz="4" w:space="0" w:color="7090B7"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90B7" w:themeColor="accent5"/>
          <w:left w:val="nil"/>
        </w:tcBorders>
      </w:tcPr>
    </w:tblStylePr>
    <w:tblStylePr w:type="swCell">
      <w:tblPr/>
      <w:tcPr>
        <w:tcBorders>
          <w:top w:val="double" w:sz="4" w:space="0" w:color="7090B7" w:themeColor="accent5"/>
          <w:right w:val="nil"/>
        </w:tcBorders>
      </w:tcPr>
    </w:tblStylePr>
  </w:style>
  <w:style w:type="table" w:customStyle="1" w:styleId="ListTable3-Accent5121">
    <w:name w:val="List Table 3 - Accent 5121"/>
    <w:basedOn w:val="TableNormal"/>
    <w:uiPriority w:val="48"/>
    <w:rsid w:val="00FC6E47"/>
    <w:pPr>
      <w:spacing w:before="0" w:after="0"/>
      <w:ind w:left="0" w:firstLine="0"/>
    </w:pPr>
    <w:rPr>
      <w:rFonts w:asciiTheme="minorHAnsi" w:eastAsiaTheme="minorHAnsi" w:hAnsiTheme="minorHAnsi" w:cstheme="minorBidi"/>
      <w:lang w:eastAsia="en-US"/>
    </w:rPr>
    <w:tblPr>
      <w:tblStyleRowBandSize w:val="1"/>
      <w:tblStyleColBandSize w:val="1"/>
      <w:tblBorders>
        <w:top w:val="single" w:sz="4" w:space="0" w:color="7090B7" w:themeColor="accent5"/>
        <w:left w:val="single" w:sz="4" w:space="0" w:color="7090B7" w:themeColor="accent5"/>
        <w:bottom w:val="single" w:sz="4" w:space="0" w:color="7090B7" w:themeColor="accent5"/>
        <w:right w:val="single" w:sz="4" w:space="0" w:color="7090B7" w:themeColor="accent5"/>
      </w:tblBorders>
    </w:tblPr>
    <w:tblStylePr w:type="firstRow">
      <w:rPr>
        <w:b/>
        <w:bCs/>
        <w:color w:val="FFFFFF" w:themeColor="background1"/>
      </w:rPr>
      <w:tblPr/>
      <w:tcPr>
        <w:shd w:val="clear" w:color="auto" w:fill="7090B7" w:themeFill="accent5"/>
      </w:tcPr>
    </w:tblStylePr>
    <w:tblStylePr w:type="lastRow">
      <w:rPr>
        <w:b/>
        <w:bCs/>
      </w:rPr>
      <w:tblPr/>
      <w:tcPr>
        <w:tcBorders>
          <w:top w:val="double" w:sz="4" w:space="0" w:color="7090B7"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90B7" w:themeColor="accent5"/>
          <w:right w:val="single" w:sz="4" w:space="0" w:color="7090B7" w:themeColor="accent5"/>
        </w:tcBorders>
      </w:tcPr>
    </w:tblStylePr>
    <w:tblStylePr w:type="band1Horz">
      <w:tblPr/>
      <w:tcPr>
        <w:tcBorders>
          <w:top w:val="single" w:sz="4" w:space="0" w:color="7090B7" w:themeColor="accent5"/>
          <w:bottom w:val="single" w:sz="4" w:space="0" w:color="7090B7"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90B7" w:themeColor="accent5"/>
          <w:left w:val="nil"/>
        </w:tcBorders>
      </w:tcPr>
    </w:tblStylePr>
    <w:tblStylePr w:type="swCell">
      <w:tblPr/>
      <w:tcPr>
        <w:tcBorders>
          <w:top w:val="double" w:sz="4" w:space="0" w:color="7090B7" w:themeColor="accent5"/>
          <w:right w:val="nil"/>
        </w:tcBorders>
      </w:tcPr>
    </w:tblStylePr>
  </w:style>
  <w:style w:type="table" w:customStyle="1" w:styleId="TableGrid101">
    <w:name w:val="Table Grid101"/>
    <w:basedOn w:val="TableNormal"/>
    <w:next w:val="TableGrid"/>
    <w:uiPriority w:val="59"/>
    <w:rsid w:val="00FC6E47"/>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59"/>
    <w:rsid w:val="00FC6E47"/>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next w:val="TableGrid"/>
    <w:uiPriority w:val="59"/>
    <w:rsid w:val="00FC6E47"/>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next w:val="TableGrid"/>
    <w:uiPriority w:val="59"/>
    <w:rsid w:val="00FC6E47"/>
    <w:pPr>
      <w:spacing w:before="0" w:after="0"/>
      <w:ind w:left="0" w:firstLine="0"/>
    </w:pPr>
    <w:rPr>
      <w:rFonts w:ascii="Cambria" w:eastAsia="Cambria" w:hAnsi="Cambria"/>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uiPriority w:val="59"/>
    <w:rsid w:val="00FC6E47"/>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FC6E47"/>
  </w:style>
  <w:style w:type="table" w:customStyle="1" w:styleId="Table3Deffects111">
    <w:name w:val="Table 3D effects 111"/>
    <w:basedOn w:val="TableNormal"/>
    <w:next w:val="Table3Deffects1"/>
    <w:uiPriority w:val="99"/>
    <w:semiHidden/>
    <w:rsid w:val="00FC6E47"/>
    <w:rPr>
      <w:sz w:val="20"/>
      <w:szCs w:val="20"/>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1">
    <w:name w:val="Table 3D effects 211"/>
    <w:basedOn w:val="TableNormal"/>
    <w:next w:val="Table3Deffects2"/>
    <w:uiPriority w:val="99"/>
    <w:semiHidden/>
    <w:rsid w:val="00FC6E47"/>
    <w:rPr>
      <w:sz w:val="20"/>
      <w:szCs w:val="20"/>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3Deffects311">
    <w:name w:val="Table 3D effects 311"/>
    <w:basedOn w:val="TableNormal"/>
    <w:next w:val="Table3Deffects3"/>
    <w:uiPriority w:val="99"/>
    <w:semiHidden/>
    <w:rsid w:val="00FC6E47"/>
    <w:rPr>
      <w:sz w:val="20"/>
      <w:szCs w:val="20"/>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Classic111">
    <w:name w:val="Table Classic 111"/>
    <w:basedOn w:val="TableNormal"/>
    <w:next w:val="TableClassic1"/>
    <w:uiPriority w:val="99"/>
    <w:semiHidden/>
    <w:rsid w:val="00FC6E47"/>
    <w:rPr>
      <w:sz w:val="20"/>
      <w:szCs w:val="20"/>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Classic211">
    <w:name w:val="Table Classic 211"/>
    <w:basedOn w:val="TableNormal"/>
    <w:next w:val="TableClassic2"/>
    <w:uiPriority w:val="99"/>
    <w:semiHidden/>
    <w:rsid w:val="00FC6E47"/>
    <w:rPr>
      <w:sz w:val="20"/>
      <w:szCs w:val="20"/>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TableClassic311">
    <w:name w:val="Table Classic 311"/>
    <w:basedOn w:val="TableNormal"/>
    <w:next w:val="TableClassic3"/>
    <w:uiPriority w:val="99"/>
    <w:semiHidden/>
    <w:rsid w:val="00FC6E47"/>
    <w:rPr>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TableClassic411">
    <w:name w:val="Table Classic 411"/>
    <w:basedOn w:val="TableNormal"/>
    <w:next w:val="TableClassic4"/>
    <w:uiPriority w:val="99"/>
    <w:semiHidden/>
    <w:rsid w:val="00FC6E47"/>
    <w:rPr>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TableColorful111">
    <w:name w:val="Table Colorful 111"/>
    <w:basedOn w:val="TableNormal"/>
    <w:next w:val="TableColorful1"/>
    <w:uiPriority w:val="99"/>
    <w:semiHidden/>
    <w:rsid w:val="00FC6E47"/>
    <w:rPr>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TableColorful211">
    <w:name w:val="Table Colorful 211"/>
    <w:basedOn w:val="TableNormal"/>
    <w:next w:val="TableColorful2"/>
    <w:uiPriority w:val="99"/>
    <w:semiHidden/>
    <w:rsid w:val="00FC6E47"/>
    <w:rPr>
      <w:sz w:val="20"/>
      <w:szCs w:val="20"/>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TableColorful311">
    <w:name w:val="Table Colorful 311"/>
    <w:basedOn w:val="TableNormal"/>
    <w:next w:val="TableColorful3"/>
    <w:uiPriority w:val="99"/>
    <w:semiHidden/>
    <w:rsid w:val="00FC6E47"/>
    <w:rPr>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TableColumns111">
    <w:name w:val="Table Columns 111"/>
    <w:basedOn w:val="TableNormal"/>
    <w:next w:val="TableColumns1"/>
    <w:uiPriority w:val="99"/>
    <w:semiHidden/>
    <w:rsid w:val="00FC6E47"/>
    <w:rPr>
      <w:b w:val="0"/>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Columns211">
    <w:name w:val="Table Columns 211"/>
    <w:basedOn w:val="TableNormal"/>
    <w:next w:val="TableColumns2"/>
    <w:uiPriority w:val="99"/>
    <w:semiHidden/>
    <w:rsid w:val="00FC6E47"/>
    <w:rPr>
      <w:b w:val="0"/>
      <w:bCs/>
      <w:sz w:val="20"/>
      <w:szCs w:val="20"/>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Columns311">
    <w:name w:val="Table Columns 311"/>
    <w:basedOn w:val="TableNormal"/>
    <w:next w:val="TableColumns3"/>
    <w:uiPriority w:val="99"/>
    <w:semiHidden/>
    <w:rsid w:val="00FC6E47"/>
    <w:rPr>
      <w:b w:val="0"/>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TableColumns411">
    <w:name w:val="Table Columns 411"/>
    <w:basedOn w:val="TableNormal"/>
    <w:next w:val="TableColumns4"/>
    <w:uiPriority w:val="99"/>
    <w:semiHidden/>
    <w:rsid w:val="00FC6E47"/>
    <w:rPr>
      <w:sz w:val="20"/>
      <w:szCs w:val="20"/>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TableColumns511">
    <w:name w:val="Table Columns 511"/>
    <w:basedOn w:val="TableNormal"/>
    <w:next w:val="TableColumns5"/>
    <w:uiPriority w:val="99"/>
    <w:semiHidden/>
    <w:rsid w:val="00FC6E47"/>
    <w:rPr>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TableContemporary11">
    <w:name w:val="Table Contemporary11"/>
    <w:basedOn w:val="TableNormal"/>
    <w:next w:val="TableContemporary"/>
    <w:uiPriority w:val="99"/>
    <w:semiHidden/>
    <w:rsid w:val="00FC6E47"/>
    <w:rPr>
      <w:sz w:val="20"/>
      <w:szCs w:val="20"/>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TableElegant11">
    <w:name w:val="Table Elegant11"/>
    <w:basedOn w:val="TableNormal"/>
    <w:next w:val="TableElegant"/>
    <w:uiPriority w:val="99"/>
    <w:semiHidden/>
    <w:rsid w:val="00FC6E47"/>
    <w:rPr>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PlainTable11">
    <w:name w:val="Plain Table11"/>
    <w:basedOn w:val="TableNormal"/>
    <w:next w:val="TableGrid"/>
    <w:uiPriority w:val="39"/>
    <w:rsid w:val="00FC6E4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 111"/>
    <w:basedOn w:val="TableNormal"/>
    <w:next w:val="TableGrid1"/>
    <w:uiPriority w:val="99"/>
    <w:semiHidden/>
    <w:rsid w:val="00FC6E47"/>
    <w:rPr>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TableGrid211">
    <w:name w:val="Table Grid 211"/>
    <w:basedOn w:val="TableNormal"/>
    <w:next w:val="TableGrid2"/>
    <w:uiPriority w:val="99"/>
    <w:semiHidden/>
    <w:rsid w:val="00FC6E47"/>
    <w:rPr>
      <w:sz w:val="20"/>
      <w:szCs w:val="20"/>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TableGrid311">
    <w:name w:val="Table Grid 311"/>
    <w:basedOn w:val="TableNormal"/>
    <w:next w:val="TableGrid3"/>
    <w:uiPriority w:val="99"/>
    <w:semiHidden/>
    <w:rsid w:val="00FC6E47"/>
    <w:rPr>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TableGrid411">
    <w:name w:val="Table Grid 411"/>
    <w:basedOn w:val="TableNormal"/>
    <w:next w:val="TableGrid4"/>
    <w:uiPriority w:val="99"/>
    <w:semiHidden/>
    <w:rsid w:val="00FC6E47"/>
    <w:rPr>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TableGrid511">
    <w:name w:val="Table Grid 511"/>
    <w:basedOn w:val="TableNormal"/>
    <w:next w:val="TableGrid5"/>
    <w:uiPriority w:val="99"/>
    <w:semiHidden/>
    <w:rsid w:val="00FC6E47"/>
    <w:rPr>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611">
    <w:name w:val="Table Grid 611"/>
    <w:basedOn w:val="TableNormal"/>
    <w:next w:val="TableGrid6"/>
    <w:uiPriority w:val="99"/>
    <w:semiHidden/>
    <w:rsid w:val="00FC6E47"/>
    <w:rPr>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711">
    <w:name w:val="Table Grid 711"/>
    <w:basedOn w:val="TableNormal"/>
    <w:next w:val="TableGrid7"/>
    <w:uiPriority w:val="99"/>
    <w:semiHidden/>
    <w:rsid w:val="00FC6E47"/>
    <w:rPr>
      <w:b w:val="0"/>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811">
    <w:name w:val="Table Grid 811"/>
    <w:basedOn w:val="TableNormal"/>
    <w:next w:val="TableGrid8"/>
    <w:uiPriority w:val="99"/>
    <w:semiHidden/>
    <w:rsid w:val="00FC6E47"/>
    <w:rPr>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TableList211">
    <w:name w:val="Table List 211"/>
    <w:basedOn w:val="TableNormal"/>
    <w:next w:val="TableList2"/>
    <w:uiPriority w:val="99"/>
    <w:semiHidden/>
    <w:rsid w:val="00FC6E47"/>
    <w:rPr>
      <w:sz w:val="20"/>
      <w:szCs w:val="20"/>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List311">
    <w:name w:val="Table List 311"/>
    <w:basedOn w:val="TableNormal"/>
    <w:next w:val="TableList3"/>
    <w:uiPriority w:val="99"/>
    <w:semiHidden/>
    <w:rsid w:val="00FC6E47"/>
    <w:rPr>
      <w:sz w:val="20"/>
      <w:szCs w:val="20"/>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TableList411">
    <w:name w:val="Table List 411"/>
    <w:basedOn w:val="TableNormal"/>
    <w:next w:val="TableList4"/>
    <w:uiPriority w:val="99"/>
    <w:semiHidden/>
    <w:rsid w:val="00FC6E47"/>
    <w:rPr>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1">
    <w:name w:val="Table List 511"/>
    <w:basedOn w:val="TableNormal"/>
    <w:next w:val="TableList5"/>
    <w:uiPriority w:val="99"/>
    <w:semiHidden/>
    <w:rsid w:val="00FC6E47"/>
    <w:rPr>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TableList611">
    <w:name w:val="Table List 611"/>
    <w:basedOn w:val="TableNormal"/>
    <w:next w:val="TableList6"/>
    <w:uiPriority w:val="99"/>
    <w:semiHidden/>
    <w:rsid w:val="00FC6E47"/>
    <w:rPr>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TableList711">
    <w:name w:val="Table List 711"/>
    <w:basedOn w:val="TableNormal"/>
    <w:next w:val="TableList7"/>
    <w:uiPriority w:val="99"/>
    <w:semiHidden/>
    <w:rsid w:val="00FC6E47"/>
    <w:rPr>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TableList811">
    <w:name w:val="Table List 811"/>
    <w:basedOn w:val="TableNormal"/>
    <w:next w:val="TableList8"/>
    <w:uiPriority w:val="99"/>
    <w:semiHidden/>
    <w:rsid w:val="00FC6E47"/>
    <w:rPr>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TableProfessional11">
    <w:name w:val="Table Professional11"/>
    <w:basedOn w:val="TableNormal"/>
    <w:next w:val="TableProfessional"/>
    <w:uiPriority w:val="99"/>
    <w:semiHidden/>
    <w:rsid w:val="00FC6E47"/>
    <w:rPr>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TableSimple111">
    <w:name w:val="Table Simple 111"/>
    <w:basedOn w:val="TableNormal"/>
    <w:next w:val="TableSimple1"/>
    <w:uiPriority w:val="99"/>
    <w:semiHidden/>
    <w:rsid w:val="00FC6E47"/>
    <w:rPr>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TableSimple211">
    <w:name w:val="Table Simple 211"/>
    <w:basedOn w:val="TableNormal"/>
    <w:next w:val="TableSimple2"/>
    <w:uiPriority w:val="99"/>
    <w:semiHidden/>
    <w:rsid w:val="00FC6E47"/>
    <w:rPr>
      <w:sz w:val="20"/>
      <w:szCs w:val="20"/>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TableSimple311">
    <w:name w:val="Table Simple 311"/>
    <w:basedOn w:val="TableNormal"/>
    <w:next w:val="TableSimple3"/>
    <w:uiPriority w:val="99"/>
    <w:semiHidden/>
    <w:rsid w:val="00FC6E47"/>
    <w:rPr>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TableSubtle111">
    <w:name w:val="Table Subtle 111"/>
    <w:basedOn w:val="TableNormal"/>
    <w:next w:val="TableSubtle1"/>
    <w:uiPriority w:val="99"/>
    <w:semiHidden/>
    <w:rsid w:val="00FC6E47"/>
    <w:rPr>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Subtle211">
    <w:name w:val="Table Subtle 211"/>
    <w:basedOn w:val="TableNormal"/>
    <w:next w:val="TableSubtle2"/>
    <w:uiPriority w:val="99"/>
    <w:semiHidden/>
    <w:rsid w:val="00FC6E47"/>
    <w:rPr>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Theme11">
    <w:name w:val="Table Theme11"/>
    <w:basedOn w:val="TableNormal"/>
    <w:next w:val="TableTheme"/>
    <w:uiPriority w:val="99"/>
    <w:semiHidden/>
    <w:rsid w:val="00FC6E4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111">
    <w:name w:val="Table Web 111"/>
    <w:basedOn w:val="TableNormal"/>
    <w:next w:val="TableWeb1"/>
    <w:uiPriority w:val="99"/>
    <w:semiHidden/>
    <w:rsid w:val="00FC6E47"/>
    <w:rPr>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TableWeb211">
    <w:name w:val="Table Web 211"/>
    <w:basedOn w:val="TableNormal"/>
    <w:next w:val="TableWeb2"/>
    <w:uiPriority w:val="99"/>
    <w:semiHidden/>
    <w:rsid w:val="00FC6E47"/>
    <w:rPr>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TableWeb311">
    <w:name w:val="Table Web 311"/>
    <w:basedOn w:val="TableNormal"/>
    <w:next w:val="TableWeb3"/>
    <w:uiPriority w:val="99"/>
    <w:semiHidden/>
    <w:rsid w:val="00FC6E47"/>
    <w:rPr>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LightShading11">
    <w:name w:val="Light Shading11"/>
    <w:basedOn w:val="TableNormal"/>
    <w:next w:val="LightShading"/>
    <w:uiPriority w:val="60"/>
    <w:rsid w:val="00FC6E47"/>
    <w:pPr>
      <w:spacing w:before="0" w:after="0"/>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upeTable11">
    <w:name w:val="Taupe Table11"/>
    <w:uiPriority w:val="99"/>
    <w:rsid w:val="00FC6E47"/>
    <w:pPr>
      <w:spacing w:before="0" w:after="0"/>
      <w:ind w:left="0" w:firstLine="0"/>
    </w:pPr>
    <w:rPr>
      <w:rFonts w:asciiTheme="minorHAnsi" w:hAnsiTheme="minorHAnsi"/>
      <w:b w:val="0"/>
      <w:color w:val="auto"/>
      <w:sz w:val="20"/>
      <w:szCs w:val="20"/>
      <w:u w:val="none"/>
      <w:lang w:val="en-SG" w:eastAsia="en-SG"/>
    </w:rPr>
    <w:tblPr>
      <w:tblStyleRowBandSize w:val="1"/>
      <w:tblStyleColBandSize w:val="1"/>
      <w:tblInd w:w="0" w:type="dxa"/>
      <w:tblBorders>
        <w:bottom w:val="single" w:sz="4" w:space="0" w:color="988F86"/>
        <w:insideH w:val="single" w:sz="4" w:space="0" w:color="988F86"/>
      </w:tblBorders>
      <w:tblCellMar>
        <w:top w:w="0" w:type="dxa"/>
        <w:left w:w="108" w:type="dxa"/>
        <w:bottom w:w="0" w:type="dxa"/>
        <w:right w:w="108" w:type="dxa"/>
      </w:tblCellMar>
    </w:tblPr>
    <w:tcPr>
      <w:shd w:val="clear" w:color="auto" w:fill="auto"/>
    </w:tcPr>
    <w:tblStylePr w:type="firstRow">
      <w:rPr>
        <w:b w:val="0"/>
        <w:color w:val="FFFFFF" w:themeColor="background1"/>
      </w:rPr>
      <w:tblPr/>
      <w:tcPr>
        <w:shd w:val="clear" w:color="auto" w:fill="988F86" w:themeFill="accent3"/>
      </w:tcPr>
    </w:tblStylePr>
    <w:tblStylePr w:type="lastRow">
      <w:rPr>
        <w:rFonts w:asciiTheme="minorHAnsi" w:hAnsiTheme="minorHAnsi"/>
        <w:b/>
      </w:rPr>
      <w:tblPr/>
      <w:tcPr>
        <w:shd w:val="clear" w:color="auto" w:fill="C1BBB6" w:themeFill="accent3" w:themeFillTint="99"/>
      </w:tcPr>
    </w:tblStylePr>
    <w:tblStylePr w:type="firstCol">
      <w:tblPr/>
      <w:tcPr>
        <w:shd w:val="clear" w:color="auto" w:fill="D5D2CE" w:themeFill="accent3" w:themeFillTint="66"/>
      </w:tcPr>
    </w:tblStylePr>
    <w:tblStylePr w:type="lastCol">
      <w:tblPr/>
      <w:tcPr>
        <w:shd w:val="clear" w:color="auto" w:fill="C1BBB6" w:themeFill="accent3" w:themeFillTint="99"/>
      </w:tcPr>
    </w:tblStylePr>
    <w:tblStylePr w:type="band2Vert">
      <w:rPr>
        <w:rFonts w:asciiTheme="minorHAnsi" w:hAnsiTheme="minorHAnsi"/>
      </w:rPr>
      <w:tblPr/>
      <w:tcPr>
        <w:shd w:val="clear" w:color="auto" w:fill="EAE8E6" w:themeFill="accent3" w:themeFillTint="33"/>
      </w:tcPr>
    </w:tblStylePr>
    <w:tblStylePr w:type="band2Horz">
      <w:rPr>
        <w:rFonts w:asciiTheme="minorHAnsi" w:hAnsiTheme="minorHAnsi"/>
      </w:rPr>
      <w:tblPr/>
      <w:tcPr>
        <w:shd w:val="clear" w:color="auto" w:fill="EAE8E6" w:themeFill="accent3" w:themeFillTint="33"/>
      </w:tcPr>
    </w:tblStylePr>
  </w:style>
  <w:style w:type="table" w:customStyle="1" w:styleId="AquaTable11">
    <w:name w:val="Aqua Table11"/>
    <w:basedOn w:val="TaupeTable"/>
    <w:uiPriority w:val="99"/>
    <w:qFormat/>
    <w:rsid w:val="00FC6E47"/>
    <w:tblPr>
      <w:tblBorders>
        <w:bottom w:val="single" w:sz="4" w:space="0" w:color="477F80" w:themeColor="accent6"/>
        <w:insideH w:val="single" w:sz="4" w:space="0" w:color="477F80" w:themeColor="accent6"/>
      </w:tblBorders>
    </w:tblPr>
    <w:tcPr>
      <w:shd w:val="clear" w:color="auto" w:fill="auto"/>
    </w:tcPr>
    <w:tblStylePr w:type="firstRow">
      <w:rPr>
        <w:b w:val="0"/>
        <w:color w:val="FFFFFF" w:themeColor="background1"/>
      </w:rPr>
      <w:tblPr/>
      <w:tcPr>
        <w:shd w:val="clear" w:color="auto" w:fill="477F80" w:themeFill="accent6"/>
      </w:tcPr>
    </w:tblStylePr>
    <w:tblStylePr w:type="lastRow">
      <w:rPr>
        <w:rFonts w:asciiTheme="minorHAnsi" w:hAnsiTheme="minorHAnsi"/>
        <w:b/>
      </w:rPr>
      <w:tblPr/>
      <w:tcPr>
        <w:shd w:val="clear" w:color="auto" w:fill="86BBBC" w:themeFill="accent6" w:themeFillTint="99"/>
      </w:tcPr>
    </w:tblStylePr>
    <w:tblStylePr w:type="firstCol">
      <w:tblPr/>
      <w:tcPr>
        <w:shd w:val="clear" w:color="auto" w:fill="AED1D2" w:themeFill="accent6" w:themeFillTint="66"/>
      </w:tcPr>
    </w:tblStylePr>
    <w:tblStylePr w:type="lastCol">
      <w:tblPr/>
      <w:tcPr>
        <w:shd w:val="clear" w:color="auto" w:fill="86BBBC" w:themeFill="accent6" w:themeFillTint="99"/>
      </w:tcPr>
    </w:tblStylePr>
    <w:tblStylePr w:type="band2Vert">
      <w:rPr>
        <w:rFonts w:asciiTheme="minorHAnsi" w:hAnsiTheme="minorHAnsi"/>
      </w:rPr>
      <w:tblPr/>
      <w:tcPr>
        <w:shd w:val="clear" w:color="auto" w:fill="D6E8E8" w:themeFill="accent6" w:themeFillTint="33"/>
      </w:tcPr>
    </w:tblStylePr>
    <w:tblStylePr w:type="band2Horz">
      <w:rPr>
        <w:rFonts w:asciiTheme="minorHAnsi" w:hAnsiTheme="minorHAnsi"/>
      </w:rPr>
      <w:tblPr/>
      <w:tcPr>
        <w:shd w:val="clear" w:color="auto" w:fill="D6E8E8" w:themeFill="accent6" w:themeFillTint="33"/>
      </w:tcPr>
    </w:tblStylePr>
  </w:style>
  <w:style w:type="table" w:customStyle="1" w:styleId="AquaTableBorders11">
    <w:name w:val="Aqua Table Borders11"/>
    <w:basedOn w:val="AquaTable"/>
    <w:uiPriority w:val="99"/>
    <w:qFormat/>
    <w:rsid w:val="00FC6E47"/>
    <w:tblPr>
      <w:tblBorders>
        <w:top w:val="single" w:sz="4" w:space="0" w:color="477F80" w:themeColor="accent6"/>
        <w:left w:val="single" w:sz="4" w:space="0" w:color="477F80" w:themeColor="accent6"/>
        <w:bottom w:val="none" w:sz="0" w:space="0" w:color="auto"/>
        <w:right w:val="single" w:sz="4" w:space="0" w:color="477F80" w:themeColor="accent6"/>
        <w:insideH w:val="none" w:sz="0" w:space="0" w:color="auto"/>
        <w:insideV w:val="single" w:sz="4" w:space="0" w:color="477F80" w:themeColor="accent6"/>
      </w:tblBorders>
    </w:tblPr>
    <w:tcPr>
      <w:shd w:val="clear" w:color="auto" w:fill="auto"/>
    </w:tcPr>
    <w:tblStylePr w:type="firstRow">
      <w:rPr>
        <w:b w:val="0"/>
        <w:color w:val="FFFFFF" w:themeColor="background1"/>
      </w:rPr>
      <w:tblPr/>
      <w:tcPr>
        <w:shd w:val="clear" w:color="auto" w:fill="477F80" w:themeFill="accent6"/>
      </w:tcPr>
    </w:tblStylePr>
    <w:tblStylePr w:type="lastRow">
      <w:rPr>
        <w:rFonts w:asciiTheme="minorHAnsi" w:hAnsiTheme="minorHAnsi"/>
        <w:b/>
      </w:rPr>
      <w:tblPr/>
      <w:tcPr>
        <w:shd w:val="clear" w:color="auto" w:fill="86BBBC" w:themeFill="accent6" w:themeFillTint="99"/>
      </w:tcPr>
    </w:tblStylePr>
    <w:tblStylePr w:type="firstCol">
      <w:tblPr/>
      <w:tcPr>
        <w:shd w:val="clear" w:color="auto" w:fill="AED1D2" w:themeFill="accent6" w:themeFillTint="66"/>
      </w:tcPr>
    </w:tblStylePr>
    <w:tblStylePr w:type="lastCol">
      <w:tblPr/>
      <w:tcPr>
        <w:shd w:val="clear" w:color="auto" w:fill="86BBBC" w:themeFill="accent6" w:themeFillTint="99"/>
      </w:tcPr>
    </w:tblStylePr>
    <w:tblStylePr w:type="band2Vert">
      <w:rPr>
        <w:rFonts w:asciiTheme="minorHAnsi" w:hAnsiTheme="minorHAnsi"/>
      </w:rPr>
      <w:tblPr/>
      <w:tcPr>
        <w:shd w:val="clear" w:color="auto" w:fill="D6E8E8" w:themeFill="accent6" w:themeFillTint="33"/>
      </w:tcPr>
    </w:tblStylePr>
    <w:tblStylePr w:type="band2Horz">
      <w:rPr>
        <w:rFonts w:asciiTheme="minorHAnsi" w:hAnsiTheme="minorHAnsi"/>
      </w:rPr>
      <w:tblPr/>
      <w:tcPr>
        <w:shd w:val="clear" w:color="auto" w:fill="D6E8E8" w:themeFill="accent6" w:themeFillTint="33"/>
      </w:tcPr>
    </w:tblStylePr>
  </w:style>
  <w:style w:type="table" w:customStyle="1" w:styleId="BlueTable11">
    <w:name w:val="Blue Table11"/>
    <w:basedOn w:val="TaupeTable"/>
    <w:uiPriority w:val="99"/>
    <w:qFormat/>
    <w:rsid w:val="00FC6E47"/>
    <w:tblPr>
      <w:tblBorders>
        <w:bottom w:val="single" w:sz="4" w:space="0" w:color="7090B7" w:themeColor="accent5"/>
        <w:insideH w:val="single" w:sz="4" w:space="0" w:color="7090B7" w:themeColor="accent5"/>
      </w:tblBorders>
    </w:tblPr>
    <w:tcPr>
      <w:shd w:val="clear" w:color="auto" w:fill="auto"/>
    </w:tcPr>
    <w:tblStylePr w:type="firstRow">
      <w:rPr>
        <w:b w:val="0"/>
        <w:color w:val="FFFFFF" w:themeColor="background1"/>
      </w:rPr>
      <w:tblPr/>
      <w:tcPr>
        <w:shd w:val="clear" w:color="auto" w:fill="7090B7" w:themeFill="accent5"/>
      </w:tcPr>
    </w:tblStylePr>
    <w:tblStylePr w:type="lastRow">
      <w:rPr>
        <w:rFonts w:asciiTheme="minorHAnsi" w:hAnsiTheme="minorHAnsi"/>
        <w:b/>
      </w:rPr>
      <w:tblPr/>
      <w:tcPr>
        <w:shd w:val="clear" w:color="auto" w:fill="A9BCD3" w:themeFill="accent5" w:themeFillTint="99"/>
      </w:tcPr>
    </w:tblStylePr>
    <w:tblStylePr w:type="firstCol">
      <w:tblPr/>
      <w:tcPr>
        <w:shd w:val="clear" w:color="auto" w:fill="C5D2E2" w:themeFill="accent5" w:themeFillTint="66"/>
      </w:tcPr>
    </w:tblStylePr>
    <w:tblStylePr w:type="lastCol">
      <w:tblPr/>
      <w:tcPr>
        <w:shd w:val="clear" w:color="auto" w:fill="A9BCD3" w:themeFill="accent5" w:themeFillTint="99"/>
      </w:tcPr>
    </w:tblStylePr>
    <w:tblStylePr w:type="band2Vert">
      <w:rPr>
        <w:rFonts w:asciiTheme="minorHAnsi" w:hAnsiTheme="minorHAnsi"/>
      </w:rPr>
      <w:tblPr/>
      <w:tcPr>
        <w:shd w:val="clear" w:color="auto" w:fill="E2E8F0" w:themeFill="accent5" w:themeFillTint="33"/>
      </w:tcPr>
    </w:tblStylePr>
    <w:tblStylePr w:type="band2Horz">
      <w:rPr>
        <w:rFonts w:asciiTheme="minorHAnsi" w:hAnsiTheme="minorHAnsi"/>
      </w:rPr>
      <w:tblPr/>
      <w:tcPr>
        <w:shd w:val="clear" w:color="auto" w:fill="E2E8F0" w:themeFill="accent5" w:themeFillTint="33"/>
      </w:tcPr>
    </w:tblStylePr>
  </w:style>
  <w:style w:type="table" w:customStyle="1" w:styleId="BlueTableBorders11">
    <w:name w:val="Blue Table Borders11"/>
    <w:basedOn w:val="BlueTable"/>
    <w:uiPriority w:val="99"/>
    <w:qFormat/>
    <w:rsid w:val="00FC6E47"/>
    <w:tblPr>
      <w:tblBorders>
        <w:top w:val="single" w:sz="4" w:space="0" w:color="7090B7" w:themeColor="accent5"/>
        <w:left w:val="single" w:sz="4" w:space="0" w:color="7090B7" w:themeColor="accent5"/>
        <w:bottom w:val="none" w:sz="0" w:space="0" w:color="auto"/>
        <w:right w:val="single" w:sz="4" w:space="0" w:color="7090B7" w:themeColor="accent5"/>
        <w:insideH w:val="none" w:sz="0" w:space="0" w:color="auto"/>
        <w:insideV w:val="single" w:sz="4" w:space="0" w:color="7090B7" w:themeColor="accent5"/>
      </w:tblBorders>
    </w:tblPr>
    <w:tcPr>
      <w:shd w:val="clear" w:color="auto" w:fill="auto"/>
    </w:tcPr>
    <w:tblStylePr w:type="firstRow">
      <w:rPr>
        <w:b w:val="0"/>
        <w:color w:val="FFFFFF" w:themeColor="background1"/>
      </w:rPr>
      <w:tblPr/>
      <w:tcPr>
        <w:shd w:val="clear" w:color="auto" w:fill="7090B7" w:themeFill="accent5"/>
      </w:tcPr>
    </w:tblStylePr>
    <w:tblStylePr w:type="lastRow">
      <w:rPr>
        <w:rFonts w:asciiTheme="minorHAnsi" w:hAnsiTheme="minorHAnsi"/>
        <w:b/>
      </w:rPr>
      <w:tblPr/>
      <w:tcPr>
        <w:shd w:val="clear" w:color="auto" w:fill="A9BCD3" w:themeFill="accent5" w:themeFillTint="99"/>
      </w:tcPr>
    </w:tblStylePr>
    <w:tblStylePr w:type="firstCol">
      <w:tblPr/>
      <w:tcPr>
        <w:shd w:val="clear" w:color="auto" w:fill="C5D2E2" w:themeFill="accent5" w:themeFillTint="66"/>
      </w:tcPr>
    </w:tblStylePr>
    <w:tblStylePr w:type="lastCol">
      <w:tblPr/>
      <w:tcPr>
        <w:shd w:val="clear" w:color="auto" w:fill="A9BCD3" w:themeFill="accent5" w:themeFillTint="99"/>
      </w:tcPr>
    </w:tblStylePr>
    <w:tblStylePr w:type="band2Vert">
      <w:rPr>
        <w:rFonts w:asciiTheme="minorHAnsi" w:hAnsiTheme="minorHAnsi"/>
      </w:rPr>
      <w:tblPr/>
      <w:tcPr>
        <w:shd w:val="clear" w:color="auto" w:fill="E2E8F0" w:themeFill="accent5" w:themeFillTint="33"/>
      </w:tcPr>
    </w:tblStylePr>
    <w:tblStylePr w:type="band2Horz">
      <w:rPr>
        <w:rFonts w:asciiTheme="minorHAnsi" w:hAnsiTheme="minorHAnsi"/>
      </w:rPr>
      <w:tblPr/>
      <w:tcPr>
        <w:shd w:val="clear" w:color="auto" w:fill="E2E8F0" w:themeFill="accent5" w:themeFillTint="33"/>
      </w:tcPr>
    </w:tblStylePr>
  </w:style>
  <w:style w:type="table" w:customStyle="1" w:styleId="NavyTable11">
    <w:name w:val="Navy Table11"/>
    <w:basedOn w:val="TaupeTable"/>
    <w:uiPriority w:val="99"/>
    <w:qFormat/>
    <w:rsid w:val="00FC6E47"/>
    <w:tblPr>
      <w:tblBorders>
        <w:bottom w:val="single" w:sz="4" w:space="0" w:color="003359" w:themeColor="accent1"/>
        <w:insideH w:val="single" w:sz="4" w:space="0" w:color="003359" w:themeColor="accent1"/>
      </w:tblBorders>
    </w:tblPr>
    <w:tcPr>
      <w:shd w:val="clear" w:color="auto" w:fill="auto"/>
    </w:tcPr>
    <w:tblStylePr w:type="firstRow">
      <w:rPr>
        <w:b w:val="0"/>
        <w:color w:val="FFFFFF" w:themeColor="background1"/>
      </w:rPr>
      <w:tblPr/>
      <w:tcPr>
        <w:shd w:val="clear" w:color="auto" w:fill="003359" w:themeFill="accent1"/>
      </w:tcPr>
    </w:tblStylePr>
    <w:tblStylePr w:type="lastRow">
      <w:rPr>
        <w:rFonts w:asciiTheme="minorHAnsi" w:hAnsiTheme="minorHAnsi"/>
        <w:b/>
      </w:rPr>
      <w:tblPr/>
      <w:tcPr>
        <w:shd w:val="clear" w:color="auto" w:fill="95D1FF" w:themeFill="accent1" w:themeFillTint="40"/>
      </w:tcPr>
    </w:tblStylePr>
    <w:tblStylePr w:type="firstCol">
      <w:tblPr/>
      <w:tcPr>
        <w:shd w:val="clear" w:color="auto" w:fill="D4ECFF" w:themeFill="accent1" w:themeFillTint="1A"/>
      </w:tcPr>
    </w:tblStylePr>
    <w:tblStylePr w:type="lastCol">
      <w:tblPr/>
      <w:tcPr>
        <w:shd w:val="clear" w:color="auto" w:fill="95D1FF" w:themeFill="accent1" w:themeFillTint="40"/>
      </w:tcPr>
    </w:tblStylePr>
    <w:tblStylePr w:type="band2Vert">
      <w:rPr>
        <w:rFonts w:asciiTheme="minorHAnsi" w:hAnsiTheme="minorHAnsi"/>
      </w:rPr>
      <w:tblPr/>
      <w:tcPr>
        <w:shd w:val="clear" w:color="auto" w:fill="EBF6FF"/>
      </w:tcPr>
    </w:tblStylePr>
    <w:tblStylePr w:type="band2Horz">
      <w:rPr>
        <w:rFonts w:asciiTheme="minorHAnsi" w:hAnsiTheme="minorHAnsi"/>
      </w:rPr>
      <w:tblPr/>
      <w:tcPr>
        <w:shd w:val="clear" w:color="auto" w:fill="EBF6FF"/>
      </w:tcPr>
    </w:tblStylePr>
  </w:style>
  <w:style w:type="table" w:customStyle="1" w:styleId="NavyTableBorders11">
    <w:name w:val="Navy Table Borders11"/>
    <w:basedOn w:val="NavyTable"/>
    <w:uiPriority w:val="99"/>
    <w:qFormat/>
    <w:rsid w:val="00FC6E47"/>
    <w:tblPr>
      <w:tblBorders>
        <w:top w:val="single" w:sz="4" w:space="0" w:color="003359" w:themeColor="accent1"/>
        <w:left w:val="single" w:sz="4" w:space="0" w:color="003359" w:themeColor="accent1"/>
        <w:bottom w:val="none" w:sz="0" w:space="0" w:color="auto"/>
        <w:right w:val="single" w:sz="4" w:space="0" w:color="003359" w:themeColor="accent1"/>
        <w:insideH w:val="none" w:sz="0" w:space="0" w:color="auto"/>
        <w:insideV w:val="single" w:sz="4" w:space="0" w:color="003359" w:themeColor="accent1"/>
      </w:tblBorders>
    </w:tblPr>
    <w:tcPr>
      <w:shd w:val="clear" w:color="auto" w:fill="auto"/>
    </w:tcPr>
    <w:tblStylePr w:type="firstRow">
      <w:rPr>
        <w:b w:val="0"/>
        <w:color w:val="FFFFFF" w:themeColor="background1"/>
      </w:rPr>
      <w:tblPr/>
      <w:tcPr>
        <w:shd w:val="clear" w:color="auto" w:fill="003359" w:themeFill="accent1"/>
      </w:tcPr>
    </w:tblStylePr>
    <w:tblStylePr w:type="lastRow">
      <w:rPr>
        <w:rFonts w:asciiTheme="minorHAnsi" w:hAnsiTheme="minorHAnsi"/>
        <w:b/>
      </w:rPr>
      <w:tblPr/>
      <w:tcPr>
        <w:shd w:val="clear" w:color="auto" w:fill="95D1FF" w:themeFill="accent1" w:themeFillTint="40"/>
      </w:tcPr>
    </w:tblStylePr>
    <w:tblStylePr w:type="firstCol">
      <w:tblPr/>
      <w:tcPr>
        <w:shd w:val="clear" w:color="auto" w:fill="D4ECFF" w:themeFill="accent1" w:themeFillTint="1A"/>
      </w:tcPr>
    </w:tblStylePr>
    <w:tblStylePr w:type="lastCol">
      <w:tblPr/>
      <w:tcPr>
        <w:shd w:val="clear" w:color="auto" w:fill="95D1FF" w:themeFill="accent1" w:themeFillTint="40"/>
      </w:tcPr>
    </w:tblStylePr>
    <w:tblStylePr w:type="band2Vert">
      <w:rPr>
        <w:rFonts w:asciiTheme="minorHAnsi" w:hAnsiTheme="minorHAnsi"/>
      </w:rPr>
      <w:tblPr/>
      <w:tcPr>
        <w:shd w:val="clear" w:color="auto" w:fill="EBF6FF"/>
      </w:tcPr>
    </w:tblStylePr>
    <w:tblStylePr w:type="band2Horz">
      <w:rPr>
        <w:rFonts w:asciiTheme="minorHAnsi" w:hAnsiTheme="minorHAnsi"/>
      </w:rPr>
      <w:tblPr/>
      <w:tcPr>
        <w:shd w:val="clear" w:color="auto" w:fill="EBF6FF"/>
      </w:tcPr>
    </w:tblStylePr>
  </w:style>
  <w:style w:type="table" w:customStyle="1" w:styleId="OliveTable11">
    <w:name w:val="Olive Table11"/>
    <w:basedOn w:val="TaupeTable"/>
    <w:uiPriority w:val="99"/>
    <w:qFormat/>
    <w:rsid w:val="00FC6E47"/>
    <w:tblPr>
      <w:tblBorders>
        <w:bottom w:val="single" w:sz="4" w:space="0" w:color="878800" w:themeColor="accent4"/>
        <w:insideH w:val="single" w:sz="4" w:space="0" w:color="878800" w:themeColor="accent4"/>
      </w:tblBorders>
    </w:tblPr>
    <w:tcPr>
      <w:shd w:val="clear" w:color="auto" w:fill="auto"/>
    </w:tcPr>
    <w:tblStylePr w:type="firstRow">
      <w:rPr>
        <w:b w:val="0"/>
        <w:color w:val="FFFFFF" w:themeColor="background1"/>
      </w:rPr>
      <w:tblPr/>
      <w:tcPr>
        <w:shd w:val="clear" w:color="auto" w:fill="878800" w:themeFill="accent4"/>
      </w:tcPr>
    </w:tblStylePr>
    <w:tblStylePr w:type="lastRow">
      <w:rPr>
        <w:rFonts w:asciiTheme="minorHAnsi" w:hAnsiTheme="minorHAnsi"/>
        <w:b/>
      </w:rPr>
      <w:tblPr/>
      <w:tcPr>
        <w:shd w:val="clear" w:color="auto" w:fill="C9C6A3"/>
      </w:tcPr>
    </w:tblStylePr>
    <w:tblStylePr w:type="firstCol">
      <w:tblPr/>
      <w:tcPr>
        <w:shd w:val="clear" w:color="auto" w:fill="DBD9C3"/>
      </w:tcPr>
    </w:tblStylePr>
    <w:tblStylePr w:type="lastCol">
      <w:tblPr/>
      <w:tcPr>
        <w:shd w:val="clear" w:color="auto" w:fill="C9C6A3"/>
      </w:tcPr>
    </w:tblStylePr>
    <w:tblStylePr w:type="band2Vert">
      <w:rPr>
        <w:rFonts w:asciiTheme="minorHAnsi" w:hAnsiTheme="minorHAnsi"/>
      </w:rPr>
      <w:tblPr/>
      <w:tcPr>
        <w:shd w:val="clear" w:color="auto" w:fill="EEEDE2"/>
      </w:tcPr>
    </w:tblStylePr>
    <w:tblStylePr w:type="band2Horz">
      <w:rPr>
        <w:rFonts w:asciiTheme="minorHAnsi" w:hAnsiTheme="minorHAnsi"/>
      </w:rPr>
      <w:tblPr/>
      <w:tcPr>
        <w:shd w:val="clear" w:color="auto" w:fill="EEEDE2"/>
      </w:tcPr>
    </w:tblStylePr>
  </w:style>
  <w:style w:type="table" w:customStyle="1" w:styleId="OliveTableBorders11">
    <w:name w:val="Olive Table Borders11"/>
    <w:basedOn w:val="OliveTable"/>
    <w:uiPriority w:val="99"/>
    <w:qFormat/>
    <w:rsid w:val="00FC6E47"/>
    <w:tblPr>
      <w:tblBorders>
        <w:top w:val="single" w:sz="4" w:space="0" w:color="878800" w:themeColor="accent4"/>
        <w:left w:val="single" w:sz="4" w:space="0" w:color="878800" w:themeColor="accent4"/>
        <w:bottom w:val="none" w:sz="0" w:space="0" w:color="auto"/>
        <w:right w:val="single" w:sz="4" w:space="0" w:color="878800" w:themeColor="accent4"/>
        <w:insideH w:val="none" w:sz="0" w:space="0" w:color="auto"/>
        <w:insideV w:val="single" w:sz="4" w:space="0" w:color="878800" w:themeColor="accent4"/>
      </w:tblBorders>
    </w:tblPr>
    <w:tcPr>
      <w:shd w:val="clear" w:color="auto" w:fill="auto"/>
    </w:tcPr>
    <w:tblStylePr w:type="firstRow">
      <w:rPr>
        <w:b w:val="0"/>
        <w:color w:val="FFFFFF" w:themeColor="background1"/>
      </w:rPr>
      <w:tblPr/>
      <w:tcPr>
        <w:shd w:val="clear" w:color="auto" w:fill="878800" w:themeFill="accent4"/>
      </w:tcPr>
    </w:tblStylePr>
    <w:tblStylePr w:type="lastRow">
      <w:rPr>
        <w:rFonts w:asciiTheme="minorHAnsi" w:hAnsiTheme="minorHAnsi"/>
        <w:b/>
      </w:rPr>
      <w:tblPr/>
      <w:tcPr>
        <w:shd w:val="clear" w:color="auto" w:fill="C9C6A3"/>
      </w:tcPr>
    </w:tblStylePr>
    <w:tblStylePr w:type="firstCol">
      <w:tblPr/>
      <w:tcPr>
        <w:shd w:val="clear" w:color="auto" w:fill="DBD9C3"/>
      </w:tcPr>
    </w:tblStylePr>
    <w:tblStylePr w:type="lastCol">
      <w:tblPr/>
      <w:tcPr>
        <w:shd w:val="clear" w:color="auto" w:fill="C9C6A3"/>
      </w:tcPr>
    </w:tblStylePr>
    <w:tblStylePr w:type="band2Vert">
      <w:rPr>
        <w:rFonts w:asciiTheme="minorHAnsi" w:hAnsiTheme="minorHAnsi"/>
      </w:rPr>
      <w:tblPr/>
      <w:tcPr>
        <w:shd w:val="clear" w:color="auto" w:fill="EEEDE2"/>
      </w:tcPr>
    </w:tblStylePr>
    <w:tblStylePr w:type="band2Horz">
      <w:rPr>
        <w:rFonts w:asciiTheme="minorHAnsi" w:hAnsiTheme="minorHAnsi"/>
      </w:rPr>
      <w:tblPr/>
      <w:tcPr>
        <w:shd w:val="clear" w:color="auto" w:fill="EEEDE2"/>
      </w:tcPr>
    </w:tblStylePr>
  </w:style>
  <w:style w:type="table" w:customStyle="1" w:styleId="OrangeTable11">
    <w:name w:val="Orange Table11"/>
    <w:basedOn w:val="TaupeTable"/>
    <w:uiPriority w:val="99"/>
    <w:qFormat/>
    <w:rsid w:val="00FC6E47"/>
    <w:tblPr>
      <w:tblBorders>
        <w:bottom w:val="single" w:sz="4" w:space="0" w:color="D95E00" w:themeColor="accent2"/>
        <w:insideH w:val="single" w:sz="4" w:space="0" w:color="D95E00" w:themeColor="accent2"/>
      </w:tblBorders>
    </w:tblPr>
    <w:tcPr>
      <w:shd w:val="clear" w:color="auto" w:fill="auto"/>
    </w:tcPr>
    <w:tblStylePr w:type="firstRow">
      <w:rPr>
        <w:b w:val="0"/>
        <w:color w:val="FFFFFF" w:themeColor="background1"/>
      </w:rPr>
      <w:tblPr/>
      <w:tcPr>
        <w:shd w:val="clear" w:color="auto" w:fill="D95E00" w:themeFill="accent2"/>
      </w:tcPr>
    </w:tblStylePr>
    <w:tblStylePr w:type="lastRow">
      <w:rPr>
        <w:rFonts w:asciiTheme="minorHAnsi" w:hAnsiTheme="minorHAnsi"/>
        <w:b/>
      </w:rPr>
      <w:tblPr/>
      <w:tcPr>
        <w:shd w:val="clear" w:color="auto" w:fill="DEB892"/>
      </w:tcPr>
    </w:tblStylePr>
    <w:tblStylePr w:type="firstCol">
      <w:tblPr/>
      <w:tcPr>
        <w:shd w:val="clear" w:color="auto" w:fill="E8CDB2"/>
      </w:tcPr>
    </w:tblStylePr>
    <w:tblStylePr w:type="lastCol">
      <w:tblPr/>
      <w:tcPr>
        <w:shd w:val="clear" w:color="auto" w:fill="DEB892"/>
      </w:tcPr>
    </w:tblStylePr>
    <w:tblStylePr w:type="band2Vert">
      <w:rPr>
        <w:rFonts w:asciiTheme="minorHAnsi" w:hAnsiTheme="minorHAnsi"/>
      </w:rPr>
      <w:tblPr/>
      <w:tcPr>
        <w:shd w:val="clear" w:color="auto" w:fill="F3E4D5"/>
      </w:tcPr>
    </w:tblStylePr>
    <w:tblStylePr w:type="band2Horz">
      <w:rPr>
        <w:rFonts w:asciiTheme="minorHAnsi" w:hAnsiTheme="minorHAnsi"/>
      </w:rPr>
      <w:tblPr/>
      <w:tcPr>
        <w:shd w:val="clear" w:color="auto" w:fill="F3E4D5"/>
      </w:tcPr>
    </w:tblStylePr>
  </w:style>
  <w:style w:type="table" w:customStyle="1" w:styleId="OrangeTableBorders11">
    <w:name w:val="Orange Table Borders11"/>
    <w:basedOn w:val="OrangeTable"/>
    <w:uiPriority w:val="99"/>
    <w:qFormat/>
    <w:rsid w:val="00FC6E47"/>
    <w:tblPr>
      <w:tblBorders>
        <w:top w:val="single" w:sz="4" w:space="0" w:color="D95E00" w:themeColor="accent2"/>
        <w:left w:val="single" w:sz="4" w:space="0" w:color="D95E00" w:themeColor="accent2"/>
        <w:bottom w:val="none" w:sz="0" w:space="0" w:color="auto"/>
        <w:right w:val="single" w:sz="4" w:space="0" w:color="D95E00" w:themeColor="accent2"/>
        <w:insideH w:val="none" w:sz="0" w:space="0" w:color="auto"/>
        <w:insideV w:val="single" w:sz="4" w:space="0" w:color="D95E00" w:themeColor="accent2"/>
      </w:tblBorders>
    </w:tblPr>
    <w:tcPr>
      <w:shd w:val="clear" w:color="auto" w:fill="auto"/>
    </w:tcPr>
    <w:tblStylePr w:type="firstRow">
      <w:rPr>
        <w:b w:val="0"/>
        <w:color w:val="FFFFFF" w:themeColor="background1"/>
      </w:rPr>
      <w:tblPr/>
      <w:tcPr>
        <w:shd w:val="clear" w:color="auto" w:fill="D95E00" w:themeFill="accent2"/>
      </w:tcPr>
    </w:tblStylePr>
    <w:tblStylePr w:type="lastRow">
      <w:rPr>
        <w:rFonts w:asciiTheme="minorHAnsi" w:hAnsiTheme="minorHAnsi"/>
        <w:b/>
      </w:rPr>
      <w:tblPr/>
      <w:tcPr>
        <w:shd w:val="clear" w:color="auto" w:fill="DEB892"/>
      </w:tcPr>
    </w:tblStylePr>
    <w:tblStylePr w:type="firstCol">
      <w:tblPr/>
      <w:tcPr>
        <w:shd w:val="clear" w:color="auto" w:fill="E8CDB2"/>
      </w:tcPr>
    </w:tblStylePr>
    <w:tblStylePr w:type="lastCol">
      <w:tblPr/>
      <w:tcPr>
        <w:shd w:val="clear" w:color="auto" w:fill="DEB892"/>
      </w:tcPr>
    </w:tblStylePr>
    <w:tblStylePr w:type="band2Vert">
      <w:rPr>
        <w:rFonts w:asciiTheme="minorHAnsi" w:hAnsiTheme="minorHAnsi"/>
      </w:rPr>
      <w:tblPr/>
      <w:tcPr>
        <w:shd w:val="clear" w:color="auto" w:fill="F3E4D5"/>
      </w:tcPr>
    </w:tblStylePr>
    <w:tblStylePr w:type="band2Horz">
      <w:rPr>
        <w:rFonts w:asciiTheme="minorHAnsi" w:hAnsiTheme="minorHAnsi"/>
      </w:rPr>
      <w:tblPr/>
      <w:tcPr>
        <w:shd w:val="clear" w:color="auto" w:fill="F3E4D5"/>
      </w:tcPr>
    </w:tblStylePr>
  </w:style>
  <w:style w:type="table" w:customStyle="1" w:styleId="TaupeTableBorders11">
    <w:name w:val="Taupe Table Borders11"/>
    <w:basedOn w:val="TaupeTable"/>
    <w:uiPriority w:val="99"/>
    <w:qFormat/>
    <w:rsid w:val="00FC6E47"/>
    <w:tblPr>
      <w:tblBorders>
        <w:top w:val="single" w:sz="4" w:space="0" w:color="988F86" w:themeColor="accent3"/>
        <w:left w:val="single" w:sz="4" w:space="0" w:color="988F86" w:themeColor="accent3"/>
        <w:bottom w:val="single" w:sz="4" w:space="0" w:color="988F86" w:themeColor="accent3"/>
        <w:right w:val="single" w:sz="4" w:space="0" w:color="988F86" w:themeColor="accent3"/>
        <w:insideH w:val="single" w:sz="4" w:space="0" w:color="988F86" w:themeColor="accent3"/>
        <w:insideV w:val="single" w:sz="4" w:space="0" w:color="988F86" w:themeColor="accent3"/>
      </w:tblBorders>
    </w:tblPr>
    <w:tcPr>
      <w:shd w:val="clear" w:color="auto" w:fill="auto"/>
    </w:tcPr>
    <w:tblStylePr w:type="firstRow">
      <w:rPr>
        <w:b w:val="0"/>
        <w:color w:val="FFFFFF" w:themeColor="background1"/>
      </w:rPr>
      <w:tblPr/>
      <w:tcPr>
        <w:shd w:val="clear" w:color="auto" w:fill="988F86" w:themeFill="accent3"/>
      </w:tcPr>
    </w:tblStylePr>
    <w:tblStylePr w:type="lastRow">
      <w:rPr>
        <w:rFonts w:asciiTheme="minorHAnsi" w:hAnsiTheme="minorHAnsi"/>
        <w:b/>
      </w:rPr>
      <w:tblPr/>
      <w:tcPr>
        <w:shd w:val="clear" w:color="auto" w:fill="C1BBB6" w:themeFill="accent3" w:themeFillTint="99"/>
      </w:tcPr>
    </w:tblStylePr>
    <w:tblStylePr w:type="firstCol">
      <w:tblPr/>
      <w:tcPr>
        <w:shd w:val="clear" w:color="auto" w:fill="D5D2CE" w:themeFill="accent3" w:themeFillTint="66"/>
      </w:tcPr>
    </w:tblStylePr>
    <w:tblStylePr w:type="lastCol">
      <w:tblPr/>
      <w:tcPr>
        <w:shd w:val="clear" w:color="auto" w:fill="C1BBB6" w:themeFill="accent3" w:themeFillTint="99"/>
      </w:tcPr>
    </w:tblStylePr>
    <w:tblStylePr w:type="band2Vert">
      <w:rPr>
        <w:rFonts w:asciiTheme="minorHAnsi" w:hAnsiTheme="minorHAnsi"/>
      </w:rPr>
      <w:tblPr/>
      <w:tcPr>
        <w:shd w:val="clear" w:color="auto" w:fill="EAE8E6" w:themeFill="accent3" w:themeFillTint="33"/>
      </w:tcPr>
    </w:tblStylePr>
    <w:tblStylePr w:type="band2Horz">
      <w:rPr>
        <w:rFonts w:asciiTheme="minorHAnsi" w:hAnsiTheme="minorHAnsi"/>
      </w:rPr>
      <w:tblPr/>
      <w:tcPr>
        <w:shd w:val="clear" w:color="auto" w:fill="EAE8E6" w:themeFill="accent3" w:themeFillTint="33"/>
      </w:tcPr>
    </w:tblStylePr>
  </w:style>
  <w:style w:type="table" w:customStyle="1" w:styleId="TableGrid151">
    <w:name w:val="Table Grid151"/>
    <w:basedOn w:val="TableNormal"/>
    <w:next w:val="TableGrid"/>
    <w:uiPriority w:val="39"/>
    <w:rsid w:val="00FC6E47"/>
    <w:pPr>
      <w:spacing w:before="0" w:after="0"/>
      <w:ind w:left="0" w:firstLine="0"/>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0">
    <w:name w:val="Table Grid211"/>
    <w:basedOn w:val="TableNormal"/>
    <w:next w:val="TableGrid"/>
    <w:uiPriority w:val="39"/>
    <w:rsid w:val="00FC6E47"/>
    <w:pPr>
      <w:spacing w:before="0" w:after="0"/>
      <w:ind w:left="0" w:firstLine="0"/>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0">
    <w:name w:val="Table Grid311"/>
    <w:basedOn w:val="TableNormal"/>
    <w:next w:val="TableGrid"/>
    <w:uiPriority w:val="39"/>
    <w:rsid w:val="00FC6E47"/>
    <w:pPr>
      <w:spacing w:before="0" w:after="0"/>
      <w:ind w:left="0" w:firstLine="0"/>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0">
    <w:name w:val="Table Grid411"/>
    <w:basedOn w:val="TableNormal"/>
    <w:next w:val="TableGrid"/>
    <w:uiPriority w:val="39"/>
    <w:rsid w:val="00FC6E47"/>
    <w:pPr>
      <w:spacing w:before="0" w:after="0"/>
      <w:ind w:left="0" w:firstLine="0"/>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ardnoTableNavy31">
    <w:name w:val="Cardno Table Navy31"/>
    <w:basedOn w:val="TableNormal"/>
    <w:uiPriority w:val="99"/>
    <w:qFormat/>
    <w:rsid w:val="00FC6E47"/>
    <w:pPr>
      <w:spacing w:before="0" w:after="0"/>
      <w:ind w:left="0" w:firstLine="0"/>
    </w:pPr>
    <w:rPr>
      <w:rFonts w:asciiTheme="minorHAnsi" w:hAnsiTheme="minorHAnsi"/>
      <w:sz w:val="20"/>
      <w:szCs w:val="20"/>
      <w:lang w:val="en-US" w:eastAsia="en-US"/>
    </w:rPr>
    <w:tblPr>
      <w:tblBorders>
        <w:bottom w:val="single" w:sz="4" w:space="0" w:color="C1BBB6" w:themeColor="accent3" w:themeTint="99"/>
        <w:insideH w:val="single" w:sz="4" w:space="0" w:color="C1BBB6" w:themeColor="accent3" w:themeTint="99"/>
      </w:tblBorders>
    </w:tblPr>
    <w:tcPr>
      <w:tcMar>
        <w:top w:w="57" w:type="dxa"/>
        <w:bottom w:w="57" w:type="dxa"/>
      </w:tcMar>
    </w:tcPr>
    <w:tblStylePr w:type="firstRow">
      <w:rPr>
        <w:color w:val="FFFFFF" w:themeColor="background1"/>
      </w:rPr>
      <w:tblPr/>
      <w:trPr>
        <w:tblHeader/>
      </w:trPr>
      <w:tcPr>
        <w:shd w:val="clear" w:color="auto" w:fill="003359" w:themeFill="accent1"/>
      </w:tcPr>
    </w:tblStylePr>
  </w:style>
  <w:style w:type="table" w:customStyle="1" w:styleId="CardnoTable1">
    <w:name w:val="Cardno Table1"/>
    <w:basedOn w:val="TableNormal"/>
    <w:uiPriority w:val="99"/>
    <w:rsid w:val="00FC6E47"/>
    <w:pPr>
      <w:spacing w:before="0" w:after="0"/>
      <w:ind w:left="0" w:firstLine="0"/>
    </w:pPr>
    <w:rPr>
      <w:rFonts w:ascii="Arial" w:hAnsi="Arial"/>
      <w:sz w:val="16"/>
    </w:rPr>
    <w:tblPr>
      <w:tblBorders>
        <w:top w:val="single" w:sz="4" w:space="0" w:color="988F86" w:themeColor="accent3"/>
        <w:bottom w:val="single" w:sz="4" w:space="0" w:color="988F86" w:themeColor="accent3"/>
        <w:insideH w:val="single" w:sz="6" w:space="0" w:color="988F86" w:themeColor="accent3"/>
      </w:tblBorders>
    </w:tblPr>
    <w:tcPr>
      <w:tcMar>
        <w:top w:w="57" w:type="dxa"/>
        <w:bottom w:w="57" w:type="dxa"/>
      </w:tcMar>
    </w:tcPr>
    <w:tblStylePr w:type="firstRow">
      <w:pPr>
        <w:jc w:val="center"/>
      </w:pPr>
      <w:rPr>
        <w:rFonts w:ascii="Arial" w:hAnsi="Arial"/>
        <w:b/>
        <w:color w:val="FFFFFF" w:themeColor="background1"/>
        <w:sz w:val="16"/>
      </w:rPr>
      <w:tblPr/>
      <w:tcPr>
        <w:shd w:val="clear" w:color="auto" w:fill="988F86" w:themeFill="accent3"/>
        <w:vAlign w:val="center"/>
      </w:tcPr>
    </w:tblStylePr>
  </w:style>
  <w:style w:type="table" w:customStyle="1" w:styleId="LightList-Accent11">
    <w:name w:val="Light List - Accent 11"/>
    <w:basedOn w:val="TableNormal"/>
    <w:next w:val="LightList-Accent1"/>
    <w:uiPriority w:val="61"/>
    <w:rsid w:val="00FC6E47"/>
    <w:pPr>
      <w:spacing w:before="0" w:after="0"/>
    </w:pPr>
    <w:tblPr>
      <w:tblStyleRowBandSize w:val="1"/>
      <w:tblStyleColBandSize w:val="1"/>
      <w:tblBorders>
        <w:top w:val="single" w:sz="8" w:space="0" w:color="003359" w:themeColor="accent1"/>
        <w:left w:val="single" w:sz="8" w:space="0" w:color="003359" w:themeColor="accent1"/>
        <w:bottom w:val="single" w:sz="8" w:space="0" w:color="003359" w:themeColor="accent1"/>
        <w:right w:val="single" w:sz="8" w:space="0" w:color="003359" w:themeColor="accent1"/>
      </w:tblBorders>
    </w:tblPr>
    <w:tblStylePr w:type="firstRow">
      <w:pPr>
        <w:spacing w:before="0" w:after="0" w:line="240" w:lineRule="auto"/>
      </w:pPr>
      <w:rPr>
        <w:b/>
        <w:bCs/>
        <w:color w:val="FFFFFF" w:themeColor="background1"/>
      </w:rPr>
      <w:tblPr/>
      <w:tcPr>
        <w:shd w:val="clear" w:color="auto" w:fill="003359" w:themeFill="accent1"/>
      </w:tcPr>
    </w:tblStylePr>
    <w:tblStylePr w:type="lastRow">
      <w:pPr>
        <w:spacing w:before="0" w:after="0" w:line="240" w:lineRule="auto"/>
      </w:pPr>
      <w:rPr>
        <w:b/>
        <w:bCs/>
      </w:rPr>
      <w:tblPr/>
      <w:tcPr>
        <w:tcBorders>
          <w:top w:val="double" w:sz="6" w:space="0" w:color="003359" w:themeColor="accent1"/>
          <w:left w:val="single" w:sz="8" w:space="0" w:color="003359" w:themeColor="accent1"/>
          <w:bottom w:val="single" w:sz="8" w:space="0" w:color="003359" w:themeColor="accent1"/>
          <w:right w:val="single" w:sz="8" w:space="0" w:color="003359" w:themeColor="accent1"/>
        </w:tcBorders>
      </w:tcPr>
    </w:tblStylePr>
    <w:tblStylePr w:type="firstCol">
      <w:rPr>
        <w:b/>
        <w:bCs/>
      </w:rPr>
    </w:tblStylePr>
    <w:tblStylePr w:type="lastCol">
      <w:rPr>
        <w:b/>
        <w:bCs/>
      </w:rPr>
    </w:tblStylePr>
    <w:tblStylePr w:type="band1Vert">
      <w:tblPr/>
      <w:tcPr>
        <w:tcBorders>
          <w:top w:val="single" w:sz="8" w:space="0" w:color="003359" w:themeColor="accent1"/>
          <w:left w:val="single" w:sz="8" w:space="0" w:color="003359" w:themeColor="accent1"/>
          <w:bottom w:val="single" w:sz="8" w:space="0" w:color="003359" w:themeColor="accent1"/>
          <w:right w:val="single" w:sz="8" w:space="0" w:color="003359" w:themeColor="accent1"/>
        </w:tcBorders>
      </w:tcPr>
    </w:tblStylePr>
    <w:tblStylePr w:type="band1Horz">
      <w:tblPr/>
      <w:tcPr>
        <w:tcBorders>
          <w:top w:val="single" w:sz="8" w:space="0" w:color="003359" w:themeColor="accent1"/>
          <w:left w:val="single" w:sz="8" w:space="0" w:color="003359" w:themeColor="accent1"/>
          <w:bottom w:val="single" w:sz="8" w:space="0" w:color="003359" w:themeColor="accent1"/>
          <w:right w:val="single" w:sz="8" w:space="0" w:color="003359" w:themeColor="accent1"/>
        </w:tcBorders>
      </w:tcPr>
    </w:tblStylePr>
  </w:style>
  <w:style w:type="table" w:customStyle="1" w:styleId="MediumShading1-Accent52">
    <w:name w:val="Medium Shading 1 - Accent 52"/>
    <w:basedOn w:val="TableNormal"/>
    <w:next w:val="MediumShading1-Accent5"/>
    <w:uiPriority w:val="63"/>
    <w:rsid w:val="00FC6E47"/>
    <w:pPr>
      <w:spacing w:before="0" w:after="0"/>
    </w:pPr>
    <w:tblPr>
      <w:tblStyleRowBandSize w:val="1"/>
      <w:tblStyleColBandSize w:val="1"/>
      <w:tblBorders>
        <w:top w:val="single" w:sz="8" w:space="0" w:color="93ABC9" w:themeColor="accent5" w:themeTint="BF"/>
        <w:left w:val="single" w:sz="8" w:space="0" w:color="93ABC9" w:themeColor="accent5" w:themeTint="BF"/>
        <w:bottom w:val="single" w:sz="8" w:space="0" w:color="93ABC9" w:themeColor="accent5" w:themeTint="BF"/>
        <w:right w:val="single" w:sz="8" w:space="0" w:color="93ABC9" w:themeColor="accent5" w:themeTint="BF"/>
        <w:insideH w:val="single" w:sz="8" w:space="0" w:color="93ABC9" w:themeColor="accent5" w:themeTint="BF"/>
      </w:tblBorders>
    </w:tblPr>
    <w:tblStylePr w:type="firstRow">
      <w:pPr>
        <w:spacing w:before="0" w:after="0" w:line="240" w:lineRule="auto"/>
      </w:pPr>
      <w:rPr>
        <w:b/>
        <w:bCs/>
        <w:color w:val="FFFFFF" w:themeColor="background1"/>
      </w:rPr>
      <w:tblPr/>
      <w:tcPr>
        <w:tcBorders>
          <w:top w:val="single" w:sz="8" w:space="0" w:color="93ABC9" w:themeColor="accent5" w:themeTint="BF"/>
          <w:left w:val="single" w:sz="8" w:space="0" w:color="93ABC9" w:themeColor="accent5" w:themeTint="BF"/>
          <w:bottom w:val="single" w:sz="8" w:space="0" w:color="93ABC9" w:themeColor="accent5" w:themeTint="BF"/>
          <w:right w:val="single" w:sz="8" w:space="0" w:color="93ABC9" w:themeColor="accent5" w:themeTint="BF"/>
          <w:insideH w:val="nil"/>
          <w:insideV w:val="nil"/>
        </w:tcBorders>
        <w:shd w:val="clear" w:color="auto" w:fill="7090B7" w:themeFill="accent5"/>
      </w:tcPr>
    </w:tblStylePr>
    <w:tblStylePr w:type="lastRow">
      <w:pPr>
        <w:spacing w:before="0" w:after="0" w:line="240" w:lineRule="auto"/>
      </w:pPr>
      <w:rPr>
        <w:b/>
        <w:bCs/>
      </w:rPr>
      <w:tblPr/>
      <w:tcPr>
        <w:tcBorders>
          <w:top w:val="double" w:sz="6" w:space="0" w:color="93ABC9" w:themeColor="accent5" w:themeTint="BF"/>
          <w:left w:val="single" w:sz="8" w:space="0" w:color="93ABC9" w:themeColor="accent5" w:themeTint="BF"/>
          <w:bottom w:val="single" w:sz="8" w:space="0" w:color="93ABC9" w:themeColor="accent5" w:themeTint="BF"/>
          <w:right w:val="single" w:sz="8" w:space="0" w:color="93ABC9" w:themeColor="accent5" w:themeTint="BF"/>
          <w:insideH w:val="nil"/>
          <w:insideV w:val="nil"/>
        </w:tcBorders>
      </w:tcPr>
    </w:tblStylePr>
    <w:tblStylePr w:type="firstCol">
      <w:rPr>
        <w:b/>
        <w:bCs/>
      </w:rPr>
    </w:tblStylePr>
    <w:tblStylePr w:type="lastCol">
      <w:rPr>
        <w:b/>
        <w:bCs/>
      </w:rPr>
    </w:tblStylePr>
    <w:tblStylePr w:type="band1Vert">
      <w:tblPr/>
      <w:tcPr>
        <w:shd w:val="clear" w:color="auto" w:fill="DBE3ED" w:themeFill="accent5" w:themeFillTint="3F"/>
      </w:tcPr>
    </w:tblStylePr>
    <w:tblStylePr w:type="band1Horz">
      <w:tblPr/>
      <w:tcPr>
        <w:tcBorders>
          <w:insideH w:val="nil"/>
          <w:insideV w:val="nil"/>
        </w:tcBorders>
        <w:shd w:val="clear" w:color="auto" w:fill="DBE3ED" w:themeFill="accent5" w:themeFillTint="3F"/>
      </w:tcPr>
    </w:tblStylePr>
    <w:tblStylePr w:type="band2Horz">
      <w:tblPr/>
      <w:tcPr>
        <w:tcBorders>
          <w:insideH w:val="nil"/>
          <w:insideV w:val="nil"/>
        </w:tcBorders>
      </w:tcPr>
    </w:tblStylePr>
  </w:style>
  <w:style w:type="table" w:customStyle="1" w:styleId="TableGrid161">
    <w:name w:val="Table Grid161"/>
    <w:basedOn w:val="TableNormal"/>
    <w:next w:val="TableGrid"/>
    <w:uiPriority w:val="59"/>
    <w:rsid w:val="00FC6E47"/>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next w:val="TableGrid"/>
    <w:uiPriority w:val="59"/>
    <w:rsid w:val="00FC6E47"/>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
    <w:name w:val="Table Grid181"/>
    <w:basedOn w:val="TableNormal"/>
    <w:next w:val="TableGrid"/>
    <w:uiPriority w:val="59"/>
    <w:rsid w:val="00FC6E47"/>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next w:val="TableGrid"/>
    <w:uiPriority w:val="59"/>
    <w:rsid w:val="00FC6E47"/>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59"/>
    <w:rsid w:val="00FC6E47"/>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leNormal"/>
    <w:next w:val="TableGrid"/>
    <w:uiPriority w:val="59"/>
    <w:rsid w:val="00FC6E47"/>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next w:val="TableGrid"/>
    <w:uiPriority w:val="59"/>
    <w:rsid w:val="00FC6E47"/>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511">
    <w:name w:val="Medium Shading 1 - Accent 511"/>
    <w:basedOn w:val="TableNormal"/>
    <w:next w:val="MediumShading1-Accent5"/>
    <w:uiPriority w:val="63"/>
    <w:rsid w:val="00FC6E47"/>
    <w:pPr>
      <w:spacing w:before="0" w:after="0"/>
      <w:ind w:left="0" w:firstLine="0"/>
    </w:pPr>
    <w:rPr>
      <w:rFonts w:ascii="Calibri" w:eastAsia="Calibri" w:hAnsi="Calibri"/>
      <w:lang w:eastAsia="en-US"/>
    </w:rPr>
    <w:tblPr>
      <w:tblStyleRowBandSize w:val="1"/>
      <w:tblStyleColBandSize w:val="1"/>
      <w:tblBorders>
        <w:top w:val="single" w:sz="8" w:space="0" w:color="7295D2"/>
        <w:left w:val="single" w:sz="8" w:space="0" w:color="7295D2"/>
        <w:bottom w:val="single" w:sz="8" w:space="0" w:color="7295D2"/>
        <w:right w:val="single" w:sz="8" w:space="0" w:color="7295D2"/>
        <w:insideH w:val="single" w:sz="8" w:space="0" w:color="7295D2"/>
      </w:tblBorders>
    </w:tblPr>
    <w:tblStylePr w:type="firstRow">
      <w:pPr>
        <w:spacing w:before="0" w:after="0" w:line="240" w:lineRule="auto"/>
      </w:pPr>
      <w:rPr>
        <w:b/>
        <w:bCs/>
        <w:color w:val="FFFFFF"/>
      </w:rPr>
      <w:tblPr/>
      <w:tcPr>
        <w:tcBorders>
          <w:top w:val="single" w:sz="8" w:space="0" w:color="7295D2"/>
          <w:left w:val="single" w:sz="8" w:space="0" w:color="7295D2"/>
          <w:bottom w:val="single" w:sz="8" w:space="0" w:color="7295D2"/>
          <w:right w:val="single" w:sz="8" w:space="0" w:color="7295D2"/>
          <w:insideH w:val="nil"/>
          <w:insideV w:val="nil"/>
        </w:tcBorders>
        <w:shd w:val="clear" w:color="auto" w:fill="4472C4"/>
      </w:tcPr>
    </w:tblStylePr>
    <w:tblStylePr w:type="lastRow">
      <w:pPr>
        <w:spacing w:before="0" w:after="0" w:line="240" w:lineRule="auto"/>
      </w:pPr>
      <w:rPr>
        <w:b/>
        <w:bCs/>
      </w:rPr>
      <w:tblPr/>
      <w:tcPr>
        <w:tcBorders>
          <w:top w:val="double" w:sz="6" w:space="0" w:color="7295D2"/>
          <w:left w:val="single" w:sz="8" w:space="0" w:color="7295D2"/>
          <w:bottom w:val="single" w:sz="8" w:space="0" w:color="7295D2"/>
          <w:right w:val="single" w:sz="8" w:space="0" w:color="7295D2"/>
          <w:insideH w:val="nil"/>
          <w:insideV w:val="nil"/>
        </w:tcBorders>
      </w:tcPr>
    </w:tblStylePr>
    <w:tblStylePr w:type="firstCol">
      <w:rPr>
        <w:b/>
        <w:bCs/>
      </w:rPr>
    </w:tblStylePr>
    <w:tblStylePr w:type="lastCol">
      <w:rPr>
        <w:b/>
        <w:bCs/>
      </w:rPr>
    </w:tblStylePr>
    <w:tblStylePr w:type="band1Vert">
      <w:tblPr/>
      <w:tcPr>
        <w:shd w:val="clear" w:color="auto" w:fill="D0DBF0"/>
      </w:tcPr>
    </w:tblStylePr>
    <w:tblStylePr w:type="band1Horz">
      <w:tblPr/>
      <w:tcPr>
        <w:tcBorders>
          <w:insideH w:val="nil"/>
          <w:insideV w:val="nil"/>
        </w:tcBorders>
        <w:shd w:val="clear" w:color="auto" w:fill="D0DBF0"/>
      </w:tcPr>
    </w:tblStylePr>
    <w:tblStylePr w:type="band2Horz">
      <w:tblPr/>
      <w:tcPr>
        <w:tcBorders>
          <w:insideH w:val="nil"/>
          <w:insideV w:val="nil"/>
        </w:tcBorders>
      </w:tcPr>
    </w:tblStylePr>
  </w:style>
  <w:style w:type="numbering" w:customStyle="1" w:styleId="NoList21">
    <w:name w:val="No List21"/>
    <w:next w:val="NoList"/>
    <w:uiPriority w:val="99"/>
    <w:semiHidden/>
    <w:unhideWhenUsed/>
    <w:rsid w:val="00FC6E47"/>
  </w:style>
  <w:style w:type="numbering" w:customStyle="1" w:styleId="NoList31">
    <w:name w:val="No List31"/>
    <w:next w:val="NoList"/>
    <w:uiPriority w:val="99"/>
    <w:semiHidden/>
    <w:unhideWhenUsed/>
    <w:rsid w:val="00FC6E47"/>
  </w:style>
  <w:style w:type="numbering" w:customStyle="1" w:styleId="NoList41">
    <w:name w:val="No List41"/>
    <w:next w:val="NoList"/>
    <w:uiPriority w:val="99"/>
    <w:semiHidden/>
    <w:unhideWhenUsed/>
    <w:rsid w:val="00FC6E47"/>
  </w:style>
  <w:style w:type="table" w:customStyle="1" w:styleId="TableGrid241">
    <w:name w:val="Table Grid241"/>
    <w:basedOn w:val="TableNormal"/>
    <w:next w:val="TableGrid"/>
    <w:uiPriority w:val="39"/>
    <w:rsid w:val="00FC6E47"/>
    <w:pPr>
      <w:spacing w:before="0" w:after="0"/>
      <w:ind w:left="0" w:firstLine="0"/>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next w:val="TableGrid"/>
    <w:uiPriority w:val="59"/>
    <w:rsid w:val="00FC6E47"/>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next w:val="TableGrid"/>
    <w:uiPriority w:val="59"/>
    <w:rsid w:val="00FC6E47"/>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next w:val="TableGrid"/>
    <w:uiPriority w:val="59"/>
    <w:rsid w:val="00FC6E47"/>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
    <w:name w:val="Bullet"/>
    <w:rsid w:val="00FC6E47"/>
    <w:pPr>
      <w:tabs>
        <w:tab w:val="left" w:pos="1361"/>
      </w:tabs>
      <w:spacing w:before="170" w:after="0" w:line="270" w:lineRule="atLeast"/>
      <w:ind w:left="1360" w:hanging="453"/>
      <w:jc w:val="both"/>
    </w:pPr>
    <w:rPr>
      <w:rFonts w:ascii="Bembo" w:hAnsi="Bembo"/>
      <w:color w:val="000000"/>
      <w:sz w:val="24"/>
      <w:szCs w:val="24"/>
      <w:lang w:val="en-US" w:eastAsia="en-US"/>
    </w:rPr>
  </w:style>
  <w:style w:type="table" w:customStyle="1" w:styleId="PlainTable3">
    <w:name w:val="Plain Table3"/>
    <w:basedOn w:val="TableNormal"/>
    <w:next w:val="TableGrid"/>
    <w:uiPriority w:val="39"/>
    <w:rsid w:val="003016AD"/>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2">
    <w:name w:val="Table Grid272"/>
    <w:basedOn w:val="TableNormal"/>
    <w:next w:val="TableGrid"/>
    <w:uiPriority w:val="59"/>
    <w:rsid w:val="00CA09DE"/>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next w:val="TableGrid"/>
    <w:uiPriority w:val="59"/>
    <w:rsid w:val="00A97941"/>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basedOn w:val="DefaultParagraphFont"/>
    <w:rsid w:val="007827D7"/>
  </w:style>
  <w:style w:type="numbering" w:customStyle="1" w:styleId="NoList6">
    <w:name w:val="No List6"/>
    <w:next w:val="NoList"/>
    <w:uiPriority w:val="99"/>
    <w:semiHidden/>
    <w:unhideWhenUsed/>
    <w:rsid w:val="00665A54"/>
  </w:style>
  <w:style w:type="table" w:customStyle="1" w:styleId="Table3Deffects13">
    <w:name w:val="Table 3D effects 13"/>
    <w:basedOn w:val="TableNormal"/>
    <w:next w:val="Table3Deffects1"/>
    <w:uiPriority w:val="99"/>
    <w:semiHidden/>
    <w:rsid w:val="00665A54"/>
    <w:rPr>
      <w:sz w:val="20"/>
      <w:szCs w:val="20"/>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3">
    <w:name w:val="Table 3D effects 23"/>
    <w:basedOn w:val="TableNormal"/>
    <w:next w:val="Table3Deffects2"/>
    <w:uiPriority w:val="99"/>
    <w:semiHidden/>
    <w:rsid w:val="00665A54"/>
    <w:rPr>
      <w:sz w:val="20"/>
      <w:szCs w:val="20"/>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3Deffects33">
    <w:name w:val="Table 3D effects 33"/>
    <w:basedOn w:val="TableNormal"/>
    <w:next w:val="Table3Deffects3"/>
    <w:uiPriority w:val="99"/>
    <w:semiHidden/>
    <w:rsid w:val="00665A54"/>
    <w:rPr>
      <w:sz w:val="20"/>
      <w:szCs w:val="20"/>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Classic13">
    <w:name w:val="Table Classic 13"/>
    <w:basedOn w:val="TableNormal"/>
    <w:next w:val="TableClassic1"/>
    <w:uiPriority w:val="99"/>
    <w:semiHidden/>
    <w:rsid w:val="00665A54"/>
    <w:rPr>
      <w:sz w:val="20"/>
      <w:szCs w:val="20"/>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Classic23">
    <w:name w:val="Table Classic 23"/>
    <w:basedOn w:val="TableNormal"/>
    <w:next w:val="TableClassic2"/>
    <w:uiPriority w:val="99"/>
    <w:semiHidden/>
    <w:rsid w:val="00665A54"/>
    <w:rPr>
      <w:sz w:val="20"/>
      <w:szCs w:val="20"/>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TableClassic33">
    <w:name w:val="Table Classic 33"/>
    <w:basedOn w:val="TableNormal"/>
    <w:next w:val="TableClassic3"/>
    <w:uiPriority w:val="99"/>
    <w:semiHidden/>
    <w:rsid w:val="00665A54"/>
    <w:rPr>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TableClassic43">
    <w:name w:val="Table Classic 43"/>
    <w:basedOn w:val="TableNormal"/>
    <w:next w:val="TableClassic4"/>
    <w:uiPriority w:val="99"/>
    <w:semiHidden/>
    <w:rsid w:val="00665A54"/>
    <w:rPr>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TableColorful13">
    <w:name w:val="Table Colorful 13"/>
    <w:basedOn w:val="TableNormal"/>
    <w:next w:val="TableColorful1"/>
    <w:uiPriority w:val="99"/>
    <w:semiHidden/>
    <w:rsid w:val="00665A54"/>
    <w:rPr>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TableColorful23">
    <w:name w:val="Table Colorful 23"/>
    <w:basedOn w:val="TableNormal"/>
    <w:next w:val="TableColorful2"/>
    <w:uiPriority w:val="99"/>
    <w:semiHidden/>
    <w:rsid w:val="00665A54"/>
    <w:rPr>
      <w:sz w:val="20"/>
      <w:szCs w:val="20"/>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TableColorful33">
    <w:name w:val="Table Colorful 33"/>
    <w:basedOn w:val="TableNormal"/>
    <w:next w:val="TableColorful3"/>
    <w:uiPriority w:val="99"/>
    <w:semiHidden/>
    <w:rsid w:val="00665A54"/>
    <w:rPr>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TableColumns13">
    <w:name w:val="Table Columns 13"/>
    <w:basedOn w:val="TableNormal"/>
    <w:next w:val="TableColumns1"/>
    <w:uiPriority w:val="99"/>
    <w:semiHidden/>
    <w:rsid w:val="00665A54"/>
    <w:rPr>
      <w:b w:val="0"/>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Columns23">
    <w:name w:val="Table Columns 23"/>
    <w:basedOn w:val="TableNormal"/>
    <w:next w:val="TableColumns2"/>
    <w:uiPriority w:val="99"/>
    <w:semiHidden/>
    <w:rsid w:val="00665A54"/>
    <w:rPr>
      <w:b w:val="0"/>
      <w:bCs/>
      <w:sz w:val="20"/>
      <w:szCs w:val="20"/>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Columns33">
    <w:name w:val="Table Columns 33"/>
    <w:basedOn w:val="TableNormal"/>
    <w:next w:val="TableColumns3"/>
    <w:uiPriority w:val="99"/>
    <w:semiHidden/>
    <w:rsid w:val="00665A54"/>
    <w:rPr>
      <w:b w:val="0"/>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TableColumns43">
    <w:name w:val="Table Columns 43"/>
    <w:basedOn w:val="TableNormal"/>
    <w:next w:val="TableColumns4"/>
    <w:uiPriority w:val="99"/>
    <w:semiHidden/>
    <w:rsid w:val="00665A54"/>
    <w:rPr>
      <w:sz w:val="20"/>
      <w:szCs w:val="20"/>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TableColumns53">
    <w:name w:val="Table Columns 53"/>
    <w:basedOn w:val="TableNormal"/>
    <w:next w:val="TableColumns5"/>
    <w:uiPriority w:val="99"/>
    <w:semiHidden/>
    <w:rsid w:val="00665A54"/>
    <w:rPr>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TableContemporary3">
    <w:name w:val="Table Contemporary3"/>
    <w:basedOn w:val="TableNormal"/>
    <w:next w:val="TableContemporary"/>
    <w:uiPriority w:val="99"/>
    <w:semiHidden/>
    <w:rsid w:val="00665A54"/>
    <w:rPr>
      <w:sz w:val="20"/>
      <w:szCs w:val="20"/>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TableElegant3">
    <w:name w:val="Table Elegant3"/>
    <w:basedOn w:val="TableNormal"/>
    <w:next w:val="TableElegant"/>
    <w:uiPriority w:val="99"/>
    <w:semiHidden/>
    <w:rsid w:val="00665A54"/>
    <w:rPr>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PlainTable4">
    <w:name w:val="Plain Table4"/>
    <w:basedOn w:val="TableNormal"/>
    <w:next w:val="TableGrid"/>
    <w:uiPriority w:val="39"/>
    <w:rsid w:val="00665A54"/>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
    <w:name w:val="Table Grid 13"/>
    <w:basedOn w:val="TableNormal"/>
    <w:next w:val="TableGrid1"/>
    <w:uiPriority w:val="99"/>
    <w:semiHidden/>
    <w:rsid w:val="00665A54"/>
    <w:rPr>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TableGrid230">
    <w:name w:val="Table Grid 23"/>
    <w:basedOn w:val="TableNormal"/>
    <w:next w:val="TableGrid2"/>
    <w:uiPriority w:val="99"/>
    <w:semiHidden/>
    <w:rsid w:val="00665A54"/>
    <w:rPr>
      <w:sz w:val="20"/>
      <w:szCs w:val="20"/>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TableGrid33">
    <w:name w:val="Table Grid 33"/>
    <w:basedOn w:val="TableNormal"/>
    <w:next w:val="TableGrid3"/>
    <w:uiPriority w:val="99"/>
    <w:semiHidden/>
    <w:rsid w:val="00665A54"/>
    <w:rPr>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TableGrid43">
    <w:name w:val="Table Grid 43"/>
    <w:basedOn w:val="TableNormal"/>
    <w:next w:val="TableGrid4"/>
    <w:uiPriority w:val="99"/>
    <w:semiHidden/>
    <w:rsid w:val="00665A54"/>
    <w:rPr>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TableGrid53">
    <w:name w:val="Table Grid 53"/>
    <w:basedOn w:val="TableNormal"/>
    <w:next w:val="TableGrid5"/>
    <w:uiPriority w:val="99"/>
    <w:semiHidden/>
    <w:rsid w:val="00665A54"/>
    <w:rPr>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63">
    <w:name w:val="Table Grid 63"/>
    <w:basedOn w:val="TableNormal"/>
    <w:next w:val="TableGrid6"/>
    <w:uiPriority w:val="99"/>
    <w:semiHidden/>
    <w:rsid w:val="00665A54"/>
    <w:rPr>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73">
    <w:name w:val="Table Grid 73"/>
    <w:basedOn w:val="TableNormal"/>
    <w:next w:val="TableGrid7"/>
    <w:uiPriority w:val="99"/>
    <w:semiHidden/>
    <w:rsid w:val="00665A54"/>
    <w:rPr>
      <w:b w:val="0"/>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83">
    <w:name w:val="Table Grid 83"/>
    <w:basedOn w:val="TableNormal"/>
    <w:next w:val="TableGrid8"/>
    <w:uiPriority w:val="99"/>
    <w:semiHidden/>
    <w:rsid w:val="00665A54"/>
    <w:rPr>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TableList23">
    <w:name w:val="Table List 23"/>
    <w:basedOn w:val="TableNormal"/>
    <w:next w:val="TableList2"/>
    <w:uiPriority w:val="99"/>
    <w:semiHidden/>
    <w:rsid w:val="00665A54"/>
    <w:rPr>
      <w:sz w:val="20"/>
      <w:szCs w:val="20"/>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List33">
    <w:name w:val="Table List 33"/>
    <w:basedOn w:val="TableNormal"/>
    <w:next w:val="TableList3"/>
    <w:uiPriority w:val="99"/>
    <w:semiHidden/>
    <w:rsid w:val="00665A54"/>
    <w:rPr>
      <w:sz w:val="20"/>
      <w:szCs w:val="20"/>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TableList43">
    <w:name w:val="Table List 43"/>
    <w:basedOn w:val="TableNormal"/>
    <w:next w:val="TableList4"/>
    <w:uiPriority w:val="99"/>
    <w:semiHidden/>
    <w:rsid w:val="00665A54"/>
    <w:rPr>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3">
    <w:name w:val="Table List 53"/>
    <w:basedOn w:val="TableNormal"/>
    <w:next w:val="TableList5"/>
    <w:uiPriority w:val="99"/>
    <w:semiHidden/>
    <w:rsid w:val="00665A54"/>
    <w:rPr>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TableList63">
    <w:name w:val="Table List 63"/>
    <w:basedOn w:val="TableNormal"/>
    <w:next w:val="TableList6"/>
    <w:uiPriority w:val="99"/>
    <w:semiHidden/>
    <w:rsid w:val="00665A54"/>
    <w:rPr>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TableList73">
    <w:name w:val="Table List 73"/>
    <w:basedOn w:val="TableNormal"/>
    <w:next w:val="TableList7"/>
    <w:uiPriority w:val="99"/>
    <w:semiHidden/>
    <w:rsid w:val="00665A54"/>
    <w:rPr>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TableList83">
    <w:name w:val="Table List 83"/>
    <w:basedOn w:val="TableNormal"/>
    <w:next w:val="TableList8"/>
    <w:uiPriority w:val="99"/>
    <w:semiHidden/>
    <w:rsid w:val="00665A54"/>
    <w:rPr>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TableProfessional3">
    <w:name w:val="Table Professional3"/>
    <w:basedOn w:val="TableNormal"/>
    <w:next w:val="TableProfessional"/>
    <w:uiPriority w:val="99"/>
    <w:semiHidden/>
    <w:rsid w:val="00665A54"/>
    <w:rPr>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TableSimple13">
    <w:name w:val="Table Simple 13"/>
    <w:basedOn w:val="TableNormal"/>
    <w:next w:val="TableSimple1"/>
    <w:uiPriority w:val="99"/>
    <w:semiHidden/>
    <w:rsid w:val="00665A54"/>
    <w:rPr>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TableSimple23">
    <w:name w:val="Table Simple 23"/>
    <w:basedOn w:val="TableNormal"/>
    <w:next w:val="TableSimple2"/>
    <w:uiPriority w:val="99"/>
    <w:semiHidden/>
    <w:rsid w:val="00665A54"/>
    <w:rPr>
      <w:sz w:val="20"/>
      <w:szCs w:val="20"/>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TableSimple33">
    <w:name w:val="Table Simple 33"/>
    <w:basedOn w:val="TableNormal"/>
    <w:next w:val="TableSimple3"/>
    <w:uiPriority w:val="99"/>
    <w:semiHidden/>
    <w:rsid w:val="00665A54"/>
    <w:rPr>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TableSubtle13">
    <w:name w:val="Table Subtle 13"/>
    <w:basedOn w:val="TableNormal"/>
    <w:next w:val="TableSubtle1"/>
    <w:uiPriority w:val="99"/>
    <w:semiHidden/>
    <w:rsid w:val="00665A54"/>
    <w:rPr>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Subtle23">
    <w:name w:val="Table Subtle 23"/>
    <w:basedOn w:val="TableNormal"/>
    <w:next w:val="TableSubtle2"/>
    <w:uiPriority w:val="99"/>
    <w:semiHidden/>
    <w:rsid w:val="00665A54"/>
    <w:rPr>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Theme3">
    <w:name w:val="Table Theme3"/>
    <w:basedOn w:val="TableNormal"/>
    <w:next w:val="TableTheme"/>
    <w:uiPriority w:val="99"/>
    <w:semiHidden/>
    <w:rsid w:val="00665A54"/>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13">
    <w:name w:val="Table Web 13"/>
    <w:basedOn w:val="TableNormal"/>
    <w:next w:val="TableWeb1"/>
    <w:uiPriority w:val="99"/>
    <w:semiHidden/>
    <w:rsid w:val="00665A54"/>
    <w:rPr>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TableWeb23">
    <w:name w:val="Table Web 23"/>
    <w:basedOn w:val="TableNormal"/>
    <w:next w:val="TableWeb2"/>
    <w:uiPriority w:val="99"/>
    <w:semiHidden/>
    <w:rsid w:val="00665A54"/>
    <w:rPr>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TableWeb33">
    <w:name w:val="Table Web 33"/>
    <w:basedOn w:val="TableNormal"/>
    <w:next w:val="TableWeb3"/>
    <w:uiPriority w:val="99"/>
    <w:semiHidden/>
    <w:rsid w:val="00665A54"/>
    <w:rPr>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LightShading3">
    <w:name w:val="Light Shading3"/>
    <w:basedOn w:val="TableNormal"/>
    <w:next w:val="LightShading"/>
    <w:uiPriority w:val="60"/>
    <w:rsid w:val="00665A54"/>
    <w:pPr>
      <w:spacing w:before="0" w:after="0"/>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upeTable3">
    <w:name w:val="Taupe Table3"/>
    <w:uiPriority w:val="99"/>
    <w:rsid w:val="00665A54"/>
    <w:pPr>
      <w:spacing w:before="0" w:after="0"/>
      <w:ind w:left="0" w:firstLine="0"/>
    </w:pPr>
    <w:rPr>
      <w:rFonts w:asciiTheme="minorHAnsi" w:hAnsiTheme="minorHAnsi"/>
      <w:b w:val="0"/>
      <w:color w:val="auto"/>
      <w:sz w:val="20"/>
      <w:szCs w:val="20"/>
      <w:u w:val="none"/>
      <w:lang w:val="en-SG" w:eastAsia="en-SG"/>
    </w:rPr>
    <w:tblPr>
      <w:tblStyleRowBandSize w:val="1"/>
      <w:tblStyleColBandSize w:val="1"/>
      <w:tblInd w:w="0" w:type="dxa"/>
      <w:tblBorders>
        <w:bottom w:val="single" w:sz="4" w:space="0" w:color="988F86"/>
        <w:insideH w:val="single" w:sz="4" w:space="0" w:color="988F86"/>
      </w:tblBorders>
      <w:tblCellMar>
        <w:top w:w="0" w:type="dxa"/>
        <w:left w:w="108" w:type="dxa"/>
        <w:bottom w:w="0" w:type="dxa"/>
        <w:right w:w="108" w:type="dxa"/>
      </w:tblCellMar>
    </w:tblPr>
    <w:tcPr>
      <w:shd w:val="clear" w:color="auto" w:fill="auto"/>
    </w:tcPr>
    <w:tblStylePr w:type="firstRow">
      <w:rPr>
        <w:b w:val="0"/>
        <w:color w:val="FFFFFF" w:themeColor="background1"/>
      </w:rPr>
      <w:tblPr/>
      <w:tcPr>
        <w:shd w:val="clear" w:color="auto" w:fill="988F86" w:themeFill="accent3"/>
      </w:tcPr>
    </w:tblStylePr>
    <w:tblStylePr w:type="lastRow">
      <w:rPr>
        <w:rFonts w:asciiTheme="minorHAnsi" w:hAnsiTheme="minorHAnsi"/>
        <w:b/>
      </w:rPr>
      <w:tblPr/>
      <w:tcPr>
        <w:shd w:val="clear" w:color="auto" w:fill="C1BBB6" w:themeFill="accent3" w:themeFillTint="99"/>
      </w:tcPr>
    </w:tblStylePr>
    <w:tblStylePr w:type="firstCol">
      <w:tblPr/>
      <w:tcPr>
        <w:shd w:val="clear" w:color="auto" w:fill="D5D2CE" w:themeFill="accent3" w:themeFillTint="66"/>
      </w:tcPr>
    </w:tblStylePr>
    <w:tblStylePr w:type="lastCol">
      <w:tblPr/>
      <w:tcPr>
        <w:shd w:val="clear" w:color="auto" w:fill="C1BBB6" w:themeFill="accent3" w:themeFillTint="99"/>
      </w:tcPr>
    </w:tblStylePr>
    <w:tblStylePr w:type="band2Vert">
      <w:rPr>
        <w:rFonts w:asciiTheme="minorHAnsi" w:hAnsiTheme="minorHAnsi"/>
      </w:rPr>
      <w:tblPr/>
      <w:tcPr>
        <w:shd w:val="clear" w:color="auto" w:fill="EAE8E6" w:themeFill="accent3" w:themeFillTint="33"/>
      </w:tcPr>
    </w:tblStylePr>
    <w:tblStylePr w:type="band2Horz">
      <w:rPr>
        <w:rFonts w:asciiTheme="minorHAnsi" w:hAnsiTheme="minorHAnsi"/>
      </w:rPr>
      <w:tblPr/>
      <w:tcPr>
        <w:shd w:val="clear" w:color="auto" w:fill="EAE8E6" w:themeFill="accent3" w:themeFillTint="33"/>
      </w:tcPr>
    </w:tblStylePr>
  </w:style>
  <w:style w:type="table" w:customStyle="1" w:styleId="AquaTable3">
    <w:name w:val="Aqua Table3"/>
    <w:basedOn w:val="TaupeTable"/>
    <w:uiPriority w:val="99"/>
    <w:qFormat/>
    <w:rsid w:val="00665A54"/>
    <w:tblPr>
      <w:tblBorders>
        <w:bottom w:val="single" w:sz="4" w:space="0" w:color="477F80" w:themeColor="accent6"/>
        <w:insideH w:val="single" w:sz="4" w:space="0" w:color="477F80" w:themeColor="accent6"/>
      </w:tblBorders>
    </w:tblPr>
    <w:tcPr>
      <w:shd w:val="clear" w:color="auto" w:fill="auto"/>
    </w:tcPr>
    <w:tblStylePr w:type="firstRow">
      <w:rPr>
        <w:b w:val="0"/>
        <w:color w:val="FFFFFF" w:themeColor="background1"/>
      </w:rPr>
      <w:tblPr/>
      <w:tcPr>
        <w:shd w:val="clear" w:color="auto" w:fill="477F80" w:themeFill="accent6"/>
      </w:tcPr>
    </w:tblStylePr>
    <w:tblStylePr w:type="lastRow">
      <w:rPr>
        <w:rFonts w:asciiTheme="minorHAnsi" w:hAnsiTheme="minorHAnsi"/>
        <w:b/>
      </w:rPr>
      <w:tblPr/>
      <w:tcPr>
        <w:shd w:val="clear" w:color="auto" w:fill="86BBBC" w:themeFill="accent6" w:themeFillTint="99"/>
      </w:tcPr>
    </w:tblStylePr>
    <w:tblStylePr w:type="firstCol">
      <w:tblPr/>
      <w:tcPr>
        <w:shd w:val="clear" w:color="auto" w:fill="AED1D2" w:themeFill="accent6" w:themeFillTint="66"/>
      </w:tcPr>
    </w:tblStylePr>
    <w:tblStylePr w:type="lastCol">
      <w:tblPr/>
      <w:tcPr>
        <w:shd w:val="clear" w:color="auto" w:fill="86BBBC" w:themeFill="accent6" w:themeFillTint="99"/>
      </w:tcPr>
    </w:tblStylePr>
    <w:tblStylePr w:type="band2Vert">
      <w:rPr>
        <w:rFonts w:asciiTheme="minorHAnsi" w:hAnsiTheme="minorHAnsi"/>
      </w:rPr>
      <w:tblPr/>
      <w:tcPr>
        <w:shd w:val="clear" w:color="auto" w:fill="D6E8E8" w:themeFill="accent6" w:themeFillTint="33"/>
      </w:tcPr>
    </w:tblStylePr>
    <w:tblStylePr w:type="band2Horz">
      <w:rPr>
        <w:rFonts w:asciiTheme="minorHAnsi" w:hAnsiTheme="minorHAnsi"/>
      </w:rPr>
      <w:tblPr/>
      <w:tcPr>
        <w:shd w:val="clear" w:color="auto" w:fill="D6E8E8" w:themeFill="accent6" w:themeFillTint="33"/>
      </w:tcPr>
    </w:tblStylePr>
  </w:style>
  <w:style w:type="table" w:customStyle="1" w:styleId="AquaTableBorders3">
    <w:name w:val="Aqua Table Borders3"/>
    <w:basedOn w:val="AquaTable"/>
    <w:uiPriority w:val="99"/>
    <w:qFormat/>
    <w:rsid w:val="00665A54"/>
    <w:tblPr>
      <w:tblBorders>
        <w:top w:val="single" w:sz="4" w:space="0" w:color="477F80" w:themeColor="accent6"/>
        <w:left w:val="single" w:sz="4" w:space="0" w:color="477F80" w:themeColor="accent6"/>
        <w:bottom w:val="none" w:sz="0" w:space="0" w:color="auto"/>
        <w:right w:val="single" w:sz="4" w:space="0" w:color="477F80" w:themeColor="accent6"/>
        <w:insideH w:val="none" w:sz="0" w:space="0" w:color="auto"/>
        <w:insideV w:val="single" w:sz="4" w:space="0" w:color="477F80" w:themeColor="accent6"/>
      </w:tblBorders>
    </w:tblPr>
    <w:tcPr>
      <w:shd w:val="clear" w:color="auto" w:fill="auto"/>
    </w:tcPr>
    <w:tblStylePr w:type="firstRow">
      <w:rPr>
        <w:b w:val="0"/>
        <w:color w:val="FFFFFF" w:themeColor="background1"/>
      </w:rPr>
      <w:tblPr/>
      <w:tcPr>
        <w:shd w:val="clear" w:color="auto" w:fill="477F80" w:themeFill="accent6"/>
      </w:tcPr>
    </w:tblStylePr>
    <w:tblStylePr w:type="lastRow">
      <w:rPr>
        <w:rFonts w:asciiTheme="minorHAnsi" w:hAnsiTheme="minorHAnsi"/>
        <w:b/>
      </w:rPr>
      <w:tblPr/>
      <w:tcPr>
        <w:shd w:val="clear" w:color="auto" w:fill="86BBBC" w:themeFill="accent6" w:themeFillTint="99"/>
      </w:tcPr>
    </w:tblStylePr>
    <w:tblStylePr w:type="firstCol">
      <w:tblPr/>
      <w:tcPr>
        <w:shd w:val="clear" w:color="auto" w:fill="AED1D2" w:themeFill="accent6" w:themeFillTint="66"/>
      </w:tcPr>
    </w:tblStylePr>
    <w:tblStylePr w:type="lastCol">
      <w:tblPr/>
      <w:tcPr>
        <w:shd w:val="clear" w:color="auto" w:fill="86BBBC" w:themeFill="accent6" w:themeFillTint="99"/>
      </w:tcPr>
    </w:tblStylePr>
    <w:tblStylePr w:type="band2Vert">
      <w:rPr>
        <w:rFonts w:asciiTheme="minorHAnsi" w:hAnsiTheme="minorHAnsi"/>
      </w:rPr>
      <w:tblPr/>
      <w:tcPr>
        <w:shd w:val="clear" w:color="auto" w:fill="D6E8E8" w:themeFill="accent6" w:themeFillTint="33"/>
      </w:tcPr>
    </w:tblStylePr>
    <w:tblStylePr w:type="band2Horz">
      <w:rPr>
        <w:rFonts w:asciiTheme="minorHAnsi" w:hAnsiTheme="minorHAnsi"/>
      </w:rPr>
      <w:tblPr/>
      <w:tcPr>
        <w:shd w:val="clear" w:color="auto" w:fill="D6E8E8" w:themeFill="accent6" w:themeFillTint="33"/>
      </w:tcPr>
    </w:tblStylePr>
  </w:style>
  <w:style w:type="table" w:customStyle="1" w:styleId="BlueTable3">
    <w:name w:val="Blue Table3"/>
    <w:basedOn w:val="TaupeTable"/>
    <w:uiPriority w:val="99"/>
    <w:qFormat/>
    <w:rsid w:val="00665A54"/>
    <w:tblPr>
      <w:tblBorders>
        <w:bottom w:val="single" w:sz="4" w:space="0" w:color="7090B7" w:themeColor="accent5"/>
        <w:insideH w:val="single" w:sz="4" w:space="0" w:color="7090B7" w:themeColor="accent5"/>
      </w:tblBorders>
    </w:tblPr>
    <w:tcPr>
      <w:shd w:val="clear" w:color="auto" w:fill="auto"/>
    </w:tcPr>
    <w:tblStylePr w:type="firstRow">
      <w:rPr>
        <w:b w:val="0"/>
        <w:color w:val="FFFFFF" w:themeColor="background1"/>
      </w:rPr>
      <w:tblPr/>
      <w:tcPr>
        <w:shd w:val="clear" w:color="auto" w:fill="7090B7" w:themeFill="accent5"/>
      </w:tcPr>
    </w:tblStylePr>
    <w:tblStylePr w:type="lastRow">
      <w:rPr>
        <w:rFonts w:asciiTheme="minorHAnsi" w:hAnsiTheme="minorHAnsi"/>
        <w:b/>
      </w:rPr>
      <w:tblPr/>
      <w:tcPr>
        <w:shd w:val="clear" w:color="auto" w:fill="A9BCD3" w:themeFill="accent5" w:themeFillTint="99"/>
      </w:tcPr>
    </w:tblStylePr>
    <w:tblStylePr w:type="firstCol">
      <w:tblPr/>
      <w:tcPr>
        <w:shd w:val="clear" w:color="auto" w:fill="C5D2E2" w:themeFill="accent5" w:themeFillTint="66"/>
      </w:tcPr>
    </w:tblStylePr>
    <w:tblStylePr w:type="lastCol">
      <w:tblPr/>
      <w:tcPr>
        <w:shd w:val="clear" w:color="auto" w:fill="A9BCD3" w:themeFill="accent5" w:themeFillTint="99"/>
      </w:tcPr>
    </w:tblStylePr>
    <w:tblStylePr w:type="band2Vert">
      <w:rPr>
        <w:rFonts w:asciiTheme="minorHAnsi" w:hAnsiTheme="minorHAnsi"/>
      </w:rPr>
      <w:tblPr/>
      <w:tcPr>
        <w:shd w:val="clear" w:color="auto" w:fill="E2E8F0" w:themeFill="accent5" w:themeFillTint="33"/>
      </w:tcPr>
    </w:tblStylePr>
    <w:tblStylePr w:type="band2Horz">
      <w:rPr>
        <w:rFonts w:asciiTheme="minorHAnsi" w:hAnsiTheme="minorHAnsi"/>
      </w:rPr>
      <w:tblPr/>
      <w:tcPr>
        <w:shd w:val="clear" w:color="auto" w:fill="E2E8F0" w:themeFill="accent5" w:themeFillTint="33"/>
      </w:tcPr>
    </w:tblStylePr>
  </w:style>
  <w:style w:type="table" w:customStyle="1" w:styleId="BlueTableBorders3">
    <w:name w:val="Blue Table Borders3"/>
    <w:basedOn w:val="BlueTable"/>
    <w:uiPriority w:val="99"/>
    <w:qFormat/>
    <w:rsid w:val="00665A54"/>
    <w:tblPr>
      <w:tblBorders>
        <w:top w:val="single" w:sz="4" w:space="0" w:color="7090B7" w:themeColor="accent5"/>
        <w:left w:val="single" w:sz="4" w:space="0" w:color="7090B7" w:themeColor="accent5"/>
        <w:bottom w:val="none" w:sz="0" w:space="0" w:color="auto"/>
        <w:right w:val="single" w:sz="4" w:space="0" w:color="7090B7" w:themeColor="accent5"/>
        <w:insideH w:val="none" w:sz="0" w:space="0" w:color="auto"/>
        <w:insideV w:val="single" w:sz="4" w:space="0" w:color="7090B7" w:themeColor="accent5"/>
      </w:tblBorders>
    </w:tblPr>
    <w:tcPr>
      <w:shd w:val="clear" w:color="auto" w:fill="auto"/>
    </w:tcPr>
    <w:tblStylePr w:type="firstRow">
      <w:rPr>
        <w:b w:val="0"/>
        <w:color w:val="FFFFFF" w:themeColor="background1"/>
      </w:rPr>
      <w:tblPr/>
      <w:tcPr>
        <w:shd w:val="clear" w:color="auto" w:fill="7090B7" w:themeFill="accent5"/>
      </w:tcPr>
    </w:tblStylePr>
    <w:tblStylePr w:type="lastRow">
      <w:rPr>
        <w:rFonts w:asciiTheme="minorHAnsi" w:hAnsiTheme="minorHAnsi"/>
        <w:b/>
      </w:rPr>
      <w:tblPr/>
      <w:tcPr>
        <w:shd w:val="clear" w:color="auto" w:fill="A9BCD3" w:themeFill="accent5" w:themeFillTint="99"/>
      </w:tcPr>
    </w:tblStylePr>
    <w:tblStylePr w:type="firstCol">
      <w:tblPr/>
      <w:tcPr>
        <w:shd w:val="clear" w:color="auto" w:fill="C5D2E2" w:themeFill="accent5" w:themeFillTint="66"/>
      </w:tcPr>
    </w:tblStylePr>
    <w:tblStylePr w:type="lastCol">
      <w:tblPr/>
      <w:tcPr>
        <w:shd w:val="clear" w:color="auto" w:fill="A9BCD3" w:themeFill="accent5" w:themeFillTint="99"/>
      </w:tcPr>
    </w:tblStylePr>
    <w:tblStylePr w:type="band2Vert">
      <w:rPr>
        <w:rFonts w:asciiTheme="minorHAnsi" w:hAnsiTheme="minorHAnsi"/>
      </w:rPr>
      <w:tblPr/>
      <w:tcPr>
        <w:shd w:val="clear" w:color="auto" w:fill="E2E8F0" w:themeFill="accent5" w:themeFillTint="33"/>
      </w:tcPr>
    </w:tblStylePr>
    <w:tblStylePr w:type="band2Horz">
      <w:rPr>
        <w:rFonts w:asciiTheme="minorHAnsi" w:hAnsiTheme="minorHAnsi"/>
      </w:rPr>
      <w:tblPr/>
      <w:tcPr>
        <w:shd w:val="clear" w:color="auto" w:fill="E2E8F0" w:themeFill="accent5" w:themeFillTint="33"/>
      </w:tcPr>
    </w:tblStylePr>
  </w:style>
  <w:style w:type="table" w:customStyle="1" w:styleId="NavyTable3">
    <w:name w:val="Navy Table3"/>
    <w:basedOn w:val="TaupeTable"/>
    <w:uiPriority w:val="99"/>
    <w:qFormat/>
    <w:rsid w:val="00665A54"/>
    <w:tblPr>
      <w:tblBorders>
        <w:bottom w:val="single" w:sz="4" w:space="0" w:color="003359" w:themeColor="accent1"/>
        <w:insideH w:val="single" w:sz="4" w:space="0" w:color="003359" w:themeColor="accent1"/>
      </w:tblBorders>
    </w:tblPr>
    <w:tcPr>
      <w:shd w:val="clear" w:color="auto" w:fill="auto"/>
    </w:tcPr>
    <w:tblStylePr w:type="firstRow">
      <w:rPr>
        <w:b w:val="0"/>
        <w:color w:val="FFFFFF" w:themeColor="background1"/>
      </w:rPr>
      <w:tblPr/>
      <w:tcPr>
        <w:shd w:val="clear" w:color="auto" w:fill="003359" w:themeFill="accent1"/>
      </w:tcPr>
    </w:tblStylePr>
    <w:tblStylePr w:type="lastRow">
      <w:rPr>
        <w:rFonts w:asciiTheme="minorHAnsi" w:hAnsiTheme="minorHAnsi"/>
        <w:b/>
      </w:rPr>
      <w:tblPr/>
      <w:tcPr>
        <w:shd w:val="clear" w:color="auto" w:fill="95D1FF" w:themeFill="accent1" w:themeFillTint="40"/>
      </w:tcPr>
    </w:tblStylePr>
    <w:tblStylePr w:type="firstCol">
      <w:tblPr/>
      <w:tcPr>
        <w:shd w:val="clear" w:color="auto" w:fill="D4ECFF" w:themeFill="accent1" w:themeFillTint="1A"/>
      </w:tcPr>
    </w:tblStylePr>
    <w:tblStylePr w:type="lastCol">
      <w:tblPr/>
      <w:tcPr>
        <w:shd w:val="clear" w:color="auto" w:fill="95D1FF" w:themeFill="accent1" w:themeFillTint="40"/>
      </w:tcPr>
    </w:tblStylePr>
    <w:tblStylePr w:type="band2Vert">
      <w:rPr>
        <w:rFonts w:asciiTheme="minorHAnsi" w:hAnsiTheme="minorHAnsi"/>
      </w:rPr>
      <w:tblPr/>
      <w:tcPr>
        <w:shd w:val="clear" w:color="auto" w:fill="EBF6FF"/>
      </w:tcPr>
    </w:tblStylePr>
    <w:tblStylePr w:type="band2Horz">
      <w:rPr>
        <w:rFonts w:asciiTheme="minorHAnsi" w:hAnsiTheme="minorHAnsi"/>
      </w:rPr>
      <w:tblPr/>
      <w:tcPr>
        <w:shd w:val="clear" w:color="auto" w:fill="EBF6FF"/>
      </w:tcPr>
    </w:tblStylePr>
  </w:style>
  <w:style w:type="table" w:customStyle="1" w:styleId="NavyTableBorders3">
    <w:name w:val="Navy Table Borders3"/>
    <w:basedOn w:val="NavyTable"/>
    <w:uiPriority w:val="99"/>
    <w:qFormat/>
    <w:rsid w:val="00665A54"/>
    <w:tblPr>
      <w:tblBorders>
        <w:top w:val="single" w:sz="4" w:space="0" w:color="003359" w:themeColor="accent1"/>
        <w:left w:val="single" w:sz="4" w:space="0" w:color="003359" w:themeColor="accent1"/>
        <w:bottom w:val="none" w:sz="0" w:space="0" w:color="auto"/>
        <w:right w:val="single" w:sz="4" w:space="0" w:color="003359" w:themeColor="accent1"/>
        <w:insideH w:val="none" w:sz="0" w:space="0" w:color="auto"/>
        <w:insideV w:val="single" w:sz="4" w:space="0" w:color="003359" w:themeColor="accent1"/>
      </w:tblBorders>
    </w:tblPr>
    <w:tcPr>
      <w:shd w:val="clear" w:color="auto" w:fill="auto"/>
    </w:tcPr>
    <w:tblStylePr w:type="firstRow">
      <w:rPr>
        <w:b w:val="0"/>
        <w:color w:val="FFFFFF" w:themeColor="background1"/>
      </w:rPr>
      <w:tblPr/>
      <w:tcPr>
        <w:shd w:val="clear" w:color="auto" w:fill="003359" w:themeFill="accent1"/>
      </w:tcPr>
    </w:tblStylePr>
    <w:tblStylePr w:type="lastRow">
      <w:rPr>
        <w:rFonts w:asciiTheme="minorHAnsi" w:hAnsiTheme="minorHAnsi"/>
        <w:b/>
      </w:rPr>
      <w:tblPr/>
      <w:tcPr>
        <w:shd w:val="clear" w:color="auto" w:fill="95D1FF" w:themeFill="accent1" w:themeFillTint="40"/>
      </w:tcPr>
    </w:tblStylePr>
    <w:tblStylePr w:type="firstCol">
      <w:tblPr/>
      <w:tcPr>
        <w:shd w:val="clear" w:color="auto" w:fill="D4ECFF" w:themeFill="accent1" w:themeFillTint="1A"/>
      </w:tcPr>
    </w:tblStylePr>
    <w:tblStylePr w:type="lastCol">
      <w:tblPr/>
      <w:tcPr>
        <w:shd w:val="clear" w:color="auto" w:fill="95D1FF" w:themeFill="accent1" w:themeFillTint="40"/>
      </w:tcPr>
    </w:tblStylePr>
    <w:tblStylePr w:type="band2Vert">
      <w:rPr>
        <w:rFonts w:asciiTheme="minorHAnsi" w:hAnsiTheme="minorHAnsi"/>
      </w:rPr>
      <w:tblPr/>
      <w:tcPr>
        <w:shd w:val="clear" w:color="auto" w:fill="EBF6FF"/>
      </w:tcPr>
    </w:tblStylePr>
    <w:tblStylePr w:type="band2Horz">
      <w:rPr>
        <w:rFonts w:asciiTheme="minorHAnsi" w:hAnsiTheme="minorHAnsi"/>
      </w:rPr>
      <w:tblPr/>
      <w:tcPr>
        <w:shd w:val="clear" w:color="auto" w:fill="EBF6FF"/>
      </w:tcPr>
    </w:tblStylePr>
  </w:style>
  <w:style w:type="table" w:customStyle="1" w:styleId="OliveTable3">
    <w:name w:val="Olive Table3"/>
    <w:basedOn w:val="TaupeTable"/>
    <w:uiPriority w:val="99"/>
    <w:qFormat/>
    <w:rsid w:val="00665A54"/>
    <w:tblPr>
      <w:tblBorders>
        <w:bottom w:val="single" w:sz="4" w:space="0" w:color="878800" w:themeColor="accent4"/>
        <w:insideH w:val="single" w:sz="4" w:space="0" w:color="878800" w:themeColor="accent4"/>
      </w:tblBorders>
    </w:tblPr>
    <w:tcPr>
      <w:shd w:val="clear" w:color="auto" w:fill="auto"/>
    </w:tcPr>
    <w:tblStylePr w:type="firstRow">
      <w:rPr>
        <w:b w:val="0"/>
        <w:color w:val="FFFFFF" w:themeColor="background1"/>
      </w:rPr>
      <w:tblPr/>
      <w:tcPr>
        <w:shd w:val="clear" w:color="auto" w:fill="878800" w:themeFill="accent4"/>
      </w:tcPr>
    </w:tblStylePr>
    <w:tblStylePr w:type="lastRow">
      <w:rPr>
        <w:rFonts w:asciiTheme="minorHAnsi" w:hAnsiTheme="minorHAnsi"/>
        <w:b/>
      </w:rPr>
      <w:tblPr/>
      <w:tcPr>
        <w:shd w:val="clear" w:color="auto" w:fill="C9C6A3"/>
      </w:tcPr>
    </w:tblStylePr>
    <w:tblStylePr w:type="firstCol">
      <w:tblPr/>
      <w:tcPr>
        <w:shd w:val="clear" w:color="auto" w:fill="DBD9C3"/>
      </w:tcPr>
    </w:tblStylePr>
    <w:tblStylePr w:type="lastCol">
      <w:tblPr/>
      <w:tcPr>
        <w:shd w:val="clear" w:color="auto" w:fill="C9C6A3"/>
      </w:tcPr>
    </w:tblStylePr>
    <w:tblStylePr w:type="band2Vert">
      <w:rPr>
        <w:rFonts w:asciiTheme="minorHAnsi" w:hAnsiTheme="minorHAnsi"/>
      </w:rPr>
      <w:tblPr/>
      <w:tcPr>
        <w:shd w:val="clear" w:color="auto" w:fill="EEEDE2"/>
      </w:tcPr>
    </w:tblStylePr>
    <w:tblStylePr w:type="band2Horz">
      <w:rPr>
        <w:rFonts w:asciiTheme="minorHAnsi" w:hAnsiTheme="minorHAnsi"/>
      </w:rPr>
      <w:tblPr/>
      <w:tcPr>
        <w:shd w:val="clear" w:color="auto" w:fill="EEEDE2"/>
      </w:tcPr>
    </w:tblStylePr>
  </w:style>
  <w:style w:type="table" w:customStyle="1" w:styleId="OliveTableBorders3">
    <w:name w:val="Olive Table Borders3"/>
    <w:basedOn w:val="OliveTable"/>
    <w:uiPriority w:val="99"/>
    <w:qFormat/>
    <w:rsid w:val="00665A54"/>
    <w:tblPr>
      <w:tblBorders>
        <w:top w:val="single" w:sz="4" w:space="0" w:color="878800" w:themeColor="accent4"/>
        <w:left w:val="single" w:sz="4" w:space="0" w:color="878800" w:themeColor="accent4"/>
        <w:bottom w:val="none" w:sz="0" w:space="0" w:color="auto"/>
        <w:right w:val="single" w:sz="4" w:space="0" w:color="878800" w:themeColor="accent4"/>
        <w:insideH w:val="none" w:sz="0" w:space="0" w:color="auto"/>
        <w:insideV w:val="single" w:sz="4" w:space="0" w:color="878800" w:themeColor="accent4"/>
      </w:tblBorders>
    </w:tblPr>
    <w:tcPr>
      <w:shd w:val="clear" w:color="auto" w:fill="auto"/>
    </w:tcPr>
    <w:tblStylePr w:type="firstRow">
      <w:rPr>
        <w:b w:val="0"/>
        <w:color w:val="FFFFFF" w:themeColor="background1"/>
      </w:rPr>
      <w:tblPr/>
      <w:tcPr>
        <w:shd w:val="clear" w:color="auto" w:fill="878800" w:themeFill="accent4"/>
      </w:tcPr>
    </w:tblStylePr>
    <w:tblStylePr w:type="lastRow">
      <w:rPr>
        <w:rFonts w:asciiTheme="minorHAnsi" w:hAnsiTheme="minorHAnsi"/>
        <w:b/>
      </w:rPr>
      <w:tblPr/>
      <w:tcPr>
        <w:shd w:val="clear" w:color="auto" w:fill="C9C6A3"/>
      </w:tcPr>
    </w:tblStylePr>
    <w:tblStylePr w:type="firstCol">
      <w:tblPr/>
      <w:tcPr>
        <w:shd w:val="clear" w:color="auto" w:fill="DBD9C3"/>
      </w:tcPr>
    </w:tblStylePr>
    <w:tblStylePr w:type="lastCol">
      <w:tblPr/>
      <w:tcPr>
        <w:shd w:val="clear" w:color="auto" w:fill="C9C6A3"/>
      </w:tcPr>
    </w:tblStylePr>
    <w:tblStylePr w:type="band2Vert">
      <w:rPr>
        <w:rFonts w:asciiTheme="minorHAnsi" w:hAnsiTheme="minorHAnsi"/>
      </w:rPr>
      <w:tblPr/>
      <w:tcPr>
        <w:shd w:val="clear" w:color="auto" w:fill="EEEDE2"/>
      </w:tcPr>
    </w:tblStylePr>
    <w:tblStylePr w:type="band2Horz">
      <w:rPr>
        <w:rFonts w:asciiTheme="minorHAnsi" w:hAnsiTheme="minorHAnsi"/>
      </w:rPr>
      <w:tblPr/>
      <w:tcPr>
        <w:shd w:val="clear" w:color="auto" w:fill="EEEDE2"/>
      </w:tcPr>
    </w:tblStylePr>
  </w:style>
  <w:style w:type="table" w:customStyle="1" w:styleId="OrangeTable3">
    <w:name w:val="Orange Table3"/>
    <w:basedOn w:val="TaupeTable"/>
    <w:uiPriority w:val="99"/>
    <w:qFormat/>
    <w:rsid w:val="00665A54"/>
    <w:tblPr>
      <w:tblBorders>
        <w:bottom w:val="single" w:sz="4" w:space="0" w:color="D95E00" w:themeColor="accent2"/>
        <w:insideH w:val="single" w:sz="4" w:space="0" w:color="D95E00" w:themeColor="accent2"/>
      </w:tblBorders>
    </w:tblPr>
    <w:tcPr>
      <w:shd w:val="clear" w:color="auto" w:fill="auto"/>
    </w:tcPr>
    <w:tblStylePr w:type="firstRow">
      <w:rPr>
        <w:b w:val="0"/>
        <w:color w:val="FFFFFF" w:themeColor="background1"/>
      </w:rPr>
      <w:tblPr/>
      <w:tcPr>
        <w:shd w:val="clear" w:color="auto" w:fill="D95E00" w:themeFill="accent2"/>
      </w:tcPr>
    </w:tblStylePr>
    <w:tblStylePr w:type="lastRow">
      <w:rPr>
        <w:rFonts w:asciiTheme="minorHAnsi" w:hAnsiTheme="minorHAnsi"/>
        <w:b/>
      </w:rPr>
      <w:tblPr/>
      <w:tcPr>
        <w:shd w:val="clear" w:color="auto" w:fill="DEB892"/>
      </w:tcPr>
    </w:tblStylePr>
    <w:tblStylePr w:type="firstCol">
      <w:tblPr/>
      <w:tcPr>
        <w:shd w:val="clear" w:color="auto" w:fill="E8CDB2"/>
      </w:tcPr>
    </w:tblStylePr>
    <w:tblStylePr w:type="lastCol">
      <w:tblPr/>
      <w:tcPr>
        <w:shd w:val="clear" w:color="auto" w:fill="DEB892"/>
      </w:tcPr>
    </w:tblStylePr>
    <w:tblStylePr w:type="band2Vert">
      <w:rPr>
        <w:rFonts w:asciiTheme="minorHAnsi" w:hAnsiTheme="minorHAnsi"/>
      </w:rPr>
      <w:tblPr/>
      <w:tcPr>
        <w:shd w:val="clear" w:color="auto" w:fill="F3E4D5"/>
      </w:tcPr>
    </w:tblStylePr>
    <w:tblStylePr w:type="band2Horz">
      <w:rPr>
        <w:rFonts w:asciiTheme="minorHAnsi" w:hAnsiTheme="minorHAnsi"/>
      </w:rPr>
      <w:tblPr/>
      <w:tcPr>
        <w:shd w:val="clear" w:color="auto" w:fill="F3E4D5"/>
      </w:tcPr>
    </w:tblStylePr>
  </w:style>
  <w:style w:type="table" w:customStyle="1" w:styleId="OrangeTableBorders3">
    <w:name w:val="Orange Table Borders3"/>
    <w:basedOn w:val="OrangeTable"/>
    <w:uiPriority w:val="99"/>
    <w:qFormat/>
    <w:rsid w:val="00665A54"/>
    <w:tblPr>
      <w:tblBorders>
        <w:top w:val="single" w:sz="4" w:space="0" w:color="D95E00" w:themeColor="accent2"/>
        <w:left w:val="single" w:sz="4" w:space="0" w:color="D95E00" w:themeColor="accent2"/>
        <w:bottom w:val="none" w:sz="0" w:space="0" w:color="auto"/>
        <w:right w:val="single" w:sz="4" w:space="0" w:color="D95E00" w:themeColor="accent2"/>
        <w:insideH w:val="none" w:sz="0" w:space="0" w:color="auto"/>
        <w:insideV w:val="single" w:sz="4" w:space="0" w:color="D95E00" w:themeColor="accent2"/>
      </w:tblBorders>
    </w:tblPr>
    <w:tcPr>
      <w:shd w:val="clear" w:color="auto" w:fill="auto"/>
    </w:tcPr>
    <w:tblStylePr w:type="firstRow">
      <w:rPr>
        <w:b w:val="0"/>
        <w:color w:val="FFFFFF" w:themeColor="background1"/>
      </w:rPr>
      <w:tblPr/>
      <w:tcPr>
        <w:shd w:val="clear" w:color="auto" w:fill="D95E00" w:themeFill="accent2"/>
      </w:tcPr>
    </w:tblStylePr>
    <w:tblStylePr w:type="lastRow">
      <w:rPr>
        <w:rFonts w:asciiTheme="minorHAnsi" w:hAnsiTheme="minorHAnsi"/>
        <w:b/>
      </w:rPr>
      <w:tblPr/>
      <w:tcPr>
        <w:shd w:val="clear" w:color="auto" w:fill="DEB892"/>
      </w:tcPr>
    </w:tblStylePr>
    <w:tblStylePr w:type="firstCol">
      <w:tblPr/>
      <w:tcPr>
        <w:shd w:val="clear" w:color="auto" w:fill="E8CDB2"/>
      </w:tcPr>
    </w:tblStylePr>
    <w:tblStylePr w:type="lastCol">
      <w:tblPr/>
      <w:tcPr>
        <w:shd w:val="clear" w:color="auto" w:fill="DEB892"/>
      </w:tcPr>
    </w:tblStylePr>
    <w:tblStylePr w:type="band2Vert">
      <w:rPr>
        <w:rFonts w:asciiTheme="minorHAnsi" w:hAnsiTheme="minorHAnsi"/>
      </w:rPr>
      <w:tblPr/>
      <w:tcPr>
        <w:shd w:val="clear" w:color="auto" w:fill="F3E4D5"/>
      </w:tcPr>
    </w:tblStylePr>
    <w:tblStylePr w:type="band2Horz">
      <w:rPr>
        <w:rFonts w:asciiTheme="minorHAnsi" w:hAnsiTheme="minorHAnsi"/>
      </w:rPr>
      <w:tblPr/>
      <w:tcPr>
        <w:shd w:val="clear" w:color="auto" w:fill="F3E4D5"/>
      </w:tcPr>
    </w:tblStylePr>
  </w:style>
  <w:style w:type="table" w:customStyle="1" w:styleId="TaupeTableBorders3">
    <w:name w:val="Taupe Table Borders3"/>
    <w:basedOn w:val="TaupeTable"/>
    <w:uiPriority w:val="99"/>
    <w:qFormat/>
    <w:rsid w:val="00665A54"/>
    <w:tblPr>
      <w:tblBorders>
        <w:top w:val="single" w:sz="4" w:space="0" w:color="988F86" w:themeColor="accent3"/>
        <w:left w:val="single" w:sz="4" w:space="0" w:color="988F86" w:themeColor="accent3"/>
        <w:bottom w:val="single" w:sz="4" w:space="0" w:color="988F86" w:themeColor="accent3"/>
        <w:right w:val="single" w:sz="4" w:space="0" w:color="988F86" w:themeColor="accent3"/>
        <w:insideH w:val="single" w:sz="4" w:space="0" w:color="988F86" w:themeColor="accent3"/>
        <w:insideV w:val="single" w:sz="4" w:space="0" w:color="988F86" w:themeColor="accent3"/>
      </w:tblBorders>
    </w:tblPr>
    <w:tcPr>
      <w:shd w:val="clear" w:color="auto" w:fill="auto"/>
    </w:tcPr>
    <w:tblStylePr w:type="firstRow">
      <w:rPr>
        <w:b w:val="0"/>
        <w:color w:val="FFFFFF" w:themeColor="background1"/>
      </w:rPr>
      <w:tblPr/>
      <w:tcPr>
        <w:shd w:val="clear" w:color="auto" w:fill="988F86" w:themeFill="accent3"/>
      </w:tcPr>
    </w:tblStylePr>
    <w:tblStylePr w:type="lastRow">
      <w:rPr>
        <w:rFonts w:asciiTheme="minorHAnsi" w:hAnsiTheme="minorHAnsi"/>
        <w:b/>
      </w:rPr>
      <w:tblPr/>
      <w:tcPr>
        <w:shd w:val="clear" w:color="auto" w:fill="C1BBB6" w:themeFill="accent3" w:themeFillTint="99"/>
      </w:tcPr>
    </w:tblStylePr>
    <w:tblStylePr w:type="firstCol">
      <w:tblPr/>
      <w:tcPr>
        <w:shd w:val="clear" w:color="auto" w:fill="D5D2CE" w:themeFill="accent3" w:themeFillTint="66"/>
      </w:tcPr>
    </w:tblStylePr>
    <w:tblStylePr w:type="lastCol">
      <w:tblPr/>
      <w:tcPr>
        <w:shd w:val="clear" w:color="auto" w:fill="C1BBB6" w:themeFill="accent3" w:themeFillTint="99"/>
      </w:tcPr>
    </w:tblStylePr>
    <w:tblStylePr w:type="band2Vert">
      <w:rPr>
        <w:rFonts w:asciiTheme="minorHAnsi" w:hAnsiTheme="minorHAnsi"/>
      </w:rPr>
      <w:tblPr/>
      <w:tcPr>
        <w:shd w:val="clear" w:color="auto" w:fill="EAE8E6" w:themeFill="accent3" w:themeFillTint="33"/>
      </w:tcPr>
    </w:tblStylePr>
    <w:tblStylePr w:type="band2Horz">
      <w:rPr>
        <w:rFonts w:asciiTheme="minorHAnsi" w:hAnsiTheme="minorHAnsi"/>
      </w:rPr>
      <w:tblPr/>
      <w:tcPr>
        <w:shd w:val="clear" w:color="auto" w:fill="EAE8E6" w:themeFill="accent3" w:themeFillTint="33"/>
      </w:tcPr>
    </w:tblStylePr>
  </w:style>
  <w:style w:type="table" w:customStyle="1" w:styleId="CardnoTableTaupe2">
    <w:name w:val="Cardno Table Taupe2"/>
    <w:uiPriority w:val="99"/>
    <w:rsid w:val="00665A54"/>
    <w:rPr>
      <w:rFonts w:asciiTheme="minorHAnsi" w:hAnsiTheme="minorHAnsi"/>
      <w:b w:val="0"/>
      <w:color w:val="auto"/>
      <w:sz w:val="20"/>
      <w:szCs w:val="20"/>
      <w:u w:val="none"/>
      <w:lang w:val="en-US" w:eastAsia="en-US"/>
    </w:rPr>
    <w:tblPr>
      <w:tblInd w:w="0" w:type="dxa"/>
      <w:tblBorders>
        <w:bottom w:val="single" w:sz="4" w:space="0" w:color="988F86"/>
        <w:insideH w:val="single" w:sz="4" w:space="0" w:color="988F86"/>
      </w:tblBorders>
      <w:tblCellMar>
        <w:top w:w="0" w:type="dxa"/>
        <w:left w:w="108" w:type="dxa"/>
        <w:bottom w:w="0" w:type="dxa"/>
        <w:right w:w="108" w:type="dxa"/>
      </w:tblCellMar>
    </w:tblPr>
    <w:tblStylePr w:type="firstRow">
      <w:rPr>
        <w:color w:val="FFFFFF" w:themeColor="background1"/>
      </w:rPr>
      <w:tblPr/>
      <w:trPr>
        <w:tblHeader/>
      </w:trPr>
      <w:tcPr>
        <w:shd w:val="clear" w:color="auto" w:fill="988F86" w:themeFill="accent3"/>
      </w:tcPr>
    </w:tblStylePr>
  </w:style>
  <w:style w:type="table" w:customStyle="1" w:styleId="CardnoTableAqua2">
    <w:name w:val="Cardno Table Aqua2"/>
    <w:basedOn w:val="CardnoTableTaupe"/>
    <w:uiPriority w:val="99"/>
    <w:qFormat/>
    <w:rsid w:val="00665A54"/>
    <w:pPr>
      <w:spacing w:before="0" w:after="0"/>
      <w:ind w:left="0" w:firstLine="0"/>
    </w:pPr>
    <w:tblPr>
      <w:tblBorders>
        <w:bottom w:val="single" w:sz="4" w:space="0" w:color="477F80" w:themeColor="accent6"/>
        <w:insideH w:val="single" w:sz="4" w:space="0" w:color="477F80" w:themeColor="accent6"/>
      </w:tblBorders>
    </w:tblPr>
    <w:tblStylePr w:type="firstRow">
      <w:rPr>
        <w:color w:val="FFFFFF" w:themeColor="background2"/>
      </w:rPr>
      <w:tblPr/>
      <w:trPr>
        <w:tblHeader/>
      </w:trPr>
      <w:tcPr>
        <w:shd w:val="clear" w:color="auto" w:fill="477F80" w:themeFill="accent6"/>
      </w:tcPr>
    </w:tblStylePr>
  </w:style>
  <w:style w:type="table" w:customStyle="1" w:styleId="CardnoTableBlue2">
    <w:name w:val="Cardno Table Blue2"/>
    <w:basedOn w:val="CardnoTableTaupe"/>
    <w:uiPriority w:val="99"/>
    <w:qFormat/>
    <w:rsid w:val="00665A54"/>
    <w:pPr>
      <w:spacing w:before="0" w:after="0"/>
      <w:ind w:left="0" w:firstLine="0"/>
    </w:pPr>
    <w:tblPr>
      <w:tblBorders>
        <w:bottom w:val="single" w:sz="4" w:space="0" w:color="7090B7" w:themeColor="accent5"/>
        <w:insideH w:val="single" w:sz="4" w:space="0" w:color="7090B7" w:themeColor="accent5"/>
      </w:tblBorders>
    </w:tblPr>
    <w:tblStylePr w:type="firstRow">
      <w:rPr>
        <w:b w:val="0"/>
        <w:bCs/>
        <w:color w:val="FFFFFF" w:themeColor="background1"/>
      </w:rPr>
      <w:tblPr/>
      <w:trPr>
        <w:tblHeader/>
      </w:trPr>
      <w:tcPr>
        <w:shd w:val="clear" w:color="auto" w:fill="7090B7" w:themeFill="accent5"/>
      </w:tcPr>
    </w:tblStylePr>
    <w:tblStylePr w:type="lastRow">
      <w:rPr>
        <w:b/>
        <w:bCs/>
      </w:rPr>
    </w:tblStylePr>
    <w:tblStylePr w:type="firstCol">
      <w:rPr>
        <w:b/>
        <w:bCs/>
      </w:rPr>
    </w:tblStylePr>
    <w:tblStylePr w:type="lastCol">
      <w:rPr>
        <w:b/>
        <w:bCs/>
      </w:rPr>
    </w:tblStylePr>
  </w:style>
  <w:style w:type="table" w:customStyle="1" w:styleId="CardnoTableNavy5">
    <w:name w:val="Cardno Table Navy5"/>
    <w:basedOn w:val="CardnoTableTaupe"/>
    <w:uiPriority w:val="99"/>
    <w:qFormat/>
    <w:rsid w:val="00665A54"/>
    <w:pPr>
      <w:spacing w:before="0" w:after="0"/>
      <w:ind w:left="0" w:firstLine="0"/>
    </w:pPr>
    <w:tblPr>
      <w:tblBorders>
        <w:bottom w:val="single" w:sz="4" w:space="0" w:color="003359" w:themeColor="accent1"/>
        <w:insideH w:val="single" w:sz="4" w:space="0" w:color="003359" w:themeColor="accent1"/>
      </w:tblBorders>
    </w:tblPr>
    <w:tblStylePr w:type="firstRow">
      <w:rPr>
        <w:color w:val="FFFFFF" w:themeColor="background1"/>
      </w:rPr>
      <w:tblPr/>
      <w:trPr>
        <w:tblHeader/>
      </w:trPr>
      <w:tcPr>
        <w:shd w:val="clear" w:color="auto" w:fill="003359" w:themeFill="accent1"/>
      </w:tcPr>
    </w:tblStylePr>
  </w:style>
  <w:style w:type="table" w:customStyle="1" w:styleId="CardnoTableOlive2">
    <w:name w:val="Cardno Table Olive2"/>
    <w:basedOn w:val="CardnoTableTaupe"/>
    <w:uiPriority w:val="99"/>
    <w:qFormat/>
    <w:rsid w:val="00665A54"/>
    <w:pPr>
      <w:spacing w:before="0" w:after="0"/>
      <w:ind w:left="0" w:firstLine="0"/>
    </w:pPr>
    <w:tblPr>
      <w:tblBorders>
        <w:bottom w:val="single" w:sz="4" w:space="0" w:color="878800" w:themeColor="accent4"/>
        <w:insideH w:val="single" w:sz="4" w:space="0" w:color="878800" w:themeColor="accent4"/>
      </w:tblBorders>
    </w:tblPr>
    <w:tblStylePr w:type="firstRow">
      <w:rPr>
        <w:color w:val="FFFFFF" w:themeColor="background1"/>
      </w:rPr>
      <w:tblPr/>
      <w:trPr>
        <w:tblHeader/>
      </w:trPr>
      <w:tcPr>
        <w:shd w:val="clear" w:color="auto" w:fill="878800" w:themeFill="accent4"/>
      </w:tcPr>
    </w:tblStylePr>
  </w:style>
  <w:style w:type="table" w:customStyle="1" w:styleId="CardnoTableOrange2">
    <w:name w:val="Cardno Table Orange2"/>
    <w:basedOn w:val="CardnoTableTaupe"/>
    <w:uiPriority w:val="99"/>
    <w:qFormat/>
    <w:rsid w:val="00665A54"/>
    <w:pPr>
      <w:spacing w:before="0" w:after="0"/>
      <w:ind w:left="0" w:firstLine="0"/>
    </w:pPr>
    <w:tblPr>
      <w:tblBorders>
        <w:bottom w:val="single" w:sz="4" w:space="0" w:color="D95E00" w:themeColor="accent2"/>
        <w:insideH w:val="single" w:sz="4" w:space="0" w:color="D95E00" w:themeColor="accent2"/>
      </w:tblBorders>
    </w:tblPr>
    <w:tblStylePr w:type="firstRow">
      <w:rPr>
        <w:color w:val="FFFFFF" w:themeColor="background1"/>
      </w:rPr>
      <w:tblPr/>
      <w:trPr>
        <w:tblHeader/>
      </w:trPr>
      <w:tcPr>
        <w:shd w:val="clear" w:color="auto" w:fill="D95E00" w:themeFill="accent2"/>
      </w:tcPr>
    </w:tblStylePr>
  </w:style>
  <w:style w:type="table" w:customStyle="1" w:styleId="TableGrid112">
    <w:name w:val="Table Grid112"/>
    <w:basedOn w:val="TableNormal"/>
    <w:next w:val="TableGrid"/>
    <w:uiPriority w:val="39"/>
    <w:rsid w:val="00665A54"/>
    <w:pPr>
      <w:spacing w:before="0" w:after="0"/>
      <w:ind w:left="0" w:firstLine="0"/>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next w:val="TableGrid"/>
    <w:uiPriority w:val="39"/>
    <w:rsid w:val="00665A54"/>
    <w:pPr>
      <w:spacing w:before="0" w:after="0"/>
      <w:ind w:left="0" w:firstLine="0"/>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0">
    <w:name w:val="Table Grid33"/>
    <w:basedOn w:val="TableNormal"/>
    <w:next w:val="TableGrid"/>
    <w:uiPriority w:val="39"/>
    <w:rsid w:val="00665A54"/>
    <w:pPr>
      <w:spacing w:before="0" w:after="0"/>
      <w:ind w:left="0" w:firstLine="0"/>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0">
    <w:name w:val="Table Grid43"/>
    <w:basedOn w:val="TableNormal"/>
    <w:next w:val="TableGrid"/>
    <w:uiPriority w:val="59"/>
    <w:rsid w:val="00665A54"/>
    <w:pPr>
      <w:spacing w:before="0" w:after="0"/>
      <w:ind w:left="0" w:firstLine="0"/>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0">
    <w:name w:val="Table Grid52"/>
    <w:basedOn w:val="TableNormal"/>
    <w:next w:val="TableGrid"/>
    <w:uiPriority w:val="59"/>
    <w:rsid w:val="00665A54"/>
    <w:pPr>
      <w:spacing w:before="0" w:after="0"/>
      <w:ind w:left="0" w:firstLine="0"/>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0">
    <w:name w:val="Table Grid62"/>
    <w:basedOn w:val="TableNormal"/>
    <w:next w:val="TableGrid"/>
    <w:uiPriority w:val="59"/>
    <w:rsid w:val="00665A54"/>
    <w:pPr>
      <w:spacing w:before="0" w:after="0"/>
      <w:ind w:left="0" w:firstLine="0"/>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0">
    <w:name w:val="Table Grid72"/>
    <w:basedOn w:val="TableNormal"/>
    <w:next w:val="TableGrid"/>
    <w:uiPriority w:val="59"/>
    <w:rsid w:val="00665A54"/>
    <w:pPr>
      <w:spacing w:before="0" w:after="0"/>
      <w:ind w:left="0" w:firstLine="0"/>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0">
    <w:name w:val="Table Grid82"/>
    <w:basedOn w:val="TableNormal"/>
    <w:next w:val="TableGrid"/>
    <w:uiPriority w:val="59"/>
    <w:rsid w:val="00665A54"/>
    <w:pPr>
      <w:spacing w:before="0" w:after="0"/>
      <w:ind w:left="0" w:firstLine="0"/>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next w:val="TableGrid"/>
    <w:uiPriority w:val="59"/>
    <w:rsid w:val="00665A54"/>
    <w:pPr>
      <w:spacing w:before="0" w:after="0"/>
      <w:ind w:left="0" w:firstLine="0"/>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3-Accent514">
    <w:name w:val="List Table 3 - Accent 514"/>
    <w:basedOn w:val="TableNormal"/>
    <w:uiPriority w:val="48"/>
    <w:rsid w:val="00665A54"/>
    <w:pPr>
      <w:spacing w:before="0" w:after="0"/>
      <w:ind w:left="0" w:firstLine="0"/>
    </w:pPr>
    <w:rPr>
      <w:rFonts w:asciiTheme="minorHAnsi" w:eastAsiaTheme="minorHAnsi" w:hAnsiTheme="minorHAnsi" w:cstheme="minorBidi"/>
      <w:lang w:eastAsia="en-US"/>
    </w:rPr>
    <w:tblPr>
      <w:tblStyleRowBandSize w:val="1"/>
      <w:tblStyleColBandSize w:val="1"/>
      <w:tblBorders>
        <w:top w:val="single" w:sz="4" w:space="0" w:color="7090B7" w:themeColor="accent5"/>
        <w:left w:val="single" w:sz="4" w:space="0" w:color="7090B7" w:themeColor="accent5"/>
        <w:bottom w:val="single" w:sz="4" w:space="0" w:color="7090B7" w:themeColor="accent5"/>
        <w:right w:val="single" w:sz="4" w:space="0" w:color="7090B7" w:themeColor="accent5"/>
      </w:tblBorders>
    </w:tblPr>
    <w:tblStylePr w:type="firstRow">
      <w:rPr>
        <w:b/>
        <w:bCs/>
        <w:color w:val="FFFFFF" w:themeColor="background1"/>
      </w:rPr>
      <w:tblPr/>
      <w:tcPr>
        <w:shd w:val="clear" w:color="auto" w:fill="7090B7" w:themeFill="accent5"/>
      </w:tcPr>
    </w:tblStylePr>
    <w:tblStylePr w:type="lastRow">
      <w:rPr>
        <w:b/>
        <w:bCs/>
      </w:rPr>
      <w:tblPr/>
      <w:tcPr>
        <w:tcBorders>
          <w:top w:val="double" w:sz="4" w:space="0" w:color="7090B7"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90B7" w:themeColor="accent5"/>
          <w:right w:val="single" w:sz="4" w:space="0" w:color="7090B7" w:themeColor="accent5"/>
        </w:tcBorders>
      </w:tcPr>
    </w:tblStylePr>
    <w:tblStylePr w:type="band1Horz">
      <w:tblPr/>
      <w:tcPr>
        <w:tcBorders>
          <w:top w:val="single" w:sz="4" w:space="0" w:color="7090B7" w:themeColor="accent5"/>
          <w:bottom w:val="single" w:sz="4" w:space="0" w:color="7090B7"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90B7" w:themeColor="accent5"/>
          <w:left w:val="nil"/>
        </w:tcBorders>
      </w:tcPr>
    </w:tblStylePr>
    <w:tblStylePr w:type="swCell">
      <w:tblPr/>
      <w:tcPr>
        <w:tcBorders>
          <w:top w:val="double" w:sz="4" w:space="0" w:color="7090B7" w:themeColor="accent5"/>
          <w:right w:val="nil"/>
        </w:tcBorders>
      </w:tcPr>
    </w:tblStylePr>
  </w:style>
  <w:style w:type="table" w:customStyle="1" w:styleId="CardnoTableNavy12">
    <w:name w:val="Cardno Table Navy12"/>
    <w:basedOn w:val="TableNormal"/>
    <w:uiPriority w:val="99"/>
    <w:qFormat/>
    <w:rsid w:val="00665A54"/>
    <w:pPr>
      <w:spacing w:before="0" w:after="0"/>
      <w:ind w:left="0" w:firstLine="0"/>
    </w:pPr>
    <w:rPr>
      <w:rFonts w:ascii="Calibri" w:hAnsi="Calibri"/>
      <w:sz w:val="20"/>
      <w:szCs w:val="20"/>
      <w:lang w:val="en-US" w:eastAsia="en-US"/>
    </w:rPr>
    <w:tblPr>
      <w:tblBorders>
        <w:bottom w:val="single" w:sz="4" w:space="0" w:color="5B9BD5"/>
        <w:insideH w:val="single" w:sz="4" w:space="0" w:color="5B9BD5"/>
      </w:tblBorders>
    </w:tblPr>
    <w:tblStylePr w:type="firstRow">
      <w:rPr>
        <w:color w:val="FFFFFF"/>
      </w:rPr>
      <w:tblPr/>
      <w:trPr>
        <w:tblHeader/>
      </w:trPr>
      <w:tcPr>
        <w:shd w:val="clear" w:color="auto" w:fill="5B9BD5"/>
      </w:tcPr>
    </w:tblStylePr>
  </w:style>
  <w:style w:type="table" w:customStyle="1" w:styleId="CardnoTableNavy22">
    <w:name w:val="Cardno Table Navy22"/>
    <w:basedOn w:val="CardnoTableTaupe"/>
    <w:uiPriority w:val="99"/>
    <w:qFormat/>
    <w:rsid w:val="00665A54"/>
    <w:pPr>
      <w:spacing w:before="0" w:after="0"/>
      <w:ind w:left="0" w:firstLine="0"/>
    </w:pPr>
    <w:tblPr>
      <w:tblBorders>
        <w:bottom w:val="single" w:sz="4" w:space="0" w:color="003359" w:themeColor="accent1"/>
        <w:insideH w:val="single" w:sz="4" w:space="0" w:color="003359" w:themeColor="accent1"/>
      </w:tblBorders>
    </w:tblPr>
    <w:tblStylePr w:type="firstRow">
      <w:rPr>
        <w:color w:val="FFFFFF" w:themeColor="background1"/>
      </w:rPr>
      <w:tblPr/>
      <w:trPr>
        <w:tblHeader/>
      </w:trPr>
      <w:tcPr>
        <w:shd w:val="clear" w:color="auto" w:fill="003359" w:themeFill="accent1"/>
      </w:tcPr>
    </w:tblStylePr>
  </w:style>
  <w:style w:type="table" w:customStyle="1" w:styleId="ListTable3-Accent5112">
    <w:name w:val="List Table 3 - Accent 5112"/>
    <w:basedOn w:val="TableNormal"/>
    <w:uiPriority w:val="48"/>
    <w:rsid w:val="00665A54"/>
    <w:pPr>
      <w:spacing w:before="0" w:after="0"/>
      <w:ind w:left="0" w:firstLine="0"/>
    </w:pPr>
    <w:rPr>
      <w:rFonts w:asciiTheme="minorHAnsi" w:eastAsiaTheme="minorHAnsi" w:hAnsiTheme="minorHAnsi" w:cstheme="minorBidi"/>
      <w:lang w:eastAsia="en-US"/>
    </w:rPr>
    <w:tblPr>
      <w:tblStyleRowBandSize w:val="1"/>
      <w:tblStyleColBandSize w:val="1"/>
      <w:tblBorders>
        <w:top w:val="single" w:sz="4" w:space="0" w:color="7090B7" w:themeColor="accent5"/>
        <w:left w:val="single" w:sz="4" w:space="0" w:color="7090B7" w:themeColor="accent5"/>
        <w:bottom w:val="single" w:sz="4" w:space="0" w:color="7090B7" w:themeColor="accent5"/>
        <w:right w:val="single" w:sz="4" w:space="0" w:color="7090B7" w:themeColor="accent5"/>
      </w:tblBorders>
    </w:tblPr>
    <w:tblStylePr w:type="firstRow">
      <w:rPr>
        <w:b/>
        <w:bCs/>
        <w:color w:val="FFFFFF" w:themeColor="background1"/>
      </w:rPr>
      <w:tblPr/>
      <w:tcPr>
        <w:shd w:val="clear" w:color="auto" w:fill="7090B7" w:themeFill="accent5"/>
      </w:tcPr>
    </w:tblStylePr>
    <w:tblStylePr w:type="lastRow">
      <w:rPr>
        <w:b/>
        <w:bCs/>
      </w:rPr>
      <w:tblPr/>
      <w:tcPr>
        <w:tcBorders>
          <w:top w:val="double" w:sz="4" w:space="0" w:color="7090B7"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90B7" w:themeColor="accent5"/>
          <w:right w:val="single" w:sz="4" w:space="0" w:color="7090B7" w:themeColor="accent5"/>
        </w:tcBorders>
      </w:tcPr>
    </w:tblStylePr>
    <w:tblStylePr w:type="band1Horz">
      <w:tblPr/>
      <w:tcPr>
        <w:tcBorders>
          <w:top w:val="single" w:sz="4" w:space="0" w:color="7090B7" w:themeColor="accent5"/>
          <w:bottom w:val="single" w:sz="4" w:space="0" w:color="7090B7"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90B7" w:themeColor="accent5"/>
          <w:left w:val="nil"/>
        </w:tcBorders>
      </w:tcPr>
    </w:tblStylePr>
    <w:tblStylePr w:type="swCell">
      <w:tblPr/>
      <w:tcPr>
        <w:tcBorders>
          <w:top w:val="double" w:sz="4" w:space="0" w:color="7090B7" w:themeColor="accent5"/>
          <w:right w:val="nil"/>
        </w:tcBorders>
      </w:tcPr>
    </w:tblStylePr>
  </w:style>
  <w:style w:type="table" w:customStyle="1" w:styleId="ListTable3-Accent5122">
    <w:name w:val="List Table 3 - Accent 5122"/>
    <w:basedOn w:val="TableNormal"/>
    <w:uiPriority w:val="48"/>
    <w:rsid w:val="00665A54"/>
    <w:pPr>
      <w:spacing w:before="0" w:after="0"/>
      <w:ind w:left="0" w:firstLine="0"/>
    </w:pPr>
    <w:rPr>
      <w:rFonts w:asciiTheme="minorHAnsi" w:eastAsiaTheme="minorHAnsi" w:hAnsiTheme="minorHAnsi" w:cstheme="minorBidi"/>
      <w:lang w:eastAsia="en-US"/>
    </w:rPr>
    <w:tblPr>
      <w:tblStyleRowBandSize w:val="1"/>
      <w:tblStyleColBandSize w:val="1"/>
      <w:tblBorders>
        <w:top w:val="single" w:sz="4" w:space="0" w:color="7090B7" w:themeColor="accent5"/>
        <w:left w:val="single" w:sz="4" w:space="0" w:color="7090B7" w:themeColor="accent5"/>
        <w:bottom w:val="single" w:sz="4" w:space="0" w:color="7090B7" w:themeColor="accent5"/>
        <w:right w:val="single" w:sz="4" w:space="0" w:color="7090B7" w:themeColor="accent5"/>
      </w:tblBorders>
    </w:tblPr>
    <w:tblStylePr w:type="firstRow">
      <w:rPr>
        <w:b/>
        <w:bCs/>
        <w:color w:val="FFFFFF" w:themeColor="background1"/>
      </w:rPr>
      <w:tblPr/>
      <w:tcPr>
        <w:shd w:val="clear" w:color="auto" w:fill="7090B7" w:themeFill="accent5"/>
      </w:tcPr>
    </w:tblStylePr>
    <w:tblStylePr w:type="lastRow">
      <w:rPr>
        <w:b/>
        <w:bCs/>
      </w:rPr>
      <w:tblPr/>
      <w:tcPr>
        <w:tcBorders>
          <w:top w:val="double" w:sz="4" w:space="0" w:color="7090B7"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90B7" w:themeColor="accent5"/>
          <w:right w:val="single" w:sz="4" w:space="0" w:color="7090B7" w:themeColor="accent5"/>
        </w:tcBorders>
      </w:tcPr>
    </w:tblStylePr>
    <w:tblStylePr w:type="band1Horz">
      <w:tblPr/>
      <w:tcPr>
        <w:tcBorders>
          <w:top w:val="single" w:sz="4" w:space="0" w:color="7090B7" w:themeColor="accent5"/>
          <w:bottom w:val="single" w:sz="4" w:space="0" w:color="7090B7"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90B7" w:themeColor="accent5"/>
          <w:left w:val="nil"/>
        </w:tcBorders>
      </w:tcPr>
    </w:tblStylePr>
    <w:tblStylePr w:type="swCell">
      <w:tblPr/>
      <w:tcPr>
        <w:tcBorders>
          <w:top w:val="double" w:sz="4" w:space="0" w:color="7090B7" w:themeColor="accent5"/>
          <w:right w:val="nil"/>
        </w:tcBorders>
      </w:tcPr>
    </w:tblStylePr>
  </w:style>
  <w:style w:type="table" w:customStyle="1" w:styleId="TableGrid102">
    <w:name w:val="Table Grid102"/>
    <w:basedOn w:val="TableNormal"/>
    <w:next w:val="TableGrid"/>
    <w:uiPriority w:val="59"/>
    <w:rsid w:val="00665A54"/>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next w:val="TableGrid"/>
    <w:uiPriority w:val="59"/>
    <w:rsid w:val="00665A54"/>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next w:val="TableGrid"/>
    <w:uiPriority w:val="59"/>
    <w:rsid w:val="00665A54"/>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next w:val="TableGrid"/>
    <w:uiPriority w:val="59"/>
    <w:rsid w:val="00665A54"/>
    <w:pPr>
      <w:spacing w:before="0" w:after="0"/>
      <w:ind w:left="0" w:firstLine="0"/>
    </w:pPr>
    <w:rPr>
      <w:rFonts w:ascii="Cambria" w:eastAsia="Cambria" w:hAnsi="Cambria"/>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next w:val="TableGrid"/>
    <w:uiPriority w:val="59"/>
    <w:rsid w:val="00665A54"/>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
    <w:name w:val="No List12"/>
    <w:next w:val="NoList"/>
    <w:uiPriority w:val="99"/>
    <w:semiHidden/>
    <w:unhideWhenUsed/>
    <w:rsid w:val="00665A54"/>
  </w:style>
  <w:style w:type="table" w:customStyle="1" w:styleId="Table3Deffects112">
    <w:name w:val="Table 3D effects 112"/>
    <w:basedOn w:val="TableNormal"/>
    <w:next w:val="Table3Deffects1"/>
    <w:uiPriority w:val="99"/>
    <w:semiHidden/>
    <w:rsid w:val="00665A54"/>
    <w:rPr>
      <w:sz w:val="20"/>
      <w:szCs w:val="20"/>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2">
    <w:name w:val="Table 3D effects 212"/>
    <w:basedOn w:val="TableNormal"/>
    <w:next w:val="Table3Deffects2"/>
    <w:uiPriority w:val="99"/>
    <w:semiHidden/>
    <w:rsid w:val="00665A54"/>
    <w:rPr>
      <w:sz w:val="20"/>
      <w:szCs w:val="20"/>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3Deffects312">
    <w:name w:val="Table 3D effects 312"/>
    <w:basedOn w:val="TableNormal"/>
    <w:next w:val="Table3Deffects3"/>
    <w:uiPriority w:val="99"/>
    <w:semiHidden/>
    <w:rsid w:val="00665A54"/>
    <w:rPr>
      <w:sz w:val="20"/>
      <w:szCs w:val="20"/>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Classic112">
    <w:name w:val="Table Classic 112"/>
    <w:basedOn w:val="TableNormal"/>
    <w:next w:val="TableClassic1"/>
    <w:uiPriority w:val="99"/>
    <w:semiHidden/>
    <w:rsid w:val="00665A54"/>
    <w:rPr>
      <w:sz w:val="20"/>
      <w:szCs w:val="20"/>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Classic212">
    <w:name w:val="Table Classic 212"/>
    <w:basedOn w:val="TableNormal"/>
    <w:next w:val="TableClassic2"/>
    <w:uiPriority w:val="99"/>
    <w:semiHidden/>
    <w:rsid w:val="00665A54"/>
    <w:rPr>
      <w:sz w:val="20"/>
      <w:szCs w:val="20"/>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TableClassic312">
    <w:name w:val="Table Classic 312"/>
    <w:basedOn w:val="TableNormal"/>
    <w:next w:val="TableClassic3"/>
    <w:uiPriority w:val="99"/>
    <w:semiHidden/>
    <w:rsid w:val="00665A54"/>
    <w:rPr>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TableClassic412">
    <w:name w:val="Table Classic 412"/>
    <w:basedOn w:val="TableNormal"/>
    <w:next w:val="TableClassic4"/>
    <w:uiPriority w:val="99"/>
    <w:semiHidden/>
    <w:rsid w:val="00665A54"/>
    <w:rPr>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TableColorful112">
    <w:name w:val="Table Colorful 112"/>
    <w:basedOn w:val="TableNormal"/>
    <w:next w:val="TableColorful1"/>
    <w:uiPriority w:val="99"/>
    <w:semiHidden/>
    <w:rsid w:val="00665A54"/>
    <w:rPr>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TableColorful212">
    <w:name w:val="Table Colorful 212"/>
    <w:basedOn w:val="TableNormal"/>
    <w:next w:val="TableColorful2"/>
    <w:uiPriority w:val="99"/>
    <w:semiHidden/>
    <w:rsid w:val="00665A54"/>
    <w:rPr>
      <w:sz w:val="20"/>
      <w:szCs w:val="20"/>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TableColorful312">
    <w:name w:val="Table Colorful 312"/>
    <w:basedOn w:val="TableNormal"/>
    <w:next w:val="TableColorful3"/>
    <w:uiPriority w:val="99"/>
    <w:semiHidden/>
    <w:rsid w:val="00665A54"/>
    <w:rPr>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TableColumns112">
    <w:name w:val="Table Columns 112"/>
    <w:basedOn w:val="TableNormal"/>
    <w:next w:val="TableColumns1"/>
    <w:uiPriority w:val="99"/>
    <w:semiHidden/>
    <w:rsid w:val="00665A54"/>
    <w:rPr>
      <w:b w:val="0"/>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Columns212">
    <w:name w:val="Table Columns 212"/>
    <w:basedOn w:val="TableNormal"/>
    <w:next w:val="TableColumns2"/>
    <w:uiPriority w:val="99"/>
    <w:semiHidden/>
    <w:rsid w:val="00665A54"/>
    <w:rPr>
      <w:b w:val="0"/>
      <w:bCs/>
      <w:sz w:val="20"/>
      <w:szCs w:val="20"/>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Columns312">
    <w:name w:val="Table Columns 312"/>
    <w:basedOn w:val="TableNormal"/>
    <w:next w:val="TableColumns3"/>
    <w:uiPriority w:val="99"/>
    <w:semiHidden/>
    <w:rsid w:val="00665A54"/>
    <w:rPr>
      <w:b w:val="0"/>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TableColumns412">
    <w:name w:val="Table Columns 412"/>
    <w:basedOn w:val="TableNormal"/>
    <w:next w:val="TableColumns4"/>
    <w:uiPriority w:val="99"/>
    <w:semiHidden/>
    <w:rsid w:val="00665A54"/>
    <w:rPr>
      <w:sz w:val="20"/>
      <w:szCs w:val="20"/>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TableColumns512">
    <w:name w:val="Table Columns 512"/>
    <w:basedOn w:val="TableNormal"/>
    <w:next w:val="TableColumns5"/>
    <w:uiPriority w:val="99"/>
    <w:semiHidden/>
    <w:rsid w:val="00665A54"/>
    <w:rPr>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TableContemporary12">
    <w:name w:val="Table Contemporary12"/>
    <w:basedOn w:val="TableNormal"/>
    <w:next w:val="TableContemporary"/>
    <w:uiPriority w:val="99"/>
    <w:semiHidden/>
    <w:rsid w:val="00665A54"/>
    <w:rPr>
      <w:sz w:val="20"/>
      <w:szCs w:val="20"/>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TableElegant12">
    <w:name w:val="Table Elegant12"/>
    <w:basedOn w:val="TableNormal"/>
    <w:next w:val="TableElegant"/>
    <w:uiPriority w:val="99"/>
    <w:semiHidden/>
    <w:rsid w:val="00665A54"/>
    <w:rPr>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PlainTable12">
    <w:name w:val="Plain Table12"/>
    <w:basedOn w:val="TableNormal"/>
    <w:next w:val="TableGrid"/>
    <w:uiPriority w:val="39"/>
    <w:rsid w:val="00665A54"/>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 112"/>
    <w:basedOn w:val="TableNormal"/>
    <w:next w:val="TableGrid1"/>
    <w:uiPriority w:val="99"/>
    <w:semiHidden/>
    <w:rsid w:val="00665A54"/>
    <w:rPr>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TableGrid212">
    <w:name w:val="Table Grid 212"/>
    <w:basedOn w:val="TableNormal"/>
    <w:next w:val="TableGrid2"/>
    <w:uiPriority w:val="99"/>
    <w:semiHidden/>
    <w:rsid w:val="00665A54"/>
    <w:rPr>
      <w:sz w:val="20"/>
      <w:szCs w:val="20"/>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TableGrid312">
    <w:name w:val="Table Grid 312"/>
    <w:basedOn w:val="TableNormal"/>
    <w:next w:val="TableGrid3"/>
    <w:uiPriority w:val="99"/>
    <w:semiHidden/>
    <w:rsid w:val="00665A54"/>
    <w:rPr>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TableGrid412">
    <w:name w:val="Table Grid 412"/>
    <w:basedOn w:val="TableNormal"/>
    <w:next w:val="TableGrid4"/>
    <w:uiPriority w:val="99"/>
    <w:semiHidden/>
    <w:rsid w:val="00665A54"/>
    <w:rPr>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TableGrid512">
    <w:name w:val="Table Grid 512"/>
    <w:basedOn w:val="TableNormal"/>
    <w:next w:val="TableGrid5"/>
    <w:uiPriority w:val="99"/>
    <w:semiHidden/>
    <w:rsid w:val="00665A54"/>
    <w:rPr>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612">
    <w:name w:val="Table Grid 612"/>
    <w:basedOn w:val="TableNormal"/>
    <w:next w:val="TableGrid6"/>
    <w:uiPriority w:val="99"/>
    <w:semiHidden/>
    <w:rsid w:val="00665A54"/>
    <w:rPr>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712">
    <w:name w:val="Table Grid 712"/>
    <w:basedOn w:val="TableNormal"/>
    <w:next w:val="TableGrid7"/>
    <w:uiPriority w:val="99"/>
    <w:semiHidden/>
    <w:rsid w:val="00665A54"/>
    <w:rPr>
      <w:b w:val="0"/>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812">
    <w:name w:val="Table Grid 812"/>
    <w:basedOn w:val="TableNormal"/>
    <w:next w:val="TableGrid8"/>
    <w:uiPriority w:val="99"/>
    <w:semiHidden/>
    <w:rsid w:val="00665A54"/>
    <w:rPr>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TableList212">
    <w:name w:val="Table List 212"/>
    <w:basedOn w:val="TableNormal"/>
    <w:next w:val="TableList2"/>
    <w:uiPriority w:val="99"/>
    <w:semiHidden/>
    <w:rsid w:val="00665A54"/>
    <w:rPr>
      <w:sz w:val="20"/>
      <w:szCs w:val="20"/>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List312">
    <w:name w:val="Table List 312"/>
    <w:basedOn w:val="TableNormal"/>
    <w:next w:val="TableList3"/>
    <w:uiPriority w:val="99"/>
    <w:semiHidden/>
    <w:rsid w:val="00665A54"/>
    <w:rPr>
      <w:sz w:val="20"/>
      <w:szCs w:val="20"/>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TableList412">
    <w:name w:val="Table List 412"/>
    <w:basedOn w:val="TableNormal"/>
    <w:next w:val="TableList4"/>
    <w:uiPriority w:val="99"/>
    <w:semiHidden/>
    <w:rsid w:val="00665A54"/>
    <w:rPr>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2">
    <w:name w:val="Table List 512"/>
    <w:basedOn w:val="TableNormal"/>
    <w:next w:val="TableList5"/>
    <w:uiPriority w:val="99"/>
    <w:semiHidden/>
    <w:rsid w:val="00665A54"/>
    <w:rPr>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TableList612">
    <w:name w:val="Table List 612"/>
    <w:basedOn w:val="TableNormal"/>
    <w:next w:val="TableList6"/>
    <w:uiPriority w:val="99"/>
    <w:semiHidden/>
    <w:rsid w:val="00665A54"/>
    <w:rPr>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TableList712">
    <w:name w:val="Table List 712"/>
    <w:basedOn w:val="TableNormal"/>
    <w:next w:val="TableList7"/>
    <w:uiPriority w:val="99"/>
    <w:semiHidden/>
    <w:rsid w:val="00665A54"/>
    <w:rPr>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TableList812">
    <w:name w:val="Table List 812"/>
    <w:basedOn w:val="TableNormal"/>
    <w:next w:val="TableList8"/>
    <w:uiPriority w:val="99"/>
    <w:semiHidden/>
    <w:rsid w:val="00665A54"/>
    <w:rPr>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TableProfessional12">
    <w:name w:val="Table Professional12"/>
    <w:basedOn w:val="TableNormal"/>
    <w:next w:val="TableProfessional"/>
    <w:uiPriority w:val="99"/>
    <w:semiHidden/>
    <w:rsid w:val="00665A54"/>
    <w:rPr>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TableSimple112">
    <w:name w:val="Table Simple 112"/>
    <w:basedOn w:val="TableNormal"/>
    <w:next w:val="TableSimple1"/>
    <w:uiPriority w:val="99"/>
    <w:semiHidden/>
    <w:rsid w:val="00665A54"/>
    <w:rPr>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TableSimple212">
    <w:name w:val="Table Simple 212"/>
    <w:basedOn w:val="TableNormal"/>
    <w:next w:val="TableSimple2"/>
    <w:uiPriority w:val="99"/>
    <w:semiHidden/>
    <w:rsid w:val="00665A54"/>
    <w:rPr>
      <w:sz w:val="20"/>
      <w:szCs w:val="20"/>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TableSimple312">
    <w:name w:val="Table Simple 312"/>
    <w:basedOn w:val="TableNormal"/>
    <w:next w:val="TableSimple3"/>
    <w:uiPriority w:val="99"/>
    <w:semiHidden/>
    <w:rsid w:val="00665A54"/>
    <w:rPr>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TableSubtle112">
    <w:name w:val="Table Subtle 112"/>
    <w:basedOn w:val="TableNormal"/>
    <w:next w:val="TableSubtle1"/>
    <w:uiPriority w:val="99"/>
    <w:semiHidden/>
    <w:rsid w:val="00665A54"/>
    <w:rPr>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Subtle212">
    <w:name w:val="Table Subtle 212"/>
    <w:basedOn w:val="TableNormal"/>
    <w:next w:val="TableSubtle2"/>
    <w:uiPriority w:val="99"/>
    <w:semiHidden/>
    <w:rsid w:val="00665A54"/>
    <w:rPr>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Theme12">
    <w:name w:val="Table Theme12"/>
    <w:basedOn w:val="TableNormal"/>
    <w:next w:val="TableTheme"/>
    <w:uiPriority w:val="99"/>
    <w:semiHidden/>
    <w:rsid w:val="00665A54"/>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112">
    <w:name w:val="Table Web 112"/>
    <w:basedOn w:val="TableNormal"/>
    <w:next w:val="TableWeb1"/>
    <w:uiPriority w:val="99"/>
    <w:semiHidden/>
    <w:rsid w:val="00665A54"/>
    <w:rPr>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TableWeb212">
    <w:name w:val="Table Web 212"/>
    <w:basedOn w:val="TableNormal"/>
    <w:next w:val="TableWeb2"/>
    <w:uiPriority w:val="99"/>
    <w:semiHidden/>
    <w:rsid w:val="00665A54"/>
    <w:rPr>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TableWeb312">
    <w:name w:val="Table Web 312"/>
    <w:basedOn w:val="TableNormal"/>
    <w:next w:val="TableWeb3"/>
    <w:uiPriority w:val="99"/>
    <w:semiHidden/>
    <w:rsid w:val="00665A54"/>
    <w:rPr>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LightShading12">
    <w:name w:val="Light Shading12"/>
    <w:basedOn w:val="TableNormal"/>
    <w:next w:val="LightShading"/>
    <w:uiPriority w:val="60"/>
    <w:rsid w:val="00665A54"/>
    <w:pPr>
      <w:spacing w:before="0" w:after="0"/>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upeTable12">
    <w:name w:val="Taupe Table12"/>
    <w:uiPriority w:val="99"/>
    <w:rsid w:val="00665A54"/>
    <w:pPr>
      <w:spacing w:before="0" w:after="0"/>
      <w:ind w:left="0" w:firstLine="0"/>
    </w:pPr>
    <w:rPr>
      <w:rFonts w:asciiTheme="minorHAnsi" w:hAnsiTheme="minorHAnsi"/>
      <w:b w:val="0"/>
      <w:color w:val="auto"/>
      <w:sz w:val="20"/>
      <w:szCs w:val="20"/>
      <w:u w:val="none"/>
      <w:lang w:val="en-SG" w:eastAsia="en-SG"/>
    </w:rPr>
    <w:tblPr>
      <w:tblStyleRowBandSize w:val="1"/>
      <w:tblStyleColBandSize w:val="1"/>
      <w:tblInd w:w="0" w:type="dxa"/>
      <w:tblBorders>
        <w:bottom w:val="single" w:sz="4" w:space="0" w:color="988F86"/>
        <w:insideH w:val="single" w:sz="4" w:space="0" w:color="988F86"/>
      </w:tblBorders>
      <w:tblCellMar>
        <w:top w:w="0" w:type="dxa"/>
        <w:left w:w="108" w:type="dxa"/>
        <w:bottom w:w="0" w:type="dxa"/>
        <w:right w:w="108" w:type="dxa"/>
      </w:tblCellMar>
    </w:tblPr>
    <w:tcPr>
      <w:shd w:val="clear" w:color="auto" w:fill="auto"/>
    </w:tcPr>
    <w:tblStylePr w:type="firstRow">
      <w:rPr>
        <w:b w:val="0"/>
        <w:color w:val="FFFFFF" w:themeColor="background1"/>
      </w:rPr>
      <w:tblPr/>
      <w:tcPr>
        <w:shd w:val="clear" w:color="auto" w:fill="988F86" w:themeFill="accent3"/>
      </w:tcPr>
    </w:tblStylePr>
    <w:tblStylePr w:type="lastRow">
      <w:rPr>
        <w:rFonts w:asciiTheme="minorHAnsi" w:hAnsiTheme="minorHAnsi"/>
        <w:b/>
      </w:rPr>
      <w:tblPr/>
      <w:tcPr>
        <w:shd w:val="clear" w:color="auto" w:fill="C1BBB6" w:themeFill="accent3" w:themeFillTint="99"/>
      </w:tcPr>
    </w:tblStylePr>
    <w:tblStylePr w:type="firstCol">
      <w:tblPr/>
      <w:tcPr>
        <w:shd w:val="clear" w:color="auto" w:fill="D5D2CE" w:themeFill="accent3" w:themeFillTint="66"/>
      </w:tcPr>
    </w:tblStylePr>
    <w:tblStylePr w:type="lastCol">
      <w:tblPr/>
      <w:tcPr>
        <w:shd w:val="clear" w:color="auto" w:fill="C1BBB6" w:themeFill="accent3" w:themeFillTint="99"/>
      </w:tcPr>
    </w:tblStylePr>
    <w:tblStylePr w:type="band2Vert">
      <w:rPr>
        <w:rFonts w:asciiTheme="minorHAnsi" w:hAnsiTheme="minorHAnsi"/>
      </w:rPr>
      <w:tblPr/>
      <w:tcPr>
        <w:shd w:val="clear" w:color="auto" w:fill="EAE8E6" w:themeFill="accent3" w:themeFillTint="33"/>
      </w:tcPr>
    </w:tblStylePr>
    <w:tblStylePr w:type="band2Horz">
      <w:rPr>
        <w:rFonts w:asciiTheme="minorHAnsi" w:hAnsiTheme="minorHAnsi"/>
      </w:rPr>
      <w:tblPr/>
      <w:tcPr>
        <w:shd w:val="clear" w:color="auto" w:fill="EAE8E6" w:themeFill="accent3" w:themeFillTint="33"/>
      </w:tcPr>
    </w:tblStylePr>
  </w:style>
  <w:style w:type="table" w:customStyle="1" w:styleId="AquaTable12">
    <w:name w:val="Aqua Table12"/>
    <w:basedOn w:val="TaupeTable"/>
    <w:uiPriority w:val="99"/>
    <w:qFormat/>
    <w:rsid w:val="00665A54"/>
    <w:tblPr>
      <w:tblBorders>
        <w:bottom w:val="single" w:sz="4" w:space="0" w:color="477F80" w:themeColor="accent6"/>
        <w:insideH w:val="single" w:sz="4" w:space="0" w:color="477F80" w:themeColor="accent6"/>
      </w:tblBorders>
    </w:tblPr>
    <w:tcPr>
      <w:shd w:val="clear" w:color="auto" w:fill="auto"/>
    </w:tcPr>
    <w:tblStylePr w:type="firstRow">
      <w:rPr>
        <w:b w:val="0"/>
        <w:color w:val="FFFFFF" w:themeColor="background1"/>
      </w:rPr>
      <w:tblPr/>
      <w:tcPr>
        <w:shd w:val="clear" w:color="auto" w:fill="477F80" w:themeFill="accent6"/>
      </w:tcPr>
    </w:tblStylePr>
    <w:tblStylePr w:type="lastRow">
      <w:rPr>
        <w:rFonts w:asciiTheme="minorHAnsi" w:hAnsiTheme="minorHAnsi"/>
        <w:b/>
      </w:rPr>
      <w:tblPr/>
      <w:tcPr>
        <w:shd w:val="clear" w:color="auto" w:fill="86BBBC" w:themeFill="accent6" w:themeFillTint="99"/>
      </w:tcPr>
    </w:tblStylePr>
    <w:tblStylePr w:type="firstCol">
      <w:tblPr/>
      <w:tcPr>
        <w:shd w:val="clear" w:color="auto" w:fill="AED1D2" w:themeFill="accent6" w:themeFillTint="66"/>
      </w:tcPr>
    </w:tblStylePr>
    <w:tblStylePr w:type="lastCol">
      <w:tblPr/>
      <w:tcPr>
        <w:shd w:val="clear" w:color="auto" w:fill="86BBBC" w:themeFill="accent6" w:themeFillTint="99"/>
      </w:tcPr>
    </w:tblStylePr>
    <w:tblStylePr w:type="band2Vert">
      <w:rPr>
        <w:rFonts w:asciiTheme="minorHAnsi" w:hAnsiTheme="minorHAnsi"/>
      </w:rPr>
      <w:tblPr/>
      <w:tcPr>
        <w:shd w:val="clear" w:color="auto" w:fill="D6E8E8" w:themeFill="accent6" w:themeFillTint="33"/>
      </w:tcPr>
    </w:tblStylePr>
    <w:tblStylePr w:type="band2Horz">
      <w:rPr>
        <w:rFonts w:asciiTheme="minorHAnsi" w:hAnsiTheme="minorHAnsi"/>
      </w:rPr>
      <w:tblPr/>
      <w:tcPr>
        <w:shd w:val="clear" w:color="auto" w:fill="D6E8E8" w:themeFill="accent6" w:themeFillTint="33"/>
      </w:tcPr>
    </w:tblStylePr>
  </w:style>
  <w:style w:type="table" w:customStyle="1" w:styleId="AquaTableBorders12">
    <w:name w:val="Aqua Table Borders12"/>
    <w:basedOn w:val="AquaTable"/>
    <w:uiPriority w:val="99"/>
    <w:qFormat/>
    <w:rsid w:val="00665A54"/>
    <w:tblPr>
      <w:tblBorders>
        <w:top w:val="single" w:sz="4" w:space="0" w:color="477F80" w:themeColor="accent6"/>
        <w:left w:val="single" w:sz="4" w:space="0" w:color="477F80" w:themeColor="accent6"/>
        <w:bottom w:val="none" w:sz="0" w:space="0" w:color="auto"/>
        <w:right w:val="single" w:sz="4" w:space="0" w:color="477F80" w:themeColor="accent6"/>
        <w:insideH w:val="none" w:sz="0" w:space="0" w:color="auto"/>
        <w:insideV w:val="single" w:sz="4" w:space="0" w:color="477F80" w:themeColor="accent6"/>
      </w:tblBorders>
    </w:tblPr>
    <w:tcPr>
      <w:shd w:val="clear" w:color="auto" w:fill="auto"/>
    </w:tcPr>
    <w:tblStylePr w:type="firstRow">
      <w:rPr>
        <w:b w:val="0"/>
        <w:color w:val="FFFFFF" w:themeColor="background1"/>
      </w:rPr>
      <w:tblPr/>
      <w:tcPr>
        <w:shd w:val="clear" w:color="auto" w:fill="477F80" w:themeFill="accent6"/>
      </w:tcPr>
    </w:tblStylePr>
    <w:tblStylePr w:type="lastRow">
      <w:rPr>
        <w:rFonts w:asciiTheme="minorHAnsi" w:hAnsiTheme="minorHAnsi"/>
        <w:b/>
      </w:rPr>
      <w:tblPr/>
      <w:tcPr>
        <w:shd w:val="clear" w:color="auto" w:fill="86BBBC" w:themeFill="accent6" w:themeFillTint="99"/>
      </w:tcPr>
    </w:tblStylePr>
    <w:tblStylePr w:type="firstCol">
      <w:tblPr/>
      <w:tcPr>
        <w:shd w:val="clear" w:color="auto" w:fill="AED1D2" w:themeFill="accent6" w:themeFillTint="66"/>
      </w:tcPr>
    </w:tblStylePr>
    <w:tblStylePr w:type="lastCol">
      <w:tblPr/>
      <w:tcPr>
        <w:shd w:val="clear" w:color="auto" w:fill="86BBBC" w:themeFill="accent6" w:themeFillTint="99"/>
      </w:tcPr>
    </w:tblStylePr>
    <w:tblStylePr w:type="band2Vert">
      <w:rPr>
        <w:rFonts w:asciiTheme="minorHAnsi" w:hAnsiTheme="minorHAnsi"/>
      </w:rPr>
      <w:tblPr/>
      <w:tcPr>
        <w:shd w:val="clear" w:color="auto" w:fill="D6E8E8" w:themeFill="accent6" w:themeFillTint="33"/>
      </w:tcPr>
    </w:tblStylePr>
    <w:tblStylePr w:type="band2Horz">
      <w:rPr>
        <w:rFonts w:asciiTheme="minorHAnsi" w:hAnsiTheme="minorHAnsi"/>
      </w:rPr>
      <w:tblPr/>
      <w:tcPr>
        <w:shd w:val="clear" w:color="auto" w:fill="D6E8E8" w:themeFill="accent6" w:themeFillTint="33"/>
      </w:tcPr>
    </w:tblStylePr>
  </w:style>
  <w:style w:type="table" w:customStyle="1" w:styleId="BlueTable12">
    <w:name w:val="Blue Table12"/>
    <w:basedOn w:val="TaupeTable"/>
    <w:uiPriority w:val="99"/>
    <w:qFormat/>
    <w:rsid w:val="00665A54"/>
    <w:tblPr>
      <w:tblBorders>
        <w:bottom w:val="single" w:sz="4" w:space="0" w:color="7090B7" w:themeColor="accent5"/>
        <w:insideH w:val="single" w:sz="4" w:space="0" w:color="7090B7" w:themeColor="accent5"/>
      </w:tblBorders>
    </w:tblPr>
    <w:tcPr>
      <w:shd w:val="clear" w:color="auto" w:fill="auto"/>
    </w:tcPr>
    <w:tblStylePr w:type="firstRow">
      <w:rPr>
        <w:b w:val="0"/>
        <w:color w:val="FFFFFF" w:themeColor="background1"/>
      </w:rPr>
      <w:tblPr/>
      <w:tcPr>
        <w:shd w:val="clear" w:color="auto" w:fill="7090B7" w:themeFill="accent5"/>
      </w:tcPr>
    </w:tblStylePr>
    <w:tblStylePr w:type="lastRow">
      <w:rPr>
        <w:rFonts w:asciiTheme="minorHAnsi" w:hAnsiTheme="minorHAnsi"/>
        <w:b/>
      </w:rPr>
      <w:tblPr/>
      <w:tcPr>
        <w:shd w:val="clear" w:color="auto" w:fill="A9BCD3" w:themeFill="accent5" w:themeFillTint="99"/>
      </w:tcPr>
    </w:tblStylePr>
    <w:tblStylePr w:type="firstCol">
      <w:tblPr/>
      <w:tcPr>
        <w:shd w:val="clear" w:color="auto" w:fill="C5D2E2" w:themeFill="accent5" w:themeFillTint="66"/>
      </w:tcPr>
    </w:tblStylePr>
    <w:tblStylePr w:type="lastCol">
      <w:tblPr/>
      <w:tcPr>
        <w:shd w:val="clear" w:color="auto" w:fill="A9BCD3" w:themeFill="accent5" w:themeFillTint="99"/>
      </w:tcPr>
    </w:tblStylePr>
    <w:tblStylePr w:type="band2Vert">
      <w:rPr>
        <w:rFonts w:asciiTheme="minorHAnsi" w:hAnsiTheme="minorHAnsi"/>
      </w:rPr>
      <w:tblPr/>
      <w:tcPr>
        <w:shd w:val="clear" w:color="auto" w:fill="E2E8F0" w:themeFill="accent5" w:themeFillTint="33"/>
      </w:tcPr>
    </w:tblStylePr>
    <w:tblStylePr w:type="band2Horz">
      <w:rPr>
        <w:rFonts w:asciiTheme="minorHAnsi" w:hAnsiTheme="minorHAnsi"/>
      </w:rPr>
      <w:tblPr/>
      <w:tcPr>
        <w:shd w:val="clear" w:color="auto" w:fill="E2E8F0" w:themeFill="accent5" w:themeFillTint="33"/>
      </w:tcPr>
    </w:tblStylePr>
  </w:style>
  <w:style w:type="table" w:customStyle="1" w:styleId="BlueTableBorders12">
    <w:name w:val="Blue Table Borders12"/>
    <w:basedOn w:val="BlueTable"/>
    <w:uiPriority w:val="99"/>
    <w:qFormat/>
    <w:rsid w:val="00665A54"/>
    <w:tblPr>
      <w:tblBorders>
        <w:top w:val="single" w:sz="4" w:space="0" w:color="7090B7" w:themeColor="accent5"/>
        <w:left w:val="single" w:sz="4" w:space="0" w:color="7090B7" w:themeColor="accent5"/>
        <w:bottom w:val="none" w:sz="0" w:space="0" w:color="auto"/>
        <w:right w:val="single" w:sz="4" w:space="0" w:color="7090B7" w:themeColor="accent5"/>
        <w:insideH w:val="none" w:sz="0" w:space="0" w:color="auto"/>
        <w:insideV w:val="single" w:sz="4" w:space="0" w:color="7090B7" w:themeColor="accent5"/>
      </w:tblBorders>
    </w:tblPr>
    <w:tcPr>
      <w:shd w:val="clear" w:color="auto" w:fill="auto"/>
    </w:tcPr>
    <w:tblStylePr w:type="firstRow">
      <w:rPr>
        <w:b w:val="0"/>
        <w:color w:val="FFFFFF" w:themeColor="background1"/>
      </w:rPr>
      <w:tblPr/>
      <w:tcPr>
        <w:shd w:val="clear" w:color="auto" w:fill="7090B7" w:themeFill="accent5"/>
      </w:tcPr>
    </w:tblStylePr>
    <w:tblStylePr w:type="lastRow">
      <w:rPr>
        <w:rFonts w:asciiTheme="minorHAnsi" w:hAnsiTheme="minorHAnsi"/>
        <w:b/>
      </w:rPr>
      <w:tblPr/>
      <w:tcPr>
        <w:shd w:val="clear" w:color="auto" w:fill="A9BCD3" w:themeFill="accent5" w:themeFillTint="99"/>
      </w:tcPr>
    </w:tblStylePr>
    <w:tblStylePr w:type="firstCol">
      <w:tblPr/>
      <w:tcPr>
        <w:shd w:val="clear" w:color="auto" w:fill="C5D2E2" w:themeFill="accent5" w:themeFillTint="66"/>
      </w:tcPr>
    </w:tblStylePr>
    <w:tblStylePr w:type="lastCol">
      <w:tblPr/>
      <w:tcPr>
        <w:shd w:val="clear" w:color="auto" w:fill="A9BCD3" w:themeFill="accent5" w:themeFillTint="99"/>
      </w:tcPr>
    </w:tblStylePr>
    <w:tblStylePr w:type="band2Vert">
      <w:rPr>
        <w:rFonts w:asciiTheme="minorHAnsi" w:hAnsiTheme="minorHAnsi"/>
      </w:rPr>
      <w:tblPr/>
      <w:tcPr>
        <w:shd w:val="clear" w:color="auto" w:fill="E2E8F0" w:themeFill="accent5" w:themeFillTint="33"/>
      </w:tcPr>
    </w:tblStylePr>
    <w:tblStylePr w:type="band2Horz">
      <w:rPr>
        <w:rFonts w:asciiTheme="minorHAnsi" w:hAnsiTheme="minorHAnsi"/>
      </w:rPr>
      <w:tblPr/>
      <w:tcPr>
        <w:shd w:val="clear" w:color="auto" w:fill="E2E8F0" w:themeFill="accent5" w:themeFillTint="33"/>
      </w:tcPr>
    </w:tblStylePr>
  </w:style>
  <w:style w:type="table" w:customStyle="1" w:styleId="NavyTable12">
    <w:name w:val="Navy Table12"/>
    <w:basedOn w:val="TaupeTable"/>
    <w:uiPriority w:val="99"/>
    <w:qFormat/>
    <w:rsid w:val="00665A54"/>
    <w:tblPr>
      <w:tblBorders>
        <w:bottom w:val="single" w:sz="4" w:space="0" w:color="003359" w:themeColor="accent1"/>
        <w:insideH w:val="single" w:sz="4" w:space="0" w:color="003359" w:themeColor="accent1"/>
      </w:tblBorders>
    </w:tblPr>
    <w:tcPr>
      <w:shd w:val="clear" w:color="auto" w:fill="auto"/>
    </w:tcPr>
    <w:tblStylePr w:type="firstRow">
      <w:rPr>
        <w:b w:val="0"/>
        <w:color w:val="FFFFFF" w:themeColor="background1"/>
      </w:rPr>
      <w:tblPr/>
      <w:tcPr>
        <w:shd w:val="clear" w:color="auto" w:fill="003359" w:themeFill="accent1"/>
      </w:tcPr>
    </w:tblStylePr>
    <w:tblStylePr w:type="lastRow">
      <w:rPr>
        <w:rFonts w:asciiTheme="minorHAnsi" w:hAnsiTheme="minorHAnsi"/>
        <w:b/>
      </w:rPr>
      <w:tblPr/>
      <w:tcPr>
        <w:shd w:val="clear" w:color="auto" w:fill="95D1FF" w:themeFill="accent1" w:themeFillTint="40"/>
      </w:tcPr>
    </w:tblStylePr>
    <w:tblStylePr w:type="firstCol">
      <w:tblPr/>
      <w:tcPr>
        <w:shd w:val="clear" w:color="auto" w:fill="D4ECFF" w:themeFill="accent1" w:themeFillTint="1A"/>
      </w:tcPr>
    </w:tblStylePr>
    <w:tblStylePr w:type="lastCol">
      <w:tblPr/>
      <w:tcPr>
        <w:shd w:val="clear" w:color="auto" w:fill="95D1FF" w:themeFill="accent1" w:themeFillTint="40"/>
      </w:tcPr>
    </w:tblStylePr>
    <w:tblStylePr w:type="band2Vert">
      <w:rPr>
        <w:rFonts w:asciiTheme="minorHAnsi" w:hAnsiTheme="minorHAnsi"/>
      </w:rPr>
      <w:tblPr/>
      <w:tcPr>
        <w:shd w:val="clear" w:color="auto" w:fill="EBF6FF"/>
      </w:tcPr>
    </w:tblStylePr>
    <w:tblStylePr w:type="band2Horz">
      <w:rPr>
        <w:rFonts w:asciiTheme="minorHAnsi" w:hAnsiTheme="minorHAnsi"/>
      </w:rPr>
      <w:tblPr/>
      <w:tcPr>
        <w:shd w:val="clear" w:color="auto" w:fill="EBF6FF"/>
      </w:tcPr>
    </w:tblStylePr>
  </w:style>
  <w:style w:type="table" w:customStyle="1" w:styleId="NavyTableBorders12">
    <w:name w:val="Navy Table Borders12"/>
    <w:basedOn w:val="NavyTable"/>
    <w:uiPriority w:val="99"/>
    <w:qFormat/>
    <w:rsid w:val="00665A54"/>
    <w:tblPr>
      <w:tblBorders>
        <w:top w:val="single" w:sz="4" w:space="0" w:color="003359" w:themeColor="accent1"/>
        <w:left w:val="single" w:sz="4" w:space="0" w:color="003359" w:themeColor="accent1"/>
        <w:bottom w:val="none" w:sz="0" w:space="0" w:color="auto"/>
        <w:right w:val="single" w:sz="4" w:space="0" w:color="003359" w:themeColor="accent1"/>
        <w:insideH w:val="none" w:sz="0" w:space="0" w:color="auto"/>
        <w:insideV w:val="single" w:sz="4" w:space="0" w:color="003359" w:themeColor="accent1"/>
      </w:tblBorders>
    </w:tblPr>
    <w:tcPr>
      <w:shd w:val="clear" w:color="auto" w:fill="auto"/>
    </w:tcPr>
    <w:tblStylePr w:type="firstRow">
      <w:rPr>
        <w:b w:val="0"/>
        <w:color w:val="FFFFFF" w:themeColor="background1"/>
      </w:rPr>
      <w:tblPr/>
      <w:tcPr>
        <w:shd w:val="clear" w:color="auto" w:fill="003359" w:themeFill="accent1"/>
      </w:tcPr>
    </w:tblStylePr>
    <w:tblStylePr w:type="lastRow">
      <w:rPr>
        <w:rFonts w:asciiTheme="minorHAnsi" w:hAnsiTheme="minorHAnsi"/>
        <w:b/>
      </w:rPr>
      <w:tblPr/>
      <w:tcPr>
        <w:shd w:val="clear" w:color="auto" w:fill="95D1FF" w:themeFill="accent1" w:themeFillTint="40"/>
      </w:tcPr>
    </w:tblStylePr>
    <w:tblStylePr w:type="firstCol">
      <w:tblPr/>
      <w:tcPr>
        <w:shd w:val="clear" w:color="auto" w:fill="D4ECFF" w:themeFill="accent1" w:themeFillTint="1A"/>
      </w:tcPr>
    </w:tblStylePr>
    <w:tblStylePr w:type="lastCol">
      <w:tblPr/>
      <w:tcPr>
        <w:shd w:val="clear" w:color="auto" w:fill="95D1FF" w:themeFill="accent1" w:themeFillTint="40"/>
      </w:tcPr>
    </w:tblStylePr>
    <w:tblStylePr w:type="band2Vert">
      <w:rPr>
        <w:rFonts w:asciiTheme="minorHAnsi" w:hAnsiTheme="minorHAnsi"/>
      </w:rPr>
      <w:tblPr/>
      <w:tcPr>
        <w:shd w:val="clear" w:color="auto" w:fill="EBF6FF"/>
      </w:tcPr>
    </w:tblStylePr>
    <w:tblStylePr w:type="band2Horz">
      <w:rPr>
        <w:rFonts w:asciiTheme="minorHAnsi" w:hAnsiTheme="minorHAnsi"/>
      </w:rPr>
      <w:tblPr/>
      <w:tcPr>
        <w:shd w:val="clear" w:color="auto" w:fill="EBF6FF"/>
      </w:tcPr>
    </w:tblStylePr>
  </w:style>
  <w:style w:type="table" w:customStyle="1" w:styleId="OliveTable12">
    <w:name w:val="Olive Table12"/>
    <w:basedOn w:val="TaupeTable"/>
    <w:uiPriority w:val="99"/>
    <w:qFormat/>
    <w:rsid w:val="00665A54"/>
    <w:tblPr>
      <w:tblBorders>
        <w:bottom w:val="single" w:sz="4" w:space="0" w:color="878800" w:themeColor="accent4"/>
        <w:insideH w:val="single" w:sz="4" w:space="0" w:color="878800" w:themeColor="accent4"/>
      </w:tblBorders>
    </w:tblPr>
    <w:tcPr>
      <w:shd w:val="clear" w:color="auto" w:fill="auto"/>
    </w:tcPr>
    <w:tblStylePr w:type="firstRow">
      <w:rPr>
        <w:b w:val="0"/>
        <w:color w:val="FFFFFF" w:themeColor="background1"/>
      </w:rPr>
      <w:tblPr/>
      <w:tcPr>
        <w:shd w:val="clear" w:color="auto" w:fill="878800" w:themeFill="accent4"/>
      </w:tcPr>
    </w:tblStylePr>
    <w:tblStylePr w:type="lastRow">
      <w:rPr>
        <w:rFonts w:asciiTheme="minorHAnsi" w:hAnsiTheme="minorHAnsi"/>
        <w:b/>
      </w:rPr>
      <w:tblPr/>
      <w:tcPr>
        <w:shd w:val="clear" w:color="auto" w:fill="C9C6A3"/>
      </w:tcPr>
    </w:tblStylePr>
    <w:tblStylePr w:type="firstCol">
      <w:tblPr/>
      <w:tcPr>
        <w:shd w:val="clear" w:color="auto" w:fill="DBD9C3"/>
      </w:tcPr>
    </w:tblStylePr>
    <w:tblStylePr w:type="lastCol">
      <w:tblPr/>
      <w:tcPr>
        <w:shd w:val="clear" w:color="auto" w:fill="C9C6A3"/>
      </w:tcPr>
    </w:tblStylePr>
    <w:tblStylePr w:type="band2Vert">
      <w:rPr>
        <w:rFonts w:asciiTheme="minorHAnsi" w:hAnsiTheme="minorHAnsi"/>
      </w:rPr>
      <w:tblPr/>
      <w:tcPr>
        <w:shd w:val="clear" w:color="auto" w:fill="EEEDE2"/>
      </w:tcPr>
    </w:tblStylePr>
    <w:tblStylePr w:type="band2Horz">
      <w:rPr>
        <w:rFonts w:asciiTheme="minorHAnsi" w:hAnsiTheme="minorHAnsi"/>
      </w:rPr>
      <w:tblPr/>
      <w:tcPr>
        <w:shd w:val="clear" w:color="auto" w:fill="EEEDE2"/>
      </w:tcPr>
    </w:tblStylePr>
  </w:style>
  <w:style w:type="table" w:customStyle="1" w:styleId="OliveTableBorders12">
    <w:name w:val="Olive Table Borders12"/>
    <w:basedOn w:val="OliveTable"/>
    <w:uiPriority w:val="99"/>
    <w:qFormat/>
    <w:rsid w:val="00665A54"/>
    <w:tblPr>
      <w:tblBorders>
        <w:top w:val="single" w:sz="4" w:space="0" w:color="878800" w:themeColor="accent4"/>
        <w:left w:val="single" w:sz="4" w:space="0" w:color="878800" w:themeColor="accent4"/>
        <w:bottom w:val="none" w:sz="0" w:space="0" w:color="auto"/>
        <w:right w:val="single" w:sz="4" w:space="0" w:color="878800" w:themeColor="accent4"/>
        <w:insideH w:val="none" w:sz="0" w:space="0" w:color="auto"/>
        <w:insideV w:val="single" w:sz="4" w:space="0" w:color="878800" w:themeColor="accent4"/>
      </w:tblBorders>
    </w:tblPr>
    <w:tcPr>
      <w:shd w:val="clear" w:color="auto" w:fill="auto"/>
    </w:tcPr>
    <w:tblStylePr w:type="firstRow">
      <w:rPr>
        <w:b w:val="0"/>
        <w:color w:val="FFFFFF" w:themeColor="background1"/>
      </w:rPr>
      <w:tblPr/>
      <w:tcPr>
        <w:shd w:val="clear" w:color="auto" w:fill="878800" w:themeFill="accent4"/>
      </w:tcPr>
    </w:tblStylePr>
    <w:tblStylePr w:type="lastRow">
      <w:rPr>
        <w:rFonts w:asciiTheme="minorHAnsi" w:hAnsiTheme="minorHAnsi"/>
        <w:b/>
      </w:rPr>
      <w:tblPr/>
      <w:tcPr>
        <w:shd w:val="clear" w:color="auto" w:fill="C9C6A3"/>
      </w:tcPr>
    </w:tblStylePr>
    <w:tblStylePr w:type="firstCol">
      <w:tblPr/>
      <w:tcPr>
        <w:shd w:val="clear" w:color="auto" w:fill="DBD9C3"/>
      </w:tcPr>
    </w:tblStylePr>
    <w:tblStylePr w:type="lastCol">
      <w:tblPr/>
      <w:tcPr>
        <w:shd w:val="clear" w:color="auto" w:fill="C9C6A3"/>
      </w:tcPr>
    </w:tblStylePr>
    <w:tblStylePr w:type="band2Vert">
      <w:rPr>
        <w:rFonts w:asciiTheme="minorHAnsi" w:hAnsiTheme="minorHAnsi"/>
      </w:rPr>
      <w:tblPr/>
      <w:tcPr>
        <w:shd w:val="clear" w:color="auto" w:fill="EEEDE2"/>
      </w:tcPr>
    </w:tblStylePr>
    <w:tblStylePr w:type="band2Horz">
      <w:rPr>
        <w:rFonts w:asciiTheme="minorHAnsi" w:hAnsiTheme="minorHAnsi"/>
      </w:rPr>
      <w:tblPr/>
      <w:tcPr>
        <w:shd w:val="clear" w:color="auto" w:fill="EEEDE2"/>
      </w:tcPr>
    </w:tblStylePr>
  </w:style>
  <w:style w:type="table" w:customStyle="1" w:styleId="OrangeTable12">
    <w:name w:val="Orange Table12"/>
    <w:basedOn w:val="TaupeTable"/>
    <w:uiPriority w:val="99"/>
    <w:qFormat/>
    <w:rsid w:val="00665A54"/>
    <w:tblPr>
      <w:tblBorders>
        <w:bottom w:val="single" w:sz="4" w:space="0" w:color="D95E00" w:themeColor="accent2"/>
        <w:insideH w:val="single" w:sz="4" w:space="0" w:color="D95E00" w:themeColor="accent2"/>
      </w:tblBorders>
    </w:tblPr>
    <w:tcPr>
      <w:shd w:val="clear" w:color="auto" w:fill="auto"/>
    </w:tcPr>
    <w:tblStylePr w:type="firstRow">
      <w:rPr>
        <w:b w:val="0"/>
        <w:color w:val="FFFFFF" w:themeColor="background1"/>
      </w:rPr>
      <w:tblPr/>
      <w:tcPr>
        <w:shd w:val="clear" w:color="auto" w:fill="D95E00" w:themeFill="accent2"/>
      </w:tcPr>
    </w:tblStylePr>
    <w:tblStylePr w:type="lastRow">
      <w:rPr>
        <w:rFonts w:asciiTheme="minorHAnsi" w:hAnsiTheme="minorHAnsi"/>
        <w:b/>
      </w:rPr>
      <w:tblPr/>
      <w:tcPr>
        <w:shd w:val="clear" w:color="auto" w:fill="DEB892"/>
      </w:tcPr>
    </w:tblStylePr>
    <w:tblStylePr w:type="firstCol">
      <w:tblPr/>
      <w:tcPr>
        <w:shd w:val="clear" w:color="auto" w:fill="E8CDB2"/>
      </w:tcPr>
    </w:tblStylePr>
    <w:tblStylePr w:type="lastCol">
      <w:tblPr/>
      <w:tcPr>
        <w:shd w:val="clear" w:color="auto" w:fill="DEB892"/>
      </w:tcPr>
    </w:tblStylePr>
    <w:tblStylePr w:type="band2Vert">
      <w:rPr>
        <w:rFonts w:asciiTheme="minorHAnsi" w:hAnsiTheme="minorHAnsi"/>
      </w:rPr>
      <w:tblPr/>
      <w:tcPr>
        <w:shd w:val="clear" w:color="auto" w:fill="F3E4D5"/>
      </w:tcPr>
    </w:tblStylePr>
    <w:tblStylePr w:type="band2Horz">
      <w:rPr>
        <w:rFonts w:asciiTheme="minorHAnsi" w:hAnsiTheme="minorHAnsi"/>
      </w:rPr>
      <w:tblPr/>
      <w:tcPr>
        <w:shd w:val="clear" w:color="auto" w:fill="F3E4D5"/>
      </w:tcPr>
    </w:tblStylePr>
  </w:style>
  <w:style w:type="table" w:customStyle="1" w:styleId="OrangeTableBorders12">
    <w:name w:val="Orange Table Borders12"/>
    <w:basedOn w:val="OrangeTable"/>
    <w:uiPriority w:val="99"/>
    <w:qFormat/>
    <w:rsid w:val="00665A54"/>
    <w:tblPr>
      <w:tblBorders>
        <w:top w:val="single" w:sz="4" w:space="0" w:color="D95E00" w:themeColor="accent2"/>
        <w:left w:val="single" w:sz="4" w:space="0" w:color="D95E00" w:themeColor="accent2"/>
        <w:bottom w:val="none" w:sz="0" w:space="0" w:color="auto"/>
        <w:right w:val="single" w:sz="4" w:space="0" w:color="D95E00" w:themeColor="accent2"/>
        <w:insideH w:val="none" w:sz="0" w:space="0" w:color="auto"/>
        <w:insideV w:val="single" w:sz="4" w:space="0" w:color="D95E00" w:themeColor="accent2"/>
      </w:tblBorders>
    </w:tblPr>
    <w:tcPr>
      <w:shd w:val="clear" w:color="auto" w:fill="auto"/>
    </w:tcPr>
    <w:tblStylePr w:type="firstRow">
      <w:rPr>
        <w:b w:val="0"/>
        <w:color w:val="FFFFFF" w:themeColor="background1"/>
      </w:rPr>
      <w:tblPr/>
      <w:tcPr>
        <w:shd w:val="clear" w:color="auto" w:fill="D95E00" w:themeFill="accent2"/>
      </w:tcPr>
    </w:tblStylePr>
    <w:tblStylePr w:type="lastRow">
      <w:rPr>
        <w:rFonts w:asciiTheme="minorHAnsi" w:hAnsiTheme="minorHAnsi"/>
        <w:b/>
      </w:rPr>
      <w:tblPr/>
      <w:tcPr>
        <w:shd w:val="clear" w:color="auto" w:fill="DEB892"/>
      </w:tcPr>
    </w:tblStylePr>
    <w:tblStylePr w:type="firstCol">
      <w:tblPr/>
      <w:tcPr>
        <w:shd w:val="clear" w:color="auto" w:fill="E8CDB2"/>
      </w:tcPr>
    </w:tblStylePr>
    <w:tblStylePr w:type="lastCol">
      <w:tblPr/>
      <w:tcPr>
        <w:shd w:val="clear" w:color="auto" w:fill="DEB892"/>
      </w:tcPr>
    </w:tblStylePr>
    <w:tblStylePr w:type="band2Vert">
      <w:rPr>
        <w:rFonts w:asciiTheme="minorHAnsi" w:hAnsiTheme="minorHAnsi"/>
      </w:rPr>
      <w:tblPr/>
      <w:tcPr>
        <w:shd w:val="clear" w:color="auto" w:fill="F3E4D5"/>
      </w:tcPr>
    </w:tblStylePr>
    <w:tblStylePr w:type="band2Horz">
      <w:rPr>
        <w:rFonts w:asciiTheme="minorHAnsi" w:hAnsiTheme="minorHAnsi"/>
      </w:rPr>
      <w:tblPr/>
      <w:tcPr>
        <w:shd w:val="clear" w:color="auto" w:fill="F3E4D5"/>
      </w:tcPr>
    </w:tblStylePr>
  </w:style>
  <w:style w:type="table" w:customStyle="1" w:styleId="TaupeTableBorders12">
    <w:name w:val="Taupe Table Borders12"/>
    <w:basedOn w:val="TaupeTable"/>
    <w:uiPriority w:val="99"/>
    <w:qFormat/>
    <w:rsid w:val="00665A54"/>
    <w:tblPr>
      <w:tblBorders>
        <w:top w:val="single" w:sz="4" w:space="0" w:color="988F86" w:themeColor="accent3"/>
        <w:left w:val="single" w:sz="4" w:space="0" w:color="988F86" w:themeColor="accent3"/>
        <w:bottom w:val="single" w:sz="4" w:space="0" w:color="988F86" w:themeColor="accent3"/>
        <w:right w:val="single" w:sz="4" w:space="0" w:color="988F86" w:themeColor="accent3"/>
        <w:insideH w:val="single" w:sz="4" w:space="0" w:color="988F86" w:themeColor="accent3"/>
        <w:insideV w:val="single" w:sz="4" w:space="0" w:color="988F86" w:themeColor="accent3"/>
      </w:tblBorders>
    </w:tblPr>
    <w:tcPr>
      <w:shd w:val="clear" w:color="auto" w:fill="auto"/>
    </w:tcPr>
    <w:tblStylePr w:type="firstRow">
      <w:rPr>
        <w:b w:val="0"/>
        <w:color w:val="FFFFFF" w:themeColor="background1"/>
      </w:rPr>
      <w:tblPr/>
      <w:tcPr>
        <w:shd w:val="clear" w:color="auto" w:fill="988F86" w:themeFill="accent3"/>
      </w:tcPr>
    </w:tblStylePr>
    <w:tblStylePr w:type="lastRow">
      <w:rPr>
        <w:rFonts w:asciiTheme="minorHAnsi" w:hAnsiTheme="minorHAnsi"/>
        <w:b/>
      </w:rPr>
      <w:tblPr/>
      <w:tcPr>
        <w:shd w:val="clear" w:color="auto" w:fill="C1BBB6" w:themeFill="accent3" w:themeFillTint="99"/>
      </w:tcPr>
    </w:tblStylePr>
    <w:tblStylePr w:type="firstCol">
      <w:tblPr/>
      <w:tcPr>
        <w:shd w:val="clear" w:color="auto" w:fill="D5D2CE" w:themeFill="accent3" w:themeFillTint="66"/>
      </w:tcPr>
    </w:tblStylePr>
    <w:tblStylePr w:type="lastCol">
      <w:tblPr/>
      <w:tcPr>
        <w:shd w:val="clear" w:color="auto" w:fill="C1BBB6" w:themeFill="accent3" w:themeFillTint="99"/>
      </w:tcPr>
    </w:tblStylePr>
    <w:tblStylePr w:type="band2Vert">
      <w:rPr>
        <w:rFonts w:asciiTheme="minorHAnsi" w:hAnsiTheme="minorHAnsi"/>
      </w:rPr>
      <w:tblPr/>
      <w:tcPr>
        <w:shd w:val="clear" w:color="auto" w:fill="EAE8E6" w:themeFill="accent3" w:themeFillTint="33"/>
      </w:tcPr>
    </w:tblStylePr>
    <w:tblStylePr w:type="band2Horz">
      <w:rPr>
        <w:rFonts w:asciiTheme="minorHAnsi" w:hAnsiTheme="minorHAnsi"/>
      </w:rPr>
      <w:tblPr/>
      <w:tcPr>
        <w:shd w:val="clear" w:color="auto" w:fill="EAE8E6" w:themeFill="accent3" w:themeFillTint="33"/>
      </w:tcPr>
    </w:tblStylePr>
  </w:style>
  <w:style w:type="table" w:customStyle="1" w:styleId="TableGrid152">
    <w:name w:val="Table Grid152"/>
    <w:basedOn w:val="TableNormal"/>
    <w:next w:val="TableGrid"/>
    <w:uiPriority w:val="39"/>
    <w:rsid w:val="00665A54"/>
    <w:pPr>
      <w:spacing w:before="0" w:after="0"/>
      <w:ind w:left="0" w:firstLine="0"/>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0">
    <w:name w:val="Table Grid212"/>
    <w:basedOn w:val="TableNormal"/>
    <w:next w:val="TableGrid"/>
    <w:uiPriority w:val="39"/>
    <w:rsid w:val="00665A54"/>
    <w:pPr>
      <w:spacing w:before="0" w:after="0"/>
      <w:ind w:left="0" w:firstLine="0"/>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0">
    <w:name w:val="Table Grid312"/>
    <w:basedOn w:val="TableNormal"/>
    <w:next w:val="TableGrid"/>
    <w:uiPriority w:val="39"/>
    <w:rsid w:val="00665A54"/>
    <w:pPr>
      <w:spacing w:before="0" w:after="0"/>
      <w:ind w:left="0" w:firstLine="0"/>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0">
    <w:name w:val="Table Grid412"/>
    <w:basedOn w:val="TableNormal"/>
    <w:next w:val="TableGrid"/>
    <w:uiPriority w:val="39"/>
    <w:rsid w:val="00665A54"/>
    <w:pPr>
      <w:spacing w:before="0" w:after="0"/>
      <w:ind w:left="0" w:firstLine="0"/>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ardnoTableNavy32">
    <w:name w:val="Cardno Table Navy32"/>
    <w:basedOn w:val="TableNormal"/>
    <w:uiPriority w:val="99"/>
    <w:qFormat/>
    <w:rsid w:val="00665A54"/>
    <w:pPr>
      <w:spacing w:before="0" w:after="0"/>
      <w:ind w:left="0" w:firstLine="0"/>
    </w:pPr>
    <w:rPr>
      <w:rFonts w:asciiTheme="minorHAnsi" w:hAnsiTheme="minorHAnsi"/>
      <w:sz w:val="20"/>
      <w:szCs w:val="20"/>
      <w:lang w:val="en-US" w:eastAsia="en-US"/>
    </w:rPr>
    <w:tblPr>
      <w:tblBorders>
        <w:bottom w:val="single" w:sz="4" w:space="0" w:color="C1BBB6" w:themeColor="accent3" w:themeTint="99"/>
        <w:insideH w:val="single" w:sz="4" w:space="0" w:color="C1BBB6" w:themeColor="accent3" w:themeTint="99"/>
      </w:tblBorders>
    </w:tblPr>
    <w:tcPr>
      <w:tcMar>
        <w:top w:w="57" w:type="dxa"/>
        <w:bottom w:w="57" w:type="dxa"/>
      </w:tcMar>
    </w:tcPr>
    <w:tblStylePr w:type="firstRow">
      <w:rPr>
        <w:color w:val="FFFFFF" w:themeColor="background1"/>
      </w:rPr>
      <w:tblPr/>
      <w:trPr>
        <w:tblHeader/>
      </w:trPr>
      <w:tcPr>
        <w:shd w:val="clear" w:color="auto" w:fill="003359" w:themeFill="accent1"/>
      </w:tcPr>
    </w:tblStylePr>
  </w:style>
  <w:style w:type="table" w:customStyle="1" w:styleId="CardnoTable2">
    <w:name w:val="Cardno Table2"/>
    <w:basedOn w:val="TableNormal"/>
    <w:uiPriority w:val="99"/>
    <w:rsid w:val="00665A54"/>
    <w:pPr>
      <w:spacing w:before="0" w:after="0"/>
      <w:ind w:left="0" w:firstLine="0"/>
    </w:pPr>
    <w:rPr>
      <w:rFonts w:ascii="Arial" w:hAnsi="Arial"/>
      <w:sz w:val="16"/>
    </w:rPr>
    <w:tblPr>
      <w:tblBorders>
        <w:top w:val="single" w:sz="4" w:space="0" w:color="988F86" w:themeColor="accent3"/>
        <w:bottom w:val="single" w:sz="4" w:space="0" w:color="988F86" w:themeColor="accent3"/>
        <w:insideH w:val="single" w:sz="6" w:space="0" w:color="988F86" w:themeColor="accent3"/>
      </w:tblBorders>
    </w:tblPr>
    <w:tcPr>
      <w:tcMar>
        <w:top w:w="57" w:type="dxa"/>
        <w:bottom w:w="57" w:type="dxa"/>
      </w:tcMar>
    </w:tcPr>
    <w:tblStylePr w:type="firstRow">
      <w:pPr>
        <w:jc w:val="center"/>
      </w:pPr>
      <w:rPr>
        <w:rFonts w:ascii="Arial" w:hAnsi="Arial"/>
        <w:b/>
        <w:color w:val="FFFFFF" w:themeColor="background1"/>
        <w:sz w:val="16"/>
      </w:rPr>
      <w:tblPr/>
      <w:tcPr>
        <w:shd w:val="clear" w:color="auto" w:fill="988F86" w:themeFill="accent3"/>
        <w:vAlign w:val="center"/>
      </w:tcPr>
    </w:tblStylePr>
  </w:style>
  <w:style w:type="table" w:customStyle="1" w:styleId="LightList-Accent12">
    <w:name w:val="Light List - Accent 12"/>
    <w:basedOn w:val="TableNormal"/>
    <w:next w:val="LightList-Accent1"/>
    <w:uiPriority w:val="61"/>
    <w:rsid w:val="00665A54"/>
    <w:pPr>
      <w:spacing w:before="0" w:after="0"/>
    </w:pPr>
    <w:tblPr>
      <w:tblStyleRowBandSize w:val="1"/>
      <w:tblStyleColBandSize w:val="1"/>
      <w:tblBorders>
        <w:top w:val="single" w:sz="8" w:space="0" w:color="003359" w:themeColor="accent1"/>
        <w:left w:val="single" w:sz="8" w:space="0" w:color="003359" w:themeColor="accent1"/>
        <w:bottom w:val="single" w:sz="8" w:space="0" w:color="003359" w:themeColor="accent1"/>
        <w:right w:val="single" w:sz="8" w:space="0" w:color="003359" w:themeColor="accent1"/>
      </w:tblBorders>
    </w:tblPr>
    <w:tblStylePr w:type="firstRow">
      <w:pPr>
        <w:spacing w:before="0" w:after="0" w:line="240" w:lineRule="auto"/>
      </w:pPr>
      <w:rPr>
        <w:b/>
        <w:bCs/>
        <w:color w:val="FFFFFF" w:themeColor="background1"/>
      </w:rPr>
      <w:tblPr/>
      <w:tcPr>
        <w:shd w:val="clear" w:color="auto" w:fill="003359" w:themeFill="accent1"/>
      </w:tcPr>
    </w:tblStylePr>
    <w:tblStylePr w:type="lastRow">
      <w:pPr>
        <w:spacing w:before="0" w:after="0" w:line="240" w:lineRule="auto"/>
      </w:pPr>
      <w:rPr>
        <w:b/>
        <w:bCs/>
      </w:rPr>
      <w:tblPr/>
      <w:tcPr>
        <w:tcBorders>
          <w:top w:val="double" w:sz="6" w:space="0" w:color="003359" w:themeColor="accent1"/>
          <w:left w:val="single" w:sz="8" w:space="0" w:color="003359" w:themeColor="accent1"/>
          <w:bottom w:val="single" w:sz="8" w:space="0" w:color="003359" w:themeColor="accent1"/>
          <w:right w:val="single" w:sz="8" w:space="0" w:color="003359" w:themeColor="accent1"/>
        </w:tcBorders>
      </w:tcPr>
    </w:tblStylePr>
    <w:tblStylePr w:type="firstCol">
      <w:rPr>
        <w:b/>
        <w:bCs/>
      </w:rPr>
    </w:tblStylePr>
    <w:tblStylePr w:type="lastCol">
      <w:rPr>
        <w:b/>
        <w:bCs/>
      </w:rPr>
    </w:tblStylePr>
    <w:tblStylePr w:type="band1Vert">
      <w:tblPr/>
      <w:tcPr>
        <w:tcBorders>
          <w:top w:val="single" w:sz="8" w:space="0" w:color="003359" w:themeColor="accent1"/>
          <w:left w:val="single" w:sz="8" w:space="0" w:color="003359" w:themeColor="accent1"/>
          <w:bottom w:val="single" w:sz="8" w:space="0" w:color="003359" w:themeColor="accent1"/>
          <w:right w:val="single" w:sz="8" w:space="0" w:color="003359" w:themeColor="accent1"/>
        </w:tcBorders>
      </w:tcPr>
    </w:tblStylePr>
    <w:tblStylePr w:type="band1Horz">
      <w:tblPr/>
      <w:tcPr>
        <w:tcBorders>
          <w:top w:val="single" w:sz="8" w:space="0" w:color="003359" w:themeColor="accent1"/>
          <w:left w:val="single" w:sz="8" w:space="0" w:color="003359" w:themeColor="accent1"/>
          <w:bottom w:val="single" w:sz="8" w:space="0" w:color="003359" w:themeColor="accent1"/>
          <w:right w:val="single" w:sz="8" w:space="0" w:color="003359" w:themeColor="accent1"/>
        </w:tcBorders>
      </w:tcPr>
    </w:tblStylePr>
  </w:style>
  <w:style w:type="table" w:customStyle="1" w:styleId="MediumShading1-Accent53">
    <w:name w:val="Medium Shading 1 - Accent 53"/>
    <w:basedOn w:val="TableNormal"/>
    <w:next w:val="MediumShading1-Accent5"/>
    <w:uiPriority w:val="63"/>
    <w:rsid w:val="00665A54"/>
    <w:pPr>
      <w:spacing w:before="0" w:after="0"/>
    </w:pPr>
    <w:tblPr>
      <w:tblStyleRowBandSize w:val="1"/>
      <w:tblStyleColBandSize w:val="1"/>
      <w:tblBorders>
        <w:top w:val="single" w:sz="8" w:space="0" w:color="93ABC9" w:themeColor="accent5" w:themeTint="BF"/>
        <w:left w:val="single" w:sz="8" w:space="0" w:color="93ABC9" w:themeColor="accent5" w:themeTint="BF"/>
        <w:bottom w:val="single" w:sz="8" w:space="0" w:color="93ABC9" w:themeColor="accent5" w:themeTint="BF"/>
        <w:right w:val="single" w:sz="8" w:space="0" w:color="93ABC9" w:themeColor="accent5" w:themeTint="BF"/>
        <w:insideH w:val="single" w:sz="8" w:space="0" w:color="93ABC9" w:themeColor="accent5" w:themeTint="BF"/>
      </w:tblBorders>
    </w:tblPr>
    <w:tblStylePr w:type="firstRow">
      <w:pPr>
        <w:spacing w:before="0" w:after="0" w:line="240" w:lineRule="auto"/>
      </w:pPr>
      <w:rPr>
        <w:b/>
        <w:bCs/>
        <w:color w:val="FFFFFF" w:themeColor="background1"/>
      </w:rPr>
      <w:tblPr/>
      <w:tcPr>
        <w:tcBorders>
          <w:top w:val="single" w:sz="8" w:space="0" w:color="93ABC9" w:themeColor="accent5" w:themeTint="BF"/>
          <w:left w:val="single" w:sz="8" w:space="0" w:color="93ABC9" w:themeColor="accent5" w:themeTint="BF"/>
          <w:bottom w:val="single" w:sz="8" w:space="0" w:color="93ABC9" w:themeColor="accent5" w:themeTint="BF"/>
          <w:right w:val="single" w:sz="8" w:space="0" w:color="93ABC9" w:themeColor="accent5" w:themeTint="BF"/>
          <w:insideH w:val="nil"/>
          <w:insideV w:val="nil"/>
        </w:tcBorders>
        <w:shd w:val="clear" w:color="auto" w:fill="7090B7" w:themeFill="accent5"/>
      </w:tcPr>
    </w:tblStylePr>
    <w:tblStylePr w:type="lastRow">
      <w:pPr>
        <w:spacing w:before="0" w:after="0" w:line="240" w:lineRule="auto"/>
      </w:pPr>
      <w:rPr>
        <w:b/>
        <w:bCs/>
      </w:rPr>
      <w:tblPr/>
      <w:tcPr>
        <w:tcBorders>
          <w:top w:val="double" w:sz="6" w:space="0" w:color="93ABC9" w:themeColor="accent5" w:themeTint="BF"/>
          <w:left w:val="single" w:sz="8" w:space="0" w:color="93ABC9" w:themeColor="accent5" w:themeTint="BF"/>
          <w:bottom w:val="single" w:sz="8" w:space="0" w:color="93ABC9" w:themeColor="accent5" w:themeTint="BF"/>
          <w:right w:val="single" w:sz="8" w:space="0" w:color="93ABC9" w:themeColor="accent5" w:themeTint="BF"/>
          <w:insideH w:val="nil"/>
          <w:insideV w:val="nil"/>
        </w:tcBorders>
      </w:tcPr>
    </w:tblStylePr>
    <w:tblStylePr w:type="firstCol">
      <w:rPr>
        <w:b/>
        <w:bCs/>
      </w:rPr>
    </w:tblStylePr>
    <w:tblStylePr w:type="lastCol">
      <w:rPr>
        <w:b/>
        <w:bCs/>
      </w:rPr>
    </w:tblStylePr>
    <w:tblStylePr w:type="band1Vert">
      <w:tblPr/>
      <w:tcPr>
        <w:shd w:val="clear" w:color="auto" w:fill="DBE3ED" w:themeFill="accent5" w:themeFillTint="3F"/>
      </w:tcPr>
    </w:tblStylePr>
    <w:tblStylePr w:type="band1Horz">
      <w:tblPr/>
      <w:tcPr>
        <w:tcBorders>
          <w:insideH w:val="nil"/>
          <w:insideV w:val="nil"/>
        </w:tcBorders>
        <w:shd w:val="clear" w:color="auto" w:fill="DBE3ED" w:themeFill="accent5" w:themeFillTint="3F"/>
      </w:tcPr>
    </w:tblStylePr>
    <w:tblStylePr w:type="band2Horz">
      <w:tblPr/>
      <w:tcPr>
        <w:tcBorders>
          <w:insideH w:val="nil"/>
          <w:insideV w:val="nil"/>
        </w:tcBorders>
      </w:tcPr>
    </w:tblStylePr>
  </w:style>
  <w:style w:type="table" w:customStyle="1" w:styleId="TableGrid162">
    <w:name w:val="Table Grid162"/>
    <w:basedOn w:val="TableNormal"/>
    <w:next w:val="TableGrid"/>
    <w:uiPriority w:val="59"/>
    <w:rsid w:val="00665A54"/>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next w:val="TableGrid"/>
    <w:uiPriority w:val="59"/>
    <w:rsid w:val="00665A54"/>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59"/>
    <w:rsid w:val="00665A54"/>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next w:val="TableGrid"/>
    <w:uiPriority w:val="59"/>
    <w:rsid w:val="00665A54"/>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59"/>
    <w:rsid w:val="00665A54"/>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
    <w:name w:val="Table Grid222"/>
    <w:basedOn w:val="TableNormal"/>
    <w:next w:val="TableGrid"/>
    <w:uiPriority w:val="59"/>
    <w:rsid w:val="00665A54"/>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
    <w:name w:val="Table Grid232"/>
    <w:basedOn w:val="TableNormal"/>
    <w:next w:val="TableGrid"/>
    <w:uiPriority w:val="59"/>
    <w:rsid w:val="00665A54"/>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512">
    <w:name w:val="Medium Shading 1 - Accent 512"/>
    <w:basedOn w:val="TableNormal"/>
    <w:next w:val="MediumShading1-Accent5"/>
    <w:uiPriority w:val="63"/>
    <w:rsid w:val="00665A54"/>
    <w:pPr>
      <w:spacing w:before="0" w:after="0"/>
      <w:ind w:left="0" w:firstLine="0"/>
    </w:pPr>
    <w:rPr>
      <w:rFonts w:ascii="Calibri" w:eastAsia="Calibri" w:hAnsi="Calibri"/>
      <w:lang w:eastAsia="en-US"/>
    </w:rPr>
    <w:tblPr>
      <w:tblStyleRowBandSize w:val="1"/>
      <w:tblStyleColBandSize w:val="1"/>
      <w:tblBorders>
        <w:top w:val="single" w:sz="8" w:space="0" w:color="7295D2"/>
        <w:left w:val="single" w:sz="8" w:space="0" w:color="7295D2"/>
        <w:bottom w:val="single" w:sz="8" w:space="0" w:color="7295D2"/>
        <w:right w:val="single" w:sz="8" w:space="0" w:color="7295D2"/>
        <w:insideH w:val="single" w:sz="8" w:space="0" w:color="7295D2"/>
      </w:tblBorders>
    </w:tblPr>
    <w:tblStylePr w:type="firstRow">
      <w:pPr>
        <w:spacing w:before="0" w:after="0" w:line="240" w:lineRule="auto"/>
      </w:pPr>
      <w:rPr>
        <w:b/>
        <w:bCs/>
        <w:color w:val="FFFFFF"/>
      </w:rPr>
      <w:tblPr/>
      <w:tcPr>
        <w:tcBorders>
          <w:top w:val="single" w:sz="8" w:space="0" w:color="7295D2"/>
          <w:left w:val="single" w:sz="8" w:space="0" w:color="7295D2"/>
          <w:bottom w:val="single" w:sz="8" w:space="0" w:color="7295D2"/>
          <w:right w:val="single" w:sz="8" w:space="0" w:color="7295D2"/>
          <w:insideH w:val="nil"/>
          <w:insideV w:val="nil"/>
        </w:tcBorders>
        <w:shd w:val="clear" w:color="auto" w:fill="4472C4"/>
      </w:tcPr>
    </w:tblStylePr>
    <w:tblStylePr w:type="lastRow">
      <w:pPr>
        <w:spacing w:before="0" w:after="0" w:line="240" w:lineRule="auto"/>
      </w:pPr>
      <w:rPr>
        <w:b/>
        <w:bCs/>
      </w:rPr>
      <w:tblPr/>
      <w:tcPr>
        <w:tcBorders>
          <w:top w:val="double" w:sz="6" w:space="0" w:color="7295D2"/>
          <w:left w:val="single" w:sz="8" w:space="0" w:color="7295D2"/>
          <w:bottom w:val="single" w:sz="8" w:space="0" w:color="7295D2"/>
          <w:right w:val="single" w:sz="8" w:space="0" w:color="7295D2"/>
          <w:insideH w:val="nil"/>
          <w:insideV w:val="nil"/>
        </w:tcBorders>
      </w:tcPr>
    </w:tblStylePr>
    <w:tblStylePr w:type="firstCol">
      <w:rPr>
        <w:b/>
        <w:bCs/>
      </w:rPr>
    </w:tblStylePr>
    <w:tblStylePr w:type="lastCol">
      <w:rPr>
        <w:b/>
        <w:bCs/>
      </w:rPr>
    </w:tblStylePr>
    <w:tblStylePr w:type="band1Vert">
      <w:tblPr/>
      <w:tcPr>
        <w:shd w:val="clear" w:color="auto" w:fill="D0DBF0"/>
      </w:tcPr>
    </w:tblStylePr>
    <w:tblStylePr w:type="band1Horz">
      <w:tblPr/>
      <w:tcPr>
        <w:tcBorders>
          <w:insideH w:val="nil"/>
          <w:insideV w:val="nil"/>
        </w:tcBorders>
        <w:shd w:val="clear" w:color="auto" w:fill="D0DBF0"/>
      </w:tcPr>
    </w:tblStylePr>
    <w:tblStylePr w:type="band2Horz">
      <w:tblPr/>
      <w:tcPr>
        <w:tcBorders>
          <w:insideH w:val="nil"/>
          <w:insideV w:val="nil"/>
        </w:tcBorders>
      </w:tcPr>
    </w:tblStylePr>
  </w:style>
  <w:style w:type="numbering" w:customStyle="1" w:styleId="NoList22">
    <w:name w:val="No List22"/>
    <w:next w:val="NoList"/>
    <w:uiPriority w:val="99"/>
    <w:semiHidden/>
    <w:unhideWhenUsed/>
    <w:rsid w:val="00665A54"/>
  </w:style>
  <w:style w:type="numbering" w:customStyle="1" w:styleId="NoList32">
    <w:name w:val="No List32"/>
    <w:next w:val="NoList"/>
    <w:uiPriority w:val="99"/>
    <w:semiHidden/>
    <w:unhideWhenUsed/>
    <w:rsid w:val="00665A54"/>
  </w:style>
  <w:style w:type="numbering" w:customStyle="1" w:styleId="NoList42">
    <w:name w:val="No List42"/>
    <w:next w:val="NoList"/>
    <w:uiPriority w:val="99"/>
    <w:semiHidden/>
    <w:unhideWhenUsed/>
    <w:rsid w:val="00665A54"/>
  </w:style>
  <w:style w:type="table" w:customStyle="1" w:styleId="TableGrid242">
    <w:name w:val="Table Grid242"/>
    <w:basedOn w:val="TableNormal"/>
    <w:next w:val="TableGrid"/>
    <w:uiPriority w:val="39"/>
    <w:rsid w:val="00665A54"/>
    <w:pPr>
      <w:spacing w:before="0" w:after="0"/>
      <w:ind w:left="0" w:firstLine="0"/>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2">
    <w:name w:val="Table Grid252"/>
    <w:basedOn w:val="TableNormal"/>
    <w:next w:val="TableGrid"/>
    <w:uiPriority w:val="59"/>
    <w:rsid w:val="00665A54"/>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2">
    <w:name w:val="Table Grid262"/>
    <w:basedOn w:val="TableNormal"/>
    <w:next w:val="TableGrid"/>
    <w:uiPriority w:val="59"/>
    <w:rsid w:val="00665A54"/>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
    <w:name w:val="No List51"/>
    <w:next w:val="NoList"/>
    <w:uiPriority w:val="99"/>
    <w:semiHidden/>
    <w:unhideWhenUsed/>
    <w:rsid w:val="00665A54"/>
  </w:style>
  <w:style w:type="table" w:customStyle="1" w:styleId="Table3Deffects121">
    <w:name w:val="Table 3D effects 121"/>
    <w:basedOn w:val="TableNormal"/>
    <w:next w:val="Table3Deffects1"/>
    <w:uiPriority w:val="99"/>
    <w:semiHidden/>
    <w:rsid w:val="00665A54"/>
    <w:rPr>
      <w:sz w:val="20"/>
      <w:szCs w:val="20"/>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21">
    <w:name w:val="Table 3D effects 221"/>
    <w:basedOn w:val="TableNormal"/>
    <w:next w:val="Table3Deffects2"/>
    <w:uiPriority w:val="99"/>
    <w:semiHidden/>
    <w:rsid w:val="00665A54"/>
    <w:rPr>
      <w:sz w:val="20"/>
      <w:szCs w:val="20"/>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3Deffects321">
    <w:name w:val="Table 3D effects 321"/>
    <w:basedOn w:val="TableNormal"/>
    <w:next w:val="Table3Deffects3"/>
    <w:uiPriority w:val="99"/>
    <w:semiHidden/>
    <w:rsid w:val="00665A54"/>
    <w:rPr>
      <w:sz w:val="20"/>
      <w:szCs w:val="20"/>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Classic121">
    <w:name w:val="Table Classic 121"/>
    <w:basedOn w:val="TableNormal"/>
    <w:next w:val="TableClassic1"/>
    <w:uiPriority w:val="99"/>
    <w:semiHidden/>
    <w:rsid w:val="00665A54"/>
    <w:rPr>
      <w:sz w:val="20"/>
      <w:szCs w:val="20"/>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Classic221">
    <w:name w:val="Table Classic 221"/>
    <w:basedOn w:val="TableNormal"/>
    <w:next w:val="TableClassic2"/>
    <w:uiPriority w:val="99"/>
    <w:semiHidden/>
    <w:rsid w:val="00665A54"/>
    <w:rPr>
      <w:sz w:val="20"/>
      <w:szCs w:val="20"/>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TableClassic321">
    <w:name w:val="Table Classic 321"/>
    <w:basedOn w:val="TableNormal"/>
    <w:next w:val="TableClassic3"/>
    <w:uiPriority w:val="99"/>
    <w:semiHidden/>
    <w:rsid w:val="00665A54"/>
    <w:rPr>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TableClassic421">
    <w:name w:val="Table Classic 421"/>
    <w:basedOn w:val="TableNormal"/>
    <w:next w:val="TableClassic4"/>
    <w:uiPriority w:val="99"/>
    <w:semiHidden/>
    <w:rsid w:val="00665A54"/>
    <w:rPr>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TableColorful121">
    <w:name w:val="Table Colorful 121"/>
    <w:basedOn w:val="TableNormal"/>
    <w:next w:val="TableColorful1"/>
    <w:uiPriority w:val="99"/>
    <w:semiHidden/>
    <w:rsid w:val="00665A54"/>
    <w:rPr>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TableColorful221">
    <w:name w:val="Table Colorful 221"/>
    <w:basedOn w:val="TableNormal"/>
    <w:next w:val="TableColorful2"/>
    <w:uiPriority w:val="99"/>
    <w:semiHidden/>
    <w:rsid w:val="00665A54"/>
    <w:rPr>
      <w:sz w:val="20"/>
      <w:szCs w:val="20"/>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TableColorful321">
    <w:name w:val="Table Colorful 321"/>
    <w:basedOn w:val="TableNormal"/>
    <w:next w:val="TableColorful3"/>
    <w:uiPriority w:val="99"/>
    <w:semiHidden/>
    <w:rsid w:val="00665A54"/>
    <w:rPr>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TableColumns121">
    <w:name w:val="Table Columns 121"/>
    <w:basedOn w:val="TableNormal"/>
    <w:next w:val="TableColumns1"/>
    <w:uiPriority w:val="99"/>
    <w:semiHidden/>
    <w:rsid w:val="00665A54"/>
    <w:rPr>
      <w:b w:val="0"/>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Columns221">
    <w:name w:val="Table Columns 221"/>
    <w:basedOn w:val="TableNormal"/>
    <w:next w:val="TableColumns2"/>
    <w:uiPriority w:val="99"/>
    <w:semiHidden/>
    <w:rsid w:val="00665A54"/>
    <w:rPr>
      <w:b w:val="0"/>
      <w:bCs/>
      <w:sz w:val="20"/>
      <w:szCs w:val="20"/>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Columns321">
    <w:name w:val="Table Columns 321"/>
    <w:basedOn w:val="TableNormal"/>
    <w:next w:val="TableColumns3"/>
    <w:uiPriority w:val="99"/>
    <w:semiHidden/>
    <w:rsid w:val="00665A54"/>
    <w:rPr>
      <w:b w:val="0"/>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TableColumns421">
    <w:name w:val="Table Columns 421"/>
    <w:basedOn w:val="TableNormal"/>
    <w:next w:val="TableColumns4"/>
    <w:uiPriority w:val="99"/>
    <w:semiHidden/>
    <w:rsid w:val="00665A54"/>
    <w:rPr>
      <w:sz w:val="20"/>
      <w:szCs w:val="20"/>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TableColumns521">
    <w:name w:val="Table Columns 521"/>
    <w:basedOn w:val="TableNormal"/>
    <w:next w:val="TableColumns5"/>
    <w:uiPriority w:val="99"/>
    <w:semiHidden/>
    <w:rsid w:val="00665A54"/>
    <w:rPr>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TableContemporary21">
    <w:name w:val="Table Contemporary21"/>
    <w:basedOn w:val="TableNormal"/>
    <w:next w:val="TableContemporary"/>
    <w:uiPriority w:val="99"/>
    <w:semiHidden/>
    <w:rsid w:val="00665A54"/>
    <w:rPr>
      <w:sz w:val="20"/>
      <w:szCs w:val="20"/>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TableElegant21">
    <w:name w:val="Table Elegant21"/>
    <w:basedOn w:val="TableNormal"/>
    <w:next w:val="TableElegant"/>
    <w:uiPriority w:val="99"/>
    <w:semiHidden/>
    <w:rsid w:val="00665A54"/>
    <w:rPr>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PlainTable21">
    <w:name w:val="Plain Table21"/>
    <w:basedOn w:val="TableNormal"/>
    <w:next w:val="TableGrid"/>
    <w:uiPriority w:val="39"/>
    <w:rsid w:val="00665A54"/>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0">
    <w:name w:val="Table Grid 121"/>
    <w:basedOn w:val="TableNormal"/>
    <w:next w:val="TableGrid1"/>
    <w:uiPriority w:val="99"/>
    <w:semiHidden/>
    <w:rsid w:val="00665A54"/>
    <w:rPr>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TableGrid2210">
    <w:name w:val="Table Grid 221"/>
    <w:basedOn w:val="TableNormal"/>
    <w:next w:val="TableGrid2"/>
    <w:uiPriority w:val="99"/>
    <w:semiHidden/>
    <w:rsid w:val="00665A54"/>
    <w:rPr>
      <w:sz w:val="20"/>
      <w:szCs w:val="20"/>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TableGrid321">
    <w:name w:val="Table Grid 321"/>
    <w:basedOn w:val="TableNormal"/>
    <w:next w:val="TableGrid3"/>
    <w:uiPriority w:val="99"/>
    <w:semiHidden/>
    <w:rsid w:val="00665A54"/>
    <w:rPr>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TableGrid421">
    <w:name w:val="Table Grid 421"/>
    <w:basedOn w:val="TableNormal"/>
    <w:next w:val="TableGrid4"/>
    <w:uiPriority w:val="99"/>
    <w:semiHidden/>
    <w:rsid w:val="00665A54"/>
    <w:rPr>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TableGrid521">
    <w:name w:val="Table Grid 521"/>
    <w:basedOn w:val="TableNormal"/>
    <w:next w:val="TableGrid5"/>
    <w:uiPriority w:val="99"/>
    <w:semiHidden/>
    <w:rsid w:val="00665A54"/>
    <w:rPr>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621">
    <w:name w:val="Table Grid 621"/>
    <w:basedOn w:val="TableNormal"/>
    <w:next w:val="TableGrid6"/>
    <w:uiPriority w:val="99"/>
    <w:semiHidden/>
    <w:rsid w:val="00665A54"/>
    <w:rPr>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721">
    <w:name w:val="Table Grid 721"/>
    <w:basedOn w:val="TableNormal"/>
    <w:next w:val="TableGrid7"/>
    <w:uiPriority w:val="99"/>
    <w:semiHidden/>
    <w:rsid w:val="00665A54"/>
    <w:rPr>
      <w:b w:val="0"/>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821">
    <w:name w:val="Table Grid 821"/>
    <w:basedOn w:val="TableNormal"/>
    <w:next w:val="TableGrid8"/>
    <w:uiPriority w:val="99"/>
    <w:semiHidden/>
    <w:rsid w:val="00665A54"/>
    <w:rPr>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TableList221">
    <w:name w:val="Table List 221"/>
    <w:basedOn w:val="TableNormal"/>
    <w:next w:val="TableList2"/>
    <w:uiPriority w:val="99"/>
    <w:semiHidden/>
    <w:rsid w:val="00665A54"/>
    <w:rPr>
      <w:sz w:val="20"/>
      <w:szCs w:val="20"/>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List321">
    <w:name w:val="Table List 321"/>
    <w:basedOn w:val="TableNormal"/>
    <w:next w:val="TableList3"/>
    <w:uiPriority w:val="99"/>
    <w:semiHidden/>
    <w:rsid w:val="00665A54"/>
    <w:rPr>
      <w:sz w:val="20"/>
      <w:szCs w:val="20"/>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TableList421">
    <w:name w:val="Table List 421"/>
    <w:basedOn w:val="TableNormal"/>
    <w:next w:val="TableList4"/>
    <w:uiPriority w:val="99"/>
    <w:semiHidden/>
    <w:rsid w:val="00665A54"/>
    <w:rPr>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21">
    <w:name w:val="Table List 521"/>
    <w:basedOn w:val="TableNormal"/>
    <w:next w:val="TableList5"/>
    <w:uiPriority w:val="99"/>
    <w:semiHidden/>
    <w:rsid w:val="00665A54"/>
    <w:rPr>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TableList621">
    <w:name w:val="Table List 621"/>
    <w:basedOn w:val="TableNormal"/>
    <w:next w:val="TableList6"/>
    <w:uiPriority w:val="99"/>
    <w:semiHidden/>
    <w:rsid w:val="00665A54"/>
    <w:rPr>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TableList721">
    <w:name w:val="Table List 721"/>
    <w:basedOn w:val="TableNormal"/>
    <w:next w:val="TableList7"/>
    <w:uiPriority w:val="99"/>
    <w:semiHidden/>
    <w:rsid w:val="00665A54"/>
    <w:rPr>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TableList821">
    <w:name w:val="Table List 821"/>
    <w:basedOn w:val="TableNormal"/>
    <w:next w:val="TableList8"/>
    <w:uiPriority w:val="99"/>
    <w:semiHidden/>
    <w:rsid w:val="00665A54"/>
    <w:rPr>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TableProfessional21">
    <w:name w:val="Table Professional21"/>
    <w:basedOn w:val="TableNormal"/>
    <w:next w:val="TableProfessional"/>
    <w:uiPriority w:val="99"/>
    <w:semiHidden/>
    <w:rsid w:val="00665A54"/>
    <w:rPr>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TableSimple121">
    <w:name w:val="Table Simple 121"/>
    <w:basedOn w:val="TableNormal"/>
    <w:next w:val="TableSimple1"/>
    <w:uiPriority w:val="99"/>
    <w:semiHidden/>
    <w:rsid w:val="00665A54"/>
    <w:rPr>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TableSimple221">
    <w:name w:val="Table Simple 221"/>
    <w:basedOn w:val="TableNormal"/>
    <w:next w:val="TableSimple2"/>
    <w:uiPriority w:val="99"/>
    <w:semiHidden/>
    <w:rsid w:val="00665A54"/>
    <w:rPr>
      <w:sz w:val="20"/>
      <w:szCs w:val="20"/>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TableSimple321">
    <w:name w:val="Table Simple 321"/>
    <w:basedOn w:val="TableNormal"/>
    <w:next w:val="TableSimple3"/>
    <w:uiPriority w:val="99"/>
    <w:semiHidden/>
    <w:rsid w:val="00665A54"/>
    <w:rPr>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TableSubtle121">
    <w:name w:val="Table Subtle 121"/>
    <w:basedOn w:val="TableNormal"/>
    <w:next w:val="TableSubtle1"/>
    <w:uiPriority w:val="99"/>
    <w:semiHidden/>
    <w:rsid w:val="00665A54"/>
    <w:rPr>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Subtle221">
    <w:name w:val="Table Subtle 221"/>
    <w:basedOn w:val="TableNormal"/>
    <w:next w:val="TableSubtle2"/>
    <w:uiPriority w:val="99"/>
    <w:semiHidden/>
    <w:rsid w:val="00665A54"/>
    <w:rPr>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Theme21">
    <w:name w:val="Table Theme21"/>
    <w:basedOn w:val="TableNormal"/>
    <w:next w:val="TableTheme"/>
    <w:uiPriority w:val="99"/>
    <w:semiHidden/>
    <w:rsid w:val="00665A54"/>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121">
    <w:name w:val="Table Web 121"/>
    <w:basedOn w:val="TableNormal"/>
    <w:next w:val="TableWeb1"/>
    <w:uiPriority w:val="99"/>
    <w:semiHidden/>
    <w:rsid w:val="00665A54"/>
    <w:rPr>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TableWeb221">
    <w:name w:val="Table Web 221"/>
    <w:basedOn w:val="TableNormal"/>
    <w:next w:val="TableWeb2"/>
    <w:uiPriority w:val="99"/>
    <w:semiHidden/>
    <w:rsid w:val="00665A54"/>
    <w:rPr>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TableWeb321">
    <w:name w:val="Table Web 321"/>
    <w:basedOn w:val="TableNormal"/>
    <w:next w:val="TableWeb3"/>
    <w:uiPriority w:val="99"/>
    <w:semiHidden/>
    <w:rsid w:val="00665A54"/>
    <w:rPr>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LightShading21">
    <w:name w:val="Light Shading21"/>
    <w:basedOn w:val="TableNormal"/>
    <w:next w:val="LightShading"/>
    <w:uiPriority w:val="60"/>
    <w:rsid w:val="00665A54"/>
    <w:pPr>
      <w:spacing w:before="0" w:after="0"/>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upeTable21">
    <w:name w:val="Taupe Table21"/>
    <w:uiPriority w:val="99"/>
    <w:rsid w:val="00665A54"/>
    <w:pPr>
      <w:spacing w:before="0" w:after="0"/>
      <w:ind w:left="0" w:firstLine="0"/>
    </w:pPr>
    <w:rPr>
      <w:rFonts w:asciiTheme="minorHAnsi" w:hAnsiTheme="minorHAnsi"/>
      <w:b w:val="0"/>
      <w:color w:val="auto"/>
      <w:sz w:val="20"/>
      <w:szCs w:val="20"/>
      <w:u w:val="none"/>
      <w:lang w:val="en-SG" w:eastAsia="en-SG"/>
    </w:rPr>
    <w:tblPr>
      <w:tblStyleRowBandSize w:val="1"/>
      <w:tblStyleColBandSize w:val="1"/>
      <w:tblInd w:w="0" w:type="dxa"/>
      <w:tblBorders>
        <w:bottom w:val="single" w:sz="4" w:space="0" w:color="988F86"/>
        <w:insideH w:val="single" w:sz="4" w:space="0" w:color="988F86"/>
      </w:tblBorders>
      <w:tblCellMar>
        <w:top w:w="0" w:type="dxa"/>
        <w:left w:w="108" w:type="dxa"/>
        <w:bottom w:w="0" w:type="dxa"/>
        <w:right w:w="108" w:type="dxa"/>
      </w:tblCellMar>
    </w:tblPr>
    <w:tcPr>
      <w:shd w:val="clear" w:color="auto" w:fill="auto"/>
    </w:tcPr>
    <w:tblStylePr w:type="firstRow">
      <w:rPr>
        <w:b w:val="0"/>
        <w:color w:val="FFFFFF" w:themeColor="background1"/>
      </w:rPr>
      <w:tblPr/>
      <w:tcPr>
        <w:shd w:val="clear" w:color="auto" w:fill="988F86" w:themeFill="accent3"/>
      </w:tcPr>
    </w:tblStylePr>
    <w:tblStylePr w:type="lastRow">
      <w:rPr>
        <w:rFonts w:asciiTheme="minorHAnsi" w:hAnsiTheme="minorHAnsi"/>
        <w:b/>
      </w:rPr>
      <w:tblPr/>
      <w:tcPr>
        <w:shd w:val="clear" w:color="auto" w:fill="C1BBB6" w:themeFill="accent3" w:themeFillTint="99"/>
      </w:tcPr>
    </w:tblStylePr>
    <w:tblStylePr w:type="firstCol">
      <w:tblPr/>
      <w:tcPr>
        <w:shd w:val="clear" w:color="auto" w:fill="D5D2CE" w:themeFill="accent3" w:themeFillTint="66"/>
      </w:tcPr>
    </w:tblStylePr>
    <w:tblStylePr w:type="lastCol">
      <w:tblPr/>
      <w:tcPr>
        <w:shd w:val="clear" w:color="auto" w:fill="C1BBB6" w:themeFill="accent3" w:themeFillTint="99"/>
      </w:tcPr>
    </w:tblStylePr>
    <w:tblStylePr w:type="band2Vert">
      <w:rPr>
        <w:rFonts w:asciiTheme="minorHAnsi" w:hAnsiTheme="minorHAnsi"/>
      </w:rPr>
      <w:tblPr/>
      <w:tcPr>
        <w:shd w:val="clear" w:color="auto" w:fill="EAE8E6" w:themeFill="accent3" w:themeFillTint="33"/>
      </w:tcPr>
    </w:tblStylePr>
    <w:tblStylePr w:type="band2Horz">
      <w:rPr>
        <w:rFonts w:asciiTheme="minorHAnsi" w:hAnsiTheme="minorHAnsi"/>
      </w:rPr>
      <w:tblPr/>
      <w:tcPr>
        <w:shd w:val="clear" w:color="auto" w:fill="EAE8E6" w:themeFill="accent3" w:themeFillTint="33"/>
      </w:tcPr>
    </w:tblStylePr>
  </w:style>
  <w:style w:type="table" w:customStyle="1" w:styleId="AquaTable21">
    <w:name w:val="Aqua Table21"/>
    <w:basedOn w:val="TaupeTable"/>
    <w:uiPriority w:val="99"/>
    <w:qFormat/>
    <w:rsid w:val="00665A54"/>
    <w:tblPr>
      <w:tblBorders>
        <w:bottom w:val="single" w:sz="4" w:space="0" w:color="477F80" w:themeColor="accent6"/>
        <w:insideH w:val="single" w:sz="4" w:space="0" w:color="477F80" w:themeColor="accent6"/>
      </w:tblBorders>
    </w:tblPr>
    <w:tcPr>
      <w:shd w:val="clear" w:color="auto" w:fill="auto"/>
    </w:tcPr>
    <w:tblStylePr w:type="firstRow">
      <w:rPr>
        <w:b w:val="0"/>
        <w:color w:val="FFFFFF" w:themeColor="background1"/>
      </w:rPr>
      <w:tblPr/>
      <w:tcPr>
        <w:shd w:val="clear" w:color="auto" w:fill="477F80" w:themeFill="accent6"/>
      </w:tcPr>
    </w:tblStylePr>
    <w:tblStylePr w:type="lastRow">
      <w:rPr>
        <w:rFonts w:asciiTheme="minorHAnsi" w:hAnsiTheme="minorHAnsi"/>
        <w:b/>
      </w:rPr>
      <w:tblPr/>
      <w:tcPr>
        <w:shd w:val="clear" w:color="auto" w:fill="86BBBC" w:themeFill="accent6" w:themeFillTint="99"/>
      </w:tcPr>
    </w:tblStylePr>
    <w:tblStylePr w:type="firstCol">
      <w:tblPr/>
      <w:tcPr>
        <w:shd w:val="clear" w:color="auto" w:fill="AED1D2" w:themeFill="accent6" w:themeFillTint="66"/>
      </w:tcPr>
    </w:tblStylePr>
    <w:tblStylePr w:type="lastCol">
      <w:tblPr/>
      <w:tcPr>
        <w:shd w:val="clear" w:color="auto" w:fill="86BBBC" w:themeFill="accent6" w:themeFillTint="99"/>
      </w:tcPr>
    </w:tblStylePr>
    <w:tblStylePr w:type="band2Vert">
      <w:rPr>
        <w:rFonts w:asciiTheme="minorHAnsi" w:hAnsiTheme="minorHAnsi"/>
      </w:rPr>
      <w:tblPr/>
      <w:tcPr>
        <w:shd w:val="clear" w:color="auto" w:fill="D6E8E8" w:themeFill="accent6" w:themeFillTint="33"/>
      </w:tcPr>
    </w:tblStylePr>
    <w:tblStylePr w:type="band2Horz">
      <w:rPr>
        <w:rFonts w:asciiTheme="minorHAnsi" w:hAnsiTheme="minorHAnsi"/>
      </w:rPr>
      <w:tblPr/>
      <w:tcPr>
        <w:shd w:val="clear" w:color="auto" w:fill="D6E8E8" w:themeFill="accent6" w:themeFillTint="33"/>
      </w:tcPr>
    </w:tblStylePr>
  </w:style>
  <w:style w:type="table" w:customStyle="1" w:styleId="AquaTableBorders21">
    <w:name w:val="Aqua Table Borders21"/>
    <w:basedOn w:val="AquaTable"/>
    <w:uiPriority w:val="99"/>
    <w:qFormat/>
    <w:rsid w:val="00665A54"/>
    <w:tblPr>
      <w:tblBorders>
        <w:top w:val="single" w:sz="4" w:space="0" w:color="477F80" w:themeColor="accent6"/>
        <w:left w:val="single" w:sz="4" w:space="0" w:color="477F80" w:themeColor="accent6"/>
        <w:bottom w:val="none" w:sz="0" w:space="0" w:color="auto"/>
        <w:right w:val="single" w:sz="4" w:space="0" w:color="477F80" w:themeColor="accent6"/>
        <w:insideH w:val="none" w:sz="0" w:space="0" w:color="auto"/>
        <w:insideV w:val="single" w:sz="4" w:space="0" w:color="477F80" w:themeColor="accent6"/>
      </w:tblBorders>
    </w:tblPr>
    <w:tcPr>
      <w:shd w:val="clear" w:color="auto" w:fill="auto"/>
    </w:tcPr>
    <w:tblStylePr w:type="firstRow">
      <w:rPr>
        <w:b w:val="0"/>
        <w:color w:val="FFFFFF" w:themeColor="background1"/>
      </w:rPr>
      <w:tblPr/>
      <w:tcPr>
        <w:shd w:val="clear" w:color="auto" w:fill="477F80" w:themeFill="accent6"/>
      </w:tcPr>
    </w:tblStylePr>
    <w:tblStylePr w:type="lastRow">
      <w:rPr>
        <w:rFonts w:asciiTheme="minorHAnsi" w:hAnsiTheme="minorHAnsi"/>
        <w:b/>
      </w:rPr>
      <w:tblPr/>
      <w:tcPr>
        <w:shd w:val="clear" w:color="auto" w:fill="86BBBC" w:themeFill="accent6" w:themeFillTint="99"/>
      </w:tcPr>
    </w:tblStylePr>
    <w:tblStylePr w:type="firstCol">
      <w:tblPr/>
      <w:tcPr>
        <w:shd w:val="clear" w:color="auto" w:fill="AED1D2" w:themeFill="accent6" w:themeFillTint="66"/>
      </w:tcPr>
    </w:tblStylePr>
    <w:tblStylePr w:type="lastCol">
      <w:tblPr/>
      <w:tcPr>
        <w:shd w:val="clear" w:color="auto" w:fill="86BBBC" w:themeFill="accent6" w:themeFillTint="99"/>
      </w:tcPr>
    </w:tblStylePr>
    <w:tblStylePr w:type="band2Vert">
      <w:rPr>
        <w:rFonts w:asciiTheme="minorHAnsi" w:hAnsiTheme="minorHAnsi"/>
      </w:rPr>
      <w:tblPr/>
      <w:tcPr>
        <w:shd w:val="clear" w:color="auto" w:fill="D6E8E8" w:themeFill="accent6" w:themeFillTint="33"/>
      </w:tcPr>
    </w:tblStylePr>
    <w:tblStylePr w:type="band2Horz">
      <w:rPr>
        <w:rFonts w:asciiTheme="minorHAnsi" w:hAnsiTheme="minorHAnsi"/>
      </w:rPr>
      <w:tblPr/>
      <w:tcPr>
        <w:shd w:val="clear" w:color="auto" w:fill="D6E8E8" w:themeFill="accent6" w:themeFillTint="33"/>
      </w:tcPr>
    </w:tblStylePr>
  </w:style>
  <w:style w:type="table" w:customStyle="1" w:styleId="BlueTable21">
    <w:name w:val="Blue Table21"/>
    <w:basedOn w:val="TaupeTable"/>
    <w:uiPriority w:val="99"/>
    <w:qFormat/>
    <w:rsid w:val="00665A54"/>
    <w:tblPr>
      <w:tblBorders>
        <w:bottom w:val="single" w:sz="4" w:space="0" w:color="7090B7" w:themeColor="accent5"/>
        <w:insideH w:val="single" w:sz="4" w:space="0" w:color="7090B7" w:themeColor="accent5"/>
      </w:tblBorders>
    </w:tblPr>
    <w:tcPr>
      <w:shd w:val="clear" w:color="auto" w:fill="auto"/>
    </w:tcPr>
    <w:tblStylePr w:type="firstRow">
      <w:rPr>
        <w:b w:val="0"/>
        <w:color w:val="FFFFFF" w:themeColor="background1"/>
      </w:rPr>
      <w:tblPr/>
      <w:tcPr>
        <w:shd w:val="clear" w:color="auto" w:fill="7090B7" w:themeFill="accent5"/>
      </w:tcPr>
    </w:tblStylePr>
    <w:tblStylePr w:type="lastRow">
      <w:rPr>
        <w:rFonts w:asciiTheme="minorHAnsi" w:hAnsiTheme="minorHAnsi"/>
        <w:b/>
      </w:rPr>
      <w:tblPr/>
      <w:tcPr>
        <w:shd w:val="clear" w:color="auto" w:fill="A9BCD3" w:themeFill="accent5" w:themeFillTint="99"/>
      </w:tcPr>
    </w:tblStylePr>
    <w:tblStylePr w:type="firstCol">
      <w:tblPr/>
      <w:tcPr>
        <w:shd w:val="clear" w:color="auto" w:fill="C5D2E2" w:themeFill="accent5" w:themeFillTint="66"/>
      </w:tcPr>
    </w:tblStylePr>
    <w:tblStylePr w:type="lastCol">
      <w:tblPr/>
      <w:tcPr>
        <w:shd w:val="clear" w:color="auto" w:fill="A9BCD3" w:themeFill="accent5" w:themeFillTint="99"/>
      </w:tcPr>
    </w:tblStylePr>
    <w:tblStylePr w:type="band2Vert">
      <w:rPr>
        <w:rFonts w:asciiTheme="minorHAnsi" w:hAnsiTheme="minorHAnsi"/>
      </w:rPr>
      <w:tblPr/>
      <w:tcPr>
        <w:shd w:val="clear" w:color="auto" w:fill="E2E8F0" w:themeFill="accent5" w:themeFillTint="33"/>
      </w:tcPr>
    </w:tblStylePr>
    <w:tblStylePr w:type="band2Horz">
      <w:rPr>
        <w:rFonts w:asciiTheme="minorHAnsi" w:hAnsiTheme="minorHAnsi"/>
      </w:rPr>
      <w:tblPr/>
      <w:tcPr>
        <w:shd w:val="clear" w:color="auto" w:fill="E2E8F0" w:themeFill="accent5" w:themeFillTint="33"/>
      </w:tcPr>
    </w:tblStylePr>
  </w:style>
  <w:style w:type="table" w:customStyle="1" w:styleId="BlueTableBorders21">
    <w:name w:val="Blue Table Borders21"/>
    <w:basedOn w:val="BlueTable"/>
    <w:uiPriority w:val="99"/>
    <w:qFormat/>
    <w:rsid w:val="00665A54"/>
    <w:tblPr>
      <w:tblBorders>
        <w:top w:val="single" w:sz="4" w:space="0" w:color="7090B7" w:themeColor="accent5"/>
        <w:left w:val="single" w:sz="4" w:space="0" w:color="7090B7" w:themeColor="accent5"/>
        <w:bottom w:val="none" w:sz="0" w:space="0" w:color="auto"/>
        <w:right w:val="single" w:sz="4" w:space="0" w:color="7090B7" w:themeColor="accent5"/>
        <w:insideH w:val="none" w:sz="0" w:space="0" w:color="auto"/>
        <w:insideV w:val="single" w:sz="4" w:space="0" w:color="7090B7" w:themeColor="accent5"/>
      </w:tblBorders>
    </w:tblPr>
    <w:tcPr>
      <w:shd w:val="clear" w:color="auto" w:fill="auto"/>
    </w:tcPr>
    <w:tblStylePr w:type="firstRow">
      <w:rPr>
        <w:b w:val="0"/>
        <w:color w:val="FFFFFF" w:themeColor="background1"/>
      </w:rPr>
      <w:tblPr/>
      <w:tcPr>
        <w:shd w:val="clear" w:color="auto" w:fill="7090B7" w:themeFill="accent5"/>
      </w:tcPr>
    </w:tblStylePr>
    <w:tblStylePr w:type="lastRow">
      <w:rPr>
        <w:rFonts w:asciiTheme="minorHAnsi" w:hAnsiTheme="minorHAnsi"/>
        <w:b/>
      </w:rPr>
      <w:tblPr/>
      <w:tcPr>
        <w:shd w:val="clear" w:color="auto" w:fill="A9BCD3" w:themeFill="accent5" w:themeFillTint="99"/>
      </w:tcPr>
    </w:tblStylePr>
    <w:tblStylePr w:type="firstCol">
      <w:tblPr/>
      <w:tcPr>
        <w:shd w:val="clear" w:color="auto" w:fill="C5D2E2" w:themeFill="accent5" w:themeFillTint="66"/>
      </w:tcPr>
    </w:tblStylePr>
    <w:tblStylePr w:type="lastCol">
      <w:tblPr/>
      <w:tcPr>
        <w:shd w:val="clear" w:color="auto" w:fill="A9BCD3" w:themeFill="accent5" w:themeFillTint="99"/>
      </w:tcPr>
    </w:tblStylePr>
    <w:tblStylePr w:type="band2Vert">
      <w:rPr>
        <w:rFonts w:asciiTheme="minorHAnsi" w:hAnsiTheme="minorHAnsi"/>
      </w:rPr>
      <w:tblPr/>
      <w:tcPr>
        <w:shd w:val="clear" w:color="auto" w:fill="E2E8F0" w:themeFill="accent5" w:themeFillTint="33"/>
      </w:tcPr>
    </w:tblStylePr>
    <w:tblStylePr w:type="band2Horz">
      <w:rPr>
        <w:rFonts w:asciiTheme="minorHAnsi" w:hAnsiTheme="minorHAnsi"/>
      </w:rPr>
      <w:tblPr/>
      <w:tcPr>
        <w:shd w:val="clear" w:color="auto" w:fill="E2E8F0" w:themeFill="accent5" w:themeFillTint="33"/>
      </w:tcPr>
    </w:tblStylePr>
  </w:style>
  <w:style w:type="table" w:customStyle="1" w:styleId="NavyTable21">
    <w:name w:val="Navy Table21"/>
    <w:basedOn w:val="TaupeTable"/>
    <w:uiPriority w:val="99"/>
    <w:qFormat/>
    <w:rsid w:val="00665A54"/>
    <w:tblPr>
      <w:tblBorders>
        <w:bottom w:val="single" w:sz="4" w:space="0" w:color="003359" w:themeColor="accent1"/>
        <w:insideH w:val="single" w:sz="4" w:space="0" w:color="003359" w:themeColor="accent1"/>
      </w:tblBorders>
    </w:tblPr>
    <w:tcPr>
      <w:shd w:val="clear" w:color="auto" w:fill="auto"/>
    </w:tcPr>
    <w:tblStylePr w:type="firstRow">
      <w:rPr>
        <w:b w:val="0"/>
        <w:color w:val="FFFFFF" w:themeColor="background1"/>
      </w:rPr>
      <w:tblPr/>
      <w:tcPr>
        <w:shd w:val="clear" w:color="auto" w:fill="003359" w:themeFill="accent1"/>
      </w:tcPr>
    </w:tblStylePr>
    <w:tblStylePr w:type="lastRow">
      <w:rPr>
        <w:rFonts w:asciiTheme="minorHAnsi" w:hAnsiTheme="minorHAnsi"/>
        <w:b/>
      </w:rPr>
      <w:tblPr/>
      <w:tcPr>
        <w:shd w:val="clear" w:color="auto" w:fill="95D1FF" w:themeFill="accent1" w:themeFillTint="40"/>
      </w:tcPr>
    </w:tblStylePr>
    <w:tblStylePr w:type="firstCol">
      <w:tblPr/>
      <w:tcPr>
        <w:shd w:val="clear" w:color="auto" w:fill="D4ECFF" w:themeFill="accent1" w:themeFillTint="1A"/>
      </w:tcPr>
    </w:tblStylePr>
    <w:tblStylePr w:type="lastCol">
      <w:tblPr/>
      <w:tcPr>
        <w:shd w:val="clear" w:color="auto" w:fill="95D1FF" w:themeFill="accent1" w:themeFillTint="40"/>
      </w:tcPr>
    </w:tblStylePr>
    <w:tblStylePr w:type="band2Vert">
      <w:rPr>
        <w:rFonts w:asciiTheme="minorHAnsi" w:hAnsiTheme="minorHAnsi"/>
      </w:rPr>
      <w:tblPr/>
      <w:tcPr>
        <w:shd w:val="clear" w:color="auto" w:fill="EBF6FF"/>
      </w:tcPr>
    </w:tblStylePr>
    <w:tblStylePr w:type="band2Horz">
      <w:rPr>
        <w:rFonts w:asciiTheme="minorHAnsi" w:hAnsiTheme="minorHAnsi"/>
      </w:rPr>
      <w:tblPr/>
      <w:tcPr>
        <w:shd w:val="clear" w:color="auto" w:fill="EBF6FF"/>
      </w:tcPr>
    </w:tblStylePr>
  </w:style>
  <w:style w:type="table" w:customStyle="1" w:styleId="NavyTableBorders21">
    <w:name w:val="Navy Table Borders21"/>
    <w:basedOn w:val="NavyTable"/>
    <w:uiPriority w:val="99"/>
    <w:qFormat/>
    <w:rsid w:val="00665A54"/>
    <w:tblPr>
      <w:tblBorders>
        <w:top w:val="single" w:sz="4" w:space="0" w:color="003359" w:themeColor="accent1"/>
        <w:left w:val="single" w:sz="4" w:space="0" w:color="003359" w:themeColor="accent1"/>
        <w:bottom w:val="none" w:sz="0" w:space="0" w:color="auto"/>
        <w:right w:val="single" w:sz="4" w:space="0" w:color="003359" w:themeColor="accent1"/>
        <w:insideH w:val="none" w:sz="0" w:space="0" w:color="auto"/>
        <w:insideV w:val="single" w:sz="4" w:space="0" w:color="003359" w:themeColor="accent1"/>
      </w:tblBorders>
    </w:tblPr>
    <w:tcPr>
      <w:shd w:val="clear" w:color="auto" w:fill="auto"/>
    </w:tcPr>
    <w:tblStylePr w:type="firstRow">
      <w:rPr>
        <w:b w:val="0"/>
        <w:color w:val="FFFFFF" w:themeColor="background1"/>
      </w:rPr>
      <w:tblPr/>
      <w:tcPr>
        <w:shd w:val="clear" w:color="auto" w:fill="003359" w:themeFill="accent1"/>
      </w:tcPr>
    </w:tblStylePr>
    <w:tblStylePr w:type="lastRow">
      <w:rPr>
        <w:rFonts w:asciiTheme="minorHAnsi" w:hAnsiTheme="minorHAnsi"/>
        <w:b/>
      </w:rPr>
      <w:tblPr/>
      <w:tcPr>
        <w:shd w:val="clear" w:color="auto" w:fill="95D1FF" w:themeFill="accent1" w:themeFillTint="40"/>
      </w:tcPr>
    </w:tblStylePr>
    <w:tblStylePr w:type="firstCol">
      <w:tblPr/>
      <w:tcPr>
        <w:shd w:val="clear" w:color="auto" w:fill="D4ECFF" w:themeFill="accent1" w:themeFillTint="1A"/>
      </w:tcPr>
    </w:tblStylePr>
    <w:tblStylePr w:type="lastCol">
      <w:tblPr/>
      <w:tcPr>
        <w:shd w:val="clear" w:color="auto" w:fill="95D1FF" w:themeFill="accent1" w:themeFillTint="40"/>
      </w:tcPr>
    </w:tblStylePr>
    <w:tblStylePr w:type="band2Vert">
      <w:rPr>
        <w:rFonts w:asciiTheme="minorHAnsi" w:hAnsiTheme="minorHAnsi"/>
      </w:rPr>
      <w:tblPr/>
      <w:tcPr>
        <w:shd w:val="clear" w:color="auto" w:fill="EBF6FF"/>
      </w:tcPr>
    </w:tblStylePr>
    <w:tblStylePr w:type="band2Horz">
      <w:rPr>
        <w:rFonts w:asciiTheme="minorHAnsi" w:hAnsiTheme="minorHAnsi"/>
      </w:rPr>
      <w:tblPr/>
      <w:tcPr>
        <w:shd w:val="clear" w:color="auto" w:fill="EBF6FF"/>
      </w:tcPr>
    </w:tblStylePr>
  </w:style>
  <w:style w:type="table" w:customStyle="1" w:styleId="OliveTable21">
    <w:name w:val="Olive Table21"/>
    <w:basedOn w:val="TaupeTable"/>
    <w:uiPriority w:val="99"/>
    <w:qFormat/>
    <w:rsid w:val="00665A54"/>
    <w:tblPr>
      <w:tblBorders>
        <w:bottom w:val="single" w:sz="4" w:space="0" w:color="878800" w:themeColor="accent4"/>
        <w:insideH w:val="single" w:sz="4" w:space="0" w:color="878800" w:themeColor="accent4"/>
      </w:tblBorders>
    </w:tblPr>
    <w:tcPr>
      <w:shd w:val="clear" w:color="auto" w:fill="auto"/>
    </w:tcPr>
    <w:tblStylePr w:type="firstRow">
      <w:rPr>
        <w:b w:val="0"/>
        <w:color w:val="FFFFFF" w:themeColor="background1"/>
      </w:rPr>
      <w:tblPr/>
      <w:tcPr>
        <w:shd w:val="clear" w:color="auto" w:fill="878800" w:themeFill="accent4"/>
      </w:tcPr>
    </w:tblStylePr>
    <w:tblStylePr w:type="lastRow">
      <w:rPr>
        <w:rFonts w:asciiTheme="minorHAnsi" w:hAnsiTheme="minorHAnsi"/>
        <w:b/>
      </w:rPr>
      <w:tblPr/>
      <w:tcPr>
        <w:shd w:val="clear" w:color="auto" w:fill="C9C6A3"/>
      </w:tcPr>
    </w:tblStylePr>
    <w:tblStylePr w:type="firstCol">
      <w:tblPr/>
      <w:tcPr>
        <w:shd w:val="clear" w:color="auto" w:fill="DBD9C3"/>
      </w:tcPr>
    </w:tblStylePr>
    <w:tblStylePr w:type="lastCol">
      <w:tblPr/>
      <w:tcPr>
        <w:shd w:val="clear" w:color="auto" w:fill="C9C6A3"/>
      </w:tcPr>
    </w:tblStylePr>
    <w:tblStylePr w:type="band2Vert">
      <w:rPr>
        <w:rFonts w:asciiTheme="minorHAnsi" w:hAnsiTheme="minorHAnsi"/>
      </w:rPr>
      <w:tblPr/>
      <w:tcPr>
        <w:shd w:val="clear" w:color="auto" w:fill="EEEDE2"/>
      </w:tcPr>
    </w:tblStylePr>
    <w:tblStylePr w:type="band2Horz">
      <w:rPr>
        <w:rFonts w:asciiTheme="minorHAnsi" w:hAnsiTheme="minorHAnsi"/>
      </w:rPr>
      <w:tblPr/>
      <w:tcPr>
        <w:shd w:val="clear" w:color="auto" w:fill="EEEDE2"/>
      </w:tcPr>
    </w:tblStylePr>
  </w:style>
  <w:style w:type="table" w:customStyle="1" w:styleId="OliveTableBorders21">
    <w:name w:val="Olive Table Borders21"/>
    <w:basedOn w:val="OliveTable"/>
    <w:uiPriority w:val="99"/>
    <w:qFormat/>
    <w:rsid w:val="00665A54"/>
    <w:tblPr>
      <w:tblBorders>
        <w:top w:val="single" w:sz="4" w:space="0" w:color="878800" w:themeColor="accent4"/>
        <w:left w:val="single" w:sz="4" w:space="0" w:color="878800" w:themeColor="accent4"/>
        <w:bottom w:val="none" w:sz="0" w:space="0" w:color="auto"/>
        <w:right w:val="single" w:sz="4" w:space="0" w:color="878800" w:themeColor="accent4"/>
        <w:insideH w:val="none" w:sz="0" w:space="0" w:color="auto"/>
        <w:insideV w:val="single" w:sz="4" w:space="0" w:color="878800" w:themeColor="accent4"/>
      </w:tblBorders>
    </w:tblPr>
    <w:tcPr>
      <w:shd w:val="clear" w:color="auto" w:fill="auto"/>
    </w:tcPr>
    <w:tblStylePr w:type="firstRow">
      <w:rPr>
        <w:b w:val="0"/>
        <w:color w:val="FFFFFF" w:themeColor="background1"/>
      </w:rPr>
      <w:tblPr/>
      <w:tcPr>
        <w:shd w:val="clear" w:color="auto" w:fill="878800" w:themeFill="accent4"/>
      </w:tcPr>
    </w:tblStylePr>
    <w:tblStylePr w:type="lastRow">
      <w:rPr>
        <w:rFonts w:asciiTheme="minorHAnsi" w:hAnsiTheme="minorHAnsi"/>
        <w:b/>
      </w:rPr>
      <w:tblPr/>
      <w:tcPr>
        <w:shd w:val="clear" w:color="auto" w:fill="C9C6A3"/>
      </w:tcPr>
    </w:tblStylePr>
    <w:tblStylePr w:type="firstCol">
      <w:tblPr/>
      <w:tcPr>
        <w:shd w:val="clear" w:color="auto" w:fill="DBD9C3"/>
      </w:tcPr>
    </w:tblStylePr>
    <w:tblStylePr w:type="lastCol">
      <w:tblPr/>
      <w:tcPr>
        <w:shd w:val="clear" w:color="auto" w:fill="C9C6A3"/>
      </w:tcPr>
    </w:tblStylePr>
    <w:tblStylePr w:type="band2Vert">
      <w:rPr>
        <w:rFonts w:asciiTheme="minorHAnsi" w:hAnsiTheme="minorHAnsi"/>
      </w:rPr>
      <w:tblPr/>
      <w:tcPr>
        <w:shd w:val="clear" w:color="auto" w:fill="EEEDE2"/>
      </w:tcPr>
    </w:tblStylePr>
    <w:tblStylePr w:type="band2Horz">
      <w:rPr>
        <w:rFonts w:asciiTheme="minorHAnsi" w:hAnsiTheme="minorHAnsi"/>
      </w:rPr>
      <w:tblPr/>
      <w:tcPr>
        <w:shd w:val="clear" w:color="auto" w:fill="EEEDE2"/>
      </w:tcPr>
    </w:tblStylePr>
  </w:style>
  <w:style w:type="table" w:customStyle="1" w:styleId="OrangeTable21">
    <w:name w:val="Orange Table21"/>
    <w:basedOn w:val="TaupeTable"/>
    <w:uiPriority w:val="99"/>
    <w:qFormat/>
    <w:rsid w:val="00665A54"/>
    <w:tblPr>
      <w:tblBorders>
        <w:bottom w:val="single" w:sz="4" w:space="0" w:color="D95E00" w:themeColor="accent2"/>
        <w:insideH w:val="single" w:sz="4" w:space="0" w:color="D95E00" w:themeColor="accent2"/>
      </w:tblBorders>
    </w:tblPr>
    <w:tcPr>
      <w:shd w:val="clear" w:color="auto" w:fill="auto"/>
    </w:tcPr>
    <w:tblStylePr w:type="firstRow">
      <w:rPr>
        <w:b w:val="0"/>
        <w:color w:val="FFFFFF" w:themeColor="background1"/>
      </w:rPr>
      <w:tblPr/>
      <w:tcPr>
        <w:shd w:val="clear" w:color="auto" w:fill="D95E00" w:themeFill="accent2"/>
      </w:tcPr>
    </w:tblStylePr>
    <w:tblStylePr w:type="lastRow">
      <w:rPr>
        <w:rFonts w:asciiTheme="minorHAnsi" w:hAnsiTheme="minorHAnsi"/>
        <w:b/>
      </w:rPr>
      <w:tblPr/>
      <w:tcPr>
        <w:shd w:val="clear" w:color="auto" w:fill="DEB892"/>
      </w:tcPr>
    </w:tblStylePr>
    <w:tblStylePr w:type="firstCol">
      <w:tblPr/>
      <w:tcPr>
        <w:shd w:val="clear" w:color="auto" w:fill="E8CDB2"/>
      </w:tcPr>
    </w:tblStylePr>
    <w:tblStylePr w:type="lastCol">
      <w:tblPr/>
      <w:tcPr>
        <w:shd w:val="clear" w:color="auto" w:fill="DEB892"/>
      </w:tcPr>
    </w:tblStylePr>
    <w:tblStylePr w:type="band2Vert">
      <w:rPr>
        <w:rFonts w:asciiTheme="minorHAnsi" w:hAnsiTheme="minorHAnsi"/>
      </w:rPr>
      <w:tblPr/>
      <w:tcPr>
        <w:shd w:val="clear" w:color="auto" w:fill="F3E4D5"/>
      </w:tcPr>
    </w:tblStylePr>
    <w:tblStylePr w:type="band2Horz">
      <w:rPr>
        <w:rFonts w:asciiTheme="minorHAnsi" w:hAnsiTheme="minorHAnsi"/>
      </w:rPr>
      <w:tblPr/>
      <w:tcPr>
        <w:shd w:val="clear" w:color="auto" w:fill="F3E4D5"/>
      </w:tcPr>
    </w:tblStylePr>
  </w:style>
  <w:style w:type="table" w:customStyle="1" w:styleId="OrangeTableBorders21">
    <w:name w:val="Orange Table Borders21"/>
    <w:basedOn w:val="OrangeTable"/>
    <w:uiPriority w:val="99"/>
    <w:qFormat/>
    <w:rsid w:val="00665A54"/>
    <w:tblPr>
      <w:tblBorders>
        <w:top w:val="single" w:sz="4" w:space="0" w:color="D95E00" w:themeColor="accent2"/>
        <w:left w:val="single" w:sz="4" w:space="0" w:color="D95E00" w:themeColor="accent2"/>
        <w:bottom w:val="none" w:sz="0" w:space="0" w:color="auto"/>
        <w:right w:val="single" w:sz="4" w:space="0" w:color="D95E00" w:themeColor="accent2"/>
        <w:insideH w:val="none" w:sz="0" w:space="0" w:color="auto"/>
        <w:insideV w:val="single" w:sz="4" w:space="0" w:color="D95E00" w:themeColor="accent2"/>
      </w:tblBorders>
    </w:tblPr>
    <w:tcPr>
      <w:shd w:val="clear" w:color="auto" w:fill="auto"/>
    </w:tcPr>
    <w:tblStylePr w:type="firstRow">
      <w:rPr>
        <w:b w:val="0"/>
        <w:color w:val="FFFFFF" w:themeColor="background1"/>
      </w:rPr>
      <w:tblPr/>
      <w:tcPr>
        <w:shd w:val="clear" w:color="auto" w:fill="D95E00" w:themeFill="accent2"/>
      </w:tcPr>
    </w:tblStylePr>
    <w:tblStylePr w:type="lastRow">
      <w:rPr>
        <w:rFonts w:asciiTheme="minorHAnsi" w:hAnsiTheme="minorHAnsi"/>
        <w:b/>
      </w:rPr>
      <w:tblPr/>
      <w:tcPr>
        <w:shd w:val="clear" w:color="auto" w:fill="DEB892"/>
      </w:tcPr>
    </w:tblStylePr>
    <w:tblStylePr w:type="firstCol">
      <w:tblPr/>
      <w:tcPr>
        <w:shd w:val="clear" w:color="auto" w:fill="E8CDB2"/>
      </w:tcPr>
    </w:tblStylePr>
    <w:tblStylePr w:type="lastCol">
      <w:tblPr/>
      <w:tcPr>
        <w:shd w:val="clear" w:color="auto" w:fill="DEB892"/>
      </w:tcPr>
    </w:tblStylePr>
    <w:tblStylePr w:type="band2Vert">
      <w:rPr>
        <w:rFonts w:asciiTheme="minorHAnsi" w:hAnsiTheme="minorHAnsi"/>
      </w:rPr>
      <w:tblPr/>
      <w:tcPr>
        <w:shd w:val="clear" w:color="auto" w:fill="F3E4D5"/>
      </w:tcPr>
    </w:tblStylePr>
    <w:tblStylePr w:type="band2Horz">
      <w:rPr>
        <w:rFonts w:asciiTheme="minorHAnsi" w:hAnsiTheme="minorHAnsi"/>
      </w:rPr>
      <w:tblPr/>
      <w:tcPr>
        <w:shd w:val="clear" w:color="auto" w:fill="F3E4D5"/>
      </w:tcPr>
    </w:tblStylePr>
  </w:style>
  <w:style w:type="table" w:customStyle="1" w:styleId="TaupeTableBorders21">
    <w:name w:val="Taupe Table Borders21"/>
    <w:basedOn w:val="TaupeTable"/>
    <w:uiPriority w:val="99"/>
    <w:qFormat/>
    <w:rsid w:val="00665A54"/>
    <w:tblPr>
      <w:tblBorders>
        <w:top w:val="single" w:sz="4" w:space="0" w:color="988F86" w:themeColor="accent3"/>
        <w:left w:val="single" w:sz="4" w:space="0" w:color="988F86" w:themeColor="accent3"/>
        <w:bottom w:val="single" w:sz="4" w:space="0" w:color="988F86" w:themeColor="accent3"/>
        <w:right w:val="single" w:sz="4" w:space="0" w:color="988F86" w:themeColor="accent3"/>
        <w:insideH w:val="single" w:sz="4" w:space="0" w:color="988F86" w:themeColor="accent3"/>
        <w:insideV w:val="single" w:sz="4" w:space="0" w:color="988F86" w:themeColor="accent3"/>
      </w:tblBorders>
    </w:tblPr>
    <w:tcPr>
      <w:shd w:val="clear" w:color="auto" w:fill="auto"/>
    </w:tcPr>
    <w:tblStylePr w:type="firstRow">
      <w:rPr>
        <w:b w:val="0"/>
        <w:color w:val="FFFFFF" w:themeColor="background1"/>
      </w:rPr>
      <w:tblPr/>
      <w:tcPr>
        <w:shd w:val="clear" w:color="auto" w:fill="988F86" w:themeFill="accent3"/>
      </w:tcPr>
    </w:tblStylePr>
    <w:tblStylePr w:type="lastRow">
      <w:rPr>
        <w:rFonts w:asciiTheme="minorHAnsi" w:hAnsiTheme="minorHAnsi"/>
        <w:b/>
      </w:rPr>
      <w:tblPr/>
      <w:tcPr>
        <w:shd w:val="clear" w:color="auto" w:fill="C1BBB6" w:themeFill="accent3" w:themeFillTint="99"/>
      </w:tcPr>
    </w:tblStylePr>
    <w:tblStylePr w:type="firstCol">
      <w:tblPr/>
      <w:tcPr>
        <w:shd w:val="clear" w:color="auto" w:fill="D5D2CE" w:themeFill="accent3" w:themeFillTint="66"/>
      </w:tcPr>
    </w:tblStylePr>
    <w:tblStylePr w:type="lastCol">
      <w:tblPr/>
      <w:tcPr>
        <w:shd w:val="clear" w:color="auto" w:fill="C1BBB6" w:themeFill="accent3" w:themeFillTint="99"/>
      </w:tcPr>
    </w:tblStylePr>
    <w:tblStylePr w:type="band2Vert">
      <w:rPr>
        <w:rFonts w:asciiTheme="minorHAnsi" w:hAnsiTheme="minorHAnsi"/>
      </w:rPr>
      <w:tblPr/>
      <w:tcPr>
        <w:shd w:val="clear" w:color="auto" w:fill="EAE8E6" w:themeFill="accent3" w:themeFillTint="33"/>
      </w:tcPr>
    </w:tblStylePr>
    <w:tblStylePr w:type="band2Horz">
      <w:rPr>
        <w:rFonts w:asciiTheme="minorHAnsi" w:hAnsiTheme="minorHAnsi"/>
      </w:rPr>
      <w:tblPr/>
      <w:tcPr>
        <w:shd w:val="clear" w:color="auto" w:fill="EAE8E6" w:themeFill="accent3" w:themeFillTint="33"/>
      </w:tcPr>
    </w:tblStylePr>
  </w:style>
  <w:style w:type="table" w:customStyle="1" w:styleId="CardnoTableTaupe11">
    <w:name w:val="Cardno Table Taupe11"/>
    <w:uiPriority w:val="99"/>
    <w:rsid w:val="00665A54"/>
    <w:rPr>
      <w:rFonts w:asciiTheme="minorHAnsi" w:hAnsiTheme="minorHAnsi"/>
      <w:b w:val="0"/>
      <w:color w:val="auto"/>
      <w:sz w:val="20"/>
      <w:szCs w:val="20"/>
      <w:u w:val="none"/>
      <w:lang w:val="en-US" w:eastAsia="en-US"/>
    </w:rPr>
    <w:tblPr>
      <w:tblInd w:w="0" w:type="dxa"/>
      <w:tblBorders>
        <w:bottom w:val="single" w:sz="4" w:space="0" w:color="988F86"/>
        <w:insideH w:val="single" w:sz="4" w:space="0" w:color="988F86"/>
      </w:tblBorders>
      <w:tblCellMar>
        <w:top w:w="0" w:type="dxa"/>
        <w:left w:w="108" w:type="dxa"/>
        <w:bottom w:w="0" w:type="dxa"/>
        <w:right w:w="108" w:type="dxa"/>
      </w:tblCellMar>
    </w:tblPr>
    <w:tblStylePr w:type="firstRow">
      <w:rPr>
        <w:color w:val="FFFFFF" w:themeColor="background1"/>
      </w:rPr>
      <w:tblPr/>
      <w:trPr>
        <w:tblHeader/>
      </w:trPr>
      <w:tcPr>
        <w:shd w:val="clear" w:color="auto" w:fill="988F86" w:themeFill="accent3"/>
      </w:tcPr>
    </w:tblStylePr>
  </w:style>
  <w:style w:type="table" w:customStyle="1" w:styleId="CardnoTableAqua11">
    <w:name w:val="Cardno Table Aqua11"/>
    <w:basedOn w:val="CardnoTableTaupe"/>
    <w:uiPriority w:val="99"/>
    <w:qFormat/>
    <w:rsid w:val="00665A54"/>
    <w:pPr>
      <w:spacing w:before="0" w:after="0"/>
      <w:ind w:left="0" w:firstLine="0"/>
    </w:pPr>
    <w:tblPr>
      <w:tblBorders>
        <w:bottom w:val="single" w:sz="4" w:space="0" w:color="477F80" w:themeColor="accent6"/>
        <w:insideH w:val="single" w:sz="4" w:space="0" w:color="477F80" w:themeColor="accent6"/>
      </w:tblBorders>
    </w:tblPr>
    <w:tblStylePr w:type="firstRow">
      <w:rPr>
        <w:color w:val="FFFFFF" w:themeColor="background2"/>
      </w:rPr>
      <w:tblPr/>
      <w:trPr>
        <w:tblHeader/>
      </w:trPr>
      <w:tcPr>
        <w:shd w:val="clear" w:color="auto" w:fill="477F80" w:themeFill="accent6"/>
      </w:tcPr>
    </w:tblStylePr>
  </w:style>
  <w:style w:type="table" w:customStyle="1" w:styleId="CardnoTableBlue11">
    <w:name w:val="Cardno Table Blue11"/>
    <w:basedOn w:val="CardnoTableTaupe"/>
    <w:uiPriority w:val="99"/>
    <w:qFormat/>
    <w:rsid w:val="00665A54"/>
    <w:pPr>
      <w:spacing w:before="0" w:after="0"/>
      <w:ind w:left="0" w:firstLine="0"/>
    </w:pPr>
    <w:tblPr>
      <w:tblBorders>
        <w:bottom w:val="single" w:sz="4" w:space="0" w:color="7090B7" w:themeColor="accent5"/>
        <w:insideH w:val="single" w:sz="4" w:space="0" w:color="7090B7" w:themeColor="accent5"/>
      </w:tblBorders>
    </w:tblPr>
    <w:tblStylePr w:type="firstRow">
      <w:rPr>
        <w:b w:val="0"/>
        <w:bCs/>
        <w:color w:val="FFFFFF" w:themeColor="background1"/>
      </w:rPr>
      <w:tblPr/>
      <w:trPr>
        <w:tblHeader/>
      </w:trPr>
      <w:tcPr>
        <w:shd w:val="clear" w:color="auto" w:fill="7090B7" w:themeFill="accent5"/>
      </w:tcPr>
    </w:tblStylePr>
    <w:tblStylePr w:type="lastRow">
      <w:rPr>
        <w:b/>
        <w:bCs/>
      </w:rPr>
    </w:tblStylePr>
    <w:tblStylePr w:type="firstCol">
      <w:rPr>
        <w:b/>
        <w:bCs/>
      </w:rPr>
    </w:tblStylePr>
    <w:tblStylePr w:type="lastCol">
      <w:rPr>
        <w:b/>
        <w:bCs/>
      </w:rPr>
    </w:tblStylePr>
  </w:style>
  <w:style w:type="table" w:customStyle="1" w:styleId="CardnoTableNavy41">
    <w:name w:val="Cardno Table Navy41"/>
    <w:basedOn w:val="CardnoTableTaupe"/>
    <w:uiPriority w:val="99"/>
    <w:qFormat/>
    <w:rsid w:val="00665A54"/>
    <w:pPr>
      <w:spacing w:before="0" w:after="0"/>
      <w:ind w:left="0" w:firstLine="0"/>
    </w:pPr>
    <w:tblPr>
      <w:tblBorders>
        <w:bottom w:val="single" w:sz="4" w:space="0" w:color="003359" w:themeColor="accent1"/>
        <w:insideH w:val="single" w:sz="4" w:space="0" w:color="003359" w:themeColor="accent1"/>
      </w:tblBorders>
    </w:tblPr>
    <w:tblStylePr w:type="firstRow">
      <w:rPr>
        <w:color w:val="FFFFFF" w:themeColor="background1"/>
      </w:rPr>
      <w:tblPr/>
      <w:trPr>
        <w:tblHeader/>
      </w:trPr>
      <w:tcPr>
        <w:shd w:val="clear" w:color="auto" w:fill="003359" w:themeFill="accent1"/>
      </w:tcPr>
    </w:tblStylePr>
  </w:style>
  <w:style w:type="table" w:customStyle="1" w:styleId="CardnoTableOlive11">
    <w:name w:val="Cardno Table Olive11"/>
    <w:basedOn w:val="CardnoTableTaupe"/>
    <w:uiPriority w:val="99"/>
    <w:qFormat/>
    <w:rsid w:val="00665A54"/>
    <w:pPr>
      <w:spacing w:before="0" w:after="0"/>
      <w:ind w:left="0" w:firstLine="0"/>
    </w:pPr>
    <w:tblPr>
      <w:tblBorders>
        <w:bottom w:val="single" w:sz="4" w:space="0" w:color="878800" w:themeColor="accent4"/>
        <w:insideH w:val="single" w:sz="4" w:space="0" w:color="878800" w:themeColor="accent4"/>
      </w:tblBorders>
    </w:tblPr>
    <w:tblStylePr w:type="firstRow">
      <w:rPr>
        <w:color w:val="FFFFFF" w:themeColor="background1"/>
      </w:rPr>
      <w:tblPr/>
      <w:trPr>
        <w:tblHeader/>
      </w:trPr>
      <w:tcPr>
        <w:shd w:val="clear" w:color="auto" w:fill="878800" w:themeFill="accent4"/>
      </w:tcPr>
    </w:tblStylePr>
  </w:style>
  <w:style w:type="table" w:customStyle="1" w:styleId="CardnoTableOrange11">
    <w:name w:val="Cardno Table Orange11"/>
    <w:basedOn w:val="CardnoTableTaupe"/>
    <w:uiPriority w:val="99"/>
    <w:qFormat/>
    <w:rsid w:val="00665A54"/>
    <w:pPr>
      <w:spacing w:before="0" w:after="0"/>
      <w:ind w:left="0" w:firstLine="0"/>
    </w:pPr>
    <w:tblPr>
      <w:tblBorders>
        <w:bottom w:val="single" w:sz="4" w:space="0" w:color="D95E00" w:themeColor="accent2"/>
        <w:insideH w:val="single" w:sz="4" w:space="0" w:color="D95E00" w:themeColor="accent2"/>
      </w:tblBorders>
    </w:tblPr>
    <w:tblStylePr w:type="firstRow">
      <w:rPr>
        <w:color w:val="FFFFFF" w:themeColor="background1"/>
      </w:rPr>
      <w:tblPr/>
      <w:trPr>
        <w:tblHeader/>
      </w:trPr>
      <w:tcPr>
        <w:shd w:val="clear" w:color="auto" w:fill="D95E00" w:themeFill="accent2"/>
      </w:tcPr>
    </w:tblStylePr>
  </w:style>
  <w:style w:type="table" w:customStyle="1" w:styleId="TableGrid1101">
    <w:name w:val="Table Grid1101"/>
    <w:basedOn w:val="TableNormal"/>
    <w:next w:val="TableGrid"/>
    <w:uiPriority w:val="39"/>
    <w:rsid w:val="00665A54"/>
    <w:pPr>
      <w:spacing w:before="0" w:after="0"/>
      <w:ind w:left="0" w:firstLine="0"/>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3">
    <w:name w:val="Table Grid273"/>
    <w:basedOn w:val="TableNormal"/>
    <w:next w:val="TableGrid"/>
    <w:uiPriority w:val="39"/>
    <w:rsid w:val="00665A54"/>
    <w:pPr>
      <w:spacing w:before="0" w:after="0"/>
      <w:ind w:left="0" w:firstLine="0"/>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0">
    <w:name w:val="Table Grid321"/>
    <w:basedOn w:val="TableNormal"/>
    <w:next w:val="TableGrid"/>
    <w:uiPriority w:val="39"/>
    <w:rsid w:val="00665A54"/>
    <w:pPr>
      <w:spacing w:before="0" w:after="0"/>
      <w:ind w:left="0" w:firstLine="0"/>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0">
    <w:name w:val="Table Grid421"/>
    <w:basedOn w:val="TableNormal"/>
    <w:next w:val="TableGrid"/>
    <w:uiPriority w:val="59"/>
    <w:rsid w:val="00665A54"/>
    <w:pPr>
      <w:spacing w:before="0" w:after="0"/>
      <w:ind w:left="0" w:firstLine="0"/>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0">
    <w:name w:val="Table Grid511"/>
    <w:basedOn w:val="TableNormal"/>
    <w:next w:val="TableGrid"/>
    <w:uiPriority w:val="59"/>
    <w:rsid w:val="00665A54"/>
    <w:pPr>
      <w:spacing w:before="0" w:after="0"/>
      <w:ind w:left="0" w:firstLine="0"/>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0">
    <w:name w:val="Table Grid611"/>
    <w:basedOn w:val="TableNormal"/>
    <w:next w:val="TableGrid"/>
    <w:uiPriority w:val="59"/>
    <w:rsid w:val="00665A54"/>
    <w:pPr>
      <w:spacing w:before="0" w:after="0"/>
      <w:ind w:left="0" w:firstLine="0"/>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0">
    <w:name w:val="Table Grid711"/>
    <w:basedOn w:val="TableNormal"/>
    <w:next w:val="TableGrid"/>
    <w:uiPriority w:val="59"/>
    <w:rsid w:val="00665A54"/>
    <w:pPr>
      <w:spacing w:before="0" w:after="0"/>
      <w:ind w:left="0" w:firstLine="0"/>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0">
    <w:name w:val="Table Grid811"/>
    <w:basedOn w:val="TableNormal"/>
    <w:next w:val="TableGrid"/>
    <w:uiPriority w:val="59"/>
    <w:rsid w:val="00665A54"/>
    <w:pPr>
      <w:spacing w:before="0" w:after="0"/>
      <w:ind w:left="0" w:firstLine="0"/>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next w:val="TableGrid"/>
    <w:uiPriority w:val="59"/>
    <w:rsid w:val="00665A54"/>
    <w:pPr>
      <w:spacing w:before="0" w:after="0"/>
      <w:ind w:left="0" w:firstLine="0"/>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3-Accent5131">
    <w:name w:val="List Table 3 - Accent 5131"/>
    <w:basedOn w:val="TableNormal"/>
    <w:uiPriority w:val="48"/>
    <w:rsid w:val="00665A54"/>
    <w:pPr>
      <w:spacing w:before="0" w:after="0"/>
      <w:ind w:left="0" w:firstLine="0"/>
    </w:pPr>
    <w:rPr>
      <w:rFonts w:asciiTheme="minorHAnsi" w:eastAsiaTheme="minorHAnsi" w:hAnsiTheme="minorHAnsi" w:cstheme="minorBidi"/>
      <w:lang w:eastAsia="en-US"/>
    </w:rPr>
    <w:tblPr>
      <w:tblStyleRowBandSize w:val="1"/>
      <w:tblStyleColBandSize w:val="1"/>
      <w:tblBorders>
        <w:top w:val="single" w:sz="4" w:space="0" w:color="7090B7" w:themeColor="accent5"/>
        <w:left w:val="single" w:sz="4" w:space="0" w:color="7090B7" w:themeColor="accent5"/>
        <w:bottom w:val="single" w:sz="4" w:space="0" w:color="7090B7" w:themeColor="accent5"/>
        <w:right w:val="single" w:sz="4" w:space="0" w:color="7090B7" w:themeColor="accent5"/>
      </w:tblBorders>
    </w:tblPr>
    <w:tblStylePr w:type="firstRow">
      <w:rPr>
        <w:b/>
        <w:bCs/>
        <w:color w:val="FFFFFF" w:themeColor="background1"/>
      </w:rPr>
      <w:tblPr/>
      <w:tcPr>
        <w:shd w:val="clear" w:color="auto" w:fill="7090B7" w:themeFill="accent5"/>
      </w:tcPr>
    </w:tblStylePr>
    <w:tblStylePr w:type="lastRow">
      <w:rPr>
        <w:b/>
        <w:bCs/>
      </w:rPr>
      <w:tblPr/>
      <w:tcPr>
        <w:tcBorders>
          <w:top w:val="double" w:sz="4" w:space="0" w:color="7090B7"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90B7" w:themeColor="accent5"/>
          <w:right w:val="single" w:sz="4" w:space="0" w:color="7090B7" w:themeColor="accent5"/>
        </w:tcBorders>
      </w:tcPr>
    </w:tblStylePr>
    <w:tblStylePr w:type="band1Horz">
      <w:tblPr/>
      <w:tcPr>
        <w:tcBorders>
          <w:top w:val="single" w:sz="4" w:space="0" w:color="7090B7" w:themeColor="accent5"/>
          <w:bottom w:val="single" w:sz="4" w:space="0" w:color="7090B7"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90B7" w:themeColor="accent5"/>
          <w:left w:val="nil"/>
        </w:tcBorders>
      </w:tcPr>
    </w:tblStylePr>
    <w:tblStylePr w:type="swCell">
      <w:tblPr/>
      <w:tcPr>
        <w:tcBorders>
          <w:top w:val="double" w:sz="4" w:space="0" w:color="7090B7" w:themeColor="accent5"/>
          <w:right w:val="nil"/>
        </w:tcBorders>
      </w:tcPr>
    </w:tblStylePr>
  </w:style>
  <w:style w:type="table" w:customStyle="1" w:styleId="CardnoTableNavy111">
    <w:name w:val="Cardno Table Navy111"/>
    <w:basedOn w:val="TableNormal"/>
    <w:uiPriority w:val="99"/>
    <w:qFormat/>
    <w:rsid w:val="00665A54"/>
    <w:pPr>
      <w:spacing w:before="0" w:after="0"/>
      <w:ind w:left="0" w:firstLine="0"/>
    </w:pPr>
    <w:rPr>
      <w:rFonts w:ascii="Calibri" w:hAnsi="Calibri"/>
      <w:sz w:val="20"/>
      <w:szCs w:val="20"/>
      <w:lang w:val="en-US" w:eastAsia="en-US"/>
    </w:rPr>
    <w:tblPr>
      <w:tblBorders>
        <w:bottom w:val="single" w:sz="4" w:space="0" w:color="5B9BD5"/>
        <w:insideH w:val="single" w:sz="4" w:space="0" w:color="5B9BD5"/>
      </w:tblBorders>
    </w:tblPr>
    <w:tblStylePr w:type="firstRow">
      <w:rPr>
        <w:color w:val="FFFFFF"/>
      </w:rPr>
      <w:tblPr/>
      <w:trPr>
        <w:tblHeader/>
      </w:trPr>
      <w:tcPr>
        <w:shd w:val="clear" w:color="auto" w:fill="5B9BD5"/>
      </w:tcPr>
    </w:tblStylePr>
  </w:style>
  <w:style w:type="table" w:customStyle="1" w:styleId="CardnoTableNavy211">
    <w:name w:val="Cardno Table Navy211"/>
    <w:basedOn w:val="CardnoTableTaupe"/>
    <w:uiPriority w:val="99"/>
    <w:qFormat/>
    <w:rsid w:val="00665A54"/>
    <w:pPr>
      <w:spacing w:before="0" w:after="0"/>
      <w:ind w:left="0" w:firstLine="0"/>
    </w:pPr>
    <w:tblPr>
      <w:tblBorders>
        <w:bottom w:val="single" w:sz="4" w:space="0" w:color="003359" w:themeColor="accent1"/>
        <w:insideH w:val="single" w:sz="4" w:space="0" w:color="003359" w:themeColor="accent1"/>
      </w:tblBorders>
    </w:tblPr>
    <w:tblStylePr w:type="firstRow">
      <w:rPr>
        <w:color w:val="FFFFFF" w:themeColor="background1"/>
      </w:rPr>
      <w:tblPr/>
      <w:trPr>
        <w:tblHeader/>
      </w:trPr>
      <w:tcPr>
        <w:shd w:val="clear" w:color="auto" w:fill="003359" w:themeFill="accent1"/>
      </w:tcPr>
    </w:tblStylePr>
  </w:style>
  <w:style w:type="table" w:customStyle="1" w:styleId="ListTable3-Accent51111">
    <w:name w:val="List Table 3 - Accent 51111"/>
    <w:basedOn w:val="TableNormal"/>
    <w:uiPriority w:val="48"/>
    <w:rsid w:val="00665A54"/>
    <w:pPr>
      <w:spacing w:before="0" w:after="0"/>
      <w:ind w:left="0" w:firstLine="0"/>
    </w:pPr>
    <w:rPr>
      <w:rFonts w:asciiTheme="minorHAnsi" w:eastAsiaTheme="minorHAnsi" w:hAnsiTheme="minorHAnsi" w:cstheme="minorBidi"/>
      <w:lang w:eastAsia="en-US"/>
    </w:rPr>
    <w:tblPr>
      <w:tblStyleRowBandSize w:val="1"/>
      <w:tblStyleColBandSize w:val="1"/>
      <w:tblBorders>
        <w:top w:val="single" w:sz="4" w:space="0" w:color="7090B7" w:themeColor="accent5"/>
        <w:left w:val="single" w:sz="4" w:space="0" w:color="7090B7" w:themeColor="accent5"/>
        <w:bottom w:val="single" w:sz="4" w:space="0" w:color="7090B7" w:themeColor="accent5"/>
        <w:right w:val="single" w:sz="4" w:space="0" w:color="7090B7" w:themeColor="accent5"/>
      </w:tblBorders>
    </w:tblPr>
    <w:tblStylePr w:type="firstRow">
      <w:rPr>
        <w:b/>
        <w:bCs/>
        <w:color w:val="FFFFFF" w:themeColor="background1"/>
      </w:rPr>
      <w:tblPr/>
      <w:tcPr>
        <w:shd w:val="clear" w:color="auto" w:fill="7090B7" w:themeFill="accent5"/>
      </w:tcPr>
    </w:tblStylePr>
    <w:tblStylePr w:type="lastRow">
      <w:rPr>
        <w:b/>
        <w:bCs/>
      </w:rPr>
      <w:tblPr/>
      <w:tcPr>
        <w:tcBorders>
          <w:top w:val="double" w:sz="4" w:space="0" w:color="7090B7"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90B7" w:themeColor="accent5"/>
          <w:right w:val="single" w:sz="4" w:space="0" w:color="7090B7" w:themeColor="accent5"/>
        </w:tcBorders>
      </w:tcPr>
    </w:tblStylePr>
    <w:tblStylePr w:type="band1Horz">
      <w:tblPr/>
      <w:tcPr>
        <w:tcBorders>
          <w:top w:val="single" w:sz="4" w:space="0" w:color="7090B7" w:themeColor="accent5"/>
          <w:bottom w:val="single" w:sz="4" w:space="0" w:color="7090B7"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90B7" w:themeColor="accent5"/>
          <w:left w:val="nil"/>
        </w:tcBorders>
      </w:tcPr>
    </w:tblStylePr>
    <w:tblStylePr w:type="swCell">
      <w:tblPr/>
      <w:tcPr>
        <w:tcBorders>
          <w:top w:val="double" w:sz="4" w:space="0" w:color="7090B7" w:themeColor="accent5"/>
          <w:right w:val="nil"/>
        </w:tcBorders>
      </w:tcPr>
    </w:tblStylePr>
  </w:style>
  <w:style w:type="table" w:customStyle="1" w:styleId="ListTable3-Accent51211">
    <w:name w:val="List Table 3 - Accent 51211"/>
    <w:basedOn w:val="TableNormal"/>
    <w:uiPriority w:val="48"/>
    <w:rsid w:val="00665A54"/>
    <w:pPr>
      <w:spacing w:before="0" w:after="0"/>
      <w:ind w:left="0" w:firstLine="0"/>
    </w:pPr>
    <w:rPr>
      <w:rFonts w:asciiTheme="minorHAnsi" w:eastAsiaTheme="minorHAnsi" w:hAnsiTheme="minorHAnsi" w:cstheme="minorBidi"/>
      <w:lang w:eastAsia="en-US"/>
    </w:rPr>
    <w:tblPr>
      <w:tblStyleRowBandSize w:val="1"/>
      <w:tblStyleColBandSize w:val="1"/>
      <w:tblBorders>
        <w:top w:val="single" w:sz="4" w:space="0" w:color="7090B7" w:themeColor="accent5"/>
        <w:left w:val="single" w:sz="4" w:space="0" w:color="7090B7" w:themeColor="accent5"/>
        <w:bottom w:val="single" w:sz="4" w:space="0" w:color="7090B7" w:themeColor="accent5"/>
        <w:right w:val="single" w:sz="4" w:space="0" w:color="7090B7" w:themeColor="accent5"/>
      </w:tblBorders>
    </w:tblPr>
    <w:tblStylePr w:type="firstRow">
      <w:rPr>
        <w:b/>
        <w:bCs/>
        <w:color w:val="FFFFFF" w:themeColor="background1"/>
      </w:rPr>
      <w:tblPr/>
      <w:tcPr>
        <w:shd w:val="clear" w:color="auto" w:fill="7090B7" w:themeFill="accent5"/>
      </w:tcPr>
    </w:tblStylePr>
    <w:tblStylePr w:type="lastRow">
      <w:rPr>
        <w:b/>
        <w:bCs/>
      </w:rPr>
      <w:tblPr/>
      <w:tcPr>
        <w:tcBorders>
          <w:top w:val="double" w:sz="4" w:space="0" w:color="7090B7"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90B7" w:themeColor="accent5"/>
          <w:right w:val="single" w:sz="4" w:space="0" w:color="7090B7" w:themeColor="accent5"/>
        </w:tcBorders>
      </w:tcPr>
    </w:tblStylePr>
    <w:tblStylePr w:type="band1Horz">
      <w:tblPr/>
      <w:tcPr>
        <w:tcBorders>
          <w:top w:val="single" w:sz="4" w:space="0" w:color="7090B7" w:themeColor="accent5"/>
          <w:bottom w:val="single" w:sz="4" w:space="0" w:color="7090B7"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90B7" w:themeColor="accent5"/>
          <w:left w:val="nil"/>
        </w:tcBorders>
      </w:tcPr>
    </w:tblStylePr>
    <w:tblStylePr w:type="swCell">
      <w:tblPr/>
      <w:tcPr>
        <w:tcBorders>
          <w:top w:val="double" w:sz="4" w:space="0" w:color="7090B7" w:themeColor="accent5"/>
          <w:right w:val="nil"/>
        </w:tcBorders>
      </w:tcPr>
    </w:tblStylePr>
  </w:style>
  <w:style w:type="table" w:customStyle="1" w:styleId="TableGrid1011">
    <w:name w:val="Table Grid1011"/>
    <w:basedOn w:val="TableNormal"/>
    <w:next w:val="TableGrid"/>
    <w:uiPriority w:val="59"/>
    <w:rsid w:val="00665A54"/>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next w:val="TableGrid"/>
    <w:uiPriority w:val="59"/>
    <w:rsid w:val="00665A54"/>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next w:val="TableGrid"/>
    <w:uiPriority w:val="59"/>
    <w:rsid w:val="00665A54"/>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next w:val="TableGrid"/>
    <w:uiPriority w:val="59"/>
    <w:rsid w:val="00665A54"/>
    <w:pPr>
      <w:spacing w:before="0" w:after="0"/>
      <w:ind w:left="0" w:firstLine="0"/>
    </w:pPr>
    <w:rPr>
      <w:rFonts w:ascii="Cambria" w:eastAsia="Cambria" w:hAnsi="Cambria"/>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
    <w:name w:val="Table Grid1411"/>
    <w:basedOn w:val="TableNormal"/>
    <w:next w:val="TableGrid"/>
    <w:uiPriority w:val="59"/>
    <w:rsid w:val="00665A54"/>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
    <w:name w:val="No List111"/>
    <w:next w:val="NoList"/>
    <w:uiPriority w:val="99"/>
    <w:semiHidden/>
    <w:unhideWhenUsed/>
    <w:rsid w:val="00665A54"/>
  </w:style>
  <w:style w:type="table" w:customStyle="1" w:styleId="Table3Deffects1111">
    <w:name w:val="Table 3D effects 1111"/>
    <w:basedOn w:val="TableNormal"/>
    <w:next w:val="Table3Deffects1"/>
    <w:uiPriority w:val="99"/>
    <w:semiHidden/>
    <w:rsid w:val="00665A54"/>
    <w:rPr>
      <w:sz w:val="20"/>
      <w:szCs w:val="20"/>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11">
    <w:name w:val="Table 3D effects 2111"/>
    <w:basedOn w:val="TableNormal"/>
    <w:next w:val="Table3Deffects2"/>
    <w:uiPriority w:val="99"/>
    <w:semiHidden/>
    <w:rsid w:val="00665A54"/>
    <w:rPr>
      <w:sz w:val="20"/>
      <w:szCs w:val="20"/>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3Deffects3111">
    <w:name w:val="Table 3D effects 3111"/>
    <w:basedOn w:val="TableNormal"/>
    <w:next w:val="Table3Deffects3"/>
    <w:uiPriority w:val="99"/>
    <w:semiHidden/>
    <w:rsid w:val="00665A54"/>
    <w:rPr>
      <w:sz w:val="20"/>
      <w:szCs w:val="20"/>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Classic1111">
    <w:name w:val="Table Classic 1111"/>
    <w:basedOn w:val="TableNormal"/>
    <w:next w:val="TableClassic1"/>
    <w:uiPriority w:val="99"/>
    <w:semiHidden/>
    <w:rsid w:val="00665A54"/>
    <w:rPr>
      <w:sz w:val="20"/>
      <w:szCs w:val="20"/>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Classic2111">
    <w:name w:val="Table Classic 2111"/>
    <w:basedOn w:val="TableNormal"/>
    <w:next w:val="TableClassic2"/>
    <w:uiPriority w:val="99"/>
    <w:semiHidden/>
    <w:rsid w:val="00665A54"/>
    <w:rPr>
      <w:sz w:val="20"/>
      <w:szCs w:val="20"/>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TableClassic3111">
    <w:name w:val="Table Classic 3111"/>
    <w:basedOn w:val="TableNormal"/>
    <w:next w:val="TableClassic3"/>
    <w:uiPriority w:val="99"/>
    <w:semiHidden/>
    <w:rsid w:val="00665A54"/>
    <w:rPr>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TableClassic4111">
    <w:name w:val="Table Classic 4111"/>
    <w:basedOn w:val="TableNormal"/>
    <w:next w:val="TableClassic4"/>
    <w:uiPriority w:val="99"/>
    <w:semiHidden/>
    <w:rsid w:val="00665A54"/>
    <w:rPr>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TableColorful1111">
    <w:name w:val="Table Colorful 1111"/>
    <w:basedOn w:val="TableNormal"/>
    <w:next w:val="TableColorful1"/>
    <w:uiPriority w:val="99"/>
    <w:semiHidden/>
    <w:rsid w:val="00665A54"/>
    <w:rPr>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TableColorful2111">
    <w:name w:val="Table Colorful 2111"/>
    <w:basedOn w:val="TableNormal"/>
    <w:next w:val="TableColorful2"/>
    <w:uiPriority w:val="99"/>
    <w:semiHidden/>
    <w:rsid w:val="00665A54"/>
    <w:rPr>
      <w:sz w:val="20"/>
      <w:szCs w:val="20"/>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TableColorful3111">
    <w:name w:val="Table Colorful 3111"/>
    <w:basedOn w:val="TableNormal"/>
    <w:next w:val="TableColorful3"/>
    <w:uiPriority w:val="99"/>
    <w:semiHidden/>
    <w:rsid w:val="00665A54"/>
    <w:rPr>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TableColumns1111">
    <w:name w:val="Table Columns 1111"/>
    <w:basedOn w:val="TableNormal"/>
    <w:next w:val="TableColumns1"/>
    <w:uiPriority w:val="99"/>
    <w:semiHidden/>
    <w:rsid w:val="00665A54"/>
    <w:rPr>
      <w:b w:val="0"/>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Columns2111">
    <w:name w:val="Table Columns 2111"/>
    <w:basedOn w:val="TableNormal"/>
    <w:next w:val="TableColumns2"/>
    <w:uiPriority w:val="99"/>
    <w:semiHidden/>
    <w:rsid w:val="00665A54"/>
    <w:rPr>
      <w:b w:val="0"/>
      <w:bCs/>
      <w:sz w:val="20"/>
      <w:szCs w:val="20"/>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Columns3111">
    <w:name w:val="Table Columns 3111"/>
    <w:basedOn w:val="TableNormal"/>
    <w:next w:val="TableColumns3"/>
    <w:uiPriority w:val="99"/>
    <w:semiHidden/>
    <w:rsid w:val="00665A54"/>
    <w:rPr>
      <w:b w:val="0"/>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TableColumns4111">
    <w:name w:val="Table Columns 4111"/>
    <w:basedOn w:val="TableNormal"/>
    <w:next w:val="TableColumns4"/>
    <w:uiPriority w:val="99"/>
    <w:semiHidden/>
    <w:rsid w:val="00665A54"/>
    <w:rPr>
      <w:sz w:val="20"/>
      <w:szCs w:val="20"/>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TableColumns5111">
    <w:name w:val="Table Columns 5111"/>
    <w:basedOn w:val="TableNormal"/>
    <w:next w:val="TableColumns5"/>
    <w:uiPriority w:val="99"/>
    <w:semiHidden/>
    <w:rsid w:val="00665A54"/>
    <w:rPr>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TableContemporary111">
    <w:name w:val="Table Contemporary111"/>
    <w:basedOn w:val="TableNormal"/>
    <w:next w:val="TableContemporary"/>
    <w:uiPriority w:val="99"/>
    <w:semiHidden/>
    <w:rsid w:val="00665A54"/>
    <w:rPr>
      <w:sz w:val="20"/>
      <w:szCs w:val="20"/>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TableElegant111">
    <w:name w:val="Table Elegant111"/>
    <w:basedOn w:val="TableNormal"/>
    <w:next w:val="TableElegant"/>
    <w:uiPriority w:val="99"/>
    <w:semiHidden/>
    <w:rsid w:val="00665A54"/>
    <w:rPr>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PlainTable111">
    <w:name w:val="Plain Table111"/>
    <w:basedOn w:val="TableNormal"/>
    <w:next w:val="TableGrid"/>
    <w:uiPriority w:val="39"/>
    <w:rsid w:val="00665A54"/>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 1111"/>
    <w:basedOn w:val="TableNormal"/>
    <w:next w:val="TableGrid1"/>
    <w:uiPriority w:val="99"/>
    <w:semiHidden/>
    <w:rsid w:val="00665A54"/>
    <w:rPr>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TableGrid2111">
    <w:name w:val="Table Grid 2111"/>
    <w:basedOn w:val="TableNormal"/>
    <w:next w:val="TableGrid2"/>
    <w:uiPriority w:val="99"/>
    <w:semiHidden/>
    <w:rsid w:val="00665A54"/>
    <w:rPr>
      <w:sz w:val="20"/>
      <w:szCs w:val="20"/>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TableGrid3111">
    <w:name w:val="Table Grid 3111"/>
    <w:basedOn w:val="TableNormal"/>
    <w:next w:val="TableGrid3"/>
    <w:uiPriority w:val="99"/>
    <w:semiHidden/>
    <w:rsid w:val="00665A54"/>
    <w:rPr>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TableGrid4111">
    <w:name w:val="Table Grid 4111"/>
    <w:basedOn w:val="TableNormal"/>
    <w:next w:val="TableGrid4"/>
    <w:uiPriority w:val="99"/>
    <w:semiHidden/>
    <w:rsid w:val="00665A54"/>
    <w:rPr>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TableGrid5111">
    <w:name w:val="Table Grid 5111"/>
    <w:basedOn w:val="TableNormal"/>
    <w:next w:val="TableGrid5"/>
    <w:uiPriority w:val="99"/>
    <w:semiHidden/>
    <w:rsid w:val="00665A54"/>
    <w:rPr>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6111">
    <w:name w:val="Table Grid 6111"/>
    <w:basedOn w:val="TableNormal"/>
    <w:next w:val="TableGrid6"/>
    <w:uiPriority w:val="99"/>
    <w:semiHidden/>
    <w:rsid w:val="00665A54"/>
    <w:rPr>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7111">
    <w:name w:val="Table Grid 7111"/>
    <w:basedOn w:val="TableNormal"/>
    <w:next w:val="TableGrid7"/>
    <w:uiPriority w:val="99"/>
    <w:semiHidden/>
    <w:rsid w:val="00665A54"/>
    <w:rPr>
      <w:b w:val="0"/>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8111">
    <w:name w:val="Table Grid 8111"/>
    <w:basedOn w:val="TableNormal"/>
    <w:next w:val="TableGrid8"/>
    <w:uiPriority w:val="99"/>
    <w:semiHidden/>
    <w:rsid w:val="00665A54"/>
    <w:rPr>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TableList2111">
    <w:name w:val="Table List 2111"/>
    <w:basedOn w:val="TableNormal"/>
    <w:next w:val="TableList2"/>
    <w:uiPriority w:val="99"/>
    <w:semiHidden/>
    <w:rsid w:val="00665A54"/>
    <w:rPr>
      <w:sz w:val="20"/>
      <w:szCs w:val="20"/>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List3111">
    <w:name w:val="Table List 3111"/>
    <w:basedOn w:val="TableNormal"/>
    <w:next w:val="TableList3"/>
    <w:uiPriority w:val="99"/>
    <w:semiHidden/>
    <w:rsid w:val="00665A54"/>
    <w:rPr>
      <w:sz w:val="20"/>
      <w:szCs w:val="20"/>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TableList4111">
    <w:name w:val="Table List 4111"/>
    <w:basedOn w:val="TableNormal"/>
    <w:next w:val="TableList4"/>
    <w:uiPriority w:val="99"/>
    <w:semiHidden/>
    <w:rsid w:val="00665A54"/>
    <w:rPr>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11">
    <w:name w:val="Table List 5111"/>
    <w:basedOn w:val="TableNormal"/>
    <w:next w:val="TableList5"/>
    <w:uiPriority w:val="99"/>
    <w:semiHidden/>
    <w:rsid w:val="00665A54"/>
    <w:rPr>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TableList6111">
    <w:name w:val="Table List 6111"/>
    <w:basedOn w:val="TableNormal"/>
    <w:next w:val="TableList6"/>
    <w:uiPriority w:val="99"/>
    <w:semiHidden/>
    <w:rsid w:val="00665A54"/>
    <w:rPr>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TableList7111">
    <w:name w:val="Table List 7111"/>
    <w:basedOn w:val="TableNormal"/>
    <w:next w:val="TableList7"/>
    <w:uiPriority w:val="99"/>
    <w:semiHidden/>
    <w:rsid w:val="00665A54"/>
    <w:rPr>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TableList8111">
    <w:name w:val="Table List 8111"/>
    <w:basedOn w:val="TableNormal"/>
    <w:next w:val="TableList8"/>
    <w:uiPriority w:val="99"/>
    <w:semiHidden/>
    <w:rsid w:val="00665A54"/>
    <w:rPr>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TableProfessional111">
    <w:name w:val="Table Professional111"/>
    <w:basedOn w:val="TableNormal"/>
    <w:next w:val="TableProfessional"/>
    <w:uiPriority w:val="99"/>
    <w:semiHidden/>
    <w:rsid w:val="00665A54"/>
    <w:rPr>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TableSimple1111">
    <w:name w:val="Table Simple 1111"/>
    <w:basedOn w:val="TableNormal"/>
    <w:next w:val="TableSimple1"/>
    <w:uiPriority w:val="99"/>
    <w:semiHidden/>
    <w:rsid w:val="00665A54"/>
    <w:rPr>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TableSimple2111">
    <w:name w:val="Table Simple 2111"/>
    <w:basedOn w:val="TableNormal"/>
    <w:next w:val="TableSimple2"/>
    <w:uiPriority w:val="99"/>
    <w:semiHidden/>
    <w:rsid w:val="00665A54"/>
    <w:rPr>
      <w:sz w:val="20"/>
      <w:szCs w:val="20"/>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TableSimple3111">
    <w:name w:val="Table Simple 3111"/>
    <w:basedOn w:val="TableNormal"/>
    <w:next w:val="TableSimple3"/>
    <w:uiPriority w:val="99"/>
    <w:semiHidden/>
    <w:rsid w:val="00665A54"/>
    <w:rPr>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TableSubtle1111">
    <w:name w:val="Table Subtle 1111"/>
    <w:basedOn w:val="TableNormal"/>
    <w:next w:val="TableSubtle1"/>
    <w:uiPriority w:val="99"/>
    <w:semiHidden/>
    <w:rsid w:val="00665A54"/>
    <w:rPr>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Subtle2111">
    <w:name w:val="Table Subtle 2111"/>
    <w:basedOn w:val="TableNormal"/>
    <w:next w:val="TableSubtle2"/>
    <w:uiPriority w:val="99"/>
    <w:semiHidden/>
    <w:rsid w:val="00665A54"/>
    <w:rPr>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Theme111">
    <w:name w:val="Table Theme111"/>
    <w:basedOn w:val="TableNormal"/>
    <w:next w:val="TableTheme"/>
    <w:uiPriority w:val="99"/>
    <w:semiHidden/>
    <w:rsid w:val="00665A54"/>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1111">
    <w:name w:val="Table Web 1111"/>
    <w:basedOn w:val="TableNormal"/>
    <w:next w:val="TableWeb1"/>
    <w:uiPriority w:val="99"/>
    <w:semiHidden/>
    <w:rsid w:val="00665A54"/>
    <w:rPr>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TableWeb2111">
    <w:name w:val="Table Web 2111"/>
    <w:basedOn w:val="TableNormal"/>
    <w:next w:val="TableWeb2"/>
    <w:uiPriority w:val="99"/>
    <w:semiHidden/>
    <w:rsid w:val="00665A54"/>
    <w:rPr>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TableWeb3111">
    <w:name w:val="Table Web 3111"/>
    <w:basedOn w:val="TableNormal"/>
    <w:next w:val="TableWeb3"/>
    <w:uiPriority w:val="99"/>
    <w:semiHidden/>
    <w:rsid w:val="00665A54"/>
    <w:rPr>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LightShading111">
    <w:name w:val="Light Shading111"/>
    <w:basedOn w:val="TableNormal"/>
    <w:next w:val="LightShading"/>
    <w:uiPriority w:val="60"/>
    <w:rsid w:val="00665A54"/>
    <w:pPr>
      <w:spacing w:before="0" w:after="0"/>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upeTable111">
    <w:name w:val="Taupe Table111"/>
    <w:uiPriority w:val="99"/>
    <w:rsid w:val="00665A54"/>
    <w:pPr>
      <w:spacing w:before="0" w:after="0"/>
      <w:ind w:left="0" w:firstLine="0"/>
    </w:pPr>
    <w:rPr>
      <w:rFonts w:asciiTheme="minorHAnsi" w:hAnsiTheme="minorHAnsi"/>
      <w:b w:val="0"/>
      <w:color w:val="auto"/>
      <w:sz w:val="20"/>
      <w:szCs w:val="20"/>
      <w:u w:val="none"/>
      <w:lang w:val="en-SG" w:eastAsia="en-SG"/>
    </w:rPr>
    <w:tblPr>
      <w:tblStyleRowBandSize w:val="1"/>
      <w:tblStyleColBandSize w:val="1"/>
      <w:tblInd w:w="0" w:type="dxa"/>
      <w:tblBorders>
        <w:bottom w:val="single" w:sz="4" w:space="0" w:color="988F86"/>
        <w:insideH w:val="single" w:sz="4" w:space="0" w:color="988F86"/>
      </w:tblBorders>
      <w:tblCellMar>
        <w:top w:w="0" w:type="dxa"/>
        <w:left w:w="108" w:type="dxa"/>
        <w:bottom w:w="0" w:type="dxa"/>
        <w:right w:w="108" w:type="dxa"/>
      </w:tblCellMar>
    </w:tblPr>
    <w:tcPr>
      <w:shd w:val="clear" w:color="auto" w:fill="auto"/>
    </w:tcPr>
    <w:tblStylePr w:type="firstRow">
      <w:rPr>
        <w:b w:val="0"/>
        <w:color w:val="FFFFFF" w:themeColor="background1"/>
      </w:rPr>
      <w:tblPr/>
      <w:tcPr>
        <w:shd w:val="clear" w:color="auto" w:fill="988F86" w:themeFill="accent3"/>
      </w:tcPr>
    </w:tblStylePr>
    <w:tblStylePr w:type="lastRow">
      <w:rPr>
        <w:rFonts w:asciiTheme="minorHAnsi" w:hAnsiTheme="minorHAnsi"/>
        <w:b/>
      </w:rPr>
      <w:tblPr/>
      <w:tcPr>
        <w:shd w:val="clear" w:color="auto" w:fill="C1BBB6" w:themeFill="accent3" w:themeFillTint="99"/>
      </w:tcPr>
    </w:tblStylePr>
    <w:tblStylePr w:type="firstCol">
      <w:tblPr/>
      <w:tcPr>
        <w:shd w:val="clear" w:color="auto" w:fill="D5D2CE" w:themeFill="accent3" w:themeFillTint="66"/>
      </w:tcPr>
    </w:tblStylePr>
    <w:tblStylePr w:type="lastCol">
      <w:tblPr/>
      <w:tcPr>
        <w:shd w:val="clear" w:color="auto" w:fill="C1BBB6" w:themeFill="accent3" w:themeFillTint="99"/>
      </w:tcPr>
    </w:tblStylePr>
    <w:tblStylePr w:type="band2Vert">
      <w:rPr>
        <w:rFonts w:asciiTheme="minorHAnsi" w:hAnsiTheme="minorHAnsi"/>
      </w:rPr>
      <w:tblPr/>
      <w:tcPr>
        <w:shd w:val="clear" w:color="auto" w:fill="EAE8E6" w:themeFill="accent3" w:themeFillTint="33"/>
      </w:tcPr>
    </w:tblStylePr>
    <w:tblStylePr w:type="band2Horz">
      <w:rPr>
        <w:rFonts w:asciiTheme="minorHAnsi" w:hAnsiTheme="minorHAnsi"/>
      </w:rPr>
      <w:tblPr/>
      <w:tcPr>
        <w:shd w:val="clear" w:color="auto" w:fill="EAE8E6" w:themeFill="accent3" w:themeFillTint="33"/>
      </w:tcPr>
    </w:tblStylePr>
  </w:style>
  <w:style w:type="table" w:customStyle="1" w:styleId="AquaTable111">
    <w:name w:val="Aqua Table111"/>
    <w:basedOn w:val="TaupeTable"/>
    <w:uiPriority w:val="99"/>
    <w:qFormat/>
    <w:rsid w:val="00665A54"/>
    <w:tblPr>
      <w:tblBorders>
        <w:bottom w:val="single" w:sz="4" w:space="0" w:color="477F80" w:themeColor="accent6"/>
        <w:insideH w:val="single" w:sz="4" w:space="0" w:color="477F80" w:themeColor="accent6"/>
      </w:tblBorders>
    </w:tblPr>
    <w:tcPr>
      <w:shd w:val="clear" w:color="auto" w:fill="auto"/>
    </w:tcPr>
    <w:tblStylePr w:type="firstRow">
      <w:rPr>
        <w:b w:val="0"/>
        <w:color w:val="FFFFFF" w:themeColor="background1"/>
      </w:rPr>
      <w:tblPr/>
      <w:tcPr>
        <w:shd w:val="clear" w:color="auto" w:fill="477F80" w:themeFill="accent6"/>
      </w:tcPr>
    </w:tblStylePr>
    <w:tblStylePr w:type="lastRow">
      <w:rPr>
        <w:rFonts w:asciiTheme="minorHAnsi" w:hAnsiTheme="minorHAnsi"/>
        <w:b/>
      </w:rPr>
      <w:tblPr/>
      <w:tcPr>
        <w:shd w:val="clear" w:color="auto" w:fill="86BBBC" w:themeFill="accent6" w:themeFillTint="99"/>
      </w:tcPr>
    </w:tblStylePr>
    <w:tblStylePr w:type="firstCol">
      <w:tblPr/>
      <w:tcPr>
        <w:shd w:val="clear" w:color="auto" w:fill="AED1D2" w:themeFill="accent6" w:themeFillTint="66"/>
      </w:tcPr>
    </w:tblStylePr>
    <w:tblStylePr w:type="lastCol">
      <w:tblPr/>
      <w:tcPr>
        <w:shd w:val="clear" w:color="auto" w:fill="86BBBC" w:themeFill="accent6" w:themeFillTint="99"/>
      </w:tcPr>
    </w:tblStylePr>
    <w:tblStylePr w:type="band2Vert">
      <w:rPr>
        <w:rFonts w:asciiTheme="minorHAnsi" w:hAnsiTheme="minorHAnsi"/>
      </w:rPr>
      <w:tblPr/>
      <w:tcPr>
        <w:shd w:val="clear" w:color="auto" w:fill="D6E8E8" w:themeFill="accent6" w:themeFillTint="33"/>
      </w:tcPr>
    </w:tblStylePr>
    <w:tblStylePr w:type="band2Horz">
      <w:rPr>
        <w:rFonts w:asciiTheme="minorHAnsi" w:hAnsiTheme="minorHAnsi"/>
      </w:rPr>
      <w:tblPr/>
      <w:tcPr>
        <w:shd w:val="clear" w:color="auto" w:fill="D6E8E8" w:themeFill="accent6" w:themeFillTint="33"/>
      </w:tcPr>
    </w:tblStylePr>
  </w:style>
  <w:style w:type="table" w:customStyle="1" w:styleId="AquaTableBorders111">
    <w:name w:val="Aqua Table Borders111"/>
    <w:basedOn w:val="AquaTable"/>
    <w:uiPriority w:val="99"/>
    <w:qFormat/>
    <w:rsid w:val="00665A54"/>
    <w:tblPr>
      <w:tblBorders>
        <w:top w:val="single" w:sz="4" w:space="0" w:color="477F80" w:themeColor="accent6"/>
        <w:left w:val="single" w:sz="4" w:space="0" w:color="477F80" w:themeColor="accent6"/>
        <w:bottom w:val="none" w:sz="0" w:space="0" w:color="auto"/>
        <w:right w:val="single" w:sz="4" w:space="0" w:color="477F80" w:themeColor="accent6"/>
        <w:insideH w:val="none" w:sz="0" w:space="0" w:color="auto"/>
        <w:insideV w:val="single" w:sz="4" w:space="0" w:color="477F80" w:themeColor="accent6"/>
      </w:tblBorders>
    </w:tblPr>
    <w:tcPr>
      <w:shd w:val="clear" w:color="auto" w:fill="auto"/>
    </w:tcPr>
    <w:tblStylePr w:type="firstRow">
      <w:rPr>
        <w:b w:val="0"/>
        <w:color w:val="FFFFFF" w:themeColor="background1"/>
      </w:rPr>
      <w:tblPr/>
      <w:tcPr>
        <w:shd w:val="clear" w:color="auto" w:fill="477F80" w:themeFill="accent6"/>
      </w:tcPr>
    </w:tblStylePr>
    <w:tblStylePr w:type="lastRow">
      <w:rPr>
        <w:rFonts w:asciiTheme="minorHAnsi" w:hAnsiTheme="minorHAnsi"/>
        <w:b/>
      </w:rPr>
      <w:tblPr/>
      <w:tcPr>
        <w:shd w:val="clear" w:color="auto" w:fill="86BBBC" w:themeFill="accent6" w:themeFillTint="99"/>
      </w:tcPr>
    </w:tblStylePr>
    <w:tblStylePr w:type="firstCol">
      <w:tblPr/>
      <w:tcPr>
        <w:shd w:val="clear" w:color="auto" w:fill="AED1D2" w:themeFill="accent6" w:themeFillTint="66"/>
      </w:tcPr>
    </w:tblStylePr>
    <w:tblStylePr w:type="lastCol">
      <w:tblPr/>
      <w:tcPr>
        <w:shd w:val="clear" w:color="auto" w:fill="86BBBC" w:themeFill="accent6" w:themeFillTint="99"/>
      </w:tcPr>
    </w:tblStylePr>
    <w:tblStylePr w:type="band2Vert">
      <w:rPr>
        <w:rFonts w:asciiTheme="minorHAnsi" w:hAnsiTheme="minorHAnsi"/>
      </w:rPr>
      <w:tblPr/>
      <w:tcPr>
        <w:shd w:val="clear" w:color="auto" w:fill="D6E8E8" w:themeFill="accent6" w:themeFillTint="33"/>
      </w:tcPr>
    </w:tblStylePr>
    <w:tblStylePr w:type="band2Horz">
      <w:rPr>
        <w:rFonts w:asciiTheme="minorHAnsi" w:hAnsiTheme="minorHAnsi"/>
      </w:rPr>
      <w:tblPr/>
      <w:tcPr>
        <w:shd w:val="clear" w:color="auto" w:fill="D6E8E8" w:themeFill="accent6" w:themeFillTint="33"/>
      </w:tcPr>
    </w:tblStylePr>
  </w:style>
  <w:style w:type="table" w:customStyle="1" w:styleId="BlueTable111">
    <w:name w:val="Blue Table111"/>
    <w:basedOn w:val="TaupeTable"/>
    <w:uiPriority w:val="99"/>
    <w:qFormat/>
    <w:rsid w:val="00665A54"/>
    <w:tblPr>
      <w:tblBorders>
        <w:bottom w:val="single" w:sz="4" w:space="0" w:color="7090B7" w:themeColor="accent5"/>
        <w:insideH w:val="single" w:sz="4" w:space="0" w:color="7090B7" w:themeColor="accent5"/>
      </w:tblBorders>
    </w:tblPr>
    <w:tcPr>
      <w:shd w:val="clear" w:color="auto" w:fill="auto"/>
    </w:tcPr>
    <w:tblStylePr w:type="firstRow">
      <w:rPr>
        <w:b w:val="0"/>
        <w:color w:val="FFFFFF" w:themeColor="background1"/>
      </w:rPr>
      <w:tblPr/>
      <w:tcPr>
        <w:shd w:val="clear" w:color="auto" w:fill="7090B7" w:themeFill="accent5"/>
      </w:tcPr>
    </w:tblStylePr>
    <w:tblStylePr w:type="lastRow">
      <w:rPr>
        <w:rFonts w:asciiTheme="minorHAnsi" w:hAnsiTheme="minorHAnsi"/>
        <w:b/>
      </w:rPr>
      <w:tblPr/>
      <w:tcPr>
        <w:shd w:val="clear" w:color="auto" w:fill="A9BCD3" w:themeFill="accent5" w:themeFillTint="99"/>
      </w:tcPr>
    </w:tblStylePr>
    <w:tblStylePr w:type="firstCol">
      <w:tblPr/>
      <w:tcPr>
        <w:shd w:val="clear" w:color="auto" w:fill="C5D2E2" w:themeFill="accent5" w:themeFillTint="66"/>
      </w:tcPr>
    </w:tblStylePr>
    <w:tblStylePr w:type="lastCol">
      <w:tblPr/>
      <w:tcPr>
        <w:shd w:val="clear" w:color="auto" w:fill="A9BCD3" w:themeFill="accent5" w:themeFillTint="99"/>
      </w:tcPr>
    </w:tblStylePr>
    <w:tblStylePr w:type="band2Vert">
      <w:rPr>
        <w:rFonts w:asciiTheme="minorHAnsi" w:hAnsiTheme="minorHAnsi"/>
      </w:rPr>
      <w:tblPr/>
      <w:tcPr>
        <w:shd w:val="clear" w:color="auto" w:fill="E2E8F0" w:themeFill="accent5" w:themeFillTint="33"/>
      </w:tcPr>
    </w:tblStylePr>
    <w:tblStylePr w:type="band2Horz">
      <w:rPr>
        <w:rFonts w:asciiTheme="minorHAnsi" w:hAnsiTheme="minorHAnsi"/>
      </w:rPr>
      <w:tblPr/>
      <w:tcPr>
        <w:shd w:val="clear" w:color="auto" w:fill="E2E8F0" w:themeFill="accent5" w:themeFillTint="33"/>
      </w:tcPr>
    </w:tblStylePr>
  </w:style>
  <w:style w:type="table" w:customStyle="1" w:styleId="BlueTableBorders111">
    <w:name w:val="Blue Table Borders111"/>
    <w:basedOn w:val="BlueTable"/>
    <w:uiPriority w:val="99"/>
    <w:qFormat/>
    <w:rsid w:val="00665A54"/>
    <w:tblPr>
      <w:tblBorders>
        <w:top w:val="single" w:sz="4" w:space="0" w:color="7090B7" w:themeColor="accent5"/>
        <w:left w:val="single" w:sz="4" w:space="0" w:color="7090B7" w:themeColor="accent5"/>
        <w:bottom w:val="none" w:sz="0" w:space="0" w:color="auto"/>
        <w:right w:val="single" w:sz="4" w:space="0" w:color="7090B7" w:themeColor="accent5"/>
        <w:insideH w:val="none" w:sz="0" w:space="0" w:color="auto"/>
        <w:insideV w:val="single" w:sz="4" w:space="0" w:color="7090B7" w:themeColor="accent5"/>
      </w:tblBorders>
    </w:tblPr>
    <w:tcPr>
      <w:shd w:val="clear" w:color="auto" w:fill="auto"/>
    </w:tcPr>
    <w:tblStylePr w:type="firstRow">
      <w:rPr>
        <w:b w:val="0"/>
        <w:color w:val="FFFFFF" w:themeColor="background1"/>
      </w:rPr>
      <w:tblPr/>
      <w:tcPr>
        <w:shd w:val="clear" w:color="auto" w:fill="7090B7" w:themeFill="accent5"/>
      </w:tcPr>
    </w:tblStylePr>
    <w:tblStylePr w:type="lastRow">
      <w:rPr>
        <w:rFonts w:asciiTheme="minorHAnsi" w:hAnsiTheme="minorHAnsi"/>
        <w:b/>
      </w:rPr>
      <w:tblPr/>
      <w:tcPr>
        <w:shd w:val="clear" w:color="auto" w:fill="A9BCD3" w:themeFill="accent5" w:themeFillTint="99"/>
      </w:tcPr>
    </w:tblStylePr>
    <w:tblStylePr w:type="firstCol">
      <w:tblPr/>
      <w:tcPr>
        <w:shd w:val="clear" w:color="auto" w:fill="C5D2E2" w:themeFill="accent5" w:themeFillTint="66"/>
      </w:tcPr>
    </w:tblStylePr>
    <w:tblStylePr w:type="lastCol">
      <w:tblPr/>
      <w:tcPr>
        <w:shd w:val="clear" w:color="auto" w:fill="A9BCD3" w:themeFill="accent5" w:themeFillTint="99"/>
      </w:tcPr>
    </w:tblStylePr>
    <w:tblStylePr w:type="band2Vert">
      <w:rPr>
        <w:rFonts w:asciiTheme="minorHAnsi" w:hAnsiTheme="minorHAnsi"/>
      </w:rPr>
      <w:tblPr/>
      <w:tcPr>
        <w:shd w:val="clear" w:color="auto" w:fill="E2E8F0" w:themeFill="accent5" w:themeFillTint="33"/>
      </w:tcPr>
    </w:tblStylePr>
    <w:tblStylePr w:type="band2Horz">
      <w:rPr>
        <w:rFonts w:asciiTheme="minorHAnsi" w:hAnsiTheme="minorHAnsi"/>
      </w:rPr>
      <w:tblPr/>
      <w:tcPr>
        <w:shd w:val="clear" w:color="auto" w:fill="E2E8F0" w:themeFill="accent5" w:themeFillTint="33"/>
      </w:tcPr>
    </w:tblStylePr>
  </w:style>
  <w:style w:type="table" w:customStyle="1" w:styleId="NavyTable111">
    <w:name w:val="Navy Table111"/>
    <w:basedOn w:val="TaupeTable"/>
    <w:uiPriority w:val="99"/>
    <w:qFormat/>
    <w:rsid w:val="00665A54"/>
    <w:tblPr>
      <w:tblBorders>
        <w:bottom w:val="single" w:sz="4" w:space="0" w:color="003359" w:themeColor="accent1"/>
        <w:insideH w:val="single" w:sz="4" w:space="0" w:color="003359" w:themeColor="accent1"/>
      </w:tblBorders>
    </w:tblPr>
    <w:tcPr>
      <w:shd w:val="clear" w:color="auto" w:fill="auto"/>
    </w:tcPr>
    <w:tblStylePr w:type="firstRow">
      <w:rPr>
        <w:b w:val="0"/>
        <w:color w:val="FFFFFF" w:themeColor="background1"/>
      </w:rPr>
      <w:tblPr/>
      <w:tcPr>
        <w:shd w:val="clear" w:color="auto" w:fill="003359" w:themeFill="accent1"/>
      </w:tcPr>
    </w:tblStylePr>
    <w:tblStylePr w:type="lastRow">
      <w:rPr>
        <w:rFonts w:asciiTheme="minorHAnsi" w:hAnsiTheme="minorHAnsi"/>
        <w:b/>
      </w:rPr>
      <w:tblPr/>
      <w:tcPr>
        <w:shd w:val="clear" w:color="auto" w:fill="95D1FF" w:themeFill="accent1" w:themeFillTint="40"/>
      </w:tcPr>
    </w:tblStylePr>
    <w:tblStylePr w:type="firstCol">
      <w:tblPr/>
      <w:tcPr>
        <w:shd w:val="clear" w:color="auto" w:fill="D4ECFF" w:themeFill="accent1" w:themeFillTint="1A"/>
      </w:tcPr>
    </w:tblStylePr>
    <w:tblStylePr w:type="lastCol">
      <w:tblPr/>
      <w:tcPr>
        <w:shd w:val="clear" w:color="auto" w:fill="95D1FF" w:themeFill="accent1" w:themeFillTint="40"/>
      </w:tcPr>
    </w:tblStylePr>
    <w:tblStylePr w:type="band2Vert">
      <w:rPr>
        <w:rFonts w:asciiTheme="minorHAnsi" w:hAnsiTheme="minorHAnsi"/>
      </w:rPr>
      <w:tblPr/>
      <w:tcPr>
        <w:shd w:val="clear" w:color="auto" w:fill="EBF6FF"/>
      </w:tcPr>
    </w:tblStylePr>
    <w:tblStylePr w:type="band2Horz">
      <w:rPr>
        <w:rFonts w:asciiTheme="minorHAnsi" w:hAnsiTheme="minorHAnsi"/>
      </w:rPr>
      <w:tblPr/>
      <w:tcPr>
        <w:shd w:val="clear" w:color="auto" w:fill="EBF6FF"/>
      </w:tcPr>
    </w:tblStylePr>
  </w:style>
  <w:style w:type="table" w:customStyle="1" w:styleId="NavyTableBorders111">
    <w:name w:val="Navy Table Borders111"/>
    <w:basedOn w:val="NavyTable"/>
    <w:uiPriority w:val="99"/>
    <w:qFormat/>
    <w:rsid w:val="00665A54"/>
    <w:tblPr>
      <w:tblBorders>
        <w:top w:val="single" w:sz="4" w:space="0" w:color="003359" w:themeColor="accent1"/>
        <w:left w:val="single" w:sz="4" w:space="0" w:color="003359" w:themeColor="accent1"/>
        <w:bottom w:val="none" w:sz="0" w:space="0" w:color="auto"/>
        <w:right w:val="single" w:sz="4" w:space="0" w:color="003359" w:themeColor="accent1"/>
        <w:insideH w:val="none" w:sz="0" w:space="0" w:color="auto"/>
        <w:insideV w:val="single" w:sz="4" w:space="0" w:color="003359" w:themeColor="accent1"/>
      </w:tblBorders>
    </w:tblPr>
    <w:tcPr>
      <w:shd w:val="clear" w:color="auto" w:fill="auto"/>
    </w:tcPr>
    <w:tblStylePr w:type="firstRow">
      <w:rPr>
        <w:b w:val="0"/>
        <w:color w:val="FFFFFF" w:themeColor="background1"/>
      </w:rPr>
      <w:tblPr/>
      <w:tcPr>
        <w:shd w:val="clear" w:color="auto" w:fill="003359" w:themeFill="accent1"/>
      </w:tcPr>
    </w:tblStylePr>
    <w:tblStylePr w:type="lastRow">
      <w:rPr>
        <w:rFonts w:asciiTheme="minorHAnsi" w:hAnsiTheme="minorHAnsi"/>
        <w:b/>
      </w:rPr>
      <w:tblPr/>
      <w:tcPr>
        <w:shd w:val="clear" w:color="auto" w:fill="95D1FF" w:themeFill="accent1" w:themeFillTint="40"/>
      </w:tcPr>
    </w:tblStylePr>
    <w:tblStylePr w:type="firstCol">
      <w:tblPr/>
      <w:tcPr>
        <w:shd w:val="clear" w:color="auto" w:fill="D4ECFF" w:themeFill="accent1" w:themeFillTint="1A"/>
      </w:tcPr>
    </w:tblStylePr>
    <w:tblStylePr w:type="lastCol">
      <w:tblPr/>
      <w:tcPr>
        <w:shd w:val="clear" w:color="auto" w:fill="95D1FF" w:themeFill="accent1" w:themeFillTint="40"/>
      </w:tcPr>
    </w:tblStylePr>
    <w:tblStylePr w:type="band2Vert">
      <w:rPr>
        <w:rFonts w:asciiTheme="minorHAnsi" w:hAnsiTheme="minorHAnsi"/>
      </w:rPr>
      <w:tblPr/>
      <w:tcPr>
        <w:shd w:val="clear" w:color="auto" w:fill="EBF6FF"/>
      </w:tcPr>
    </w:tblStylePr>
    <w:tblStylePr w:type="band2Horz">
      <w:rPr>
        <w:rFonts w:asciiTheme="minorHAnsi" w:hAnsiTheme="minorHAnsi"/>
      </w:rPr>
      <w:tblPr/>
      <w:tcPr>
        <w:shd w:val="clear" w:color="auto" w:fill="EBF6FF"/>
      </w:tcPr>
    </w:tblStylePr>
  </w:style>
  <w:style w:type="table" w:customStyle="1" w:styleId="OliveTable111">
    <w:name w:val="Olive Table111"/>
    <w:basedOn w:val="TaupeTable"/>
    <w:uiPriority w:val="99"/>
    <w:qFormat/>
    <w:rsid w:val="00665A54"/>
    <w:tblPr>
      <w:tblBorders>
        <w:bottom w:val="single" w:sz="4" w:space="0" w:color="878800" w:themeColor="accent4"/>
        <w:insideH w:val="single" w:sz="4" w:space="0" w:color="878800" w:themeColor="accent4"/>
      </w:tblBorders>
    </w:tblPr>
    <w:tcPr>
      <w:shd w:val="clear" w:color="auto" w:fill="auto"/>
    </w:tcPr>
    <w:tblStylePr w:type="firstRow">
      <w:rPr>
        <w:b w:val="0"/>
        <w:color w:val="FFFFFF" w:themeColor="background1"/>
      </w:rPr>
      <w:tblPr/>
      <w:tcPr>
        <w:shd w:val="clear" w:color="auto" w:fill="878800" w:themeFill="accent4"/>
      </w:tcPr>
    </w:tblStylePr>
    <w:tblStylePr w:type="lastRow">
      <w:rPr>
        <w:rFonts w:asciiTheme="minorHAnsi" w:hAnsiTheme="minorHAnsi"/>
        <w:b/>
      </w:rPr>
      <w:tblPr/>
      <w:tcPr>
        <w:shd w:val="clear" w:color="auto" w:fill="C9C6A3"/>
      </w:tcPr>
    </w:tblStylePr>
    <w:tblStylePr w:type="firstCol">
      <w:tblPr/>
      <w:tcPr>
        <w:shd w:val="clear" w:color="auto" w:fill="DBD9C3"/>
      </w:tcPr>
    </w:tblStylePr>
    <w:tblStylePr w:type="lastCol">
      <w:tblPr/>
      <w:tcPr>
        <w:shd w:val="clear" w:color="auto" w:fill="C9C6A3"/>
      </w:tcPr>
    </w:tblStylePr>
    <w:tblStylePr w:type="band2Vert">
      <w:rPr>
        <w:rFonts w:asciiTheme="minorHAnsi" w:hAnsiTheme="minorHAnsi"/>
      </w:rPr>
      <w:tblPr/>
      <w:tcPr>
        <w:shd w:val="clear" w:color="auto" w:fill="EEEDE2"/>
      </w:tcPr>
    </w:tblStylePr>
    <w:tblStylePr w:type="band2Horz">
      <w:rPr>
        <w:rFonts w:asciiTheme="minorHAnsi" w:hAnsiTheme="minorHAnsi"/>
      </w:rPr>
      <w:tblPr/>
      <w:tcPr>
        <w:shd w:val="clear" w:color="auto" w:fill="EEEDE2"/>
      </w:tcPr>
    </w:tblStylePr>
  </w:style>
  <w:style w:type="table" w:customStyle="1" w:styleId="OliveTableBorders111">
    <w:name w:val="Olive Table Borders111"/>
    <w:basedOn w:val="OliveTable"/>
    <w:uiPriority w:val="99"/>
    <w:qFormat/>
    <w:rsid w:val="00665A54"/>
    <w:tblPr>
      <w:tblBorders>
        <w:top w:val="single" w:sz="4" w:space="0" w:color="878800" w:themeColor="accent4"/>
        <w:left w:val="single" w:sz="4" w:space="0" w:color="878800" w:themeColor="accent4"/>
        <w:bottom w:val="none" w:sz="0" w:space="0" w:color="auto"/>
        <w:right w:val="single" w:sz="4" w:space="0" w:color="878800" w:themeColor="accent4"/>
        <w:insideH w:val="none" w:sz="0" w:space="0" w:color="auto"/>
        <w:insideV w:val="single" w:sz="4" w:space="0" w:color="878800" w:themeColor="accent4"/>
      </w:tblBorders>
    </w:tblPr>
    <w:tcPr>
      <w:shd w:val="clear" w:color="auto" w:fill="auto"/>
    </w:tcPr>
    <w:tblStylePr w:type="firstRow">
      <w:rPr>
        <w:b w:val="0"/>
        <w:color w:val="FFFFFF" w:themeColor="background1"/>
      </w:rPr>
      <w:tblPr/>
      <w:tcPr>
        <w:shd w:val="clear" w:color="auto" w:fill="878800" w:themeFill="accent4"/>
      </w:tcPr>
    </w:tblStylePr>
    <w:tblStylePr w:type="lastRow">
      <w:rPr>
        <w:rFonts w:asciiTheme="minorHAnsi" w:hAnsiTheme="minorHAnsi"/>
        <w:b/>
      </w:rPr>
      <w:tblPr/>
      <w:tcPr>
        <w:shd w:val="clear" w:color="auto" w:fill="C9C6A3"/>
      </w:tcPr>
    </w:tblStylePr>
    <w:tblStylePr w:type="firstCol">
      <w:tblPr/>
      <w:tcPr>
        <w:shd w:val="clear" w:color="auto" w:fill="DBD9C3"/>
      </w:tcPr>
    </w:tblStylePr>
    <w:tblStylePr w:type="lastCol">
      <w:tblPr/>
      <w:tcPr>
        <w:shd w:val="clear" w:color="auto" w:fill="C9C6A3"/>
      </w:tcPr>
    </w:tblStylePr>
    <w:tblStylePr w:type="band2Vert">
      <w:rPr>
        <w:rFonts w:asciiTheme="minorHAnsi" w:hAnsiTheme="minorHAnsi"/>
      </w:rPr>
      <w:tblPr/>
      <w:tcPr>
        <w:shd w:val="clear" w:color="auto" w:fill="EEEDE2"/>
      </w:tcPr>
    </w:tblStylePr>
    <w:tblStylePr w:type="band2Horz">
      <w:rPr>
        <w:rFonts w:asciiTheme="minorHAnsi" w:hAnsiTheme="minorHAnsi"/>
      </w:rPr>
      <w:tblPr/>
      <w:tcPr>
        <w:shd w:val="clear" w:color="auto" w:fill="EEEDE2"/>
      </w:tcPr>
    </w:tblStylePr>
  </w:style>
  <w:style w:type="table" w:customStyle="1" w:styleId="OrangeTable111">
    <w:name w:val="Orange Table111"/>
    <w:basedOn w:val="TaupeTable"/>
    <w:uiPriority w:val="99"/>
    <w:qFormat/>
    <w:rsid w:val="00665A54"/>
    <w:tblPr>
      <w:tblBorders>
        <w:bottom w:val="single" w:sz="4" w:space="0" w:color="D95E00" w:themeColor="accent2"/>
        <w:insideH w:val="single" w:sz="4" w:space="0" w:color="D95E00" w:themeColor="accent2"/>
      </w:tblBorders>
    </w:tblPr>
    <w:tcPr>
      <w:shd w:val="clear" w:color="auto" w:fill="auto"/>
    </w:tcPr>
    <w:tblStylePr w:type="firstRow">
      <w:rPr>
        <w:b w:val="0"/>
        <w:color w:val="FFFFFF" w:themeColor="background1"/>
      </w:rPr>
      <w:tblPr/>
      <w:tcPr>
        <w:shd w:val="clear" w:color="auto" w:fill="D95E00" w:themeFill="accent2"/>
      </w:tcPr>
    </w:tblStylePr>
    <w:tblStylePr w:type="lastRow">
      <w:rPr>
        <w:rFonts w:asciiTheme="minorHAnsi" w:hAnsiTheme="minorHAnsi"/>
        <w:b/>
      </w:rPr>
      <w:tblPr/>
      <w:tcPr>
        <w:shd w:val="clear" w:color="auto" w:fill="DEB892"/>
      </w:tcPr>
    </w:tblStylePr>
    <w:tblStylePr w:type="firstCol">
      <w:tblPr/>
      <w:tcPr>
        <w:shd w:val="clear" w:color="auto" w:fill="E8CDB2"/>
      </w:tcPr>
    </w:tblStylePr>
    <w:tblStylePr w:type="lastCol">
      <w:tblPr/>
      <w:tcPr>
        <w:shd w:val="clear" w:color="auto" w:fill="DEB892"/>
      </w:tcPr>
    </w:tblStylePr>
    <w:tblStylePr w:type="band2Vert">
      <w:rPr>
        <w:rFonts w:asciiTheme="minorHAnsi" w:hAnsiTheme="minorHAnsi"/>
      </w:rPr>
      <w:tblPr/>
      <w:tcPr>
        <w:shd w:val="clear" w:color="auto" w:fill="F3E4D5"/>
      </w:tcPr>
    </w:tblStylePr>
    <w:tblStylePr w:type="band2Horz">
      <w:rPr>
        <w:rFonts w:asciiTheme="minorHAnsi" w:hAnsiTheme="minorHAnsi"/>
      </w:rPr>
      <w:tblPr/>
      <w:tcPr>
        <w:shd w:val="clear" w:color="auto" w:fill="F3E4D5"/>
      </w:tcPr>
    </w:tblStylePr>
  </w:style>
  <w:style w:type="table" w:customStyle="1" w:styleId="OrangeTableBorders111">
    <w:name w:val="Orange Table Borders111"/>
    <w:basedOn w:val="OrangeTable"/>
    <w:uiPriority w:val="99"/>
    <w:qFormat/>
    <w:rsid w:val="00665A54"/>
    <w:tblPr>
      <w:tblBorders>
        <w:top w:val="single" w:sz="4" w:space="0" w:color="D95E00" w:themeColor="accent2"/>
        <w:left w:val="single" w:sz="4" w:space="0" w:color="D95E00" w:themeColor="accent2"/>
        <w:bottom w:val="none" w:sz="0" w:space="0" w:color="auto"/>
        <w:right w:val="single" w:sz="4" w:space="0" w:color="D95E00" w:themeColor="accent2"/>
        <w:insideH w:val="none" w:sz="0" w:space="0" w:color="auto"/>
        <w:insideV w:val="single" w:sz="4" w:space="0" w:color="D95E00" w:themeColor="accent2"/>
      </w:tblBorders>
    </w:tblPr>
    <w:tcPr>
      <w:shd w:val="clear" w:color="auto" w:fill="auto"/>
    </w:tcPr>
    <w:tblStylePr w:type="firstRow">
      <w:rPr>
        <w:b w:val="0"/>
        <w:color w:val="FFFFFF" w:themeColor="background1"/>
      </w:rPr>
      <w:tblPr/>
      <w:tcPr>
        <w:shd w:val="clear" w:color="auto" w:fill="D95E00" w:themeFill="accent2"/>
      </w:tcPr>
    </w:tblStylePr>
    <w:tblStylePr w:type="lastRow">
      <w:rPr>
        <w:rFonts w:asciiTheme="minorHAnsi" w:hAnsiTheme="minorHAnsi"/>
        <w:b/>
      </w:rPr>
      <w:tblPr/>
      <w:tcPr>
        <w:shd w:val="clear" w:color="auto" w:fill="DEB892"/>
      </w:tcPr>
    </w:tblStylePr>
    <w:tblStylePr w:type="firstCol">
      <w:tblPr/>
      <w:tcPr>
        <w:shd w:val="clear" w:color="auto" w:fill="E8CDB2"/>
      </w:tcPr>
    </w:tblStylePr>
    <w:tblStylePr w:type="lastCol">
      <w:tblPr/>
      <w:tcPr>
        <w:shd w:val="clear" w:color="auto" w:fill="DEB892"/>
      </w:tcPr>
    </w:tblStylePr>
    <w:tblStylePr w:type="band2Vert">
      <w:rPr>
        <w:rFonts w:asciiTheme="minorHAnsi" w:hAnsiTheme="minorHAnsi"/>
      </w:rPr>
      <w:tblPr/>
      <w:tcPr>
        <w:shd w:val="clear" w:color="auto" w:fill="F3E4D5"/>
      </w:tcPr>
    </w:tblStylePr>
    <w:tblStylePr w:type="band2Horz">
      <w:rPr>
        <w:rFonts w:asciiTheme="minorHAnsi" w:hAnsiTheme="minorHAnsi"/>
      </w:rPr>
      <w:tblPr/>
      <w:tcPr>
        <w:shd w:val="clear" w:color="auto" w:fill="F3E4D5"/>
      </w:tcPr>
    </w:tblStylePr>
  </w:style>
  <w:style w:type="table" w:customStyle="1" w:styleId="TaupeTableBorders111">
    <w:name w:val="Taupe Table Borders111"/>
    <w:basedOn w:val="TaupeTable"/>
    <w:uiPriority w:val="99"/>
    <w:qFormat/>
    <w:rsid w:val="00665A54"/>
    <w:tblPr>
      <w:tblBorders>
        <w:top w:val="single" w:sz="4" w:space="0" w:color="988F86" w:themeColor="accent3"/>
        <w:left w:val="single" w:sz="4" w:space="0" w:color="988F86" w:themeColor="accent3"/>
        <w:bottom w:val="single" w:sz="4" w:space="0" w:color="988F86" w:themeColor="accent3"/>
        <w:right w:val="single" w:sz="4" w:space="0" w:color="988F86" w:themeColor="accent3"/>
        <w:insideH w:val="single" w:sz="4" w:space="0" w:color="988F86" w:themeColor="accent3"/>
        <w:insideV w:val="single" w:sz="4" w:space="0" w:color="988F86" w:themeColor="accent3"/>
      </w:tblBorders>
    </w:tblPr>
    <w:tcPr>
      <w:shd w:val="clear" w:color="auto" w:fill="auto"/>
    </w:tcPr>
    <w:tblStylePr w:type="firstRow">
      <w:rPr>
        <w:b w:val="0"/>
        <w:color w:val="FFFFFF" w:themeColor="background1"/>
      </w:rPr>
      <w:tblPr/>
      <w:tcPr>
        <w:shd w:val="clear" w:color="auto" w:fill="988F86" w:themeFill="accent3"/>
      </w:tcPr>
    </w:tblStylePr>
    <w:tblStylePr w:type="lastRow">
      <w:rPr>
        <w:rFonts w:asciiTheme="minorHAnsi" w:hAnsiTheme="minorHAnsi"/>
        <w:b/>
      </w:rPr>
      <w:tblPr/>
      <w:tcPr>
        <w:shd w:val="clear" w:color="auto" w:fill="C1BBB6" w:themeFill="accent3" w:themeFillTint="99"/>
      </w:tcPr>
    </w:tblStylePr>
    <w:tblStylePr w:type="firstCol">
      <w:tblPr/>
      <w:tcPr>
        <w:shd w:val="clear" w:color="auto" w:fill="D5D2CE" w:themeFill="accent3" w:themeFillTint="66"/>
      </w:tcPr>
    </w:tblStylePr>
    <w:tblStylePr w:type="lastCol">
      <w:tblPr/>
      <w:tcPr>
        <w:shd w:val="clear" w:color="auto" w:fill="C1BBB6" w:themeFill="accent3" w:themeFillTint="99"/>
      </w:tcPr>
    </w:tblStylePr>
    <w:tblStylePr w:type="band2Vert">
      <w:rPr>
        <w:rFonts w:asciiTheme="minorHAnsi" w:hAnsiTheme="minorHAnsi"/>
      </w:rPr>
      <w:tblPr/>
      <w:tcPr>
        <w:shd w:val="clear" w:color="auto" w:fill="EAE8E6" w:themeFill="accent3" w:themeFillTint="33"/>
      </w:tcPr>
    </w:tblStylePr>
    <w:tblStylePr w:type="band2Horz">
      <w:rPr>
        <w:rFonts w:asciiTheme="minorHAnsi" w:hAnsiTheme="minorHAnsi"/>
      </w:rPr>
      <w:tblPr/>
      <w:tcPr>
        <w:shd w:val="clear" w:color="auto" w:fill="EAE8E6" w:themeFill="accent3" w:themeFillTint="33"/>
      </w:tcPr>
    </w:tblStylePr>
  </w:style>
  <w:style w:type="table" w:customStyle="1" w:styleId="TableGrid1511">
    <w:name w:val="Table Grid1511"/>
    <w:basedOn w:val="TableNormal"/>
    <w:next w:val="TableGrid"/>
    <w:uiPriority w:val="39"/>
    <w:rsid w:val="00665A54"/>
    <w:pPr>
      <w:spacing w:before="0" w:after="0"/>
      <w:ind w:left="0" w:firstLine="0"/>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0">
    <w:name w:val="Table Grid2111"/>
    <w:basedOn w:val="TableNormal"/>
    <w:next w:val="TableGrid"/>
    <w:uiPriority w:val="39"/>
    <w:rsid w:val="00665A54"/>
    <w:pPr>
      <w:spacing w:before="0" w:after="0"/>
      <w:ind w:left="0" w:firstLine="0"/>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0">
    <w:name w:val="Table Grid3111"/>
    <w:basedOn w:val="TableNormal"/>
    <w:next w:val="TableGrid"/>
    <w:uiPriority w:val="39"/>
    <w:rsid w:val="00665A54"/>
    <w:pPr>
      <w:spacing w:before="0" w:after="0"/>
      <w:ind w:left="0" w:firstLine="0"/>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0">
    <w:name w:val="Table Grid4111"/>
    <w:basedOn w:val="TableNormal"/>
    <w:next w:val="TableGrid"/>
    <w:uiPriority w:val="39"/>
    <w:rsid w:val="00665A54"/>
    <w:pPr>
      <w:spacing w:before="0" w:after="0"/>
      <w:ind w:left="0" w:firstLine="0"/>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ardnoTableNavy311">
    <w:name w:val="Cardno Table Navy311"/>
    <w:basedOn w:val="TableNormal"/>
    <w:uiPriority w:val="99"/>
    <w:qFormat/>
    <w:rsid w:val="00665A54"/>
    <w:pPr>
      <w:spacing w:before="0" w:after="0"/>
      <w:ind w:left="0" w:firstLine="0"/>
    </w:pPr>
    <w:rPr>
      <w:rFonts w:asciiTheme="minorHAnsi" w:hAnsiTheme="minorHAnsi"/>
      <w:sz w:val="20"/>
      <w:szCs w:val="20"/>
      <w:lang w:val="en-US" w:eastAsia="en-US"/>
    </w:rPr>
    <w:tblPr>
      <w:tblBorders>
        <w:bottom w:val="single" w:sz="4" w:space="0" w:color="C1BBB6" w:themeColor="accent3" w:themeTint="99"/>
        <w:insideH w:val="single" w:sz="4" w:space="0" w:color="C1BBB6" w:themeColor="accent3" w:themeTint="99"/>
      </w:tblBorders>
    </w:tblPr>
    <w:tcPr>
      <w:tcMar>
        <w:top w:w="57" w:type="dxa"/>
        <w:bottom w:w="57" w:type="dxa"/>
      </w:tcMar>
    </w:tcPr>
    <w:tblStylePr w:type="firstRow">
      <w:rPr>
        <w:color w:val="FFFFFF" w:themeColor="background1"/>
      </w:rPr>
      <w:tblPr/>
      <w:trPr>
        <w:tblHeader/>
      </w:trPr>
      <w:tcPr>
        <w:shd w:val="clear" w:color="auto" w:fill="003359" w:themeFill="accent1"/>
      </w:tcPr>
    </w:tblStylePr>
  </w:style>
  <w:style w:type="table" w:customStyle="1" w:styleId="CardnoTable11">
    <w:name w:val="Cardno Table11"/>
    <w:basedOn w:val="TableNormal"/>
    <w:uiPriority w:val="99"/>
    <w:rsid w:val="00665A54"/>
    <w:pPr>
      <w:spacing w:before="0" w:after="0"/>
      <w:ind w:left="0" w:firstLine="0"/>
    </w:pPr>
    <w:rPr>
      <w:rFonts w:ascii="Arial" w:hAnsi="Arial"/>
      <w:sz w:val="16"/>
    </w:rPr>
    <w:tblPr>
      <w:tblBorders>
        <w:top w:val="single" w:sz="4" w:space="0" w:color="988F86" w:themeColor="accent3"/>
        <w:bottom w:val="single" w:sz="4" w:space="0" w:color="988F86" w:themeColor="accent3"/>
        <w:insideH w:val="single" w:sz="6" w:space="0" w:color="988F86" w:themeColor="accent3"/>
      </w:tblBorders>
    </w:tblPr>
    <w:tcPr>
      <w:tcMar>
        <w:top w:w="57" w:type="dxa"/>
        <w:bottom w:w="57" w:type="dxa"/>
      </w:tcMar>
    </w:tcPr>
    <w:tblStylePr w:type="firstRow">
      <w:pPr>
        <w:jc w:val="center"/>
      </w:pPr>
      <w:rPr>
        <w:rFonts w:ascii="Arial" w:hAnsi="Arial"/>
        <w:b/>
        <w:color w:val="FFFFFF" w:themeColor="background1"/>
        <w:sz w:val="16"/>
      </w:rPr>
      <w:tblPr/>
      <w:tcPr>
        <w:shd w:val="clear" w:color="auto" w:fill="988F86" w:themeFill="accent3"/>
        <w:vAlign w:val="center"/>
      </w:tcPr>
    </w:tblStylePr>
  </w:style>
  <w:style w:type="table" w:customStyle="1" w:styleId="LightList-Accent111">
    <w:name w:val="Light List - Accent 111"/>
    <w:basedOn w:val="TableNormal"/>
    <w:next w:val="LightList-Accent1"/>
    <w:uiPriority w:val="61"/>
    <w:rsid w:val="00665A54"/>
    <w:pPr>
      <w:spacing w:before="0" w:after="0"/>
    </w:pPr>
    <w:tblPr>
      <w:tblStyleRowBandSize w:val="1"/>
      <w:tblStyleColBandSize w:val="1"/>
      <w:tblBorders>
        <w:top w:val="single" w:sz="8" w:space="0" w:color="003359" w:themeColor="accent1"/>
        <w:left w:val="single" w:sz="8" w:space="0" w:color="003359" w:themeColor="accent1"/>
        <w:bottom w:val="single" w:sz="8" w:space="0" w:color="003359" w:themeColor="accent1"/>
        <w:right w:val="single" w:sz="8" w:space="0" w:color="003359" w:themeColor="accent1"/>
      </w:tblBorders>
    </w:tblPr>
    <w:tblStylePr w:type="firstRow">
      <w:pPr>
        <w:spacing w:before="0" w:after="0" w:line="240" w:lineRule="auto"/>
      </w:pPr>
      <w:rPr>
        <w:b/>
        <w:bCs/>
        <w:color w:val="FFFFFF" w:themeColor="background1"/>
      </w:rPr>
      <w:tblPr/>
      <w:tcPr>
        <w:shd w:val="clear" w:color="auto" w:fill="003359" w:themeFill="accent1"/>
      </w:tcPr>
    </w:tblStylePr>
    <w:tblStylePr w:type="lastRow">
      <w:pPr>
        <w:spacing w:before="0" w:after="0" w:line="240" w:lineRule="auto"/>
      </w:pPr>
      <w:rPr>
        <w:b/>
        <w:bCs/>
      </w:rPr>
      <w:tblPr/>
      <w:tcPr>
        <w:tcBorders>
          <w:top w:val="double" w:sz="6" w:space="0" w:color="003359" w:themeColor="accent1"/>
          <w:left w:val="single" w:sz="8" w:space="0" w:color="003359" w:themeColor="accent1"/>
          <w:bottom w:val="single" w:sz="8" w:space="0" w:color="003359" w:themeColor="accent1"/>
          <w:right w:val="single" w:sz="8" w:space="0" w:color="003359" w:themeColor="accent1"/>
        </w:tcBorders>
      </w:tcPr>
    </w:tblStylePr>
    <w:tblStylePr w:type="firstCol">
      <w:rPr>
        <w:b/>
        <w:bCs/>
      </w:rPr>
    </w:tblStylePr>
    <w:tblStylePr w:type="lastCol">
      <w:rPr>
        <w:b/>
        <w:bCs/>
      </w:rPr>
    </w:tblStylePr>
    <w:tblStylePr w:type="band1Vert">
      <w:tblPr/>
      <w:tcPr>
        <w:tcBorders>
          <w:top w:val="single" w:sz="8" w:space="0" w:color="003359" w:themeColor="accent1"/>
          <w:left w:val="single" w:sz="8" w:space="0" w:color="003359" w:themeColor="accent1"/>
          <w:bottom w:val="single" w:sz="8" w:space="0" w:color="003359" w:themeColor="accent1"/>
          <w:right w:val="single" w:sz="8" w:space="0" w:color="003359" w:themeColor="accent1"/>
        </w:tcBorders>
      </w:tcPr>
    </w:tblStylePr>
    <w:tblStylePr w:type="band1Horz">
      <w:tblPr/>
      <w:tcPr>
        <w:tcBorders>
          <w:top w:val="single" w:sz="8" w:space="0" w:color="003359" w:themeColor="accent1"/>
          <w:left w:val="single" w:sz="8" w:space="0" w:color="003359" w:themeColor="accent1"/>
          <w:bottom w:val="single" w:sz="8" w:space="0" w:color="003359" w:themeColor="accent1"/>
          <w:right w:val="single" w:sz="8" w:space="0" w:color="003359" w:themeColor="accent1"/>
        </w:tcBorders>
      </w:tcPr>
    </w:tblStylePr>
  </w:style>
  <w:style w:type="table" w:customStyle="1" w:styleId="MediumShading1-Accent521">
    <w:name w:val="Medium Shading 1 - Accent 521"/>
    <w:basedOn w:val="TableNormal"/>
    <w:next w:val="MediumShading1-Accent5"/>
    <w:uiPriority w:val="63"/>
    <w:rsid w:val="00665A54"/>
    <w:pPr>
      <w:spacing w:before="0" w:after="0"/>
    </w:pPr>
    <w:tblPr>
      <w:tblStyleRowBandSize w:val="1"/>
      <w:tblStyleColBandSize w:val="1"/>
      <w:tblBorders>
        <w:top w:val="single" w:sz="8" w:space="0" w:color="93ABC9" w:themeColor="accent5" w:themeTint="BF"/>
        <w:left w:val="single" w:sz="8" w:space="0" w:color="93ABC9" w:themeColor="accent5" w:themeTint="BF"/>
        <w:bottom w:val="single" w:sz="8" w:space="0" w:color="93ABC9" w:themeColor="accent5" w:themeTint="BF"/>
        <w:right w:val="single" w:sz="8" w:space="0" w:color="93ABC9" w:themeColor="accent5" w:themeTint="BF"/>
        <w:insideH w:val="single" w:sz="8" w:space="0" w:color="93ABC9" w:themeColor="accent5" w:themeTint="BF"/>
      </w:tblBorders>
    </w:tblPr>
    <w:tblStylePr w:type="firstRow">
      <w:pPr>
        <w:spacing w:before="0" w:after="0" w:line="240" w:lineRule="auto"/>
      </w:pPr>
      <w:rPr>
        <w:b/>
        <w:bCs/>
        <w:color w:val="FFFFFF" w:themeColor="background1"/>
      </w:rPr>
      <w:tblPr/>
      <w:tcPr>
        <w:tcBorders>
          <w:top w:val="single" w:sz="8" w:space="0" w:color="93ABC9" w:themeColor="accent5" w:themeTint="BF"/>
          <w:left w:val="single" w:sz="8" w:space="0" w:color="93ABC9" w:themeColor="accent5" w:themeTint="BF"/>
          <w:bottom w:val="single" w:sz="8" w:space="0" w:color="93ABC9" w:themeColor="accent5" w:themeTint="BF"/>
          <w:right w:val="single" w:sz="8" w:space="0" w:color="93ABC9" w:themeColor="accent5" w:themeTint="BF"/>
          <w:insideH w:val="nil"/>
          <w:insideV w:val="nil"/>
        </w:tcBorders>
        <w:shd w:val="clear" w:color="auto" w:fill="7090B7" w:themeFill="accent5"/>
      </w:tcPr>
    </w:tblStylePr>
    <w:tblStylePr w:type="lastRow">
      <w:pPr>
        <w:spacing w:before="0" w:after="0" w:line="240" w:lineRule="auto"/>
      </w:pPr>
      <w:rPr>
        <w:b/>
        <w:bCs/>
      </w:rPr>
      <w:tblPr/>
      <w:tcPr>
        <w:tcBorders>
          <w:top w:val="double" w:sz="6" w:space="0" w:color="93ABC9" w:themeColor="accent5" w:themeTint="BF"/>
          <w:left w:val="single" w:sz="8" w:space="0" w:color="93ABC9" w:themeColor="accent5" w:themeTint="BF"/>
          <w:bottom w:val="single" w:sz="8" w:space="0" w:color="93ABC9" w:themeColor="accent5" w:themeTint="BF"/>
          <w:right w:val="single" w:sz="8" w:space="0" w:color="93ABC9" w:themeColor="accent5" w:themeTint="BF"/>
          <w:insideH w:val="nil"/>
          <w:insideV w:val="nil"/>
        </w:tcBorders>
      </w:tcPr>
    </w:tblStylePr>
    <w:tblStylePr w:type="firstCol">
      <w:rPr>
        <w:b/>
        <w:bCs/>
      </w:rPr>
    </w:tblStylePr>
    <w:tblStylePr w:type="lastCol">
      <w:rPr>
        <w:b/>
        <w:bCs/>
      </w:rPr>
    </w:tblStylePr>
    <w:tblStylePr w:type="band1Vert">
      <w:tblPr/>
      <w:tcPr>
        <w:shd w:val="clear" w:color="auto" w:fill="DBE3ED" w:themeFill="accent5" w:themeFillTint="3F"/>
      </w:tcPr>
    </w:tblStylePr>
    <w:tblStylePr w:type="band1Horz">
      <w:tblPr/>
      <w:tcPr>
        <w:tcBorders>
          <w:insideH w:val="nil"/>
          <w:insideV w:val="nil"/>
        </w:tcBorders>
        <w:shd w:val="clear" w:color="auto" w:fill="DBE3ED" w:themeFill="accent5" w:themeFillTint="3F"/>
      </w:tcPr>
    </w:tblStylePr>
    <w:tblStylePr w:type="band2Horz">
      <w:tblPr/>
      <w:tcPr>
        <w:tcBorders>
          <w:insideH w:val="nil"/>
          <w:insideV w:val="nil"/>
        </w:tcBorders>
      </w:tcPr>
    </w:tblStylePr>
  </w:style>
  <w:style w:type="table" w:customStyle="1" w:styleId="TableGrid1611">
    <w:name w:val="Table Grid1611"/>
    <w:basedOn w:val="TableNormal"/>
    <w:next w:val="TableGrid"/>
    <w:uiPriority w:val="59"/>
    <w:rsid w:val="00665A54"/>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1">
    <w:name w:val="Table Grid1711"/>
    <w:basedOn w:val="TableNormal"/>
    <w:next w:val="TableGrid"/>
    <w:uiPriority w:val="59"/>
    <w:rsid w:val="00665A54"/>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next w:val="TableGrid"/>
    <w:uiPriority w:val="59"/>
    <w:rsid w:val="00665A54"/>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1">
    <w:name w:val="Table Grid1911"/>
    <w:basedOn w:val="TableNormal"/>
    <w:next w:val="TableGrid"/>
    <w:uiPriority w:val="59"/>
    <w:rsid w:val="00665A54"/>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1">
    <w:name w:val="Table Grid2011"/>
    <w:basedOn w:val="TableNormal"/>
    <w:next w:val="TableGrid"/>
    <w:uiPriority w:val="59"/>
    <w:rsid w:val="00665A54"/>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
    <w:name w:val="Table Grid2211"/>
    <w:basedOn w:val="TableNormal"/>
    <w:next w:val="TableGrid"/>
    <w:uiPriority w:val="59"/>
    <w:rsid w:val="00665A54"/>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next w:val="TableGrid"/>
    <w:uiPriority w:val="59"/>
    <w:rsid w:val="00665A54"/>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5111">
    <w:name w:val="Medium Shading 1 - Accent 5111"/>
    <w:basedOn w:val="TableNormal"/>
    <w:next w:val="MediumShading1-Accent5"/>
    <w:uiPriority w:val="63"/>
    <w:rsid w:val="00665A54"/>
    <w:pPr>
      <w:spacing w:before="0" w:after="0"/>
      <w:ind w:left="0" w:firstLine="0"/>
    </w:pPr>
    <w:rPr>
      <w:rFonts w:ascii="Calibri" w:eastAsia="Calibri" w:hAnsi="Calibri"/>
      <w:lang w:eastAsia="en-US"/>
    </w:rPr>
    <w:tblPr>
      <w:tblStyleRowBandSize w:val="1"/>
      <w:tblStyleColBandSize w:val="1"/>
      <w:tblBorders>
        <w:top w:val="single" w:sz="8" w:space="0" w:color="7295D2"/>
        <w:left w:val="single" w:sz="8" w:space="0" w:color="7295D2"/>
        <w:bottom w:val="single" w:sz="8" w:space="0" w:color="7295D2"/>
        <w:right w:val="single" w:sz="8" w:space="0" w:color="7295D2"/>
        <w:insideH w:val="single" w:sz="8" w:space="0" w:color="7295D2"/>
      </w:tblBorders>
    </w:tblPr>
    <w:tblStylePr w:type="firstRow">
      <w:pPr>
        <w:spacing w:before="0" w:after="0" w:line="240" w:lineRule="auto"/>
      </w:pPr>
      <w:rPr>
        <w:b/>
        <w:bCs/>
        <w:color w:val="FFFFFF"/>
      </w:rPr>
      <w:tblPr/>
      <w:tcPr>
        <w:tcBorders>
          <w:top w:val="single" w:sz="8" w:space="0" w:color="7295D2"/>
          <w:left w:val="single" w:sz="8" w:space="0" w:color="7295D2"/>
          <w:bottom w:val="single" w:sz="8" w:space="0" w:color="7295D2"/>
          <w:right w:val="single" w:sz="8" w:space="0" w:color="7295D2"/>
          <w:insideH w:val="nil"/>
          <w:insideV w:val="nil"/>
        </w:tcBorders>
        <w:shd w:val="clear" w:color="auto" w:fill="4472C4"/>
      </w:tcPr>
    </w:tblStylePr>
    <w:tblStylePr w:type="lastRow">
      <w:pPr>
        <w:spacing w:before="0" w:after="0" w:line="240" w:lineRule="auto"/>
      </w:pPr>
      <w:rPr>
        <w:b/>
        <w:bCs/>
      </w:rPr>
      <w:tblPr/>
      <w:tcPr>
        <w:tcBorders>
          <w:top w:val="double" w:sz="6" w:space="0" w:color="7295D2"/>
          <w:left w:val="single" w:sz="8" w:space="0" w:color="7295D2"/>
          <w:bottom w:val="single" w:sz="8" w:space="0" w:color="7295D2"/>
          <w:right w:val="single" w:sz="8" w:space="0" w:color="7295D2"/>
          <w:insideH w:val="nil"/>
          <w:insideV w:val="nil"/>
        </w:tcBorders>
      </w:tcPr>
    </w:tblStylePr>
    <w:tblStylePr w:type="firstCol">
      <w:rPr>
        <w:b/>
        <w:bCs/>
      </w:rPr>
    </w:tblStylePr>
    <w:tblStylePr w:type="lastCol">
      <w:rPr>
        <w:b/>
        <w:bCs/>
      </w:rPr>
    </w:tblStylePr>
    <w:tblStylePr w:type="band1Vert">
      <w:tblPr/>
      <w:tcPr>
        <w:shd w:val="clear" w:color="auto" w:fill="D0DBF0"/>
      </w:tcPr>
    </w:tblStylePr>
    <w:tblStylePr w:type="band1Horz">
      <w:tblPr/>
      <w:tcPr>
        <w:tcBorders>
          <w:insideH w:val="nil"/>
          <w:insideV w:val="nil"/>
        </w:tcBorders>
        <w:shd w:val="clear" w:color="auto" w:fill="D0DBF0"/>
      </w:tcPr>
    </w:tblStylePr>
    <w:tblStylePr w:type="band2Horz">
      <w:tblPr/>
      <w:tcPr>
        <w:tcBorders>
          <w:insideH w:val="nil"/>
          <w:insideV w:val="nil"/>
        </w:tcBorders>
      </w:tcPr>
    </w:tblStylePr>
  </w:style>
  <w:style w:type="numbering" w:customStyle="1" w:styleId="NoList211">
    <w:name w:val="No List211"/>
    <w:next w:val="NoList"/>
    <w:uiPriority w:val="99"/>
    <w:semiHidden/>
    <w:unhideWhenUsed/>
    <w:rsid w:val="00665A54"/>
  </w:style>
  <w:style w:type="numbering" w:customStyle="1" w:styleId="NoList311">
    <w:name w:val="No List311"/>
    <w:next w:val="NoList"/>
    <w:uiPriority w:val="99"/>
    <w:semiHidden/>
    <w:unhideWhenUsed/>
    <w:rsid w:val="00665A54"/>
  </w:style>
  <w:style w:type="numbering" w:customStyle="1" w:styleId="NoList411">
    <w:name w:val="No List411"/>
    <w:next w:val="NoList"/>
    <w:uiPriority w:val="99"/>
    <w:semiHidden/>
    <w:unhideWhenUsed/>
    <w:rsid w:val="00665A54"/>
  </w:style>
  <w:style w:type="table" w:customStyle="1" w:styleId="TableGrid2411">
    <w:name w:val="Table Grid2411"/>
    <w:basedOn w:val="TableNormal"/>
    <w:next w:val="TableGrid"/>
    <w:uiPriority w:val="39"/>
    <w:rsid w:val="00665A54"/>
    <w:pPr>
      <w:spacing w:before="0" w:after="0"/>
      <w:ind w:left="0" w:firstLine="0"/>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next w:val="TableGrid"/>
    <w:uiPriority w:val="59"/>
    <w:rsid w:val="00665A54"/>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next w:val="TableGrid"/>
    <w:uiPriority w:val="59"/>
    <w:rsid w:val="00665A54"/>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next w:val="TableGrid"/>
    <w:uiPriority w:val="59"/>
    <w:rsid w:val="00665A54"/>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31">
    <w:name w:val="Plain Table31"/>
    <w:basedOn w:val="TableNormal"/>
    <w:next w:val="TableGrid"/>
    <w:uiPriority w:val="39"/>
    <w:rsid w:val="00665A54"/>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21">
    <w:name w:val="Table Grid2721"/>
    <w:basedOn w:val="TableNormal"/>
    <w:next w:val="TableGrid"/>
    <w:uiPriority w:val="59"/>
    <w:rsid w:val="00665A54"/>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next w:val="TableGrid"/>
    <w:uiPriority w:val="59"/>
    <w:rsid w:val="00665A54"/>
    <w:pPr>
      <w:spacing w:before="0" w:after="0"/>
      <w:ind w:left="0" w:firstLine="0"/>
    </w:pPr>
    <w:rPr>
      <w:rFonts w:ascii="Cambria" w:eastAsia="Cambria" w:hAnsi="Cambr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3-Accent515">
    <w:name w:val="List Table 3 - Accent 515"/>
    <w:basedOn w:val="TableNormal"/>
    <w:uiPriority w:val="48"/>
    <w:rsid w:val="004D58B7"/>
    <w:pPr>
      <w:spacing w:before="0" w:after="0"/>
      <w:ind w:left="0" w:firstLine="0"/>
    </w:pPr>
    <w:rPr>
      <w:rFonts w:asciiTheme="minorHAnsi" w:eastAsiaTheme="minorHAnsi" w:hAnsiTheme="minorHAnsi" w:cstheme="minorBidi"/>
      <w:lang w:eastAsia="en-US"/>
    </w:rPr>
    <w:tblPr>
      <w:tblStyleRowBandSize w:val="1"/>
      <w:tblStyleColBandSize w:val="1"/>
      <w:tblBorders>
        <w:top w:val="single" w:sz="4" w:space="0" w:color="7090B7" w:themeColor="accent5"/>
        <w:left w:val="single" w:sz="4" w:space="0" w:color="7090B7" w:themeColor="accent5"/>
        <w:bottom w:val="single" w:sz="4" w:space="0" w:color="7090B7" w:themeColor="accent5"/>
        <w:right w:val="single" w:sz="4" w:space="0" w:color="7090B7" w:themeColor="accent5"/>
      </w:tblBorders>
    </w:tblPr>
    <w:tblStylePr w:type="firstRow">
      <w:rPr>
        <w:b/>
        <w:bCs/>
        <w:color w:val="FFFFFF" w:themeColor="background1"/>
      </w:rPr>
      <w:tblPr/>
      <w:tcPr>
        <w:shd w:val="clear" w:color="auto" w:fill="7090B7" w:themeFill="accent5"/>
      </w:tcPr>
    </w:tblStylePr>
    <w:tblStylePr w:type="lastRow">
      <w:rPr>
        <w:b/>
        <w:bCs/>
      </w:rPr>
      <w:tblPr/>
      <w:tcPr>
        <w:tcBorders>
          <w:top w:val="double" w:sz="4" w:space="0" w:color="7090B7"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90B7" w:themeColor="accent5"/>
          <w:right w:val="single" w:sz="4" w:space="0" w:color="7090B7" w:themeColor="accent5"/>
        </w:tcBorders>
      </w:tcPr>
    </w:tblStylePr>
    <w:tblStylePr w:type="band1Horz">
      <w:tblPr/>
      <w:tcPr>
        <w:tcBorders>
          <w:top w:val="single" w:sz="4" w:space="0" w:color="7090B7" w:themeColor="accent5"/>
          <w:bottom w:val="single" w:sz="4" w:space="0" w:color="7090B7"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90B7" w:themeColor="accent5"/>
          <w:left w:val="nil"/>
        </w:tcBorders>
      </w:tcPr>
    </w:tblStylePr>
    <w:tblStylePr w:type="swCell">
      <w:tblPr/>
      <w:tcPr>
        <w:tcBorders>
          <w:top w:val="double" w:sz="4" w:space="0" w:color="7090B7" w:themeColor="accent5"/>
          <w:right w:val="nil"/>
        </w:tcBorders>
      </w:tcPr>
    </w:tblStylePr>
  </w:style>
  <w:style w:type="table" w:customStyle="1" w:styleId="ListTable3-Accent5113">
    <w:name w:val="List Table 3 - Accent 5113"/>
    <w:basedOn w:val="TableNormal"/>
    <w:uiPriority w:val="48"/>
    <w:rsid w:val="004D58B7"/>
    <w:pPr>
      <w:spacing w:before="0" w:after="0"/>
      <w:ind w:left="0" w:firstLine="0"/>
    </w:pPr>
    <w:rPr>
      <w:rFonts w:asciiTheme="minorHAnsi" w:eastAsiaTheme="minorHAnsi" w:hAnsiTheme="minorHAnsi" w:cstheme="minorBidi"/>
      <w:lang w:eastAsia="en-US"/>
    </w:rPr>
    <w:tblPr>
      <w:tblStyleRowBandSize w:val="1"/>
      <w:tblStyleColBandSize w:val="1"/>
      <w:tblBorders>
        <w:top w:val="single" w:sz="4" w:space="0" w:color="7090B7" w:themeColor="accent5"/>
        <w:left w:val="single" w:sz="4" w:space="0" w:color="7090B7" w:themeColor="accent5"/>
        <w:bottom w:val="single" w:sz="4" w:space="0" w:color="7090B7" w:themeColor="accent5"/>
        <w:right w:val="single" w:sz="4" w:space="0" w:color="7090B7" w:themeColor="accent5"/>
      </w:tblBorders>
    </w:tblPr>
    <w:tblStylePr w:type="firstRow">
      <w:rPr>
        <w:b/>
        <w:bCs/>
        <w:color w:val="FFFFFF" w:themeColor="background1"/>
      </w:rPr>
      <w:tblPr/>
      <w:tcPr>
        <w:shd w:val="clear" w:color="auto" w:fill="7090B7" w:themeFill="accent5"/>
      </w:tcPr>
    </w:tblStylePr>
    <w:tblStylePr w:type="lastRow">
      <w:rPr>
        <w:b/>
        <w:bCs/>
      </w:rPr>
      <w:tblPr/>
      <w:tcPr>
        <w:tcBorders>
          <w:top w:val="double" w:sz="4" w:space="0" w:color="7090B7"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90B7" w:themeColor="accent5"/>
          <w:right w:val="single" w:sz="4" w:space="0" w:color="7090B7" w:themeColor="accent5"/>
        </w:tcBorders>
      </w:tcPr>
    </w:tblStylePr>
    <w:tblStylePr w:type="band1Horz">
      <w:tblPr/>
      <w:tcPr>
        <w:tcBorders>
          <w:top w:val="single" w:sz="4" w:space="0" w:color="7090B7" w:themeColor="accent5"/>
          <w:bottom w:val="single" w:sz="4" w:space="0" w:color="7090B7"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90B7" w:themeColor="accent5"/>
          <w:left w:val="nil"/>
        </w:tcBorders>
      </w:tcPr>
    </w:tblStylePr>
    <w:tblStylePr w:type="swCell">
      <w:tblPr/>
      <w:tcPr>
        <w:tcBorders>
          <w:top w:val="double" w:sz="4" w:space="0" w:color="7090B7" w:themeColor="accent5"/>
          <w:right w:val="nil"/>
        </w:tcBorders>
      </w:tcPr>
    </w:tblStylePr>
  </w:style>
  <w:style w:type="table" w:styleId="ListTable3-Accent6">
    <w:name w:val="List Table 3 Accent 6"/>
    <w:basedOn w:val="TableNormal"/>
    <w:uiPriority w:val="48"/>
    <w:rsid w:val="006327A9"/>
    <w:pPr>
      <w:spacing w:before="0" w:after="0"/>
      <w:ind w:left="0" w:firstLine="0"/>
    </w:pPr>
    <w:rPr>
      <w:rFonts w:asciiTheme="minorHAnsi" w:eastAsiaTheme="minorEastAsia" w:hAnsiTheme="minorHAnsi" w:cstheme="minorBidi"/>
      <w:sz w:val="24"/>
      <w:szCs w:val="24"/>
      <w:lang w:val="en-US" w:eastAsia="en-US"/>
    </w:rPr>
    <w:tblPr>
      <w:tblStyleRowBandSize w:val="1"/>
      <w:tblStyleColBandSize w:val="1"/>
      <w:tblBorders>
        <w:top w:val="single" w:sz="4" w:space="0" w:color="477F80" w:themeColor="accent6"/>
        <w:left w:val="single" w:sz="4" w:space="0" w:color="477F80" w:themeColor="accent6"/>
        <w:bottom w:val="single" w:sz="4" w:space="0" w:color="477F80" w:themeColor="accent6"/>
        <w:right w:val="single" w:sz="4" w:space="0" w:color="477F80" w:themeColor="accent6"/>
      </w:tblBorders>
    </w:tblPr>
    <w:tblStylePr w:type="firstRow">
      <w:rPr>
        <w:b/>
        <w:bCs/>
        <w:color w:val="FFFFFF" w:themeColor="background1"/>
      </w:rPr>
      <w:tblPr/>
      <w:tcPr>
        <w:shd w:val="clear" w:color="auto" w:fill="477F80" w:themeFill="accent6"/>
      </w:tcPr>
    </w:tblStylePr>
    <w:tblStylePr w:type="lastRow">
      <w:rPr>
        <w:b/>
        <w:bCs/>
      </w:rPr>
      <w:tblPr/>
      <w:tcPr>
        <w:tcBorders>
          <w:top w:val="double" w:sz="4" w:space="0" w:color="477F80"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77F80" w:themeColor="accent6"/>
          <w:right w:val="single" w:sz="4" w:space="0" w:color="477F80" w:themeColor="accent6"/>
        </w:tcBorders>
      </w:tcPr>
    </w:tblStylePr>
    <w:tblStylePr w:type="band1Horz">
      <w:tblPr/>
      <w:tcPr>
        <w:tcBorders>
          <w:top w:val="single" w:sz="4" w:space="0" w:color="477F80" w:themeColor="accent6"/>
          <w:bottom w:val="single" w:sz="4" w:space="0" w:color="477F80"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77F80" w:themeColor="accent6"/>
          <w:left w:val="nil"/>
        </w:tcBorders>
      </w:tcPr>
    </w:tblStylePr>
    <w:tblStylePr w:type="swCell">
      <w:tblPr/>
      <w:tcPr>
        <w:tcBorders>
          <w:top w:val="double" w:sz="4" w:space="0" w:color="477F80" w:themeColor="accent6"/>
          <w:right w:val="nil"/>
        </w:tcBorders>
      </w:tcPr>
    </w:tblStylePr>
  </w:style>
  <w:style w:type="table" w:customStyle="1" w:styleId="ListTable3-Accent61">
    <w:name w:val="List Table 3 - Accent 61"/>
    <w:basedOn w:val="TableNormal"/>
    <w:next w:val="ListTable3-Accent6"/>
    <w:uiPriority w:val="48"/>
    <w:rsid w:val="00681766"/>
    <w:pPr>
      <w:spacing w:before="0" w:after="0"/>
      <w:ind w:left="0" w:firstLine="0"/>
    </w:pPr>
    <w:rPr>
      <w:rFonts w:ascii="Cambria" w:eastAsia="MS Mincho" w:hAnsi="Cambria"/>
      <w:sz w:val="24"/>
      <w:szCs w:val="24"/>
      <w:lang w:val="en-US" w:eastAsia="en-US"/>
    </w:rPr>
    <w:tblPr>
      <w:tblStyleRowBandSize w:val="1"/>
      <w:tblStyleColBandSize w:val="1"/>
      <w:tblBorders>
        <w:top w:val="single" w:sz="4" w:space="0" w:color="F79646"/>
        <w:left w:val="single" w:sz="4" w:space="0" w:color="F79646"/>
        <w:bottom w:val="single" w:sz="4" w:space="0" w:color="F79646"/>
        <w:right w:val="single" w:sz="4" w:space="0" w:color="F79646"/>
      </w:tblBorders>
    </w:tblPr>
    <w:tblStylePr w:type="firstRow">
      <w:rPr>
        <w:b/>
        <w:bCs/>
        <w:color w:val="FFFFFF"/>
      </w:rPr>
      <w:tblPr/>
      <w:tcPr>
        <w:shd w:val="clear" w:color="auto" w:fill="F79646"/>
      </w:tcPr>
    </w:tblStylePr>
    <w:tblStylePr w:type="lastRow">
      <w:rPr>
        <w:b/>
        <w:bCs/>
      </w:rPr>
      <w:tblPr/>
      <w:tcPr>
        <w:tcBorders>
          <w:top w:val="double" w:sz="4" w:space="0" w:color="F7964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79646"/>
          <w:right w:val="single" w:sz="4" w:space="0" w:color="F79646"/>
        </w:tcBorders>
      </w:tcPr>
    </w:tblStylePr>
    <w:tblStylePr w:type="band1Horz">
      <w:tblPr/>
      <w:tcPr>
        <w:tcBorders>
          <w:top w:val="single" w:sz="4" w:space="0" w:color="F79646"/>
          <w:bottom w:val="single" w:sz="4" w:space="0" w:color="F7964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left w:val="nil"/>
        </w:tcBorders>
      </w:tcPr>
    </w:tblStylePr>
    <w:tblStylePr w:type="swCell">
      <w:tblPr/>
      <w:tcPr>
        <w:tcBorders>
          <w:top w:val="double" w:sz="4" w:space="0" w:color="F79646"/>
          <w:right w:val="nil"/>
        </w:tcBorders>
      </w:tcPr>
    </w:tblStylePr>
  </w:style>
  <w:style w:type="table" w:customStyle="1" w:styleId="ListTable3-Accent62">
    <w:name w:val="List Table 3 - Accent 62"/>
    <w:basedOn w:val="TableNormal"/>
    <w:next w:val="ListTable3-Accent6"/>
    <w:uiPriority w:val="48"/>
    <w:rsid w:val="00681766"/>
    <w:pPr>
      <w:spacing w:before="0" w:after="0"/>
      <w:ind w:left="0" w:firstLine="0"/>
    </w:pPr>
    <w:rPr>
      <w:rFonts w:ascii="Cambria" w:eastAsia="MS Mincho" w:hAnsi="Cambria"/>
      <w:sz w:val="24"/>
      <w:szCs w:val="24"/>
      <w:lang w:val="en-US" w:eastAsia="en-US"/>
    </w:rPr>
    <w:tblPr>
      <w:tblStyleRowBandSize w:val="1"/>
      <w:tblStyleColBandSize w:val="1"/>
      <w:tblBorders>
        <w:top w:val="single" w:sz="4" w:space="0" w:color="F79646"/>
        <w:left w:val="single" w:sz="4" w:space="0" w:color="F79646"/>
        <w:bottom w:val="single" w:sz="4" w:space="0" w:color="F79646"/>
        <w:right w:val="single" w:sz="4" w:space="0" w:color="F79646"/>
      </w:tblBorders>
    </w:tblPr>
    <w:tblStylePr w:type="firstRow">
      <w:rPr>
        <w:b/>
        <w:bCs/>
        <w:color w:val="FFFFFF"/>
      </w:rPr>
      <w:tblPr/>
      <w:tcPr>
        <w:shd w:val="clear" w:color="auto" w:fill="F79646"/>
      </w:tcPr>
    </w:tblStylePr>
    <w:tblStylePr w:type="lastRow">
      <w:rPr>
        <w:b/>
        <w:bCs/>
      </w:rPr>
      <w:tblPr/>
      <w:tcPr>
        <w:tcBorders>
          <w:top w:val="double" w:sz="4" w:space="0" w:color="F7964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79646"/>
          <w:right w:val="single" w:sz="4" w:space="0" w:color="F79646"/>
        </w:tcBorders>
      </w:tcPr>
    </w:tblStylePr>
    <w:tblStylePr w:type="band1Horz">
      <w:tblPr/>
      <w:tcPr>
        <w:tcBorders>
          <w:top w:val="single" w:sz="4" w:space="0" w:color="F79646"/>
          <w:bottom w:val="single" w:sz="4" w:space="0" w:color="F7964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left w:val="nil"/>
        </w:tcBorders>
      </w:tcPr>
    </w:tblStylePr>
    <w:tblStylePr w:type="swCell">
      <w:tblPr/>
      <w:tcPr>
        <w:tcBorders>
          <w:top w:val="double" w:sz="4" w:space="0" w:color="F79646"/>
          <w:right w:val="nil"/>
        </w:tcBorders>
      </w:tcPr>
    </w:tblStylePr>
  </w:style>
  <w:style w:type="paragraph" w:customStyle="1" w:styleId="TableBullet2">
    <w:name w:val="Table Bullet 2"/>
    <w:basedOn w:val="TableBullet"/>
    <w:qFormat/>
    <w:rsid w:val="007C4495"/>
    <w:pPr>
      <w:numPr>
        <w:numId w:val="26"/>
      </w:numPr>
      <w:spacing w:after="60"/>
      <w:ind w:left="316" w:hanging="142"/>
    </w:pPr>
    <w:rPr>
      <w:rFonts w:eastAsia="MS Mincho" w:cs="Arial"/>
      <w:szCs w:val="16"/>
      <w:lang w:eastAsia="en-US"/>
    </w:rPr>
  </w:style>
  <w:style w:type="character" w:customStyle="1" w:styleId="UnresolvedMention1">
    <w:name w:val="Unresolved Mention1"/>
    <w:basedOn w:val="DefaultParagraphFont"/>
    <w:uiPriority w:val="99"/>
    <w:semiHidden/>
    <w:unhideWhenUsed/>
    <w:rsid w:val="00E72F65"/>
    <w:rPr>
      <w:color w:val="605E5C"/>
      <w:shd w:val="clear" w:color="auto" w:fill="E1DFDD"/>
    </w:rPr>
  </w:style>
  <w:style w:type="paragraph" w:customStyle="1" w:styleId="Style2">
    <w:name w:val="Style2"/>
    <w:basedOn w:val="Normal"/>
    <w:uiPriority w:val="12"/>
    <w:qFormat/>
    <w:rsid w:val="00626ACA"/>
    <w:rPr>
      <w:b w:val="0"/>
    </w:rPr>
  </w:style>
  <w:style w:type="paragraph" w:customStyle="1" w:styleId="Style3">
    <w:name w:val="Style3"/>
    <w:basedOn w:val="Normal"/>
    <w:uiPriority w:val="12"/>
    <w:qFormat/>
    <w:rsid w:val="00626ACA"/>
    <w:rPr>
      <w:b w:val="0"/>
      <w:i/>
    </w:rPr>
  </w:style>
  <w:style w:type="paragraph" w:customStyle="1" w:styleId="Leader">
    <w:name w:val="Leader"/>
    <w:basedOn w:val="Normal"/>
    <w:uiPriority w:val="12"/>
    <w:qFormat/>
    <w:rsid w:val="00626D5F"/>
    <w:rPr>
      <w:b w:val="0"/>
      <w:i/>
    </w:rPr>
  </w:style>
  <w:style w:type="table" w:customStyle="1" w:styleId="TableGridLight1">
    <w:name w:val="Table Grid Light1"/>
    <w:basedOn w:val="TableNormal"/>
    <w:uiPriority w:val="40"/>
    <w:rsid w:val="00C015D3"/>
    <w:pPr>
      <w:spacing w:before="0" w:after="0"/>
      <w:ind w:left="0" w:firstLine="0"/>
      <w:jc w:val="both"/>
    </w:pPr>
    <w:rPr>
      <w:rFonts w:asciiTheme="minorHAnsi" w:eastAsiaTheme="minorHAnsi" w:hAnsiTheme="minorHAnsi" w:cstheme="minorBidi"/>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referencianotaalpieChar">
    <w:name w:val="referencia nota al pie Char"/>
    <w:aliases w:val="BVI fnr Char,BVI fnr Car Car Char,BVI fnr Car Char,BVI fnr Car Car Car Car Char Char,BVI fnr Char Char Char Char,BVI fnr Car Car Char Char Char Char"/>
    <w:basedOn w:val="Normal"/>
    <w:link w:val="FootnoteReference"/>
    <w:uiPriority w:val="99"/>
    <w:rsid w:val="00D93DD9"/>
    <w:pPr>
      <w:autoSpaceDE/>
      <w:autoSpaceDN/>
      <w:adjustRightInd/>
      <w:spacing w:after="160" w:line="240" w:lineRule="exact"/>
      <w:textAlignment w:val="auto"/>
    </w:pPr>
    <w:rPr>
      <w:rFonts w:ascii="Times" w:hAnsi="Times"/>
      <w:color w:val="auto"/>
      <w:vertAlign w:val="superscript"/>
    </w:rPr>
  </w:style>
  <w:style w:type="paragraph" w:customStyle="1" w:styleId="NoHeading10">
    <w:name w:val="No # Heading 1"/>
    <w:basedOn w:val="Heading1"/>
    <w:uiPriority w:val="12"/>
    <w:qFormat/>
    <w:rsid w:val="00FA7738"/>
  </w:style>
  <w:style w:type="paragraph" w:customStyle="1" w:styleId="Boxheading">
    <w:name w:val="Box heading"/>
    <w:basedOn w:val="NoHeading2"/>
    <w:uiPriority w:val="12"/>
    <w:qFormat/>
    <w:rsid w:val="00B5437F"/>
    <w:pPr>
      <w:pBdr>
        <w:top w:val="single" w:sz="4" w:space="1" w:color="822B6A"/>
        <w:left w:val="single" w:sz="4" w:space="4" w:color="822B6A"/>
        <w:bottom w:val="single" w:sz="4" w:space="1" w:color="822B6A"/>
        <w:right w:val="single" w:sz="4" w:space="4" w:color="822B6A"/>
      </w:pBdr>
    </w:pPr>
  </w:style>
  <w:style w:type="table" w:customStyle="1" w:styleId="GRMTable1">
    <w:name w:val="GRM Table1"/>
    <w:basedOn w:val="TableNormal"/>
    <w:next w:val="TableGrid"/>
    <w:uiPriority w:val="39"/>
    <w:rsid w:val="00F614FD"/>
    <w:pPr>
      <w:spacing w:before="0" w:after="0"/>
      <w:ind w:left="0" w:firstLine="0"/>
      <w:jc w:val="both"/>
    </w:pPr>
    <w:rPr>
      <w:rFonts w:ascii="Calibri" w:eastAsia="Calibri" w:hAnsi="Calibri"/>
      <w:b w:val="0"/>
      <w:color w:val="auto"/>
      <w:u w:val="none"/>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0">
    <w:name w:val="Pa10"/>
    <w:basedOn w:val="Default"/>
    <w:next w:val="Default"/>
    <w:uiPriority w:val="99"/>
    <w:rsid w:val="00F83255"/>
    <w:pPr>
      <w:spacing w:line="241" w:lineRule="atLeast"/>
    </w:pPr>
    <w:rPr>
      <w:rFonts w:ascii="HelveticaRounded LT Std BdCn" w:eastAsia="Times New Roman" w:hAnsi="HelveticaRounded LT Std BdCn" w:cs="Times New Roman"/>
      <w:color w:val="2D2D42"/>
      <w:lang w:val="en-US"/>
    </w:rPr>
  </w:style>
  <w:style w:type="paragraph" w:customStyle="1" w:styleId="NabilanMELP">
    <w:name w:val="Nabilan MELP"/>
    <w:basedOn w:val="Heading2"/>
    <w:rsid w:val="007421F9"/>
    <w:pPr>
      <w:keepLines/>
      <w:numPr>
        <w:ilvl w:val="1"/>
        <w:numId w:val="39"/>
      </w:numPr>
      <w:tabs>
        <w:tab w:val="num" w:pos="360"/>
        <w:tab w:val="num" w:pos="1492"/>
      </w:tabs>
      <w:autoSpaceDE/>
      <w:autoSpaceDN/>
      <w:adjustRightInd/>
      <w:spacing w:before="320" w:line="240" w:lineRule="auto"/>
      <w:ind w:left="0" w:firstLine="0"/>
      <w:jc w:val="left"/>
      <w:textAlignment w:val="auto"/>
    </w:pPr>
    <w:rPr>
      <w:rFonts w:ascii="Calibri Light" w:hAnsi="Calibri Light" w:cs="Times New Roman"/>
      <w:color w:val="7CB954"/>
      <w:sz w:val="24"/>
      <w:szCs w:val="26"/>
      <w:lang w:eastAsia="en-US"/>
      <w14:textFill>
        <w14:solidFill>
          <w14:srgbClr w14:val="7CB954">
            <w14:alpha w14:val="4000"/>
          </w14:srgbClr>
        </w14:solidFill>
      </w14:textFil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6197893">
      <w:bodyDiv w:val="1"/>
      <w:marLeft w:val="0"/>
      <w:marRight w:val="0"/>
      <w:marTop w:val="0"/>
      <w:marBottom w:val="0"/>
      <w:divBdr>
        <w:top w:val="none" w:sz="0" w:space="0" w:color="auto"/>
        <w:left w:val="none" w:sz="0" w:space="0" w:color="auto"/>
        <w:bottom w:val="none" w:sz="0" w:space="0" w:color="auto"/>
        <w:right w:val="none" w:sz="0" w:space="0" w:color="auto"/>
      </w:divBdr>
      <w:divsChild>
        <w:div w:id="1765106411">
          <w:marLeft w:val="360"/>
          <w:marRight w:val="0"/>
          <w:marTop w:val="200"/>
          <w:marBottom w:val="0"/>
          <w:divBdr>
            <w:top w:val="none" w:sz="0" w:space="0" w:color="auto"/>
            <w:left w:val="none" w:sz="0" w:space="0" w:color="auto"/>
            <w:bottom w:val="none" w:sz="0" w:space="0" w:color="auto"/>
            <w:right w:val="none" w:sz="0" w:space="0" w:color="auto"/>
          </w:divBdr>
        </w:div>
        <w:div w:id="1960142784">
          <w:marLeft w:val="360"/>
          <w:marRight w:val="0"/>
          <w:marTop w:val="200"/>
          <w:marBottom w:val="0"/>
          <w:divBdr>
            <w:top w:val="none" w:sz="0" w:space="0" w:color="auto"/>
            <w:left w:val="none" w:sz="0" w:space="0" w:color="auto"/>
            <w:bottom w:val="none" w:sz="0" w:space="0" w:color="auto"/>
            <w:right w:val="none" w:sz="0" w:space="0" w:color="auto"/>
          </w:divBdr>
        </w:div>
        <w:div w:id="2033261138">
          <w:marLeft w:val="360"/>
          <w:marRight w:val="0"/>
          <w:marTop w:val="200"/>
          <w:marBottom w:val="0"/>
          <w:divBdr>
            <w:top w:val="none" w:sz="0" w:space="0" w:color="auto"/>
            <w:left w:val="none" w:sz="0" w:space="0" w:color="auto"/>
            <w:bottom w:val="none" w:sz="0" w:space="0" w:color="auto"/>
            <w:right w:val="none" w:sz="0" w:space="0" w:color="auto"/>
          </w:divBdr>
        </w:div>
        <w:div w:id="478617277">
          <w:marLeft w:val="360"/>
          <w:marRight w:val="0"/>
          <w:marTop w:val="200"/>
          <w:marBottom w:val="0"/>
          <w:divBdr>
            <w:top w:val="none" w:sz="0" w:space="0" w:color="auto"/>
            <w:left w:val="none" w:sz="0" w:space="0" w:color="auto"/>
            <w:bottom w:val="none" w:sz="0" w:space="0" w:color="auto"/>
            <w:right w:val="none" w:sz="0" w:space="0" w:color="auto"/>
          </w:divBdr>
        </w:div>
        <w:div w:id="268779477">
          <w:marLeft w:val="360"/>
          <w:marRight w:val="0"/>
          <w:marTop w:val="200"/>
          <w:marBottom w:val="0"/>
          <w:divBdr>
            <w:top w:val="none" w:sz="0" w:space="0" w:color="auto"/>
            <w:left w:val="none" w:sz="0" w:space="0" w:color="auto"/>
            <w:bottom w:val="none" w:sz="0" w:space="0" w:color="auto"/>
            <w:right w:val="none" w:sz="0" w:space="0" w:color="auto"/>
          </w:divBdr>
        </w:div>
        <w:div w:id="1180510628">
          <w:marLeft w:val="360"/>
          <w:marRight w:val="0"/>
          <w:marTop w:val="200"/>
          <w:marBottom w:val="0"/>
          <w:divBdr>
            <w:top w:val="none" w:sz="0" w:space="0" w:color="auto"/>
            <w:left w:val="none" w:sz="0" w:space="0" w:color="auto"/>
            <w:bottom w:val="none" w:sz="0" w:space="0" w:color="auto"/>
            <w:right w:val="none" w:sz="0" w:space="0" w:color="auto"/>
          </w:divBdr>
        </w:div>
      </w:divsChild>
    </w:div>
    <w:div w:id="42558987">
      <w:bodyDiv w:val="1"/>
      <w:marLeft w:val="0"/>
      <w:marRight w:val="0"/>
      <w:marTop w:val="0"/>
      <w:marBottom w:val="0"/>
      <w:divBdr>
        <w:top w:val="none" w:sz="0" w:space="0" w:color="auto"/>
        <w:left w:val="none" w:sz="0" w:space="0" w:color="auto"/>
        <w:bottom w:val="none" w:sz="0" w:space="0" w:color="auto"/>
        <w:right w:val="none" w:sz="0" w:space="0" w:color="auto"/>
      </w:divBdr>
      <w:divsChild>
        <w:div w:id="866990554">
          <w:marLeft w:val="360"/>
          <w:marRight w:val="0"/>
          <w:marTop w:val="200"/>
          <w:marBottom w:val="0"/>
          <w:divBdr>
            <w:top w:val="none" w:sz="0" w:space="0" w:color="auto"/>
            <w:left w:val="none" w:sz="0" w:space="0" w:color="auto"/>
            <w:bottom w:val="none" w:sz="0" w:space="0" w:color="auto"/>
            <w:right w:val="none" w:sz="0" w:space="0" w:color="auto"/>
          </w:divBdr>
        </w:div>
      </w:divsChild>
    </w:div>
    <w:div w:id="123501205">
      <w:bodyDiv w:val="1"/>
      <w:marLeft w:val="0"/>
      <w:marRight w:val="0"/>
      <w:marTop w:val="0"/>
      <w:marBottom w:val="0"/>
      <w:divBdr>
        <w:top w:val="none" w:sz="0" w:space="0" w:color="auto"/>
        <w:left w:val="none" w:sz="0" w:space="0" w:color="auto"/>
        <w:bottom w:val="none" w:sz="0" w:space="0" w:color="auto"/>
        <w:right w:val="none" w:sz="0" w:space="0" w:color="auto"/>
      </w:divBdr>
    </w:div>
    <w:div w:id="125663877">
      <w:bodyDiv w:val="1"/>
      <w:marLeft w:val="0"/>
      <w:marRight w:val="0"/>
      <w:marTop w:val="0"/>
      <w:marBottom w:val="0"/>
      <w:divBdr>
        <w:top w:val="none" w:sz="0" w:space="0" w:color="auto"/>
        <w:left w:val="none" w:sz="0" w:space="0" w:color="auto"/>
        <w:bottom w:val="none" w:sz="0" w:space="0" w:color="auto"/>
        <w:right w:val="none" w:sz="0" w:space="0" w:color="auto"/>
      </w:divBdr>
      <w:divsChild>
        <w:div w:id="378474918">
          <w:marLeft w:val="360"/>
          <w:marRight w:val="0"/>
          <w:marTop w:val="200"/>
          <w:marBottom w:val="0"/>
          <w:divBdr>
            <w:top w:val="none" w:sz="0" w:space="0" w:color="auto"/>
            <w:left w:val="none" w:sz="0" w:space="0" w:color="auto"/>
            <w:bottom w:val="none" w:sz="0" w:space="0" w:color="auto"/>
            <w:right w:val="none" w:sz="0" w:space="0" w:color="auto"/>
          </w:divBdr>
        </w:div>
      </w:divsChild>
    </w:div>
    <w:div w:id="142698604">
      <w:bodyDiv w:val="1"/>
      <w:marLeft w:val="0"/>
      <w:marRight w:val="0"/>
      <w:marTop w:val="0"/>
      <w:marBottom w:val="0"/>
      <w:divBdr>
        <w:top w:val="none" w:sz="0" w:space="0" w:color="auto"/>
        <w:left w:val="none" w:sz="0" w:space="0" w:color="auto"/>
        <w:bottom w:val="none" w:sz="0" w:space="0" w:color="auto"/>
        <w:right w:val="none" w:sz="0" w:space="0" w:color="auto"/>
      </w:divBdr>
    </w:div>
    <w:div w:id="144863715">
      <w:bodyDiv w:val="1"/>
      <w:marLeft w:val="0"/>
      <w:marRight w:val="0"/>
      <w:marTop w:val="0"/>
      <w:marBottom w:val="0"/>
      <w:divBdr>
        <w:top w:val="none" w:sz="0" w:space="0" w:color="auto"/>
        <w:left w:val="none" w:sz="0" w:space="0" w:color="auto"/>
        <w:bottom w:val="none" w:sz="0" w:space="0" w:color="auto"/>
        <w:right w:val="none" w:sz="0" w:space="0" w:color="auto"/>
      </w:divBdr>
    </w:div>
    <w:div w:id="159275552">
      <w:bodyDiv w:val="1"/>
      <w:marLeft w:val="0"/>
      <w:marRight w:val="0"/>
      <w:marTop w:val="0"/>
      <w:marBottom w:val="0"/>
      <w:divBdr>
        <w:top w:val="none" w:sz="0" w:space="0" w:color="auto"/>
        <w:left w:val="none" w:sz="0" w:space="0" w:color="auto"/>
        <w:bottom w:val="none" w:sz="0" w:space="0" w:color="auto"/>
        <w:right w:val="none" w:sz="0" w:space="0" w:color="auto"/>
      </w:divBdr>
    </w:div>
    <w:div w:id="168059814">
      <w:bodyDiv w:val="1"/>
      <w:marLeft w:val="0"/>
      <w:marRight w:val="0"/>
      <w:marTop w:val="0"/>
      <w:marBottom w:val="0"/>
      <w:divBdr>
        <w:top w:val="none" w:sz="0" w:space="0" w:color="auto"/>
        <w:left w:val="none" w:sz="0" w:space="0" w:color="auto"/>
        <w:bottom w:val="none" w:sz="0" w:space="0" w:color="auto"/>
        <w:right w:val="none" w:sz="0" w:space="0" w:color="auto"/>
      </w:divBdr>
    </w:div>
    <w:div w:id="180096295">
      <w:bodyDiv w:val="1"/>
      <w:marLeft w:val="0"/>
      <w:marRight w:val="0"/>
      <w:marTop w:val="0"/>
      <w:marBottom w:val="0"/>
      <w:divBdr>
        <w:top w:val="none" w:sz="0" w:space="0" w:color="auto"/>
        <w:left w:val="none" w:sz="0" w:space="0" w:color="auto"/>
        <w:bottom w:val="none" w:sz="0" w:space="0" w:color="auto"/>
        <w:right w:val="none" w:sz="0" w:space="0" w:color="auto"/>
      </w:divBdr>
    </w:div>
    <w:div w:id="213196283">
      <w:bodyDiv w:val="1"/>
      <w:marLeft w:val="0"/>
      <w:marRight w:val="0"/>
      <w:marTop w:val="0"/>
      <w:marBottom w:val="0"/>
      <w:divBdr>
        <w:top w:val="none" w:sz="0" w:space="0" w:color="auto"/>
        <w:left w:val="none" w:sz="0" w:space="0" w:color="auto"/>
        <w:bottom w:val="none" w:sz="0" w:space="0" w:color="auto"/>
        <w:right w:val="none" w:sz="0" w:space="0" w:color="auto"/>
      </w:divBdr>
    </w:div>
    <w:div w:id="214391954">
      <w:bodyDiv w:val="1"/>
      <w:marLeft w:val="0"/>
      <w:marRight w:val="0"/>
      <w:marTop w:val="0"/>
      <w:marBottom w:val="0"/>
      <w:divBdr>
        <w:top w:val="none" w:sz="0" w:space="0" w:color="auto"/>
        <w:left w:val="none" w:sz="0" w:space="0" w:color="auto"/>
        <w:bottom w:val="none" w:sz="0" w:space="0" w:color="auto"/>
        <w:right w:val="none" w:sz="0" w:space="0" w:color="auto"/>
      </w:divBdr>
    </w:div>
    <w:div w:id="220606406">
      <w:bodyDiv w:val="1"/>
      <w:marLeft w:val="0"/>
      <w:marRight w:val="0"/>
      <w:marTop w:val="0"/>
      <w:marBottom w:val="0"/>
      <w:divBdr>
        <w:top w:val="none" w:sz="0" w:space="0" w:color="auto"/>
        <w:left w:val="none" w:sz="0" w:space="0" w:color="auto"/>
        <w:bottom w:val="none" w:sz="0" w:space="0" w:color="auto"/>
        <w:right w:val="none" w:sz="0" w:space="0" w:color="auto"/>
      </w:divBdr>
    </w:div>
    <w:div w:id="257763102">
      <w:bodyDiv w:val="1"/>
      <w:marLeft w:val="0"/>
      <w:marRight w:val="0"/>
      <w:marTop w:val="0"/>
      <w:marBottom w:val="0"/>
      <w:divBdr>
        <w:top w:val="none" w:sz="0" w:space="0" w:color="auto"/>
        <w:left w:val="none" w:sz="0" w:space="0" w:color="auto"/>
        <w:bottom w:val="none" w:sz="0" w:space="0" w:color="auto"/>
        <w:right w:val="none" w:sz="0" w:space="0" w:color="auto"/>
      </w:divBdr>
    </w:div>
    <w:div w:id="282424090">
      <w:bodyDiv w:val="1"/>
      <w:marLeft w:val="0"/>
      <w:marRight w:val="0"/>
      <w:marTop w:val="0"/>
      <w:marBottom w:val="0"/>
      <w:divBdr>
        <w:top w:val="none" w:sz="0" w:space="0" w:color="auto"/>
        <w:left w:val="none" w:sz="0" w:space="0" w:color="auto"/>
        <w:bottom w:val="none" w:sz="0" w:space="0" w:color="auto"/>
        <w:right w:val="none" w:sz="0" w:space="0" w:color="auto"/>
      </w:divBdr>
    </w:div>
    <w:div w:id="320037422">
      <w:bodyDiv w:val="1"/>
      <w:marLeft w:val="0"/>
      <w:marRight w:val="0"/>
      <w:marTop w:val="0"/>
      <w:marBottom w:val="0"/>
      <w:divBdr>
        <w:top w:val="none" w:sz="0" w:space="0" w:color="auto"/>
        <w:left w:val="none" w:sz="0" w:space="0" w:color="auto"/>
        <w:bottom w:val="none" w:sz="0" w:space="0" w:color="auto"/>
        <w:right w:val="none" w:sz="0" w:space="0" w:color="auto"/>
      </w:divBdr>
    </w:div>
    <w:div w:id="332336985">
      <w:bodyDiv w:val="1"/>
      <w:marLeft w:val="0"/>
      <w:marRight w:val="0"/>
      <w:marTop w:val="0"/>
      <w:marBottom w:val="0"/>
      <w:divBdr>
        <w:top w:val="none" w:sz="0" w:space="0" w:color="auto"/>
        <w:left w:val="none" w:sz="0" w:space="0" w:color="auto"/>
        <w:bottom w:val="none" w:sz="0" w:space="0" w:color="auto"/>
        <w:right w:val="none" w:sz="0" w:space="0" w:color="auto"/>
      </w:divBdr>
    </w:div>
    <w:div w:id="353121359">
      <w:bodyDiv w:val="1"/>
      <w:marLeft w:val="0"/>
      <w:marRight w:val="0"/>
      <w:marTop w:val="0"/>
      <w:marBottom w:val="0"/>
      <w:divBdr>
        <w:top w:val="none" w:sz="0" w:space="0" w:color="auto"/>
        <w:left w:val="none" w:sz="0" w:space="0" w:color="auto"/>
        <w:bottom w:val="none" w:sz="0" w:space="0" w:color="auto"/>
        <w:right w:val="none" w:sz="0" w:space="0" w:color="auto"/>
      </w:divBdr>
    </w:div>
    <w:div w:id="366031126">
      <w:bodyDiv w:val="1"/>
      <w:marLeft w:val="0"/>
      <w:marRight w:val="0"/>
      <w:marTop w:val="0"/>
      <w:marBottom w:val="0"/>
      <w:divBdr>
        <w:top w:val="none" w:sz="0" w:space="0" w:color="auto"/>
        <w:left w:val="none" w:sz="0" w:space="0" w:color="auto"/>
        <w:bottom w:val="none" w:sz="0" w:space="0" w:color="auto"/>
        <w:right w:val="none" w:sz="0" w:space="0" w:color="auto"/>
      </w:divBdr>
    </w:div>
    <w:div w:id="371804318">
      <w:bodyDiv w:val="1"/>
      <w:marLeft w:val="0"/>
      <w:marRight w:val="0"/>
      <w:marTop w:val="0"/>
      <w:marBottom w:val="0"/>
      <w:divBdr>
        <w:top w:val="none" w:sz="0" w:space="0" w:color="auto"/>
        <w:left w:val="none" w:sz="0" w:space="0" w:color="auto"/>
        <w:bottom w:val="none" w:sz="0" w:space="0" w:color="auto"/>
        <w:right w:val="none" w:sz="0" w:space="0" w:color="auto"/>
      </w:divBdr>
    </w:div>
    <w:div w:id="379746496">
      <w:bodyDiv w:val="1"/>
      <w:marLeft w:val="0"/>
      <w:marRight w:val="0"/>
      <w:marTop w:val="0"/>
      <w:marBottom w:val="0"/>
      <w:divBdr>
        <w:top w:val="none" w:sz="0" w:space="0" w:color="auto"/>
        <w:left w:val="none" w:sz="0" w:space="0" w:color="auto"/>
        <w:bottom w:val="none" w:sz="0" w:space="0" w:color="auto"/>
        <w:right w:val="none" w:sz="0" w:space="0" w:color="auto"/>
      </w:divBdr>
    </w:div>
    <w:div w:id="409742625">
      <w:bodyDiv w:val="1"/>
      <w:marLeft w:val="0"/>
      <w:marRight w:val="0"/>
      <w:marTop w:val="0"/>
      <w:marBottom w:val="0"/>
      <w:divBdr>
        <w:top w:val="none" w:sz="0" w:space="0" w:color="auto"/>
        <w:left w:val="none" w:sz="0" w:space="0" w:color="auto"/>
        <w:bottom w:val="none" w:sz="0" w:space="0" w:color="auto"/>
        <w:right w:val="none" w:sz="0" w:space="0" w:color="auto"/>
      </w:divBdr>
    </w:div>
    <w:div w:id="414518031">
      <w:bodyDiv w:val="1"/>
      <w:marLeft w:val="0"/>
      <w:marRight w:val="0"/>
      <w:marTop w:val="0"/>
      <w:marBottom w:val="0"/>
      <w:divBdr>
        <w:top w:val="none" w:sz="0" w:space="0" w:color="auto"/>
        <w:left w:val="none" w:sz="0" w:space="0" w:color="auto"/>
        <w:bottom w:val="none" w:sz="0" w:space="0" w:color="auto"/>
        <w:right w:val="none" w:sz="0" w:space="0" w:color="auto"/>
      </w:divBdr>
    </w:div>
    <w:div w:id="434666602">
      <w:bodyDiv w:val="1"/>
      <w:marLeft w:val="0"/>
      <w:marRight w:val="0"/>
      <w:marTop w:val="0"/>
      <w:marBottom w:val="0"/>
      <w:divBdr>
        <w:top w:val="none" w:sz="0" w:space="0" w:color="auto"/>
        <w:left w:val="none" w:sz="0" w:space="0" w:color="auto"/>
        <w:bottom w:val="none" w:sz="0" w:space="0" w:color="auto"/>
        <w:right w:val="none" w:sz="0" w:space="0" w:color="auto"/>
      </w:divBdr>
    </w:div>
    <w:div w:id="462232044">
      <w:bodyDiv w:val="1"/>
      <w:marLeft w:val="0"/>
      <w:marRight w:val="0"/>
      <w:marTop w:val="0"/>
      <w:marBottom w:val="0"/>
      <w:divBdr>
        <w:top w:val="none" w:sz="0" w:space="0" w:color="auto"/>
        <w:left w:val="none" w:sz="0" w:space="0" w:color="auto"/>
        <w:bottom w:val="none" w:sz="0" w:space="0" w:color="auto"/>
        <w:right w:val="none" w:sz="0" w:space="0" w:color="auto"/>
      </w:divBdr>
    </w:div>
    <w:div w:id="462314799">
      <w:bodyDiv w:val="1"/>
      <w:marLeft w:val="0"/>
      <w:marRight w:val="0"/>
      <w:marTop w:val="0"/>
      <w:marBottom w:val="0"/>
      <w:divBdr>
        <w:top w:val="none" w:sz="0" w:space="0" w:color="auto"/>
        <w:left w:val="none" w:sz="0" w:space="0" w:color="auto"/>
        <w:bottom w:val="none" w:sz="0" w:space="0" w:color="auto"/>
        <w:right w:val="none" w:sz="0" w:space="0" w:color="auto"/>
      </w:divBdr>
    </w:div>
    <w:div w:id="475227601">
      <w:bodyDiv w:val="1"/>
      <w:marLeft w:val="0"/>
      <w:marRight w:val="0"/>
      <w:marTop w:val="0"/>
      <w:marBottom w:val="0"/>
      <w:divBdr>
        <w:top w:val="none" w:sz="0" w:space="0" w:color="auto"/>
        <w:left w:val="none" w:sz="0" w:space="0" w:color="auto"/>
        <w:bottom w:val="none" w:sz="0" w:space="0" w:color="auto"/>
        <w:right w:val="none" w:sz="0" w:space="0" w:color="auto"/>
      </w:divBdr>
    </w:div>
    <w:div w:id="507642384">
      <w:bodyDiv w:val="1"/>
      <w:marLeft w:val="0"/>
      <w:marRight w:val="0"/>
      <w:marTop w:val="0"/>
      <w:marBottom w:val="0"/>
      <w:divBdr>
        <w:top w:val="none" w:sz="0" w:space="0" w:color="auto"/>
        <w:left w:val="none" w:sz="0" w:space="0" w:color="auto"/>
        <w:bottom w:val="none" w:sz="0" w:space="0" w:color="auto"/>
        <w:right w:val="none" w:sz="0" w:space="0" w:color="auto"/>
      </w:divBdr>
    </w:div>
    <w:div w:id="511262716">
      <w:bodyDiv w:val="1"/>
      <w:marLeft w:val="0"/>
      <w:marRight w:val="0"/>
      <w:marTop w:val="0"/>
      <w:marBottom w:val="0"/>
      <w:divBdr>
        <w:top w:val="none" w:sz="0" w:space="0" w:color="auto"/>
        <w:left w:val="none" w:sz="0" w:space="0" w:color="auto"/>
        <w:bottom w:val="none" w:sz="0" w:space="0" w:color="auto"/>
        <w:right w:val="none" w:sz="0" w:space="0" w:color="auto"/>
      </w:divBdr>
    </w:div>
    <w:div w:id="587813731">
      <w:bodyDiv w:val="1"/>
      <w:marLeft w:val="0"/>
      <w:marRight w:val="0"/>
      <w:marTop w:val="0"/>
      <w:marBottom w:val="0"/>
      <w:divBdr>
        <w:top w:val="none" w:sz="0" w:space="0" w:color="auto"/>
        <w:left w:val="none" w:sz="0" w:space="0" w:color="auto"/>
        <w:bottom w:val="none" w:sz="0" w:space="0" w:color="auto"/>
        <w:right w:val="none" w:sz="0" w:space="0" w:color="auto"/>
      </w:divBdr>
      <w:divsChild>
        <w:div w:id="1714962504">
          <w:marLeft w:val="0"/>
          <w:marRight w:val="0"/>
          <w:marTop w:val="0"/>
          <w:marBottom w:val="0"/>
          <w:divBdr>
            <w:top w:val="none" w:sz="0" w:space="0" w:color="auto"/>
            <w:left w:val="none" w:sz="0" w:space="0" w:color="auto"/>
            <w:bottom w:val="none" w:sz="0" w:space="0" w:color="auto"/>
            <w:right w:val="none" w:sz="0" w:space="0" w:color="auto"/>
          </w:divBdr>
          <w:divsChild>
            <w:div w:id="1617830683">
              <w:marLeft w:val="0"/>
              <w:marRight w:val="0"/>
              <w:marTop w:val="0"/>
              <w:marBottom w:val="0"/>
              <w:divBdr>
                <w:top w:val="none" w:sz="0" w:space="0" w:color="auto"/>
                <w:left w:val="none" w:sz="0" w:space="0" w:color="auto"/>
                <w:bottom w:val="none" w:sz="0" w:space="0" w:color="auto"/>
                <w:right w:val="none" w:sz="0" w:space="0" w:color="auto"/>
              </w:divBdr>
              <w:divsChild>
                <w:div w:id="1120148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9700081">
      <w:bodyDiv w:val="1"/>
      <w:marLeft w:val="0"/>
      <w:marRight w:val="0"/>
      <w:marTop w:val="0"/>
      <w:marBottom w:val="0"/>
      <w:divBdr>
        <w:top w:val="none" w:sz="0" w:space="0" w:color="auto"/>
        <w:left w:val="none" w:sz="0" w:space="0" w:color="auto"/>
        <w:bottom w:val="none" w:sz="0" w:space="0" w:color="auto"/>
        <w:right w:val="none" w:sz="0" w:space="0" w:color="auto"/>
      </w:divBdr>
    </w:div>
    <w:div w:id="611206117">
      <w:bodyDiv w:val="1"/>
      <w:marLeft w:val="0"/>
      <w:marRight w:val="0"/>
      <w:marTop w:val="0"/>
      <w:marBottom w:val="0"/>
      <w:divBdr>
        <w:top w:val="none" w:sz="0" w:space="0" w:color="auto"/>
        <w:left w:val="none" w:sz="0" w:space="0" w:color="auto"/>
        <w:bottom w:val="none" w:sz="0" w:space="0" w:color="auto"/>
        <w:right w:val="none" w:sz="0" w:space="0" w:color="auto"/>
      </w:divBdr>
    </w:div>
    <w:div w:id="638387973">
      <w:bodyDiv w:val="1"/>
      <w:marLeft w:val="0"/>
      <w:marRight w:val="0"/>
      <w:marTop w:val="0"/>
      <w:marBottom w:val="0"/>
      <w:divBdr>
        <w:top w:val="none" w:sz="0" w:space="0" w:color="auto"/>
        <w:left w:val="none" w:sz="0" w:space="0" w:color="auto"/>
        <w:bottom w:val="none" w:sz="0" w:space="0" w:color="auto"/>
        <w:right w:val="none" w:sz="0" w:space="0" w:color="auto"/>
      </w:divBdr>
    </w:div>
    <w:div w:id="638800906">
      <w:bodyDiv w:val="1"/>
      <w:marLeft w:val="0"/>
      <w:marRight w:val="0"/>
      <w:marTop w:val="0"/>
      <w:marBottom w:val="0"/>
      <w:divBdr>
        <w:top w:val="none" w:sz="0" w:space="0" w:color="auto"/>
        <w:left w:val="none" w:sz="0" w:space="0" w:color="auto"/>
        <w:bottom w:val="none" w:sz="0" w:space="0" w:color="auto"/>
        <w:right w:val="none" w:sz="0" w:space="0" w:color="auto"/>
      </w:divBdr>
    </w:div>
    <w:div w:id="650983482">
      <w:bodyDiv w:val="1"/>
      <w:marLeft w:val="0"/>
      <w:marRight w:val="0"/>
      <w:marTop w:val="0"/>
      <w:marBottom w:val="0"/>
      <w:divBdr>
        <w:top w:val="none" w:sz="0" w:space="0" w:color="auto"/>
        <w:left w:val="none" w:sz="0" w:space="0" w:color="auto"/>
        <w:bottom w:val="none" w:sz="0" w:space="0" w:color="auto"/>
        <w:right w:val="none" w:sz="0" w:space="0" w:color="auto"/>
      </w:divBdr>
    </w:div>
    <w:div w:id="670568161">
      <w:bodyDiv w:val="1"/>
      <w:marLeft w:val="0"/>
      <w:marRight w:val="0"/>
      <w:marTop w:val="0"/>
      <w:marBottom w:val="0"/>
      <w:divBdr>
        <w:top w:val="none" w:sz="0" w:space="0" w:color="auto"/>
        <w:left w:val="none" w:sz="0" w:space="0" w:color="auto"/>
        <w:bottom w:val="none" w:sz="0" w:space="0" w:color="auto"/>
        <w:right w:val="none" w:sz="0" w:space="0" w:color="auto"/>
      </w:divBdr>
    </w:div>
    <w:div w:id="697580919">
      <w:bodyDiv w:val="1"/>
      <w:marLeft w:val="0"/>
      <w:marRight w:val="0"/>
      <w:marTop w:val="0"/>
      <w:marBottom w:val="0"/>
      <w:divBdr>
        <w:top w:val="none" w:sz="0" w:space="0" w:color="auto"/>
        <w:left w:val="none" w:sz="0" w:space="0" w:color="auto"/>
        <w:bottom w:val="none" w:sz="0" w:space="0" w:color="auto"/>
        <w:right w:val="none" w:sz="0" w:space="0" w:color="auto"/>
      </w:divBdr>
    </w:div>
    <w:div w:id="703216478">
      <w:bodyDiv w:val="1"/>
      <w:marLeft w:val="0"/>
      <w:marRight w:val="0"/>
      <w:marTop w:val="0"/>
      <w:marBottom w:val="0"/>
      <w:divBdr>
        <w:top w:val="none" w:sz="0" w:space="0" w:color="auto"/>
        <w:left w:val="none" w:sz="0" w:space="0" w:color="auto"/>
        <w:bottom w:val="none" w:sz="0" w:space="0" w:color="auto"/>
        <w:right w:val="none" w:sz="0" w:space="0" w:color="auto"/>
      </w:divBdr>
    </w:div>
    <w:div w:id="710763448">
      <w:bodyDiv w:val="1"/>
      <w:marLeft w:val="0"/>
      <w:marRight w:val="0"/>
      <w:marTop w:val="0"/>
      <w:marBottom w:val="0"/>
      <w:divBdr>
        <w:top w:val="none" w:sz="0" w:space="0" w:color="auto"/>
        <w:left w:val="none" w:sz="0" w:space="0" w:color="auto"/>
        <w:bottom w:val="none" w:sz="0" w:space="0" w:color="auto"/>
        <w:right w:val="none" w:sz="0" w:space="0" w:color="auto"/>
      </w:divBdr>
    </w:div>
    <w:div w:id="720789396">
      <w:bodyDiv w:val="1"/>
      <w:marLeft w:val="0"/>
      <w:marRight w:val="0"/>
      <w:marTop w:val="0"/>
      <w:marBottom w:val="0"/>
      <w:divBdr>
        <w:top w:val="none" w:sz="0" w:space="0" w:color="auto"/>
        <w:left w:val="none" w:sz="0" w:space="0" w:color="auto"/>
        <w:bottom w:val="none" w:sz="0" w:space="0" w:color="auto"/>
        <w:right w:val="none" w:sz="0" w:space="0" w:color="auto"/>
      </w:divBdr>
    </w:div>
    <w:div w:id="742870436">
      <w:bodyDiv w:val="1"/>
      <w:marLeft w:val="0"/>
      <w:marRight w:val="0"/>
      <w:marTop w:val="0"/>
      <w:marBottom w:val="0"/>
      <w:divBdr>
        <w:top w:val="none" w:sz="0" w:space="0" w:color="auto"/>
        <w:left w:val="none" w:sz="0" w:space="0" w:color="auto"/>
        <w:bottom w:val="none" w:sz="0" w:space="0" w:color="auto"/>
        <w:right w:val="none" w:sz="0" w:space="0" w:color="auto"/>
      </w:divBdr>
      <w:divsChild>
        <w:div w:id="60448422">
          <w:marLeft w:val="360"/>
          <w:marRight w:val="0"/>
          <w:marTop w:val="200"/>
          <w:marBottom w:val="0"/>
          <w:divBdr>
            <w:top w:val="none" w:sz="0" w:space="0" w:color="auto"/>
            <w:left w:val="none" w:sz="0" w:space="0" w:color="auto"/>
            <w:bottom w:val="none" w:sz="0" w:space="0" w:color="auto"/>
            <w:right w:val="none" w:sz="0" w:space="0" w:color="auto"/>
          </w:divBdr>
        </w:div>
        <w:div w:id="1316295955">
          <w:marLeft w:val="360"/>
          <w:marRight w:val="0"/>
          <w:marTop w:val="200"/>
          <w:marBottom w:val="0"/>
          <w:divBdr>
            <w:top w:val="none" w:sz="0" w:space="0" w:color="auto"/>
            <w:left w:val="none" w:sz="0" w:space="0" w:color="auto"/>
            <w:bottom w:val="none" w:sz="0" w:space="0" w:color="auto"/>
            <w:right w:val="none" w:sz="0" w:space="0" w:color="auto"/>
          </w:divBdr>
        </w:div>
        <w:div w:id="1429614371">
          <w:marLeft w:val="360"/>
          <w:marRight w:val="0"/>
          <w:marTop w:val="200"/>
          <w:marBottom w:val="0"/>
          <w:divBdr>
            <w:top w:val="none" w:sz="0" w:space="0" w:color="auto"/>
            <w:left w:val="none" w:sz="0" w:space="0" w:color="auto"/>
            <w:bottom w:val="none" w:sz="0" w:space="0" w:color="auto"/>
            <w:right w:val="none" w:sz="0" w:space="0" w:color="auto"/>
          </w:divBdr>
        </w:div>
      </w:divsChild>
    </w:div>
    <w:div w:id="770593341">
      <w:bodyDiv w:val="1"/>
      <w:marLeft w:val="0"/>
      <w:marRight w:val="0"/>
      <w:marTop w:val="0"/>
      <w:marBottom w:val="0"/>
      <w:divBdr>
        <w:top w:val="none" w:sz="0" w:space="0" w:color="auto"/>
        <w:left w:val="none" w:sz="0" w:space="0" w:color="auto"/>
        <w:bottom w:val="none" w:sz="0" w:space="0" w:color="auto"/>
        <w:right w:val="none" w:sz="0" w:space="0" w:color="auto"/>
      </w:divBdr>
    </w:div>
    <w:div w:id="793206898">
      <w:bodyDiv w:val="1"/>
      <w:marLeft w:val="0"/>
      <w:marRight w:val="0"/>
      <w:marTop w:val="0"/>
      <w:marBottom w:val="0"/>
      <w:divBdr>
        <w:top w:val="none" w:sz="0" w:space="0" w:color="auto"/>
        <w:left w:val="none" w:sz="0" w:space="0" w:color="auto"/>
        <w:bottom w:val="none" w:sz="0" w:space="0" w:color="auto"/>
        <w:right w:val="none" w:sz="0" w:space="0" w:color="auto"/>
      </w:divBdr>
    </w:div>
    <w:div w:id="813985769">
      <w:bodyDiv w:val="1"/>
      <w:marLeft w:val="0"/>
      <w:marRight w:val="0"/>
      <w:marTop w:val="0"/>
      <w:marBottom w:val="0"/>
      <w:divBdr>
        <w:top w:val="none" w:sz="0" w:space="0" w:color="auto"/>
        <w:left w:val="none" w:sz="0" w:space="0" w:color="auto"/>
        <w:bottom w:val="none" w:sz="0" w:space="0" w:color="auto"/>
        <w:right w:val="none" w:sz="0" w:space="0" w:color="auto"/>
      </w:divBdr>
    </w:div>
    <w:div w:id="835077071">
      <w:bodyDiv w:val="1"/>
      <w:marLeft w:val="0"/>
      <w:marRight w:val="0"/>
      <w:marTop w:val="0"/>
      <w:marBottom w:val="0"/>
      <w:divBdr>
        <w:top w:val="none" w:sz="0" w:space="0" w:color="auto"/>
        <w:left w:val="none" w:sz="0" w:space="0" w:color="auto"/>
        <w:bottom w:val="none" w:sz="0" w:space="0" w:color="auto"/>
        <w:right w:val="none" w:sz="0" w:space="0" w:color="auto"/>
      </w:divBdr>
    </w:div>
    <w:div w:id="858736759">
      <w:bodyDiv w:val="1"/>
      <w:marLeft w:val="0"/>
      <w:marRight w:val="0"/>
      <w:marTop w:val="0"/>
      <w:marBottom w:val="0"/>
      <w:divBdr>
        <w:top w:val="none" w:sz="0" w:space="0" w:color="auto"/>
        <w:left w:val="none" w:sz="0" w:space="0" w:color="auto"/>
        <w:bottom w:val="none" w:sz="0" w:space="0" w:color="auto"/>
        <w:right w:val="none" w:sz="0" w:space="0" w:color="auto"/>
      </w:divBdr>
    </w:div>
    <w:div w:id="873035980">
      <w:bodyDiv w:val="1"/>
      <w:marLeft w:val="0"/>
      <w:marRight w:val="0"/>
      <w:marTop w:val="0"/>
      <w:marBottom w:val="0"/>
      <w:divBdr>
        <w:top w:val="none" w:sz="0" w:space="0" w:color="auto"/>
        <w:left w:val="none" w:sz="0" w:space="0" w:color="auto"/>
        <w:bottom w:val="none" w:sz="0" w:space="0" w:color="auto"/>
        <w:right w:val="none" w:sz="0" w:space="0" w:color="auto"/>
      </w:divBdr>
    </w:div>
    <w:div w:id="873464891">
      <w:bodyDiv w:val="1"/>
      <w:marLeft w:val="0"/>
      <w:marRight w:val="0"/>
      <w:marTop w:val="0"/>
      <w:marBottom w:val="0"/>
      <w:divBdr>
        <w:top w:val="none" w:sz="0" w:space="0" w:color="auto"/>
        <w:left w:val="none" w:sz="0" w:space="0" w:color="auto"/>
        <w:bottom w:val="none" w:sz="0" w:space="0" w:color="auto"/>
        <w:right w:val="none" w:sz="0" w:space="0" w:color="auto"/>
      </w:divBdr>
    </w:div>
    <w:div w:id="878198685">
      <w:bodyDiv w:val="1"/>
      <w:marLeft w:val="0"/>
      <w:marRight w:val="0"/>
      <w:marTop w:val="0"/>
      <w:marBottom w:val="0"/>
      <w:divBdr>
        <w:top w:val="none" w:sz="0" w:space="0" w:color="auto"/>
        <w:left w:val="none" w:sz="0" w:space="0" w:color="auto"/>
        <w:bottom w:val="none" w:sz="0" w:space="0" w:color="auto"/>
        <w:right w:val="none" w:sz="0" w:space="0" w:color="auto"/>
      </w:divBdr>
      <w:divsChild>
        <w:div w:id="283972914">
          <w:marLeft w:val="360"/>
          <w:marRight w:val="0"/>
          <w:marTop w:val="200"/>
          <w:marBottom w:val="0"/>
          <w:divBdr>
            <w:top w:val="none" w:sz="0" w:space="0" w:color="auto"/>
            <w:left w:val="none" w:sz="0" w:space="0" w:color="auto"/>
            <w:bottom w:val="none" w:sz="0" w:space="0" w:color="auto"/>
            <w:right w:val="none" w:sz="0" w:space="0" w:color="auto"/>
          </w:divBdr>
        </w:div>
        <w:div w:id="667172155">
          <w:marLeft w:val="360"/>
          <w:marRight w:val="0"/>
          <w:marTop w:val="200"/>
          <w:marBottom w:val="0"/>
          <w:divBdr>
            <w:top w:val="none" w:sz="0" w:space="0" w:color="auto"/>
            <w:left w:val="none" w:sz="0" w:space="0" w:color="auto"/>
            <w:bottom w:val="none" w:sz="0" w:space="0" w:color="auto"/>
            <w:right w:val="none" w:sz="0" w:space="0" w:color="auto"/>
          </w:divBdr>
        </w:div>
        <w:div w:id="982082465">
          <w:marLeft w:val="360"/>
          <w:marRight w:val="0"/>
          <w:marTop w:val="200"/>
          <w:marBottom w:val="0"/>
          <w:divBdr>
            <w:top w:val="none" w:sz="0" w:space="0" w:color="auto"/>
            <w:left w:val="none" w:sz="0" w:space="0" w:color="auto"/>
            <w:bottom w:val="none" w:sz="0" w:space="0" w:color="auto"/>
            <w:right w:val="none" w:sz="0" w:space="0" w:color="auto"/>
          </w:divBdr>
        </w:div>
      </w:divsChild>
    </w:div>
    <w:div w:id="885751442">
      <w:bodyDiv w:val="1"/>
      <w:marLeft w:val="0"/>
      <w:marRight w:val="0"/>
      <w:marTop w:val="0"/>
      <w:marBottom w:val="0"/>
      <w:divBdr>
        <w:top w:val="none" w:sz="0" w:space="0" w:color="auto"/>
        <w:left w:val="none" w:sz="0" w:space="0" w:color="auto"/>
        <w:bottom w:val="none" w:sz="0" w:space="0" w:color="auto"/>
        <w:right w:val="none" w:sz="0" w:space="0" w:color="auto"/>
      </w:divBdr>
    </w:div>
    <w:div w:id="886648873">
      <w:bodyDiv w:val="1"/>
      <w:marLeft w:val="0"/>
      <w:marRight w:val="0"/>
      <w:marTop w:val="0"/>
      <w:marBottom w:val="0"/>
      <w:divBdr>
        <w:top w:val="none" w:sz="0" w:space="0" w:color="auto"/>
        <w:left w:val="none" w:sz="0" w:space="0" w:color="auto"/>
        <w:bottom w:val="none" w:sz="0" w:space="0" w:color="auto"/>
        <w:right w:val="none" w:sz="0" w:space="0" w:color="auto"/>
      </w:divBdr>
      <w:divsChild>
        <w:div w:id="819031963">
          <w:marLeft w:val="360"/>
          <w:marRight w:val="0"/>
          <w:marTop w:val="200"/>
          <w:marBottom w:val="0"/>
          <w:divBdr>
            <w:top w:val="none" w:sz="0" w:space="0" w:color="auto"/>
            <w:left w:val="none" w:sz="0" w:space="0" w:color="auto"/>
            <w:bottom w:val="none" w:sz="0" w:space="0" w:color="auto"/>
            <w:right w:val="none" w:sz="0" w:space="0" w:color="auto"/>
          </w:divBdr>
        </w:div>
      </w:divsChild>
    </w:div>
    <w:div w:id="888344508">
      <w:bodyDiv w:val="1"/>
      <w:marLeft w:val="0"/>
      <w:marRight w:val="0"/>
      <w:marTop w:val="0"/>
      <w:marBottom w:val="0"/>
      <w:divBdr>
        <w:top w:val="none" w:sz="0" w:space="0" w:color="auto"/>
        <w:left w:val="none" w:sz="0" w:space="0" w:color="auto"/>
        <w:bottom w:val="none" w:sz="0" w:space="0" w:color="auto"/>
        <w:right w:val="none" w:sz="0" w:space="0" w:color="auto"/>
      </w:divBdr>
    </w:div>
    <w:div w:id="898324160">
      <w:bodyDiv w:val="1"/>
      <w:marLeft w:val="0"/>
      <w:marRight w:val="0"/>
      <w:marTop w:val="0"/>
      <w:marBottom w:val="0"/>
      <w:divBdr>
        <w:top w:val="none" w:sz="0" w:space="0" w:color="auto"/>
        <w:left w:val="none" w:sz="0" w:space="0" w:color="auto"/>
        <w:bottom w:val="none" w:sz="0" w:space="0" w:color="auto"/>
        <w:right w:val="none" w:sz="0" w:space="0" w:color="auto"/>
      </w:divBdr>
    </w:div>
    <w:div w:id="949974080">
      <w:bodyDiv w:val="1"/>
      <w:marLeft w:val="0"/>
      <w:marRight w:val="0"/>
      <w:marTop w:val="0"/>
      <w:marBottom w:val="0"/>
      <w:divBdr>
        <w:top w:val="none" w:sz="0" w:space="0" w:color="auto"/>
        <w:left w:val="none" w:sz="0" w:space="0" w:color="auto"/>
        <w:bottom w:val="none" w:sz="0" w:space="0" w:color="auto"/>
        <w:right w:val="none" w:sz="0" w:space="0" w:color="auto"/>
      </w:divBdr>
    </w:div>
    <w:div w:id="955940197">
      <w:bodyDiv w:val="1"/>
      <w:marLeft w:val="0"/>
      <w:marRight w:val="0"/>
      <w:marTop w:val="0"/>
      <w:marBottom w:val="0"/>
      <w:divBdr>
        <w:top w:val="none" w:sz="0" w:space="0" w:color="auto"/>
        <w:left w:val="none" w:sz="0" w:space="0" w:color="auto"/>
        <w:bottom w:val="none" w:sz="0" w:space="0" w:color="auto"/>
        <w:right w:val="none" w:sz="0" w:space="0" w:color="auto"/>
      </w:divBdr>
      <w:divsChild>
        <w:div w:id="626012916">
          <w:marLeft w:val="360"/>
          <w:marRight w:val="0"/>
          <w:marTop w:val="200"/>
          <w:marBottom w:val="0"/>
          <w:divBdr>
            <w:top w:val="none" w:sz="0" w:space="0" w:color="auto"/>
            <w:left w:val="none" w:sz="0" w:space="0" w:color="auto"/>
            <w:bottom w:val="none" w:sz="0" w:space="0" w:color="auto"/>
            <w:right w:val="none" w:sz="0" w:space="0" w:color="auto"/>
          </w:divBdr>
        </w:div>
        <w:div w:id="1289973265">
          <w:marLeft w:val="360"/>
          <w:marRight w:val="0"/>
          <w:marTop w:val="200"/>
          <w:marBottom w:val="0"/>
          <w:divBdr>
            <w:top w:val="none" w:sz="0" w:space="0" w:color="auto"/>
            <w:left w:val="none" w:sz="0" w:space="0" w:color="auto"/>
            <w:bottom w:val="none" w:sz="0" w:space="0" w:color="auto"/>
            <w:right w:val="none" w:sz="0" w:space="0" w:color="auto"/>
          </w:divBdr>
        </w:div>
      </w:divsChild>
    </w:div>
    <w:div w:id="975181485">
      <w:marLeft w:val="0"/>
      <w:marRight w:val="0"/>
      <w:marTop w:val="0"/>
      <w:marBottom w:val="0"/>
      <w:divBdr>
        <w:top w:val="none" w:sz="0" w:space="0" w:color="auto"/>
        <w:left w:val="none" w:sz="0" w:space="0" w:color="auto"/>
        <w:bottom w:val="none" w:sz="0" w:space="0" w:color="auto"/>
        <w:right w:val="none" w:sz="0" w:space="0" w:color="auto"/>
      </w:divBdr>
    </w:div>
    <w:div w:id="975181486">
      <w:marLeft w:val="0"/>
      <w:marRight w:val="0"/>
      <w:marTop w:val="0"/>
      <w:marBottom w:val="0"/>
      <w:divBdr>
        <w:top w:val="none" w:sz="0" w:space="0" w:color="auto"/>
        <w:left w:val="none" w:sz="0" w:space="0" w:color="auto"/>
        <w:bottom w:val="none" w:sz="0" w:space="0" w:color="auto"/>
        <w:right w:val="none" w:sz="0" w:space="0" w:color="auto"/>
      </w:divBdr>
    </w:div>
    <w:div w:id="975181487">
      <w:marLeft w:val="0"/>
      <w:marRight w:val="0"/>
      <w:marTop w:val="0"/>
      <w:marBottom w:val="0"/>
      <w:divBdr>
        <w:top w:val="none" w:sz="0" w:space="0" w:color="auto"/>
        <w:left w:val="none" w:sz="0" w:space="0" w:color="auto"/>
        <w:bottom w:val="none" w:sz="0" w:space="0" w:color="auto"/>
        <w:right w:val="none" w:sz="0" w:space="0" w:color="auto"/>
      </w:divBdr>
    </w:div>
    <w:div w:id="984361626">
      <w:bodyDiv w:val="1"/>
      <w:marLeft w:val="0"/>
      <w:marRight w:val="0"/>
      <w:marTop w:val="0"/>
      <w:marBottom w:val="0"/>
      <w:divBdr>
        <w:top w:val="none" w:sz="0" w:space="0" w:color="auto"/>
        <w:left w:val="none" w:sz="0" w:space="0" w:color="auto"/>
        <w:bottom w:val="none" w:sz="0" w:space="0" w:color="auto"/>
        <w:right w:val="none" w:sz="0" w:space="0" w:color="auto"/>
      </w:divBdr>
    </w:div>
    <w:div w:id="997340654">
      <w:bodyDiv w:val="1"/>
      <w:marLeft w:val="0"/>
      <w:marRight w:val="0"/>
      <w:marTop w:val="0"/>
      <w:marBottom w:val="0"/>
      <w:divBdr>
        <w:top w:val="none" w:sz="0" w:space="0" w:color="auto"/>
        <w:left w:val="none" w:sz="0" w:space="0" w:color="auto"/>
        <w:bottom w:val="none" w:sz="0" w:space="0" w:color="auto"/>
        <w:right w:val="none" w:sz="0" w:space="0" w:color="auto"/>
      </w:divBdr>
    </w:div>
    <w:div w:id="1004208705">
      <w:bodyDiv w:val="1"/>
      <w:marLeft w:val="0"/>
      <w:marRight w:val="0"/>
      <w:marTop w:val="0"/>
      <w:marBottom w:val="0"/>
      <w:divBdr>
        <w:top w:val="none" w:sz="0" w:space="0" w:color="auto"/>
        <w:left w:val="none" w:sz="0" w:space="0" w:color="auto"/>
        <w:bottom w:val="none" w:sz="0" w:space="0" w:color="auto"/>
        <w:right w:val="none" w:sz="0" w:space="0" w:color="auto"/>
      </w:divBdr>
    </w:div>
    <w:div w:id="1005281034">
      <w:bodyDiv w:val="1"/>
      <w:marLeft w:val="0"/>
      <w:marRight w:val="0"/>
      <w:marTop w:val="0"/>
      <w:marBottom w:val="0"/>
      <w:divBdr>
        <w:top w:val="none" w:sz="0" w:space="0" w:color="auto"/>
        <w:left w:val="none" w:sz="0" w:space="0" w:color="auto"/>
        <w:bottom w:val="none" w:sz="0" w:space="0" w:color="auto"/>
        <w:right w:val="none" w:sz="0" w:space="0" w:color="auto"/>
      </w:divBdr>
      <w:divsChild>
        <w:div w:id="401563109">
          <w:marLeft w:val="0"/>
          <w:marRight w:val="0"/>
          <w:marTop w:val="0"/>
          <w:marBottom w:val="0"/>
          <w:divBdr>
            <w:top w:val="none" w:sz="0" w:space="0" w:color="auto"/>
            <w:left w:val="none" w:sz="0" w:space="0" w:color="auto"/>
            <w:bottom w:val="none" w:sz="0" w:space="0" w:color="auto"/>
            <w:right w:val="none" w:sz="0" w:space="0" w:color="auto"/>
          </w:divBdr>
          <w:divsChild>
            <w:div w:id="887112202">
              <w:marLeft w:val="0"/>
              <w:marRight w:val="0"/>
              <w:marTop w:val="0"/>
              <w:marBottom w:val="0"/>
              <w:divBdr>
                <w:top w:val="none" w:sz="0" w:space="0" w:color="auto"/>
                <w:left w:val="none" w:sz="0" w:space="0" w:color="auto"/>
                <w:bottom w:val="none" w:sz="0" w:space="0" w:color="auto"/>
                <w:right w:val="none" w:sz="0" w:space="0" w:color="auto"/>
              </w:divBdr>
              <w:divsChild>
                <w:div w:id="561676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7100406">
      <w:bodyDiv w:val="1"/>
      <w:marLeft w:val="0"/>
      <w:marRight w:val="0"/>
      <w:marTop w:val="0"/>
      <w:marBottom w:val="0"/>
      <w:divBdr>
        <w:top w:val="none" w:sz="0" w:space="0" w:color="auto"/>
        <w:left w:val="none" w:sz="0" w:space="0" w:color="auto"/>
        <w:bottom w:val="none" w:sz="0" w:space="0" w:color="auto"/>
        <w:right w:val="none" w:sz="0" w:space="0" w:color="auto"/>
      </w:divBdr>
    </w:div>
    <w:div w:id="1017581234">
      <w:bodyDiv w:val="1"/>
      <w:marLeft w:val="0"/>
      <w:marRight w:val="0"/>
      <w:marTop w:val="0"/>
      <w:marBottom w:val="0"/>
      <w:divBdr>
        <w:top w:val="none" w:sz="0" w:space="0" w:color="auto"/>
        <w:left w:val="none" w:sz="0" w:space="0" w:color="auto"/>
        <w:bottom w:val="none" w:sz="0" w:space="0" w:color="auto"/>
        <w:right w:val="none" w:sz="0" w:space="0" w:color="auto"/>
      </w:divBdr>
    </w:div>
    <w:div w:id="1022433136">
      <w:bodyDiv w:val="1"/>
      <w:marLeft w:val="0"/>
      <w:marRight w:val="0"/>
      <w:marTop w:val="0"/>
      <w:marBottom w:val="0"/>
      <w:divBdr>
        <w:top w:val="none" w:sz="0" w:space="0" w:color="auto"/>
        <w:left w:val="none" w:sz="0" w:space="0" w:color="auto"/>
        <w:bottom w:val="none" w:sz="0" w:space="0" w:color="auto"/>
        <w:right w:val="none" w:sz="0" w:space="0" w:color="auto"/>
      </w:divBdr>
    </w:div>
    <w:div w:id="1060598765">
      <w:bodyDiv w:val="1"/>
      <w:marLeft w:val="0"/>
      <w:marRight w:val="0"/>
      <w:marTop w:val="0"/>
      <w:marBottom w:val="0"/>
      <w:divBdr>
        <w:top w:val="none" w:sz="0" w:space="0" w:color="auto"/>
        <w:left w:val="none" w:sz="0" w:space="0" w:color="auto"/>
        <w:bottom w:val="none" w:sz="0" w:space="0" w:color="auto"/>
        <w:right w:val="none" w:sz="0" w:space="0" w:color="auto"/>
      </w:divBdr>
    </w:div>
    <w:div w:id="1062023915">
      <w:bodyDiv w:val="1"/>
      <w:marLeft w:val="0"/>
      <w:marRight w:val="0"/>
      <w:marTop w:val="0"/>
      <w:marBottom w:val="0"/>
      <w:divBdr>
        <w:top w:val="none" w:sz="0" w:space="0" w:color="auto"/>
        <w:left w:val="none" w:sz="0" w:space="0" w:color="auto"/>
        <w:bottom w:val="none" w:sz="0" w:space="0" w:color="auto"/>
        <w:right w:val="none" w:sz="0" w:space="0" w:color="auto"/>
      </w:divBdr>
      <w:divsChild>
        <w:div w:id="1902011697">
          <w:marLeft w:val="0"/>
          <w:marRight w:val="0"/>
          <w:marTop w:val="0"/>
          <w:marBottom w:val="0"/>
          <w:divBdr>
            <w:top w:val="none" w:sz="0" w:space="0" w:color="auto"/>
            <w:left w:val="none" w:sz="0" w:space="0" w:color="auto"/>
            <w:bottom w:val="none" w:sz="0" w:space="0" w:color="auto"/>
            <w:right w:val="none" w:sz="0" w:space="0" w:color="auto"/>
          </w:divBdr>
          <w:divsChild>
            <w:div w:id="1471900239">
              <w:marLeft w:val="0"/>
              <w:marRight w:val="0"/>
              <w:marTop w:val="0"/>
              <w:marBottom w:val="0"/>
              <w:divBdr>
                <w:top w:val="none" w:sz="0" w:space="0" w:color="auto"/>
                <w:left w:val="none" w:sz="0" w:space="0" w:color="auto"/>
                <w:bottom w:val="none" w:sz="0" w:space="0" w:color="auto"/>
                <w:right w:val="none" w:sz="0" w:space="0" w:color="auto"/>
              </w:divBdr>
              <w:divsChild>
                <w:div w:id="1518931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1195986">
      <w:bodyDiv w:val="1"/>
      <w:marLeft w:val="0"/>
      <w:marRight w:val="0"/>
      <w:marTop w:val="0"/>
      <w:marBottom w:val="0"/>
      <w:divBdr>
        <w:top w:val="none" w:sz="0" w:space="0" w:color="auto"/>
        <w:left w:val="none" w:sz="0" w:space="0" w:color="auto"/>
        <w:bottom w:val="none" w:sz="0" w:space="0" w:color="auto"/>
        <w:right w:val="none" w:sz="0" w:space="0" w:color="auto"/>
      </w:divBdr>
      <w:divsChild>
        <w:div w:id="152188891">
          <w:marLeft w:val="360"/>
          <w:marRight w:val="0"/>
          <w:marTop w:val="200"/>
          <w:marBottom w:val="0"/>
          <w:divBdr>
            <w:top w:val="none" w:sz="0" w:space="0" w:color="auto"/>
            <w:left w:val="none" w:sz="0" w:space="0" w:color="auto"/>
            <w:bottom w:val="none" w:sz="0" w:space="0" w:color="auto"/>
            <w:right w:val="none" w:sz="0" w:space="0" w:color="auto"/>
          </w:divBdr>
        </w:div>
        <w:div w:id="546062704">
          <w:marLeft w:val="360"/>
          <w:marRight w:val="0"/>
          <w:marTop w:val="200"/>
          <w:marBottom w:val="0"/>
          <w:divBdr>
            <w:top w:val="none" w:sz="0" w:space="0" w:color="auto"/>
            <w:left w:val="none" w:sz="0" w:space="0" w:color="auto"/>
            <w:bottom w:val="none" w:sz="0" w:space="0" w:color="auto"/>
            <w:right w:val="none" w:sz="0" w:space="0" w:color="auto"/>
          </w:divBdr>
        </w:div>
        <w:div w:id="1399863525">
          <w:marLeft w:val="360"/>
          <w:marRight w:val="0"/>
          <w:marTop w:val="200"/>
          <w:marBottom w:val="0"/>
          <w:divBdr>
            <w:top w:val="none" w:sz="0" w:space="0" w:color="auto"/>
            <w:left w:val="none" w:sz="0" w:space="0" w:color="auto"/>
            <w:bottom w:val="none" w:sz="0" w:space="0" w:color="auto"/>
            <w:right w:val="none" w:sz="0" w:space="0" w:color="auto"/>
          </w:divBdr>
        </w:div>
        <w:div w:id="1825584851">
          <w:marLeft w:val="360"/>
          <w:marRight w:val="0"/>
          <w:marTop w:val="200"/>
          <w:marBottom w:val="0"/>
          <w:divBdr>
            <w:top w:val="none" w:sz="0" w:space="0" w:color="auto"/>
            <w:left w:val="none" w:sz="0" w:space="0" w:color="auto"/>
            <w:bottom w:val="none" w:sz="0" w:space="0" w:color="auto"/>
            <w:right w:val="none" w:sz="0" w:space="0" w:color="auto"/>
          </w:divBdr>
        </w:div>
      </w:divsChild>
    </w:div>
    <w:div w:id="1076048425">
      <w:bodyDiv w:val="1"/>
      <w:marLeft w:val="0"/>
      <w:marRight w:val="0"/>
      <w:marTop w:val="0"/>
      <w:marBottom w:val="0"/>
      <w:divBdr>
        <w:top w:val="none" w:sz="0" w:space="0" w:color="auto"/>
        <w:left w:val="none" w:sz="0" w:space="0" w:color="auto"/>
        <w:bottom w:val="none" w:sz="0" w:space="0" w:color="auto"/>
        <w:right w:val="none" w:sz="0" w:space="0" w:color="auto"/>
      </w:divBdr>
    </w:div>
    <w:div w:id="1085226007">
      <w:bodyDiv w:val="1"/>
      <w:marLeft w:val="0"/>
      <w:marRight w:val="0"/>
      <w:marTop w:val="0"/>
      <w:marBottom w:val="0"/>
      <w:divBdr>
        <w:top w:val="none" w:sz="0" w:space="0" w:color="auto"/>
        <w:left w:val="none" w:sz="0" w:space="0" w:color="auto"/>
        <w:bottom w:val="none" w:sz="0" w:space="0" w:color="auto"/>
        <w:right w:val="none" w:sz="0" w:space="0" w:color="auto"/>
      </w:divBdr>
    </w:div>
    <w:div w:id="1088044275">
      <w:bodyDiv w:val="1"/>
      <w:marLeft w:val="0"/>
      <w:marRight w:val="0"/>
      <w:marTop w:val="0"/>
      <w:marBottom w:val="0"/>
      <w:divBdr>
        <w:top w:val="none" w:sz="0" w:space="0" w:color="auto"/>
        <w:left w:val="none" w:sz="0" w:space="0" w:color="auto"/>
        <w:bottom w:val="none" w:sz="0" w:space="0" w:color="auto"/>
        <w:right w:val="none" w:sz="0" w:space="0" w:color="auto"/>
      </w:divBdr>
    </w:div>
    <w:div w:id="1099519069">
      <w:bodyDiv w:val="1"/>
      <w:marLeft w:val="0"/>
      <w:marRight w:val="0"/>
      <w:marTop w:val="0"/>
      <w:marBottom w:val="0"/>
      <w:divBdr>
        <w:top w:val="none" w:sz="0" w:space="0" w:color="auto"/>
        <w:left w:val="none" w:sz="0" w:space="0" w:color="auto"/>
        <w:bottom w:val="none" w:sz="0" w:space="0" w:color="auto"/>
        <w:right w:val="none" w:sz="0" w:space="0" w:color="auto"/>
      </w:divBdr>
    </w:div>
    <w:div w:id="1118569638">
      <w:bodyDiv w:val="1"/>
      <w:marLeft w:val="0"/>
      <w:marRight w:val="0"/>
      <w:marTop w:val="0"/>
      <w:marBottom w:val="0"/>
      <w:divBdr>
        <w:top w:val="none" w:sz="0" w:space="0" w:color="auto"/>
        <w:left w:val="none" w:sz="0" w:space="0" w:color="auto"/>
        <w:bottom w:val="none" w:sz="0" w:space="0" w:color="auto"/>
        <w:right w:val="none" w:sz="0" w:space="0" w:color="auto"/>
      </w:divBdr>
    </w:div>
    <w:div w:id="1136752011">
      <w:bodyDiv w:val="1"/>
      <w:marLeft w:val="0"/>
      <w:marRight w:val="0"/>
      <w:marTop w:val="0"/>
      <w:marBottom w:val="0"/>
      <w:divBdr>
        <w:top w:val="none" w:sz="0" w:space="0" w:color="auto"/>
        <w:left w:val="none" w:sz="0" w:space="0" w:color="auto"/>
        <w:bottom w:val="none" w:sz="0" w:space="0" w:color="auto"/>
        <w:right w:val="none" w:sz="0" w:space="0" w:color="auto"/>
      </w:divBdr>
    </w:div>
    <w:div w:id="1142964532">
      <w:bodyDiv w:val="1"/>
      <w:marLeft w:val="0"/>
      <w:marRight w:val="0"/>
      <w:marTop w:val="0"/>
      <w:marBottom w:val="0"/>
      <w:divBdr>
        <w:top w:val="none" w:sz="0" w:space="0" w:color="auto"/>
        <w:left w:val="none" w:sz="0" w:space="0" w:color="auto"/>
        <w:bottom w:val="none" w:sz="0" w:space="0" w:color="auto"/>
        <w:right w:val="none" w:sz="0" w:space="0" w:color="auto"/>
      </w:divBdr>
      <w:divsChild>
        <w:div w:id="428740619">
          <w:marLeft w:val="360"/>
          <w:marRight w:val="0"/>
          <w:marTop w:val="200"/>
          <w:marBottom w:val="0"/>
          <w:divBdr>
            <w:top w:val="none" w:sz="0" w:space="0" w:color="auto"/>
            <w:left w:val="none" w:sz="0" w:space="0" w:color="auto"/>
            <w:bottom w:val="none" w:sz="0" w:space="0" w:color="auto"/>
            <w:right w:val="none" w:sz="0" w:space="0" w:color="auto"/>
          </w:divBdr>
        </w:div>
        <w:div w:id="1502314350">
          <w:marLeft w:val="360"/>
          <w:marRight w:val="0"/>
          <w:marTop w:val="200"/>
          <w:marBottom w:val="0"/>
          <w:divBdr>
            <w:top w:val="none" w:sz="0" w:space="0" w:color="auto"/>
            <w:left w:val="none" w:sz="0" w:space="0" w:color="auto"/>
            <w:bottom w:val="none" w:sz="0" w:space="0" w:color="auto"/>
            <w:right w:val="none" w:sz="0" w:space="0" w:color="auto"/>
          </w:divBdr>
        </w:div>
      </w:divsChild>
    </w:div>
    <w:div w:id="1151143330">
      <w:bodyDiv w:val="1"/>
      <w:marLeft w:val="0"/>
      <w:marRight w:val="0"/>
      <w:marTop w:val="0"/>
      <w:marBottom w:val="0"/>
      <w:divBdr>
        <w:top w:val="none" w:sz="0" w:space="0" w:color="auto"/>
        <w:left w:val="none" w:sz="0" w:space="0" w:color="auto"/>
        <w:bottom w:val="none" w:sz="0" w:space="0" w:color="auto"/>
        <w:right w:val="none" w:sz="0" w:space="0" w:color="auto"/>
      </w:divBdr>
    </w:div>
    <w:div w:id="1170947582">
      <w:bodyDiv w:val="1"/>
      <w:marLeft w:val="0"/>
      <w:marRight w:val="0"/>
      <w:marTop w:val="0"/>
      <w:marBottom w:val="0"/>
      <w:divBdr>
        <w:top w:val="none" w:sz="0" w:space="0" w:color="auto"/>
        <w:left w:val="none" w:sz="0" w:space="0" w:color="auto"/>
        <w:bottom w:val="none" w:sz="0" w:space="0" w:color="auto"/>
        <w:right w:val="none" w:sz="0" w:space="0" w:color="auto"/>
      </w:divBdr>
    </w:div>
    <w:div w:id="1195584250">
      <w:bodyDiv w:val="1"/>
      <w:marLeft w:val="0"/>
      <w:marRight w:val="0"/>
      <w:marTop w:val="0"/>
      <w:marBottom w:val="0"/>
      <w:divBdr>
        <w:top w:val="none" w:sz="0" w:space="0" w:color="auto"/>
        <w:left w:val="none" w:sz="0" w:space="0" w:color="auto"/>
        <w:bottom w:val="none" w:sz="0" w:space="0" w:color="auto"/>
        <w:right w:val="none" w:sz="0" w:space="0" w:color="auto"/>
      </w:divBdr>
    </w:div>
    <w:div w:id="1196969108">
      <w:bodyDiv w:val="1"/>
      <w:marLeft w:val="0"/>
      <w:marRight w:val="0"/>
      <w:marTop w:val="0"/>
      <w:marBottom w:val="0"/>
      <w:divBdr>
        <w:top w:val="none" w:sz="0" w:space="0" w:color="auto"/>
        <w:left w:val="none" w:sz="0" w:space="0" w:color="auto"/>
        <w:bottom w:val="none" w:sz="0" w:space="0" w:color="auto"/>
        <w:right w:val="none" w:sz="0" w:space="0" w:color="auto"/>
      </w:divBdr>
    </w:div>
    <w:div w:id="1220627977">
      <w:bodyDiv w:val="1"/>
      <w:marLeft w:val="0"/>
      <w:marRight w:val="0"/>
      <w:marTop w:val="0"/>
      <w:marBottom w:val="0"/>
      <w:divBdr>
        <w:top w:val="none" w:sz="0" w:space="0" w:color="auto"/>
        <w:left w:val="none" w:sz="0" w:space="0" w:color="auto"/>
        <w:bottom w:val="none" w:sz="0" w:space="0" w:color="auto"/>
        <w:right w:val="none" w:sz="0" w:space="0" w:color="auto"/>
      </w:divBdr>
    </w:div>
    <w:div w:id="1234197193">
      <w:bodyDiv w:val="1"/>
      <w:marLeft w:val="0"/>
      <w:marRight w:val="0"/>
      <w:marTop w:val="0"/>
      <w:marBottom w:val="0"/>
      <w:divBdr>
        <w:top w:val="none" w:sz="0" w:space="0" w:color="auto"/>
        <w:left w:val="none" w:sz="0" w:space="0" w:color="auto"/>
        <w:bottom w:val="none" w:sz="0" w:space="0" w:color="auto"/>
        <w:right w:val="none" w:sz="0" w:space="0" w:color="auto"/>
      </w:divBdr>
    </w:div>
    <w:div w:id="1234774390">
      <w:bodyDiv w:val="1"/>
      <w:marLeft w:val="0"/>
      <w:marRight w:val="0"/>
      <w:marTop w:val="0"/>
      <w:marBottom w:val="0"/>
      <w:divBdr>
        <w:top w:val="none" w:sz="0" w:space="0" w:color="auto"/>
        <w:left w:val="none" w:sz="0" w:space="0" w:color="auto"/>
        <w:bottom w:val="none" w:sz="0" w:space="0" w:color="auto"/>
        <w:right w:val="none" w:sz="0" w:space="0" w:color="auto"/>
      </w:divBdr>
      <w:divsChild>
        <w:div w:id="1748383810">
          <w:marLeft w:val="547"/>
          <w:marRight w:val="0"/>
          <w:marTop w:val="240"/>
          <w:marBottom w:val="0"/>
          <w:divBdr>
            <w:top w:val="none" w:sz="0" w:space="0" w:color="auto"/>
            <w:left w:val="none" w:sz="0" w:space="0" w:color="auto"/>
            <w:bottom w:val="none" w:sz="0" w:space="0" w:color="auto"/>
            <w:right w:val="none" w:sz="0" w:space="0" w:color="auto"/>
          </w:divBdr>
        </w:div>
        <w:div w:id="1857697592">
          <w:marLeft w:val="547"/>
          <w:marRight w:val="0"/>
          <w:marTop w:val="240"/>
          <w:marBottom w:val="0"/>
          <w:divBdr>
            <w:top w:val="none" w:sz="0" w:space="0" w:color="auto"/>
            <w:left w:val="none" w:sz="0" w:space="0" w:color="auto"/>
            <w:bottom w:val="none" w:sz="0" w:space="0" w:color="auto"/>
            <w:right w:val="none" w:sz="0" w:space="0" w:color="auto"/>
          </w:divBdr>
        </w:div>
        <w:div w:id="1537700380">
          <w:marLeft w:val="547"/>
          <w:marRight w:val="0"/>
          <w:marTop w:val="240"/>
          <w:marBottom w:val="0"/>
          <w:divBdr>
            <w:top w:val="none" w:sz="0" w:space="0" w:color="auto"/>
            <w:left w:val="none" w:sz="0" w:space="0" w:color="auto"/>
            <w:bottom w:val="none" w:sz="0" w:space="0" w:color="auto"/>
            <w:right w:val="none" w:sz="0" w:space="0" w:color="auto"/>
          </w:divBdr>
        </w:div>
        <w:div w:id="1380125645">
          <w:marLeft w:val="547"/>
          <w:marRight w:val="0"/>
          <w:marTop w:val="240"/>
          <w:marBottom w:val="0"/>
          <w:divBdr>
            <w:top w:val="none" w:sz="0" w:space="0" w:color="auto"/>
            <w:left w:val="none" w:sz="0" w:space="0" w:color="auto"/>
            <w:bottom w:val="none" w:sz="0" w:space="0" w:color="auto"/>
            <w:right w:val="none" w:sz="0" w:space="0" w:color="auto"/>
          </w:divBdr>
        </w:div>
      </w:divsChild>
    </w:div>
    <w:div w:id="1235243468">
      <w:bodyDiv w:val="1"/>
      <w:marLeft w:val="0"/>
      <w:marRight w:val="0"/>
      <w:marTop w:val="0"/>
      <w:marBottom w:val="0"/>
      <w:divBdr>
        <w:top w:val="none" w:sz="0" w:space="0" w:color="auto"/>
        <w:left w:val="none" w:sz="0" w:space="0" w:color="auto"/>
        <w:bottom w:val="none" w:sz="0" w:space="0" w:color="auto"/>
        <w:right w:val="none" w:sz="0" w:space="0" w:color="auto"/>
      </w:divBdr>
    </w:div>
    <w:div w:id="1248535653">
      <w:bodyDiv w:val="1"/>
      <w:marLeft w:val="0"/>
      <w:marRight w:val="0"/>
      <w:marTop w:val="0"/>
      <w:marBottom w:val="0"/>
      <w:divBdr>
        <w:top w:val="none" w:sz="0" w:space="0" w:color="auto"/>
        <w:left w:val="none" w:sz="0" w:space="0" w:color="auto"/>
        <w:bottom w:val="none" w:sz="0" w:space="0" w:color="auto"/>
        <w:right w:val="none" w:sz="0" w:space="0" w:color="auto"/>
      </w:divBdr>
    </w:div>
    <w:div w:id="1251044329">
      <w:bodyDiv w:val="1"/>
      <w:marLeft w:val="0"/>
      <w:marRight w:val="0"/>
      <w:marTop w:val="0"/>
      <w:marBottom w:val="0"/>
      <w:divBdr>
        <w:top w:val="none" w:sz="0" w:space="0" w:color="auto"/>
        <w:left w:val="none" w:sz="0" w:space="0" w:color="auto"/>
        <w:bottom w:val="none" w:sz="0" w:space="0" w:color="auto"/>
        <w:right w:val="none" w:sz="0" w:space="0" w:color="auto"/>
      </w:divBdr>
    </w:div>
    <w:div w:id="1264344155">
      <w:bodyDiv w:val="1"/>
      <w:marLeft w:val="0"/>
      <w:marRight w:val="0"/>
      <w:marTop w:val="0"/>
      <w:marBottom w:val="0"/>
      <w:divBdr>
        <w:top w:val="none" w:sz="0" w:space="0" w:color="auto"/>
        <w:left w:val="none" w:sz="0" w:space="0" w:color="auto"/>
        <w:bottom w:val="none" w:sz="0" w:space="0" w:color="auto"/>
        <w:right w:val="none" w:sz="0" w:space="0" w:color="auto"/>
      </w:divBdr>
    </w:div>
    <w:div w:id="1277180672">
      <w:bodyDiv w:val="1"/>
      <w:marLeft w:val="0"/>
      <w:marRight w:val="0"/>
      <w:marTop w:val="0"/>
      <w:marBottom w:val="0"/>
      <w:divBdr>
        <w:top w:val="none" w:sz="0" w:space="0" w:color="auto"/>
        <w:left w:val="none" w:sz="0" w:space="0" w:color="auto"/>
        <w:bottom w:val="none" w:sz="0" w:space="0" w:color="auto"/>
        <w:right w:val="none" w:sz="0" w:space="0" w:color="auto"/>
      </w:divBdr>
      <w:divsChild>
        <w:div w:id="28068714">
          <w:marLeft w:val="360"/>
          <w:marRight w:val="0"/>
          <w:marTop w:val="200"/>
          <w:marBottom w:val="0"/>
          <w:divBdr>
            <w:top w:val="none" w:sz="0" w:space="0" w:color="auto"/>
            <w:left w:val="none" w:sz="0" w:space="0" w:color="auto"/>
            <w:bottom w:val="none" w:sz="0" w:space="0" w:color="auto"/>
            <w:right w:val="none" w:sz="0" w:space="0" w:color="auto"/>
          </w:divBdr>
        </w:div>
        <w:div w:id="446124900">
          <w:marLeft w:val="360"/>
          <w:marRight w:val="0"/>
          <w:marTop w:val="200"/>
          <w:marBottom w:val="0"/>
          <w:divBdr>
            <w:top w:val="none" w:sz="0" w:space="0" w:color="auto"/>
            <w:left w:val="none" w:sz="0" w:space="0" w:color="auto"/>
            <w:bottom w:val="none" w:sz="0" w:space="0" w:color="auto"/>
            <w:right w:val="none" w:sz="0" w:space="0" w:color="auto"/>
          </w:divBdr>
        </w:div>
        <w:div w:id="1599828659">
          <w:marLeft w:val="360"/>
          <w:marRight w:val="0"/>
          <w:marTop w:val="200"/>
          <w:marBottom w:val="0"/>
          <w:divBdr>
            <w:top w:val="none" w:sz="0" w:space="0" w:color="auto"/>
            <w:left w:val="none" w:sz="0" w:space="0" w:color="auto"/>
            <w:bottom w:val="none" w:sz="0" w:space="0" w:color="auto"/>
            <w:right w:val="none" w:sz="0" w:space="0" w:color="auto"/>
          </w:divBdr>
        </w:div>
      </w:divsChild>
    </w:div>
    <w:div w:id="1309019426">
      <w:bodyDiv w:val="1"/>
      <w:marLeft w:val="0"/>
      <w:marRight w:val="0"/>
      <w:marTop w:val="0"/>
      <w:marBottom w:val="0"/>
      <w:divBdr>
        <w:top w:val="none" w:sz="0" w:space="0" w:color="auto"/>
        <w:left w:val="none" w:sz="0" w:space="0" w:color="auto"/>
        <w:bottom w:val="none" w:sz="0" w:space="0" w:color="auto"/>
        <w:right w:val="none" w:sz="0" w:space="0" w:color="auto"/>
      </w:divBdr>
    </w:div>
    <w:div w:id="1313026251">
      <w:bodyDiv w:val="1"/>
      <w:marLeft w:val="0"/>
      <w:marRight w:val="0"/>
      <w:marTop w:val="0"/>
      <w:marBottom w:val="0"/>
      <w:divBdr>
        <w:top w:val="none" w:sz="0" w:space="0" w:color="auto"/>
        <w:left w:val="none" w:sz="0" w:space="0" w:color="auto"/>
        <w:bottom w:val="none" w:sz="0" w:space="0" w:color="auto"/>
        <w:right w:val="none" w:sz="0" w:space="0" w:color="auto"/>
      </w:divBdr>
      <w:divsChild>
        <w:div w:id="985937098">
          <w:marLeft w:val="360"/>
          <w:marRight w:val="0"/>
          <w:marTop w:val="200"/>
          <w:marBottom w:val="0"/>
          <w:divBdr>
            <w:top w:val="none" w:sz="0" w:space="0" w:color="auto"/>
            <w:left w:val="none" w:sz="0" w:space="0" w:color="auto"/>
            <w:bottom w:val="none" w:sz="0" w:space="0" w:color="auto"/>
            <w:right w:val="none" w:sz="0" w:space="0" w:color="auto"/>
          </w:divBdr>
        </w:div>
        <w:div w:id="1915046142">
          <w:marLeft w:val="360"/>
          <w:marRight w:val="0"/>
          <w:marTop w:val="200"/>
          <w:marBottom w:val="0"/>
          <w:divBdr>
            <w:top w:val="none" w:sz="0" w:space="0" w:color="auto"/>
            <w:left w:val="none" w:sz="0" w:space="0" w:color="auto"/>
            <w:bottom w:val="none" w:sz="0" w:space="0" w:color="auto"/>
            <w:right w:val="none" w:sz="0" w:space="0" w:color="auto"/>
          </w:divBdr>
        </w:div>
        <w:div w:id="1340809891">
          <w:marLeft w:val="1080"/>
          <w:marRight w:val="0"/>
          <w:marTop w:val="100"/>
          <w:marBottom w:val="0"/>
          <w:divBdr>
            <w:top w:val="none" w:sz="0" w:space="0" w:color="auto"/>
            <w:left w:val="none" w:sz="0" w:space="0" w:color="auto"/>
            <w:bottom w:val="none" w:sz="0" w:space="0" w:color="auto"/>
            <w:right w:val="none" w:sz="0" w:space="0" w:color="auto"/>
          </w:divBdr>
        </w:div>
        <w:div w:id="1455831076">
          <w:marLeft w:val="1080"/>
          <w:marRight w:val="0"/>
          <w:marTop w:val="100"/>
          <w:marBottom w:val="0"/>
          <w:divBdr>
            <w:top w:val="none" w:sz="0" w:space="0" w:color="auto"/>
            <w:left w:val="none" w:sz="0" w:space="0" w:color="auto"/>
            <w:bottom w:val="none" w:sz="0" w:space="0" w:color="auto"/>
            <w:right w:val="none" w:sz="0" w:space="0" w:color="auto"/>
          </w:divBdr>
        </w:div>
        <w:div w:id="612908940">
          <w:marLeft w:val="1080"/>
          <w:marRight w:val="0"/>
          <w:marTop w:val="100"/>
          <w:marBottom w:val="0"/>
          <w:divBdr>
            <w:top w:val="none" w:sz="0" w:space="0" w:color="auto"/>
            <w:left w:val="none" w:sz="0" w:space="0" w:color="auto"/>
            <w:bottom w:val="none" w:sz="0" w:space="0" w:color="auto"/>
            <w:right w:val="none" w:sz="0" w:space="0" w:color="auto"/>
          </w:divBdr>
        </w:div>
        <w:div w:id="1980107169">
          <w:marLeft w:val="1080"/>
          <w:marRight w:val="0"/>
          <w:marTop w:val="100"/>
          <w:marBottom w:val="0"/>
          <w:divBdr>
            <w:top w:val="none" w:sz="0" w:space="0" w:color="auto"/>
            <w:left w:val="none" w:sz="0" w:space="0" w:color="auto"/>
            <w:bottom w:val="none" w:sz="0" w:space="0" w:color="auto"/>
            <w:right w:val="none" w:sz="0" w:space="0" w:color="auto"/>
          </w:divBdr>
        </w:div>
        <w:div w:id="443231238">
          <w:marLeft w:val="1080"/>
          <w:marRight w:val="0"/>
          <w:marTop w:val="100"/>
          <w:marBottom w:val="0"/>
          <w:divBdr>
            <w:top w:val="none" w:sz="0" w:space="0" w:color="auto"/>
            <w:left w:val="none" w:sz="0" w:space="0" w:color="auto"/>
            <w:bottom w:val="none" w:sz="0" w:space="0" w:color="auto"/>
            <w:right w:val="none" w:sz="0" w:space="0" w:color="auto"/>
          </w:divBdr>
        </w:div>
        <w:div w:id="467358692">
          <w:marLeft w:val="1800"/>
          <w:marRight w:val="0"/>
          <w:marTop w:val="100"/>
          <w:marBottom w:val="0"/>
          <w:divBdr>
            <w:top w:val="none" w:sz="0" w:space="0" w:color="auto"/>
            <w:left w:val="none" w:sz="0" w:space="0" w:color="auto"/>
            <w:bottom w:val="none" w:sz="0" w:space="0" w:color="auto"/>
            <w:right w:val="none" w:sz="0" w:space="0" w:color="auto"/>
          </w:divBdr>
        </w:div>
        <w:div w:id="1657031543">
          <w:marLeft w:val="1800"/>
          <w:marRight w:val="0"/>
          <w:marTop w:val="100"/>
          <w:marBottom w:val="0"/>
          <w:divBdr>
            <w:top w:val="none" w:sz="0" w:space="0" w:color="auto"/>
            <w:left w:val="none" w:sz="0" w:space="0" w:color="auto"/>
            <w:bottom w:val="none" w:sz="0" w:space="0" w:color="auto"/>
            <w:right w:val="none" w:sz="0" w:space="0" w:color="auto"/>
          </w:divBdr>
        </w:div>
        <w:div w:id="447940484">
          <w:marLeft w:val="1800"/>
          <w:marRight w:val="0"/>
          <w:marTop w:val="100"/>
          <w:marBottom w:val="0"/>
          <w:divBdr>
            <w:top w:val="none" w:sz="0" w:space="0" w:color="auto"/>
            <w:left w:val="none" w:sz="0" w:space="0" w:color="auto"/>
            <w:bottom w:val="none" w:sz="0" w:space="0" w:color="auto"/>
            <w:right w:val="none" w:sz="0" w:space="0" w:color="auto"/>
          </w:divBdr>
        </w:div>
      </w:divsChild>
    </w:div>
    <w:div w:id="1320108788">
      <w:bodyDiv w:val="1"/>
      <w:marLeft w:val="0"/>
      <w:marRight w:val="0"/>
      <w:marTop w:val="0"/>
      <w:marBottom w:val="0"/>
      <w:divBdr>
        <w:top w:val="none" w:sz="0" w:space="0" w:color="auto"/>
        <w:left w:val="none" w:sz="0" w:space="0" w:color="auto"/>
        <w:bottom w:val="none" w:sz="0" w:space="0" w:color="auto"/>
        <w:right w:val="none" w:sz="0" w:space="0" w:color="auto"/>
      </w:divBdr>
      <w:divsChild>
        <w:div w:id="161438609">
          <w:marLeft w:val="360"/>
          <w:marRight w:val="0"/>
          <w:marTop w:val="200"/>
          <w:marBottom w:val="0"/>
          <w:divBdr>
            <w:top w:val="none" w:sz="0" w:space="0" w:color="auto"/>
            <w:left w:val="none" w:sz="0" w:space="0" w:color="auto"/>
            <w:bottom w:val="none" w:sz="0" w:space="0" w:color="auto"/>
            <w:right w:val="none" w:sz="0" w:space="0" w:color="auto"/>
          </w:divBdr>
        </w:div>
        <w:div w:id="772289965">
          <w:marLeft w:val="360"/>
          <w:marRight w:val="0"/>
          <w:marTop w:val="200"/>
          <w:marBottom w:val="0"/>
          <w:divBdr>
            <w:top w:val="none" w:sz="0" w:space="0" w:color="auto"/>
            <w:left w:val="none" w:sz="0" w:space="0" w:color="auto"/>
            <w:bottom w:val="none" w:sz="0" w:space="0" w:color="auto"/>
            <w:right w:val="none" w:sz="0" w:space="0" w:color="auto"/>
          </w:divBdr>
        </w:div>
      </w:divsChild>
    </w:div>
    <w:div w:id="1324511880">
      <w:bodyDiv w:val="1"/>
      <w:marLeft w:val="0"/>
      <w:marRight w:val="0"/>
      <w:marTop w:val="0"/>
      <w:marBottom w:val="0"/>
      <w:divBdr>
        <w:top w:val="none" w:sz="0" w:space="0" w:color="auto"/>
        <w:left w:val="none" w:sz="0" w:space="0" w:color="auto"/>
        <w:bottom w:val="none" w:sz="0" w:space="0" w:color="auto"/>
        <w:right w:val="none" w:sz="0" w:space="0" w:color="auto"/>
      </w:divBdr>
    </w:div>
    <w:div w:id="1334642668">
      <w:bodyDiv w:val="1"/>
      <w:marLeft w:val="0"/>
      <w:marRight w:val="0"/>
      <w:marTop w:val="0"/>
      <w:marBottom w:val="0"/>
      <w:divBdr>
        <w:top w:val="none" w:sz="0" w:space="0" w:color="auto"/>
        <w:left w:val="none" w:sz="0" w:space="0" w:color="auto"/>
        <w:bottom w:val="none" w:sz="0" w:space="0" w:color="auto"/>
        <w:right w:val="none" w:sz="0" w:space="0" w:color="auto"/>
      </w:divBdr>
      <w:divsChild>
        <w:div w:id="81755393">
          <w:marLeft w:val="0"/>
          <w:marRight w:val="0"/>
          <w:marTop w:val="0"/>
          <w:marBottom w:val="0"/>
          <w:divBdr>
            <w:top w:val="none" w:sz="0" w:space="0" w:color="auto"/>
            <w:left w:val="none" w:sz="0" w:space="0" w:color="auto"/>
            <w:bottom w:val="none" w:sz="0" w:space="0" w:color="auto"/>
            <w:right w:val="none" w:sz="0" w:space="0" w:color="auto"/>
          </w:divBdr>
          <w:divsChild>
            <w:div w:id="143201138">
              <w:marLeft w:val="0"/>
              <w:marRight w:val="0"/>
              <w:marTop w:val="0"/>
              <w:marBottom w:val="0"/>
              <w:divBdr>
                <w:top w:val="none" w:sz="0" w:space="0" w:color="auto"/>
                <w:left w:val="none" w:sz="0" w:space="0" w:color="auto"/>
                <w:bottom w:val="none" w:sz="0" w:space="0" w:color="auto"/>
                <w:right w:val="none" w:sz="0" w:space="0" w:color="auto"/>
              </w:divBdr>
              <w:divsChild>
                <w:div w:id="845175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5765526">
      <w:bodyDiv w:val="1"/>
      <w:marLeft w:val="0"/>
      <w:marRight w:val="0"/>
      <w:marTop w:val="0"/>
      <w:marBottom w:val="0"/>
      <w:divBdr>
        <w:top w:val="none" w:sz="0" w:space="0" w:color="auto"/>
        <w:left w:val="none" w:sz="0" w:space="0" w:color="auto"/>
        <w:bottom w:val="none" w:sz="0" w:space="0" w:color="auto"/>
        <w:right w:val="none" w:sz="0" w:space="0" w:color="auto"/>
      </w:divBdr>
    </w:div>
    <w:div w:id="1354845901">
      <w:bodyDiv w:val="1"/>
      <w:marLeft w:val="0"/>
      <w:marRight w:val="0"/>
      <w:marTop w:val="0"/>
      <w:marBottom w:val="0"/>
      <w:divBdr>
        <w:top w:val="none" w:sz="0" w:space="0" w:color="auto"/>
        <w:left w:val="none" w:sz="0" w:space="0" w:color="auto"/>
        <w:bottom w:val="none" w:sz="0" w:space="0" w:color="auto"/>
        <w:right w:val="none" w:sz="0" w:space="0" w:color="auto"/>
      </w:divBdr>
    </w:div>
    <w:div w:id="1393426878">
      <w:bodyDiv w:val="1"/>
      <w:marLeft w:val="0"/>
      <w:marRight w:val="0"/>
      <w:marTop w:val="0"/>
      <w:marBottom w:val="0"/>
      <w:divBdr>
        <w:top w:val="none" w:sz="0" w:space="0" w:color="auto"/>
        <w:left w:val="none" w:sz="0" w:space="0" w:color="auto"/>
        <w:bottom w:val="none" w:sz="0" w:space="0" w:color="auto"/>
        <w:right w:val="none" w:sz="0" w:space="0" w:color="auto"/>
      </w:divBdr>
    </w:div>
    <w:div w:id="1402825436">
      <w:bodyDiv w:val="1"/>
      <w:marLeft w:val="0"/>
      <w:marRight w:val="0"/>
      <w:marTop w:val="0"/>
      <w:marBottom w:val="0"/>
      <w:divBdr>
        <w:top w:val="none" w:sz="0" w:space="0" w:color="auto"/>
        <w:left w:val="none" w:sz="0" w:space="0" w:color="auto"/>
        <w:bottom w:val="none" w:sz="0" w:space="0" w:color="auto"/>
        <w:right w:val="none" w:sz="0" w:space="0" w:color="auto"/>
      </w:divBdr>
      <w:divsChild>
        <w:div w:id="1453940478">
          <w:marLeft w:val="360"/>
          <w:marRight w:val="0"/>
          <w:marTop w:val="200"/>
          <w:marBottom w:val="0"/>
          <w:divBdr>
            <w:top w:val="none" w:sz="0" w:space="0" w:color="auto"/>
            <w:left w:val="none" w:sz="0" w:space="0" w:color="auto"/>
            <w:bottom w:val="none" w:sz="0" w:space="0" w:color="auto"/>
            <w:right w:val="none" w:sz="0" w:space="0" w:color="auto"/>
          </w:divBdr>
        </w:div>
      </w:divsChild>
    </w:div>
    <w:div w:id="1427265716">
      <w:bodyDiv w:val="1"/>
      <w:marLeft w:val="0"/>
      <w:marRight w:val="0"/>
      <w:marTop w:val="0"/>
      <w:marBottom w:val="0"/>
      <w:divBdr>
        <w:top w:val="none" w:sz="0" w:space="0" w:color="auto"/>
        <w:left w:val="none" w:sz="0" w:space="0" w:color="auto"/>
        <w:bottom w:val="none" w:sz="0" w:space="0" w:color="auto"/>
        <w:right w:val="none" w:sz="0" w:space="0" w:color="auto"/>
      </w:divBdr>
    </w:div>
    <w:div w:id="1428576549">
      <w:bodyDiv w:val="1"/>
      <w:marLeft w:val="0"/>
      <w:marRight w:val="0"/>
      <w:marTop w:val="0"/>
      <w:marBottom w:val="0"/>
      <w:divBdr>
        <w:top w:val="none" w:sz="0" w:space="0" w:color="auto"/>
        <w:left w:val="none" w:sz="0" w:space="0" w:color="auto"/>
        <w:bottom w:val="none" w:sz="0" w:space="0" w:color="auto"/>
        <w:right w:val="none" w:sz="0" w:space="0" w:color="auto"/>
      </w:divBdr>
    </w:div>
    <w:div w:id="1430657363">
      <w:bodyDiv w:val="1"/>
      <w:marLeft w:val="0"/>
      <w:marRight w:val="0"/>
      <w:marTop w:val="0"/>
      <w:marBottom w:val="0"/>
      <w:divBdr>
        <w:top w:val="none" w:sz="0" w:space="0" w:color="auto"/>
        <w:left w:val="none" w:sz="0" w:space="0" w:color="auto"/>
        <w:bottom w:val="none" w:sz="0" w:space="0" w:color="auto"/>
        <w:right w:val="none" w:sz="0" w:space="0" w:color="auto"/>
      </w:divBdr>
    </w:div>
    <w:div w:id="1473719248">
      <w:bodyDiv w:val="1"/>
      <w:marLeft w:val="0"/>
      <w:marRight w:val="0"/>
      <w:marTop w:val="0"/>
      <w:marBottom w:val="0"/>
      <w:divBdr>
        <w:top w:val="none" w:sz="0" w:space="0" w:color="auto"/>
        <w:left w:val="none" w:sz="0" w:space="0" w:color="auto"/>
        <w:bottom w:val="none" w:sz="0" w:space="0" w:color="auto"/>
        <w:right w:val="none" w:sz="0" w:space="0" w:color="auto"/>
      </w:divBdr>
    </w:div>
    <w:div w:id="1503472130">
      <w:bodyDiv w:val="1"/>
      <w:marLeft w:val="0"/>
      <w:marRight w:val="0"/>
      <w:marTop w:val="0"/>
      <w:marBottom w:val="0"/>
      <w:divBdr>
        <w:top w:val="none" w:sz="0" w:space="0" w:color="auto"/>
        <w:left w:val="none" w:sz="0" w:space="0" w:color="auto"/>
        <w:bottom w:val="none" w:sz="0" w:space="0" w:color="auto"/>
        <w:right w:val="none" w:sz="0" w:space="0" w:color="auto"/>
      </w:divBdr>
      <w:divsChild>
        <w:div w:id="514224742">
          <w:marLeft w:val="360"/>
          <w:marRight w:val="0"/>
          <w:marTop w:val="200"/>
          <w:marBottom w:val="0"/>
          <w:divBdr>
            <w:top w:val="none" w:sz="0" w:space="0" w:color="auto"/>
            <w:left w:val="none" w:sz="0" w:space="0" w:color="auto"/>
            <w:bottom w:val="none" w:sz="0" w:space="0" w:color="auto"/>
            <w:right w:val="none" w:sz="0" w:space="0" w:color="auto"/>
          </w:divBdr>
        </w:div>
        <w:div w:id="1017268202">
          <w:marLeft w:val="360"/>
          <w:marRight w:val="0"/>
          <w:marTop w:val="200"/>
          <w:marBottom w:val="0"/>
          <w:divBdr>
            <w:top w:val="none" w:sz="0" w:space="0" w:color="auto"/>
            <w:left w:val="none" w:sz="0" w:space="0" w:color="auto"/>
            <w:bottom w:val="none" w:sz="0" w:space="0" w:color="auto"/>
            <w:right w:val="none" w:sz="0" w:space="0" w:color="auto"/>
          </w:divBdr>
        </w:div>
      </w:divsChild>
    </w:div>
    <w:div w:id="1522624830">
      <w:bodyDiv w:val="1"/>
      <w:marLeft w:val="0"/>
      <w:marRight w:val="0"/>
      <w:marTop w:val="0"/>
      <w:marBottom w:val="0"/>
      <w:divBdr>
        <w:top w:val="none" w:sz="0" w:space="0" w:color="auto"/>
        <w:left w:val="none" w:sz="0" w:space="0" w:color="auto"/>
        <w:bottom w:val="none" w:sz="0" w:space="0" w:color="auto"/>
        <w:right w:val="none" w:sz="0" w:space="0" w:color="auto"/>
      </w:divBdr>
    </w:div>
    <w:div w:id="1546333885">
      <w:bodyDiv w:val="1"/>
      <w:marLeft w:val="0"/>
      <w:marRight w:val="0"/>
      <w:marTop w:val="0"/>
      <w:marBottom w:val="0"/>
      <w:divBdr>
        <w:top w:val="none" w:sz="0" w:space="0" w:color="auto"/>
        <w:left w:val="none" w:sz="0" w:space="0" w:color="auto"/>
        <w:bottom w:val="none" w:sz="0" w:space="0" w:color="auto"/>
        <w:right w:val="none" w:sz="0" w:space="0" w:color="auto"/>
      </w:divBdr>
    </w:div>
    <w:div w:id="1557474115">
      <w:bodyDiv w:val="1"/>
      <w:marLeft w:val="0"/>
      <w:marRight w:val="0"/>
      <w:marTop w:val="0"/>
      <w:marBottom w:val="0"/>
      <w:divBdr>
        <w:top w:val="none" w:sz="0" w:space="0" w:color="auto"/>
        <w:left w:val="none" w:sz="0" w:space="0" w:color="auto"/>
        <w:bottom w:val="none" w:sz="0" w:space="0" w:color="auto"/>
        <w:right w:val="none" w:sz="0" w:space="0" w:color="auto"/>
      </w:divBdr>
    </w:div>
    <w:div w:id="1578981398">
      <w:bodyDiv w:val="1"/>
      <w:marLeft w:val="0"/>
      <w:marRight w:val="0"/>
      <w:marTop w:val="0"/>
      <w:marBottom w:val="0"/>
      <w:divBdr>
        <w:top w:val="none" w:sz="0" w:space="0" w:color="auto"/>
        <w:left w:val="none" w:sz="0" w:space="0" w:color="auto"/>
        <w:bottom w:val="none" w:sz="0" w:space="0" w:color="auto"/>
        <w:right w:val="none" w:sz="0" w:space="0" w:color="auto"/>
      </w:divBdr>
    </w:div>
    <w:div w:id="1636794196">
      <w:bodyDiv w:val="1"/>
      <w:marLeft w:val="0"/>
      <w:marRight w:val="0"/>
      <w:marTop w:val="0"/>
      <w:marBottom w:val="0"/>
      <w:divBdr>
        <w:top w:val="none" w:sz="0" w:space="0" w:color="auto"/>
        <w:left w:val="none" w:sz="0" w:space="0" w:color="auto"/>
        <w:bottom w:val="none" w:sz="0" w:space="0" w:color="auto"/>
        <w:right w:val="none" w:sz="0" w:space="0" w:color="auto"/>
      </w:divBdr>
    </w:div>
    <w:div w:id="1649163024">
      <w:bodyDiv w:val="1"/>
      <w:marLeft w:val="0"/>
      <w:marRight w:val="0"/>
      <w:marTop w:val="0"/>
      <w:marBottom w:val="0"/>
      <w:divBdr>
        <w:top w:val="none" w:sz="0" w:space="0" w:color="auto"/>
        <w:left w:val="none" w:sz="0" w:space="0" w:color="auto"/>
        <w:bottom w:val="none" w:sz="0" w:space="0" w:color="auto"/>
        <w:right w:val="none" w:sz="0" w:space="0" w:color="auto"/>
      </w:divBdr>
    </w:div>
    <w:div w:id="1678461629">
      <w:bodyDiv w:val="1"/>
      <w:marLeft w:val="0"/>
      <w:marRight w:val="0"/>
      <w:marTop w:val="0"/>
      <w:marBottom w:val="0"/>
      <w:divBdr>
        <w:top w:val="none" w:sz="0" w:space="0" w:color="auto"/>
        <w:left w:val="none" w:sz="0" w:space="0" w:color="auto"/>
        <w:bottom w:val="none" w:sz="0" w:space="0" w:color="auto"/>
        <w:right w:val="none" w:sz="0" w:space="0" w:color="auto"/>
      </w:divBdr>
      <w:divsChild>
        <w:div w:id="1319265827">
          <w:marLeft w:val="360"/>
          <w:marRight w:val="0"/>
          <w:marTop w:val="200"/>
          <w:marBottom w:val="0"/>
          <w:divBdr>
            <w:top w:val="none" w:sz="0" w:space="0" w:color="auto"/>
            <w:left w:val="none" w:sz="0" w:space="0" w:color="auto"/>
            <w:bottom w:val="none" w:sz="0" w:space="0" w:color="auto"/>
            <w:right w:val="none" w:sz="0" w:space="0" w:color="auto"/>
          </w:divBdr>
        </w:div>
      </w:divsChild>
    </w:div>
    <w:div w:id="1706522123">
      <w:bodyDiv w:val="1"/>
      <w:marLeft w:val="0"/>
      <w:marRight w:val="0"/>
      <w:marTop w:val="0"/>
      <w:marBottom w:val="0"/>
      <w:divBdr>
        <w:top w:val="none" w:sz="0" w:space="0" w:color="auto"/>
        <w:left w:val="none" w:sz="0" w:space="0" w:color="auto"/>
        <w:bottom w:val="none" w:sz="0" w:space="0" w:color="auto"/>
        <w:right w:val="none" w:sz="0" w:space="0" w:color="auto"/>
      </w:divBdr>
    </w:div>
    <w:div w:id="1795900818">
      <w:bodyDiv w:val="1"/>
      <w:marLeft w:val="0"/>
      <w:marRight w:val="0"/>
      <w:marTop w:val="0"/>
      <w:marBottom w:val="0"/>
      <w:divBdr>
        <w:top w:val="none" w:sz="0" w:space="0" w:color="auto"/>
        <w:left w:val="none" w:sz="0" w:space="0" w:color="auto"/>
        <w:bottom w:val="none" w:sz="0" w:space="0" w:color="auto"/>
        <w:right w:val="none" w:sz="0" w:space="0" w:color="auto"/>
      </w:divBdr>
    </w:div>
    <w:div w:id="1824467066">
      <w:bodyDiv w:val="1"/>
      <w:marLeft w:val="0"/>
      <w:marRight w:val="0"/>
      <w:marTop w:val="0"/>
      <w:marBottom w:val="0"/>
      <w:divBdr>
        <w:top w:val="none" w:sz="0" w:space="0" w:color="auto"/>
        <w:left w:val="none" w:sz="0" w:space="0" w:color="auto"/>
        <w:bottom w:val="none" w:sz="0" w:space="0" w:color="auto"/>
        <w:right w:val="none" w:sz="0" w:space="0" w:color="auto"/>
      </w:divBdr>
    </w:div>
    <w:div w:id="1835871481">
      <w:bodyDiv w:val="1"/>
      <w:marLeft w:val="0"/>
      <w:marRight w:val="0"/>
      <w:marTop w:val="0"/>
      <w:marBottom w:val="0"/>
      <w:divBdr>
        <w:top w:val="none" w:sz="0" w:space="0" w:color="auto"/>
        <w:left w:val="none" w:sz="0" w:space="0" w:color="auto"/>
        <w:bottom w:val="none" w:sz="0" w:space="0" w:color="auto"/>
        <w:right w:val="none" w:sz="0" w:space="0" w:color="auto"/>
      </w:divBdr>
    </w:div>
    <w:div w:id="1847943319">
      <w:bodyDiv w:val="1"/>
      <w:marLeft w:val="0"/>
      <w:marRight w:val="0"/>
      <w:marTop w:val="0"/>
      <w:marBottom w:val="0"/>
      <w:divBdr>
        <w:top w:val="none" w:sz="0" w:space="0" w:color="auto"/>
        <w:left w:val="none" w:sz="0" w:space="0" w:color="auto"/>
        <w:bottom w:val="none" w:sz="0" w:space="0" w:color="auto"/>
        <w:right w:val="none" w:sz="0" w:space="0" w:color="auto"/>
      </w:divBdr>
    </w:div>
    <w:div w:id="1857383204">
      <w:bodyDiv w:val="1"/>
      <w:marLeft w:val="0"/>
      <w:marRight w:val="0"/>
      <w:marTop w:val="0"/>
      <w:marBottom w:val="0"/>
      <w:divBdr>
        <w:top w:val="none" w:sz="0" w:space="0" w:color="auto"/>
        <w:left w:val="none" w:sz="0" w:space="0" w:color="auto"/>
        <w:bottom w:val="none" w:sz="0" w:space="0" w:color="auto"/>
        <w:right w:val="none" w:sz="0" w:space="0" w:color="auto"/>
      </w:divBdr>
    </w:div>
    <w:div w:id="1869562949">
      <w:bodyDiv w:val="1"/>
      <w:marLeft w:val="0"/>
      <w:marRight w:val="0"/>
      <w:marTop w:val="0"/>
      <w:marBottom w:val="0"/>
      <w:divBdr>
        <w:top w:val="none" w:sz="0" w:space="0" w:color="auto"/>
        <w:left w:val="none" w:sz="0" w:space="0" w:color="auto"/>
        <w:bottom w:val="none" w:sz="0" w:space="0" w:color="auto"/>
        <w:right w:val="none" w:sz="0" w:space="0" w:color="auto"/>
      </w:divBdr>
    </w:div>
    <w:div w:id="1876960247">
      <w:bodyDiv w:val="1"/>
      <w:marLeft w:val="0"/>
      <w:marRight w:val="0"/>
      <w:marTop w:val="0"/>
      <w:marBottom w:val="0"/>
      <w:divBdr>
        <w:top w:val="none" w:sz="0" w:space="0" w:color="auto"/>
        <w:left w:val="none" w:sz="0" w:space="0" w:color="auto"/>
        <w:bottom w:val="none" w:sz="0" w:space="0" w:color="auto"/>
        <w:right w:val="none" w:sz="0" w:space="0" w:color="auto"/>
      </w:divBdr>
    </w:div>
    <w:div w:id="1953971943">
      <w:bodyDiv w:val="1"/>
      <w:marLeft w:val="0"/>
      <w:marRight w:val="0"/>
      <w:marTop w:val="0"/>
      <w:marBottom w:val="0"/>
      <w:divBdr>
        <w:top w:val="none" w:sz="0" w:space="0" w:color="auto"/>
        <w:left w:val="none" w:sz="0" w:space="0" w:color="auto"/>
        <w:bottom w:val="none" w:sz="0" w:space="0" w:color="auto"/>
        <w:right w:val="none" w:sz="0" w:space="0" w:color="auto"/>
      </w:divBdr>
      <w:divsChild>
        <w:div w:id="358968613">
          <w:marLeft w:val="360"/>
          <w:marRight w:val="0"/>
          <w:marTop w:val="200"/>
          <w:marBottom w:val="0"/>
          <w:divBdr>
            <w:top w:val="none" w:sz="0" w:space="0" w:color="auto"/>
            <w:left w:val="none" w:sz="0" w:space="0" w:color="auto"/>
            <w:bottom w:val="none" w:sz="0" w:space="0" w:color="auto"/>
            <w:right w:val="none" w:sz="0" w:space="0" w:color="auto"/>
          </w:divBdr>
        </w:div>
        <w:div w:id="395476841">
          <w:marLeft w:val="360"/>
          <w:marRight w:val="0"/>
          <w:marTop w:val="200"/>
          <w:marBottom w:val="0"/>
          <w:divBdr>
            <w:top w:val="none" w:sz="0" w:space="0" w:color="auto"/>
            <w:left w:val="none" w:sz="0" w:space="0" w:color="auto"/>
            <w:bottom w:val="none" w:sz="0" w:space="0" w:color="auto"/>
            <w:right w:val="none" w:sz="0" w:space="0" w:color="auto"/>
          </w:divBdr>
        </w:div>
        <w:div w:id="1846821719">
          <w:marLeft w:val="360"/>
          <w:marRight w:val="0"/>
          <w:marTop w:val="200"/>
          <w:marBottom w:val="0"/>
          <w:divBdr>
            <w:top w:val="none" w:sz="0" w:space="0" w:color="auto"/>
            <w:left w:val="none" w:sz="0" w:space="0" w:color="auto"/>
            <w:bottom w:val="none" w:sz="0" w:space="0" w:color="auto"/>
            <w:right w:val="none" w:sz="0" w:space="0" w:color="auto"/>
          </w:divBdr>
        </w:div>
      </w:divsChild>
    </w:div>
    <w:div w:id="1964144508">
      <w:bodyDiv w:val="1"/>
      <w:marLeft w:val="0"/>
      <w:marRight w:val="0"/>
      <w:marTop w:val="0"/>
      <w:marBottom w:val="0"/>
      <w:divBdr>
        <w:top w:val="none" w:sz="0" w:space="0" w:color="auto"/>
        <w:left w:val="none" w:sz="0" w:space="0" w:color="auto"/>
        <w:bottom w:val="none" w:sz="0" w:space="0" w:color="auto"/>
        <w:right w:val="none" w:sz="0" w:space="0" w:color="auto"/>
      </w:divBdr>
      <w:divsChild>
        <w:div w:id="101994047">
          <w:marLeft w:val="0"/>
          <w:marRight w:val="0"/>
          <w:marTop w:val="0"/>
          <w:marBottom w:val="0"/>
          <w:divBdr>
            <w:top w:val="none" w:sz="0" w:space="0" w:color="auto"/>
            <w:left w:val="none" w:sz="0" w:space="0" w:color="auto"/>
            <w:bottom w:val="none" w:sz="0" w:space="0" w:color="auto"/>
            <w:right w:val="none" w:sz="0" w:space="0" w:color="auto"/>
          </w:divBdr>
          <w:divsChild>
            <w:div w:id="1532110504">
              <w:marLeft w:val="0"/>
              <w:marRight w:val="0"/>
              <w:marTop w:val="0"/>
              <w:marBottom w:val="0"/>
              <w:divBdr>
                <w:top w:val="none" w:sz="0" w:space="0" w:color="auto"/>
                <w:left w:val="none" w:sz="0" w:space="0" w:color="auto"/>
                <w:bottom w:val="none" w:sz="0" w:space="0" w:color="auto"/>
                <w:right w:val="none" w:sz="0" w:space="0" w:color="auto"/>
              </w:divBdr>
              <w:divsChild>
                <w:div w:id="1594818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1323352">
      <w:bodyDiv w:val="1"/>
      <w:marLeft w:val="0"/>
      <w:marRight w:val="0"/>
      <w:marTop w:val="0"/>
      <w:marBottom w:val="0"/>
      <w:divBdr>
        <w:top w:val="none" w:sz="0" w:space="0" w:color="auto"/>
        <w:left w:val="none" w:sz="0" w:space="0" w:color="auto"/>
        <w:bottom w:val="none" w:sz="0" w:space="0" w:color="auto"/>
        <w:right w:val="none" w:sz="0" w:space="0" w:color="auto"/>
      </w:divBdr>
    </w:div>
    <w:div w:id="1981109876">
      <w:bodyDiv w:val="1"/>
      <w:marLeft w:val="0"/>
      <w:marRight w:val="0"/>
      <w:marTop w:val="0"/>
      <w:marBottom w:val="0"/>
      <w:divBdr>
        <w:top w:val="none" w:sz="0" w:space="0" w:color="auto"/>
        <w:left w:val="none" w:sz="0" w:space="0" w:color="auto"/>
        <w:bottom w:val="none" w:sz="0" w:space="0" w:color="auto"/>
        <w:right w:val="none" w:sz="0" w:space="0" w:color="auto"/>
      </w:divBdr>
    </w:div>
    <w:div w:id="1991668965">
      <w:bodyDiv w:val="1"/>
      <w:marLeft w:val="0"/>
      <w:marRight w:val="0"/>
      <w:marTop w:val="0"/>
      <w:marBottom w:val="0"/>
      <w:divBdr>
        <w:top w:val="none" w:sz="0" w:space="0" w:color="auto"/>
        <w:left w:val="none" w:sz="0" w:space="0" w:color="auto"/>
        <w:bottom w:val="none" w:sz="0" w:space="0" w:color="auto"/>
        <w:right w:val="none" w:sz="0" w:space="0" w:color="auto"/>
      </w:divBdr>
      <w:divsChild>
        <w:div w:id="653223709">
          <w:marLeft w:val="360"/>
          <w:marRight w:val="0"/>
          <w:marTop w:val="200"/>
          <w:marBottom w:val="0"/>
          <w:divBdr>
            <w:top w:val="none" w:sz="0" w:space="0" w:color="auto"/>
            <w:left w:val="none" w:sz="0" w:space="0" w:color="auto"/>
            <w:bottom w:val="none" w:sz="0" w:space="0" w:color="auto"/>
            <w:right w:val="none" w:sz="0" w:space="0" w:color="auto"/>
          </w:divBdr>
        </w:div>
      </w:divsChild>
    </w:div>
    <w:div w:id="2020766655">
      <w:bodyDiv w:val="1"/>
      <w:marLeft w:val="0"/>
      <w:marRight w:val="0"/>
      <w:marTop w:val="0"/>
      <w:marBottom w:val="0"/>
      <w:divBdr>
        <w:top w:val="none" w:sz="0" w:space="0" w:color="auto"/>
        <w:left w:val="none" w:sz="0" w:space="0" w:color="auto"/>
        <w:bottom w:val="none" w:sz="0" w:space="0" w:color="auto"/>
        <w:right w:val="none" w:sz="0" w:space="0" w:color="auto"/>
      </w:divBdr>
    </w:div>
    <w:div w:id="2041972493">
      <w:bodyDiv w:val="1"/>
      <w:marLeft w:val="0"/>
      <w:marRight w:val="0"/>
      <w:marTop w:val="0"/>
      <w:marBottom w:val="0"/>
      <w:divBdr>
        <w:top w:val="none" w:sz="0" w:space="0" w:color="auto"/>
        <w:left w:val="none" w:sz="0" w:space="0" w:color="auto"/>
        <w:bottom w:val="none" w:sz="0" w:space="0" w:color="auto"/>
        <w:right w:val="none" w:sz="0" w:space="0" w:color="auto"/>
      </w:divBdr>
    </w:div>
    <w:div w:id="2042241053">
      <w:bodyDiv w:val="1"/>
      <w:marLeft w:val="0"/>
      <w:marRight w:val="0"/>
      <w:marTop w:val="0"/>
      <w:marBottom w:val="0"/>
      <w:divBdr>
        <w:top w:val="none" w:sz="0" w:space="0" w:color="auto"/>
        <w:left w:val="none" w:sz="0" w:space="0" w:color="auto"/>
        <w:bottom w:val="none" w:sz="0" w:space="0" w:color="auto"/>
        <w:right w:val="none" w:sz="0" w:space="0" w:color="auto"/>
      </w:divBdr>
    </w:div>
    <w:div w:id="2057049887">
      <w:bodyDiv w:val="1"/>
      <w:marLeft w:val="0"/>
      <w:marRight w:val="0"/>
      <w:marTop w:val="0"/>
      <w:marBottom w:val="0"/>
      <w:divBdr>
        <w:top w:val="none" w:sz="0" w:space="0" w:color="auto"/>
        <w:left w:val="none" w:sz="0" w:space="0" w:color="auto"/>
        <w:bottom w:val="none" w:sz="0" w:space="0" w:color="auto"/>
        <w:right w:val="none" w:sz="0" w:space="0" w:color="auto"/>
      </w:divBdr>
    </w:div>
    <w:div w:id="2060588180">
      <w:bodyDiv w:val="1"/>
      <w:marLeft w:val="0"/>
      <w:marRight w:val="0"/>
      <w:marTop w:val="0"/>
      <w:marBottom w:val="0"/>
      <w:divBdr>
        <w:top w:val="none" w:sz="0" w:space="0" w:color="auto"/>
        <w:left w:val="none" w:sz="0" w:space="0" w:color="auto"/>
        <w:bottom w:val="none" w:sz="0" w:space="0" w:color="auto"/>
        <w:right w:val="none" w:sz="0" w:space="0" w:color="auto"/>
      </w:divBdr>
    </w:div>
    <w:div w:id="2067364881">
      <w:bodyDiv w:val="1"/>
      <w:marLeft w:val="0"/>
      <w:marRight w:val="0"/>
      <w:marTop w:val="0"/>
      <w:marBottom w:val="0"/>
      <w:divBdr>
        <w:top w:val="none" w:sz="0" w:space="0" w:color="auto"/>
        <w:left w:val="none" w:sz="0" w:space="0" w:color="auto"/>
        <w:bottom w:val="none" w:sz="0" w:space="0" w:color="auto"/>
        <w:right w:val="none" w:sz="0" w:space="0" w:color="auto"/>
      </w:divBdr>
    </w:div>
    <w:div w:id="2070180497">
      <w:bodyDiv w:val="1"/>
      <w:marLeft w:val="0"/>
      <w:marRight w:val="0"/>
      <w:marTop w:val="0"/>
      <w:marBottom w:val="0"/>
      <w:divBdr>
        <w:top w:val="none" w:sz="0" w:space="0" w:color="auto"/>
        <w:left w:val="none" w:sz="0" w:space="0" w:color="auto"/>
        <w:bottom w:val="none" w:sz="0" w:space="0" w:color="auto"/>
        <w:right w:val="none" w:sz="0" w:space="0" w:color="auto"/>
      </w:divBdr>
    </w:div>
    <w:div w:id="2070611254">
      <w:bodyDiv w:val="1"/>
      <w:marLeft w:val="0"/>
      <w:marRight w:val="0"/>
      <w:marTop w:val="0"/>
      <w:marBottom w:val="0"/>
      <w:divBdr>
        <w:top w:val="none" w:sz="0" w:space="0" w:color="auto"/>
        <w:left w:val="none" w:sz="0" w:space="0" w:color="auto"/>
        <w:bottom w:val="none" w:sz="0" w:space="0" w:color="auto"/>
        <w:right w:val="none" w:sz="0" w:space="0" w:color="auto"/>
      </w:divBdr>
      <w:divsChild>
        <w:div w:id="405343008">
          <w:marLeft w:val="360"/>
          <w:marRight w:val="0"/>
          <w:marTop w:val="200"/>
          <w:marBottom w:val="0"/>
          <w:divBdr>
            <w:top w:val="none" w:sz="0" w:space="0" w:color="auto"/>
            <w:left w:val="none" w:sz="0" w:space="0" w:color="auto"/>
            <w:bottom w:val="none" w:sz="0" w:space="0" w:color="auto"/>
            <w:right w:val="none" w:sz="0" w:space="0" w:color="auto"/>
          </w:divBdr>
        </w:div>
        <w:div w:id="1078557694">
          <w:marLeft w:val="360"/>
          <w:marRight w:val="0"/>
          <w:marTop w:val="200"/>
          <w:marBottom w:val="0"/>
          <w:divBdr>
            <w:top w:val="none" w:sz="0" w:space="0" w:color="auto"/>
            <w:left w:val="none" w:sz="0" w:space="0" w:color="auto"/>
            <w:bottom w:val="none" w:sz="0" w:space="0" w:color="auto"/>
            <w:right w:val="none" w:sz="0" w:space="0" w:color="auto"/>
          </w:divBdr>
        </w:div>
      </w:divsChild>
    </w:div>
    <w:div w:id="2112242702">
      <w:bodyDiv w:val="1"/>
      <w:marLeft w:val="0"/>
      <w:marRight w:val="0"/>
      <w:marTop w:val="0"/>
      <w:marBottom w:val="0"/>
      <w:divBdr>
        <w:top w:val="none" w:sz="0" w:space="0" w:color="auto"/>
        <w:left w:val="none" w:sz="0" w:space="0" w:color="auto"/>
        <w:bottom w:val="none" w:sz="0" w:space="0" w:color="auto"/>
        <w:right w:val="none" w:sz="0" w:space="0" w:color="auto"/>
      </w:divBdr>
      <w:divsChild>
        <w:div w:id="611279751">
          <w:marLeft w:val="360"/>
          <w:marRight w:val="0"/>
          <w:marTop w:val="200"/>
          <w:marBottom w:val="0"/>
          <w:divBdr>
            <w:top w:val="none" w:sz="0" w:space="0" w:color="auto"/>
            <w:left w:val="none" w:sz="0" w:space="0" w:color="auto"/>
            <w:bottom w:val="none" w:sz="0" w:space="0" w:color="auto"/>
            <w:right w:val="none" w:sz="0" w:space="0" w:color="auto"/>
          </w:divBdr>
        </w:div>
        <w:div w:id="1754546124">
          <w:marLeft w:val="360"/>
          <w:marRight w:val="0"/>
          <w:marTop w:val="200"/>
          <w:marBottom w:val="0"/>
          <w:divBdr>
            <w:top w:val="none" w:sz="0" w:space="0" w:color="auto"/>
            <w:left w:val="none" w:sz="0" w:space="0" w:color="auto"/>
            <w:bottom w:val="none" w:sz="0" w:space="0" w:color="auto"/>
            <w:right w:val="none" w:sz="0" w:space="0" w:color="auto"/>
          </w:divBdr>
        </w:div>
      </w:divsChild>
    </w:div>
    <w:div w:id="2122456360">
      <w:bodyDiv w:val="1"/>
      <w:marLeft w:val="0"/>
      <w:marRight w:val="0"/>
      <w:marTop w:val="0"/>
      <w:marBottom w:val="0"/>
      <w:divBdr>
        <w:top w:val="none" w:sz="0" w:space="0" w:color="auto"/>
        <w:left w:val="none" w:sz="0" w:space="0" w:color="auto"/>
        <w:bottom w:val="none" w:sz="0" w:space="0" w:color="auto"/>
        <w:right w:val="none" w:sz="0" w:space="0" w:color="auto"/>
      </w:divBdr>
    </w:div>
    <w:div w:id="2131629797">
      <w:bodyDiv w:val="1"/>
      <w:marLeft w:val="0"/>
      <w:marRight w:val="0"/>
      <w:marTop w:val="0"/>
      <w:marBottom w:val="0"/>
      <w:divBdr>
        <w:top w:val="none" w:sz="0" w:space="0" w:color="auto"/>
        <w:left w:val="none" w:sz="0" w:space="0" w:color="auto"/>
        <w:bottom w:val="none" w:sz="0" w:space="0" w:color="auto"/>
        <w:right w:val="none" w:sz="0" w:space="0" w:color="auto"/>
      </w:divBdr>
      <w:divsChild>
        <w:div w:id="1874226744">
          <w:marLeft w:val="0"/>
          <w:marRight w:val="0"/>
          <w:marTop w:val="0"/>
          <w:marBottom w:val="0"/>
          <w:divBdr>
            <w:top w:val="none" w:sz="0" w:space="0" w:color="auto"/>
            <w:left w:val="none" w:sz="0" w:space="0" w:color="auto"/>
            <w:bottom w:val="none" w:sz="0" w:space="0" w:color="auto"/>
            <w:right w:val="none" w:sz="0" w:space="0" w:color="auto"/>
          </w:divBdr>
          <w:divsChild>
            <w:div w:id="1755933826">
              <w:marLeft w:val="0"/>
              <w:marRight w:val="0"/>
              <w:marTop w:val="0"/>
              <w:marBottom w:val="0"/>
              <w:divBdr>
                <w:top w:val="none" w:sz="0" w:space="0" w:color="auto"/>
                <w:left w:val="none" w:sz="0" w:space="0" w:color="auto"/>
                <w:bottom w:val="none" w:sz="0" w:space="0" w:color="auto"/>
                <w:right w:val="none" w:sz="0" w:space="0" w:color="auto"/>
              </w:divBdr>
              <w:divsChild>
                <w:div w:id="1500149147">
                  <w:marLeft w:val="0"/>
                  <w:marRight w:val="0"/>
                  <w:marTop w:val="0"/>
                  <w:marBottom w:val="0"/>
                  <w:divBdr>
                    <w:top w:val="none" w:sz="0" w:space="0" w:color="auto"/>
                    <w:left w:val="none" w:sz="0" w:space="0" w:color="auto"/>
                    <w:bottom w:val="none" w:sz="0" w:space="0" w:color="auto"/>
                    <w:right w:val="none" w:sz="0" w:space="0" w:color="auto"/>
                  </w:divBdr>
                  <w:divsChild>
                    <w:div w:id="1005787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4442864">
      <w:bodyDiv w:val="1"/>
      <w:marLeft w:val="0"/>
      <w:marRight w:val="0"/>
      <w:marTop w:val="0"/>
      <w:marBottom w:val="0"/>
      <w:divBdr>
        <w:top w:val="none" w:sz="0" w:space="0" w:color="auto"/>
        <w:left w:val="none" w:sz="0" w:space="0" w:color="auto"/>
        <w:bottom w:val="none" w:sz="0" w:space="0" w:color="auto"/>
        <w:right w:val="none" w:sz="0" w:space="0" w:color="auto"/>
      </w:divBdr>
      <w:divsChild>
        <w:div w:id="425854566">
          <w:marLeft w:val="360"/>
          <w:marRight w:val="0"/>
          <w:marTop w:val="200"/>
          <w:marBottom w:val="0"/>
          <w:divBdr>
            <w:top w:val="none" w:sz="0" w:space="0" w:color="auto"/>
            <w:left w:val="none" w:sz="0" w:space="0" w:color="auto"/>
            <w:bottom w:val="none" w:sz="0" w:space="0" w:color="auto"/>
            <w:right w:val="none" w:sz="0" w:space="0" w:color="auto"/>
          </w:divBdr>
        </w:div>
        <w:div w:id="1864786070">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footer" Target="footer4.xml"/><Relationship Id="rId26" Type="http://schemas.openxmlformats.org/officeDocument/2006/relationships/oleObject" Target="embeddings/oleObject1.bin"/><Relationship Id="rId39" Type="http://schemas.openxmlformats.org/officeDocument/2006/relationships/image" Target="media/image9.png"/><Relationship Id="rId21" Type="http://schemas.openxmlformats.org/officeDocument/2006/relationships/footer" Target="footer5.xml"/><Relationship Id="rId34" Type="http://schemas.openxmlformats.org/officeDocument/2006/relationships/chart" Target="charts/chart6.xml"/><Relationship Id="rId42" Type="http://schemas.openxmlformats.org/officeDocument/2006/relationships/image" Target="media/image12.png"/><Relationship Id="rId47" Type="http://schemas.openxmlformats.org/officeDocument/2006/relationships/fontTable" Target="fontTable.xml"/><Relationship Id="rId50" Type="http://schemas.openxmlformats.org/officeDocument/2006/relationships/customXml" Target="../customXml/item4.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chart" Target="charts/chart1.xml"/><Relationship Id="rId11" Type="http://schemas.openxmlformats.org/officeDocument/2006/relationships/image" Target="media/image3.png"/><Relationship Id="rId24" Type="http://schemas.openxmlformats.org/officeDocument/2006/relationships/footer" Target="footer7.xml"/><Relationship Id="rId32" Type="http://schemas.openxmlformats.org/officeDocument/2006/relationships/chart" Target="charts/chart4.xml"/><Relationship Id="rId37" Type="http://schemas.openxmlformats.org/officeDocument/2006/relationships/chart" Target="charts/chart8.xml"/><Relationship Id="rId40" Type="http://schemas.openxmlformats.org/officeDocument/2006/relationships/image" Target="media/image10.jpeg"/><Relationship Id="rId45" Type="http://schemas.openxmlformats.org/officeDocument/2006/relationships/footer" Target="footer8.xml"/><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footer" Target="footer6.xml"/><Relationship Id="rId28" Type="http://schemas.openxmlformats.org/officeDocument/2006/relationships/image" Target="media/image7.jpeg"/><Relationship Id="rId36" Type="http://schemas.openxmlformats.org/officeDocument/2006/relationships/image" Target="media/image8.jpeg"/><Relationship Id="rId49" Type="http://schemas.openxmlformats.org/officeDocument/2006/relationships/customXml" Target="../customXml/item3.xml"/><Relationship Id="rId10" Type="http://schemas.openxmlformats.org/officeDocument/2006/relationships/image" Target="media/image2.png"/><Relationship Id="rId19" Type="http://schemas.openxmlformats.org/officeDocument/2006/relationships/image" Target="media/image4.png"/><Relationship Id="rId31" Type="http://schemas.openxmlformats.org/officeDocument/2006/relationships/chart" Target="charts/chart3.xml"/><Relationship Id="rId44" Type="http://schemas.openxmlformats.org/officeDocument/2006/relationships/header" Target="header6.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footer" Target="footer1.xml"/><Relationship Id="rId22" Type="http://schemas.openxmlformats.org/officeDocument/2006/relationships/header" Target="header5.xml"/><Relationship Id="rId27" Type="http://schemas.openxmlformats.org/officeDocument/2006/relationships/image" Target="media/image6.jpeg"/><Relationship Id="rId30" Type="http://schemas.openxmlformats.org/officeDocument/2006/relationships/chart" Target="charts/chart2.xml"/><Relationship Id="rId35" Type="http://schemas.openxmlformats.org/officeDocument/2006/relationships/chart" Target="charts/chart7.xml"/><Relationship Id="rId43" Type="http://schemas.openxmlformats.org/officeDocument/2006/relationships/image" Target="media/image13.png"/><Relationship Id="rId48"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customXml" Target="../customXml/item5.xml"/><Relationship Id="rId3" Type="http://schemas.openxmlformats.org/officeDocument/2006/relationships/numbering" Target="numbering.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5.emf"/><Relationship Id="rId33" Type="http://schemas.openxmlformats.org/officeDocument/2006/relationships/chart" Target="charts/chart5.xml"/><Relationship Id="rId38" Type="http://schemas.openxmlformats.org/officeDocument/2006/relationships/chart" Target="charts/chart9.xml"/><Relationship Id="rId46" Type="http://schemas.openxmlformats.org/officeDocument/2006/relationships/header" Target="header7.xml"/><Relationship Id="rId20" Type="http://schemas.openxmlformats.org/officeDocument/2006/relationships/header" Target="header4.xml"/><Relationship Id="rId41"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webSettings" Target="webSettings.xml"/></Relationships>
</file>

<file path=word/charts/_rels/chart1.xml.rels><?xml version="1.0" encoding="UTF-8" standalone="yes"?>
<Relationships xmlns="http://schemas.openxmlformats.org/package/2006/relationships"><Relationship Id="rId3" Type="http://schemas.openxmlformats.org/officeDocument/2006/relationships/oleObject" Target="file:///\\192.168.100.1\evaw\1.%20Nabilan%20Phase%20II_2018\8.%20M&amp;E\Evidence%20Matrix%20&amp;%20Learning%20Dialogue_January%202019\Benficiary%20data_combined%202018.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192.168.100.1\evaw\1.%20Nabilan%20Phase%20II_2018\8.%20M&amp;E\Evidence%20Matrix%20&amp;%20Learning%20Dialogue_January%202019\Benficiary%20data_combined%202018.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192.168.100.1\evaw\1.%20Nabilan%20Phase%20II_2018\8.%20M&amp;E\Evidence%20Matrix%20&amp;%20Learning%20Dialogue_January%202019\Benficiary%20data_combined%202018.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192.168.100.1\evaw\1.%20Nabilan%20Phase%20II_2018\8.%20M&amp;E\Evidence%20Matrix%20&amp;%20Learning%20Dialogue_January%202019\Benficiary%20data_combined%202018.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192.168.100.1\evaw\1.%20Nabilan%20Phase%20II_2018\8.%20M&amp;E\Evidence%20Matrix%20&amp;%20Learning%20Dialogue_January%202019\Benficiary%20data_combined%202018.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192.168.100.1\evaw\1.%20Nabilan%20Phase%20II_2018\8.%20M&amp;E\Evidence%20Matrix%20&amp;%20Learning%20Dialogue_January%202019\Benficiary%20data_combined%202018.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192.168.100.1\evaw\1.%20Nabilan%20Phase%20II_2018\8.%20M&amp;E\Evidence%20Matrix%20&amp;%20Learning%20Dialogue_January%202019\Benficiary%20data_combined%202018.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192.168.100.1\evaw\1.%20Nabilan%20Phase%20II_2018\8.%20M&amp;E\Evidence%20Matrix%20&amp;%20Learning%20Dialogue_January%202019\Benficiary%20data_combined%202018.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192.168.100.1\evaw\1.%20Nabilan%20Phase%20II_2018\8.%20M&amp;E\Evidence%20Matrix%20&amp;%20Learning%20Dialogue_January%202019\Benficiary%20data_combined%202018.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50"/>
              <a:t>Chart 1.</a:t>
            </a:r>
            <a:r>
              <a:rPr lang="en-US" sz="1050" baseline="0"/>
              <a:t> All n</a:t>
            </a:r>
            <a:r>
              <a:rPr lang="en-US" sz="1050"/>
              <a:t>ew clients by</a:t>
            </a:r>
            <a:r>
              <a:rPr lang="en-US" sz="1050" baseline="0"/>
              <a:t> municipality</a:t>
            </a:r>
            <a:endParaRPr lang="en-US" sz="1050"/>
          </a:p>
        </c:rich>
      </c:tx>
      <c:layout>
        <c:manualLayout>
          <c:xMode val="edge"/>
          <c:yMode val="edge"/>
          <c:x val="1.6356509812931188E-3"/>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9.4610274328443156E-2"/>
          <c:y val="9.9850979209543611E-2"/>
          <c:w val="0.82594986496253187"/>
          <c:h val="0.89813671250277394"/>
        </c:manualLayout>
      </c:layout>
      <c:barChart>
        <c:barDir val="bar"/>
        <c:grouping val="clustered"/>
        <c:varyColors val="0"/>
        <c:ser>
          <c:idx val="0"/>
          <c:order val="0"/>
          <c:spPr>
            <a:solidFill>
              <a:srgbClr val="69A2B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Graphs!$A$3:$A$15</c:f>
              <c:strCache>
                <c:ptCount val="13"/>
                <c:pt idx="0">
                  <c:v>Aileu</c:v>
                </c:pt>
                <c:pt idx="1">
                  <c:v>Manatuto</c:v>
                </c:pt>
                <c:pt idx="2">
                  <c:v>Ainaro</c:v>
                </c:pt>
                <c:pt idx="3">
                  <c:v>Lautem</c:v>
                </c:pt>
                <c:pt idx="4">
                  <c:v>Manufahi</c:v>
                </c:pt>
                <c:pt idx="5">
                  <c:v>Liquica</c:v>
                </c:pt>
                <c:pt idx="6">
                  <c:v>Ermera</c:v>
                </c:pt>
                <c:pt idx="7">
                  <c:v>Viqueque</c:v>
                </c:pt>
                <c:pt idx="8">
                  <c:v>Covalima</c:v>
                </c:pt>
                <c:pt idx="9">
                  <c:v>Bobonaro</c:v>
                </c:pt>
                <c:pt idx="10">
                  <c:v>Oecusse</c:v>
                </c:pt>
                <c:pt idx="11">
                  <c:v>Baucau</c:v>
                </c:pt>
                <c:pt idx="12">
                  <c:v>Dili</c:v>
                </c:pt>
              </c:strCache>
            </c:strRef>
          </c:cat>
          <c:val>
            <c:numRef>
              <c:f>Graphs!$B$3:$B$15</c:f>
              <c:numCache>
                <c:formatCode>General</c:formatCode>
                <c:ptCount val="13"/>
                <c:pt idx="0">
                  <c:v>7</c:v>
                </c:pt>
                <c:pt idx="1">
                  <c:v>20</c:v>
                </c:pt>
                <c:pt idx="2">
                  <c:v>24</c:v>
                </c:pt>
                <c:pt idx="3">
                  <c:v>28</c:v>
                </c:pt>
                <c:pt idx="4">
                  <c:v>32</c:v>
                </c:pt>
                <c:pt idx="5">
                  <c:v>50</c:v>
                </c:pt>
                <c:pt idx="6">
                  <c:v>59</c:v>
                </c:pt>
                <c:pt idx="7">
                  <c:v>71</c:v>
                </c:pt>
                <c:pt idx="8">
                  <c:v>100</c:v>
                </c:pt>
                <c:pt idx="9">
                  <c:v>122</c:v>
                </c:pt>
                <c:pt idx="10">
                  <c:v>159</c:v>
                </c:pt>
                <c:pt idx="11">
                  <c:v>170</c:v>
                </c:pt>
                <c:pt idx="12">
                  <c:v>501</c:v>
                </c:pt>
              </c:numCache>
            </c:numRef>
          </c:val>
          <c:extLst>
            <c:ext xmlns:c16="http://schemas.microsoft.com/office/drawing/2014/chart" uri="{C3380CC4-5D6E-409C-BE32-E72D297353CC}">
              <c16:uniqueId val="{00000000-47D3-4790-93DC-C9A1D6A3A491}"/>
            </c:ext>
          </c:extLst>
        </c:ser>
        <c:dLbls>
          <c:showLegendKey val="0"/>
          <c:showVal val="0"/>
          <c:showCatName val="0"/>
          <c:showSerName val="0"/>
          <c:showPercent val="0"/>
          <c:showBubbleSize val="0"/>
        </c:dLbls>
        <c:gapWidth val="182"/>
        <c:axId val="614244368"/>
        <c:axId val="614245024"/>
      </c:barChart>
      <c:catAx>
        <c:axId val="6142443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14245024"/>
        <c:crosses val="autoZero"/>
        <c:auto val="1"/>
        <c:lblAlgn val="ctr"/>
        <c:lblOffset val="100"/>
        <c:noMultiLvlLbl val="0"/>
      </c:catAx>
      <c:valAx>
        <c:axId val="614245024"/>
        <c:scaling>
          <c:orientation val="minMax"/>
        </c:scaling>
        <c:delete val="1"/>
        <c:axPos val="b"/>
        <c:numFmt formatCode="General" sourceLinked="1"/>
        <c:majorTickMark val="none"/>
        <c:minorTickMark val="none"/>
        <c:tickLblPos val="nextTo"/>
        <c:crossAx val="61424436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50"/>
              <a:t>Chart 2.</a:t>
            </a:r>
            <a:r>
              <a:rPr lang="en-US" sz="1050" baseline="0"/>
              <a:t> All n</a:t>
            </a:r>
            <a:r>
              <a:rPr lang="en-US" sz="1050"/>
              <a:t>ew clients by</a:t>
            </a:r>
            <a:r>
              <a:rPr lang="en-US" sz="1050" baseline="0"/>
              <a:t> case type</a:t>
            </a:r>
            <a:endParaRPr lang="en-US" sz="1050"/>
          </a:p>
        </c:rich>
      </c:tx>
      <c:layout>
        <c:manualLayout>
          <c:xMode val="edge"/>
          <c:yMode val="edge"/>
          <c:x val="1.6356245237829214E-3"/>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39065957478886637"/>
          <c:y val="0.15367239380493383"/>
          <c:w val="0.58716971070947077"/>
          <c:h val="0.84442571623164409"/>
        </c:manualLayout>
      </c:layout>
      <c:barChart>
        <c:barDir val="bar"/>
        <c:grouping val="clustered"/>
        <c:varyColors val="0"/>
        <c:ser>
          <c:idx val="0"/>
          <c:order val="0"/>
          <c:spPr>
            <a:solidFill>
              <a:srgbClr val="69A2B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Graphs!$A$65:$A$72</c:f>
              <c:strCache>
                <c:ptCount val="8"/>
                <c:pt idx="0">
                  <c:v>Other</c:v>
                </c:pt>
                <c:pt idx="1">
                  <c:v>Domestic violence, psychological violence </c:v>
                </c:pt>
                <c:pt idx="2">
                  <c:v>Domestic violence, sexual violence</c:v>
                </c:pt>
                <c:pt idx="3">
                  <c:v>Domestic violence, combined violence</c:v>
                </c:pt>
                <c:pt idx="4">
                  <c:v>Physical violence only, not domestic violence</c:v>
                </c:pt>
                <c:pt idx="5">
                  <c:v>Civil (including “abandoment”)</c:v>
                </c:pt>
                <c:pt idx="6">
                  <c:v>Sexual violence only, not domestic violence</c:v>
                </c:pt>
                <c:pt idx="7">
                  <c:v>Domestic violence, physical violence</c:v>
                </c:pt>
              </c:strCache>
            </c:strRef>
          </c:cat>
          <c:val>
            <c:numRef>
              <c:f>Graphs!$B$65:$B$72</c:f>
              <c:numCache>
                <c:formatCode>General</c:formatCode>
                <c:ptCount val="8"/>
                <c:pt idx="0">
                  <c:v>23</c:v>
                </c:pt>
                <c:pt idx="1">
                  <c:v>24</c:v>
                </c:pt>
                <c:pt idx="2">
                  <c:v>70</c:v>
                </c:pt>
                <c:pt idx="3">
                  <c:v>88</c:v>
                </c:pt>
                <c:pt idx="4">
                  <c:v>107</c:v>
                </c:pt>
                <c:pt idx="5">
                  <c:v>117</c:v>
                </c:pt>
                <c:pt idx="6">
                  <c:v>250</c:v>
                </c:pt>
                <c:pt idx="7">
                  <c:v>663</c:v>
                </c:pt>
              </c:numCache>
            </c:numRef>
          </c:val>
          <c:extLst>
            <c:ext xmlns:c16="http://schemas.microsoft.com/office/drawing/2014/chart" uri="{C3380CC4-5D6E-409C-BE32-E72D297353CC}">
              <c16:uniqueId val="{00000000-DF6F-48BA-8DB3-E7E01B8BA41B}"/>
            </c:ext>
          </c:extLst>
        </c:ser>
        <c:dLbls>
          <c:showLegendKey val="0"/>
          <c:showVal val="0"/>
          <c:showCatName val="0"/>
          <c:showSerName val="0"/>
          <c:showPercent val="0"/>
          <c:showBubbleSize val="0"/>
        </c:dLbls>
        <c:gapWidth val="182"/>
        <c:axId val="614244368"/>
        <c:axId val="614245024"/>
      </c:barChart>
      <c:catAx>
        <c:axId val="6142443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14245024"/>
        <c:crosses val="autoZero"/>
        <c:auto val="1"/>
        <c:lblAlgn val="l"/>
        <c:lblOffset val="100"/>
        <c:noMultiLvlLbl val="0"/>
      </c:catAx>
      <c:valAx>
        <c:axId val="614245024"/>
        <c:scaling>
          <c:orientation val="minMax"/>
        </c:scaling>
        <c:delete val="1"/>
        <c:axPos val="b"/>
        <c:numFmt formatCode="General" sourceLinked="1"/>
        <c:majorTickMark val="none"/>
        <c:minorTickMark val="none"/>
        <c:tickLblPos val="nextTo"/>
        <c:crossAx val="61424436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t" anchorCtr="0"/>
          <a:lstStyle/>
          <a:p>
            <a:pPr algn="l">
              <a:defRPr sz="1000" b="0" i="0" u="none" strike="noStrike" kern="1200" spc="0" baseline="0">
                <a:solidFill>
                  <a:schemeClr val="tx1">
                    <a:lumMod val="65000"/>
                    <a:lumOff val="35000"/>
                  </a:schemeClr>
                </a:solidFill>
                <a:latin typeface="+mn-lt"/>
                <a:ea typeface="+mn-ea"/>
                <a:cs typeface="+mn-cs"/>
              </a:defRPr>
            </a:pPr>
            <a:r>
              <a:rPr lang="en-AU" sz="1000"/>
              <a:t>Chart 6. New female clients by language</a:t>
            </a:r>
            <a:endParaRPr lang="en-US" sz="1000"/>
          </a:p>
        </c:rich>
      </c:tx>
      <c:layout>
        <c:manualLayout>
          <c:xMode val="edge"/>
          <c:yMode val="edge"/>
          <c:x val="0.10450450450450451"/>
          <c:y val="0"/>
        </c:manualLayout>
      </c:layout>
      <c:overlay val="0"/>
      <c:spPr>
        <a:noFill/>
        <a:ln>
          <a:noFill/>
        </a:ln>
        <a:effectLst/>
      </c:spPr>
      <c:txPr>
        <a:bodyPr rot="0" spcFirstLastPara="1" vertOverflow="ellipsis" vert="horz" wrap="square" anchor="t" anchorCtr="0"/>
        <a:lstStyle/>
        <a:p>
          <a:pPr algn="l">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7537372068320148"/>
          <c:y val="0.13578073925069148"/>
          <c:w val="0.41499131666357553"/>
          <c:h val="0.48730436228787971"/>
        </c:manualLayout>
      </c:layout>
      <c:doughnutChart>
        <c:varyColors val="1"/>
        <c:ser>
          <c:idx val="0"/>
          <c:order val="0"/>
          <c:dPt>
            <c:idx val="0"/>
            <c:bubble3D val="0"/>
            <c:spPr>
              <a:solidFill>
                <a:schemeClr val="accent6"/>
              </a:solidFill>
              <a:ln w="19050">
                <a:solidFill>
                  <a:schemeClr val="lt1"/>
                </a:solidFill>
              </a:ln>
              <a:effectLst/>
            </c:spPr>
            <c:extLst>
              <c:ext xmlns:c16="http://schemas.microsoft.com/office/drawing/2014/chart" uri="{C3380CC4-5D6E-409C-BE32-E72D297353CC}">
                <c16:uniqueId val="{00000001-65E2-4C93-8CE2-CBA588A0B6FD}"/>
              </c:ext>
            </c:extLst>
          </c:dPt>
          <c:dPt>
            <c:idx val="1"/>
            <c:bubble3D val="0"/>
            <c:spPr>
              <a:solidFill>
                <a:schemeClr val="accent5"/>
              </a:solidFill>
              <a:ln w="19050">
                <a:solidFill>
                  <a:schemeClr val="lt1"/>
                </a:solidFill>
              </a:ln>
              <a:effectLst/>
            </c:spPr>
            <c:extLst>
              <c:ext xmlns:c16="http://schemas.microsoft.com/office/drawing/2014/chart" uri="{C3380CC4-5D6E-409C-BE32-E72D297353CC}">
                <c16:uniqueId val="{00000003-65E2-4C93-8CE2-CBA588A0B6FD}"/>
              </c:ext>
            </c:extLst>
          </c:dPt>
          <c:dLbls>
            <c:dLbl>
              <c:idx val="0"/>
              <c:layout>
                <c:manualLayout>
                  <c:x val="3.6036036036036105E-2"/>
                  <c:y val="7.0484581497797363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65E2-4C93-8CE2-CBA588A0B6FD}"/>
                </c:ext>
              </c:extLst>
            </c:dLbl>
            <c:dLbl>
              <c:idx val="1"/>
              <c:layout>
                <c:manualLayout>
                  <c:x val="-8.5653104925053569E-2"/>
                  <c:y val="-2.5144581342720667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65E2-4C93-8CE2-CBA588A0B6F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s>
          <c:cat>
            <c:strRef>
              <c:f>Graphs!$A$57:$A$58</c:f>
              <c:strCache>
                <c:ptCount val="2"/>
                <c:pt idx="0">
                  <c:v>Speaks tetum</c:v>
                </c:pt>
                <c:pt idx="1">
                  <c:v>Does not speak tetum</c:v>
                </c:pt>
              </c:strCache>
            </c:strRef>
          </c:cat>
          <c:val>
            <c:numRef>
              <c:f>Graphs!$B$57:$B$58</c:f>
              <c:numCache>
                <c:formatCode>0%</c:formatCode>
                <c:ptCount val="2"/>
                <c:pt idx="0">
                  <c:v>0.88370253164556967</c:v>
                </c:pt>
                <c:pt idx="1">
                  <c:v>0.11234177215189874</c:v>
                </c:pt>
              </c:numCache>
            </c:numRef>
          </c:val>
          <c:extLst>
            <c:ext xmlns:c16="http://schemas.microsoft.com/office/drawing/2014/chart" uri="{C3380CC4-5D6E-409C-BE32-E72D297353CC}">
              <c16:uniqueId val="{00000004-65E2-4C93-8CE2-CBA588A0B6FD}"/>
            </c:ext>
          </c:extLst>
        </c:ser>
        <c:dLbls>
          <c:showLegendKey val="0"/>
          <c:showVal val="0"/>
          <c:showCatName val="0"/>
          <c:showSerName val="0"/>
          <c:showPercent val="0"/>
          <c:showBubbleSize val="0"/>
          <c:showLeaderLines val="1"/>
        </c:dLbls>
        <c:firstSliceAng val="0"/>
        <c:holeSize val="75"/>
      </c:doughnutChart>
      <c:spPr>
        <a:noFill/>
        <a:ln>
          <a:noFill/>
        </a:ln>
        <a:effectLst/>
      </c:spPr>
    </c:plotArea>
    <c:legend>
      <c:legendPos val="b"/>
      <c:layout>
        <c:manualLayout>
          <c:xMode val="edge"/>
          <c:yMode val="edge"/>
          <c:x val="1.4414414414414415E-2"/>
          <c:y val="0.83431769746730389"/>
          <c:w val="0.50171306209850108"/>
          <c:h val="0.1053534199600458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000" b="0" i="0" u="none" strike="noStrike" kern="1200" spc="0" baseline="0">
                <a:solidFill>
                  <a:schemeClr val="tx1">
                    <a:lumMod val="65000"/>
                    <a:lumOff val="35000"/>
                  </a:schemeClr>
                </a:solidFill>
                <a:latin typeface="+mn-lt"/>
                <a:ea typeface="+mn-ea"/>
                <a:cs typeface="+mn-cs"/>
              </a:defRPr>
            </a:pPr>
            <a:r>
              <a:rPr lang="en-AU" sz="1000"/>
              <a:t>Chart 4. New female clients with</a:t>
            </a:r>
            <a:r>
              <a:rPr lang="en-AU" sz="1000" baseline="0"/>
              <a:t> </a:t>
            </a:r>
            <a:r>
              <a:rPr lang="en-AU" sz="1000"/>
              <a:t>disability</a:t>
            </a:r>
            <a:endParaRPr lang="en-US" sz="1000"/>
          </a:p>
        </c:rich>
      </c:tx>
      <c:layout>
        <c:manualLayout>
          <c:xMode val="edge"/>
          <c:yMode val="edge"/>
          <c:x val="0.1394101876675603"/>
          <c:y val="2.9531933508311456E-3"/>
        </c:manualLayout>
      </c:layout>
      <c:overlay val="0"/>
      <c:spPr>
        <a:noFill/>
        <a:ln>
          <a:noFill/>
        </a:ln>
        <a:effectLst/>
      </c:spPr>
      <c:txPr>
        <a:bodyPr rot="0" spcFirstLastPara="1" vertOverflow="ellipsis" vert="horz" wrap="square" anchor="ctr" anchorCtr="1"/>
        <a:lstStyle/>
        <a:p>
          <a:pPr algn="l">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7537372068320148"/>
          <c:y val="0.13578073925069148"/>
          <c:w val="0.41499131666357553"/>
          <c:h val="0.48730436228787971"/>
        </c:manualLayout>
      </c:layout>
      <c:doughnutChart>
        <c:varyColors val="1"/>
        <c:ser>
          <c:idx val="0"/>
          <c:order val="0"/>
          <c:dPt>
            <c:idx val="0"/>
            <c:bubble3D val="0"/>
            <c:spPr>
              <a:solidFill>
                <a:schemeClr val="accent6"/>
              </a:solidFill>
              <a:ln w="19050">
                <a:solidFill>
                  <a:schemeClr val="lt1"/>
                </a:solidFill>
              </a:ln>
              <a:effectLst/>
            </c:spPr>
            <c:extLst>
              <c:ext xmlns:c16="http://schemas.microsoft.com/office/drawing/2014/chart" uri="{C3380CC4-5D6E-409C-BE32-E72D297353CC}">
                <c16:uniqueId val="{00000001-7650-4B76-88D1-969206FC803B}"/>
              </c:ext>
            </c:extLst>
          </c:dPt>
          <c:dPt>
            <c:idx val="1"/>
            <c:bubble3D val="0"/>
            <c:spPr>
              <a:solidFill>
                <a:schemeClr val="accent5"/>
              </a:solidFill>
              <a:ln w="19050">
                <a:solidFill>
                  <a:schemeClr val="lt1"/>
                </a:solidFill>
              </a:ln>
              <a:effectLst/>
            </c:spPr>
            <c:extLst>
              <c:ext xmlns:c16="http://schemas.microsoft.com/office/drawing/2014/chart" uri="{C3380CC4-5D6E-409C-BE32-E72D297353CC}">
                <c16:uniqueId val="{00000003-7650-4B76-88D1-969206FC803B}"/>
              </c:ext>
            </c:extLst>
          </c:dPt>
          <c:dLbls>
            <c:dLbl>
              <c:idx val="1"/>
              <c:layout>
                <c:manualLayout>
                  <c:x val="-0.17478499503915901"/>
                  <c:y val="-0.16690419947506566"/>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1251474530831099"/>
                      <c:h val="0.15191688538932632"/>
                    </c:manualLayout>
                  </c15:layout>
                </c:ext>
                <c:ext xmlns:c16="http://schemas.microsoft.com/office/drawing/2014/chart" uri="{C3380CC4-5D6E-409C-BE32-E72D297353CC}">
                  <c16:uniqueId val="{00000003-7650-4B76-88D1-969206FC803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s>
          <c:cat>
            <c:strRef>
              <c:f>Graphs!$A$40:$A$41</c:f>
              <c:strCache>
                <c:ptCount val="2"/>
                <c:pt idx="0">
                  <c:v>Has a disability</c:v>
                </c:pt>
                <c:pt idx="1">
                  <c:v>Does not have a disability</c:v>
                </c:pt>
              </c:strCache>
            </c:strRef>
          </c:cat>
          <c:val>
            <c:numRef>
              <c:f>Graphs!$B$40:$B$41</c:f>
              <c:numCache>
                <c:formatCode>0%</c:formatCode>
                <c:ptCount val="2"/>
                <c:pt idx="0">
                  <c:v>2.6107594936708861E-2</c:v>
                </c:pt>
                <c:pt idx="1">
                  <c:v>0.97389240506329111</c:v>
                </c:pt>
              </c:numCache>
            </c:numRef>
          </c:val>
          <c:extLst>
            <c:ext xmlns:c16="http://schemas.microsoft.com/office/drawing/2014/chart" uri="{C3380CC4-5D6E-409C-BE32-E72D297353CC}">
              <c16:uniqueId val="{00000004-7650-4B76-88D1-969206FC803B}"/>
            </c:ext>
          </c:extLst>
        </c:ser>
        <c:dLbls>
          <c:showLegendKey val="0"/>
          <c:showVal val="0"/>
          <c:showCatName val="0"/>
          <c:showSerName val="0"/>
          <c:showPercent val="0"/>
          <c:showBubbleSize val="0"/>
          <c:showLeaderLines val="1"/>
        </c:dLbls>
        <c:firstSliceAng val="0"/>
        <c:holeSize val="75"/>
      </c:doughnutChart>
      <c:spPr>
        <a:noFill/>
        <a:ln>
          <a:noFill/>
        </a:ln>
        <a:effectLst/>
      </c:spPr>
    </c:plotArea>
    <c:legend>
      <c:legendPos val="b"/>
      <c:layout>
        <c:manualLayout>
          <c:xMode val="edge"/>
          <c:yMode val="edge"/>
          <c:x val="2.8596961572832886E-2"/>
          <c:y val="0.7080498687664043"/>
          <c:w val="0.50171306209850108"/>
          <c:h val="0.1053534199600458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US" sz="1000"/>
              <a:t>Chart 5. New clients who</a:t>
            </a:r>
            <a:r>
              <a:rPr lang="en-US" sz="1000" baseline="0"/>
              <a:t> are FHH</a:t>
            </a:r>
            <a:endParaRPr lang="en-US" sz="1000"/>
          </a:p>
        </c:rich>
      </c:tx>
      <c:layout>
        <c:manualLayout>
          <c:xMode val="edge"/>
          <c:yMode val="edge"/>
          <c:x val="0.10679989233674875"/>
          <c:y val="0"/>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2520186786934035"/>
          <c:y val="0.14540695613953461"/>
          <c:w val="0.27153688699846623"/>
          <c:h val="0.47145139671219749"/>
        </c:manualLayout>
      </c:layout>
      <c:doughnutChart>
        <c:varyColors val="1"/>
        <c:ser>
          <c:idx val="0"/>
          <c:order val="0"/>
          <c:spPr>
            <a:ln>
              <a:noFill/>
            </a:ln>
          </c:spPr>
          <c:dPt>
            <c:idx val="0"/>
            <c:bubble3D val="0"/>
            <c:spPr>
              <a:solidFill>
                <a:schemeClr val="accent6"/>
              </a:solidFill>
              <a:ln w="19050">
                <a:noFill/>
              </a:ln>
              <a:effectLst/>
            </c:spPr>
            <c:extLst>
              <c:ext xmlns:c16="http://schemas.microsoft.com/office/drawing/2014/chart" uri="{C3380CC4-5D6E-409C-BE32-E72D297353CC}">
                <c16:uniqueId val="{00000001-42B7-447A-BBCC-7F8F3849CB5A}"/>
              </c:ext>
            </c:extLst>
          </c:dPt>
          <c:dPt>
            <c:idx val="1"/>
            <c:bubble3D val="0"/>
            <c:spPr>
              <a:solidFill>
                <a:schemeClr val="accent5"/>
              </a:solidFill>
              <a:ln w="19050">
                <a:noFill/>
              </a:ln>
              <a:effectLst/>
            </c:spPr>
            <c:extLst>
              <c:ext xmlns:c16="http://schemas.microsoft.com/office/drawing/2014/chart" uri="{C3380CC4-5D6E-409C-BE32-E72D297353CC}">
                <c16:uniqueId val="{00000003-42B7-447A-BBCC-7F8F3849CB5A}"/>
              </c:ext>
            </c:extLst>
          </c:dPt>
          <c:dPt>
            <c:idx val="2"/>
            <c:bubble3D val="0"/>
            <c:spPr>
              <a:solidFill>
                <a:schemeClr val="accent4"/>
              </a:solidFill>
              <a:ln w="19050">
                <a:noFill/>
              </a:ln>
              <a:effectLst/>
            </c:spPr>
            <c:extLst>
              <c:ext xmlns:c16="http://schemas.microsoft.com/office/drawing/2014/chart" uri="{C3380CC4-5D6E-409C-BE32-E72D297353CC}">
                <c16:uniqueId val="{00000005-42B7-447A-BBCC-7F8F3849CB5A}"/>
              </c:ext>
            </c:extLst>
          </c:dPt>
          <c:dPt>
            <c:idx val="3"/>
            <c:bubble3D val="0"/>
            <c:spPr>
              <a:solidFill>
                <a:schemeClr val="accent6">
                  <a:lumMod val="60000"/>
                </a:schemeClr>
              </a:solidFill>
              <a:ln w="19050">
                <a:noFill/>
              </a:ln>
              <a:effectLst/>
            </c:spPr>
            <c:extLst>
              <c:ext xmlns:c16="http://schemas.microsoft.com/office/drawing/2014/chart" uri="{C3380CC4-5D6E-409C-BE32-E72D297353CC}">
                <c16:uniqueId val="{00000007-42B7-447A-BBCC-7F8F3849CB5A}"/>
              </c:ext>
            </c:extLst>
          </c:dPt>
          <c:dPt>
            <c:idx val="4"/>
            <c:bubble3D val="0"/>
            <c:spPr>
              <a:solidFill>
                <a:schemeClr val="accent5">
                  <a:lumMod val="60000"/>
                </a:schemeClr>
              </a:solidFill>
              <a:ln w="19050">
                <a:noFill/>
              </a:ln>
              <a:effectLst/>
            </c:spPr>
            <c:extLst>
              <c:ext xmlns:c16="http://schemas.microsoft.com/office/drawing/2014/chart" uri="{C3380CC4-5D6E-409C-BE32-E72D297353CC}">
                <c16:uniqueId val="{00000009-42B7-447A-BBCC-7F8F3849CB5A}"/>
              </c:ext>
            </c:extLst>
          </c:dPt>
          <c:dLbls>
            <c:dLbl>
              <c:idx val="0"/>
              <c:layout>
                <c:manualLayout>
                  <c:x val="4.3446663663783414E-2"/>
                  <c:y val="-4.526004842806769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7.5336712527154223E-2"/>
                      <c:h val="9.7284583203815611E-2"/>
                    </c:manualLayout>
                  </c15:layout>
                </c:ext>
                <c:ext xmlns:c16="http://schemas.microsoft.com/office/drawing/2014/chart" uri="{C3380CC4-5D6E-409C-BE32-E72D297353CC}">
                  <c16:uniqueId val="{00000001-42B7-447A-BBCC-7F8F3849CB5A}"/>
                </c:ext>
              </c:extLst>
            </c:dLbl>
            <c:dLbl>
              <c:idx val="1"/>
              <c:layout>
                <c:manualLayout>
                  <c:x val="-4.3445637361948152E-3"/>
                  <c:y val="9.3035346945725225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7.8233164373642278E-2"/>
                      <c:h val="0.15763157842634518"/>
                    </c:manualLayout>
                  </c15:layout>
                </c:ext>
                <c:ext xmlns:c16="http://schemas.microsoft.com/office/drawing/2014/chart" uri="{C3380CC4-5D6E-409C-BE32-E72D297353CC}">
                  <c16:uniqueId val="{00000003-42B7-447A-BBCC-7F8F3849CB5A}"/>
                </c:ext>
              </c:extLst>
            </c:dLbl>
            <c:dLbl>
              <c:idx val="2"/>
              <c:layout>
                <c:manualLayout>
                  <c:x val="4.3447918032692885E-3"/>
                  <c:y val="7.0404827759617705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9.5611875452570591E-2"/>
                      <c:h val="9.7284583203815639E-2"/>
                    </c:manualLayout>
                  </c15:layout>
                </c:ext>
                <c:ext xmlns:c16="http://schemas.microsoft.com/office/drawing/2014/chart" uri="{C3380CC4-5D6E-409C-BE32-E72D297353CC}">
                  <c16:uniqueId val="{00000005-42B7-447A-BBCC-7F8F3849CB5A}"/>
                </c:ext>
              </c:extLst>
            </c:dLbl>
            <c:dLbl>
              <c:idx val="3"/>
              <c:layout>
                <c:manualLayout>
                  <c:x val="-4.7791455467052858E-2"/>
                  <c:y val="-6.9388939039072284E-18"/>
                </c:manualLayout>
              </c:layout>
              <c:showLegendKey val="0"/>
              <c:showVal val="1"/>
              <c:showCatName val="0"/>
              <c:showSerName val="0"/>
              <c:showPercent val="0"/>
              <c:showBubbleSize val="0"/>
              <c:extLst>
                <c:ext xmlns:c15="http://schemas.microsoft.com/office/drawing/2012/chart" uri="{CE6537A1-D6FC-4f65-9D91-7224C49458BB}">
                  <c15:layout>
                    <c:manualLayout>
                      <c:w val="8.4026068066618387E-2"/>
                      <c:h val="6.7111085592550856E-2"/>
                    </c:manualLayout>
                  </c15:layout>
                </c:ext>
                <c:ext xmlns:c16="http://schemas.microsoft.com/office/drawing/2014/chart" uri="{C3380CC4-5D6E-409C-BE32-E72D297353CC}">
                  <c16:uniqueId val="{00000007-42B7-447A-BBCC-7F8F3849CB5A}"/>
                </c:ext>
              </c:extLst>
            </c:dLbl>
            <c:dLbl>
              <c:idx val="4"/>
              <c:layout>
                <c:manualLayout>
                  <c:x val="-2.7516178508099232E-2"/>
                  <c:y val="-3.7716674025251494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6.6632988761994888E-2"/>
                      <c:h val="0.11740024827799213"/>
                    </c:manualLayout>
                  </c15:layout>
                </c:ext>
                <c:ext xmlns:c16="http://schemas.microsoft.com/office/drawing/2014/chart" uri="{C3380CC4-5D6E-409C-BE32-E72D297353CC}">
                  <c16:uniqueId val="{00000009-42B7-447A-BBCC-7F8F3849CB5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Graphs!$A$47:$A$48</c:f>
              <c:strCache>
                <c:ptCount val="2"/>
                <c:pt idx="0">
                  <c:v>Is a female head of household</c:v>
                </c:pt>
                <c:pt idx="1">
                  <c:v>Is not a female head of household</c:v>
                </c:pt>
              </c:strCache>
            </c:strRef>
          </c:cat>
          <c:val>
            <c:numRef>
              <c:f>Graphs!$B$47:$B$48</c:f>
              <c:numCache>
                <c:formatCode>0%</c:formatCode>
                <c:ptCount val="2"/>
                <c:pt idx="0">
                  <c:v>0.13859790491539081</c:v>
                </c:pt>
                <c:pt idx="1">
                  <c:v>0.86059629331184528</c:v>
                </c:pt>
              </c:numCache>
            </c:numRef>
          </c:val>
          <c:extLst>
            <c:ext xmlns:c16="http://schemas.microsoft.com/office/drawing/2014/chart" uri="{C3380CC4-5D6E-409C-BE32-E72D297353CC}">
              <c16:uniqueId val="{0000000A-42B7-447A-BBCC-7F8F3849CB5A}"/>
            </c:ext>
          </c:extLst>
        </c:ser>
        <c:dLbls>
          <c:showLegendKey val="0"/>
          <c:showVal val="1"/>
          <c:showCatName val="0"/>
          <c:showSerName val="0"/>
          <c:showPercent val="0"/>
          <c:showBubbleSize val="0"/>
          <c:showLeaderLines val="1"/>
        </c:dLbls>
        <c:firstSliceAng val="0"/>
        <c:holeSize val="75"/>
      </c:doughnutChart>
      <c:spPr>
        <a:noFill/>
        <a:ln>
          <a:noFill/>
        </a:ln>
        <a:effectLst/>
      </c:spPr>
    </c:plotArea>
    <c:legend>
      <c:legendPos val="b"/>
      <c:layout>
        <c:manualLayout>
          <c:xMode val="edge"/>
          <c:yMode val="edge"/>
          <c:x val="9.5682064944662915E-2"/>
          <c:y val="0.81054549431321099"/>
          <c:w val="0.43502106769600946"/>
          <c:h val="0.1023313184670120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US" sz="1000"/>
              <a:t>Chart 3. New female clients by education level</a:t>
            </a:r>
          </a:p>
        </c:rich>
      </c:tx>
      <c:layout>
        <c:manualLayout>
          <c:xMode val="edge"/>
          <c:yMode val="edge"/>
          <c:x val="7.4923911122261072E-2"/>
          <c:y val="0"/>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2520186786934035"/>
          <c:y val="0.14540695613953461"/>
          <c:w val="0.27153688699846623"/>
          <c:h val="0.47145139671219749"/>
        </c:manualLayout>
      </c:layout>
      <c:doughnutChart>
        <c:varyColors val="1"/>
        <c:ser>
          <c:idx val="0"/>
          <c:order val="0"/>
          <c:spPr>
            <a:ln>
              <a:noFill/>
            </a:ln>
          </c:spPr>
          <c:explosion val="1"/>
          <c:dPt>
            <c:idx val="0"/>
            <c:bubble3D val="0"/>
            <c:spPr>
              <a:solidFill>
                <a:schemeClr val="accent6"/>
              </a:solidFill>
              <a:ln w="19050">
                <a:noFill/>
              </a:ln>
              <a:effectLst/>
            </c:spPr>
            <c:extLst>
              <c:ext xmlns:c16="http://schemas.microsoft.com/office/drawing/2014/chart" uri="{C3380CC4-5D6E-409C-BE32-E72D297353CC}">
                <c16:uniqueId val="{00000001-D524-4744-96A1-42C504695032}"/>
              </c:ext>
            </c:extLst>
          </c:dPt>
          <c:dPt>
            <c:idx val="1"/>
            <c:bubble3D val="0"/>
            <c:spPr>
              <a:solidFill>
                <a:schemeClr val="accent5"/>
              </a:solidFill>
              <a:ln w="19050">
                <a:noFill/>
              </a:ln>
              <a:effectLst/>
            </c:spPr>
            <c:extLst>
              <c:ext xmlns:c16="http://schemas.microsoft.com/office/drawing/2014/chart" uri="{C3380CC4-5D6E-409C-BE32-E72D297353CC}">
                <c16:uniqueId val="{00000003-D524-4744-96A1-42C504695032}"/>
              </c:ext>
            </c:extLst>
          </c:dPt>
          <c:dPt>
            <c:idx val="2"/>
            <c:bubble3D val="0"/>
            <c:spPr>
              <a:solidFill>
                <a:schemeClr val="accent4"/>
              </a:solidFill>
              <a:ln w="19050">
                <a:noFill/>
              </a:ln>
              <a:effectLst/>
            </c:spPr>
            <c:extLst>
              <c:ext xmlns:c16="http://schemas.microsoft.com/office/drawing/2014/chart" uri="{C3380CC4-5D6E-409C-BE32-E72D297353CC}">
                <c16:uniqueId val="{00000005-D524-4744-96A1-42C504695032}"/>
              </c:ext>
            </c:extLst>
          </c:dPt>
          <c:dPt>
            <c:idx val="3"/>
            <c:bubble3D val="0"/>
            <c:spPr>
              <a:solidFill>
                <a:schemeClr val="accent6">
                  <a:lumMod val="60000"/>
                </a:schemeClr>
              </a:solidFill>
              <a:ln w="19050">
                <a:noFill/>
              </a:ln>
              <a:effectLst/>
            </c:spPr>
            <c:extLst>
              <c:ext xmlns:c16="http://schemas.microsoft.com/office/drawing/2014/chart" uri="{C3380CC4-5D6E-409C-BE32-E72D297353CC}">
                <c16:uniqueId val="{00000007-D524-4744-96A1-42C504695032}"/>
              </c:ext>
            </c:extLst>
          </c:dPt>
          <c:dPt>
            <c:idx val="4"/>
            <c:bubble3D val="0"/>
            <c:spPr>
              <a:solidFill>
                <a:schemeClr val="accent5">
                  <a:lumMod val="60000"/>
                </a:schemeClr>
              </a:solidFill>
              <a:ln w="19050">
                <a:noFill/>
              </a:ln>
              <a:effectLst/>
            </c:spPr>
            <c:extLst>
              <c:ext xmlns:c16="http://schemas.microsoft.com/office/drawing/2014/chart" uri="{C3380CC4-5D6E-409C-BE32-E72D297353CC}">
                <c16:uniqueId val="{00000009-D524-4744-96A1-42C504695032}"/>
              </c:ext>
            </c:extLst>
          </c:dPt>
          <c:dLbls>
            <c:dLbl>
              <c:idx val="0"/>
              <c:layout>
                <c:manualLayout>
                  <c:x val="4.3446663663783414E-2"/>
                  <c:y val="-4.526004842806769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7.5336712527154223E-2"/>
                      <c:h val="9.7284583203815611E-2"/>
                    </c:manualLayout>
                  </c15:layout>
                </c:ext>
                <c:ext xmlns:c16="http://schemas.microsoft.com/office/drawing/2014/chart" uri="{C3380CC4-5D6E-409C-BE32-E72D297353CC}">
                  <c16:uniqueId val="{00000001-D524-4744-96A1-42C504695032}"/>
                </c:ext>
              </c:extLst>
            </c:dLbl>
            <c:dLbl>
              <c:idx val="1"/>
              <c:layout>
                <c:manualLayout>
                  <c:x val="4.7791569500590124E-2"/>
                  <c:y val="-2.51406215661317E-3"/>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7.8233164373642278E-2"/>
                      <c:h val="0.15763157842634518"/>
                    </c:manualLayout>
                  </c15:layout>
                </c:ext>
                <c:ext xmlns:c16="http://schemas.microsoft.com/office/drawing/2014/chart" uri="{C3380CC4-5D6E-409C-BE32-E72D297353CC}">
                  <c16:uniqueId val="{00000003-D524-4744-96A1-42C504695032}"/>
                </c:ext>
              </c:extLst>
            </c:dLbl>
            <c:dLbl>
              <c:idx val="2"/>
              <c:layout>
                <c:manualLayout>
                  <c:x val="4.3447918032692885E-3"/>
                  <c:y val="7.0404827759617705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9.5611875452570591E-2"/>
                      <c:h val="9.7284583203815639E-2"/>
                    </c:manualLayout>
                  </c15:layout>
                </c:ext>
                <c:ext xmlns:c16="http://schemas.microsoft.com/office/drawing/2014/chart" uri="{C3380CC4-5D6E-409C-BE32-E72D297353CC}">
                  <c16:uniqueId val="{00000005-D524-4744-96A1-42C504695032}"/>
                </c:ext>
              </c:extLst>
            </c:dLbl>
            <c:dLbl>
              <c:idx val="3"/>
              <c:layout>
                <c:manualLayout>
                  <c:x val="-4.7791455467052858E-2"/>
                  <c:y val="-6.9388939039072284E-18"/>
                </c:manualLayout>
              </c:layout>
              <c:showLegendKey val="0"/>
              <c:showVal val="1"/>
              <c:showCatName val="0"/>
              <c:showSerName val="0"/>
              <c:showPercent val="0"/>
              <c:showBubbleSize val="0"/>
              <c:extLst>
                <c:ext xmlns:c15="http://schemas.microsoft.com/office/drawing/2012/chart" uri="{CE6537A1-D6FC-4f65-9D91-7224C49458BB}">
                  <c15:layout>
                    <c:manualLayout>
                      <c:w val="8.4026068066618387E-2"/>
                      <c:h val="6.7111085592550856E-2"/>
                    </c:manualLayout>
                  </c15:layout>
                </c:ext>
                <c:ext xmlns:c16="http://schemas.microsoft.com/office/drawing/2014/chart" uri="{C3380CC4-5D6E-409C-BE32-E72D297353CC}">
                  <c16:uniqueId val="{00000007-D524-4744-96A1-42C504695032}"/>
                </c:ext>
              </c:extLst>
            </c:dLbl>
            <c:dLbl>
              <c:idx val="4"/>
              <c:layout>
                <c:manualLayout>
                  <c:x val="-4.4894889587027545E-2"/>
                  <c:y val="-3.7716754155730531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6.6632988761994888E-2"/>
                      <c:h val="0.11740024827799213"/>
                    </c:manualLayout>
                  </c15:layout>
                </c:ext>
                <c:ext xmlns:c16="http://schemas.microsoft.com/office/drawing/2014/chart" uri="{C3380CC4-5D6E-409C-BE32-E72D297353CC}">
                  <c16:uniqueId val="{00000009-D524-4744-96A1-42C50469503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Graphs!$A$26:$A$30</c:f>
              <c:strCache>
                <c:ptCount val="5"/>
                <c:pt idx="0">
                  <c:v>No schooling</c:v>
                </c:pt>
                <c:pt idx="1">
                  <c:v>Primary</c:v>
                </c:pt>
                <c:pt idx="2">
                  <c:v>Pre-secondary</c:v>
                </c:pt>
                <c:pt idx="3">
                  <c:v>Secondary</c:v>
                </c:pt>
                <c:pt idx="4">
                  <c:v>University / college / vocational</c:v>
                </c:pt>
              </c:strCache>
            </c:strRef>
          </c:cat>
          <c:val>
            <c:numRef>
              <c:f>Graphs!$B$26:$B$30</c:f>
              <c:numCache>
                <c:formatCode>0%</c:formatCode>
                <c:ptCount val="5"/>
                <c:pt idx="0">
                  <c:v>0.17958860759493672</c:v>
                </c:pt>
                <c:pt idx="1">
                  <c:v>0.20015822784810128</c:v>
                </c:pt>
                <c:pt idx="2">
                  <c:v>0.21202531645569619</c:v>
                </c:pt>
                <c:pt idx="3">
                  <c:v>0.31329113924050633</c:v>
                </c:pt>
                <c:pt idx="4">
                  <c:v>9.4145569620253167E-2</c:v>
                </c:pt>
              </c:numCache>
            </c:numRef>
          </c:val>
          <c:extLst>
            <c:ext xmlns:c16="http://schemas.microsoft.com/office/drawing/2014/chart" uri="{C3380CC4-5D6E-409C-BE32-E72D297353CC}">
              <c16:uniqueId val="{0000000A-D524-4744-96A1-42C504695032}"/>
            </c:ext>
          </c:extLst>
        </c:ser>
        <c:dLbls>
          <c:showLegendKey val="0"/>
          <c:showVal val="1"/>
          <c:showCatName val="0"/>
          <c:showSerName val="0"/>
          <c:showPercent val="0"/>
          <c:showBubbleSize val="0"/>
          <c:showLeaderLines val="1"/>
        </c:dLbls>
        <c:firstSliceAng val="0"/>
        <c:holeSize val="75"/>
      </c:doughnutChart>
      <c:spPr>
        <a:noFill/>
        <a:ln>
          <a:noFill/>
        </a:ln>
        <a:effectLst/>
      </c:spPr>
    </c:plotArea>
    <c:legend>
      <c:legendPos val="b"/>
      <c:layout>
        <c:manualLayout>
          <c:xMode val="edge"/>
          <c:yMode val="edge"/>
          <c:x val="4.3532074783193736E-2"/>
          <c:y val="0.70656999125109365"/>
          <c:w val="0.43502106769600946"/>
          <c:h val="0.2934301366716889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US" sz="1000"/>
              <a:t>Chart 7. Case management audit results</a:t>
            </a:r>
          </a:p>
        </c:rich>
      </c:tx>
      <c:layout>
        <c:manualLayout>
          <c:xMode val="edge"/>
          <c:yMode val="edge"/>
          <c:x val="0.12513395990890408"/>
          <c:y val="0"/>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7909113720607431"/>
          <c:y val="0.16762904636920384"/>
          <c:w val="0.41589023437899625"/>
          <c:h val="0.5916762484171918"/>
        </c:manualLayout>
      </c:layout>
      <c:doughnutChart>
        <c:varyColors val="1"/>
        <c:ser>
          <c:idx val="0"/>
          <c:order val="0"/>
          <c:spPr>
            <a:ln>
              <a:noFill/>
            </a:ln>
          </c:spPr>
          <c:dPt>
            <c:idx val="0"/>
            <c:bubble3D val="0"/>
            <c:spPr>
              <a:solidFill>
                <a:schemeClr val="accent6"/>
              </a:solidFill>
              <a:ln w="19050">
                <a:noFill/>
              </a:ln>
              <a:effectLst/>
            </c:spPr>
            <c:extLst>
              <c:ext xmlns:c16="http://schemas.microsoft.com/office/drawing/2014/chart" uri="{C3380CC4-5D6E-409C-BE32-E72D297353CC}">
                <c16:uniqueId val="{00000001-15B1-4CF4-AF2C-C7E2DBD79636}"/>
              </c:ext>
            </c:extLst>
          </c:dPt>
          <c:dPt>
            <c:idx val="1"/>
            <c:bubble3D val="0"/>
            <c:spPr>
              <a:solidFill>
                <a:schemeClr val="accent5"/>
              </a:solidFill>
              <a:ln w="19050">
                <a:noFill/>
              </a:ln>
              <a:effectLst/>
            </c:spPr>
            <c:extLst>
              <c:ext xmlns:c16="http://schemas.microsoft.com/office/drawing/2014/chart" uri="{C3380CC4-5D6E-409C-BE32-E72D297353CC}">
                <c16:uniqueId val="{00000003-15B1-4CF4-AF2C-C7E2DBD79636}"/>
              </c:ext>
            </c:extLst>
          </c:dPt>
          <c:dPt>
            <c:idx val="2"/>
            <c:bubble3D val="0"/>
            <c:spPr>
              <a:solidFill>
                <a:schemeClr val="accent4"/>
              </a:solidFill>
              <a:ln w="19050">
                <a:noFill/>
              </a:ln>
              <a:effectLst/>
            </c:spPr>
            <c:extLst>
              <c:ext xmlns:c16="http://schemas.microsoft.com/office/drawing/2014/chart" uri="{C3380CC4-5D6E-409C-BE32-E72D297353CC}">
                <c16:uniqueId val="{00000005-15B1-4CF4-AF2C-C7E2DBD79636}"/>
              </c:ext>
            </c:extLst>
          </c:dPt>
          <c:dPt>
            <c:idx val="3"/>
            <c:bubble3D val="0"/>
            <c:spPr>
              <a:solidFill>
                <a:schemeClr val="accent6">
                  <a:lumMod val="60000"/>
                </a:schemeClr>
              </a:solidFill>
              <a:ln w="19050">
                <a:noFill/>
              </a:ln>
              <a:effectLst/>
            </c:spPr>
            <c:extLst>
              <c:ext xmlns:c16="http://schemas.microsoft.com/office/drawing/2014/chart" uri="{C3380CC4-5D6E-409C-BE32-E72D297353CC}">
                <c16:uniqueId val="{00000007-15B1-4CF4-AF2C-C7E2DBD79636}"/>
              </c:ext>
            </c:extLst>
          </c:dPt>
          <c:dPt>
            <c:idx val="4"/>
            <c:bubble3D val="0"/>
            <c:spPr>
              <a:solidFill>
                <a:schemeClr val="accent5">
                  <a:lumMod val="60000"/>
                </a:schemeClr>
              </a:solidFill>
              <a:ln w="19050">
                <a:noFill/>
              </a:ln>
              <a:effectLst/>
            </c:spPr>
            <c:extLst>
              <c:ext xmlns:c16="http://schemas.microsoft.com/office/drawing/2014/chart" uri="{C3380CC4-5D6E-409C-BE32-E72D297353CC}">
                <c16:uniqueId val="{00000009-15B1-4CF4-AF2C-C7E2DBD79636}"/>
              </c:ext>
            </c:extLst>
          </c:dPt>
          <c:dLbls>
            <c:dLbl>
              <c:idx val="0"/>
              <c:layout>
                <c:manualLayout>
                  <c:x val="5.5400958603450082E-2"/>
                  <c:y val="-5.0815398075240617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15556327639318798"/>
                      <c:h val="9.7284776902887143E-2"/>
                    </c:manualLayout>
                  </c15:layout>
                </c:ext>
                <c:ext xmlns:c16="http://schemas.microsoft.com/office/drawing/2014/chart" uri="{C3380CC4-5D6E-409C-BE32-E72D297353CC}">
                  <c16:uniqueId val="{00000001-15B1-4CF4-AF2C-C7E2DBD79636}"/>
                </c:ext>
              </c:extLst>
            </c:dLbl>
            <c:dLbl>
              <c:idx val="1"/>
              <c:layout>
                <c:manualLayout>
                  <c:x val="3.104956147499157E-2"/>
                  <c:y val="9.3035393253112567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14902141479601505"/>
                      <c:h val="0.15763167104111986"/>
                    </c:manualLayout>
                  </c15:layout>
                </c:ext>
                <c:ext xmlns:c16="http://schemas.microsoft.com/office/drawing/2014/chart" uri="{C3380CC4-5D6E-409C-BE32-E72D297353CC}">
                  <c16:uniqueId val="{00000003-15B1-4CF4-AF2C-C7E2DBD79636}"/>
                </c:ext>
              </c:extLst>
            </c:dLbl>
            <c:dLbl>
              <c:idx val="2"/>
              <c:layout>
                <c:manualLayout>
                  <c:x val="-9.7373528187959968E-2"/>
                  <c:y val="1.4849518810148732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19943443832144861"/>
                      <c:h val="9.7284776902887143E-2"/>
                    </c:manualLayout>
                  </c15:layout>
                </c:ext>
                <c:ext xmlns:c16="http://schemas.microsoft.com/office/drawing/2014/chart" uri="{C3380CC4-5D6E-409C-BE32-E72D297353CC}">
                  <c16:uniqueId val="{00000005-15B1-4CF4-AF2C-C7E2DBD79636}"/>
                </c:ext>
              </c:extLst>
            </c:dLbl>
            <c:dLbl>
              <c:idx val="3"/>
              <c:layout>
                <c:manualLayout>
                  <c:x val="-4.7791455467052858E-2"/>
                  <c:y val="-6.9388939039072284E-18"/>
                </c:manualLayout>
              </c:layout>
              <c:showLegendKey val="0"/>
              <c:showVal val="1"/>
              <c:showCatName val="0"/>
              <c:showSerName val="0"/>
              <c:showPercent val="0"/>
              <c:showBubbleSize val="0"/>
              <c:extLst>
                <c:ext xmlns:c15="http://schemas.microsoft.com/office/drawing/2012/chart" uri="{CE6537A1-D6FC-4f65-9D91-7224C49458BB}">
                  <c15:layout>
                    <c:manualLayout>
                      <c:w val="8.4026068066618387E-2"/>
                      <c:h val="6.7111085592550856E-2"/>
                    </c:manualLayout>
                  </c15:layout>
                </c:ext>
                <c:ext xmlns:c16="http://schemas.microsoft.com/office/drawing/2014/chart" uri="{C3380CC4-5D6E-409C-BE32-E72D297353CC}">
                  <c16:uniqueId val="{00000007-15B1-4CF4-AF2C-C7E2DBD79636}"/>
                </c:ext>
              </c:extLst>
            </c:dLbl>
            <c:dLbl>
              <c:idx val="4"/>
              <c:layout>
                <c:manualLayout>
                  <c:x val="-2.7516178508099232E-2"/>
                  <c:y val="-3.7716674025251494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6.6632988761994888E-2"/>
                      <c:h val="0.11740024827799213"/>
                    </c:manualLayout>
                  </c15:layout>
                </c:ext>
                <c:ext xmlns:c16="http://schemas.microsoft.com/office/drawing/2014/chart" uri="{C3380CC4-5D6E-409C-BE32-E72D297353CC}">
                  <c16:uniqueId val="{00000009-15B1-4CF4-AF2C-C7E2DBD7963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Sheet1!$B$13:$B$15</c:f>
              <c:strCache>
                <c:ptCount val="3"/>
                <c:pt idx="0">
                  <c:v>Cases demonstrating high quality</c:v>
                </c:pt>
                <c:pt idx="1">
                  <c:v>Cases meeting minimum standards</c:v>
                </c:pt>
                <c:pt idx="2">
                  <c:v>Cases not meeting minimum standards</c:v>
                </c:pt>
              </c:strCache>
            </c:strRef>
          </c:cat>
          <c:val>
            <c:numRef>
              <c:f>Sheet1!$C$13:$C$15</c:f>
              <c:numCache>
                <c:formatCode>0%</c:formatCode>
                <c:ptCount val="3"/>
                <c:pt idx="0">
                  <c:v>0.21256038647342995</c:v>
                </c:pt>
                <c:pt idx="1">
                  <c:v>0.32367149758454106</c:v>
                </c:pt>
                <c:pt idx="2">
                  <c:v>0.46376811594202899</c:v>
                </c:pt>
              </c:numCache>
            </c:numRef>
          </c:val>
          <c:extLst>
            <c:ext xmlns:c16="http://schemas.microsoft.com/office/drawing/2014/chart" uri="{C3380CC4-5D6E-409C-BE32-E72D297353CC}">
              <c16:uniqueId val="{0000000A-15B1-4CF4-AF2C-C7E2DBD79636}"/>
            </c:ext>
          </c:extLst>
        </c:ser>
        <c:dLbls>
          <c:showLegendKey val="0"/>
          <c:showVal val="1"/>
          <c:showCatName val="0"/>
          <c:showSerName val="0"/>
          <c:showPercent val="0"/>
          <c:showBubbleSize val="0"/>
          <c:showLeaderLines val="1"/>
        </c:dLbls>
        <c:firstSliceAng val="0"/>
        <c:holeSize val="75"/>
      </c:doughnutChart>
      <c:spPr>
        <a:noFill/>
        <a:ln>
          <a:noFill/>
        </a:ln>
        <a:effectLst/>
      </c:spPr>
    </c:plotArea>
    <c:legend>
      <c:legendPos val="b"/>
      <c:layout>
        <c:manualLayout>
          <c:xMode val="edge"/>
          <c:yMode val="edge"/>
          <c:x val="0.1369424739793321"/>
          <c:y val="0.82165660542432195"/>
          <c:w val="0.73868412154002205"/>
          <c:h val="0.1783433032053987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sz="1000"/>
              <a:t>Chart 8. Referrals made, 2018 compared</a:t>
            </a:r>
            <a:r>
              <a:rPr lang="en-AU" sz="1000" baseline="0"/>
              <a:t> with</a:t>
            </a:r>
            <a:r>
              <a:rPr lang="en-AU" sz="1000"/>
              <a:t> 2017</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Sheet1!$C$24</c:f>
              <c:strCache>
                <c:ptCount val="1"/>
                <c:pt idx="0">
                  <c:v>2018</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Sheet1!$B$25:$B$26</c:f>
              <c:strCache>
                <c:ptCount val="2"/>
                <c:pt idx="0">
                  <c:v>Referrals made within the referral network</c:v>
                </c:pt>
                <c:pt idx="1">
                  <c:v>Referrals made outside the referral network</c:v>
                </c:pt>
              </c:strCache>
            </c:strRef>
          </c:cat>
          <c:val>
            <c:numRef>
              <c:f>Sheet1!$C$25:$C$26</c:f>
              <c:numCache>
                <c:formatCode>General</c:formatCode>
                <c:ptCount val="2"/>
                <c:pt idx="0">
                  <c:v>937</c:v>
                </c:pt>
                <c:pt idx="1">
                  <c:v>329</c:v>
                </c:pt>
              </c:numCache>
            </c:numRef>
          </c:val>
          <c:extLst>
            <c:ext xmlns:c16="http://schemas.microsoft.com/office/drawing/2014/chart" uri="{C3380CC4-5D6E-409C-BE32-E72D297353CC}">
              <c16:uniqueId val="{00000000-5FB8-4520-B878-D7453459FC42}"/>
            </c:ext>
          </c:extLst>
        </c:ser>
        <c:ser>
          <c:idx val="1"/>
          <c:order val="1"/>
          <c:tx>
            <c:strRef>
              <c:f>Sheet1!$D$24</c:f>
              <c:strCache>
                <c:ptCount val="1"/>
                <c:pt idx="0">
                  <c:v>2017</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Sheet1!$B$25:$B$26</c:f>
              <c:strCache>
                <c:ptCount val="2"/>
                <c:pt idx="0">
                  <c:v>Referrals made within the referral network</c:v>
                </c:pt>
                <c:pt idx="1">
                  <c:v>Referrals made outside the referral network</c:v>
                </c:pt>
              </c:strCache>
            </c:strRef>
          </c:cat>
          <c:val>
            <c:numRef>
              <c:f>Sheet1!$D$25:$D$26</c:f>
              <c:numCache>
                <c:formatCode>General</c:formatCode>
                <c:ptCount val="2"/>
                <c:pt idx="0">
                  <c:v>644</c:v>
                </c:pt>
                <c:pt idx="1">
                  <c:v>176</c:v>
                </c:pt>
              </c:numCache>
            </c:numRef>
          </c:val>
          <c:extLst>
            <c:ext xmlns:c16="http://schemas.microsoft.com/office/drawing/2014/chart" uri="{C3380CC4-5D6E-409C-BE32-E72D297353CC}">
              <c16:uniqueId val="{00000001-5FB8-4520-B878-D7453459FC42}"/>
            </c:ext>
          </c:extLst>
        </c:ser>
        <c:dLbls>
          <c:dLblPos val="outEnd"/>
          <c:showLegendKey val="0"/>
          <c:showVal val="1"/>
          <c:showCatName val="0"/>
          <c:showSerName val="0"/>
          <c:showPercent val="0"/>
          <c:showBubbleSize val="0"/>
        </c:dLbls>
        <c:gapWidth val="182"/>
        <c:axId val="330939008"/>
        <c:axId val="330939992"/>
      </c:barChart>
      <c:catAx>
        <c:axId val="3309390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0939992"/>
        <c:crosses val="autoZero"/>
        <c:auto val="1"/>
        <c:lblAlgn val="ctr"/>
        <c:lblOffset val="100"/>
        <c:noMultiLvlLbl val="0"/>
      </c:catAx>
      <c:valAx>
        <c:axId val="330939992"/>
        <c:scaling>
          <c:orientation val="minMax"/>
        </c:scaling>
        <c:delete val="1"/>
        <c:axPos val="b"/>
        <c:numFmt formatCode="General" sourceLinked="1"/>
        <c:majorTickMark val="none"/>
        <c:minorTickMark val="none"/>
        <c:tickLblPos val="nextTo"/>
        <c:crossAx val="33093900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US" sz="1000"/>
              <a:t>Chart 9. Cases monitored by type</a:t>
            </a:r>
          </a:p>
        </c:rich>
      </c:tx>
      <c:layout>
        <c:manualLayout>
          <c:xMode val="edge"/>
          <c:yMode val="edge"/>
          <c:x val="0.11303230601620541"/>
          <c:y val="0"/>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7909113720607431"/>
          <c:y val="0.16762904636920384"/>
          <c:w val="0.34908697626995894"/>
          <c:h val="0.48077034120734896"/>
        </c:manualLayout>
      </c:layout>
      <c:doughnutChart>
        <c:varyColors val="1"/>
        <c:ser>
          <c:idx val="0"/>
          <c:order val="0"/>
          <c:spPr>
            <a:ln>
              <a:noFill/>
            </a:ln>
          </c:spPr>
          <c:dPt>
            <c:idx val="0"/>
            <c:bubble3D val="0"/>
            <c:spPr>
              <a:solidFill>
                <a:schemeClr val="accent6"/>
              </a:solidFill>
              <a:ln w="19050">
                <a:noFill/>
              </a:ln>
              <a:effectLst/>
            </c:spPr>
            <c:extLst>
              <c:ext xmlns:c16="http://schemas.microsoft.com/office/drawing/2014/chart" uri="{C3380CC4-5D6E-409C-BE32-E72D297353CC}">
                <c16:uniqueId val="{00000001-BB87-4A58-92B8-B0B3AE8217F1}"/>
              </c:ext>
            </c:extLst>
          </c:dPt>
          <c:dPt>
            <c:idx val="1"/>
            <c:bubble3D val="0"/>
            <c:spPr>
              <a:solidFill>
                <a:schemeClr val="accent5"/>
              </a:solidFill>
              <a:ln w="19050">
                <a:noFill/>
              </a:ln>
              <a:effectLst/>
            </c:spPr>
            <c:extLst>
              <c:ext xmlns:c16="http://schemas.microsoft.com/office/drawing/2014/chart" uri="{C3380CC4-5D6E-409C-BE32-E72D297353CC}">
                <c16:uniqueId val="{00000003-BB87-4A58-92B8-B0B3AE8217F1}"/>
              </c:ext>
            </c:extLst>
          </c:dPt>
          <c:dPt>
            <c:idx val="2"/>
            <c:bubble3D val="0"/>
            <c:spPr>
              <a:solidFill>
                <a:schemeClr val="accent4"/>
              </a:solidFill>
              <a:ln w="19050">
                <a:noFill/>
              </a:ln>
              <a:effectLst/>
            </c:spPr>
            <c:extLst>
              <c:ext xmlns:c16="http://schemas.microsoft.com/office/drawing/2014/chart" uri="{C3380CC4-5D6E-409C-BE32-E72D297353CC}">
                <c16:uniqueId val="{00000005-BB87-4A58-92B8-B0B3AE8217F1}"/>
              </c:ext>
            </c:extLst>
          </c:dPt>
          <c:dPt>
            <c:idx val="3"/>
            <c:bubble3D val="0"/>
            <c:spPr>
              <a:solidFill>
                <a:schemeClr val="accent6">
                  <a:lumMod val="60000"/>
                </a:schemeClr>
              </a:solidFill>
              <a:ln w="19050">
                <a:noFill/>
              </a:ln>
              <a:effectLst/>
            </c:spPr>
            <c:extLst>
              <c:ext xmlns:c16="http://schemas.microsoft.com/office/drawing/2014/chart" uri="{C3380CC4-5D6E-409C-BE32-E72D297353CC}">
                <c16:uniqueId val="{00000007-BB87-4A58-92B8-B0B3AE8217F1}"/>
              </c:ext>
            </c:extLst>
          </c:dPt>
          <c:dPt>
            <c:idx val="4"/>
            <c:bubble3D val="0"/>
            <c:spPr>
              <a:solidFill>
                <a:schemeClr val="accent5">
                  <a:lumMod val="60000"/>
                </a:schemeClr>
              </a:solidFill>
              <a:ln w="19050">
                <a:noFill/>
              </a:ln>
              <a:effectLst/>
            </c:spPr>
            <c:extLst>
              <c:ext xmlns:c16="http://schemas.microsoft.com/office/drawing/2014/chart" uri="{C3380CC4-5D6E-409C-BE32-E72D297353CC}">
                <c16:uniqueId val="{00000009-BB87-4A58-92B8-B0B3AE8217F1}"/>
              </c:ext>
            </c:extLst>
          </c:dPt>
          <c:dLbls>
            <c:dLbl>
              <c:idx val="0"/>
              <c:layout>
                <c:manualLayout>
                  <c:x val="7.5570381757947863E-2"/>
                  <c:y val="-5.0815398075240596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15556327639318798"/>
                      <c:h val="9.7284776902887143E-2"/>
                    </c:manualLayout>
                  </c15:layout>
                </c:ext>
                <c:ext xmlns:c16="http://schemas.microsoft.com/office/drawing/2014/chart" uri="{C3380CC4-5D6E-409C-BE32-E72D297353CC}">
                  <c16:uniqueId val="{00000001-BB87-4A58-92B8-B0B3AE8217F1}"/>
                </c:ext>
              </c:extLst>
            </c:dLbl>
            <c:dLbl>
              <c:idx val="1"/>
              <c:layout>
                <c:manualLayout>
                  <c:x val="3.104956147499157E-2"/>
                  <c:y val="9.3035393253112567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14902141479601505"/>
                      <c:h val="0.15763167104111986"/>
                    </c:manualLayout>
                  </c15:layout>
                </c:ext>
                <c:ext xmlns:c16="http://schemas.microsoft.com/office/drawing/2014/chart" uri="{C3380CC4-5D6E-409C-BE32-E72D297353CC}">
                  <c16:uniqueId val="{00000003-BB87-4A58-92B8-B0B3AE8217F1}"/>
                </c:ext>
              </c:extLst>
            </c:dLbl>
            <c:dLbl>
              <c:idx val="2"/>
              <c:layout>
                <c:manualLayout>
                  <c:x val="-9.7373528187959968E-2"/>
                  <c:y val="1.4849518810148732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19943443832144861"/>
                      <c:h val="9.7284776902887143E-2"/>
                    </c:manualLayout>
                  </c15:layout>
                </c:ext>
                <c:ext xmlns:c16="http://schemas.microsoft.com/office/drawing/2014/chart" uri="{C3380CC4-5D6E-409C-BE32-E72D297353CC}">
                  <c16:uniqueId val="{00000005-BB87-4A58-92B8-B0B3AE8217F1}"/>
                </c:ext>
              </c:extLst>
            </c:dLbl>
            <c:dLbl>
              <c:idx val="3"/>
              <c:layout>
                <c:manualLayout>
                  <c:x val="-4.7791455467052858E-2"/>
                  <c:y val="-6.9388939039072284E-18"/>
                </c:manualLayout>
              </c:layout>
              <c:showLegendKey val="0"/>
              <c:showVal val="1"/>
              <c:showCatName val="0"/>
              <c:showSerName val="0"/>
              <c:showPercent val="0"/>
              <c:showBubbleSize val="0"/>
              <c:extLst>
                <c:ext xmlns:c15="http://schemas.microsoft.com/office/drawing/2012/chart" uri="{CE6537A1-D6FC-4f65-9D91-7224C49458BB}">
                  <c15:layout>
                    <c:manualLayout>
                      <c:w val="8.4026068066618387E-2"/>
                      <c:h val="6.7111085592550856E-2"/>
                    </c:manualLayout>
                  </c15:layout>
                </c:ext>
                <c:ext xmlns:c16="http://schemas.microsoft.com/office/drawing/2014/chart" uri="{C3380CC4-5D6E-409C-BE32-E72D297353CC}">
                  <c16:uniqueId val="{00000007-BB87-4A58-92B8-B0B3AE8217F1}"/>
                </c:ext>
              </c:extLst>
            </c:dLbl>
            <c:dLbl>
              <c:idx val="4"/>
              <c:layout>
                <c:manualLayout>
                  <c:x val="-2.7516178508099232E-2"/>
                  <c:y val="-3.7716674025251494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6.6632988761994888E-2"/>
                      <c:h val="0.11740024827799213"/>
                    </c:manualLayout>
                  </c15:layout>
                </c:ext>
                <c:ext xmlns:c16="http://schemas.microsoft.com/office/drawing/2014/chart" uri="{C3380CC4-5D6E-409C-BE32-E72D297353CC}">
                  <c16:uniqueId val="{00000009-BB87-4A58-92B8-B0B3AE8217F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Sheet1!$B$38:$B$40</c:f>
              <c:strCache>
                <c:ptCount val="3"/>
                <c:pt idx="0">
                  <c:v>Domestic violence</c:v>
                </c:pt>
                <c:pt idx="1">
                  <c:v>Sexual assault</c:v>
                </c:pt>
                <c:pt idx="2">
                  <c:v>Other</c:v>
                </c:pt>
              </c:strCache>
            </c:strRef>
          </c:cat>
          <c:val>
            <c:numRef>
              <c:f>Sheet1!$D$38:$D$40</c:f>
              <c:numCache>
                <c:formatCode>0%</c:formatCode>
                <c:ptCount val="3"/>
                <c:pt idx="0">
                  <c:v>0.58122743682310474</c:v>
                </c:pt>
                <c:pt idx="1">
                  <c:v>4.9638989169675088E-2</c:v>
                </c:pt>
                <c:pt idx="2">
                  <c:v>0.36913357400722024</c:v>
                </c:pt>
              </c:numCache>
            </c:numRef>
          </c:val>
          <c:extLst>
            <c:ext xmlns:c16="http://schemas.microsoft.com/office/drawing/2014/chart" uri="{C3380CC4-5D6E-409C-BE32-E72D297353CC}">
              <c16:uniqueId val="{0000000A-BB87-4A58-92B8-B0B3AE8217F1}"/>
            </c:ext>
          </c:extLst>
        </c:ser>
        <c:dLbls>
          <c:showLegendKey val="0"/>
          <c:showVal val="1"/>
          <c:showCatName val="0"/>
          <c:showSerName val="0"/>
          <c:showPercent val="0"/>
          <c:showBubbleSize val="0"/>
          <c:showLeaderLines val="1"/>
        </c:dLbls>
        <c:firstSliceAng val="0"/>
        <c:holeSize val="75"/>
      </c:doughnutChart>
      <c:spPr>
        <a:noFill/>
        <a:ln>
          <a:noFill/>
        </a:ln>
        <a:effectLst/>
      </c:spPr>
    </c:plotArea>
    <c:legend>
      <c:legendPos val="b"/>
      <c:layout>
        <c:manualLayout>
          <c:xMode val="edge"/>
          <c:yMode val="edge"/>
          <c:x val="4.012921135967322E-2"/>
          <c:y val="0.74943438320209976"/>
          <c:w val="0.55648232555037103"/>
          <c:h val="0.1774973753280840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withinLinear" id="18">
  <a:schemeClr val="accent5"/>
</cs:colorStyle>
</file>

<file path=word/charts/colors2.xml><?xml version="1.0" encoding="utf-8"?>
<cs:colorStyle xmlns:cs="http://schemas.microsoft.com/office/drawing/2012/chartStyle" xmlns:a="http://schemas.openxmlformats.org/drawingml/2006/main" meth="withinLinear" id="18">
  <a:schemeClr val="accent5"/>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Cardno">
      <a:dk1>
        <a:sysClr val="windowText" lastClr="000000"/>
      </a:dk1>
      <a:lt1>
        <a:sysClr val="window" lastClr="FFFFFF"/>
      </a:lt1>
      <a:dk2>
        <a:srgbClr val="003359"/>
      </a:dk2>
      <a:lt2>
        <a:srgbClr val="FFFFFF"/>
      </a:lt2>
      <a:accent1>
        <a:srgbClr val="003359"/>
      </a:accent1>
      <a:accent2>
        <a:srgbClr val="D95E00"/>
      </a:accent2>
      <a:accent3>
        <a:srgbClr val="988F86"/>
      </a:accent3>
      <a:accent4>
        <a:srgbClr val="878800"/>
      </a:accent4>
      <a:accent5>
        <a:srgbClr val="7090B7"/>
      </a:accent5>
      <a:accent6>
        <a:srgbClr val="477F80"/>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ln>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overPageProperties xmlns="http://schemas.microsoft.com/office/2006/coverPageProps">
  <PublishDate/>
  <Abstract/>
  <CompanyAddress/>
  <CompanyPhone/>
  <CompanyFax/>
  <CompanyEmail/>
</CoverPageProperties>
</file>

<file path=customXml/item3.xml><?xml version="1.0" encoding="utf-8"?>
<ct:contentTypeSchema xmlns:ct="http://schemas.microsoft.com/office/2006/metadata/contentType" xmlns:ma="http://schemas.microsoft.com/office/2006/metadata/properties/metaAttributes" ct:_="" ma:_="" ma:contentTypeName="Document" ma:contentTypeID="0x01010050F19AC2165D2E47A5E6B7F563E4CF00" ma:contentTypeVersion="1" ma:contentTypeDescription="Create a new document." ma:contentTypeScope="" ma:versionID="982e45fb1dd88f2b854306ad5ead9e90">
  <xsd:schema xmlns:xsd="http://www.w3.org/2001/XMLSchema" xmlns:xs="http://www.w3.org/2001/XMLSchema" xmlns:p="http://schemas.microsoft.com/office/2006/metadata/properties" xmlns:ns1="http://schemas.microsoft.com/sharepoint/v3" targetNamespace="http://schemas.microsoft.com/office/2006/metadata/properties" ma:root="true" ma:fieldsID="9470a02157b988d5574f2537686f426c"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internalName="PublishingStartDate">
      <xsd:simpleType>
        <xsd:restriction base="dms:Unknown"/>
      </xsd:simpleType>
    </xsd:element>
    <xsd:element name="PublishingExpirationDate" ma:index="9" nillable="true" ma:displayName="Scheduling End Dat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A719E4D6-36CF-4792-98D8-C9F7EFB2CDC5}"/>
</file>

<file path=customXml/itemProps2.xml><?xml version="1.0" encoding="utf-8"?>
<ds:datastoreItem xmlns:ds="http://schemas.openxmlformats.org/officeDocument/2006/customXml" ds:itemID="{55AF091B-3C7A-41E3-B477-F2FDAA23CFDA}"/>
</file>

<file path=customXml/itemProps3.xml><?xml version="1.0" encoding="utf-8"?>
<ds:datastoreItem xmlns:ds="http://schemas.openxmlformats.org/officeDocument/2006/customXml" ds:itemID="{76963CC8-A0C4-4163-A6CF-FC201D0AA3FD}"/>
</file>

<file path=customXml/itemProps4.xml><?xml version="1.0" encoding="utf-8"?>
<ds:datastoreItem xmlns:ds="http://schemas.openxmlformats.org/officeDocument/2006/customXml" ds:itemID="{89756799-BE24-41E7-92FB-33BE21FC1979}"/>
</file>

<file path=customXml/itemProps5.xml><?xml version="1.0" encoding="utf-8"?>
<ds:datastoreItem xmlns:ds="http://schemas.openxmlformats.org/officeDocument/2006/customXml" ds:itemID="{51727AEB-9CF0-4EA8-90B7-7EE99C3799B0}"/>
</file>

<file path=docProps/app.xml><?xml version="1.0" encoding="utf-8"?>
<Properties xmlns="http://schemas.openxmlformats.org/officeDocument/2006/extended-properties" xmlns:vt="http://schemas.openxmlformats.org/officeDocument/2006/docPropsVTypes">
  <Template>Normal.dotm</Template>
  <TotalTime>0</TotalTime>
  <Pages>44</Pages>
  <Words>13908</Words>
  <Characters>79282</Characters>
  <Application>Microsoft Office Word</Application>
  <DocSecurity>0</DocSecurity>
  <Lines>660</Lines>
  <Paragraphs>186</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93004</CharactersWithSpaces>
  <SharedDoc>false</SharedDoc>
  <HLinks>
    <vt:vector size="162" baseType="variant">
      <vt:variant>
        <vt:i4>1507389</vt:i4>
      </vt:variant>
      <vt:variant>
        <vt:i4>161</vt:i4>
      </vt:variant>
      <vt:variant>
        <vt:i4>0</vt:i4>
      </vt:variant>
      <vt:variant>
        <vt:i4>5</vt:i4>
      </vt:variant>
      <vt:variant>
        <vt:lpwstr/>
      </vt:variant>
      <vt:variant>
        <vt:lpwstr>_Toc329949327</vt:lpwstr>
      </vt:variant>
      <vt:variant>
        <vt:i4>1507389</vt:i4>
      </vt:variant>
      <vt:variant>
        <vt:i4>155</vt:i4>
      </vt:variant>
      <vt:variant>
        <vt:i4>0</vt:i4>
      </vt:variant>
      <vt:variant>
        <vt:i4>5</vt:i4>
      </vt:variant>
      <vt:variant>
        <vt:lpwstr/>
      </vt:variant>
      <vt:variant>
        <vt:lpwstr>_Toc329949326</vt:lpwstr>
      </vt:variant>
      <vt:variant>
        <vt:i4>1507389</vt:i4>
      </vt:variant>
      <vt:variant>
        <vt:i4>149</vt:i4>
      </vt:variant>
      <vt:variant>
        <vt:i4>0</vt:i4>
      </vt:variant>
      <vt:variant>
        <vt:i4>5</vt:i4>
      </vt:variant>
      <vt:variant>
        <vt:lpwstr/>
      </vt:variant>
      <vt:variant>
        <vt:lpwstr>_Toc329949325</vt:lpwstr>
      </vt:variant>
      <vt:variant>
        <vt:i4>1507389</vt:i4>
      </vt:variant>
      <vt:variant>
        <vt:i4>143</vt:i4>
      </vt:variant>
      <vt:variant>
        <vt:i4>0</vt:i4>
      </vt:variant>
      <vt:variant>
        <vt:i4>5</vt:i4>
      </vt:variant>
      <vt:variant>
        <vt:lpwstr/>
      </vt:variant>
      <vt:variant>
        <vt:lpwstr>_Toc329949324</vt:lpwstr>
      </vt:variant>
      <vt:variant>
        <vt:i4>1507389</vt:i4>
      </vt:variant>
      <vt:variant>
        <vt:i4>137</vt:i4>
      </vt:variant>
      <vt:variant>
        <vt:i4>0</vt:i4>
      </vt:variant>
      <vt:variant>
        <vt:i4>5</vt:i4>
      </vt:variant>
      <vt:variant>
        <vt:lpwstr/>
      </vt:variant>
      <vt:variant>
        <vt:lpwstr>_Toc329949323</vt:lpwstr>
      </vt:variant>
      <vt:variant>
        <vt:i4>1507389</vt:i4>
      </vt:variant>
      <vt:variant>
        <vt:i4>131</vt:i4>
      </vt:variant>
      <vt:variant>
        <vt:i4>0</vt:i4>
      </vt:variant>
      <vt:variant>
        <vt:i4>5</vt:i4>
      </vt:variant>
      <vt:variant>
        <vt:lpwstr/>
      </vt:variant>
      <vt:variant>
        <vt:lpwstr>_Toc329949322</vt:lpwstr>
      </vt:variant>
      <vt:variant>
        <vt:i4>1507389</vt:i4>
      </vt:variant>
      <vt:variant>
        <vt:i4>125</vt:i4>
      </vt:variant>
      <vt:variant>
        <vt:i4>0</vt:i4>
      </vt:variant>
      <vt:variant>
        <vt:i4>5</vt:i4>
      </vt:variant>
      <vt:variant>
        <vt:lpwstr/>
      </vt:variant>
      <vt:variant>
        <vt:lpwstr>_Toc329949321</vt:lpwstr>
      </vt:variant>
      <vt:variant>
        <vt:i4>1507389</vt:i4>
      </vt:variant>
      <vt:variant>
        <vt:i4>119</vt:i4>
      </vt:variant>
      <vt:variant>
        <vt:i4>0</vt:i4>
      </vt:variant>
      <vt:variant>
        <vt:i4>5</vt:i4>
      </vt:variant>
      <vt:variant>
        <vt:lpwstr/>
      </vt:variant>
      <vt:variant>
        <vt:lpwstr>_Toc329949320</vt:lpwstr>
      </vt:variant>
      <vt:variant>
        <vt:i4>1310781</vt:i4>
      </vt:variant>
      <vt:variant>
        <vt:i4>113</vt:i4>
      </vt:variant>
      <vt:variant>
        <vt:i4>0</vt:i4>
      </vt:variant>
      <vt:variant>
        <vt:i4>5</vt:i4>
      </vt:variant>
      <vt:variant>
        <vt:lpwstr/>
      </vt:variant>
      <vt:variant>
        <vt:lpwstr>_Toc329949319</vt:lpwstr>
      </vt:variant>
      <vt:variant>
        <vt:i4>1310781</vt:i4>
      </vt:variant>
      <vt:variant>
        <vt:i4>107</vt:i4>
      </vt:variant>
      <vt:variant>
        <vt:i4>0</vt:i4>
      </vt:variant>
      <vt:variant>
        <vt:i4>5</vt:i4>
      </vt:variant>
      <vt:variant>
        <vt:lpwstr/>
      </vt:variant>
      <vt:variant>
        <vt:lpwstr>_Toc329949318</vt:lpwstr>
      </vt:variant>
      <vt:variant>
        <vt:i4>1310781</vt:i4>
      </vt:variant>
      <vt:variant>
        <vt:i4>101</vt:i4>
      </vt:variant>
      <vt:variant>
        <vt:i4>0</vt:i4>
      </vt:variant>
      <vt:variant>
        <vt:i4>5</vt:i4>
      </vt:variant>
      <vt:variant>
        <vt:lpwstr/>
      </vt:variant>
      <vt:variant>
        <vt:lpwstr>_Toc329949317</vt:lpwstr>
      </vt:variant>
      <vt:variant>
        <vt:i4>1310781</vt:i4>
      </vt:variant>
      <vt:variant>
        <vt:i4>95</vt:i4>
      </vt:variant>
      <vt:variant>
        <vt:i4>0</vt:i4>
      </vt:variant>
      <vt:variant>
        <vt:i4>5</vt:i4>
      </vt:variant>
      <vt:variant>
        <vt:lpwstr/>
      </vt:variant>
      <vt:variant>
        <vt:lpwstr>_Toc329949316</vt:lpwstr>
      </vt:variant>
      <vt:variant>
        <vt:i4>1310781</vt:i4>
      </vt:variant>
      <vt:variant>
        <vt:i4>89</vt:i4>
      </vt:variant>
      <vt:variant>
        <vt:i4>0</vt:i4>
      </vt:variant>
      <vt:variant>
        <vt:i4>5</vt:i4>
      </vt:variant>
      <vt:variant>
        <vt:lpwstr/>
      </vt:variant>
      <vt:variant>
        <vt:lpwstr>_Toc329949315</vt:lpwstr>
      </vt:variant>
      <vt:variant>
        <vt:i4>1310781</vt:i4>
      </vt:variant>
      <vt:variant>
        <vt:i4>83</vt:i4>
      </vt:variant>
      <vt:variant>
        <vt:i4>0</vt:i4>
      </vt:variant>
      <vt:variant>
        <vt:i4>5</vt:i4>
      </vt:variant>
      <vt:variant>
        <vt:lpwstr/>
      </vt:variant>
      <vt:variant>
        <vt:lpwstr>_Toc329949314</vt:lpwstr>
      </vt:variant>
      <vt:variant>
        <vt:i4>1310781</vt:i4>
      </vt:variant>
      <vt:variant>
        <vt:i4>77</vt:i4>
      </vt:variant>
      <vt:variant>
        <vt:i4>0</vt:i4>
      </vt:variant>
      <vt:variant>
        <vt:i4>5</vt:i4>
      </vt:variant>
      <vt:variant>
        <vt:lpwstr/>
      </vt:variant>
      <vt:variant>
        <vt:lpwstr>_Toc329949313</vt:lpwstr>
      </vt:variant>
      <vt:variant>
        <vt:i4>1310781</vt:i4>
      </vt:variant>
      <vt:variant>
        <vt:i4>71</vt:i4>
      </vt:variant>
      <vt:variant>
        <vt:i4>0</vt:i4>
      </vt:variant>
      <vt:variant>
        <vt:i4>5</vt:i4>
      </vt:variant>
      <vt:variant>
        <vt:lpwstr/>
      </vt:variant>
      <vt:variant>
        <vt:lpwstr>_Toc329949312</vt:lpwstr>
      </vt:variant>
      <vt:variant>
        <vt:i4>1310781</vt:i4>
      </vt:variant>
      <vt:variant>
        <vt:i4>65</vt:i4>
      </vt:variant>
      <vt:variant>
        <vt:i4>0</vt:i4>
      </vt:variant>
      <vt:variant>
        <vt:i4>5</vt:i4>
      </vt:variant>
      <vt:variant>
        <vt:lpwstr/>
      </vt:variant>
      <vt:variant>
        <vt:lpwstr>_Toc329949311</vt:lpwstr>
      </vt:variant>
      <vt:variant>
        <vt:i4>1310781</vt:i4>
      </vt:variant>
      <vt:variant>
        <vt:i4>59</vt:i4>
      </vt:variant>
      <vt:variant>
        <vt:i4>0</vt:i4>
      </vt:variant>
      <vt:variant>
        <vt:i4>5</vt:i4>
      </vt:variant>
      <vt:variant>
        <vt:lpwstr/>
      </vt:variant>
      <vt:variant>
        <vt:lpwstr>_Toc329949310</vt:lpwstr>
      </vt:variant>
      <vt:variant>
        <vt:i4>1376317</vt:i4>
      </vt:variant>
      <vt:variant>
        <vt:i4>53</vt:i4>
      </vt:variant>
      <vt:variant>
        <vt:i4>0</vt:i4>
      </vt:variant>
      <vt:variant>
        <vt:i4>5</vt:i4>
      </vt:variant>
      <vt:variant>
        <vt:lpwstr/>
      </vt:variant>
      <vt:variant>
        <vt:lpwstr>_Toc329949309</vt:lpwstr>
      </vt:variant>
      <vt:variant>
        <vt:i4>1376317</vt:i4>
      </vt:variant>
      <vt:variant>
        <vt:i4>47</vt:i4>
      </vt:variant>
      <vt:variant>
        <vt:i4>0</vt:i4>
      </vt:variant>
      <vt:variant>
        <vt:i4>5</vt:i4>
      </vt:variant>
      <vt:variant>
        <vt:lpwstr/>
      </vt:variant>
      <vt:variant>
        <vt:lpwstr>_Toc329949308</vt:lpwstr>
      </vt:variant>
      <vt:variant>
        <vt:i4>1376317</vt:i4>
      </vt:variant>
      <vt:variant>
        <vt:i4>41</vt:i4>
      </vt:variant>
      <vt:variant>
        <vt:i4>0</vt:i4>
      </vt:variant>
      <vt:variant>
        <vt:i4>5</vt:i4>
      </vt:variant>
      <vt:variant>
        <vt:lpwstr/>
      </vt:variant>
      <vt:variant>
        <vt:lpwstr>_Toc329949307</vt:lpwstr>
      </vt:variant>
      <vt:variant>
        <vt:i4>1376317</vt:i4>
      </vt:variant>
      <vt:variant>
        <vt:i4>35</vt:i4>
      </vt:variant>
      <vt:variant>
        <vt:i4>0</vt:i4>
      </vt:variant>
      <vt:variant>
        <vt:i4>5</vt:i4>
      </vt:variant>
      <vt:variant>
        <vt:lpwstr/>
      </vt:variant>
      <vt:variant>
        <vt:lpwstr>_Toc329949306</vt:lpwstr>
      </vt:variant>
      <vt:variant>
        <vt:i4>1376317</vt:i4>
      </vt:variant>
      <vt:variant>
        <vt:i4>29</vt:i4>
      </vt:variant>
      <vt:variant>
        <vt:i4>0</vt:i4>
      </vt:variant>
      <vt:variant>
        <vt:i4>5</vt:i4>
      </vt:variant>
      <vt:variant>
        <vt:lpwstr/>
      </vt:variant>
      <vt:variant>
        <vt:lpwstr>_Toc329949305</vt:lpwstr>
      </vt:variant>
      <vt:variant>
        <vt:i4>1376317</vt:i4>
      </vt:variant>
      <vt:variant>
        <vt:i4>23</vt:i4>
      </vt:variant>
      <vt:variant>
        <vt:i4>0</vt:i4>
      </vt:variant>
      <vt:variant>
        <vt:i4>5</vt:i4>
      </vt:variant>
      <vt:variant>
        <vt:lpwstr/>
      </vt:variant>
      <vt:variant>
        <vt:lpwstr>_Toc329949304</vt:lpwstr>
      </vt:variant>
      <vt:variant>
        <vt:i4>1376317</vt:i4>
      </vt:variant>
      <vt:variant>
        <vt:i4>17</vt:i4>
      </vt:variant>
      <vt:variant>
        <vt:i4>0</vt:i4>
      </vt:variant>
      <vt:variant>
        <vt:i4>5</vt:i4>
      </vt:variant>
      <vt:variant>
        <vt:lpwstr/>
      </vt:variant>
      <vt:variant>
        <vt:lpwstr>_Toc329949303</vt:lpwstr>
      </vt:variant>
      <vt:variant>
        <vt:i4>1376317</vt:i4>
      </vt:variant>
      <vt:variant>
        <vt:i4>11</vt:i4>
      </vt:variant>
      <vt:variant>
        <vt:i4>0</vt:i4>
      </vt:variant>
      <vt:variant>
        <vt:i4>5</vt:i4>
      </vt:variant>
      <vt:variant>
        <vt:lpwstr/>
      </vt:variant>
      <vt:variant>
        <vt:lpwstr>_Toc329949302</vt:lpwstr>
      </vt:variant>
      <vt:variant>
        <vt:i4>1376317</vt:i4>
      </vt:variant>
      <vt:variant>
        <vt:i4>5</vt:i4>
      </vt:variant>
      <vt:variant>
        <vt:i4>0</vt:i4>
      </vt:variant>
      <vt:variant>
        <vt:i4>5</vt:i4>
      </vt:variant>
      <vt:variant>
        <vt:lpwstr/>
      </vt:variant>
      <vt:variant>
        <vt:lpwstr>_Toc329949301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2019-09-04T22:16:00Z</dcterms:created>
  <dcterms:modified xsi:type="dcterms:W3CDTF">2019-09-04T22:16:00Z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d1224eb4-f06d-4748-962f-5920c9c22bd9</vt:lpwstr>
  </property>
  <property fmtid="{D5CDD505-2E9C-101B-9397-08002B2CF9AE}" pid="3" name="SEC">
    <vt:lpwstr>UNCLASSIFIED</vt:lpwstr>
  </property>
  <property fmtid="{D5CDD505-2E9C-101B-9397-08002B2CF9AE}" pid="4" name="DLM">
    <vt:lpwstr>No DLM</vt:lpwstr>
  </property>
  <property fmtid="{D5CDD505-2E9C-101B-9397-08002B2CF9AE}" pid="5" name="ContentTypeId">
    <vt:lpwstr>0x01010050F19AC2165D2E47A5E6B7F563E4CF00</vt:lpwstr>
  </property>
  <property fmtid="{D5CDD505-2E9C-101B-9397-08002B2CF9AE}" pid="6" name="Order">
    <vt:r8>1260300</vt:r8>
  </property>
  <property fmtid="{D5CDD505-2E9C-101B-9397-08002B2CF9AE}" pid="7" name="xd_Signature">
    <vt:bool>false</vt:bool>
  </property>
  <property fmtid="{D5CDD505-2E9C-101B-9397-08002B2CF9AE}" pid="8" name="xd_ProgID">
    <vt:lpwstr/>
  </property>
  <property fmtid="{D5CDD505-2E9C-101B-9397-08002B2CF9AE}" pid="9" name="_SourceUrl">
    <vt:lpwstr/>
  </property>
  <property fmtid="{D5CDD505-2E9C-101B-9397-08002B2CF9AE}" pid="10" name="_SharedFileIndex">
    <vt:lpwstr/>
  </property>
  <property fmtid="{D5CDD505-2E9C-101B-9397-08002B2CF9AE}" pid="11" name="TemplateUrl">
    <vt:lpwstr/>
  </property>
</Properties>
</file>