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4C1F1" w14:textId="30DC5B0C" w:rsidR="00140669" w:rsidRDefault="0020551D" w:rsidP="002E7313">
      <w:pPr>
        <w:suppressAutoHyphens w:val="0"/>
        <w:spacing w:before="0" w:after="120" w:line="440" w:lineRule="atLeast"/>
        <w:rPr>
          <w:rFonts w:asciiTheme="majorHAnsi" w:hAnsiTheme="majorHAnsi" w:cs="Arial"/>
          <w:color w:val="FF0000"/>
          <w:szCs w:val="21"/>
        </w:rPr>
      </w:pPr>
      <w:r w:rsidRPr="008A51A6">
        <w:rPr>
          <w:b/>
          <w:noProof/>
          <w:lang w:val="en-AU" w:eastAsia="en-AU"/>
        </w:rPr>
        <w:drawing>
          <wp:inline distT="0" distB="0" distL="0" distR="0" wp14:anchorId="109D986E" wp14:editId="0DA17DC5">
            <wp:extent cx="3166110" cy="553720"/>
            <wp:effectExtent l="0" t="0" r="0" b="0"/>
            <wp:docPr id="42" name="Picture 42" descr="Australian Government Department of Foreign Affairs and Trad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ustralian Government Department of Foreign Affairs and Trade cres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6110" cy="553720"/>
                    </a:xfrm>
                    <a:prstGeom prst="rect">
                      <a:avLst/>
                    </a:prstGeom>
                  </pic:spPr>
                </pic:pic>
              </a:graphicData>
            </a:graphic>
          </wp:inline>
        </w:drawing>
      </w:r>
    </w:p>
    <w:p w14:paraId="63B67AF7" w14:textId="644BD194" w:rsidR="000F3962" w:rsidRPr="00CA7BEF" w:rsidRDefault="0020551D" w:rsidP="00CA7BEF">
      <w:pPr>
        <w:pStyle w:val="SpacebeforeTitle"/>
        <w:tabs>
          <w:tab w:val="left" w:pos="1114"/>
          <w:tab w:val="left" w:pos="2205"/>
        </w:tabs>
        <w:spacing w:after="0"/>
        <w:rPr>
          <w:b/>
          <w:sz w:val="36"/>
          <w:szCs w:val="36"/>
        </w:rPr>
      </w:pPr>
      <w:r w:rsidRPr="000F3962">
        <w:rPr>
          <w:rStyle w:val="Heading1Char"/>
        </w:rPr>
        <w:t xml:space="preserve">Independent </w:t>
      </w:r>
      <w:r w:rsidR="001A1145">
        <w:rPr>
          <w:rStyle w:val="Heading1Char"/>
        </w:rPr>
        <w:t>Mid Term Review</w:t>
      </w:r>
      <w:r w:rsidRPr="000F3962">
        <w:rPr>
          <w:rStyle w:val="Heading1Char"/>
        </w:rPr>
        <w:t xml:space="preserve"> of</w:t>
      </w:r>
      <w:r w:rsidR="000373EC">
        <w:rPr>
          <w:rStyle w:val="Heading1Char"/>
        </w:rPr>
        <w:t xml:space="preserve"> the</w:t>
      </w:r>
      <w:r w:rsidRPr="000F3962">
        <w:rPr>
          <w:rStyle w:val="Heading1Char"/>
        </w:rPr>
        <w:t xml:space="preserve"> </w:t>
      </w:r>
      <w:r w:rsidR="000373EC">
        <w:rPr>
          <w:rStyle w:val="Heading1Char"/>
          <w:i/>
          <w:iCs/>
        </w:rPr>
        <w:t>Partnership for Human Development</w:t>
      </w:r>
      <w:r w:rsidRPr="000F3962">
        <w:rPr>
          <w:rStyle w:val="Heading1Char"/>
          <w:b/>
          <w:bCs w:val="0"/>
        </w:rPr>
        <w:t xml:space="preserve"> MANAGEMENT RESPONSE</w:t>
      </w:r>
    </w:p>
    <w:p w14:paraId="6DD589A5" w14:textId="0179D2FC" w:rsidR="000F3962" w:rsidRDefault="009460AA" w:rsidP="00CA7BEF">
      <w:pPr>
        <w:tabs>
          <w:tab w:val="left" w:pos="284"/>
        </w:tabs>
        <w:suppressAutoHyphens w:val="0"/>
        <w:spacing w:line="280" w:lineRule="exact"/>
      </w:pPr>
      <w:r w:rsidRPr="00F61E4F">
        <w:t xml:space="preserve">With the goal of </w:t>
      </w:r>
      <w:r w:rsidR="000373EC">
        <w:t>a healthier, better educated Timorese population who are more able to contribute to Timor-Leste’s development goals</w:t>
      </w:r>
      <w:r w:rsidRPr="00F61E4F">
        <w:t xml:space="preserve">, the </w:t>
      </w:r>
      <w:r w:rsidR="000373EC">
        <w:rPr>
          <w:i/>
          <w:iCs/>
        </w:rPr>
        <w:t>Partnership for</w:t>
      </w:r>
      <w:r w:rsidR="00AD069D">
        <w:rPr>
          <w:i/>
          <w:iCs/>
        </w:rPr>
        <w:t xml:space="preserve"> Human Development</w:t>
      </w:r>
      <w:r w:rsidR="000373EC">
        <w:rPr>
          <w:i/>
          <w:iCs/>
        </w:rPr>
        <w:t xml:space="preserve"> </w:t>
      </w:r>
      <w:r w:rsidR="00AD069D">
        <w:t xml:space="preserve">(PHD) </w:t>
      </w:r>
      <w:r w:rsidRPr="00F61E4F">
        <w:t xml:space="preserve">program was created as a </w:t>
      </w:r>
      <w:r w:rsidR="00AD069D">
        <w:t>ten</w:t>
      </w:r>
      <w:r w:rsidRPr="00F61E4F">
        <w:t xml:space="preserve">-year partnership </w:t>
      </w:r>
      <w:r w:rsidR="000009A7">
        <w:t xml:space="preserve">(2016-26) </w:t>
      </w:r>
      <w:r w:rsidRPr="00F61E4F">
        <w:t xml:space="preserve">between the governments of Australia and Timor-Leste. </w:t>
      </w:r>
      <w:r w:rsidR="00AD069D">
        <w:rPr>
          <w:i/>
          <w:iCs/>
        </w:rPr>
        <w:t>PHD</w:t>
      </w:r>
      <w:r w:rsidRPr="00F61E4F">
        <w:t xml:space="preserve"> is implemented by</w:t>
      </w:r>
      <w:r w:rsidR="00AD069D">
        <w:t xml:space="preserve"> </w:t>
      </w:r>
      <w:proofErr w:type="spellStart"/>
      <w:r w:rsidR="00AD069D">
        <w:t>Abt</w:t>
      </w:r>
      <w:proofErr w:type="spellEnd"/>
      <w:r w:rsidR="00AD069D">
        <w:t xml:space="preserve"> Associates (</w:t>
      </w:r>
      <w:proofErr w:type="spellStart"/>
      <w:r w:rsidR="00AD069D">
        <w:t>Abt</w:t>
      </w:r>
      <w:proofErr w:type="spellEnd"/>
      <w:r w:rsidR="00AD069D">
        <w:t>)</w:t>
      </w:r>
      <w:r w:rsidRPr="00F61E4F">
        <w:t xml:space="preserve"> in collaboration with Timor-Leste’s Ministry for </w:t>
      </w:r>
      <w:r w:rsidR="00AD069D">
        <w:t>Health</w:t>
      </w:r>
      <w:r>
        <w:t xml:space="preserve"> (M</w:t>
      </w:r>
      <w:r w:rsidR="00C240C3">
        <w:t>oH</w:t>
      </w:r>
      <w:r>
        <w:t>)</w:t>
      </w:r>
      <w:r w:rsidR="00AD069D">
        <w:t>,</w:t>
      </w:r>
      <w:r w:rsidRPr="00F61E4F">
        <w:t xml:space="preserve"> </w:t>
      </w:r>
      <w:r w:rsidR="00AD069D">
        <w:t xml:space="preserve">Ministry of Education, Youth and Sports </w:t>
      </w:r>
      <w:r>
        <w:t>(</w:t>
      </w:r>
      <w:proofErr w:type="spellStart"/>
      <w:r w:rsidR="00AD069D">
        <w:t>MoEYS</w:t>
      </w:r>
      <w:proofErr w:type="spellEnd"/>
      <w:r>
        <w:t>)</w:t>
      </w:r>
      <w:r w:rsidR="00AD069D">
        <w:t xml:space="preserve"> and the Ministry of Social So</w:t>
      </w:r>
      <w:r w:rsidR="00C240C3">
        <w:t>l</w:t>
      </w:r>
      <w:r w:rsidR="00AD069D">
        <w:t>idarity and Inclusion (MSSI)</w:t>
      </w:r>
      <w:r w:rsidRPr="00F61E4F">
        <w:t xml:space="preserve">. </w:t>
      </w:r>
    </w:p>
    <w:p w14:paraId="59BE3020" w14:textId="2138F64C" w:rsidR="009460AA" w:rsidRDefault="009460AA" w:rsidP="00CA7BEF">
      <w:pPr>
        <w:tabs>
          <w:tab w:val="left" w:pos="284"/>
        </w:tabs>
        <w:suppressAutoHyphens w:val="0"/>
        <w:spacing w:line="280" w:lineRule="exact"/>
      </w:pPr>
      <w:r>
        <w:t>The 202</w:t>
      </w:r>
      <w:r w:rsidR="00CC3F43">
        <w:t>2</w:t>
      </w:r>
      <w:r>
        <w:t xml:space="preserve"> review, undertaken by </w:t>
      </w:r>
      <w:r w:rsidR="00C240C3">
        <w:t>Clear Horizon</w:t>
      </w:r>
      <w:r>
        <w:t xml:space="preserve">, </w:t>
      </w:r>
      <w:r w:rsidR="002B523B">
        <w:rPr>
          <w:lang w:val="en-US"/>
        </w:rPr>
        <w:t>assessed</w:t>
      </w:r>
      <w:r w:rsidR="002B523B" w:rsidRPr="00C240C3">
        <w:rPr>
          <w:lang w:val="en-US"/>
        </w:rPr>
        <w:t xml:space="preserve"> </w:t>
      </w:r>
      <w:r w:rsidR="00C240C3" w:rsidRPr="00C240C3">
        <w:rPr>
          <w:lang w:val="en-US"/>
        </w:rPr>
        <w:t xml:space="preserve">the relevance and appropriateness of the Phase 2 </w:t>
      </w:r>
      <w:r w:rsidR="00CC3F43">
        <w:rPr>
          <w:lang w:val="en-US"/>
        </w:rPr>
        <w:t xml:space="preserve">programmatic </w:t>
      </w:r>
      <w:r w:rsidR="00C240C3" w:rsidRPr="00C240C3">
        <w:rPr>
          <w:lang w:val="en-US"/>
        </w:rPr>
        <w:t>approach and generate</w:t>
      </w:r>
      <w:r w:rsidR="00931166">
        <w:rPr>
          <w:lang w:val="en-US"/>
        </w:rPr>
        <w:t>d</w:t>
      </w:r>
      <w:r w:rsidR="00C240C3" w:rsidRPr="00C240C3">
        <w:rPr>
          <w:lang w:val="en-US"/>
        </w:rPr>
        <w:t xml:space="preserve"> recommendations to strengthen the </w:t>
      </w:r>
      <w:r w:rsidR="007B4F1E">
        <w:t>implementation of Phase 2</w:t>
      </w:r>
      <w:r>
        <w:t xml:space="preserve">. </w:t>
      </w:r>
      <w:r w:rsidR="002B523B">
        <w:t>It was intended to be primarily forward-looking, while engaging with lessons learned earlier in the program</w:t>
      </w:r>
      <w:r w:rsidR="000D1537">
        <w:t>.</w:t>
      </w:r>
      <w:r w:rsidR="002B523B">
        <w:t xml:space="preserve"> </w:t>
      </w:r>
      <w:r w:rsidR="007B4F1E">
        <w:t xml:space="preserve">This review originated from a request by </w:t>
      </w:r>
      <w:r w:rsidR="008765FA">
        <w:t xml:space="preserve">the Aid Governance Board as part of their </w:t>
      </w:r>
      <w:r w:rsidR="00DB22AD">
        <w:t>ap</w:t>
      </w:r>
      <w:r w:rsidR="008765FA">
        <w:t>pr</w:t>
      </w:r>
      <w:r w:rsidR="00DB22AD">
        <w:t>oval for an extension of the program to May 2026.</w:t>
      </w:r>
      <w:r w:rsidR="00865FCE">
        <w:t xml:space="preserve"> Many of the recommendations made in the review are already under consideration by DFAT or being implemented; others can be incorporated into phase two of implementation. </w:t>
      </w:r>
    </w:p>
    <w:p w14:paraId="1980DEAF" w14:textId="5224C03C" w:rsidR="00AB4509" w:rsidRDefault="009460AA" w:rsidP="00AB4509">
      <w:pPr>
        <w:tabs>
          <w:tab w:val="left" w:pos="284"/>
        </w:tabs>
        <w:suppressAutoHyphens w:val="0"/>
        <w:spacing w:line="280" w:lineRule="exact"/>
      </w:pPr>
      <w:r>
        <w:t>Of the 1</w:t>
      </w:r>
      <w:r w:rsidR="00927107">
        <w:t>9</w:t>
      </w:r>
      <w:r>
        <w:t xml:space="preserve"> recommendations, the Department of Foreign Affairs and Trade (DFAT) agrees with 1</w:t>
      </w:r>
      <w:r w:rsidR="001A1145">
        <w:t>4</w:t>
      </w:r>
      <w:r w:rsidR="00073734">
        <w:t xml:space="preserve"> and</w:t>
      </w:r>
      <w:r w:rsidR="001A1145">
        <w:t xml:space="preserve"> </w:t>
      </w:r>
      <w:r>
        <w:t xml:space="preserve">partially agrees with </w:t>
      </w:r>
      <w:r w:rsidR="001A1145">
        <w:t>f</w:t>
      </w:r>
      <w:r w:rsidR="00AB4509">
        <w:t>ive.</w:t>
      </w:r>
      <w:r w:rsidR="001A1145">
        <w:t xml:space="preserve"> </w:t>
      </w:r>
    </w:p>
    <w:p w14:paraId="055759B3" w14:textId="17830C70" w:rsidR="0020551D" w:rsidRPr="000F3962" w:rsidRDefault="000F3962" w:rsidP="000F3962">
      <w:pPr>
        <w:pStyle w:val="Heading2"/>
      </w:pPr>
      <w:r w:rsidRPr="000F3962">
        <w:t>DFAT</w:t>
      </w:r>
    </w:p>
    <w:tbl>
      <w:tblPr>
        <w:tblStyle w:val="TableGrid"/>
        <w:tblW w:w="13183" w:type="dxa"/>
        <w:tblInd w:w="-147" w:type="dxa"/>
        <w:tblLook w:val="04A0" w:firstRow="1" w:lastRow="0" w:firstColumn="1" w:lastColumn="0" w:noHBand="0" w:noVBand="1"/>
      </w:tblPr>
      <w:tblGrid>
        <w:gridCol w:w="5189"/>
        <w:gridCol w:w="988"/>
        <w:gridCol w:w="5731"/>
        <w:gridCol w:w="1275"/>
      </w:tblGrid>
      <w:tr w:rsidR="00CA7BEF" w:rsidRPr="00CA7BEF" w14:paraId="5F08BFB6" w14:textId="77777777" w:rsidTr="00F33569">
        <w:trPr>
          <w:tblHeader/>
        </w:trPr>
        <w:tc>
          <w:tcPr>
            <w:tcW w:w="5189" w:type="dxa"/>
          </w:tcPr>
          <w:p w14:paraId="3629298F" w14:textId="77777777" w:rsidR="000F3962" w:rsidRPr="00CA7BEF" w:rsidRDefault="000F3962" w:rsidP="00421E49">
            <w:pPr>
              <w:spacing w:line="240" w:lineRule="auto"/>
              <w:rPr>
                <w:rFonts w:cstheme="minorHAnsi"/>
                <w:b/>
                <w:bCs/>
                <w:iCs/>
                <w:color w:val="auto"/>
                <w:sz w:val="20"/>
                <w:szCs w:val="20"/>
              </w:rPr>
            </w:pPr>
            <w:r w:rsidRPr="00CA7BEF">
              <w:rPr>
                <w:rFonts w:cstheme="minorHAnsi"/>
                <w:b/>
                <w:bCs/>
                <w:iCs/>
                <w:color w:val="auto"/>
                <w:sz w:val="20"/>
                <w:szCs w:val="20"/>
              </w:rPr>
              <w:t>Recommendation</w:t>
            </w:r>
          </w:p>
        </w:tc>
        <w:tc>
          <w:tcPr>
            <w:tcW w:w="988" w:type="dxa"/>
          </w:tcPr>
          <w:p w14:paraId="642C10C3" w14:textId="77777777" w:rsidR="000F3962" w:rsidRPr="00CA7BEF" w:rsidRDefault="000F3962" w:rsidP="00421E49">
            <w:pPr>
              <w:spacing w:line="240" w:lineRule="auto"/>
              <w:rPr>
                <w:rFonts w:cstheme="minorHAnsi"/>
                <w:b/>
                <w:bCs/>
                <w:iCs/>
                <w:color w:val="auto"/>
                <w:sz w:val="20"/>
                <w:szCs w:val="20"/>
              </w:rPr>
            </w:pPr>
            <w:r w:rsidRPr="00CA7BEF">
              <w:rPr>
                <w:rFonts w:cstheme="minorHAnsi"/>
                <w:b/>
                <w:bCs/>
                <w:iCs/>
                <w:color w:val="auto"/>
                <w:sz w:val="20"/>
                <w:szCs w:val="20"/>
              </w:rPr>
              <w:t>Response</w:t>
            </w:r>
          </w:p>
        </w:tc>
        <w:tc>
          <w:tcPr>
            <w:tcW w:w="5731" w:type="dxa"/>
          </w:tcPr>
          <w:p w14:paraId="098C036D" w14:textId="77777777" w:rsidR="000F3962" w:rsidRPr="00CA7BEF" w:rsidRDefault="000F3962" w:rsidP="00421E49">
            <w:pPr>
              <w:spacing w:line="240" w:lineRule="auto"/>
              <w:rPr>
                <w:rFonts w:cstheme="minorHAnsi"/>
                <w:b/>
                <w:bCs/>
                <w:iCs/>
                <w:color w:val="auto"/>
                <w:sz w:val="20"/>
                <w:szCs w:val="20"/>
              </w:rPr>
            </w:pPr>
            <w:r w:rsidRPr="00CA7BEF">
              <w:rPr>
                <w:rFonts w:cstheme="minorHAnsi"/>
                <w:b/>
                <w:bCs/>
                <w:iCs/>
                <w:color w:val="auto"/>
                <w:sz w:val="20"/>
                <w:szCs w:val="20"/>
              </w:rPr>
              <w:t>Action plan</w:t>
            </w:r>
          </w:p>
        </w:tc>
        <w:tc>
          <w:tcPr>
            <w:tcW w:w="1275" w:type="dxa"/>
          </w:tcPr>
          <w:p w14:paraId="5B6C265E" w14:textId="77777777" w:rsidR="000F3962" w:rsidRPr="00CA7BEF" w:rsidRDefault="000F3962" w:rsidP="00421E49">
            <w:pPr>
              <w:spacing w:line="240" w:lineRule="auto"/>
              <w:rPr>
                <w:rFonts w:cstheme="minorHAnsi"/>
                <w:b/>
                <w:bCs/>
                <w:iCs/>
                <w:color w:val="auto"/>
                <w:sz w:val="20"/>
                <w:szCs w:val="20"/>
              </w:rPr>
            </w:pPr>
            <w:r w:rsidRPr="00CA7BEF">
              <w:rPr>
                <w:rFonts w:cstheme="minorHAnsi"/>
                <w:b/>
                <w:bCs/>
                <w:iCs/>
                <w:color w:val="auto"/>
                <w:sz w:val="20"/>
                <w:szCs w:val="20"/>
              </w:rPr>
              <w:t>Timeframe</w:t>
            </w:r>
          </w:p>
        </w:tc>
      </w:tr>
      <w:tr w:rsidR="00885923" w:rsidRPr="00885923" w14:paraId="6F1135B7" w14:textId="77777777" w:rsidTr="008E22BF">
        <w:tc>
          <w:tcPr>
            <w:tcW w:w="5189" w:type="dxa"/>
          </w:tcPr>
          <w:p w14:paraId="010C0502" w14:textId="4CDEF505" w:rsidR="000F3962" w:rsidRPr="00885923" w:rsidRDefault="0095244A" w:rsidP="00421E49">
            <w:pPr>
              <w:spacing w:line="240" w:lineRule="auto"/>
              <w:rPr>
                <w:rFonts w:cstheme="minorHAnsi"/>
                <w:iCs/>
                <w:color w:val="auto"/>
                <w:sz w:val="20"/>
                <w:szCs w:val="20"/>
              </w:rPr>
            </w:pPr>
            <w:r w:rsidRPr="00885923">
              <w:rPr>
                <w:rFonts w:cstheme="minorHAnsi"/>
                <w:iCs/>
                <w:color w:val="auto"/>
                <w:sz w:val="20"/>
                <w:szCs w:val="20"/>
              </w:rPr>
              <w:t>2.1: DFAT should re-instate Annual Development Talks or similar for portfolio-wide conversations.</w:t>
            </w:r>
          </w:p>
        </w:tc>
        <w:tc>
          <w:tcPr>
            <w:tcW w:w="988" w:type="dxa"/>
            <w:shd w:val="clear" w:color="auto" w:fill="92D050"/>
          </w:tcPr>
          <w:p w14:paraId="4528CE35" w14:textId="77777777" w:rsidR="000F3962" w:rsidRPr="00885923" w:rsidRDefault="000F3962" w:rsidP="00421E49">
            <w:pPr>
              <w:spacing w:line="240" w:lineRule="auto"/>
              <w:rPr>
                <w:rFonts w:cstheme="minorHAnsi"/>
                <w:iCs/>
                <w:color w:val="auto"/>
                <w:sz w:val="20"/>
                <w:szCs w:val="20"/>
              </w:rPr>
            </w:pPr>
            <w:r w:rsidRPr="00885923">
              <w:rPr>
                <w:rFonts w:cstheme="minorHAnsi"/>
                <w:iCs/>
                <w:color w:val="auto"/>
                <w:sz w:val="20"/>
                <w:szCs w:val="20"/>
              </w:rPr>
              <w:t>Agree</w:t>
            </w:r>
          </w:p>
        </w:tc>
        <w:tc>
          <w:tcPr>
            <w:tcW w:w="5731" w:type="dxa"/>
          </w:tcPr>
          <w:p w14:paraId="497B8EBD" w14:textId="670C8993" w:rsidR="000F3962" w:rsidRPr="00885923" w:rsidRDefault="002B523B" w:rsidP="00421E49">
            <w:pPr>
              <w:spacing w:line="240" w:lineRule="auto"/>
              <w:rPr>
                <w:rFonts w:cstheme="minorHAnsi"/>
                <w:iCs/>
                <w:color w:val="auto"/>
                <w:sz w:val="20"/>
                <w:szCs w:val="20"/>
              </w:rPr>
            </w:pPr>
            <w:r>
              <w:rPr>
                <w:rFonts w:cstheme="minorHAnsi"/>
                <w:iCs/>
                <w:color w:val="auto"/>
                <w:sz w:val="20"/>
                <w:szCs w:val="20"/>
              </w:rPr>
              <w:t xml:space="preserve">In August 2022, </w:t>
            </w:r>
            <w:r w:rsidR="00E437C3" w:rsidRPr="00885923">
              <w:rPr>
                <w:rFonts w:cstheme="minorHAnsi"/>
                <w:iCs/>
                <w:color w:val="auto"/>
                <w:sz w:val="20"/>
                <w:szCs w:val="20"/>
              </w:rPr>
              <w:t>DFAT</w:t>
            </w:r>
            <w:r w:rsidR="00A76382" w:rsidRPr="00885923">
              <w:rPr>
                <w:rFonts w:cstheme="minorHAnsi"/>
                <w:iCs/>
                <w:color w:val="auto"/>
                <w:sz w:val="20"/>
                <w:szCs w:val="20"/>
              </w:rPr>
              <w:t xml:space="preserve"> </w:t>
            </w:r>
            <w:r w:rsidR="00FD6BE6">
              <w:rPr>
                <w:rFonts w:cstheme="minorHAnsi"/>
                <w:iCs/>
                <w:color w:val="auto"/>
                <w:sz w:val="20"/>
                <w:szCs w:val="20"/>
              </w:rPr>
              <w:t>and</w:t>
            </w:r>
            <w:r w:rsidR="00BA316F" w:rsidRPr="00885923">
              <w:rPr>
                <w:rFonts w:cstheme="minorHAnsi"/>
                <w:iCs/>
                <w:color w:val="auto"/>
                <w:sz w:val="20"/>
                <w:szCs w:val="20"/>
              </w:rPr>
              <w:t xml:space="preserve"> the </w:t>
            </w:r>
            <w:r w:rsidR="005F55B8" w:rsidRPr="00885923">
              <w:rPr>
                <w:rFonts w:cstheme="minorHAnsi"/>
                <w:iCs/>
                <w:color w:val="auto"/>
                <w:sz w:val="20"/>
                <w:szCs w:val="20"/>
              </w:rPr>
              <w:t xml:space="preserve">Timor-Leste </w:t>
            </w:r>
            <w:r w:rsidR="00BA316F" w:rsidRPr="00885923">
              <w:rPr>
                <w:rFonts w:cstheme="minorHAnsi"/>
                <w:iCs/>
                <w:color w:val="auto"/>
                <w:sz w:val="20"/>
                <w:szCs w:val="20"/>
              </w:rPr>
              <w:t>Ministry of Finance</w:t>
            </w:r>
            <w:r w:rsidR="00FD6BE6">
              <w:rPr>
                <w:rFonts w:cstheme="minorHAnsi"/>
                <w:iCs/>
                <w:color w:val="auto"/>
                <w:sz w:val="20"/>
                <w:szCs w:val="20"/>
              </w:rPr>
              <w:t xml:space="preserve"> host</w:t>
            </w:r>
            <w:r w:rsidR="00631C30">
              <w:rPr>
                <w:rFonts w:cstheme="minorHAnsi"/>
                <w:iCs/>
                <w:color w:val="auto"/>
                <w:sz w:val="20"/>
                <w:szCs w:val="20"/>
              </w:rPr>
              <w:t>ed</w:t>
            </w:r>
            <w:r w:rsidR="00275090" w:rsidRPr="00885923">
              <w:rPr>
                <w:rFonts w:cstheme="minorHAnsi"/>
                <w:iCs/>
                <w:color w:val="auto"/>
                <w:sz w:val="20"/>
                <w:szCs w:val="20"/>
              </w:rPr>
              <w:t xml:space="preserve"> </w:t>
            </w:r>
            <w:r w:rsidR="006B532A" w:rsidRPr="00885923">
              <w:rPr>
                <w:rFonts w:cstheme="minorHAnsi"/>
                <w:iCs/>
                <w:color w:val="auto"/>
                <w:sz w:val="20"/>
                <w:szCs w:val="20"/>
              </w:rPr>
              <w:t>a</w:t>
            </w:r>
            <w:r w:rsidR="00A76382" w:rsidRPr="00885923">
              <w:rPr>
                <w:rFonts w:cstheme="minorHAnsi"/>
                <w:iCs/>
                <w:color w:val="auto"/>
                <w:sz w:val="20"/>
                <w:szCs w:val="20"/>
              </w:rPr>
              <w:t>n annual</w:t>
            </w:r>
            <w:r w:rsidR="006B532A" w:rsidRPr="00885923">
              <w:rPr>
                <w:rFonts w:cstheme="minorHAnsi"/>
                <w:iCs/>
                <w:color w:val="auto"/>
                <w:sz w:val="20"/>
                <w:szCs w:val="20"/>
              </w:rPr>
              <w:t xml:space="preserve"> </w:t>
            </w:r>
            <w:r w:rsidR="00850048" w:rsidRPr="00885923">
              <w:rPr>
                <w:rFonts w:cstheme="minorHAnsi"/>
                <w:iCs/>
                <w:color w:val="auto"/>
                <w:sz w:val="20"/>
                <w:szCs w:val="20"/>
              </w:rPr>
              <w:t>Development Dialogue</w:t>
            </w:r>
            <w:r w:rsidR="00BA316F" w:rsidRPr="00885923">
              <w:rPr>
                <w:rFonts w:cstheme="minorHAnsi"/>
                <w:iCs/>
                <w:color w:val="auto"/>
                <w:sz w:val="20"/>
                <w:szCs w:val="20"/>
              </w:rPr>
              <w:t xml:space="preserve"> to </w:t>
            </w:r>
            <w:r w:rsidR="00CA4FE2" w:rsidRPr="00885923">
              <w:rPr>
                <w:rFonts w:cstheme="minorHAnsi"/>
                <w:iCs/>
                <w:color w:val="auto"/>
                <w:sz w:val="20"/>
                <w:szCs w:val="20"/>
              </w:rPr>
              <w:t xml:space="preserve">jointly </w:t>
            </w:r>
            <w:r w:rsidR="00B15A8D" w:rsidRPr="00885923">
              <w:rPr>
                <w:rFonts w:cstheme="minorHAnsi"/>
                <w:iCs/>
                <w:color w:val="auto"/>
                <w:sz w:val="20"/>
                <w:szCs w:val="20"/>
              </w:rPr>
              <w:t>reflect on progress and agree priorities</w:t>
            </w:r>
            <w:r w:rsidR="00CE0C69" w:rsidRPr="00885923">
              <w:rPr>
                <w:rFonts w:cstheme="minorHAnsi"/>
                <w:iCs/>
                <w:color w:val="auto"/>
                <w:sz w:val="20"/>
                <w:szCs w:val="20"/>
              </w:rPr>
              <w:t xml:space="preserve">. </w:t>
            </w:r>
            <w:r w:rsidR="00A76382" w:rsidRPr="00885923">
              <w:rPr>
                <w:rFonts w:cstheme="minorHAnsi"/>
                <w:iCs/>
                <w:color w:val="auto"/>
                <w:sz w:val="20"/>
                <w:szCs w:val="20"/>
              </w:rPr>
              <w:t>Due to COVID-19</w:t>
            </w:r>
            <w:r w:rsidR="001F007A" w:rsidRPr="00885923">
              <w:rPr>
                <w:rFonts w:cstheme="minorHAnsi"/>
                <w:iCs/>
                <w:color w:val="auto"/>
                <w:sz w:val="20"/>
                <w:szCs w:val="20"/>
              </w:rPr>
              <w:t xml:space="preserve"> restrictions </w:t>
            </w:r>
            <w:r w:rsidR="00384C42" w:rsidRPr="00885923">
              <w:rPr>
                <w:rFonts w:cstheme="minorHAnsi"/>
                <w:iCs/>
                <w:color w:val="auto"/>
                <w:sz w:val="20"/>
                <w:szCs w:val="20"/>
              </w:rPr>
              <w:t>there was no dialogue in 2021</w:t>
            </w:r>
            <w:r w:rsidR="00FD6BE6">
              <w:rPr>
                <w:rFonts w:cstheme="minorHAnsi"/>
                <w:iCs/>
                <w:color w:val="auto"/>
                <w:sz w:val="20"/>
                <w:szCs w:val="20"/>
              </w:rPr>
              <w:t>,</w:t>
            </w:r>
            <w:r w:rsidR="00F15F19" w:rsidRPr="00885923">
              <w:rPr>
                <w:rFonts w:cstheme="minorHAnsi"/>
                <w:iCs/>
                <w:color w:val="auto"/>
                <w:sz w:val="20"/>
                <w:szCs w:val="20"/>
              </w:rPr>
              <w:t xml:space="preserve"> however </w:t>
            </w:r>
            <w:r w:rsidR="00865FCE">
              <w:rPr>
                <w:rFonts w:cstheme="minorHAnsi"/>
                <w:iCs/>
                <w:color w:val="auto"/>
                <w:sz w:val="20"/>
                <w:szCs w:val="20"/>
              </w:rPr>
              <w:t xml:space="preserve">annual </w:t>
            </w:r>
            <w:r w:rsidR="009F6823" w:rsidRPr="00885923">
              <w:rPr>
                <w:rFonts w:cstheme="minorHAnsi"/>
                <w:iCs/>
                <w:color w:val="auto"/>
                <w:sz w:val="20"/>
                <w:szCs w:val="20"/>
              </w:rPr>
              <w:t xml:space="preserve">meetings </w:t>
            </w:r>
            <w:r w:rsidR="00865FCE">
              <w:rPr>
                <w:rFonts w:cstheme="minorHAnsi"/>
                <w:iCs/>
                <w:color w:val="auto"/>
                <w:sz w:val="20"/>
                <w:szCs w:val="20"/>
              </w:rPr>
              <w:t xml:space="preserve">will now be re-established. </w:t>
            </w:r>
            <w:r w:rsidR="00AB4509">
              <w:rPr>
                <w:rFonts w:cstheme="minorHAnsi"/>
                <w:iCs/>
                <w:color w:val="auto"/>
                <w:sz w:val="20"/>
                <w:szCs w:val="20"/>
              </w:rPr>
              <w:t xml:space="preserve"> </w:t>
            </w:r>
          </w:p>
        </w:tc>
        <w:tc>
          <w:tcPr>
            <w:tcW w:w="1275" w:type="dxa"/>
          </w:tcPr>
          <w:p w14:paraId="241FB28B" w14:textId="07691013" w:rsidR="000F3962" w:rsidRPr="00885923" w:rsidRDefault="007A5BA5" w:rsidP="00421E49">
            <w:pPr>
              <w:spacing w:line="240" w:lineRule="auto"/>
              <w:rPr>
                <w:rFonts w:cstheme="minorHAnsi"/>
                <w:iCs/>
                <w:color w:val="auto"/>
                <w:sz w:val="20"/>
                <w:szCs w:val="20"/>
              </w:rPr>
            </w:pPr>
            <w:r>
              <w:rPr>
                <w:rFonts w:cstheme="minorHAnsi"/>
                <w:iCs/>
                <w:color w:val="auto"/>
                <w:sz w:val="20"/>
                <w:szCs w:val="20"/>
              </w:rPr>
              <w:t>C</w:t>
            </w:r>
            <w:r w:rsidR="00ED3613" w:rsidRPr="00885923">
              <w:rPr>
                <w:rFonts w:cstheme="minorHAnsi"/>
                <w:iCs/>
                <w:color w:val="auto"/>
                <w:sz w:val="20"/>
                <w:szCs w:val="20"/>
              </w:rPr>
              <w:t xml:space="preserve">ommenced </w:t>
            </w:r>
            <w:r w:rsidR="00AB4509">
              <w:rPr>
                <w:rFonts w:cstheme="minorHAnsi"/>
                <w:iCs/>
                <w:color w:val="auto"/>
                <w:sz w:val="20"/>
                <w:szCs w:val="20"/>
              </w:rPr>
              <w:t>– will take place on an annual basis.</w:t>
            </w:r>
          </w:p>
        </w:tc>
      </w:tr>
      <w:tr w:rsidR="00885923" w:rsidRPr="00885923" w14:paraId="1640077C" w14:textId="77777777" w:rsidTr="008E22BF">
        <w:tc>
          <w:tcPr>
            <w:tcW w:w="5189" w:type="dxa"/>
          </w:tcPr>
          <w:p w14:paraId="6BC14CE9" w14:textId="128033C6" w:rsidR="000F3962" w:rsidRPr="00885923" w:rsidRDefault="0095244A" w:rsidP="00421E49">
            <w:pPr>
              <w:spacing w:line="240" w:lineRule="auto"/>
              <w:rPr>
                <w:rFonts w:cstheme="minorHAnsi"/>
                <w:iCs/>
                <w:color w:val="auto"/>
                <w:sz w:val="20"/>
                <w:szCs w:val="20"/>
              </w:rPr>
            </w:pPr>
            <w:r w:rsidRPr="00885923">
              <w:rPr>
                <w:rFonts w:cstheme="minorHAnsi"/>
                <w:iCs/>
                <w:color w:val="auto"/>
                <w:sz w:val="20"/>
                <w:szCs w:val="20"/>
              </w:rPr>
              <w:t>4.1: DFAT should develop a medium-term strategy regarding the constrained fiscal environment in Timor</w:t>
            </w:r>
            <w:r w:rsidR="007F0253" w:rsidRPr="00885923">
              <w:rPr>
                <w:rFonts w:cstheme="minorHAnsi"/>
                <w:iCs/>
                <w:color w:val="auto"/>
                <w:sz w:val="20"/>
                <w:szCs w:val="20"/>
              </w:rPr>
              <w:t>-</w:t>
            </w:r>
            <w:r w:rsidRPr="00885923">
              <w:rPr>
                <w:rFonts w:cstheme="minorHAnsi"/>
                <w:iCs/>
                <w:color w:val="auto"/>
                <w:sz w:val="20"/>
                <w:szCs w:val="20"/>
              </w:rPr>
              <w:t>Leste. PHD a</w:t>
            </w:r>
            <w:r w:rsidR="006A6920">
              <w:rPr>
                <w:rFonts w:cstheme="minorHAnsi"/>
                <w:iCs/>
                <w:color w:val="auto"/>
                <w:sz w:val="20"/>
                <w:szCs w:val="20"/>
              </w:rPr>
              <w:t xml:space="preserve">nd </w:t>
            </w:r>
            <w:r w:rsidRPr="00885923">
              <w:rPr>
                <w:rFonts w:cstheme="minorHAnsi"/>
                <w:iCs/>
                <w:color w:val="auto"/>
                <w:sz w:val="20"/>
                <w:szCs w:val="20"/>
              </w:rPr>
              <w:t>other investments should then orient their work to align with this strategy, to ensure they are best positioned to support essential GoTL systems and services.</w:t>
            </w:r>
          </w:p>
        </w:tc>
        <w:tc>
          <w:tcPr>
            <w:tcW w:w="988" w:type="dxa"/>
            <w:shd w:val="clear" w:color="auto" w:fill="92D050"/>
          </w:tcPr>
          <w:p w14:paraId="71B0679A" w14:textId="77777777" w:rsidR="000F3962" w:rsidRPr="00885923" w:rsidRDefault="000F3962" w:rsidP="00421E49">
            <w:pPr>
              <w:spacing w:line="240" w:lineRule="auto"/>
              <w:rPr>
                <w:rFonts w:cstheme="minorHAnsi"/>
                <w:iCs/>
                <w:color w:val="auto"/>
                <w:sz w:val="20"/>
                <w:szCs w:val="20"/>
              </w:rPr>
            </w:pPr>
            <w:r w:rsidRPr="00885923">
              <w:rPr>
                <w:rFonts w:cstheme="minorHAnsi"/>
                <w:iCs/>
                <w:color w:val="auto"/>
                <w:sz w:val="20"/>
                <w:szCs w:val="20"/>
              </w:rPr>
              <w:t>Agree</w:t>
            </w:r>
          </w:p>
        </w:tc>
        <w:tc>
          <w:tcPr>
            <w:tcW w:w="5731" w:type="dxa"/>
          </w:tcPr>
          <w:p w14:paraId="17837183" w14:textId="46AF37A7" w:rsidR="000F3962" w:rsidRPr="00885923" w:rsidRDefault="00802260" w:rsidP="00421E49">
            <w:pPr>
              <w:spacing w:line="240" w:lineRule="auto"/>
              <w:rPr>
                <w:rFonts w:cstheme="minorHAnsi"/>
                <w:iCs/>
                <w:color w:val="auto"/>
                <w:sz w:val="20"/>
                <w:szCs w:val="20"/>
              </w:rPr>
            </w:pPr>
            <w:r w:rsidRPr="00885923">
              <w:rPr>
                <w:rFonts w:cstheme="minorHAnsi"/>
                <w:iCs/>
                <w:color w:val="auto"/>
                <w:sz w:val="20"/>
                <w:szCs w:val="20"/>
              </w:rPr>
              <w:t xml:space="preserve">DFAT established </w:t>
            </w:r>
            <w:r w:rsidR="00B12E36" w:rsidRPr="00885923">
              <w:rPr>
                <w:rFonts w:cstheme="minorHAnsi"/>
                <w:iCs/>
                <w:color w:val="auto"/>
                <w:sz w:val="20"/>
                <w:szCs w:val="20"/>
              </w:rPr>
              <w:t>a</w:t>
            </w:r>
            <w:r w:rsidRPr="00885923">
              <w:rPr>
                <w:rFonts w:cstheme="minorHAnsi"/>
                <w:iCs/>
                <w:color w:val="auto"/>
                <w:sz w:val="20"/>
                <w:szCs w:val="20"/>
              </w:rPr>
              <w:t xml:space="preserve"> Development</w:t>
            </w:r>
            <w:r w:rsidR="007D0D90" w:rsidRPr="00885923">
              <w:rPr>
                <w:rFonts w:cstheme="minorHAnsi"/>
                <w:iCs/>
                <w:color w:val="auto"/>
                <w:sz w:val="20"/>
                <w:szCs w:val="20"/>
              </w:rPr>
              <w:t xml:space="preserve"> Strategy Assessment Team</w:t>
            </w:r>
            <w:r w:rsidR="0038412A" w:rsidRPr="00885923">
              <w:rPr>
                <w:rFonts w:cstheme="minorHAnsi"/>
                <w:iCs/>
                <w:color w:val="auto"/>
                <w:sz w:val="20"/>
                <w:szCs w:val="20"/>
              </w:rPr>
              <w:t xml:space="preserve"> (DSAT) to provide critical analysis and recommendations on</w:t>
            </w:r>
            <w:r w:rsidR="00EA4928" w:rsidRPr="00885923">
              <w:rPr>
                <w:rFonts w:cstheme="minorHAnsi"/>
                <w:iCs/>
                <w:color w:val="auto"/>
                <w:sz w:val="20"/>
                <w:szCs w:val="20"/>
              </w:rPr>
              <w:t xml:space="preserve"> our</w:t>
            </w:r>
            <w:r w:rsidR="0038412A" w:rsidRPr="00885923">
              <w:rPr>
                <w:rFonts w:cstheme="minorHAnsi"/>
                <w:iCs/>
                <w:color w:val="auto"/>
                <w:sz w:val="20"/>
                <w:szCs w:val="20"/>
              </w:rPr>
              <w:t xml:space="preserve"> development program in Timor-Leste.</w:t>
            </w:r>
            <w:r w:rsidR="001005CC" w:rsidRPr="00885923">
              <w:rPr>
                <w:rFonts w:cstheme="minorHAnsi"/>
                <w:iCs/>
                <w:color w:val="auto"/>
                <w:sz w:val="20"/>
                <w:szCs w:val="20"/>
              </w:rPr>
              <w:t xml:space="preserve"> </w:t>
            </w:r>
            <w:r w:rsidR="00350696" w:rsidRPr="00885923">
              <w:rPr>
                <w:rFonts w:cstheme="minorHAnsi"/>
                <w:iCs/>
                <w:color w:val="auto"/>
                <w:sz w:val="20"/>
                <w:szCs w:val="20"/>
              </w:rPr>
              <w:t>DFAT</w:t>
            </w:r>
            <w:r w:rsidR="00AC50B3">
              <w:rPr>
                <w:rFonts w:cstheme="minorHAnsi"/>
                <w:iCs/>
                <w:color w:val="auto"/>
                <w:sz w:val="20"/>
                <w:szCs w:val="20"/>
              </w:rPr>
              <w:t xml:space="preserve"> (in Timor</w:t>
            </w:r>
            <w:r w:rsidR="00EE41FE">
              <w:rPr>
                <w:rFonts w:cstheme="minorHAnsi"/>
                <w:iCs/>
                <w:color w:val="auto"/>
                <w:sz w:val="20"/>
                <w:szCs w:val="20"/>
              </w:rPr>
              <w:t>-</w:t>
            </w:r>
            <w:r w:rsidR="00AC50B3">
              <w:rPr>
                <w:rFonts w:cstheme="minorHAnsi"/>
                <w:iCs/>
                <w:color w:val="auto"/>
                <w:sz w:val="20"/>
                <w:szCs w:val="20"/>
              </w:rPr>
              <w:t>Leste)</w:t>
            </w:r>
            <w:r w:rsidR="00376A4A">
              <w:rPr>
                <w:rFonts w:cstheme="minorHAnsi"/>
                <w:iCs/>
                <w:color w:val="auto"/>
                <w:sz w:val="20"/>
                <w:szCs w:val="20"/>
              </w:rPr>
              <w:t xml:space="preserve"> </w:t>
            </w:r>
            <w:r w:rsidR="00350696" w:rsidRPr="00885923">
              <w:rPr>
                <w:rFonts w:cstheme="minorHAnsi"/>
                <w:iCs/>
                <w:color w:val="auto"/>
                <w:sz w:val="20"/>
                <w:szCs w:val="20"/>
              </w:rPr>
              <w:t xml:space="preserve">has commenced </w:t>
            </w:r>
            <w:r w:rsidR="00376A4A">
              <w:rPr>
                <w:rFonts w:cstheme="minorHAnsi"/>
                <w:iCs/>
                <w:color w:val="auto"/>
                <w:sz w:val="20"/>
                <w:szCs w:val="20"/>
              </w:rPr>
              <w:t xml:space="preserve">development of a medium-term strategy </w:t>
            </w:r>
            <w:r w:rsidR="00416707">
              <w:rPr>
                <w:rFonts w:cstheme="minorHAnsi"/>
                <w:iCs/>
                <w:color w:val="auto"/>
                <w:sz w:val="20"/>
                <w:szCs w:val="20"/>
              </w:rPr>
              <w:t xml:space="preserve">regarding Timor-Leste’s fiscal environment </w:t>
            </w:r>
            <w:r w:rsidR="00AC50B3">
              <w:rPr>
                <w:rFonts w:cstheme="minorHAnsi"/>
                <w:iCs/>
                <w:color w:val="auto"/>
                <w:sz w:val="20"/>
                <w:szCs w:val="20"/>
              </w:rPr>
              <w:t>This will be informed by the DSAT analysis</w:t>
            </w:r>
            <w:r w:rsidR="00E216D8" w:rsidRPr="00885923">
              <w:rPr>
                <w:rFonts w:cstheme="minorHAnsi"/>
                <w:iCs/>
                <w:color w:val="auto"/>
                <w:sz w:val="20"/>
                <w:szCs w:val="20"/>
              </w:rPr>
              <w:t xml:space="preserve">. </w:t>
            </w:r>
            <w:r w:rsidR="00AB4509">
              <w:rPr>
                <w:rFonts w:cstheme="minorHAnsi"/>
                <w:iCs/>
                <w:color w:val="auto"/>
                <w:sz w:val="20"/>
                <w:szCs w:val="20"/>
              </w:rPr>
              <w:t xml:space="preserve">DFAT and PHD </w:t>
            </w:r>
            <w:r w:rsidR="006A6920">
              <w:rPr>
                <w:rFonts w:cstheme="minorHAnsi"/>
                <w:iCs/>
                <w:color w:val="auto"/>
                <w:sz w:val="20"/>
                <w:szCs w:val="20"/>
              </w:rPr>
              <w:t>will</w:t>
            </w:r>
            <w:r w:rsidR="00AB4509">
              <w:rPr>
                <w:rFonts w:cstheme="minorHAnsi"/>
                <w:iCs/>
                <w:color w:val="auto"/>
                <w:sz w:val="20"/>
                <w:szCs w:val="20"/>
              </w:rPr>
              <w:t xml:space="preserve"> </w:t>
            </w:r>
            <w:r w:rsidR="00AC50B3">
              <w:rPr>
                <w:rFonts w:cstheme="minorHAnsi"/>
                <w:iCs/>
                <w:color w:val="auto"/>
                <w:sz w:val="20"/>
                <w:szCs w:val="20"/>
              </w:rPr>
              <w:t xml:space="preserve">then </w:t>
            </w:r>
            <w:r w:rsidR="00AB4509">
              <w:rPr>
                <w:rFonts w:cstheme="minorHAnsi"/>
                <w:iCs/>
                <w:color w:val="auto"/>
                <w:sz w:val="20"/>
                <w:szCs w:val="20"/>
              </w:rPr>
              <w:t xml:space="preserve">work together </w:t>
            </w:r>
            <w:r w:rsidR="006A6920">
              <w:rPr>
                <w:rFonts w:cstheme="minorHAnsi"/>
                <w:iCs/>
                <w:color w:val="auto"/>
                <w:sz w:val="20"/>
                <w:szCs w:val="20"/>
              </w:rPr>
              <w:t xml:space="preserve">align PHD’s work </w:t>
            </w:r>
            <w:r w:rsidR="00CB4289">
              <w:rPr>
                <w:rFonts w:cstheme="minorHAnsi"/>
                <w:iCs/>
                <w:color w:val="auto"/>
                <w:sz w:val="20"/>
                <w:szCs w:val="20"/>
              </w:rPr>
              <w:t xml:space="preserve">in line with </w:t>
            </w:r>
            <w:r w:rsidR="006A6920">
              <w:rPr>
                <w:rFonts w:cstheme="minorHAnsi"/>
                <w:iCs/>
                <w:color w:val="auto"/>
                <w:sz w:val="20"/>
                <w:szCs w:val="20"/>
              </w:rPr>
              <w:t xml:space="preserve">this </w:t>
            </w:r>
            <w:r w:rsidR="00AC50B3">
              <w:rPr>
                <w:rFonts w:cstheme="minorHAnsi"/>
                <w:iCs/>
                <w:color w:val="auto"/>
                <w:sz w:val="20"/>
                <w:szCs w:val="20"/>
              </w:rPr>
              <w:t>Strategy</w:t>
            </w:r>
            <w:r w:rsidR="006A6920">
              <w:rPr>
                <w:rFonts w:cstheme="minorHAnsi"/>
                <w:iCs/>
                <w:color w:val="auto"/>
                <w:sz w:val="20"/>
                <w:szCs w:val="20"/>
              </w:rPr>
              <w:t xml:space="preserve">, re-orientating as required. </w:t>
            </w:r>
          </w:p>
        </w:tc>
        <w:tc>
          <w:tcPr>
            <w:tcW w:w="1275" w:type="dxa"/>
          </w:tcPr>
          <w:p w14:paraId="28A67E17" w14:textId="06F89031" w:rsidR="000F3962" w:rsidRPr="00885923" w:rsidRDefault="00AC50B3" w:rsidP="00421E49">
            <w:pPr>
              <w:spacing w:line="240" w:lineRule="auto"/>
              <w:rPr>
                <w:rFonts w:cstheme="minorHAnsi"/>
                <w:iCs/>
                <w:color w:val="auto"/>
                <w:sz w:val="20"/>
                <w:szCs w:val="20"/>
              </w:rPr>
            </w:pPr>
            <w:r w:rsidRPr="00885923">
              <w:rPr>
                <w:rFonts w:cstheme="minorHAnsi"/>
                <w:iCs/>
                <w:color w:val="auto"/>
                <w:sz w:val="20"/>
                <w:szCs w:val="20"/>
              </w:rPr>
              <w:t xml:space="preserve">Already commenced </w:t>
            </w:r>
            <w:r>
              <w:rPr>
                <w:rFonts w:cstheme="minorHAnsi"/>
                <w:iCs/>
                <w:color w:val="auto"/>
                <w:sz w:val="20"/>
                <w:szCs w:val="20"/>
              </w:rPr>
              <w:t>–</w:t>
            </w:r>
            <w:r w:rsidR="00416707">
              <w:rPr>
                <w:rFonts w:cstheme="minorHAnsi"/>
                <w:iCs/>
                <w:color w:val="auto"/>
                <w:sz w:val="20"/>
                <w:szCs w:val="20"/>
              </w:rPr>
              <w:t xml:space="preserve"> initial work expected in the first half of 2023.</w:t>
            </w:r>
            <w:r>
              <w:rPr>
                <w:rFonts w:cstheme="minorHAnsi"/>
                <w:iCs/>
                <w:color w:val="auto"/>
                <w:sz w:val="20"/>
                <w:szCs w:val="20"/>
              </w:rPr>
              <w:t xml:space="preserve"> </w:t>
            </w:r>
          </w:p>
        </w:tc>
      </w:tr>
    </w:tbl>
    <w:p w14:paraId="16E2173A" w14:textId="0D7659BD" w:rsidR="000F3962" w:rsidRPr="00885923" w:rsidRDefault="000373EC" w:rsidP="000F3962">
      <w:pPr>
        <w:pStyle w:val="Heading2"/>
        <w:rPr>
          <w:color w:val="auto"/>
        </w:rPr>
      </w:pPr>
      <w:r w:rsidRPr="00885923">
        <w:rPr>
          <w:color w:val="auto"/>
        </w:rPr>
        <w:lastRenderedPageBreak/>
        <w:t xml:space="preserve">Managing Contractor – </w:t>
      </w:r>
      <w:proofErr w:type="spellStart"/>
      <w:r w:rsidRPr="00885923">
        <w:rPr>
          <w:color w:val="auto"/>
        </w:rPr>
        <w:t>Abt</w:t>
      </w:r>
      <w:proofErr w:type="spellEnd"/>
      <w:r w:rsidRPr="00885923">
        <w:rPr>
          <w:color w:val="auto"/>
        </w:rPr>
        <w:t xml:space="preserve"> Associates</w:t>
      </w:r>
    </w:p>
    <w:tbl>
      <w:tblPr>
        <w:tblStyle w:val="TableGrid"/>
        <w:tblW w:w="13183" w:type="dxa"/>
        <w:tblInd w:w="-147" w:type="dxa"/>
        <w:tblLook w:val="04A0" w:firstRow="1" w:lastRow="0" w:firstColumn="1" w:lastColumn="0" w:noHBand="0" w:noVBand="1"/>
      </w:tblPr>
      <w:tblGrid>
        <w:gridCol w:w="5218"/>
        <w:gridCol w:w="992"/>
        <w:gridCol w:w="5639"/>
        <w:gridCol w:w="1334"/>
      </w:tblGrid>
      <w:tr w:rsidR="00F33569" w:rsidRPr="00885923" w14:paraId="528E0F0B" w14:textId="77777777" w:rsidTr="00F33569">
        <w:trPr>
          <w:tblHeader/>
        </w:trPr>
        <w:tc>
          <w:tcPr>
            <w:tcW w:w="5218" w:type="dxa"/>
          </w:tcPr>
          <w:p w14:paraId="1AF5D9BC" w14:textId="6CA47952" w:rsidR="00F33569" w:rsidRPr="00885923" w:rsidRDefault="00F33569" w:rsidP="00F33569">
            <w:pPr>
              <w:spacing w:line="240" w:lineRule="auto"/>
              <w:rPr>
                <w:rFonts w:cstheme="minorHAnsi"/>
                <w:iCs/>
                <w:color w:val="auto"/>
                <w:sz w:val="20"/>
                <w:szCs w:val="20"/>
              </w:rPr>
            </w:pPr>
            <w:r w:rsidRPr="00CA7BEF">
              <w:rPr>
                <w:rFonts w:cstheme="minorHAnsi"/>
                <w:b/>
                <w:bCs/>
                <w:iCs/>
                <w:color w:val="auto"/>
                <w:sz w:val="20"/>
                <w:szCs w:val="20"/>
              </w:rPr>
              <w:t>Recommendation</w:t>
            </w:r>
          </w:p>
        </w:tc>
        <w:tc>
          <w:tcPr>
            <w:tcW w:w="992" w:type="dxa"/>
            <w:shd w:val="clear" w:color="auto" w:fill="auto"/>
          </w:tcPr>
          <w:p w14:paraId="64AEBEF6" w14:textId="7CCF33E6" w:rsidR="00F33569" w:rsidRPr="00885923" w:rsidRDefault="00F33569" w:rsidP="00F33569">
            <w:pPr>
              <w:spacing w:line="240" w:lineRule="auto"/>
              <w:rPr>
                <w:rFonts w:cstheme="minorHAnsi"/>
                <w:iCs/>
                <w:color w:val="auto"/>
                <w:sz w:val="20"/>
                <w:szCs w:val="20"/>
              </w:rPr>
            </w:pPr>
            <w:r w:rsidRPr="00CA7BEF">
              <w:rPr>
                <w:rFonts w:cstheme="minorHAnsi"/>
                <w:b/>
                <w:bCs/>
                <w:iCs/>
                <w:color w:val="auto"/>
                <w:sz w:val="20"/>
                <w:szCs w:val="20"/>
              </w:rPr>
              <w:t>Response</w:t>
            </w:r>
          </w:p>
        </w:tc>
        <w:tc>
          <w:tcPr>
            <w:tcW w:w="5639" w:type="dxa"/>
          </w:tcPr>
          <w:p w14:paraId="1EE0D004" w14:textId="3406FB29" w:rsidR="00F33569" w:rsidRPr="00885923" w:rsidRDefault="00F33569" w:rsidP="00F33569">
            <w:pPr>
              <w:spacing w:line="240" w:lineRule="auto"/>
              <w:rPr>
                <w:rFonts w:cstheme="minorHAnsi"/>
                <w:iCs/>
                <w:color w:val="auto"/>
                <w:sz w:val="20"/>
                <w:szCs w:val="20"/>
              </w:rPr>
            </w:pPr>
            <w:r w:rsidRPr="00CA7BEF">
              <w:rPr>
                <w:rFonts w:cstheme="minorHAnsi"/>
                <w:b/>
                <w:bCs/>
                <w:iCs/>
                <w:color w:val="auto"/>
                <w:sz w:val="20"/>
                <w:szCs w:val="20"/>
              </w:rPr>
              <w:t>Action plan</w:t>
            </w:r>
          </w:p>
        </w:tc>
        <w:tc>
          <w:tcPr>
            <w:tcW w:w="1334" w:type="dxa"/>
          </w:tcPr>
          <w:p w14:paraId="3198EB77" w14:textId="0ADE306F" w:rsidR="00F33569" w:rsidRDefault="00F33569" w:rsidP="00F33569">
            <w:pPr>
              <w:spacing w:line="240" w:lineRule="auto"/>
              <w:rPr>
                <w:rFonts w:cstheme="minorHAnsi"/>
                <w:iCs/>
                <w:color w:val="auto"/>
                <w:sz w:val="20"/>
                <w:szCs w:val="20"/>
              </w:rPr>
            </w:pPr>
            <w:r w:rsidRPr="00CA7BEF">
              <w:rPr>
                <w:rFonts w:cstheme="minorHAnsi"/>
                <w:b/>
                <w:bCs/>
                <w:iCs/>
                <w:color w:val="auto"/>
                <w:sz w:val="20"/>
                <w:szCs w:val="20"/>
              </w:rPr>
              <w:t>Timeframe</w:t>
            </w:r>
          </w:p>
        </w:tc>
      </w:tr>
      <w:tr w:rsidR="00F33569" w:rsidRPr="00885923" w14:paraId="21A7A22F" w14:textId="77777777" w:rsidTr="00F33569">
        <w:tc>
          <w:tcPr>
            <w:tcW w:w="5218" w:type="dxa"/>
          </w:tcPr>
          <w:p w14:paraId="23100466" w14:textId="113B4CA9" w:rsidR="00F33569" w:rsidRPr="00885923" w:rsidRDefault="00F33569" w:rsidP="00F33569">
            <w:pPr>
              <w:spacing w:line="240" w:lineRule="auto"/>
              <w:rPr>
                <w:rFonts w:cstheme="minorHAnsi"/>
                <w:iCs/>
                <w:color w:val="auto"/>
                <w:sz w:val="20"/>
                <w:szCs w:val="20"/>
              </w:rPr>
            </w:pPr>
            <w:r w:rsidRPr="00885923">
              <w:rPr>
                <w:rFonts w:cstheme="minorHAnsi"/>
                <w:iCs/>
                <w:color w:val="auto"/>
                <w:sz w:val="20"/>
                <w:szCs w:val="20"/>
              </w:rPr>
              <w:t xml:space="preserve">1.2: </w:t>
            </w:r>
            <w:proofErr w:type="spellStart"/>
            <w:r w:rsidRPr="00885923">
              <w:rPr>
                <w:rFonts w:cstheme="minorHAnsi"/>
                <w:iCs/>
                <w:color w:val="auto"/>
                <w:sz w:val="20"/>
                <w:szCs w:val="20"/>
              </w:rPr>
              <w:t>Abt</w:t>
            </w:r>
            <w:proofErr w:type="spellEnd"/>
            <w:r w:rsidRPr="00885923">
              <w:rPr>
                <w:rFonts w:cstheme="minorHAnsi"/>
                <w:iCs/>
                <w:color w:val="auto"/>
                <w:sz w:val="20"/>
                <w:szCs w:val="20"/>
              </w:rPr>
              <w:t xml:space="preserve"> and PHD should increase strategic and management resources in the PHD Executive.</w:t>
            </w:r>
          </w:p>
        </w:tc>
        <w:tc>
          <w:tcPr>
            <w:tcW w:w="992" w:type="dxa"/>
            <w:shd w:val="clear" w:color="auto" w:fill="92D050"/>
          </w:tcPr>
          <w:p w14:paraId="388589A2" w14:textId="77777777" w:rsidR="00F33569" w:rsidRPr="00885923" w:rsidRDefault="00F33569" w:rsidP="00F33569">
            <w:pPr>
              <w:spacing w:line="240" w:lineRule="auto"/>
              <w:rPr>
                <w:rFonts w:cstheme="minorHAnsi"/>
                <w:iCs/>
                <w:color w:val="auto"/>
                <w:sz w:val="20"/>
                <w:szCs w:val="20"/>
              </w:rPr>
            </w:pPr>
            <w:r w:rsidRPr="00885923">
              <w:rPr>
                <w:rFonts w:cstheme="minorHAnsi"/>
                <w:iCs/>
                <w:color w:val="auto"/>
                <w:sz w:val="20"/>
                <w:szCs w:val="20"/>
              </w:rPr>
              <w:t>Agree</w:t>
            </w:r>
          </w:p>
        </w:tc>
        <w:tc>
          <w:tcPr>
            <w:tcW w:w="5639" w:type="dxa"/>
          </w:tcPr>
          <w:p w14:paraId="75FDD7C0" w14:textId="20CF30EC" w:rsidR="00F33569" w:rsidRPr="00885923" w:rsidRDefault="00F33569" w:rsidP="00F33569">
            <w:pPr>
              <w:spacing w:line="240" w:lineRule="auto"/>
              <w:rPr>
                <w:rFonts w:cstheme="minorHAnsi"/>
                <w:iCs/>
                <w:color w:val="auto"/>
                <w:sz w:val="20"/>
                <w:szCs w:val="20"/>
              </w:rPr>
            </w:pPr>
            <w:r w:rsidRPr="00885923">
              <w:rPr>
                <w:rFonts w:cstheme="minorHAnsi"/>
                <w:iCs/>
                <w:color w:val="auto"/>
                <w:sz w:val="20"/>
                <w:szCs w:val="20"/>
              </w:rPr>
              <w:t>DFAT requested a PHD workforce analysis which look</w:t>
            </w:r>
            <w:r>
              <w:rPr>
                <w:rFonts w:cstheme="minorHAnsi"/>
                <w:iCs/>
                <w:color w:val="auto"/>
                <w:sz w:val="20"/>
                <w:szCs w:val="20"/>
              </w:rPr>
              <w:t>ed</w:t>
            </w:r>
            <w:r w:rsidRPr="00885923">
              <w:rPr>
                <w:rFonts w:cstheme="minorHAnsi"/>
                <w:iCs/>
                <w:color w:val="auto"/>
                <w:sz w:val="20"/>
                <w:szCs w:val="20"/>
              </w:rPr>
              <w:t xml:space="preserve"> at capacity within the executive team. </w:t>
            </w:r>
            <w:r>
              <w:rPr>
                <w:rFonts w:cstheme="minorHAnsi"/>
                <w:iCs/>
                <w:color w:val="auto"/>
                <w:sz w:val="20"/>
                <w:szCs w:val="20"/>
              </w:rPr>
              <w:t xml:space="preserve">Based on this, </w:t>
            </w:r>
            <w:r w:rsidRPr="00885923">
              <w:rPr>
                <w:rFonts w:cstheme="minorHAnsi"/>
                <w:iCs/>
                <w:color w:val="auto"/>
                <w:sz w:val="20"/>
                <w:szCs w:val="20"/>
              </w:rPr>
              <w:t>DFAT approved the recruitment of a senior Governance and Service Delivery specialist</w:t>
            </w:r>
            <w:r>
              <w:rPr>
                <w:rFonts w:cstheme="minorHAnsi"/>
                <w:iCs/>
                <w:color w:val="auto"/>
                <w:sz w:val="20"/>
                <w:szCs w:val="20"/>
              </w:rPr>
              <w:t xml:space="preserve"> and a senior GEDSI advisor.</w:t>
            </w:r>
          </w:p>
        </w:tc>
        <w:tc>
          <w:tcPr>
            <w:tcW w:w="1334" w:type="dxa"/>
          </w:tcPr>
          <w:p w14:paraId="264AE107" w14:textId="56580604" w:rsidR="00F33569" w:rsidRPr="00885923" w:rsidRDefault="00F33569" w:rsidP="00F33569">
            <w:pPr>
              <w:spacing w:line="240" w:lineRule="auto"/>
              <w:rPr>
                <w:rFonts w:cstheme="minorHAnsi"/>
                <w:iCs/>
                <w:color w:val="auto"/>
                <w:sz w:val="20"/>
                <w:szCs w:val="20"/>
              </w:rPr>
            </w:pPr>
            <w:r>
              <w:rPr>
                <w:rFonts w:cstheme="minorHAnsi"/>
                <w:iCs/>
                <w:color w:val="auto"/>
                <w:sz w:val="20"/>
                <w:szCs w:val="20"/>
              </w:rPr>
              <w:t>C</w:t>
            </w:r>
            <w:r w:rsidRPr="00885923">
              <w:rPr>
                <w:rFonts w:cstheme="minorHAnsi"/>
                <w:iCs/>
                <w:color w:val="auto"/>
                <w:sz w:val="20"/>
                <w:szCs w:val="20"/>
              </w:rPr>
              <w:t>ommenced</w:t>
            </w:r>
            <w:r>
              <w:rPr>
                <w:rFonts w:cstheme="minorHAnsi"/>
                <w:iCs/>
                <w:color w:val="auto"/>
                <w:sz w:val="20"/>
                <w:szCs w:val="20"/>
              </w:rPr>
              <w:t xml:space="preserve">, to be in place by January 2023. </w:t>
            </w:r>
          </w:p>
        </w:tc>
      </w:tr>
      <w:tr w:rsidR="00F33569" w:rsidRPr="00885923" w14:paraId="464282F2" w14:textId="77777777" w:rsidTr="00F33569">
        <w:tc>
          <w:tcPr>
            <w:tcW w:w="5218" w:type="dxa"/>
          </w:tcPr>
          <w:p w14:paraId="6F5206EA" w14:textId="5C6B7FC6" w:rsidR="00F33569" w:rsidRPr="00885923" w:rsidRDefault="00F33569" w:rsidP="00F33569">
            <w:pPr>
              <w:spacing w:line="240" w:lineRule="auto"/>
              <w:rPr>
                <w:rFonts w:cstheme="minorHAnsi"/>
                <w:iCs/>
                <w:color w:val="auto"/>
                <w:sz w:val="20"/>
                <w:szCs w:val="20"/>
              </w:rPr>
            </w:pPr>
            <w:r w:rsidRPr="00885923">
              <w:rPr>
                <w:rFonts w:cstheme="minorHAnsi"/>
                <w:iCs/>
                <w:color w:val="auto"/>
                <w:sz w:val="20"/>
                <w:szCs w:val="20"/>
              </w:rPr>
              <w:t>3.1: PHD should finalise the PHD MEL Framework and workplan, including at the Sector level.</w:t>
            </w:r>
          </w:p>
        </w:tc>
        <w:tc>
          <w:tcPr>
            <w:tcW w:w="992" w:type="dxa"/>
            <w:shd w:val="clear" w:color="auto" w:fill="92D050"/>
          </w:tcPr>
          <w:p w14:paraId="38E039D1" w14:textId="3D78C161" w:rsidR="00F33569" w:rsidRPr="00885923" w:rsidRDefault="00F33569" w:rsidP="00F33569">
            <w:pPr>
              <w:spacing w:line="240" w:lineRule="auto"/>
              <w:rPr>
                <w:rFonts w:cstheme="minorHAnsi"/>
                <w:iCs/>
                <w:color w:val="auto"/>
                <w:sz w:val="20"/>
                <w:szCs w:val="20"/>
              </w:rPr>
            </w:pPr>
            <w:r w:rsidRPr="00885923">
              <w:rPr>
                <w:rFonts w:cstheme="minorHAnsi"/>
                <w:iCs/>
                <w:color w:val="auto"/>
                <w:sz w:val="20"/>
                <w:szCs w:val="20"/>
              </w:rPr>
              <w:t>Agree</w:t>
            </w:r>
          </w:p>
        </w:tc>
        <w:tc>
          <w:tcPr>
            <w:tcW w:w="5639" w:type="dxa"/>
          </w:tcPr>
          <w:p w14:paraId="0D16D5AE" w14:textId="285E84EB" w:rsidR="00F33569" w:rsidRPr="00885923" w:rsidRDefault="00F33569" w:rsidP="00F33569">
            <w:pPr>
              <w:spacing w:line="240" w:lineRule="auto"/>
              <w:rPr>
                <w:rFonts w:cstheme="minorHAnsi"/>
                <w:iCs/>
                <w:color w:val="auto"/>
                <w:sz w:val="20"/>
                <w:szCs w:val="20"/>
              </w:rPr>
            </w:pPr>
            <w:r w:rsidRPr="00885923">
              <w:rPr>
                <w:rFonts w:cstheme="minorHAnsi"/>
                <w:iCs/>
                <w:color w:val="auto"/>
                <w:sz w:val="20"/>
                <w:szCs w:val="20"/>
              </w:rPr>
              <w:t>Draft MEL Frameworks for PHD as a whole and for each key areas of sector investment were submitted to DFAT in August 2022. We agree this should be completed as soon as possible.</w:t>
            </w:r>
            <w:r>
              <w:rPr>
                <w:rFonts w:cstheme="minorHAnsi"/>
                <w:iCs/>
                <w:color w:val="auto"/>
                <w:sz w:val="20"/>
                <w:szCs w:val="20"/>
              </w:rPr>
              <w:t xml:space="preserve"> </w:t>
            </w:r>
          </w:p>
        </w:tc>
        <w:tc>
          <w:tcPr>
            <w:tcW w:w="1334" w:type="dxa"/>
          </w:tcPr>
          <w:p w14:paraId="40102404" w14:textId="66EF76DB" w:rsidR="00F33569" w:rsidRPr="00885923" w:rsidRDefault="00F33569" w:rsidP="00F33569">
            <w:pPr>
              <w:spacing w:line="240" w:lineRule="auto"/>
              <w:rPr>
                <w:rFonts w:cstheme="minorHAnsi"/>
                <w:iCs/>
                <w:color w:val="auto"/>
                <w:sz w:val="20"/>
                <w:szCs w:val="20"/>
              </w:rPr>
            </w:pPr>
            <w:r>
              <w:rPr>
                <w:rFonts w:cstheme="minorHAnsi"/>
                <w:iCs/>
                <w:color w:val="auto"/>
                <w:sz w:val="20"/>
                <w:szCs w:val="20"/>
              </w:rPr>
              <w:t>C</w:t>
            </w:r>
            <w:r w:rsidRPr="00885923">
              <w:rPr>
                <w:rFonts w:cstheme="minorHAnsi"/>
                <w:iCs/>
                <w:color w:val="auto"/>
                <w:sz w:val="20"/>
                <w:szCs w:val="20"/>
              </w:rPr>
              <w:t>ommenced</w:t>
            </w:r>
            <w:r>
              <w:rPr>
                <w:rFonts w:cstheme="minorHAnsi"/>
                <w:iCs/>
                <w:color w:val="auto"/>
                <w:sz w:val="20"/>
                <w:szCs w:val="20"/>
              </w:rPr>
              <w:t xml:space="preserve"> – to be complete in February 2023.</w:t>
            </w:r>
          </w:p>
        </w:tc>
      </w:tr>
      <w:tr w:rsidR="00F33569" w:rsidRPr="00885923" w14:paraId="728FB16B" w14:textId="77777777" w:rsidTr="00F33569">
        <w:tc>
          <w:tcPr>
            <w:tcW w:w="5218" w:type="dxa"/>
          </w:tcPr>
          <w:p w14:paraId="71CA9091" w14:textId="063B9EA8" w:rsidR="00F33569" w:rsidRPr="00885923" w:rsidRDefault="00F33569" w:rsidP="00F33569">
            <w:pPr>
              <w:spacing w:line="240" w:lineRule="auto"/>
              <w:rPr>
                <w:rFonts w:cstheme="minorHAnsi"/>
                <w:iCs/>
                <w:color w:val="auto"/>
                <w:sz w:val="20"/>
                <w:szCs w:val="20"/>
              </w:rPr>
            </w:pPr>
            <w:r w:rsidRPr="00885923">
              <w:rPr>
                <w:rFonts w:cstheme="minorHAnsi"/>
                <w:iCs/>
                <w:color w:val="auto"/>
                <w:sz w:val="20"/>
                <w:szCs w:val="20"/>
              </w:rPr>
              <w:t xml:space="preserve">3.2: PHD should identify gaps in the evidence base for the end-of-program outcomes </w:t>
            </w:r>
            <w:proofErr w:type="gramStart"/>
            <w:r w:rsidRPr="00885923">
              <w:rPr>
                <w:rFonts w:cstheme="minorHAnsi"/>
                <w:iCs/>
                <w:color w:val="auto"/>
                <w:sz w:val="20"/>
                <w:szCs w:val="20"/>
              </w:rPr>
              <w:t>narrative, and</w:t>
            </w:r>
            <w:proofErr w:type="gramEnd"/>
            <w:r w:rsidRPr="00885923">
              <w:rPr>
                <w:rFonts w:cstheme="minorHAnsi"/>
                <w:iCs/>
                <w:color w:val="auto"/>
                <w:sz w:val="20"/>
                <w:szCs w:val="20"/>
              </w:rPr>
              <w:t xml:space="preserve"> develop a workplan for filling these gaps.</w:t>
            </w:r>
          </w:p>
        </w:tc>
        <w:tc>
          <w:tcPr>
            <w:tcW w:w="992" w:type="dxa"/>
            <w:shd w:val="clear" w:color="auto" w:fill="92D050"/>
          </w:tcPr>
          <w:p w14:paraId="0318F946" w14:textId="77777777" w:rsidR="00F33569" w:rsidRPr="00885923" w:rsidRDefault="00F33569" w:rsidP="00F33569">
            <w:pPr>
              <w:spacing w:line="240" w:lineRule="auto"/>
              <w:rPr>
                <w:rFonts w:cstheme="minorHAnsi"/>
                <w:iCs/>
                <w:color w:val="auto"/>
                <w:sz w:val="20"/>
                <w:szCs w:val="20"/>
              </w:rPr>
            </w:pPr>
            <w:r w:rsidRPr="00885923">
              <w:rPr>
                <w:rFonts w:cstheme="minorHAnsi"/>
                <w:iCs/>
                <w:color w:val="auto"/>
                <w:sz w:val="20"/>
                <w:szCs w:val="20"/>
              </w:rPr>
              <w:t>Agree</w:t>
            </w:r>
          </w:p>
        </w:tc>
        <w:tc>
          <w:tcPr>
            <w:tcW w:w="5639" w:type="dxa"/>
          </w:tcPr>
          <w:p w14:paraId="701FA9CD" w14:textId="130B27FD" w:rsidR="00F33569" w:rsidRPr="00885923" w:rsidRDefault="00F33569" w:rsidP="00F33569">
            <w:pPr>
              <w:spacing w:line="240" w:lineRule="auto"/>
              <w:rPr>
                <w:rFonts w:cstheme="minorHAnsi"/>
                <w:iCs/>
                <w:color w:val="auto"/>
                <w:sz w:val="20"/>
                <w:szCs w:val="20"/>
              </w:rPr>
            </w:pPr>
            <w:r>
              <w:rPr>
                <w:rFonts w:cstheme="minorHAnsi"/>
                <w:iCs/>
                <w:color w:val="auto"/>
                <w:sz w:val="20"/>
                <w:szCs w:val="20"/>
              </w:rPr>
              <w:t>This is b</w:t>
            </w:r>
            <w:r w:rsidRPr="00885923">
              <w:rPr>
                <w:rFonts w:cstheme="minorHAnsi"/>
                <w:iCs/>
                <w:color w:val="auto"/>
                <w:sz w:val="20"/>
                <w:szCs w:val="20"/>
              </w:rPr>
              <w:t xml:space="preserve">eing undertaken as part of the MELF development. </w:t>
            </w:r>
          </w:p>
        </w:tc>
        <w:tc>
          <w:tcPr>
            <w:tcW w:w="1334" w:type="dxa"/>
          </w:tcPr>
          <w:p w14:paraId="09C2003C" w14:textId="6C5C4E80" w:rsidR="00F33569" w:rsidRPr="00885923" w:rsidRDefault="00F33569" w:rsidP="00F33569">
            <w:pPr>
              <w:spacing w:line="240" w:lineRule="auto"/>
              <w:rPr>
                <w:rFonts w:cstheme="minorHAnsi"/>
                <w:iCs/>
                <w:color w:val="auto"/>
                <w:sz w:val="20"/>
                <w:szCs w:val="20"/>
              </w:rPr>
            </w:pPr>
            <w:r>
              <w:rPr>
                <w:rFonts w:cstheme="minorHAnsi"/>
                <w:iCs/>
                <w:color w:val="auto"/>
                <w:sz w:val="20"/>
                <w:szCs w:val="20"/>
              </w:rPr>
              <w:t>C</w:t>
            </w:r>
            <w:r w:rsidRPr="00885923">
              <w:rPr>
                <w:rFonts w:cstheme="minorHAnsi"/>
                <w:iCs/>
                <w:color w:val="auto"/>
                <w:sz w:val="20"/>
                <w:szCs w:val="20"/>
              </w:rPr>
              <w:t>ommenced</w:t>
            </w:r>
            <w:r>
              <w:rPr>
                <w:rFonts w:cstheme="minorHAnsi"/>
                <w:iCs/>
                <w:color w:val="auto"/>
                <w:sz w:val="20"/>
                <w:szCs w:val="20"/>
              </w:rPr>
              <w:t>– to be completed in February 2023.</w:t>
            </w:r>
          </w:p>
        </w:tc>
      </w:tr>
      <w:tr w:rsidR="00F33569" w:rsidRPr="00885923" w14:paraId="62CADFCC" w14:textId="77777777" w:rsidTr="00F33569">
        <w:tc>
          <w:tcPr>
            <w:tcW w:w="5218" w:type="dxa"/>
          </w:tcPr>
          <w:p w14:paraId="4D4AFA80" w14:textId="12665077" w:rsidR="00F33569" w:rsidRPr="00885923" w:rsidRDefault="00F33569" w:rsidP="00F33569">
            <w:pPr>
              <w:spacing w:line="240" w:lineRule="auto"/>
              <w:rPr>
                <w:rFonts w:cstheme="minorHAnsi"/>
                <w:iCs/>
                <w:color w:val="auto"/>
                <w:sz w:val="20"/>
                <w:szCs w:val="20"/>
              </w:rPr>
            </w:pPr>
            <w:r w:rsidRPr="00885923">
              <w:rPr>
                <w:rFonts w:cstheme="minorHAnsi"/>
                <w:iCs/>
                <w:color w:val="auto"/>
                <w:sz w:val="20"/>
                <w:szCs w:val="20"/>
              </w:rPr>
              <w:t>3.3: PHD should re-orient progress reporting to be more concise and outcomes focused.</w:t>
            </w:r>
          </w:p>
        </w:tc>
        <w:tc>
          <w:tcPr>
            <w:tcW w:w="992" w:type="dxa"/>
            <w:shd w:val="clear" w:color="auto" w:fill="92D050"/>
          </w:tcPr>
          <w:p w14:paraId="5078D791" w14:textId="5C9F70CA" w:rsidR="00F33569" w:rsidRPr="00885923" w:rsidRDefault="00F33569" w:rsidP="00F33569">
            <w:pPr>
              <w:spacing w:line="240" w:lineRule="auto"/>
              <w:rPr>
                <w:rFonts w:cstheme="minorHAnsi"/>
                <w:iCs/>
                <w:color w:val="auto"/>
                <w:sz w:val="20"/>
                <w:szCs w:val="20"/>
              </w:rPr>
            </w:pPr>
            <w:r w:rsidRPr="00885923">
              <w:rPr>
                <w:rFonts w:cstheme="minorHAnsi"/>
                <w:iCs/>
                <w:color w:val="auto"/>
                <w:sz w:val="20"/>
                <w:szCs w:val="20"/>
              </w:rPr>
              <w:t>Agree</w:t>
            </w:r>
          </w:p>
        </w:tc>
        <w:tc>
          <w:tcPr>
            <w:tcW w:w="5639" w:type="dxa"/>
          </w:tcPr>
          <w:p w14:paraId="46F2B210" w14:textId="74E13BD6" w:rsidR="00F33569" w:rsidRPr="00885923" w:rsidRDefault="00F33569" w:rsidP="00F33569">
            <w:pPr>
              <w:spacing w:line="240" w:lineRule="auto"/>
              <w:rPr>
                <w:rFonts w:cstheme="minorHAnsi"/>
                <w:iCs/>
                <w:color w:val="auto"/>
                <w:sz w:val="20"/>
                <w:szCs w:val="20"/>
              </w:rPr>
            </w:pPr>
            <w:r w:rsidRPr="00885923">
              <w:rPr>
                <w:rFonts w:cstheme="minorHAnsi"/>
                <w:iCs/>
                <w:color w:val="auto"/>
                <w:sz w:val="20"/>
                <w:szCs w:val="20"/>
              </w:rPr>
              <w:t xml:space="preserve">This is a key focus of MELF development, including at sector level. </w:t>
            </w:r>
          </w:p>
        </w:tc>
        <w:tc>
          <w:tcPr>
            <w:tcW w:w="1334" w:type="dxa"/>
          </w:tcPr>
          <w:p w14:paraId="67A5E83A" w14:textId="599E5391" w:rsidR="00F33569" w:rsidRPr="00885923" w:rsidRDefault="00F33569" w:rsidP="00F33569">
            <w:pPr>
              <w:spacing w:line="240" w:lineRule="auto"/>
              <w:rPr>
                <w:rFonts w:cstheme="minorHAnsi"/>
                <w:iCs/>
                <w:color w:val="auto"/>
                <w:sz w:val="20"/>
                <w:szCs w:val="20"/>
              </w:rPr>
            </w:pPr>
            <w:r>
              <w:rPr>
                <w:rFonts w:cstheme="minorHAnsi"/>
                <w:iCs/>
                <w:color w:val="auto"/>
                <w:sz w:val="20"/>
                <w:szCs w:val="20"/>
              </w:rPr>
              <w:t>Commenced– to be completed in February 2023.</w:t>
            </w:r>
          </w:p>
        </w:tc>
      </w:tr>
      <w:tr w:rsidR="00F33569" w:rsidRPr="00885923" w14:paraId="6E17469E" w14:textId="77777777" w:rsidTr="00F33569">
        <w:tc>
          <w:tcPr>
            <w:tcW w:w="5218" w:type="dxa"/>
          </w:tcPr>
          <w:p w14:paraId="1BF87013" w14:textId="46DED204" w:rsidR="00F33569" w:rsidRPr="00885923" w:rsidRDefault="00F33569" w:rsidP="00F33569">
            <w:pPr>
              <w:spacing w:line="240" w:lineRule="auto"/>
              <w:rPr>
                <w:rFonts w:cstheme="minorHAnsi"/>
                <w:iCs/>
                <w:color w:val="auto"/>
                <w:sz w:val="20"/>
                <w:szCs w:val="20"/>
              </w:rPr>
            </w:pPr>
            <w:r w:rsidRPr="00885923">
              <w:rPr>
                <w:rFonts w:cstheme="minorHAnsi"/>
                <w:iCs/>
                <w:color w:val="auto"/>
                <w:sz w:val="20"/>
                <w:szCs w:val="20"/>
              </w:rPr>
              <w:t>3.4: PHD should establish a reporting process for telling the long-term performance story of PHD across Phase 1 and 2.</w:t>
            </w:r>
          </w:p>
        </w:tc>
        <w:tc>
          <w:tcPr>
            <w:tcW w:w="992" w:type="dxa"/>
            <w:shd w:val="clear" w:color="auto" w:fill="92D050"/>
          </w:tcPr>
          <w:p w14:paraId="24F05003" w14:textId="6BB6EB51" w:rsidR="00F33569" w:rsidRPr="00885923" w:rsidRDefault="00F33569" w:rsidP="00F33569">
            <w:pPr>
              <w:spacing w:line="240" w:lineRule="auto"/>
              <w:rPr>
                <w:rFonts w:cstheme="minorHAnsi"/>
                <w:iCs/>
                <w:color w:val="auto"/>
                <w:sz w:val="20"/>
                <w:szCs w:val="20"/>
              </w:rPr>
            </w:pPr>
            <w:r w:rsidRPr="00885923">
              <w:rPr>
                <w:rFonts w:cstheme="minorHAnsi"/>
                <w:iCs/>
                <w:color w:val="auto"/>
                <w:sz w:val="20"/>
                <w:szCs w:val="20"/>
              </w:rPr>
              <w:t>Agree</w:t>
            </w:r>
          </w:p>
        </w:tc>
        <w:tc>
          <w:tcPr>
            <w:tcW w:w="5639" w:type="dxa"/>
          </w:tcPr>
          <w:p w14:paraId="323A4507" w14:textId="29F8BC91" w:rsidR="00F33569" w:rsidRPr="00885923" w:rsidRDefault="00F33569" w:rsidP="00F33569">
            <w:pPr>
              <w:spacing w:line="240" w:lineRule="auto"/>
              <w:rPr>
                <w:rFonts w:cstheme="minorHAnsi"/>
                <w:iCs/>
                <w:color w:val="auto"/>
                <w:sz w:val="20"/>
                <w:szCs w:val="20"/>
              </w:rPr>
            </w:pPr>
            <w:r>
              <w:rPr>
                <w:rFonts w:cstheme="minorHAnsi"/>
                <w:iCs/>
                <w:color w:val="auto"/>
                <w:sz w:val="20"/>
                <w:szCs w:val="20"/>
              </w:rPr>
              <w:t xml:space="preserve">PHD to develop this reporting process as part of the M&amp;E refresh currently underway; this work will be </w:t>
            </w:r>
            <w:r w:rsidRPr="00885923">
              <w:rPr>
                <w:rFonts w:cstheme="minorHAnsi"/>
                <w:iCs/>
                <w:color w:val="auto"/>
                <w:sz w:val="20"/>
                <w:szCs w:val="20"/>
              </w:rPr>
              <w:t>supported by M&amp;E Advisor based at the Australian Embassy in Dili.</w:t>
            </w:r>
          </w:p>
        </w:tc>
        <w:tc>
          <w:tcPr>
            <w:tcW w:w="1334" w:type="dxa"/>
          </w:tcPr>
          <w:p w14:paraId="0076F164" w14:textId="194E0329" w:rsidR="00F33569" w:rsidRPr="00885923" w:rsidRDefault="00F33569" w:rsidP="00F33569">
            <w:pPr>
              <w:spacing w:line="240" w:lineRule="auto"/>
              <w:rPr>
                <w:rFonts w:cstheme="minorHAnsi"/>
                <w:iCs/>
                <w:color w:val="auto"/>
                <w:sz w:val="20"/>
                <w:szCs w:val="20"/>
              </w:rPr>
            </w:pPr>
            <w:r>
              <w:rPr>
                <w:rFonts w:cstheme="minorHAnsi"/>
                <w:iCs/>
                <w:color w:val="auto"/>
                <w:sz w:val="20"/>
                <w:szCs w:val="20"/>
              </w:rPr>
              <w:t>Underway, to be completed in February 2023.</w:t>
            </w:r>
          </w:p>
        </w:tc>
      </w:tr>
      <w:tr w:rsidR="00F33569" w:rsidRPr="00885923" w14:paraId="3BB895A1" w14:textId="77777777" w:rsidTr="00F33569">
        <w:tc>
          <w:tcPr>
            <w:tcW w:w="5218" w:type="dxa"/>
          </w:tcPr>
          <w:p w14:paraId="466FEB81" w14:textId="0DAF7DA2" w:rsidR="00F33569" w:rsidRPr="00885923" w:rsidRDefault="00F33569" w:rsidP="00F33569">
            <w:pPr>
              <w:spacing w:line="240" w:lineRule="auto"/>
              <w:rPr>
                <w:rFonts w:cstheme="minorHAnsi"/>
                <w:iCs/>
                <w:color w:val="auto"/>
                <w:sz w:val="20"/>
                <w:szCs w:val="20"/>
              </w:rPr>
            </w:pPr>
            <w:r w:rsidRPr="00885923">
              <w:rPr>
                <w:rFonts w:cstheme="minorHAnsi"/>
                <w:iCs/>
                <w:color w:val="auto"/>
                <w:sz w:val="20"/>
                <w:szCs w:val="20"/>
              </w:rPr>
              <w:t>4.3: PHD should reframe the narrative from “institutionalisation” and “transition” to systems strengthening around essential service delivery priorities and modalities set out in the DFAT strategy.</w:t>
            </w:r>
          </w:p>
        </w:tc>
        <w:tc>
          <w:tcPr>
            <w:tcW w:w="992" w:type="dxa"/>
            <w:shd w:val="clear" w:color="auto" w:fill="92D050"/>
          </w:tcPr>
          <w:p w14:paraId="4EAA9B90" w14:textId="264ACAC2" w:rsidR="00F33569" w:rsidRPr="00885923" w:rsidRDefault="00F33569" w:rsidP="00F33569">
            <w:pPr>
              <w:spacing w:line="240" w:lineRule="auto"/>
              <w:rPr>
                <w:rFonts w:cstheme="minorHAnsi"/>
                <w:iCs/>
                <w:color w:val="auto"/>
                <w:sz w:val="20"/>
                <w:szCs w:val="20"/>
              </w:rPr>
            </w:pPr>
            <w:r w:rsidRPr="00885923">
              <w:rPr>
                <w:rFonts w:cstheme="minorHAnsi"/>
                <w:iCs/>
                <w:color w:val="auto"/>
                <w:sz w:val="20"/>
                <w:szCs w:val="20"/>
              </w:rPr>
              <w:t>Agree</w:t>
            </w:r>
          </w:p>
        </w:tc>
        <w:tc>
          <w:tcPr>
            <w:tcW w:w="5639" w:type="dxa"/>
          </w:tcPr>
          <w:p w14:paraId="021ECC24" w14:textId="755EFF5B" w:rsidR="00F33569" w:rsidRPr="00885923" w:rsidRDefault="00F33569" w:rsidP="00F33569">
            <w:pPr>
              <w:spacing w:line="240" w:lineRule="auto"/>
              <w:rPr>
                <w:rFonts w:cstheme="minorHAnsi"/>
                <w:iCs/>
                <w:color w:val="auto"/>
                <w:sz w:val="20"/>
                <w:szCs w:val="20"/>
              </w:rPr>
            </w:pPr>
            <w:r>
              <w:rPr>
                <w:rFonts w:cstheme="minorHAnsi"/>
                <w:iCs/>
                <w:color w:val="auto"/>
                <w:sz w:val="20"/>
                <w:szCs w:val="20"/>
              </w:rPr>
              <w:t xml:space="preserve">This will become an increasing focus of sector programs in Phase 2. Responsibility sits with sector program leads, with support from the new governance advisor, once recruited. This will be reflected in the 2023 PHD Workplan. </w:t>
            </w:r>
          </w:p>
        </w:tc>
        <w:tc>
          <w:tcPr>
            <w:tcW w:w="1334" w:type="dxa"/>
          </w:tcPr>
          <w:p w14:paraId="728A38F9" w14:textId="3588BBBF" w:rsidR="00F33569" w:rsidRPr="00885923" w:rsidRDefault="00F33569" w:rsidP="00F33569">
            <w:pPr>
              <w:spacing w:line="240" w:lineRule="auto"/>
              <w:rPr>
                <w:rFonts w:cstheme="minorHAnsi"/>
                <w:iCs/>
                <w:color w:val="auto"/>
                <w:sz w:val="20"/>
                <w:szCs w:val="20"/>
              </w:rPr>
            </w:pPr>
            <w:r>
              <w:rPr>
                <w:rFonts w:cstheme="minorHAnsi"/>
                <w:iCs/>
                <w:color w:val="auto"/>
                <w:sz w:val="20"/>
                <w:szCs w:val="20"/>
              </w:rPr>
              <w:t xml:space="preserve">Underway and expected in be in place by June 2023. </w:t>
            </w:r>
          </w:p>
        </w:tc>
      </w:tr>
      <w:tr w:rsidR="00F33569" w:rsidRPr="00885923" w14:paraId="6C761981" w14:textId="77777777" w:rsidTr="00F33569">
        <w:tc>
          <w:tcPr>
            <w:tcW w:w="5218" w:type="dxa"/>
          </w:tcPr>
          <w:p w14:paraId="335124EB" w14:textId="04D124F1" w:rsidR="00F33569" w:rsidRPr="00885923" w:rsidRDefault="00F33569" w:rsidP="00F33569">
            <w:pPr>
              <w:spacing w:line="240" w:lineRule="auto"/>
              <w:rPr>
                <w:rFonts w:cstheme="minorHAnsi"/>
                <w:iCs/>
                <w:color w:val="auto"/>
                <w:sz w:val="20"/>
                <w:szCs w:val="20"/>
              </w:rPr>
            </w:pPr>
            <w:r w:rsidRPr="00885923">
              <w:rPr>
                <w:rFonts w:cstheme="minorHAnsi"/>
                <w:iCs/>
                <w:color w:val="auto"/>
                <w:sz w:val="20"/>
                <w:szCs w:val="20"/>
              </w:rPr>
              <w:t>4.4: PHD should adopt a more coherent and staged approach to transitioning select activities to GoTL, informed by a PHD-</w:t>
            </w:r>
            <w:r w:rsidRPr="00885923">
              <w:rPr>
                <w:rFonts w:cstheme="minorHAnsi"/>
                <w:iCs/>
                <w:color w:val="auto"/>
                <w:sz w:val="20"/>
                <w:szCs w:val="20"/>
              </w:rPr>
              <w:lastRenderedPageBreak/>
              <w:t>wide institutionalisation strategy that is then translated into sector-level transition plans.</w:t>
            </w:r>
          </w:p>
        </w:tc>
        <w:tc>
          <w:tcPr>
            <w:tcW w:w="992" w:type="dxa"/>
            <w:shd w:val="clear" w:color="auto" w:fill="92D050"/>
          </w:tcPr>
          <w:p w14:paraId="4B0226A2" w14:textId="1E51349E" w:rsidR="00F33569" w:rsidRPr="00885923" w:rsidRDefault="00F33569" w:rsidP="00F33569">
            <w:pPr>
              <w:spacing w:line="240" w:lineRule="auto"/>
              <w:rPr>
                <w:rFonts w:cstheme="minorHAnsi"/>
                <w:iCs/>
                <w:color w:val="auto"/>
                <w:sz w:val="20"/>
                <w:szCs w:val="20"/>
              </w:rPr>
            </w:pPr>
            <w:r w:rsidRPr="00885923">
              <w:rPr>
                <w:rFonts w:cstheme="minorHAnsi"/>
                <w:iCs/>
                <w:color w:val="auto"/>
                <w:sz w:val="20"/>
                <w:szCs w:val="20"/>
              </w:rPr>
              <w:lastRenderedPageBreak/>
              <w:t>Agree</w:t>
            </w:r>
          </w:p>
        </w:tc>
        <w:tc>
          <w:tcPr>
            <w:tcW w:w="5639" w:type="dxa"/>
          </w:tcPr>
          <w:p w14:paraId="2C90F7D5" w14:textId="4666C6D0" w:rsidR="00F33569" w:rsidRPr="00885923" w:rsidRDefault="00F33569" w:rsidP="00F33569">
            <w:pPr>
              <w:spacing w:line="240" w:lineRule="auto"/>
              <w:rPr>
                <w:rFonts w:cstheme="minorHAnsi"/>
                <w:iCs/>
                <w:color w:val="auto"/>
                <w:sz w:val="20"/>
                <w:szCs w:val="20"/>
              </w:rPr>
            </w:pPr>
            <w:r>
              <w:rPr>
                <w:rFonts w:cstheme="minorHAnsi"/>
                <w:iCs/>
                <w:color w:val="auto"/>
                <w:sz w:val="20"/>
                <w:szCs w:val="20"/>
              </w:rPr>
              <w:t xml:space="preserve">PHD has developed a comprehensive Institutionalisation guidance note and toolkit (with Alinea) that sets out a staged approach for </w:t>
            </w:r>
            <w:r>
              <w:rPr>
                <w:rFonts w:cstheme="minorHAnsi"/>
                <w:iCs/>
                <w:color w:val="auto"/>
                <w:sz w:val="20"/>
                <w:szCs w:val="20"/>
              </w:rPr>
              <w:lastRenderedPageBreak/>
              <w:t xml:space="preserve">the institutionalisation of services to GoTL, including </w:t>
            </w:r>
            <w:r w:rsidRPr="00CC3F43">
              <w:rPr>
                <w:rFonts w:cstheme="minorHAnsi"/>
                <w:iCs/>
                <w:color w:val="auto"/>
                <w:sz w:val="20"/>
                <w:szCs w:val="20"/>
              </w:rPr>
              <w:t>st</w:t>
            </w:r>
            <w:r>
              <w:rPr>
                <w:rFonts w:cstheme="minorHAnsi"/>
                <w:iCs/>
                <w:color w:val="auto"/>
                <w:sz w:val="20"/>
                <w:szCs w:val="20"/>
              </w:rPr>
              <w:t xml:space="preserve">op point to </w:t>
            </w:r>
            <w:r w:rsidRPr="00CC3F43">
              <w:rPr>
                <w:rFonts w:cstheme="minorHAnsi"/>
                <w:iCs/>
                <w:color w:val="auto"/>
                <w:sz w:val="20"/>
                <w:szCs w:val="20"/>
              </w:rPr>
              <w:t>asses</w:t>
            </w:r>
            <w:r>
              <w:rPr>
                <w:rFonts w:cstheme="minorHAnsi"/>
                <w:iCs/>
                <w:color w:val="auto"/>
                <w:sz w:val="20"/>
                <w:szCs w:val="20"/>
              </w:rPr>
              <w:t>s</w:t>
            </w:r>
            <w:r w:rsidRPr="00CC3F43">
              <w:rPr>
                <w:rFonts w:cstheme="minorHAnsi"/>
                <w:iCs/>
                <w:color w:val="auto"/>
                <w:sz w:val="20"/>
                <w:szCs w:val="20"/>
              </w:rPr>
              <w:t xml:space="preserve"> feasibility</w:t>
            </w:r>
            <w:r>
              <w:rPr>
                <w:rFonts w:cstheme="minorHAnsi"/>
                <w:iCs/>
                <w:color w:val="auto"/>
                <w:sz w:val="20"/>
                <w:szCs w:val="20"/>
              </w:rPr>
              <w:t xml:space="preserve">, </w:t>
            </w:r>
            <w:proofErr w:type="gramStart"/>
            <w:r>
              <w:rPr>
                <w:rFonts w:cstheme="minorHAnsi"/>
                <w:iCs/>
                <w:color w:val="auto"/>
                <w:sz w:val="20"/>
                <w:szCs w:val="20"/>
              </w:rPr>
              <w:t>fit</w:t>
            </w:r>
            <w:proofErr w:type="gramEnd"/>
            <w:r>
              <w:rPr>
                <w:rFonts w:cstheme="minorHAnsi"/>
                <w:iCs/>
                <w:color w:val="auto"/>
                <w:sz w:val="20"/>
                <w:szCs w:val="20"/>
              </w:rPr>
              <w:t xml:space="preserve"> and value for money. An Institutionalisation strategy will be further developed.  </w:t>
            </w:r>
          </w:p>
        </w:tc>
        <w:tc>
          <w:tcPr>
            <w:tcW w:w="1334" w:type="dxa"/>
          </w:tcPr>
          <w:p w14:paraId="50807E32" w14:textId="081E37F3" w:rsidR="00F33569" w:rsidRPr="00885923" w:rsidRDefault="00F33569" w:rsidP="00F33569">
            <w:pPr>
              <w:spacing w:line="240" w:lineRule="auto"/>
              <w:rPr>
                <w:rFonts w:cstheme="minorHAnsi"/>
                <w:iCs/>
                <w:color w:val="auto"/>
                <w:sz w:val="20"/>
                <w:szCs w:val="20"/>
              </w:rPr>
            </w:pPr>
            <w:r>
              <w:rPr>
                <w:rFonts w:cstheme="minorHAnsi"/>
                <w:iCs/>
                <w:color w:val="auto"/>
                <w:sz w:val="20"/>
                <w:szCs w:val="20"/>
              </w:rPr>
              <w:lastRenderedPageBreak/>
              <w:t xml:space="preserve">Underway, ongoing. </w:t>
            </w:r>
            <w:r>
              <w:rPr>
                <w:rFonts w:cstheme="minorHAnsi"/>
                <w:iCs/>
                <w:color w:val="auto"/>
                <w:sz w:val="20"/>
                <w:szCs w:val="20"/>
              </w:rPr>
              <w:lastRenderedPageBreak/>
              <w:t xml:space="preserve">Expected completion in 2023. </w:t>
            </w:r>
          </w:p>
        </w:tc>
      </w:tr>
      <w:tr w:rsidR="00F33569" w:rsidRPr="00885923" w14:paraId="390D69F3" w14:textId="77777777" w:rsidTr="00F33569">
        <w:tc>
          <w:tcPr>
            <w:tcW w:w="5218" w:type="dxa"/>
          </w:tcPr>
          <w:p w14:paraId="09BD65CC" w14:textId="66806804" w:rsidR="00F33569" w:rsidRPr="00885923" w:rsidRDefault="00F33569" w:rsidP="00F33569">
            <w:pPr>
              <w:spacing w:line="240" w:lineRule="auto"/>
              <w:rPr>
                <w:rFonts w:cstheme="minorHAnsi"/>
                <w:iCs/>
                <w:color w:val="auto"/>
                <w:sz w:val="20"/>
                <w:szCs w:val="20"/>
              </w:rPr>
            </w:pPr>
            <w:r w:rsidRPr="00885923">
              <w:rPr>
                <w:rFonts w:cstheme="minorHAnsi"/>
                <w:iCs/>
                <w:color w:val="auto"/>
                <w:sz w:val="20"/>
                <w:szCs w:val="20"/>
              </w:rPr>
              <w:lastRenderedPageBreak/>
              <w:t>4.5: PHD should re-assess the level of ambition and pace for transition and systems strengthening</w:t>
            </w:r>
            <w:r>
              <w:rPr>
                <w:rFonts w:cstheme="minorHAnsi"/>
                <w:iCs/>
                <w:color w:val="auto"/>
                <w:sz w:val="20"/>
                <w:szCs w:val="20"/>
              </w:rPr>
              <w:t xml:space="preserve"> to be more realistic and reflect where the program is currently at.</w:t>
            </w:r>
          </w:p>
        </w:tc>
        <w:tc>
          <w:tcPr>
            <w:tcW w:w="992" w:type="dxa"/>
            <w:shd w:val="clear" w:color="auto" w:fill="FFF799" w:themeFill="accent4"/>
          </w:tcPr>
          <w:p w14:paraId="41F7075F" w14:textId="43B01C79" w:rsidR="00F33569" w:rsidRPr="00885923" w:rsidRDefault="00F33569" w:rsidP="00F33569">
            <w:pPr>
              <w:spacing w:line="240" w:lineRule="auto"/>
              <w:rPr>
                <w:rFonts w:cstheme="minorHAnsi"/>
                <w:iCs/>
                <w:color w:val="auto"/>
                <w:sz w:val="20"/>
                <w:szCs w:val="20"/>
              </w:rPr>
            </w:pPr>
            <w:r>
              <w:rPr>
                <w:rFonts w:cstheme="minorHAnsi"/>
                <w:iCs/>
                <w:color w:val="auto"/>
                <w:sz w:val="20"/>
                <w:szCs w:val="20"/>
              </w:rPr>
              <w:t xml:space="preserve">Partially </w:t>
            </w:r>
            <w:r w:rsidRPr="00885923">
              <w:rPr>
                <w:rFonts w:cstheme="minorHAnsi"/>
                <w:iCs/>
                <w:color w:val="auto"/>
                <w:sz w:val="20"/>
                <w:szCs w:val="20"/>
              </w:rPr>
              <w:t>Agree</w:t>
            </w:r>
          </w:p>
        </w:tc>
        <w:tc>
          <w:tcPr>
            <w:tcW w:w="5639" w:type="dxa"/>
          </w:tcPr>
          <w:p w14:paraId="3CE28D32" w14:textId="35A6B8FA" w:rsidR="00F33569" w:rsidRPr="00885923" w:rsidRDefault="00F33569" w:rsidP="00F33569">
            <w:pPr>
              <w:spacing w:line="240" w:lineRule="auto"/>
              <w:rPr>
                <w:rFonts w:cstheme="minorHAnsi"/>
                <w:iCs/>
                <w:color w:val="auto"/>
                <w:sz w:val="20"/>
                <w:szCs w:val="20"/>
              </w:rPr>
            </w:pPr>
            <w:r>
              <w:rPr>
                <w:rFonts w:cstheme="minorHAnsi"/>
                <w:iCs/>
                <w:color w:val="auto"/>
                <w:sz w:val="20"/>
                <w:szCs w:val="20"/>
              </w:rPr>
              <w:t xml:space="preserve">The approach to systems strengthening and transition needs to be differentiated to sector context. For example, in education the process of transitioning the school </w:t>
            </w:r>
            <w:proofErr w:type="gramStart"/>
            <w:r>
              <w:rPr>
                <w:rFonts w:cstheme="minorHAnsi"/>
                <w:iCs/>
                <w:color w:val="auto"/>
                <w:sz w:val="20"/>
                <w:szCs w:val="20"/>
              </w:rPr>
              <w:t>leaders</w:t>
            </w:r>
            <w:proofErr w:type="gramEnd"/>
            <w:r>
              <w:rPr>
                <w:rFonts w:cstheme="minorHAnsi"/>
                <w:iCs/>
                <w:color w:val="auto"/>
                <w:sz w:val="20"/>
                <w:szCs w:val="20"/>
              </w:rPr>
              <w:t xml:space="preserve"> program to government is well underway, while in health, PHD’s engagement with health systems strengthening is at a very early stage.  Clear outcomes related to sectors and sub-sectors where PHD is engaging will be identified and included in each sector MELF (aligned with recommendation 4.4). </w:t>
            </w:r>
          </w:p>
        </w:tc>
        <w:tc>
          <w:tcPr>
            <w:tcW w:w="1334" w:type="dxa"/>
          </w:tcPr>
          <w:p w14:paraId="5A4F8E28" w14:textId="43219ADF" w:rsidR="00F33569" w:rsidRPr="00885923" w:rsidRDefault="00F33569" w:rsidP="00F33569">
            <w:pPr>
              <w:spacing w:line="240" w:lineRule="auto"/>
              <w:rPr>
                <w:rFonts w:cstheme="minorHAnsi"/>
                <w:iCs/>
                <w:color w:val="auto"/>
                <w:sz w:val="20"/>
                <w:szCs w:val="20"/>
              </w:rPr>
            </w:pPr>
            <w:r>
              <w:rPr>
                <w:rFonts w:cstheme="minorHAnsi"/>
                <w:iCs/>
                <w:color w:val="auto"/>
                <w:sz w:val="20"/>
                <w:szCs w:val="20"/>
              </w:rPr>
              <w:t xml:space="preserve">Commenced – relevant targets to be included in sector MELFs, by February 2023 </w:t>
            </w:r>
          </w:p>
        </w:tc>
      </w:tr>
      <w:tr w:rsidR="00F33569" w:rsidRPr="00885923" w14:paraId="028FB9E0" w14:textId="77777777" w:rsidTr="00F33569">
        <w:tc>
          <w:tcPr>
            <w:tcW w:w="5218" w:type="dxa"/>
          </w:tcPr>
          <w:p w14:paraId="27AEEA77" w14:textId="5B9E2882" w:rsidR="00F33569" w:rsidRPr="00885923" w:rsidRDefault="00F33569" w:rsidP="00F33569">
            <w:pPr>
              <w:spacing w:line="240" w:lineRule="auto"/>
              <w:rPr>
                <w:rFonts w:cstheme="minorHAnsi"/>
                <w:iCs/>
                <w:color w:val="auto"/>
                <w:sz w:val="20"/>
                <w:szCs w:val="20"/>
              </w:rPr>
            </w:pPr>
            <w:r w:rsidRPr="00885923">
              <w:rPr>
                <w:rFonts w:cstheme="minorHAnsi"/>
                <w:iCs/>
                <w:color w:val="auto"/>
                <w:sz w:val="20"/>
                <w:szCs w:val="20"/>
              </w:rPr>
              <w:t>5.1: As an urgent priority, PHD should develop a clear Gender Strategy. Ideally, this would be guided by a DFAT portfolio-wide Gender Strategy and Action Plan.</w:t>
            </w:r>
          </w:p>
        </w:tc>
        <w:tc>
          <w:tcPr>
            <w:tcW w:w="992" w:type="dxa"/>
            <w:shd w:val="clear" w:color="auto" w:fill="92D050"/>
          </w:tcPr>
          <w:p w14:paraId="7C659CC3" w14:textId="6D93F6F9" w:rsidR="00F33569" w:rsidRPr="00885923" w:rsidRDefault="00F33569" w:rsidP="00F33569">
            <w:pPr>
              <w:spacing w:line="240" w:lineRule="auto"/>
              <w:rPr>
                <w:rFonts w:cstheme="minorHAnsi"/>
                <w:iCs/>
                <w:color w:val="auto"/>
                <w:sz w:val="20"/>
                <w:szCs w:val="20"/>
              </w:rPr>
            </w:pPr>
            <w:r w:rsidRPr="00885923">
              <w:rPr>
                <w:rFonts w:cstheme="minorHAnsi"/>
                <w:iCs/>
                <w:color w:val="auto"/>
                <w:sz w:val="20"/>
                <w:szCs w:val="20"/>
              </w:rPr>
              <w:t>Agree</w:t>
            </w:r>
          </w:p>
        </w:tc>
        <w:tc>
          <w:tcPr>
            <w:tcW w:w="5639" w:type="dxa"/>
          </w:tcPr>
          <w:p w14:paraId="613BD442" w14:textId="5D84DA84" w:rsidR="00F33569" w:rsidRPr="00885923" w:rsidRDefault="00F33569" w:rsidP="00F33569">
            <w:pPr>
              <w:spacing w:line="240" w:lineRule="auto"/>
              <w:rPr>
                <w:rFonts w:cstheme="minorHAnsi"/>
                <w:iCs/>
                <w:color w:val="auto"/>
                <w:sz w:val="20"/>
                <w:szCs w:val="20"/>
              </w:rPr>
            </w:pPr>
            <w:r>
              <w:rPr>
                <w:rFonts w:cstheme="minorHAnsi"/>
                <w:iCs/>
                <w:color w:val="auto"/>
                <w:sz w:val="20"/>
                <w:szCs w:val="20"/>
              </w:rPr>
              <w:t xml:space="preserve">PHD </w:t>
            </w:r>
            <w:r w:rsidRPr="00885923">
              <w:rPr>
                <w:rFonts w:cstheme="minorHAnsi"/>
                <w:iCs/>
                <w:color w:val="auto"/>
                <w:sz w:val="20"/>
                <w:szCs w:val="20"/>
              </w:rPr>
              <w:t xml:space="preserve">should focus primarily on </w:t>
            </w:r>
            <w:r>
              <w:rPr>
                <w:rFonts w:cstheme="minorHAnsi"/>
                <w:iCs/>
                <w:color w:val="auto"/>
                <w:sz w:val="20"/>
                <w:szCs w:val="20"/>
              </w:rPr>
              <w:t xml:space="preserve">intensifying the </w:t>
            </w:r>
            <w:r w:rsidRPr="00885923">
              <w:rPr>
                <w:rFonts w:cstheme="minorHAnsi"/>
                <w:iCs/>
                <w:color w:val="auto"/>
                <w:sz w:val="20"/>
                <w:szCs w:val="20"/>
              </w:rPr>
              <w:t xml:space="preserve">gender mainstreaming </w:t>
            </w:r>
            <w:r>
              <w:rPr>
                <w:rFonts w:cstheme="minorHAnsi"/>
                <w:iCs/>
                <w:color w:val="auto"/>
                <w:sz w:val="20"/>
                <w:szCs w:val="20"/>
              </w:rPr>
              <w:t xml:space="preserve">efforts </w:t>
            </w:r>
            <w:r w:rsidRPr="00885923">
              <w:rPr>
                <w:rFonts w:cstheme="minorHAnsi"/>
                <w:iCs/>
                <w:color w:val="auto"/>
                <w:sz w:val="20"/>
                <w:szCs w:val="20"/>
              </w:rPr>
              <w:t>within PHD’s three sector programs</w:t>
            </w:r>
            <w:r>
              <w:rPr>
                <w:rFonts w:cstheme="minorHAnsi"/>
                <w:iCs/>
                <w:color w:val="auto"/>
                <w:sz w:val="20"/>
                <w:szCs w:val="20"/>
              </w:rPr>
              <w:t>. Ensuring that all gender mainstreaming initiatives are designed intentionally, to maximise the possibility of gender transformative change over time.</w:t>
            </w:r>
          </w:p>
        </w:tc>
        <w:tc>
          <w:tcPr>
            <w:tcW w:w="1334" w:type="dxa"/>
          </w:tcPr>
          <w:p w14:paraId="4F4AC5B6" w14:textId="42702325" w:rsidR="00F33569" w:rsidRPr="00885923" w:rsidRDefault="00F33569" w:rsidP="00F33569">
            <w:pPr>
              <w:spacing w:line="240" w:lineRule="auto"/>
              <w:rPr>
                <w:rFonts w:cstheme="minorHAnsi"/>
                <w:iCs/>
                <w:color w:val="auto"/>
                <w:sz w:val="20"/>
                <w:szCs w:val="20"/>
              </w:rPr>
            </w:pPr>
            <w:r>
              <w:rPr>
                <w:rFonts w:cstheme="minorHAnsi"/>
                <w:iCs/>
                <w:color w:val="auto"/>
                <w:sz w:val="20"/>
                <w:szCs w:val="20"/>
              </w:rPr>
              <w:t>Commenced</w:t>
            </w:r>
          </w:p>
        </w:tc>
      </w:tr>
      <w:tr w:rsidR="00F33569" w:rsidRPr="00885923" w14:paraId="23D6D59F" w14:textId="77777777" w:rsidTr="00F33569">
        <w:tc>
          <w:tcPr>
            <w:tcW w:w="5218" w:type="dxa"/>
          </w:tcPr>
          <w:p w14:paraId="5EDA8949" w14:textId="0E925BC1" w:rsidR="00F33569" w:rsidRPr="00885923" w:rsidRDefault="00F33569" w:rsidP="00F33569">
            <w:pPr>
              <w:spacing w:line="240" w:lineRule="auto"/>
              <w:rPr>
                <w:rFonts w:cstheme="minorHAnsi"/>
                <w:iCs/>
                <w:color w:val="auto"/>
                <w:sz w:val="20"/>
                <w:szCs w:val="20"/>
              </w:rPr>
            </w:pPr>
            <w:r w:rsidRPr="00885923">
              <w:rPr>
                <w:rFonts w:cstheme="minorHAnsi"/>
                <w:iCs/>
                <w:color w:val="auto"/>
                <w:sz w:val="20"/>
                <w:szCs w:val="20"/>
              </w:rPr>
              <w:t>5.2: PHD should increase their gender resourcing at all levels.</w:t>
            </w:r>
          </w:p>
        </w:tc>
        <w:tc>
          <w:tcPr>
            <w:tcW w:w="992" w:type="dxa"/>
            <w:shd w:val="clear" w:color="auto" w:fill="FFF799" w:themeFill="accent4"/>
          </w:tcPr>
          <w:p w14:paraId="00D1973C" w14:textId="07D2DD66" w:rsidR="00F33569" w:rsidRPr="00885923" w:rsidRDefault="00F33569" w:rsidP="00F33569">
            <w:pPr>
              <w:spacing w:line="240" w:lineRule="auto"/>
              <w:rPr>
                <w:rFonts w:cstheme="minorHAnsi"/>
                <w:iCs/>
                <w:color w:val="auto"/>
                <w:sz w:val="20"/>
                <w:szCs w:val="20"/>
              </w:rPr>
            </w:pPr>
            <w:r w:rsidRPr="00885923">
              <w:rPr>
                <w:rFonts w:cstheme="minorHAnsi"/>
                <w:iCs/>
                <w:color w:val="auto"/>
                <w:sz w:val="20"/>
                <w:szCs w:val="20"/>
              </w:rPr>
              <w:t>Partially Agree</w:t>
            </w:r>
          </w:p>
        </w:tc>
        <w:tc>
          <w:tcPr>
            <w:tcW w:w="5639" w:type="dxa"/>
          </w:tcPr>
          <w:p w14:paraId="03A37786" w14:textId="3BE3509F" w:rsidR="00F33569" w:rsidRPr="00885923" w:rsidRDefault="00F33569" w:rsidP="00F33569">
            <w:pPr>
              <w:spacing w:line="240" w:lineRule="auto"/>
              <w:rPr>
                <w:rFonts w:cstheme="minorHAnsi"/>
                <w:iCs/>
                <w:color w:val="auto"/>
                <w:sz w:val="20"/>
                <w:szCs w:val="20"/>
              </w:rPr>
            </w:pPr>
            <w:r w:rsidRPr="00655389">
              <w:rPr>
                <w:rFonts w:cstheme="minorHAnsi"/>
                <w:iCs/>
                <w:color w:val="auto"/>
                <w:sz w:val="20"/>
                <w:szCs w:val="20"/>
              </w:rPr>
              <w:t>Agree that PHD should increase their capacity on gender in the senior leadership team: a new position has been established and should be filled in early 2023. PHD and DFAT agree that staff resources on gender at other levels of PHD are sufficient.</w:t>
            </w:r>
            <w:r>
              <w:rPr>
                <w:rFonts w:cstheme="minorHAnsi"/>
                <w:iCs/>
                <w:color w:val="auto"/>
                <w:sz w:val="20"/>
                <w:szCs w:val="20"/>
              </w:rPr>
              <w:t xml:space="preserve">  </w:t>
            </w:r>
          </w:p>
        </w:tc>
        <w:tc>
          <w:tcPr>
            <w:tcW w:w="1334" w:type="dxa"/>
          </w:tcPr>
          <w:p w14:paraId="312CEEED" w14:textId="725DBB37" w:rsidR="00F33569" w:rsidRPr="00885923" w:rsidRDefault="00F33569" w:rsidP="00F33569">
            <w:pPr>
              <w:spacing w:line="240" w:lineRule="auto"/>
              <w:rPr>
                <w:rFonts w:cstheme="minorHAnsi"/>
                <w:iCs/>
                <w:color w:val="auto"/>
                <w:sz w:val="20"/>
                <w:szCs w:val="20"/>
              </w:rPr>
            </w:pPr>
            <w:r>
              <w:rPr>
                <w:rFonts w:cstheme="minorHAnsi"/>
                <w:iCs/>
                <w:color w:val="auto"/>
                <w:sz w:val="20"/>
                <w:szCs w:val="20"/>
              </w:rPr>
              <w:t xml:space="preserve">Commenced – Senior gender advisor to be in place early 2023. </w:t>
            </w:r>
          </w:p>
        </w:tc>
      </w:tr>
      <w:tr w:rsidR="00F33569" w:rsidRPr="00885923" w14:paraId="433ABEFD" w14:textId="77777777" w:rsidTr="00F33569">
        <w:tc>
          <w:tcPr>
            <w:tcW w:w="5218" w:type="dxa"/>
          </w:tcPr>
          <w:p w14:paraId="03CDEEF3" w14:textId="1FD6C645" w:rsidR="00F33569" w:rsidRPr="00885923" w:rsidRDefault="00F33569" w:rsidP="00F33569">
            <w:pPr>
              <w:spacing w:line="240" w:lineRule="auto"/>
              <w:rPr>
                <w:rFonts w:cstheme="minorHAnsi"/>
                <w:iCs/>
                <w:color w:val="auto"/>
                <w:sz w:val="20"/>
                <w:szCs w:val="20"/>
              </w:rPr>
            </w:pPr>
            <w:r w:rsidRPr="00885923">
              <w:rPr>
                <w:rFonts w:cstheme="minorHAnsi"/>
                <w:iCs/>
                <w:color w:val="auto"/>
                <w:sz w:val="20"/>
                <w:szCs w:val="20"/>
              </w:rPr>
              <w:t xml:space="preserve">5.3: PHD should ensure the MEL Framework, workplan and reporting include dedicated sections on progress against gender priorities. </w:t>
            </w:r>
          </w:p>
        </w:tc>
        <w:tc>
          <w:tcPr>
            <w:tcW w:w="992" w:type="dxa"/>
            <w:shd w:val="clear" w:color="auto" w:fill="7FB64D" w:themeFill="accent2" w:themeFillShade="BF"/>
          </w:tcPr>
          <w:p w14:paraId="0E548243" w14:textId="10E42864" w:rsidR="00F33569" w:rsidRPr="00885923" w:rsidRDefault="00F33569" w:rsidP="00F33569">
            <w:pPr>
              <w:spacing w:line="240" w:lineRule="auto"/>
              <w:rPr>
                <w:rFonts w:cstheme="minorHAnsi"/>
                <w:iCs/>
                <w:color w:val="auto"/>
                <w:sz w:val="20"/>
                <w:szCs w:val="20"/>
              </w:rPr>
            </w:pPr>
            <w:r w:rsidRPr="00885923">
              <w:rPr>
                <w:rFonts w:cstheme="minorHAnsi"/>
                <w:iCs/>
                <w:color w:val="auto"/>
                <w:sz w:val="20"/>
                <w:szCs w:val="20"/>
              </w:rPr>
              <w:t>Agree</w:t>
            </w:r>
          </w:p>
        </w:tc>
        <w:tc>
          <w:tcPr>
            <w:tcW w:w="5639" w:type="dxa"/>
          </w:tcPr>
          <w:p w14:paraId="5B15F2FB" w14:textId="64A89DDB" w:rsidR="00F33569" w:rsidRPr="00885923" w:rsidRDefault="00F33569" w:rsidP="00F33569">
            <w:pPr>
              <w:spacing w:line="240" w:lineRule="auto"/>
              <w:rPr>
                <w:rFonts w:cstheme="minorHAnsi"/>
                <w:iCs/>
                <w:color w:val="auto"/>
                <w:sz w:val="20"/>
                <w:szCs w:val="20"/>
              </w:rPr>
            </w:pPr>
            <w:r w:rsidRPr="00885923">
              <w:rPr>
                <w:rFonts w:cstheme="minorHAnsi"/>
                <w:iCs/>
                <w:color w:val="auto"/>
                <w:sz w:val="20"/>
                <w:szCs w:val="20"/>
              </w:rPr>
              <w:t xml:space="preserve">Agree that </w:t>
            </w:r>
            <w:r>
              <w:rPr>
                <w:rFonts w:cstheme="minorHAnsi"/>
                <w:iCs/>
                <w:color w:val="auto"/>
                <w:sz w:val="20"/>
                <w:szCs w:val="20"/>
              </w:rPr>
              <w:t xml:space="preserve">the </w:t>
            </w:r>
            <w:r w:rsidRPr="00885923">
              <w:rPr>
                <w:rFonts w:cstheme="minorHAnsi"/>
                <w:iCs/>
                <w:color w:val="auto"/>
                <w:sz w:val="20"/>
                <w:szCs w:val="20"/>
              </w:rPr>
              <w:t>workplan and report</w:t>
            </w:r>
            <w:r>
              <w:rPr>
                <w:rFonts w:cstheme="minorHAnsi"/>
                <w:iCs/>
                <w:color w:val="auto"/>
                <w:sz w:val="20"/>
                <w:szCs w:val="20"/>
              </w:rPr>
              <w:t>s will</w:t>
            </w:r>
            <w:r w:rsidRPr="00885923">
              <w:rPr>
                <w:rFonts w:cstheme="minorHAnsi"/>
                <w:iCs/>
                <w:color w:val="auto"/>
                <w:sz w:val="20"/>
                <w:szCs w:val="20"/>
              </w:rPr>
              <w:t xml:space="preserve"> include dedicated sections and that the MELF integrates gender priorities within each sector</w:t>
            </w:r>
            <w:r>
              <w:rPr>
                <w:rFonts w:cstheme="minorHAnsi"/>
                <w:iCs/>
                <w:color w:val="auto"/>
                <w:sz w:val="20"/>
                <w:szCs w:val="20"/>
              </w:rPr>
              <w:t>,</w:t>
            </w:r>
            <w:r w:rsidRPr="00885923">
              <w:rPr>
                <w:rFonts w:cstheme="minorHAnsi"/>
                <w:iCs/>
                <w:color w:val="auto"/>
                <w:sz w:val="20"/>
                <w:szCs w:val="20"/>
              </w:rPr>
              <w:t xml:space="preserve"> including and beyond sex disaggregated data.</w:t>
            </w:r>
          </w:p>
        </w:tc>
        <w:tc>
          <w:tcPr>
            <w:tcW w:w="1334" w:type="dxa"/>
          </w:tcPr>
          <w:p w14:paraId="741776F0" w14:textId="481C4BD9" w:rsidR="00F33569" w:rsidRPr="00885923" w:rsidRDefault="00F33569" w:rsidP="00F33569">
            <w:pPr>
              <w:spacing w:line="240" w:lineRule="auto"/>
              <w:rPr>
                <w:rFonts w:cstheme="minorHAnsi"/>
                <w:iCs/>
                <w:color w:val="auto"/>
                <w:sz w:val="20"/>
                <w:szCs w:val="20"/>
              </w:rPr>
            </w:pPr>
            <w:r>
              <w:rPr>
                <w:rFonts w:cstheme="minorHAnsi"/>
                <w:iCs/>
                <w:color w:val="auto"/>
                <w:sz w:val="20"/>
                <w:szCs w:val="20"/>
              </w:rPr>
              <w:t xml:space="preserve">February 2023. </w:t>
            </w:r>
          </w:p>
        </w:tc>
      </w:tr>
      <w:tr w:rsidR="00F33569" w:rsidRPr="00885923" w14:paraId="7FD97B78" w14:textId="77777777" w:rsidTr="00F33569">
        <w:tc>
          <w:tcPr>
            <w:tcW w:w="5218" w:type="dxa"/>
          </w:tcPr>
          <w:p w14:paraId="52A66BD0" w14:textId="0D80FFAA" w:rsidR="00F33569" w:rsidRPr="00885923" w:rsidRDefault="00F33569" w:rsidP="00F33569">
            <w:pPr>
              <w:spacing w:line="240" w:lineRule="auto"/>
              <w:rPr>
                <w:rFonts w:cstheme="minorHAnsi"/>
                <w:iCs/>
                <w:color w:val="auto"/>
                <w:sz w:val="20"/>
                <w:szCs w:val="20"/>
              </w:rPr>
            </w:pPr>
            <w:r w:rsidRPr="00885923">
              <w:rPr>
                <w:rFonts w:cstheme="minorHAnsi"/>
                <w:iCs/>
                <w:color w:val="auto"/>
                <w:sz w:val="20"/>
                <w:szCs w:val="20"/>
              </w:rPr>
              <w:t xml:space="preserve">5.4: PHD should progress its plan to leverage and fund women’s organisations and partners to support gender mainstreaming into systems strengthening and gender transformative approaches. </w:t>
            </w:r>
          </w:p>
        </w:tc>
        <w:tc>
          <w:tcPr>
            <w:tcW w:w="992" w:type="dxa"/>
            <w:shd w:val="clear" w:color="auto" w:fill="FFF799" w:themeFill="accent4"/>
          </w:tcPr>
          <w:p w14:paraId="5582F0EA" w14:textId="18AE1824" w:rsidR="00F33569" w:rsidRPr="00885923" w:rsidRDefault="00F33569" w:rsidP="00F33569">
            <w:pPr>
              <w:spacing w:line="240" w:lineRule="auto"/>
              <w:rPr>
                <w:rFonts w:cstheme="minorHAnsi"/>
                <w:iCs/>
                <w:color w:val="auto"/>
                <w:sz w:val="20"/>
                <w:szCs w:val="20"/>
              </w:rPr>
            </w:pPr>
            <w:r>
              <w:rPr>
                <w:rFonts w:cstheme="minorHAnsi"/>
                <w:iCs/>
                <w:color w:val="auto"/>
                <w:sz w:val="20"/>
                <w:szCs w:val="20"/>
              </w:rPr>
              <w:t>Partially agree</w:t>
            </w:r>
            <w:r w:rsidRPr="00885923">
              <w:rPr>
                <w:rFonts w:cstheme="minorHAnsi"/>
                <w:iCs/>
                <w:color w:val="auto"/>
                <w:sz w:val="20"/>
                <w:szCs w:val="20"/>
              </w:rPr>
              <w:t xml:space="preserve"> </w:t>
            </w:r>
          </w:p>
        </w:tc>
        <w:tc>
          <w:tcPr>
            <w:tcW w:w="5639" w:type="dxa"/>
          </w:tcPr>
          <w:p w14:paraId="1B611F7F" w14:textId="226B8869" w:rsidR="00F33569" w:rsidRPr="009157B8" w:rsidRDefault="00F33569" w:rsidP="00F33569">
            <w:pPr>
              <w:spacing w:line="240" w:lineRule="auto"/>
              <w:rPr>
                <w:rFonts w:cstheme="minorHAnsi"/>
                <w:iCs/>
                <w:color w:val="auto"/>
              </w:rPr>
            </w:pPr>
            <w:r w:rsidRPr="00404852">
              <w:rPr>
                <w:rFonts w:cstheme="minorHAnsi"/>
                <w:iCs/>
                <w:color w:val="auto"/>
                <w:sz w:val="20"/>
                <w:szCs w:val="20"/>
              </w:rPr>
              <w:t>Plans should be determined in line with PHD’s new gender strategy, which will primarily focus on intensifying efforts in gender mainstreaming within PHD’s three sector programs. If a WO’s or partner is engaged in PHD’s gender mainstreaming efforts in a sector</w:t>
            </w:r>
            <w:r>
              <w:rPr>
                <w:rFonts w:cstheme="minorHAnsi"/>
                <w:iCs/>
                <w:color w:val="auto"/>
                <w:sz w:val="20"/>
                <w:szCs w:val="20"/>
              </w:rPr>
              <w:t>,</w:t>
            </w:r>
            <w:r w:rsidRPr="00404852">
              <w:rPr>
                <w:rFonts w:cstheme="minorHAnsi"/>
                <w:iCs/>
                <w:color w:val="auto"/>
                <w:sz w:val="20"/>
                <w:szCs w:val="20"/>
              </w:rPr>
              <w:t xml:space="preserve"> support may be provided. Noting DFAT supports women’s organisations through other bilateral programs.</w:t>
            </w:r>
            <w:r>
              <w:rPr>
                <w:rFonts w:cstheme="minorHAnsi"/>
                <w:iCs/>
                <w:color w:val="auto"/>
              </w:rPr>
              <w:t xml:space="preserve"> </w:t>
            </w:r>
          </w:p>
        </w:tc>
        <w:tc>
          <w:tcPr>
            <w:tcW w:w="1334" w:type="dxa"/>
          </w:tcPr>
          <w:p w14:paraId="7802007C" w14:textId="424B55B3" w:rsidR="00F33569" w:rsidRPr="00885923" w:rsidRDefault="00F33569" w:rsidP="00F33569">
            <w:pPr>
              <w:spacing w:line="240" w:lineRule="auto"/>
              <w:rPr>
                <w:rFonts w:cstheme="minorHAnsi"/>
                <w:iCs/>
                <w:color w:val="auto"/>
                <w:sz w:val="20"/>
                <w:szCs w:val="20"/>
              </w:rPr>
            </w:pPr>
            <w:r>
              <w:rPr>
                <w:rFonts w:cstheme="minorHAnsi"/>
                <w:iCs/>
                <w:color w:val="auto"/>
                <w:sz w:val="20"/>
                <w:szCs w:val="20"/>
              </w:rPr>
              <w:t xml:space="preserve">To be completed by June 2023. </w:t>
            </w:r>
          </w:p>
        </w:tc>
      </w:tr>
    </w:tbl>
    <w:p w14:paraId="32FE2B79" w14:textId="77777777" w:rsidR="007D11D9" w:rsidRDefault="007D11D9" w:rsidP="000F3962">
      <w:pPr>
        <w:pStyle w:val="Heading2"/>
        <w:rPr>
          <w:color w:val="auto"/>
        </w:rPr>
      </w:pPr>
    </w:p>
    <w:p w14:paraId="50DB2E5A" w14:textId="77777777" w:rsidR="007D11D9" w:rsidRDefault="007D11D9" w:rsidP="000F3962">
      <w:pPr>
        <w:pStyle w:val="Heading2"/>
        <w:rPr>
          <w:color w:val="auto"/>
        </w:rPr>
      </w:pPr>
    </w:p>
    <w:p w14:paraId="2B4F433F" w14:textId="5BD68C8F" w:rsidR="000F3962" w:rsidRPr="00885923" w:rsidRDefault="000F3962" w:rsidP="000F3962">
      <w:pPr>
        <w:pStyle w:val="Heading2"/>
        <w:rPr>
          <w:color w:val="auto"/>
        </w:rPr>
      </w:pPr>
      <w:r w:rsidRPr="00885923">
        <w:rPr>
          <w:color w:val="auto"/>
        </w:rPr>
        <w:t>Shared (</w:t>
      </w:r>
      <w:proofErr w:type="spellStart"/>
      <w:r w:rsidR="000373EC" w:rsidRPr="00885923">
        <w:rPr>
          <w:color w:val="auto"/>
        </w:rPr>
        <w:t>Abt</w:t>
      </w:r>
      <w:proofErr w:type="spellEnd"/>
      <w:r w:rsidR="000373EC" w:rsidRPr="00885923">
        <w:rPr>
          <w:color w:val="auto"/>
        </w:rPr>
        <w:t xml:space="preserve"> Associates</w:t>
      </w:r>
      <w:r w:rsidRPr="00885923">
        <w:rPr>
          <w:color w:val="auto"/>
        </w:rPr>
        <w:t>, DFAT)</w:t>
      </w:r>
    </w:p>
    <w:tbl>
      <w:tblPr>
        <w:tblStyle w:val="TableGrid"/>
        <w:tblW w:w="13183" w:type="dxa"/>
        <w:tblInd w:w="-147" w:type="dxa"/>
        <w:tblLook w:val="04A0" w:firstRow="1" w:lastRow="0" w:firstColumn="1" w:lastColumn="0" w:noHBand="0" w:noVBand="1"/>
      </w:tblPr>
      <w:tblGrid>
        <w:gridCol w:w="5245"/>
        <w:gridCol w:w="993"/>
        <w:gridCol w:w="5670"/>
        <w:gridCol w:w="1275"/>
      </w:tblGrid>
      <w:tr w:rsidR="00F33569" w:rsidRPr="00885923" w14:paraId="7AE08BD9" w14:textId="77777777" w:rsidTr="00F33569">
        <w:trPr>
          <w:tblHeader/>
        </w:trPr>
        <w:tc>
          <w:tcPr>
            <w:tcW w:w="5245" w:type="dxa"/>
          </w:tcPr>
          <w:p w14:paraId="40D1BDB9" w14:textId="40A71826" w:rsidR="00F33569" w:rsidRPr="00885923" w:rsidRDefault="00F33569" w:rsidP="00F33569">
            <w:pPr>
              <w:spacing w:line="240" w:lineRule="auto"/>
              <w:rPr>
                <w:rFonts w:cstheme="minorHAnsi"/>
                <w:iCs/>
                <w:color w:val="auto"/>
                <w:sz w:val="20"/>
                <w:szCs w:val="20"/>
              </w:rPr>
            </w:pPr>
            <w:r w:rsidRPr="00CA7BEF">
              <w:rPr>
                <w:rFonts w:cstheme="minorHAnsi"/>
                <w:b/>
                <w:bCs/>
                <w:iCs/>
                <w:color w:val="auto"/>
                <w:sz w:val="20"/>
                <w:szCs w:val="20"/>
              </w:rPr>
              <w:t>Recommendation</w:t>
            </w:r>
          </w:p>
        </w:tc>
        <w:tc>
          <w:tcPr>
            <w:tcW w:w="993" w:type="dxa"/>
            <w:shd w:val="clear" w:color="auto" w:fill="auto"/>
          </w:tcPr>
          <w:p w14:paraId="496831B5" w14:textId="6556443E" w:rsidR="00F33569" w:rsidRPr="00885923" w:rsidRDefault="00F33569" w:rsidP="00F33569">
            <w:pPr>
              <w:spacing w:line="240" w:lineRule="auto"/>
              <w:rPr>
                <w:rFonts w:cstheme="minorHAnsi"/>
                <w:iCs/>
                <w:color w:val="auto"/>
                <w:sz w:val="20"/>
                <w:szCs w:val="20"/>
              </w:rPr>
            </w:pPr>
            <w:r w:rsidRPr="00CA7BEF">
              <w:rPr>
                <w:rFonts w:cstheme="minorHAnsi"/>
                <w:b/>
                <w:bCs/>
                <w:iCs/>
                <w:color w:val="auto"/>
                <w:sz w:val="20"/>
                <w:szCs w:val="20"/>
              </w:rPr>
              <w:t>Response</w:t>
            </w:r>
          </w:p>
        </w:tc>
        <w:tc>
          <w:tcPr>
            <w:tcW w:w="5670" w:type="dxa"/>
          </w:tcPr>
          <w:p w14:paraId="3D47BBE1" w14:textId="3984E194" w:rsidR="00F33569" w:rsidRPr="00885923" w:rsidRDefault="00F33569" w:rsidP="00F33569">
            <w:pPr>
              <w:spacing w:line="240" w:lineRule="auto"/>
              <w:rPr>
                <w:rFonts w:cstheme="minorHAnsi"/>
                <w:iCs/>
                <w:color w:val="auto"/>
                <w:sz w:val="20"/>
                <w:szCs w:val="20"/>
              </w:rPr>
            </w:pPr>
            <w:r w:rsidRPr="00CA7BEF">
              <w:rPr>
                <w:rFonts w:cstheme="minorHAnsi"/>
                <w:b/>
                <w:bCs/>
                <w:iCs/>
                <w:color w:val="auto"/>
                <w:sz w:val="20"/>
                <w:szCs w:val="20"/>
              </w:rPr>
              <w:t>Action plan</w:t>
            </w:r>
          </w:p>
        </w:tc>
        <w:tc>
          <w:tcPr>
            <w:tcW w:w="1275" w:type="dxa"/>
          </w:tcPr>
          <w:p w14:paraId="03FF7963" w14:textId="39CEC98D" w:rsidR="00F33569" w:rsidRDefault="00F33569" w:rsidP="00F33569">
            <w:pPr>
              <w:spacing w:line="240" w:lineRule="auto"/>
              <w:rPr>
                <w:rFonts w:cstheme="minorHAnsi"/>
                <w:iCs/>
                <w:color w:val="auto"/>
                <w:sz w:val="20"/>
                <w:szCs w:val="20"/>
              </w:rPr>
            </w:pPr>
            <w:r w:rsidRPr="00CA7BEF">
              <w:rPr>
                <w:rFonts w:cstheme="minorHAnsi"/>
                <w:b/>
                <w:bCs/>
                <w:iCs/>
                <w:color w:val="auto"/>
                <w:sz w:val="20"/>
                <w:szCs w:val="20"/>
              </w:rPr>
              <w:t>Timeframe</w:t>
            </w:r>
          </w:p>
        </w:tc>
      </w:tr>
      <w:tr w:rsidR="00F33569" w:rsidRPr="00885923" w14:paraId="08592A30" w14:textId="77777777" w:rsidTr="008E22BF">
        <w:tc>
          <w:tcPr>
            <w:tcW w:w="5245" w:type="dxa"/>
          </w:tcPr>
          <w:p w14:paraId="3F77312D" w14:textId="7C42E855" w:rsidR="00F33569" w:rsidRPr="00885923" w:rsidRDefault="00F33569" w:rsidP="00F33569">
            <w:pPr>
              <w:spacing w:line="240" w:lineRule="auto"/>
              <w:rPr>
                <w:rFonts w:cstheme="minorHAnsi"/>
                <w:color w:val="auto"/>
                <w:sz w:val="20"/>
                <w:szCs w:val="20"/>
                <w:lang w:val="en-AU"/>
              </w:rPr>
            </w:pPr>
            <w:r w:rsidRPr="00885923">
              <w:rPr>
                <w:rFonts w:cstheme="minorHAnsi"/>
                <w:iCs/>
                <w:color w:val="auto"/>
                <w:sz w:val="20"/>
                <w:szCs w:val="20"/>
              </w:rPr>
              <w:t>1.1: PHD should further refine its scope to proactively address important strategic issues.</w:t>
            </w:r>
          </w:p>
        </w:tc>
        <w:tc>
          <w:tcPr>
            <w:tcW w:w="993" w:type="dxa"/>
            <w:shd w:val="clear" w:color="auto" w:fill="FFF371" w:themeFill="accent4" w:themeFillShade="E6"/>
          </w:tcPr>
          <w:p w14:paraId="5AA660FD" w14:textId="0774D9B1" w:rsidR="00F33569" w:rsidRPr="00885923" w:rsidRDefault="00F33569" w:rsidP="00F33569">
            <w:pPr>
              <w:spacing w:line="240" w:lineRule="auto"/>
              <w:rPr>
                <w:rFonts w:cstheme="minorHAnsi"/>
                <w:iCs/>
                <w:color w:val="auto"/>
                <w:sz w:val="20"/>
                <w:szCs w:val="20"/>
              </w:rPr>
            </w:pPr>
            <w:r w:rsidRPr="00885923">
              <w:rPr>
                <w:rFonts w:cstheme="minorHAnsi"/>
                <w:iCs/>
                <w:color w:val="auto"/>
                <w:sz w:val="20"/>
                <w:szCs w:val="20"/>
              </w:rPr>
              <w:t>Partially agree</w:t>
            </w:r>
          </w:p>
        </w:tc>
        <w:tc>
          <w:tcPr>
            <w:tcW w:w="5670" w:type="dxa"/>
          </w:tcPr>
          <w:p w14:paraId="4A756C64" w14:textId="550B13FF" w:rsidR="00F33569" w:rsidRPr="00885923" w:rsidRDefault="00F33569" w:rsidP="00F33569">
            <w:pPr>
              <w:spacing w:line="240" w:lineRule="auto"/>
              <w:rPr>
                <w:rFonts w:cstheme="minorHAnsi"/>
                <w:iCs/>
                <w:color w:val="auto"/>
                <w:sz w:val="20"/>
                <w:szCs w:val="20"/>
              </w:rPr>
            </w:pPr>
            <w:r w:rsidRPr="00885923">
              <w:rPr>
                <w:rFonts w:cstheme="minorHAnsi"/>
                <w:iCs/>
                <w:color w:val="auto"/>
                <w:sz w:val="20"/>
                <w:szCs w:val="20"/>
              </w:rPr>
              <w:t xml:space="preserve">DFAT recognises the need for PHD to refine scope. However, DFAT does not have firm plans to scale down and/or withdraw from education (particularly before World Bank has fully commenced), nutrition (a major policy agenda for the </w:t>
            </w:r>
            <w:r>
              <w:rPr>
                <w:rFonts w:cstheme="minorHAnsi"/>
                <w:iCs/>
                <w:color w:val="auto"/>
                <w:sz w:val="20"/>
                <w:szCs w:val="20"/>
              </w:rPr>
              <w:t xml:space="preserve">Prime Minister and </w:t>
            </w:r>
            <w:r w:rsidRPr="00885923">
              <w:rPr>
                <w:rFonts w:cstheme="minorHAnsi"/>
                <w:iCs/>
                <w:color w:val="auto"/>
                <w:sz w:val="20"/>
                <w:szCs w:val="20"/>
              </w:rPr>
              <w:t xml:space="preserve">new President) or disability inclusion. This would pose significant reputational and other risks. </w:t>
            </w:r>
          </w:p>
          <w:p w14:paraId="3BE3BB5A" w14:textId="3D343C8B" w:rsidR="00F33569" w:rsidRPr="00885923" w:rsidRDefault="00F33569" w:rsidP="00F33569">
            <w:pPr>
              <w:spacing w:line="240" w:lineRule="auto"/>
              <w:rPr>
                <w:rFonts w:cstheme="minorHAnsi"/>
                <w:iCs/>
                <w:color w:val="auto"/>
                <w:sz w:val="20"/>
                <w:szCs w:val="20"/>
              </w:rPr>
            </w:pPr>
            <w:r w:rsidRPr="00885923">
              <w:rPr>
                <w:rFonts w:cstheme="minorHAnsi"/>
                <w:iCs/>
                <w:color w:val="auto"/>
                <w:sz w:val="20"/>
                <w:szCs w:val="20"/>
              </w:rPr>
              <w:t xml:space="preserve">DFAT and </w:t>
            </w:r>
            <w:proofErr w:type="spellStart"/>
            <w:r w:rsidRPr="00885923">
              <w:rPr>
                <w:rFonts w:cstheme="minorHAnsi"/>
                <w:iCs/>
                <w:color w:val="auto"/>
                <w:sz w:val="20"/>
                <w:szCs w:val="20"/>
              </w:rPr>
              <w:t>Abt</w:t>
            </w:r>
            <w:proofErr w:type="spellEnd"/>
            <w:r w:rsidRPr="00885923">
              <w:rPr>
                <w:rFonts w:cstheme="minorHAnsi"/>
                <w:iCs/>
                <w:color w:val="auto"/>
                <w:sz w:val="20"/>
                <w:szCs w:val="20"/>
              </w:rPr>
              <w:t xml:space="preserve"> will undertake political economy analyses and institutionalisation assessments to underpin well-informed, pragmatic transition phases/exit strategies and timeframes. </w:t>
            </w:r>
            <w:r>
              <w:rPr>
                <w:rFonts w:cstheme="minorHAnsi"/>
                <w:iCs/>
                <w:color w:val="auto"/>
                <w:sz w:val="20"/>
                <w:szCs w:val="20"/>
              </w:rPr>
              <w:t>This work will also be informed by the medium-term strategy (recommendation 4.1).</w:t>
            </w:r>
          </w:p>
        </w:tc>
        <w:tc>
          <w:tcPr>
            <w:tcW w:w="1275" w:type="dxa"/>
          </w:tcPr>
          <w:p w14:paraId="2A9745B0" w14:textId="3C2C7236" w:rsidR="00F33569" w:rsidRPr="00885923" w:rsidRDefault="00F33569" w:rsidP="00F33569">
            <w:pPr>
              <w:spacing w:line="240" w:lineRule="auto"/>
              <w:rPr>
                <w:rFonts w:cstheme="minorHAnsi"/>
                <w:iCs/>
                <w:color w:val="auto"/>
                <w:sz w:val="20"/>
                <w:szCs w:val="20"/>
              </w:rPr>
            </w:pPr>
            <w:r>
              <w:rPr>
                <w:rFonts w:cstheme="minorHAnsi"/>
                <w:iCs/>
                <w:color w:val="auto"/>
                <w:sz w:val="20"/>
                <w:szCs w:val="20"/>
              </w:rPr>
              <w:t xml:space="preserve">Throughout 2023. </w:t>
            </w:r>
          </w:p>
        </w:tc>
      </w:tr>
      <w:tr w:rsidR="00F33569" w:rsidRPr="00885923" w14:paraId="1E4F3414" w14:textId="77777777" w:rsidTr="008E22BF">
        <w:tc>
          <w:tcPr>
            <w:tcW w:w="5245" w:type="dxa"/>
          </w:tcPr>
          <w:p w14:paraId="605873C9" w14:textId="08EBDE81" w:rsidR="00F33569" w:rsidRPr="00885923" w:rsidRDefault="00F33569" w:rsidP="00F33569">
            <w:pPr>
              <w:spacing w:line="240" w:lineRule="auto"/>
              <w:rPr>
                <w:rFonts w:cstheme="minorHAnsi"/>
                <w:color w:val="auto"/>
                <w:sz w:val="20"/>
                <w:szCs w:val="20"/>
                <w:lang w:val="en-AU"/>
              </w:rPr>
            </w:pPr>
            <w:r w:rsidRPr="00885923">
              <w:rPr>
                <w:rFonts w:cstheme="minorHAnsi"/>
                <w:color w:val="auto"/>
                <w:sz w:val="20"/>
                <w:szCs w:val="20"/>
                <w:lang w:val="en-AU"/>
              </w:rPr>
              <w:t>2.2: PHD and DFAT should continue the sector level engagement with GoTL, drawing on GoTL structures such as Council of Directors as much as possible, with formal Ministerial level Steering Committee meetings where appropriate and effective.</w:t>
            </w:r>
          </w:p>
        </w:tc>
        <w:tc>
          <w:tcPr>
            <w:tcW w:w="993" w:type="dxa"/>
            <w:shd w:val="clear" w:color="auto" w:fill="92D050"/>
          </w:tcPr>
          <w:p w14:paraId="3C5ED4FD" w14:textId="35CB3E35" w:rsidR="00F33569" w:rsidRPr="00885923" w:rsidRDefault="00F33569" w:rsidP="00F33569">
            <w:pPr>
              <w:spacing w:line="240" w:lineRule="auto"/>
              <w:rPr>
                <w:rFonts w:cstheme="minorHAnsi"/>
                <w:iCs/>
                <w:color w:val="auto"/>
                <w:sz w:val="20"/>
                <w:szCs w:val="20"/>
              </w:rPr>
            </w:pPr>
            <w:r w:rsidRPr="00885923">
              <w:rPr>
                <w:rFonts w:cstheme="minorHAnsi"/>
                <w:iCs/>
                <w:color w:val="auto"/>
                <w:sz w:val="20"/>
                <w:szCs w:val="20"/>
              </w:rPr>
              <w:t>Agree</w:t>
            </w:r>
          </w:p>
        </w:tc>
        <w:tc>
          <w:tcPr>
            <w:tcW w:w="5670" w:type="dxa"/>
          </w:tcPr>
          <w:p w14:paraId="1D1DC820" w14:textId="02966DE2" w:rsidR="00F33569" w:rsidRPr="00885923" w:rsidRDefault="00F33569" w:rsidP="00F33569">
            <w:pPr>
              <w:spacing w:line="240" w:lineRule="auto"/>
              <w:rPr>
                <w:rFonts w:cstheme="minorHAnsi"/>
                <w:iCs/>
                <w:color w:val="auto"/>
                <w:sz w:val="20"/>
                <w:szCs w:val="20"/>
              </w:rPr>
            </w:pPr>
            <w:r>
              <w:rPr>
                <w:rFonts w:cstheme="minorHAnsi"/>
                <w:iCs/>
                <w:color w:val="auto"/>
                <w:sz w:val="20"/>
                <w:szCs w:val="20"/>
              </w:rPr>
              <w:t>S</w:t>
            </w:r>
            <w:r w:rsidRPr="00885923">
              <w:rPr>
                <w:rFonts w:cstheme="minorHAnsi"/>
                <w:iCs/>
                <w:color w:val="auto"/>
                <w:sz w:val="20"/>
                <w:szCs w:val="20"/>
              </w:rPr>
              <w:t xml:space="preserve">ector-level engagement with GOTL </w:t>
            </w:r>
            <w:proofErr w:type="gramStart"/>
            <w:r w:rsidRPr="00885923">
              <w:rPr>
                <w:rFonts w:cstheme="minorHAnsi"/>
                <w:iCs/>
                <w:color w:val="auto"/>
                <w:sz w:val="20"/>
                <w:szCs w:val="20"/>
              </w:rPr>
              <w:t>includes:</w:t>
            </w:r>
            <w:proofErr w:type="gramEnd"/>
            <w:r w:rsidRPr="00885923">
              <w:rPr>
                <w:rFonts w:cstheme="minorHAnsi"/>
                <w:iCs/>
                <w:color w:val="auto"/>
                <w:sz w:val="20"/>
                <w:szCs w:val="20"/>
              </w:rPr>
              <w:t xml:space="preserve"> technical working groups (co-chaired by the Counsellor for Human Development, and the relevant GoTL DG) and Steering Committees (co-chaired by Australia’s Ambassador and the relevant Minister) in health, education, and social protection. </w:t>
            </w:r>
            <w:r>
              <w:rPr>
                <w:rFonts w:cstheme="minorHAnsi"/>
                <w:iCs/>
                <w:color w:val="auto"/>
                <w:sz w:val="20"/>
                <w:szCs w:val="20"/>
              </w:rPr>
              <w:t xml:space="preserve">PHD and DFAT will also engage Council of Directors where possible and appropriate. </w:t>
            </w:r>
          </w:p>
        </w:tc>
        <w:tc>
          <w:tcPr>
            <w:tcW w:w="1275" w:type="dxa"/>
          </w:tcPr>
          <w:p w14:paraId="1A9341C7" w14:textId="3179ECD9" w:rsidR="00F33569" w:rsidRPr="00885923" w:rsidRDefault="00F33569" w:rsidP="00F33569">
            <w:pPr>
              <w:spacing w:line="240" w:lineRule="auto"/>
              <w:rPr>
                <w:rFonts w:cstheme="minorHAnsi"/>
                <w:iCs/>
                <w:color w:val="auto"/>
                <w:sz w:val="20"/>
                <w:szCs w:val="20"/>
              </w:rPr>
            </w:pPr>
            <w:r>
              <w:rPr>
                <w:rFonts w:cstheme="minorHAnsi"/>
                <w:iCs/>
                <w:color w:val="auto"/>
                <w:sz w:val="20"/>
                <w:szCs w:val="20"/>
              </w:rPr>
              <w:t>C</w:t>
            </w:r>
            <w:r w:rsidRPr="00885923">
              <w:rPr>
                <w:rFonts w:cstheme="minorHAnsi"/>
                <w:iCs/>
                <w:color w:val="auto"/>
                <w:sz w:val="20"/>
                <w:szCs w:val="20"/>
              </w:rPr>
              <w:t>ommenced</w:t>
            </w:r>
          </w:p>
        </w:tc>
      </w:tr>
      <w:tr w:rsidR="00F33569" w:rsidRPr="00885923" w14:paraId="09DFE12B" w14:textId="77777777" w:rsidTr="008E22BF">
        <w:tc>
          <w:tcPr>
            <w:tcW w:w="5245" w:type="dxa"/>
          </w:tcPr>
          <w:p w14:paraId="5A26D74B" w14:textId="59919D6A" w:rsidR="00F33569" w:rsidRPr="00885923" w:rsidRDefault="00F33569" w:rsidP="00F33569">
            <w:pPr>
              <w:spacing w:line="240" w:lineRule="auto"/>
              <w:rPr>
                <w:rFonts w:cstheme="minorHAnsi"/>
                <w:color w:val="auto"/>
                <w:sz w:val="20"/>
                <w:szCs w:val="20"/>
                <w:lang w:val="en-AU"/>
              </w:rPr>
            </w:pPr>
            <w:r w:rsidRPr="00885923">
              <w:rPr>
                <w:rFonts w:cstheme="minorHAnsi"/>
                <w:color w:val="auto"/>
                <w:sz w:val="20"/>
                <w:szCs w:val="20"/>
                <w:lang w:val="en-AU"/>
              </w:rPr>
              <w:t>2.3: DFAT and PHD should use good relationships at all levels for increased policy influence on important strategic priorities and issues.</w:t>
            </w:r>
          </w:p>
        </w:tc>
        <w:tc>
          <w:tcPr>
            <w:tcW w:w="993" w:type="dxa"/>
            <w:shd w:val="clear" w:color="auto" w:fill="92D050"/>
          </w:tcPr>
          <w:p w14:paraId="1F1E304A" w14:textId="511E44CE" w:rsidR="00F33569" w:rsidRPr="00885923" w:rsidRDefault="00F33569" w:rsidP="00F33569">
            <w:pPr>
              <w:spacing w:line="240" w:lineRule="auto"/>
              <w:rPr>
                <w:rFonts w:cstheme="minorHAnsi"/>
                <w:iCs/>
                <w:color w:val="auto"/>
                <w:sz w:val="20"/>
                <w:szCs w:val="20"/>
              </w:rPr>
            </w:pPr>
            <w:r w:rsidRPr="00885923">
              <w:rPr>
                <w:rFonts w:cstheme="minorHAnsi"/>
                <w:iCs/>
                <w:color w:val="auto"/>
                <w:sz w:val="20"/>
                <w:szCs w:val="20"/>
              </w:rPr>
              <w:t>Agree</w:t>
            </w:r>
          </w:p>
        </w:tc>
        <w:tc>
          <w:tcPr>
            <w:tcW w:w="5670" w:type="dxa"/>
          </w:tcPr>
          <w:p w14:paraId="642F4AC4" w14:textId="626D5465" w:rsidR="00F33569" w:rsidRPr="00885923" w:rsidRDefault="00F33569" w:rsidP="00F33569">
            <w:pPr>
              <w:spacing w:line="240" w:lineRule="auto"/>
              <w:rPr>
                <w:rFonts w:cstheme="minorHAnsi"/>
                <w:iCs/>
                <w:color w:val="auto"/>
                <w:sz w:val="20"/>
                <w:szCs w:val="20"/>
              </w:rPr>
            </w:pPr>
            <w:r w:rsidRPr="00885923">
              <w:rPr>
                <w:rFonts w:cstheme="minorHAnsi"/>
                <w:iCs/>
                <w:color w:val="auto"/>
                <w:sz w:val="20"/>
                <w:szCs w:val="20"/>
              </w:rPr>
              <w:t xml:space="preserve">DFAT will provide PHD with its strategic policy engagement priorities as articulated </w:t>
            </w:r>
            <w:r>
              <w:rPr>
                <w:rFonts w:cstheme="minorHAnsi"/>
                <w:iCs/>
                <w:color w:val="auto"/>
                <w:sz w:val="20"/>
                <w:szCs w:val="20"/>
              </w:rPr>
              <w:t xml:space="preserve">in the mid-term strategy </w:t>
            </w:r>
            <w:r w:rsidRPr="00885923">
              <w:rPr>
                <w:rFonts w:cstheme="minorHAnsi"/>
                <w:iCs/>
                <w:color w:val="auto"/>
                <w:sz w:val="20"/>
                <w:szCs w:val="20"/>
              </w:rPr>
              <w:t>to enable PHD to update/develop its policy dialogue matrix and government engagement framework</w:t>
            </w:r>
            <w:r>
              <w:rPr>
                <w:rFonts w:cstheme="minorHAnsi"/>
                <w:iCs/>
                <w:color w:val="auto"/>
                <w:sz w:val="20"/>
                <w:szCs w:val="20"/>
              </w:rPr>
              <w:t xml:space="preserve"> (recommendation 4.1)</w:t>
            </w:r>
            <w:r w:rsidRPr="00885923">
              <w:rPr>
                <w:rFonts w:cstheme="minorHAnsi"/>
                <w:iCs/>
                <w:color w:val="auto"/>
                <w:sz w:val="20"/>
                <w:szCs w:val="20"/>
              </w:rPr>
              <w:t>.</w:t>
            </w:r>
            <w:r>
              <w:rPr>
                <w:rFonts w:cstheme="minorHAnsi"/>
                <w:iCs/>
                <w:color w:val="auto"/>
                <w:sz w:val="20"/>
                <w:szCs w:val="20"/>
              </w:rPr>
              <w:t xml:space="preserve"> </w:t>
            </w:r>
          </w:p>
        </w:tc>
        <w:tc>
          <w:tcPr>
            <w:tcW w:w="1275" w:type="dxa"/>
          </w:tcPr>
          <w:p w14:paraId="055430C6" w14:textId="4BDB7609" w:rsidR="00F33569" w:rsidRPr="00885923" w:rsidRDefault="00F33569" w:rsidP="00F33569">
            <w:pPr>
              <w:spacing w:line="240" w:lineRule="auto"/>
              <w:rPr>
                <w:rFonts w:cstheme="minorHAnsi"/>
                <w:iCs/>
                <w:color w:val="auto"/>
                <w:sz w:val="20"/>
                <w:szCs w:val="20"/>
              </w:rPr>
            </w:pPr>
            <w:r>
              <w:rPr>
                <w:rFonts w:cstheme="minorHAnsi"/>
                <w:iCs/>
                <w:color w:val="auto"/>
                <w:sz w:val="20"/>
                <w:szCs w:val="20"/>
              </w:rPr>
              <w:t xml:space="preserve">Work to start before mid-2023. </w:t>
            </w:r>
          </w:p>
        </w:tc>
      </w:tr>
      <w:tr w:rsidR="00F33569" w:rsidRPr="00885923" w14:paraId="15094E6B" w14:textId="77777777" w:rsidTr="008E22BF">
        <w:tc>
          <w:tcPr>
            <w:tcW w:w="5245" w:type="dxa"/>
          </w:tcPr>
          <w:p w14:paraId="3076359E" w14:textId="602F7A36" w:rsidR="00F33569" w:rsidRPr="00885923" w:rsidRDefault="00F33569" w:rsidP="00F33569">
            <w:pPr>
              <w:spacing w:line="240" w:lineRule="auto"/>
              <w:rPr>
                <w:rFonts w:cstheme="minorHAnsi"/>
                <w:color w:val="auto"/>
                <w:sz w:val="20"/>
                <w:szCs w:val="20"/>
                <w:lang w:val="en-AU"/>
              </w:rPr>
            </w:pPr>
            <w:r w:rsidRPr="00885923">
              <w:rPr>
                <w:rFonts w:cstheme="minorHAnsi"/>
                <w:color w:val="auto"/>
                <w:sz w:val="20"/>
                <w:szCs w:val="20"/>
                <w:lang w:val="en-AU"/>
              </w:rPr>
              <w:t>2.4: DFAT and PHD should put mechanisms in place to ensure that strategic decision-making for PHD is driven from the top and informed by the sectors, and to strengthen communication and coordination between DFAT and PHD respective executive and sector level teams – in particular around work planning, budget allocations and progress reporting.</w:t>
            </w:r>
          </w:p>
        </w:tc>
        <w:tc>
          <w:tcPr>
            <w:tcW w:w="993" w:type="dxa"/>
            <w:shd w:val="clear" w:color="auto" w:fill="92D050"/>
          </w:tcPr>
          <w:p w14:paraId="41F3C8D6" w14:textId="05CE3E77" w:rsidR="00F33569" w:rsidRPr="00885923" w:rsidRDefault="00F33569" w:rsidP="00F33569">
            <w:pPr>
              <w:spacing w:line="240" w:lineRule="auto"/>
              <w:rPr>
                <w:rFonts w:cstheme="minorHAnsi"/>
                <w:iCs/>
                <w:color w:val="auto"/>
                <w:sz w:val="20"/>
                <w:szCs w:val="20"/>
              </w:rPr>
            </w:pPr>
            <w:r w:rsidRPr="00885923">
              <w:rPr>
                <w:rFonts w:cstheme="minorHAnsi"/>
                <w:iCs/>
                <w:color w:val="auto"/>
                <w:sz w:val="20"/>
                <w:szCs w:val="20"/>
              </w:rPr>
              <w:t>Agree</w:t>
            </w:r>
          </w:p>
        </w:tc>
        <w:tc>
          <w:tcPr>
            <w:tcW w:w="5670" w:type="dxa"/>
          </w:tcPr>
          <w:p w14:paraId="56497FB2" w14:textId="10641D2B" w:rsidR="00F33569" w:rsidRPr="00885923" w:rsidRDefault="00F33569" w:rsidP="00F33569">
            <w:pPr>
              <w:spacing w:line="240" w:lineRule="auto"/>
              <w:rPr>
                <w:rFonts w:cstheme="minorHAnsi"/>
                <w:iCs/>
                <w:color w:val="auto"/>
                <w:sz w:val="20"/>
                <w:szCs w:val="20"/>
              </w:rPr>
            </w:pPr>
            <w:r w:rsidRPr="00885923">
              <w:rPr>
                <w:rFonts w:cstheme="minorHAnsi"/>
                <w:iCs/>
                <w:color w:val="auto"/>
                <w:sz w:val="20"/>
                <w:szCs w:val="20"/>
              </w:rPr>
              <w:t xml:space="preserve">In 2022, DFAT </w:t>
            </w:r>
            <w:r>
              <w:rPr>
                <w:rFonts w:cstheme="minorHAnsi"/>
                <w:iCs/>
                <w:color w:val="auto"/>
                <w:sz w:val="20"/>
                <w:szCs w:val="20"/>
              </w:rPr>
              <w:t xml:space="preserve">continued </w:t>
            </w:r>
            <w:r w:rsidRPr="00885923">
              <w:rPr>
                <w:rFonts w:cstheme="minorHAnsi"/>
                <w:iCs/>
                <w:color w:val="auto"/>
                <w:sz w:val="20"/>
                <w:szCs w:val="20"/>
              </w:rPr>
              <w:t>regular monthly coordination meetings between the Embassy staff and PHD for each sector plus nutrition</w:t>
            </w:r>
            <w:r>
              <w:rPr>
                <w:rFonts w:cstheme="minorHAnsi"/>
                <w:iCs/>
                <w:color w:val="auto"/>
                <w:sz w:val="20"/>
                <w:szCs w:val="20"/>
              </w:rPr>
              <w:t xml:space="preserve">, </w:t>
            </w:r>
            <w:proofErr w:type="gramStart"/>
            <w:r>
              <w:rPr>
                <w:rFonts w:cstheme="minorHAnsi"/>
                <w:iCs/>
                <w:color w:val="auto"/>
                <w:sz w:val="20"/>
                <w:szCs w:val="20"/>
              </w:rPr>
              <w:t>disability</w:t>
            </w:r>
            <w:proofErr w:type="gramEnd"/>
            <w:r>
              <w:rPr>
                <w:rFonts w:cstheme="minorHAnsi"/>
                <w:iCs/>
                <w:color w:val="auto"/>
                <w:sz w:val="20"/>
                <w:szCs w:val="20"/>
              </w:rPr>
              <w:t xml:space="preserve"> and gender</w:t>
            </w:r>
            <w:r w:rsidRPr="00885923">
              <w:rPr>
                <w:rFonts w:cstheme="minorHAnsi"/>
                <w:iCs/>
                <w:color w:val="auto"/>
                <w:sz w:val="20"/>
                <w:szCs w:val="20"/>
              </w:rPr>
              <w:t xml:space="preserve">. There is also a monthly Embassy-PHD management meeting, and regular informal catch ups between the Embassy Human Development Counsellor and PHD Team Leader. </w:t>
            </w:r>
          </w:p>
          <w:p w14:paraId="14DE149F" w14:textId="77777777" w:rsidR="00F33569" w:rsidRPr="00885923" w:rsidRDefault="00F33569" w:rsidP="00F33569">
            <w:pPr>
              <w:spacing w:line="240" w:lineRule="auto"/>
              <w:rPr>
                <w:rFonts w:cstheme="minorHAnsi"/>
                <w:iCs/>
                <w:color w:val="auto"/>
                <w:sz w:val="20"/>
                <w:szCs w:val="20"/>
              </w:rPr>
            </w:pPr>
            <w:r w:rsidRPr="00885923">
              <w:rPr>
                <w:rFonts w:cstheme="minorHAnsi"/>
                <w:iCs/>
                <w:color w:val="auto"/>
                <w:sz w:val="20"/>
                <w:szCs w:val="20"/>
              </w:rPr>
              <w:t>DFAT will also have:</w:t>
            </w:r>
          </w:p>
          <w:p w14:paraId="6F941389" w14:textId="732B042B" w:rsidR="00F33569" w:rsidRPr="00885923" w:rsidRDefault="00F33569" w:rsidP="00F33569">
            <w:pPr>
              <w:pStyle w:val="ListParagraph"/>
              <w:numPr>
                <w:ilvl w:val="0"/>
                <w:numId w:val="50"/>
              </w:numPr>
              <w:spacing w:line="240" w:lineRule="auto"/>
              <w:rPr>
                <w:rFonts w:cstheme="minorHAnsi"/>
                <w:iCs/>
                <w:color w:val="auto"/>
                <w:sz w:val="20"/>
                <w:szCs w:val="20"/>
              </w:rPr>
            </w:pPr>
            <w:r w:rsidRPr="00885923">
              <w:rPr>
                <w:rFonts w:cstheme="minorHAnsi"/>
                <w:iCs/>
                <w:color w:val="auto"/>
                <w:sz w:val="20"/>
                <w:szCs w:val="20"/>
              </w:rPr>
              <w:lastRenderedPageBreak/>
              <w:t>annual strategic dialogues with PHD Executive to consider relative progress across sectors</w:t>
            </w:r>
            <w:r>
              <w:rPr>
                <w:rFonts w:cstheme="minorHAnsi"/>
                <w:iCs/>
                <w:color w:val="auto"/>
                <w:sz w:val="20"/>
                <w:szCs w:val="20"/>
              </w:rPr>
              <w:t xml:space="preserve"> (with PHD contract representative)</w:t>
            </w:r>
          </w:p>
          <w:p w14:paraId="038898F1" w14:textId="30670BA2" w:rsidR="00F33569" w:rsidRDefault="00F33569" w:rsidP="00F33569">
            <w:pPr>
              <w:pStyle w:val="ListParagraph"/>
              <w:numPr>
                <w:ilvl w:val="0"/>
                <w:numId w:val="50"/>
              </w:numPr>
              <w:spacing w:line="240" w:lineRule="auto"/>
              <w:rPr>
                <w:rFonts w:cstheme="minorHAnsi"/>
                <w:iCs/>
                <w:color w:val="auto"/>
                <w:sz w:val="20"/>
                <w:szCs w:val="20"/>
              </w:rPr>
            </w:pPr>
            <w:r w:rsidRPr="00885923">
              <w:rPr>
                <w:rFonts w:cstheme="minorHAnsi"/>
                <w:iCs/>
                <w:color w:val="auto"/>
                <w:sz w:val="20"/>
                <w:szCs w:val="20"/>
              </w:rPr>
              <w:t xml:space="preserve">regular (quarterly) coordination meetings across the investment portfolio on strategic and emerging areas of interest. </w:t>
            </w:r>
            <w:r>
              <w:rPr>
                <w:rFonts w:cstheme="minorHAnsi"/>
                <w:iCs/>
                <w:color w:val="auto"/>
                <w:sz w:val="20"/>
                <w:szCs w:val="20"/>
              </w:rPr>
              <w:t>In particular with our two largest development programs, PROSIVU and PARTISIPA.</w:t>
            </w:r>
          </w:p>
          <w:p w14:paraId="406C9CCC" w14:textId="183424DF" w:rsidR="00F33569" w:rsidRPr="003C01F9" w:rsidRDefault="00F33569" w:rsidP="00F33569">
            <w:pPr>
              <w:pStyle w:val="ListParagraph"/>
              <w:numPr>
                <w:ilvl w:val="0"/>
                <w:numId w:val="50"/>
              </w:numPr>
              <w:spacing w:line="240" w:lineRule="auto"/>
              <w:rPr>
                <w:rFonts w:cstheme="minorHAnsi"/>
                <w:iCs/>
                <w:color w:val="auto"/>
                <w:sz w:val="20"/>
                <w:szCs w:val="20"/>
              </w:rPr>
            </w:pPr>
            <w:r>
              <w:rPr>
                <w:rFonts w:cstheme="minorHAnsi"/>
                <w:iCs/>
                <w:color w:val="auto"/>
                <w:sz w:val="20"/>
                <w:szCs w:val="20"/>
              </w:rPr>
              <w:t>Quarterly whole-of-program implementing partner meetings</w:t>
            </w:r>
          </w:p>
        </w:tc>
        <w:tc>
          <w:tcPr>
            <w:tcW w:w="1275" w:type="dxa"/>
          </w:tcPr>
          <w:p w14:paraId="21C81CE5" w14:textId="2D7FFCC7" w:rsidR="00F33569" w:rsidRPr="00885923" w:rsidRDefault="00F33569" w:rsidP="00F33569">
            <w:pPr>
              <w:spacing w:line="240" w:lineRule="auto"/>
              <w:rPr>
                <w:rFonts w:cstheme="minorHAnsi"/>
                <w:iCs/>
                <w:color w:val="auto"/>
                <w:sz w:val="20"/>
                <w:szCs w:val="20"/>
              </w:rPr>
            </w:pPr>
            <w:r>
              <w:rPr>
                <w:rFonts w:cstheme="minorHAnsi"/>
                <w:iCs/>
                <w:color w:val="auto"/>
                <w:sz w:val="20"/>
                <w:szCs w:val="20"/>
              </w:rPr>
              <w:lastRenderedPageBreak/>
              <w:t>Underway, ongoing</w:t>
            </w:r>
          </w:p>
        </w:tc>
      </w:tr>
      <w:tr w:rsidR="00F33569" w:rsidRPr="00885923" w14:paraId="11947400" w14:textId="77777777" w:rsidTr="008E22BF">
        <w:tc>
          <w:tcPr>
            <w:tcW w:w="5245" w:type="dxa"/>
          </w:tcPr>
          <w:p w14:paraId="0B3F17C0" w14:textId="31D6D84E" w:rsidR="00F33569" w:rsidRPr="00885923" w:rsidRDefault="00F33569" w:rsidP="00F33569">
            <w:pPr>
              <w:spacing w:line="240" w:lineRule="auto"/>
              <w:rPr>
                <w:rStyle w:val="CHBlackHeadingChar"/>
                <w:b w:val="0"/>
                <w:color w:val="auto"/>
                <w:sz w:val="22"/>
              </w:rPr>
            </w:pPr>
            <w:r w:rsidRPr="00885923">
              <w:rPr>
                <w:rFonts w:cstheme="minorHAnsi"/>
                <w:iCs/>
                <w:color w:val="auto"/>
                <w:sz w:val="20"/>
                <w:szCs w:val="20"/>
              </w:rPr>
              <w:t xml:space="preserve">4.2: PHD should engage an independent Strategic Advisory Team to assist PHD to assess which activities will continue to be transitioned </w:t>
            </w:r>
            <w:proofErr w:type="gramStart"/>
            <w:r w:rsidRPr="00885923">
              <w:rPr>
                <w:rFonts w:cstheme="minorHAnsi"/>
                <w:iCs/>
                <w:color w:val="auto"/>
                <w:sz w:val="20"/>
                <w:szCs w:val="20"/>
              </w:rPr>
              <w:t>in light of</w:t>
            </w:r>
            <w:proofErr w:type="gramEnd"/>
            <w:r w:rsidRPr="00885923">
              <w:rPr>
                <w:rFonts w:cstheme="minorHAnsi"/>
                <w:iCs/>
                <w:color w:val="auto"/>
                <w:sz w:val="20"/>
                <w:szCs w:val="20"/>
              </w:rPr>
              <w:t xml:space="preserve"> DFAT’s strategy.</w:t>
            </w:r>
          </w:p>
        </w:tc>
        <w:tc>
          <w:tcPr>
            <w:tcW w:w="993" w:type="dxa"/>
            <w:shd w:val="clear" w:color="auto" w:fill="FFF371" w:themeFill="accent4" w:themeFillShade="E6"/>
          </w:tcPr>
          <w:p w14:paraId="0E7EDB59" w14:textId="7F78E051" w:rsidR="00F33569" w:rsidRPr="00885923" w:rsidRDefault="00F33569" w:rsidP="00F33569">
            <w:pPr>
              <w:spacing w:line="240" w:lineRule="auto"/>
              <w:rPr>
                <w:rFonts w:cstheme="minorHAnsi"/>
                <w:iCs/>
                <w:color w:val="auto"/>
                <w:sz w:val="20"/>
                <w:szCs w:val="20"/>
              </w:rPr>
            </w:pPr>
            <w:r w:rsidRPr="00885923">
              <w:rPr>
                <w:rFonts w:cstheme="minorHAnsi"/>
                <w:iCs/>
                <w:color w:val="auto"/>
                <w:sz w:val="20"/>
                <w:szCs w:val="20"/>
              </w:rPr>
              <w:t>Partially agree</w:t>
            </w:r>
          </w:p>
        </w:tc>
        <w:tc>
          <w:tcPr>
            <w:tcW w:w="5670" w:type="dxa"/>
          </w:tcPr>
          <w:p w14:paraId="0A9CB0AD" w14:textId="536FDE6D" w:rsidR="00F33569" w:rsidRPr="00885923" w:rsidRDefault="00F33569" w:rsidP="00F33569">
            <w:pPr>
              <w:spacing w:line="240" w:lineRule="auto"/>
              <w:rPr>
                <w:rFonts w:cstheme="minorHAnsi"/>
                <w:iCs/>
                <w:color w:val="auto"/>
                <w:sz w:val="20"/>
                <w:szCs w:val="20"/>
              </w:rPr>
            </w:pPr>
            <w:r>
              <w:rPr>
                <w:rFonts w:cstheme="minorHAnsi"/>
                <w:iCs/>
                <w:color w:val="auto"/>
                <w:sz w:val="20"/>
                <w:szCs w:val="20"/>
              </w:rPr>
              <w:t xml:space="preserve">DFAT has requested </w:t>
            </w:r>
            <w:proofErr w:type="spellStart"/>
            <w:r w:rsidRPr="00885923">
              <w:rPr>
                <w:rFonts w:cstheme="minorHAnsi"/>
                <w:iCs/>
                <w:color w:val="auto"/>
                <w:sz w:val="20"/>
                <w:szCs w:val="20"/>
              </w:rPr>
              <w:t>Abt</w:t>
            </w:r>
            <w:proofErr w:type="spellEnd"/>
            <w:r w:rsidRPr="00885923">
              <w:rPr>
                <w:rFonts w:cstheme="minorHAnsi"/>
                <w:iCs/>
                <w:color w:val="auto"/>
                <w:sz w:val="20"/>
                <w:szCs w:val="20"/>
              </w:rPr>
              <w:t xml:space="preserve"> to provide additional systems strengthening/ institutionalisation technical support to PHD to support work and transition planning. </w:t>
            </w:r>
          </w:p>
          <w:p w14:paraId="33B19A75" w14:textId="6C4187B0" w:rsidR="00F33569" w:rsidRPr="00885923" w:rsidRDefault="00F33569" w:rsidP="00F33569">
            <w:pPr>
              <w:spacing w:line="240" w:lineRule="auto"/>
              <w:rPr>
                <w:rFonts w:cstheme="minorHAnsi"/>
                <w:iCs/>
                <w:color w:val="auto"/>
                <w:sz w:val="20"/>
                <w:szCs w:val="20"/>
              </w:rPr>
            </w:pPr>
            <w:r w:rsidRPr="00885923">
              <w:rPr>
                <w:rFonts w:cstheme="minorHAnsi"/>
                <w:iCs/>
                <w:color w:val="auto"/>
                <w:sz w:val="20"/>
                <w:szCs w:val="20"/>
              </w:rPr>
              <w:t xml:space="preserve">DSAT </w:t>
            </w:r>
            <w:r>
              <w:rPr>
                <w:rFonts w:cstheme="minorHAnsi"/>
                <w:iCs/>
                <w:color w:val="auto"/>
                <w:sz w:val="20"/>
                <w:szCs w:val="20"/>
              </w:rPr>
              <w:t xml:space="preserve">(see 1.1) </w:t>
            </w:r>
            <w:r w:rsidRPr="00885923">
              <w:rPr>
                <w:rFonts w:cstheme="minorHAnsi"/>
                <w:iCs/>
                <w:color w:val="auto"/>
                <w:sz w:val="20"/>
                <w:szCs w:val="20"/>
              </w:rPr>
              <w:t xml:space="preserve">will support PHD (and PROSIVU/PARTISIPA) to think strategically about systems strengthening and transition. </w:t>
            </w:r>
          </w:p>
        </w:tc>
        <w:tc>
          <w:tcPr>
            <w:tcW w:w="1275" w:type="dxa"/>
          </w:tcPr>
          <w:p w14:paraId="3F7F4C07" w14:textId="4504E93A" w:rsidR="00F33569" w:rsidRPr="00885923" w:rsidRDefault="00F33569" w:rsidP="00F33569">
            <w:pPr>
              <w:spacing w:line="240" w:lineRule="auto"/>
              <w:rPr>
                <w:rFonts w:cstheme="minorHAnsi"/>
                <w:iCs/>
                <w:color w:val="auto"/>
                <w:sz w:val="20"/>
                <w:szCs w:val="20"/>
              </w:rPr>
            </w:pPr>
            <w:r>
              <w:rPr>
                <w:rFonts w:cstheme="minorHAnsi"/>
                <w:iCs/>
                <w:color w:val="auto"/>
                <w:sz w:val="20"/>
                <w:szCs w:val="20"/>
              </w:rPr>
              <w:t xml:space="preserve">Prior to June 2023. </w:t>
            </w:r>
          </w:p>
        </w:tc>
      </w:tr>
    </w:tbl>
    <w:p w14:paraId="21120E74" w14:textId="77777777" w:rsidR="0020551D" w:rsidRDefault="0020551D" w:rsidP="0020551D">
      <w:pPr>
        <w:spacing w:line="240" w:lineRule="auto"/>
        <w:rPr>
          <w:iCs/>
          <w:color w:val="000000" w:themeColor="text1"/>
          <w:sz w:val="24"/>
          <w:szCs w:val="24"/>
        </w:rPr>
      </w:pPr>
    </w:p>
    <w:p w14:paraId="371E3CB3" w14:textId="3BF048F3" w:rsidR="0020551D" w:rsidRPr="00DB3079" w:rsidRDefault="0020551D" w:rsidP="002E7313">
      <w:pPr>
        <w:suppressAutoHyphens w:val="0"/>
        <w:spacing w:before="0" w:after="120" w:line="440" w:lineRule="atLeast"/>
        <w:rPr>
          <w:rFonts w:asciiTheme="majorHAnsi" w:hAnsiTheme="majorHAnsi" w:cs="Arial"/>
          <w:color w:val="FF0000"/>
          <w:szCs w:val="21"/>
        </w:rPr>
      </w:pPr>
    </w:p>
    <w:sectPr w:rsidR="0020551D" w:rsidRPr="00DB3079" w:rsidSect="009157B8">
      <w:headerReference w:type="even" r:id="rId9"/>
      <w:headerReference w:type="default" r:id="rId10"/>
      <w:footerReference w:type="default" r:id="rId11"/>
      <w:headerReference w:type="first" r:id="rId12"/>
      <w:pgSz w:w="15840" w:h="12240" w:orient="landscape"/>
      <w:pgMar w:top="1135"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94428" w14:textId="77777777" w:rsidR="00DD068A" w:rsidRDefault="00DD068A" w:rsidP="00D37B04">
      <w:r>
        <w:separator/>
      </w:r>
    </w:p>
  </w:endnote>
  <w:endnote w:type="continuationSeparator" w:id="0">
    <w:p w14:paraId="654A72FA" w14:textId="77777777" w:rsidR="00DD068A" w:rsidRDefault="00DD068A"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A5668" w14:textId="2EC72513" w:rsidR="00453888" w:rsidRDefault="00453888">
    <w:pPr>
      <w:pStyle w:val="Footer"/>
      <w:jc w:val="right"/>
    </w:pPr>
  </w:p>
  <w:p w14:paraId="6C71B39D" w14:textId="77777777" w:rsidR="00FC322F" w:rsidRPr="00FC322F" w:rsidRDefault="00FC322F" w:rsidP="00FC322F">
    <w:pPr>
      <w:pStyle w:val="Footer"/>
      <w:rPr>
        <w:b/>
      </w:rPr>
    </w:pPr>
  </w:p>
  <w:p w14:paraId="44723676" w14:textId="77777777" w:rsidR="0050695E" w:rsidRDefault="005069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7B6C9" w14:textId="77777777" w:rsidR="00DD068A" w:rsidRPr="008C5A0E" w:rsidRDefault="00DD068A" w:rsidP="00D37B04">
      <w:pPr>
        <w:pStyle w:val="Footer"/>
      </w:pPr>
    </w:p>
  </w:footnote>
  <w:footnote w:type="continuationSeparator" w:id="0">
    <w:p w14:paraId="44961436" w14:textId="77777777" w:rsidR="00DD068A" w:rsidRDefault="00DD068A"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0CACB" w14:textId="77777777" w:rsidR="00EE5F36" w:rsidRDefault="00EE5F36">
    <w:pPr>
      <w:pStyle w:val="Header"/>
    </w:pPr>
  </w:p>
  <w:p w14:paraId="5403B843" w14:textId="77777777" w:rsidR="002810DD" w:rsidRDefault="002810DD"/>
  <w:p w14:paraId="3C7BF2DA" w14:textId="57851C6A" w:rsidR="002D5B25" w:rsidRPr="000854FD" w:rsidRDefault="002D5B25" w:rsidP="002D5B25">
    <w:pPr>
      <w:pStyle w:val="Header"/>
    </w:pPr>
    <w:r w:rsidRPr="00943730">
      <w:rPr>
        <w:noProof/>
        <w:lang w:val="en-AU" w:eastAsia="en-AU"/>
      </w:rPr>
      <w:drawing>
        <wp:inline distT="0" distB="0" distL="0" distR="0" wp14:anchorId="00FE8894" wp14:editId="6126FF63">
          <wp:extent cx="10658475" cy="10692765"/>
          <wp:effectExtent l="0" t="0" r="9525" b="0"/>
          <wp:docPr id="12" name="Picture 1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658475" cy="10692765"/>
                  </a:xfrm>
                  <a:prstGeom prst="rect">
                    <a:avLst/>
                  </a:prstGeom>
                </pic:spPr>
              </pic:pic>
            </a:graphicData>
          </a:graphic>
        </wp:inline>
      </w:drawing>
    </w:r>
  </w:p>
  <w:p w14:paraId="17900E3E" w14:textId="77777777" w:rsidR="0050695E" w:rsidRDefault="005069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0BA6" w14:textId="6B845E2C" w:rsidR="0020551D" w:rsidRDefault="0020551D" w:rsidP="00CA7BEF">
    <w:pPr>
      <w:pStyle w:val="Header"/>
      <w:tabs>
        <w:tab w:val="clear" w:pos="4513"/>
        <w:tab w:val="clear" w:pos="9026"/>
        <w:tab w:val="left" w:pos="5430"/>
      </w:tabs>
      <w:ind w:left="0"/>
    </w:pPr>
    <w:r w:rsidRPr="00943730">
      <w:rPr>
        <w:noProof/>
        <w:lang w:val="en-AU" w:eastAsia="en-AU"/>
      </w:rPr>
      <w:drawing>
        <wp:anchor distT="0" distB="0" distL="114300" distR="114300" simplePos="0" relativeHeight="251664384" behindDoc="1" locked="1" layoutInCell="1" allowOverlap="1" wp14:anchorId="5DF91C06" wp14:editId="302064F0">
          <wp:simplePos x="0" y="0"/>
          <wp:positionH relativeFrom="page">
            <wp:align>right</wp:align>
          </wp:positionH>
          <wp:positionV relativeFrom="page">
            <wp:align>top</wp:align>
          </wp:positionV>
          <wp:extent cx="10048875" cy="7753350"/>
          <wp:effectExtent l="0" t="0" r="9525"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48875" cy="7753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938EB" w14:textId="28E623BE" w:rsidR="00D37B04" w:rsidRPr="00943730" w:rsidRDefault="002D5B25" w:rsidP="00943730">
    <w:pPr>
      <w:pStyle w:val="Header"/>
    </w:pPr>
    <w:r w:rsidRPr="00943730">
      <w:rPr>
        <w:noProof/>
        <w:lang w:val="en-AU" w:eastAsia="en-AU"/>
      </w:rPr>
      <w:drawing>
        <wp:inline distT="0" distB="0" distL="0" distR="0" wp14:anchorId="736E0EE7" wp14:editId="0899C029">
          <wp:extent cx="10668000" cy="10692130"/>
          <wp:effectExtent l="0" t="0" r="0" b="0"/>
          <wp:docPr id="14" name="Picture 1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668000" cy="10692130"/>
                  </a:xfrm>
                  <a:prstGeom prst="rect">
                    <a:avLst/>
                  </a:prstGeom>
                </pic:spPr>
              </pic:pic>
            </a:graphicData>
          </a:graphic>
        </wp:inline>
      </w:drawing>
    </w:r>
    <w:r w:rsidR="003555AD">
      <w:t xml:space="preserve">  </w:t>
    </w:r>
  </w:p>
  <w:p w14:paraId="399C1483" w14:textId="77777777" w:rsidR="0050695E" w:rsidRDefault="005069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8DCD11"/>
    <w:multiLevelType w:val="hybridMultilevel"/>
    <w:tmpl w:val="7BAB8DA0"/>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61F67C3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A7A24C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7CE239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A4C40E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3A0089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00AF38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8967D7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B14743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4C077C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6FEEF1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8C24D1"/>
    <w:multiLevelType w:val="hybridMultilevel"/>
    <w:tmpl w:val="4F12C788"/>
    <w:lvl w:ilvl="0" w:tplc="0C090013">
      <w:start w:val="1"/>
      <w:numFmt w:val="upperRoman"/>
      <w:lvlText w:val="%1."/>
      <w:lvlJc w:val="right"/>
      <w:pPr>
        <w:ind w:left="720" w:hanging="360"/>
      </w:pPr>
      <w:rPr>
        <w:rFonts w:hint="default"/>
        <w:b/>
        <w:color w:val="495965" w:themeColor="text2"/>
        <w:sz w:val="22"/>
        <w:szCs w:val="22"/>
      </w:rPr>
    </w:lvl>
    <w:lvl w:ilvl="1" w:tplc="17768A98">
      <w:start w:val="1"/>
      <w:numFmt w:val="bullet"/>
      <w:lvlText w:val="›"/>
      <w:lvlJc w:val="left"/>
      <w:pPr>
        <w:ind w:left="1440" w:hanging="360"/>
      </w:pPr>
      <w:rPr>
        <w:rFonts w:ascii="Times New Roman" w:hAnsi="Times New Roman" w:cs="Times New Roman" w:hint="default"/>
        <w:color w:val="495965" w:themeColor="text2"/>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5F26C4BC">
      <w:start w:val="1"/>
      <w:numFmt w:val="lowerRoman"/>
      <w:lvlText w:val="%6)"/>
      <w:lvlJc w:val="left"/>
      <w:pPr>
        <w:ind w:left="4860" w:hanging="720"/>
      </w:pPr>
      <w:rPr>
        <w:rFonts w:hint="default"/>
      </w:r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5" w15:restartNumberingAfterBreak="0">
    <w:nsid w:val="228E4B7D"/>
    <w:multiLevelType w:val="hybridMultilevel"/>
    <w:tmpl w:val="D62CCC96"/>
    <w:lvl w:ilvl="0" w:tplc="7AD83968">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3379781D"/>
    <w:multiLevelType w:val="hybridMultilevel"/>
    <w:tmpl w:val="6FE2B8F4"/>
    <w:lvl w:ilvl="0" w:tplc="8D20A9EE">
      <w:start w:val="1"/>
      <w:numFmt w:val="upperLetter"/>
      <w:lvlText w:val="%1."/>
      <w:lvlJc w:val="left"/>
      <w:pPr>
        <w:ind w:left="720" w:hanging="360"/>
      </w:pPr>
      <w:rPr>
        <w:b/>
        <w:color w:val="495965" w:themeColor="text2"/>
        <w:sz w:val="22"/>
        <w:szCs w:val="22"/>
      </w:rPr>
    </w:lvl>
    <w:lvl w:ilvl="1" w:tplc="17768A98">
      <w:start w:val="1"/>
      <w:numFmt w:val="bullet"/>
      <w:lvlText w:val="›"/>
      <w:lvlJc w:val="left"/>
      <w:pPr>
        <w:ind w:left="1440" w:hanging="360"/>
      </w:pPr>
      <w:rPr>
        <w:rFonts w:ascii="Times New Roman" w:hAnsi="Times New Roman" w:cs="Times New Roman" w:hint="default"/>
        <w:color w:val="495965" w:themeColor="text2"/>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4876964"/>
    <w:multiLevelType w:val="hybridMultilevel"/>
    <w:tmpl w:val="11069A28"/>
    <w:lvl w:ilvl="0" w:tplc="8D20A9EE">
      <w:start w:val="1"/>
      <w:numFmt w:val="upperLetter"/>
      <w:lvlText w:val="%1."/>
      <w:lvlJc w:val="left"/>
      <w:pPr>
        <w:ind w:left="720" w:hanging="360"/>
      </w:pPr>
      <w:rPr>
        <w:b/>
        <w:color w:val="495965" w:themeColor="text2"/>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6B15B0F"/>
    <w:multiLevelType w:val="hybridMultilevel"/>
    <w:tmpl w:val="4F12C788"/>
    <w:lvl w:ilvl="0" w:tplc="0C090013">
      <w:start w:val="1"/>
      <w:numFmt w:val="upperRoman"/>
      <w:lvlText w:val="%1."/>
      <w:lvlJc w:val="right"/>
      <w:pPr>
        <w:ind w:left="720" w:hanging="360"/>
      </w:pPr>
      <w:rPr>
        <w:rFonts w:hint="default"/>
        <w:b/>
        <w:color w:val="495965" w:themeColor="text2"/>
        <w:sz w:val="22"/>
        <w:szCs w:val="22"/>
      </w:rPr>
    </w:lvl>
    <w:lvl w:ilvl="1" w:tplc="17768A98">
      <w:start w:val="1"/>
      <w:numFmt w:val="bullet"/>
      <w:lvlText w:val="›"/>
      <w:lvlJc w:val="left"/>
      <w:pPr>
        <w:ind w:left="1440" w:hanging="360"/>
      </w:pPr>
      <w:rPr>
        <w:rFonts w:ascii="Times New Roman" w:hAnsi="Times New Roman" w:cs="Times New Roman" w:hint="default"/>
        <w:color w:val="495965" w:themeColor="text2"/>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5F26C4BC">
      <w:start w:val="1"/>
      <w:numFmt w:val="lowerRoman"/>
      <w:lvlText w:val="%6)"/>
      <w:lvlJc w:val="left"/>
      <w:pPr>
        <w:ind w:left="4860" w:hanging="720"/>
      </w:pPr>
      <w:rPr>
        <w:rFonts w:hint="default"/>
      </w:r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A8598B"/>
    <w:multiLevelType w:val="hybridMultilevel"/>
    <w:tmpl w:val="D16840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424F035C"/>
    <w:multiLevelType w:val="hybridMultilevel"/>
    <w:tmpl w:val="1CAC56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9226C1F"/>
    <w:multiLevelType w:val="hybridMultilevel"/>
    <w:tmpl w:val="843691DE"/>
    <w:lvl w:ilvl="0" w:tplc="17768A98">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553D9F"/>
    <w:multiLevelType w:val="multilevel"/>
    <w:tmpl w:val="A6FA45D0"/>
    <w:numStyleLink w:val="BulletsList"/>
  </w:abstractNum>
  <w:abstractNum w:abstractNumId="24" w15:restartNumberingAfterBreak="0">
    <w:nsid w:val="5917009C"/>
    <w:multiLevelType w:val="hybridMultilevel"/>
    <w:tmpl w:val="06763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15:restartNumberingAfterBreak="0">
    <w:nsid w:val="5D3C1EA7"/>
    <w:multiLevelType w:val="multilevel"/>
    <w:tmpl w:val="A6FA45D0"/>
    <w:numStyleLink w:val="BulletsList"/>
  </w:abstractNum>
  <w:abstractNum w:abstractNumId="2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15:restartNumberingAfterBreak="0">
    <w:nsid w:val="66C903F3"/>
    <w:multiLevelType w:val="hybridMultilevel"/>
    <w:tmpl w:val="64209724"/>
    <w:lvl w:ilvl="0" w:tplc="8D20A9EE">
      <w:start w:val="1"/>
      <w:numFmt w:val="upperLetter"/>
      <w:lvlText w:val="%1."/>
      <w:lvlJc w:val="left"/>
      <w:pPr>
        <w:ind w:left="1211" w:hanging="360"/>
      </w:pPr>
      <w:rPr>
        <w:b/>
        <w:color w:val="495965" w:themeColor="text2"/>
        <w:sz w:val="22"/>
        <w:szCs w:val="22"/>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9" w15:restartNumberingAfterBreak="0">
    <w:nsid w:val="6CDE583D"/>
    <w:multiLevelType w:val="hybridMultilevel"/>
    <w:tmpl w:val="DB7A55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FCA559E"/>
    <w:multiLevelType w:val="hybridMultilevel"/>
    <w:tmpl w:val="AADA1280"/>
    <w:lvl w:ilvl="0" w:tplc="17768A98">
      <w:start w:val="1"/>
      <w:numFmt w:val="bullet"/>
      <w:lvlText w:val="›"/>
      <w:lvlJc w:val="left"/>
      <w:pPr>
        <w:ind w:left="862" w:hanging="360"/>
      </w:pPr>
      <w:rPr>
        <w:rFonts w:ascii="Times New Roman" w:hAnsi="Times New Roman" w:cs="Times New Roman"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1" w15:restartNumberingAfterBreak="0">
    <w:nsid w:val="72DB1565"/>
    <w:multiLevelType w:val="hybridMultilevel"/>
    <w:tmpl w:val="011AB2C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107305"/>
    <w:multiLevelType w:val="multilevel"/>
    <w:tmpl w:val="A6FA45D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3" w15:restartNumberingAfterBreak="0">
    <w:nsid w:val="763E74F5"/>
    <w:multiLevelType w:val="hybridMultilevel"/>
    <w:tmpl w:val="6FDCC37E"/>
    <w:lvl w:ilvl="0" w:tplc="AE2A1788">
      <w:numFmt w:val="bullet"/>
      <w:lvlText w:val="-"/>
      <w:lvlJc w:val="left"/>
      <w:pPr>
        <w:ind w:left="720" w:hanging="360"/>
      </w:pPr>
      <w:rPr>
        <w:rFonts w:ascii="Calibri Light" w:eastAsia="Times New Roman" w:hAnsi="Calibri Light" w:cs="Calibri Light" w:hint="default"/>
        <w:b/>
        <w:color w:val="495965" w:themeColor="text2"/>
        <w:sz w:val="22"/>
        <w:szCs w:val="22"/>
      </w:rPr>
    </w:lvl>
    <w:lvl w:ilvl="1" w:tplc="17768A98">
      <w:start w:val="1"/>
      <w:numFmt w:val="bullet"/>
      <w:lvlText w:val="›"/>
      <w:lvlJc w:val="left"/>
      <w:pPr>
        <w:ind w:left="1440" w:hanging="360"/>
      </w:pPr>
      <w:rPr>
        <w:rFonts w:ascii="Times New Roman" w:hAnsi="Times New Roman" w:cs="Times New Roman" w:hint="default"/>
        <w:color w:val="495965" w:themeColor="text2"/>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5F26C4BC">
      <w:start w:val="1"/>
      <w:numFmt w:val="lowerRoman"/>
      <w:lvlText w:val="%6)"/>
      <w:lvlJc w:val="left"/>
      <w:pPr>
        <w:ind w:left="4860" w:hanging="720"/>
      </w:pPr>
      <w:rPr>
        <w:rFonts w:hint="default"/>
      </w:r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5" w15:restartNumberingAfterBreak="0">
    <w:nsid w:val="7F7A528B"/>
    <w:multiLevelType w:val="hybridMultilevel"/>
    <w:tmpl w:val="A39658C0"/>
    <w:lvl w:ilvl="0" w:tplc="7B640FF6">
      <w:start w:val="1"/>
      <w:numFmt w:val="bullet"/>
      <w:pStyle w:val="ListBullet"/>
      <w:lvlText w:val="›"/>
      <w:lvlJc w:val="left"/>
      <w:pPr>
        <w:ind w:left="0" w:hanging="360"/>
      </w:pPr>
      <w:rPr>
        <w:rFonts w:ascii="Times New Roman" w:hAnsi="Times New Roman" w:cs="Times New Roman" w:hint="default"/>
        <w:color w:val="auto"/>
        <w:position w:val="3"/>
      </w:rPr>
    </w:lvl>
    <w:lvl w:ilvl="1" w:tplc="FFFFFFFF">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num w:numId="1" w16cid:durableId="1101145403">
    <w:abstractNumId w:val="32"/>
  </w:num>
  <w:num w:numId="2" w16cid:durableId="115876328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6960289">
    <w:abstractNumId w:val="12"/>
  </w:num>
  <w:num w:numId="4" w16cid:durableId="6826356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6137105">
    <w:abstractNumId w:val="16"/>
  </w:num>
  <w:num w:numId="6" w16cid:durableId="10773601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4527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486292">
    <w:abstractNumId w:val="13"/>
  </w:num>
  <w:num w:numId="9" w16cid:durableId="1707020176">
    <w:abstractNumId w:val="25"/>
  </w:num>
  <w:num w:numId="10" w16cid:durableId="1498694334">
    <w:abstractNumId w:val="27"/>
  </w:num>
  <w:num w:numId="11" w16cid:durableId="286202305">
    <w:abstractNumId w:val="10"/>
  </w:num>
  <w:num w:numId="12" w16cid:durableId="601764802">
    <w:abstractNumId w:val="8"/>
  </w:num>
  <w:num w:numId="13" w16cid:durableId="33123151">
    <w:abstractNumId w:val="7"/>
  </w:num>
  <w:num w:numId="14" w16cid:durableId="259996487">
    <w:abstractNumId w:val="6"/>
  </w:num>
  <w:num w:numId="15" w16cid:durableId="1321539596">
    <w:abstractNumId w:val="5"/>
  </w:num>
  <w:num w:numId="16" w16cid:durableId="168451353">
    <w:abstractNumId w:val="9"/>
  </w:num>
  <w:num w:numId="17" w16cid:durableId="270817767">
    <w:abstractNumId w:val="4"/>
  </w:num>
  <w:num w:numId="18" w16cid:durableId="496850087">
    <w:abstractNumId w:val="3"/>
  </w:num>
  <w:num w:numId="19" w16cid:durableId="2065182004">
    <w:abstractNumId w:val="2"/>
  </w:num>
  <w:num w:numId="20" w16cid:durableId="195701631">
    <w:abstractNumId w:val="1"/>
  </w:num>
  <w:num w:numId="21" w16cid:durableId="1496187162">
    <w:abstractNumId w:val="26"/>
  </w:num>
  <w:num w:numId="22" w16cid:durableId="734738689">
    <w:abstractNumId w:val="16"/>
  </w:num>
  <w:num w:numId="23" w16cid:durableId="1033653360">
    <w:abstractNumId w:val="16"/>
  </w:num>
  <w:num w:numId="24" w16cid:durableId="526721112">
    <w:abstractNumId w:val="26"/>
  </w:num>
  <w:num w:numId="25" w16cid:durableId="1811945093">
    <w:abstractNumId w:val="26"/>
  </w:num>
  <w:num w:numId="26" w16cid:durableId="4602526">
    <w:abstractNumId w:val="26"/>
  </w:num>
  <w:num w:numId="27" w16cid:durableId="290522654">
    <w:abstractNumId w:val="25"/>
  </w:num>
  <w:num w:numId="28" w16cid:durableId="1415250013">
    <w:abstractNumId w:val="12"/>
  </w:num>
  <w:num w:numId="29" w16cid:durableId="1035931965">
    <w:abstractNumId w:val="12"/>
  </w:num>
  <w:num w:numId="30" w16cid:durableId="1189375044">
    <w:abstractNumId w:val="12"/>
  </w:num>
  <w:num w:numId="31" w16cid:durableId="267735484">
    <w:abstractNumId w:val="14"/>
  </w:num>
  <w:num w:numId="32" w16cid:durableId="1378046596">
    <w:abstractNumId w:val="34"/>
  </w:num>
  <w:num w:numId="33" w16cid:durableId="1746950666">
    <w:abstractNumId w:val="23"/>
  </w:num>
  <w:num w:numId="34" w16cid:durableId="1419982067">
    <w:abstractNumId w:val="18"/>
  </w:num>
  <w:num w:numId="35" w16cid:durableId="748042929">
    <w:abstractNumId w:val="30"/>
  </w:num>
  <w:num w:numId="36" w16cid:durableId="259801888">
    <w:abstractNumId w:val="22"/>
  </w:num>
  <w:num w:numId="37" w16cid:durableId="1269653305">
    <w:abstractNumId w:val="35"/>
  </w:num>
  <w:num w:numId="38" w16cid:durableId="73666263">
    <w:abstractNumId w:val="28"/>
  </w:num>
  <w:num w:numId="39" w16cid:durableId="1564028721">
    <w:abstractNumId w:val="17"/>
  </w:num>
  <w:num w:numId="40" w16cid:durableId="401298748">
    <w:abstractNumId w:val="24"/>
  </w:num>
  <w:num w:numId="41" w16cid:durableId="638414765">
    <w:abstractNumId w:val="19"/>
  </w:num>
  <w:num w:numId="42" w16cid:durableId="1420982917">
    <w:abstractNumId w:val="31"/>
  </w:num>
  <w:num w:numId="43" w16cid:durableId="1703087763">
    <w:abstractNumId w:val="29"/>
  </w:num>
  <w:num w:numId="44" w16cid:durableId="591206797">
    <w:abstractNumId w:val="11"/>
  </w:num>
  <w:num w:numId="45" w16cid:durableId="2040619574">
    <w:abstractNumId w:val="33"/>
  </w:num>
  <w:num w:numId="46" w16cid:durableId="1558198097">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03074250">
    <w:abstractNumId w:val="0"/>
  </w:num>
  <w:num w:numId="48" w16cid:durableId="1187595295">
    <w:abstractNumId w:val="20"/>
  </w:num>
  <w:num w:numId="49" w16cid:durableId="1101756342">
    <w:abstractNumId w:val="21"/>
  </w:num>
  <w:num w:numId="50" w16cid:durableId="11091562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C57"/>
    <w:rsid w:val="00000430"/>
    <w:rsid w:val="000009A7"/>
    <w:rsid w:val="00001DA8"/>
    <w:rsid w:val="000020C1"/>
    <w:rsid w:val="0000501B"/>
    <w:rsid w:val="0002080A"/>
    <w:rsid w:val="0002240A"/>
    <w:rsid w:val="000263E3"/>
    <w:rsid w:val="0002782F"/>
    <w:rsid w:val="00035BBF"/>
    <w:rsid w:val="000373EC"/>
    <w:rsid w:val="000415BB"/>
    <w:rsid w:val="000461F4"/>
    <w:rsid w:val="00050806"/>
    <w:rsid w:val="00050C68"/>
    <w:rsid w:val="0005353F"/>
    <w:rsid w:val="000546D9"/>
    <w:rsid w:val="00054E4D"/>
    <w:rsid w:val="00060073"/>
    <w:rsid w:val="000616C6"/>
    <w:rsid w:val="000718E8"/>
    <w:rsid w:val="00072B6A"/>
    <w:rsid w:val="000736E3"/>
    <w:rsid w:val="00073734"/>
    <w:rsid w:val="00073808"/>
    <w:rsid w:val="00075A7F"/>
    <w:rsid w:val="00084E13"/>
    <w:rsid w:val="000854FD"/>
    <w:rsid w:val="0008610E"/>
    <w:rsid w:val="00090C83"/>
    <w:rsid w:val="000B37F5"/>
    <w:rsid w:val="000D0D92"/>
    <w:rsid w:val="000D1537"/>
    <w:rsid w:val="000D520F"/>
    <w:rsid w:val="000D66D6"/>
    <w:rsid w:val="000E59E4"/>
    <w:rsid w:val="000F06F8"/>
    <w:rsid w:val="000F1205"/>
    <w:rsid w:val="000F3962"/>
    <w:rsid w:val="001005CC"/>
    <w:rsid w:val="001041F9"/>
    <w:rsid w:val="00113288"/>
    <w:rsid w:val="00116DB2"/>
    <w:rsid w:val="001214BE"/>
    <w:rsid w:val="00124B8A"/>
    <w:rsid w:val="0012651C"/>
    <w:rsid w:val="00126B7B"/>
    <w:rsid w:val="00130F0B"/>
    <w:rsid w:val="0013101C"/>
    <w:rsid w:val="0013233F"/>
    <w:rsid w:val="001340EB"/>
    <w:rsid w:val="00140669"/>
    <w:rsid w:val="0014385D"/>
    <w:rsid w:val="001461D6"/>
    <w:rsid w:val="00152531"/>
    <w:rsid w:val="001541EA"/>
    <w:rsid w:val="00185C85"/>
    <w:rsid w:val="00186A3E"/>
    <w:rsid w:val="00193353"/>
    <w:rsid w:val="00193962"/>
    <w:rsid w:val="00193B4A"/>
    <w:rsid w:val="00195590"/>
    <w:rsid w:val="001964AC"/>
    <w:rsid w:val="00197515"/>
    <w:rsid w:val="001A1145"/>
    <w:rsid w:val="001C066E"/>
    <w:rsid w:val="001D663E"/>
    <w:rsid w:val="001E1DC0"/>
    <w:rsid w:val="001E37CF"/>
    <w:rsid w:val="001F007A"/>
    <w:rsid w:val="001F31BC"/>
    <w:rsid w:val="001F439D"/>
    <w:rsid w:val="001F60F9"/>
    <w:rsid w:val="00203277"/>
    <w:rsid w:val="0020551D"/>
    <w:rsid w:val="00205B2E"/>
    <w:rsid w:val="00207C4D"/>
    <w:rsid w:val="00214BC5"/>
    <w:rsid w:val="002215EC"/>
    <w:rsid w:val="00235821"/>
    <w:rsid w:val="00252C04"/>
    <w:rsid w:val="00265D14"/>
    <w:rsid w:val="00270D79"/>
    <w:rsid w:val="00275090"/>
    <w:rsid w:val="00280A5A"/>
    <w:rsid w:val="002810DD"/>
    <w:rsid w:val="00281602"/>
    <w:rsid w:val="0028602A"/>
    <w:rsid w:val="002A110D"/>
    <w:rsid w:val="002B0C57"/>
    <w:rsid w:val="002B0FE0"/>
    <w:rsid w:val="002B523B"/>
    <w:rsid w:val="002B5E10"/>
    <w:rsid w:val="002C634A"/>
    <w:rsid w:val="002C793D"/>
    <w:rsid w:val="002D5B25"/>
    <w:rsid w:val="002D6362"/>
    <w:rsid w:val="002D7361"/>
    <w:rsid w:val="002D780B"/>
    <w:rsid w:val="002E1578"/>
    <w:rsid w:val="002E1BEF"/>
    <w:rsid w:val="002E2B7F"/>
    <w:rsid w:val="002E62F2"/>
    <w:rsid w:val="002E7313"/>
    <w:rsid w:val="002F4F2B"/>
    <w:rsid w:val="003002C0"/>
    <w:rsid w:val="00301144"/>
    <w:rsid w:val="003031C6"/>
    <w:rsid w:val="00304984"/>
    <w:rsid w:val="00307545"/>
    <w:rsid w:val="0031075C"/>
    <w:rsid w:val="00311EAB"/>
    <w:rsid w:val="00312BF8"/>
    <w:rsid w:val="003140F5"/>
    <w:rsid w:val="003148B7"/>
    <w:rsid w:val="003158C3"/>
    <w:rsid w:val="00315CCC"/>
    <w:rsid w:val="00317661"/>
    <w:rsid w:val="00322574"/>
    <w:rsid w:val="003274CD"/>
    <w:rsid w:val="00333501"/>
    <w:rsid w:val="003457C4"/>
    <w:rsid w:val="00350696"/>
    <w:rsid w:val="0035119D"/>
    <w:rsid w:val="00353D54"/>
    <w:rsid w:val="003555AD"/>
    <w:rsid w:val="00361C89"/>
    <w:rsid w:val="003621FC"/>
    <w:rsid w:val="0036446B"/>
    <w:rsid w:val="0037149C"/>
    <w:rsid w:val="00376A4A"/>
    <w:rsid w:val="0038412A"/>
    <w:rsid w:val="00384C42"/>
    <w:rsid w:val="00384D40"/>
    <w:rsid w:val="0039344A"/>
    <w:rsid w:val="00395163"/>
    <w:rsid w:val="003A0822"/>
    <w:rsid w:val="003A7F20"/>
    <w:rsid w:val="003B4F12"/>
    <w:rsid w:val="003B6FD5"/>
    <w:rsid w:val="003C01F9"/>
    <w:rsid w:val="003C2747"/>
    <w:rsid w:val="003C741D"/>
    <w:rsid w:val="003D649F"/>
    <w:rsid w:val="003D6F0A"/>
    <w:rsid w:val="003F2041"/>
    <w:rsid w:val="003F2E74"/>
    <w:rsid w:val="003F455F"/>
    <w:rsid w:val="003F64C9"/>
    <w:rsid w:val="004016D3"/>
    <w:rsid w:val="00402ACC"/>
    <w:rsid w:val="00404852"/>
    <w:rsid w:val="00406133"/>
    <w:rsid w:val="004120EC"/>
    <w:rsid w:val="0041662B"/>
    <w:rsid w:val="00416707"/>
    <w:rsid w:val="00421E49"/>
    <w:rsid w:val="00423F31"/>
    <w:rsid w:val="00424ED7"/>
    <w:rsid w:val="00431899"/>
    <w:rsid w:val="00431BDD"/>
    <w:rsid w:val="004326E7"/>
    <w:rsid w:val="00432F87"/>
    <w:rsid w:val="00442055"/>
    <w:rsid w:val="00446E11"/>
    <w:rsid w:val="00453888"/>
    <w:rsid w:val="004602A2"/>
    <w:rsid w:val="00463991"/>
    <w:rsid w:val="00472D59"/>
    <w:rsid w:val="00476AFE"/>
    <w:rsid w:val="004776A5"/>
    <w:rsid w:val="00482AE8"/>
    <w:rsid w:val="0048492D"/>
    <w:rsid w:val="00486804"/>
    <w:rsid w:val="00490CDB"/>
    <w:rsid w:val="004939C4"/>
    <w:rsid w:val="00493A0B"/>
    <w:rsid w:val="004A4DAB"/>
    <w:rsid w:val="004B3775"/>
    <w:rsid w:val="004C3552"/>
    <w:rsid w:val="004C6342"/>
    <w:rsid w:val="004C742D"/>
    <w:rsid w:val="004D0BA0"/>
    <w:rsid w:val="004D77DA"/>
    <w:rsid w:val="004E058F"/>
    <w:rsid w:val="004E15B0"/>
    <w:rsid w:val="004E2F72"/>
    <w:rsid w:val="004E3B87"/>
    <w:rsid w:val="004E782A"/>
    <w:rsid w:val="004E7A13"/>
    <w:rsid w:val="004F2014"/>
    <w:rsid w:val="004F2AF9"/>
    <w:rsid w:val="004F62FE"/>
    <w:rsid w:val="004F764B"/>
    <w:rsid w:val="004F7994"/>
    <w:rsid w:val="005038DE"/>
    <w:rsid w:val="0050614F"/>
    <w:rsid w:val="0050695E"/>
    <w:rsid w:val="00510921"/>
    <w:rsid w:val="00510AD3"/>
    <w:rsid w:val="00513348"/>
    <w:rsid w:val="00513760"/>
    <w:rsid w:val="00513AD8"/>
    <w:rsid w:val="00515BEC"/>
    <w:rsid w:val="005204D2"/>
    <w:rsid w:val="0052204E"/>
    <w:rsid w:val="00522396"/>
    <w:rsid w:val="00526A60"/>
    <w:rsid w:val="00533B5D"/>
    <w:rsid w:val="00543946"/>
    <w:rsid w:val="00543ABB"/>
    <w:rsid w:val="00554290"/>
    <w:rsid w:val="0057203C"/>
    <w:rsid w:val="00573518"/>
    <w:rsid w:val="00575EF4"/>
    <w:rsid w:val="005852A5"/>
    <w:rsid w:val="00585BB6"/>
    <w:rsid w:val="00587FE6"/>
    <w:rsid w:val="00591095"/>
    <w:rsid w:val="00592B7E"/>
    <w:rsid w:val="00594014"/>
    <w:rsid w:val="005943E1"/>
    <w:rsid w:val="005A20F6"/>
    <w:rsid w:val="005A6249"/>
    <w:rsid w:val="005B2ED0"/>
    <w:rsid w:val="005B55E8"/>
    <w:rsid w:val="005D187C"/>
    <w:rsid w:val="005D18BD"/>
    <w:rsid w:val="005D3655"/>
    <w:rsid w:val="005D3976"/>
    <w:rsid w:val="005E4830"/>
    <w:rsid w:val="005E552A"/>
    <w:rsid w:val="005E6B02"/>
    <w:rsid w:val="005E7E28"/>
    <w:rsid w:val="005F0105"/>
    <w:rsid w:val="005F1287"/>
    <w:rsid w:val="005F55B8"/>
    <w:rsid w:val="005F72CE"/>
    <w:rsid w:val="0061361B"/>
    <w:rsid w:val="00622B86"/>
    <w:rsid w:val="00623BA1"/>
    <w:rsid w:val="00630CD3"/>
    <w:rsid w:val="00631C30"/>
    <w:rsid w:val="006346BC"/>
    <w:rsid w:val="00640A75"/>
    <w:rsid w:val="00646EC5"/>
    <w:rsid w:val="00650E8C"/>
    <w:rsid w:val="00651FCD"/>
    <w:rsid w:val="00654781"/>
    <w:rsid w:val="00655389"/>
    <w:rsid w:val="006603EC"/>
    <w:rsid w:val="0066535E"/>
    <w:rsid w:val="0066652A"/>
    <w:rsid w:val="006707E4"/>
    <w:rsid w:val="006719C3"/>
    <w:rsid w:val="00676F94"/>
    <w:rsid w:val="00680321"/>
    <w:rsid w:val="00680522"/>
    <w:rsid w:val="00682167"/>
    <w:rsid w:val="00687D04"/>
    <w:rsid w:val="0069290E"/>
    <w:rsid w:val="006A131C"/>
    <w:rsid w:val="006A1EA0"/>
    <w:rsid w:val="006A3175"/>
    <w:rsid w:val="006A6920"/>
    <w:rsid w:val="006B532A"/>
    <w:rsid w:val="006C42AF"/>
    <w:rsid w:val="006C5A6A"/>
    <w:rsid w:val="006E556A"/>
    <w:rsid w:val="006E7FD9"/>
    <w:rsid w:val="00702306"/>
    <w:rsid w:val="00711D8E"/>
    <w:rsid w:val="00712672"/>
    <w:rsid w:val="0071343E"/>
    <w:rsid w:val="00714D79"/>
    <w:rsid w:val="007170B2"/>
    <w:rsid w:val="0072247D"/>
    <w:rsid w:val="00726CDA"/>
    <w:rsid w:val="00734E3F"/>
    <w:rsid w:val="00736985"/>
    <w:rsid w:val="00745DF5"/>
    <w:rsid w:val="0076250F"/>
    <w:rsid w:val="007662DA"/>
    <w:rsid w:val="00766D5F"/>
    <w:rsid w:val="007706B8"/>
    <w:rsid w:val="00774EE4"/>
    <w:rsid w:val="0078095C"/>
    <w:rsid w:val="00780FA5"/>
    <w:rsid w:val="007833E5"/>
    <w:rsid w:val="00790999"/>
    <w:rsid w:val="007A0DE1"/>
    <w:rsid w:val="007A22E6"/>
    <w:rsid w:val="007A5BA5"/>
    <w:rsid w:val="007B284F"/>
    <w:rsid w:val="007B4F1E"/>
    <w:rsid w:val="007B5B4F"/>
    <w:rsid w:val="007B6200"/>
    <w:rsid w:val="007C7468"/>
    <w:rsid w:val="007D0D90"/>
    <w:rsid w:val="007D11D9"/>
    <w:rsid w:val="007F0253"/>
    <w:rsid w:val="007F0A04"/>
    <w:rsid w:val="007F2106"/>
    <w:rsid w:val="007F3395"/>
    <w:rsid w:val="007F56B2"/>
    <w:rsid w:val="007F796C"/>
    <w:rsid w:val="00801B9F"/>
    <w:rsid w:val="0080204D"/>
    <w:rsid w:val="00802260"/>
    <w:rsid w:val="00805B9C"/>
    <w:rsid w:val="00815204"/>
    <w:rsid w:val="0083052F"/>
    <w:rsid w:val="00831D46"/>
    <w:rsid w:val="00835E3D"/>
    <w:rsid w:val="0083789C"/>
    <w:rsid w:val="008475F0"/>
    <w:rsid w:val="00850048"/>
    <w:rsid w:val="00853570"/>
    <w:rsid w:val="008557A7"/>
    <w:rsid w:val="008566C2"/>
    <w:rsid w:val="00864A84"/>
    <w:rsid w:val="00865FCE"/>
    <w:rsid w:val="00870928"/>
    <w:rsid w:val="00874734"/>
    <w:rsid w:val="008765FA"/>
    <w:rsid w:val="00876CC4"/>
    <w:rsid w:val="00885923"/>
    <w:rsid w:val="00885A62"/>
    <w:rsid w:val="0088663B"/>
    <w:rsid w:val="0089405C"/>
    <w:rsid w:val="00897FA2"/>
    <w:rsid w:val="008A5AFE"/>
    <w:rsid w:val="008B0555"/>
    <w:rsid w:val="008B0754"/>
    <w:rsid w:val="008B6C8F"/>
    <w:rsid w:val="008B7489"/>
    <w:rsid w:val="008C1029"/>
    <w:rsid w:val="008C5625"/>
    <w:rsid w:val="008C5A0E"/>
    <w:rsid w:val="008C5DCE"/>
    <w:rsid w:val="008C6DE4"/>
    <w:rsid w:val="008D5987"/>
    <w:rsid w:val="008E22BF"/>
    <w:rsid w:val="008E3068"/>
    <w:rsid w:val="008F2EA0"/>
    <w:rsid w:val="008F5F0E"/>
    <w:rsid w:val="009157B8"/>
    <w:rsid w:val="00915EB0"/>
    <w:rsid w:val="00927107"/>
    <w:rsid w:val="00931166"/>
    <w:rsid w:val="00933131"/>
    <w:rsid w:val="009421F1"/>
    <w:rsid w:val="00943730"/>
    <w:rsid w:val="009460AA"/>
    <w:rsid w:val="0094718A"/>
    <w:rsid w:val="0095244A"/>
    <w:rsid w:val="00955258"/>
    <w:rsid w:val="00955803"/>
    <w:rsid w:val="00955ABA"/>
    <w:rsid w:val="00961E72"/>
    <w:rsid w:val="0096312A"/>
    <w:rsid w:val="00963F9C"/>
    <w:rsid w:val="0096624A"/>
    <w:rsid w:val="0096797B"/>
    <w:rsid w:val="00970BDB"/>
    <w:rsid w:val="00971557"/>
    <w:rsid w:val="00971FA2"/>
    <w:rsid w:val="00975CA5"/>
    <w:rsid w:val="00983AED"/>
    <w:rsid w:val="00986590"/>
    <w:rsid w:val="00986B99"/>
    <w:rsid w:val="00992C76"/>
    <w:rsid w:val="009969D6"/>
    <w:rsid w:val="009A0CEF"/>
    <w:rsid w:val="009A19EF"/>
    <w:rsid w:val="009A3DD2"/>
    <w:rsid w:val="009B26B9"/>
    <w:rsid w:val="009B3DA1"/>
    <w:rsid w:val="009B441A"/>
    <w:rsid w:val="009B4D3B"/>
    <w:rsid w:val="009B7942"/>
    <w:rsid w:val="009C451B"/>
    <w:rsid w:val="009D7407"/>
    <w:rsid w:val="009D796D"/>
    <w:rsid w:val="009E0866"/>
    <w:rsid w:val="009E2636"/>
    <w:rsid w:val="009E273C"/>
    <w:rsid w:val="009F1350"/>
    <w:rsid w:val="009F6423"/>
    <w:rsid w:val="009F6823"/>
    <w:rsid w:val="00A0360A"/>
    <w:rsid w:val="00A13472"/>
    <w:rsid w:val="00A16DDA"/>
    <w:rsid w:val="00A175B3"/>
    <w:rsid w:val="00A179C8"/>
    <w:rsid w:val="00A23296"/>
    <w:rsid w:val="00A24A62"/>
    <w:rsid w:val="00A276DA"/>
    <w:rsid w:val="00A31C9F"/>
    <w:rsid w:val="00A32858"/>
    <w:rsid w:val="00A351D2"/>
    <w:rsid w:val="00A4144F"/>
    <w:rsid w:val="00A56628"/>
    <w:rsid w:val="00A61B4D"/>
    <w:rsid w:val="00A67CB8"/>
    <w:rsid w:val="00A76382"/>
    <w:rsid w:val="00A77CA8"/>
    <w:rsid w:val="00A80F95"/>
    <w:rsid w:val="00A86AA2"/>
    <w:rsid w:val="00A91795"/>
    <w:rsid w:val="00A935E3"/>
    <w:rsid w:val="00A9572E"/>
    <w:rsid w:val="00A9717C"/>
    <w:rsid w:val="00A97BF1"/>
    <w:rsid w:val="00AA1176"/>
    <w:rsid w:val="00AA298A"/>
    <w:rsid w:val="00AA315B"/>
    <w:rsid w:val="00AB4509"/>
    <w:rsid w:val="00AC164A"/>
    <w:rsid w:val="00AC50B3"/>
    <w:rsid w:val="00AD069D"/>
    <w:rsid w:val="00AD60EA"/>
    <w:rsid w:val="00AE448A"/>
    <w:rsid w:val="00AE4DBD"/>
    <w:rsid w:val="00AE5E24"/>
    <w:rsid w:val="00AF065A"/>
    <w:rsid w:val="00AF2050"/>
    <w:rsid w:val="00AF21A9"/>
    <w:rsid w:val="00AF253E"/>
    <w:rsid w:val="00B03CA8"/>
    <w:rsid w:val="00B0563E"/>
    <w:rsid w:val="00B10D81"/>
    <w:rsid w:val="00B12E36"/>
    <w:rsid w:val="00B15A8D"/>
    <w:rsid w:val="00B318C4"/>
    <w:rsid w:val="00B328B8"/>
    <w:rsid w:val="00B33C0A"/>
    <w:rsid w:val="00B34912"/>
    <w:rsid w:val="00B377CA"/>
    <w:rsid w:val="00B46898"/>
    <w:rsid w:val="00B53C16"/>
    <w:rsid w:val="00B54518"/>
    <w:rsid w:val="00B55E19"/>
    <w:rsid w:val="00B62004"/>
    <w:rsid w:val="00B6243D"/>
    <w:rsid w:val="00B72DC6"/>
    <w:rsid w:val="00B810CA"/>
    <w:rsid w:val="00B832FB"/>
    <w:rsid w:val="00B866C3"/>
    <w:rsid w:val="00B9367C"/>
    <w:rsid w:val="00B938F6"/>
    <w:rsid w:val="00B94758"/>
    <w:rsid w:val="00B9706F"/>
    <w:rsid w:val="00BA316F"/>
    <w:rsid w:val="00BA4B6D"/>
    <w:rsid w:val="00BA6E98"/>
    <w:rsid w:val="00BB15E9"/>
    <w:rsid w:val="00BB26C5"/>
    <w:rsid w:val="00BC1F32"/>
    <w:rsid w:val="00BC2523"/>
    <w:rsid w:val="00BC31BD"/>
    <w:rsid w:val="00BC54AA"/>
    <w:rsid w:val="00BC6A92"/>
    <w:rsid w:val="00BD2409"/>
    <w:rsid w:val="00BE47BC"/>
    <w:rsid w:val="00BE4DC3"/>
    <w:rsid w:val="00BF1E2C"/>
    <w:rsid w:val="00BF203E"/>
    <w:rsid w:val="00BF4DE6"/>
    <w:rsid w:val="00C0692C"/>
    <w:rsid w:val="00C06B13"/>
    <w:rsid w:val="00C20623"/>
    <w:rsid w:val="00C23951"/>
    <w:rsid w:val="00C240C3"/>
    <w:rsid w:val="00C24D5A"/>
    <w:rsid w:val="00C27D25"/>
    <w:rsid w:val="00C358CA"/>
    <w:rsid w:val="00C41A7F"/>
    <w:rsid w:val="00C42541"/>
    <w:rsid w:val="00C42CDE"/>
    <w:rsid w:val="00C4329B"/>
    <w:rsid w:val="00C47A20"/>
    <w:rsid w:val="00C50C07"/>
    <w:rsid w:val="00C5182A"/>
    <w:rsid w:val="00C6314C"/>
    <w:rsid w:val="00C63EE9"/>
    <w:rsid w:val="00C64EC1"/>
    <w:rsid w:val="00C710F0"/>
    <w:rsid w:val="00C74455"/>
    <w:rsid w:val="00C878BB"/>
    <w:rsid w:val="00C87A98"/>
    <w:rsid w:val="00CA0D64"/>
    <w:rsid w:val="00CA16F3"/>
    <w:rsid w:val="00CA37B1"/>
    <w:rsid w:val="00CA4FE2"/>
    <w:rsid w:val="00CA7BEF"/>
    <w:rsid w:val="00CB1959"/>
    <w:rsid w:val="00CB2CCA"/>
    <w:rsid w:val="00CB3DA3"/>
    <w:rsid w:val="00CB4289"/>
    <w:rsid w:val="00CC24E7"/>
    <w:rsid w:val="00CC3F43"/>
    <w:rsid w:val="00CC741B"/>
    <w:rsid w:val="00CD0E4B"/>
    <w:rsid w:val="00CE0C69"/>
    <w:rsid w:val="00CE4C89"/>
    <w:rsid w:val="00CE5246"/>
    <w:rsid w:val="00CE5736"/>
    <w:rsid w:val="00CF07BA"/>
    <w:rsid w:val="00D0296C"/>
    <w:rsid w:val="00D02A27"/>
    <w:rsid w:val="00D032CE"/>
    <w:rsid w:val="00D069E7"/>
    <w:rsid w:val="00D07F11"/>
    <w:rsid w:val="00D2087A"/>
    <w:rsid w:val="00D317B8"/>
    <w:rsid w:val="00D32D6F"/>
    <w:rsid w:val="00D368C5"/>
    <w:rsid w:val="00D37B04"/>
    <w:rsid w:val="00D4059F"/>
    <w:rsid w:val="00D540C6"/>
    <w:rsid w:val="00D64BD1"/>
    <w:rsid w:val="00D6766F"/>
    <w:rsid w:val="00D86ECA"/>
    <w:rsid w:val="00D871DB"/>
    <w:rsid w:val="00D92254"/>
    <w:rsid w:val="00D97E5D"/>
    <w:rsid w:val="00DA29B1"/>
    <w:rsid w:val="00DB226E"/>
    <w:rsid w:val="00DB22AD"/>
    <w:rsid w:val="00DB26C4"/>
    <w:rsid w:val="00DB3079"/>
    <w:rsid w:val="00DB311F"/>
    <w:rsid w:val="00DB367C"/>
    <w:rsid w:val="00DB4279"/>
    <w:rsid w:val="00DB5F9A"/>
    <w:rsid w:val="00DC383F"/>
    <w:rsid w:val="00DC6AE3"/>
    <w:rsid w:val="00DD068A"/>
    <w:rsid w:val="00DD2D19"/>
    <w:rsid w:val="00DD41A5"/>
    <w:rsid w:val="00DD5115"/>
    <w:rsid w:val="00DD57AD"/>
    <w:rsid w:val="00DD6B86"/>
    <w:rsid w:val="00DE0329"/>
    <w:rsid w:val="00DE084C"/>
    <w:rsid w:val="00DE1815"/>
    <w:rsid w:val="00DF6332"/>
    <w:rsid w:val="00E01FC6"/>
    <w:rsid w:val="00E04705"/>
    <w:rsid w:val="00E04774"/>
    <w:rsid w:val="00E0751F"/>
    <w:rsid w:val="00E14F51"/>
    <w:rsid w:val="00E216D8"/>
    <w:rsid w:val="00E302B0"/>
    <w:rsid w:val="00E357B7"/>
    <w:rsid w:val="00E4045D"/>
    <w:rsid w:val="00E42033"/>
    <w:rsid w:val="00E437C3"/>
    <w:rsid w:val="00E53800"/>
    <w:rsid w:val="00E6081F"/>
    <w:rsid w:val="00E6086D"/>
    <w:rsid w:val="00E63F2F"/>
    <w:rsid w:val="00E707B8"/>
    <w:rsid w:val="00E71FE4"/>
    <w:rsid w:val="00E74B16"/>
    <w:rsid w:val="00E7712C"/>
    <w:rsid w:val="00E8296D"/>
    <w:rsid w:val="00E8457B"/>
    <w:rsid w:val="00E9098B"/>
    <w:rsid w:val="00EA04B2"/>
    <w:rsid w:val="00EA17A4"/>
    <w:rsid w:val="00EA20F3"/>
    <w:rsid w:val="00EA4928"/>
    <w:rsid w:val="00EA7798"/>
    <w:rsid w:val="00EB07E2"/>
    <w:rsid w:val="00EB1812"/>
    <w:rsid w:val="00ED2831"/>
    <w:rsid w:val="00ED3613"/>
    <w:rsid w:val="00ED43D1"/>
    <w:rsid w:val="00EE25F4"/>
    <w:rsid w:val="00EE41FE"/>
    <w:rsid w:val="00EE4EE1"/>
    <w:rsid w:val="00EE5F36"/>
    <w:rsid w:val="00EE6C4D"/>
    <w:rsid w:val="00EE6D08"/>
    <w:rsid w:val="00EF2DC8"/>
    <w:rsid w:val="00EF4574"/>
    <w:rsid w:val="00EF5FB3"/>
    <w:rsid w:val="00F11277"/>
    <w:rsid w:val="00F13429"/>
    <w:rsid w:val="00F14E0D"/>
    <w:rsid w:val="00F15F19"/>
    <w:rsid w:val="00F25A93"/>
    <w:rsid w:val="00F2684E"/>
    <w:rsid w:val="00F26DBA"/>
    <w:rsid w:val="00F273A0"/>
    <w:rsid w:val="00F33569"/>
    <w:rsid w:val="00F42D2F"/>
    <w:rsid w:val="00F441AE"/>
    <w:rsid w:val="00F5404C"/>
    <w:rsid w:val="00F61D43"/>
    <w:rsid w:val="00F61E4F"/>
    <w:rsid w:val="00F70C9D"/>
    <w:rsid w:val="00F729EF"/>
    <w:rsid w:val="00F744A2"/>
    <w:rsid w:val="00F77CAE"/>
    <w:rsid w:val="00F82271"/>
    <w:rsid w:val="00F83428"/>
    <w:rsid w:val="00F92B4C"/>
    <w:rsid w:val="00F96BB9"/>
    <w:rsid w:val="00FA7D1A"/>
    <w:rsid w:val="00FC322F"/>
    <w:rsid w:val="00FD153C"/>
    <w:rsid w:val="00FD6BE6"/>
    <w:rsid w:val="00FD6F33"/>
    <w:rsid w:val="00FE1FB5"/>
    <w:rsid w:val="00FE6D51"/>
    <w:rsid w:val="00FE6F2A"/>
    <w:rsid w:val="00FE7E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0"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B55E8"/>
    <w:pPr>
      <w:suppressAutoHyphens/>
      <w:spacing w:before="120" w:after="60" w:line="260" w:lineRule="atLeast"/>
    </w:pPr>
    <w:rPr>
      <w:color w:val="495965" w:themeColor="text2"/>
      <w:lang w:val="en-GB"/>
    </w:rPr>
  </w:style>
  <w:style w:type="paragraph" w:styleId="Heading1">
    <w:name w:val="heading 1"/>
    <w:basedOn w:val="SpacebeforeTitle"/>
    <w:next w:val="Normal"/>
    <w:link w:val="Heading1Char"/>
    <w:uiPriority w:val="9"/>
    <w:qFormat/>
    <w:rsid w:val="000F3962"/>
    <w:pPr>
      <w:tabs>
        <w:tab w:val="left" w:pos="1114"/>
        <w:tab w:val="left" w:pos="2205"/>
      </w:tabs>
      <w:spacing w:after="0"/>
      <w:outlineLvl w:val="0"/>
    </w:pPr>
    <w:rPr>
      <w:bCs/>
      <w:sz w:val="36"/>
      <w:szCs w:val="36"/>
    </w:rPr>
  </w:style>
  <w:style w:type="paragraph" w:styleId="Heading2">
    <w:name w:val="heading 2"/>
    <w:basedOn w:val="SpacebeforeTitle"/>
    <w:next w:val="Normal"/>
    <w:link w:val="Heading2Char"/>
    <w:uiPriority w:val="9"/>
    <w:unhideWhenUsed/>
    <w:qFormat/>
    <w:rsid w:val="000F3962"/>
    <w:pPr>
      <w:tabs>
        <w:tab w:val="left" w:pos="1114"/>
        <w:tab w:val="left" w:pos="2205"/>
      </w:tabs>
      <w:spacing w:after="240"/>
      <w:outlineLvl w:val="1"/>
    </w:pPr>
    <w:rPr>
      <w:rFonts w:cstheme="minorHAnsi"/>
      <w:b/>
      <w:bCs/>
      <w:iCs/>
      <w:sz w:val="24"/>
      <w:szCs w:val="24"/>
    </w:rPr>
  </w:style>
  <w:style w:type="paragraph" w:styleId="Heading3">
    <w:name w:val="heading 3"/>
    <w:basedOn w:val="Heading2"/>
    <w:next w:val="Normal"/>
    <w:link w:val="Heading3Char"/>
    <w:uiPriority w:val="9"/>
    <w:unhideWhenUsed/>
    <w:qFormat/>
    <w:rsid w:val="00ED2831"/>
    <w:pPr>
      <w:spacing w:line="360" w:lineRule="atLeast"/>
      <w:outlineLvl w:val="2"/>
    </w:pPr>
    <w:rPr>
      <w:bCs w:val="0"/>
      <w:caps/>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val="0"/>
      <w:sz w:val="24"/>
    </w:rPr>
  </w:style>
  <w:style w:type="paragraph" w:styleId="Heading5">
    <w:name w:val="heading 5"/>
    <w:basedOn w:val="Heading4"/>
    <w:next w:val="Normal"/>
    <w:link w:val="Heading5Char"/>
    <w:uiPriority w:val="9"/>
    <w:unhideWhenUsed/>
    <w:qFormat/>
    <w:rsid w:val="007706B8"/>
    <w:pPr>
      <w:spacing w:line="200" w:lineRule="atLeast"/>
      <w:outlineLvl w:val="4"/>
    </w:pPr>
    <w:rPr>
      <w:b w:val="0"/>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962"/>
    <w:rPr>
      <w:bCs/>
      <w:color w:val="495965" w:themeColor="text2"/>
      <w:sz w:val="36"/>
      <w:szCs w:val="36"/>
      <w:lang w:val="en-GB"/>
    </w:rPr>
  </w:style>
  <w:style w:type="character" w:customStyle="1" w:styleId="Heading2Char">
    <w:name w:val="Heading 2 Char"/>
    <w:basedOn w:val="DefaultParagraphFont"/>
    <w:link w:val="Heading2"/>
    <w:uiPriority w:val="9"/>
    <w:rsid w:val="000F3962"/>
    <w:rPr>
      <w:rFonts w:cstheme="minorHAnsi"/>
      <w:b/>
      <w:bCs/>
      <w:iCs/>
      <w:color w:val="495965" w:themeColor="text2"/>
      <w:sz w:val="24"/>
      <w:szCs w:val="24"/>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b/>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val="0"/>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nhideWhenUsed/>
    <w:qFormat/>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rsid w:val="008C5A0E"/>
    <w:rPr>
      <w:color w:val="495965" w:themeColor="text2"/>
      <w:sz w:val="12"/>
      <w:szCs w:val="20"/>
    </w:rPr>
  </w:style>
  <w:style w:type="character" w:styleId="FootnoteReference">
    <w:name w:val="footnote reference"/>
    <w:aliases w:val="Normal + Font:9 Point,Superscript 3 Point Times"/>
    <w:basedOn w:val="DefaultParagraphFont"/>
    <w:uiPriority w:val="99"/>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961E72"/>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basedOn w:val="Normal"/>
    <w:uiPriority w:val="34"/>
    <w:qFormat/>
    <w:locked/>
    <w:rsid w:val="00A32858"/>
    <w:pPr>
      <w:ind w:left="720"/>
      <w:contextualSpacing/>
    </w:pPr>
  </w:style>
  <w:style w:type="paragraph" w:styleId="ListBullet">
    <w:name w:val="List Bullet"/>
    <w:basedOn w:val="BodyText"/>
    <w:qFormat/>
    <w:locked/>
    <w:rsid w:val="00A32858"/>
    <w:pPr>
      <w:numPr>
        <w:numId w:val="37"/>
      </w:numPr>
      <w:tabs>
        <w:tab w:val="left" w:pos="284"/>
      </w:tabs>
      <w:suppressAutoHyphens w:val="0"/>
      <w:spacing w:before="0" w:after="120" w:line="280" w:lineRule="exact"/>
    </w:pPr>
    <w:rPr>
      <w:rFonts w:ascii="Franklin Gothic Book" w:eastAsia="Times New Roman" w:hAnsi="Franklin Gothic Book" w:cs="Times New Roman"/>
      <w:sz w:val="21"/>
      <w:szCs w:val="24"/>
      <w:lang w:val="en-AU" w:eastAsia="en-AU"/>
    </w:rPr>
  </w:style>
  <w:style w:type="character" w:styleId="FollowedHyperlink">
    <w:name w:val="FollowedHyperlink"/>
    <w:basedOn w:val="DefaultParagraphFont"/>
    <w:uiPriority w:val="99"/>
    <w:semiHidden/>
    <w:unhideWhenUsed/>
    <w:rsid w:val="001F439D"/>
    <w:rPr>
      <w:color w:val="800080" w:themeColor="followedHyperlink"/>
      <w:u w:val="single"/>
    </w:rPr>
  </w:style>
  <w:style w:type="paragraph" w:styleId="Revision">
    <w:name w:val="Revision"/>
    <w:hidden/>
    <w:uiPriority w:val="99"/>
    <w:semiHidden/>
    <w:rsid w:val="00A179C8"/>
    <w:pPr>
      <w:spacing w:after="0" w:line="240" w:lineRule="auto"/>
    </w:pPr>
    <w:rPr>
      <w:color w:val="495965" w:themeColor="text2"/>
      <w:lang w:val="en-GB"/>
    </w:rPr>
  </w:style>
  <w:style w:type="paragraph" w:customStyle="1" w:styleId="Default">
    <w:name w:val="Default"/>
    <w:rsid w:val="00C50C07"/>
    <w:pPr>
      <w:autoSpaceDE w:val="0"/>
      <w:autoSpaceDN w:val="0"/>
      <w:adjustRightInd w:val="0"/>
      <w:spacing w:after="0" w:line="240" w:lineRule="auto"/>
    </w:pPr>
    <w:rPr>
      <w:rFonts w:ascii="Calibri Light" w:hAnsi="Calibri Light" w:cs="Calibri Light"/>
      <w:color w:val="000000"/>
      <w:sz w:val="24"/>
      <w:szCs w:val="24"/>
    </w:rPr>
  </w:style>
  <w:style w:type="character" w:customStyle="1" w:styleId="CHBlackHeadingChar">
    <w:name w:val="CH Black Heading Char"/>
    <w:basedOn w:val="DefaultParagraphFont"/>
    <w:link w:val="CHBlackHeading"/>
    <w:locked/>
    <w:rsid w:val="0095244A"/>
    <w:rPr>
      <w:b/>
      <w:sz w:val="24"/>
    </w:rPr>
  </w:style>
  <w:style w:type="paragraph" w:customStyle="1" w:styleId="CHBlackHeading">
    <w:name w:val="CH Black Heading"/>
    <w:basedOn w:val="Normal"/>
    <w:next w:val="Normal"/>
    <w:link w:val="CHBlackHeadingChar"/>
    <w:qFormat/>
    <w:rsid w:val="0095244A"/>
    <w:pPr>
      <w:tabs>
        <w:tab w:val="num" w:pos="360"/>
      </w:tabs>
      <w:suppressAutoHyphens w:val="0"/>
      <w:spacing w:before="100" w:after="100" w:line="240" w:lineRule="auto"/>
    </w:pPr>
    <w:rPr>
      <w:b/>
      <w:color w:val="auto"/>
      <w:sz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2525">
      <w:bodyDiv w:val="1"/>
      <w:marLeft w:val="0"/>
      <w:marRight w:val="0"/>
      <w:marTop w:val="0"/>
      <w:marBottom w:val="0"/>
      <w:divBdr>
        <w:top w:val="none" w:sz="0" w:space="0" w:color="auto"/>
        <w:left w:val="none" w:sz="0" w:space="0" w:color="auto"/>
        <w:bottom w:val="none" w:sz="0" w:space="0" w:color="auto"/>
        <w:right w:val="none" w:sz="0" w:space="0" w:color="auto"/>
      </w:divBdr>
    </w:div>
    <w:div w:id="411049495">
      <w:bodyDiv w:val="1"/>
      <w:marLeft w:val="0"/>
      <w:marRight w:val="0"/>
      <w:marTop w:val="0"/>
      <w:marBottom w:val="0"/>
      <w:divBdr>
        <w:top w:val="none" w:sz="0" w:space="0" w:color="auto"/>
        <w:left w:val="none" w:sz="0" w:space="0" w:color="auto"/>
        <w:bottom w:val="none" w:sz="0" w:space="0" w:color="auto"/>
        <w:right w:val="none" w:sz="0" w:space="0" w:color="auto"/>
      </w:divBdr>
    </w:div>
    <w:div w:id="1312324784">
      <w:bodyDiv w:val="1"/>
      <w:marLeft w:val="0"/>
      <w:marRight w:val="0"/>
      <w:marTop w:val="0"/>
      <w:marBottom w:val="0"/>
      <w:divBdr>
        <w:top w:val="none" w:sz="0" w:space="0" w:color="auto"/>
        <w:left w:val="none" w:sz="0" w:space="0" w:color="auto"/>
        <w:bottom w:val="none" w:sz="0" w:space="0" w:color="auto"/>
        <w:right w:val="none" w:sz="0" w:space="0" w:color="auto"/>
      </w:divBdr>
    </w:div>
    <w:div w:id="1328250154">
      <w:bodyDiv w:val="1"/>
      <w:marLeft w:val="0"/>
      <w:marRight w:val="0"/>
      <w:marTop w:val="0"/>
      <w:marBottom w:val="0"/>
      <w:divBdr>
        <w:top w:val="none" w:sz="0" w:space="0" w:color="auto"/>
        <w:left w:val="none" w:sz="0" w:space="0" w:color="auto"/>
        <w:bottom w:val="none" w:sz="0" w:space="0" w:color="auto"/>
        <w:right w:val="none" w:sz="0" w:space="0" w:color="auto"/>
      </w:divBdr>
    </w:div>
    <w:div w:id="1470589181">
      <w:bodyDiv w:val="1"/>
      <w:marLeft w:val="0"/>
      <w:marRight w:val="0"/>
      <w:marTop w:val="0"/>
      <w:marBottom w:val="0"/>
      <w:divBdr>
        <w:top w:val="none" w:sz="0" w:space="0" w:color="auto"/>
        <w:left w:val="none" w:sz="0" w:space="0" w:color="auto"/>
        <w:bottom w:val="none" w:sz="0" w:space="0" w:color="auto"/>
        <w:right w:val="none" w:sz="0" w:space="0" w:color="auto"/>
      </w:divBdr>
    </w:div>
    <w:div w:id="1722709818">
      <w:bodyDiv w:val="1"/>
      <w:marLeft w:val="0"/>
      <w:marRight w:val="0"/>
      <w:marTop w:val="0"/>
      <w:marBottom w:val="0"/>
      <w:divBdr>
        <w:top w:val="none" w:sz="0" w:space="0" w:color="auto"/>
        <w:left w:val="none" w:sz="0" w:space="0" w:color="auto"/>
        <w:bottom w:val="none" w:sz="0" w:space="0" w:color="auto"/>
        <w:right w:val="none" w:sz="0" w:space="0" w:color="auto"/>
      </w:divBdr>
    </w:div>
    <w:div w:id="1846746900">
      <w:bodyDiv w:val="1"/>
      <w:marLeft w:val="0"/>
      <w:marRight w:val="0"/>
      <w:marTop w:val="0"/>
      <w:marBottom w:val="0"/>
      <w:divBdr>
        <w:top w:val="none" w:sz="0" w:space="0" w:color="auto"/>
        <w:left w:val="none" w:sz="0" w:space="0" w:color="auto"/>
        <w:bottom w:val="none" w:sz="0" w:space="0" w:color="auto"/>
        <w:right w:val="none" w:sz="0" w:space="0" w:color="auto"/>
      </w:divBdr>
    </w:div>
    <w:div w:id="1914047352">
      <w:bodyDiv w:val="1"/>
      <w:marLeft w:val="0"/>
      <w:marRight w:val="0"/>
      <w:marTop w:val="0"/>
      <w:marBottom w:val="0"/>
      <w:divBdr>
        <w:top w:val="none" w:sz="0" w:space="0" w:color="auto"/>
        <w:left w:val="none" w:sz="0" w:space="0" w:color="auto"/>
        <w:bottom w:val="none" w:sz="0" w:space="0" w:color="auto"/>
        <w:right w:val="none" w:sz="0" w:space="0" w:color="auto"/>
      </w:divBdr>
    </w:div>
    <w:div w:id="2075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70C8E-C58E-471A-BB20-830DF38C2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1635</Words>
  <Characters>9427</Characters>
  <Application>Microsoft Office Word</Application>
  <DocSecurity>0</DocSecurity>
  <Lines>286</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Mid Term Review of the Partnership for Human Development</dc:title>
  <dc:subject/>
  <dc:creator/>
  <cp:keywords>[SEC=OFFICIAL]</cp:keywords>
  <dc:description/>
  <cp:lastModifiedBy/>
  <cp:revision>1</cp:revision>
  <dcterms:created xsi:type="dcterms:W3CDTF">2023-01-09T07:09:00Z</dcterms:created>
  <dcterms:modified xsi:type="dcterms:W3CDTF">2023-01-16T05:26:00Z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2012DB71FDC24078BFB20E0637931188</vt:lpwstr>
  </property>
  <property fmtid="{D5CDD505-2E9C-101B-9397-08002B2CF9AE}" pid="9" name="PM_ProtectiveMarkingValue_Footer">
    <vt:lpwstr>OFFICIAL</vt:lpwstr>
  </property>
  <property fmtid="{D5CDD505-2E9C-101B-9397-08002B2CF9AE}" pid="10" name="PM_Originator_Hash_SHA1">
    <vt:lpwstr>260D391A355C0F7895D53005377AC1700003BFA9</vt:lpwstr>
  </property>
  <property fmtid="{D5CDD505-2E9C-101B-9397-08002B2CF9AE}" pid="11" name="PM_OriginationTimeStamp">
    <vt:lpwstr>2023-01-16T05:26:09Z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36444885D56EF2B2386DD2FB8F936C15</vt:lpwstr>
  </property>
  <property fmtid="{D5CDD505-2E9C-101B-9397-08002B2CF9AE}" pid="20" name="PM_Hash_Salt">
    <vt:lpwstr>53D11C87B54E33E4E1F839DCA863728B</vt:lpwstr>
  </property>
  <property fmtid="{D5CDD505-2E9C-101B-9397-08002B2CF9AE}" pid="21" name="PM_Hash_SHA1">
    <vt:lpwstr>A07D875C52EEBB0F6BEFF2C81A12A3FAF1E8BEAE</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ABBFF5E2-9674-55C9-B08D-C9980002FD58</vt:lpwstr>
  </property>
  <property fmtid="{D5CDD505-2E9C-101B-9397-08002B2CF9AE}" pid="26" name="PMUuidVer">
    <vt:lpwstr>2022.1</vt:lpwstr>
  </property>
  <property fmtid="{D5CDD505-2E9C-101B-9397-08002B2CF9AE}" pid="27" name="PM_OriginatorUserAccountName_SHA256">
    <vt:lpwstr>3F6D732A650B4EC715B623E0D837FB2B96AB69551124ACFE30889A7938FDE719</vt:lpwstr>
  </property>
  <property fmtid="{D5CDD505-2E9C-101B-9397-08002B2CF9AE}" pid="28" name="PM_OriginatorDomainName_SHA256">
    <vt:lpwstr>6F3591835F3B2A8A025B00B5BA6418010DA3A17C9C26EA9C049FFD28039489A2</vt:lpwstr>
  </property>
</Properties>
</file>